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30955" w14:textId="3EE6D481" w:rsidR="005B113F" w:rsidRDefault="00F04B30">
      <w:pPr>
        <w:pStyle w:val="Header"/>
        <w:tabs>
          <w:tab w:val="clear" w:pos="8640"/>
          <w:tab w:val="left" w:pos="7200"/>
          <w:tab w:val="right" w:pos="9360"/>
        </w:tabs>
        <w:rPr>
          <w:bCs/>
          <w:u w:val="single"/>
        </w:rPr>
      </w:pPr>
      <w:bookmarkStart w:id="0" w:name="_GoBack"/>
      <w:bookmarkEnd w:id="0"/>
      <w:r>
        <w:t>ALJ/</w:t>
      </w:r>
      <w:r w:rsidR="00616176">
        <w:t>jv1</w:t>
      </w:r>
      <w:r>
        <w:tab/>
      </w:r>
      <w:r>
        <w:rPr>
          <w:b/>
        </w:rPr>
        <w:t>DRAFT</w:t>
      </w:r>
      <w:r>
        <w:tab/>
      </w:r>
      <w:r w:rsidRPr="004F6AFD">
        <w:rPr>
          <w:b/>
          <w:bCs/>
        </w:rPr>
        <w:t xml:space="preserve">Agenda </w:t>
      </w:r>
      <w:r w:rsidRPr="00616176">
        <w:rPr>
          <w:b/>
          <w:bCs/>
        </w:rPr>
        <w:t>ID #</w:t>
      </w:r>
      <w:r w:rsidR="00616176" w:rsidRPr="00616176">
        <w:rPr>
          <w:b/>
          <w:bCs/>
        </w:rPr>
        <w:t>12099</w:t>
      </w:r>
      <w:r w:rsidRPr="004F6AFD">
        <w:rPr>
          <w:b/>
          <w:bCs/>
          <w:u w:val="single"/>
        </w:rPr>
        <w:tab/>
      </w:r>
    </w:p>
    <w:p w14:paraId="1EA9B415" w14:textId="5D8A2A10" w:rsidR="005B113F" w:rsidRPr="004F6AFD" w:rsidRDefault="00F04B30">
      <w:pPr>
        <w:pStyle w:val="Header"/>
        <w:tabs>
          <w:tab w:val="clear" w:pos="8640"/>
          <w:tab w:val="left" w:pos="7200"/>
          <w:tab w:val="right" w:pos="9360"/>
        </w:tabs>
        <w:rPr>
          <w:b/>
        </w:rPr>
      </w:pPr>
      <w:r>
        <w:rPr>
          <w:bCs/>
        </w:rPr>
        <w:tab/>
      </w:r>
      <w:r>
        <w:rPr>
          <w:bCs/>
        </w:rPr>
        <w:tab/>
      </w:r>
      <w:r w:rsidR="00616176">
        <w:rPr>
          <w:b/>
          <w:bCs/>
        </w:rPr>
        <w:t>5/23/2013</w:t>
      </w:r>
      <w:r w:rsidR="008B7F1B" w:rsidRPr="004F6AFD">
        <w:rPr>
          <w:b/>
          <w:bCs/>
        </w:rPr>
        <w:tab/>
      </w:r>
      <w:r w:rsidRPr="004F6AFD">
        <w:rPr>
          <w:b/>
        </w:rPr>
        <w:t>Item 1</w:t>
      </w:r>
    </w:p>
    <w:p w14:paraId="6F6E57ED" w14:textId="77777777" w:rsidR="005B113F" w:rsidRDefault="005B113F">
      <w:pPr>
        <w:pStyle w:val="Title"/>
        <w:jc w:val="left"/>
        <w:rPr>
          <w:b w:val="0"/>
        </w:rPr>
      </w:pPr>
    </w:p>
    <w:p w14:paraId="7730182E" w14:textId="77777777" w:rsidR="005B113F" w:rsidRDefault="005B113F">
      <w:pPr>
        <w:pStyle w:val="Title"/>
        <w:rPr>
          <w:b w:val="0"/>
        </w:rPr>
      </w:pPr>
    </w:p>
    <w:p w14:paraId="0B1C8AEF" w14:textId="77777777" w:rsidR="005B113F" w:rsidRDefault="00F04B30">
      <w:pPr>
        <w:pStyle w:val="Title"/>
      </w:pPr>
      <w:r>
        <w:t xml:space="preserve">PUBLIC UTILITIES COMMISSION OF THE STATE OF </w:t>
      </w:r>
      <w:smartTag w:uri="urn:schemas-microsoft-com:office:smarttags" w:element="place">
        <w:smartTag w:uri="urn:schemas-microsoft-com:office:smarttags" w:element="State">
          <w:r>
            <w:t>CALIFORNIA</w:t>
          </w:r>
        </w:smartTag>
      </w:smartTag>
    </w:p>
    <w:p w14:paraId="610AADCB" w14:textId="77777777" w:rsidR="005B113F" w:rsidRDefault="005B113F"/>
    <w:p w14:paraId="71BA1CB6" w14:textId="66B580C3" w:rsidR="005B113F" w:rsidRDefault="00F04B30">
      <w:r>
        <w:tab/>
      </w:r>
      <w:r>
        <w:tab/>
      </w:r>
      <w:r>
        <w:tab/>
      </w:r>
      <w:r>
        <w:tab/>
      </w:r>
      <w:r>
        <w:tab/>
        <w:t>Resolution ALJ 176-</w:t>
      </w:r>
      <w:r w:rsidR="00573630">
        <w:t>3315</w:t>
      </w:r>
    </w:p>
    <w:p w14:paraId="0BEC5567" w14:textId="77777777" w:rsidR="005B113F" w:rsidRDefault="00F04B30">
      <w:r>
        <w:tab/>
      </w:r>
      <w:r>
        <w:tab/>
      </w:r>
      <w:r>
        <w:tab/>
      </w:r>
      <w:r>
        <w:tab/>
      </w:r>
      <w:r>
        <w:tab/>
        <w:t>Administrative Law Judge Division</w:t>
      </w:r>
    </w:p>
    <w:p w14:paraId="0494F776" w14:textId="56C54C64" w:rsidR="005B113F" w:rsidRDefault="00F04B30">
      <w:r>
        <w:tab/>
      </w:r>
      <w:r>
        <w:tab/>
      </w:r>
      <w:r>
        <w:tab/>
      </w:r>
      <w:r>
        <w:tab/>
      </w:r>
      <w:r>
        <w:tab/>
      </w:r>
      <w:r w:rsidR="00573630">
        <w:t>May 23, 2013</w:t>
      </w:r>
    </w:p>
    <w:p w14:paraId="61E60F54" w14:textId="77777777" w:rsidR="005B113F" w:rsidRDefault="005B113F"/>
    <w:p w14:paraId="51E702D3" w14:textId="77777777" w:rsidR="005B113F" w:rsidRDefault="005B113F"/>
    <w:p w14:paraId="2664356A" w14:textId="77777777" w:rsidR="005B113F" w:rsidRDefault="00F04B30">
      <w:pPr>
        <w:jc w:val="center"/>
        <w:rPr>
          <w:rFonts w:ascii="Helvetica" w:hAnsi="Helvetica"/>
          <w:b/>
          <w:u w:val="single"/>
        </w:rPr>
      </w:pPr>
      <w:r>
        <w:rPr>
          <w:rFonts w:ascii="Helvetica" w:hAnsi="Helvetica"/>
          <w:b/>
          <w:u w:val="single"/>
        </w:rPr>
        <w:t>R</w:t>
      </w:r>
      <w:r>
        <w:rPr>
          <w:rFonts w:ascii="Helvetica" w:hAnsi="Helvetica"/>
          <w:b/>
        </w:rPr>
        <w:t xml:space="preserve"> </w:t>
      </w:r>
      <w:r>
        <w:rPr>
          <w:rFonts w:ascii="Helvetica" w:hAnsi="Helvetica"/>
          <w:b/>
          <w:u w:val="single"/>
        </w:rPr>
        <w:t>E</w:t>
      </w:r>
      <w:r>
        <w:rPr>
          <w:rFonts w:ascii="Helvetica" w:hAnsi="Helvetica"/>
          <w:b/>
        </w:rPr>
        <w:t xml:space="preserve"> </w:t>
      </w:r>
      <w:r>
        <w:rPr>
          <w:rFonts w:ascii="Helvetica" w:hAnsi="Helvetica"/>
          <w:b/>
          <w:u w:val="single"/>
        </w:rPr>
        <w:t>S</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L</w:t>
      </w:r>
      <w:r>
        <w:rPr>
          <w:rFonts w:ascii="Helvetica" w:hAnsi="Helvetica"/>
          <w:b/>
        </w:rPr>
        <w:t xml:space="preserve"> </w:t>
      </w:r>
      <w:r>
        <w:rPr>
          <w:rFonts w:ascii="Helvetica" w:hAnsi="Helvetica"/>
          <w:b/>
          <w:u w:val="single"/>
        </w:rPr>
        <w:t>U</w:t>
      </w:r>
      <w:r>
        <w:rPr>
          <w:rFonts w:ascii="Helvetica" w:hAnsi="Helvetica"/>
          <w:b/>
        </w:rPr>
        <w:t xml:space="preserve"> </w:t>
      </w:r>
      <w:r>
        <w:rPr>
          <w:rFonts w:ascii="Helvetica" w:hAnsi="Helvetica"/>
          <w:b/>
          <w:u w:val="single"/>
        </w:rPr>
        <w:t>T</w:t>
      </w:r>
      <w:r>
        <w:rPr>
          <w:rFonts w:ascii="Helvetica" w:hAnsi="Helvetica"/>
          <w:b/>
        </w:rPr>
        <w:t xml:space="preserve"> </w:t>
      </w:r>
      <w:r>
        <w:rPr>
          <w:rFonts w:ascii="Helvetica" w:hAnsi="Helvetica"/>
          <w:b/>
          <w:u w:val="single"/>
        </w:rPr>
        <w:t>I</w:t>
      </w:r>
      <w:r>
        <w:rPr>
          <w:rFonts w:ascii="Helvetica" w:hAnsi="Helvetica"/>
          <w:b/>
        </w:rPr>
        <w:t xml:space="preserve"> </w:t>
      </w:r>
      <w:r>
        <w:rPr>
          <w:rFonts w:ascii="Helvetica" w:hAnsi="Helvetica"/>
          <w:b/>
          <w:u w:val="single"/>
        </w:rPr>
        <w:t>O</w:t>
      </w:r>
      <w:r>
        <w:rPr>
          <w:rFonts w:ascii="Helvetica" w:hAnsi="Helvetica"/>
          <w:b/>
        </w:rPr>
        <w:t xml:space="preserve"> </w:t>
      </w:r>
      <w:r>
        <w:rPr>
          <w:rFonts w:ascii="Helvetica" w:hAnsi="Helvetica"/>
          <w:b/>
          <w:u w:val="single"/>
        </w:rPr>
        <w:t>N</w:t>
      </w:r>
    </w:p>
    <w:p w14:paraId="6D61F866" w14:textId="77777777" w:rsidR="005B113F" w:rsidRDefault="005B113F">
      <w:pPr>
        <w:jc w:val="center"/>
      </w:pPr>
    </w:p>
    <w:p w14:paraId="6283598A" w14:textId="77777777" w:rsidR="005B113F" w:rsidRDefault="005B113F"/>
    <w:p w14:paraId="640EDFF8" w14:textId="47ED1843" w:rsidR="005B113F" w:rsidRDefault="00F04B30">
      <w:pPr>
        <w:pStyle w:val="BlockText"/>
      </w:pPr>
      <w:r>
        <w:t>RESOLUTION ALJ 176-</w:t>
      </w:r>
      <w:r w:rsidR="00573630">
        <w:t>3315</w:t>
      </w:r>
      <w:r>
        <w:t xml:space="preserve">.  Preliminary determinations of category and need for hearing for proceedings initiated by application pursuant to </w:t>
      </w:r>
      <w:r w:rsidR="00616176">
        <w:br/>
      </w:r>
      <w:r>
        <w:t>Rule</w:t>
      </w:r>
      <w:r w:rsidR="00616176">
        <w:t xml:space="preserve"> </w:t>
      </w:r>
      <w:r>
        <w:t>7.1 of the Commission’s Rules of Practice and Procedure.</w:t>
      </w:r>
    </w:p>
    <w:p w14:paraId="29B308F5" w14:textId="77777777" w:rsidR="005B113F" w:rsidRDefault="005B113F">
      <w:pPr>
        <w:pStyle w:val="BlockText"/>
      </w:pPr>
    </w:p>
    <w:p w14:paraId="546B6D01" w14:textId="77777777" w:rsidR="005B113F" w:rsidRDefault="00F04B30">
      <w:pPr>
        <w:tabs>
          <w:tab w:val="right" w:pos="8550"/>
        </w:tabs>
        <w:ind w:left="720" w:right="720"/>
      </w:pPr>
      <w:r>
        <w:rPr>
          <w:u w:val="single"/>
        </w:rPr>
        <w:tab/>
      </w:r>
    </w:p>
    <w:p w14:paraId="38419C93" w14:textId="77777777" w:rsidR="005B113F" w:rsidRDefault="005B113F"/>
    <w:p w14:paraId="48208BBE" w14:textId="77777777" w:rsidR="005B113F" w:rsidRDefault="005B113F"/>
    <w:p w14:paraId="239DD7C9" w14:textId="77777777" w:rsidR="005B113F" w:rsidRDefault="00F04B30">
      <w:r>
        <w:t>Senate Bill (SB) 960 (Leonard, ch. 96-0856) requires, among other things, that the Commission categorize proceedings and determine the need for hearing for purposes of determining the applicable restrictions on ex parte communications and other applicable rules.  The rules implementing these requirements are found, for the most part, in Articles 7 and 8 of the Commission’s Rules of Practice and Procedure.</w:t>
      </w:r>
    </w:p>
    <w:p w14:paraId="796BF2BD" w14:textId="77777777" w:rsidR="005B113F" w:rsidRDefault="005B113F"/>
    <w:p w14:paraId="3D4C29C2" w14:textId="77777777" w:rsidR="005B113F" w:rsidRDefault="00F04B30">
      <w:r>
        <w:t>Rule 7.1 requires the Commission to preliminarily determine, for a proceeding initiated by application, the proceeding’s category and whether the proceeding requires a hearing.  The Commission has reviewed the initial pleading of the utility applicants and makes the preliminary determinations of category and need for hearing as shown in the attached Preliminary Determination Schedule, consistent with the requirements of Rule 7.1.</w:t>
      </w:r>
    </w:p>
    <w:p w14:paraId="2DEABCF0" w14:textId="77777777" w:rsidR="005B113F" w:rsidRDefault="005B113F"/>
    <w:p w14:paraId="215F0547" w14:textId="77777777" w:rsidR="005B113F" w:rsidRDefault="00F04B30">
      <w:r>
        <w:t>No public review or comment is required for this resolution pursuant to Rule 14.7.</w:t>
      </w:r>
    </w:p>
    <w:p w14:paraId="555A3036" w14:textId="77777777" w:rsidR="005B113F" w:rsidRDefault="005B113F"/>
    <w:p w14:paraId="7FF86307" w14:textId="77777777" w:rsidR="005B113F" w:rsidRDefault="00F04B30">
      <w:r>
        <w:rPr>
          <w:b/>
        </w:rPr>
        <w:t>IT IS ORDERED</w:t>
      </w:r>
      <w:r>
        <w:t xml:space="preserve"> that:</w:t>
      </w:r>
    </w:p>
    <w:p w14:paraId="76FBF475" w14:textId="77777777" w:rsidR="005B113F" w:rsidRDefault="005B113F"/>
    <w:p w14:paraId="3ADE2284" w14:textId="77777777" w:rsidR="005B113F" w:rsidRDefault="00F04B30">
      <w:pPr>
        <w:pStyle w:val="num1"/>
        <w:numPr>
          <w:ilvl w:val="0"/>
          <w:numId w:val="2"/>
        </w:numPr>
        <w:tabs>
          <w:tab w:val="left" w:pos="360"/>
        </w:tabs>
        <w:spacing w:after="120" w:line="240" w:lineRule="auto"/>
        <w:ind w:left="0" w:firstLine="0"/>
        <w:rPr>
          <w:sz w:val="24"/>
          <w:szCs w:val="24"/>
        </w:rPr>
      </w:pPr>
      <w:r>
        <w:rPr>
          <w:sz w:val="24"/>
          <w:szCs w:val="24"/>
        </w:rPr>
        <w:t>The category and need for hearing for each proceeding initiated by application listed in the attached Schedule of Preliminary Determinations are preliminarily determined, as noted.</w:t>
      </w:r>
    </w:p>
    <w:p w14:paraId="76DEFF16" w14:textId="77777777" w:rsidR="005B113F" w:rsidRDefault="00F04B30">
      <w:pPr>
        <w:pStyle w:val="num1"/>
        <w:keepNext/>
        <w:numPr>
          <w:ilvl w:val="0"/>
          <w:numId w:val="2"/>
        </w:numPr>
        <w:tabs>
          <w:tab w:val="left" w:pos="360"/>
        </w:tabs>
        <w:spacing w:after="120" w:line="240" w:lineRule="auto"/>
        <w:ind w:left="0" w:firstLine="0"/>
        <w:rPr>
          <w:sz w:val="24"/>
          <w:szCs w:val="24"/>
        </w:rPr>
      </w:pPr>
      <w:r>
        <w:rPr>
          <w:sz w:val="24"/>
          <w:szCs w:val="24"/>
        </w:rPr>
        <w:lastRenderedPageBreak/>
        <w:t>This resolution is effective today.</w:t>
      </w:r>
    </w:p>
    <w:p w14:paraId="63ECE6BA" w14:textId="77777777" w:rsidR="005B113F" w:rsidRDefault="005B113F">
      <w:pPr>
        <w:keepNext/>
      </w:pPr>
    </w:p>
    <w:p w14:paraId="125C5174" w14:textId="77777777" w:rsidR="005B113F" w:rsidRDefault="00F04B30">
      <w:pPr>
        <w:keepNext/>
      </w:pPr>
      <w:r>
        <w:t xml:space="preserve">I certify that the foregoing resolution was duly introduced, passed, and adopted at a conference of the Public Utilities Commission of the State of California held on </w:t>
      </w:r>
      <w:r w:rsidR="008B7F1B">
        <w:t>___________________</w:t>
      </w:r>
      <w:r>
        <w:t>, the following Commissioners voting favorably thereon:</w:t>
      </w:r>
    </w:p>
    <w:p w14:paraId="7AAD877C" w14:textId="77777777" w:rsidR="005B113F" w:rsidRDefault="005B113F">
      <w:pPr>
        <w:keepNext/>
      </w:pPr>
    </w:p>
    <w:p w14:paraId="6E3390A9" w14:textId="77777777" w:rsidR="005B113F" w:rsidRDefault="005B113F">
      <w:pPr>
        <w:keepNext/>
      </w:pPr>
    </w:p>
    <w:p w14:paraId="4B41A3E5" w14:textId="77777777" w:rsidR="005B113F" w:rsidRDefault="005B113F">
      <w:pPr>
        <w:keepNext/>
      </w:pPr>
    </w:p>
    <w:p w14:paraId="303975D0" w14:textId="77777777" w:rsidR="005B113F" w:rsidRDefault="005B113F">
      <w:pPr>
        <w:keepNext/>
      </w:pPr>
    </w:p>
    <w:tbl>
      <w:tblPr>
        <w:tblW w:w="0" w:type="auto"/>
        <w:tblInd w:w="4428" w:type="dxa"/>
        <w:tblLayout w:type="fixed"/>
        <w:tblLook w:val="0000" w:firstRow="0" w:lastRow="0" w:firstColumn="0" w:lastColumn="0" w:noHBand="0" w:noVBand="0"/>
      </w:tblPr>
      <w:tblGrid>
        <w:gridCol w:w="3780"/>
      </w:tblGrid>
      <w:tr w:rsidR="005B113F" w14:paraId="14D7A04B" w14:textId="77777777">
        <w:tc>
          <w:tcPr>
            <w:tcW w:w="3780" w:type="dxa"/>
            <w:tcBorders>
              <w:bottom w:val="single" w:sz="6" w:space="0" w:color="auto"/>
            </w:tcBorders>
          </w:tcPr>
          <w:p w14:paraId="27697C70" w14:textId="77777777" w:rsidR="005B113F" w:rsidRDefault="005B113F">
            <w:pPr>
              <w:keepNext/>
              <w:jc w:val="center"/>
            </w:pPr>
          </w:p>
        </w:tc>
      </w:tr>
      <w:tr w:rsidR="005B113F" w14:paraId="795E95B5" w14:textId="77777777">
        <w:tc>
          <w:tcPr>
            <w:tcW w:w="3780" w:type="dxa"/>
          </w:tcPr>
          <w:p w14:paraId="2F2D1B4A" w14:textId="77777777" w:rsidR="005B113F" w:rsidRDefault="00F04B30">
            <w:pPr>
              <w:keepNext/>
              <w:spacing w:before="120"/>
              <w:jc w:val="center"/>
            </w:pPr>
            <w:r>
              <w:t>PAUL CLANON</w:t>
            </w:r>
          </w:p>
          <w:p w14:paraId="707CA8A4" w14:textId="77777777" w:rsidR="005B113F" w:rsidRDefault="00F04B30">
            <w:pPr>
              <w:keepNext/>
              <w:jc w:val="center"/>
            </w:pPr>
            <w:r>
              <w:t>Executive Director</w:t>
            </w:r>
          </w:p>
        </w:tc>
      </w:tr>
    </w:tbl>
    <w:p w14:paraId="3CA243CE" w14:textId="77777777" w:rsidR="005B113F" w:rsidRDefault="005B113F">
      <w:pPr>
        <w:pStyle w:val="standard"/>
        <w:spacing w:line="240" w:lineRule="auto"/>
        <w:ind w:firstLine="0"/>
        <w:sectPr w:rsidR="005B113F">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cols w:space="720"/>
          <w:titlePg/>
        </w:sectPr>
      </w:pPr>
    </w:p>
    <w:p w14:paraId="05FA0508" w14:textId="77777777" w:rsidR="00342A64" w:rsidRDefault="00342A64">
      <w:pPr>
        <w:pStyle w:val="standard"/>
        <w:spacing w:line="240" w:lineRule="auto"/>
        <w:ind w:firstLine="0"/>
        <w:sectPr w:rsidR="00342A64">
          <w:type w:val="continuous"/>
          <w:pgSz w:w="12240" w:h="15840" w:code="1"/>
          <w:pgMar w:top="1152" w:right="1440" w:bottom="1440" w:left="1440" w:header="720" w:footer="720" w:gutter="0"/>
          <w:cols w:space="720"/>
          <w:titlePg/>
        </w:sectPr>
      </w:pPr>
    </w:p>
    <w:tbl>
      <w:tblPr>
        <w:tblW w:w="0" w:type="auto"/>
        <w:tblInd w:w="-245" w:type="dxa"/>
        <w:tblLayout w:type="fixed"/>
        <w:tblCellMar>
          <w:left w:w="115" w:type="dxa"/>
          <w:right w:w="115" w:type="dxa"/>
        </w:tblCellMar>
        <w:tblLook w:val="0000" w:firstRow="0" w:lastRow="0" w:firstColumn="0" w:lastColumn="0" w:noHBand="0" w:noVBand="0"/>
      </w:tblPr>
      <w:tblGrid>
        <w:gridCol w:w="144"/>
        <w:gridCol w:w="4896"/>
        <w:gridCol w:w="1440"/>
        <w:gridCol w:w="1440"/>
        <w:gridCol w:w="1440"/>
      </w:tblGrid>
      <w:tr w:rsidR="00405303" w:rsidRPr="00405303" w14:paraId="6CDC52A7" w14:textId="77777777" w:rsidTr="00740F93">
        <w:trPr>
          <w:gridBefore w:val="1"/>
          <w:wBefore w:w="144" w:type="dxa"/>
        </w:trPr>
        <w:tc>
          <w:tcPr>
            <w:tcW w:w="9216" w:type="dxa"/>
            <w:gridSpan w:val="4"/>
            <w:tcBorders>
              <w:top w:val="nil"/>
              <w:left w:val="nil"/>
              <w:bottom w:val="nil"/>
              <w:right w:val="nil"/>
            </w:tcBorders>
          </w:tcPr>
          <w:p w14:paraId="1D58A5C6" w14:textId="77777777" w:rsidR="00405303" w:rsidRPr="00405303" w:rsidRDefault="00405303" w:rsidP="00405303">
            <w:pPr>
              <w:autoSpaceDE w:val="0"/>
              <w:autoSpaceDN w:val="0"/>
              <w:adjustRightInd w:val="0"/>
              <w:rPr>
                <w:rFonts w:ascii="Times New Roman" w:hAnsi="Times New Roman"/>
                <w:sz w:val="6"/>
                <w:szCs w:val="6"/>
              </w:rPr>
            </w:pPr>
            <w:r w:rsidRPr="00405303">
              <w:rPr>
                <w:rFonts w:ascii="Times New Roman" w:hAnsi="Times New Roman"/>
                <w:sz w:val="6"/>
                <w:szCs w:val="6"/>
              </w:rPr>
              <w:lastRenderedPageBreak/>
              <w:br/>
            </w:r>
          </w:p>
        </w:tc>
      </w:tr>
      <w:tr w:rsidR="00405303" w:rsidRPr="00405303" w14:paraId="7B0A9C7A" w14:textId="77777777" w:rsidTr="00740F93">
        <w:tc>
          <w:tcPr>
            <w:tcW w:w="5040" w:type="dxa"/>
            <w:gridSpan w:val="2"/>
            <w:tcBorders>
              <w:top w:val="single" w:sz="6" w:space="0" w:color="auto"/>
              <w:left w:val="single" w:sz="6" w:space="0" w:color="auto"/>
              <w:bottom w:val="single" w:sz="6" w:space="0" w:color="auto"/>
              <w:right w:val="single" w:sz="6" w:space="0" w:color="auto"/>
            </w:tcBorders>
          </w:tcPr>
          <w:p w14:paraId="5B5BB392" w14:textId="77777777" w:rsidR="00405303" w:rsidRPr="00405303" w:rsidRDefault="00405303" w:rsidP="00405303">
            <w:pPr>
              <w:autoSpaceDE w:val="0"/>
              <w:autoSpaceDN w:val="0"/>
              <w:adjustRightInd w:val="0"/>
              <w:rPr>
                <w:rFonts w:ascii="Times New Roman" w:hAnsi="Times New Roman"/>
                <w:sz w:val="20"/>
              </w:rPr>
            </w:pPr>
            <w:r w:rsidRPr="00405303">
              <w:rPr>
                <w:rFonts w:ascii="Times New Roman" w:hAnsi="Times New Roman"/>
                <w:b/>
                <w:bCs/>
                <w:sz w:val="20"/>
              </w:rPr>
              <w:t xml:space="preserve">A13-05-003 </w:t>
            </w:r>
            <w:r w:rsidRPr="00405303">
              <w:rPr>
                <w:rFonts w:ascii="Times New Roman" w:hAnsi="Times New Roman"/>
                <w:sz w:val="20"/>
              </w:rPr>
              <w:br/>
              <w:t>CONTRA COSTA TRANSPORTATION AUTHORITY, Application of the Contra Costa Transportation Authority for an Order Authorizing Construction of Northbound SR160 Connector Overhead (CPUC No. CC-1408, Milepost 56.45, Tracey Subdivision) and Southbound SR160 Connector Overhead (CPUC No. CC-1407, Milepost 56.35, Tracey Subdivision) over a set of Tracks Owned by the Union Pacific Railroad Company in the City of Antioch in the County of Contra Costa.</w:t>
            </w:r>
          </w:p>
        </w:tc>
        <w:tc>
          <w:tcPr>
            <w:tcW w:w="1440" w:type="dxa"/>
            <w:tcBorders>
              <w:top w:val="single" w:sz="6" w:space="0" w:color="auto"/>
              <w:left w:val="single" w:sz="6" w:space="0" w:color="auto"/>
              <w:bottom w:val="single" w:sz="6" w:space="0" w:color="auto"/>
              <w:right w:val="single" w:sz="6" w:space="0" w:color="auto"/>
            </w:tcBorders>
          </w:tcPr>
          <w:p w14:paraId="6804DF3F"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1DF573B7"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Ratesetting</w:t>
            </w:r>
          </w:p>
        </w:tc>
        <w:tc>
          <w:tcPr>
            <w:tcW w:w="1440" w:type="dxa"/>
            <w:tcBorders>
              <w:top w:val="single" w:sz="6" w:space="0" w:color="auto"/>
              <w:left w:val="single" w:sz="6" w:space="0" w:color="auto"/>
              <w:bottom w:val="single" w:sz="6" w:space="0" w:color="auto"/>
              <w:right w:val="single" w:sz="6" w:space="0" w:color="auto"/>
            </w:tcBorders>
          </w:tcPr>
          <w:p w14:paraId="6C6508AC"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NO</w:t>
            </w:r>
          </w:p>
        </w:tc>
      </w:tr>
      <w:tr w:rsidR="00405303" w:rsidRPr="00405303" w14:paraId="6CA921B4" w14:textId="77777777" w:rsidTr="00740F93">
        <w:trPr>
          <w:gridBefore w:val="1"/>
          <w:wBefore w:w="144" w:type="dxa"/>
        </w:trPr>
        <w:tc>
          <w:tcPr>
            <w:tcW w:w="9216" w:type="dxa"/>
            <w:gridSpan w:val="4"/>
            <w:tcBorders>
              <w:top w:val="nil"/>
              <w:left w:val="nil"/>
              <w:bottom w:val="nil"/>
              <w:right w:val="nil"/>
            </w:tcBorders>
          </w:tcPr>
          <w:p w14:paraId="6121E709" w14:textId="77777777" w:rsidR="00405303" w:rsidRPr="00405303" w:rsidRDefault="00405303" w:rsidP="00405303">
            <w:pPr>
              <w:autoSpaceDE w:val="0"/>
              <w:autoSpaceDN w:val="0"/>
              <w:adjustRightInd w:val="0"/>
              <w:rPr>
                <w:rFonts w:ascii="Times New Roman" w:hAnsi="Times New Roman"/>
                <w:sz w:val="6"/>
                <w:szCs w:val="6"/>
              </w:rPr>
            </w:pPr>
            <w:r w:rsidRPr="00405303">
              <w:rPr>
                <w:rFonts w:ascii="Times New Roman" w:hAnsi="Times New Roman"/>
                <w:sz w:val="6"/>
                <w:szCs w:val="6"/>
              </w:rPr>
              <w:br/>
            </w:r>
          </w:p>
        </w:tc>
      </w:tr>
      <w:tr w:rsidR="00405303" w:rsidRPr="00405303" w14:paraId="4E3DF06F" w14:textId="77777777" w:rsidTr="00740F93">
        <w:tc>
          <w:tcPr>
            <w:tcW w:w="5040" w:type="dxa"/>
            <w:gridSpan w:val="2"/>
            <w:tcBorders>
              <w:top w:val="single" w:sz="6" w:space="0" w:color="auto"/>
              <w:left w:val="single" w:sz="6" w:space="0" w:color="auto"/>
              <w:bottom w:val="single" w:sz="6" w:space="0" w:color="auto"/>
              <w:right w:val="single" w:sz="6" w:space="0" w:color="auto"/>
            </w:tcBorders>
          </w:tcPr>
          <w:p w14:paraId="2F7EE3A3" w14:textId="77777777" w:rsidR="00405303" w:rsidRPr="00405303" w:rsidRDefault="00405303" w:rsidP="00405303">
            <w:pPr>
              <w:autoSpaceDE w:val="0"/>
              <w:autoSpaceDN w:val="0"/>
              <w:adjustRightInd w:val="0"/>
              <w:rPr>
                <w:rFonts w:ascii="Times New Roman" w:hAnsi="Times New Roman"/>
                <w:sz w:val="20"/>
              </w:rPr>
            </w:pPr>
            <w:r w:rsidRPr="00405303">
              <w:rPr>
                <w:rFonts w:ascii="Times New Roman" w:hAnsi="Times New Roman"/>
                <w:b/>
                <w:bCs/>
                <w:sz w:val="20"/>
              </w:rPr>
              <w:t xml:space="preserve">A13-05-004 </w:t>
            </w:r>
            <w:r w:rsidRPr="00405303">
              <w:rPr>
                <w:rFonts w:ascii="Times New Roman" w:hAnsi="Times New Roman"/>
                <w:sz w:val="20"/>
              </w:rPr>
              <w:br/>
              <w:t>Southern California Edison Company, In the Matter of the Application of SOUTHERN CALIFORNIA EDISON COMPANY (U 338-E) for Authority to Lease Available Land on the Barre-Villa Park Transmission Right-of-Way to Walt Disney Parks &amp; Resorts, U.S., Inc., a Florida Corporation.</w:t>
            </w:r>
          </w:p>
        </w:tc>
        <w:tc>
          <w:tcPr>
            <w:tcW w:w="1440" w:type="dxa"/>
            <w:tcBorders>
              <w:top w:val="single" w:sz="6" w:space="0" w:color="auto"/>
              <w:left w:val="single" w:sz="6" w:space="0" w:color="auto"/>
              <w:bottom w:val="single" w:sz="6" w:space="0" w:color="auto"/>
              <w:right w:val="single" w:sz="6" w:space="0" w:color="auto"/>
            </w:tcBorders>
          </w:tcPr>
          <w:p w14:paraId="31EFB79C"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5463BBE1"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Ratesetting</w:t>
            </w:r>
          </w:p>
        </w:tc>
        <w:tc>
          <w:tcPr>
            <w:tcW w:w="1440" w:type="dxa"/>
            <w:tcBorders>
              <w:top w:val="single" w:sz="6" w:space="0" w:color="auto"/>
              <w:left w:val="single" w:sz="6" w:space="0" w:color="auto"/>
              <w:bottom w:val="single" w:sz="6" w:space="0" w:color="auto"/>
              <w:right w:val="single" w:sz="6" w:space="0" w:color="auto"/>
            </w:tcBorders>
          </w:tcPr>
          <w:p w14:paraId="112B8946"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YES</w:t>
            </w:r>
          </w:p>
        </w:tc>
      </w:tr>
      <w:tr w:rsidR="00405303" w:rsidRPr="00405303" w14:paraId="110AB604" w14:textId="77777777" w:rsidTr="00740F93">
        <w:trPr>
          <w:gridBefore w:val="1"/>
          <w:wBefore w:w="144" w:type="dxa"/>
        </w:trPr>
        <w:tc>
          <w:tcPr>
            <w:tcW w:w="9216" w:type="dxa"/>
            <w:gridSpan w:val="4"/>
            <w:tcBorders>
              <w:top w:val="nil"/>
              <w:left w:val="nil"/>
              <w:bottom w:val="nil"/>
              <w:right w:val="nil"/>
            </w:tcBorders>
          </w:tcPr>
          <w:p w14:paraId="393DC065" w14:textId="77777777" w:rsidR="00405303" w:rsidRPr="00405303" w:rsidRDefault="00405303" w:rsidP="00405303">
            <w:pPr>
              <w:autoSpaceDE w:val="0"/>
              <w:autoSpaceDN w:val="0"/>
              <w:adjustRightInd w:val="0"/>
              <w:rPr>
                <w:rFonts w:ascii="Times New Roman" w:hAnsi="Times New Roman"/>
                <w:sz w:val="6"/>
                <w:szCs w:val="6"/>
              </w:rPr>
            </w:pPr>
            <w:r w:rsidRPr="00405303">
              <w:rPr>
                <w:rFonts w:ascii="Times New Roman" w:hAnsi="Times New Roman"/>
                <w:sz w:val="6"/>
                <w:szCs w:val="6"/>
              </w:rPr>
              <w:br/>
            </w:r>
          </w:p>
        </w:tc>
      </w:tr>
      <w:tr w:rsidR="00405303" w:rsidRPr="00405303" w14:paraId="187281ED" w14:textId="77777777" w:rsidTr="00740F93">
        <w:tc>
          <w:tcPr>
            <w:tcW w:w="5040" w:type="dxa"/>
            <w:gridSpan w:val="2"/>
            <w:tcBorders>
              <w:top w:val="single" w:sz="6" w:space="0" w:color="auto"/>
              <w:left w:val="single" w:sz="6" w:space="0" w:color="auto"/>
              <w:bottom w:val="single" w:sz="6" w:space="0" w:color="auto"/>
              <w:right w:val="single" w:sz="6" w:space="0" w:color="auto"/>
            </w:tcBorders>
          </w:tcPr>
          <w:p w14:paraId="62F56A54" w14:textId="33A6B565" w:rsidR="00405303" w:rsidRPr="00405303" w:rsidRDefault="00405303" w:rsidP="00405303">
            <w:pPr>
              <w:autoSpaceDE w:val="0"/>
              <w:autoSpaceDN w:val="0"/>
              <w:adjustRightInd w:val="0"/>
              <w:rPr>
                <w:rFonts w:ascii="Times New Roman" w:hAnsi="Times New Roman"/>
                <w:sz w:val="20"/>
              </w:rPr>
            </w:pPr>
            <w:r w:rsidRPr="00405303">
              <w:rPr>
                <w:rFonts w:ascii="Times New Roman" w:hAnsi="Times New Roman"/>
                <w:b/>
                <w:bCs/>
                <w:sz w:val="20"/>
              </w:rPr>
              <w:t xml:space="preserve">A13-05-005 </w:t>
            </w:r>
            <w:r w:rsidRPr="00405303">
              <w:rPr>
                <w:rFonts w:ascii="Times New Roman" w:hAnsi="Times New Roman"/>
                <w:sz w:val="20"/>
              </w:rPr>
              <w:br/>
              <w:t xml:space="preserve">Ducor Telephone Company, Application of Ducor Telephone Company (U1007C) and Mr. Galen D. Norsworthy for approval of the involuntary transfer of control of Ducor Telephone Company (U1007C) to </w:t>
            </w:r>
            <w:r>
              <w:rPr>
                <w:rFonts w:ascii="Times New Roman" w:hAnsi="Times New Roman"/>
                <w:sz w:val="20"/>
              </w:rPr>
              <w:br/>
            </w:r>
            <w:r w:rsidRPr="00405303">
              <w:rPr>
                <w:rFonts w:ascii="Times New Roman" w:hAnsi="Times New Roman"/>
                <w:sz w:val="20"/>
              </w:rPr>
              <w:t>Mr. Galen D. Norsworthy.</w:t>
            </w:r>
          </w:p>
        </w:tc>
        <w:tc>
          <w:tcPr>
            <w:tcW w:w="1440" w:type="dxa"/>
            <w:tcBorders>
              <w:top w:val="single" w:sz="6" w:space="0" w:color="auto"/>
              <w:left w:val="single" w:sz="6" w:space="0" w:color="auto"/>
              <w:bottom w:val="single" w:sz="6" w:space="0" w:color="auto"/>
              <w:right w:val="single" w:sz="6" w:space="0" w:color="auto"/>
            </w:tcBorders>
          </w:tcPr>
          <w:p w14:paraId="7BFCFF2A"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33D5E89E"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Ratesetting</w:t>
            </w:r>
          </w:p>
        </w:tc>
        <w:tc>
          <w:tcPr>
            <w:tcW w:w="1440" w:type="dxa"/>
            <w:tcBorders>
              <w:top w:val="single" w:sz="6" w:space="0" w:color="auto"/>
              <w:left w:val="single" w:sz="6" w:space="0" w:color="auto"/>
              <w:bottom w:val="single" w:sz="6" w:space="0" w:color="auto"/>
              <w:right w:val="single" w:sz="6" w:space="0" w:color="auto"/>
            </w:tcBorders>
          </w:tcPr>
          <w:p w14:paraId="3049C0B4"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NO</w:t>
            </w:r>
          </w:p>
        </w:tc>
      </w:tr>
      <w:tr w:rsidR="00405303" w:rsidRPr="00405303" w14:paraId="1CF82875" w14:textId="77777777" w:rsidTr="00740F93">
        <w:trPr>
          <w:gridBefore w:val="1"/>
          <w:wBefore w:w="144" w:type="dxa"/>
        </w:trPr>
        <w:tc>
          <w:tcPr>
            <w:tcW w:w="9216" w:type="dxa"/>
            <w:gridSpan w:val="4"/>
            <w:tcBorders>
              <w:top w:val="nil"/>
              <w:left w:val="nil"/>
              <w:bottom w:val="nil"/>
              <w:right w:val="nil"/>
            </w:tcBorders>
          </w:tcPr>
          <w:p w14:paraId="7BEF0DFA" w14:textId="77777777" w:rsidR="00405303" w:rsidRPr="00405303" w:rsidRDefault="00405303" w:rsidP="00405303">
            <w:pPr>
              <w:autoSpaceDE w:val="0"/>
              <w:autoSpaceDN w:val="0"/>
              <w:adjustRightInd w:val="0"/>
              <w:rPr>
                <w:rFonts w:ascii="Times New Roman" w:hAnsi="Times New Roman"/>
                <w:sz w:val="6"/>
                <w:szCs w:val="6"/>
              </w:rPr>
            </w:pPr>
            <w:r w:rsidRPr="00405303">
              <w:rPr>
                <w:rFonts w:ascii="Times New Roman" w:hAnsi="Times New Roman"/>
                <w:sz w:val="6"/>
                <w:szCs w:val="6"/>
              </w:rPr>
              <w:br/>
            </w:r>
          </w:p>
        </w:tc>
      </w:tr>
      <w:tr w:rsidR="00405303" w:rsidRPr="00405303" w14:paraId="0C206D03" w14:textId="77777777" w:rsidTr="00740F93">
        <w:tc>
          <w:tcPr>
            <w:tcW w:w="5040" w:type="dxa"/>
            <w:gridSpan w:val="2"/>
            <w:tcBorders>
              <w:top w:val="single" w:sz="6" w:space="0" w:color="auto"/>
              <w:left w:val="single" w:sz="6" w:space="0" w:color="auto"/>
              <w:bottom w:val="single" w:sz="6" w:space="0" w:color="auto"/>
              <w:right w:val="single" w:sz="6" w:space="0" w:color="auto"/>
            </w:tcBorders>
          </w:tcPr>
          <w:p w14:paraId="7734D4E9" w14:textId="77777777" w:rsidR="00405303" w:rsidRPr="00405303" w:rsidRDefault="00405303" w:rsidP="00405303">
            <w:pPr>
              <w:autoSpaceDE w:val="0"/>
              <w:autoSpaceDN w:val="0"/>
              <w:adjustRightInd w:val="0"/>
              <w:rPr>
                <w:rFonts w:ascii="Times New Roman" w:hAnsi="Times New Roman"/>
                <w:sz w:val="20"/>
              </w:rPr>
            </w:pPr>
            <w:r w:rsidRPr="00405303">
              <w:rPr>
                <w:rFonts w:ascii="Times New Roman" w:hAnsi="Times New Roman"/>
                <w:b/>
                <w:bCs/>
                <w:sz w:val="20"/>
              </w:rPr>
              <w:t xml:space="preserve">A13-05-006 </w:t>
            </w:r>
            <w:r w:rsidRPr="00405303">
              <w:rPr>
                <w:rFonts w:ascii="Times New Roman" w:hAnsi="Times New Roman"/>
                <w:sz w:val="20"/>
              </w:rPr>
              <w:br/>
              <w:t>San Gabriel Valley Water Company, In the Matter of the Application of SAN GABRIEL VALLEY WATER COMPANY (U337W) for Authorization to Issue and Sell Bonds, Notes, or Other Evidence of Indebtedness Not to Exceed $80,000,000.</w:t>
            </w:r>
          </w:p>
        </w:tc>
        <w:tc>
          <w:tcPr>
            <w:tcW w:w="1440" w:type="dxa"/>
            <w:tcBorders>
              <w:top w:val="single" w:sz="6" w:space="0" w:color="auto"/>
              <w:left w:val="single" w:sz="6" w:space="0" w:color="auto"/>
              <w:bottom w:val="single" w:sz="6" w:space="0" w:color="auto"/>
              <w:right w:val="single" w:sz="6" w:space="0" w:color="auto"/>
            </w:tcBorders>
          </w:tcPr>
          <w:p w14:paraId="40D8E8A1"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 xml:space="preserve">Ratesetting </w:t>
            </w:r>
          </w:p>
        </w:tc>
        <w:tc>
          <w:tcPr>
            <w:tcW w:w="1440" w:type="dxa"/>
            <w:tcBorders>
              <w:top w:val="single" w:sz="6" w:space="0" w:color="auto"/>
              <w:left w:val="single" w:sz="6" w:space="0" w:color="auto"/>
              <w:bottom w:val="single" w:sz="6" w:space="0" w:color="auto"/>
              <w:right w:val="single" w:sz="6" w:space="0" w:color="auto"/>
            </w:tcBorders>
          </w:tcPr>
          <w:p w14:paraId="5C61373D"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Ratesetting</w:t>
            </w:r>
          </w:p>
        </w:tc>
        <w:tc>
          <w:tcPr>
            <w:tcW w:w="1440" w:type="dxa"/>
            <w:tcBorders>
              <w:top w:val="single" w:sz="6" w:space="0" w:color="auto"/>
              <w:left w:val="single" w:sz="6" w:space="0" w:color="auto"/>
              <w:bottom w:val="single" w:sz="6" w:space="0" w:color="auto"/>
              <w:right w:val="single" w:sz="6" w:space="0" w:color="auto"/>
            </w:tcBorders>
          </w:tcPr>
          <w:p w14:paraId="1890F555" w14:textId="77777777" w:rsidR="00405303" w:rsidRPr="00405303" w:rsidRDefault="00405303" w:rsidP="00405303">
            <w:pPr>
              <w:autoSpaceDE w:val="0"/>
              <w:autoSpaceDN w:val="0"/>
              <w:adjustRightInd w:val="0"/>
              <w:jc w:val="center"/>
              <w:rPr>
                <w:rFonts w:ascii="Times New Roman" w:hAnsi="Times New Roman"/>
                <w:sz w:val="20"/>
              </w:rPr>
            </w:pPr>
            <w:r w:rsidRPr="00405303">
              <w:rPr>
                <w:rFonts w:ascii="Times New Roman" w:hAnsi="Times New Roman"/>
                <w:sz w:val="20"/>
              </w:rPr>
              <w:t>NO</w:t>
            </w:r>
          </w:p>
        </w:tc>
      </w:tr>
    </w:tbl>
    <w:p w14:paraId="5302C93B" w14:textId="77777777" w:rsidR="00405303" w:rsidRPr="00405303" w:rsidRDefault="00405303" w:rsidP="00BC15FA">
      <w:pPr>
        <w:autoSpaceDE w:val="0"/>
        <w:autoSpaceDN w:val="0"/>
        <w:adjustRightInd w:val="0"/>
        <w:rPr>
          <w:rFonts w:ascii="Times New Roman" w:hAnsi="Times New Roman"/>
          <w:sz w:val="20"/>
        </w:rPr>
      </w:pPr>
    </w:p>
    <w:sectPr w:rsidR="00405303" w:rsidRPr="0040530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63905" w14:textId="77777777" w:rsidR="005B113F" w:rsidRDefault="00F04B30">
      <w:r>
        <w:separator/>
      </w:r>
    </w:p>
  </w:endnote>
  <w:endnote w:type="continuationSeparator" w:id="0">
    <w:p w14:paraId="0E3189A4" w14:textId="77777777" w:rsidR="005B113F" w:rsidRDefault="00F0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BD491" w14:textId="77777777" w:rsidR="003F2B02" w:rsidRDefault="003F2B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E6894" w14:textId="77777777" w:rsidR="005B113F" w:rsidRDefault="00F04B30">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93418F">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77705" w14:textId="66E872BD" w:rsidR="005B113F" w:rsidRDefault="00573630" w:rsidP="00342A64">
    <w:pPr>
      <w:pStyle w:val="Footer"/>
      <w:tabs>
        <w:tab w:val="left" w:pos="2535"/>
      </w:tabs>
    </w:pPr>
    <w:r w:rsidRPr="00573630">
      <w:rPr>
        <w:sz w:val="16"/>
      </w:rPr>
      <w:t xml:space="preserve">65395700 </w:t>
    </w:r>
    <w:r w:rsidR="00F04B30">
      <w:tab/>
    </w:r>
    <w:r w:rsidR="00342A64">
      <w:tab/>
    </w:r>
    <w:r w:rsidR="00F04B30">
      <w:t xml:space="preserve">- </w:t>
    </w:r>
    <w:r w:rsidR="00F04B30">
      <w:rPr>
        <w:rStyle w:val="PageNumber"/>
      </w:rPr>
      <w:fldChar w:fldCharType="begin"/>
    </w:r>
    <w:r w:rsidR="00F04B30">
      <w:rPr>
        <w:rStyle w:val="PageNumber"/>
      </w:rPr>
      <w:instrText xml:space="preserve"> PAGE </w:instrText>
    </w:r>
    <w:r w:rsidR="00F04B30">
      <w:rPr>
        <w:rStyle w:val="PageNumber"/>
      </w:rPr>
      <w:fldChar w:fldCharType="separate"/>
    </w:r>
    <w:r w:rsidR="0093418F">
      <w:rPr>
        <w:rStyle w:val="PageNumber"/>
        <w:noProof/>
      </w:rPr>
      <w:t>1</w:t>
    </w:r>
    <w:r w:rsidR="00F04B30">
      <w:rPr>
        <w:rStyle w:val="PageNumber"/>
      </w:rPr>
      <w:fldChar w:fldCharType="end"/>
    </w:r>
    <w:r w:rsidR="00F04B30">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06322" w14:textId="77777777" w:rsidR="00810182" w:rsidRDefault="0093418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1" w:type="dxa"/>
      <w:tblLayout w:type="fixed"/>
      <w:tblCellMar>
        <w:left w:w="115" w:type="dxa"/>
        <w:right w:w="115" w:type="dxa"/>
      </w:tblCellMar>
      <w:tblLook w:val="0000" w:firstRow="0" w:lastRow="0" w:firstColumn="0" w:lastColumn="0" w:noHBand="0" w:noVBand="0"/>
    </w:tblPr>
    <w:tblGrid>
      <w:gridCol w:w="9216"/>
    </w:tblGrid>
    <w:tr w:rsidR="008E1772" w14:paraId="03F68A7A" w14:textId="77777777">
      <w:tc>
        <w:tcPr>
          <w:tcW w:w="9216" w:type="dxa"/>
          <w:tcBorders>
            <w:top w:val="nil"/>
            <w:left w:val="nil"/>
            <w:bottom w:val="nil"/>
            <w:right w:val="nil"/>
          </w:tcBorders>
        </w:tcPr>
        <w:p w14:paraId="6572E636" w14:textId="77777777" w:rsidR="008E1772" w:rsidRDefault="00BC15FA">
          <w:pPr>
            <w:jc w:val="center"/>
            <w:rPr>
              <w:szCs w:val="24"/>
            </w:rPr>
          </w:pPr>
          <w:r>
            <w:rPr>
              <w:szCs w:val="24"/>
            </w:rPr>
            <w:t xml:space="preserve">- </w:t>
          </w:r>
          <w:r>
            <w:rPr>
              <w:szCs w:val="24"/>
            </w:rPr>
            <w:pgNum/>
          </w:r>
          <w:r>
            <w:rPr>
              <w:szCs w:val="24"/>
            </w:rPr>
            <w:t xml:space="preserve"> -</w:t>
          </w: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1B75" w14:textId="77777777" w:rsidR="00810182" w:rsidRDefault="00934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005F4" w14:textId="77777777" w:rsidR="005B113F" w:rsidRDefault="00F04B30">
      <w:r>
        <w:separator/>
      </w:r>
    </w:p>
  </w:footnote>
  <w:footnote w:type="continuationSeparator" w:id="0">
    <w:p w14:paraId="793A31F0" w14:textId="77777777" w:rsidR="005B113F" w:rsidRDefault="00F04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7E11C" w14:textId="77777777" w:rsidR="003F2B02" w:rsidRDefault="003F2B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C5866" w14:textId="141B3B17" w:rsidR="005B113F" w:rsidRDefault="00F04B30">
    <w:pPr>
      <w:pStyle w:val="Header"/>
      <w:rPr>
        <w:rFonts w:ascii="Helvetica" w:hAnsi="Helvetica"/>
        <w:b/>
      </w:rPr>
    </w:pPr>
    <w:r>
      <w:t>ALJ/</w:t>
    </w:r>
    <w:r w:rsidR="00342A64">
      <w:t>jv1</w:t>
    </w:r>
    <w:r>
      <w:tab/>
    </w:r>
    <w:r>
      <w:tab/>
    </w:r>
    <w:r>
      <w:rPr>
        <w:rFonts w:ascii="Helvetica" w:hAnsi="Helvetica"/>
        <w:b/>
      </w:rPr>
      <w:t>DRAFT</w:t>
    </w:r>
  </w:p>
  <w:p w14:paraId="2A8843BB" w14:textId="77777777" w:rsidR="005B113F" w:rsidRDefault="005B113F">
    <w:pPr>
      <w:pStyle w:val="Header"/>
    </w:pPr>
  </w:p>
  <w:p w14:paraId="489B2E61" w14:textId="77777777" w:rsidR="005B113F" w:rsidRDefault="005B1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7CD8A" w14:textId="77777777" w:rsidR="003F2B02" w:rsidRDefault="003F2B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EBEAB" w14:textId="77777777" w:rsidR="00810182" w:rsidRDefault="0093418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BAB96" w14:textId="77777777" w:rsidR="00450A01" w:rsidRDefault="0093418F"/>
  <w:p w14:paraId="2A5291AE" w14:textId="77777777" w:rsidR="00450A01" w:rsidRDefault="00BC15FA">
    <w:pPr>
      <w:rPr>
        <w:b/>
        <w:szCs w:val="24"/>
      </w:rPr>
    </w:pPr>
    <w:r>
      <w:rPr>
        <w:szCs w:val="24"/>
      </w:rPr>
      <w:t>ALJ/jv1</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b/>
        <w:szCs w:val="24"/>
      </w:rPr>
      <w:t>D R A F T</w:t>
    </w:r>
  </w:p>
  <w:p w14:paraId="3CAB812D" w14:textId="77777777" w:rsidR="00450A01" w:rsidRDefault="0093418F">
    <w:pPr>
      <w:rPr>
        <w:b/>
        <w:szCs w:val="24"/>
      </w:rPr>
    </w:pPr>
  </w:p>
  <w:p w14:paraId="1A876155" w14:textId="77777777" w:rsidR="00450A01" w:rsidRPr="00450A01" w:rsidRDefault="0093418F">
    <w:pPr>
      <w:rPr>
        <w:b/>
        <w:szCs w:val="24"/>
      </w:rPr>
    </w:pPr>
  </w:p>
  <w:tbl>
    <w:tblPr>
      <w:tblW w:w="0" w:type="auto"/>
      <w:tblInd w:w="-245" w:type="dxa"/>
      <w:tblLayout w:type="fixed"/>
      <w:tblCellMar>
        <w:left w:w="115" w:type="dxa"/>
        <w:right w:w="115" w:type="dxa"/>
      </w:tblCellMar>
      <w:tblLook w:val="0000" w:firstRow="0" w:lastRow="0" w:firstColumn="0" w:lastColumn="0" w:noHBand="0" w:noVBand="0"/>
    </w:tblPr>
    <w:tblGrid>
      <w:gridCol w:w="5040"/>
      <w:gridCol w:w="1440"/>
      <w:gridCol w:w="1440"/>
      <w:gridCol w:w="1440"/>
    </w:tblGrid>
    <w:tr w:rsidR="008E1772" w14:paraId="63A06289" w14:textId="77777777">
      <w:tc>
        <w:tcPr>
          <w:tcW w:w="9360" w:type="dxa"/>
          <w:gridSpan w:val="4"/>
          <w:tcBorders>
            <w:top w:val="nil"/>
            <w:left w:val="nil"/>
            <w:bottom w:val="nil"/>
            <w:right w:val="nil"/>
          </w:tcBorders>
        </w:tcPr>
        <w:p w14:paraId="56ADC661" w14:textId="77777777" w:rsidR="008E1772" w:rsidRPr="00405303" w:rsidRDefault="00BC15FA">
          <w:pPr>
            <w:jc w:val="center"/>
            <w:rPr>
              <w:rFonts w:ascii="Times New Roman" w:hAnsi="Times New Roman"/>
              <w:sz w:val="26"/>
              <w:szCs w:val="26"/>
            </w:rPr>
          </w:pPr>
          <w:r w:rsidRPr="00405303">
            <w:rPr>
              <w:rFonts w:ascii="Times New Roman" w:hAnsi="Times New Roman"/>
              <w:b/>
              <w:bCs/>
              <w:sz w:val="30"/>
              <w:szCs w:val="30"/>
            </w:rPr>
            <w:t>PRELIMINARY DETERMINATION</w:t>
          </w:r>
          <w:r w:rsidRPr="00405303">
            <w:rPr>
              <w:rFonts w:ascii="Times New Roman" w:hAnsi="Times New Roman"/>
              <w:b/>
              <w:bCs/>
              <w:sz w:val="30"/>
              <w:szCs w:val="30"/>
            </w:rPr>
            <w:br/>
            <w:t xml:space="preserve">SCHEDULE </w:t>
          </w:r>
          <w:r w:rsidRPr="00405303">
            <w:rPr>
              <w:rFonts w:ascii="Times New Roman" w:hAnsi="Times New Roman"/>
              <w:sz w:val="26"/>
              <w:szCs w:val="26"/>
            </w:rPr>
            <w:br/>
          </w:r>
          <w:r w:rsidRPr="00405303">
            <w:rPr>
              <w:rFonts w:ascii="Times New Roman" w:hAnsi="Times New Roman"/>
              <w:sz w:val="26"/>
              <w:szCs w:val="26"/>
            </w:rPr>
            <w:br/>
            <w:t>Resolution ALJ 176-3315 (5-23-2013)</w:t>
          </w:r>
          <w:r w:rsidRPr="00405303">
            <w:rPr>
              <w:rFonts w:ascii="Times New Roman" w:hAnsi="Times New Roman"/>
              <w:sz w:val="26"/>
              <w:szCs w:val="26"/>
            </w:rPr>
            <w:br/>
          </w:r>
        </w:p>
      </w:tc>
    </w:tr>
    <w:tr w:rsidR="008E1772" w14:paraId="68FC99B8" w14:textId="77777777">
      <w:tc>
        <w:tcPr>
          <w:tcW w:w="5040" w:type="dxa"/>
          <w:tcBorders>
            <w:top w:val="single" w:sz="6" w:space="0" w:color="auto"/>
            <w:left w:val="single" w:sz="6" w:space="0" w:color="auto"/>
            <w:bottom w:val="single" w:sz="6" w:space="0" w:color="auto"/>
            <w:right w:val="single" w:sz="6" w:space="0" w:color="auto"/>
          </w:tcBorders>
          <w:shd w:val="pct10" w:color="auto" w:fill="auto"/>
        </w:tcPr>
        <w:p w14:paraId="1AF0FFCF" w14:textId="77777777" w:rsidR="008E1772" w:rsidRPr="00405303" w:rsidRDefault="00BC15FA">
          <w:pPr>
            <w:rPr>
              <w:rFonts w:ascii="Times New Roman" w:hAnsi="Times New Roman"/>
              <w:sz w:val="20"/>
            </w:rPr>
          </w:pPr>
          <w:r w:rsidRPr="00405303">
            <w:rPr>
              <w:rFonts w:ascii="Times New Roman" w:hAnsi="Times New Roman"/>
              <w:b/>
              <w:bCs/>
              <w:sz w:val="20"/>
            </w:rPr>
            <w:t xml:space="preserve">NUMBER </w:t>
          </w:r>
          <w:r w:rsidRPr="00405303">
            <w:rPr>
              <w:rFonts w:ascii="Times New Roman" w:hAnsi="Times New Roman"/>
              <w:sz w:val="20"/>
            </w:rPr>
            <w:br/>
          </w:r>
          <w:r w:rsidRPr="00405303">
            <w:rPr>
              <w:rFonts w:ascii="Times New Roman" w:hAnsi="Times New Roman"/>
              <w:b/>
              <w:bCs/>
              <w:sz w:val="20"/>
            </w:rPr>
            <w:t xml:space="preserve">TITLE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2A925A1A" w14:textId="77777777" w:rsidR="008E1772" w:rsidRPr="00405303" w:rsidRDefault="00BC15FA">
          <w:pPr>
            <w:jc w:val="center"/>
            <w:rPr>
              <w:rFonts w:ascii="Times New Roman" w:hAnsi="Times New Roman"/>
              <w:sz w:val="20"/>
            </w:rPr>
          </w:pPr>
          <w:r w:rsidRPr="00405303">
            <w:rPr>
              <w:rFonts w:ascii="Times New Roman" w:hAnsi="Times New Roman"/>
              <w:b/>
              <w:bCs/>
              <w:sz w:val="20"/>
            </w:rPr>
            <w:t xml:space="preserve">PROPOSED CATEGORY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4B97703C" w14:textId="77777777" w:rsidR="008E1772" w:rsidRPr="00405303" w:rsidRDefault="00BC15FA">
          <w:pPr>
            <w:jc w:val="center"/>
            <w:rPr>
              <w:rFonts w:ascii="Times New Roman" w:hAnsi="Times New Roman"/>
              <w:sz w:val="20"/>
            </w:rPr>
          </w:pPr>
          <w:r w:rsidRPr="00405303">
            <w:rPr>
              <w:rFonts w:ascii="Times New Roman" w:hAnsi="Times New Roman"/>
              <w:b/>
              <w:bCs/>
              <w:sz w:val="20"/>
            </w:rPr>
            <w:t xml:space="preserve">PRELIM. CATEGORY </w:t>
          </w:r>
        </w:p>
      </w:tc>
      <w:tc>
        <w:tcPr>
          <w:tcW w:w="1440" w:type="dxa"/>
          <w:tcBorders>
            <w:top w:val="single" w:sz="6" w:space="0" w:color="auto"/>
            <w:left w:val="single" w:sz="6" w:space="0" w:color="auto"/>
            <w:bottom w:val="single" w:sz="6" w:space="0" w:color="auto"/>
            <w:right w:val="single" w:sz="6" w:space="0" w:color="auto"/>
          </w:tcBorders>
          <w:shd w:val="pct10" w:color="auto" w:fill="auto"/>
        </w:tcPr>
        <w:p w14:paraId="0BB99101" w14:textId="77777777" w:rsidR="008E1772" w:rsidRPr="00405303" w:rsidRDefault="00BC15FA">
          <w:pPr>
            <w:jc w:val="center"/>
            <w:rPr>
              <w:rFonts w:ascii="Times New Roman" w:hAnsi="Times New Roman"/>
              <w:sz w:val="20"/>
            </w:rPr>
          </w:pPr>
          <w:r w:rsidRPr="00405303">
            <w:rPr>
              <w:rFonts w:ascii="Times New Roman" w:hAnsi="Times New Roman"/>
              <w:sz w:val="20"/>
            </w:rPr>
            <w:br/>
          </w:r>
          <w:r w:rsidRPr="00405303">
            <w:rPr>
              <w:rFonts w:ascii="Times New Roman" w:hAnsi="Times New Roman"/>
              <w:b/>
              <w:bCs/>
              <w:sz w:val="20"/>
            </w:rPr>
            <w:t xml:space="preserve">HEARING </w:t>
          </w: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1CEAB" w14:textId="77777777" w:rsidR="00810182" w:rsidRDefault="009341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54DDE"/>
    <w:multiLevelType w:val="hybridMultilevel"/>
    <w:tmpl w:val="1EC83876"/>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C8E4F88"/>
    <w:multiLevelType w:val="hybridMultilevel"/>
    <w:tmpl w:val="92065E66"/>
    <w:lvl w:ilvl="0" w:tplc="E6AA93F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F1B"/>
    <w:rsid w:val="00342A64"/>
    <w:rsid w:val="003F2B02"/>
    <w:rsid w:val="00405303"/>
    <w:rsid w:val="004F6AFD"/>
    <w:rsid w:val="00573630"/>
    <w:rsid w:val="005B113F"/>
    <w:rsid w:val="00616176"/>
    <w:rsid w:val="007500F7"/>
    <w:rsid w:val="008B7F1B"/>
    <w:rsid w:val="0093418F"/>
    <w:rsid w:val="00BC15FA"/>
    <w:rsid w:val="00F0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62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tandard">
    <w:name w:val="standard"/>
    <w:basedOn w:val="Normal"/>
    <w:pPr>
      <w:spacing w:line="360" w:lineRule="auto"/>
      <w:ind w:firstLine="720"/>
    </w:pPr>
  </w:style>
  <w:style w:type="paragraph" w:styleId="Title">
    <w:name w:val="Title"/>
    <w:basedOn w:val="Normal"/>
    <w:qFormat/>
    <w:pPr>
      <w:jc w:val="center"/>
    </w:pPr>
    <w:rPr>
      <w:rFonts w:ascii="Helvetica" w:hAnsi="Helvetica"/>
      <w:b/>
    </w:rPr>
  </w:style>
  <w:style w:type="paragraph" w:styleId="BlockText">
    <w:name w:val="Block Text"/>
    <w:basedOn w:val="Normal"/>
    <w:pPr>
      <w:ind w:left="720" w:right="720"/>
    </w:pPr>
  </w:style>
  <w:style w:type="paragraph" w:customStyle="1" w:styleId="num1">
    <w:name w:val="num1"/>
    <w:basedOn w:val="Normal"/>
    <w:pPr>
      <w:tabs>
        <w:tab w:val="left" w:pos="-720"/>
      </w:tabs>
      <w:suppressAutoHyphens/>
      <w:spacing w:line="360" w:lineRule="auto"/>
      <w:ind w:firstLine="36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3157">
      <w:bodyDiv w:val="1"/>
      <w:marLeft w:val="0"/>
      <w:marRight w:val="0"/>
      <w:marTop w:val="0"/>
      <w:marBottom w:val="0"/>
      <w:divBdr>
        <w:top w:val="none" w:sz="0" w:space="0" w:color="auto"/>
        <w:left w:val="none" w:sz="0" w:space="0" w:color="auto"/>
        <w:bottom w:val="none" w:sz="0" w:space="0" w:color="auto"/>
        <w:right w:val="none" w:sz="0" w:space="0" w:color="auto"/>
      </w:divBdr>
      <w:divsChild>
        <w:div w:id="121958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2680</Characters>
  <Application>Microsoft Office Word</Application>
  <DocSecurity>0</DocSecurity>
  <Lines>104</Lines>
  <Paragraphs>33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3141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2007-03-27T17:20:00Z</cp:lastPrinted>
  <dcterms:created xsi:type="dcterms:W3CDTF">2013-05-22T22:21:00Z</dcterms:created>
  <dcterms:modified xsi:type="dcterms:W3CDTF">2013-05-22T22:21:00Z</dcterms:modified>
  <cp:category> </cp:category>
  <cp:contentStatus> </cp:contentStatus>
</cp:coreProperties>
</file>