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933D7" w14:textId="5A4DEB95" w:rsidR="00B30FF9" w:rsidRDefault="00803BCD" w:rsidP="00367ECB">
      <w:pPr>
        <w:tabs>
          <w:tab w:val="center" w:pos="4320"/>
          <w:tab w:val="right" w:pos="9360"/>
        </w:tabs>
      </w:pPr>
      <w:bookmarkStart w:id="0" w:name="_GoBack"/>
      <w:bookmarkEnd w:id="0"/>
      <w:r>
        <w:t>ALJ/</w:t>
      </w:r>
      <w:r w:rsidR="0027376F">
        <w:t>LRR</w:t>
      </w:r>
      <w:r w:rsidR="00B30FF9">
        <w:t>/</w:t>
      </w:r>
      <w:r w:rsidR="00824995">
        <w:t>cla</w:t>
      </w:r>
      <w:r w:rsidR="004D5CED">
        <w:t>/sbf</w:t>
      </w:r>
      <w:r w:rsidR="003A67CB">
        <w:tab/>
      </w:r>
      <w:r w:rsidR="000327AA">
        <w:rPr>
          <w:rFonts w:ascii="Helvetica" w:hAnsi="Helvetica"/>
          <w:b/>
          <w:sz w:val="32"/>
          <w:szCs w:val="32"/>
        </w:rPr>
        <w:t>PROPOSED DECISION</w:t>
      </w:r>
      <w:r>
        <w:tab/>
      </w:r>
      <w:r w:rsidR="00B30FF9">
        <w:t>Agenda ID #</w:t>
      </w:r>
      <w:r w:rsidR="003911E3">
        <w:t>12120</w:t>
      </w:r>
      <w:r w:rsidR="00367ECB">
        <w:t xml:space="preserve"> (Rev. 1)</w:t>
      </w:r>
    </w:p>
    <w:p w14:paraId="16F68278" w14:textId="77777777" w:rsidR="00B30FF9" w:rsidRDefault="00803BCD" w:rsidP="003A67CB">
      <w:pPr>
        <w:tabs>
          <w:tab w:val="center" w:pos="4680"/>
          <w:tab w:val="right" w:pos="9360"/>
        </w:tabs>
      </w:pPr>
      <w:r>
        <w:tab/>
      </w:r>
      <w:r>
        <w:tab/>
        <w:t>Ratesetting</w:t>
      </w:r>
    </w:p>
    <w:p w14:paraId="09F7F463" w14:textId="72457869" w:rsidR="00B30FF9" w:rsidRDefault="00367ECB" w:rsidP="00367ECB">
      <w:pPr>
        <w:tabs>
          <w:tab w:val="right" w:pos="9360"/>
        </w:tabs>
      </w:pPr>
      <w:r>
        <w:tab/>
        <w:t>5/23/2013  Item 22</w:t>
      </w:r>
    </w:p>
    <w:p w14:paraId="086735B0" w14:textId="77777777" w:rsidR="00B30FF9" w:rsidRPr="00CB7195" w:rsidRDefault="00B30FF9">
      <w:pPr>
        <w:suppressAutoHyphens/>
        <w:rPr>
          <w:sz w:val="20"/>
        </w:rPr>
      </w:pPr>
      <w:r>
        <w:t xml:space="preserve">Decision </w:t>
      </w:r>
      <w:r w:rsidR="00CB7195">
        <w:rPr>
          <w:b/>
          <w:u w:val="single"/>
        </w:rPr>
        <w:t xml:space="preserve">PROPOSED DECISION OF ALJ </w:t>
      </w:r>
      <w:r w:rsidR="00963DCB">
        <w:rPr>
          <w:b/>
          <w:u w:val="single"/>
        </w:rPr>
        <w:t>ROCHESTER</w:t>
      </w:r>
      <w:r w:rsidR="00CB7195">
        <w:t xml:space="preserve">  </w:t>
      </w:r>
      <w:r w:rsidR="00011308">
        <w:br/>
      </w:r>
      <w:r w:rsidR="00CB7195">
        <w:t xml:space="preserve">(Mailed </w:t>
      </w:r>
      <w:r w:rsidR="004540FF">
        <w:t>05/09</w:t>
      </w:r>
      <w:r w:rsidR="00CB7195">
        <w:t>/</w:t>
      </w:r>
      <w:r w:rsidR="004540FF">
        <w:t>2013</w:t>
      </w:r>
      <w:r w:rsidR="00CB7195">
        <w:t>)</w:t>
      </w:r>
    </w:p>
    <w:p w14:paraId="7A834B7E" w14:textId="77777777" w:rsidR="00B30FF9" w:rsidRDefault="00B30FF9"/>
    <w:p w14:paraId="19F42792" w14:textId="77777777" w:rsidR="00B30FF9" w:rsidRDefault="00B30FF9">
      <w:pPr>
        <w:rPr>
          <w:rFonts w:ascii="Helvetica" w:hAnsi="Helvetica"/>
          <w:b/>
          <w:bCs/>
          <w:sz w:val="24"/>
        </w:rPr>
      </w:pPr>
      <w:r>
        <w:rPr>
          <w:rFonts w:ascii="Helvetica" w:hAnsi="Helvetica"/>
          <w:b/>
          <w:bCs/>
          <w:sz w:val="24"/>
        </w:rPr>
        <w:t xml:space="preserve">BEFORE THE PUBLIC UTILITIES COMMISSION OF THE STATE OF </w:t>
      </w:r>
      <w:smartTag w:uri="urn:schemas-microsoft-com:office:smarttags" w:element="place">
        <w:smartTag w:uri="urn:schemas-microsoft-com:office:smarttags" w:element="State">
          <w:r>
            <w:rPr>
              <w:rFonts w:ascii="Helvetica" w:hAnsi="Helvetica"/>
              <w:b/>
              <w:bCs/>
              <w:sz w:val="24"/>
            </w:rPr>
            <w:t>CALIFORNIA</w:t>
          </w:r>
        </w:smartTag>
      </w:smartTag>
    </w:p>
    <w:p w14:paraId="469EDD30" w14:textId="77777777" w:rsidR="00B30FF9" w:rsidRDefault="00B30FF9">
      <w:pPr>
        <w:suppressAutoHyphens/>
      </w:pPr>
    </w:p>
    <w:tbl>
      <w:tblPr>
        <w:tblW w:w="0" w:type="auto"/>
        <w:tblLayout w:type="fixed"/>
        <w:tblLook w:val="0000" w:firstRow="0" w:lastRow="0" w:firstColumn="0" w:lastColumn="0" w:noHBand="0" w:noVBand="0"/>
      </w:tblPr>
      <w:tblGrid>
        <w:gridCol w:w="5148"/>
        <w:gridCol w:w="4320"/>
      </w:tblGrid>
      <w:tr w:rsidR="00B30FF9" w14:paraId="244F1CC9" w14:textId="77777777">
        <w:tc>
          <w:tcPr>
            <w:tcW w:w="5148" w:type="dxa"/>
            <w:tcBorders>
              <w:bottom w:val="single" w:sz="6" w:space="0" w:color="auto"/>
              <w:right w:val="single" w:sz="6" w:space="0" w:color="auto"/>
            </w:tcBorders>
          </w:tcPr>
          <w:p w14:paraId="57984969" w14:textId="77777777" w:rsidR="00803BCD" w:rsidRDefault="00D16298" w:rsidP="00A67394">
            <w:r w:rsidRPr="00D16298">
              <w:t>Joint Application of Park Water Company (U314W) and Apple Valley Ranchos Water Company (U346W) for Authority to Establish an Authorized Cost of Capital for 2013 -2015.</w:t>
            </w:r>
          </w:p>
          <w:p w14:paraId="08452C39" w14:textId="77777777" w:rsidR="00A67394" w:rsidRPr="00803BCD" w:rsidRDefault="00A67394" w:rsidP="00A67394"/>
        </w:tc>
        <w:tc>
          <w:tcPr>
            <w:tcW w:w="4320" w:type="dxa"/>
            <w:tcBorders>
              <w:left w:val="nil"/>
            </w:tcBorders>
          </w:tcPr>
          <w:p w14:paraId="60BE2979" w14:textId="77777777" w:rsidR="00803BCD" w:rsidRDefault="00803BCD">
            <w:pPr>
              <w:jc w:val="center"/>
            </w:pPr>
          </w:p>
          <w:p w14:paraId="7A49EB95" w14:textId="77777777" w:rsidR="00B30FF9" w:rsidRDefault="00803BCD">
            <w:pPr>
              <w:jc w:val="center"/>
            </w:pPr>
            <w:r>
              <w:t>Application 1</w:t>
            </w:r>
            <w:r w:rsidR="00A67394">
              <w:t>2</w:t>
            </w:r>
            <w:r>
              <w:t>-05-001</w:t>
            </w:r>
          </w:p>
          <w:p w14:paraId="00DFB12A" w14:textId="77777777" w:rsidR="00B30FF9" w:rsidRDefault="00803BCD">
            <w:pPr>
              <w:jc w:val="center"/>
            </w:pPr>
            <w:r>
              <w:t xml:space="preserve">(Filed May </w:t>
            </w:r>
            <w:r w:rsidR="00A67394">
              <w:t>1</w:t>
            </w:r>
            <w:r>
              <w:t>, 201</w:t>
            </w:r>
            <w:r w:rsidR="00A67394">
              <w:t>2</w:t>
            </w:r>
            <w:r>
              <w:t>)</w:t>
            </w:r>
          </w:p>
          <w:p w14:paraId="209C394E" w14:textId="77777777" w:rsidR="00B30FF9" w:rsidRDefault="00B30FF9">
            <w:pPr>
              <w:jc w:val="center"/>
            </w:pPr>
          </w:p>
        </w:tc>
      </w:tr>
      <w:tr w:rsidR="00803BCD" w14:paraId="67EE7D16" w14:textId="77777777" w:rsidTr="00803BCD">
        <w:tc>
          <w:tcPr>
            <w:tcW w:w="5148" w:type="dxa"/>
            <w:tcBorders>
              <w:bottom w:val="single" w:sz="6" w:space="0" w:color="auto"/>
              <w:right w:val="single" w:sz="6" w:space="0" w:color="auto"/>
            </w:tcBorders>
          </w:tcPr>
          <w:p w14:paraId="0A1019E3" w14:textId="77777777" w:rsidR="00803BCD" w:rsidRDefault="00803BCD" w:rsidP="00803BCD"/>
          <w:p w14:paraId="26BDC08B" w14:textId="77777777" w:rsidR="00803BCD" w:rsidRDefault="00803BCD" w:rsidP="00803BCD"/>
          <w:p w14:paraId="589050A0" w14:textId="77777777" w:rsidR="00803BCD" w:rsidRPr="00803BCD" w:rsidRDefault="00803BCD" w:rsidP="00803BCD">
            <w:r>
              <w:t>And Related Matters.</w:t>
            </w:r>
          </w:p>
        </w:tc>
        <w:tc>
          <w:tcPr>
            <w:tcW w:w="4320" w:type="dxa"/>
            <w:tcBorders>
              <w:left w:val="nil"/>
            </w:tcBorders>
          </w:tcPr>
          <w:p w14:paraId="3371EE31" w14:textId="77777777" w:rsidR="00803BCD" w:rsidRDefault="00803BCD" w:rsidP="00803BCD">
            <w:pPr>
              <w:jc w:val="center"/>
            </w:pPr>
          </w:p>
          <w:p w14:paraId="34CBAACA" w14:textId="77777777" w:rsidR="00803BCD" w:rsidRDefault="00803BCD" w:rsidP="00803BCD">
            <w:pPr>
              <w:jc w:val="center"/>
            </w:pPr>
            <w:r>
              <w:t>Application 1</w:t>
            </w:r>
            <w:r w:rsidR="00A67394">
              <w:t>2</w:t>
            </w:r>
            <w:r>
              <w:t>-05-002</w:t>
            </w:r>
          </w:p>
          <w:p w14:paraId="0463CAD2" w14:textId="77777777" w:rsidR="00803BCD" w:rsidRDefault="00803BCD" w:rsidP="00803BCD">
            <w:pPr>
              <w:jc w:val="center"/>
            </w:pPr>
            <w:r>
              <w:t>Application 1</w:t>
            </w:r>
            <w:r w:rsidR="00A67394">
              <w:t>2</w:t>
            </w:r>
            <w:r>
              <w:t>-05-00</w:t>
            </w:r>
            <w:r w:rsidR="00A67394">
              <w:t>4</w:t>
            </w:r>
          </w:p>
          <w:p w14:paraId="0368A00D" w14:textId="77777777" w:rsidR="00803BCD" w:rsidRDefault="00803BCD" w:rsidP="00803BCD">
            <w:pPr>
              <w:jc w:val="center"/>
            </w:pPr>
            <w:r>
              <w:t>Application 1</w:t>
            </w:r>
            <w:r w:rsidR="00A67394">
              <w:t>2</w:t>
            </w:r>
            <w:r>
              <w:t>-05-00</w:t>
            </w:r>
            <w:r w:rsidR="00A67394">
              <w:t>5</w:t>
            </w:r>
          </w:p>
          <w:p w14:paraId="5FD0CA51" w14:textId="77777777" w:rsidR="00803BCD" w:rsidRDefault="00803BCD" w:rsidP="00803BCD">
            <w:pPr>
              <w:jc w:val="center"/>
            </w:pPr>
          </w:p>
        </w:tc>
      </w:tr>
    </w:tbl>
    <w:p w14:paraId="434191E7" w14:textId="77777777" w:rsidR="00B30FF9" w:rsidRDefault="00B30FF9">
      <w:pPr>
        <w:suppressAutoHyphens/>
      </w:pPr>
    </w:p>
    <w:p w14:paraId="45872DC0" w14:textId="77777777" w:rsidR="00B30FF9" w:rsidRDefault="00B30FF9">
      <w:pPr>
        <w:suppressAutoHyphens/>
      </w:pPr>
    </w:p>
    <w:p w14:paraId="6DF2E8A0" w14:textId="77777777" w:rsidR="00AF12B7" w:rsidRDefault="00D85665" w:rsidP="00D85665">
      <w:pPr>
        <w:pStyle w:val="main"/>
        <w:sectPr w:rsidR="00AF12B7" w:rsidSect="006D4FBA">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pPr>
      <w:bookmarkStart w:id="1" w:name="_Toc356978420"/>
      <w:r w:rsidRPr="00D85665">
        <w:t xml:space="preserve">DECISION </w:t>
      </w:r>
      <w:r w:rsidR="00AB5311">
        <w:t xml:space="preserve">GRANTING MOTIONS TO </w:t>
      </w:r>
      <w:r w:rsidR="0099104C">
        <w:br/>
      </w:r>
      <w:r w:rsidR="00791977">
        <w:t>ADOPT</w:t>
      </w:r>
      <w:r w:rsidR="00AB5311">
        <w:t xml:space="preserve"> </w:t>
      </w:r>
      <w:r w:rsidR="006D76D3">
        <w:t>THE</w:t>
      </w:r>
      <w:r w:rsidR="00AB5311">
        <w:t xml:space="preserve"> </w:t>
      </w:r>
      <w:r w:rsidR="00791977">
        <w:t xml:space="preserve">ALL-PARTY </w:t>
      </w:r>
      <w:r w:rsidR="00AB5311">
        <w:t xml:space="preserve">SETTLEMENT AGREEMENT AND </w:t>
      </w:r>
      <w:r w:rsidR="0099104C">
        <w:br/>
      </w:r>
      <w:r w:rsidR="002F5834">
        <w:t>MOVE PREVIOUSLY SERV</w:t>
      </w:r>
      <w:r w:rsidR="00AB5311">
        <w:t>ED TESTIMONY INTO THE RECORD</w:t>
      </w:r>
      <w:bookmarkEnd w:id="1"/>
    </w:p>
    <w:p w14:paraId="09E39351" w14:textId="77777777" w:rsidR="00E246E0" w:rsidRDefault="00AF12B7">
      <w:pPr>
        <w:pStyle w:val="TOC1"/>
        <w:rPr>
          <w:rFonts w:asciiTheme="minorHAnsi" w:eastAsiaTheme="minorEastAsia" w:hAnsiTheme="minorHAnsi" w:cstheme="minorBidi"/>
          <w:sz w:val="22"/>
          <w:szCs w:val="22"/>
        </w:rPr>
      </w:pPr>
      <w:r>
        <w:lastRenderedPageBreak/>
        <w:fldChar w:fldCharType="begin"/>
      </w:r>
      <w:r>
        <w:instrText xml:space="preserve"> TOC \h \z \t "Heading 1,2,Heading 2,3,Heading 3,4,Heading 4,5,main,1,mainex,1,dummy,1,Style Heading 1 + Before:  0 pt After:  0 pt Line spacing:  1.5 l...,1" </w:instrText>
      </w:r>
      <w:r>
        <w:fldChar w:fldCharType="separate"/>
      </w:r>
      <w:hyperlink w:anchor="_Toc356978420" w:history="1">
        <w:r w:rsidR="00E246E0" w:rsidRPr="00C11020">
          <w:rPr>
            <w:rStyle w:val="Hyperlink"/>
          </w:rPr>
          <w:t>DECISION GRANTING MOTIONS TO  ADOPT THE ALL-PARTY SETTLEMENT AGREEMENT AND  MOVE PREVIOUSLY SERVED TESTIMONY INTO THE RECORD</w:t>
        </w:r>
        <w:r w:rsidR="00E246E0">
          <w:rPr>
            <w:webHidden/>
          </w:rPr>
          <w:tab/>
        </w:r>
        <w:r w:rsidR="00E246E0">
          <w:rPr>
            <w:webHidden/>
          </w:rPr>
          <w:fldChar w:fldCharType="begin"/>
        </w:r>
        <w:r w:rsidR="00E246E0">
          <w:rPr>
            <w:webHidden/>
          </w:rPr>
          <w:instrText xml:space="preserve"> PAGEREF _Toc356978420 \h </w:instrText>
        </w:r>
        <w:r w:rsidR="00E246E0">
          <w:rPr>
            <w:webHidden/>
          </w:rPr>
        </w:r>
        <w:r w:rsidR="00E246E0">
          <w:rPr>
            <w:webHidden/>
          </w:rPr>
          <w:fldChar w:fldCharType="separate"/>
        </w:r>
        <w:r w:rsidR="00B77C4B">
          <w:rPr>
            <w:webHidden/>
          </w:rPr>
          <w:t>1</w:t>
        </w:r>
        <w:r w:rsidR="00E246E0">
          <w:rPr>
            <w:webHidden/>
          </w:rPr>
          <w:fldChar w:fldCharType="end"/>
        </w:r>
      </w:hyperlink>
    </w:p>
    <w:p w14:paraId="7A9730C9" w14:textId="77777777" w:rsidR="00E246E0" w:rsidRDefault="00B77C4B">
      <w:pPr>
        <w:pStyle w:val="TOC2"/>
        <w:rPr>
          <w:rFonts w:asciiTheme="minorHAnsi" w:eastAsiaTheme="minorEastAsia" w:hAnsiTheme="minorHAnsi" w:cstheme="minorBidi"/>
          <w:sz w:val="22"/>
          <w:szCs w:val="22"/>
        </w:rPr>
      </w:pPr>
      <w:hyperlink w:anchor="_Toc356978421" w:history="1">
        <w:r w:rsidR="00E246E0" w:rsidRPr="00C11020">
          <w:rPr>
            <w:rStyle w:val="Hyperlink"/>
          </w:rPr>
          <w:t>1.</w:t>
        </w:r>
        <w:r w:rsidR="00E246E0">
          <w:rPr>
            <w:rFonts w:asciiTheme="minorHAnsi" w:eastAsiaTheme="minorEastAsia" w:hAnsiTheme="minorHAnsi" w:cstheme="minorBidi"/>
            <w:sz w:val="22"/>
            <w:szCs w:val="22"/>
          </w:rPr>
          <w:tab/>
        </w:r>
        <w:r w:rsidR="00E246E0" w:rsidRPr="00C11020">
          <w:rPr>
            <w:rStyle w:val="Hyperlink"/>
          </w:rPr>
          <w:t>Summary</w:t>
        </w:r>
        <w:r w:rsidR="00E246E0">
          <w:rPr>
            <w:webHidden/>
          </w:rPr>
          <w:tab/>
        </w:r>
        <w:r w:rsidR="00E246E0">
          <w:rPr>
            <w:webHidden/>
          </w:rPr>
          <w:fldChar w:fldCharType="begin"/>
        </w:r>
        <w:r w:rsidR="00E246E0">
          <w:rPr>
            <w:webHidden/>
          </w:rPr>
          <w:instrText xml:space="preserve"> PAGEREF _Toc356978421 \h </w:instrText>
        </w:r>
        <w:r w:rsidR="00E246E0">
          <w:rPr>
            <w:webHidden/>
          </w:rPr>
        </w:r>
        <w:r w:rsidR="00E246E0">
          <w:rPr>
            <w:webHidden/>
          </w:rPr>
          <w:fldChar w:fldCharType="separate"/>
        </w:r>
        <w:r>
          <w:rPr>
            <w:webHidden/>
          </w:rPr>
          <w:t>2</w:t>
        </w:r>
        <w:r w:rsidR="00E246E0">
          <w:rPr>
            <w:webHidden/>
          </w:rPr>
          <w:fldChar w:fldCharType="end"/>
        </w:r>
      </w:hyperlink>
    </w:p>
    <w:p w14:paraId="15378F3A" w14:textId="77777777" w:rsidR="00E246E0" w:rsidRDefault="00B77C4B">
      <w:pPr>
        <w:pStyle w:val="TOC2"/>
        <w:rPr>
          <w:rFonts w:asciiTheme="minorHAnsi" w:eastAsiaTheme="minorEastAsia" w:hAnsiTheme="minorHAnsi" w:cstheme="minorBidi"/>
          <w:sz w:val="22"/>
          <w:szCs w:val="22"/>
        </w:rPr>
      </w:pPr>
      <w:hyperlink w:anchor="_Toc356978422" w:history="1">
        <w:r w:rsidR="00E246E0" w:rsidRPr="00C11020">
          <w:rPr>
            <w:rStyle w:val="Hyperlink"/>
          </w:rPr>
          <w:t>2.</w:t>
        </w:r>
        <w:r w:rsidR="00E246E0">
          <w:rPr>
            <w:rFonts w:asciiTheme="minorHAnsi" w:eastAsiaTheme="minorEastAsia" w:hAnsiTheme="minorHAnsi" w:cstheme="minorBidi"/>
            <w:sz w:val="22"/>
            <w:szCs w:val="22"/>
          </w:rPr>
          <w:tab/>
        </w:r>
        <w:r w:rsidR="00E246E0" w:rsidRPr="00C11020">
          <w:rPr>
            <w:rStyle w:val="Hyperlink"/>
          </w:rPr>
          <w:t>Background</w:t>
        </w:r>
        <w:r w:rsidR="00E246E0">
          <w:rPr>
            <w:webHidden/>
          </w:rPr>
          <w:tab/>
        </w:r>
        <w:r w:rsidR="00E246E0">
          <w:rPr>
            <w:webHidden/>
          </w:rPr>
          <w:fldChar w:fldCharType="begin"/>
        </w:r>
        <w:r w:rsidR="00E246E0">
          <w:rPr>
            <w:webHidden/>
          </w:rPr>
          <w:instrText xml:space="preserve"> PAGEREF _Toc356978422 \h </w:instrText>
        </w:r>
        <w:r w:rsidR="00E246E0">
          <w:rPr>
            <w:webHidden/>
          </w:rPr>
        </w:r>
        <w:r w:rsidR="00E246E0">
          <w:rPr>
            <w:webHidden/>
          </w:rPr>
          <w:fldChar w:fldCharType="separate"/>
        </w:r>
        <w:r>
          <w:rPr>
            <w:webHidden/>
          </w:rPr>
          <w:t>4</w:t>
        </w:r>
        <w:r w:rsidR="00E246E0">
          <w:rPr>
            <w:webHidden/>
          </w:rPr>
          <w:fldChar w:fldCharType="end"/>
        </w:r>
      </w:hyperlink>
    </w:p>
    <w:p w14:paraId="0F7E4F75" w14:textId="77777777" w:rsidR="00E246E0" w:rsidRDefault="00B77C4B">
      <w:pPr>
        <w:pStyle w:val="TOC2"/>
        <w:rPr>
          <w:rFonts w:asciiTheme="minorHAnsi" w:eastAsiaTheme="minorEastAsia" w:hAnsiTheme="minorHAnsi" w:cstheme="minorBidi"/>
          <w:sz w:val="22"/>
          <w:szCs w:val="22"/>
        </w:rPr>
      </w:pPr>
      <w:hyperlink w:anchor="_Toc356978423" w:history="1">
        <w:r w:rsidR="00E246E0" w:rsidRPr="00C11020">
          <w:rPr>
            <w:rStyle w:val="Hyperlink"/>
          </w:rPr>
          <w:t>3.</w:t>
        </w:r>
        <w:r w:rsidR="00E246E0">
          <w:rPr>
            <w:rFonts w:asciiTheme="minorHAnsi" w:eastAsiaTheme="minorEastAsia" w:hAnsiTheme="minorHAnsi" w:cstheme="minorBidi"/>
            <w:sz w:val="22"/>
            <w:szCs w:val="22"/>
          </w:rPr>
          <w:tab/>
        </w:r>
        <w:r w:rsidR="00E246E0" w:rsidRPr="00C11020">
          <w:rPr>
            <w:rStyle w:val="Hyperlink"/>
          </w:rPr>
          <w:t>Summary of the Individual Companies’ Settled Issues</w:t>
        </w:r>
        <w:r w:rsidR="00E246E0">
          <w:rPr>
            <w:webHidden/>
          </w:rPr>
          <w:tab/>
        </w:r>
        <w:r w:rsidR="00E246E0">
          <w:rPr>
            <w:webHidden/>
          </w:rPr>
          <w:fldChar w:fldCharType="begin"/>
        </w:r>
        <w:r w:rsidR="00E246E0">
          <w:rPr>
            <w:webHidden/>
          </w:rPr>
          <w:instrText xml:space="preserve"> PAGEREF _Toc356978423 \h </w:instrText>
        </w:r>
        <w:r w:rsidR="00E246E0">
          <w:rPr>
            <w:webHidden/>
          </w:rPr>
        </w:r>
        <w:r w:rsidR="00E246E0">
          <w:rPr>
            <w:webHidden/>
          </w:rPr>
          <w:fldChar w:fldCharType="separate"/>
        </w:r>
        <w:r>
          <w:rPr>
            <w:webHidden/>
          </w:rPr>
          <w:t>5</w:t>
        </w:r>
        <w:r w:rsidR="00E246E0">
          <w:rPr>
            <w:webHidden/>
          </w:rPr>
          <w:fldChar w:fldCharType="end"/>
        </w:r>
      </w:hyperlink>
    </w:p>
    <w:p w14:paraId="7BBAF57F" w14:textId="77777777" w:rsidR="00E246E0" w:rsidRDefault="00B77C4B">
      <w:pPr>
        <w:pStyle w:val="TOC3"/>
        <w:rPr>
          <w:rFonts w:asciiTheme="minorHAnsi" w:eastAsiaTheme="minorEastAsia" w:hAnsiTheme="minorHAnsi" w:cstheme="minorBidi"/>
          <w:sz w:val="22"/>
          <w:szCs w:val="22"/>
        </w:rPr>
      </w:pPr>
      <w:hyperlink w:anchor="_Toc356978424" w:history="1">
        <w:r w:rsidR="00E246E0" w:rsidRPr="00C11020">
          <w:rPr>
            <w:rStyle w:val="Hyperlink"/>
            <w:iCs/>
          </w:rPr>
          <w:t>3.1.</w:t>
        </w:r>
        <w:r w:rsidR="00E246E0">
          <w:rPr>
            <w:rFonts w:asciiTheme="minorHAnsi" w:eastAsiaTheme="minorEastAsia" w:hAnsiTheme="minorHAnsi" w:cstheme="minorBidi"/>
            <w:sz w:val="22"/>
            <w:szCs w:val="22"/>
          </w:rPr>
          <w:tab/>
        </w:r>
        <w:r w:rsidR="00E246E0" w:rsidRPr="00C11020">
          <w:rPr>
            <w:rStyle w:val="Hyperlink"/>
          </w:rPr>
          <w:t>Park Water Company and Apple Valley Ranchos Water Company</w:t>
        </w:r>
        <w:r w:rsidR="00E246E0">
          <w:rPr>
            <w:webHidden/>
          </w:rPr>
          <w:tab/>
        </w:r>
        <w:r w:rsidR="00E246E0">
          <w:rPr>
            <w:webHidden/>
          </w:rPr>
          <w:fldChar w:fldCharType="begin"/>
        </w:r>
        <w:r w:rsidR="00E246E0">
          <w:rPr>
            <w:webHidden/>
          </w:rPr>
          <w:instrText xml:space="preserve"> PAGEREF _Toc356978424 \h </w:instrText>
        </w:r>
        <w:r w:rsidR="00E246E0">
          <w:rPr>
            <w:webHidden/>
          </w:rPr>
        </w:r>
        <w:r w:rsidR="00E246E0">
          <w:rPr>
            <w:webHidden/>
          </w:rPr>
          <w:fldChar w:fldCharType="separate"/>
        </w:r>
        <w:r>
          <w:rPr>
            <w:webHidden/>
          </w:rPr>
          <w:t>5</w:t>
        </w:r>
        <w:r w:rsidR="00E246E0">
          <w:rPr>
            <w:webHidden/>
          </w:rPr>
          <w:fldChar w:fldCharType="end"/>
        </w:r>
      </w:hyperlink>
    </w:p>
    <w:p w14:paraId="4E68F99B" w14:textId="77777777" w:rsidR="00E246E0" w:rsidRDefault="00B77C4B">
      <w:pPr>
        <w:pStyle w:val="TOC3"/>
        <w:rPr>
          <w:rFonts w:asciiTheme="minorHAnsi" w:eastAsiaTheme="minorEastAsia" w:hAnsiTheme="minorHAnsi" w:cstheme="minorBidi"/>
          <w:sz w:val="22"/>
          <w:szCs w:val="22"/>
        </w:rPr>
      </w:pPr>
      <w:hyperlink w:anchor="_Toc356978425" w:history="1">
        <w:r w:rsidR="00E246E0" w:rsidRPr="00C11020">
          <w:rPr>
            <w:rStyle w:val="Hyperlink"/>
            <w:iCs/>
          </w:rPr>
          <w:t>3.2.</w:t>
        </w:r>
        <w:r w:rsidR="00E246E0">
          <w:rPr>
            <w:rFonts w:asciiTheme="minorHAnsi" w:eastAsiaTheme="minorEastAsia" w:hAnsiTheme="minorHAnsi" w:cstheme="minorBidi"/>
            <w:sz w:val="22"/>
            <w:szCs w:val="22"/>
          </w:rPr>
          <w:tab/>
        </w:r>
        <w:r w:rsidR="00E246E0" w:rsidRPr="00C11020">
          <w:rPr>
            <w:rStyle w:val="Hyperlink"/>
          </w:rPr>
          <w:t>San Gabriel Valley Water Company</w:t>
        </w:r>
        <w:r w:rsidR="00E246E0">
          <w:rPr>
            <w:webHidden/>
          </w:rPr>
          <w:tab/>
        </w:r>
        <w:r w:rsidR="00E246E0">
          <w:rPr>
            <w:webHidden/>
          </w:rPr>
          <w:fldChar w:fldCharType="begin"/>
        </w:r>
        <w:r w:rsidR="00E246E0">
          <w:rPr>
            <w:webHidden/>
          </w:rPr>
          <w:instrText xml:space="preserve"> PAGEREF _Toc356978425 \h </w:instrText>
        </w:r>
        <w:r w:rsidR="00E246E0">
          <w:rPr>
            <w:webHidden/>
          </w:rPr>
        </w:r>
        <w:r w:rsidR="00E246E0">
          <w:rPr>
            <w:webHidden/>
          </w:rPr>
          <w:fldChar w:fldCharType="separate"/>
        </w:r>
        <w:r>
          <w:rPr>
            <w:webHidden/>
          </w:rPr>
          <w:t>6</w:t>
        </w:r>
        <w:r w:rsidR="00E246E0">
          <w:rPr>
            <w:webHidden/>
          </w:rPr>
          <w:fldChar w:fldCharType="end"/>
        </w:r>
      </w:hyperlink>
    </w:p>
    <w:p w14:paraId="2C3C7B83" w14:textId="77777777" w:rsidR="00E246E0" w:rsidRDefault="00B77C4B">
      <w:pPr>
        <w:pStyle w:val="TOC3"/>
        <w:rPr>
          <w:rFonts w:asciiTheme="minorHAnsi" w:eastAsiaTheme="minorEastAsia" w:hAnsiTheme="minorHAnsi" w:cstheme="minorBidi"/>
          <w:sz w:val="22"/>
          <w:szCs w:val="22"/>
        </w:rPr>
      </w:pPr>
      <w:hyperlink w:anchor="_Toc356978426" w:history="1">
        <w:r w:rsidR="00E246E0" w:rsidRPr="00C11020">
          <w:rPr>
            <w:rStyle w:val="Hyperlink"/>
            <w:iCs/>
          </w:rPr>
          <w:t>3.3.</w:t>
        </w:r>
        <w:r w:rsidR="00E246E0">
          <w:rPr>
            <w:rFonts w:asciiTheme="minorHAnsi" w:eastAsiaTheme="minorEastAsia" w:hAnsiTheme="minorHAnsi" w:cstheme="minorBidi"/>
            <w:sz w:val="22"/>
            <w:szCs w:val="22"/>
          </w:rPr>
          <w:tab/>
        </w:r>
        <w:r w:rsidR="00E246E0" w:rsidRPr="00C11020">
          <w:rPr>
            <w:rStyle w:val="Hyperlink"/>
          </w:rPr>
          <w:t>Suburban Water Systems</w:t>
        </w:r>
        <w:r w:rsidR="00E246E0">
          <w:rPr>
            <w:webHidden/>
          </w:rPr>
          <w:tab/>
        </w:r>
        <w:r w:rsidR="00E246E0">
          <w:rPr>
            <w:webHidden/>
          </w:rPr>
          <w:fldChar w:fldCharType="begin"/>
        </w:r>
        <w:r w:rsidR="00E246E0">
          <w:rPr>
            <w:webHidden/>
          </w:rPr>
          <w:instrText xml:space="preserve"> PAGEREF _Toc356978426 \h </w:instrText>
        </w:r>
        <w:r w:rsidR="00E246E0">
          <w:rPr>
            <w:webHidden/>
          </w:rPr>
        </w:r>
        <w:r w:rsidR="00E246E0">
          <w:rPr>
            <w:webHidden/>
          </w:rPr>
          <w:fldChar w:fldCharType="separate"/>
        </w:r>
        <w:r>
          <w:rPr>
            <w:webHidden/>
          </w:rPr>
          <w:t>8</w:t>
        </w:r>
        <w:r w:rsidR="00E246E0">
          <w:rPr>
            <w:webHidden/>
          </w:rPr>
          <w:fldChar w:fldCharType="end"/>
        </w:r>
      </w:hyperlink>
    </w:p>
    <w:p w14:paraId="275B2004" w14:textId="77777777" w:rsidR="00E246E0" w:rsidRDefault="00B77C4B">
      <w:pPr>
        <w:pStyle w:val="TOC3"/>
        <w:rPr>
          <w:rFonts w:asciiTheme="minorHAnsi" w:eastAsiaTheme="minorEastAsia" w:hAnsiTheme="minorHAnsi" w:cstheme="minorBidi"/>
          <w:sz w:val="22"/>
          <w:szCs w:val="22"/>
        </w:rPr>
      </w:pPr>
      <w:hyperlink w:anchor="_Toc356978427" w:history="1">
        <w:r w:rsidR="00E246E0" w:rsidRPr="00C11020">
          <w:rPr>
            <w:rStyle w:val="Hyperlink"/>
            <w:iCs/>
          </w:rPr>
          <w:t>3.4.</w:t>
        </w:r>
        <w:r w:rsidR="00E246E0">
          <w:rPr>
            <w:rFonts w:asciiTheme="minorHAnsi" w:eastAsiaTheme="minorEastAsia" w:hAnsiTheme="minorHAnsi" w:cstheme="minorBidi"/>
            <w:sz w:val="22"/>
            <w:szCs w:val="22"/>
          </w:rPr>
          <w:tab/>
        </w:r>
        <w:r w:rsidR="00E246E0" w:rsidRPr="00C11020">
          <w:rPr>
            <w:rStyle w:val="Hyperlink"/>
          </w:rPr>
          <w:t>Great Oaks Water Company</w:t>
        </w:r>
        <w:r w:rsidR="00E246E0">
          <w:rPr>
            <w:webHidden/>
          </w:rPr>
          <w:tab/>
        </w:r>
        <w:r w:rsidR="00E246E0">
          <w:rPr>
            <w:webHidden/>
          </w:rPr>
          <w:fldChar w:fldCharType="begin"/>
        </w:r>
        <w:r w:rsidR="00E246E0">
          <w:rPr>
            <w:webHidden/>
          </w:rPr>
          <w:instrText xml:space="preserve"> PAGEREF _Toc356978427 \h </w:instrText>
        </w:r>
        <w:r w:rsidR="00E246E0">
          <w:rPr>
            <w:webHidden/>
          </w:rPr>
        </w:r>
        <w:r w:rsidR="00E246E0">
          <w:rPr>
            <w:webHidden/>
          </w:rPr>
          <w:fldChar w:fldCharType="separate"/>
        </w:r>
        <w:r>
          <w:rPr>
            <w:webHidden/>
          </w:rPr>
          <w:t>9</w:t>
        </w:r>
        <w:r w:rsidR="00E246E0">
          <w:rPr>
            <w:webHidden/>
          </w:rPr>
          <w:fldChar w:fldCharType="end"/>
        </w:r>
      </w:hyperlink>
    </w:p>
    <w:p w14:paraId="6DE8019B" w14:textId="6F62530B" w:rsidR="00E246E0" w:rsidRDefault="00B77C4B">
      <w:pPr>
        <w:pStyle w:val="TOC2"/>
        <w:rPr>
          <w:rFonts w:asciiTheme="minorHAnsi" w:eastAsiaTheme="minorEastAsia" w:hAnsiTheme="minorHAnsi" w:cstheme="minorBidi"/>
          <w:sz w:val="22"/>
          <w:szCs w:val="22"/>
        </w:rPr>
      </w:pPr>
      <w:hyperlink w:anchor="_Toc356978428" w:history="1">
        <w:r w:rsidR="00E246E0" w:rsidRPr="00C11020">
          <w:rPr>
            <w:rStyle w:val="Hyperlink"/>
          </w:rPr>
          <w:t>4.</w:t>
        </w:r>
        <w:r w:rsidR="00E246E0">
          <w:rPr>
            <w:rFonts w:asciiTheme="minorHAnsi" w:eastAsiaTheme="minorEastAsia" w:hAnsiTheme="minorHAnsi" w:cstheme="minorBidi"/>
            <w:sz w:val="22"/>
            <w:szCs w:val="22"/>
          </w:rPr>
          <w:tab/>
        </w:r>
        <w:r w:rsidR="00E246E0" w:rsidRPr="00C11020">
          <w:rPr>
            <w:rStyle w:val="Hyperlink"/>
          </w:rPr>
          <w:t>Continuation of the Water Cost of Capital Mechanism</w:t>
        </w:r>
        <w:r w:rsidR="00CF5DA8">
          <w:rPr>
            <w:rStyle w:val="Hyperlink"/>
          </w:rPr>
          <w:br/>
        </w:r>
        <w:r w:rsidR="00E246E0" w:rsidRPr="00C11020">
          <w:rPr>
            <w:rStyle w:val="Hyperlink"/>
          </w:rPr>
          <w:t xml:space="preserve"> for all Applicants</w:t>
        </w:r>
        <w:r w:rsidR="00E246E0">
          <w:rPr>
            <w:webHidden/>
          </w:rPr>
          <w:tab/>
        </w:r>
        <w:r w:rsidR="00E246E0">
          <w:rPr>
            <w:webHidden/>
          </w:rPr>
          <w:fldChar w:fldCharType="begin"/>
        </w:r>
        <w:r w:rsidR="00E246E0">
          <w:rPr>
            <w:webHidden/>
          </w:rPr>
          <w:instrText xml:space="preserve"> PAGEREF _Toc356978428 \h </w:instrText>
        </w:r>
        <w:r w:rsidR="00E246E0">
          <w:rPr>
            <w:webHidden/>
          </w:rPr>
        </w:r>
        <w:r w:rsidR="00E246E0">
          <w:rPr>
            <w:webHidden/>
          </w:rPr>
          <w:fldChar w:fldCharType="separate"/>
        </w:r>
        <w:r>
          <w:rPr>
            <w:webHidden/>
          </w:rPr>
          <w:t>11</w:t>
        </w:r>
        <w:r w:rsidR="00E246E0">
          <w:rPr>
            <w:webHidden/>
          </w:rPr>
          <w:fldChar w:fldCharType="end"/>
        </w:r>
      </w:hyperlink>
    </w:p>
    <w:p w14:paraId="78929470" w14:textId="77777777" w:rsidR="00E246E0" w:rsidRDefault="00B77C4B">
      <w:pPr>
        <w:pStyle w:val="TOC3"/>
        <w:rPr>
          <w:rFonts w:asciiTheme="minorHAnsi" w:eastAsiaTheme="minorEastAsia" w:hAnsiTheme="minorHAnsi" w:cstheme="minorBidi"/>
          <w:sz w:val="22"/>
          <w:szCs w:val="22"/>
        </w:rPr>
      </w:pPr>
      <w:hyperlink w:anchor="_Toc356978429" w:history="1">
        <w:r w:rsidR="00E246E0" w:rsidRPr="00C11020">
          <w:rPr>
            <w:rStyle w:val="Hyperlink"/>
            <w:iCs/>
          </w:rPr>
          <w:t>4.1.</w:t>
        </w:r>
        <w:r w:rsidR="00E246E0">
          <w:rPr>
            <w:rFonts w:asciiTheme="minorHAnsi" w:eastAsiaTheme="minorEastAsia" w:hAnsiTheme="minorHAnsi" w:cstheme="minorBidi"/>
            <w:sz w:val="22"/>
            <w:szCs w:val="22"/>
          </w:rPr>
          <w:tab/>
        </w:r>
        <w:r w:rsidR="00E246E0" w:rsidRPr="00C11020">
          <w:rPr>
            <w:rStyle w:val="Hyperlink"/>
          </w:rPr>
          <w:t>Great Oaks</w:t>
        </w:r>
        <w:r w:rsidR="00E246E0">
          <w:rPr>
            <w:webHidden/>
          </w:rPr>
          <w:tab/>
        </w:r>
        <w:r w:rsidR="00E246E0">
          <w:rPr>
            <w:webHidden/>
          </w:rPr>
          <w:fldChar w:fldCharType="begin"/>
        </w:r>
        <w:r w:rsidR="00E246E0">
          <w:rPr>
            <w:webHidden/>
          </w:rPr>
          <w:instrText xml:space="preserve"> PAGEREF _Toc356978429 \h </w:instrText>
        </w:r>
        <w:r w:rsidR="00E246E0">
          <w:rPr>
            <w:webHidden/>
          </w:rPr>
        </w:r>
        <w:r w:rsidR="00E246E0">
          <w:rPr>
            <w:webHidden/>
          </w:rPr>
          <w:fldChar w:fldCharType="separate"/>
        </w:r>
        <w:r>
          <w:rPr>
            <w:webHidden/>
          </w:rPr>
          <w:t>11</w:t>
        </w:r>
        <w:r w:rsidR="00E246E0">
          <w:rPr>
            <w:webHidden/>
          </w:rPr>
          <w:fldChar w:fldCharType="end"/>
        </w:r>
      </w:hyperlink>
    </w:p>
    <w:p w14:paraId="2A557391" w14:textId="77777777" w:rsidR="00E246E0" w:rsidRDefault="00B77C4B">
      <w:pPr>
        <w:pStyle w:val="TOC2"/>
        <w:rPr>
          <w:rFonts w:asciiTheme="minorHAnsi" w:eastAsiaTheme="minorEastAsia" w:hAnsiTheme="minorHAnsi" w:cstheme="minorBidi"/>
          <w:sz w:val="22"/>
          <w:szCs w:val="22"/>
        </w:rPr>
      </w:pPr>
      <w:hyperlink w:anchor="_Toc356978430" w:history="1">
        <w:r w:rsidR="00E246E0" w:rsidRPr="00C11020">
          <w:rPr>
            <w:rStyle w:val="Hyperlink"/>
          </w:rPr>
          <w:t>5.</w:t>
        </w:r>
        <w:r w:rsidR="00E246E0">
          <w:rPr>
            <w:rFonts w:asciiTheme="minorHAnsi" w:eastAsiaTheme="minorEastAsia" w:hAnsiTheme="minorHAnsi" w:cstheme="minorBidi"/>
            <w:sz w:val="22"/>
            <w:szCs w:val="22"/>
          </w:rPr>
          <w:tab/>
        </w:r>
        <w:r w:rsidR="00E246E0" w:rsidRPr="00C11020">
          <w:rPr>
            <w:rStyle w:val="Hyperlink"/>
          </w:rPr>
          <w:t>Discussion</w:t>
        </w:r>
        <w:r w:rsidR="00E246E0">
          <w:rPr>
            <w:webHidden/>
          </w:rPr>
          <w:tab/>
        </w:r>
        <w:r w:rsidR="00E246E0">
          <w:rPr>
            <w:webHidden/>
          </w:rPr>
          <w:fldChar w:fldCharType="begin"/>
        </w:r>
        <w:r w:rsidR="00E246E0">
          <w:rPr>
            <w:webHidden/>
          </w:rPr>
          <w:instrText xml:space="preserve"> PAGEREF _Toc356978430 \h </w:instrText>
        </w:r>
        <w:r w:rsidR="00E246E0">
          <w:rPr>
            <w:webHidden/>
          </w:rPr>
        </w:r>
        <w:r w:rsidR="00E246E0">
          <w:rPr>
            <w:webHidden/>
          </w:rPr>
          <w:fldChar w:fldCharType="separate"/>
        </w:r>
        <w:r>
          <w:rPr>
            <w:webHidden/>
          </w:rPr>
          <w:t>13</w:t>
        </w:r>
        <w:r w:rsidR="00E246E0">
          <w:rPr>
            <w:webHidden/>
          </w:rPr>
          <w:fldChar w:fldCharType="end"/>
        </w:r>
      </w:hyperlink>
    </w:p>
    <w:p w14:paraId="2B3F444A" w14:textId="77777777" w:rsidR="00E246E0" w:rsidRDefault="00B77C4B">
      <w:pPr>
        <w:pStyle w:val="TOC2"/>
        <w:rPr>
          <w:rFonts w:asciiTheme="minorHAnsi" w:eastAsiaTheme="minorEastAsia" w:hAnsiTheme="minorHAnsi" w:cstheme="minorBidi"/>
          <w:sz w:val="22"/>
          <w:szCs w:val="22"/>
        </w:rPr>
      </w:pPr>
      <w:hyperlink w:anchor="_Toc356978431" w:history="1">
        <w:r w:rsidR="00E246E0" w:rsidRPr="00C11020">
          <w:rPr>
            <w:rStyle w:val="Hyperlink"/>
          </w:rPr>
          <w:t>6.</w:t>
        </w:r>
        <w:r w:rsidR="00E246E0">
          <w:rPr>
            <w:rFonts w:asciiTheme="minorHAnsi" w:eastAsiaTheme="minorEastAsia" w:hAnsiTheme="minorHAnsi" w:cstheme="minorBidi"/>
            <w:sz w:val="22"/>
            <w:szCs w:val="22"/>
          </w:rPr>
          <w:tab/>
        </w:r>
        <w:r w:rsidR="00E246E0" w:rsidRPr="00C11020">
          <w:rPr>
            <w:rStyle w:val="Hyperlink"/>
          </w:rPr>
          <w:t>Settlement Standard of Review</w:t>
        </w:r>
        <w:r w:rsidR="00E246E0">
          <w:rPr>
            <w:webHidden/>
          </w:rPr>
          <w:tab/>
        </w:r>
        <w:r w:rsidR="00E246E0">
          <w:rPr>
            <w:webHidden/>
          </w:rPr>
          <w:fldChar w:fldCharType="begin"/>
        </w:r>
        <w:r w:rsidR="00E246E0">
          <w:rPr>
            <w:webHidden/>
          </w:rPr>
          <w:instrText xml:space="preserve"> PAGEREF _Toc356978431 \h </w:instrText>
        </w:r>
        <w:r w:rsidR="00E246E0">
          <w:rPr>
            <w:webHidden/>
          </w:rPr>
        </w:r>
        <w:r w:rsidR="00E246E0">
          <w:rPr>
            <w:webHidden/>
          </w:rPr>
          <w:fldChar w:fldCharType="separate"/>
        </w:r>
        <w:r>
          <w:rPr>
            <w:webHidden/>
          </w:rPr>
          <w:t>14</w:t>
        </w:r>
        <w:r w:rsidR="00E246E0">
          <w:rPr>
            <w:webHidden/>
          </w:rPr>
          <w:fldChar w:fldCharType="end"/>
        </w:r>
      </w:hyperlink>
    </w:p>
    <w:p w14:paraId="352B90B8" w14:textId="2A18BDD7" w:rsidR="00E246E0" w:rsidRDefault="00B77C4B">
      <w:pPr>
        <w:pStyle w:val="TOC2"/>
        <w:rPr>
          <w:rFonts w:asciiTheme="minorHAnsi" w:eastAsiaTheme="minorEastAsia" w:hAnsiTheme="minorHAnsi" w:cstheme="minorBidi"/>
          <w:sz w:val="22"/>
          <w:szCs w:val="22"/>
        </w:rPr>
      </w:pPr>
      <w:hyperlink w:anchor="_Toc356978432" w:history="1">
        <w:r w:rsidR="00E246E0" w:rsidRPr="00C11020">
          <w:rPr>
            <w:rStyle w:val="Hyperlink"/>
          </w:rPr>
          <w:t>7.</w:t>
        </w:r>
        <w:r w:rsidR="00E246E0">
          <w:rPr>
            <w:rFonts w:asciiTheme="minorHAnsi" w:eastAsiaTheme="minorEastAsia" w:hAnsiTheme="minorHAnsi" w:cstheme="minorBidi"/>
            <w:sz w:val="22"/>
            <w:szCs w:val="22"/>
          </w:rPr>
          <w:tab/>
        </w:r>
        <w:r w:rsidR="00E246E0" w:rsidRPr="00C11020">
          <w:rPr>
            <w:rStyle w:val="Hyperlink"/>
          </w:rPr>
          <w:t>Does the Settlement Meet the Standard of Review for</w:t>
        </w:r>
        <w:r w:rsidR="00CF5DA8">
          <w:rPr>
            <w:rStyle w:val="Hyperlink"/>
          </w:rPr>
          <w:br/>
        </w:r>
        <w:r w:rsidR="00E246E0" w:rsidRPr="00C11020">
          <w:rPr>
            <w:rStyle w:val="Hyperlink"/>
          </w:rPr>
          <w:t xml:space="preserve"> Settlements</w:t>
        </w:r>
        <w:r w:rsidR="00E246E0">
          <w:rPr>
            <w:webHidden/>
          </w:rPr>
          <w:tab/>
        </w:r>
        <w:r w:rsidR="00E246E0">
          <w:rPr>
            <w:webHidden/>
          </w:rPr>
          <w:fldChar w:fldCharType="begin"/>
        </w:r>
        <w:r w:rsidR="00E246E0">
          <w:rPr>
            <w:webHidden/>
          </w:rPr>
          <w:instrText xml:space="preserve"> PAGEREF _Toc356978432 \h </w:instrText>
        </w:r>
        <w:r w:rsidR="00E246E0">
          <w:rPr>
            <w:webHidden/>
          </w:rPr>
        </w:r>
        <w:r w:rsidR="00E246E0">
          <w:rPr>
            <w:webHidden/>
          </w:rPr>
          <w:fldChar w:fldCharType="separate"/>
        </w:r>
        <w:r>
          <w:rPr>
            <w:webHidden/>
          </w:rPr>
          <w:t>16</w:t>
        </w:r>
        <w:r w:rsidR="00E246E0">
          <w:rPr>
            <w:webHidden/>
          </w:rPr>
          <w:fldChar w:fldCharType="end"/>
        </w:r>
      </w:hyperlink>
    </w:p>
    <w:p w14:paraId="635BA168" w14:textId="1237A9B7" w:rsidR="00E246E0" w:rsidRDefault="00B77C4B">
      <w:pPr>
        <w:pStyle w:val="TOC2"/>
        <w:rPr>
          <w:rFonts w:asciiTheme="minorHAnsi" w:eastAsiaTheme="minorEastAsia" w:hAnsiTheme="minorHAnsi" w:cstheme="minorBidi"/>
          <w:sz w:val="22"/>
          <w:szCs w:val="22"/>
        </w:rPr>
      </w:pPr>
      <w:hyperlink w:anchor="_Toc356978433" w:history="1">
        <w:r w:rsidR="00E246E0" w:rsidRPr="00C11020">
          <w:rPr>
            <w:rStyle w:val="Hyperlink"/>
          </w:rPr>
          <w:t>8.</w:t>
        </w:r>
        <w:r w:rsidR="00E246E0">
          <w:rPr>
            <w:rFonts w:asciiTheme="minorHAnsi" w:eastAsiaTheme="minorEastAsia" w:hAnsiTheme="minorHAnsi" w:cstheme="minorBidi"/>
            <w:sz w:val="22"/>
            <w:szCs w:val="22"/>
          </w:rPr>
          <w:tab/>
        </w:r>
        <w:r w:rsidR="00E246E0" w:rsidRPr="00C11020">
          <w:rPr>
            <w:rStyle w:val="Hyperlink"/>
          </w:rPr>
          <w:t xml:space="preserve">The Agreement Does Not Contravene Any Rules </w:t>
        </w:r>
        <w:r w:rsidR="00CF5DA8">
          <w:rPr>
            <w:rStyle w:val="Hyperlink"/>
          </w:rPr>
          <w:br/>
        </w:r>
        <w:r w:rsidR="00E246E0" w:rsidRPr="00C11020">
          <w:rPr>
            <w:rStyle w:val="Hyperlink"/>
          </w:rPr>
          <w:t>or Laws</w:t>
        </w:r>
        <w:r w:rsidR="00E246E0">
          <w:rPr>
            <w:webHidden/>
          </w:rPr>
          <w:tab/>
        </w:r>
        <w:r w:rsidR="00E246E0">
          <w:rPr>
            <w:webHidden/>
          </w:rPr>
          <w:fldChar w:fldCharType="begin"/>
        </w:r>
        <w:r w:rsidR="00E246E0">
          <w:rPr>
            <w:webHidden/>
          </w:rPr>
          <w:instrText xml:space="preserve"> PAGEREF _Toc356978433 \h </w:instrText>
        </w:r>
        <w:r w:rsidR="00E246E0">
          <w:rPr>
            <w:webHidden/>
          </w:rPr>
        </w:r>
        <w:r w:rsidR="00E246E0">
          <w:rPr>
            <w:webHidden/>
          </w:rPr>
          <w:fldChar w:fldCharType="separate"/>
        </w:r>
        <w:r>
          <w:rPr>
            <w:webHidden/>
          </w:rPr>
          <w:t>17</w:t>
        </w:r>
        <w:r w:rsidR="00E246E0">
          <w:rPr>
            <w:webHidden/>
          </w:rPr>
          <w:fldChar w:fldCharType="end"/>
        </w:r>
      </w:hyperlink>
    </w:p>
    <w:p w14:paraId="4D4C0652" w14:textId="77777777" w:rsidR="00E246E0" w:rsidRDefault="00B77C4B">
      <w:pPr>
        <w:pStyle w:val="TOC2"/>
        <w:rPr>
          <w:rFonts w:asciiTheme="minorHAnsi" w:eastAsiaTheme="minorEastAsia" w:hAnsiTheme="minorHAnsi" w:cstheme="minorBidi"/>
          <w:sz w:val="22"/>
          <w:szCs w:val="22"/>
        </w:rPr>
      </w:pPr>
      <w:hyperlink w:anchor="_Toc356978434" w:history="1">
        <w:r w:rsidR="00E246E0" w:rsidRPr="00C11020">
          <w:rPr>
            <w:rStyle w:val="Hyperlink"/>
          </w:rPr>
          <w:t>9.</w:t>
        </w:r>
        <w:r w:rsidR="00E246E0">
          <w:rPr>
            <w:rFonts w:asciiTheme="minorHAnsi" w:eastAsiaTheme="minorEastAsia" w:hAnsiTheme="minorHAnsi" w:cstheme="minorBidi"/>
            <w:sz w:val="22"/>
            <w:szCs w:val="22"/>
          </w:rPr>
          <w:tab/>
        </w:r>
        <w:r w:rsidR="00E246E0" w:rsidRPr="00C11020">
          <w:rPr>
            <w:rStyle w:val="Hyperlink"/>
          </w:rPr>
          <w:t>The Agreement Is In the Public Interest</w:t>
        </w:r>
        <w:r w:rsidR="00E246E0">
          <w:rPr>
            <w:webHidden/>
          </w:rPr>
          <w:tab/>
        </w:r>
        <w:r w:rsidR="00E246E0">
          <w:rPr>
            <w:webHidden/>
          </w:rPr>
          <w:fldChar w:fldCharType="begin"/>
        </w:r>
        <w:r w:rsidR="00E246E0">
          <w:rPr>
            <w:webHidden/>
          </w:rPr>
          <w:instrText xml:space="preserve"> PAGEREF _Toc356978434 \h </w:instrText>
        </w:r>
        <w:r w:rsidR="00E246E0">
          <w:rPr>
            <w:webHidden/>
          </w:rPr>
        </w:r>
        <w:r w:rsidR="00E246E0">
          <w:rPr>
            <w:webHidden/>
          </w:rPr>
          <w:fldChar w:fldCharType="separate"/>
        </w:r>
        <w:r>
          <w:rPr>
            <w:webHidden/>
          </w:rPr>
          <w:t>17</w:t>
        </w:r>
        <w:r w:rsidR="00E246E0">
          <w:rPr>
            <w:webHidden/>
          </w:rPr>
          <w:fldChar w:fldCharType="end"/>
        </w:r>
      </w:hyperlink>
    </w:p>
    <w:p w14:paraId="789B5512" w14:textId="77777777" w:rsidR="00E246E0" w:rsidRDefault="00B77C4B">
      <w:pPr>
        <w:pStyle w:val="TOC2"/>
        <w:rPr>
          <w:rFonts w:asciiTheme="minorHAnsi" w:eastAsiaTheme="minorEastAsia" w:hAnsiTheme="minorHAnsi" w:cstheme="minorBidi"/>
          <w:sz w:val="22"/>
          <w:szCs w:val="22"/>
        </w:rPr>
      </w:pPr>
      <w:hyperlink w:anchor="_Toc356978435" w:history="1">
        <w:r w:rsidR="00E246E0" w:rsidRPr="00C11020">
          <w:rPr>
            <w:rStyle w:val="Hyperlink"/>
          </w:rPr>
          <w:t>10.</w:t>
        </w:r>
        <w:r w:rsidR="00E246E0">
          <w:rPr>
            <w:rFonts w:asciiTheme="minorHAnsi" w:eastAsiaTheme="minorEastAsia" w:hAnsiTheme="minorHAnsi" w:cstheme="minorBidi"/>
            <w:sz w:val="22"/>
            <w:szCs w:val="22"/>
          </w:rPr>
          <w:tab/>
        </w:r>
        <w:r w:rsidR="00E246E0" w:rsidRPr="00C11020">
          <w:rPr>
            <w:rStyle w:val="Hyperlink"/>
          </w:rPr>
          <w:t>Admission of Exhibits into Evidence</w:t>
        </w:r>
        <w:r w:rsidR="00E246E0">
          <w:rPr>
            <w:webHidden/>
          </w:rPr>
          <w:tab/>
        </w:r>
        <w:r w:rsidR="00E246E0">
          <w:rPr>
            <w:webHidden/>
          </w:rPr>
          <w:fldChar w:fldCharType="begin"/>
        </w:r>
        <w:r w:rsidR="00E246E0">
          <w:rPr>
            <w:webHidden/>
          </w:rPr>
          <w:instrText xml:space="preserve"> PAGEREF _Toc356978435 \h </w:instrText>
        </w:r>
        <w:r w:rsidR="00E246E0">
          <w:rPr>
            <w:webHidden/>
          </w:rPr>
        </w:r>
        <w:r w:rsidR="00E246E0">
          <w:rPr>
            <w:webHidden/>
          </w:rPr>
          <w:fldChar w:fldCharType="separate"/>
        </w:r>
        <w:r>
          <w:rPr>
            <w:webHidden/>
          </w:rPr>
          <w:t>19</w:t>
        </w:r>
        <w:r w:rsidR="00E246E0">
          <w:rPr>
            <w:webHidden/>
          </w:rPr>
          <w:fldChar w:fldCharType="end"/>
        </w:r>
      </w:hyperlink>
    </w:p>
    <w:p w14:paraId="7A1B9935" w14:textId="77777777" w:rsidR="00E246E0" w:rsidRDefault="00B77C4B">
      <w:pPr>
        <w:pStyle w:val="TOC2"/>
        <w:rPr>
          <w:rFonts w:asciiTheme="minorHAnsi" w:eastAsiaTheme="minorEastAsia" w:hAnsiTheme="minorHAnsi" w:cstheme="minorBidi"/>
          <w:sz w:val="22"/>
          <w:szCs w:val="22"/>
        </w:rPr>
      </w:pPr>
      <w:hyperlink w:anchor="_Toc356978436" w:history="1">
        <w:r w:rsidR="00E246E0" w:rsidRPr="00C11020">
          <w:rPr>
            <w:rStyle w:val="Hyperlink"/>
          </w:rPr>
          <w:t>11.</w:t>
        </w:r>
        <w:r w:rsidR="00E246E0">
          <w:rPr>
            <w:rFonts w:asciiTheme="minorHAnsi" w:eastAsiaTheme="minorEastAsia" w:hAnsiTheme="minorHAnsi" w:cstheme="minorBidi"/>
            <w:sz w:val="22"/>
            <w:szCs w:val="22"/>
          </w:rPr>
          <w:tab/>
        </w:r>
        <w:r w:rsidR="00E246E0" w:rsidRPr="00C11020">
          <w:rPr>
            <w:rStyle w:val="Hyperlink"/>
          </w:rPr>
          <w:t>Categorization and Need for Hearings</w:t>
        </w:r>
        <w:r w:rsidR="00E246E0">
          <w:rPr>
            <w:webHidden/>
          </w:rPr>
          <w:tab/>
        </w:r>
        <w:r w:rsidR="00E246E0">
          <w:rPr>
            <w:webHidden/>
          </w:rPr>
          <w:fldChar w:fldCharType="begin"/>
        </w:r>
        <w:r w:rsidR="00E246E0">
          <w:rPr>
            <w:webHidden/>
          </w:rPr>
          <w:instrText xml:space="preserve"> PAGEREF _Toc356978436 \h </w:instrText>
        </w:r>
        <w:r w:rsidR="00E246E0">
          <w:rPr>
            <w:webHidden/>
          </w:rPr>
        </w:r>
        <w:r w:rsidR="00E246E0">
          <w:rPr>
            <w:webHidden/>
          </w:rPr>
          <w:fldChar w:fldCharType="separate"/>
        </w:r>
        <w:r>
          <w:rPr>
            <w:webHidden/>
          </w:rPr>
          <w:t>19</w:t>
        </w:r>
        <w:r w:rsidR="00E246E0">
          <w:rPr>
            <w:webHidden/>
          </w:rPr>
          <w:fldChar w:fldCharType="end"/>
        </w:r>
      </w:hyperlink>
    </w:p>
    <w:p w14:paraId="0FD18842" w14:textId="77777777" w:rsidR="00E246E0" w:rsidRDefault="00B77C4B">
      <w:pPr>
        <w:pStyle w:val="TOC2"/>
        <w:rPr>
          <w:rFonts w:asciiTheme="minorHAnsi" w:eastAsiaTheme="minorEastAsia" w:hAnsiTheme="minorHAnsi" w:cstheme="minorBidi"/>
          <w:sz w:val="22"/>
          <w:szCs w:val="22"/>
        </w:rPr>
      </w:pPr>
      <w:hyperlink w:anchor="_Toc356978437" w:history="1">
        <w:r w:rsidR="00E246E0" w:rsidRPr="00C11020">
          <w:rPr>
            <w:rStyle w:val="Hyperlink"/>
          </w:rPr>
          <w:t>12.</w:t>
        </w:r>
        <w:r w:rsidR="00E246E0">
          <w:rPr>
            <w:rFonts w:asciiTheme="minorHAnsi" w:eastAsiaTheme="minorEastAsia" w:hAnsiTheme="minorHAnsi" w:cstheme="minorBidi"/>
            <w:sz w:val="22"/>
            <w:szCs w:val="22"/>
          </w:rPr>
          <w:tab/>
        </w:r>
        <w:r w:rsidR="00E246E0" w:rsidRPr="00C11020">
          <w:rPr>
            <w:rStyle w:val="Hyperlink"/>
          </w:rPr>
          <w:t>Reduction of Comment Period</w:t>
        </w:r>
        <w:r w:rsidR="00E246E0">
          <w:rPr>
            <w:webHidden/>
          </w:rPr>
          <w:tab/>
        </w:r>
        <w:r w:rsidR="00E246E0">
          <w:rPr>
            <w:webHidden/>
          </w:rPr>
          <w:fldChar w:fldCharType="begin"/>
        </w:r>
        <w:r w:rsidR="00E246E0">
          <w:rPr>
            <w:webHidden/>
          </w:rPr>
          <w:instrText xml:space="preserve"> PAGEREF _Toc356978437 \h </w:instrText>
        </w:r>
        <w:r w:rsidR="00E246E0">
          <w:rPr>
            <w:webHidden/>
          </w:rPr>
        </w:r>
        <w:r w:rsidR="00E246E0">
          <w:rPr>
            <w:webHidden/>
          </w:rPr>
          <w:fldChar w:fldCharType="separate"/>
        </w:r>
        <w:r>
          <w:rPr>
            <w:webHidden/>
          </w:rPr>
          <w:t>19</w:t>
        </w:r>
        <w:r w:rsidR="00E246E0">
          <w:rPr>
            <w:webHidden/>
          </w:rPr>
          <w:fldChar w:fldCharType="end"/>
        </w:r>
      </w:hyperlink>
    </w:p>
    <w:p w14:paraId="74650525" w14:textId="77777777" w:rsidR="00E246E0" w:rsidRDefault="00B77C4B">
      <w:pPr>
        <w:pStyle w:val="TOC2"/>
        <w:rPr>
          <w:rFonts w:asciiTheme="minorHAnsi" w:eastAsiaTheme="minorEastAsia" w:hAnsiTheme="minorHAnsi" w:cstheme="minorBidi"/>
          <w:sz w:val="22"/>
          <w:szCs w:val="22"/>
        </w:rPr>
      </w:pPr>
      <w:hyperlink w:anchor="_Toc356978438" w:history="1">
        <w:r w:rsidR="00E246E0" w:rsidRPr="00C11020">
          <w:rPr>
            <w:rStyle w:val="Hyperlink"/>
          </w:rPr>
          <w:t>13.</w:t>
        </w:r>
        <w:r w:rsidR="00E246E0">
          <w:rPr>
            <w:rFonts w:asciiTheme="minorHAnsi" w:eastAsiaTheme="minorEastAsia" w:hAnsiTheme="minorHAnsi" w:cstheme="minorBidi"/>
            <w:sz w:val="22"/>
            <w:szCs w:val="22"/>
          </w:rPr>
          <w:tab/>
        </w:r>
        <w:r w:rsidR="00E246E0" w:rsidRPr="00C11020">
          <w:rPr>
            <w:rStyle w:val="Hyperlink"/>
          </w:rPr>
          <w:t>Assignment of Proceeding</w:t>
        </w:r>
        <w:r w:rsidR="00E246E0">
          <w:rPr>
            <w:webHidden/>
          </w:rPr>
          <w:tab/>
        </w:r>
        <w:r w:rsidR="00E246E0">
          <w:rPr>
            <w:webHidden/>
          </w:rPr>
          <w:fldChar w:fldCharType="begin"/>
        </w:r>
        <w:r w:rsidR="00E246E0">
          <w:rPr>
            <w:webHidden/>
          </w:rPr>
          <w:instrText xml:space="preserve"> PAGEREF _Toc356978438 \h </w:instrText>
        </w:r>
        <w:r w:rsidR="00E246E0">
          <w:rPr>
            <w:webHidden/>
          </w:rPr>
        </w:r>
        <w:r w:rsidR="00E246E0">
          <w:rPr>
            <w:webHidden/>
          </w:rPr>
          <w:fldChar w:fldCharType="separate"/>
        </w:r>
        <w:r>
          <w:rPr>
            <w:webHidden/>
          </w:rPr>
          <w:t>19</w:t>
        </w:r>
        <w:r w:rsidR="00E246E0">
          <w:rPr>
            <w:webHidden/>
          </w:rPr>
          <w:fldChar w:fldCharType="end"/>
        </w:r>
      </w:hyperlink>
    </w:p>
    <w:p w14:paraId="62834CFB" w14:textId="77777777" w:rsidR="00E246E0" w:rsidRDefault="00B77C4B">
      <w:pPr>
        <w:pStyle w:val="TOC1"/>
        <w:rPr>
          <w:rFonts w:asciiTheme="minorHAnsi" w:eastAsiaTheme="minorEastAsia" w:hAnsiTheme="minorHAnsi" w:cstheme="minorBidi"/>
          <w:sz w:val="22"/>
          <w:szCs w:val="22"/>
        </w:rPr>
      </w:pPr>
      <w:hyperlink w:anchor="_Toc356978439" w:history="1">
        <w:r w:rsidR="00E246E0" w:rsidRPr="00C11020">
          <w:rPr>
            <w:rStyle w:val="Hyperlink"/>
          </w:rPr>
          <w:t>Findings of Fact</w:t>
        </w:r>
        <w:r w:rsidR="00E246E0">
          <w:rPr>
            <w:webHidden/>
          </w:rPr>
          <w:tab/>
        </w:r>
        <w:r w:rsidR="00E246E0">
          <w:rPr>
            <w:webHidden/>
          </w:rPr>
          <w:fldChar w:fldCharType="begin"/>
        </w:r>
        <w:r w:rsidR="00E246E0">
          <w:rPr>
            <w:webHidden/>
          </w:rPr>
          <w:instrText xml:space="preserve"> PAGEREF _Toc356978439 \h </w:instrText>
        </w:r>
        <w:r w:rsidR="00E246E0">
          <w:rPr>
            <w:webHidden/>
          </w:rPr>
        </w:r>
        <w:r w:rsidR="00E246E0">
          <w:rPr>
            <w:webHidden/>
          </w:rPr>
          <w:fldChar w:fldCharType="separate"/>
        </w:r>
        <w:r>
          <w:rPr>
            <w:webHidden/>
          </w:rPr>
          <w:t>19</w:t>
        </w:r>
        <w:r w:rsidR="00E246E0">
          <w:rPr>
            <w:webHidden/>
          </w:rPr>
          <w:fldChar w:fldCharType="end"/>
        </w:r>
      </w:hyperlink>
    </w:p>
    <w:p w14:paraId="622D32A4" w14:textId="77777777" w:rsidR="00E246E0" w:rsidRDefault="00B77C4B">
      <w:pPr>
        <w:pStyle w:val="TOC1"/>
        <w:rPr>
          <w:rFonts w:asciiTheme="minorHAnsi" w:eastAsiaTheme="minorEastAsia" w:hAnsiTheme="minorHAnsi" w:cstheme="minorBidi"/>
          <w:sz w:val="22"/>
          <w:szCs w:val="22"/>
        </w:rPr>
      </w:pPr>
      <w:hyperlink w:anchor="_Toc356978440" w:history="1">
        <w:r w:rsidR="00E246E0" w:rsidRPr="00C11020">
          <w:rPr>
            <w:rStyle w:val="Hyperlink"/>
          </w:rPr>
          <w:t>Conclusions of Law</w:t>
        </w:r>
        <w:r w:rsidR="00E246E0">
          <w:rPr>
            <w:webHidden/>
          </w:rPr>
          <w:tab/>
        </w:r>
        <w:r w:rsidR="00E246E0">
          <w:rPr>
            <w:webHidden/>
          </w:rPr>
          <w:fldChar w:fldCharType="begin"/>
        </w:r>
        <w:r w:rsidR="00E246E0">
          <w:rPr>
            <w:webHidden/>
          </w:rPr>
          <w:instrText xml:space="preserve"> PAGEREF _Toc356978440 \h </w:instrText>
        </w:r>
        <w:r w:rsidR="00E246E0">
          <w:rPr>
            <w:webHidden/>
          </w:rPr>
        </w:r>
        <w:r w:rsidR="00E246E0">
          <w:rPr>
            <w:webHidden/>
          </w:rPr>
          <w:fldChar w:fldCharType="separate"/>
        </w:r>
        <w:r>
          <w:rPr>
            <w:webHidden/>
          </w:rPr>
          <w:t>20</w:t>
        </w:r>
        <w:r w:rsidR="00E246E0">
          <w:rPr>
            <w:webHidden/>
          </w:rPr>
          <w:fldChar w:fldCharType="end"/>
        </w:r>
      </w:hyperlink>
    </w:p>
    <w:p w14:paraId="7AFCA846" w14:textId="4AAE262F" w:rsidR="00E246E0" w:rsidRDefault="00B77C4B">
      <w:pPr>
        <w:pStyle w:val="TOC1"/>
        <w:rPr>
          <w:rFonts w:asciiTheme="minorHAnsi" w:eastAsiaTheme="minorEastAsia" w:hAnsiTheme="minorHAnsi" w:cstheme="minorBidi"/>
          <w:sz w:val="22"/>
          <w:szCs w:val="22"/>
        </w:rPr>
      </w:pPr>
      <w:hyperlink w:anchor="_Toc356978441" w:history="1">
        <w:r w:rsidR="00E246E0" w:rsidRPr="00C11020">
          <w:rPr>
            <w:rStyle w:val="Hyperlink"/>
          </w:rPr>
          <w:t>ORDER</w:t>
        </w:r>
        <w:r w:rsidR="00E246E0">
          <w:rPr>
            <w:webHidden/>
          </w:rPr>
          <w:tab/>
        </w:r>
        <w:r w:rsidR="00CF5DA8">
          <w:rPr>
            <w:webHidden/>
          </w:rPr>
          <w:tab/>
        </w:r>
        <w:r w:rsidR="00E246E0">
          <w:rPr>
            <w:webHidden/>
          </w:rPr>
          <w:fldChar w:fldCharType="begin"/>
        </w:r>
        <w:r w:rsidR="00E246E0">
          <w:rPr>
            <w:webHidden/>
          </w:rPr>
          <w:instrText xml:space="preserve"> PAGEREF _Toc356978441 \h </w:instrText>
        </w:r>
        <w:r w:rsidR="00E246E0">
          <w:rPr>
            <w:webHidden/>
          </w:rPr>
        </w:r>
        <w:r w:rsidR="00E246E0">
          <w:rPr>
            <w:webHidden/>
          </w:rPr>
          <w:fldChar w:fldCharType="separate"/>
        </w:r>
        <w:r>
          <w:rPr>
            <w:webHidden/>
          </w:rPr>
          <w:t>21</w:t>
        </w:r>
        <w:r w:rsidR="00E246E0">
          <w:rPr>
            <w:webHidden/>
          </w:rPr>
          <w:fldChar w:fldCharType="end"/>
        </w:r>
      </w:hyperlink>
    </w:p>
    <w:p w14:paraId="5D26E718" w14:textId="77777777" w:rsidR="00AF12B7" w:rsidRDefault="00AF12B7" w:rsidP="00D85665">
      <w:pPr>
        <w:pStyle w:val="main"/>
        <w:sectPr w:rsidR="00AF12B7" w:rsidSect="00B6389E">
          <w:headerReference w:type="first" r:id="rId14"/>
          <w:footerReference w:type="first" r:id="rId15"/>
          <w:pgSz w:w="12240" w:h="15840" w:code="1"/>
          <w:pgMar w:top="1152" w:right="1440" w:bottom="1440" w:left="1440" w:header="720" w:footer="720" w:gutter="0"/>
          <w:pgNumType w:fmt="lowerRoman" w:start="1"/>
          <w:cols w:space="720"/>
          <w:titlePg/>
        </w:sectPr>
      </w:pPr>
      <w:r>
        <w:fldChar w:fldCharType="end"/>
      </w:r>
    </w:p>
    <w:p w14:paraId="387C626E" w14:textId="77777777" w:rsidR="00D85665" w:rsidRPr="00F24C18" w:rsidRDefault="00AF12B7" w:rsidP="0099104C">
      <w:pPr>
        <w:jc w:val="center"/>
        <w:rPr>
          <w:szCs w:val="26"/>
        </w:rPr>
      </w:pPr>
      <w:r w:rsidRPr="00F24C18">
        <w:rPr>
          <w:rFonts w:ascii="Helvetica" w:hAnsi="Helvetica"/>
          <w:b/>
          <w:bCs/>
          <w:szCs w:val="26"/>
        </w:rPr>
        <w:lastRenderedPageBreak/>
        <w:t>DECISION GRANTING MOTIONS TO</w:t>
      </w:r>
      <w:r w:rsidR="0099104C" w:rsidRPr="00F24C18">
        <w:rPr>
          <w:rFonts w:ascii="Helvetica" w:hAnsi="Helvetica"/>
          <w:b/>
          <w:bCs/>
          <w:szCs w:val="26"/>
        </w:rPr>
        <w:br/>
      </w:r>
      <w:r w:rsidRPr="00F24C18">
        <w:rPr>
          <w:rFonts w:ascii="Helvetica" w:hAnsi="Helvetica"/>
          <w:b/>
          <w:bCs/>
          <w:szCs w:val="26"/>
        </w:rPr>
        <w:t>ADOPT THE ALL-PARTY SETTLEMENT AGREEMENT AND</w:t>
      </w:r>
      <w:r w:rsidR="0099104C" w:rsidRPr="00F24C18">
        <w:rPr>
          <w:rFonts w:ascii="Helvetica" w:hAnsi="Helvetica"/>
          <w:b/>
          <w:bCs/>
          <w:szCs w:val="26"/>
        </w:rPr>
        <w:br/>
      </w:r>
      <w:r w:rsidRPr="00F24C18">
        <w:rPr>
          <w:rFonts w:ascii="Helvetica" w:hAnsi="Helvetica"/>
          <w:b/>
          <w:bCs/>
          <w:szCs w:val="26"/>
        </w:rPr>
        <w:t>MOVE PREVIOUSLY SERVED TESTIMONY INTO THE RECORD</w:t>
      </w:r>
    </w:p>
    <w:p w14:paraId="16D8E038" w14:textId="77777777" w:rsidR="00B30FF9" w:rsidRDefault="00B30FF9"/>
    <w:p w14:paraId="191E780C" w14:textId="77777777" w:rsidR="00D85665" w:rsidRPr="00824995" w:rsidRDefault="0083320F" w:rsidP="00824995">
      <w:pPr>
        <w:pStyle w:val="Heading1"/>
        <w:keepNext w:val="0"/>
        <w:widowControl w:val="0"/>
        <w:numPr>
          <w:ilvl w:val="0"/>
          <w:numId w:val="14"/>
        </w:numPr>
        <w:ind w:right="720" w:hanging="720"/>
        <w:rPr>
          <w:szCs w:val="20"/>
        </w:rPr>
      </w:pPr>
      <w:bookmarkStart w:id="2" w:name="_Toc356978421"/>
      <w:bookmarkStart w:id="3" w:name="_Toc370798915"/>
      <w:bookmarkStart w:id="4" w:name="_Toc450990221"/>
      <w:bookmarkStart w:id="5" w:name="_Toc451151268"/>
      <w:bookmarkStart w:id="6" w:name="OLE_LINK1"/>
      <w:bookmarkStart w:id="7" w:name="OLE_LINK2"/>
      <w:r w:rsidRPr="00D85665">
        <w:t>Summary</w:t>
      </w:r>
      <w:bookmarkEnd w:id="2"/>
    </w:p>
    <w:p w14:paraId="40F02493" w14:textId="77777777" w:rsidR="00D85665" w:rsidRDefault="00C40F50" w:rsidP="00D85665">
      <w:pPr>
        <w:pStyle w:val="standard"/>
      </w:pPr>
      <w:r>
        <w:t>This decision</w:t>
      </w:r>
      <w:r w:rsidR="00D85665" w:rsidRPr="00D85665">
        <w:t xml:space="preserve"> approve</w:t>
      </w:r>
      <w:r>
        <w:t>s</w:t>
      </w:r>
      <w:r w:rsidR="0094372C">
        <w:t xml:space="preserve"> the Settlement A</w:t>
      </w:r>
      <w:r w:rsidR="00D85665" w:rsidRPr="00D85665">
        <w:t xml:space="preserve">greement </w:t>
      </w:r>
      <w:r w:rsidR="00E57556">
        <w:t xml:space="preserve">between </w:t>
      </w:r>
      <w:r w:rsidR="003E4EB8">
        <w:t>four Class A</w:t>
      </w:r>
      <w:r w:rsidR="003E4EB8" w:rsidRPr="00D85665">
        <w:t xml:space="preserve"> water companies doing busi</w:t>
      </w:r>
      <w:r w:rsidR="003E4EB8">
        <w:t>ness in California</w:t>
      </w:r>
      <w:r w:rsidR="00990AA0">
        <w:t xml:space="preserve"> and the Commission’s Division of Ratepayer Advocates</w:t>
      </w:r>
      <w:r w:rsidR="00455039">
        <w:t xml:space="preserve"> (DRA)</w:t>
      </w:r>
      <w:r w:rsidR="00990AA0">
        <w:t xml:space="preserve">.  The </w:t>
      </w:r>
      <w:r w:rsidR="00AC6B7A">
        <w:t xml:space="preserve">applicant </w:t>
      </w:r>
      <w:r w:rsidR="00990AA0">
        <w:t>water companies are:</w:t>
      </w:r>
      <w:r w:rsidR="00D16298">
        <w:t xml:space="preserve"> </w:t>
      </w:r>
      <w:r w:rsidR="003E4EB8">
        <w:t xml:space="preserve"> </w:t>
      </w:r>
      <w:r>
        <w:t>Park Water Company and Apple Valley Ranchos Water Company, jointly</w:t>
      </w:r>
      <w:r w:rsidR="00990AA0">
        <w:t>;</w:t>
      </w:r>
      <w:r>
        <w:t xml:space="preserve"> San Gabriel Valley Water Company</w:t>
      </w:r>
      <w:r w:rsidR="00990AA0">
        <w:t>;</w:t>
      </w:r>
      <w:r>
        <w:t xml:space="preserve"> Suburban Water Systems</w:t>
      </w:r>
      <w:r w:rsidR="00990AA0">
        <w:t>;</w:t>
      </w:r>
      <w:r>
        <w:t xml:space="preserve"> and</w:t>
      </w:r>
      <w:r w:rsidR="00990AA0">
        <w:t>,</w:t>
      </w:r>
      <w:r>
        <w:t xml:space="preserve"> Great Oaks Water Company</w:t>
      </w:r>
      <w:r w:rsidR="00D85665" w:rsidRPr="00D85665">
        <w:t xml:space="preserve">.  As shown in Table I, the approved </w:t>
      </w:r>
      <w:r w:rsidR="0094372C">
        <w:t>Settlement A</w:t>
      </w:r>
      <w:r w:rsidR="00976A3C">
        <w:t>greement</w:t>
      </w:r>
      <w:r w:rsidR="00474D58">
        <w:t xml:space="preserve"> establishes cost</w:t>
      </w:r>
      <w:r w:rsidR="00D85665" w:rsidRPr="00D85665">
        <w:t xml:space="preserve"> of capital (debt and equity), capital structures and rates of return for the </w:t>
      </w:r>
      <w:r w:rsidR="00990AA0">
        <w:t>water companies</w:t>
      </w:r>
      <w:r w:rsidR="00D85665" w:rsidRPr="00D85665">
        <w:t xml:space="preserve"> for the period 201</w:t>
      </w:r>
      <w:r w:rsidR="00671638">
        <w:t>3</w:t>
      </w:r>
      <w:r w:rsidR="00D85665" w:rsidRPr="00D85665">
        <w:t>-</w:t>
      </w:r>
      <w:r w:rsidR="0044356D">
        <w:t>2015</w:t>
      </w:r>
      <w:r w:rsidR="00D85665" w:rsidRPr="00D85665">
        <w:t xml:space="preserve">. </w:t>
      </w:r>
      <w:r w:rsidR="00D16298">
        <w:t xml:space="preserve"> </w:t>
      </w:r>
      <w:r w:rsidR="00B368BA">
        <w:t xml:space="preserve"> </w:t>
      </w:r>
      <w:r w:rsidR="0044356D">
        <w:t>Great Oaks Water Company’s application covers the period of July 1, 2013 to June 30, 2016.</w:t>
      </w:r>
    </w:p>
    <w:p w14:paraId="57B7E86D" w14:textId="77777777" w:rsidR="00D85665" w:rsidRPr="00B368BA" w:rsidRDefault="00D85665" w:rsidP="00D85665">
      <w:pPr>
        <w:autoSpaceDE w:val="0"/>
        <w:autoSpaceDN w:val="0"/>
        <w:adjustRightInd w:val="0"/>
        <w:jc w:val="center"/>
        <w:rPr>
          <w:b/>
          <w:szCs w:val="26"/>
        </w:rPr>
      </w:pPr>
      <w:r w:rsidRPr="00B368BA">
        <w:rPr>
          <w:b/>
          <w:szCs w:val="26"/>
        </w:rPr>
        <w:t>Table I</w:t>
      </w:r>
    </w:p>
    <w:p w14:paraId="455C934F" w14:textId="77777777" w:rsidR="00D85665" w:rsidRPr="00B368BA" w:rsidRDefault="00D85665" w:rsidP="00D85665">
      <w:pPr>
        <w:autoSpaceDE w:val="0"/>
        <w:autoSpaceDN w:val="0"/>
        <w:adjustRightInd w:val="0"/>
        <w:jc w:val="center"/>
        <w:rPr>
          <w:b/>
          <w:szCs w:val="26"/>
        </w:rPr>
      </w:pPr>
      <w:r w:rsidRPr="00B368BA">
        <w:rPr>
          <w:b/>
          <w:szCs w:val="26"/>
        </w:rPr>
        <w:t xml:space="preserve">Financial Terms of Approved Settlement Agreement </w:t>
      </w:r>
    </w:p>
    <w:p w14:paraId="0B8C2541" w14:textId="77777777" w:rsidR="00D85665" w:rsidRPr="00B368BA" w:rsidRDefault="00D85665" w:rsidP="00D85665">
      <w:pPr>
        <w:autoSpaceDE w:val="0"/>
        <w:autoSpaceDN w:val="0"/>
        <w:adjustRightInd w:val="0"/>
        <w:jc w:val="center"/>
        <w:rPr>
          <w:b/>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980"/>
        <w:gridCol w:w="1800"/>
        <w:gridCol w:w="3600"/>
        <w:gridCol w:w="2115"/>
      </w:tblGrid>
      <w:tr w:rsidR="003361DA" w:rsidRPr="00C40F50" w14:paraId="4E28D0FD" w14:textId="77777777" w:rsidTr="00473F1D">
        <w:trPr>
          <w:trHeight w:val="719"/>
          <w:jc w:val="center"/>
        </w:trPr>
        <w:tc>
          <w:tcPr>
            <w:tcW w:w="1395" w:type="dxa"/>
            <w:shd w:val="clear" w:color="auto" w:fill="auto"/>
          </w:tcPr>
          <w:p w14:paraId="1A7DE324" w14:textId="77777777" w:rsidR="003361DA" w:rsidRPr="00C40F50" w:rsidRDefault="003361DA" w:rsidP="00474D58">
            <w:pPr>
              <w:autoSpaceDE w:val="0"/>
              <w:autoSpaceDN w:val="0"/>
              <w:adjustRightInd w:val="0"/>
              <w:spacing w:before="40" w:after="40"/>
              <w:rPr>
                <w:b/>
                <w:szCs w:val="26"/>
              </w:rPr>
            </w:pPr>
            <w:r w:rsidRPr="00C40F50">
              <w:rPr>
                <w:b/>
                <w:szCs w:val="26"/>
              </w:rPr>
              <w:t>Company</w:t>
            </w:r>
          </w:p>
        </w:tc>
        <w:tc>
          <w:tcPr>
            <w:tcW w:w="1980" w:type="dxa"/>
            <w:shd w:val="clear" w:color="auto" w:fill="auto"/>
          </w:tcPr>
          <w:p w14:paraId="6A7F9C37" w14:textId="77777777" w:rsidR="003361DA" w:rsidRPr="00C40F50" w:rsidRDefault="003361DA" w:rsidP="00663034">
            <w:pPr>
              <w:autoSpaceDE w:val="0"/>
              <w:autoSpaceDN w:val="0"/>
              <w:adjustRightInd w:val="0"/>
              <w:spacing w:before="40" w:after="40"/>
              <w:jc w:val="center"/>
              <w:rPr>
                <w:b/>
                <w:szCs w:val="26"/>
              </w:rPr>
            </w:pPr>
            <w:r w:rsidRPr="00C40F50">
              <w:rPr>
                <w:b/>
                <w:szCs w:val="26"/>
              </w:rPr>
              <w:t>Cost of Equity</w:t>
            </w:r>
          </w:p>
        </w:tc>
        <w:tc>
          <w:tcPr>
            <w:tcW w:w="1800" w:type="dxa"/>
            <w:shd w:val="clear" w:color="auto" w:fill="auto"/>
          </w:tcPr>
          <w:p w14:paraId="3C98D667" w14:textId="77777777" w:rsidR="003361DA" w:rsidRPr="00C40F50" w:rsidRDefault="003361DA" w:rsidP="00663034">
            <w:pPr>
              <w:autoSpaceDE w:val="0"/>
              <w:autoSpaceDN w:val="0"/>
              <w:adjustRightInd w:val="0"/>
              <w:spacing w:before="40" w:after="40"/>
              <w:jc w:val="center"/>
              <w:rPr>
                <w:b/>
                <w:szCs w:val="26"/>
              </w:rPr>
            </w:pPr>
            <w:r w:rsidRPr="00C40F50">
              <w:rPr>
                <w:b/>
                <w:szCs w:val="26"/>
              </w:rPr>
              <w:t>Cost of Debt</w:t>
            </w:r>
          </w:p>
        </w:tc>
        <w:tc>
          <w:tcPr>
            <w:tcW w:w="3600" w:type="dxa"/>
            <w:shd w:val="clear" w:color="auto" w:fill="auto"/>
          </w:tcPr>
          <w:p w14:paraId="4E6600E3" w14:textId="77777777" w:rsidR="003361DA" w:rsidRPr="00C40F50" w:rsidRDefault="003361DA" w:rsidP="00663034">
            <w:pPr>
              <w:autoSpaceDE w:val="0"/>
              <w:autoSpaceDN w:val="0"/>
              <w:adjustRightInd w:val="0"/>
              <w:spacing w:before="40" w:after="40"/>
              <w:jc w:val="center"/>
              <w:rPr>
                <w:b/>
                <w:szCs w:val="26"/>
              </w:rPr>
            </w:pPr>
            <w:r w:rsidRPr="00C40F50">
              <w:rPr>
                <w:b/>
                <w:szCs w:val="26"/>
              </w:rPr>
              <w:t>Capital Structure</w:t>
            </w:r>
          </w:p>
        </w:tc>
        <w:tc>
          <w:tcPr>
            <w:tcW w:w="2115" w:type="dxa"/>
            <w:shd w:val="clear" w:color="auto" w:fill="auto"/>
          </w:tcPr>
          <w:p w14:paraId="3A3CEBA4" w14:textId="77777777" w:rsidR="003361DA" w:rsidRPr="00C40F50" w:rsidRDefault="003361DA" w:rsidP="00663034">
            <w:pPr>
              <w:autoSpaceDE w:val="0"/>
              <w:autoSpaceDN w:val="0"/>
              <w:adjustRightInd w:val="0"/>
              <w:spacing w:before="40" w:after="40"/>
              <w:jc w:val="center"/>
              <w:rPr>
                <w:b/>
                <w:szCs w:val="26"/>
              </w:rPr>
            </w:pPr>
            <w:r w:rsidRPr="00C40F50">
              <w:rPr>
                <w:b/>
                <w:szCs w:val="26"/>
              </w:rPr>
              <w:t>Rate of Return</w:t>
            </w:r>
          </w:p>
        </w:tc>
      </w:tr>
      <w:tr w:rsidR="003361DA" w:rsidRPr="00663034" w14:paraId="3F6EB81E" w14:textId="77777777" w:rsidTr="00663034">
        <w:trPr>
          <w:jc w:val="center"/>
        </w:trPr>
        <w:tc>
          <w:tcPr>
            <w:tcW w:w="1395" w:type="dxa"/>
            <w:shd w:val="clear" w:color="auto" w:fill="auto"/>
          </w:tcPr>
          <w:p w14:paraId="0EE64EA8" w14:textId="77777777" w:rsidR="003361DA" w:rsidRPr="00976A3C" w:rsidRDefault="00976A3C" w:rsidP="009A43FE">
            <w:pPr>
              <w:autoSpaceDE w:val="0"/>
              <w:autoSpaceDN w:val="0"/>
              <w:adjustRightInd w:val="0"/>
              <w:rPr>
                <w:sz w:val="20"/>
              </w:rPr>
            </w:pPr>
            <w:r w:rsidRPr="00976A3C">
              <w:rPr>
                <w:sz w:val="20"/>
              </w:rPr>
              <w:t>Park/Appl</w:t>
            </w:r>
            <w:r>
              <w:rPr>
                <w:sz w:val="20"/>
              </w:rPr>
              <w:t xml:space="preserve">e </w:t>
            </w:r>
            <w:r w:rsidRPr="00976A3C">
              <w:rPr>
                <w:sz w:val="20"/>
              </w:rPr>
              <w:t>Valley Ranchos</w:t>
            </w:r>
            <w:r w:rsidR="00474D58">
              <w:rPr>
                <w:sz w:val="20"/>
              </w:rPr>
              <w:t xml:space="preserve"> Water Compan</w:t>
            </w:r>
            <w:r w:rsidR="009A43FE">
              <w:rPr>
                <w:sz w:val="20"/>
              </w:rPr>
              <w:t>ies</w:t>
            </w:r>
          </w:p>
        </w:tc>
        <w:tc>
          <w:tcPr>
            <w:tcW w:w="1980" w:type="dxa"/>
            <w:shd w:val="clear" w:color="auto" w:fill="auto"/>
          </w:tcPr>
          <w:p w14:paraId="34644738" w14:textId="77777777" w:rsidR="003361DA" w:rsidRPr="004D5CED" w:rsidRDefault="003361DA" w:rsidP="00281281">
            <w:pPr>
              <w:autoSpaceDE w:val="0"/>
              <w:autoSpaceDN w:val="0"/>
              <w:adjustRightInd w:val="0"/>
              <w:rPr>
                <w:sz w:val="20"/>
              </w:rPr>
            </w:pPr>
            <w:r w:rsidRPr="004D5CED">
              <w:rPr>
                <w:sz w:val="20"/>
              </w:rPr>
              <w:t>9.</w:t>
            </w:r>
            <w:r w:rsidR="00281281" w:rsidRPr="004D5CED">
              <w:rPr>
                <w:sz w:val="20"/>
              </w:rPr>
              <w:t>7</w:t>
            </w:r>
            <w:r w:rsidRPr="004D5CED">
              <w:rPr>
                <w:sz w:val="20"/>
              </w:rPr>
              <w:t>9</w:t>
            </w:r>
            <w:r w:rsidR="00FA40BE" w:rsidRPr="004D5CED">
              <w:rPr>
                <w:sz w:val="20"/>
              </w:rPr>
              <w:t xml:space="preserve"> percent</w:t>
            </w:r>
          </w:p>
        </w:tc>
        <w:tc>
          <w:tcPr>
            <w:tcW w:w="1800" w:type="dxa"/>
            <w:shd w:val="clear" w:color="auto" w:fill="auto"/>
          </w:tcPr>
          <w:p w14:paraId="060CEE10" w14:textId="77777777" w:rsidR="003361DA" w:rsidRPr="004D5CED" w:rsidRDefault="00281281" w:rsidP="00663034">
            <w:pPr>
              <w:autoSpaceDE w:val="0"/>
              <w:autoSpaceDN w:val="0"/>
              <w:adjustRightInd w:val="0"/>
              <w:rPr>
                <w:sz w:val="20"/>
              </w:rPr>
            </w:pPr>
            <w:r w:rsidRPr="004D5CED">
              <w:rPr>
                <w:sz w:val="20"/>
              </w:rPr>
              <w:t>8.12</w:t>
            </w:r>
            <w:r w:rsidR="00FA40BE" w:rsidRPr="004D5CED">
              <w:rPr>
                <w:sz w:val="20"/>
              </w:rPr>
              <w:t xml:space="preserve"> percent</w:t>
            </w:r>
          </w:p>
        </w:tc>
        <w:tc>
          <w:tcPr>
            <w:tcW w:w="3600" w:type="dxa"/>
            <w:shd w:val="clear" w:color="auto" w:fill="auto"/>
          </w:tcPr>
          <w:p w14:paraId="39159090" w14:textId="77777777" w:rsidR="003361DA" w:rsidRPr="004D5CED" w:rsidRDefault="003361DA" w:rsidP="00281281">
            <w:pPr>
              <w:autoSpaceDE w:val="0"/>
              <w:autoSpaceDN w:val="0"/>
              <w:adjustRightInd w:val="0"/>
              <w:rPr>
                <w:sz w:val="20"/>
              </w:rPr>
            </w:pPr>
            <w:r w:rsidRPr="004D5CED">
              <w:rPr>
                <w:sz w:val="20"/>
              </w:rPr>
              <w:t>4</w:t>
            </w:r>
            <w:r w:rsidR="00281281" w:rsidRPr="004D5CED">
              <w:rPr>
                <w:sz w:val="20"/>
              </w:rPr>
              <w:t>3.0</w:t>
            </w:r>
            <w:r w:rsidR="00FA40BE" w:rsidRPr="004D5CED">
              <w:rPr>
                <w:sz w:val="20"/>
              </w:rPr>
              <w:t xml:space="preserve"> percent</w:t>
            </w:r>
            <w:r w:rsidRPr="004D5CED">
              <w:rPr>
                <w:sz w:val="20"/>
              </w:rPr>
              <w:t xml:space="preserve"> debt, </w:t>
            </w:r>
            <w:r w:rsidR="00281281" w:rsidRPr="004D5CED">
              <w:rPr>
                <w:sz w:val="20"/>
              </w:rPr>
              <w:t>57.0</w:t>
            </w:r>
            <w:r w:rsidR="00FA40BE" w:rsidRPr="004D5CED">
              <w:rPr>
                <w:sz w:val="20"/>
              </w:rPr>
              <w:t xml:space="preserve"> percent</w:t>
            </w:r>
            <w:r w:rsidRPr="004D5CED">
              <w:rPr>
                <w:sz w:val="20"/>
              </w:rPr>
              <w:t xml:space="preserve"> equity</w:t>
            </w:r>
          </w:p>
        </w:tc>
        <w:tc>
          <w:tcPr>
            <w:tcW w:w="2115" w:type="dxa"/>
            <w:shd w:val="clear" w:color="auto" w:fill="auto"/>
          </w:tcPr>
          <w:p w14:paraId="0B57B95C" w14:textId="77777777" w:rsidR="003361DA" w:rsidRPr="004D5CED" w:rsidRDefault="00281281" w:rsidP="00663034">
            <w:pPr>
              <w:autoSpaceDE w:val="0"/>
              <w:autoSpaceDN w:val="0"/>
              <w:adjustRightInd w:val="0"/>
              <w:rPr>
                <w:sz w:val="20"/>
              </w:rPr>
            </w:pPr>
            <w:r w:rsidRPr="004D5CED">
              <w:rPr>
                <w:sz w:val="20"/>
              </w:rPr>
              <w:t>9.07</w:t>
            </w:r>
            <w:r w:rsidR="00FA40BE" w:rsidRPr="004D5CED">
              <w:rPr>
                <w:sz w:val="20"/>
              </w:rPr>
              <w:t xml:space="preserve"> percent</w:t>
            </w:r>
          </w:p>
        </w:tc>
      </w:tr>
      <w:tr w:rsidR="003361DA" w:rsidRPr="00663034" w14:paraId="6A659486" w14:textId="77777777" w:rsidTr="00663034">
        <w:trPr>
          <w:jc w:val="center"/>
        </w:trPr>
        <w:tc>
          <w:tcPr>
            <w:tcW w:w="1395" w:type="dxa"/>
            <w:shd w:val="clear" w:color="auto" w:fill="auto"/>
          </w:tcPr>
          <w:p w14:paraId="159A2B7F" w14:textId="77777777" w:rsidR="003361DA" w:rsidRPr="004D5CED" w:rsidRDefault="00976A3C" w:rsidP="00663034">
            <w:pPr>
              <w:autoSpaceDE w:val="0"/>
              <w:autoSpaceDN w:val="0"/>
              <w:adjustRightInd w:val="0"/>
              <w:rPr>
                <w:sz w:val="20"/>
              </w:rPr>
            </w:pPr>
            <w:r w:rsidRPr="004D5CED">
              <w:rPr>
                <w:sz w:val="20"/>
              </w:rPr>
              <w:t>San Gabriel</w:t>
            </w:r>
            <w:r w:rsidR="00474D58" w:rsidRPr="004D5CED">
              <w:rPr>
                <w:sz w:val="20"/>
              </w:rPr>
              <w:t xml:space="preserve"> Valley Water Company</w:t>
            </w:r>
          </w:p>
        </w:tc>
        <w:tc>
          <w:tcPr>
            <w:tcW w:w="1980" w:type="dxa"/>
            <w:shd w:val="clear" w:color="auto" w:fill="auto"/>
          </w:tcPr>
          <w:p w14:paraId="56835D62" w14:textId="77777777" w:rsidR="003361DA" w:rsidRPr="004D5CED" w:rsidRDefault="003361DA" w:rsidP="00281281">
            <w:pPr>
              <w:autoSpaceDE w:val="0"/>
              <w:autoSpaceDN w:val="0"/>
              <w:adjustRightInd w:val="0"/>
              <w:rPr>
                <w:sz w:val="20"/>
              </w:rPr>
            </w:pPr>
            <w:r w:rsidRPr="004D5CED">
              <w:rPr>
                <w:sz w:val="20"/>
              </w:rPr>
              <w:t>9.</w:t>
            </w:r>
            <w:r w:rsidR="00281281" w:rsidRPr="004D5CED">
              <w:rPr>
                <w:sz w:val="20"/>
              </w:rPr>
              <w:t>7</w:t>
            </w:r>
            <w:r w:rsidRPr="004D5CED">
              <w:rPr>
                <w:sz w:val="20"/>
              </w:rPr>
              <w:t>9</w:t>
            </w:r>
            <w:r w:rsidR="00FA40BE" w:rsidRPr="004D5CED">
              <w:rPr>
                <w:sz w:val="20"/>
              </w:rPr>
              <w:t xml:space="preserve"> percent</w:t>
            </w:r>
          </w:p>
        </w:tc>
        <w:tc>
          <w:tcPr>
            <w:tcW w:w="1800" w:type="dxa"/>
            <w:shd w:val="clear" w:color="auto" w:fill="auto"/>
          </w:tcPr>
          <w:p w14:paraId="08A265ED" w14:textId="77777777" w:rsidR="003361DA" w:rsidRPr="004D5CED" w:rsidRDefault="00281281" w:rsidP="00663034">
            <w:pPr>
              <w:autoSpaceDE w:val="0"/>
              <w:autoSpaceDN w:val="0"/>
              <w:adjustRightInd w:val="0"/>
              <w:rPr>
                <w:sz w:val="20"/>
              </w:rPr>
            </w:pPr>
            <w:r w:rsidRPr="004D5CED">
              <w:rPr>
                <w:sz w:val="20"/>
              </w:rPr>
              <w:t>6.26</w:t>
            </w:r>
            <w:r w:rsidR="00FA40BE" w:rsidRPr="004D5CED">
              <w:rPr>
                <w:sz w:val="20"/>
              </w:rPr>
              <w:t xml:space="preserve"> percent</w:t>
            </w:r>
          </w:p>
        </w:tc>
        <w:tc>
          <w:tcPr>
            <w:tcW w:w="3600" w:type="dxa"/>
            <w:shd w:val="clear" w:color="auto" w:fill="auto"/>
          </w:tcPr>
          <w:p w14:paraId="592CE919" w14:textId="77777777" w:rsidR="003361DA" w:rsidRPr="004D5CED" w:rsidRDefault="00281281" w:rsidP="00663034">
            <w:pPr>
              <w:autoSpaceDE w:val="0"/>
              <w:autoSpaceDN w:val="0"/>
              <w:adjustRightInd w:val="0"/>
              <w:rPr>
                <w:sz w:val="20"/>
              </w:rPr>
            </w:pPr>
            <w:r w:rsidRPr="004D5CED">
              <w:rPr>
                <w:sz w:val="20"/>
              </w:rPr>
              <w:t>3</w:t>
            </w:r>
            <w:r w:rsidR="003361DA" w:rsidRPr="004D5CED">
              <w:rPr>
                <w:sz w:val="20"/>
              </w:rPr>
              <w:t>7.0</w:t>
            </w:r>
            <w:r w:rsidR="00FA40BE" w:rsidRPr="004D5CED">
              <w:rPr>
                <w:sz w:val="20"/>
              </w:rPr>
              <w:t xml:space="preserve"> percent</w:t>
            </w:r>
            <w:r w:rsidRPr="004D5CED">
              <w:rPr>
                <w:sz w:val="20"/>
              </w:rPr>
              <w:t xml:space="preserve"> debt, 6</w:t>
            </w:r>
            <w:r w:rsidR="003361DA" w:rsidRPr="004D5CED">
              <w:rPr>
                <w:sz w:val="20"/>
              </w:rPr>
              <w:t>3.0</w:t>
            </w:r>
            <w:r w:rsidR="00FA40BE" w:rsidRPr="004D5CED">
              <w:rPr>
                <w:sz w:val="20"/>
              </w:rPr>
              <w:t xml:space="preserve"> percent</w:t>
            </w:r>
            <w:r w:rsidR="003361DA" w:rsidRPr="004D5CED">
              <w:rPr>
                <w:sz w:val="20"/>
              </w:rPr>
              <w:t xml:space="preserve"> equity</w:t>
            </w:r>
          </w:p>
        </w:tc>
        <w:tc>
          <w:tcPr>
            <w:tcW w:w="2115" w:type="dxa"/>
            <w:shd w:val="clear" w:color="auto" w:fill="auto"/>
          </w:tcPr>
          <w:p w14:paraId="2AF7402C" w14:textId="77777777" w:rsidR="003361DA" w:rsidRPr="004D5CED" w:rsidRDefault="00281281" w:rsidP="00663034">
            <w:pPr>
              <w:autoSpaceDE w:val="0"/>
              <w:autoSpaceDN w:val="0"/>
              <w:adjustRightInd w:val="0"/>
              <w:rPr>
                <w:sz w:val="20"/>
              </w:rPr>
            </w:pPr>
            <w:r w:rsidRPr="004D5CED">
              <w:rPr>
                <w:sz w:val="20"/>
              </w:rPr>
              <w:t>8.49</w:t>
            </w:r>
            <w:r w:rsidR="00FA40BE" w:rsidRPr="004D5CED">
              <w:rPr>
                <w:sz w:val="20"/>
              </w:rPr>
              <w:t xml:space="preserve"> percent</w:t>
            </w:r>
          </w:p>
        </w:tc>
      </w:tr>
      <w:tr w:rsidR="003361DA" w:rsidRPr="00663034" w14:paraId="3A2A5976" w14:textId="77777777" w:rsidTr="00663034">
        <w:trPr>
          <w:jc w:val="center"/>
        </w:trPr>
        <w:tc>
          <w:tcPr>
            <w:tcW w:w="1395" w:type="dxa"/>
            <w:shd w:val="clear" w:color="auto" w:fill="auto"/>
          </w:tcPr>
          <w:p w14:paraId="55FFCFE4" w14:textId="77777777" w:rsidR="003361DA" w:rsidRPr="004D5CED" w:rsidRDefault="00976A3C" w:rsidP="00663034">
            <w:pPr>
              <w:autoSpaceDE w:val="0"/>
              <w:autoSpaceDN w:val="0"/>
              <w:adjustRightInd w:val="0"/>
              <w:rPr>
                <w:sz w:val="20"/>
              </w:rPr>
            </w:pPr>
            <w:r w:rsidRPr="004D5CED">
              <w:rPr>
                <w:sz w:val="20"/>
              </w:rPr>
              <w:t>Suburban</w:t>
            </w:r>
            <w:r w:rsidR="00474D58" w:rsidRPr="004D5CED">
              <w:rPr>
                <w:sz w:val="20"/>
              </w:rPr>
              <w:t xml:space="preserve"> Water Systems</w:t>
            </w:r>
          </w:p>
        </w:tc>
        <w:tc>
          <w:tcPr>
            <w:tcW w:w="1980" w:type="dxa"/>
            <w:shd w:val="clear" w:color="auto" w:fill="auto"/>
          </w:tcPr>
          <w:p w14:paraId="51D7374B" w14:textId="77777777" w:rsidR="003361DA" w:rsidRPr="004D5CED" w:rsidRDefault="003361DA" w:rsidP="00281281">
            <w:pPr>
              <w:autoSpaceDE w:val="0"/>
              <w:autoSpaceDN w:val="0"/>
              <w:adjustRightInd w:val="0"/>
              <w:rPr>
                <w:sz w:val="20"/>
              </w:rPr>
            </w:pPr>
            <w:r w:rsidRPr="004D5CED">
              <w:rPr>
                <w:sz w:val="20"/>
              </w:rPr>
              <w:t>9.</w:t>
            </w:r>
            <w:r w:rsidR="00281281" w:rsidRPr="004D5CED">
              <w:rPr>
                <w:sz w:val="20"/>
              </w:rPr>
              <w:t>7</w:t>
            </w:r>
            <w:r w:rsidRPr="004D5CED">
              <w:rPr>
                <w:sz w:val="20"/>
              </w:rPr>
              <w:t>9</w:t>
            </w:r>
            <w:r w:rsidR="00FA40BE" w:rsidRPr="004D5CED">
              <w:rPr>
                <w:sz w:val="20"/>
              </w:rPr>
              <w:t xml:space="preserve"> percent</w:t>
            </w:r>
          </w:p>
        </w:tc>
        <w:tc>
          <w:tcPr>
            <w:tcW w:w="1800" w:type="dxa"/>
            <w:shd w:val="clear" w:color="auto" w:fill="auto"/>
          </w:tcPr>
          <w:p w14:paraId="48710D70" w14:textId="77777777" w:rsidR="003361DA" w:rsidRPr="004D5CED" w:rsidRDefault="00A7349C" w:rsidP="00663034">
            <w:pPr>
              <w:autoSpaceDE w:val="0"/>
              <w:autoSpaceDN w:val="0"/>
              <w:adjustRightInd w:val="0"/>
              <w:rPr>
                <w:sz w:val="20"/>
              </w:rPr>
            </w:pPr>
            <w:r w:rsidRPr="004D5CED">
              <w:rPr>
                <w:sz w:val="20"/>
              </w:rPr>
              <w:t>7.05</w:t>
            </w:r>
            <w:r w:rsidR="00FA40BE" w:rsidRPr="004D5CED">
              <w:rPr>
                <w:sz w:val="20"/>
              </w:rPr>
              <w:t xml:space="preserve"> percent</w:t>
            </w:r>
          </w:p>
        </w:tc>
        <w:tc>
          <w:tcPr>
            <w:tcW w:w="3600" w:type="dxa"/>
            <w:shd w:val="clear" w:color="auto" w:fill="auto"/>
          </w:tcPr>
          <w:p w14:paraId="341D6FAF" w14:textId="77777777" w:rsidR="003361DA" w:rsidRPr="004D5CED" w:rsidRDefault="00281281" w:rsidP="00663034">
            <w:pPr>
              <w:autoSpaceDE w:val="0"/>
              <w:autoSpaceDN w:val="0"/>
              <w:adjustRightInd w:val="0"/>
              <w:rPr>
                <w:sz w:val="20"/>
              </w:rPr>
            </w:pPr>
            <w:r w:rsidRPr="004D5CED">
              <w:rPr>
                <w:sz w:val="20"/>
              </w:rPr>
              <w:t>37</w:t>
            </w:r>
            <w:r w:rsidR="003361DA" w:rsidRPr="004D5CED">
              <w:rPr>
                <w:sz w:val="20"/>
              </w:rPr>
              <w:t>.0</w:t>
            </w:r>
            <w:r w:rsidR="00FA40BE" w:rsidRPr="004D5CED">
              <w:rPr>
                <w:sz w:val="20"/>
              </w:rPr>
              <w:t xml:space="preserve"> percent</w:t>
            </w:r>
            <w:r w:rsidR="003361DA" w:rsidRPr="004D5CED">
              <w:rPr>
                <w:sz w:val="20"/>
              </w:rPr>
              <w:t xml:space="preserve"> debt,</w:t>
            </w:r>
            <w:r w:rsidRPr="004D5CED">
              <w:rPr>
                <w:sz w:val="20"/>
              </w:rPr>
              <w:t xml:space="preserve"> 3.0 percent preferred stock,</w:t>
            </w:r>
            <w:r w:rsidR="00A7349C" w:rsidRPr="004D5CED">
              <w:rPr>
                <w:sz w:val="20"/>
              </w:rPr>
              <w:t xml:space="preserve"> 60</w:t>
            </w:r>
            <w:r w:rsidR="003361DA" w:rsidRPr="004D5CED">
              <w:rPr>
                <w:sz w:val="20"/>
              </w:rPr>
              <w:t>.0</w:t>
            </w:r>
            <w:r w:rsidR="00FA40BE" w:rsidRPr="004D5CED">
              <w:rPr>
                <w:sz w:val="20"/>
              </w:rPr>
              <w:t xml:space="preserve"> percent</w:t>
            </w:r>
            <w:r w:rsidR="003361DA" w:rsidRPr="004D5CED">
              <w:rPr>
                <w:sz w:val="20"/>
              </w:rPr>
              <w:t xml:space="preserve"> equity</w:t>
            </w:r>
          </w:p>
        </w:tc>
        <w:tc>
          <w:tcPr>
            <w:tcW w:w="2115" w:type="dxa"/>
            <w:shd w:val="clear" w:color="auto" w:fill="auto"/>
          </w:tcPr>
          <w:p w14:paraId="685258ED" w14:textId="77777777" w:rsidR="003361DA" w:rsidRPr="004D5CED" w:rsidRDefault="00A7349C" w:rsidP="00663034">
            <w:pPr>
              <w:autoSpaceDE w:val="0"/>
              <w:autoSpaceDN w:val="0"/>
              <w:adjustRightInd w:val="0"/>
              <w:rPr>
                <w:sz w:val="20"/>
              </w:rPr>
            </w:pPr>
            <w:r w:rsidRPr="004D5CED">
              <w:rPr>
                <w:sz w:val="20"/>
              </w:rPr>
              <w:t>8.61</w:t>
            </w:r>
            <w:r w:rsidR="00FA40BE" w:rsidRPr="004D5CED">
              <w:rPr>
                <w:sz w:val="20"/>
              </w:rPr>
              <w:t xml:space="preserve"> percent</w:t>
            </w:r>
          </w:p>
        </w:tc>
      </w:tr>
      <w:tr w:rsidR="003361DA" w:rsidRPr="00663034" w14:paraId="3E47B3F1" w14:textId="77777777" w:rsidTr="00663034">
        <w:trPr>
          <w:jc w:val="center"/>
        </w:trPr>
        <w:tc>
          <w:tcPr>
            <w:tcW w:w="1395" w:type="dxa"/>
            <w:shd w:val="clear" w:color="auto" w:fill="auto"/>
          </w:tcPr>
          <w:p w14:paraId="05B6C3C9" w14:textId="77777777" w:rsidR="003361DA" w:rsidRPr="004D5CED" w:rsidRDefault="00976A3C" w:rsidP="00663034">
            <w:pPr>
              <w:autoSpaceDE w:val="0"/>
              <w:autoSpaceDN w:val="0"/>
              <w:adjustRightInd w:val="0"/>
              <w:rPr>
                <w:sz w:val="20"/>
              </w:rPr>
            </w:pPr>
            <w:r w:rsidRPr="004D5CED">
              <w:rPr>
                <w:sz w:val="20"/>
              </w:rPr>
              <w:t>Great Oaks</w:t>
            </w:r>
            <w:r w:rsidR="009A43FE" w:rsidRPr="004D5CED">
              <w:rPr>
                <w:sz w:val="20"/>
              </w:rPr>
              <w:t xml:space="preserve"> Water Company</w:t>
            </w:r>
          </w:p>
        </w:tc>
        <w:tc>
          <w:tcPr>
            <w:tcW w:w="1980" w:type="dxa"/>
            <w:shd w:val="clear" w:color="auto" w:fill="auto"/>
          </w:tcPr>
          <w:p w14:paraId="4F81A72C" w14:textId="77777777" w:rsidR="003361DA" w:rsidRPr="004D5CED" w:rsidRDefault="003361DA" w:rsidP="00281281">
            <w:pPr>
              <w:autoSpaceDE w:val="0"/>
              <w:autoSpaceDN w:val="0"/>
              <w:adjustRightInd w:val="0"/>
              <w:rPr>
                <w:sz w:val="20"/>
              </w:rPr>
            </w:pPr>
            <w:r w:rsidRPr="004D5CED">
              <w:rPr>
                <w:sz w:val="20"/>
              </w:rPr>
              <w:t>9.</w:t>
            </w:r>
            <w:r w:rsidR="00281281" w:rsidRPr="004D5CED">
              <w:rPr>
                <w:sz w:val="20"/>
              </w:rPr>
              <w:t>7</w:t>
            </w:r>
            <w:r w:rsidRPr="004D5CED">
              <w:rPr>
                <w:sz w:val="20"/>
              </w:rPr>
              <w:t>9</w:t>
            </w:r>
            <w:r w:rsidR="00FA40BE" w:rsidRPr="004D5CED">
              <w:rPr>
                <w:sz w:val="20"/>
              </w:rPr>
              <w:t xml:space="preserve"> percent</w:t>
            </w:r>
          </w:p>
        </w:tc>
        <w:tc>
          <w:tcPr>
            <w:tcW w:w="1800" w:type="dxa"/>
            <w:shd w:val="clear" w:color="auto" w:fill="auto"/>
          </w:tcPr>
          <w:p w14:paraId="3BF722D1" w14:textId="77777777" w:rsidR="003361DA" w:rsidRPr="004D5CED" w:rsidRDefault="00281281" w:rsidP="00281281">
            <w:pPr>
              <w:autoSpaceDE w:val="0"/>
              <w:autoSpaceDN w:val="0"/>
              <w:adjustRightInd w:val="0"/>
              <w:rPr>
                <w:sz w:val="20"/>
              </w:rPr>
            </w:pPr>
            <w:r w:rsidRPr="004D5CED">
              <w:rPr>
                <w:sz w:val="20"/>
              </w:rPr>
              <w:t>7.50 percent</w:t>
            </w:r>
          </w:p>
        </w:tc>
        <w:tc>
          <w:tcPr>
            <w:tcW w:w="3600" w:type="dxa"/>
            <w:shd w:val="clear" w:color="auto" w:fill="auto"/>
          </w:tcPr>
          <w:p w14:paraId="12FF91FB" w14:textId="77777777" w:rsidR="003361DA" w:rsidRPr="004D5CED" w:rsidRDefault="00281281" w:rsidP="00281281">
            <w:pPr>
              <w:autoSpaceDE w:val="0"/>
              <w:autoSpaceDN w:val="0"/>
              <w:adjustRightInd w:val="0"/>
              <w:rPr>
                <w:sz w:val="20"/>
              </w:rPr>
            </w:pPr>
            <w:r w:rsidRPr="004D5CED">
              <w:rPr>
                <w:sz w:val="20"/>
              </w:rPr>
              <w:t>Imputed 30 percent debt, 70 percent equity</w:t>
            </w:r>
          </w:p>
        </w:tc>
        <w:tc>
          <w:tcPr>
            <w:tcW w:w="2115" w:type="dxa"/>
            <w:shd w:val="clear" w:color="auto" w:fill="auto"/>
          </w:tcPr>
          <w:p w14:paraId="71900CCB" w14:textId="77777777" w:rsidR="003361DA" w:rsidRPr="004D5CED" w:rsidRDefault="00A7349C" w:rsidP="00663034">
            <w:pPr>
              <w:autoSpaceDE w:val="0"/>
              <w:autoSpaceDN w:val="0"/>
              <w:adjustRightInd w:val="0"/>
              <w:rPr>
                <w:sz w:val="20"/>
              </w:rPr>
            </w:pPr>
            <w:r w:rsidRPr="004D5CED">
              <w:rPr>
                <w:sz w:val="20"/>
              </w:rPr>
              <w:t>9.10</w:t>
            </w:r>
            <w:r w:rsidR="00FA40BE" w:rsidRPr="004D5CED">
              <w:rPr>
                <w:sz w:val="20"/>
              </w:rPr>
              <w:t xml:space="preserve"> percent</w:t>
            </w:r>
          </w:p>
        </w:tc>
      </w:tr>
    </w:tbl>
    <w:p w14:paraId="5FCF097A" w14:textId="77777777" w:rsidR="00BE7BD5" w:rsidRDefault="00BE7BD5" w:rsidP="00390E9C">
      <w:pPr>
        <w:pStyle w:val="standard"/>
        <w:spacing w:before="120"/>
      </w:pPr>
      <w:r>
        <w:lastRenderedPageBreak/>
        <w:t xml:space="preserve">Table II </w:t>
      </w:r>
      <w:r w:rsidR="00473F1D">
        <w:t xml:space="preserve">below </w:t>
      </w:r>
      <w:r w:rsidR="0094372C">
        <w:t>illustrates the impact of the Settlement A</w:t>
      </w:r>
      <w:r>
        <w:t xml:space="preserve">greement on each </w:t>
      </w:r>
      <w:r w:rsidR="00473F1D">
        <w:t>company’s</w:t>
      </w:r>
      <w:r>
        <w:t xml:space="preserve"> </w:t>
      </w:r>
      <w:r w:rsidR="00990AA0">
        <w:t xml:space="preserve">currently authorized </w:t>
      </w:r>
      <w:r>
        <w:t>revenue requirement and the average residential customer’s monthly bill.</w:t>
      </w:r>
    </w:p>
    <w:p w14:paraId="24AB80DD" w14:textId="77777777" w:rsidR="00D85665" w:rsidRPr="00B368BA" w:rsidRDefault="00D85665" w:rsidP="00367ECB">
      <w:pPr>
        <w:pStyle w:val="standard"/>
        <w:keepNext/>
        <w:keepLines/>
        <w:ind w:firstLine="0"/>
        <w:jc w:val="center"/>
        <w:rPr>
          <w:b/>
          <w:szCs w:val="26"/>
        </w:rPr>
      </w:pPr>
      <w:r w:rsidRPr="00B368BA">
        <w:rPr>
          <w:b/>
          <w:szCs w:val="26"/>
        </w:rPr>
        <w:t>Table II</w:t>
      </w:r>
    </w:p>
    <w:p w14:paraId="627B5535" w14:textId="77777777" w:rsidR="00473F1D" w:rsidRDefault="00BE7BD5" w:rsidP="00D72223">
      <w:pPr>
        <w:keepNext/>
        <w:keepLines/>
        <w:autoSpaceDE w:val="0"/>
        <w:autoSpaceDN w:val="0"/>
        <w:adjustRightInd w:val="0"/>
        <w:jc w:val="center"/>
        <w:rPr>
          <w:b/>
          <w:szCs w:val="26"/>
        </w:rPr>
      </w:pPr>
      <w:r>
        <w:rPr>
          <w:b/>
          <w:szCs w:val="26"/>
        </w:rPr>
        <w:t>Impact o</w:t>
      </w:r>
      <w:r w:rsidR="00523C0E">
        <w:rPr>
          <w:b/>
          <w:szCs w:val="26"/>
        </w:rPr>
        <w:t>f Settlement</w:t>
      </w:r>
    </w:p>
    <w:p w14:paraId="3080B190" w14:textId="77777777" w:rsidR="00473F1D" w:rsidRDefault="00473F1D" w:rsidP="00D72223">
      <w:pPr>
        <w:keepNext/>
        <w:keepLines/>
        <w:autoSpaceDE w:val="0"/>
        <w:autoSpaceDN w:val="0"/>
        <w:adjustRightInd w:val="0"/>
        <w:jc w:val="center"/>
        <w:rPr>
          <w:b/>
          <w:szCs w:val="26"/>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6"/>
        <w:gridCol w:w="2128"/>
        <w:gridCol w:w="2376"/>
        <w:gridCol w:w="1800"/>
        <w:gridCol w:w="1710"/>
      </w:tblGrid>
      <w:tr w:rsidR="00815799" w:rsidRPr="00403DD4" w14:paraId="551202C3" w14:textId="77777777" w:rsidTr="00367ECB">
        <w:trPr>
          <w:trHeight w:val="70"/>
          <w:jc w:val="center"/>
        </w:trPr>
        <w:tc>
          <w:tcPr>
            <w:tcW w:w="2426" w:type="dxa"/>
            <w:shd w:val="clear" w:color="auto" w:fill="auto"/>
          </w:tcPr>
          <w:p w14:paraId="5428BCF3" w14:textId="77777777" w:rsidR="00815799" w:rsidRPr="00403DD4" w:rsidRDefault="00815799" w:rsidP="00D72223">
            <w:pPr>
              <w:keepNext/>
              <w:keepLines/>
              <w:autoSpaceDE w:val="0"/>
              <w:autoSpaceDN w:val="0"/>
              <w:adjustRightInd w:val="0"/>
              <w:jc w:val="center"/>
              <w:rPr>
                <w:b/>
                <w:szCs w:val="26"/>
              </w:rPr>
            </w:pPr>
            <w:r w:rsidRPr="00403DD4">
              <w:rPr>
                <w:b/>
                <w:szCs w:val="26"/>
              </w:rPr>
              <w:t>Company</w:t>
            </w:r>
          </w:p>
        </w:tc>
        <w:tc>
          <w:tcPr>
            <w:tcW w:w="2128" w:type="dxa"/>
            <w:shd w:val="clear" w:color="auto" w:fill="auto"/>
          </w:tcPr>
          <w:p w14:paraId="39E595BD" w14:textId="77777777" w:rsidR="00815799" w:rsidRDefault="00815799" w:rsidP="00D72223">
            <w:pPr>
              <w:keepNext/>
              <w:keepLines/>
              <w:autoSpaceDE w:val="0"/>
              <w:autoSpaceDN w:val="0"/>
              <w:adjustRightInd w:val="0"/>
              <w:jc w:val="center"/>
              <w:rPr>
                <w:b/>
                <w:szCs w:val="26"/>
              </w:rPr>
            </w:pPr>
            <w:r>
              <w:rPr>
                <w:b/>
                <w:szCs w:val="26"/>
              </w:rPr>
              <w:t>Currently Authorized</w:t>
            </w:r>
          </w:p>
          <w:p w14:paraId="37AE36DF" w14:textId="77777777" w:rsidR="00815799" w:rsidRPr="00403DD4" w:rsidRDefault="00815799" w:rsidP="00D72223">
            <w:pPr>
              <w:keepNext/>
              <w:keepLines/>
              <w:autoSpaceDE w:val="0"/>
              <w:autoSpaceDN w:val="0"/>
              <w:adjustRightInd w:val="0"/>
              <w:jc w:val="center"/>
              <w:rPr>
                <w:b/>
                <w:szCs w:val="26"/>
              </w:rPr>
            </w:pPr>
            <w:r w:rsidRPr="00403DD4">
              <w:rPr>
                <w:b/>
                <w:szCs w:val="26"/>
              </w:rPr>
              <w:t>Revenue Requirement</w:t>
            </w:r>
          </w:p>
        </w:tc>
        <w:tc>
          <w:tcPr>
            <w:tcW w:w="2376" w:type="dxa"/>
          </w:tcPr>
          <w:p w14:paraId="317BE03B" w14:textId="77777777" w:rsidR="00815799" w:rsidRPr="00403DD4" w:rsidRDefault="00815799" w:rsidP="00D72223">
            <w:pPr>
              <w:keepNext/>
              <w:keepLines/>
              <w:autoSpaceDE w:val="0"/>
              <w:autoSpaceDN w:val="0"/>
              <w:adjustRightInd w:val="0"/>
              <w:jc w:val="center"/>
              <w:rPr>
                <w:b/>
                <w:szCs w:val="26"/>
              </w:rPr>
            </w:pPr>
            <w:r>
              <w:rPr>
                <w:b/>
                <w:szCs w:val="26"/>
              </w:rPr>
              <w:t>Settlement Revenue Requirement</w:t>
            </w:r>
          </w:p>
        </w:tc>
        <w:tc>
          <w:tcPr>
            <w:tcW w:w="1800" w:type="dxa"/>
            <w:shd w:val="clear" w:color="auto" w:fill="auto"/>
          </w:tcPr>
          <w:p w14:paraId="7855FB64" w14:textId="77777777" w:rsidR="00815799" w:rsidRPr="00403DD4" w:rsidRDefault="00815799" w:rsidP="00D72223">
            <w:pPr>
              <w:keepNext/>
              <w:keepLines/>
              <w:autoSpaceDE w:val="0"/>
              <w:autoSpaceDN w:val="0"/>
              <w:adjustRightInd w:val="0"/>
              <w:jc w:val="center"/>
              <w:rPr>
                <w:b/>
                <w:szCs w:val="26"/>
              </w:rPr>
            </w:pPr>
            <w:r w:rsidRPr="00403DD4">
              <w:rPr>
                <w:b/>
                <w:szCs w:val="26"/>
              </w:rPr>
              <w:t xml:space="preserve">Average Monthly </w:t>
            </w:r>
            <w:r>
              <w:rPr>
                <w:b/>
                <w:szCs w:val="26"/>
              </w:rPr>
              <w:t>Usage</w:t>
            </w:r>
            <w:r w:rsidRPr="00403DD4">
              <w:rPr>
                <w:b/>
                <w:szCs w:val="26"/>
              </w:rPr>
              <w:t xml:space="preserve"> </w:t>
            </w:r>
          </w:p>
        </w:tc>
        <w:tc>
          <w:tcPr>
            <w:tcW w:w="1710" w:type="dxa"/>
          </w:tcPr>
          <w:p w14:paraId="159A21DE" w14:textId="77777777" w:rsidR="00815799" w:rsidRPr="00403DD4" w:rsidRDefault="00815799" w:rsidP="00D72223">
            <w:pPr>
              <w:keepNext/>
              <w:keepLines/>
              <w:autoSpaceDE w:val="0"/>
              <w:autoSpaceDN w:val="0"/>
              <w:adjustRightInd w:val="0"/>
              <w:jc w:val="center"/>
              <w:rPr>
                <w:b/>
                <w:szCs w:val="26"/>
              </w:rPr>
            </w:pPr>
            <w:r>
              <w:rPr>
                <w:b/>
                <w:szCs w:val="26"/>
              </w:rPr>
              <w:t>Average Monthly Savings</w:t>
            </w:r>
          </w:p>
        </w:tc>
      </w:tr>
      <w:tr w:rsidR="00815799" w:rsidRPr="00403DD4" w14:paraId="6C1E947B" w14:textId="77777777" w:rsidTr="00367ECB">
        <w:trPr>
          <w:jc w:val="center"/>
        </w:trPr>
        <w:tc>
          <w:tcPr>
            <w:tcW w:w="2426" w:type="dxa"/>
            <w:shd w:val="clear" w:color="auto" w:fill="auto"/>
          </w:tcPr>
          <w:p w14:paraId="2F00C6C3" w14:textId="77777777" w:rsidR="00815799" w:rsidRPr="00C40F50" w:rsidRDefault="00815799" w:rsidP="00D72223">
            <w:pPr>
              <w:keepNext/>
              <w:keepLines/>
              <w:autoSpaceDE w:val="0"/>
              <w:autoSpaceDN w:val="0"/>
              <w:adjustRightInd w:val="0"/>
              <w:rPr>
                <w:sz w:val="24"/>
                <w:szCs w:val="24"/>
              </w:rPr>
            </w:pPr>
            <w:r w:rsidRPr="00C40F50">
              <w:rPr>
                <w:sz w:val="24"/>
                <w:szCs w:val="24"/>
              </w:rPr>
              <w:t>Park Water Compan</w:t>
            </w:r>
            <w:r>
              <w:rPr>
                <w:sz w:val="24"/>
                <w:szCs w:val="24"/>
              </w:rPr>
              <w:t>y</w:t>
            </w:r>
          </w:p>
        </w:tc>
        <w:tc>
          <w:tcPr>
            <w:tcW w:w="2128" w:type="dxa"/>
            <w:shd w:val="clear" w:color="auto" w:fill="auto"/>
          </w:tcPr>
          <w:p w14:paraId="4BD5EB19" w14:textId="77777777" w:rsidR="00815799" w:rsidRPr="00A175F9" w:rsidRDefault="00A175F9" w:rsidP="00D72223">
            <w:pPr>
              <w:keepNext/>
              <w:keepLines/>
              <w:autoSpaceDE w:val="0"/>
              <w:autoSpaceDN w:val="0"/>
              <w:adjustRightInd w:val="0"/>
              <w:rPr>
                <w:szCs w:val="26"/>
              </w:rPr>
            </w:pPr>
            <w:r w:rsidRPr="00A175F9">
              <w:rPr>
                <w:szCs w:val="26"/>
              </w:rPr>
              <w:t>$31,301,465</w:t>
            </w:r>
          </w:p>
        </w:tc>
        <w:tc>
          <w:tcPr>
            <w:tcW w:w="2376" w:type="dxa"/>
          </w:tcPr>
          <w:p w14:paraId="68A90A20" w14:textId="77777777" w:rsidR="00815799" w:rsidRPr="00A175F9" w:rsidRDefault="00A175F9" w:rsidP="00D72223">
            <w:pPr>
              <w:keepNext/>
              <w:keepLines/>
              <w:autoSpaceDE w:val="0"/>
              <w:autoSpaceDN w:val="0"/>
              <w:adjustRightInd w:val="0"/>
              <w:rPr>
                <w:szCs w:val="26"/>
              </w:rPr>
            </w:pPr>
            <w:r>
              <w:rPr>
                <w:szCs w:val="26"/>
              </w:rPr>
              <w:t>$31,085,000</w:t>
            </w:r>
          </w:p>
        </w:tc>
        <w:tc>
          <w:tcPr>
            <w:tcW w:w="1800" w:type="dxa"/>
            <w:shd w:val="clear" w:color="auto" w:fill="auto"/>
          </w:tcPr>
          <w:p w14:paraId="37F66AFB" w14:textId="77777777" w:rsidR="00815799" w:rsidRPr="00A175F9" w:rsidRDefault="0055187D" w:rsidP="00D72223">
            <w:pPr>
              <w:keepNext/>
              <w:keepLines/>
              <w:autoSpaceDE w:val="0"/>
              <w:autoSpaceDN w:val="0"/>
              <w:adjustRightInd w:val="0"/>
              <w:rPr>
                <w:szCs w:val="26"/>
              </w:rPr>
            </w:pPr>
            <w:r>
              <w:rPr>
                <w:szCs w:val="26"/>
              </w:rPr>
              <w:t xml:space="preserve">11.26 </w:t>
            </w:r>
            <w:r w:rsidR="00A175F9" w:rsidRPr="00A175F9">
              <w:rPr>
                <w:szCs w:val="26"/>
              </w:rPr>
              <w:t>Ccf</w:t>
            </w:r>
            <w:r>
              <w:rPr>
                <w:rStyle w:val="FootnoteReference"/>
                <w:szCs w:val="26"/>
              </w:rPr>
              <w:footnoteReference w:id="2"/>
            </w:r>
          </w:p>
        </w:tc>
        <w:tc>
          <w:tcPr>
            <w:tcW w:w="1710" w:type="dxa"/>
          </w:tcPr>
          <w:p w14:paraId="0372F49B" w14:textId="77777777" w:rsidR="00815799" w:rsidRPr="00A175F9" w:rsidRDefault="00A175F9" w:rsidP="00D72223">
            <w:pPr>
              <w:keepNext/>
              <w:keepLines/>
              <w:autoSpaceDE w:val="0"/>
              <w:autoSpaceDN w:val="0"/>
              <w:adjustRightInd w:val="0"/>
              <w:rPr>
                <w:szCs w:val="26"/>
              </w:rPr>
            </w:pPr>
            <w:r w:rsidRPr="00A175F9">
              <w:rPr>
                <w:szCs w:val="26"/>
              </w:rPr>
              <w:t>$0.48</w:t>
            </w:r>
          </w:p>
        </w:tc>
      </w:tr>
      <w:tr w:rsidR="002A7B98" w:rsidRPr="00403DD4" w14:paraId="3B2D5487" w14:textId="77777777" w:rsidTr="00367ECB">
        <w:trPr>
          <w:jc w:val="center"/>
        </w:trPr>
        <w:tc>
          <w:tcPr>
            <w:tcW w:w="2426" w:type="dxa"/>
            <w:shd w:val="clear" w:color="auto" w:fill="auto"/>
          </w:tcPr>
          <w:p w14:paraId="6C331909" w14:textId="77777777" w:rsidR="002A7B98" w:rsidRPr="00C40F50" w:rsidRDefault="002A7B98" w:rsidP="00D72223">
            <w:pPr>
              <w:keepNext/>
              <w:keepLines/>
              <w:autoSpaceDE w:val="0"/>
              <w:autoSpaceDN w:val="0"/>
              <w:adjustRightInd w:val="0"/>
              <w:rPr>
                <w:sz w:val="24"/>
                <w:szCs w:val="24"/>
              </w:rPr>
            </w:pPr>
            <w:r>
              <w:rPr>
                <w:sz w:val="24"/>
                <w:szCs w:val="24"/>
              </w:rPr>
              <w:t>Apple Valley Ranchos</w:t>
            </w:r>
          </w:p>
        </w:tc>
        <w:tc>
          <w:tcPr>
            <w:tcW w:w="2128" w:type="dxa"/>
            <w:shd w:val="clear" w:color="auto" w:fill="auto"/>
          </w:tcPr>
          <w:p w14:paraId="7F544CC0" w14:textId="77777777" w:rsidR="002A7B98" w:rsidRPr="002A7B98" w:rsidRDefault="002A7B98" w:rsidP="00D72223">
            <w:pPr>
              <w:keepNext/>
              <w:keepLines/>
              <w:autoSpaceDE w:val="0"/>
              <w:autoSpaceDN w:val="0"/>
              <w:adjustRightInd w:val="0"/>
              <w:rPr>
                <w:szCs w:val="26"/>
              </w:rPr>
            </w:pPr>
            <w:r w:rsidRPr="002A7B98">
              <w:rPr>
                <w:szCs w:val="26"/>
              </w:rPr>
              <w:t>$23,354,000</w:t>
            </w:r>
          </w:p>
        </w:tc>
        <w:tc>
          <w:tcPr>
            <w:tcW w:w="2376" w:type="dxa"/>
          </w:tcPr>
          <w:p w14:paraId="601163E6" w14:textId="77777777" w:rsidR="002A7B98" w:rsidRPr="002A7B98" w:rsidRDefault="002A7B98" w:rsidP="00D72223">
            <w:pPr>
              <w:keepNext/>
              <w:keepLines/>
              <w:autoSpaceDE w:val="0"/>
              <w:autoSpaceDN w:val="0"/>
              <w:adjustRightInd w:val="0"/>
              <w:rPr>
                <w:szCs w:val="26"/>
              </w:rPr>
            </w:pPr>
            <w:r w:rsidRPr="002A7B98">
              <w:rPr>
                <w:szCs w:val="26"/>
              </w:rPr>
              <w:t>$23,125,650</w:t>
            </w:r>
          </w:p>
        </w:tc>
        <w:tc>
          <w:tcPr>
            <w:tcW w:w="1800" w:type="dxa"/>
            <w:shd w:val="clear" w:color="auto" w:fill="auto"/>
          </w:tcPr>
          <w:p w14:paraId="16325C07" w14:textId="77777777" w:rsidR="002A7B98" w:rsidRPr="002A7B98" w:rsidRDefault="002A7B98" w:rsidP="00D72223">
            <w:pPr>
              <w:keepNext/>
              <w:keepLines/>
              <w:autoSpaceDE w:val="0"/>
              <w:autoSpaceDN w:val="0"/>
              <w:adjustRightInd w:val="0"/>
              <w:rPr>
                <w:szCs w:val="26"/>
              </w:rPr>
            </w:pPr>
            <w:r w:rsidRPr="002A7B98">
              <w:rPr>
                <w:szCs w:val="26"/>
              </w:rPr>
              <w:t>19.44 Ccf</w:t>
            </w:r>
          </w:p>
        </w:tc>
        <w:tc>
          <w:tcPr>
            <w:tcW w:w="1710" w:type="dxa"/>
          </w:tcPr>
          <w:p w14:paraId="25013A7B" w14:textId="77777777" w:rsidR="002A7B98" w:rsidRPr="002A7B98" w:rsidRDefault="002A7B98" w:rsidP="00D72223">
            <w:pPr>
              <w:keepNext/>
              <w:keepLines/>
              <w:autoSpaceDE w:val="0"/>
              <w:autoSpaceDN w:val="0"/>
              <w:adjustRightInd w:val="0"/>
              <w:rPr>
                <w:szCs w:val="26"/>
              </w:rPr>
            </w:pPr>
            <w:r w:rsidRPr="002A7B98">
              <w:rPr>
                <w:szCs w:val="26"/>
              </w:rPr>
              <w:t>$0.72</w:t>
            </w:r>
          </w:p>
        </w:tc>
      </w:tr>
      <w:tr w:rsidR="002A7B98" w:rsidRPr="00403DD4" w14:paraId="78B1AD40" w14:textId="77777777" w:rsidTr="00367ECB">
        <w:trPr>
          <w:jc w:val="center"/>
        </w:trPr>
        <w:tc>
          <w:tcPr>
            <w:tcW w:w="2426" w:type="dxa"/>
            <w:shd w:val="clear" w:color="auto" w:fill="auto"/>
          </w:tcPr>
          <w:p w14:paraId="5510A2B2" w14:textId="77777777" w:rsidR="002A7B98" w:rsidRPr="00C40F50" w:rsidRDefault="002A7B98" w:rsidP="00D72223">
            <w:pPr>
              <w:keepNext/>
              <w:keepLines/>
              <w:autoSpaceDE w:val="0"/>
              <w:autoSpaceDN w:val="0"/>
              <w:adjustRightInd w:val="0"/>
              <w:rPr>
                <w:sz w:val="24"/>
                <w:szCs w:val="24"/>
              </w:rPr>
            </w:pPr>
            <w:r w:rsidRPr="00C40F50">
              <w:rPr>
                <w:sz w:val="24"/>
                <w:szCs w:val="24"/>
              </w:rPr>
              <w:t>San Gabriel</w:t>
            </w:r>
            <w:r>
              <w:rPr>
                <w:sz w:val="24"/>
                <w:szCs w:val="24"/>
              </w:rPr>
              <w:t xml:space="preserve"> Valley’s LA District</w:t>
            </w:r>
          </w:p>
        </w:tc>
        <w:tc>
          <w:tcPr>
            <w:tcW w:w="2128" w:type="dxa"/>
            <w:shd w:val="clear" w:color="auto" w:fill="auto"/>
          </w:tcPr>
          <w:p w14:paraId="7A3E76D4" w14:textId="77777777" w:rsidR="008E6B5A" w:rsidRDefault="008E6B5A" w:rsidP="00D72223">
            <w:pPr>
              <w:keepNext/>
              <w:keepLines/>
              <w:autoSpaceDE w:val="0"/>
              <w:autoSpaceDN w:val="0"/>
              <w:adjustRightInd w:val="0"/>
              <w:rPr>
                <w:szCs w:val="26"/>
              </w:rPr>
            </w:pPr>
          </w:p>
          <w:p w14:paraId="49619FFF" w14:textId="77777777" w:rsidR="002A7B98" w:rsidRPr="00753B93" w:rsidRDefault="00753B93" w:rsidP="00D72223">
            <w:pPr>
              <w:keepNext/>
              <w:keepLines/>
              <w:autoSpaceDE w:val="0"/>
              <w:autoSpaceDN w:val="0"/>
              <w:adjustRightInd w:val="0"/>
              <w:rPr>
                <w:szCs w:val="26"/>
              </w:rPr>
            </w:pPr>
            <w:r w:rsidRPr="00753B93">
              <w:rPr>
                <w:szCs w:val="26"/>
              </w:rPr>
              <w:t>$63,682,700</w:t>
            </w:r>
            <w:r w:rsidR="001A6099">
              <w:rPr>
                <w:rStyle w:val="FootnoteReference"/>
                <w:szCs w:val="26"/>
              </w:rPr>
              <w:footnoteReference w:id="3"/>
            </w:r>
          </w:p>
        </w:tc>
        <w:tc>
          <w:tcPr>
            <w:tcW w:w="2376" w:type="dxa"/>
          </w:tcPr>
          <w:p w14:paraId="4143D294" w14:textId="77777777" w:rsidR="008E6B5A" w:rsidRDefault="008E6B5A" w:rsidP="00D72223">
            <w:pPr>
              <w:keepNext/>
              <w:keepLines/>
              <w:autoSpaceDE w:val="0"/>
              <w:autoSpaceDN w:val="0"/>
              <w:adjustRightInd w:val="0"/>
              <w:rPr>
                <w:szCs w:val="26"/>
              </w:rPr>
            </w:pPr>
          </w:p>
          <w:p w14:paraId="61F2428B" w14:textId="345A29B4" w:rsidR="002A7B98" w:rsidRPr="00D70881" w:rsidRDefault="00753B93" w:rsidP="00367ECB">
            <w:pPr>
              <w:keepNext/>
              <w:keepLines/>
              <w:autoSpaceDE w:val="0"/>
              <w:autoSpaceDN w:val="0"/>
              <w:adjustRightInd w:val="0"/>
              <w:rPr>
                <w:szCs w:val="26"/>
              </w:rPr>
            </w:pPr>
            <w:r w:rsidRPr="00D70881">
              <w:rPr>
                <w:szCs w:val="26"/>
              </w:rPr>
              <w:t>$</w:t>
            </w:r>
            <w:r w:rsidR="00367ECB">
              <w:rPr>
                <w:szCs w:val="26"/>
              </w:rPr>
              <w:t>62,482,200</w:t>
            </w:r>
            <w:r w:rsidR="001A6099">
              <w:rPr>
                <w:rStyle w:val="FootnoteReference"/>
                <w:szCs w:val="26"/>
              </w:rPr>
              <w:footnoteReference w:id="4"/>
            </w:r>
          </w:p>
        </w:tc>
        <w:tc>
          <w:tcPr>
            <w:tcW w:w="1800" w:type="dxa"/>
            <w:shd w:val="clear" w:color="auto" w:fill="auto"/>
          </w:tcPr>
          <w:p w14:paraId="25EFB2FA" w14:textId="77777777" w:rsidR="008E6B5A" w:rsidRDefault="008E6B5A" w:rsidP="00D72223">
            <w:pPr>
              <w:keepNext/>
              <w:keepLines/>
              <w:autoSpaceDE w:val="0"/>
              <w:autoSpaceDN w:val="0"/>
              <w:adjustRightInd w:val="0"/>
              <w:rPr>
                <w:szCs w:val="26"/>
              </w:rPr>
            </w:pPr>
          </w:p>
          <w:p w14:paraId="77B1EA8C" w14:textId="77777777" w:rsidR="002A7B98" w:rsidRPr="0055187D" w:rsidRDefault="0055187D" w:rsidP="00D72223">
            <w:pPr>
              <w:keepNext/>
              <w:keepLines/>
              <w:autoSpaceDE w:val="0"/>
              <w:autoSpaceDN w:val="0"/>
              <w:adjustRightInd w:val="0"/>
              <w:rPr>
                <w:szCs w:val="26"/>
              </w:rPr>
            </w:pPr>
            <w:r w:rsidRPr="0055187D">
              <w:rPr>
                <w:szCs w:val="26"/>
              </w:rPr>
              <w:t xml:space="preserve">14 </w:t>
            </w:r>
            <w:r>
              <w:rPr>
                <w:szCs w:val="26"/>
              </w:rPr>
              <w:t>Ccf</w:t>
            </w:r>
          </w:p>
        </w:tc>
        <w:tc>
          <w:tcPr>
            <w:tcW w:w="1710" w:type="dxa"/>
          </w:tcPr>
          <w:p w14:paraId="7F7FF2DE" w14:textId="77777777" w:rsidR="008E6B5A" w:rsidRDefault="008E6B5A" w:rsidP="00D72223">
            <w:pPr>
              <w:keepNext/>
              <w:keepLines/>
              <w:autoSpaceDE w:val="0"/>
              <w:autoSpaceDN w:val="0"/>
              <w:adjustRightInd w:val="0"/>
              <w:rPr>
                <w:szCs w:val="26"/>
              </w:rPr>
            </w:pPr>
          </w:p>
          <w:p w14:paraId="6A953225" w14:textId="01FEC01A" w:rsidR="002A7B98" w:rsidRPr="00D70881" w:rsidRDefault="00D70881" w:rsidP="00AE356F">
            <w:pPr>
              <w:keepNext/>
              <w:keepLines/>
              <w:autoSpaceDE w:val="0"/>
              <w:autoSpaceDN w:val="0"/>
              <w:adjustRightInd w:val="0"/>
              <w:rPr>
                <w:szCs w:val="26"/>
              </w:rPr>
            </w:pPr>
            <w:r w:rsidRPr="00D70881">
              <w:rPr>
                <w:szCs w:val="26"/>
              </w:rPr>
              <w:t>$1.</w:t>
            </w:r>
            <w:r w:rsidR="00AE356F">
              <w:rPr>
                <w:szCs w:val="26"/>
              </w:rPr>
              <w:t>03</w:t>
            </w:r>
          </w:p>
        </w:tc>
      </w:tr>
      <w:tr w:rsidR="002A7B98" w:rsidRPr="00403DD4" w14:paraId="33738836" w14:textId="77777777" w:rsidTr="00367ECB">
        <w:trPr>
          <w:jc w:val="center"/>
        </w:trPr>
        <w:tc>
          <w:tcPr>
            <w:tcW w:w="2426" w:type="dxa"/>
            <w:shd w:val="clear" w:color="auto" w:fill="auto"/>
          </w:tcPr>
          <w:p w14:paraId="53505B19" w14:textId="77777777" w:rsidR="002A7B98" w:rsidRPr="00C40F50" w:rsidRDefault="002A7B98" w:rsidP="00D72223">
            <w:pPr>
              <w:keepNext/>
              <w:keepLines/>
              <w:autoSpaceDE w:val="0"/>
              <w:autoSpaceDN w:val="0"/>
              <w:adjustRightInd w:val="0"/>
              <w:rPr>
                <w:sz w:val="24"/>
                <w:szCs w:val="24"/>
              </w:rPr>
            </w:pPr>
            <w:r>
              <w:rPr>
                <w:sz w:val="24"/>
                <w:szCs w:val="24"/>
              </w:rPr>
              <w:t>San Gabriel Valley’s Fontana District</w:t>
            </w:r>
          </w:p>
        </w:tc>
        <w:tc>
          <w:tcPr>
            <w:tcW w:w="2128" w:type="dxa"/>
            <w:shd w:val="clear" w:color="auto" w:fill="auto"/>
          </w:tcPr>
          <w:p w14:paraId="4CC3A8AB" w14:textId="77777777" w:rsidR="008E6B5A" w:rsidRDefault="008E6B5A" w:rsidP="00D72223">
            <w:pPr>
              <w:keepNext/>
              <w:keepLines/>
              <w:autoSpaceDE w:val="0"/>
              <w:autoSpaceDN w:val="0"/>
              <w:adjustRightInd w:val="0"/>
              <w:rPr>
                <w:szCs w:val="26"/>
              </w:rPr>
            </w:pPr>
          </w:p>
          <w:p w14:paraId="092A991E" w14:textId="320D546E" w:rsidR="002A7B98" w:rsidRPr="00D70881" w:rsidRDefault="00D70881" w:rsidP="001A6099">
            <w:pPr>
              <w:keepNext/>
              <w:keepLines/>
              <w:autoSpaceDE w:val="0"/>
              <w:autoSpaceDN w:val="0"/>
              <w:adjustRightInd w:val="0"/>
              <w:rPr>
                <w:szCs w:val="26"/>
              </w:rPr>
            </w:pPr>
            <w:r>
              <w:rPr>
                <w:szCs w:val="26"/>
              </w:rPr>
              <w:t>$64,419,400</w:t>
            </w:r>
            <w:r w:rsidR="00367ECB" w:rsidRPr="00367ECB">
              <w:rPr>
                <w:szCs w:val="26"/>
                <w:vertAlign w:val="superscript"/>
              </w:rPr>
              <w:t>2</w:t>
            </w:r>
          </w:p>
        </w:tc>
        <w:tc>
          <w:tcPr>
            <w:tcW w:w="2376" w:type="dxa"/>
          </w:tcPr>
          <w:p w14:paraId="4240C414" w14:textId="77777777" w:rsidR="008E6B5A" w:rsidRDefault="008E6B5A" w:rsidP="00D72223">
            <w:pPr>
              <w:keepNext/>
              <w:keepLines/>
              <w:autoSpaceDE w:val="0"/>
              <w:autoSpaceDN w:val="0"/>
              <w:adjustRightInd w:val="0"/>
              <w:rPr>
                <w:szCs w:val="26"/>
              </w:rPr>
            </w:pPr>
          </w:p>
          <w:p w14:paraId="49AF053D" w14:textId="251C5387" w:rsidR="002A7B98" w:rsidRPr="00D70881" w:rsidRDefault="00D70881" w:rsidP="00367ECB">
            <w:pPr>
              <w:keepNext/>
              <w:keepLines/>
              <w:autoSpaceDE w:val="0"/>
              <w:autoSpaceDN w:val="0"/>
              <w:adjustRightInd w:val="0"/>
              <w:rPr>
                <w:szCs w:val="26"/>
              </w:rPr>
            </w:pPr>
            <w:r>
              <w:rPr>
                <w:szCs w:val="26"/>
              </w:rPr>
              <w:t>$</w:t>
            </w:r>
            <w:r w:rsidR="00367ECB">
              <w:rPr>
                <w:szCs w:val="26"/>
              </w:rPr>
              <w:t>63,031,600</w:t>
            </w:r>
            <w:r w:rsidR="00367ECB" w:rsidRPr="00367ECB">
              <w:rPr>
                <w:szCs w:val="26"/>
                <w:vertAlign w:val="superscript"/>
              </w:rPr>
              <w:t>3</w:t>
            </w:r>
          </w:p>
        </w:tc>
        <w:tc>
          <w:tcPr>
            <w:tcW w:w="1800" w:type="dxa"/>
            <w:shd w:val="clear" w:color="auto" w:fill="auto"/>
          </w:tcPr>
          <w:p w14:paraId="5A68C40F" w14:textId="77777777" w:rsidR="008E6B5A" w:rsidRDefault="008E6B5A" w:rsidP="00D72223">
            <w:pPr>
              <w:keepNext/>
              <w:keepLines/>
              <w:autoSpaceDE w:val="0"/>
              <w:autoSpaceDN w:val="0"/>
              <w:adjustRightInd w:val="0"/>
              <w:rPr>
                <w:szCs w:val="26"/>
              </w:rPr>
            </w:pPr>
          </w:p>
          <w:p w14:paraId="0036578F" w14:textId="77777777" w:rsidR="002A7B98" w:rsidRPr="00D70881" w:rsidRDefault="00D70881" w:rsidP="00D72223">
            <w:pPr>
              <w:keepNext/>
              <w:keepLines/>
              <w:autoSpaceDE w:val="0"/>
              <w:autoSpaceDN w:val="0"/>
              <w:adjustRightInd w:val="0"/>
              <w:rPr>
                <w:szCs w:val="26"/>
              </w:rPr>
            </w:pPr>
            <w:r>
              <w:rPr>
                <w:szCs w:val="26"/>
              </w:rPr>
              <w:t>19 Ccf</w:t>
            </w:r>
          </w:p>
        </w:tc>
        <w:tc>
          <w:tcPr>
            <w:tcW w:w="1710" w:type="dxa"/>
          </w:tcPr>
          <w:p w14:paraId="3FC9AFD6" w14:textId="77777777" w:rsidR="008E6B5A" w:rsidRDefault="008E6B5A" w:rsidP="00D72223">
            <w:pPr>
              <w:keepNext/>
              <w:keepLines/>
              <w:autoSpaceDE w:val="0"/>
              <w:autoSpaceDN w:val="0"/>
              <w:adjustRightInd w:val="0"/>
              <w:rPr>
                <w:szCs w:val="26"/>
              </w:rPr>
            </w:pPr>
          </w:p>
          <w:p w14:paraId="376B8900" w14:textId="4ABD30B8" w:rsidR="002A7B98" w:rsidRPr="00D70881" w:rsidRDefault="00D70881" w:rsidP="00AE356F">
            <w:pPr>
              <w:keepNext/>
              <w:keepLines/>
              <w:autoSpaceDE w:val="0"/>
              <w:autoSpaceDN w:val="0"/>
              <w:adjustRightInd w:val="0"/>
              <w:rPr>
                <w:szCs w:val="26"/>
              </w:rPr>
            </w:pPr>
            <w:r>
              <w:rPr>
                <w:szCs w:val="26"/>
              </w:rPr>
              <w:t>$</w:t>
            </w:r>
            <w:r w:rsidR="00AE356F">
              <w:rPr>
                <w:szCs w:val="26"/>
              </w:rPr>
              <w:t>1.34</w:t>
            </w:r>
          </w:p>
        </w:tc>
      </w:tr>
      <w:tr w:rsidR="002A7B98" w:rsidRPr="00403DD4" w14:paraId="43FA3317" w14:textId="77777777" w:rsidTr="00367ECB">
        <w:trPr>
          <w:jc w:val="center"/>
        </w:trPr>
        <w:tc>
          <w:tcPr>
            <w:tcW w:w="2426" w:type="dxa"/>
            <w:shd w:val="clear" w:color="auto" w:fill="auto"/>
          </w:tcPr>
          <w:p w14:paraId="723D56D5" w14:textId="77777777" w:rsidR="002A7B98" w:rsidRPr="00C40F50" w:rsidRDefault="002A7B98" w:rsidP="00CF5E0E">
            <w:pPr>
              <w:autoSpaceDE w:val="0"/>
              <w:autoSpaceDN w:val="0"/>
              <w:adjustRightInd w:val="0"/>
              <w:rPr>
                <w:sz w:val="24"/>
                <w:szCs w:val="24"/>
              </w:rPr>
            </w:pPr>
            <w:r w:rsidRPr="00C40F50">
              <w:rPr>
                <w:sz w:val="24"/>
                <w:szCs w:val="24"/>
              </w:rPr>
              <w:t>Suburban Water</w:t>
            </w:r>
            <w:r w:rsidR="00CF5E0E">
              <w:rPr>
                <w:sz w:val="24"/>
                <w:szCs w:val="24"/>
              </w:rPr>
              <w:t xml:space="preserve"> Company</w:t>
            </w:r>
          </w:p>
        </w:tc>
        <w:tc>
          <w:tcPr>
            <w:tcW w:w="2128" w:type="dxa"/>
            <w:shd w:val="clear" w:color="auto" w:fill="auto"/>
          </w:tcPr>
          <w:p w14:paraId="363913B4" w14:textId="77777777" w:rsidR="00824995" w:rsidRPr="00390E9C" w:rsidRDefault="00824995" w:rsidP="00403DD4">
            <w:pPr>
              <w:autoSpaceDE w:val="0"/>
              <w:autoSpaceDN w:val="0"/>
              <w:adjustRightInd w:val="0"/>
              <w:rPr>
                <w:szCs w:val="26"/>
              </w:rPr>
            </w:pPr>
          </w:p>
          <w:p w14:paraId="46B5B0A4" w14:textId="77777777" w:rsidR="00F5336B" w:rsidRPr="00390E9C" w:rsidRDefault="005F1389" w:rsidP="001A6099">
            <w:pPr>
              <w:autoSpaceDE w:val="0"/>
              <w:autoSpaceDN w:val="0"/>
              <w:adjustRightInd w:val="0"/>
              <w:rPr>
                <w:szCs w:val="26"/>
              </w:rPr>
            </w:pPr>
            <w:r w:rsidRPr="00390E9C">
              <w:rPr>
                <w:szCs w:val="26"/>
              </w:rPr>
              <w:t>$69,423,838</w:t>
            </w:r>
          </w:p>
        </w:tc>
        <w:tc>
          <w:tcPr>
            <w:tcW w:w="2376" w:type="dxa"/>
          </w:tcPr>
          <w:p w14:paraId="43464BA9" w14:textId="77777777" w:rsidR="002A7B98" w:rsidRPr="00390E9C" w:rsidRDefault="002A7B98" w:rsidP="00403DD4">
            <w:pPr>
              <w:autoSpaceDE w:val="0"/>
              <w:autoSpaceDN w:val="0"/>
              <w:adjustRightInd w:val="0"/>
              <w:rPr>
                <w:szCs w:val="26"/>
              </w:rPr>
            </w:pPr>
          </w:p>
          <w:p w14:paraId="7AD16231" w14:textId="77777777" w:rsidR="00F5336B" w:rsidRPr="00390E9C" w:rsidRDefault="005F1389" w:rsidP="00403DD4">
            <w:pPr>
              <w:autoSpaceDE w:val="0"/>
              <w:autoSpaceDN w:val="0"/>
              <w:adjustRightInd w:val="0"/>
              <w:rPr>
                <w:szCs w:val="26"/>
              </w:rPr>
            </w:pPr>
            <w:r w:rsidRPr="00390E9C">
              <w:rPr>
                <w:szCs w:val="26"/>
              </w:rPr>
              <w:t>$69,017,885</w:t>
            </w:r>
          </w:p>
        </w:tc>
        <w:tc>
          <w:tcPr>
            <w:tcW w:w="1800" w:type="dxa"/>
            <w:shd w:val="clear" w:color="auto" w:fill="auto"/>
          </w:tcPr>
          <w:p w14:paraId="4DB0DCCC" w14:textId="77777777" w:rsidR="00990AA0" w:rsidRDefault="00990AA0" w:rsidP="00403DD4">
            <w:pPr>
              <w:autoSpaceDE w:val="0"/>
              <w:autoSpaceDN w:val="0"/>
              <w:adjustRightInd w:val="0"/>
              <w:rPr>
                <w:szCs w:val="26"/>
              </w:rPr>
            </w:pPr>
          </w:p>
          <w:p w14:paraId="151366A3" w14:textId="77777777" w:rsidR="002A7B98" w:rsidRPr="00D70881" w:rsidRDefault="00990AA0" w:rsidP="00990AA0">
            <w:pPr>
              <w:autoSpaceDE w:val="0"/>
              <w:autoSpaceDN w:val="0"/>
              <w:adjustRightInd w:val="0"/>
              <w:rPr>
                <w:szCs w:val="26"/>
              </w:rPr>
            </w:pPr>
            <w:r>
              <w:rPr>
                <w:szCs w:val="26"/>
              </w:rPr>
              <w:t>20 Ccf</w:t>
            </w:r>
          </w:p>
        </w:tc>
        <w:tc>
          <w:tcPr>
            <w:tcW w:w="1710" w:type="dxa"/>
          </w:tcPr>
          <w:p w14:paraId="24553D9A" w14:textId="77777777" w:rsidR="002A7B98" w:rsidRDefault="002A7B98" w:rsidP="00403DD4">
            <w:pPr>
              <w:autoSpaceDE w:val="0"/>
              <w:autoSpaceDN w:val="0"/>
              <w:adjustRightInd w:val="0"/>
              <w:rPr>
                <w:szCs w:val="26"/>
              </w:rPr>
            </w:pPr>
          </w:p>
          <w:p w14:paraId="7529143C" w14:textId="77777777" w:rsidR="00990AA0" w:rsidRPr="00D70881" w:rsidRDefault="00990AA0" w:rsidP="00403DD4">
            <w:pPr>
              <w:autoSpaceDE w:val="0"/>
              <w:autoSpaceDN w:val="0"/>
              <w:adjustRightInd w:val="0"/>
              <w:rPr>
                <w:szCs w:val="26"/>
              </w:rPr>
            </w:pPr>
            <w:r>
              <w:rPr>
                <w:szCs w:val="26"/>
              </w:rPr>
              <w:t>$0.36</w:t>
            </w:r>
          </w:p>
        </w:tc>
      </w:tr>
      <w:tr w:rsidR="002A7B98" w:rsidRPr="00403DD4" w14:paraId="30089C67" w14:textId="77777777" w:rsidTr="00367ECB">
        <w:trPr>
          <w:jc w:val="center"/>
        </w:trPr>
        <w:tc>
          <w:tcPr>
            <w:tcW w:w="2426" w:type="dxa"/>
            <w:shd w:val="clear" w:color="auto" w:fill="auto"/>
          </w:tcPr>
          <w:p w14:paraId="7086C568" w14:textId="77777777" w:rsidR="002A7B98" w:rsidRPr="00C40F50" w:rsidRDefault="002A7B98" w:rsidP="00F5336B">
            <w:pPr>
              <w:autoSpaceDE w:val="0"/>
              <w:autoSpaceDN w:val="0"/>
              <w:adjustRightInd w:val="0"/>
              <w:rPr>
                <w:sz w:val="24"/>
                <w:szCs w:val="24"/>
              </w:rPr>
            </w:pPr>
            <w:r w:rsidRPr="00C40F50">
              <w:rPr>
                <w:sz w:val="24"/>
                <w:szCs w:val="24"/>
              </w:rPr>
              <w:t>Great Oaks Water Company</w:t>
            </w:r>
          </w:p>
        </w:tc>
        <w:tc>
          <w:tcPr>
            <w:tcW w:w="2128" w:type="dxa"/>
            <w:shd w:val="clear" w:color="auto" w:fill="auto"/>
          </w:tcPr>
          <w:p w14:paraId="7D500EA1" w14:textId="77777777" w:rsidR="002A7B98" w:rsidRPr="00D70881" w:rsidRDefault="00365F2D" w:rsidP="00403DD4">
            <w:pPr>
              <w:autoSpaceDE w:val="0"/>
              <w:autoSpaceDN w:val="0"/>
              <w:adjustRightInd w:val="0"/>
              <w:rPr>
                <w:szCs w:val="26"/>
              </w:rPr>
            </w:pPr>
            <w:r>
              <w:rPr>
                <w:szCs w:val="26"/>
              </w:rPr>
              <w:t>$13,516,229</w:t>
            </w:r>
          </w:p>
        </w:tc>
        <w:tc>
          <w:tcPr>
            <w:tcW w:w="2376" w:type="dxa"/>
          </w:tcPr>
          <w:p w14:paraId="034E2D41" w14:textId="77777777" w:rsidR="002A7B98" w:rsidRPr="00D70881" w:rsidRDefault="00365F2D" w:rsidP="00403DD4">
            <w:pPr>
              <w:autoSpaceDE w:val="0"/>
              <w:autoSpaceDN w:val="0"/>
              <w:adjustRightInd w:val="0"/>
              <w:rPr>
                <w:szCs w:val="26"/>
              </w:rPr>
            </w:pPr>
            <w:r>
              <w:rPr>
                <w:szCs w:val="26"/>
              </w:rPr>
              <w:t>$13,489,529</w:t>
            </w:r>
          </w:p>
        </w:tc>
        <w:tc>
          <w:tcPr>
            <w:tcW w:w="1800" w:type="dxa"/>
            <w:shd w:val="clear" w:color="auto" w:fill="auto"/>
          </w:tcPr>
          <w:p w14:paraId="692AC657" w14:textId="77777777" w:rsidR="002A7B98" w:rsidRPr="00D70881" w:rsidRDefault="00365F2D" w:rsidP="00990AA0">
            <w:pPr>
              <w:autoSpaceDE w:val="0"/>
              <w:autoSpaceDN w:val="0"/>
              <w:adjustRightInd w:val="0"/>
              <w:rPr>
                <w:szCs w:val="26"/>
              </w:rPr>
            </w:pPr>
            <w:r>
              <w:rPr>
                <w:szCs w:val="26"/>
              </w:rPr>
              <w:t>30 Ccf</w:t>
            </w:r>
          </w:p>
        </w:tc>
        <w:tc>
          <w:tcPr>
            <w:tcW w:w="1710" w:type="dxa"/>
          </w:tcPr>
          <w:p w14:paraId="2907EC7F" w14:textId="77777777" w:rsidR="002A7B98" w:rsidRPr="00D70881" w:rsidRDefault="00365F2D" w:rsidP="00403DD4">
            <w:pPr>
              <w:autoSpaceDE w:val="0"/>
              <w:autoSpaceDN w:val="0"/>
              <w:adjustRightInd w:val="0"/>
              <w:rPr>
                <w:szCs w:val="26"/>
              </w:rPr>
            </w:pPr>
            <w:r>
              <w:rPr>
                <w:szCs w:val="26"/>
              </w:rPr>
              <w:t>$0.15</w:t>
            </w:r>
          </w:p>
        </w:tc>
      </w:tr>
    </w:tbl>
    <w:p w14:paraId="5564F435" w14:textId="77777777" w:rsidR="00473F1D" w:rsidRDefault="00473F1D" w:rsidP="00523C0E">
      <w:pPr>
        <w:autoSpaceDE w:val="0"/>
        <w:autoSpaceDN w:val="0"/>
        <w:adjustRightInd w:val="0"/>
        <w:jc w:val="center"/>
        <w:rPr>
          <w:b/>
          <w:szCs w:val="26"/>
        </w:rPr>
      </w:pPr>
    </w:p>
    <w:p w14:paraId="1CF97876" w14:textId="77777777" w:rsidR="009764A3" w:rsidRPr="009764A3" w:rsidRDefault="009764A3" w:rsidP="00390E9C">
      <w:pPr>
        <w:pStyle w:val="standard"/>
      </w:pPr>
      <w:r>
        <w:t xml:space="preserve">The </w:t>
      </w:r>
      <w:r w:rsidR="00311B68">
        <w:t>Settlement Agreement also continues the Water Cost of Capital Mechan</w:t>
      </w:r>
      <w:r w:rsidR="00390E9C">
        <w:t>ism for each company with a 100</w:t>
      </w:r>
      <w:r w:rsidR="00C61117">
        <w:t xml:space="preserve"> basis-</w:t>
      </w:r>
      <w:r w:rsidR="00311B68">
        <w:t>point upward and downward</w:t>
      </w:r>
      <w:r w:rsidR="003250EB">
        <w:t xml:space="preserve"> deadband</w:t>
      </w:r>
      <w:r w:rsidR="0094372C">
        <w:t xml:space="preserve">.  </w:t>
      </w:r>
      <w:r w:rsidR="008F71E7">
        <w:t xml:space="preserve">The Settlement Agreement </w:t>
      </w:r>
      <w:r w:rsidR="00F5336B">
        <w:t xml:space="preserve">sets the initial benchmark period for each company and </w:t>
      </w:r>
      <w:r w:rsidR="008F71E7">
        <w:t xml:space="preserve">stipulates that </w:t>
      </w:r>
      <w:r w:rsidR="00311B68">
        <w:t xml:space="preserve">Moody’s Baa bond </w:t>
      </w:r>
      <w:r w:rsidR="0094372C">
        <w:t>yield</w:t>
      </w:r>
      <w:r w:rsidR="00311B68">
        <w:t xml:space="preserve"> </w:t>
      </w:r>
      <w:r w:rsidR="0094372C">
        <w:t xml:space="preserve">index </w:t>
      </w:r>
      <w:r w:rsidR="008F71E7">
        <w:t xml:space="preserve">will </w:t>
      </w:r>
      <w:r w:rsidR="0094372C">
        <w:t>determine</w:t>
      </w:r>
      <w:r w:rsidR="00311B68">
        <w:t xml:space="preserve"> </w:t>
      </w:r>
      <w:r w:rsidR="00F5336B">
        <w:t xml:space="preserve">any </w:t>
      </w:r>
      <w:r w:rsidR="00F5336B">
        <w:lastRenderedPageBreak/>
        <w:t>needed</w:t>
      </w:r>
      <w:r w:rsidR="00311B68">
        <w:t xml:space="preserve"> </w:t>
      </w:r>
      <w:r w:rsidR="00F5336B">
        <w:t xml:space="preserve">return on equity adjustment and </w:t>
      </w:r>
      <w:r w:rsidR="00311B68">
        <w:t>benchmark</w:t>
      </w:r>
      <w:r w:rsidR="003250EB">
        <w:t xml:space="preserve"> </w:t>
      </w:r>
      <w:r w:rsidR="0094372C">
        <w:t>adjustment perio</w:t>
      </w:r>
      <w:r w:rsidR="003250EB">
        <w:t>d for each company</w:t>
      </w:r>
      <w:r w:rsidR="00F5336B">
        <w:t xml:space="preserve"> for this cost of capital cycle</w:t>
      </w:r>
      <w:r w:rsidR="0094372C">
        <w:t xml:space="preserve">.  </w:t>
      </w:r>
      <w:r w:rsidR="00311B68">
        <w:t xml:space="preserve"> </w:t>
      </w:r>
    </w:p>
    <w:p w14:paraId="298F0D3A" w14:textId="77777777" w:rsidR="00D85665" w:rsidRPr="00824995" w:rsidRDefault="0083320F" w:rsidP="00824995">
      <w:pPr>
        <w:pStyle w:val="Heading1"/>
        <w:keepNext w:val="0"/>
        <w:widowControl w:val="0"/>
        <w:numPr>
          <w:ilvl w:val="0"/>
          <w:numId w:val="14"/>
        </w:numPr>
        <w:ind w:right="720" w:hanging="720"/>
        <w:rPr>
          <w:szCs w:val="20"/>
        </w:rPr>
      </w:pPr>
      <w:bookmarkStart w:id="8" w:name="_Toc356978422"/>
      <w:r w:rsidRPr="003237A7">
        <w:t>Background</w:t>
      </w:r>
      <w:bookmarkEnd w:id="8"/>
    </w:p>
    <w:p w14:paraId="6FFB330C" w14:textId="19143870" w:rsidR="003237A7" w:rsidRDefault="00D85665" w:rsidP="003A67CB">
      <w:pPr>
        <w:pStyle w:val="standard"/>
      </w:pPr>
      <w:r w:rsidRPr="00294354">
        <w:t xml:space="preserve">On May </w:t>
      </w:r>
      <w:r w:rsidR="00474D58">
        <w:t>1</w:t>
      </w:r>
      <w:r w:rsidRPr="00294354">
        <w:t>, 201</w:t>
      </w:r>
      <w:r w:rsidR="00474D58">
        <w:t>2</w:t>
      </w:r>
      <w:r w:rsidRPr="00294354">
        <w:t xml:space="preserve">, </w:t>
      </w:r>
      <w:r w:rsidR="00474D58">
        <w:t xml:space="preserve">Park Water Company and Apple Valley Ranchos Water Company, </w:t>
      </w:r>
      <w:r w:rsidR="00C40F50">
        <w:t>(</w:t>
      </w:r>
      <w:r w:rsidR="00474D58">
        <w:t>jointly</w:t>
      </w:r>
      <w:r w:rsidR="00C40F50">
        <w:t xml:space="preserve"> </w:t>
      </w:r>
      <w:r w:rsidR="00474D58">
        <w:t xml:space="preserve">Park), San Gabriel Valley Water Company (San Gabriel), Suburban Water Systems (Suburban), and Great Oaks Water Company (Great Oaks) (collectively the Applicants) </w:t>
      </w:r>
      <w:r w:rsidRPr="00294354">
        <w:t>filed simultaneous applications for approval of</w:t>
      </w:r>
      <w:r w:rsidR="00311B68">
        <w:t xml:space="preserve"> their respective proposed costs</w:t>
      </w:r>
      <w:r w:rsidRPr="00294354">
        <w:t xml:space="preserve"> of capital for the three-year period beginning January 1, 201</w:t>
      </w:r>
      <w:r w:rsidR="00474D58">
        <w:t>3</w:t>
      </w:r>
      <w:r w:rsidR="00AC6B7A">
        <w:t>, and for Great Oaks beginning July 1, 2013</w:t>
      </w:r>
      <w:r w:rsidR="00390E9C">
        <w:t xml:space="preserve">.  </w:t>
      </w:r>
      <w:r w:rsidRPr="00294354">
        <w:t xml:space="preserve">On </w:t>
      </w:r>
      <w:r w:rsidR="00474D58">
        <w:t>June 6, 2012, the</w:t>
      </w:r>
      <w:r w:rsidRPr="00294354">
        <w:t xml:space="preserve"> D</w:t>
      </w:r>
      <w:r w:rsidR="00B64715">
        <w:t xml:space="preserve">ivision of </w:t>
      </w:r>
      <w:r w:rsidRPr="00294354">
        <w:t>R</w:t>
      </w:r>
      <w:r w:rsidR="00474D58">
        <w:t>atepayer</w:t>
      </w:r>
      <w:r w:rsidR="00B64715">
        <w:t xml:space="preserve"> </w:t>
      </w:r>
      <w:r w:rsidRPr="00294354">
        <w:t>A</w:t>
      </w:r>
      <w:r w:rsidR="00B64715">
        <w:t>dvocate</w:t>
      </w:r>
      <w:r w:rsidR="00474D58">
        <w:t>s</w:t>
      </w:r>
      <w:r w:rsidR="00B64715">
        <w:t xml:space="preserve"> (DRA)</w:t>
      </w:r>
      <w:r w:rsidRPr="00294354">
        <w:t xml:space="preserve"> filed </w:t>
      </w:r>
      <w:r w:rsidR="009A43FE">
        <w:t xml:space="preserve">a </w:t>
      </w:r>
      <w:r w:rsidR="00474D58">
        <w:t>motion for late</w:t>
      </w:r>
      <w:r w:rsidR="00F24C18">
        <w:t>-</w:t>
      </w:r>
      <w:r w:rsidR="00474D58">
        <w:t xml:space="preserve">filed </w:t>
      </w:r>
      <w:r w:rsidRPr="00294354">
        <w:t>protest to the applications.</w:t>
      </w:r>
      <w:r w:rsidR="00294354">
        <w:t xml:space="preserve"> </w:t>
      </w:r>
      <w:r w:rsidRPr="00294354">
        <w:t xml:space="preserve"> Pursuant to the Scoping Memo of the assigned Commissioner issued </w:t>
      </w:r>
      <w:r w:rsidR="009A43FE">
        <w:t>July 3, 2012,</w:t>
      </w:r>
      <w:r w:rsidRPr="00294354">
        <w:t xml:space="preserve"> the Applicants and DRA prepared and submitted extensive direct and rebuttal testimony addressing the methodology f</w:t>
      </w:r>
      <w:r w:rsidR="003237A7" w:rsidRPr="00294354">
        <w:t>o</w:t>
      </w:r>
      <w:r w:rsidR="003237A7">
        <w:t>r</w:t>
      </w:r>
      <w:r w:rsidRPr="00294354">
        <w:t xml:space="preserve"> determining costs of capital and their </w:t>
      </w:r>
      <w:r w:rsidR="000D60D1">
        <w:t>r</w:t>
      </w:r>
      <w:r w:rsidRPr="00294354">
        <w:t>ecommend</w:t>
      </w:r>
      <w:r w:rsidR="003237A7">
        <w:t>ations regarding those costs.</w:t>
      </w:r>
    </w:p>
    <w:p w14:paraId="12E2506B" w14:textId="77777777" w:rsidR="003237A7" w:rsidRDefault="009A43FE" w:rsidP="003A67CB">
      <w:pPr>
        <w:pStyle w:val="standard"/>
      </w:pPr>
      <w:r>
        <w:t>The Scoping Memo schedule</w:t>
      </w:r>
      <w:r w:rsidR="00C40F50">
        <w:t>d</w:t>
      </w:r>
      <w:r>
        <w:t xml:space="preserve"> e</w:t>
      </w:r>
      <w:r w:rsidR="00D85665" w:rsidRPr="00294354">
        <w:t xml:space="preserve">videntiary hearings </w:t>
      </w:r>
      <w:r w:rsidR="00390E9C">
        <w:t>(EHs)</w:t>
      </w:r>
      <w:r w:rsidR="00B70E20">
        <w:t xml:space="preserve"> </w:t>
      </w:r>
      <w:r w:rsidR="00426B85">
        <w:t xml:space="preserve">to begin </w:t>
      </w:r>
      <w:r w:rsidR="00B70E20">
        <w:br/>
      </w:r>
      <w:r w:rsidR="00426B85">
        <w:t>October 29</w:t>
      </w:r>
      <w:r w:rsidR="00D85665" w:rsidRPr="00294354">
        <w:t>, 201</w:t>
      </w:r>
      <w:r w:rsidR="00426B85">
        <w:t>2</w:t>
      </w:r>
      <w:r w:rsidR="00D85665" w:rsidRPr="00294354">
        <w:t xml:space="preserve">.  </w:t>
      </w:r>
      <w:r w:rsidR="0079576B">
        <w:t xml:space="preserve">On October 26, 2012, </w:t>
      </w:r>
      <w:r w:rsidR="00D85665" w:rsidRPr="00294354">
        <w:t xml:space="preserve">the </w:t>
      </w:r>
      <w:r w:rsidR="00426B85">
        <w:t>Applicants and DRA (collectively the Parties)</w:t>
      </w:r>
      <w:r w:rsidR="00D85665" w:rsidRPr="00294354">
        <w:t xml:space="preserve"> informed the assigned Administrative Law Judg</w:t>
      </w:r>
      <w:r w:rsidR="0079576B">
        <w:t xml:space="preserve">e (ALJ) that they had reached a </w:t>
      </w:r>
      <w:r w:rsidR="00D85665" w:rsidRPr="00294354">
        <w:t xml:space="preserve">tentative settlement.  </w:t>
      </w:r>
      <w:r w:rsidR="0079576B">
        <w:t xml:space="preserve">On October 29, 2012, the ALJ cancelled the </w:t>
      </w:r>
      <w:r w:rsidR="00390E9C">
        <w:t>EHs</w:t>
      </w:r>
      <w:r w:rsidR="0079576B">
        <w:t xml:space="preserve">.  </w:t>
      </w:r>
      <w:r w:rsidR="00D85665" w:rsidRPr="00294354">
        <w:t xml:space="preserve">On November </w:t>
      </w:r>
      <w:r w:rsidR="0079576B">
        <w:t>28</w:t>
      </w:r>
      <w:r w:rsidR="00D85665" w:rsidRPr="00294354">
        <w:t>, 201</w:t>
      </w:r>
      <w:r w:rsidR="0079576B">
        <w:t>2</w:t>
      </w:r>
      <w:r w:rsidR="00D85665" w:rsidRPr="00294354">
        <w:t xml:space="preserve">, the Parties filed a joint motion for </w:t>
      </w:r>
      <w:r w:rsidR="000D60D1">
        <w:t>adoption</w:t>
      </w:r>
      <w:r w:rsidR="00D85665" w:rsidRPr="00294354">
        <w:t xml:space="preserve"> of</w:t>
      </w:r>
      <w:r w:rsidR="00C40F50">
        <w:t xml:space="preserve"> the Settlement Agreement</w:t>
      </w:r>
      <w:r w:rsidR="00311B68">
        <w:t xml:space="preserve"> (Settlement)</w:t>
      </w:r>
      <w:r w:rsidR="003237A7">
        <w:t>.</w:t>
      </w:r>
      <w:r w:rsidR="00426B85">
        <w:rPr>
          <w:rStyle w:val="FootnoteReference"/>
        </w:rPr>
        <w:footnoteReference w:id="5"/>
      </w:r>
    </w:p>
    <w:p w14:paraId="0F33D27F" w14:textId="77777777" w:rsidR="00D85665" w:rsidRPr="00294354" w:rsidRDefault="003237A7" w:rsidP="003A67CB">
      <w:pPr>
        <w:pStyle w:val="standard"/>
      </w:pPr>
      <w:r>
        <w:t xml:space="preserve">This proceeding was submitted on </w:t>
      </w:r>
      <w:r w:rsidR="00DB0CFF">
        <w:t>April 2</w:t>
      </w:r>
      <w:r w:rsidR="00AC6B7A">
        <w:t>2</w:t>
      </w:r>
      <w:r w:rsidR="00DB0CFF">
        <w:t>,</w:t>
      </w:r>
      <w:r w:rsidR="00C40F50">
        <w:t xml:space="preserve"> 2013</w:t>
      </w:r>
      <w:r>
        <w:t>.</w:t>
      </w:r>
    </w:p>
    <w:p w14:paraId="521EF966" w14:textId="77777777" w:rsidR="00D85665" w:rsidRPr="00824995" w:rsidRDefault="0083320F" w:rsidP="00390E9C">
      <w:pPr>
        <w:pStyle w:val="Heading1"/>
        <w:keepLines/>
        <w:widowControl w:val="0"/>
        <w:numPr>
          <w:ilvl w:val="0"/>
          <w:numId w:val="14"/>
        </w:numPr>
        <w:ind w:right="720" w:hanging="720"/>
        <w:rPr>
          <w:szCs w:val="20"/>
        </w:rPr>
      </w:pPr>
      <w:bookmarkStart w:id="9" w:name="_Toc356978423"/>
      <w:r>
        <w:lastRenderedPageBreak/>
        <w:t>Summary of t</w:t>
      </w:r>
      <w:r w:rsidRPr="0083320F">
        <w:t xml:space="preserve">he </w:t>
      </w:r>
      <w:r w:rsidR="00311B68">
        <w:t>Individual Companies’ S</w:t>
      </w:r>
      <w:r w:rsidR="00474D58">
        <w:t>ettle</w:t>
      </w:r>
      <w:r w:rsidR="00311B68">
        <w:t>d Issues</w:t>
      </w:r>
      <w:bookmarkEnd w:id="9"/>
      <w:r w:rsidR="00EA1BAB">
        <w:t xml:space="preserve"> </w:t>
      </w:r>
    </w:p>
    <w:p w14:paraId="09529ECA" w14:textId="77777777" w:rsidR="00D85665" w:rsidRPr="0083320F" w:rsidRDefault="00D85665" w:rsidP="00390E9C">
      <w:pPr>
        <w:pStyle w:val="standard"/>
        <w:keepNext/>
        <w:keepLines/>
        <w:spacing w:before="120"/>
      </w:pPr>
      <w:r w:rsidRPr="0083320F">
        <w:t xml:space="preserve">The Parties assume that all </w:t>
      </w:r>
      <w:r w:rsidR="000D60D1">
        <w:t>four</w:t>
      </w:r>
      <w:r w:rsidRPr="0083320F">
        <w:t xml:space="preserve"> Class A water companies face identical costs of equity, and agree that this cost is 9.</w:t>
      </w:r>
      <w:r w:rsidR="0018529E">
        <w:t>7</w:t>
      </w:r>
      <w:r w:rsidRPr="0083320F">
        <w:t>9</w:t>
      </w:r>
      <w:r w:rsidR="00FA40BE">
        <w:t xml:space="preserve"> percent</w:t>
      </w:r>
      <w:r w:rsidRPr="0083320F">
        <w:t xml:space="preserve">.  This number is a compromise between the Applicants’ proposed costs of equity which range from </w:t>
      </w:r>
      <w:r w:rsidR="002E4ADB">
        <w:t>10.20</w:t>
      </w:r>
      <w:r w:rsidR="00FA40BE">
        <w:t xml:space="preserve"> percent</w:t>
      </w:r>
      <w:r w:rsidRPr="0083320F">
        <w:t xml:space="preserve"> to 1</w:t>
      </w:r>
      <w:r w:rsidR="002E4ADB">
        <w:t>1.95</w:t>
      </w:r>
      <w:r w:rsidR="00FA40BE">
        <w:t xml:space="preserve"> percent</w:t>
      </w:r>
      <w:r w:rsidRPr="0083320F">
        <w:t xml:space="preserve"> and DRA’s proposed costs of equity which range from </w:t>
      </w:r>
      <w:r w:rsidR="00D44ACA">
        <w:t>8.</w:t>
      </w:r>
      <w:r w:rsidRPr="0083320F">
        <w:t>5</w:t>
      </w:r>
      <w:r w:rsidR="00D44ACA">
        <w:t>0</w:t>
      </w:r>
      <w:r w:rsidR="00E93BEE">
        <w:t> </w:t>
      </w:r>
      <w:r w:rsidR="00FA40BE">
        <w:t>percent</w:t>
      </w:r>
      <w:r w:rsidRPr="0083320F">
        <w:t xml:space="preserve"> to 9.00</w:t>
      </w:r>
      <w:r w:rsidR="00FA40BE">
        <w:t xml:space="preserve"> percent</w:t>
      </w:r>
      <w:r w:rsidRPr="0083320F">
        <w:t xml:space="preserve"> for individual companies</w:t>
      </w:r>
      <w:r w:rsidR="0083320F">
        <w:t>.</w:t>
      </w:r>
      <w:r w:rsidR="00686C51">
        <w:t xml:space="preserve">  </w:t>
      </w:r>
      <w:r w:rsidRPr="0083320F">
        <w:t>Since we approve the same cost of equity for all four companies, the differences in the overall rates of return among the compa</w:t>
      </w:r>
      <w:r w:rsidR="00686C51">
        <w:t xml:space="preserve">nies reflect two other factors:  </w:t>
      </w:r>
      <w:r w:rsidRPr="0083320F">
        <w:t xml:space="preserve">capital structure and embedded cost of debt.  </w:t>
      </w:r>
      <w:r w:rsidR="00664406">
        <w:t>T</w:t>
      </w:r>
      <w:r w:rsidRPr="0083320F">
        <w:t xml:space="preserve">he derivation of an overall rate of return for each company </w:t>
      </w:r>
      <w:r w:rsidR="00664406">
        <w:t xml:space="preserve">is discussed </w:t>
      </w:r>
      <w:r w:rsidRPr="0083320F">
        <w:t>below.</w:t>
      </w:r>
    </w:p>
    <w:p w14:paraId="41A271F7" w14:textId="77777777" w:rsidR="00D85665" w:rsidRPr="00824995" w:rsidRDefault="002E4ADB" w:rsidP="00824995">
      <w:pPr>
        <w:pStyle w:val="Heading2"/>
        <w:keepLines/>
        <w:numPr>
          <w:ilvl w:val="0"/>
          <w:numId w:val="20"/>
        </w:numPr>
        <w:tabs>
          <w:tab w:val="num" w:pos="1440"/>
        </w:tabs>
        <w:ind w:right="720" w:hanging="720"/>
        <w:rPr>
          <w:iCs/>
          <w:szCs w:val="20"/>
        </w:rPr>
      </w:pPr>
      <w:bookmarkStart w:id="10" w:name="_Toc356978424"/>
      <w:r>
        <w:t>Park Water Company and Apple Valley Ranchos</w:t>
      </w:r>
      <w:r w:rsidR="00EA3DAB">
        <w:t xml:space="preserve"> </w:t>
      </w:r>
      <w:r>
        <w:t>Water Company</w:t>
      </w:r>
      <w:bookmarkEnd w:id="10"/>
    </w:p>
    <w:p w14:paraId="0FFAEE9E" w14:textId="77777777" w:rsidR="00D85665" w:rsidRPr="0083320F" w:rsidRDefault="00D85665" w:rsidP="0051749F">
      <w:pPr>
        <w:pStyle w:val="standard"/>
      </w:pPr>
      <w:r w:rsidRPr="0083320F">
        <w:t>In Application</w:t>
      </w:r>
      <w:r w:rsidR="003611A3">
        <w:t xml:space="preserve"> </w:t>
      </w:r>
      <w:r w:rsidRPr="0083320F">
        <w:t>(A.)</w:t>
      </w:r>
      <w:r w:rsidR="008D00CC">
        <w:t xml:space="preserve"> </w:t>
      </w:r>
      <w:r w:rsidRPr="0083320F">
        <w:t>1</w:t>
      </w:r>
      <w:r w:rsidR="002E4ADB">
        <w:t>2</w:t>
      </w:r>
      <w:r w:rsidRPr="0083320F">
        <w:t xml:space="preserve">-05-001, direct testimony, and rebuttal testimony, </w:t>
      </w:r>
      <w:r w:rsidR="002E4ADB">
        <w:t>Park</w:t>
      </w:r>
      <w:r w:rsidRPr="0083320F">
        <w:t xml:space="preserve"> sought Commission approval of the following: </w:t>
      </w:r>
      <w:r w:rsidR="00BB614B">
        <w:t xml:space="preserve"> </w:t>
      </w:r>
    </w:p>
    <w:p w14:paraId="28A0EDBB" w14:textId="77777777" w:rsidR="006A025C" w:rsidRPr="00686C51" w:rsidRDefault="002E4ADB" w:rsidP="00686C51">
      <w:pPr>
        <w:pStyle w:val="standard"/>
        <w:numPr>
          <w:ilvl w:val="0"/>
          <w:numId w:val="19"/>
        </w:numPr>
        <w:spacing w:after="120" w:line="240" w:lineRule="auto"/>
        <w:ind w:left="1080" w:right="1440"/>
        <w:rPr>
          <w:szCs w:val="26"/>
        </w:rPr>
      </w:pPr>
      <w:r>
        <w:rPr>
          <w:szCs w:val="26"/>
        </w:rPr>
        <w:t>A ratemaking capital structure of 42.51 percent long-term debt and 57.49 percent common equity</w:t>
      </w:r>
      <w:r w:rsidR="006A025C">
        <w:rPr>
          <w:szCs w:val="26"/>
        </w:rPr>
        <w:t>;</w:t>
      </w:r>
      <w:r w:rsidR="006A025C" w:rsidRPr="00686C51">
        <w:rPr>
          <w:rStyle w:val="FootnoteReference"/>
          <w:szCs w:val="26"/>
        </w:rPr>
        <w:footnoteReference w:id="6"/>
      </w:r>
      <w:r>
        <w:rPr>
          <w:szCs w:val="26"/>
        </w:rPr>
        <w:t xml:space="preserve"> </w:t>
      </w:r>
    </w:p>
    <w:p w14:paraId="40CCD99A" w14:textId="77777777" w:rsidR="008F71E7" w:rsidRPr="00686C51" w:rsidRDefault="008F71E7" w:rsidP="00686C51">
      <w:pPr>
        <w:pStyle w:val="standard"/>
        <w:numPr>
          <w:ilvl w:val="0"/>
          <w:numId w:val="19"/>
        </w:numPr>
        <w:spacing w:after="120" w:line="240" w:lineRule="auto"/>
        <w:ind w:left="1080" w:right="1440"/>
        <w:rPr>
          <w:szCs w:val="26"/>
        </w:rPr>
      </w:pPr>
      <w:r>
        <w:rPr>
          <w:szCs w:val="26"/>
        </w:rPr>
        <w:t>A cost of debt of 8.12 percent; a</w:t>
      </w:r>
      <w:r w:rsidRPr="0051749F">
        <w:rPr>
          <w:szCs w:val="26"/>
        </w:rPr>
        <w:t xml:space="preserve"> return on equity of </w:t>
      </w:r>
      <w:r w:rsidR="00686C51">
        <w:rPr>
          <w:szCs w:val="26"/>
        </w:rPr>
        <w:br/>
      </w:r>
      <w:r w:rsidRPr="0051749F">
        <w:rPr>
          <w:szCs w:val="26"/>
        </w:rPr>
        <w:t>11.</w:t>
      </w:r>
      <w:r>
        <w:rPr>
          <w:szCs w:val="26"/>
        </w:rPr>
        <w:t>9</w:t>
      </w:r>
      <w:r w:rsidRPr="0051749F">
        <w:rPr>
          <w:szCs w:val="26"/>
        </w:rPr>
        <w:t>5</w:t>
      </w:r>
      <w:r>
        <w:rPr>
          <w:szCs w:val="26"/>
        </w:rPr>
        <w:t xml:space="preserve"> percent; a rate of return of 10.32 percent;</w:t>
      </w:r>
      <w:r w:rsidRPr="00686C51">
        <w:rPr>
          <w:rStyle w:val="FootnoteReference"/>
          <w:szCs w:val="26"/>
        </w:rPr>
        <w:footnoteReference w:id="7"/>
      </w:r>
      <w:r w:rsidR="00686C51" w:rsidRPr="00686C51">
        <w:rPr>
          <w:rStyle w:val="FootnoteReference"/>
        </w:rPr>
        <w:t xml:space="preserve"> </w:t>
      </w:r>
      <w:r w:rsidR="00686C51">
        <w:rPr>
          <w:szCs w:val="26"/>
        </w:rPr>
        <w:t>and</w:t>
      </w:r>
    </w:p>
    <w:p w14:paraId="0DC4CB68" w14:textId="77777777" w:rsidR="008F71E7" w:rsidRPr="00686C51" w:rsidRDefault="00FA53A9" w:rsidP="00686C51">
      <w:pPr>
        <w:pStyle w:val="standard"/>
        <w:numPr>
          <w:ilvl w:val="0"/>
          <w:numId w:val="19"/>
        </w:numPr>
        <w:spacing w:after="120" w:line="240" w:lineRule="auto"/>
        <w:ind w:left="1080" w:right="1440"/>
        <w:rPr>
          <w:szCs w:val="26"/>
        </w:rPr>
      </w:pPr>
      <w:r>
        <w:rPr>
          <w:szCs w:val="26"/>
        </w:rPr>
        <w:t>Cont</w:t>
      </w:r>
      <w:r w:rsidR="008F71E7">
        <w:rPr>
          <w:szCs w:val="26"/>
        </w:rPr>
        <w:t>inuation of the Water Cost of Capital Mechanism (WCCM)</w:t>
      </w:r>
      <w:r>
        <w:rPr>
          <w:szCs w:val="26"/>
        </w:rPr>
        <w:t>, with a benchmark of the average of the Baa utility bond yields from October 1, 2011 through September 30, 2012 and a 100 basis point up</w:t>
      </w:r>
      <w:r w:rsidR="001077F0">
        <w:rPr>
          <w:szCs w:val="26"/>
        </w:rPr>
        <w:t>ward</w:t>
      </w:r>
      <w:r>
        <w:rPr>
          <w:szCs w:val="26"/>
        </w:rPr>
        <w:t xml:space="preserve"> and down</w:t>
      </w:r>
      <w:r w:rsidR="001077F0">
        <w:rPr>
          <w:szCs w:val="26"/>
        </w:rPr>
        <w:t>ward deadband</w:t>
      </w:r>
      <w:r>
        <w:rPr>
          <w:szCs w:val="26"/>
        </w:rPr>
        <w:t>.</w:t>
      </w:r>
      <w:r w:rsidR="008F71E7" w:rsidRPr="00686C51">
        <w:rPr>
          <w:rStyle w:val="FootnoteReference"/>
          <w:szCs w:val="26"/>
        </w:rPr>
        <w:footnoteReference w:id="8"/>
      </w:r>
      <w:r w:rsidR="008F71E7" w:rsidRPr="00686C51">
        <w:rPr>
          <w:szCs w:val="26"/>
        </w:rPr>
        <w:t xml:space="preserve">  </w:t>
      </w:r>
    </w:p>
    <w:p w14:paraId="51BBFBD1" w14:textId="77777777" w:rsidR="003250EB" w:rsidRDefault="003250EB" w:rsidP="003765E7">
      <w:pPr>
        <w:pStyle w:val="standard"/>
        <w:rPr>
          <w:szCs w:val="26"/>
        </w:rPr>
      </w:pPr>
      <w:r>
        <w:rPr>
          <w:szCs w:val="26"/>
        </w:rPr>
        <w:t>DRA made the following recommendations regarding Park’s application;</w:t>
      </w:r>
    </w:p>
    <w:p w14:paraId="33B8731E" w14:textId="77777777" w:rsidR="003250EB" w:rsidRDefault="003250EB" w:rsidP="00FA089A">
      <w:pPr>
        <w:pStyle w:val="standard"/>
        <w:numPr>
          <w:ilvl w:val="0"/>
          <w:numId w:val="19"/>
        </w:numPr>
        <w:spacing w:after="120" w:line="240" w:lineRule="auto"/>
        <w:ind w:left="1080" w:right="1440"/>
        <w:rPr>
          <w:szCs w:val="26"/>
        </w:rPr>
      </w:pPr>
      <w:r>
        <w:rPr>
          <w:szCs w:val="26"/>
        </w:rPr>
        <w:lastRenderedPageBreak/>
        <w:t>Capital structure of 47.05 percent long-term</w:t>
      </w:r>
      <w:r w:rsidR="00E41E63">
        <w:rPr>
          <w:szCs w:val="26"/>
        </w:rPr>
        <w:t xml:space="preserve"> </w:t>
      </w:r>
      <w:r>
        <w:rPr>
          <w:szCs w:val="26"/>
        </w:rPr>
        <w:t xml:space="preserve">debt and </w:t>
      </w:r>
      <w:r w:rsidR="00B70E20">
        <w:rPr>
          <w:szCs w:val="26"/>
        </w:rPr>
        <w:br/>
      </w:r>
      <w:r>
        <w:rPr>
          <w:szCs w:val="26"/>
        </w:rPr>
        <w:t>52.95 percent common equity;</w:t>
      </w:r>
      <w:r w:rsidR="00E41E63">
        <w:rPr>
          <w:rStyle w:val="FootnoteReference"/>
          <w:szCs w:val="26"/>
        </w:rPr>
        <w:footnoteReference w:id="9"/>
      </w:r>
    </w:p>
    <w:p w14:paraId="462518D8" w14:textId="77777777" w:rsidR="00E41E63" w:rsidRDefault="00E41E63" w:rsidP="00FA089A">
      <w:pPr>
        <w:pStyle w:val="standard"/>
        <w:numPr>
          <w:ilvl w:val="0"/>
          <w:numId w:val="19"/>
        </w:numPr>
        <w:spacing w:after="120" w:line="240" w:lineRule="auto"/>
        <w:ind w:left="1080" w:right="1440"/>
        <w:rPr>
          <w:szCs w:val="26"/>
        </w:rPr>
      </w:pPr>
      <w:r>
        <w:rPr>
          <w:szCs w:val="26"/>
        </w:rPr>
        <w:t xml:space="preserve">A cost of debt of 8.12 percent and a return on equity of </w:t>
      </w:r>
      <w:r w:rsidR="00B70E20">
        <w:rPr>
          <w:szCs w:val="26"/>
        </w:rPr>
        <w:br/>
      </w:r>
      <w:r>
        <w:rPr>
          <w:szCs w:val="26"/>
        </w:rPr>
        <w:t>8.75 percent which results in an 8.45 percent rate of return based on DRA’s recommended capital structure</w:t>
      </w:r>
      <w:r w:rsidR="00B70E20">
        <w:rPr>
          <w:szCs w:val="26"/>
        </w:rPr>
        <w:t>;</w:t>
      </w:r>
      <w:r>
        <w:rPr>
          <w:rStyle w:val="FootnoteReference"/>
          <w:szCs w:val="26"/>
        </w:rPr>
        <w:footnoteReference w:id="10"/>
      </w:r>
      <w:r w:rsidR="00B70E20">
        <w:rPr>
          <w:szCs w:val="26"/>
        </w:rPr>
        <w:t xml:space="preserve"> and</w:t>
      </w:r>
    </w:p>
    <w:p w14:paraId="1836F33C" w14:textId="77777777" w:rsidR="004A63A7" w:rsidRDefault="004A63A7" w:rsidP="00FA089A">
      <w:pPr>
        <w:pStyle w:val="standard"/>
        <w:numPr>
          <w:ilvl w:val="0"/>
          <w:numId w:val="19"/>
        </w:numPr>
        <w:spacing w:after="120" w:line="240" w:lineRule="auto"/>
        <w:ind w:left="1080" w:right="1440"/>
        <w:rPr>
          <w:szCs w:val="26"/>
        </w:rPr>
      </w:pPr>
      <w:r w:rsidRPr="003765E7">
        <w:rPr>
          <w:szCs w:val="26"/>
        </w:rPr>
        <w:t>DRA d</w:t>
      </w:r>
      <w:r>
        <w:rPr>
          <w:szCs w:val="26"/>
        </w:rPr>
        <w:t>id</w:t>
      </w:r>
      <w:r w:rsidRPr="003765E7">
        <w:rPr>
          <w:szCs w:val="26"/>
        </w:rPr>
        <w:t xml:space="preserve"> </w:t>
      </w:r>
      <w:r>
        <w:rPr>
          <w:szCs w:val="26"/>
        </w:rPr>
        <w:t xml:space="preserve">not oppose continuation of the WCCM on the terms proposed by Park.  </w:t>
      </w:r>
    </w:p>
    <w:p w14:paraId="0F1DF355" w14:textId="77777777" w:rsidR="00D85665" w:rsidRPr="000215D9" w:rsidRDefault="00D52DFF" w:rsidP="000215D9">
      <w:pPr>
        <w:pStyle w:val="standard"/>
        <w:rPr>
          <w:szCs w:val="26"/>
        </w:rPr>
      </w:pPr>
      <w:r>
        <w:t xml:space="preserve">Park and DRA achieved a compromise from their initial positions.  </w:t>
      </w:r>
      <w:r w:rsidR="006A025C">
        <w:t>Park</w:t>
      </w:r>
      <w:r w:rsidR="00E41E63">
        <w:t xml:space="preserve"> and DRA agree that the S</w:t>
      </w:r>
      <w:r w:rsidR="00D85665" w:rsidRPr="003765E7">
        <w:t xml:space="preserve">ettlement terms </w:t>
      </w:r>
      <w:r w:rsidR="00664406">
        <w:t xml:space="preserve">contained </w:t>
      </w:r>
      <w:r w:rsidR="00D85665" w:rsidRPr="003765E7">
        <w:t xml:space="preserve">in Table I and Table II </w:t>
      </w:r>
      <w:r w:rsidR="00664406">
        <w:t xml:space="preserve">above </w:t>
      </w:r>
      <w:r w:rsidR="00D85665" w:rsidRPr="003765E7">
        <w:t>will provide ratepayers with reasonable rates sufficient to maintain the financial soundn</w:t>
      </w:r>
      <w:r w:rsidR="00DD10D5">
        <w:t xml:space="preserve">ess and stability of </w:t>
      </w:r>
      <w:r w:rsidR="006A025C">
        <w:t>Park</w:t>
      </w:r>
      <w:r w:rsidR="00DD10D5">
        <w:t>.</w:t>
      </w:r>
    </w:p>
    <w:p w14:paraId="0B0CAFA4" w14:textId="77777777" w:rsidR="00D85665" w:rsidRPr="00824995" w:rsidRDefault="00D85665" w:rsidP="00824995">
      <w:pPr>
        <w:pStyle w:val="Heading2"/>
        <w:keepNext w:val="0"/>
        <w:widowControl w:val="0"/>
        <w:numPr>
          <w:ilvl w:val="0"/>
          <w:numId w:val="20"/>
        </w:numPr>
        <w:tabs>
          <w:tab w:val="num" w:pos="1440"/>
        </w:tabs>
        <w:ind w:right="720" w:hanging="720"/>
        <w:rPr>
          <w:iCs/>
          <w:szCs w:val="20"/>
        </w:rPr>
      </w:pPr>
      <w:bookmarkStart w:id="11" w:name="_Toc356978425"/>
      <w:r w:rsidRPr="005F1389">
        <w:t xml:space="preserve">San </w:t>
      </w:r>
      <w:r w:rsidR="00EA3DAB" w:rsidRPr="005F1389">
        <w:t xml:space="preserve">Gabriel Valley </w:t>
      </w:r>
      <w:r w:rsidRPr="005F1389">
        <w:t>Water Company</w:t>
      </w:r>
      <w:bookmarkEnd w:id="11"/>
    </w:p>
    <w:p w14:paraId="00BADD0E" w14:textId="77777777" w:rsidR="00EA3DAB" w:rsidRPr="00EA3DAB" w:rsidRDefault="0039139E" w:rsidP="00EA3DAB">
      <w:pPr>
        <w:pStyle w:val="standard"/>
      </w:pPr>
      <w:r>
        <w:t>In A.</w:t>
      </w:r>
      <w:r w:rsidR="00D85665" w:rsidRPr="003765E7">
        <w:t>1</w:t>
      </w:r>
      <w:r w:rsidR="00EA3DAB">
        <w:t>2</w:t>
      </w:r>
      <w:r w:rsidR="00D85665" w:rsidRPr="003765E7">
        <w:t xml:space="preserve">-05-002, direct testimony, and rebuttal testimony, San </w:t>
      </w:r>
      <w:r w:rsidR="00EA3DAB">
        <w:t>Gabriel</w:t>
      </w:r>
      <w:r w:rsidR="00D85665" w:rsidRPr="003765E7">
        <w:t xml:space="preserve"> sought Commission approval of the following</w:t>
      </w:r>
      <w:r w:rsidR="003765E7">
        <w:t xml:space="preserve">:  </w:t>
      </w:r>
    </w:p>
    <w:p w14:paraId="1BBF1796" w14:textId="77777777" w:rsidR="00D85665" w:rsidRPr="003765E7" w:rsidRDefault="00D85665" w:rsidP="00FA6ACC">
      <w:pPr>
        <w:pStyle w:val="Default"/>
        <w:numPr>
          <w:ilvl w:val="0"/>
          <w:numId w:val="5"/>
        </w:numPr>
        <w:spacing w:after="120"/>
        <w:ind w:left="1080" w:right="1440"/>
        <w:rPr>
          <w:rFonts w:ascii="Palatino" w:hAnsi="Palatino"/>
          <w:sz w:val="26"/>
          <w:szCs w:val="26"/>
        </w:rPr>
      </w:pPr>
      <w:r w:rsidRPr="003765E7">
        <w:rPr>
          <w:rFonts w:ascii="Palatino" w:hAnsi="Palatino"/>
          <w:sz w:val="26"/>
          <w:szCs w:val="26"/>
        </w:rPr>
        <w:t xml:space="preserve">Capitalization of </w:t>
      </w:r>
      <w:r w:rsidR="00EA3DAB">
        <w:rPr>
          <w:rFonts w:ascii="Palatino" w:hAnsi="Palatino"/>
          <w:sz w:val="26"/>
          <w:szCs w:val="26"/>
        </w:rPr>
        <w:t>37.16</w:t>
      </w:r>
      <w:r w:rsidR="00FA40BE">
        <w:rPr>
          <w:rFonts w:ascii="Palatino" w:hAnsi="Palatino"/>
          <w:sz w:val="26"/>
          <w:szCs w:val="26"/>
        </w:rPr>
        <w:t xml:space="preserve"> percent</w:t>
      </w:r>
      <w:r w:rsidRPr="003765E7">
        <w:rPr>
          <w:rFonts w:ascii="Palatino" w:hAnsi="Palatino"/>
          <w:sz w:val="26"/>
          <w:szCs w:val="26"/>
        </w:rPr>
        <w:t xml:space="preserve"> long-term debt and </w:t>
      </w:r>
      <w:r w:rsidR="009B50F4">
        <w:rPr>
          <w:rFonts w:ascii="Palatino" w:hAnsi="Palatino"/>
          <w:sz w:val="26"/>
          <w:szCs w:val="26"/>
        </w:rPr>
        <w:br/>
      </w:r>
      <w:r w:rsidR="00EA3DAB">
        <w:rPr>
          <w:rFonts w:ascii="Palatino" w:hAnsi="Palatino"/>
          <w:sz w:val="26"/>
          <w:szCs w:val="26"/>
        </w:rPr>
        <w:t>62.84</w:t>
      </w:r>
      <w:r w:rsidR="00FA40BE">
        <w:rPr>
          <w:rFonts w:ascii="Palatino" w:hAnsi="Palatino"/>
          <w:sz w:val="26"/>
          <w:szCs w:val="26"/>
        </w:rPr>
        <w:t xml:space="preserve"> percent</w:t>
      </w:r>
      <w:r w:rsidRPr="003765E7">
        <w:rPr>
          <w:rFonts w:ascii="Palatino" w:hAnsi="Palatino"/>
          <w:sz w:val="26"/>
          <w:szCs w:val="26"/>
        </w:rPr>
        <w:t xml:space="preserve"> common </w:t>
      </w:r>
      <w:r w:rsidR="00EA3DAB">
        <w:rPr>
          <w:rFonts w:ascii="Palatino" w:hAnsi="Palatino"/>
          <w:sz w:val="26"/>
          <w:szCs w:val="26"/>
        </w:rPr>
        <w:t xml:space="preserve">stock </w:t>
      </w:r>
      <w:r w:rsidRPr="003765E7">
        <w:rPr>
          <w:rFonts w:ascii="Palatino" w:hAnsi="Palatino"/>
          <w:sz w:val="26"/>
          <w:szCs w:val="26"/>
        </w:rPr>
        <w:t>equity for the year 201</w:t>
      </w:r>
      <w:r w:rsidR="00EA3DAB">
        <w:rPr>
          <w:rFonts w:ascii="Palatino" w:hAnsi="Palatino"/>
          <w:sz w:val="26"/>
          <w:szCs w:val="26"/>
        </w:rPr>
        <w:t>3</w:t>
      </w:r>
      <w:r w:rsidRPr="003765E7">
        <w:rPr>
          <w:rFonts w:ascii="Palatino" w:hAnsi="Palatino"/>
          <w:sz w:val="26"/>
          <w:szCs w:val="26"/>
        </w:rPr>
        <w:t>,</w:t>
      </w:r>
      <w:r w:rsidR="00E41E63">
        <w:rPr>
          <w:rFonts w:ascii="Palatino" w:hAnsi="Palatino"/>
          <w:sz w:val="26"/>
          <w:szCs w:val="26"/>
        </w:rPr>
        <w:t xml:space="preserve"> </w:t>
      </w:r>
      <w:r w:rsidR="00FA6ACC">
        <w:rPr>
          <w:rFonts w:ascii="Palatino" w:hAnsi="Palatino"/>
          <w:sz w:val="26"/>
          <w:szCs w:val="26"/>
        </w:rPr>
        <w:br/>
      </w:r>
      <w:r w:rsidR="00EA3DAB">
        <w:rPr>
          <w:rFonts w:ascii="Palatino" w:hAnsi="Palatino"/>
          <w:sz w:val="26"/>
          <w:szCs w:val="26"/>
        </w:rPr>
        <w:t xml:space="preserve">35.86 </w:t>
      </w:r>
      <w:r w:rsidR="00E41E63">
        <w:rPr>
          <w:rFonts w:ascii="Palatino" w:hAnsi="Palatino"/>
          <w:sz w:val="26"/>
          <w:szCs w:val="26"/>
        </w:rPr>
        <w:t xml:space="preserve">percent </w:t>
      </w:r>
      <w:r w:rsidR="00EA3DAB">
        <w:rPr>
          <w:rFonts w:ascii="Palatino" w:hAnsi="Palatino"/>
          <w:sz w:val="26"/>
          <w:szCs w:val="26"/>
        </w:rPr>
        <w:t>long-term debt and 64.14 percent common stock equity for the year 2014, and 37.68 percent long-term debt and 62.32 percent common</w:t>
      </w:r>
      <w:r w:rsidR="00FB7F6E">
        <w:rPr>
          <w:rFonts w:ascii="Palatino" w:hAnsi="Palatino"/>
          <w:sz w:val="26"/>
          <w:szCs w:val="26"/>
        </w:rPr>
        <w:t xml:space="preserve"> stock equity for the </w:t>
      </w:r>
      <w:r w:rsidR="00FA6ACC">
        <w:rPr>
          <w:rFonts w:ascii="Palatino" w:hAnsi="Palatino"/>
          <w:sz w:val="26"/>
          <w:szCs w:val="26"/>
        </w:rPr>
        <w:br/>
      </w:r>
      <w:r w:rsidR="00FB7F6E">
        <w:rPr>
          <w:rFonts w:ascii="Palatino" w:hAnsi="Palatino"/>
          <w:sz w:val="26"/>
          <w:szCs w:val="26"/>
        </w:rPr>
        <w:t>year 2015</w:t>
      </w:r>
      <w:r w:rsidRPr="003765E7">
        <w:rPr>
          <w:rFonts w:ascii="Palatino" w:hAnsi="Palatino"/>
          <w:sz w:val="26"/>
          <w:szCs w:val="26"/>
        </w:rPr>
        <w:t>;</w:t>
      </w:r>
      <w:r w:rsidR="00EA3DAB">
        <w:rPr>
          <w:rStyle w:val="FootnoteReference"/>
          <w:rFonts w:ascii="Palatino" w:hAnsi="Palatino"/>
          <w:szCs w:val="26"/>
        </w:rPr>
        <w:footnoteReference w:id="11"/>
      </w:r>
    </w:p>
    <w:p w14:paraId="0CF8A37F" w14:textId="77777777" w:rsidR="00D85665" w:rsidRPr="003765E7" w:rsidRDefault="00D85665" w:rsidP="00FA6ACC">
      <w:pPr>
        <w:pStyle w:val="Default"/>
        <w:numPr>
          <w:ilvl w:val="0"/>
          <w:numId w:val="5"/>
        </w:numPr>
        <w:spacing w:after="120"/>
        <w:ind w:left="1080" w:right="1440"/>
        <w:rPr>
          <w:rFonts w:ascii="Palatino" w:hAnsi="Palatino"/>
          <w:sz w:val="26"/>
          <w:szCs w:val="26"/>
        </w:rPr>
      </w:pPr>
      <w:r w:rsidRPr="003765E7">
        <w:rPr>
          <w:rFonts w:ascii="Palatino" w:hAnsi="Palatino"/>
          <w:sz w:val="26"/>
          <w:szCs w:val="26"/>
        </w:rPr>
        <w:t xml:space="preserve">A cost of </w:t>
      </w:r>
      <w:r w:rsidR="00EA3DAB">
        <w:rPr>
          <w:rFonts w:ascii="Palatino" w:hAnsi="Palatino"/>
          <w:sz w:val="26"/>
          <w:szCs w:val="26"/>
        </w:rPr>
        <w:t xml:space="preserve">long-term debt </w:t>
      </w:r>
      <w:r w:rsidRPr="003765E7">
        <w:rPr>
          <w:rFonts w:ascii="Palatino" w:hAnsi="Palatino"/>
          <w:sz w:val="26"/>
          <w:szCs w:val="26"/>
        </w:rPr>
        <w:t>of 6.</w:t>
      </w:r>
      <w:r w:rsidR="00EA3DAB">
        <w:rPr>
          <w:rFonts w:ascii="Palatino" w:hAnsi="Palatino"/>
          <w:sz w:val="26"/>
          <w:szCs w:val="26"/>
        </w:rPr>
        <w:t>26</w:t>
      </w:r>
      <w:r w:rsidR="00FA40BE">
        <w:rPr>
          <w:rFonts w:ascii="Palatino" w:hAnsi="Palatino"/>
          <w:sz w:val="26"/>
          <w:szCs w:val="26"/>
        </w:rPr>
        <w:t xml:space="preserve"> percent</w:t>
      </w:r>
      <w:r w:rsidR="00EA3DAB">
        <w:rPr>
          <w:rFonts w:ascii="Palatino" w:hAnsi="Palatino"/>
          <w:sz w:val="26"/>
          <w:szCs w:val="26"/>
        </w:rPr>
        <w:t xml:space="preserve"> for years 2013 and 2014 and of 6.38 percent for year 2015, and a return on common stock equity of 11.60 percent for all three years</w:t>
      </w:r>
      <w:r w:rsidR="003765E7">
        <w:rPr>
          <w:rFonts w:ascii="Palatino" w:hAnsi="Palatino"/>
          <w:sz w:val="26"/>
          <w:szCs w:val="26"/>
        </w:rPr>
        <w:t>;</w:t>
      </w:r>
      <w:r w:rsidRPr="00C97D9E">
        <w:rPr>
          <w:rStyle w:val="FootnoteReference"/>
          <w:rFonts w:ascii="Palatino" w:hAnsi="Palatino"/>
        </w:rPr>
        <w:footnoteReference w:id="12"/>
      </w:r>
    </w:p>
    <w:p w14:paraId="39A5017D" w14:textId="77777777" w:rsidR="00D85665" w:rsidRPr="00B536A0" w:rsidRDefault="00D85665" w:rsidP="00B536A0">
      <w:pPr>
        <w:pStyle w:val="CM16"/>
        <w:keepNext/>
        <w:keepLines/>
        <w:numPr>
          <w:ilvl w:val="0"/>
          <w:numId w:val="5"/>
        </w:numPr>
        <w:spacing w:after="120"/>
        <w:ind w:left="1080" w:right="1440"/>
        <w:rPr>
          <w:rFonts w:ascii="Palatino" w:hAnsi="Palatino"/>
          <w:sz w:val="26"/>
          <w:szCs w:val="26"/>
        </w:rPr>
      </w:pPr>
      <w:r w:rsidRPr="003765E7">
        <w:rPr>
          <w:rFonts w:ascii="Palatino" w:hAnsi="Palatino"/>
          <w:sz w:val="26"/>
          <w:szCs w:val="26"/>
        </w:rPr>
        <w:lastRenderedPageBreak/>
        <w:t xml:space="preserve">A </w:t>
      </w:r>
      <w:r w:rsidR="00B536A0">
        <w:rPr>
          <w:rFonts w:ascii="Palatino" w:hAnsi="Palatino"/>
          <w:sz w:val="26"/>
          <w:szCs w:val="26"/>
        </w:rPr>
        <w:t>overall rate of return of 9.62 percent for 2013, 9.68 percent for 2014, and 9.63 percent for 2015;</w:t>
      </w:r>
      <w:r w:rsidRPr="003765E7">
        <w:rPr>
          <w:rFonts w:ascii="Palatino" w:hAnsi="Palatino"/>
          <w:sz w:val="26"/>
          <w:szCs w:val="26"/>
        </w:rPr>
        <w:t xml:space="preserve"> </w:t>
      </w:r>
      <w:r w:rsidRPr="00C0239E">
        <w:rPr>
          <w:rStyle w:val="FootnoteReference"/>
          <w:rFonts w:ascii="Palatino" w:hAnsi="Palatino"/>
        </w:rPr>
        <w:footnoteReference w:id="13"/>
      </w:r>
      <w:r w:rsidRPr="00B536A0">
        <w:rPr>
          <w:rFonts w:ascii="Palatino" w:hAnsi="Palatino"/>
          <w:sz w:val="26"/>
          <w:szCs w:val="26"/>
        </w:rPr>
        <w:t xml:space="preserve"> </w:t>
      </w:r>
      <w:r w:rsidR="00FA6ACC">
        <w:rPr>
          <w:rFonts w:ascii="Palatino" w:hAnsi="Palatino"/>
          <w:sz w:val="26"/>
          <w:szCs w:val="26"/>
        </w:rPr>
        <w:t>and</w:t>
      </w:r>
    </w:p>
    <w:p w14:paraId="0A36D90A" w14:textId="77777777" w:rsidR="00D85665" w:rsidRPr="003765E7" w:rsidRDefault="00D85665" w:rsidP="00EA251D">
      <w:pPr>
        <w:pStyle w:val="Default"/>
        <w:numPr>
          <w:ilvl w:val="0"/>
          <w:numId w:val="5"/>
        </w:numPr>
        <w:spacing w:after="120"/>
        <w:ind w:left="1080" w:right="1440"/>
        <w:rPr>
          <w:rFonts w:ascii="Palatino" w:hAnsi="Palatino"/>
          <w:sz w:val="26"/>
          <w:szCs w:val="26"/>
        </w:rPr>
      </w:pPr>
      <w:r w:rsidRPr="003765E7">
        <w:rPr>
          <w:rFonts w:ascii="Palatino" w:hAnsi="Palatino"/>
          <w:sz w:val="26"/>
          <w:szCs w:val="26"/>
        </w:rPr>
        <w:t xml:space="preserve">Continuation of the WCCM, with a </w:t>
      </w:r>
      <w:r w:rsidR="001077F0">
        <w:rPr>
          <w:rFonts w:ascii="Palatino" w:hAnsi="Palatino"/>
          <w:sz w:val="26"/>
          <w:szCs w:val="26"/>
        </w:rPr>
        <w:t>measurement period of October 2012 through September 2013</w:t>
      </w:r>
      <w:r w:rsidR="00033765">
        <w:rPr>
          <w:rFonts w:ascii="Palatino" w:hAnsi="Palatino"/>
          <w:sz w:val="26"/>
          <w:szCs w:val="26"/>
        </w:rPr>
        <w:t>.  A</w:t>
      </w:r>
      <w:r w:rsidR="001077F0">
        <w:rPr>
          <w:rFonts w:ascii="Palatino" w:hAnsi="Palatino"/>
          <w:sz w:val="26"/>
          <w:szCs w:val="26"/>
        </w:rPr>
        <w:t xml:space="preserve"> </w:t>
      </w:r>
      <w:r w:rsidR="00F2395E">
        <w:rPr>
          <w:rFonts w:ascii="Palatino" w:hAnsi="Palatino"/>
          <w:sz w:val="26"/>
          <w:szCs w:val="26"/>
        </w:rPr>
        <w:t xml:space="preserve">reduction of its original position </w:t>
      </w:r>
      <w:r w:rsidR="00EF234C">
        <w:rPr>
          <w:rFonts w:ascii="Palatino" w:hAnsi="Palatino"/>
          <w:sz w:val="26"/>
          <w:szCs w:val="26"/>
        </w:rPr>
        <w:t xml:space="preserve">of a </w:t>
      </w:r>
      <w:r w:rsidR="001077F0">
        <w:rPr>
          <w:rFonts w:ascii="Palatino" w:hAnsi="Palatino"/>
          <w:sz w:val="26"/>
          <w:szCs w:val="26"/>
        </w:rPr>
        <w:t xml:space="preserve">200 basis point upward and downward </w:t>
      </w:r>
      <w:r w:rsidR="00EF234C">
        <w:rPr>
          <w:rFonts w:ascii="Palatino" w:hAnsi="Palatino"/>
          <w:sz w:val="26"/>
          <w:szCs w:val="26"/>
        </w:rPr>
        <w:t xml:space="preserve">deadband </w:t>
      </w:r>
      <w:r w:rsidR="001077F0">
        <w:rPr>
          <w:rFonts w:ascii="Palatino" w:hAnsi="Palatino"/>
          <w:sz w:val="26"/>
          <w:szCs w:val="26"/>
        </w:rPr>
        <w:t>to a 100 basis point upward and downward deadband</w:t>
      </w:r>
      <w:r w:rsidRPr="003765E7">
        <w:rPr>
          <w:rFonts w:ascii="Palatino" w:hAnsi="Palatino"/>
          <w:sz w:val="26"/>
          <w:szCs w:val="26"/>
        </w:rPr>
        <w:t>.</w:t>
      </w:r>
      <w:r w:rsidRPr="003765E7">
        <w:rPr>
          <w:rStyle w:val="FootnoteReference"/>
          <w:rFonts w:ascii="Palatino" w:hAnsi="Palatino"/>
          <w:sz w:val="26"/>
          <w:szCs w:val="26"/>
        </w:rPr>
        <w:footnoteReference w:id="14"/>
      </w:r>
    </w:p>
    <w:p w14:paraId="75310E79" w14:textId="77777777" w:rsidR="00D85665" w:rsidRPr="003765E7" w:rsidRDefault="00D85665" w:rsidP="00F6584C">
      <w:pPr>
        <w:pStyle w:val="standard"/>
      </w:pPr>
      <w:r w:rsidRPr="003765E7">
        <w:t>DRA’s testimony advocated the followi</w:t>
      </w:r>
      <w:r w:rsidR="00F6584C">
        <w:t xml:space="preserve">ng recommendations with respect </w:t>
      </w:r>
      <w:r w:rsidRPr="003765E7">
        <w:t xml:space="preserve">to San </w:t>
      </w:r>
      <w:r w:rsidR="00FB7F6E">
        <w:t>Gabriel’s</w:t>
      </w:r>
      <w:r w:rsidRPr="003765E7">
        <w:t xml:space="preserve"> application:</w:t>
      </w:r>
    </w:p>
    <w:p w14:paraId="760540D9" w14:textId="77777777" w:rsidR="00D85665" w:rsidRPr="003765E7" w:rsidRDefault="00D85665" w:rsidP="00EA251D">
      <w:pPr>
        <w:pStyle w:val="Default"/>
        <w:numPr>
          <w:ilvl w:val="0"/>
          <w:numId w:val="6"/>
        </w:numPr>
        <w:spacing w:after="120"/>
        <w:ind w:left="1080" w:right="1440"/>
        <w:rPr>
          <w:rFonts w:ascii="Palatino" w:hAnsi="Palatino"/>
          <w:sz w:val="26"/>
          <w:szCs w:val="26"/>
        </w:rPr>
      </w:pPr>
      <w:r w:rsidRPr="003765E7">
        <w:rPr>
          <w:rFonts w:ascii="Palatino" w:hAnsi="Palatino"/>
          <w:sz w:val="26"/>
          <w:szCs w:val="26"/>
        </w:rPr>
        <w:t xml:space="preserve">Capitalization of </w:t>
      </w:r>
      <w:r w:rsidR="00FB7F6E">
        <w:rPr>
          <w:rFonts w:ascii="Palatino" w:hAnsi="Palatino"/>
          <w:sz w:val="26"/>
          <w:szCs w:val="26"/>
        </w:rPr>
        <w:t>44.37 percent</w:t>
      </w:r>
      <w:r w:rsidRPr="003765E7">
        <w:rPr>
          <w:rFonts w:ascii="Palatino" w:hAnsi="Palatino"/>
          <w:sz w:val="26"/>
          <w:szCs w:val="26"/>
        </w:rPr>
        <w:t xml:space="preserve"> long-term debt and </w:t>
      </w:r>
      <w:r w:rsidR="00FA6ACC">
        <w:rPr>
          <w:rFonts w:ascii="Palatino" w:hAnsi="Palatino"/>
          <w:sz w:val="26"/>
          <w:szCs w:val="26"/>
        </w:rPr>
        <w:br/>
      </w:r>
      <w:r w:rsidR="00FB7F6E">
        <w:rPr>
          <w:rFonts w:ascii="Palatino" w:hAnsi="Palatino"/>
          <w:sz w:val="26"/>
          <w:szCs w:val="26"/>
        </w:rPr>
        <w:t>55.63 percent common stock equity</w:t>
      </w:r>
      <w:r w:rsidRPr="003765E7">
        <w:rPr>
          <w:rFonts w:ascii="Palatino" w:hAnsi="Palatino"/>
          <w:sz w:val="26"/>
          <w:szCs w:val="26"/>
        </w:rPr>
        <w:t xml:space="preserve"> for 201</w:t>
      </w:r>
      <w:r w:rsidR="00FB7F6E">
        <w:rPr>
          <w:rFonts w:ascii="Palatino" w:hAnsi="Palatino"/>
          <w:sz w:val="26"/>
          <w:szCs w:val="26"/>
        </w:rPr>
        <w:t>3</w:t>
      </w:r>
      <w:r w:rsidRPr="003765E7">
        <w:rPr>
          <w:rFonts w:ascii="Palatino" w:hAnsi="Palatino"/>
          <w:sz w:val="26"/>
          <w:szCs w:val="26"/>
        </w:rPr>
        <w:t>-201</w:t>
      </w:r>
      <w:r w:rsidR="00FB7F6E">
        <w:rPr>
          <w:rFonts w:ascii="Palatino" w:hAnsi="Palatino"/>
          <w:sz w:val="26"/>
          <w:szCs w:val="26"/>
        </w:rPr>
        <w:t>5</w:t>
      </w:r>
      <w:r w:rsidRPr="003765E7">
        <w:rPr>
          <w:rFonts w:ascii="Palatino" w:hAnsi="Palatino"/>
          <w:sz w:val="26"/>
          <w:szCs w:val="26"/>
        </w:rPr>
        <w:t>;</w:t>
      </w:r>
      <w:r w:rsidRPr="003765E7">
        <w:rPr>
          <w:rStyle w:val="FootnoteReference"/>
          <w:rFonts w:ascii="Palatino" w:hAnsi="Palatino"/>
          <w:sz w:val="26"/>
          <w:szCs w:val="26"/>
        </w:rPr>
        <w:footnoteReference w:id="15"/>
      </w:r>
    </w:p>
    <w:p w14:paraId="4295BFA4" w14:textId="77777777" w:rsidR="00D85665" w:rsidRPr="00B42120" w:rsidRDefault="00D85665" w:rsidP="00EA251D">
      <w:pPr>
        <w:pStyle w:val="Default"/>
        <w:numPr>
          <w:ilvl w:val="0"/>
          <w:numId w:val="6"/>
        </w:numPr>
        <w:spacing w:after="120"/>
        <w:ind w:left="1080" w:right="1440"/>
        <w:rPr>
          <w:rFonts w:ascii="Palatino" w:hAnsi="Palatino"/>
          <w:sz w:val="26"/>
          <w:szCs w:val="26"/>
        </w:rPr>
      </w:pPr>
      <w:r w:rsidRPr="00B42120">
        <w:rPr>
          <w:rFonts w:ascii="Palatino" w:hAnsi="Palatino"/>
          <w:sz w:val="26"/>
          <w:szCs w:val="26"/>
        </w:rPr>
        <w:t xml:space="preserve">A cost of </w:t>
      </w:r>
      <w:r w:rsidR="00B42120" w:rsidRPr="00B42120">
        <w:rPr>
          <w:rFonts w:ascii="Palatino" w:hAnsi="Palatino"/>
          <w:sz w:val="26"/>
          <w:szCs w:val="26"/>
        </w:rPr>
        <w:t xml:space="preserve">long-term debt of 6.26 percent for years 2013 through 2015, and a return on common stock equity of </w:t>
      </w:r>
      <w:r w:rsidR="00FA6ACC">
        <w:rPr>
          <w:rFonts w:ascii="Palatino" w:hAnsi="Palatino"/>
          <w:sz w:val="26"/>
          <w:szCs w:val="26"/>
        </w:rPr>
        <w:br/>
      </w:r>
      <w:r w:rsidR="00B42120" w:rsidRPr="00B42120">
        <w:rPr>
          <w:rFonts w:ascii="Palatino" w:hAnsi="Palatino"/>
          <w:sz w:val="26"/>
          <w:szCs w:val="26"/>
        </w:rPr>
        <w:t>8.75 percent for all three years</w:t>
      </w:r>
      <w:r w:rsidR="00B42120">
        <w:rPr>
          <w:rFonts w:ascii="Palatino" w:hAnsi="Palatino"/>
          <w:sz w:val="26"/>
          <w:szCs w:val="26"/>
        </w:rPr>
        <w:t>;</w:t>
      </w:r>
      <w:r w:rsidR="00B42120">
        <w:rPr>
          <w:rStyle w:val="FootnoteReference"/>
          <w:rFonts w:ascii="Palatino" w:hAnsi="Palatino"/>
          <w:szCs w:val="26"/>
        </w:rPr>
        <w:footnoteReference w:id="16"/>
      </w:r>
      <w:r w:rsidR="00B42120">
        <w:rPr>
          <w:rFonts w:ascii="Palatino" w:hAnsi="Palatino"/>
          <w:sz w:val="26"/>
          <w:szCs w:val="26"/>
        </w:rPr>
        <w:t xml:space="preserve"> </w:t>
      </w:r>
    </w:p>
    <w:p w14:paraId="05E5C555" w14:textId="77777777" w:rsidR="00D85665" w:rsidRPr="003765E7" w:rsidRDefault="00B42120" w:rsidP="00EA251D">
      <w:pPr>
        <w:pStyle w:val="Default"/>
        <w:numPr>
          <w:ilvl w:val="0"/>
          <w:numId w:val="6"/>
        </w:numPr>
        <w:spacing w:after="120"/>
        <w:ind w:left="1080" w:right="1440"/>
        <w:rPr>
          <w:rFonts w:ascii="Palatino" w:hAnsi="Palatino"/>
          <w:sz w:val="26"/>
          <w:szCs w:val="26"/>
        </w:rPr>
      </w:pPr>
      <w:r>
        <w:rPr>
          <w:rFonts w:ascii="Palatino" w:hAnsi="Palatino"/>
          <w:sz w:val="26"/>
          <w:szCs w:val="26"/>
        </w:rPr>
        <w:t>An overall rate of return of 7.65% for years 2013 and 2015;</w:t>
      </w:r>
      <w:r w:rsidR="00D85665" w:rsidRPr="003765E7">
        <w:rPr>
          <w:rStyle w:val="FootnoteReference"/>
          <w:rFonts w:ascii="Palatino" w:hAnsi="Palatino"/>
          <w:sz w:val="26"/>
          <w:szCs w:val="26"/>
        </w:rPr>
        <w:footnoteReference w:id="17"/>
      </w:r>
      <w:r w:rsidR="00B70E20">
        <w:rPr>
          <w:rFonts w:ascii="Palatino" w:hAnsi="Palatino"/>
          <w:sz w:val="26"/>
          <w:szCs w:val="26"/>
        </w:rPr>
        <w:t xml:space="preserve"> and</w:t>
      </w:r>
    </w:p>
    <w:p w14:paraId="5ACFFDAF" w14:textId="77777777" w:rsidR="00D85665" w:rsidRPr="003765E7" w:rsidRDefault="00D85665" w:rsidP="00EA251D">
      <w:pPr>
        <w:pStyle w:val="Default"/>
        <w:numPr>
          <w:ilvl w:val="0"/>
          <w:numId w:val="6"/>
        </w:numPr>
        <w:spacing w:after="120"/>
        <w:ind w:left="1080" w:right="1440"/>
        <w:rPr>
          <w:rFonts w:ascii="Palatino" w:hAnsi="Palatino"/>
          <w:sz w:val="26"/>
          <w:szCs w:val="26"/>
        </w:rPr>
      </w:pPr>
      <w:r w:rsidRPr="003765E7">
        <w:rPr>
          <w:rFonts w:ascii="Palatino" w:hAnsi="Palatino"/>
          <w:sz w:val="26"/>
          <w:szCs w:val="26"/>
        </w:rPr>
        <w:t xml:space="preserve">Continuation of the WCCM, but with a deadband of </w:t>
      </w:r>
      <w:r w:rsidR="008D00CC">
        <w:rPr>
          <w:rFonts w:ascii="Palatino" w:hAnsi="Palatino"/>
          <w:sz w:val="26"/>
          <w:szCs w:val="26"/>
        </w:rPr>
        <w:br/>
      </w:r>
      <w:r w:rsidR="000215D9">
        <w:rPr>
          <w:rFonts w:ascii="Palatino" w:hAnsi="Palatino"/>
          <w:sz w:val="26"/>
          <w:szCs w:val="26"/>
        </w:rPr>
        <w:t>100 basis points upward or downward.</w:t>
      </w:r>
      <w:r w:rsidRPr="003765E7">
        <w:rPr>
          <w:rStyle w:val="FootnoteReference"/>
          <w:rFonts w:ascii="Palatino" w:hAnsi="Palatino"/>
          <w:sz w:val="26"/>
          <w:szCs w:val="26"/>
        </w:rPr>
        <w:footnoteReference w:id="18"/>
      </w:r>
    </w:p>
    <w:p w14:paraId="7843F810" w14:textId="77777777" w:rsidR="00D85665" w:rsidRPr="003765E7" w:rsidRDefault="000215D9" w:rsidP="00C27FC1">
      <w:pPr>
        <w:pStyle w:val="standard"/>
      </w:pPr>
      <w:r w:rsidRPr="00C27FC1">
        <w:t>DRA</w:t>
      </w:r>
      <w:r w:rsidR="00C27FC1" w:rsidRPr="00C27FC1">
        <w:t xml:space="preserve"> and San Gabriel compromised on a capital structure of 37.0 percent long-term debt and 63.0 percent common stock equity.  They also agreed to a long term debt cost of 6.26 percent for</w:t>
      </w:r>
      <w:r w:rsidR="00C27FC1">
        <w:t xml:space="preserve"> years</w:t>
      </w:r>
      <w:r w:rsidR="00C27FC1" w:rsidRPr="00C27FC1">
        <w:t xml:space="preserve"> 2013 to 2015. </w:t>
      </w:r>
      <w:r w:rsidR="00C27FC1">
        <w:t xml:space="preserve"> San Gabriel and DRA </w:t>
      </w:r>
      <w:r w:rsidR="00C27FC1">
        <w:lastRenderedPageBreak/>
        <w:t>agree on the WCCM terms</w:t>
      </w:r>
      <w:r w:rsidR="00033765">
        <w:t xml:space="preserve"> of a deadband of 100 basis points upward and downware</w:t>
      </w:r>
      <w:r w:rsidR="00C27FC1">
        <w:t xml:space="preserve">.  </w:t>
      </w:r>
    </w:p>
    <w:p w14:paraId="629087AE" w14:textId="77777777" w:rsidR="00D85665" w:rsidRPr="00824995" w:rsidRDefault="00C27FC1" w:rsidP="00824995">
      <w:pPr>
        <w:pStyle w:val="Heading2"/>
        <w:keepNext w:val="0"/>
        <w:widowControl w:val="0"/>
        <w:numPr>
          <w:ilvl w:val="0"/>
          <w:numId w:val="20"/>
        </w:numPr>
        <w:tabs>
          <w:tab w:val="num" w:pos="1440"/>
        </w:tabs>
        <w:ind w:right="720" w:hanging="720"/>
        <w:rPr>
          <w:iCs/>
          <w:szCs w:val="20"/>
        </w:rPr>
      </w:pPr>
      <w:bookmarkStart w:id="12" w:name="_Toc356978426"/>
      <w:r w:rsidRPr="005F1389">
        <w:t>Suburban Water Systems</w:t>
      </w:r>
      <w:bookmarkEnd w:id="12"/>
      <w:r w:rsidRPr="005F1389">
        <w:t xml:space="preserve"> </w:t>
      </w:r>
    </w:p>
    <w:p w14:paraId="5DB20071" w14:textId="77777777" w:rsidR="00D85665" w:rsidRPr="007B64B9" w:rsidRDefault="006971A6" w:rsidP="007B64B9">
      <w:pPr>
        <w:pStyle w:val="standard"/>
      </w:pPr>
      <w:r>
        <w:t>In A.</w:t>
      </w:r>
      <w:r w:rsidR="00D85665" w:rsidRPr="007B64B9">
        <w:t>1</w:t>
      </w:r>
      <w:r w:rsidR="00C27FC1">
        <w:t>2</w:t>
      </w:r>
      <w:r w:rsidR="00D85665" w:rsidRPr="007B64B9">
        <w:t>-05-00</w:t>
      </w:r>
      <w:r w:rsidR="00C27FC1">
        <w:t>4</w:t>
      </w:r>
      <w:r w:rsidR="00D85665" w:rsidRPr="007B64B9">
        <w:t xml:space="preserve">, direct testimony, and rebuttal testimony, </w:t>
      </w:r>
      <w:r w:rsidR="00C27FC1">
        <w:t>Suburban</w:t>
      </w:r>
      <w:r w:rsidR="00D85665" w:rsidRPr="007B64B9">
        <w:t xml:space="preserve"> sought Commission approval of the following:</w:t>
      </w:r>
    </w:p>
    <w:p w14:paraId="10C7CDEA" w14:textId="77777777" w:rsidR="00664406" w:rsidRDefault="00664406" w:rsidP="00EA251D">
      <w:pPr>
        <w:pStyle w:val="Default"/>
        <w:numPr>
          <w:ilvl w:val="0"/>
          <w:numId w:val="8"/>
        </w:numPr>
        <w:spacing w:after="120"/>
        <w:ind w:left="1080" w:right="1440"/>
        <w:rPr>
          <w:rFonts w:ascii="Palatino" w:hAnsi="Palatino"/>
          <w:sz w:val="26"/>
          <w:szCs w:val="26"/>
        </w:rPr>
      </w:pPr>
      <w:r>
        <w:rPr>
          <w:rFonts w:ascii="Palatino" w:hAnsi="Palatino"/>
          <w:sz w:val="26"/>
          <w:szCs w:val="26"/>
        </w:rPr>
        <w:t>Capitalization of 37.12 percent long-term debt, 2.88 percent preferred stock and 60 percent common stock equity for the years 2013 through 2015;</w:t>
      </w:r>
      <w:r>
        <w:rPr>
          <w:rStyle w:val="FootnoteReference"/>
          <w:rFonts w:ascii="Palatino" w:hAnsi="Palatino"/>
          <w:szCs w:val="26"/>
        </w:rPr>
        <w:footnoteReference w:id="19"/>
      </w:r>
    </w:p>
    <w:p w14:paraId="5C333BD5" w14:textId="77777777" w:rsidR="00F2395E" w:rsidRDefault="00F2395E" w:rsidP="00EA251D">
      <w:pPr>
        <w:pStyle w:val="Default"/>
        <w:numPr>
          <w:ilvl w:val="0"/>
          <w:numId w:val="7"/>
        </w:numPr>
        <w:spacing w:after="120"/>
        <w:ind w:left="1080" w:right="1440"/>
        <w:rPr>
          <w:rFonts w:ascii="Palatino" w:hAnsi="Palatino"/>
          <w:sz w:val="26"/>
          <w:szCs w:val="26"/>
        </w:rPr>
      </w:pPr>
      <w:r>
        <w:rPr>
          <w:rFonts w:ascii="Palatino" w:hAnsi="Palatino"/>
          <w:sz w:val="26"/>
          <w:szCs w:val="26"/>
        </w:rPr>
        <w:t>A cost of long-term debt of 7.05 percent and a return on common equity of 11.25 percent for the years 2013 through 2015;</w:t>
      </w:r>
      <w:r>
        <w:rPr>
          <w:rStyle w:val="FootnoteReference"/>
          <w:rFonts w:ascii="Palatino" w:hAnsi="Palatino"/>
          <w:szCs w:val="26"/>
        </w:rPr>
        <w:footnoteReference w:id="20"/>
      </w:r>
    </w:p>
    <w:p w14:paraId="348B5291" w14:textId="77777777" w:rsidR="00F2395E" w:rsidRDefault="00F2395E" w:rsidP="00EA251D">
      <w:pPr>
        <w:pStyle w:val="Default"/>
        <w:numPr>
          <w:ilvl w:val="0"/>
          <w:numId w:val="7"/>
        </w:numPr>
        <w:spacing w:after="120"/>
        <w:ind w:left="1080" w:right="1440"/>
        <w:rPr>
          <w:rFonts w:ascii="Palatino" w:hAnsi="Palatino"/>
          <w:sz w:val="26"/>
          <w:szCs w:val="26"/>
        </w:rPr>
      </w:pPr>
      <w:r>
        <w:rPr>
          <w:rFonts w:ascii="Palatino" w:hAnsi="Palatino"/>
          <w:sz w:val="26"/>
          <w:szCs w:val="26"/>
        </w:rPr>
        <w:t xml:space="preserve">An overall rate of return of 9.49 percent </w:t>
      </w:r>
      <w:r w:rsidR="00EF234C">
        <w:rPr>
          <w:rFonts w:ascii="Palatino" w:hAnsi="Palatino"/>
          <w:sz w:val="26"/>
          <w:szCs w:val="26"/>
        </w:rPr>
        <w:t>for the years 2013 through 2015;</w:t>
      </w:r>
      <w:r w:rsidR="00EF234C">
        <w:rPr>
          <w:rStyle w:val="FootnoteReference"/>
          <w:rFonts w:ascii="Palatino" w:hAnsi="Palatino"/>
          <w:szCs w:val="26"/>
        </w:rPr>
        <w:footnoteReference w:id="21"/>
      </w:r>
    </w:p>
    <w:p w14:paraId="5FEB45A3" w14:textId="77777777" w:rsidR="00D85665" w:rsidRPr="00017010" w:rsidRDefault="00D85665" w:rsidP="003237A7">
      <w:pPr>
        <w:pStyle w:val="standard"/>
        <w:keepNext/>
        <w:keepLines/>
      </w:pPr>
      <w:r w:rsidRPr="00017010">
        <w:t xml:space="preserve">For </w:t>
      </w:r>
      <w:r w:rsidR="00EF234C">
        <w:t>Suburban’s a</w:t>
      </w:r>
      <w:r w:rsidRPr="00017010">
        <w:t xml:space="preserve">pplication, DRA’s testimony </w:t>
      </w:r>
      <w:r w:rsidR="000B5FBD">
        <w:t>made</w:t>
      </w:r>
      <w:r w:rsidR="003237A7">
        <w:t xml:space="preserve"> the following recommendations:</w:t>
      </w:r>
      <w:r w:rsidR="00C61117">
        <w:t xml:space="preserve">  </w:t>
      </w:r>
    </w:p>
    <w:p w14:paraId="5FDB6A8F" w14:textId="77777777" w:rsidR="00D85665" w:rsidRPr="00017010" w:rsidRDefault="00D85665" w:rsidP="00EA251D">
      <w:pPr>
        <w:pStyle w:val="Default"/>
        <w:keepNext/>
        <w:keepLines/>
        <w:numPr>
          <w:ilvl w:val="0"/>
          <w:numId w:val="9"/>
        </w:numPr>
        <w:spacing w:after="120"/>
        <w:ind w:left="1080" w:right="1440"/>
        <w:rPr>
          <w:rFonts w:ascii="Palatino" w:hAnsi="Palatino"/>
          <w:sz w:val="26"/>
          <w:szCs w:val="26"/>
        </w:rPr>
      </w:pPr>
      <w:r w:rsidRPr="00017010">
        <w:rPr>
          <w:rFonts w:ascii="Palatino" w:hAnsi="Palatino"/>
          <w:sz w:val="26"/>
          <w:szCs w:val="26"/>
        </w:rPr>
        <w:t xml:space="preserve">Capitalization of </w:t>
      </w:r>
      <w:r w:rsidR="00EF234C">
        <w:rPr>
          <w:rFonts w:ascii="Palatino" w:hAnsi="Palatino"/>
          <w:sz w:val="26"/>
          <w:szCs w:val="26"/>
        </w:rPr>
        <w:t>44.35 percent long-term debt, 1.52 percent preferred stock and 54.13 percent common stock equity for the years 2013 through 2015;</w:t>
      </w:r>
      <w:r w:rsidRPr="00017010">
        <w:rPr>
          <w:rStyle w:val="FootnoteReference"/>
          <w:rFonts w:ascii="Palatino" w:hAnsi="Palatino"/>
          <w:sz w:val="26"/>
          <w:szCs w:val="26"/>
        </w:rPr>
        <w:footnoteReference w:id="22"/>
      </w:r>
    </w:p>
    <w:p w14:paraId="7F93E2D0" w14:textId="77777777" w:rsidR="00D85665" w:rsidRPr="00017010" w:rsidRDefault="00D85665" w:rsidP="00EA251D">
      <w:pPr>
        <w:pStyle w:val="Default"/>
        <w:numPr>
          <w:ilvl w:val="0"/>
          <w:numId w:val="9"/>
        </w:numPr>
        <w:spacing w:after="120"/>
        <w:ind w:left="1080" w:right="1440"/>
        <w:rPr>
          <w:rFonts w:ascii="Palatino" w:hAnsi="Palatino"/>
          <w:sz w:val="26"/>
          <w:szCs w:val="26"/>
        </w:rPr>
      </w:pPr>
      <w:r w:rsidRPr="00017010">
        <w:rPr>
          <w:rFonts w:ascii="Palatino" w:hAnsi="Palatino"/>
          <w:sz w:val="26"/>
          <w:szCs w:val="26"/>
        </w:rPr>
        <w:t xml:space="preserve">A cost of </w:t>
      </w:r>
      <w:r w:rsidR="00EF234C">
        <w:rPr>
          <w:rFonts w:ascii="Palatino" w:hAnsi="Palatino"/>
          <w:sz w:val="26"/>
          <w:szCs w:val="26"/>
        </w:rPr>
        <w:t xml:space="preserve">long-term </w:t>
      </w:r>
      <w:r w:rsidRPr="00017010">
        <w:rPr>
          <w:rFonts w:ascii="Palatino" w:hAnsi="Palatino"/>
          <w:sz w:val="26"/>
          <w:szCs w:val="26"/>
        </w:rPr>
        <w:t xml:space="preserve">debt of </w:t>
      </w:r>
      <w:r w:rsidR="00EF234C">
        <w:rPr>
          <w:rFonts w:ascii="Palatino" w:hAnsi="Palatino"/>
          <w:sz w:val="26"/>
          <w:szCs w:val="26"/>
        </w:rPr>
        <w:t xml:space="preserve">7.05 percent for years 2013 through 2015, and a return on common equity of </w:t>
      </w:r>
      <w:r w:rsidR="00C61117">
        <w:rPr>
          <w:rFonts w:ascii="Palatino" w:hAnsi="Palatino"/>
          <w:sz w:val="26"/>
          <w:szCs w:val="26"/>
        </w:rPr>
        <w:br/>
      </w:r>
      <w:r w:rsidR="00EF234C">
        <w:rPr>
          <w:rFonts w:ascii="Palatino" w:hAnsi="Palatino"/>
          <w:sz w:val="26"/>
          <w:szCs w:val="26"/>
        </w:rPr>
        <w:t>8.50 percent for all three years</w:t>
      </w:r>
      <w:r w:rsidR="00017010">
        <w:rPr>
          <w:rFonts w:ascii="Palatino" w:hAnsi="Palatino"/>
          <w:sz w:val="26"/>
          <w:szCs w:val="26"/>
        </w:rPr>
        <w:t>;</w:t>
      </w:r>
      <w:r w:rsidRPr="00017010">
        <w:rPr>
          <w:rStyle w:val="FootnoteReference"/>
          <w:rFonts w:ascii="Palatino" w:hAnsi="Palatino"/>
          <w:sz w:val="26"/>
          <w:szCs w:val="26"/>
        </w:rPr>
        <w:footnoteReference w:id="23"/>
      </w:r>
    </w:p>
    <w:p w14:paraId="677130DC" w14:textId="77777777" w:rsidR="00D85665" w:rsidRPr="00017010" w:rsidRDefault="008D3EC9" w:rsidP="00EA251D">
      <w:pPr>
        <w:pStyle w:val="Default"/>
        <w:numPr>
          <w:ilvl w:val="0"/>
          <w:numId w:val="9"/>
        </w:numPr>
        <w:spacing w:after="120"/>
        <w:ind w:left="1080" w:right="1440"/>
        <w:rPr>
          <w:rFonts w:ascii="Palatino" w:hAnsi="Palatino"/>
          <w:sz w:val="26"/>
          <w:szCs w:val="26"/>
        </w:rPr>
      </w:pPr>
      <w:r>
        <w:rPr>
          <w:rFonts w:ascii="Palatino" w:hAnsi="Palatino"/>
          <w:sz w:val="26"/>
          <w:szCs w:val="26"/>
        </w:rPr>
        <w:t>An overall rate of return of 7.79 percent for years 2013 through 2015</w:t>
      </w:r>
      <w:r w:rsidR="00C61117">
        <w:rPr>
          <w:rFonts w:ascii="Palatino" w:hAnsi="Palatino"/>
          <w:sz w:val="26"/>
          <w:szCs w:val="26"/>
        </w:rPr>
        <w:t>;</w:t>
      </w:r>
      <w:r>
        <w:rPr>
          <w:rStyle w:val="FootnoteReference"/>
          <w:rFonts w:ascii="Palatino" w:hAnsi="Palatino"/>
          <w:szCs w:val="26"/>
        </w:rPr>
        <w:footnoteReference w:id="24"/>
      </w:r>
      <w:r w:rsidR="00B70E20">
        <w:rPr>
          <w:rFonts w:ascii="Palatino" w:hAnsi="Palatino"/>
          <w:sz w:val="26"/>
          <w:szCs w:val="26"/>
        </w:rPr>
        <w:t xml:space="preserve"> and</w:t>
      </w:r>
    </w:p>
    <w:p w14:paraId="7C6C45F4" w14:textId="77777777" w:rsidR="00D85665" w:rsidRDefault="00D85665" w:rsidP="00EA251D">
      <w:pPr>
        <w:pStyle w:val="Default"/>
        <w:numPr>
          <w:ilvl w:val="0"/>
          <w:numId w:val="9"/>
        </w:numPr>
        <w:spacing w:after="120"/>
        <w:ind w:left="1080" w:right="1440"/>
        <w:rPr>
          <w:rFonts w:ascii="Palatino" w:hAnsi="Palatino"/>
          <w:sz w:val="26"/>
          <w:szCs w:val="26"/>
        </w:rPr>
      </w:pPr>
      <w:r w:rsidRPr="00017010">
        <w:rPr>
          <w:rFonts w:ascii="Palatino" w:hAnsi="Palatino"/>
          <w:sz w:val="26"/>
          <w:szCs w:val="26"/>
        </w:rPr>
        <w:lastRenderedPageBreak/>
        <w:t>Continuation of the WCCM</w:t>
      </w:r>
      <w:r w:rsidR="001855B5">
        <w:rPr>
          <w:rFonts w:ascii="Palatino" w:hAnsi="Palatino"/>
          <w:sz w:val="26"/>
          <w:szCs w:val="26"/>
        </w:rPr>
        <w:t>, but</w:t>
      </w:r>
      <w:r w:rsidR="008D3EC9">
        <w:rPr>
          <w:rFonts w:ascii="Palatino" w:hAnsi="Palatino"/>
          <w:sz w:val="26"/>
          <w:szCs w:val="26"/>
        </w:rPr>
        <w:t xml:space="preserve"> reducing the deadband to 100 basis points</w:t>
      </w:r>
      <w:r w:rsidR="00BE2F3E">
        <w:rPr>
          <w:rFonts w:ascii="Palatino" w:hAnsi="Palatino"/>
          <w:sz w:val="26"/>
          <w:szCs w:val="26"/>
        </w:rPr>
        <w:t xml:space="preserve"> upward and downward</w:t>
      </w:r>
      <w:r w:rsidRPr="00017010">
        <w:rPr>
          <w:rFonts w:ascii="Palatino" w:hAnsi="Palatino"/>
          <w:sz w:val="26"/>
          <w:szCs w:val="26"/>
        </w:rPr>
        <w:t>.</w:t>
      </w:r>
      <w:r w:rsidRPr="00017010">
        <w:rPr>
          <w:rStyle w:val="FootnoteReference"/>
          <w:rFonts w:ascii="Palatino" w:hAnsi="Palatino"/>
          <w:sz w:val="26"/>
          <w:szCs w:val="26"/>
        </w:rPr>
        <w:footnoteReference w:id="25"/>
      </w:r>
    </w:p>
    <w:p w14:paraId="60C4A045" w14:textId="77777777" w:rsidR="004A63A7" w:rsidRPr="00017010" w:rsidRDefault="004A63A7" w:rsidP="00C61117">
      <w:pPr>
        <w:pStyle w:val="standard"/>
      </w:pPr>
      <w:r>
        <w:t xml:space="preserve">DRA and Suburban agree that the Settlement </w:t>
      </w:r>
      <w:r w:rsidR="000B5FBD">
        <w:t xml:space="preserve">terms in Table I above </w:t>
      </w:r>
      <w:r>
        <w:t xml:space="preserve">will provide ratepayers with reasonable rates sufficient to maintain the financial soundness and stability of Suburban.   </w:t>
      </w:r>
    </w:p>
    <w:p w14:paraId="72454FDB" w14:textId="77777777" w:rsidR="00D85665" w:rsidRPr="00824995" w:rsidRDefault="00625E66" w:rsidP="00824995">
      <w:pPr>
        <w:pStyle w:val="Heading2"/>
        <w:keepNext w:val="0"/>
        <w:widowControl w:val="0"/>
        <w:numPr>
          <w:ilvl w:val="0"/>
          <w:numId w:val="20"/>
        </w:numPr>
        <w:tabs>
          <w:tab w:val="num" w:pos="1440"/>
        </w:tabs>
        <w:ind w:right="720" w:hanging="720"/>
        <w:rPr>
          <w:iCs/>
          <w:szCs w:val="20"/>
        </w:rPr>
      </w:pPr>
      <w:bookmarkStart w:id="13" w:name="_Toc356978427"/>
      <w:r w:rsidRPr="005F1389">
        <w:t>Great Oaks Water Company</w:t>
      </w:r>
      <w:bookmarkEnd w:id="13"/>
    </w:p>
    <w:p w14:paraId="681567C3" w14:textId="77777777" w:rsidR="00D85665" w:rsidRPr="00017010" w:rsidRDefault="00C4217E" w:rsidP="00017010">
      <w:pPr>
        <w:pStyle w:val="standard"/>
      </w:pPr>
      <w:r>
        <w:t>In A.</w:t>
      </w:r>
      <w:r w:rsidR="00EF234C">
        <w:t>12-05-005</w:t>
      </w:r>
      <w:r w:rsidR="00D85665" w:rsidRPr="00017010">
        <w:t xml:space="preserve">, direct testimony, and rebuttal testimony, </w:t>
      </w:r>
      <w:r w:rsidR="00EF234C">
        <w:t>Great Oaks</w:t>
      </w:r>
      <w:r w:rsidR="00D85665" w:rsidRPr="00017010">
        <w:t xml:space="preserve"> sought</w:t>
      </w:r>
      <w:r w:rsidR="00017010">
        <w:t xml:space="preserve"> </w:t>
      </w:r>
      <w:r w:rsidR="00D85665" w:rsidRPr="00017010">
        <w:t>Commission approval of the following:</w:t>
      </w:r>
      <w:r w:rsidR="00017010">
        <w:t xml:space="preserve">  </w:t>
      </w:r>
    </w:p>
    <w:p w14:paraId="183A9090" w14:textId="77777777" w:rsidR="00793BFA" w:rsidRDefault="00D85665" w:rsidP="00EA251D">
      <w:pPr>
        <w:numPr>
          <w:ilvl w:val="0"/>
          <w:numId w:val="10"/>
        </w:numPr>
        <w:spacing w:after="120"/>
        <w:ind w:left="1080" w:right="1440"/>
        <w:rPr>
          <w:szCs w:val="26"/>
        </w:rPr>
      </w:pPr>
      <w:r w:rsidRPr="00C4217E">
        <w:rPr>
          <w:szCs w:val="26"/>
        </w:rPr>
        <w:t xml:space="preserve">Capitalization of </w:t>
      </w:r>
      <w:r w:rsidR="00793BFA">
        <w:rPr>
          <w:szCs w:val="26"/>
        </w:rPr>
        <w:t>100 percent common equity;</w:t>
      </w:r>
      <w:r w:rsidR="00793BFA">
        <w:rPr>
          <w:rStyle w:val="FootnoteReference"/>
          <w:szCs w:val="26"/>
        </w:rPr>
        <w:footnoteReference w:id="26"/>
      </w:r>
    </w:p>
    <w:p w14:paraId="19C8AD4C" w14:textId="77777777" w:rsidR="00793BFA" w:rsidRDefault="00793BFA" w:rsidP="00EA251D">
      <w:pPr>
        <w:numPr>
          <w:ilvl w:val="0"/>
          <w:numId w:val="10"/>
        </w:numPr>
        <w:spacing w:after="120"/>
        <w:ind w:left="1080" w:right="1440"/>
        <w:rPr>
          <w:szCs w:val="26"/>
        </w:rPr>
      </w:pPr>
      <w:r>
        <w:rPr>
          <w:szCs w:val="26"/>
        </w:rPr>
        <w:t xml:space="preserve">A return on equity and overall rate of return of </w:t>
      </w:r>
      <w:r w:rsidR="00C61117">
        <w:rPr>
          <w:szCs w:val="26"/>
        </w:rPr>
        <w:br/>
      </w:r>
      <w:r>
        <w:rPr>
          <w:szCs w:val="26"/>
        </w:rPr>
        <w:t>10.20 percent to 9.99 percent for the three-year period beginning July 1, 2013;</w:t>
      </w:r>
      <w:r w:rsidR="006A3D78">
        <w:rPr>
          <w:rStyle w:val="FootnoteReference"/>
          <w:szCs w:val="26"/>
        </w:rPr>
        <w:footnoteReference w:id="27"/>
      </w:r>
    </w:p>
    <w:p w14:paraId="42ACECF0" w14:textId="77777777" w:rsidR="00D85665" w:rsidRDefault="00793BFA" w:rsidP="00EA251D">
      <w:pPr>
        <w:numPr>
          <w:ilvl w:val="0"/>
          <w:numId w:val="10"/>
        </w:numPr>
        <w:spacing w:after="120"/>
        <w:ind w:left="1080" w:right="1440"/>
        <w:rPr>
          <w:szCs w:val="26"/>
        </w:rPr>
      </w:pPr>
      <w:r>
        <w:rPr>
          <w:szCs w:val="26"/>
        </w:rPr>
        <w:t>Continuation of the WCCM with a 100 basis-point upward and downward deadband and an initial measurement period of June 2012 to June 2013;</w:t>
      </w:r>
      <w:r w:rsidR="006A3D78">
        <w:rPr>
          <w:rStyle w:val="FootnoteReference"/>
          <w:szCs w:val="26"/>
        </w:rPr>
        <w:footnoteReference w:id="28"/>
      </w:r>
      <w:r w:rsidR="00B70E20">
        <w:rPr>
          <w:szCs w:val="26"/>
        </w:rPr>
        <w:t xml:space="preserve"> and</w:t>
      </w:r>
    </w:p>
    <w:p w14:paraId="7F0A9318" w14:textId="77777777" w:rsidR="00206888" w:rsidRPr="00C4217E" w:rsidRDefault="00206888" w:rsidP="00EA251D">
      <w:pPr>
        <w:numPr>
          <w:ilvl w:val="0"/>
          <w:numId w:val="10"/>
        </w:numPr>
        <w:spacing w:after="120"/>
        <w:ind w:left="1080" w:right="1440"/>
        <w:rPr>
          <w:szCs w:val="26"/>
        </w:rPr>
      </w:pPr>
      <w:r>
        <w:rPr>
          <w:szCs w:val="26"/>
        </w:rPr>
        <w:t>Discontinuance of the annual audit requirement set for</w:t>
      </w:r>
      <w:r w:rsidR="00DB1F9D">
        <w:rPr>
          <w:szCs w:val="26"/>
        </w:rPr>
        <w:t>th</w:t>
      </w:r>
      <w:r>
        <w:rPr>
          <w:szCs w:val="26"/>
        </w:rPr>
        <w:t xml:space="preserve"> in D</w:t>
      </w:r>
      <w:r w:rsidR="00267AF3">
        <w:rPr>
          <w:szCs w:val="26"/>
        </w:rPr>
        <w:t>ecision (D</w:t>
      </w:r>
      <w:r>
        <w:rPr>
          <w:szCs w:val="26"/>
        </w:rPr>
        <w:t>.</w:t>
      </w:r>
      <w:r w:rsidR="00267AF3">
        <w:rPr>
          <w:szCs w:val="26"/>
        </w:rPr>
        <w:t xml:space="preserve">) </w:t>
      </w:r>
      <w:r>
        <w:rPr>
          <w:szCs w:val="26"/>
        </w:rPr>
        <w:t>10-12-057.</w:t>
      </w:r>
      <w:r>
        <w:rPr>
          <w:rStyle w:val="FootnoteReference"/>
          <w:szCs w:val="26"/>
        </w:rPr>
        <w:footnoteReference w:id="29"/>
      </w:r>
    </w:p>
    <w:p w14:paraId="53B9ECBD" w14:textId="77777777" w:rsidR="00D85665" w:rsidRPr="00017010" w:rsidRDefault="00D85665" w:rsidP="008A1CAB">
      <w:pPr>
        <w:pStyle w:val="standard"/>
        <w:ind w:left="720" w:firstLine="0"/>
      </w:pPr>
      <w:r w:rsidRPr="00017010">
        <w:t xml:space="preserve">DRA’s testimony </w:t>
      </w:r>
      <w:r w:rsidR="006A3D78">
        <w:t>made</w:t>
      </w:r>
      <w:r w:rsidRPr="00017010">
        <w:t xml:space="preserve"> the following recommendations</w:t>
      </w:r>
      <w:r w:rsidR="006A3D78">
        <w:t xml:space="preserve"> for Great Oaks</w:t>
      </w:r>
      <w:r w:rsidRPr="00017010">
        <w:t xml:space="preserve">: </w:t>
      </w:r>
      <w:r w:rsidR="00CB2874">
        <w:t xml:space="preserve"> </w:t>
      </w:r>
    </w:p>
    <w:p w14:paraId="1EBBF397" w14:textId="77777777" w:rsidR="00D85665" w:rsidRPr="00017010" w:rsidRDefault="006A3D78" w:rsidP="00EA251D">
      <w:pPr>
        <w:pStyle w:val="Default"/>
        <w:numPr>
          <w:ilvl w:val="0"/>
          <w:numId w:val="11"/>
        </w:numPr>
        <w:spacing w:after="120"/>
        <w:ind w:left="1080" w:right="1440"/>
        <w:rPr>
          <w:rFonts w:ascii="Palatino" w:hAnsi="Palatino"/>
        </w:rPr>
      </w:pPr>
      <w:r>
        <w:rPr>
          <w:rFonts w:ascii="Palatino" w:hAnsi="Palatino"/>
          <w:sz w:val="26"/>
          <w:szCs w:val="26"/>
        </w:rPr>
        <w:t>An imputed capital structure of 30 percent long-term debt; and 70</w:t>
      </w:r>
      <w:r w:rsidR="00E93BEE">
        <w:rPr>
          <w:rFonts w:ascii="Palatino" w:hAnsi="Palatino"/>
          <w:sz w:val="26"/>
          <w:szCs w:val="26"/>
        </w:rPr>
        <w:t> </w:t>
      </w:r>
      <w:r w:rsidR="00FA40BE" w:rsidRPr="003D7396">
        <w:rPr>
          <w:rFonts w:ascii="Palatino" w:hAnsi="Palatino"/>
          <w:sz w:val="26"/>
          <w:szCs w:val="26"/>
        </w:rPr>
        <w:t>percent</w:t>
      </w:r>
      <w:r w:rsidR="00D85665" w:rsidRPr="003D7396">
        <w:rPr>
          <w:rFonts w:ascii="Palatino" w:hAnsi="Palatino"/>
          <w:sz w:val="26"/>
          <w:szCs w:val="26"/>
        </w:rPr>
        <w:t xml:space="preserve"> </w:t>
      </w:r>
      <w:r>
        <w:rPr>
          <w:rFonts w:ascii="Palatino" w:hAnsi="Palatino"/>
          <w:sz w:val="26"/>
          <w:szCs w:val="26"/>
        </w:rPr>
        <w:t xml:space="preserve">common </w:t>
      </w:r>
      <w:r w:rsidR="00D85665" w:rsidRPr="003D7396">
        <w:rPr>
          <w:rFonts w:ascii="Palatino" w:hAnsi="Palatino"/>
          <w:sz w:val="26"/>
          <w:szCs w:val="26"/>
        </w:rPr>
        <w:t>equity</w:t>
      </w:r>
      <w:r w:rsidR="00CB2874" w:rsidRPr="003D7396">
        <w:rPr>
          <w:rFonts w:ascii="Palatino" w:hAnsi="Palatino"/>
          <w:sz w:val="26"/>
          <w:szCs w:val="26"/>
        </w:rPr>
        <w:t>;</w:t>
      </w:r>
      <w:r w:rsidR="00D85665" w:rsidRPr="00017010">
        <w:rPr>
          <w:rStyle w:val="FootnoteReference"/>
          <w:rFonts w:ascii="Palatino" w:hAnsi="Palatino"/>
        </w:rPr>
        <w:footnoteReference w:id="30"/>
      </w:r>
    </w:p>
    <w:p w14:paraId="2B7CB508" w14:textId="77777777" w:rsidR="00D85665" w:rsidRPr="00017010" w:rsidRDefault="00D85665" w:rsidP="00EA251D">
      <w:pPr>
        <w:pStyle w:val="Default"/>
        <w:numPr>
          <w:ilvl w:val="0"/>
          <w:numId w:val="11"/>
        </w:numPr>
        <w:spacing w:after="120"/>
        <w:ind w:left="1080" w:right="1440"/>
        <w:rPr>
          <w:rFonts w:ascii="Palatino" w:hAnsi="Palatino"/>
        </w:rPr>
      </w:pPr>
      <w:r w:rsidRPr="003D7396">
        <w:rPr>
          <w:rFonts w:ascii="Palatino" w:hAnsi="Palatino"/>
          <w:sz w:val="26"/>
          <w:szCs w:val="26"/>
        </w:rPr>
        <w:t xml:space="preserve">A cost of </w:t>
      </w:r>
      <w:r w:rsidR="006A3D78">
        <w:rPr>
          <w:rFonts w:ascii="Palatino" w:hAnsi="Palatino"/>
          <w:sz w:val="26"/>
          <w:szCs w:val="26"/>
        </w:rPr>
        <w:t xml:space="preserve">long-term </w:t>
      </w:r>
      <w:r w:rsidRPr="003D7396">
        <w:rPr>
          <w:rFonts w:ascii="Palatino" w:hAnsi="Palatino"/>
          <w:sz w:val="26"/>
          <w:szCs w:val="26"/>
        </w:rPr>
        <w:t xml:space="preserve">debt of </w:t>
      </w:r>
      <w:r w:rsidR="006A3D78">
        <w:rPr>
          <w:rFonts w:ascii="Palatino" w:hAnsi="Palatino"/>
          <w:sz w:val="26"/>
          <w:szCs w:val="26"/>
        </w:rPr>
        <w:t>7.14</w:t>
      </w:r>
      <w:r w:rsidR="00FA40BE" w:rsidRPr="003D7396">
        <w:rPr>
          <w:rFonts w:ascii="Palatino" w:hAnsi="Palatino"/>
          <w:sz w:val="26"/>
          <w:szCs w:val="26"/>
        </w:rPr>
        <w:t xml:space="preserve"> percent</w:t>
      </w:r>
      <w:r w:rsidR="00CB2874">
        <w:rPr>
          <w:rFonts w:ascii="Palatino" w:hAnsi="Palatino"/>
        </w:rPr>
        <w:t>;</w:t>
      </w:r>
      <w:r w:rsidRPr="00017010">
        <w:rPr>
          <w:rStyle w:val="FootnoteReference"/>
          <w:rFonts w:ascii="Palatino" w:hAnsi="Palatino"/>
        </w:rPr>
        <w:footnoteReference w:id="31"/>
      </w:r>
    </w:p>
    <w:p w14:paraId="6A39D131" w14:textId="77777777" w:rsidR="00D85665" w:rsidRPr="00017010" w:rsidRDefault="00D85665" w:rsidP="00EA251D">
      <w:pPr>
        <w:pStyle w:val="Default"/>
        <w:numPr>
          <w:ilvl w:val="0"/>
          <w:numId w:val="11"/>
        </w:numPr>
        <w:spacing w:after="120"/>
        <w:ind w:left="1080" w:right="1440"/>
        <w:rPr>
          <w:rFonts w:ascii="Palatino" w:hAnsi="Palatino"/>
        </w:rPr>
      </w:pPr>
      <w:r w:rsidRPr="003D7396">
        <w:rPr>
          <w:rFonts w:ascii="Palatino" w:hAnsi="Palatino"/>
          <w:sz w:val="26"/>
          <w:szCs w:val="26"/>
        </w:rPr>
        <w:lastRenderedPageBreak/>
        <w:t xml:space="preserve">A return on </w:t>
      </w:r>
      <w:r w:rsidR="00DB1F9D">
        <w:rPr>
          <w:rFonts w:ascii="Palatino" w:hAnsi="Palatino"/>
          <w:sz w:val="26"/>
          <w:szCs w:val="26"/>
        </w:rPr>
        <w:t xml:space="preserve">common </w:t>
      </w:r>
      <w:r w:rsidRPr="003D7396">
        <w:rPr>
          <w:rFonts w:ascii="Palatino" w:hAnsi="Palatino"/>
          <w:sz w:val="26"/>
          <w:szCs w:val="26"/>
        </w:rPr>
        <w:t xml:space="preserve">equity of </w:t>
      </w:r>
      <w:r w:rsidR="00DB1F9D">
        <w:rPr>
          <w:rFonts w:ascii="Palatino" w:hAnsi="Palatino"/>
          <w:sz w:val="26"/>
          <w:szCs w:val="26"/>
        </w:rPr>
        <w:t>9.00</w:t>
      </w:r>
      <w:r w:rsidR="00FA40BE" w:rsidRPr="003D7396">
        <w:rPr>
          <w:rFonts w:ascii="Palatino" w:hAnsi="Palatino"/>
          <w:sz w:val="26"/>
          <w:szCs w:val="26"/>
        </w:rPr>
        <w:t xml:space="preserve"> percent</w:t>
      </w:r>
      <w:r w:rsidR="00CB2874">
        <w:rPr>
          <w:rFonts w:ascii="Palatino" w:hAnsi="Palatino"/>
        </w:rPr>
        <w:t>;</w:t>
      </w:r>
      <w:r w:rsidRPr="00017010">
        <w:rPr>
          <w:rStyle w:val="FootnoteReference"/>
          <w:rFonts w:ascii="Palatino" w:hAnsi="Palatino"/>
        </w:rPr>
        <w:footnoteReference w:id="32"/>
      </w:r>
    </w:p>
    <w:p w14:paraId="471B241C" w14:textId="77777777" w:rsidR="009D7711" w:rsidRDefault="009D7711" w:rsidP="009D7711">
      <w:pPr>
        <w:pStyle w:val="CM30"/>
        <w:numPr>
          <w:ilvl w:val="0"/>
          <w:numId w:val="11"/>
        </w:numPr>
        <w:spacing w:after="120"/>
        <w:ind w:left="1080" w:right="1440"/>
        <w:rPr>
          <w:rFonts w:ascii="Palatino" w:hAnsi="Palatino"/>
          <w:sz w:val="26"/>
          <w:szCs w:val="26"/>
        </w:rPr>
      </w:pPr>
      <w:r>
        <w:rPr>
          <w:rFonts w:ascii="Palatino" w:hAnsi="Palatino"/>
          <w:sz w:val="26"/>
          <w:szCs w:val="26"/>
        </w:rPr>
        <w:t>An overall rate of return of 8.44 percent</w:t>
      </w:r>
      <w:r w:rsidR="00267AF3">
        <w:rPr>
          <w:rFonts w:ascii="Palatino" w:hAnsi="Palatino"/>
          <w:sz w:val="26"/>
          <w:szCs w:val="26"/>
        </w:rPr>
        <w:t>;</w:t>
      </w:r>
      <w:r w:rsidRPr="00017010">
        <w:rPr>
          <w:rStyle w:val="FootnoteReference"/>
          <w:rFonts w:ascii="Palatino" w:hAnsi="Palatino"/>
        </w:rPr>
        <w:footnoteReference w:id="33"/>
      </w:r>
      <w:r w:rsidR="00267AF3">
        <w:rPr>
          <w:rFonts w:ascii="Palatino" w:hAnsi="Palatino"/>
          <w:sz w:val="26"/>
          <w:szCs w:val="26"/>
        </w:rPr>
        <w:t xml:space="preserve"> and</w:t>
      </w:r>
    </w:p>
    <w:p w14:paraId="774521CE" w14:textId="77777777" w:rsidR="009D7711" w:rsidRDefault="008A1CAB" w:rsidP="00EA251D">
      <w:pPr>
        <w:pStyle w:val="CM30"/>
        <w:numPr>
          <w:ilvl w:val="0"/>
          <w:numId w:val="11"/>
        </w:numPr>
        <w:spacing w:after="120"/>
        <w:ind w:left="1080" w:right="1440"/>
        <w:rPr>
          <w:rFonts w:ascii="Palatino" w:hAnsi="Palatino"/>
          <w:sz w:val="26"/>
          <w:szCs w:val="26"/>
        </w:rPr>
      </w:pPr>
      <w:r>
        <w:rPr>
          <w:rFonts w:ascii="Palatino" w:hAnsi="Palatino"/>
          <w:sz w:val="26"/>
          <w:szCs w:val="26"/>
        </w:rPr>
        <w:t>Continuation of the WCCM with a reduction of the deadband to a</w:t>
      </w:r>
      <w:r w:rsidR="00267AF3">
        <w:rPr>
          <w:rFonts w:ascii="Palatino" w:hAnsi="Palatino"/>
          <w:sz w:val="26"/>
          <w:szCs w:val="26"/>
        </w:rPr>
        <w:t xml:space="preserve">n upward and downward 100 basis </w:t>
      </w:r>
      <w:r>
        <w:rPr>
          <w:rFonts w:ascii="Palatino" w:hAnsi="Palatino"/>
          <w:sz w:val="26"/>
          <w:szCs w:val="26"/>
        </w:rPr>
        <w:t>points.</w:t>
      </w:r>
      <w:r>
        <w:rPr>
          <w:rStyle w:val="FootnoteReference"/>
          <w:rFonts w:ascii="Palatino" w:hAnsi="Palatino"/>
          <w:szCs w:val="26"/>
        </w:rPr>
        <w:footnoteReference w:id="34"/>
      </w:r>
      <w:r>
        <w:rPr>
          <w:rFonts w:ascii="Palatino" w:hAnsi="Palatino"/>
          <w:sz w:val="26"/>
          <w:szCs w:val="26"/>
        </w:rPr>
        <w:t xml:space="preserve">  </w:t>
      </w:r>
      <w:r w:rsidR="009D7711">
        <w:rPr>
          <w:rFonts w:ascii="Palatino" w:hAnsi="Palatino"/>
          <w:sz w:val="26"/>
          <w:szCs w:val="26"/>
        </w:rPr>
        <w:t xml:space="preserve"> </w:t>
      </w:r>
    </w:p>
    <w:p w14:paraId="322EE1A9" w14:textId="77777777" w:rsidR="008A1CAB" w:rsidRDefault="008A1CAB" w:rsidP="008A1CAB">
      <w:pPr>
        <w:pStyle w:val="standard"/>
      </w:pPr>
      <w:r>
        <w:t>Unlike other applicants in this proceeding, Great Oaks</w:t>
      </w:r>
      <w:r w:rsidRPr="00017010">
        <w:t xml:space="preserve"> </w:t>
      </w:r>
      <w:r>
        <w:t>has no debt in their capita</w:t>
      </w:r>
      <w:r w:rsidR="00A9652B">
        <w:t>l structure.  Therefore, Great O</w:t>
      </w:r>
      <w:r>
        <w:t xml:space="preserve">aks and DRA have agreed to 7.5 percent as the cost of debt to be used in this proceeding.  </w:t>
      </w:r>
      <w:r w:rsidR="00E151C1">
        <w:t xml:space="preserve">The agreed upon cost of debt is within the range of the debt costs presented by both DRA and the other applicants in this proceeding.  </w:t>
      </w:r>
    </w:p>
    <w:p w14:paraId="4B93D39B" w14:textId="77777777" w:rsidR="00CF1498" w:rsidRDefault="00E151C1" w:rsidP="008A1CAB">
      <w:pPr>
        <w:pStyle w:val="standard"/>
      </w:pPr>
      <w:r>
        <w:t>In D.10-12-057, the Commission stated that “…if a company carries a high equity ratio, for ratemaking purposes we should necessarily consider adjusting either the return on equity or the capital structure.”  Because there is no evidence that Great Oaks has had the ability to reduce the percentage of common equity through the issuance of long-term debt, Great Oaks and DRA agree that no additional long-term debt should be imputed for ratemaking</w:t>
      </w:r>
      <w:r w:rsidR="00A9652B">
        <w:t xml:space="preserve"> </w:t>
      </w:r>
      <w:r>
        <w:t xml:space="preserve">purposes. </w:t>
      </w:r>
    </w:p>
    <w:p w14:paraId="0129B887" w14:textId="77777777" w:rsidR="004B275C" w:rsidRDefault="00493AD8" w:rsidP="008A1CAB">
      <w:pPr>
        <w:pStyle w:val="standard"/>
      </w:pPr>
      <w:r>
        <w:t>Great Oaks asserts that if actual debt were to be incurred by the company, any additional costs associated with issuing such debt would not be accurately capture</w:t>
      </w:r>
      <w:r w:rsidR="004B275C">
        <w:t xml:space="preserve">d </w:t>
      </w:r>
      <w:r>
        <w:t>in the revenue requirement.  Therefore DRA and Great Oaks agree that a Debt Issuance Memorandum Account should be authorized to allow Great Oaks to record and request recovery of any additional costs such as, outside legal counsel and consulting services, business reorganization, audit, accounting</w:t>
      </w:r>
      <w:r w:rsidR="004B275C">
        <w:t>,</w:t>
      </w:r>
      <w:r>
        <w:t xml:space="preserve"> and tax preparation, associated with issuing debt during the period of this </w:t>
      </w:r>
      <w:r>
        <w:lastRenderedPageBreak/>
        <w:t>agreement</w:t>
      </w:r>
      <w:r w:rsidR="004B275C">
        <w:t xml:space="preserve">.  The reasonable </w:t>
      </w:r>
      <w:r>
        <w:t xml:space="preserve">costs </w:t>
      </w:r>
      <w:r w:rsidR="004B275C">
        <w:t xml:space="preserve">of </w:t>
      </w:r>
      <w:r w:rsidR="006E1125">
        <w:t xml:space="preserve">such </w:t>
      </w:r>
      <w:r w:rsidR="004B275C">
        <w:t xml:space="preserve">services were </w:t>
      </w:r>
      <w:r>
        <w:t xml:space="preserve">not captured by the Settlement’s imputed cost of debt. </w:t>
      </w:r>
    </w:p>
    <w:p w14:paraId="3898D701" w14:textId="77777777" w:rsidR="00493AD8" w:rsidRDefault="004B275C" w:rsidP="008A1CAB">
      <w:pPr>
        <w:pStyle w:val="standard"/>
      </w:pPr>
      <w:r>
        <w:t xml:space="preserve">DRA and Great Oaks agree that Great Oak’s current tariff rates shall remain in effect until June 30, 2013, when the return on equity, return on rate base and the capital structure agreed upon in the Settlement shall become effective. </w:t>
      </w:r>
      <w:r w:rsidR="00493AD8">
        <w:t xml:space="preserve"> </w:t>
      </w:r>
    </w:p>
    <w:p w14:paraId="5A7D1189" w14:textId="77777777" w:rsidR="00E151C1" w:rsidRPr="00017010" w:rsidRDefault="00EF27E6" w:rsidP="00795880">
      <w:pPr>
        <w:pStyle w:val="standard"/>
      </w:pPr>
      <w:r>
        <w:t xml:space="preserve">Finally, Great Oaks and DRA agree that annual audits required by </w:t>
      </w:r>
      <w:r w:rsidR="00795880">
        <w:br/>
      </w:r>
      <w:r>
        <w:t xml:space="preserve">D.10-12-057 shall continue for calendar year 2012, except that Great Oaks may use any certified public accountant previously approved by the Commission in D.10-12-057 and that audited financial statements and related disclosures must be submitted by July 1 of the year following the calendar year being audited.  </w:t>
      </w:r>
      <w:r w:rsidR="00E151C1">
        <w:t xml:space="preserve"> </w:t>
      </w:r>
    </w:p>
    <w:p w14:paraId="0B16A7B7" w14:textId="77777777" w:rsidR="00D85665" w:rsidRPr="00824995" w:rsidRDefault="00215F62" w:rsidP="00795880">
      <w:pPr>
        <w:pStyle w:val="Heading1"/>
        <w:keepNext w:val="0"/>
        <w:widowControl w:val="0"/>
        <w:numPr>
          <w:ilvl w:val="0"/>
          <w:numId w:val="14"/>
        </w:numPr>
        <w:ind w:right="1440" w:hanging="720"/>
        <w:rPr>
          <w:szCs w:val="20"/>
        </w:rPr>
      </w:pPr>
      <w:bookmarkStart w:id="14" w:name="_Toc356978428"/>
      <w:r w:rsidRPr="005F1389">
        <w:t>Continuation of the Water Cost of Capital Mechanism for all Applicants</w:t>
      </w:r>
      <w:bookmarkEnd w:id="14"/>
      <w:r w:rsidRPr="00CB2874">
        <w:t xml:space="preserve"> </w:t>
      </w:r>
    </w:p>
    <w:p w14:paraId="7F2CBD04" w14:textId="77777777" w:rsidR="00F86885" w:rsidRPr="00824995" w:rsidRDefault="00F86885" w:rsidP="00824995">
      <w:pPr>
        <w:pStyle w:val="Heading2"/>
        <w:keepNext w:val="0"/>
        <w:widowControl w:val="0"/>
        <w:numPr>
          <w:ilvl w:val="0"/>
          <w:numId w:val="25"/>
        </w:numPr>
        <w:tabs>
          <w:tab w:val="num" w:pos="1440"/>
        </w:tabs>
        <w:ind w:left="1440" w:right="720" w:hanging="720"/>
        <w:rPr>
          <w:iCs/>
          <w:szCs w:val="20"/>
        </w:rPr>
      </w:pPr>
      <w:bookmarkStart w:id="15" w:name="_Toc356978429"/>
      <w:r>
        <w:t>Great Oaks</w:t>
      </w:r>
      <w:bookmarkEnd w:id="15"/>
    </w:p>
    <w:p w14:paraId="725C42BA" w14:textId="77777777" w:rsidR="009D0445" w:rsidRDefault="00800DB2" w:rsidP="00C223BD">
      <w:pPr>
        <w:pStyle w:val="standard"/>
        <w:spacing w:before="120"/>
      </w:pPr>
      <w:r>
        <w:t>DRA and Great Oaks agree that the WCCM adopted in D.10-10-035</w:t>
      </w:r>
      <w:r>
        <w:rPr>
          <w:rStyle w:val="FootnoteReference"/>
        </w:rPr>
        <w:footnoteReference w:id="35"/>
      </w:r>
      <w:r>
        <w:t xml:space="preserve"> has fairly balanced customer and shareholder interests and has provided a reasonable mechanism for adjusting the </w:t>
      </w:r>
      <w:r w:rsidR="009D0445">
        <w:t xml:space="preserve">base year </w:t>
      </w:r>
      <w:r>
        <w:t>return on equity</w:t>
      </w:r>
      <w:r w:rsidR="009D0445">
        <w:t xml:space="preserve"> for the subsequent years of the cost of capital cycle</w:t>
      </w:r>
      <w:r>
        <w:t xml:space="preserve">. </w:t>
      </w:r>
    </w:p>
    <w:p w14:paraId="5878D893" w14:textId="77777777" w:rsidR="004D5D7A" w:rsidRPr="00CC1F5D" w:rsidRDefault="009D0445" w:rsidP="00CC1F5D">
      <w:pPr>
        <w:pStyle w:val="standard"/>
      </w:pPr>
      <w:r w:rsidRPr="00CC1F5D">
        <w:t xml:space="preserve">Great Oaks’ current upper </w:t>
      </w:r>
      <w:r w:rsidR="00800DB2" w:rsidRPr="00CC1F5D">
        <w:t xml:space="preserve">boundary </w:t>
      </w:r>
      <w:r w:rsidRPr="00CC1F5D">
        <w:t xml:space="preserve">of the deadband </w:t>
      </w:r>
      <w:r w:rsidR="00800DB2" w:rsidRPr="00CC1F5D">
        <w:t xml:space="preserve">is </w:t>
      </w:r>
      <w:r w:rsidR="0078725B" w:rsidRPr="00CC1F5D">
        <w:t>1</w:t>
      </w:r>
      <w:r w:rsidRPr="00CC1F5D">
        <w:t>00 basis points</w:t>
      </w:r>
      <w:r w:rsidR="00800DB2" w:rsidRPr="00CC1F5D">
        <w:t xml:space="preserve"> and </w:t>
      </w:r>
      <w:r w:rsidRPr="00CC1F5D">
        <w:t>the low</w:t>
      </w:r>
      <w:r w:rsidR="0078725B" w:rsidRPr="00CC1F5D">
        <w:t>er boundary of the deadband is 2</w:t>
      </w:r>
      <w:r w:rsidRPr="00CC1F5D">
        <w:t>00 basis points</w:t>
      </w:r>
      <w:r w:rsidR="0078725B" w:rsidRPr="00CC1F5D">
        <w:t xml:space="preserve"> as authorized in D</w:t>
      </w:r>
      <w:r w:rsidRPr="00CC1F5D">
        <w:t>.</w:t>
      </w:r>
      <w:r w:rsidR="004D5D7A" w:rsidRPr="00CC1F5D">
        <w:t xml:space="preserve">10-12-057.  </w:t>
      </w:r>
      <w:r w:rsidR="00795880" w:rsidRPr="00CC1F5D">
        <w:t xml:space="preserve"> </w:t>
      </w:r>
      <w:r w:rsidR="004D5D7A" w:rsidRPr="00CC1F5D">
        <w:t>Great O</w:t>
      </w:r>
      <w:r w:rsidR="0078725B" w:rsidRPr="00CC1F5D">
        <w:t xml:space="preserve">aks and DRA agreed to set the upper and lower deadband </w:t>
      </w:r>
      <w:r w:rsidR="00690824" w:rsidRPr="00CC1F5D">
        <w:t>boundaries at 100 basis points ea</w:t>
      </w:r>
      <w:r w:rsidR="00795880" w:rsidRPr="00CC1F5D">
        <w:t xml:space="preserve">ch.  </w:t>
      </w:r>
      <w:r w:rsidR="00690824" w:rsidRPr="00CC1F5D">
        <w:t>Great Oaks</w:t>
      </w:r>
      <w:r w:rsidR="000D3AC6" w:rsidRPr="00CC1F5D">
        <w:t>’</w:t>
      </w:r>
      <w:r w:rsidR="00690824" w:rsidRPr="00CC1F5D">
        <w:t xml:space="preserve"> new bench mark period </w:t>
      </w:r>
      <w:r w:rsidR="004D5D7A" w:rsidRPr="00CC1F5D">
        <w:t xml:space="preserve">is </w:t>
      </w:r>
      <w:r w:rsidR="00795880" w:rsidRPr="00CC1F5D">
        <w:br/>
      </w:r>
      <w:r w:rsidR="004D5D7A" w:rsidRPr="00CC1F5D">
        <w:t>July 1, 2012 to June 30, 2013</w:t>
      </w:r>
      <w:r w:rsidR="00690824" w:rsidRPr="00CC1F5D">
        <w:t xml:space="preserve">. </w:t>
      </w:r>
    </w:p>
    <w:p w14:paraId="2F1954BF" w14:textId="77777777" w:rsidR="00F86885" w:rsidRPr="00CC1F5D" w:rsidRDefault="004D5D7A" w:rsidP="00CC1F5D">
      <w:pPr>
        <w:pStyle w:val="standard"/>
      </w:pPr>
      <w:r w:rsidRPr="00CC1F5D">
        <w:lastRenderedPageBreak/>
        <w:t>If Moody’s average of Baa bond rates for the period from July 1, 2013 to June 30, 2014 is either 100 basis</w:t>
      </w:r>
      <w:r w:rsidR="00690824" w:rsidRPr="00CC1F5D">
        <w:t xml:space="preserve"> </w:t>
      </w:r>
      <w:r w:rsidRPr="00CC1F5D">
        <w:t xml:space="preserve">points above or below the initial bench mark, then Great Oaks’ return on equity for the year July 1, 2014 to June 30, 2015 shall be adjusted by one-half the difference between the initial benchmark and the </w:t>
      </w:r>
      <w:r w:rsidR="00BC7A5F" w:rsidRPr="00CC1F5D">
        <w:br/>
      </w:r>
      <w:r w:rsidRPr="00CC1F5D">
        <w:t xml:space="preserve">July 1, 2013 to June 30, 2014 average.  If the return on equity is adjusted, the average of Moody’s Baa bond rates for the period from July 1, 2013 to June 30, 2014 shall become the new benchmark.  </w:t>
      </w:r>
      <w:r w:rsidR="00F86885" w:rsidRPr="00CC1F5D">
        <w:t>For the subsequent years of Great Oaks’ cost of capital cycle, the Settlement adjusts t</w:t>
      </w:r>
      <w:r w:rsidRPr="00CC1F5D">
        <w:t xml:space="preserve">he </w:t>
      </w:r>
      <w:r w:rsidR="0074266F" w:rsidRPr="00CC1F5D">
        <w:t xml:space="preserve">return on equity and </w:t>
      </w:r>
      <w:r w:rsidR="00F86885" w:rsidRPr="00CC1F5D">
        <w:t>benchmarks similarly</w:t>
      </w:r>
      <w:r w:rsidRPr="00CC1F5D">
        <w:t xml:space="preserve">.  </w:t>
      </w:r>
      <w:r w:rsidR="00690824" w:rsidRPr="00CC1F5D">
        <w:t xml:space="preserve"> </w:t>
      </w:r>
    </w:p>
    <w:p w14:paraId="79D4F8F4" w14:textId="77777777" w:rsidR="00F86885" w:rsidRPr="003A6661" w:rsidRDefault="00F86885" w:rsidP="00824995">
      <w:pPr>
        <w:pStyle w:val="Default"/>
        <w:keepNext/>
        <w:widowControl/>
        <w:numPr>
          <w:ilvl w:val="0"/>
          <w:numId w:val="25"/>
        </w:numPr>
        <w:ind w:left="1440" w:right="1440" w:hanging="720"/>
        <w:rPr>
          <w:rFonts w:ascii="Helvetica" w:hAnsi="Helvetica"/>
          <w:b/>
          <w:sz w:val="26"/>
          <w:szCs w:val="26"/>
        </w:rPr>
      </w:pPr>
      <w:r>
        <w:rPr>
          <w:rFonts w:ascii="Helvetica" w:hAnsi="Helvetica"/>
          <w:b/>
          <w:sz w:val="26"/>
          <w:szCs w:val="26"/>
        </w:rPr>
        <w:t>Park/Apple Valley, San Gabriel and Suburban</w:t>
      </w:r>
    </w:p>
    <w:p w14:paraId="7A5F931C" w14:textId="77777777" w:rsidR="00EF13BB" w:rsidRDefault="002E5899" w:rsidP="00824995">
      <w:pPr>
        <w:pStyle w:val="standard"/>
        <w:keepNext/>
        <w:spacing w:before="120"/>
      </w:pPr>
      <w:r>
        <w:t xml:space="preserve">DRA and </w:t>
      </w:r>
      <w:r w:rsidR="001D47AB">
        <w:t xml:space="preserve">Park/Apple Valley, San Gabriel, </w:t>
      </w:r>
      <w:r>
        <w:t xml:space="preserve">and </w:t>
      </w:r>
      <w:r w:rsidR="001D47AB">
        <w:t>Suburban agree that the WCCM adopted in D.10-10-035 has fairly balanced customer and shareholder interests and has provided a reasonable mechanism for adjusting the return on equit</w:t>
      </w:r>
      <w:r w:rsidR="00EF13BB">
        <w:t xml:space="preserve">y for the subsequent years of the cost of capital cycle. </w:t>
      </w:r>
    </w:p>
    <w:p w14:paraId="3F9B9DB8" w14:textId="790B20B3" w:rsidR="00F15462" w:rsidRPr="00CC1F5D" w:rsidRDefault="00EF13BB" w:rsidP="00CC1F5D">
      <w:pPr>
        <w:pStyle w:val="standard"/>
      </w:pPr>
      <w:r w:rsidRPr="00CC1F5D">
        <w:t xml:space="preserve">The current upper and lower boundaries of the deadband for Park, </w:t>
      </w:r>
      <w:r w:rsidR="008D00CC">
        <w:br/>
      </w:r>
      <w:r w:rsidRPr="00CC1F5D">
        <w:t>San Gabriel</w:t>
      </w:r>
      <w:r w:rsidR="00F15462" w:rsidRPr="00CC1F5D">
        <w:t xml:space="preserve">, and </w:t>
      </w:r>
      <w:r w:rsidRPr="00CC1F5D">
        <w:t xml:space="preserve">Suburban </w:t>
      </w:r>
      <w:r w:rsidR="00F15462" w:rsidRPr="00CC1F5D">
        <w:t>are 200 basis points as authorized by D.10-10-035.  Park, San Gabriel, Suburban and DRA agree to upper and lower boundaries of the deadband of</w:t>
      </w:r>
      <w:r w:rsidR="00CC1F5D" w:rsidRPr="00CC1F5D">
        <w:t xml:space="preserve"> 100 basis points.  </w:t>
      </w:r>
      <w:r w:rsidR="00F15462" w:rsidRPr="00CC1F5D">
        <w:t>This is consistent with the terms approved by the Commission for the larger Class A water utilities in D.12-07-009 and D.09</w:t>
      </w:r>
      <w:r w:rsidR="00B0464E">
        <w:noBreakHyphen/>
      </w:r>
      <w:r w:rsidR="00F15462" w:rsidRPr="00CC1F5D">
        <w:t>07</w:t>
      </w:r>
      <w:r w:rsidR="00B0464E">
        <w:noBreakHyphen/>
      </w:r>
      <w:r w:rsidR="00F15462" w:rsidRPr="00CC1F5D">
        <w:t xml:space="preserve">051.  </w:t>
      </w:r>
    </w:p>
    <w:p w14:paraId="4FFE821F" w14:textId="77777777" w:rsidR="008B51D2" w:rsidRPr="00CC1F5D" w:rsidRDefault="00F15462" w:rsidP="00CC1F5D">
      <w:pPr>
        <w:pStyle w:val="standard"/>
      </w:pPr>
      <w:r w:rsidRPr="00CC1F5D">
        <w:t xml:space="preserve">Park, San Gabriel, Suburban and DRA agree that the Moody’s Baa bond yield index should be used to determine the benchmark and that the new initial benchmark period should be October 1, 2011 through September 30, 2012.  </w:t>
      </w:r>
    </w:p>
    <w:p w14:paraId="71D2B6C6" w14:textId="77777777" w:rsidR="00EF13BB" w:rsidRDefault="008B51D2" w:rsidP="00CC1F5D">
      <w:pPr>
        <w:pStyle w:val="standard"/>
      </w:pPr>
      <w:r w:rsidRPr="00CC1F5D">
        <w:t xml:space="preserve">If Moody’s average of Baa bond rates for the period from October 1, 2012 to September 30, 2013 is either 100 basis points above or below the initial benchmark, the return on equity for Park, San Gabriel and Suburban for the year </w:t>
      </w:r>
      <w:r w:rsidRPr="00CC1F5D">
        <w:lastRenderedPageBreak/>
        <w:t xml:space="preserve">2014 shall be adjusted by one-half the difference between the initial benchmark </w:t>
      </w:r>
      <w:r>
        <w:t xml:space="preserve">and the October 1, 2012 to September 30, 2013 average.  If the return on equity is adjusted, the average of Moody’s Baa bond rates for the period from October 1, 2012 to September 30, 2013 shall become the new benchmark.  For the subsequent years of Park’s, San Gabriel’s and Suburban’s cost of capital cycle, the Settlement adjusts the </w:t>
      </w:r>
      <w:r w:rsidR="0074266F">
        <w:t xml:space="preserve">return on equity and </w:t>
      </w:r>
      <w:r>
        <w:t xml:space="preserve">benchmarks similarly.   </w:t>
      </w:r>
    </w:p>
    <w:p w14:paraId="3BBAD020" w14:textId="77777777" w:rsidR="00D85665" w:rsidRPr="00824995" w:rsidRDefault="00930AF6" w:rsidP="00824995">
      <w:pPr>
        <w:pStyle w:val="Heading1"/>
        <w:keepNext w:val="0"/>
        <w:widowControl w:val="0"/>
        <w:numPr>
          <w:ilvl w:val="0"/>
          <w:numId w:val="14"/>
        </w:numPr>
        <w:ind w:right="720" w:hanging="720"/>
        <w:rPr>
          <w:szCs w:val="20"/>
        </w:rPr>
      </w:pPr>
      <w:bookmarkStart w:id="16" w:name="_Toc356978430"/>
      <w:r w:rsidRPr="003237A7">
        <w:t>Discussion</w:t>
      </w:r>
      <w:bookmarkEnd w:id="16"/>
    </w:p>
    <w:p w14:paraId="08CF41C2" w14:textId="77777777" w:rsidR="00D85665" w:rsidRPr="00BF03C8" w:rsidRDefault="00D85665" w:rsidP="00E93BEE">
      <w:pPr>
        <w:spacing w:line="360" w:lineRule="auto"/>
        <w:ind w:firstLine="720"/>
        <w:rPr>
          <w:rStyle w:val="standardChar"/>
        </w:rPr>
      </w:pPr>
      <w:r w:rsidRPr="00DD30EB">
        <w:rPr>
          <w:rStyle w:val="standardChar"/>
        </w:rPr>
        <w:t>In general, it is good policy to authorize a return on equity for a water utility that is the lowest rate sufficient to permit the company to raise enough capital to provide reliabl</w:t>
      </w:r>
      <w:r w:rsidR="00BF03C8">
        <w:rPr>
          <w:rStyle w:val="standardChar"/>
        </w:rPr>
        <w:t xml:space="preserve">e service at reasonable rates. </w:t>
      </w:r>
      <w:r w:rsidRPr="00DD30EB">
        <w:rPr>
          <w:rStyle w:val="standardChar"/>
        </w:rPr>
        <w:t xml:space="preserve"> In seeking equity, utilities compete with other sellers of common stock. </w:t>
      </w:r>
      <w:r w:rsidR="00BF03C8">
        <w:rPr>
          <w:rStyle w:val="standardChar"/>
        </w:rPr>
        <w:t xml:space="preserve"> </w:t>
      </w:r>
      <w:r w:rsidRPr="00DD30EB">
        <w:rPr>
          <w:rStyle w:val="standardChar"/>
        </w:rPr>
        <w:t>The average non-utility stock is riskier than an average utility stock,</w:t>
      </w:r>
      <w:r w:rsidRPr="00DD30EB">
        <w:rPr>
          <w:rStyle w:val="FootnoteReference"/>
          <w:sz w:val="26"/>
        </w:rPr>
        <w:footnoteReference w:id="36"/>
      </w:r>
      <w:r w:rsidRPr="00DD30EB">
        <w:rPr>
          <w:rStyle w:val="standardChar"/>
        </w:rPr>
        <w:t xml:space="preserve"> and subject to greater price fluctuations,</w:t>
      </w:r>
      <w:r w:rsidRPr="002B661A">
        <w:rPr>
          <w:rFonts w:ascii="Palatino Linotype" w:hAnsi="Palatino Linotype"/>
          <w:szCs w:val="26"/>
        </w:rPr>
        <w:t xml:space="preserve"> </w:t>
      </w:r>
      <w:r w:rsidRPr="00BF03C8">
        <w:rPr>
          <w:rStyle w:val="standardChar"/>
        </w:rPr>
        <w:t>and a non-utility is more likely to reduce or eliminate annual dividend paymen</w:t>
      </w:r>
      <w:r w:rsidR="00215F62">
        <w:rPr>
          <w:rStyle w:val="standardChar"/>
        </w:rPr>
        <w:t xml:space="preserve">ts when its profits are down.  </w:t>
      </w:r>
      <w:r w:rsidRPr="00BF03C8">
        <w:rPr>
          <w:rStyle w:val="standardChar"/>
        </w:rPr>
        <w:t xml:space="preserve">For these reasons, utility stocks are generally regarded as relatively safe </w:t>
      </w:r>
      <w:r w:rsidR="001A6462">
        <w:rPr>
          <w:rStyle w:val="standardChar"/>
        </w:rPr>
        <w:t>investments</w:t>
      </w:r>
      <w:r w:rsidRPr="00BF03C8">
        <w:rPr>
          <w:rStyle w:val="standardChar"/>
        </w:rPr>
        <w:t xml:space="preserve">, especially in </w:t>
      </w:r>
      <w:r w:rsidR="00CC1F5D">
        <w:rPr>
          <w:rStyle w:val="standardChar"/>
        </w:rPr>
        <w:t xml:space="preserve">times of economic uncertainty.  </w:t>
      </w:r>
      <w:r w:rsidRPr="00BF03C8">
        <w:rPr>
          <w:rStyle w:val="standardChar"/>
        </w:rPr>
        <w:t xml:space="preserve">On the other hand, the upside potential of utility stocks is limited by the regulatory ceiling on </w:t>
      </w:r>
      <w:r w:rsidR="001A6462">
        <w:rPr>
          <w:rStyle w:val="standardChar"/>
        </w:rPr>
        <w:t>authorized</w:t>
      </w:r>
      <w:r w:rsidRPr="00BF03C8">
        <w:rPr>
          <w:rStyle w:val="standardChar"/>
        </w:rPr>
        <w:t xml:space="preserve"> returns.  Thus, a typical investor in utility stocks is buying a low risk of loss coupled wit</w:t>
      </w:r>
      <w:r w:rsidR="00E93BEE">
        <w:rPr>
          <w:rStyle w:val="standardChar"/>
        </w:rPr>
        <w:t>h a steady stream of dividends.</w:t>
      </w:r>
    </w:p>
    <w:p w14:paraId="121A52B2" w14:textId="77777777" w:rsidR="00260BB6" w:rsidRPr="00260BB6" w:rsidRDefault="00D85665" w:rsidP="00260BB6">
      <w:pPr>
        <w:pStyle w:val="Default"/>
        <w:spacing w:line="360" w:lineRule="auto"/>
        <w:ind w:firstLine="720"/>
        <w:rPr>
          <w:rFonts w:ascii="Palatino" w:hAnsi="Palatino"/>
          <w:sz w:val="26"/>
        </w:rPr>
      </w:pPr>
      <w:r w:rsidRPr="00E937D6">
        <w:rPr>
          <w:rStyle w:val="standardChar"/>
        </w:rPr>
        <w:t>When the Commission set</w:t>
      </w:r>
      <w:r w:rsidR="00CD6AAD">
        <w:rPr>
          <w:rStyle w:val="standardChar"/>
        </w:rPr>
        <w:t>s</w:t>
      </w:r>
      <w:r w:rsidRPr="00E937D6">
        <w:rPr>
          <w:rStyle w:val="standardChar"/>
        </w:rPr>
        <w:t xml:space="preserve"> the authorized cost of capital for a water utility, it considers various metrics, including the returns allowed by this Commission in the past, the returns allowed by other commissions for similar </w:t>
      </w:r>
      <w:r w:rsidRPr="00E937D6">
        <w:rPr>
          <w:rStyle w:val="standardChar"/>
        </w:rPr>
        <w:lastRenderedPageBreak/>
        <w:t>companies, and general economic conditions, including short</w:t>
      </w:r>
      <w:r w:rsidR="002945B5">
        <w:rPr>
          <w:rStyle w:val="standardChar"/>
        </w:rPr>
        <w:t>-</w:t>
      </w:r>
      <w:r w:rsidRPr="00E937D6">
        <w:rPr>
          <w:rStyle w:val="standardChar"/>
        </w:rPr>
        <w:t xml:space="preserve"> and long-term interest rates, the company’s bond rating, and the willingness or ability of banks and other financial intermediaries to lend.  The determination of the authorized return on equity may consider two numbers:</w:t>
      </w:r>
      <w:r w:rsidR="00905F2F">
        <w:rPr>
          <w:rStyle w:val="standardChar"/>
        </w:rPr>
        <w:t xml:space="preserve"> </w:t>
      </w:r>
      <w:r w:rsidRPr="00E937D6">
        <w:rPr>
          <w:rStyle w:val="standardChar"/>
        </w:rPr>
        <w:t xml:space="preserve"> the forecasted risk-free rate of interest</w:t>
      </w:r>
      <w:r w:rsidR="00C223BD">
        <w:rPr>
          <w:rStyle w:val="standardChar"/>
        </w:rPr>
        <w:t>,</w:t>
      </w:r>
      <w:r w:rsidRPr="00BF03C8">
        <w:rPr>
          <w:rStyle w:val="FootnoteReference"/>
          <w:rFonts w:ascii="Palatino" w:hAnsi="Palatino"/>
          <w:sz w:val="26"/>
          <w:szCs w:val="26"/>
        </w:rPr>
        <w:footnoteReference w:id="37"/>
      </w:r>
      <w:r w:rsidRPr="00BF03C8">
        <w:rPr>
          <w:rFonts w:ascii="Palatino" w:hAnsi="Palatino"/>
          <w:sz w:val="26"/>
          <w:szCs w:val="26"/>
        </w:rPr>
        <w:t xml:space="preserve"> </w:t>
      </w:r>
      <w:r w:rsidRPr="00E937D6">
        <w:rPr>
          <w:rStyle w:val="standardChar"/>
        </w:rPr>
        <w:t xml:space="preserve">and the “equity risk premium,” the amount of additional return required to produce a return on equity high enough to </w:t>
      </w:r>
      <w:r w:rsidR="00CD6AAD">
        <w:rPr>
          <w:rStyle w:val="standardChar"/>
        </w:rPr>
        <w:t>attract the necessary capital</w:t>
      </w:r>
      <w:r w:rsidRPr="00E937D6">
        <w:rPr>
          <w:rStyle w:val="standardChar"/>
        </w:rPr>
        <w:t xml:space="preserve">.  </w:t>
      </w:r>
      <w:r w:rsidR="001A6462">
        <w:rPr>
          <w:rStyle w:val="standardChar"/>
        </w:rPr>
        <w:t>In this case t</w:t>
      </w:r>
      <w:r w:rsidR="00CD6AAD">
        <w:rPr>
          <w:rStyle w:val="standardChar"/>
        </w:rPr>
        <w:t xml:space="preserve">he initial positions of the Parties differed on these </w:t>
      </w:r>
      <w:r w:rsidR="00A05518">
        <w:rPr>
          <w:rStyle w:val="standardChar"/>
        </w:rPr>
        <w:t>points</w:t>
      </w:r>
      <w:r w:rsidR="001A6462">
        <w:rPr>
          <w:rStyle w:val="standardChar"/>
        </w:rPr>
        <w:t>, but the S</w:t>
      </w:r>
      <w:r w:rsidR="00CD6AAD">
        <w:rPr>
          <w:rStyle w:val="standardChar"/>
        </w:rPr>
        <w:t xml:space="preserve">ettlement proposes a return on equity that </w:t>
      </w:r>
      <w:r w:rsidR="001A6462">
        <w:rPr>
          <w:rStyle w:val="standardChar"/>
        </w:rPr>
        <w:t xml:space="preserve">is a </w:t>
      </w:r>
      <w:r w:rsidR="00CD6AAD">
        <w:rPr>
          <w:rStyle w:val="standardChar"/>
        </w:rPr>
        <w:t>fair compromise</w:t>
      </w:r>
      <w:r w:rsidR="00A05518">
        <w:rPr>
          <w:rStyle w:val="standardChar"/>
        </w:rPr>
        <w:t xml:space="preserve">.  The return on equity proposed by the Settlement </w:t>
      </w:r>
      <w:r w:rsidR="00045664">
        <w:rPr>
          <w:rStyle w:val="standardChar"/>
        </w:rPr>
        <w:t xml:space="preserve">(9.79 percent) </w:t>
      </w:r>
      <w:r w:rsidR="00A05518">
        <w:rPr>
          <w:rStyle w:val="standardChar"/>
        </w:rPr>
        <w:t xml:space="preserve">is </w:t>
      </w:r>
      <w:r w:rsidR="00A05518" w:rsidRPr="00045664">
        <w:rPr>
          <w:rStyle w:val="standardChar"/>
        </w:rPr>
        <w:t>20 basis points below</w:t>
      </w:r>
      <w:r w:rsidR="00A05518">
        <w:rPr>
          <w:rStyle w:val="standardChar"/>
        </w:rPr>
        <w:t xml:space="preserve"> the r</w:t>
      </w:r>
      <w:r w:rsidR="00E77F89">
        <w:rPr>
          <w:rStyle w:val="standardChar"/>
        </w:rPr>
        <w:t xml:space="preserve">eturn on equity </w:t>
      </w:r>
      <w:r w:rsidR="00901136">
        <w:rPr>
          <w:rStyle w:val="standardChar"/>
        </w:rPr>
        <w:t>the Commission</w:t>
      </w:r>
      <w:r w:rsidR="00A05518">
        <w:rPr>
          <w:rStyle w:val="standardChar"/>
        </w:rPr>
        <w:t xml:space="preserve"> authorized </w:t>
      </w:r>
      <w:r w:rsidR="00A05518" w:rsidRPr="00045664">
        <w:rPr>
          <w:rStyle w:val="standardChar"/>
        </w:rPr>
        <w:t xml:space="preserve">in </w:t>
      </w:r>
      <w:r w:rsidR="00045664" w:rsidRPr="00045664">
        <w:rPr>
          <w:rStyle w:val="standardChar"/>
        </w:rPr>
        <w:t>D.</w:t>
      </w:r>
      <w:r w:rsidR="009A5FE2">
        <w:rPr>
          <w:rStyle w:val="standardChar"/>
        </w:rPr>
        <w:t xml:space="preserve">12-07-009, the cost of </w:t>
      </w:r>
      <w:r w:rsidR="009A5FE2" w:rsidRPr="009A5FE2">
        <w:rPr>
          <w:rStyle w:val="standardChar"/>
        </w:rPr>
        <w:t>c</w:t>
      </w:r>
      <w:r w:rsidR="00A05518" w:rsidRPr="009A5FE2">
        <w:rPr>
          <w:rStyle w:val="standardChar"/>
        </w:rPr>
        <w:t>apital</w:t>
      </w:r>
      <w:r w:rsidR="00A05518">
        <w:rPr>
          <w:rStyle w:val="standardChar"/>
        </w:rPr>
        <w:t xml:space="preserve"> case for the other Class A water </w:t>
      </w:r>
      <w:r w:rsidR="00901136">
        <w:rPr>
          <w:rStyle w:val="standardChar"/>
        </w:rPr>
        <w:t>utilities</w:t>
      </w:r>
      <w:r w:rsidR="00045664">
        <w:rPr>
          <w:rStyle w:val="standardChar"/>
        </w:rPr>
        <w:t xml:space="preserve"> (9.99 percent)</w:t>
      </w:r>
      <w:r w:rsidR="00A05518">
        <w:rPr>
          <w:rStyle w:val="standardChar"/>
        </w:rPr>
        <w:t>.</w:t>
      </w:r>
      <w:r w:rsidR="00A05518">
        <w:rPr>
          <w:rStyle w:val="FootnoteReference"/>
          <w:rFonts w:ascii="Palatino" w:hAnsi="Palatino"/>
        </w:rPr>
        <w:footnoteReference w:id="38"/>
      </w:r>
      <w:r w:rsidR="00A05518">
        <w:rPr>
          <w:rStyle w:val="standardChar"/>
        </w:rPr>
        <w:t xml:space="preserve">  </w:t>
      </w:r>
      <w:r w:rsidR="000040EF">
        <w:rPr>
          <w:rStyle w:val="standardChar"/>
        </w:rPr>
        <w:t xml:space="preserve"> </w:t>
      </w:r>
      <w:r w:rsidR="001A6462">
        <w:rPr>
          <w:rStyle w:val="standardChar"/>
        </w:rPr>
        <w:t xml:space="preserve">  </w:t>
      </w:r>
    </w:p>
    <w:p w14:paraId="16E33861" w14:textId="77777777" w:rsidR="00D85665" w:rsidRPr="00824995" w:rsidRDefault="000103DC" w:rsidP="00824995">
      <w:pPr>
        <w:pStyle w:val="Heading1"/>
        <w:keepNext w:val="0"/>
        <w:widowControl w:val="0"/>
        <w:numPr>
          <w:ilvl w:val="0"/>
          <w:numId w:val="14"/>
        </w:numPr>
        <w:ind w:right="720" w:hanging="720"/>
        <w:rPr>
          <w:szCs w:val="20"/>
        </w:rPr>
      </w:pPr>
      <w:bookmarkStart w:id="17" w:name="_Toc356978431"/>
      <w:r>
        <w:t xml:space="preserve">Settlement </w:t>
      </w:r>
      <w:r w:rsidR="005A546F">
        <w:t>Standard of Review</w:t>
      </w:r>
      <w:bookmarkEnd w:id="17"/>
      <w:r>
        <w:t xml:space="preserve"> </w:t>
      </w:r>
    </w:p>
    <w:p w14:paraId="25F6A02E" w14:textId="77777777" w:rsidR="009A5E68" w:rsidRDefault="009A5E68" w:rsidP="000A06C7">
      <w:pPr>
        <w:pStyle w:val="CM8"/>
        <w:spacing w:line="360" w:lineRule="auto"/>
        <w:ind w:right="157" w:firstLine="720"/>
        <w:rPr>
          <w:rStyle w:val="standardChar"/>
        </w:rPr>
      </w:pPr>
      <w:r>
        <w:rPr>
          <w:rStyle w:val="standardChar"/>
        </w:rPr>
        <w:t xml:space="preserve">The Applicants bear the burden of proof to show that the regulatory relief requested is just and reasonable.  </w:t>
      </w:r>
    </w:p>
    <w:p w14:paraId="016BCE5F" w14:textId="77777777" w:rsidR="00837DAF" w:rsidRDefault="00D85665" w:rsidP="00837DAF">
      <w:pPr>
        <w:pStyle w:val="standard"/>
      </w:pPr>
      <w:r w:rsidRPr="000A06C7">
        <w:rPr>
          <w:rStyle w:val="standardChar"/>
        </w:rPr>
        <w:t xml:space="preserve">The </w:t>
      </w:r>
      <w:r w:rsidR="003F5B00">
        <w:rPr>
          <w:rStyle w:val="standardChar"/>
        </w:rPr>
        <w:t>Settlement</w:t>
      </w:r>
      <w:r w:rsidRPr="000A06C7">
        <w:rPr>
          <w:rStyle w:val="standardChar"/>
        </w:rPr>
        <w:t xml:space="preserve"> addresses all contested issues in this proceeding.  </w:t>
      </w:r>
      <w:r w:rsidR="00837DAF">
        <w:t xml:space="preserve">In order for the Commission to consider a proposed settlement in this proceeding as being in the public interest, the Commission must be convinced that the parties had a sound and thorough understanding of the application, and all of the underlying assumptions and data included in the record.  This level of understanding of the application and development of an adequate record is </w:t>
      </w:r>
      <w:r w:rsidR="00837DAF">
        <w:lastRenderedPageBreak/>
        <w:t>necessary to meet our requirements for considering any settlement.  These requirements are set forth in Rule 12.1(a)</w:t>
      </w:r>
      <w:r w:rsidR="00837DAF">
        <w:rPr>
          <w:rStyle w:val="FootnoteReference"/>
        </w:rPr>
        <w:footnoteReference w:id="39"/>
      </w:r>
      <w:r w:rsidR="00837DAF">
        <w:t xml:space="preserve"> which states:</w:t>
      </w:r>
      <w:r w:rsidR="00CC1F5D">
        <w:t xml:space="preserve"> </w:t>
      </w:r>
    </w:p>
    <w:p w14:paraId="1FD8B4D5" w14:textId="77777777" w:rsidR="00837DAF" w:rsidRDefault="00837DAF" w:rsidP="00CC1F5D">
      <w:pPr>
        <w:pStyle w:val="sub1"/>
        <w:spacing w:line="240" w:lineRule="auto"/>
        <w:ind w:left="720" w:right="1440" w:firstLine="0"/>
      </w:pPr>
      <w:r>
        <w:t>Parties may, by written motion any time after the first prehearing conference and within 30 days after the last day of hearing, propose settlements on the resolution of any material issue of law or fact or on a mutually agreeable outcome to the proceeding.  Settlements need not be joined by all parties; however, settlements in applications must be signed by the applicant….</w:t>
      </w:r>
    </w:p>
    <w:p w14:paraId="579E0A33" w14:textId="77777777" w:rsidR="00837DAF" w:rsidRDefault="00837DAF" w:rsidP="00CC1F5D">
      <w:pPr>
        <w:pStyle w:val="sub1"/>
        <w:spacing w:line="240" w:lineRule="auto"/>
        <w:ind w:left="720" w:right="1440" w:firstLine="0"/>
      </w:pPr>
    </w:p>
    <w:p w14:paraId="64FA1C0E" w14:textId="77777777" w:rsidR="00837DAF" w:rsidRDefault="00837DAF" w:rsidP="00CC1F5D">
      <w:pPr>
        <w:pStyle w:val="sub1"/>
        <w:spacing w:line="240" w:lineRule="auto"/>
        <w:ind w:left="720" w:right="1440" w:firstLine="0"/>
      </w:pPr>
      <w:r>
        <w:t xml:space="preserve">When a settlement pertains to a proceeding under a Rate Case Plan or other proceeding in which a comparison exhibit would ordinarily be filed, the motion must be supported by a comparison exhibit indicating the impact of the settlement in relation to the utility’s application and, if the participating staff supports the settlement, in relation to the issues staff contested, or would have contested, in a hearing. </w:t>
      </w:r>
    </w:p>
    <w:p w14:paraId="6A133F4B" w14:textId="77777777" w:rsidR="00CC1F5D" w:rsidRDefault="00CC1F5D" w:rsidP="00CC1F5D">
      <w:pPr>
        <w:pStyle w:val="sub1"/>
        <w:spacing w:line="240" w:lineRule="auto"/>
        <w:ind w:left="720" w:right="1440" w:firstLine="0"/>
      </w:pPr>
    </w:p>
    <w:p w14:paraId="7F7003E6" w14:textId="77777777" w:rsidR="00837DAF" w:rsidRDefault="00837DAF" w:rsidP="00CC1F5D">
      <w:pPr>
        <w:pStyle w:val="sub1"/>
        <w:spacing w:before="120" w:line="240" w:lineRule="auto"/>
        <w:ind w:right="720" w:firstLine="0"/>
      </w:pPr>
      <w:r>
        <w:t>Rule 12.1(d) provides that:</w:t>
      </w:r>
    </w:p>
    <w:p w14:paraId="07527EBA" w14:textId="77777777" w:rsidR="00837DAF" w:rsidRDefault="00837DAF" w:rsidP="00CC1F5D">
      <w:pPr>
        <w:pStyle w:val="sub1"/>
        <w:spacing w:line="240" w:lineRule="auto"/>
        <w:ind w:left="720" w:right="720" w:firstLine="0"/>
      </w:pPr>
    </w:p>
    <w:p w14:paraId="02D455E7" w14:textId="77777777" w:rsidR="00837DAF" w:rsidRDefault="00837DAF" w:rsidP="00CC1F5D">
      <w:pPr>
        <w:pStyle w:val="sub1"/>
        <w:spacing w:line="240" w:lineRule="auto"/>
        <w:ind w:left="720" w:right="1440" w:firstLine="0"/>
      </w:pPr>
      <w:r>
        <w:t xml:space="preserve">The Commission will not approve settlements, whether contested or uncontested, unless the settlement is reasonable in light of the whole record, consistent with the law, and in the public interest.  </w:t>
      </w:r>
    </w:p>
    <w:p w14:paraId="26F03877" w14:textId="77777777" w:rsidR="00837DAF" w:rsidRDefault="00837DAF" w:rsidP="00CC1F5D">
      <w:pPr>
        <w:pStyle w:val="sub1"/>
        <w:spacing w:line="240" w:lineRule="auto"/>
        <w:ind w:left="720" w:right="1440" w:firstLine="0"/>
      </w:pPr>
    </w:p>
    <w:p w14:paraId="68B2F3E3" w14:textId="77777777" w:rsidR="00837DAF" w:rsidRDefault="00837DAF" w:rsidP="00837DAF">
      <w:pPr>
        <w:pStyle w:val="sub1"/>
        <w:spacing w:line="240" w:lineRule="auto"/>
        <w:ind w:right="720" w:firstLine="0"/>
      </w:pPr>
      <w:r>
        <w:t>Rule 12.5 limits the future applicability of a settlement:</w:t>
      </w:r>
    </w:p>
    <w:p w14:paraId="34434753" w14:textId="77777777" w:rsidR="00837DAF" w:rsidRDefault="00837DAF" w:rsidP="00CC1F5D">
      <w:pPr>
        <w:pStyle w:val="sub1"/>
        <w:spacing w:line="240" w:lineRule="auto"/>
        <w:ind w:left="720" w:right="720" w:firstLine="0"/>
      </w:pPr>
    </w:p>
    <w:p w14:paraId="1413F84C" w14:textId="77777777" w:rsidR="00837DAF" w:rsidRPr="00364209" w:rsidRDefault="00837DAF" w:rsidP="00CC6C93">
      <w:pPr>
        <w:pStyle w:val="sub1"/>
        <w:tabs>
          <w:tab w:val="left" w:pos="720"/>
        </w:tabs>
        <w:spacing w:line="240" w:lineRule="auto"/>
        <w:ind w:left="720" w:right="1440" w:firstLine="0"/>
      </w:pPr>
      <w:r>
        <w:t xml:space="preserve">Commission adoption of a settlement is binding on all parties to the proceeding in which the settlement is proposed.  Unless the Commission expressly provides otherwise, such adoption does not constitute approval of, or precedent regarding, any </w:t>
      </w:r>
      <w:r>
        <w:lastRenderedPageBreak/>
        <w:t xml:space="preserve">principle or issue in the proceeding or in any future proceeding.  </w:t>
      </w:r>
    </w:p>
    <w:p w14:paraId="5D29377A" w14:textId="77777777" w:rsidR="000103DC" w:rsidRPr="00845641" w:rsidRDefault="000103DC" w:rsidP="00845641">
      <w:pPr>
        <w:pStyle w:val="standard"/>
        <w:spacing w:before="120"/>
      </w:pPr>
      <w:r w:rsidRPr="00845641">
        <w:t>In s</w:t>
      </w:r>
      <w:r w:rsidR="003F5B00" w:rsidRPr="00845641">
        <w:t>hort, we must find whether the S</w:t>
      </w:r>
      <w:r w:rsidRPr="00845641">
        <w:t>ettlement comports with Rule 12.1(d), which requires a settlement to be “reasonable in light of the whole record, consistent with law, and in the public interest.”</w:t>
      </w:r>
      <w:r w:rsidR="003F5B00" w:rsidRPr="00845641">
        <w:t xml:space="preserve">  We address below whether the S</w:t>
      </w:r>
      <w:r w:rsidRPr="00845641">
        <w:t>ettlement meets these three requirements.</w:t>
      </w:r>
    </w:p>
    <w:p w14:paraId="1142222F" w14:textId="77777777" w:rsidR="00D85665" w:rsidRPr="00824995" w:rsidRDefault="000103DC" w:rsidP="00824995">
      <w:pPr>
        <w:pStyle w:val="Heading1"/>
        <w:keepNext w:val="0"/>
        <w:widowControl w:val="0"/>
        <w:numPr>
          <w:ilvl w:val="0"/>
          <w:numId w:val="14"/>
        </w:numPr>
        <w:ind w:right="720" w:hanging="720"/>
        <w:rPr>
          <w:szCs w:val="20"/>
        </w:rPr>
      </w:pPr>
      <w:bookmarkStart w:id="18" w:name="_Toc356978432"/>
      <w:r w:rsidRPr="00757CF0">
        <w:t>Does the Settlement Meet the Standard of Review for Settlements</w:t>
      </w:r>
      <w:bookmarkEnd w:id="18"/>
      <w:r w:rsidRPr="00757CF0">
        <w:t xml:space="preserve"> </w:t>
      </w:r>
    </w:p>
    <w:p w14:paraId="312616E7" w14:textId="77777777" w:rsidR="003F5B00" w:rsidRDefault="003F5B00" w:rsidP="00D134EA">
      <w:pPr>
        <w:pStyle w:val="standard"/>
      </w:pPr>
      <w:r>
        <w:t xml:space="preserve">The Settlement is supported by the record which </w:t>
      </w:r>
      <w:r w:rsidR="00D134EA">
        <w:t xml:space="preserve">consists of all filed documents, the </w:t>
      </w:r>
      <w:r>
        <w:t>served testimony, the proposed S</w:t>
      </w:r>
      <w:r w:rsidR="00D134EA">
        <w:t>ettlement and the</w:t>
      </w:r>
      <w:r>
        <w:t xml:space="preserve"> motion for its adoption.  The S</w:t>
      </w:r>
      <w:r w:rsidR="00D134EA">
        <w:t xml:space="preserve">ettlement resolves the cost of capital issues in a balanced way and reflects a compromise of the </w:t>
      </w:r>
      <w:r w:rsidR="0036136D">
        <w:t>Parties’</w:t>
      </w:r>
      <w:r w:rsidR="00D134EA">
        <w:t xml:space="preserve"> positions.  </w:t>
      </w:r>
    </w:p>
    <w:p w14:paraId="1D496DBE" w14:textId="77777777" w:rsidR="00757CF0" w:rsidRPr="003A6661" w:rsidRDefault="00757CF0" w:rsidP="00845641">
      <w:pPr>
        <w:pStyle w:val="standard"/>
        <w:numPr>
          <w:ilvl w:val="0"/>
          <w:numId w:val="27"/>
        </w:numPr>
        <w:spacing w:line="240" w:lineRule="auto"/>
        <w:ind w:right="1440" w:hanging="720"/>
        <w:rPr>
          <w:rFonts w:ascii="Helvetica" w:hAnsi="Helvetica"/>
          <w:b/>
          <w:kern w:val="28"/>
          <w:szCs w:val="26"/>
        </w:rPr>
      </w:pPr>
      <w:r w:rsidRPr="003A6661">
        <w:rPr>
          <w:rFonts w:ascii="Helvetica" w:hAnsi="Helvetica"/>
          <w:b/>
          <w:kern w:val="28"/>
          <w:szCs w:val="26"/>
        </w:rPr>
        <w:t>The Settlement is Reasonable in Light of the Whole Record</w:t>
      </w:r>
    </w:p>
    <w:p w14:paraId="2503D2FD" w14:textId="77777777" w:rsidR="003F5B00" w:rsidRDefault="003F5B00" w:rsidP="00845641">
      <w:pPr>
        <w:pStyle w:val="standard"/>
        <w:spacing w:before="120"/>
      </w:pPr>
      <w:r>
        <w:t xml:space="preserve">The </w:t>
      </w:r>
      <w:r w:rsidR="0036136D">
        <w:t>Parties</w:t>
      </w:r>
      <w:r>
        <w:t xml:space="preserve"> represent a broad spectrum of interest.  The Applicants represent the utility and their shareholders, while DRA represents the interests of ratepayers.  Thus, the </w:t>
      </w:r>
      <w:r w:rsidR="0036136D">
        <w:t>P</w:t>
      </w:r>
      <w:r>
        <w:t xml:space="preserve">arties are experienced in public utility litigation and the Settlement is the result of extensive and vigorous negotiations. </w:t>
      </w:r>
      <w:r w:rsidR="00845641">
        <w:t xml:space="preserve"> </w:t>
      </w:r>
      <w:r>
        <w:t xml:space="preserve">The </w:t>
      </w:r>
      <w:r w:rsidR="0036136D">
        <w:t>Parties</w:t>
      </w:r>
      <w:r>
        <w:t xml:space="preserve"> to the Settlement have a sound and thorough understanding of the issues, and all of the underlying assumptions and data and could therefore make informed decisions in the settlement process.  The Settlement is reason</w:t>
      </w:r>
      <w:r w:rsidR="009B06B5">
        <w:t>able</w:t>
      </w:r>
      <w:r>
        <w:t xml:space="preserve"> in light of the whole record, because the </w:t>
      </w:r>
      <w:r w:rsidR="0036136D">
        <w:t>P</w:t>
      </w:r>
      <w:r>
        <w:t>arties fairly reflect the affected inter</w:t>
      </w:r>
      <w:r w:rsidR="0036136D">
        <w:t>e</w:t>
      </w:r>
      <w:r>
        <w:t xml:space="preserve">sts, the </w:t>
      </w:r>
      <w:r w:rsidR="0036136D">
        <w:t>Parties</w:t>
      </w:r>
      <w:r>
        <w:t xml:space="preserve"> actively participated in this proceeding, and the </w:t>
      </w:r>
      <w:r w:rsidR="0036136D">
        <w:t>Settlement</w:t>
      </w:r>
      <w:r>
        <w:t xml:space="preserve"> fairly and reasonably resolves the issue</w:t>
      </w:r>
      <w:r w:rsidR="0036136D">
        <w:t>s</w:t>
      </w:r>
      <w:r>
        <w:t xml:space="preserve">.  </w:t>
      </w:r>
    </w:p>
    <w:p w14:paraId="1EC1F9E5" w14:textId="77777777" w:rsidR="003F5B00" w:rsidRDefault="003F5B00" w:rsidP="00D134EA">
      <w:pPr>
        <w:pStyle w:val="standard"/>
      </w:pPr>
      <w:r>
        <w:t>The Commission could have resolved the cost of capital issue</w:t>
      </w:r>
      <w:r w:rsidR="00AF229F">
        <w:t>s</w:t>
      </w:r>
      <w:r>
        <w:t xml:space="preserve"> in favor of any of the </w:t>
      </w:r>
      <w:r w:rsidR="0036136D">
        <w:t>Parties’</w:t>
      </w:r>
      <w:r>
        <w:t xml:space="preserve"> position</w:t>
      </w:r>
      <w:r w:rsidR="00A44B18">
        <w:t xml:space="preserve">s.  Accordingly, the </w:t>
      </w:r>
      <w:r w:rsidR="0036136D">
        <w:t>P</w:t>
      </w:r>
      <w:r w:rsidR="00A44B18">
        <w:t>arties</w:t>
      </w:r>
      <w:r w:rsidR="0036136D">
        <w:t xml:space="preserve"> have balanced a variety of issues of importance to them and have agreed to the Settlement as a reasonable </w:t>
      </w:r>
      <w:r w:rsidR="0036136D">
        <w:lastRenderedPageBreak/>
        <w:t>means by which to resolve th</w:t>
      </w:r>
      <w:r w:rsidR="00AF229F">
        <w:t>e</w:t>
      </w:r>
      <w:r w:rsidR="0036136D">
        <w:t xml:space="preserve"> issue</w:t>
      </w:r>
      <w:r w:rsidR="00AF229F">
        <w:t>s</w:t>
      </w:r>
      <w:r w:rsidR="0036136D">
        <w:t xml:space="preserve">.  Thus, for the reasons discussed above, and taken as a whole, the Settlement is reasonable in light of the whole record.  </w:t>
      </w:r>
    </w:p>
    <w:p w14:paraId="129C92B2" w14:textId="77777777" w:rsidR="00D85665" w:rsidRPr="002D2274" w:rsidRDefault="00D85665" w:rsidP="002D2274">
      <w:pPr>
        <w:pStyle w:val="Heading1"/>
        <w:keepNext w:val="0"/>
        <w:widowControl w:val="0"/>
        <w:numPr>
          <w:ilvl w:val="0"/>
          <w:numId w:val="14"/>
        </w:numPr>
        <w:ind w:right="720" w:hanging="720"/>
      </w:pPr>
      <w:bookmarkStart w:id="19" w:name="_Toc356978433"/>
      <w:r w:rsidRPr="003A6661">
        <w:t>The Agreement Does Not Contravene Any Rules or Laws</w:t>
      </w:r>
      <w:bookmarkEnd w:id="19"/>
      <w:r w:rsidRPr="003A6661">
        <w:t xml:space="preserve"> </w:t>
      </w:r>
    </w:p>
    <w:p w14:paraId="1BB47B9A" w14:textId="77777777" w:rsidR="00D85665" w:rsidRPr="00845641" w:rsidRDefault="00D85665" w:rsidP="00845641">
      <w:pPr>
        <w:pStyle w:val="standard"/>
      </w:pPr>
      <w:r w:rsidRPr="00845641">
        <w:t xml:space="preserve">There is no statutory provision or prior Commission decision that would be contravened or compromised by the </w:t>
      </w:r>
      <w:r w:rsidR="003F5B00" w:rsidRPr="00845641">
        <w:t>Settlement</w:t>
      </w:r>
      <w:r w:rsidRPr="00845641">
        <w:t>.</w:t>
      </w:r>
      <w:r w:rsidR="00BE6820" w:rsidRPr="00845641">
        <w:t xml:space="preserve"> </w:t>
      </w:r>
      <w:r w:rsidRPr="00845641">
        <w:t xml:space="preserve"> The issues resolved in the </w:t>
      </w:r>
      <w:r w:rsidR="003F5B00" w:rsidRPr="00845641">
        <w:t>Settlement</w:t>
      </w:r>
      <w:r w:rsidRPr="00845641">
        <w:t xml:space="preserve"> are within the scope of the proceeding and produce rates within a range of reasonableness.</w:t>
      </w:r>
      <w:r w:rsidR="003F5B00" w:rsidRPr="00845641">
        <w:t xml:space="preserve">  Therefore we find the Settlement consistent with the law.</w:t>
      </w:r>
    </w:p>
    <w:p w14:paraId="75F67A9D" w14:textId="77777777" w:rsidR="00D85665" w:rsidRPr="002D2274" w:rsidRDefault="00D85665" w:rsidP="002D2274">
      <w:pPr>
        <w:pStyle w:val="Heading1"/>
        <w:keepNext w:val="0"/>
        <w:widowControl w:val="0"/>
        <w:numPr>
          <w:ilvl w:val="0"/>
          <w:numId w:val="14"/>
        </w:numPr>
        <w:ind w:right="720" w:hanging="720"/>
      </w:pPr>
      <w:bookmarkStart w:id="20" w:name="_Toc356978434"/>
      <w:r w:rsidRPr="003A6661">
        <w:t>The Agreement Is In the Public Interest</w:t>
      </w:r>
      <w:bookmarkEnd w:id="20"/>
      <w:r w:rsidRPr="003A6661">
        <w:t xml:space="preserve"> </w:t>
      </w:r>
    </w:p>
    <w:p w14:paraId="0BCAD7AB" w14:textId="77777777" w:rsidR="00D85665" w:rsidRPr="000A06C7" w:rsidRDefault="00D85665" w:rsidP="00BE6820">
      <w:pPr>
        <w:pStyle w:val="standard"/>
        <w:spacing w:before="120"/>
      </w:pPr>
      <w:r w:rsidRPr="000A06C7">
        <w:t xml:space="preserve">The Commission has explained that a settlement which “commands broad support among participants fairly reflective of the affected interests” and “does not contain terms which contravene statutory provisions or prior Commission decisions” well serves the public interest. </w:t>
      </w:r>
      <w:r w:rsidR="000D57F8">
        <w:t xml:space="preserve"> </w:t>
      </w:r>
      <w:r w:rsidRPr="000A06C7">
        <w:rPr>
          <w:i/>
          <w:iCs/>
        </w:rPr>
        <w:t>Re San Diego Gas &amp; Elec.</w:t>
      </w:r>
      <w:r w:rsidRPr="000A06C7">
        <w:t xml:space="preserve">, D.92-12-019, 46 CPUC 2d 538, 552. </w:t>
      </w:r>
    </w:p>
    <w:p w14:paraId="7FC06D8B" w14:textId="77777777" w:rsidR="00A81F01" w:rsidRDefault="0036136D" w:rsidP="000A06C7">
      <w:pPr>
        <w:pStyle w:val="CM24"/>
        <w:spacing w:line="360" w:lineRule="auto"/>
        <w:ind w:firstLine="720"/>
        <w:rPr>
          <w:rStyle w:val="standardChar"/>
        </w:rPr>
      </w:pPr>
      <w:r>
        <w:rPr>
          <w:rStyle w:val="standardChar"/>
        </w:rPr>
        <w:t>The Parties addressed and resolved the cost of capital issues identified in the proceeding.  The</w:t>
      </w:r>
      <w:r w:rsidR="00D85665" w:rsidRPr="000A06C7">
        <w:rPr>
          <w:rStyle w:val="standardChar"/>
        </w:rPr>
        <w:t xml:space="preserve"> Parties fairly represent the affected interests:</w:t>
      </w:r>
      <w:r w:rsidR="000D57F8">
        <w:rPr>
          <w:rStyle w:val="standardChar"/>
        </w:rPr>
        <w:t xml:space="preserve"> </w:t>
      </w:r>
      <w:r w:rsidR="00D85665" w:rsidRPr="000A06C7">
        <w:rPr>
          <w:rStyle w:val="standardChar"/>
        </w:rPr>
        <w:t xml:space="preserve"> Applicants provide water service to customers in districts throughout California, and DRA is statutorily mandated to represent all ratepayers in California.  The primary public interest affected by this proceeding is the delivery of safe and reliable water service at reasonable rates.  The terms of the </w:t>
      </w:r>
      <w:r>
        <w:rPr>
          <w:rStyle w:val="standardChar"/>
        </w:rPr>
        <w:t>Settlement</w:t>
      </w:r>
      <w:r w:rsidR="00D85665" w:rsidRPr="000A06C7">
        <w:rPr>
          <w:rStyle w:val="standardChar"/>
        </w:rPr>
        <w:t xml:space="preserve"> as described above advance this interest because they fairly balance each Applicant’s opportunity to earn a reasonable rate of return against the needs of consumers for reasonable rates and safe, reliable water service.  In addition, Commission</w:t>
      </w:r>
      <w:r w:rsidR="00D85665" w:rsidRPr="002B661A">
        <w:rPr>
          <w:rFonts w:ascii="Palatino Linotype" w:hAnsi="Palatino Linotype"/>
          <w:sz w:val="26"/>
          <w:szCs w:val="26"/>
        </w:rPr>
        <w:t xml:space="preserve"> </w:t>
      </w:r>
      <w:r w:rsidR="00D85665" w:rsidRPr="000A06C7">
        <w:rPr>
          <w:rStyle w:val="standardChar"/>
        </w:rPr>
        <w:t xml:space="preserve">approval of the </w:t>
      </w:r>
      <w:r>
        <w:rPr>
          <w:rStyle w:val="standardChar"/>
        </w:rPr>
        <w:t xml:space="preserve">Settlement </w:t>
      </w:r>
      <w:r w:rsidR="00D85665" w:rsidRPr="000A06C7">
        <w:rPr>
          <w:rStyle w:val="standardChar"/>
        </w:rPr>
        <w:t xml:space="preserve">will provide speedy resolution of contested issues, avoid unnecessary litigation expense, and conserve Commission resources. </w:t>
      </w:r>
      <w:r w:rsidR="000D57F8">
        <w:rPr>
          <w:rStyle w:val="standardChar"/>
        </w:rPr>
        <w:t xml:space="preserve"> As the Commission has stated, </w:t>
      </w:r>
      <w:r w:rsidR="00D85665" w:rsidRPr="000A06C7">
        <w:rPr>
          <w:rStyle w:val="standardChar"/>
        </w:rPr>
        <w:t xml:space="preserve">“[t]here is a strong public policy favoring the settlement of disputes to </w:t>
      </w:r>
      <w:r w:rsidR="00D85665" w:rsidRPr="000A06C7">
        <w:rPr>
          <w:rStyle w:val="standardChar"/>
        </w:rPr>
        <w:lastRenderedPageBreak/>
        <w:t xml:space="preserve">avoid costly and protracted litigation.”  Re </w:t>
      </w:r>
      <w:r w:rsidR="00D85665" w:rsidRPr="001F5397">
        <w:rPr>
          <w:rStyle w:val="standardChar"/>
          <w:i/>
        </w:rPr>
        <w:t xml:space="preserve">PG&amp;E, </w:t>
      </w:r>
      <w:r w:rsidR="00E93BEE" w:rsidRPr="001F5397">
        <w:rPr>
          <w:rStyle w:val="standardChar"/>
          <w:i/>
        </w:rPr>
        <w:t>D.88</w:t>
      </w:r>
      <w:r w:rsidR="00E93BEE" w:rsidRPr="001F5397">
        <w:rPr>
          <w:rStyle w:val="standardChar"/>
          <w:i/>
        </w:rPr>
        <w:noBreakHyphen/>
        <w:t>12-083, 30 CPUC 2d 189, 221.</w:t>
      </w:r>
      <w:r w:rsidRPr="001F5397">
        <w:rPr>
          <w:rStyle w:val="standardChar"/>
          <w:i/>
        </w:rPr>
        <w:t xml:space="preserve"> </w:t>
      </w:r>
      <w:r>
        <w:rPr>
          <w:rStyle w:val="standardChar"/>
        </w:rPr>
        <w:t xml:space="preserve"> </w:t>
      </w:r>
    </w:p>
    <w:p w14:paraId="14377711" w14:textId="77777777" w:rsidR="00A81F01" w:rsidRDefault="0036136D" w:rsidP="000A06C7">
      <w:pPr>
        <w:pStyle w:val="CM24"/>
        <w:spacing w:line="360" w:lineRule="auto"/>
        <w:ind w:firstLine="720"/>
        <w:rPr>
          <w:rStyle w:val="standardChar"/>
        </w:rPr>
      </w:pPr>
      <w:r>
        <w:rPr>
          <w:rStyle w:val="standardChar"/>
        </w:rPr>
        <w:t xml:space="preserve">The </w:t>
      </w:r>
      <w:r w:rsidR="00A81F01">
        <w:rPr>
          <w:rStyle w:val="standardChar"/>
        </w:rPr>
        <w:t>Settlement</w:t>
      </w:r>
      <w:r>
        <w:rPr>
          <w:rStyle w:val="standardChar"/>
        </w:rPr>
        <w:t xml:space="preserve"> satisfies this public policy preference for the following reasons. </w:t>
      </w:r>
      <w:r w:rsidR="00A81F01">
        <w:rPr>
          <w:rStyle w:val="standardChar"/>
        </w:rPr>
        <w:t xml:space="preserve"> The sponsors of the Settlement represent the interests of Applicants and their customers.  Thus the parties represent the interests of shareholders and ratepayers that have an interest in the service provided by the Applicants.  </w:t>
      </w:r>
    </w:p>
    <w:p w14:paraId="2EDF8D89" w14:textId="77777777" w:rsidR="00A81F01" w:rsidRDefault="00A81F01" w:rsidP="000A06C7">
      <w:pPr>
        <w:pStyle w:val="CM24"/>
        <w:spacing w:line="360" w:lineRule="auto"/>
        <w:ind w:firstLine="720"/>
        <w:rPr>
          <w:rStyle w:val="standardChar"/>
        </w:rPr>
      </w:pPr>
      <w:r>
        <w:rPr>
          <w:rStyle w:val="standardChar"/>
        </w:rPr>
        <w:t>The Settlement serves the public interest by resolving competing concerns in a collaborative and cooperative manner.  By reaching agreement, the parties avoid the costs of further litigation in this proceeding, and eliminate the possible litigation costs for rehearing and appeal.</w:t>
      </w:r>
    </w:p>
    <w:p w14:paraId="514589C0" w14:textId="77777777" w:rsidR="00A81F01" w:rsidRDefault="00A81F01" w:rsidP="000A06C7">
      <w:pPr>
        <w:pStyle w:val="CM24"/>
        <w:spacing w:line="360" w:lineRule="auto"/>
        <w:ind w:firstLine="720"/>
        <w:rPr>
          <w:rStyle w:val="standardChar"/>
        </w:rPr>
      </w:pPr>
      <w:r>
        <w:rPr>
          <w:rStyle w:val="standardChar"/>
        </w:rPr>
        <w:t>Approval of the Settlement provides speedy and complete resolution of the issues.  Thus, the Settlement</w:t>
      </w:r>
      <w:r w:rsidR="0036136D">
        <w:rPr>
          <w:rStyle w:val="standardChar"/>
        </w:rPr>
        <w:t xml:space="preserve"> </w:t>
      </w:r>
      <w:r>
        <w:rPr>
          <w:rStyle w:val="standardChar"/>
        </w:rPr>
        <w:t xml:space="preserve">meets the applicable settlement standards of Rule 12.1(d) and therefore should be accorded the same deference the Commission accords settlements generally, and should be adopted. </w:t>
      </w:r>
    </w:p>
    <w:p w14:paraId="73C26170" w14:textId="77777777" w:rsidR="0036136D" w:rsidRDefault="00A81F01" w:rsidP="00A81F01">
      <w:pPr>
        <w:pStyle w:val="CM24"/>
        <w:spacing w:line="360" w:lineRule="auto"/>
        <w:ind w:firstLine="720"/>
        <w:rPr>
          <w:rStyle w:val="standardChar"/>
        </w:rPr>
      </w:pPr>
      <w:r>
        <w:rPr>
          <w:rStyle w:val="standardChar"/>
        </w:rPr>
        <w:t xml:space="preserve">The Settlement is binding on all parties to the proceeding. </w:t>
      </w:r>
      <w:r w:rsidR="0010078B">
        <w:rPr>
          <w:rStyle w:val="standardChar"/>
        </w:rPr>
        <w:t xml:space="preserve"> </w:t>
      </w:r>
      <w:r>
        <w:rPr>
          <w:rStyle w:val="standardChar"/>
        </w:rPr>
        <w:t xml:space="preserve">However, pursuant to Rule 12.5, the Settlement does not bind or otherwise impose a precedent in this or any future proceeding.  We specifically note, therefore, that Applicants must not presume in any subsequent application that the Commission would deem the outcome adopted herein to be presumed reasonable and they must, therefore, fully justify every request and ratemaking proposal without reference to, or reliance on, the adoption of the Settlement.  </w:t>
      </w:r>
    </w:p>
    <w:p w14:paraId="03210BF7" w14:textId="77777777" w:rsidR="000D3AC6" w:rsidRDefault="000D3AC6" w:rsidP="00942F62">
      <w:pPr>
        <w:pStyle w:val="standard"/>
        <w:rPr>
          <w:rStyle w:val="standardChar"/>
        </w:rPr>
      </w:pPr>
      <w:r>
        <w:t xml:space="preserve">Finally, the Settlement provides </w:t>
      </w:r>
      <w:r w:rsidRPr="00DD30EB">
        <w:rPr>
          <w:rStyle w:val="standardChar"/>
        </w:rPr>
        <w:t xml:space="preserve">a return on equity for </w:t>
      </w:r>
      <w:r w:rsidR="00942F62">
        <w:rPr>
          <w:rStyle w:val="standardChar"/>
        </w:rPr>
        <w:t>the Applicants</w:t>
      </w:r>
      <w:r w:rsidRPr="00DD30EB">
        <w:rPr>
          <w:rStyle w:val="standardChar"/>
        </w:rPr>
        <w:t xml:space="preserve"> that sufficient to permit the company to raise enough capital to </w:t>
      </w:r>
      <w:r w:rsidR="00942F62">
        <w:rPr>
          <w:rStyle w:val="standardChar"/>
        </w:rPr>
        <w:t xml:space="preserve">continue to </w:t>
      </w:r>
      <w:r w:rsidRPr="00DD30EB">
        <w:rPr>
          <w:rStyle w:val="standardChar"/>
        </w:rPr>
        <w:t xml:space="preserve">provide </w:t>
      </w:r>
      <w:r>
        <w:rPr>
          <w:rStyle w:val="standardChar"/>
        </w:rPr>
        <w:t xml:space="preserve">safe, </w:t>
      </w:r>
      <w:r w:rsidRPr="00DD30EB">
        <w:rPr>
          <w:rStyle w:val="standardChar"/>
        </w:rPr>
        <w:t>reliabl</w:t>
      </w:r>
      <w:r>
        <w:rPr>
          <w:rStyle w:val="standardChar"/>
        </w:rPr>
        <w:t>e service at reasonable rates</w:t>
      </w:r>
      <w:r w:rsidR="00C12A28">
        <w:rPr>
          <w:rStyle w:val="standardChar"/>
        </w:rPr>
        <w:t>.</w:t>
      </w:r>
    </w:p>
    <w:p w14:paraId="70EB1A19" w14:textId="77777777" w:rsidR="00E246E0" w:rsidRPr="00824995" w:rsidRDefault="00E246E0" w:rsidP="00E246E0">
      <w:pPr>
        <w:pStyle w:val="Heading1"/>
        <w:keepLines/>
        <w:widowControl w:val="0"/>
        <w:numPr>
          <w:ilvl w:val="0"/>
          <w:numId w:val="14"/>
        </w:numPr>
        <w:ind w:right="720" w:hanging="720"/>
        <w:rPr>
          <w:szCs w:val="20"/>
        </w:rPr>
      </w:pPr>
      <w:bookmarkStart w:id="21" w:name="_Toc356978435"/>
      <w:r w:rsidRPr="00EA251D">
        <w:lastRenderedPageBreak/>
        <w:t>Admission of Exhibits into Evidence</w:t>
      </w:r>
      <w:bookmarkEnd w:id="21"/>
      <w:r w:rsidRPr="00EA251D">
        <w:t xml:space="preserve"> </w:t>
      </w:r>
    </w:p>
    <w:p w14:paraId="2E403983" w14:textId="25B341E9" w:rsidR="00E246E0" w:rsidRDefault="00E246E0" w:rsidP="00E246E0">
      <w:pPr>
        <w:pStyle w:val="standard"/>
        <w:keepNext/>
        <w:keepLines/>
      </w:pPr>
      <w:r>
        <w:t xml:space="preserve">By individual motions Applicants asked that their previously served testimony be identified and marked by the ALJ as per their exhibit lists, and admitted into evidence.  The individual motions of the parties that their previously served testimony be identified and marked as exhibits, and moved into evidence, are granted.  </w:t>
      </w:r>
      <w:r w:rsidRPr="002D5B59">
        <w:t xml:space="preserve">All </w:t>
      </w:r>
      <w:r>
        <w:t xml:space="preserve">exhibits </w:t>
      </w:r>
      <w:r w:rsidRPr="002D5B59">
        <w:t>are hereby admitted into evidence.</w:t>
      </w:r>
    </w:p>
    <w:p w14:paraId="2EDF207F" w14:textId="77777777" w:rsidR="00E246E0" w:rsidRPr="00824995" w:rsidRDefault="00E246E0" w:rsidP="00E246E0">
      <w:pPr>
        <w:pStyle w:val="Heading1"/>
        <w:keepNext w:val="0"/>
        <w:widowControl w:val="0"/>
        <w:numPr>
          <w:ilvl w:val="0"/>
          <w:numId w:val="14"/>
        </w:numPr>
        <w:ind w:right="720" w:hanging="720"/>
        <w:rPr>
          <w:szCs w:val="20"/>
        </w:rPr>
      </w:pPr>
      <w:bookmarkStart w:id="22" w:name="_Toc356978436"/>
      <w:r>
        <w:t>Categorization and Need for Hearings</w:t>
      </w:r>
      <w:bookmarkEnd w:id="22"/>
    </w:p>
    <w:p w14:paraId="40EE7D08" w14:textId="77777777" w:rsidR="00E246E0" w:rsidRPr="002D5B59" w:rsidRDefault="00E246E0" w:rsidP="00E246E0">
      <w:pPr>
        <w:pStyle w:val="standard"/>
      </w:pPr>
      <w:r w:rsidRPr="002D5B59">
        <w:t>These proceedings were initially categorized as “Ratesetting” and it was preliminarily determined that hearings are required.  We affirm the categorization.</w:t>
      </w:r>
    </w:p>
    <w:p w14:paraId="25D4A307" w14:textId="77777777" w:rsidR="00D85665" w:rsidRPr="00824995" w:rsidRDefault="002D2274" w:rsidP="0010078B">
      <w:pPr>
        <w:pStyle w:val="Heading1"/>
        <w:keepLines/>
        <w:widowControl w:val="0"/>
        <w:numPr>
          <w:ilvl w:val="0"/>
          <w:numId w:val="14"/>
        </w:numPr>
        <w:ind w:right="720" w:hanging="720"/>
        <w:rPr>
          <w:szCs w:val="20"/>
        </w:rPr>
      </w:pPr>
      <w:bookmarkStart w:id="23" w:name="_Toc356978437"/>
      <w:r>
        <w:t>Reduction of Comment Period</w:t>
      </w:r>
      <w:bookmarkEnd w:id="23"/>
      <w:r w:rsidR="000A06C7" w:rsidRPr="00EA251D">
        <w:t xml:space="preserve"> </w:t>
      </w:r>
    </w:p>
    <w:p w14:paraId="697F0209" w14:textId="1CEDE695" w:rsidR="00D85665" w:rsidRDefault="00D85665" w:rsidP="0010078B">
      <w:pPr>
        <w:pStyle w:val="standard"/>
        <w:keepNext/>
        <w:keepLines/>
      </w:pPr>
      <w:r w:rsidRPr="000A06C7">
        <w:t>Commission Rule 14.3 authorizes parties to submit comments on a proposed decision within 20 days of its service on the parties, an</w:t>
      </w:r>
      <w:r w:rsidR="007679B3">
        <w:t>d allows reply comments five</w:t>
      </w:r>
      <w:r w:rsidRPr="000A06C7">
        <w:t xml:space="preserve"> days later. </w:t>
      </w:r>
      <w:r w:rsidR="000D57F8">
        <w:t xml:space="preserve"> </w:t>
      </w:r>
      <w:r w:rsidR="0010078B">
        <w:t xml:space="preserve"> </w:t>
      </w:r>
      <w:r w:rsidRPr="000A06C7">
        <w:t xml:space="preserve">Consistent with Rule 14.6(c)(2) and due to the </w:t>
      </w:r>
      <w:r w:rsidR="0010078B">
        <w:br/>
      </w:r>
      <w:r w:rsidRPr="000A06C7">
        <w:t xml:space="preserve">all-party nature of the adopted </w:t>
      </w:r>
      <w:r w:rsidR="00A732E5">
        <w:t>Settlement</w:t>
      </w:r>
      <w:r w:rsidRPr="000A06C7">
        <w:t>,  the initial commen</w:t>
      </w:r>
      <w:r w:rsidR="007679B3">
        <w:t xml:space="preserve">t period </w:t>
      </w:r>
      <w:r w:rsidR="00005CB7">
        <w:t xml:space="preserve">was shortened </w:t>
      </w:r>
      <w:r w:rsidR="007679B3">
        <w:t xml:space="preserve">to </w:t>
      </w:r>
      <w:r w:rsidR="00CB289D">
        <w:t>10</w:t>
      </w:r>
      <w:r w:rsidR="007679B3">
        <w:t xml:space="preserve"> days</w:t>
      </w:r>
      <w:r w:rsidR="00005CB7">
        <w:t xml:space="preserve"> with </w:t>
      </w:r>
      <w:r w:rsidR="007679B3">
        <w:t xml:space="preserve"> </w:t>
      </w:r>
      <w:r w:rsidR="00E60E09">
        <w:t>three</w:t>
      </w:r>
      <w:r w:rsidRPr="000A06C7">
        <w:t xml:space="preserve"> days for reply comments.</w:t>
      </w:r>
    </w:p>
    <w:p w14:paraId="487DF07B" w14:textId="77777777" w:rsidR="00685767" w:rsidRPr="000A06C7" w:rsidRDefault="00685767" w:rsidP="0010078B">
      <w:pPr>
        <w:pStyle w:val="standard"/>
        <w:keepNext/>
        <w:keepLines/>
      </w:pPr>
      <w:r>
        <w:t>Initial Comments were filed by DRA, Park, Apple Valley Ranchos Water Company</w:t>
      </w:r>
      <w:r w:rsidR="00005CB7">
        <w:t xml:space="preserve"> and</w:t>
      </w:r>
      <w:r>
        <w:t xml:space="preserve"> San Gabriel</w:t>
      </w:r>
      <w:r w:rsidR="00005CB7">
        <w:t>.  The decision was revised as needed based on the comments of Parties.</w:t>
      </w:r>
      <w:r>
        <w:t xml:space="preserve"> </w:t>
      </w:r>
    </w:p>
    <w:p w14:paraId="745ED645" w14:textId="77777777" w:rsidR="00D85665" w:rsidRPr="00EA251D" w:rsidRDefault="002D5B59" w:rsidP="00EA251D">
      <w:pPr>
        <w:pStyle w:val="Heading1"/>
        <w:numPr>
          <w:ilvl w:val="0"/>
          <w:numId w:val="14"/>
        </w:numPr>
        <w:tabs>
          <w:tab w:val="clear" w:pos="720"/>
        </w:tabs>
        <w:ind w:left="360"/>
      </w:pPr>
      <w:bookmarkStart w:id="24" w:name="_Toc356978438"/>
      <w:r w:rsidRPr="00EA251D">
        <w:t>Assignment of Proceeding</w:t>
      </w:r>
      <w:bookmarkEnd w:id="24"/>
    </w:p>
    <w:p w14:paraId="754F0229" w14:textId="77777777" w:rsidR="00D85665" w:rsidRPr="002D5B59" w:rsidRDefault="00A62844" w:rsidP="002D5B59">
      <w:pPr>
        <w:pStyle w:val="standard"/>
      </w:pPr>
      <w:r>
        <w:t>The a</w:t>
      </w:r>
      <w:r w:rsidR="00D85665" w:rsidRPr="002D5B59">
        <w:t>ssigned Commissioner for this proc</w:t>
      </w:r>
      <w:r>
        <w:t>eeding is Mark J. Ferron.  The a</w:t>
      </w:r>
      <w:r w:rsidR="00D85665" w:rsidRPr="002D5B59">
        <w:t xml:space="preserve">ssigned ALJ is </w:t>
      </w:r>
      <w:r w:rsidR="004117EA">
        <w:t>Linda A. Rochester</w:t>
      </w:r>
      <w:r w:rsidR="00D85665" w:rsidRPr="002D5B59">
        <w:t>.</w:t>
      </w:r>
    </w:p>
    <w:p w14:paraId="64348A30" w14:textId="77777777" w:rsidR="00D85665" w:rsidRPr="00824995" w:rsidRDefault="004E1908" w:rsidP="00824995">
      <w:pPr>
        <w:pStyle w:val="dummy"/>
        <w:rPr>
          <w:b w:val="0"/>
          <w:szCs w:val="20"/>
        </w:rPr>
      </w:pPr>
      <w:bookmarkStart w:id="25" w:name="_Toc356978439"/>
      <w:r>
        <w:t>Findings o</w:t>
      </w:r>
      <w:r w:rsidR="001753FC" w:rsidRPr="002D5B59">
        <w:t>f Fact</w:t>
      </w:r>
      <w:bookmarkEnd w:id="25"/>
    </w:p>
    <w:p w14:paraId="4EA631B2" w14:textId="77777777" w:rsidR="004117EA" w:rsidRDefault="004117EA" w:rsidP="007679B3">
      <w:pPr>
        <w:pStyle w:val="num1"/>
        <w:numPr>
          <w:ilvl w:val="0"/>
          <w:numId w:val="17"/>
        </w:numPr>
      </w:pPr>
      <w:r>
        <w:t xml:space="preserve">On November </w:t>
      </w:r>
      <w:r w:rsidR="002F5834">
        <w:t>28, 2012, the Parties filed a j</w:t>
      </w:r>
      <w:r>
        <w:t>oint motion for adoption of a Settlement</w:t>
      </w:r>
      <w:r w:rsidR="00521C88">
        <w:t xml:space="preserve"> on the Cost of Capital issues in this proceeding. </w:t>
      </w:r>
    </w:p>
    <w:p w14:paraId="58CD66D5" w14:textId="77777777" w:rsidR="00521C88" w:rsidRDefault="00521C88" w:rsidP="007679B3">
      <w:pPr>
        <w:pStyle w:val="num1"/>
        <w:numPr>
          <w:ilvl w:val="0"/>
          <w:numId w:val="17"/>
        </w:numPr>
      </w:pPr>
      <w:r>
        <w:lastRenderedPageBreak/>
        <w:t xml:space="preserve">The record for the Settlement is composed of the application, testimony of the parties and all other filings.  </w:t>
      </w:r>
    </w:p>
    <w:p w14:paraId="5AEEEC2B" w14:textId="77777777" w:rsidR="00521C88" w:rsidRDefault="00521C88" w:rsidP="007679B3">
      <w:pPr>
        <w:pStyle w:val="num1"/>
        <w:numPr>
          <w:ilvl w:val="0"/>
          <w:numId w:val="17"/>
        </w:numPr>
      </w:pPr>
      <w:r>
        <w:t>The Parties to the Settlement have a sound and thorough understanding of the issues, and all of the underlying assumptions and data and could therefore make informed decisions in the settlement process.</w:t>
      </w:r>
    </w:p>
    <w:p w14:paraId="1AE711F4" w14:textId="77777777" w:rsidR="00521C88" w:rsidRDefault="00521C88" w:rsidP="007679B3">
      <w:pPr>
        <w:pStyle w:val="num1"/>
        <w:numPr>
          <w:ilvl w:val="0"/>
          <w:numId w:val="17"/>
        </w:numPr>
      </w:pPr>
      <w:r>
        <w:t xml:space="preserve">The Settlement is the product of good-faith, arms’ length negotiation between the Parties reflecting all of the affected interests.  </w:t>
      </w:r>
    </w:p>
    <w:p w14:paraId="2DA8796F" w14:textId="77777777" w:rsidR="00521C88" w:rsidRDefault="002F5834" w:rsidP="007679B3">
      <w:pPr>
        <w:pStyle w:val="num1"/>
        <w:numPr>
          <w:ilvl w:val="0"/>
          <w:numId w:val="17"/>
        </w:numPr>
      </w:pPr>
      <w:r>
        <w:t>The S</w:t>
      </w:r>
      <w:r w:rsidR="00521C88">
        <w:t xml:space="preserve">ettlement is a balanced, good faith compromise between the original positions as otherwise litigated in the prepared testimony of the Parties.  </w:t>
      </w:r>
    </w:p>
    <w:p w14:paraId="33476F37" w14:textId="77777777" w:rsidR="00CF4263" w:rsidRDefault="00521C88" w:rsidP="00521C88">
      <w:pPr>
        <w:pStyle w:val="num1"/>
        <w:numPr>
          <w:ilvl w:val="0"/>
          <w:numId w:val="17"/>
        </w:numPr>
      </w:pPr>
      <w:r>
        <w:t xml:space="preserve">The Settlement authorizes a return on equity sufficient to permit the Applicants to raise enough capital to provide safe, reliable water service at reasonable rates. </w:t>
      </w:r>
    </w:p>
    <w:p w14:paraId="56826D4B" w14:textId="77777777" w:rsidR="00CF4263" w:rsidRDefault="00CF4263" w:rsidP="00521C88">
      <w:pPr>
        <w:pStyle w:val="num1"/>
        <w:numPr>
          <w:ilvl w:val="0"/>
          <w:numId w:val="17"/>
        </w:numPr>
      </w:pPr>
      <w:r>
        <w:t>Great Oaks has no actual debt.</w:t>
      </w:r>
    </w:p>
    <w:p w14:paraId="64A7A7B1" w14:textId="77777777" w:rsidR="00CF4263" w:rsidRDefault="00CF4263" w:rsidP="00521C88">
      <w:pPr>
        <w:pStyle w:val="num1"/>
        <w:numPr>
          <w:ilvl w:val="0"/>
          <w:numId w:val="17"/>
        </w:numPr>
      </w:pPr>
      <w:r>
        <w:t xml:space="preserve">The Settlement imputed a capital structure of 30 percent long-term debt, </w:t>
      </w:r>
      <w:r w:rsidR="0010078B">
        <w:br/>
      </w:r>
      <w:r>
        <w:t>70 percent common equity and 7.5 percent as the cost of debt for Great Oaks.</w:t>
      </w:r>
    </w:p>
    <w:p w14:paraId="0ED91C27" w14:textId="77777777" w:rsidR="00521C88" w:rsidRDefault="00CF4263" w:rsidP="00521C88">
      <w:pPr>
        <w:pStyle w:val="num1"/>
        <w:numPr>
          <w:ilvl w:val="0"/>
          <w:numId w:val="17"/>
        </w:numPr>
      </w:pPr>
      <w:r>
        <w:t xml:space="preserve">If Great Oaks were to incur actual debt, the additional costs associated with issuing debt would not be accurately captured in </w:t>
      </w:r>
      <w:r w:rsidR="002F5834">
        <w:t xml:space="preserve">its </w:t>
      </w:r>
      <w:r>
        <w:t xml:space="preserve">revenue requirement.   </w:t>
      </w:r>
      <w:r w:rsidR="00521C88">
        <w:t xml:space="preserve">  </w:t>
      </w:r>
    </w:p>
    <w:p w14:paraId="3A19B865" w14:textId="77777777" w:rsidR="00D85665" w:rsidRPr="000F1F67" w:rsidRDefault="00521C88" w:rsidP="008D00CC">
      <w:pPr>
        <w:pStyle w:val="num1"/>
        <w:numPr>
          <w:ilvl w:val="0"/>
          <w:numId w:val="17"/>
        </w:numPr>
        <w:ind w:firstLine="180"/>
      </w:pPr>
      <w:r>
        <w:t>No comments on the Settlement were filed</w:t>
      </w:r>
      <w:r w:rsidR="00E93BEE">
        <w:t>.</w:t>
      </w:r>
    </w:p>
    <w:p w14:paraId="07C3C553" w14:textId="77777777" w:rsidR="00D85665" w:rsidRPr="00824995" w:rsidRDefault="001753FC" w:rsidP="00824995">
      <w:pPr>
        <w:pStyle w:val="dummy"/>
        <w:rPr>
          <w:b w:val="0"/>
          <w:szCs w:val="20"/>
        </w:rPr>
      </w:pPr>
      <w:bookmarkStart w:id="26" w:name="_Toc356978440"/>
      <w:r w:rsidRPr="000F1F67">
        <w:t>Conclusio</w:t>
      </w:r>
      <w:r w:rsidR="004E1908">
        <w:t>ns o</w:t>
      </w:r>
      <w:r w:rsidRPr="000F1F67">
        <w:t>f Law</w:t>
      </w:r>
      <w:bookmarkEnd w:id="26"/>
    </w:p>
    <w:p w14:paraId="7C75B154" w14:textId="77777777" w:rsidR="004117EA" w:rsidRDefault="004117EA" w:rsidP="0010078B">
      <w:pPr>
        <w:pStyle w:val="num1"/>
        <w:numPr>
          <w:ilvl w:val="0"/>
          <w:numId w:val="18"/>
        </w:numPr>
        <w:tabs>
          <w:tab w:val="clear" w:pos="-720"/>
        </w:tabs>
        <w:ind w:left="90" w:firstLine="270"/>
      </w:pPr>
      <w:r>
        <w:t>The Applicants bear the burden of proof to show that their requests are reasonable.</w:t>
      </w:r>
    </w:p>
    <w:p w14:paraId="4A20DBDA" w14:textId="6DB39EE5" w:rsidR="00D85665" w:rsidRDefault="00D85665" w:rsidP="0010078B">
      <w:pPr>
        <w:pStyle w:val="num1"/>
        <w:numPr>
          <w:ilvl w:val="0"/>
          <w:numId w:val="18"/>
        </w:numPr>
      </w:pPr>
      <w:r w:rsidRPr="000F1F67">
        <w:t xml:space="preserve">The </w:t>
      </w:r>
      <w:r w:rsidR="004117EA">
        <w:t>Settlement</w:t>
      </w:r>
      <w:r w:rsidRPr="000F1F67">
        <w:t xml:space="preserve"> is reasonable </w:t>
      </w:r>
      <w:r w:rsidR="00D8110F">
        <w:t xml:space="preserve">because </w:t>
      </w:r>
      <w:r w:rsidR="00EC17E3">
        <w:t xml:space="preserve">it </w:t>
      </w:r>
      <w:r w:rsidR="00D8110F">
        <w:t>fairly balances the interests of the Applicants and ratepayers.</w:t>
      </w:r>
    </w:p>
    <w:p w14:paraId="699F0918" w14:textId="77777777" w:rsidR="00D8110F" w:rsidRPr="000F1F67" w:rsidRDefault="00D8110F" w:rsidP="007679B3">
      <w:pPr>
        <w:pStyle w:val="num1"/>
        <w:numPr>
          <w:ilvl w:val="0"/>
          <w:numId w:val="18"/>
        </w:numPr>
      </w:pPr>
      <w:r>
        <w:t xml:space="preserve">The Settlement is reasonable in light of the whole record.  </w:t>
      </w:r>
    </w:p>
    <w:p w14:paraId="152CC1D3" w14:textId="77777777" w:rsidR="00D85665" w:rsidRPr="000F1F67" w:rsidRDefault="00D85665" w:rsidP="0010078B">
      <w:pPr>
        <w:pStyle w:val="num1"/>
        <w:numPr>
          <w:ilvl w:val="0"/>
          <w:numId w:val="18"/>
        </w:numPr>
      </w:pPr>
      <w:r w:rsidRPr="000F1F67">
        <w:t xml:space="preserve">The </w:t>
      </w:r>
      <w:r w:rsidR="004117EA">
        <w:t>Settlement</w:t>
      </w:r>
      <w:r w:rsidRPr="000F1F67">
        <w:t xml:space="preserve"> </w:t>
      </w:r>
      <w:r w:rsidR="00D8110F">
        <w:t xml:space="preserve">is consistent with the law and </w:t>
      </w:r>
      <w:r w:rsidRPr="000F1F67">
        <w:t xml:space="preserve">does not </w:t>
      </w:r>
      <w:r w:rsidR="00D8110F">
        <w:t xml:space="preserve">contravene or compromise any statutory provisions or prior Commission decisions. </w:t>
      </w:r>
    </w:p>
    <w:p w14:paraId="711488E7" w14:textId="77777777" w:rsidR="00D85665" w:rsidRPr="000F1F67" w:rsidRDefault="00D85665" w:rsidP="007679B3">
      <w:pPr>
        <w:pStyle w:val="num1"/>
        <w:numPr>
          <w:ilvl w:val="0"/>
          <w:numId w:val="18"/>
        </w:numPr>
      </w:pPr>
      <w:r w:rsidRPr="000F1F67">
        <w:lastRenderedPageBreak/>
        <w:t xml:space="preserve">The </w:t>
      </w:r>
      <w:r w:rsidR="004117EA">
        <w:t>Settlement</w:t>
      </w:r>
      <w:r w:rsidRPr="000F1F67">
        <w:t xml:space="preserve"> taken as a whole is in the public interest.</w:t>
      </w:r>
    </w:p>
    <w:p w14:paraId="3BD4EA2C" w14:textId="77777777" w:rsidR="00D85665" w:rsidRDefault="00D85665" w:rsidP="0010078B">
      <w:pPr>
        <w:pStyle w:val="num1"/>
        <w:numPr>
          <w:ilvl w:val="0"/>
          <w:numId w:val="18"/>
        </w:numPr>
      </w:pPr>
      <w:r w:rsidRPr="00EA251D">
        <w:t xml:space="preserve">The </w:t>
      </w:r>
      <w:r w:rsidR="004117EA">
        <w:t>Settlement</w:t>
      </w:r>
      <w:r w:rsidRPr="00EA251D">
        <w:t xml:space="preserve"> meets the criteria for approval of settlements in </w:t>
      </w:r>
      <w:r w:rsidR="00E93BEE">
        <w:t>Rule </w:t>
      </w:r>
      <w:r w:rsidRPr="00EA251D">
        <w:t>12(1)(d).</w:t>
      </w:r>
    </w:p>
    <w:p w14:paraId="7228752B" w14:textId="27818768" w:rsidR="00B13F3F" w:rsidRDefault="006519BC" w:rsidP="0010078B">
      <w:pPr>
        <w:pStyle w:val="num1"/>
        <w:numPr>
          <w:ilvl w:val="0"/>
          <w:numId w:val="18"/>
        </w:numPr>
      </w:pPr>
      <w:r>
        <w:t>Great Oaks should be authorized to establish a</w:t>
      </w:r>
      <w:r w:rsidR="00B13F3F">
        <w:t xml:space="preserve"> Debt Issuance Memorandum Account</w:t>
      </w:r>
      <w:r>
        <w:t xml:space="preserve"> to record and request recovery of any additional costs associated with issuing debt during the period governed by the Settlement, that were not captured in the Settlement’s imputed cost of debt.</w:t>
      </w:r>
      <w:r w:rsidR="00B13F3F">
        <w:t xml:space="preserve">  </w:t>
      </w:r>
    </w:p>
    <w:p w14:paraId="1523F500" w14:textId="77777777" w:rsidR="004117EA" w:rsidRDefault="00D85665" w:rsidP="00824995">
      <w:pPr>
        <w:pStyle w:val="num1"/>
        <w:numPr>
          <w:ilvl w:val="0"/>
          <w:numId w:val="18"/>
        </w:numPr>
        <w:ind w:left="720" w:hanging="360"/>
      </w:pPr>
      <w:r w:rsidRPr="00EA251D">
        <w:t xml:space="preserve">The </w:t>
      </w:r>
      <w:r w:rsidR="002F5834">
        <w:t>m</w:t>
      </w:r>
      <w:r w:rsidR="004117EA">
        <w:t>otion of the Parties for adoption of the Settlement</w:t>
      </w:r>
      <w:r w:rsidRPr="00EA251D">
        <w:t xml:space="preserve"> should be </w:t>
      </w:r>
      <w:r w:rsidR="004117EA">
        <w:t>granted.</w:t>
      </w:r>
    </w:p>
    <w:p w14:paraId="1F7AB693" w14:textId="77777777" w:rsidR="00757CF0" w:rsidRDefault="00757CF0" w:rsidP="00824995">
      <w:pPr>
        <w:pStyle w:val="num1"/>
        <w:numPr>
          <w:ilvl w:val="0"/>
          <w:numId w:val="18"/>
        </w:numPr>
        <w:ind w:left="720" w:hanging="360"/>
      </w:pPr>
      <w:r>
        <w:t>Hearings are not necessary.</w:t>
      </w:r>
    </w:p>
    <w:p w14:paraId="41BAFA5F" w14:textId="77777777" w:rsidR="00D85665" w:rsidRPr="00EA251D" w:rsidRDefault="00D85665" w:rsidP="004117EA">
      <w:pPr>
        <w:pStyle w:val="num1"/>
        <w:keepNext/>
        <w:keepLines/>
        <w:ind w:left="360" w:firstLine="0"/>
      </w:pPr>
    </w:p>
    <w:p w14:paraId="3D23E79A" w14:textId="77777777" w:rsidR="00E93BEE" w:rsidRDefault="00E93BEE" w:rsidP="00C679AA">
      <w:pPr>
        <w:pStyle w:val="mainex"/>
        <w:keepNext/>
        <w:keepLines/>
      </w:pPr>
    </w:p>
    <w:p w14:paraId="2578D7AA" w14:textId="77777777" w:rsidR="00B30FF9" w:rsidRDefault="00B30FF9" w:rsidP="00824995">
      <w:pPr>
        <w:pStyle w:val="mainex"/>
      </w:pPr>
      <w:bookmarkStart w:id="27" w:name="_Toc356978441"/>
      <w:r>
        <w:t>ORDER</w:t>
      </w:r>
      <w:bookmarkEnd w:id="3"/>
      <w:bookmarkEnd w:id="4"/>
      <w:bookmarkEnd w:id="5"/>
      <w:bookmarkEnd w:id="27"/>
    </w:p>
    <w:bookmarkEnd w:id="6"/>
    <w:bookmarkEnd w:id="7"/>
    <w:p w14:paraId="27F64AA2" w14:textId="77777777" w:rsidR="00B30FF9" w:rsidRDefault="00B30FF9" w:rsidP="00C679AA">
      <w:pPr>
        <w:pStyle w:val="Quote1"/>
        <w:keepNext/>
        <w:keepLines/>
      </w:pPr>
    </w:p>
    <w:p w14:paraId="2E99F355" w14:textId="77777777" w:rsidR="00B30FF9" w:rsidRDefault="000F1F67" w:rsidP="00824995">
      <w:pPr>
        <w:pStyle w:val="standard"/>
        <w:keepNext/>
      </w:pPr>
      <w:r w:rsidRPr="000F1F67">
        <w:t>Therefore</w:t>
      </w:r>
      <w:r>
        <w:rPr>
          <w:b/>
        </w:rPr>
        <w:t xml:space="preserve"> </w:t>
      </w:r>
      <w:r w:rsidR="00B30FF9">
        <w:rPr>
          <w:b/>
        </w:rPr>
        <w:t>IT IS ORDERED</w:t>
      </w:r>
      <w:r w:rsidR="00B30FF9">
        <w:t xml:space="preserve"> that:</w:t>
      </w:r>
      <w:r>
        <w:t xml:space="preserve">  </w:t>
      </w:r>
    </w:p>
    <w:p w14:paraId="6318CC7C" w14:textId="77777777" w:rsidR="000F1F67" w:rsidRPr="002D2274" w:rsidRDefault="000F1F67" w:rsidP="002D2274">
      <w:pPr>
        <w:pStyle w:val="num1"/>
        <w:numPr>
          <w:ilvl w:val="0"/>
          <w:numId w:val="29"/>
        </w:numPr>
        <w:ind w:left="0" w:firstLine="360"/>
      </w:pPr>
      <w:r w:rsidRPr="002D2274">
        <w:t xml:space="preserve">The </w:t>
      </w:r>
      <w:r w:rsidR="00D8110F" w:rsidRPr="002D2274">
        <w:t xml:space="preserve">joint motion of Park Water Company and Apple Valley Ranchos Water Company, jointly, San Gabriel Valley Water Company, Suburban Water Systems, Great Oaks Water Company and the Division of Ratepayer to adopt a Settlement Agreement is granted.  </w:t>
      </w:r>
    </w:p>
    <w:p w14:paraId="49698B43" w14:textId="77777777" w:rsidR="000F1F67" w:rsidRPr="002D2274" w:rsidRDefault="000F1F67" w:rsidP="002D2274">
      <w:pPr>
        <w:pStyle w:val="num1"/>
        <w:numPr>
          <w:ilvl w:val="0"/>
          <w:numId w:val="29"/>
        </w:numPr>
        <w:ind w:left="0" w:firstLine="360"/>
      </w:pPr>
      <w:r w:rsidRPr="002D2274">
        <w:t>The capital costs and capit</w:t>
      </w:r>
      <w:r w:rsidR="003A2D1D" w:rsidRPr="002D2274">
        <w:t>al structures set out in Table I</w:t>
      </w:r>
      <w:r w:rsidRPr="002D2274">
        <w:t xml:space="preserve"> </w:t>
      </w:r>
      <w:r w:rsidR="003A114D" w:rsidRPr="002D2274">
        <w:t>of this decision</w:t>
      </w:r>
      <w:r w:rsidRPr="002D2274">
        <w:t xml:space="preserve"> are approved.</w:t>
      </w:r>
    </w:p>
    <w:p w14:paraId="7110577D" w14:textId="0A65420B" w:rsidR="00757CF0" w:rsidRPr="002D2274" w:rsidRDefault="00757CF0" w:rsidP="002D2274">
      <w:pPr>
        <w:pStyle w:val="num1"/>
        <w:numPr>
          <w:ilvl w:val="0"/>
          <w:numId w:val="29"/>
        </w:numPr>
        <w:ind w:left="0" w:firstLine="360"/>
      </w:pPr>
      <w:r w:rsidRPr="002D2274">
        <w:t>No later than five days after the issuance of this decision Park Water Company</w:t>
      </w:r>
      <w:r w:rsidR="00EC17E3">
        <w:t>,</w:t>
      </w:r>
      <w:r w:rsidRPr="002D2274">
        <w:t xml:space="preserve"> Apple Valley Ranchos Water Company, San Gabriel Valley Water Company, Suburban Water Systems, </w:t>
      </w:r>
      <w:r w:rsidR="00EC17E3">
        <w:t xml:space="preserve">and </w:t>
      </w:r>
      <w:r w:rsidRPr="002D2274">
        <w:t xml:space="preserve">Great Oaks Water Company shall file a Tier 1 advice letter to change rates </w:t>
      </w:r>
      <w:r w:rsidR="002D2274">
        <w:t xml:space="preserve">pursuant to the new authorized </w:t>
      </w:r>
      <w:r w:rsidRPr="002D2274">
        <w:t>rate of return.</w:t>
      </w:r>
    </w:p>
    <w:p w14:paraId="1AF9418F" w14:textId="77777777" w:rsidR="00BD3A9A" w:rsidRPr="002D2274" w:rsidRDefault="00082C43" w:rsidP="002D2274">
      <w:pPr>
        <w:pStyle w:val="num1"/>
        <w:numPr>
          <w:ilvl w:val="0"/>
          <w:numId w:val="29"/>
        </w:numPr>
        <w:ind w:left="0" w:firstLine="360"/>
      </w:pPr>
      <w:r w:rsidRPr="002D2274">
        <w:t xml:space="preserve">Great Oaks Water Company is authorized to file a Tier 1 </w:t>
      </w:r>
      <w:r w:rsidR="006E748D" w:rsidRPr="002D2274">
        <w:t xml:space="preserve">advice letter </w:t>
      </w:r>
      <w:r w:rsidRPr="002D2274">
        <w:t>to establish a Debt Issuance Memorandum Account to record and request r</w:t>
      </w:r>
      <w:r w:rsidR="00BD3A9A" w:rsidRPr="002D2274">
        <w:t xml:space="preserve">ecovery </w:t>
      </w:r>
      <w:r w:rsidR="00BD3A9A" w:rsidRPr="002D2274">
        <w:lastRenderedPageBreak/>
        <w:t>of any additional costs</w:t>
      </w:r>
      <w:r w:rsidRPr="002D2274">
        <w:t xml:space="preserve"> associated with issuing debt</w:t>
      </w:r>
      <w:r w:rsidR="00365F2D" w:rsidRPr="002D2274">
        <w:t>,</w:t>
      </w:r>
      <w:r w:rsidRPr="002D2274">
        <w:t xml:space="preserve"> during the period governed by the Settlement, that were not captured in the Settlement’s imputed cost of debt. </w:t>
      </w:r>
    </w:p>
    <w:p w14:paraId="6754DB0C" w14:textId="77777777" w:rsidR="00082C43" w:rsidRPr="002D2274" w:rsidRDefault="00BD3A9A" w:rsidP="002D2274">
      <w:pPr>
        <w:pStyle w:val="num1"/>
        <w:numPr>
          <w:ilvl w:val="0"/>
          <w:numId w:val="29"/>
        </w:numPr>
        <w:ind w:left="0" w:firstLine="360"/>
      </w:pPr>
      <w:r w:rsidRPr="002D2274">
        <w:t xml:space="preserve">Great Oaks Water Company’s current tariff rates authorized by </w:t>
      </w:r>
      <w:r w:rsidR="0010078B">
        <w:br/>
      </w:r>
      <w:r w:rsidRPr="002D2274">
        <w:t>Decision 10-12-057 shall remain in effect until June 30, 2013,</w:t>
      </w:r>
      <w:r w:rsidR="00082C43" w:rsidRPr="002D2274">
        <w:t xml:space="preserve"> </w:t>
      </w:r>
      <w:r w:rsidRPr="002D2274">
        <w:t>at which time the return on equity, return on rate base</w:t>
      </w:r>
      <w:r w:rsidR="00AB5311" w:rsidRPr="002D2274">
        <w:t>,</w:t>
      </w:r>
      <w:r w:rsidRPr="002D2274">
        <w:t xml:space="preserve"> and capital structure </w:t>
      </w:r>
      <w:r w:rsidR="00AB5311" w:rsidRPr="002D2274">
        <w:t xml:space="preserve">contained </w:t>
      </w:r>
      <w:r w:rsidRPr="002D2274">
        <w:t xml:space="preserve">in the Settlement </w:t>
      </w:r>
      <w:r w:rsidR="00AB5311" w:rsidRPr="002D2274">
        <w:t xml:space="preserve">Agreement </w:t>
      </w:r>
      <w:r w:rsidRPr="002D2274">
        <w:t xml:space="preserve">adopted herein shall become effective.  </w:t>
      </w:r>
    </w:p>
    <w:p w14:paraId="3D643BDE" w14:textId="7A076EFF" w:rsidR="000F1F67" w:rsidRPr="002D2274" w:rsidRDefault="00037DDC" w:rsidP="002D2274">
      <w:pPr>
        <w:pStyle w:val="num1"/>
        <w:numPr>
          <w:ilvl w:val="0"/>
          <w:numId w:val="29"/>
        </w:numPr>
        <w:ind w:left="0" w:firstLine="360"/>
      </w:pPr>
      <w:r w:rsidRPr="002D2274">
        <w:t xml:space="preserve">No later than </w:t>
      </w:r>
      <w:r w:rsidR="006E748D" w:rsidRPr="002D2274">
        <w:t xml:space="preserve">May </w:t>
      </w:r>
      <w:r w:rsidRPr="002D2274">
        <w:t>1, 2015</w:t>
      </w:r>
      <w:r w:rsidR="000F1F67" w:rsidRPr="002D2274">
        <w:t xml:space="preserve">, </w:t>
      </w:r>
      <w:r w:rsidRPr="002D2274">
        <w:t>Park Water Company</w:t>
      </w:r>
      <w:r w:rsidR="00EC17E3">
        <w:t>,</w:t>
      </w:r>
      <w:r w:rsidRPr="002D2274">
        <w:t xml:space="preserve"> Apple Valley Ranchos Water Company, San Gabriel Valley Water Company, Suburban Water Systems, and Great Oaks Water Company </w:t>
      </w:r>
      <w:r w:rsidR="000F1F67" w:rsidRPr="002D2274">
        <w:t xml:space="preserve">shall file new applications for approval of their costs of capital for the </w:t>
      </w:r>
      <w:r w:rsidR="00832A06">
        <w:t xml:space="preserve">next </w:t>
      </w:r>
      <w:r w:rsidR="000F1F67" w:rsidRPr="002D2274">
        <w:t xml:space="preserve">three-year </w:t>
      </w:r>
      <w:r w:rsidR="00832A06">
        <w:t>cycle.</w:t>
      </w:r>
    </w:p>
    <w:p w14:paraId="49598BB0" w14:textId="77777777" w:rsidR="000F1F67" w:rsidRPr="002D2274" w:rsidRDefault="00037DDC" w:rsidP="002D2274">
      <w:pPr>
        <w:pStyle w:val="num1"/>
        <w:numPr>
          <w:ilvl w:val="0"/>
          <w:numId w:val="29"/>
        </w:numPr>
      </w:pPr>
      <w:r w:rsidRPr="002D2274">
        <w:t>Applications 12-05-001, 12-05-002, 12</w:t>
      </w:r>
      <w:r w:rsidR="000F1F67" w:rsidRPr="002D2274">
        <w:t>-0</w:t>
      </w:r>
      <w:r w:rsidRPr="002D2274">
        <w:t>5-004 and 12-05-005</w:t>
      </w:r>
      <w:r w:rsidR="00EA251D" w:rsidRPr="002D2274">
        <w:t xml:space="preserve"> are closed.</w:t>
      </w:r>
    </w:p>
    <w:p w14:paraId="0B50C930" w14:textId="77777777" w:rsidR="007679B3" w:rsidRPr="002D5B59" w:rsidRDefault="007679B3" w:rsidP="00824995">
      <w:pPr>
        <w:pStyle w:val="standard"/>
      </w:pPr>
      <w:r>
        <w:t>This order is effective today.</w:t>
      </w:r>
    </w:p>
    <w:p w14:paraId="3542FFA5" w14:textId="77777777" w:rsidR="00B30FF9" w:rsidRDefault="00B30FF9">
      <w:pPr>
        <w:pStyle w:val="standard"/>
      </w:pPr>
      <w:r>
        <w:t xml:space="preserve">Dated </w:t>
      </w:r>
      <w:r>
        <w:rPr>
          <w:u w:val="single"/>
        </w:rPr>
        <w:tab/>
      </w:r>
      <w:r>
        <w:rPr>
          <w:u w:val="single"/>
        </w:rPr>
        <w:tab/>
      </w:r>
      <w:r>
        <w:rPr>
          <w:u w:val="single"/>
        </w:rPr>
        <w:tab/>
      </w:r>
      <w:r>
        <w:rPr>
          <w:u w:val="single"/>
        </w:rPr>
        <w:tab/>
      </w:r>
      <w:r>
        <w:rPr>
          <w:u w:val="single"/>
        </w:rPr>
        <w:tab/>
      </w:r>
      <w:r>
        <w:t>, at San Francisco, California</w:t>
      </w:r>
      <w:r w:rsidR="00EA251D">
        <w:t>.</w:t>
      </w:r>
    </w:p>
    <w:p w14:paraId="6656222C" w14:textId="77777777" w:rsidR="00B30FF9" w:rsidRDefault="00B30FF9">
      <w:pPr>
        <w:pStyle w:val="standard"/>
        <w:jc w:val="center"/>
      </w:pPr>
    </w:p>
    <w:sectPr w:rsidR="00B30FF9" w:rsidSect="00B6389E">
      <w:headerReference w:type="default" r:id="rId16"/>
      <w:headerReference w:type="first" r:id="rId17"/>
      <w:footerReference w:type="first" r:id="rId18"/>
      <w:pgSz w:w="12240" w:h="15840" w:code="1"/>
      <w:pgMar w:top="1152" w:right="1440" w:bottom="1440" w:left="1440"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91DCE" w14:textId="77777777" w:rsidR="00E246E0" w:rsidRDefault="00E246E0">
      <w:r>
        <w:separator/>
      </w:r>
    </w:p>
  </w:endnote>
  <w:endnote w:type="continuationSeparator" w:id="0">
    <w:p w14:paraId="0E96FE2F" w14:textId="77777777" w:rsidR="00E246E0" w:rsidRDefault="00E2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7EC97" w14:textId="77777777" w:rsidR="00D01EB5" w:rsidRDefault="00D01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31CD1" w14:textId="77777777" w:rsidR="00E246E0" w:rsidRPr="00B368BA" w:rsidRDefault="00E246E0" w:rsidP="00844C5C">
    <w:pPr>
      <w:pStyle w:val="Footer"/>
      <w:jc w:val="left"/>
      <w:rPr>
        <w:sz w:val="16"/>
        <w:szCs w:val="16"/>
      </w:rPr>
    </w:pPr>
    <w:r>
      <w:rPr>
        <w:sz w:val="16"/>
        <w:szCs w:val="16"/>
      </w:rPr>
      <w:tab/>
    </w:r>
    <w:r w:rsidRPr="00814A1A">
      <w:rPr>
        <w:szCs w:val="26"/>
      </w:rPr>
      <w:t xml:space="preserve">- </w:t>
    </w:r>
    <w:r>
      <w:rPr>
        <w:rStyle w:val="PageNumber"/>
      </w:rPr>
      <w:fldChar w:fldCharType="begin"/>
    </w:r>
    <w:r>
      <w:rPr>
        <w:rStyle w:val="PageNumber"/>
      </w:rPr>
      <w:instrText xml:space="preserve"> PAGE </w:instrText>
    </w:r>
    <w:r>
      <w:rPr>
        <w:rStyle w:val="PageNumber"/>
      </w:rPr>
      <w:fldChar w:fldCharType="separate"/>
    </w:r>
    <w:r w:rsidR="00B77C4B">
      <w:rPr>
        <w:rStyle w:val="PageNumber"/>
        <w:noProof/>
      </w:rPr>
      <w:t>22</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9BE5F" w14:textId="0A3A1D55" w:rsidR="00E246E0" w:rsidRDefault="00E246E0" w:rsidP="004A5C2A">
    <w:pPr>
      <w:pStyle w:val="Footer"/>
      <w:tabs>
        <w:tab w:val="center" w:pos="4680"/>
      </w:tabs>
      <w:jc w:val="left"/>
    </w:pPr>
    <w:r w:rsidRPr="001153F8">
      <w:rPr>
        <w:sz w:val="16"/>
        <w:szCs w:val="16"/>
      </w:rPr>
      <w:t xml:space="preserve"> 65575602</w:t>
    </w:r>
    <w:r>
      <w:tab/>
    </w:r>
    <w:r>
      <w:tab/>
      <w:t>- 1 -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BA250" w14:textId="77777777" w:rsidR="00E246E0" w:rsidRDefault="00E246E0">
    <w:pPr>
      <w:pStyle w:val="Footer"/>
    </w:pPr>
    <w:r>
      <w:t xml:space="preserve">- </w:t>
    </w:r>
    <w:sdt>
      <w:sdtPr>
        <w:id w:val="18998557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7C4B">
          <w:rPr>
            <w:noProof/>
          </w:rPr>
          <w:t>i</w:t>
        </w:r>
        <w:r>
          <w:rPr>
            <w:noProof/>
          </w:rPr>
          <w:fldChar w:fldCharType="end"/>
        </w:r>
        <w:r>
          <w:rPr>
            <w:noProof/>
          </w:rPr>
          <w:t xml:space="preserve"> -</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E5E43" w14:textId="77777777" w:rsidR="00E246E0" w:rsidRDefault="00E246E0">
    <w:pPr>
      <w:pStyle w:val="Footer"/>
    </w:pPr>
    <w:r>
      <w:t xml:space="preserve">- </w:t>
    </w:r>
    <w:sdt>
      <w:sdtPr>
        <w:id w:val="6904260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7C4B">
          <w:rPr>
            <w:noProof/>
          </w:rPr>
          <w:t>2</w:t>
        </w:r>
        <w:r>
          <w:rPr>
            <w:noProof/>
          </w:rPr>
          <w:fldChar w:fldCharType="end"/>
        </w:r>
        <w:r>
          <w:rPr>
            <w:noProof/>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9EBE5" w14:textId="77777777" w:rsidR="00E246E0" w:rsidRDefault="00E246E0">
      <w:r>
        <w:separator/>
      </w:r>
    </w:p>
  </w:footnote>
  <w:footnote w:type="continuationSeparator" w:id="0">
    <w:p w14:paraId="2C8665BF" w14:textId="77777777" w:rsidR="00E246E0" w:rsidRDefault="00E246E0">
      <w:r>
        <w:continuationSeparator/>
      </w:r>
    </w:p>
  </w:footnote>
  <w:footnote w:type="continuationNotice" w:id="1">
    <w:p w14:paraId="297DACE4" w14:textId="77777777" w:rsidR="00E246E0" w:rsidRDefault="00E246E0">
      <w:pPr>
        <w:rPr>
          <w:sz w:val="22"/>
        </w:rPr>
      </w:pPr>
    </w:p>
    <w:p w14:paraId="555E774D" w14:textId="77777777" w:rsidR="00E246E0" w:rsidRDefault="00E246E0">
      <w:pPr>
        <w:jc w:val="right"/>
        <w:rPr>
          <w:sz w:val="22"/>
        </w:rPr>
      </w:pPr>
      <w:r>
        <w:rPr>
          <w:i/>
          <w:sz w:val="22"/>
        </w:rPr>
        <w:t>Footnote continued on next page</w:t>
      </w:r>
    </w:p>
  </w:footnote>
  <w:footnote w:id="2">
    <w:p w14:paraId="79067B4C" w14:textId="77777777" w:rsidR="00E246E0" w:rsidRDefault="00E246E0">
      <w:pPr>
        <w:pStyle w:val="FootnoteText"/>
      </w:pPr>
      <w:r>
        <w:rPr>
          <w:rStyle w:val="FootnoteReference"/>
        </w:rPr>
        <w:footnoteRef/>
      </w:r>
      <w:r>
        <w:t xml:space="preserve">  Ccf = hundred cubic feet.</w:t>
      </w:r>
    </w:p>
  </w:footnote>
  <w:footnote w:id="3">
    <w:p w14:paraId="08B50614" w14:textId="77777777" w:rsidR="00E246E0" w:rsidRDefault="00E246E0" w:rsidP="001A6099">
      <w:pPr>
        <w:pStyle w:val="FootnoteText"/>
      </w:pPr>
      <w:r>
        <w:rPr>
          <w:rStyle w:val="FootnoteReference"/>
        </w:rPr>
        <w:footnoteRef/>
      </w:r>
      <w:r>
        <w:t xml:space="preserve"> As of May 1, 2012, the date A.12-05-002 was filed.</w:t>
      </w:r>
    </w:p>
  </w:footnote>
  <w:footnote w:id="4">
    <w:p w14:paraId="23B6DD4C" w14:textId="77777777" w:rsidR="00E246E0" w:rsidRDefault="00E246E0">
      <w:pPr>
        <w:pStyle w:val="FootnoteText"/>
      </w:pPr>
      <w:r>
        <w:rPr>
          <w:rStyle w:val="FootnoteReference"/>
        </w:rPr>
        <w:footnoteRef/>
      </w:r>
      <w:r>
        <w:t xml:space="preserve"> Excludes other revenue requirement changes subsequent to May 1, 2012.</w:t>
      </w:r>
    </w:p>
  </w:footnote>
  <w:footnote w:id="5">
    <w:p w14:paraId="395470A5" w14:textId="628D38C6" w:rsidR="00E246E0" w:rsidRDefault="00E246E0">
      <w:pPr>
        <w:pStyle w:val="FootnoteText"/>
      </w:pPr>
      <w:r>
        <w:rPr>
          <w:rStyle w:val="FootnoteReference"/>
        </w:rPr>
        <w:footnoteRef/>
      </w:r>
      <w:r>
        <w:t xml:space="preserve">  </w:t>
      </w:r>
      <w:hyperlink r:id="rId1" w:history="1">
        <w:r w:rsidRPr="00D309E7">
          <w:rPr>
            <w:rStyle w:val="Hyperlink"/>
          </w:rPr>
          <w:t>http://docs.cpuc.ca.gov/PublishedDocs/Efile/G000/M031/K743/31743708.PDF</w:t>
        </w:r>
      </w:hyperlink>
      <w:r>
        <w:t xml:space="preserve">. </w:t>
      </w:r>
    </w:p>
  </w:footnote>
  <w:footnote w:id="6">
    <w:p w14:paraId="77724114" w14:textId="42602331" w:rsidR="00E246E0" w:rsidRDefault="00E246E0">
      <w:pPr>
        <w:pStyle w:val="FootnoteText"/>
      </w:pPr>
      <w:r>
        <w:rPr>
          <w:rStyle w:val="FootnoteReference"/>
        </w:rPr>
        <w:footnoteRef/>
      </w:r>
      <w:r>
        <w:t xml:space="preserve">  Exhibit PWAV 1 Table 1 at 47.</w:t>
      </w:r>
    </w:p>
  </w:footnote>
  <w:footnote w:id="7">
    <w:p w14:paraId="7537A5FB" w14:textId="77777777" w:rsidR="00E246E0" w:rsidRDefault="00E246E0">
      <w:pPr>
        <w:pStyle w:val="FootnoteText"/>
      </w:pPr>
      <w:r>
        <w:rPr>
          <w:rStyle w:val="FootnoteReference"/>
        </w:rPr>
        <w:footnoteRef/>
      </w:r>
      <w:r>
        <w:t xml:space="preserve">  </w:t>
      </w:r>
      <w:r w:rsidRPr="008F71E7">
        <w:rPr>
          <w:i/>
        </w:rPr>
        <w:t>Id.</w:t>
      </w:r>
    </w:p>
  </w:footnote>
  <w:footnote w:id="8">
    <w:p w14:paraId="72E788D7" w14:textId="4000CC09" w:rsidR="00E246E0" w:rsidRDefault="00E246E0" w:rsidP="008F71E7">
      <w:pPr>
        <w:pStyle w:val="FootnoteText"/>
      </w:pPr>
      <w:r>
        <w:rPr>
          <w:rStyle w:val="FootnoteReference"/>
        </w:rPr>
        <w:footnoteRef/>
      </w:r>
      <w:r>
        <w:t xml:space="preserve">  </w:t>
      </w:r>
      <w:r w:rsidRPr="009764A3">
        <w:rPr>
          <w:i/>
        </w:rPr>
        <w:t>Amended Jo</w:t>
      </w:r>
      <w:r>
        <w:rPr>
          <w:i/>
        </w:rPr>
        <w:t>int Application of Park Water C</w:t>
      </w:r>
      <w:r w:rsidRPr="009764A3">
        <w:rPr>
          <w:i/>
        </w:rPr>
        <w:t xml:space="preserve">ompany and Apple Valley </w:t>
      </w:r>
      <w:r>
        <w:rPr>
          <w:i/>
        </w:rPr>
        <w:t xml:space="preserve">Ranchos </w:t>
      </w:r>
      <w:r w:rsidRPr="009764A3">
        <w:rPr>
          <w:i/>
        </w:rPr>
        <w:t>Water Company</w:t>
      </w:r>
      <w:r>
        <w:t xml:space="preserve"> at 3-4.</w:t>
      </w:r>
    </w:p>
  </w:footnote>
  <w:footnote w:id="9">
    <w:p w14:paraId="37798748" w14:textId="77777777" w:rsidR="00E246E0" w:rsidRDefault="00E246E0">
      <w:pPr>
        <w:pStyle w:val="FootnoteText"/>
      </w:pPr>
      <w:r>
        <w:rPr>
          <w:rStyle w:val="FootnoteReference"/>
        </w:rPr>
        <w:footnoteRef/>
      </w:r>
      <w:r>
        <w:t xml:space="preserve">  DRA Exhibit 1, Attachment JRW-2 at 1.</w:t>
      </w:r>
    </w:p>
  </w:footnote>
  <w:footnote w:id="10">
    <w:p w14:paraId="4C47B3A4" w14:textId="77777777" w:rsidR="00E246E0" w:rsidRDefault="00E246E0">
      <w:pPr>
        <w:pStyle w:val="FootnoteText"/>
      </w:pPr>
      <w:r>
        <w:rPr>
          <w:rStyle w:val="FootnoteReference"/>
        </w:rPr>
        <w:footnoteRef/>
      </w:r>
      <w:r>
        <w:t xml:space="preserve">  </w:t>
      </w:r>
      <w:r w:rsidRPr="00E41E63">
        <w:rPr>
          <w:i/>
        </w:rPr>
        <w:t>Id.</w:t>
      </w:r>
    </w:p>
  </w:footnote>
  <w:footnote w:id="11">
    <w:p w14:paraId="75C3764A" w14:textId="1655535B" w:rsidR="00E246E0" w:rsidRDefault="00E246E0">
      <w:pPr>
        <w:pStyle w:val="FootnoteText"/>
      </w:pPr>
      <w:r>
        <w:rPr>
          <w:rStyle w:val="FootnoteReference"/>
        </w:rPr>
        <w:footnoteRef/>
      </w:r>
      <w:r>
        <w:t xml:space="preserve">  A.12-05-002 at 1, 5, 8; SG Exhibit 3 at 3-5. Table A; SG Exhibit 7 at 2-5.</w:t>
      </w:r>
    </w:p>
  </w:footnote>
  <w:footnote w:id="12">
    <w:p w14:paraId="669DDB4F" w14:textId="203921BB" w:rsidR="00E246E0" w:rsidRPr="003765E7" w:rsidRDefault="00E246E0" w:rsidP="00D85665">
      <w:pPr>
        <w:pStyle w:val="FootnoteText"/>
        <w:rPr>
          <w:rFonts w:cs="Calibri"/>
          <w:szCs w:val="24"/>
        </w:rPr>
      </w:pPr>
      <w:r w:rsidRPr="003765E7">
        <w:rPr>
          <w:rStyle w:val="FootnoteReference"/>
          <w:rFonts w:cs="Calibri"/>
          <w:szCs w:val="24"/>
        </w:rPr>
        <w:footnoteRef/>
      </w:r>
      <w:r w:rsidRPr="003765E7">
        <w:rPr>
          <w:rFonts w:cs="Calibri"/>
          <w:szCs w:val="24"/>
        </w:rPr>
        <w:t xml:space="preserve"> </w:t>
      </w:r>
      <w:r>
        <w:rPr>
          <w:rFonts w:cs="Calibri"/>
          <w:szCs w:val="24"/>
        </w:rPr>
        <w:t xml:space="preserve"> A.12-05-002 at 4-5, 8; SG Exhibit 1 at 3-5, 59-60, Attachment A Schedule PMA-1; SG Exhibit 2 at 32-34; SG Exhibit 3 at 5-7, Table A; SG Exhibit 5 at 2-8; SG Exhibit 7 at 5-11.  </w:t>
      </w:r>
    </w:p>
  </w:footnote>
  <w:footnote w:id="13">
    <w:p w14:paraId="50F34B3A" w14:textId="25B1C624" w:rsidR="00E246E0" w:rsidRPr="003765E7" w:rsidRDefault="00E246E0" w:rsidP="00D85665">
      <w:pPr>
        <w:pStyle w:val="FootnoteText"/>
        <w:rPr>
          <w:rFonts w:cs="Calibri"/>
          <w:szCs w:val="24"/>
        </w:rPr>
      </w:pPr>
      <w:r w:rsidRPr="003765E7">
        <w:rPr>
          <w:rStyle w:val="FootnoteReference"/>
          <w:rFonts w:cs="Calibri"/>
          <w:szCs w:val="24"/>
        </w:rPr>
        <w:footnoteRef/>
      </w:r>
      <w:r w:rsidRPr="003765E7">
        <w:rPr>
          <w:rFonts w:cs="Calibri"/>
          <w:szCs w:val="24"/>
        </w:rPr>
        <w:t xml:space="preserve"> </w:t>
      </w:r>
      <w:r>
        <w:rPr>
          <w:rFonts w:cs="Calibri"/>
          <w:szCs w:val="24"/>
        </w:rPr>
        <w:t xml:space="preserve"> A.12-05-002 at 1, 8; SG Exhibit at 2-3, Attachment A, Schedule PMA-1; </w:t>
      </w:r>
      <w:r>
        <w:rPr>
          <w:rFonts w:cs="Calibri"/>
          <w:szCs w:val="24"/>
        </w:rPr>
        <w:br/>
        <w:t>SG Exhibit 3, Table A.</w:t>
      </w:r>
    </w:p>
  </w:footnote>
  <w:footnote w:id="14">
    <w:p w14:paraId="2099CEA2" w14:textId="300B09B4" w:rsidR="00E246E0" w:rsidRPr="006971A6" w:rsidRDefault="00E246E0" w:rsidP="006971A6">
      <w:pPr>
        <w:pStyle w:val="FootnoteText"/>
      </w:pPr>
      <w:r w:rsidRPr="006971A6">
        <w:rPr>
          <w:rStyle w:val="FootnoteReference"/>
          <w:rFonts w:cs="Calibri"/>
        </w:rPr>
        <w:footnoteRef/>
      </w:r>
      <w:r w:rsidRPr="006971A6">
        <w:t xml:space="preserve">  A.1</w:t>
      </w:r>
      <w:r>
        <w:t>2</w:t>
      </w:r>
      <w:r w:rsidRPr="006971A6">
        <w:t xml:space="preserve">-05-002 </w:t>
      </w:r>
      <w:r>
        <w:t>at 2, 8; SG Exhibit 3 at 7-8; SG Exhibit 7 at 11-12.</w:t>
      </w:r>
    </w:p>
  </w:footnote>
  <w:footnote w:id="15">
    <w:p w14:paraId="4798D92B" w14:textId="328001D4" w:rsidR="00E246E0" w:rsidRPr="003765E7" w:rsidRDefault="00E246E0" w:rsidP="00D85665">
      <w:pPr>
        <w:pStyle w:val="FootnoteText"/>
        <w:rPr>
          <w:rFonts w:cs="Calibri"/>
          <w:szCs w:val="24"/>
        </w:rPr>
      </w:pPr>
      <w:r w:rsidRPr="003765E7">
        <w:rPr>
          <w:rStyle w:val="FootnoteReference"/>
          <w:rFonts w:cs="Calibri"/>
          <w:szCs w:val="24"/>
        </w:rPr>
        <w:footnoteRef/>
      </w:r>
      <w:r w:rsidRPr="003765E7">
        <w:rPr>
          <w:rFonts w:cs="Calibri"/>
          <w:szCs w:val="24"/>
        </w:rPr>
        <w:t xml:space="preserve"> </w:t>
      </w:r>
      <w:r>
        <w:rPr>
          <w:rFonts w:cs="Calibri"/>
          <w:szCs w:val="24"/>
        </w:rPr>
        <w:t xml:space="preserve"> </w:t>
      </w:r>
      <w:r w:rsidRPr="003765E7">
        <w:rPr>
          <w:rFonts w:cs="Calibri"/>
          <w:szCs w:val="24"/>
        </w:rPr>
        <w:t>DRA Exhibit 1</w:t>
      </w:r>
      <w:r>
        <w:rPr>
          <w:rFonts w:cs="Calibri"/>
          <w:szCs w:val="24"/>
        </w:rPr>
        <w:t xml:space="preserve"> at 64-65, Attachment JRW-2.</w:t>
      </w:r>
    </w:p>
  </w:footnote>
  <w:footnote w:id="16">
    <w:p w14:paraId="4DD028ED" w14:textId="73D2E7C5" w:rsidR="00E246E0" w:rsidRDefault="00E246E0">
      <w:pPr>
        <w:pStyle w:val="FootnoteText"/>
      </w:pPr>
      <w:r>
        <w:rPr>
          <w:rStyle w:val="FootnoteReference"/>
        </w:rPr>
        <w:footnoteRef/>
      </w:r>
      <w:r>
        <w:t xml:space="preserve"> DRA Exhibit 1 at 2-5, 63, 65-66, Attachment JRW-2; DRA Exhibit 2 at 5-6.</w:t>
      </w:r>
    </w:p>
  </w:footnote>
  <w:footnote w:id="17">
    <w:p w14:paraId="45BEF1ED" w14:textId="7D1274E3" w:rsidR="00E246E0" w:rsidRPr="00B42120" w:rsidRDefault="00E246E0" w:rsidP="00D85665">
      <w:pPr>
        <w:pStyle w:val="FootnoteText"/>
        <w:rPr>
          <w:rFonts w:cs="Calibri"/>
          <w:sz w:val="18"/>
          <w:szCs w:val="18"/>
        </w:rPr>
      </w:pPr>
      <w:r w:rsidRPr="007B64B9">
        <w:rPr>
          <w:rStyle w:val="FootnoteReference"/>
          <w:rFonts w:cs="Calibri"/>
          <w:szCs w:val="24"/>
        </w:rPr>
        <w:footnoteRef/>
      </w:r>
      <w:r w:rsidRPr="007B64B9">
        <w:rPr>
          <w:rFonts w:cs="Calibri"/>
          <w:szCs w:val="24"/>
        </w:rPr>
        <w:t xml:space="preserve">  </w:t>
      </w:r>
      <w:r w:rsidRPr="00B42120">
        <w:rPr>
          <w:rFonts w:cs="Calibri"/>
          <w:iCs/>
          <w:szCs w:val="24"/>
        </w:rPr>
        <w:t>DRA Exhibit 1 Attachment JRW-2.</w:t>
      </w:r>
    </w:p>
  </w:footnote>
  <w:footnote w:id="18">
    <w:p w14:paraId="4953E52B" w14:textId="77777777" w:rsidR="00E246E0" w:rsidRPr="008677C3" w:rsidRDefault="00E246E0" w:rsidP="009B50F4">
      <w:pPr>
        <w:pStyle w:val="CM17"/>
        <w:spacing w:after="120" w:line="240" w:lineRule="auto"/>
        <w:ind w:left="274" w:hanging="274"/>
        <w:rPr>
          <w:sz w:val="20"/>
          <w:szCs w:val="20"/>
        </w:rPr>
      </w:pPr>
      <w:r w:rsidRPr="00EF4C0A">
        <w:rPr>
          <w:rStyle w:val="FootnoteReference"/>
          <w:rFonts w:ascii="Calibri" w:hAnsi="Calibri" w:cs="Calibri"/>
          <w:sz w:val="18"/>
          <w:szCs w:val="18"/>
        </w:rPr>
        <w:footnoteRef/>
      </w:r>
      <w:r w:rsidRPr="007B64B9">
        <w:rPr>
          <w:rFonts w:ascii="Calibri" w:hAnsi="Calibri" w:cs="Calibri"/>
        </w:rPr>
        <w:t xml:space="preserve">  </w:t>
      </w:r>
      <w:r w:rsidRPr="007B64B9">
        <w:rPr>
          <w:rStyle w:val="FootnoteTextChar"/>
        </w:rPr>
        <w:t xml:space="preserve">DRA Exhibit </w:t>
      </w:r>
      <w:r>
        <w:rPr>
          <w:rStyle w:val="FootnoteTextChar"/>
        </w:rPr>
        <w:t>2 at 12.</w:t>
      </w:r>
    </w:p>
  </w:footnote>
  <w:footnote w:id="19">
    <w:p w14:paraId="328B74D2" w14:textId="77777777" w:rsidR="00E246E0" w:rsidRDefault="00E246E0">
      <w:pPr>
        <w:pStyle w:val="FootnoteText"/>
      </w:pPr>
      <w:r>
        <w:rPr>
          <w:rStyle w:val="FootnoteReference"/>
        </w:rPr>
        <w:footnoteRef/>
      </w:r>
      <w:r>
        <w:t xml:space="preserve"> A.12-05-004 at 3.</w:t>
      </w:r>
    </w:p>
  </w:footnote>
  <w:footnote w:id="20">
    <w:p w14:paraId="2B0D59BB" w14:textId="77777777" w:rsidR="00E246E0" w:rsidRDefault="00E246E0">
      <w:pPr>
        <w:pStyle w:val="FootnoteText"/>
      </w:pPr>
      <w:r>
        <w:rPr>
          <w:rStyle w:val="FootnoteReference"/>
        </w:rPr>
        <w:footnoteRef/>
      </w:r>
      <w:r>
        <w:t xml:space="preserve"> </w:t>
      </w:r>
      <w:r w:rsidRPr="00F2395E">
        <w:rPr>
          <w:i/>
        </w:rPr>
        <w:t>Id.</w:t>
      </w:r>
    </w:p>
  </w:footnote>
  <w:footnote w:id="21">
    <w:p w14:paraId="3A3832AD" w14:textId="77777777" w:rsidR="00E246E0" w:rsidRDefault="00E246E0">
      <w:pPr>
        <w:pStyle w:val="FootnoteText"/>
      </w:pPr>
      <w:r>
        <w:rPr>
          <w:rStyle w:val="FootnoteReference"/>
        </w:rPr>
        <w:footnoteRef/>
      </w:r>
      <w:r>
        <w:t xml:space="preserve"> </w:t>
      </w:r>
      <w:r w:rsidRPr="00F2395E">
        <w:rPr>
          <w:i/>
        </w:rPr>
        <w:t>Id.</w:t>
      </w:r>
    </w:p>
  </w:footnote>
  <w:footnote w:id="22">
    <w:p w14:paraId="18FCE53A" w14:textId="77777777" w:rsidR="00E246E0" w:rsidRPr="00017010" w:rsidRDefault="00E246E0" w:rsidP="00C679AA">
      <w:pPr>
        <w:pStyle w:val="FootnoteText"/>
        <w:ind w:left="270" w:hanging="270"/>
      </w:pPr>
      <w:r w:rsidRPr="00017010">
        <w:rPr>
          <w:rStyle w:val="FootnoteReference"/>
          <w:szCs w:val="24"/>
        </w:rPr>
        <w:footnoteRef/>
      </w:r>
      <w:r w:rsidRPr="00017010">
        <w:t xml:space="preserve"> </w:t>
      </w:r>
      <w:r>
        <w:t xml:space="preserve"> </w:t>
      </w:r>
      <w:r w:rsidRPr="00017010">
        <w:t xml:space="preserve">DRA Exhibit 1 </w:t>
      </w:r>
      <w:r>
        <w:t>at 64-65, Attachment JRW-2.</w:t>
      </w:r>
    </w:p>
  </w:footnote>
  <w:footnote w:id="23">
    <w:p w14:paraId="38F29566" w14:textId="77777777" w:rsidR="00E246E0" w:rsidRPr="00017010" w:rsidRDefault="00E246E0" w:rsidP="00C679AA">
      <w:pPr>
        <w:pStyle w:val="FootnoteText"/>
        <w:ind w:left="270" w:hanging="270"/>
      </w:pPr>
      <w:r w:rsidRPr="00017010">
        <w:rPr>
          <w:rStyle w:val="FootnoteReference"/>
          <w:szCs w:val="24"/>
        </w:rPr>
        <w:footnoteRef/>
      </w:r>
      <w:r w:rsidRPr="00017010">
        <w:t xml:space="preserve"> </w:t>
      </w:r>
      <w:r>
        <w:t xml:space="preserve"> </w:t>
      </w:r>
      <w:r w:rsidRPr="00017010">
        <w:rPr>
          <w:i/>
          <w:iCs/>
        </w:rPr>
        <w:t>Id</w:t>
      </w:r>
      <w:r w:rsidRPr="00017010">
        <w:t xml:space="preserve">. </w:t>
      </w:r>
      <w:r>
        <w:t>at 2-5, 63, 65-66, Attachment JRW-2; DRA Exhibit 2 at 5-6.</w:t>
      </w:r>
    </w:p>
  </w:footnote>
  <w:footnote w:id="24">
    <w:p w14:paraId="4D5A2DCA" w14:textId="77777777" w:rsidR="00E246E0" w:rsidRDefault="00E246E0">
      <w:pPr>
        <w:pStyle w:val="FootnoteText"/>
      </w:pPr>
      <w:r>
        <w:rPr>
          <w:rStyle w:val="FootnoteReference"/>
        </w:rPr>
        <w:footnoteRef/>
      </w:r>
      <w:r>
        <w:t xml:space="preserve"> DRA Exhibit 1, Attachment JRW-2.</w:t>
      </w:r>
    </w:p>
  </w:footnote>
  <w:footnote w:id="25">
    <w:p w14:paraId="179B8004" w14:textId="481B2020" w:rsidR="00E246E0" w:rsidRPr="00017010" w:rsidRDefault="00E246E0" w:rsidP="00017010">
      <w:pPr>
        <w:pStyle w:val="FootnoteText"/>
      </w:pPr>
      <w:r w:rsidRPr="00017010">
        <w:rPr>
          <w:rStyle w:val="FootnoteReference"/>
          <w:szCs w:val="24"/>
        </w:rPr>
        <w:footnoteRef/>
      </w:r>
      <w:r w:rsidRPr="00017010">
        <w:t xml:space="preserve"> </w:t>
      </w:r>
      <w:r>
        <w:t xml:space="preserve"> DRA Exhibit 2 at 12; DRA Exhibit 1 at 13.</w:t>
      </w:r>
    </w:p>
  </w:footnote>
  <w:footnote w:id="26">
    <w:p w14:paraId="438AE6EE" w14:textId="53AC489C" w:rsidR="00E246E0" w:rsidRDefault="00E246E0">
      <w:pPr>
        <w:pStyle w:val="FootnoteText"/>
      </w:pPr>
      <w:r>
        <w:rPr>
          <w:rStyle w:val="FootnoteReference"/>
        </w:rPr>
        <w:footnoteRef/>
      </w:r>
      <w:r>
        <w:t xml:space="preserve"> A.12-05-005 at 4-5, 10.</w:t>
      </w:r>
    </w:p>
  </w:footnote>
  <w:footnote w:id="27">
    <w:p w14:paraId="42CA0B42" w14:textId="77777777" w:rsidR="00E246E0" w:rsidRPr="006A3D78" w:rsidRDefault="00E246E0">
      <w:pPr>
        <w:pStyle w:val="FootnoteText"/>
        <w:rPr>
          <w:i/>
        </w:rPr>
      </w:pPr>
      <w:r>
        <w:rPr>
          <w:rStyle w:val="FootnoteReference"/>
        </w:rPr>
        <w:footnoteRef/>
      </w:r>
      <w:r>
        <w:t xml:space="preserve"> </w:t>
      </w:r>
      <w:r w:rsidRPr="006A3D78">
        <w:rPr>
          <w:i/>
        </w:rPr>
        <w:t>Id.</w:t>
      </w:r>
    </w:p>
  </w:footnote>
  <w:footnote w:id="28">
    <w:p w14:paraId="5C1EB1CD" w14:textId="77777777" w:rsidR="00E246E0" w:rsidRDefault="00E246E0">
      <w:pPr>
        <w:pStyle w:val="FootnoteText"/>
      </w:pPr>
      <w:r>
        <w:rPr>
          <w:rStyle w:val="FootnoteReference"/>
        </w:rPr>
        <w:footnoteRef/>
      </w:r>
      <w:r>
        <w:t xml:space="preserve"> A.12-05-005 at 5-6; </w:t>
      </w:r>
    </w:p>
  </w:footnote>
  <w:footnote w:id="29">
    <w:p w14:paraId="2097E29C" w14:textId="77777777" w:rsidR="00E246E0" w:rsidRDefault="00E246E0">
      <w:pPr>
        <w:pStyle w:val="FootnoteText"/>
      </w:pPr>
      <w:r>
        <w:rPr>
          <w:rStyle w:val="FootnoteReference"/>
        </w:rPr>
        <w:footnoteRef/>
      </w:r>
      <w:r>
        <w:t xml:space="preserve"> A.12-05-005 at 6, 10.</w:t>
      </w:r>
    </w:p>
  </w:footnote>
  <w:footnote w:id="30">
    <w:p w14:paraId="7DDD4C0A" w14:textId="77777777" w:rsidR="00E246E0" w:rsidRPr="00CB2874" w:rsidRDefault="00E246E0" w:rsidP="00CB2874">
      <w:pPr>
        <w:pStyle w:val="FootnoteText"/>
      </w:pPr>
      <w:r w:rsidRPr="00CB2874">
        <w:rPr>
          <w:rStyle w:val="FootnoteReference"/>
        </w:rPr>
        <w:footnoteRef/>
      </w:r>
      <w:r>
        <w:t xml:space="preserve">  </w:t>
      </w:r>
      <w:r w:rsidRPr="00CB2874">
        <w:t xml:space="preserve">DRA Exhibit 1 </w:t>
      </w:r>
      <w:r>
        <w:t>at 5, 65, Attachment JRW-2.</w:t>
      </w:r>
    </w:p>
  </w:footnote>
  <w:footnote w:id="31">
    <w:p w14:paraId="2DBB25E1" w14:textId="77777777" w:rsidR="00E246E0" w:rsidRPr="00CB2874" w:rsidRDefault="00E246E0" w:rsidP="00CB2874">
      <w:pPr>
        <w:pStyle w:val="FootnoteText"/>
      </w:pPr>
      <w:r w:rsidRPr="00CB2874">
        <w:rPr>
          <w:rStyle w:val="FootnoteReference"/>
        </w:rPr>
        <w:footnoteRef/>
      </w:r>
      <w:r>
        <w:t xml:space="preserve">  </w:t>
      </w:r>
      <w:r w:rsidRPr="00B70E20">
        <w:rPr>
          <w:i/>
        </w:rPr>
        <w:t>Id.</w:t>
      </w:r>
      <w:r>
        <w:t xml:space="preserve"> at 65, Attachment JRW-2.</w:t>
      </w:r>
    </w:p>
  </w:footnote>
  <w:footnote w:id="32">
    <w:p w14:paraId="7FA8E128" w14:textId="77777777" w:rsidR="00E246E0" w:rsidRPr="00CB2874" w:rsidRDefault="00E246E0" w:rsidP="00CB2874">
      <w:pPr>
        <w:pStyle w:val="FootnoteText"/>
      </w:pPr>
      <w:r w:rsidRPr="00CB2874">
        <w:rPr>
          <w:rStyle w:val="FootnoteReference"/>
        </w:rPr>
        <w:footnoteRef/>
      </w:r>
      <w:r>
        <w:t xml:space="preserve">  </w:t>
      </w:r>
      <w:r w:rsidRPr="00CB2874">
        <w:rPr>
          <w:i/>
        </w:rPr>
        <w:t>Id.</w:t>
      </w:r>
      <w:r w:rsidRPr="00CB2874">
        <w:t xml:space="preserve"> </w:t>
      </w:r>
      <w:r>
        <w:t xml:space="preserve">at 65, Attachment JRW-2. </w:t>
      </w:r>
    </w:p>
  </w:footnote>
  <w:footnote w:id="33">
    <w:p w14:paraId="0CD2B31F" w14:textId="77777777" w:rsidR="00E246E0" w:rsidRPr="00CB2874" w:rsidRDefault="00E246E0" w:rsidP="009D7711">
      <w:pPr>
        <w:pStyle w:val="FootnoteText"/>
      </w:pPr>
      <w:r w:rsidRPr="00CB2874">
        <w:rPr>
          <w:rStyle w:val="FootnoteReference"/>
        </w:rPr>
        <w:footnoteRef/>
      </w:r>
      <w:r>
        <w:rPr>
          <w:szCs w:val="18"/>
        </w:rPr>
        <w:t xml:space="preserve"> </w:t>
      </w:r>
      <w:r w:rsidRPr="00CB2874">
        <w:rPr>
          <w:szCs w:val="18"/>
        </w:rPr>
        <w:t xml:space="preserve"> DRA Exhibit </w:t>
      </w:r>
      <w:r>
        <w:rPr>
          <w:szCs w:val="18"/>
        </w:rPr>
        <w:t>1, Attachment JRW-2.</w:t>
      </w:r>
    </w:p>
  </w:footnote>
  <w:footnote w:id="34">
    <w:p w14:paraId="0A2E5BD8" w14:textId="77777777" w:rsidR="00E246E0" w:rsidRDefault="00E246E0">
      <w:pPr>
        <w:pStyle w:val="FootnoteText"/>
      </w:pPr>
      <w:r>
        <w:rPr>
          <w:rStyle w:val="FootnoteReference"/>
        </w:rPr>
        <w:footnoteRef/>
      </w:r>
      <w:r>
        <w:t xml:space="preserve">  DRA Exhibit 2 at 12.</w:t>
      </w:r>
    </w:p>
  </w:footnote>
  <w:footnote w:id="35">
    <w:p w14:paraId="2F862E0F" w14:textId="77777777" w:rsidR="00E246E0" w:rsidRDefault="00E246E0">
      <w:pPr>
        <w:pStyle w:val="FootnoteText"/>
      </w:pPr>
      <w:r>
        <w:rPr>
          <w:rStyle w:val="FootnoteReference"/>
        </w:rPr>
        <w:footnoteRef/>
      </w:r>
      <w:r>
        <w:t xml:space="preserve">  D.10-10-035 determined the cost of capital for San Jose Water Company.  </w:t>
      </w:r>
    </w:p>
  </w:footnote>
  <w:footnote w:id="36">
    <w:p w14:paraId="49A1BEF4" w14:textId="77777777" w:rsidR="00E246E0" w:rsidRDefault="00E246E0" w:rsidP="00CC1F5D">
      <w:pPr>
        <w:pStyle w:val="FootnoteText"/>
      </w:pPr>
      <w:r>
        <w:rPr>
          <w:rStyle w:val="FootnoteReference"/>
        </w:rPr>
        <w:footnoteRef/>
      </w:r>
      <w:r>
        <w:t xml:space="preserve">  The Greek letter Beta stands for an accepted measure of stock price volatility.  The average Beta of the broad market is around 1.00.  Stocks with Betas less than 1.00 are less volatile; conversely, stocks with Betas much above 1.00 display extreme price volatility.  In general, utility stocks have Betas between 0.50 and 0.65, roughly </w:t>
      </w:r>
      <w:r>
        <w:br/>
        <w:t xml:space="preserve">one-half to two-thirds the volatility of the average traded non-utility security. </w:t>
      </w:r>
    </w:p>
  </w:footnote>
  <w:footnote w:id="37">
    <w:p w14:paraId="5D2777BF" w14:textId="77777777" w:rsidR="00E246E0" w:rsidRDefault="00E246E0" w:rsidP="00CC1F5D">
      <w:pPr>
        <w:pStyle w:val="FootnoteText"/>
      </w:pPr>
      <w:r>
        <w:rPr>
          <w:rStyle w:val="FootnoteReference"/>
        </w:rPr>
        <w:footnoteRef/>
      </w:r>
      <w:r>
        <w:t xml:space="preserve">  The so-called “risk free rate” is generally defined as the forecasted yield on the 10</w:t>
      </w:r>
      <w:r>
        <w:noBreakHyphen/>
        <w:t>year or 30-year Treasury bond over the next several quarters.</w:t>
      </w:r>
    </w:p>
  </w:footnote>
  <w:footnote w:id="38">
    <w:p w14:paraId="4E29C3CF" w14:textId="77777777" w:rsidR="00E246E0" w:rsidRDefault="00E246E0">
      <w:pPr>
        <w:pStyle w:val="FootnoteText"/>
      </w:pPr>
      <w:r>
        <w:rPr>
          <w:rStyle w:val="FootnoteReference"/>
        </w:rPr>
        <w:footnoteRef/>
      </w:r>
      <w:r>
        <w:t xml:space="preserve">  California Water Service, San Jose Water Company, California-American Water Company and Golden State Water Company.  </w:t>
      </w:r>
    </w:p>
  </w:footnote>
  <w:footnote w:id="39">
    <w:p w14:paraId="3349CBD8" w14:textId="7818CA94" w:rsidR="00E246E0" w:rsidRDefault="00E246E0" w:rsidP="00837DAF">
      <w:pPr>
        <w:pStyle w:val="FootnoteText"/>
      </w:pPr>
      <w:r>
        <w:rPr>
          <w:rStyle w:val="FootnoteReference"/>
        </w:rPr>
        <w:footnoteRef/>
      </w:r>
      <w:r>
        <w:t xml:space="preserve">  All referenced Rules are the Commission’s Rules of Practice and Procedure. </w:t>
      </w:r>
      <w:hyperlink r:id="rId2" w:history="1">
        <w:r w:rsidRPr="00D309E7">
          <w:rPr>
            <w:rStyle w:val="Hyperlink"/>
          </w:rPr>
          <w:t>http://docs.cpuc.ca.gov/WORD_PDF/AGENDA_DECISION/143256.PDF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A5AF1" w14:textId="77777777" w:rsidR="00D01EB5" w:rsidRDefault="00D01E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C3767" w14:textId="77777777" w:rsidR="00E246E0" w:rsidRDefault="00E246E0">
    <w:pPr>
      <w:pStyle w:val="Header"/>
      <w:tabs>
        <w:tab w:val="clear" w:pos="8640"/>
        <w:tab w:val="right" w:pos="9360"/>
      </w:tabs>
    </w:pPr>
    <w:r>
      <w:t>A.12-05-001 et al.  ALJ/LRR/cla</w:t>
    </w:r>
    <w:r>
      <w:tab/>
    </w:r>
    <w:r>
      <w:tab/>
    </w:r>
    <w:r>
      <w:rPr>
        <w:rFonts w:ascii="Helvetica" w:hAnsi="Helvetica"/>
        <w:b/>
        <w:bCs/>
        <w:sz w:val="32"/>
      </w:rPr>
      <w:t>PROPOSED DECISION</w:t>
    </w:r>
  </w:p>
  <w:p w14:paraId="2C463CD7" w14:textId="77777777" w:rsidR="00E246E0" w:rsidRDefault="00E246E0">
    <w:pPr>
      <w:pStyle w:val="Header"/>
    </w:pPr>
  </w:p>
  <w:p w14:paraId="1D98D674" w14:textId="77777777" w:rsidR="00E246E0" w:rsidRDefault="00E246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6B6C6" w14:textId="77777777" w:rsidR="00D01EB5" w:rsidRDefault="00D01E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4456E" w14:textId="309EE1EC" w:rsidR="00E246E0" w:rsidRDefault="00E246E0" w:rsidP="00AF12B7">
    <w:pPr>
      <w:pStyle w:val="Header"/>
      <w:tabs>
        <w:tab w:val="clear" w:pos="8640"/>
        <w:tab w:val="right" w:pos="9360"/>
      </w:tabs>
    </w:pPr>
    <w:r>
      <w:t>A.12-05-001 et al.  LRR/cla/sbf</w:t>
    </w:r>
    <w:r>
      <w:tab/>
    </w:r>
    <w:r>
      <w:tab/>
    </w:r>
    <w:r>
      <w:rPr>
        <w:rFonts w:ascii="Helvetica" w:hAnsi="Helvetica"/>
        <w:b/>
        <w:bCs/>
        <w:sz w:val="32"/>
      </w:rPr>
      <w:t>PROPOSED DECISION</w:t>
    </w:r>
    <w:r w:rsidR="00367ECB">
      <w:rPr>
        <w:rFonts w:ascii="Helvetica" w:hAnsi="Helvetica"/>
        <w:b/>
        <w:bCs/>
        <w:sz w:val="32"/>
      </w:rPr>
      <w:t xml:space="preserve">  (Rev. 1)</w:t>
    </w:r>
  </w:p>
  <w:p w14:paraId="5CD883F2" w14:textId="77777777" w:rsidR="00E246E0" w:rsidRDefault="00E246E0">
    <w:pPr>
      <w:pStyle w:val="Header"/>
    </w:pPr>
  </w:p>
  <w:p w14:paraId="794AC5D5" w14:textId="77777777" w:rsidR="00E246E0" w:rsidRDefault="00E246E0">
    <w:pPr>
      <w:pStyle w:val="Header"/>
    </w:pPr>
  </w:p>
  <w:p w14:paraId="4494844D" w14:textId="77777777" w:rsidR="00E246E0" w:rsidRDefault="00E246E0" w:rsidP="00AF12B7">
    <w:pPr>
      <w:pStyle w:val="Header"/>
      <w:jc w:val="center"/>
      <w:rPr>
        <w:b/>
      </w:rPr>
    </w:pPr>
    <w:r>
      <w:rPr>
        <w:b/>
      </w:rPr>
      <w:t>Table of Contents</w:t>
    </w:r>
  </w:p>
  <w:p w14:paraId="10A4447C" w14:textId="77777777" w:rsidR="00E246E0" w:rsidRDefault="00E246E0" w:rsidP="00AF12B7">
    <w:pPr>
      <w:pStyle w:val="Header"/>
      <w:jc w:val="center"/>
      <w:rPr>
        <w:b/>
      </w:rPr>
    </w:pPr>
  </w:p>
  <w:p w14:paraId="08E3F99B" w14:textId="77777777" w:rsidR="00E246E0" w:rsidRDefault="00E246E0" w:rsidP="00AF12B7">
    <w:pPr>
      <w:pStyle w:val="Header"/>
      <w:rPr>
        <w:b/>
      </w:rPr>
    </w:pPr>
    <w:r>
      <w:rPr>
        <w:b/>
      </w:rPr>
      <w:t>Title</w:t>
    </w:r>
    <w:r>
      <w:rPr>
        <w:b/>
      </w:rPr>
      <w:tab/>
    </w:r>
    <w:r>
      <w:rPr>
        <w:b/>
      </w:rPr>
      <w:tab/>
      <w:t>Page</w:t>
    </w:r>
  </w:p>
  <w:p w14:paraId="2CEB5766" w14:textId="77777777" w:rsidR="00E246E0" w:rsidRPr="00AF12B7" w:rsidRDefault="00E246E0" w:rsidP="00AF12B7">
    <w:pPr>
      <w:pStyle w:val="Header"/>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EF3B6" w14:textId="247A0C60" w:rsidR="00E246E0" w:rsidRDefault="00E246E0">
    <w:pPr>
      <w:pStyle w:val="Header"/>
      <w:tabs>
        <w:tab w:val="clear" w:pos="8640"/>
        <w:tab w:val="right" w:pos="9360"/>
      </w:tabs>
    </w:pPr>
    <w:r>
      <w:t>A.12-05-001 et al.  ALJ/LRR/cla/sbf</w:t>
    </w:r>
    <w:r>
      <w:tab/>
    </w:r>
    <w:r>
      <w:tab/>
    </w:r>
    <w:r>
      <w:rPr>
        <w:rFonts w:ascii="Helvetica" w:hAnsi="Helvetica"/>
        <w:b/>
        <w:bCs/>
        <w:sz w:val="32"/>
      </w:rPr>
      <w:t>PROPOSED DECISION</w:t>
    </w:r>
    <w:r w:rsidR="00367ECB">
      <w:rPr>
        <w:rFonts w:ascii="Helvetica" w:hAnsi="Helvetica"/>
        <w:b/>
        <w:bCs/>
        <w:sz w:val="32"/>
      </w:rPr>
      <w:t xml:space="preserve">  (Rev. 1)</w:t>
    </w:r>
  </w:p>
  <w:p w14:paraId="00B84B63" w14:textId="77777777" w:rsidR="00E246E0" w:rsidRDefault="00E246E0">
    <w:pPr>
      <w:pStyle w:val="Header"/>
    </w:pPr>
  </w:p>
  <w:p w14:paraId="3930C645" w14:textId="77777777" w:rsidR="00E246E0" w:rsidRDefault="00E246E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2673C" w14:textId="793991E4" w:rsidR="00E246E0" w:rsidRDefault="00E246E0" w:rsidP="00AF12B7">
    <w:pPr>
      <w:pStyle w:val="Header"/>
      <w:tabs>
        <w:tab w:val="clear" w:pos="8640"/>
        <w:tab w:val="right" w:pos="9360"/>
      </w:tabs>
    </w:pPr>
    <w:r>
      <w:t>A.12-05-001 et al.  LRR/cla/sbf</w:t>
    </w:r>
    <w:r>
      <w:tab/>
    </w:r>
    <w:r>
      <w:tab/>
    </w:r>
    <w:r>
      <w:rPr>
        <w:rFonts w:ascii="Helvetica" w:hAnsi="Helvetica"/>
        <w:b/>
        <w:bCs/>
        <w:sz w:val="32"/>
      </w:rPr>
      <w:t>PROPOSED DECISION</w:t>
    </w:r>
    <w:r w:rsidR="00367ECB">
      <w:rPr>
        <w:rFonts w:ascii="Helvetica" w:hAnsi="Helvetica"/>
        <w:b/>
        <w:bCs/>
        <w:sz w:val="32"/>
      </w:rPr>
      <w:t xml:space="preserve">  (Rev. 1)</w:t>
    </w:r>
  </w:p>
  <w:p w14:paraId="33EF2424" w14:textId="77777777" w:rsidR="00E246E0" w:rsidRDefault="00E246E0">
    <w:pPr>
      <w:pStyle w:val="Header"/>
    </w:pPr>
  </w:p>
  <w:p w14:paraId="784A4D85" w14:textId="77777777" w:rsidR="00E246E0" w:rsidRDefault="00E246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EBC05C4"/>
    <w:lvl w:ilvl="0">
      <w:start w:val="1"/>
      <w:numFmt w:val="decimal"/>
      <w:lvlText w:val="%1."/>
      <w:legacy w:legacy="1" w:legacySpace="0" w:legacyIndent="720"/>
      <w:lvlJc w:val="left"/>
      <w:pPr>
        <w:ind w:left="720" w:hanging="720"/>
      </w:pPr>
      <w:rPr>
        <w:b/>
      </w:rPr>
    </w:lvl>
    <w:lvl w:ilvl="1">
      <w:start w:val="1"/>
      <w:numFmt w:val="decimal"/>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4140" w:hanging="720"/>
      </w:pPr>
      <w:rPr>
        <w:rFonts w:ascii="Helvetica" w:hAnsi="Helvetica" w:cs="Times New Roman" w:hint="default"/>
        <w:sz w:val="26"/>
        <w:szCs w:val="26"/>
      </w:rPr>
    </w:lvl>
    <w:lvl w:ilvl="5">
      <w:start w:val="1"/>
      <w:numFmt w:val="decimal"/>
      <w:pStyle w:val="Heading6"/>
      <w:lvlText w:val="%1.%2.%3.%4.%5.%6."/>
      <w:legacy w:legacy="1" w:legacySpace="0" w:legacyIndent="720"/>
      <w:lvlJc w:val="left"/>
      <w:pPr>
        <w:ind w:left="4320" w:hanging="720"/>
      </w:pPr>
      <w:rPr>
        <w:b/>
        <w:i w:val="0"/>
        <w:sz w:val="26"/>
        <w:szCs w:val="26"/>
      </w:rPr>
    </w:lvl>
    <w:lvl w:ilvl="6">
      <w:start w:val="1"/>
      <w:numFmt w:val="decimal"/>
      <w:pStyle w:val="Heading7"/>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32C6D7A"/>
    <w:multiLevelType w:val="singleLevel"/>
    <w:tmpl w:val="A082174C"/>
    <w:lvl w:ilvl="0">
      <w:start w:val="1"/>
      <w:numFmt w:val="decimal"/>
      <w:lvlText w:val="%1."/>
      <w:legacy w:legacy="1" w:legacySpace="144" w:legacyIndent="0"/>
      <w:lvlJc w:val="left"/>
    </w:lvl>
  </w:abstractNum>
  <w:abstractNum w:abstractNumId="2">
    <w:nsid w:val="06122151"/>
    <w:multiLevelType w:val="hybridMultilevel"/>
    <w:tmpl w:val="DB4805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E818F0"/>
    <w:multiLevelType w:val="hybridMultilevel"/>
    <w:tmpl w:val="10A02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E0096"/>
    <w:multiLevelType w:val="hybridMultilevel"/>
    <w:tmpl w:val="4F50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775030"/>
    <w:multiLevelType w:val="hybridMultilevel"/>
    <w:tmpl w:val="1380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92070"/>
    <w:multiLevelType w:val="hybridMultilevel"/>
    <w:tmpl w:val="2BC69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585321"/>
    <w:multiLevelType w:val="hybridMultilevel"/>
    <w:tmpl w:val="5538B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212CB6"/>
    <w:multiLevelType w:val="hybridMultilevel"/>
    <w:tmpl w:val="6E72A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B1400E"/>
    <w:multiLevelType w:val="singleLevel"/>
    <w:tmpl w:val="A082174C"/>
    <w:lvl w:ilvl="0">
      <w:start w:val="1"/>
      <w:numFmt w:val="decimal"/>
      <w:lvlText w:val="%1."/>
      <w:legacy w:legacy="1" w:legacySpace="144" w:legacyIndent="0"/>
      <w:lvlJc w:val="left"/>
    </w:lvl>
  </w:abstractNum>
  <w:abstractNum w:abstractNumId="10">
    <w:nsid w:val="2DCF08BD"/>
    <w:multiLevelType w:val="hybridMultilevel"/>
    <w:tmpl w:val="77C433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F24B29"/>
    <w:multiLevelType w:val="hybridMultilevel"/>
    <w:tmpl w:val="59EC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866D8"/>
    <w:multiLevelType w:val="hybridMultilevel"/>
    <w:tmpl w:val="58FA0A8E"/>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nsid w:val="33394DA9"/>
    <w:multiLevelType w:val="hybridMultilevel"/>
    <w:tmpl w:val="4A0AB1EC"/>
    <w:lvl w:ilvl="0" w:tplc="469C38C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6D37F8C"/>
    <w:multiLevelType w:val="multilevel"/>
    <w:tmpl w:val="DAD268B6"/>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680"/>
        </w:tabs>
        <w:ind w:left="2952" w:hanging="792"/>
      </w:pPr>
      <w:rPr>
        <w:rFonts w:hint="default"/>
      </w:rPr>
    </w:lvl>
    <w:lvl w:ilvl="5">
      <w:start w:val="1"/>
      <w:numFmt w:val="decimal"/>
      <w:pStyle w:val="StyleHeading6Left05Hanging106"/>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920"/>
        </w:tabs>
        <w:ind w:left="5040" w:hanging="1440"/>
      </w:pPr>
      <w:rPr>
        <w:rFonts w:hint="default"/>
      </w:rPr>
    </w:lvl>
  </w:abstractNum>
  <w:abstractNum w:abstractNumId="15">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AC5ADF"/>
    <w:multiLevelType w:val="hybridMultilevel"/>
    <w:tmpl w:val="945876DE"/>
    <w:lvl w:ilvl="0" w:tplc="6F0C8562">
      <w:start w:val="1"/>
      <w:numFmt w:val="decimal"/>
      <w:lvlText w:val="3.%1."/>
      <w:lvlJc w:val="left"/>
      <w:pPr>
        <w:ind w:left="1440" w:hanging="360"/>
      </w:pPr>
      <w:rPr>
        <w:rFonts w:hint="default"/>
        <w:b/>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CB9585B"/>
    <w:multiLevelType w:val="hybridMultilevel"/>
    <w:tmpl w:val="63C05160"/>
    <w:lvl w:ilvl="0" w:tplc="667C20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5871649"/>
    <w:multiLevelType w:val="hybridMultilevel"/>
    <w:tmpl w:val="7B420294"/>
    <w:lvl w:ilvl="0" w:tplc="2A1CE840">
      <w:start w:val="1"/>
      <w:numFmt w:val="decimal"/>
      <w:lvlText w:val="4.%1."/>
      <w:lvlJc w:val="left"/>
      <w:pPr>
        <w:ind w:left="2160" w:hanging="360"/>
      </w:pPr>
      <w:rPr>
        <w:rFonts w:hint="default"/>
        <w:b/>
        <w:sz w:val="2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97D15FE"/>
    <w:multiLevelType w:val="hybridMultilevel"/>
    <w:tmpl w:val="07AEDEF8"/>
    <w:lvl w:ilvl="0" w:tplc="04090001">
      <w:start w:val="1"/>
      <w:numFmt w:val="bullet"/>
      <w:lvlText w:val=""/>
      <w:lvlJc w:val="left"/>
      <w:pPr>
        <w:ind w:left="720" w:hanging="360"/>
      </w:pPr>
      <w:rPr>
        <w:rFonts w:ascii="Symbol" w:hAnsi="Symbol" w:hint="default"/>
      </w:rPr>
    </w:lvl>
    <w:lvl w:ilvl="1" w:tplc="93768984">
      <w:numFmt w:val="bullet"/>
      <w:lvlText w:val="•"/>
      <w:lvlJc w:val="left"/>
      <w:pPr>
        <w:ind w:left="1440" w:hanging="360"/>
      </w:pPr>
      <w:rPr>
        <w:rFonts w:ascii="Palatino Linotype" w:eastAsia="Calibri" w:hAnsi="Palatino Linotype"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7C442E"/>
    <w:multiLevelType w:val="hybridMultilevel"/>
    <w:tmpl w:val="D3865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C27644"/>
    <w:multiLevelType w:val="hybridMultilevel"/>
    <w:tmpl w:val="BD40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931CAF"/>
    <w:multiLevelType w:val="hybridMultilevel"/>
    <w:tmpl w:val="4726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2370AF"/>
    <w:multiLevelType w:val="hybridMultilevel"/>
    <w:tmpl w:val="AD3C808A"/>
    <w:lvl w:ilvl="0" w:tplc="D37485FC">
      <w:start w:val="1"/>
      <w:numFmt w:val="decimal"/>
      <w:lvlText w:val="7.%1."/>
      <w:lvlJc w:val="left"/>
      <w:pPr>
        <w:ind w:left="1440" w:hanging="360"/>
      </w:pPr>
      <w:rPr>
        <w:rFonts w:hint="default"/>
        <w:b/>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9DD570C"/>
    <w:multiLevelType w:val="singleLevel"/>
    <w:tmpl w:val="A082174C"/>
    <w:lvl w:ilvl="0">
      <w:start w:val="1"/>
      <w:numFmt w:val="decimal"/>
      <w:lvlText w:val="%1."/>
      <w:legacy w:legacy="1" w:legacySpace="144" w:legacyIndent="0"/>
      <w:lvlJc w:val="left"/>
    </w:lvl>
  </w:abstractNum>
  <w:num w:numId="1">
    <w:abstractNumId w:val="13"/>
  </w:num>
  <w:num w:numId="2">
    <w:abstractNumId w:val="15"/>
  </w:num>
  <w:num w:numId="3">
    <w:abstractNumId w:val="14"/>
  </w:num>
  <w:num w:numId="4">
    <w:abstractNumId w:val="0"/>
  </w:num>
  <w:num w:numId="5">
    <w:abstractNumId w:val="22"/>
  </w:num>
  <w:num w:numId="6">
    <w:abstractNumId w:val="21"/>
  </w:num>
  <w:num w:numId="7">
    <w:abstractNumId w:val="5"/>
  </w:num>
  <w:num w:numId="8">
    <w:abstractNumId w:val="11"/>
  </w:num>
  <w:num w:numId="9">
    <w:abstractNumId w:val="4"/>
  </w:num>
  <w:num w:numId="10">
    <w:abstractNumId w:val="19"/>
  </w:num>
  <w:num w:numId="11">
    <w:abstractNumId w:val="7"/>
  </w:num>
  <w:num w:numId="12">
    <w:abstractNumId w:val="2"/>
  </w:num>
  <w:num w:numId="13">
    <w:abstractNumId w:val="17"/>
  </w:num>
  <w:num w:numId="14">
    <w:abstractNumId w:val="10"/>
  </w:num>
  <w:num w:numId="15">
    <w:abstractNumId w:val="24"/>
  </w:num>
  <w:num w:numId="16">
    <w:abstractNumId w:val="6"/>
  </w:num>
  <w:num w:numId="17">
    <w:abstractNumId w:val="9"/>
  </w:num>
  <w:num w:numId="18">
    <w:abstractNumId w:val="1"/>
  </w:num>
  <w:num w:numId="19">
    <w:abstractNumId w:val="12"/>
  </w:num>
  <w:num w:numId="20">
    <w:abstractNumId w:val="16"/>
  </w:num>
  <w:num w:numId="21">
    <w:abstractNumId w:val="0"/>
  </w:num>
  <w:num w:numId="22">
    <w:abstractNumId w:val="0"/>
  </w:num>
  <w:num w:numId="23">
    <w:abstractNumId w:val="0"/>
  </w:num>
  <w:num w:numId="24">
    <w:abstractNumId w:val="0"/>
  </w:num>
  <w:num w:numId="25">
    <w:abstractNumId w:val="18"/>
  </w:num>
  <w:num w:numId="26">
    <w:abstractNumId w:val="0"/>
  </w:num>
  <w:num w:numId="27">
    <w:abstractNumId w:val="23"/>
  </w:num>
  <w:num w:numId="28">
    <w:abstractNumId w:val="8"/>
  </w:num>
  <w:num w:numId="29">
    <w:abstractNumId w:val="3"/>
  </w:num>
  <w:num w:numId="3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FF9"/>
    <w:rsid w:val="000040EF"/>
    <w:rsid w:val="00005ADB"/>
    <w:rsid w:val="00005CB7"/>
    <w:rsid w:val="000103DC"/>
    <w:rsid w:val="00011308"/>
    <w:rsid w:val="00017010"/>
    <w:rsid w:val="000215D9"/>
    <w:rsid w:val="00031F6F"/>
    <w:rsid w:val="000327AA"/>
    <w:rsid w:val="00032B32"/>
    <w:rsid w:val="00033765"/>
    <w:rsid w:val="00037DDC"/>
    <w:rsid w:val="00045664"/>
    <w:rsid w:val="000675AF"/>
    <w:rsid w:val="00082C43"/>
    <w:rsid w:val="000A06C7"/>
    <w:rsid w:val="000B5FBD"/>
    <w:rsid w:val="000D3AC6"/>
    <w:rsid w:val="000D57F8"/>
    <w:rsid w:val="000D60D1"/>
    <w:rsid w:val="000F1F67"/>
    <w:rsid w:val="000F2758"/>
    <w:rsid w:val="0010078B"/>
    <w:rsid w:val="00105128"/>
    <w:rsid w:val="001077F0"/>
    <w:rsid w:val="001153F8"/>
    <w:rsid w:val="00132A8B"/>
    <w:rsid w:val="00132F8A"/>
    <w:rsid w:val="0014300E"/>
    <w:rsid w:val="00145E83"/>
    <w:rsid w:val="0015172A"/>
    <w:rsid w:val="0016394E"/>
    <w:rsid w:val="001746D1"/>
    <w:rsid w:val="001753FC"/>
    <w:rsid w:val="00184B10"/>
    <w:rsid w:val="0018529E"/>
    <w:rsid w:val="001855B5"/>
    <w:rsid w:val="001A093E"/>
    <w:rsid w:val="001A266F"/>
    <w:rsid w:val="001A31D9"/>
    <w:rsid w:val="001A56B8"/>
    <w:rsid w:val="001A6099"/>
    <w:rsid w:val="001A6462"/>
    <w:rsid w:val="001C146E"/>
    <w:rsid w:val="001C419A"/>
    <w:rsid w:val="001C71A9"/>
    <w:rsid w:val="001C7882"/>
    <w:rsid w:val="001D47AB"/>
    <w:rsid w:val="001F5397"/>
    <w:rsid w:val="002067E5"/>
    <w:rsid w:val="00206888"/>
    <w:rsid w:val="00215F62"/>
    <w:rsid w:val="002333AF"/>
    <w:rsid w:val="00237B63"/>
    <w:rsid w:val="00240221"/>
    <w:rsid w:val="002440FD"/>
    <w:rsid w:val="00251115"/>
    <w:rsid w:val="00260BB6"/>
    <w:rsid w:val="00267AF3"/>
    <w:rsid w:val="0027376F"/>
    <w:rsid w:val="00280914"/>
    <w:rsid w:val="00281281"/>
    <w:rsid w:val="00294354"/>
    <w:rsid w:val="002945B5"/>
    <w:rsid w:val="002A588C"/>
    <w:rsid w:val="002A7B98"/>
    <w:rsid w:val="002D2274"/>
    <w:rsid w:val="002D5B59"/>
    <w:rsid w:val="002E4ADB"/>
    <w:rsid w:val="002E5899"/>
    <w:rsid w:val="002F5834"/>
    <w:rsid w:val="00311B68"/>
    <w:rsid w:val="00312B50"/>
    <w:rsid w:val="0032294F"/>
    <w:rsid w:val="003237A7"/>
    <w:rsid w:val="003250EB"/>
    <w:rsid w:val="003361DA"/>
    <w:rsid w:val="00341F2B"/>
    <w:rsid w:val="0034777D"/>
    <w:rsid w:val="003521F6"/>
    <w:rsid w:val="00360070"/>
    <w:rsid w:val="003611A3"/>
    <w:rsid w:val="0036136D"/>
    <w:rsid w:val="00365F2D"/>
    <w:rsid w:val="003662C6"/>
    <w:rsid w:val="00367ECB"/>
    <w:rsid w:val="003765E7"/>
    <w:rsid w:val="00390E9C"/>
    <w:rsid w:val="003911E3"/>
    <w:rsid w:val="0039139E"/>
    <w:rsid w:val="00394168"/>
    <w:rsid w:val="003A114D"/>
    <w:rsid w:val="003A2D1D"/>
    <w:rsid w:val="003A6661"/>
    <w:rsid w:val="003A67CB"/>
    <w:rsid w:val="003B1246"/>
    <w:rsid w:val="003D7396"/>
    <w:rsid w:val="003E4EB8"/>
    <w:rsid w:val="003F10AE"/>
    <w:rsid w:val="003F5B00"/>
    <w:rsid w:val="00403DD4"/>
    <w:rsid w:val="004040D8"/>
    <w:rsid w:val="004117EA"/>
    <w:rsid w:val="00412890"/>
    <w:rsid w:val="004202D4"/>
    <w:rsid w:val="004259AF"/>
    <w:rsid w:val="00426B85"/>
    <w:rsid w:val="0044356D"/>
    <w:rsid w:val="004501DF"/>
    <w:rsid w:val="00453F52"/>
    <w:rsid w:val="004540FF"/>
    <w:rsid w:val="00455039"/>
    <w:rsid w:val="0046125F"/>
    <w:rsid w:val="004669CF"/>
    <w:rsid w:val="00467211"/>
    <w:rsid w:val="0047070C"/>
    <w:rsid w:val="00473F1D"/>
    <w:rsid w:val="00474D58"/>
    <w:rsid w:val="00493AD8"/>
    <w:rsid w:val="004A5C2A"/>
    <w:rsid w:val="004A63A7"/>
    <w:rsid w:val="004B275C"/>
    <w:rsid w:val="004C29B6"/>
    <w:rsid w:val="004C7B3A"/>
    <w:rsid w:val="004D25B0"/>
    <w:rsid w:val="004D5CED"/>
    <w:rsid w:val="004D5D7A"/>
    <w:rsid w:val="004E1908"/>
    <w:rsid w:val="004E35F6"/>
    <w:rsid w:val="005053C5"/>
    <w:rsid w:val="00505F7D"/>
    <w:rsid w:val="0051749F"/>
    <w:rsid w:val="00521C88"/>
    <w:rsid w:val="00522E9B"/>
    <w:rsid w:val="00523C0E"/>
    <w:rsid w:val="00545F6F"/>
    <w:rsid w:val="0055187D"/>
    <w:rsid w:val="0055744F"/>
    <w:rsid w:val="00576781"/>
    <w:rsid w:val="00590AE8"/>
    <w:rsid w:val="00597D9C"/>
    <w:rsid w:val="005A546F"/>
    <w:rsid w:val="005F1389"/>
    <w:rsid w:val="0060251E"/>
    <w:rsid w:val="00625E66"/>
    <w:rsid w:val="00640996"/>
    <w:rsid w:val="00646698"/>
    <w:rsid w:val="006508B3"/>
    <w:rsid w:val="006519BC"/>
    <w:rsid w:val="00660FFD"/>
    <w:rsid w:val="00663034"/>
    <w:rsid w:val="00664406"/>
    <w:rsid w:val="00671638"/>
    <w:rsid w:val="00672B11"/>
    <w:rsid w:val="00685767"/>
    <w:rsid w:val="00686C51"/>
    <w:rsid w:val="00690824"/>
    <w:rsid w:val="006971A6"/>
    <w:rsid w:val="006A025C"/>
    <w:rsid w:val="006A3D78"/>
    <w:rsid w:val="006C04FD"/>
    <w:rsid w:val="006C0A9B"/>
    <w:rsid w:val="006D4FBA"/>
    <w:rsid w:val="006D76D3"/>
    <w:rsid w:val="006E1125"/>
    <w:rsid w:val="006E748D"/>
    <w:rsid w:val="00703D61"/>
    <w:rsid w:val="0073082E"/>
    <w:rsid w:val="0074266F"/>
    <w:rsid w:val="00753B93"/>
    <w:rsid w:val="00757CF0"/>
    <w:rsid w:val="007679B3"/>
    <w:rsid w:val="007730B1"/>
    <w:rsid w:val="00776420"/>
    <w:rsid w:val="0078725B"/>
    <w:rsid w:val="00791977"/>
    <w:rsid w:val="00793BFA"/>
    <w:rsid w:val="00793C77"/>
    <w:rsid w:val="0079576B"/>
    <w:rsid w:val="00795880"/>
    <w:rsid w:val="007A5E54"/>
    <w:rsid w:val="007B64B9"/>
    <w:rsid w:val="007C1C73"/>
    <w:rsid w:val="007D197B"/>
    <w:rsid w:val="007E0DA4"/>
    <w:rsid w:val="00800DB2"/>
    <w:rsid w:val="00803BCD"/>
    <w:rsid w:val="008068F9"/>
    <w:rsid w:val="00813407"/>
    <w:rsid w:val="00814A1A"/>
    <w:rsid w:val="00815799"/>
    <w:rsid w:val="00817ACE"/>
    <w:rsid w:val="00824995"/>
    <w:rsid w:val="00832A06"/>
    <w:rsid w:val="0083320F"/>
    <w:rsid w:val="00837DAF"/>
    <w:rsid w:val="00844C5C"/>
    <w:rsid w:val="00845641"/>
    <w:rsid w:val="00847795"/>
    <w:rsid w:val="00852E16"/>
    <w:rsid w:val="00865A6F"/>
    <w:rsid w:val="008732ED"/>
    <w:rsid w:val="00876001"/>
    <w:rsid w:val="008836E9"/>
    <w:rsid w:val="008A11CA"/>
    <w:rsid w:val="008A1CAB"/>
    <w:rsid w:val="008B51D2"/>
    <w:rsid w:val="008D00CC"/>
    <w:rsid w:val="008D3EC9"/>
    <w:rsid w:val="008D50DC"/>
    <w:rsid w:val="008E6B5A"/>
    <w:rsid w:val="008F405E"/>
    <w:rsid w:val="008F71E7"/>
    <w:rsid w:val="00901136"/>
    <w:rsid w:val="00905F2F"/>
    <w:rsid w:val="00916D99"/>
    <w:rsid w:val="00926348"/>
    <w:rsid w:val="00930AF6"/>
    <w:rsid w:val="00931470"/>
    <w:rsid w:val="0093302B"/>
    <w:rsid w:val="009363E6"/>
    <w:rsid w:val="0093780C"/>
    <w:rsid w:val="00942F62"/>
    <w:rsid w:val="0094372C"/>
    <w:rsid w:val="00963DCB"/>
    <w:rsid w:val="009750F8"/>
    <w:rsid w:val="009764A3"/>
    <w:rsid w:val="00976A3C"/>
    <w:rsid w:val="00990AA0"/>
    <w:rsid w:val="0099104C"/>
    <w:rsid w:val="00991ECB"/>
    <w:rsid w:val="0099453E"/>
    <w:rsid w:val="009A405D"/>
    <w:rsid w:val="009A43FE"/>
    <w:rsid w:val="009A5E68"/>
    <w:rsid w:val="009A5FE2"/>
    <w:rsid w:val="009B06B5"/>
    <w:rsid w:val="009B50F4"/>
    <w:rsid w:val="009D0445"/>
    <w:rsid w:val="009D7711"/>
    <w:rsid w:val="00A0445D"/>
    <w:rsid w:val="00A05518"/>
    <w:rsid w:val="00A175F9"/>
    <w:rsid w:val="00A22020"/>
    <w:rsid w:val="00A33450"/>
    <w:rsid w:val="00A44B18"/>
    <w:rsid w:val="00A46E9D"/>
    <w:rsid w:val="00A62844"/>
    <w:rsid w:val="00A67394"/>
    <w:rsid w:val="00A71978"/>
    <w:rsid w:val="00A73024"/>
    <w:rsid w:val="00A732E5"/>
    <w:rsid w:val="00A7349C"/>
    <w:rsid w:val="00A81F01"/>
    <w:rsid w:val="00A9652B"/>
    <w:rsid w:val="00AA0980"/>
    <w:rsid w:val="00AB5311"/>
    <w:rsid w:val="00AC0143"/>
    <w:rsid w:val="00AC6B7A"/>
    <w:rsid w:val="00AD5F30"/>
    <w:rsid w:val="00AE356F"/>
    <w:rsid w:val="00AF12B7"/>
    <w:rsid w:val="00AF229F"/>
    <w:rsid w:val="00AF5302"/>
    <w:rsid w:val="00AF6327"/>
    <w:rsid w:val="00B010CB"/>
    <w:rsid w:val="00B0464E"/>
    <w:rsid w:val="00B13F3F"/>
    <w:rsid w:val="00B16CED"/>
    <w:rsid w:val="00B30A2A"/>
    <w:rsid w:val="00B30FF9"/>
    <w:rsid w:val="00B368BA"/>
    <w:rsid w:val="00B42120"/>
    <w:rsid w:val="00B44F93"/>
    <w:rsid w:val="00B536A0"/>
    <w:rsid w:val="00B6389E"/>
    <w:rsid w:val="00B64715"/>
    <w:rsid w:val="00B6766E"/>
    <w:rsid w:val="00B70E20"/>
    <w:rsid w:val="00B73B41"/>
    <w:rsid w:val="00B77C4B"/>
    <w:rsid w:val="00B800C5"/>
    <w:rsid w:val="00B82240"/>
    <w:rsid w:val="00BB25D0"/>
    <w:rsid w:val="00BB614B"/>
    <w:rsid w:val="00BC7A5F"/>
    <w:rsid w:val="00BD050E"/>
    <w:rsid w:val="00BD3A9A"/>
    <w:rsid w:val="00BE156E"/>
    <w:rsid w:val="00BE1A2B"/>
    <w:rsid w:val="00BE2F3E"/>
    <w:rsid w:val="00BE3FEB"/>
    <w:rsid w:val="00BE6820"/>
    <w:rsid w:val="00BE7BD5"/>
    <w:rsid w:val="00BF03C8"/>
    <w:rsid w:val="00BF3ECF"/>
    <w:rsid w:val="00BF5388"/>
    <w:rsid w:val="00BF78EF"/>
    <w:rsid w:val="00C0239E"/>
    <w:rsid w:val="00C12A28"/>
    <w:rsid w:val="00C223BD"/>
    <w:rsid w:val="00C27FC1"/>
    <w:rsid w:val="00C40F50"/>
    <w:rsid w:val="00C4217E"/>
    <w:rsid w:val="00C52641"/>
    <w:rsid w:val="00C61117"/>
    <w:rsid w:val="00C679AA"/>
    <w:rsid w:val="00C81D55"/>
    <w:rsid w:val="00C835F8"/>
    <w:rsid w:val="00C97D9E"/>
    <w:rsid w:val="00CA3517"/>
    <w:rsid w:val="00CA44E3"/>
    <w:rsid w:val="00CB2874"/>
    <w:rsid w:val="00CB289D"/>
    <w:rsid w:val="00CB7195"/>
    <w:rsid w:val="00CC1F5D"/>
    <w:rsid w:val="00CC6C93"/>
    <w:rsid w:val="00CD4452"/>
    <w:rsid w:val="00CD6AAD"/>
    <w:rsid w:val="00CF1498"/>
    <w:rsid w:val="00CF4263"/>
    <w:rsid w:val="00CF5DA8"/>
    <w:rsid w:val="00CF5E0E"/>
    <w:rsid w:val="00D01EB5"/>
    <w:rsid w:val="00D05A26"/>
    <w:rsid w:val="00D134EA"/>
    <w:rsid w:val="00D16298"/>
    <w:rsid w:val="00D16B4E"/>
    <w:rsid w:val="00D2191A"/>
    <w:rsid w:val="00D44ACA"/>
    <w:rsid w:val="00D461D1"/>
    <w:rsid w:val="00D52DFF"/>
    <w:rsid w:val="00D70881"/>
    <w:rsid w:val="00D72223"/>
    <w:rsid w:val="00D75926"/>
    <w:rsid w:val="00D8110F"/>
    <w:rsid w:val="00D85665"/>
    <w:rsid w:val="00DA5B37"/>
    <w:rsid w:val="00DA5BB0"/>
    <w:rsid w:val="00DB0CFF"/>
    <w:rsid w:val="00DB1F9D"/>
    <w:rsid w:val="00DC547A"/>
    <w:rsid w:val="00DD10D5"/>
    <w:rsid w:val="00DD30EB"/>
    <w:rsid w:val="00DE643B"/>
    <w:rsid w:val="00DE701E"/>
    <w:rsid w:val="00E05FE6"/>
    <w:rsid w:val="00E151C1"/>
    <w:rsid w:val="00E246E0"/>
    <w:rsid w:val="00E262E7"/>
    <w:rsid w:val="00E3554E"/>
    <w:rsid w:val="00E37021"/>
    <w:rsid w:val="00E41E63"/>
    <w:rsid w:val="00E57556"/>
    <w:rsid w:val="00E60E09"/>
    <w:rsid w:val="00E61892"/>
    <w:rsid w:val="00E667ED"/>
    <w:rsid w:val="00E77F89"/>
    <w:rsid w:val="00E92EC3"/>
    <w:rsid w:val="00E937D6"/>
    <w:rsid w:val="00E93BEE"/>
    <w:rsid w:val="00EA00A4"/>
    <w:rsid w:val="00EA141D"/>
    <w:rsid w:val="00EA1BAB"/>
    <w:rsid w:val="00EA251D"/>
    <w:rsid w:val="00EA3DAB"/>
    <w:rsid w:val="00EC05FE"/>
    <w:rsid w:val="00EC17E3"/>
    <w:rsid w:val="00ED37F8"/>
    <w:rsid w:val="00EE4004"/>
    <w:rsid w:val="00EF13BB"/>
    <w:rsid w:val="00EF234C"/>
    <w:rsid w:val="00EF27E6"/>
    <w:rsid w:val="00EF7E1A"/>
    <w:rsid w:val="00F15462"/>
    <w:rsid w:val="00F2395E"/>
    <w:rsid w:val="00F24C18"/>
    <w:rsid w:val="00F310C1"/>
    <w:rsid w:val="00F31B27"/>
    <w:rsid w:val="00F33F44"/>
    <w:rsid w:val="00F5336B"/>
    <w:rsid w:val="00F6584C"/>
    <w:rsid w:val="00F736F2"/>
    <w:rsid w:val="00F77005"/>
    <w:rsid w:val="00F86885"/>
    <w:rsid w:val="00F868B3"/>
    <w:rsid w:val="00FA089A"/>
    <w:rsid w:val="00FA40BE"/>
    <w:rsid w:val="00FA53A9"/>
    <w:rsid w:val="00FA6ACC"/>
    <w:rsid w:val="00FB7F6E"/>
    <w:rsid w:val="00FD558D"/>
    <w:rsid w:val="00FE1697"/>
    <w:rsid w:val="00FE3237"/>
    <w:rsid w:val="00FF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4:docId w14:val="2ED2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pPr>
      <w:keepNext/>
      <w:spacing w:before="120" w:after="120"/>
      <w:outlineLvl w:val="0"/>
    </w:pPr>
    <w:rPr>
      <w:rFonts w:ascii="Helvetica" w:hAnsi="Helvetica"/>
      <w:b/>
      <w:kern w:val="28"/>
      <w:szCs w:val="26"/>
    </w:rPr>
  </w:style>
  <w:style w:type="paragraph" w:styleId="Heading2">
    <w:name w:val="heading 2"/>
    <w:basedOn w:val="Normal"/>
    <w:next w:val="standard"/>
    <w:qFormat/>
    <w:pPr>
      <w:keepNext/>
      <w:spacing w:before="120" w:after="120"/>
      <w:outlineLvl w:val="1"/>
    </w:pPr>
    <w:rPr>
      <w:rFonts w:ascii="Helvetica" w:hAnsi="Helvetica"/>
      <w:b/>
      <w:szCs w:val="26"/>
    </w:rPr>
  </w:style>
  <w:style w:type="paragraph" w:styleId="Heading3">
    <w:name w:val="heading 3"/>
    <w:basedOn w:val="Normal"/>
    <w:next w:val="standard"/>
    <w:qFormat/>
    <w:pPr>
      <w:keepNext/>
      <w:numPr>
        <w:ilvl w:val="2"/>
        <w:numId w:val="4"/>
      </w:numPr>
      <w:tabs>
        <w:tab w:val="left" w:pos="1620"/>
      </w:tabs>
      <w:spacing w:before="120" w:after="120"/>
      <w:ind w:left="1620" w:hanging="900"/>
      <w:outlineLvl w:val="2"/>
    </w:pPr>
    <w:rPr>
      <w:rFonts w:ascii="Helvetica" w:hAnsi="Helvetica"/>
      <w:b/>
      <w:szCs w:val="26"/>
    </w:rPr>
  </w:style>
  <w:style w:type="paragraph" w:styleId="Heading4">
    <w:name w:val="heading 4"/>
    <w:basedOn w:val="Normal"/>
    <w:next w:val="standard"/>
    <w:qFormat/>
    <w:pPr>
      <w:keepNext/>
      <w:numPr>
        <w:ilvl w:val="3"/>
        <w:numId w:val="4"/>
      </w:numPr>
      <w:tabs>
        <w:tab w:val="left" w:pos="1800"/>
      </w:tabs>
      <w:spacing w:before="120" w:after="120"/>
      <w:ind w:left="1800" w:hanging="1080"/>
      <w:outlineLvl w:val="3"/>
    </w:pPr>
    <w:rPr>
      <w:rFonts w:ascii="Helvetica" w:hAnsi="Helvetica"/>
      <w:b/>
      <w:szCs w:val="26"/>
    </w:rPr>
  </w:style>
  <w:style w:type="paragraph" w:styleId="Heading5">
    <w:name w:val="heading 5"/>
    <w:basedOn w:val="Normal"/>
    <w:next w:val="standard"/>
    <w:qFormat/>
    <w:pPr>
      <w:numPr>
        <w:ilvl w:val="4"/>
        <w:numId w:val="4"/>
      </w:numPr>
      <w:tabs>
        <w:tab w:val="left" w:pos="1980"/>
      </w:tabs>
      <w:spacing w:before="120" w:after="120"/>
      <w:ind w:left="1980" w:hanging="1260"/>
      <w:outlineLvl w:val="4"/>
    </w:pPr>
    <w:rPr>
      <w:rFonts w:ascii="Helvetica" w:hAnsi="Helvetica"/>
      <w:b/>
      <w:szCs w:val="26"/>
    </w:rPr>
  </w:style>
  <w:style w:type="paragraph" w:styleId="Heading6">
    <w:name w:val="heading 6"/>
    <w:basedOn w:val="Normal"/>
    <w:next w:val="standard"/>
    <w:qFormat/>
    <w:pPr>
      <w:numPr>
        <w:ilvl w:val="5"/>
        <w:numId w:val="4"/>
      </w:numPr>
      <w:tabs>
        <w:tab w:val="left" w:pos="2250"/>
      </w:tabs>
      <w:spacing w:before="120" w:after="120"/>
      <w:ind w:left="2250" w:hanging="1530"/>
      <w:outlineLvl w:val="5"/>
    </w:pPr>
    <w:rPr>
      <w:rFonts w:ascii="Helvetica" w:hAnsi="Helvetica" w:cs="Arial"/>
      <w:b/>
      <w:bCs/>
      <w:szCs w:val="26"/>
    </w:rPr>
  </w:style>
  <w:style w:type="paragraph" w:styleId="Heading7">
    <w:name w:val="heading 7"/>
    <w:basedOn w:val="Normal"/>
    <w:next w:val="standard"/>
    <w:qFormat/>
    <w:pPr>
      <w:numPr>
        <w:ilvl w:val="6"/>
        <w:numId w:val="4"/>
      </w:numPr>
      <w:tabs>
        <w:tab w:val="left" w:pos="2520"/>
      </w:tabs>
      <w:spacing w:before="120" w:after="120"/>
      <w:ind w:left="2520" w:hanging="1800"/>
      <w:outlineLvl w:val="6"/>
    </w:pPr>
    <w:rPr>
      <w:rFonts w:ascii="Helvetica" w:hAnsi="Helvetica"/>
      <w:b/>
    </w:rPr>
  </w:style>
  <w:style w:type="paragraph" w:styleId="Heading8">
    <w:name w:val="heading 8"/>
    <w:basedOn w:val="Heading9"/>
    <w:next w:val="standard"/>
    <w:qFormat/>
    <w:pPr>
      <w:outlineLvl w:val="7"/>
    </w:pPr>
  </w:style>
  <w:style w:type="paragraph" w:styleId="Heading9">
    <w:name w:val="heading 9"/>
    <w:basedOn w:val="Normal"/>
    <w:next w:val="standard"/>
    <w:autoRedefine/>
    <w:qFormat/>
    <w:pPr>
      <w:numPr>
        <w:ilvl w:val="8"/>
        <w:numId w:val="4"/>
      </w:numPr>
      <w:tabs>
        <w:tab w:val="left" w:pos="2880"/>
      </w:tabs>
      <w:spacing w:before="120" w:after="120"/>
      <w:ind w:left="2880" w:hanging="216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2 Char Char Char,Footnote Text Char Char Char Char Char,Footnote Text Char2 Char Char Char Char1 Char,Footnote Text Char2,fn,f"/>
    <w:basedOn w:val="Normal"/>
    <w:link w:val="FootnoteTextChar"/>
    <w:pPr>
      <w:spacing w:after="120"/>
    </w:pPr>
    <w:rPr>
      <w:sz w:val="24"/>
    </w:rPr>
  </w:style>
  <w:style w:type="character" w:styleId="FootnoteReference">
    <w:name w:val="footnote reference"/>
    <w:aliases w:val="o,fr,Style 3,o1,o2,o3,o4,o5,o6,o11,o21,o7,o + Times New Roman,Style 12,(NECG) Footnote Reference,Appel note de bas de p,Style 124,Style 58"/>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link w:val="num1Char"/>
    <w:pPr>
      <w:tabs>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ind w:left="72"/>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pPr>
      <w:tabs>
        <w:tab w:val="left" w:pos="520"/>
        <w:tab w:val="left" w:pos="1080"/>
        <w:tab w:val="right" w:leader="dot" w:pos="9350"/>
      </w:tabs>
      <w:ind w:left="90"/>
    </w:pPr>
    <w:rPr>
      <w:noProof/>
      <w:szCs w:val="26"/>
    </w:rPr>
  </w:style>
  <w:style w:type="paragraph" w:styleId="TOC2">
    <w:name w:val="toc 2"/>
    <w:basedOn w:val="Normal"/>
    <w:next w:val="Normal"/>
    <w:autoRedefine/>
    <w:uiPriority w:val="39"/>
    <w:pPr>
      <w:tabs>
        <w:tab w:val="left" w:pos="1080"/>
        <w:tab w:val="right" w:leader="dot" w:pos="9350"/>
      </w:tabs>
      <w:ind w:left="1080" w:hanging="450"/>
    </w:pPr>
    <w:rPr>
      <w:noProof/>
      <w:szCs w:val="26"/>
    </w:rPr>
  </w:style>
  <w:style w:type="paragraph" w:styleId="TOC3">
    <w:name w:val="toc 3"/>
    <w:basedOn w:val="Normal"/>
    <w:next w:val="Normal"/>
    <w:autoRedefine/>
    <w:uiPriority w:val="39"/>
    <w:pPr>
      <w:tabs>
        <w:tab w:val="left" w:pos="1620"/>
        <w:tab w:val="right" w:leader="dot" w:pos="9350"/>
      </w:tabs>
      <w:ind w:left="1620" w:hanging="54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1"/>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2"/>
      </w:numPr>
      <w:ind w:right="1080"/>
    </w:pPr>
  </w:style>
  <w:style w:type="paragraph" w:customStyle="1" w:styleId="a2">
    <w:name w:val="a2"/>
    <w:basedOn w:val="BodyTextIndent"/>
    <w:link w:val="a2Char"/>
    <w:pPr>
      <w:ind w:left="1166" w:right="1080" w:hanging="446"/>
    </w:pPr>
  </w:style>
  <w:style w:type="character" w:customStyle="1" w:styleId="mainChar">
    <w:name w:val="main Char"/>
    <w:link w:val="main"/>
    <w:rPr>
      <w:rFonts w:ascii="Helvetica" w:hAnsi="Helvetica"/>
      <w:b/>
      <w:sz w:val="26"/>
      <w:lang w:val="en-US" w:eastAsia="en-US" w:bidi="ar-SA"/>
    </w:rPr>
  </w:style>
  <w:style w:type="paragraph" w:customStyle="1" w:styleId="StyleHeading6Left05Hanging106">
    <w:name w:val="Style Heading 6 + Left:  0.5&quot; Hanging:  1.06&quot;"/>
    <w:basedOn w:val="Heading6"/>
    <w:pPr>
      <w:numPr>
        <w:numId w:val="3"/>
      </w:numPr>
    </w:pPr>
    <w:rPr>
      <w:rFonts w:cs="Times New Roman"/>
      <w:bCs w:val="0"/>
      <w:szCs w:val="20"/>
    </w:rPr>
  </w:style>
  <w:style w:type="character" w:customStyle="1" w:styleId="FootnoteTextChar">
    <w:name w:val="Footnote Text Char"/>
    <w:aliases w:val="Footnote Text Char1 Char,Footnote Text Char Char Char,Footnote Text Char2 Char Char,Footnote Text Char2 Char Char Char Char,Footnote Text Char Char Char Char Char Char,Footnote Text Char2 Char Char Char Char1 Char Char,fn Char,f Char"/>
    <w:link w:val="FootnoteText"/>
    <w:rsid w:val="00D85665"/>
    <w:rPr>
      <w:rFonts w:ascii="Palatino" w:hAnsi="Palatino"/>
      <w:sz w:val="24"/>
      <w:lang w:val="en-US" w:eastAsia="en-US" w:bidi="ar-SA"/>
    </w:rPr>
  </w:style>
  <w:style w:type="paragraph" w:customStyle="1" w:styleId="Default">
    <w:name w:val="Default"/>
    <w:link w:val="DefaultChar"/>
    <w:rsid w:val="00D85665"/>
    <w:pPr>
      <w:widowControl w:val="0"/>
      <w:autoSpaceDE w:val="0"/>
      <w:autoSpaceDN w:val="0"/>
      <w:adjustRightInd w:val="0"/>
    </w:pPr>
    <w:rPr>
      <w:color w:val="000000"/>
      <w:sz w:val="24"/>
      <w:szCs w:val="24"/>
    </w:rPr>
  </w:style>
  <w:style w:type="paragraph" w:customStyle="1" w:styleId="CM22">
    <w:name w:val="CM22"/>
    <w:basedOn w:val="Default"/>
    <w:next w:val="Default"/>
    <w:link w:val="CM22Char"/>
    <w:rsid w:val="00D85665"/>
    <w:rPr>
      <w:color w:val="auto"/>
    </w:rPr>
  </w:style>
  <w:style w:type="paragraph" w:customStyle="1" w:styleId="CM14">
    <w:name w:val="CM14"/>
    <w:basedOn w:val="Default"/>
    <w:next w:val="Default"/>
    <w:rsid w:val="00D85665"/>
    <w:pPr>
      <w:spacing w:line="231" w:lineRule="atLeast"/>
    </w:pPr>
    <w:rPr>
      <w:color w:val="auto"/>
    </w:rPr>
  </w:style>
  <w:style w:type="paragraph" w:customStyle="1" w:styleId="CM30">
    <w:name w:val="CM30"/>
    <w:basedOn w:val="Default"/>
    <w:next w:val="Default"/>
    <w:rsid w:val="00D85665"/>
    <w:rPr>
      <w:color w:val="auto"/>
    </w:rPr>
  </w:style>
  <w:style w:type="paragraph" w:customStyle="1" w:styleId="CM24">
    <w:name w:val="CM24"/>
    <w:basedOn w:val="Default"/>
    <w:next w:val="Default"/>
    <w:rsid w:val="00D85665"/>
    <w:rPr>
      <w:color w:val="auto"/>
    </w:rPr>
  </w:style>
  <w:style w:type="paragraph" w:customStyle="1" w:styleId="CM7">
    <w:name w:val="CM7"/>
    <w:basedOn w:val="Default"/>
    <w:next w:val="Default"/>
    <w:rsid w:val="00D85665"/>
    <w:pPr>
      <w:spacing w:line="553" w:lineRule="atLeast"/>
    </w:pPr>
    <w:rPr>
      <w:color w:val="auto"/>
    </w:rPr>
  </w:style>
  <w:style w:type="paragraph" w:customStyle="1" w:styleId="CM16">
    <w:name w:val="CM16"/>
    <w:basedOn w:val="Default"/>
    <w:next w:val="Default"/>
    <w:rsid w:val="00D85665"/>
    <w:rPr>
      <w:color w:val="auto"/>
    </w:rPr>
  </w:style>
  <w:style w:type="paragraph" w:customStyle="1" w:styleId="CM17">
    <w:name w:val="CM17"/>
    <w:basedOn w:val="Default"/>
    <w:next w:val="Default"/>
    <w:rsid w:val="00D85665"/>
    <w:pPr>
      <w:spacing w:line="376" w:lineRule="atLeast"/>
    </w:pPr>
    <w:rPr>
      <w:color w:val="auto"/>
    </w:rPr>
  </w:style>
  <w:style w:type="paragraph" w:customStyle="1" w:styleId="CM25">
    <w:name w:val="CM25"/>
    <w:basedOn w:val="Default"/>
    <w:next w:val="Default"/>
    <w:rsid w:val="00D85665"/>
    <w:rPr>
      <w:color w:val="auto"/>
    </w:rPr>
  </w:style>
  <w:style w:type="paragraph" w:customStyle="1" w:styleId="CM8">
    <w:name w:val="CM8"/>
    <w:basedOn w:val="Default"/>
    <w:next w:val="Default"/>
    <w:rsid w:val="00D85665"/>
    <w:pPr>
      <w:spacing w:line="553" w:lineRule="atLeast"/>
    </w:pPr>
    <w:rPr>
      <w:color w:val="auto"/>
    </w:rPr>
  </w:style>
  <w:style w:type="paragraph" w:customStyle="1" w:styleId="CM1">
    <w:name w:val="CM1"/>
    <w:basedOn w:val="Default"/>
    <w:next w:val="Default"/>
    <w:rsid w:val="00D85665"/>
    <w:rPr>
      <w:color w:val="auto"/>
    </w:rPr>
  </w:style>
  <w:style w:type="paragraph" w:customStyle="1" w:styleId="CM9">
    <w:name w:val="CM9"/>
    <w:basedOn w:val="Default"/>
    <w:next w:val="Default"/>
    <w:rsid w:val="00D85665"/>
    <w:pPr>
      <w:spacing w:line="553" w:lineRule="atLeast"/>
    </w:pPr>
    <w:rPr>
      <w:color w:val="auto"/>
    </w:rPr>
  </w:style>
  <w:style w:type="table" w:styleId="TableGrid">
    <w:name w:val="Table Grid"/>
    <w:basedOn w:val="TableNormal"/>
    <w:rsid w:val="003361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294354"/>
    <w:rPr>
      <w:rFonts w:ascii="Helvetica" w:hAnsi="Helvetica"/>
      <w:b/>
      <w:kern w:val="28"/>
      <w:sz w:val="26"/>
      <w:szCs w:val="26"/>
    </w:rPr>
  </w:style>
  <w:style w:type="character" w:customStyle="1" w:styleId="DefaultChar">
    <w:name w:val="Default Char"/>
    <w:link w:val="Default"/>
    <w:rsid w:val="0083320F"/>
    <w:rPr>
      <w:color w:val="000000"/>
      <w:sz w:val="24"/>
      <w:szCs w:val="24"/>
      <w:lang w:val="en-US" w:eastAsia="en-US" w:bidi="ar-SA"/>
    </w:rPr>
  </w:style>
  <w:style w:type="character" w:customStyle="1" w:styleId="CM22Char">
    <w:name w:val="CM22 Char"/>
    <w:basedOn w:val="DefaultChar"/>
    <w:link w:val="CM22"/>
    <w:rsid w:val="0083320F"/>
    <w:rPr>
      <w:color w:val="000000"/>
      <w:sz w:val="24"/>
      <w:szCs w:val="24"/>
      <w:lang w:val="en-US" w:eastAsia="en-US" w:bidi="ar-SA"/>
    </w:rPr>
  </w:style>
  <w:style w:type="character" w:customStyle="1" w:styleId="BodyTextIndentChar">
    <w:name w:val="Body Text Indent Char"/>
    <w:link w:val="BodyTextIndent"/>
    <w:rsid w:val="00017010"/>
    <w:rPr>
      <w:rFonts w:ascii="Palatino" w:hAnsi="Palatino"/>
      <w:sz w:val="26"/>
      <w:lang w:val="en-US" w:eastAsia="en-US" w:bidi="ar-SA"/>
    </w:rPr>
  </w:style>
  <w:style w:type="character" w:customStyle="1" w:styleId="a2Char">
    <w:name w:val="a2 Char"/>
    <w:basedOn w:val="BodyTextIndentChar"/>
    <w:link w:val="a2"/>
    <w:rsid w:val="00017010"/>
    <w:rPr>
      <w:rFonts w:ascii="Palatino" w:hAnsi="Palatino"/>
      <w:sz w:val="26"/>
      <w:lang w:val="en-US" w:eastAsia="en-US" w:bidi="ar-SA"/>
    </w:rPr>
  </w:style>
  <w:style w:type="character" w:customStyle="1" w:styleId="num1Char">
    <w:name w:val="num1 Char"/>
    <w:link w:val="num1"/>
    <w:rsid w:val="001753FC"/>
    <w:rPr>
      <w:rFonts w:ascii="Palatino" w:hAnsi="Palatino"/>
      <w:sz w:val="26"/>
      <w:lang w:val="en-US" w:eastAsia="en-US" w:bidi="ar-SA"/>
    </w:rPr>
  </w:style>
  <w:style w:type="paragraph" w:styleId="BalloonText">
    <w:name w:val="Balloon Text"/>
    <w:basedOn w:val="Normal"/>
    <w:link w:val="BalloonTextChar"/>
    <w:rsid w:val="00BE1A2B"/>
    <w:rPr>
      <w:rFonts w:ascii="Tahoma" w:hAnsi="Tahoma" w:cs="Tahoma"/>
      <w:sz w:val="16"/>
      <w:szCs w:val="16"/>
    </w:rPr>
  </w:style>
  <w:style w:type="character" w:customStyle="1" w:styleId="BalloonTextChar">
    <w:name w:val="Balloon Text Char"/>
    <w:link w:val="BalloonText"/>
    <w:rsid w:val="00BE1A2B"/>
    <w:rPr>
      <w:rFonts w:ascii="Tahoma" w:hAnsi="Tahoma" w:cs="Tahoma"/>
      <w:sz w:val="16"/>
      <w:szCs w:val="16"/>
    </w:rPr>
  </w:style>
  <w:style w:type="character" w:styleId="CommentReference">
    <w:name w:val="annotation reference"/>
    <w:rsid w:val="005F1389"/>
    <w:rPr>
      <w:sz w:val="16"/>
      <w:szCs w:val="16"/>
    </w:rPr>
  </w:style>
  <w:style w:type="paragraph" w:styleId="CommentText">
    <w:name w:val="annotation text"/>
    <w:basedOn w:val="Normal"/>
    <w:link w:val="CommentTextChar"/>
    <w:rsid w:val="005F1389"/>
    <w:rPr>
      <w:sz w:val="20"/>
    </w:rPr>
  </w:style>
  <w:style w:type="character" w:customStyle="1" w:styleId="CommentTextChar">
    <w:name w:val="Comment Text Char"/>
    <w:link w:val="CommentText"/>
    <w:rsid w:val="005F1389"/>
    <w:rPr>
      <w:rFonts w:ascii="Palatino" w:hAnsi="Palatino"/>
    </w:rPr>
  </w:style>
  <w:style w:type="paragraph" w:styleId="CommentSubject">
    <w:name w:val="annotation subject"/>
    <w:basedOn w:val="CommentText"/>
    <w:next w:val="CommentText"/>
    <w:link w:val="CommentSubjectChar"/>
    <w:rsid w:val="005F1389"/>
    <w:rPr>
      <w:b/>
      <w:bCs/>
    </w:rPr>
  </w:style>
  <w:style w:type="character" w:customStyle="1" w:styleId="CommentSubjectChar">
    <w:name w:val="Comment Subject Char"/>
    <w:link w:val="CommentSubject"/>
    <w:rsid w:val="005F1389"/>
    <w:rPr>
      <w:rFonts w:ascii="Palatino" w:hAnsi="Palatino"/>
      <w:b/>
      <w:bCs/>
    </w:rPr>
  </w:style>
  <w:style w:type="paragraph" w:styleId="Revision">
    <w:name w:val="Revision"/>
    <w:hidden/>
    <w:uiPriority w:val="99"/>
    <w:semiHidden/>
    <w:rsid w:val="00824995"/>
    <w:rPr>
      <w:rFonts w:ascii="Palatino" w:hAnsi="Palatino"/>
      <w:sz w:val="26"/>
    </w:rPr>
  </w:style>
  <w:style w:type="character" w:customStyle="1" w:styleId="FooterChar">
    <w:name w:val="Footer Char"/>
    <w:basedOn w:val="DefaultParagraphFont"/>
    <w:link w:val="Footer"/>
    <w:uiPriority w:val="99"/>
    <w:rsid w:val="00B6389E"/>
    <w:rPr>
      <w:rFonts w:ascii="Palatino" w:hAnsi="Palatin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pPr>
      <w:keepNext/>
      <w:spacing w:before="120" w:after="120"/>
      <w:outlineLvl w:val="0"/>
    </w:pPr>
    <w:rPr>
      <w:rFonts w:ascii="Helvetica" w:hAnsi="Helvetica"/>
      <w:b/>
      <w:kern w:val="28"/>
      <w:szCs w:val="26"/>
    </w:rPr>
  </w:style>
  <w:style w:type="paragraph" w:styleId="Heading2">
    <w:name w:val="heading 2"/>
    <w:basedOn w:val="Normal"/>
    <w:next w:val="standard"/>
    <w:qFormat/>
    <w:pPr>
      <w:keepNext/>
      <w:spacing w:before="120" w:after="120"/>
      <w:outlineLvl w:val="1"/>
    </w:pPr>
    <w:rPr>
      <w:rFonts w:ascii="Helvetica" w:hAnsi="Helvetica"/>
      <w:b/>
      <w:szCs w:val="26"/>
    </w:rPr>
  </w:style>
  <w:style w:type="paragraph" w:styleId="Heading3">
    <w:name w:val="heading 3"/>
    <w:basedOn w:val="Normal"/>
    <w:next w:val="standard"/>
    <w:qFormat/>
    <w:pPr>
      <w:keepNext/>
      <w:numPr>
        <w:ilvl w:val="2"/>
        <w:numId w:val="4"/>
      </w:numPr>
      <w:tabs>
        <w:tab w:val="left" w:pos="1620"/>
      </w:tabs>
      <w:spacing w:before="120" w:after="120"/>
      <w:ind w:left="1620" w:hanging="900"/>
      <w:outlineLvl w:val="2"/>
    </w:pPr>
    <w:rPr>
      <w:rFonts w:ascii="Helvetica" w:hAnsi="Helvetica"/>
      <w:b/>
      <w:szCs w:val="26"/>
    </w:rPr>
  </w:style>
  <w:style w:type="paragraph" w:styleId="Heading4">
    <w:name w:val="heading 4"/>
    <w:basedOn w:val="Normal"/>
    <w:next w:val="standard"/>
    <w:qFormat/>
    <w:pPr>
      <w:keepNext/>
      <w:numPr>
        <w:ilvl w:val="3"/>
        <w:numId w:val="4"/>
      </w:numPr>
      <w:tabs>
        <w:tab w:val="left" w:pos="1800"/>
      </w:tabs>
      <w:spacing w:before="120" w:after="120"/>
      <w:ind w:left="1800" w:hanging="1080"/>
      <w:outlineLvl w:val="3"/>
    </w:pPr>
    <w:rPr>
      <w:rFonts w:ascii="Helvetica" w:hAnsi="Helvetica"/>
      <w:b/>
      <w:szCs w:val="26"/>
    </w:rPr>
  </w:style>
  <w:style w:type="paragraph" w:styleId="Heading5">
    <w:name w:val="heading 5"/>
    <w:basedOn w:val="Normal"/>
    <w:next w:val="standard"/>
    <w:qFormat/>
    <w:pPr>
      <w:numPr>
        <w:ilvl w:val="4"/>
        <w:numId w:val="4"/>
      </w:numPr>
      <w:tabs>
        <w:tab w:val="left" w:pos="1980"/>
      </w:tabs>
      <w:spacing w:before="120" w:after="120"/>
      <w:ind w:left="1980" w:hanging="1260"/>
      <w:outlineLvl w:val="4"/>
    </w:pPr>
    <w:rPr>
      <w:rFonts w:ascii="Helvetica" w:hAnsi="Helvetica"/>
      <w:b/>
      <w:szCs w:val="26"/>
    </w:rPr>
  </w:style>
  <w:style w:type="paragraph" w:styleId="Heading6">
    <w:name w:val="heading 6"/>
    <w:basedOn w:val="Normal"/>
    <w:next w:val="standard"/>
    <w:qFormat/>
    <w:pPr>
      <w:numPr>
        <w:ilvl w:val="5"/>
        <w:numId w:val="4"/>
      </w:numPr>
      <w:tabs>
        <w:tab w:val="left" w:pos="2250"/>
      </w:tabs>
      <w:spacing w:before="120" w:after="120"/>
      <w:ind w:left="2250" w:hanging="1530"/>
      <w:outlineLvl w:val="5"/>
    </w:pPr>
    <w:rPr>
      <w:rFonts w:ascii="Helvetica" w:hAnsi="Helvetica" w:cs="Arial"/>
      <w:b/>
      <w:bCs/>
      <w:szCs w:val="26"/>
    </w:rPr>
  </w:style>
  <w:style w:type="paragraph" w:styleId="Heading7">
    <w:name w:val="heading 7"/>
    <w:basedOn w:val="Normal"/>
    <w:next w:val="standard"/>
    <w:qFormat/>
    <w:pPr>
      <w:numPr>
        <w:ilvl w:val="6"/>
        <w:numId w:val="4"/>
      </w:numPr>
      <w:tabs>
        <w:tab w:val="left" w:pos="2520"/>
      </w:tabs>
      <w:spacing w:before="120" w:after="120"/>
      <w:ind w:left="2520" w:hanging="1800"/>
      <w:outlineLvl w:val="6"/>
    </w:pPr>
    <w:rPr>
      <w:rFonts w:ascii="Helvetica" w:hAnsi="Helvetica"/>
      <w:b/>
    </w:rPr>
  </w:style>
  <w:style w:type="paragraph" w:styleId="Heading8">
    <w:name w:val="heading 8"/>
    <w:basedOn w:val="Heading9"/>
    <w:next w:val="standard"/>
    <w:qFormat/>
    <w:pPr>
      <w:outlineLvl w:val="7"/>
    </w:pPr>
  </w:style>
  <w:style w:type="paragraph" w:styleId="Heading9">
    <w:name w:val="heading 9"/>
    <w:basedOn w:val="Normal"/>
    <w:next w:val="standard"/>
    <w:autoRedefine/>
    <w:qFormat/>
    <w:pPr>
      <w:numPr>
        <w:ilvl w:val="8"/>
        <w:numId w:val="4"/>
      </w:numPr>
      <w:tabs>
        <w:tab w:val="left" w:pos="2880"/>
      </w:tabs>
      <w:spacing w:before="120" w:after="120"/>
      <w:ind w:left="2880" w:hanging="216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aliases w:val="Footnote Text Char1,Footnote Text Char Char,Footnote Text Char2 Char,Footnote Text Char2 Char Char Char,Footnote Text Char Char Char Char Char,Footnote Text Char2 Char Char Char Char1 Char,Footnote Text Char2,fn,f"/>
    <w:basedOn w:val="Normal"/>
    <w:link w:val="FootnoteTextChar"/>
    <w:pPr>
      <w:spacing w:after="120"/>
    </w:pPr>
    <w:rPr>
      <w:sz w:val="24"/>
    </w:rPr>
  </w:style>
  <w:style w:type="character" w:styleId="FootnoteReference">
    <w:name w:val="footnote reference"/>
    <w:aliases w:val="o,fr,Style 3,o1,o2,o3,o4,o5,o6,o11,o21,o7,o + Times New Roman,Style 12,(NECG) Footnote Reference,Appel note de bas de p,Style 124,Style 58"/>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link w:val="num1Char"/>
    <w:pPr>
      <w:tabs>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ind w:left="72"/>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pPr>
      <w:tabs>
        <w:tab w:val="left" w:pos="520"/>
        <w:tab w:val="left" w:pos="1080"/>
        <w:tab w:val="right" w:leader="dot" w:pos="9350"/>
      </w:tabs>
      <w:ind w:left="90"/>
    </w:pPr>
    <w:rPr>
      <w:noProof/>
      <w:szCs w:val="26"/>
    </w:rPr>
  </w:style>
  <w:style w:type="paragraph" w:styleId="TOC2">
    <w:name w:val="toc 2"/>
    <w:basedOn w:val="Normal"/>
    <w:next w:val="Normal"/>
    <w:autoRedefine/>
    <w:uiPriority w:val="39"/>
    <w:pPr>
      <w:tabs>
        <w:tab w:val="left" w:pos="1080"/>
        <w:tab w:val="right" w:leader="dot" w:pos="9350"/>
      </w:tabs>
      <w:ind w:left="1080" w:hanging="450"/>
    </w:pPr>
    <w:rPr>
      <w:noProof/>
      <w:szCs w:val="26"/>
    </w:rPr>
  </w:style>
  <w:style w:type="paragraph" w:styleId="TOC3">
    <w:name w:val="toc 3"/>
    <w:basedOn w:val="Normal"/>
    <w:next w:val="Normal"/>
    <w:autoRedefine/>
    <w:uiPriority w:val="39"/>
    <w:pPr>
      <w:tabs>
        <w:tab w:val="left" w:pos="1620"/>
        <w:tab w:val="right" w:leader="dot" w:pos="9350"/>
      </w:tabs>
      <w:ind w:left="1620" w:hanging="54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1"/>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2"/>
      </w:numPr>
      <w:ind w:right="1080"/>
    </w:pPr>
  </w:style>
  <w:style w:type="paragraph" w:customStyle="1" w:styleId="a2">
    <w:name w:val="a2"/>
    <w:basedOn w:val="BodyTextIndent"/>
    <w:link w:val="a2Char"/>
    <w:pPr>
      <w:ind w:left="1166" w:right="1080" w:hanging="446"/>
    </w:pPr>
  </w:style>
  <w:style w:type="character" w:customStyle="1" w:styleId="mainChar">
    <w:name w:val="main Char"/>
    <w:link w:val="main"/>
    <w:rPr>
      <w:rFonts w:ascii="Helvetica" w:hAnsi="Helvetica"/>
      <w:b/>
      <w:sz w:val="26"/>
      <w:lang w:val="en-US" w:eastAsia="en-US" w:bidi="ar-SA"/>
    </w:rPr>
  </w:style>
  <w:style w:type="paragraph" w:customStyle="1" w:styleId="StyleHeading6Left05Hanging106">
    <w:name w:val="Style Heading 6 + Left:  0.5&quot; Hanging:  1.06&quot;"/>
    <w:basedOn w:val="Heading6"/>
    <w:pPr>
      <w:numPr>
        <w:numId w:val="3"/>
      </w:numPr>
    </w:pPr>
    <w:rPr>
      <w:rFonts w:cs="Times New Roman"/>
      <w:bCs w:val="0"/>
      <w:szCs w:val="20"/>
    </w:rPr>
  </w:style>
  <w:style w:type="character" w:customStyle="1" w:styleId="FootnoteTextChar">
    <w:name w:val="Footnote Text Char"/>
    <w:aliases w:val="Footnote Text Char1 Char,Footnote Text Char Char Char,Footnote Text Char2 Char Char,Footnote Text Char2 Char Char Char Char,Footnote Text Char Char Char Char Char Char,Footnote Text Char2 Char Char Char Char1 Char Char,fn Char,f Char"/>
    <w:link w:val="FootnoteText"/>
    <w:rsid w:val="00D85665"/>
    <w:rPr>
      <w:rFonts w:ascii="Palatino" w:hAnsi="Palatino"/>
      <w:sz w:val="24"/>
      <w:lang w:val="en-US" w:eastAsia="en-US" w:bidi="ar-SA"/>
    </w:rPr>
  </w:style>
  <w:style w:type="paragraph" w:customStyle="1" w:styleId="Default">
    <w:name w:val="Default"/>
    <w:link w:val="DefaultChar"/>
    <w:rsid w:val="00D85665"/>
    <w:pPr>
      <w:widowControl w:val="0"/>
      <w:autoSpaceDE w:val="0"/>
      <w:autoSpaceDN w:val="0"/>
      <w:adjustRightInd w:val="0"/>
    </w:pPr>
    <w:rPr>
      <w:color w:val="000000"/>
      <w:sz w:val="24"/>
      <w:szCs w:val="24"/>
    </w:rPr>
  </w:style>
  <w:style w:type="paragraph" w:customStyle="1" w:styleId="CM22">
    <w:name w:val="CM22"/>
    <w:basedOn w:val="Default"/>
    <w:next w:val="Default"/>
    <w:link w:val="CM22Char"/>
    <w:rsid w:val="00D85665"/>
    <w:rPr>
      <w:color w:val="auto"/>
    </w:rPr>
  </w:style>
  <w:style w:type="paragraph" w:customStyle="1" w:styleId="CM14">
    <w:name w:val="CM14"/>
    <w:basedOn w:val="Default"/>
    <w:next w:val="Default"/>
    <w:rsid w:val="00D85665"/>
    <w:pPr>
      <w:spacing w:line="231" w:lineRule="atLeast"/>
    </w:pPr>
    <w:rPr>
      <w:color w:val="auto"/>
    </w:rPr>
  </w:style>
  <w:style w:type="paragraph" w:customStyle="1" w:styleId="CM30">
    <w:name w:val="CM30"/>
    <w:basedOn w:val="Default"/>
    <w:next w:val="Default"/>
    <w:rsid w:val="00D85665"/>
    <w:rPr>
      <w:color w:val="auto"/>
    </w:rPr>
  </w:style>
  <w:style w:type="paragraph" w:customStyle="1" w:styleId="CM24">
    <w:name w:val="CM24"/>
    <w:basedOn w:val="Default"/>
    <w:next w:val="Default"/>
    <w:rsid w:val="00D85665"/>
    <w:rPr>
      <w:color w:val="auto"/>
    </w:rPr>
  </w:style>
  <w:style w:type="paragraph" w:customStyle="1" w:styleId="CM7">
    <w:name w:val="CM7"/>
    <w:basedOn w:val="Default"/>
    <w:next w:val="Default"/>
    <w:rsid w:val="00D85665"/>
    <w:pPr>
      <w:spacing w:line="553" w:lineRule="atLeast"/>
    </w:pPr>
    <w:rPr>
      <w:color w:val="auto"/>
    </w:rPr>
  </w:style>
  <w:style w:type="paragraph" w:customStyle="1" w:styleId="CM16">
    <w:name w:val="CM16"/>
    <w:basedOn w:val="Default"/>
    <w:next w:val="Default"/>
    <w:rsid w:val="00D85665"/>
    <w:rPr>
      <w:color w:val="auto"/>
    </w:rPr>
  </w:style>
  <w:style w:type="paragraph" w:customStyle="1" w:styleId="CM17">
    <w:name w:val="CM17"/>
    <w:basedOn w:val="Default"/>
    <w:next w:val="Default"/>
    <w:rsid w:val="00D85665"/>
    <w:pPr>
      <w:spacing w:line="376" w:lineRule="atLeast"/>
    </w:pPr>
    <w:rPr>
      <w:color w:val="auto"/>
    </w:rPr>
  </w:style>
  <w:style w:type="paragraph" w:customStyle="1" w:styleId="CM25">
    <w:name w:val="CM25"/>
    <w:basedOn w:val="Default"/>
    <w:next w:val="Default"/>
    <w:rsid w:val="00D85665"/>
    <w:rPr>
      <w:color w:val="auto"/>
    </w:rPr>
  </w:style>
  <w:style w:type="paragraph" w:customStyle="1" w:styleId="CM8">
    <w:name w:val="CM8"/>
    <w:basedOn w:val="Default"/>
    <w:next w:val="Default"/>
    <w:rsid w:val="00D85665"/>
    <w:pPr>
      <w:spacing w:line="553" w:lineRule="atLeast"/>
    </w:pPr>
    <w:rPr>
      <w:color w:val="auto"/>
    </w:rPr>
  </w:style>
  <w:style w:type="paragraph" w:customStyle="1" w:styleId="CM1">
    <w:name w:val="CM1"/>
    <w:basedOn w:val="Default"/>
    <w:next w:val="Default"/>
    <w:rsid w:val="00D85665"/>
    <w:rPr>
      <w:color w:val="auto"/>
    </w:rPr>
  </w:style>
  <w:style w:type="paragraph" w:customStyle="1" w:styleId="CM9">
    <w:name w:val="CM9"/>
    <w:basedOn w:val="Default"/>
    <w:next w:val="Default"/>
    <w:rsid w:val="00D85665"/>
    <w:pPr>
      <w:spacing w:line="553" w:lineRule="atLeast"/>
    </w:pPr>
    <w:rPr>
      <w:color w:val="auto"/>
    </w:rPr>
  </w:style>
  <w:style w:type="table" w:styleId="TableGrid">
    <w:name w:val="Table Grid"/>
    <w:basedOn w:val="TableNormal"/>
    <w:rsid w:val="003361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294354"/>
    <w:rPr>
      <w:rFonts w:ascii="Helvetica" w:hAnsi="Helvetica"/>
      <w:b/>
      <w:kern w:val="28"/>
      <w:sz w:val="26"/>
      <w:szCs w:val="26"/>
    </w:rPr>
  </w:style>
  <w:style w:type="character" w:customStyle="1" w:styleId="DefaultChar">
    <w:name w:val="Default Char"/>
    <w:link w:val="Default"/>
    <w:rsid w:val="0083320F"/>
    <w:rPr>
      <w:color w:val="000000"/>
      <w:sz w:val="24"/>
      <w:szCs w:val="24"/>
      <w:lang w:val="en-US" w:eastAsia="en-US" w:bidi="ar-SA"/>
    </w:rPr>
  </w:style>
  <w:style w:type="character" w:customStyle="1" w:styleId="CM22Char">
    <w:name w:val="CM22 Char"/>
    <w:basedOn w:val="DefaultChar"/>
    <w:link w:val="CM22"/>
    <w:rsid w:val="0083320F"/>
    <w:rPr>
      <w:color w:val="000000"/>
      <w:sz w:val="24"/>
      <w:szCs w:val="24"/>
      <w:lang w:val="en-US" w:eastAsia="en-US" w:bidi="ar-SA"/>
    </w:rPr>
  </w:style>
  <w:style w:type="character" w:customStyle="1" w:styleId="BodyTextIndentChar">
    <w:name w:val="Body Text Indent Char"/>
    <w:link w:val="BodyTextIndent"/>
    <w:rsid w:val="00017010"/>
    <w:rPr>
      <w:rFonts w:ascii="Palatino" w:hAnsi="Palatino"/>
      <w:sz w:val="26"/>
      <w:lang w:val="en-US" w:eastAsia="en-US" w:bidi="ar-SA"/>
    </w:rPr>
  </w:style>
  <w:style w:type="character" w:customStyle="1" w:styleId="a2Char">
    <w:name w:val="a2 Char"/>
    <w:basedOn w:val="BodyTextIndentChar"/>
    <w:link w:val="a2"/>
    <w:rsid w:val="00017010"/>
    <w:rPr>
      <w:rFonts w:ascii="Palatino" w:hAnsi="Palatino"/>
      <w:sz w:val="26"/>
      <w:lang w:val="en-US" w:eastAsia="en-US" w:bidi="ar-SA"/>
    </w:rPr>
  </w:style>
  <w:style w:type="character" w:customStyle="1" w:styleId="num1Char">
    <w:name w:val="num1 Char"/>
    <w:link w:val="num1"/>
    <w:rsid w:val="001753FC"/>
    <w:rPr>
      <w:rFonts w:ascii="Palatino" w:hAnsi="Palatino"/>
      <w:sz w:val="26"/>
      <w:lang w:val="en-US" w:eastAsia="en-US" w:bidi="ar-SA"/>
    </w:rPr>
  </w:style>
  <w:style w:type="paragraph" w:styleId="BalloonText">
    <w:name w:val="Balloon Text"/>
    <w:basedOn w:val="Normal"/>
    <w:link w:val="BalloonTextChar"/>
    <w:rsid w:val="00BE1A2B"/>
    <w:rPr>
      <w:rFonts w:ascii="Tahoma" w:hAnsi="Tahoma" w:cs="Tahoma"/>
      <w:sz w:val="16"/>
      <w:szCs w:val="16"/>
    </w:rPr>
  </w:style>
  <w:style w:type="character" w:customStyle="1" w:styleId="BalloonTextChar">
    <w:name w:val="Balloon Text Char"/>
    <w:link w:val="BalloonText"/>
    <w:rsid w:val="00BE1A2B"/>
    <w:rPr>
      <w:rFonts w:ascii="Tahoma" w:hAnsi="Tahoma" w:cs="Tahoma"/>
      <w:sz w:val="16"/>
      <w:szCs w:val="16"/>
    </w:rPr>
  </w:style>
  <w:style w:type="character" w:styleId="CommentReference">
    <w:name w:val="annotation reference"/>
    <w:rsid w:val="005F1389"/>
    <w:rPr>
      <w:sz w:val="16"/>
      <w:szCs w:val="16"/>
    </w:rPr>
  </w:style>
  <w:style w:type="paragraph" w:styleId="CommentText">
    <w:name w:val="annotation text"/>
    <w:basedOn w:val="Normal"/>
    <w:link w:val="CommentTextChar"/>
    <w:rsid w:val="005F1389"/>
    <w:rPr>
      <w:sz w:val="20"/>
    </w:rPr>
  </w:style>
  <w:style w:type="character" w:customStyle="1" w:styleId="CommentTextChar">
    <w:name w:val="Comment Text Char"/>
    <w:link w:val="CommentText"/>
    <w:rsid w:val="005F1389"/>
    <w:rPr>
      <w:rFonts w:ascii="Palatino" w:hAnsi="Palatino"/>
    </w:rPr>
  </w:style>
  <w:style w:type="paragraph" w:styleId="CommentSubject">
    <w:name w:val="annotation subject"/>
    <w:basedOn w:val="CommentText"/>
    <w:next w:val="CommentText"/>
    <w:link w:val="CommentSubjectChar"/>
    <w:rsid w:val="005F1389"/>
    <w:rPr>
      <w:b/>
      <w:bCs/>
    </w:rPr>
  </w:style>
  <w:style w:type="character" w:customStyle="1" w:styleId="CommentSubjectChar">
    <w:name w:val="Comment Subject Char"/>
    <w:link w:val="CommentSubject"/>
    <w:rsid w:val="005F1389"/>
    <w:rPr>
      <w:rFonts w:ascii="Palatino" w:hAnsi="Palatino"/>
      <w:b/>
      <w:bCs/>
    </w:rPr>
  </w:style>
  <w:style w:type="paragraph" w:styleId="Revision">
    <w:name w:val="Revision"/>
    <w:hidden/>
    <w:uiPriority w:val="99"/>
    <w:semiHidden/>
    <w:rsid w:val="00824995"/>
    <w:rPr>
      <w:rFonts w:ascii="Palatino" w:hAnsi="Palatino"/>
      <w:sz w:val="26"/>
    </w:rPr>
  </w:style>
  <w:style w:type="character" w:customStyle="1" w:styleId="FooterChar">
    <w:name w:val="Footer Char"/>
    <w:basedOn w:val="DefaultParagraphFont"/>
    <w:link w:val="Footer"/>
    <w:uiPriority w:val="99"/>
    <w:rsid w:val="00B6389E"/>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7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docs.cpuc.ca.gov/WORD_PDF/AGENDA_DECISION/143256.PDF" TargetMode="External"/><Relationship Id="rId1" Type="http://schemas.openxmlformats.org/officeDocument/2006/relationships/hyperlink" Target="http://docs.cpuc.ca.gov/PublishedDocs/Efile/G000/M031/K743/317437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4834</Words>
  <Characters>27556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ALJ/MLC/tcg</vt:lpstr>
    </vt:vector>
  </TitlesOfParts>
  <Manager/>
  <Company/>
  <LinksUpToDate>false</LinksUpToDate>
  <CharactersWithSpaces>32326</CharactersWithSpaces>
  <SharedDoc>false</SharedDoc>
  <HyperlinkBase> </HyperlinkBase>
  <HLinks>
    <vt:vector size="12" baseType="variant">
      <vt:variant>
        <vt:i4>6488161</vt:i4>
      </vt:variant>
      <vt:variant>
        <vt:i4>3</vt:i4>
      </vt:variant>
      <vt:variant>
        <vt:i4>0</vt:i4>
      </vt:variant>
      <vt:variant>
        <vt:i4>5</vt:i4>
      </vt:variant>
      <vt:variant>
        <vt:lpwstr>http://www.cpuc.ca.gov/</vt:lpwstr>
      </vt:variant>
      <vt:variant>
        <vt:lpwstr/>
      </vt:variant>
      <vt:variant>
        <vt:i4>3407945</vt:i4>
      </vt:variant>
      <vt:variant>
        <vt:i4>0</vt:i4>
      </vt:variant>
      <vt:variant>
        <vt:i4>0</vt:i4>
      </vt:variant>
      <vt:variant>
        <vt:i4>5</vt:i4>
      </vt:variant>
      <vt:variant>
        <vt:lpwstr>mailto:lrr@cpuc.ca.gov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2013-05-22T18:06:00Z</cp:lastPrinted>
  <dcterms:created xsi:type="dcterms:W3CDTF">2013-05-22T21:20:00Z</dcterms:created>
  <dcterms:modified xsi:type="dcterms:W3CDTF">2013-05-22T21:20:00Z</dcterms:modified>
  <cp:category> </cp:category>
  <cp:contentStatus> </cp:contentStatus>
</cp:coreProperties>
</file>