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F38CC" w14:textId="3EED3A0E" w:rsidR="00610316" w:rsidRPr="00610316" w:rsidRDefault="00CE6C63" w:rsidP="00610316">
      <w:pPr>
        <w:widowControl w:val="0"/>
        <w:tabs>
          <w:tab w:val="center" w:pos="4680"/>
          <w:tab w:val="right" w:pos="9360"/>
        </w:tabs>
        <w:spacing w:after="0" w:line="240" w:lineRule="auto"/>
        <w:rPr>
          <w:rFonts w:ascii="Palatino" w:eastAsia="Times New Roman" w:hAnsi="Palatino"/>
          <w:sz w:val="26"/>
          <w:szCs w:val="20"/>
        </w:rPr>
      </w:pPr>
      <w:bookmarkStart w:id="0" w:name="_GoBack"/>
      <w:bookmarkEnd w:id="0"/>
      <w:r>
        <w:rPr>
          <w:rFonts w:ascii="Palatino" w:eastAsia="Times New Roman" w:hAnsi="Palatino"/>
          <w:sz w:val="26"/>
          <w:szCs w:val="20"/>
        </w:rPr>
        <w:t xml:space="preserve">ALJ/KHY/jv1     </w:t>
      </w:r>
      <w:r w:rsidR="00610316" w:rsidRPr="00610316">
        <w:rPr>
          <w:rFonts w:ascii="Helvetica" w:eastAsia="Times New Roman" w:hAnsi="Helvetica"/>
          <w:b/>
          <w:sz w:val="32"/>
          <w:szCs w:val="32"/>
        </w:rPr>
        <w:t>PROPOSED DECISION</w:t>
      </w:r>
      <w:r w:rsidR="00610316" w:rsidRPr="00610316">
        <w:rPr>
          <w:rFonts w:ascii="Palatino" w:eastAsia="Times New Roman" w:hAnsi="Palatino"/>
          <w:b/>
          <w:sz w:val="26"/>
          <w:szCs w:val="20"/>
        </w:rPr>
        <w:tab/>
      </w:r>
      <w:r w:rsidR="00610316" w:rsidRPr="00610316">
        <w:rPr>
          <w:rFonts w:ascii="Palatino" w:eastAsia="Times New Roman" w:hAnsi="Palatino"/>
          <w:bCs/>
          <w:sz w:val="26"/>
          <w:szCs w:val="20"/>
        </w:rPr>
        <w:t>Agenda ID #</w:t>
      </w:r>
      <w:r w:rsidR="000928F3">
        <w:rPr>
          <w:rFonts w:ascii="Palatino" w:eastAsia="Times New Roman" w:hAnsi="Palatino"/>
          <w:bCs/>
          <w:sz w:val="26"/>
          <w:szCs w:val="20"/>
        </w:rPr>
        <w:t>12083</w:t>
      </w:r>
      <w:r>
        <w:rPr>
          <w:rFonts w:ascii="Palatino" w:eastAsia="Times New Roman" w:hAnsi="Palatino"/>
          <w:bCs/>
          <w:sz w:val="26"/>
          <w:szCs w:val="20"/>
        </w:rPr>
        <w:t xml:space="preserve">  </w:t>
      </w:r>
      <w:r w:rsidR="00EC768A">
        <w:rPr>
          <w:rFonts w:ascii="Palatino" w:eastAsia="Times New Roman" w:hAnsi="Palatino"/>
          <w:bCs/>
          <w:sz w:val="26"/>
          <w:szCs w:val="20"/>
        </w:rPr>
        <w:t>Revision</w:t>
      </w:r>
      <w:r>
        <w:rPr>
          <w:rFonts w:ascii="Palatino" w:eastAsia="Times New Roman" w:hAnsi="Palatino"/>
          <w:bCs/>
          <w:sz w:val="26"/>
          <w:szCs w:val="20"/>
        </w:rPr>
        <w:t xml:space="preserve"> 1</w:t>
      </w:r>
    </w:p>
    <w:p w14:paraId="0DA2D27D" w14:textId="4FA02B98" w:rsidR="00610316" w:rsidRPr="00610316" w:rsidRDefault="00CE6C63" w:rsidP="00610316">
      <w:pPr>
        <w:widowControl w:val="0"/>
        <w:tabs>
          <w:tab w:val="center" w:pos="4320"/>
          <w:tab w:val="right" w:pos="9360"/>
        </w:tabs>
        <w:spacing w:after="0" w:line="240" w:lineRule="auto"/>
        <w:rPr>
          <w:rFonts w:ascii="Palatino" w:eastAsia="Times New Roman" w:hAnsi="Palatino"/>
          <w:sz w:val="26"/>
          <w:szCs w:val="20"/>
        </w:rPr>
      </w:pPr>
      <w:r>
        <w:rPr>
          <w:rFonts w:ascii="Palatino" w:eastAsia="Times New Roman" w:hAnsi="Palatino"/>
          <w:sz w:val="26"/>
          <w:szCs w:val="20"/>
        </w:rPr>
        <w:tab/>
      </w:r>
      <w:r>
        <w:rPr>
          <w:rFonts w:ascii="Palatino" w:eastAsia="Times New Roman" w:hAnsi="Palatino"/>
          <w:sz w:val="26"/>
          <w:szCs w:val="20"/>
        </w:rPr>
        <w:tab/>
        <w:t>Ratesetting</w:t>
      </w:r>
    </w:p>
    <w:p w14:paraId="3A71B9F0" w14:textId="282632A3" w:rsidR="00610316" w:rsidRDefault="00CE6C63" w:rsidP="00610316">
      <w:pPr>
        <w:suppressAutoHyphens/>
        <w:spacing w:after="0" w:line="240" w:lineRule="auto"/>
        <w:rPr>
          <w:rFonts w:ascii="Palatino" w:eastAsia="Times New Roman" w:hAnsi="Palatino"/>
          <w:sz w:val="26"/>
          <w:szCs w:val="20"/>
        </w:rPr>
      </w:pPr>
      <w:r>
        <w:rPr>
          <w:rFonts w:ascii="Palatino" w:eastAsia="Times New Roman" w:hAnsi="Palatino"/>
          <w:sz w:val="26"/>
          <w:szCs w:val="20"/>
        </w:rPr>
        <w:tab/>
      </w:r>
      <w:r>
        <w:rPr>
          <w:rFonts w:ascii="Palatino" w:eastAsia="Times New Roman" w:hAnsi="Palatino"/>
          <w:sz w:val="26"/>
          <w:szCs w:val="20"/>
        </w:rPr>
        <w:tab/>
      </w:r>
      <w:r>
        <w:rPr>
          <w:rFonts w:ascii="Palatino" w:eastAsia="Times New Roman" w:hAnsi="Palatino"/>
          <w:sz w:val="26"/>
          <w:szCs w:val="20"/>
        </w:rPr>
        <w:tab/>
      </w:r>
      <w:r>
        <w:rPr>
          <w:rFonts w:ascii="Palatino" w:eastAsia="Times New Roman" w:hAnsi="Palatino"/>
          <w:sz w:val="26"/>
          <w:szCs w:val="20"/>
        </w:rPr>
        <w:tab/>
      </w:r>
      <w:r>
        <w:rPr>
          <w:rFonts w:ascii="Palatino" w:eastAsia="Times New Roman" w:hAnsi="Palatino"/>
          <w:sz w:val="26"/>
          <w:szCs w:val="20"/>
        </w:rPr>
        <w:tab/>
      </w:r>
      <w:r>
        <w:rPr>
          <w:rFonts w:ascii="Palatino" w:eastAsia="Times New Roman" w:hAnsi="Palatino"/>
          <w:sz w:val="26"/>
          <w:szCs w:val="20"/>
        </w:rPr>
        <w:tab/>
      </w:r>
      <w:r>
        <w:rPr>
          <w:rFonts w:ascii="Palatino" w:eastAsia="Times New Roman" w:hAnsi="Palatino"/>
          <w:sz w:val="26"/>
          <w:szCs w:val="20"/>
        </w:rPr>
        <w:tab/>
      </w:r>
      <w:r>
        <w:rPr>
          <w:rFonts w:ascii="Palatino" w:eastAsia="Times New Roman" w:hAnsi="Palatino"/>
          <w:sz w:val="26"/>
          <w:szCs w:val="20"/>
        </w:rPr>
        <w:tab/>
      </w:r>
      <w:r>
        <w:rPr>
          <w:rFonts w:ascii="Palatino" w:eastAsia="Times New Roman" w:hAnsi="Palatino"/>
          <w:sz w:val="26"/>
          <w:szCs w:val="20"/>
        </w:rPr>
        <w:tab/>
      </w:r>
      <w:r>
        <w:rPr>
          <w:rFonts w:ascii="Palatino" w:eastAsia="Times New Roman" w:hAnsi="Palatino"/>
          <w:sz w:val="26"/>
          <w:szCs w:val="20"/>
        </w:rPr>
        <w:tab/>
        <w:t xml:space="preserve">   Item 12  5/23/13</w:t>
      </w:r>
    </w:p>
    <w:p w14:paraId="71F33A59" w14:textId="77777777" w:rsidR="00CE6C63" w:rsidRPr="00610316" w:rsidRDefault="00CE6C63" w:rsidP="00610316">
      <w:pPr>
        <w:suppressAutoHyphens/>
        <w:spacing w:after="0" w:line="240" w:lineRule="auto"/>
        <w:rPr>
          <w:rFonts w:ascii="Palatino" w:eastAsia="Times New Roman" w:hAnsi="Palatino"/>
          <w:sz w:val="26"/>
          <w:szCs w:val="20"/>
        </w:rPr>
      </w:pPr>
    </w:p>
    <w:p w14:paraId="37F6EC54" w14:textId="64F47CC5" w:rsidR="00610316" w:rsidRPr="00610316" w:rsidRDefault="00610316" w:rsidP="00610316">
      <w:pPr>
        <w:suppressAutoHyphens/>
        <w:spacing w:after="0" w:line="240" w:lineRule="auto"/>
        <w:rPr>
          <w:rFonts w:ascii="Palatino" w:eastAsia="Times New Roman" w:hAnsi="Palatino"/>
          <w:sz w:val="26"/>
          <w:szCs w:val="20"/>
        </w:rPr>
      </w:pPr>
      <w:r w:rsidRPr="00610316">
        <w:rPr>
          <w:rFonts w:ascii="Palatino" w:eastAsia="Times New Roman" w:hAnsi="Palatino"/>
          <w:sz w:val="26"/>
          <w:szCs w:val="20"/>
        </w:rPr>
        <w:t xml:space="preserve">Decision </w:t>
      </w:r>
      <w:r w:rsidRPr="00610316">
        <w:rPr>
          <w:rFonts w:ascii="Palatino" w:eastAsia="Times New Roman" w:hAnsi="Palatino"/>
          <w:b/>
          <w:sz w:val="26"/>
          <w:szCs w:val="20"/>
          <w:u w:val="single"/>
        </w:rPr>
        <w:t>PROPOSED DECISION OF ALJ HYMES</w:t>
      </w:r>
      <w:r w:rsidR="004331C1">
        <w:rPr>
          <w:rFonts w:ascii="Palatino" w:eastAsia="Times New Roman" w:hAnsi="Palatino"/>
          <w:b/>
          <w:sz w:val="26"/>
          <w:szCs w:val="20"/>
        </w:rPr>
        <w:t xml:space="preserve">  </w:t>
      </w:r>
      <w:r w:rsidR="004331C1" w:rsidRPr="004331C1">
        <w:rPr>
          <w:rFonts w:ascii="Palatino" w:eastAsia="Times New Roman" w:hAnsi="Palatino"/>
          <w:sz w:val="26"/>
          <w:szCs w:val="20"/>
        </w:rPr>
        <w:t>(Mailed  4</w:t>
      </w:r>
      <w:r w:rsidRPr="004331C1">
        <w:rPr>
          <w:rFonts w:ascii="Palatino" w:eastAsia="Times New Roman" w:hAnsi="Palatino"/>
          <w:sz w:val="26"/>
          <w:szCs w:val="20"/>
        </w:rPr>
        <w:t>/</w:t>
      </w:r>
      <w:r w:rsidR="00F9658C">
        <w:rPr>
          <w:rFonts w:ascii="Palatino" w:eastAsia="Times New Roman" w:hAnsi="Palatino"/>
          <w:sz w:val="26"/>
          <w:szCs w:val="20"/>
        </w:rPr>
        <w:t>22</w:t>
      </w:r>
      <w:r w:rsidRPr="004331C1">
        <w:rPr>
          <w:rFonts w:ascii="Palatino" w:eastAsia="Times New Roman" w:hAnsi="Palatino"/>
          <w:sz w:val="26"/>
          <w:szCs w:val="20"/>
        </w:rPr>
        <w:t>/2013)</w:t>
      </w:r>
      <w:r w:rsidR="00851707">
        <w:rPr>
          <w:rFonts w:ascii="Palatino" w:eastAsia="Times New Roman" w:hAnsi="Palatino"/>
          <w:sz w:val="26"/>
          <w:szCs w:val="20"/>
        </w:rPr>
        <w:t xml:space="preserve"> </w:t>
      </w:r>
    </w:p>
    <w:p w14:paraId="16D51894" w14:textId="77777777" w:rsidR="00610316" w:rsidRPr="00610316" w:rsidRDefault="00610316" w:rsidP="00610316">
      <w:pPr>
        <w:suppressAutoHyphens/>
        <w:spacing w:after="0" w:line="240" w:lineRule="auto"/>
        <w:rPr>
          <w:rFonts w:ascii="Palatino" w:eastAsia="Times New Roman" w:hAnsi="Palatino"/>
          <w:sz w:val="26"/>
          <w:szCs w:val="20"/>
        </w:rPr>
      </w:pPr>
    </w:p>
    <w:p w14:paraId="081C92E0" w14:textId="77777777" w:rsidR="00610316" w:rsidRPr="00610316" w:rsidRDefault="00610316" w:rsidP="00610316">
      <w:pPr>
        <w:keepNext/>
        <w:suppressAutoHyphens/>
        <w:spacing w:after="0" w:line="240" w:lineRule="auto"/>
        <w:jc w:val="center"/>
        <w:rPr>
          <w:rFonts w:ascii="Helvetica" w:eastAsia="Times New Roman" w:hAnsi="Helvetica"/>
          <w:b/>
          <w:sz w:val="24"/>
          <w:szCs w:val="20"/>
        </w:rPr>
      </w:pPr>
      <w:r w:rsidRPr="00610316">
        <w:rPr>
          <w:rFonts w:ascii="Helvetica" w:eastAsia="Times New Roman" w:hAnsi="Helvetica"/>
          <w:b/>
          <w:sz w:val="24"/>
          <w:szCs w:val="20"/>
        </w:rPr>
        <w:t>BEFORE THE PUBLIC UTILITIES COMMISSION OF THE STATE OF CALIFORNIA</w:t>
      </w:r>
    </w:p>
    <w:p w14:paraId="4B3B5C30" w14:textId="77777777" w:rsidR="00610316" w:rsidRPr="00610316" w:rsidRDefault="00610316" w:rsidP="00610316">
      <w:pPr>
        <w:suppressAutoHyphens/>
        <w:spacing w:after="0" w:line="240" w:lineRule="auto"/>
        <w:rPr>
          <w:rFonts w:ascii="Palatino" w:eastAsia="Times New Roman" w:hAnsi="Palatino"/>
          <w:sz w:val="26"/>
          <w:szCs w:val="20"/>
        </w:rPr>
      </w:pPr>
    </w:p>
    <w:tbl>
      <w:tblPr>
        <w:tblW w:w="0" w:type="auto"/>
        <w:tblLayout w:type="fixed"/>
        <w:tblLook w:val="0000" w:firstRow="0" w:lastRow="0" w:firstColumn="0" w:lastColumn="0" w:noHBand="0" w:noVBand="0"/>
      </w:tblPr>
      <w:tblGrid>
        <w:gridCol w:w="5958"/>
        <w:gridCol w:w="3600"/>
      </w:tblGrid>
      <w:tr w:rsidR="00610316" w:rsidRPr="00610316" w14:paraId="5A72922C" w14:textId="77777777" w:rsidTr="00513EC9">
        <w:tc>
          <w:tcPr>
            <w:tcW w:w="5958" w:type="dxa"/>
            <w:tcBorders>
              <w:bottom w:val="single" w:sz="6" w:space="0" w:color="auto"/>
              <w:right w:val="single" w:sz="6" w:space="0" w:color="auto"/>
            </w:tcBorders>
          </w:tcPr>
          <w:p w14:paraId="3F4C7BD9" w14:textId="77777777" w:rsidR="00610316" w:rsidRPr="00610316" w:rsidRDefault="00610316" w:rsidP="00610316">
            <w:pPr>
              <w:tabs>
                <w:tab w:val="left" w:pos="1440"/>
                <w:tab w:val="left" w:pos="3600"/>
              </w:tabs>
              <w:spacing w:after="0" w:line="240" w:lineRule="auto"/>
              <w:rPr>
                <w:rFonts w:ascii="Palatino" w:eastAsia="Times New Roman" w:hAnsi="Palatino"/>
                <w:sz w:val="26"/>
                <w:szCs w:val="20"/>
              </w:rPr>
            </w:pPr>
            <w:r w:rsidRPr="00610316">
              <w:rPr>
                <w:rFonts w:ascii="Palatino" w:eastAsia="Times New Roman" w:hAnsi="Palatino"/>
                <w:sz w:val="26"/>
                <w:szCs w:val="20"/>
              </w:rPr>
              <w:t>Application of Pacific Gas and Electric Company, a California corporation, for a Permit to Construct the Shepherd Substation Project Pursuant to General Order 131-D (U39E).</w:t>
            </w:r>
          </w:p>
          <w:p w14:paraId="74380893" w14:textId="77777777" w:rsidR="00610316" w:rsidRPr="00610316" w:rsidRDefault="00610316" w:rsidP="00610316">
            <w:pPr>
              <w:spacing w:after="0" w:line="240" w:lineRule="auto"/>
              <w:rPr>
                <w:rFonts w:ascii="Palatino" w:eastAsia="Times New Roman" w:hAnsi="Palatino"/>
                <w:sz w:val="26"/>
                <w:szCs w:val="20"/>
              </w:rPr>
            </w:pPr>
          </w:p>
        </w:tc>
        <w:tc>
          <w:tcPr>
            <w:tcW w:w="3600" w:type="dxa"/>
            <w:tcBorders>
              <w:left w:val="nil"/>
            </w:tcBorders>
          </w:tcPr>
          <w:p w14:paraId="33162622" w14:textId="77777777" w:rsidR="004841C3" w:rsidRDefault="004841C3" w:rsidP="00610316">
            <w:pPr>
              <w:spacing w:after="0" w:line="240" w:lineRule="auto"/>
              <w:jc w:val="center"/>
              <w:rPr>
                <w:rFonts w:ascii="Palatino" w:eastAsia="Times New Roman" w:hAnsi="Palatino"/>
                <w:sz w:val="26"/>
                <w:szCs w:val="20"/>
              </w:rPr>
            </w:pPr>
          </w:p>
          <w:p w14:paraId="24ADD9F4" w14:textId="77777777" w:rsidR="00610316" w:rsidRPr="00610316" w:rsidRDefault="00610316" w:rsidP="00610316">
            <w:pPr>
              <w:spacing w:after="0" w:line="240" w:lineRule="auto"/>
              <w:jc w:val="center"/>
              <w:rPr>
                <w:rFonts w:ascii="Palatino" w:eastAsia="Times New Roman" w:hAnsi="Palatino"/>
                <w:sz w:val="26"/>
                <w:szCs w:val="20"/>
              </w:rPr>
            </w:pPr>
            <w:r w:rsidRPr="00610316">
              <w:rPr>
                <w:rFonts w:ascii="Palatino" w:eastAsia="Times New Roman" w:hAnsi="Palatino"/>
                <w:sz w:val="26"/>
                <w:szCs w:val="20"/>
              </w:rPr>
              <w:t>Application 10-12-003</w:t>
            </w:r>
          </w:p>
          <w:p w14:paraId="3C8F245B" w14:textId="77777777" w:rsidR="00610316" w:rsidRPr="00610316" w:rsidRDefault="00610316" w:rsidP="00610316">
            <w:pPr>
              <w:spacing w:after="0" w:line="240" w:lineRule="auto"/>
              <w:jc w:val="center"/>
              <w:rPr>
                <w:rFonts w:ascii="Palatino" w:eastAsia="Times New Roman" w:hAnsi="Palatino"/>
                <w:sz w:val="26"/>
                <w:szCs w:val="20"/>
              </w:rPr>
            </w:pPr>
            <w:r w:rsidRPr="00610316">
              <w:rPr>
                <w:rFonts w:ascii="Palatino" w:eastAsia="Times New Roman" w:hAnsi="Palatino"/>
                <w:sz w:val="26"/>
                <w:szCs w:val="20"/>
              </w:rPr>
              <w:t>(Filed December 8, 2010)</w:t>
            </w:r>
          </w:p>
        </w:tc>
      </w:tr>
    </w:tbl>
    <w:p w14:paraId="785E7706" w14:textId="77777777" w:rsidR="00610316" w:rsidRPr="00610316" w:rsidRDefault="00610316" w:rsidP="00610316">
      <w:pPr>
        <w:suppressAutoHyphens/>
        <w:spacing w:after="0" w:line="240" w:lineRule="auto"/>
        <w:rPr>
          <w:rFonts w:ascii="Palatino" w:eastAsia="Times New Roman" w:hAnsi="Palatino"/>
          <w:sz w:val="26"/>
          <w:szCs w:val="20"/>
        </w:rPr>
      </w:pPr>
    </w:p>
    <w:p w14:paraId="5B09279A" w14:textId="77777777" w:rsidR="00610316" w:rsidRPr="00610316" w:rsidRDefault="00610316" w:rsidP="00610316">
      <w:pPr>
        <w:spacing w:after="0" w:line="240" w:lineRule="auto"/>
        <w:rPr>
          <w:rFonts w:ascii="Palatino" w:eastAsia="Times New Roman" w:hAnsi="Palatino"/>
          <w:sz w:val="26"/>
          <w:szCs w:val="20"/>
        </w:rPr>
      </w:pPr>
    </w:p>
    <w:p w14:paraId="0941138B" w14:textId="77777777" w:rsidR="00610316" w:rsidRPr="00610316" w:rsidRDefault="00610316" w:rsidP="00610316">
      <w:pPr>
        <w:spacing w:after="0" w:line="240" w:lineRule="auto"/>
        <w:jc w:val="center"/>
        <w:rPr>
          <w:rFonts w:ascii="Helvetica" w:eastAsia="Times New Roman" w:hAnsi="Helvetica"/>
          <w:b/>
          <w:sz w:val="26"/>
          <w:szCs w:val="20"/>
        </w:rPr>
      </w:pPr>
      <w:r w:rsidRPr="00610316">
        <w:rPr>
          <w:rFonts w:ascii="Helvetica" w:eastAsia="Times New Roman" w:hAnsi="Helvetica"/>
          <w:b/>
          <w:sz w:val="26"/>
          <w:szCs w:val="20"/>
        </w:rPr>
        <w:t>DECISION ADDRESSING THE PACIFIC GAS AND ELECTRIC</w:t>
      </w:r>
    </w:p>
    <w:p w14:paraId="209771BF" w14:textId="77777777" w:rsidR="00610316" w:rsidRPr="00610316" w:rsidRDefault="00610316" w:rsidP="00610316">
      <w:pPr>
        <w:spacing w:after="0" w:line="240" w:lineRule="auto"/>
        <w:jc w:val="center"/>
        <w:rPr>
          <w:rFonts w:ascii="Helvetica" w:eastAsia="Times New Roman" w:hAnsi="Helvetica"/>
          <w:b/>
          <w:sz w:val="26"/>
          <w:szCs w:val="20"/>
        </w:rPr>
      </w:pPr>
      <w:r w:rsidRPr="00610316">
        <w:rPr>
          <w:rFonts w:ascii="Helvetica" w:eastAsia="Times New Roman" w:hAnsi="Helvetica"/>
          <w:b/>
          <w:sz w:val="26"/>
          <w:szCs w:val="20"/>
        </w:rPr>
        <w:t>COMPANY APPLICATION FOR A PERMIT TO CONSTRUCT</w:t>
      </w:r>
    </w:p>
    <w:p w14:paraId="6CF37357" w14:textId="77777777" w:rsidR="00610316" w:rsidRPr="00610316" w:rsidRDefault="00610316" w:rsidP="00610316">
      <w:pPr>
        <w:spacing w:after="0" w:line="240" w:lineRule="auto"/>
        <w:jc w:val="center"/>
        <w:rPr>
          <w:rFonts w:ascii="Helvetica" w:eastAsia="Times New Roman" w:hAnsi="Helvetica"/>
          <w:b/>
          <w:sz w:val="26"/>
          <w:szCs w:val="20"/>
        </w:rPr>
      </w:pPr>
      <w:r w:rsidRPr="00610316">
        <w:rPr>
          <w:rFonts w:ascii="Helvetica" w:eastAsia="Times New Roman" w:hAnsi="Helvetica"/>
          <w:b/>
          <w:sz w:val="26"/>
          <w:szCs w:val="20"/>
        </w:rPr>
        <w:t>THE SHEPHERD SUBSTATION PROJECT</w:t>
      </w:r>
    </w:p>
    <w:p w14:paraId="529CD155" w14:textId="77777777" w:rsidR="00610316" w:rsidRPr="00610316" w:rsidRDefault="00610316" w:rsidP="00610316">
      <w:pPr>
        <w:suppressAutoHyphens/>
        <w:spacing w:after="0" w:line="240" w:lineRule="auto"/>
        <w:rPr>
          <w:rFonts w:ascii="Palatino" w:eastAsia="Times New Roman" w:hAnsi="Palatino"/>
          <w:sz w:val="26"/>
          <w:szCs w:val="20"/>
        </w:rPr>
      </w:pPr>
    </w:p>
    <w:p w14:paraId="651785F7" w14:textId="77777777" w:rsidR="00610316" w:rsidRPr="00610316" w:rsidRDefault="00610316" w:rsidP="009962B1">
      <w:pPr>
        <w:widowControl w:val="0"/>
        <w:numPr>
          <w:ilvl w:val="0"/>
          <w:numId w:val="5"/>
        </w:numPr>
        <w:spacing w:before="120" w:after="120" w:line="240" w:lineRule="auto"/>
        <w:ind w:right="720" w:hanging="720"/>
        <w:outlineLvl w:val="0"/>
        <w:rPr>
          <w:rFonts w:ascii="Helvetica" w:eastAsia="Times New Roman" w:hAnsi="Helvetica"/>
          <w:b/>
          <w:kern w:val="28"/>
          <w:sz w:val="26"/>
          <w:szCs w:val="20"/>
        </w:rPr>
      </w:pPr>
      <w:bookmarkStart w:id="1" w:name="_Toc352237781"/>
      <w:bookmarkStart w:id="2" w:name="_Toc370798910"/>
      <w:r w:rsidRPr="00610316">
        <w:rPr>
          <w:rFonts w:ascii="Helvetica" w:eastAsia="Times New Roman" w:hAnsi="Helvetica"/>
          <w:b/>
          <w:kern w:val="28"/>
          <w:sz w:val="26"/>
          <w:szCs w:val="20"/>
        </w:rPr>
        <w:t>Summary</w:t>
      </w:r>
      <w:bookmarkEnd w:id="1"/>
    </w:p>
    <w:p w14:paraId="527B37A3" w14:textId="3045F908" w:rsidR="00610316" w:rsidRPr="00610316" w:rsidRDefault="00610316" w:rsidP="00610316">
      <w:pPr>
        <w:spacing w:after="0" w:line="360" w:lineRule="auto"/>
        <w:ind w:firstLine="720"/>
        <w:rPr>
          <w:rFonts w:ascii="Palatino" w:eastAsia="Times New Roman" w:hAnsi="Palatino"/>
          <w:sz w:val="26"/>
          <w:szCs w:val="20"/>
        </w:rPr>
      </w:pPr>
      <w:r w:rsidRPr="00610316">
        <w:rPr>
          <w:rFonts w:ascii="Palatino" w:eastAsia="Times New Roman" w:hAnsi="Palatino"/>
          <w:sz w:val="26"/>
          <w:szCs w:val="20"/>
        </w:rPr>
        <w:t xml:space="preserve">This decision grants Application 10-12-003 by Pacific Gas and Electric Company (PG&amp;E) for a permit to construct the proposed project known as the </w:t>
      </w:r>
      <w:bookmarkStart w:id="3" w:name="OLE_LINK3"/>
      <w:bookmarkStart w:id="4" w:name="OLE_LINK4"/>
      <w:r w:rsidRPr="00610316">
        <w:rPr>
          <w:rFonts w:ascii="Palatino" w:eastAsia="Times New Roman" w:hAnsi="Palatino"/>
          <w:sz w:val="26"/>
          <w:szCs w:val="20"/>
        </w:rPr>
        <w:t>Shepherd Substation Project</w:t>
      </w:r>
      <w:bookmarkEnd w:id="3"/>
      <w:bookmarkEnd w:id="4"/>
      <w:r w:rsidRPr="00610316">
        <w:rPr>
          <w:rFonts w:ascii="Palatino" w:eastAsia="Times New Roman" w:hAnsi="Palatino"/>
          <w:sz w:val="26"/>
          <w:szCs w:val="20"/>
        </w:rPr>
        <w:t xml:space="preserve"> (Propose</w:t>
      </w:r>
      <w:r w:rsidR="00D53BF7">
        <w:rPr>
          <w:rFonts w:ascii="Palatino" w:eastAsia="Times New Roman" w:hAnsi="Palatino"/>
          <w:sz w:val="26"/>
          <w:szCs w:val="20"/>
        </w:rPr>
        <w:t xml:space="preserve">d Project), pursuant to General </w:t>
      </w:r>
      <w:r w:rsidR="00D53BF7">
        <w:rPr>
          <w:rFonts w:ascii="Palatino" w:eastAsia="Times New Roman" w:hAnsi="Palatino"/>
          <w:sz w:val="26"/>
          <w:szCs w:val="20"/>
        </w:rPr>
        <w:br/>
      </w:r>
      <w:r w:rsidRPr="00610316">
        <w:rPr>
          <w:rFonts w:ascii="Palatino" w:eastAsia="Times New Roman" w:hAnsi="Palatino"/>
          <w:sz w:val="26"/>
          <w:szCs w:val="20"/>
        </w:rPr>
        <w:t>Order 131</w:t>
      </w:r>
      <w:r w:rsidRPr="00610316">
        <w:rPr>
          <w:rFonts w:ascii="Palatino" w:eastAsia="Times New Roman" w:hAnsi="Palatino"/>
          <w:sz w:val="26"/>
          <w:szCs w:val="20"/>
        </w:rPr>
        <w:noBreakHyphen/>
        <w:t>D.  Construction of this project, in unincorporated Fresno County, California, will ensure that the anticipated increased customer electrical demand in this area can be met safely and reliably, while maximizing system efficiency.</w:t>
      </w:r>
    </w:p>
    <w:p w14:paraId="5C123910" w14:textId="77777777" w:rsidR="00610316" w:rsidRPr="00610316" w:rsidRDefault="00610316" w:rsidP="00610316">
      <w:pPr>
        <w:spacing w:after="0" w:line="360" w:lineRule="auto"/>
        <w:ind w:firstLine="720"/>
        <w:rPr>
          <w:rFonts w:ascii="Palatino" w:eastAsia="Times New Roman" w:hAnsi="Palatino"/>
          <w:sz w:val="26"/>
          <w:szCs w:val="20"/>
        </w:rPr>
      </w:pPr>
      <w:r w:rsidRPr="00610316">
        <w:rPr>
          <w:rFonts w:ascii="Palatino" w:eastAsia="Times New Roman" w:hAnsi="Palatino"/>
          <w:sz w:val="26"/>
          <w:szCs w:val="20"/>
        </w:rPr>
        <w:t>The Proposed Project includes:</w:t>
      </w:r>
    </w:p>
    <w:p w14:paraId="4223F447" w14:textId="77777777" w:rsidR="00610316" w:rsidRPr="00610316" w:rsidRDefault="00610316" w:rsidP="00610316">
      <w:pPr>
        <w:numPr>
          <w:ilvl w:val="0"/>
          <w:numId w:val="2"/>
        </w:numPr>
        <w:spacing w:after="120" w:line="240" w:lineRule="auto"/>
        <w:ind w:right="720"/>
        <w:rPr>
          <w:rFonts w:ascii="Palatino" w:eastAsia="Times New Roman" w:hAnsi="Palatino"/>
          <w:sz w:val="26"/>
          <w:szCs w:val="20"/>
        </w:rPr>
      </w:pPr>
      <w:r w:rsidRPr="00610316">
        <w:rPr>
          <w:rFonts w:ascii="Palatino" w:eastAsia="Times New Roman" w:hAnsi="Palatino"/>
          <w:sz w:val="26"/>
          <w:szCs w:val="20"/>
        </w:rPr>
        <w:t>Construction of the proposed 115/21 kilovolt (kV) electrical substation;</w:t>
      </w:r>
    </w:p>
    <w:p w14:paraId="785F1CFC" w14:textId="77777777" w:rsidR="00610316" w:rsidRPr="00610316" w:rsidRDefault="00610316" w:rsidP="00610316">
      <w:pPr>
        <w:numPr>
          <w:ilvl w:val="0"/>
          <w:numId w:val="2"/>
        </w:numPr>
        <w:spacing w:after="120" w:line="240" w:lineRule="auto"/>
        <w:ind w:right="720"/>
        <w:rPr>
          <w:rFonts w:ascii="Palatino" w:eastAsia="Times New Roman" w:hAnsi="Palatino"/>
          <w:sz w:val="26"/>
          <w:szCs w:val="20"/>
        </w:rPr>
      </w:pPr>
      <w:r w:rsidRPr="00610316">
        <w:rPr>
          <w:rFonts w:ascii="Palatino" w:eastAsia="Times New Roman" w:hAnsi="Palatino"/>
          <w:sz w:val="26"/>
          <w:szCs w:val="20"/>
        </w:rPr>
        <w:t>A new, 1.5-mile, double circuit 115 kV power line;</w:t>
      </w:r>
    </w:p>
    <w:p w14:paraId="73E7DD8A" w14:textId="21E47F9A" w:rsidR="00610316" w:rsidRPr="00610316" w:rsidRDefault="00610316" w:rsidP="00610316">
      <w:pPr>
        <w:numPr>
          <w:ilvl w:val="0"/>
          <w:numId w:val="2"/>
        </w:numPr>
        <w:spacing w:after="120" w:line="240" w:lineRule="auto"/>
        <w:ind w:right="720"/>
        <w:rPr>
          <w:rFonts w:ascii="Palatino" w:eastAsia="Times New Roman" w:hAnsi="Palatino"/>
          <w:sz w:val="26"/>
          <w:szCs w:val="20"/>
        </w:rPr>
      </w:pPr>
      <w:r w:rsidRPr="00610316">
        <w:rPr>
          <w:rFonts w:ascii="Palatino" w:eastAsia="Times New Roman" w:hAnsi="Palatino"/>
          <w:sz w:val="26"/>
          <w:szCs w:val="20"/>
        </w:rPr>
        <w:t xml:space="preserve">Extension of an </w:t>
      </w:r>
      <w:r w:rsidR="00F9658C">
        <w:rPr>
          <w:rFonts w:ascii="Palatino" w:eastAsia="Times New Roman" w:hAnsi="Palatino"/>
          <w:sz w:val="26"/>
          <w:szCs w:val="20"/>
        </w:rPr>
        <w:t>existing distribution line; and</w:t>
      </w:r>
    </w:p>
    <w:p w14:paraId="212AE9DA" w14:textId="77777777" w:rsidR="00610316" w:rsidRPr="00610316" w:rsidRDefault="00610316" w:rsidP="00610316">
      <w:pPr>
        <w:numPr>
          <w:ilvl w:val="0"/>
          <w:numId w:val="2"/>
        </w:numPr>
        <w:tabs>
          <w:tab w:val="left" w:pos="1080"/>
        </w:tabs>
        <w:spacing w:after="120" w:line="240" w:lineRule="auto"/>
        <w:ind w:right="720"/>
        <w:rPr>
          <w:rFonts w:ascii="Palatino" w:eastAsia="Times New Roman" w:hAnsi="Palatino"/>
          <w:sz w:val="26"/>
          <w:szCs w:val="20"/>
        </w:rPr>
      </w:pPr>
      <w:r w:rsidRPr="00610316">
        <w:rPr>
          <w:rFonts w:ascii="Palatino" w:eastAsia="Times New Roman" w:hAnsi="Palatino"/>
          <w:sz w:val="26"/>
          <w:szCs w:val="20"/>
        </w:rPr>
        <w:t>Construction of three proposed distribution lines.</w:t>
      </w:r>
    </w:p>
    <w:p w14:paraId="5CEC3922" w14:textId="3D27760A" w:rsidR="00D279D9" w:rsidRPr="00610316" w:rsidRDefault="00D279D9" w:rsidP="00D279D9">
      <w:pPr>
        <w:spacing w:after="0" w:line="360" w:lineRule="auto"/>
        <w:ind w:firstLine="720"/>
        <w:rPr>
          <w:rFonts w:ascii="Palatino" w:eastAsia="Times New Roman" w:hAnsi="Palatino"/>
          <w:sz w:val="26"/>
          <w:szCs w:val="20"/>
        </w:rPr>
      </w:pPr>
      <w:r w:rsidRPr="00610316">
        <w:rPr>
          <w:rFonts w:ascii="Palatino" w:eastAsia="Times New Roman" w:hAnsi="Palatino"/>
          <w:sz w:val="26"/>
          <w:szCs w:val="20"/>
        </w:rPr>
        <w:t xml:space="preserve">As the Lead Agency for environmental review, we find the Final Mitigated Negative Declaration prepared for the Proposed Project </w:t>
      </w:r>
      <w:r>
        <w:rPr>
          <w:rFonts w:ascii="Palatino" w:eastAsia="Times New Roman" w:hAnsi="Palatino"/>
          <w:sz w:val="26"/>
          <w:szCs w:val="20"/>
        </w:rPr>
        <w:t xml:space="preserve">and its March 2013 </w:t>
      </w:r>
      <w:r>
        <w:rPr>
          <w:rFonts w:ascii="Palatino" w:eastAsia="Times New Roman" w:hAnsi="Palatino"/>
          <w:sz w:val="26"/>
          <w:szCs w:val="20"/>
        </w:rPr>
        <w:lastRenderedPageBreak/>
        <w:t xml:space="preserve">Addendum </w:t>
      </w:r>
      <w:r w:rsidRPr="00610316">
        <w:rPr>
          <w:rFonts w:ascii="Palatino" w:eastAsia="Times New Roman" w:hAnsi="Palatino"/>
          <w:sz w:val="26"/>
          <w:szCs w:val="20"/>
        </w:rPr>
        <w:t>meet the requirements of the California Environmental Quality Act.</w:t>
      </w:r>
      <w:r w:rsidRPr="00610316">
        <w:rPr>
          <w:rFonts w:ascii="Palatino" w:eastAsia="Times New Roman" w:hAnsi="Palatino"/>
          <w:sz w:val="24"/>
          <w:szCs w:val="20"/>
          <w:vertAlign w:val="superscript"/>
        </w:rPr>
        <w:footnoteReference w:id="1"/>
      </w:r>
      <w:r w:rsidR="000928F3">
        <w:rPr>
          <w:rFonts w:ascii="Palatino" w:eastAsia="Times New Roman" w:hAnsi="Palatino"/>
          <w:sz w:val="26"/>
          <w:szCs w:val="20"/>
        </w:rPr>
        <w:t xml:space="preserve"> </w:t>
      </w:r>
      <w:r w:rsidRPr="00610316">
        <w:rPr>
          <w:rFonts w:ascii="Palatino" w:eastAsia="Times New Roman" w:hAnsi="Palatino"/>
          <w:sz w:val="26"/>
          <w:szCs w:val="20"/>
        </w:rPr>
        <w:t xml:space="preserve"> Furthermore, we find that PG&amp;E has complied with Commission requirements to identify no-cost and low-cost measures to be implemented to reduce potential electric and magnetic fields.</w:t>
      </w:r>
    </w:p>
    <w:p w14:paraId="46D5A8F3" w14:textId="77777777" w:rsidR="00610316" w:rsidRPr="00610316" w:rsidRDefault="00610316" w:rsidP="00610316">
      <w:pPr>
        <w:spacing w:after="0" w:line="360" w:lineRule="auto"/>
        <w:ind w:firstLine="720"/>
        <w:rPr>
          <w:rFonts w:ascii="Palatino" w:eastAsia="Times New Roman" w:hAnsi="Palatino"/>
          <w:sz w:val="26"/>
          <w:szCs w:val="20"/>
        </w:rPr>
      </w:pPr>
      <w:r w:rsidRPr="00610316">
        <w:rPr>
          <w:rFonts w:ascii="Palatino" w:eastAsia="Times New Roman" w:hAnsi="Palatino"/>
          <w:sz w:val="26"/>
          <w:szCs w:val="20"/>
        </w:rPr>
        <w:t>This proceeding is closed.</w:t>
      </w:r>
    </w:p>
    <w:p w14:paraId="0DBF45AD" w14:textId="77777777" w:rsidR="00610316" w:rsidRPr="00610316" w:rsidRDefault="00610316" w:rsidP="009962B1">
      <w:pPr>
        <w:keepNext/>
        <w:numPr>
          <w:ilvl w:val="0"/>
          <w:numId w:val="5"/>
        </w:numPr>
        <w:spacing w:before="120" w:after="120" w:line="240" w:lineRule="auto"/>
        <w:ind w:right="2160" w:hanging="720"/>
        <w:outlineLvl w:val="0"/>
        <w:rPr>
          <w:rFonts w:ascii="Helvetica" w:eastAsia="Times New Roman" w:hAnsi="Helvetica"/>
          <w:b/>
          <w:kern w:val="28"/>
          <w:sz w:val="26"/>
          <w:szCs w:val="20"/>
        </w:rPr>
      </w:pPr>
      <w:bookmarkStart w:id="5" w:name="_Toc234137498"/>
      <w:bookmarkStart w:id="6" w:name="_Toc352237782"/>
      <w:r w:rsidRPr="00610316">
        <w:rPr>
          <w:rFonts w:ascii="Helvetica" w:eastAsia="Times New Roman" w:hAnsi="Helvetica"/>
          <w:b/>
          <w:kern w:val="28"/>
          <w:sz w:val="26"/>
          <w:szCs w:val="20"/>
        </w:rPr>
        <w:t>Procedural Issues</w:t>
      </w:r>
      <w:bookmarkEnd w:id="5"/>
      <w:bookmarkEnd w:id="6"/>
    </w:p>
    <w:p w14:paraId="7DE0B7B0" w14:textId="1BB24FD2" w:rsidR="00610316" w:rsidRPr="00610316" w:rsidRDefault="00610316" w:rsidP="00610316">
      <w:pPr>
        <w:spacing w:after="0" w:line="360" w:lineRule="auto"/>
        <w:ind w:firstLine="720"/>
        <w:rPr>
          <w:rFonts w:ascii="Palatino" w:eastAsia="Times New Roman" w:hAnsi="Palatino"/>
          <w:sz w:val="26"/>
          <w:szCs w:val="20"/>
        </w:rPr>
      </w:pPr>
      <w:r w:rsidRPr="00610316">
        <w:rPr>
          <w:rFonts w:ascii="Palatino" w:eastAsia="Times New Roman" w:hAnsi="Palatino"/>
          <w:sz w:val="26"/>
          <w:szCs w:val="20"/>
        </w:rPr>
        <w:t>On December 8, 2010, Pacific Gas and Electric Company (PG&amp;E) filed an Application (A.)</w:t>
      </w:r>
      <w:r w:rsidR="00D53BF7">
        <w:rPr>
          <w:rFonts w:ascii="Palatino" w:eastAsia="Times New Roman" w:hAnsi="Palatino"/>
          <w:sz w:val="26"/>
          <w:szCs w:val="20"/>
        </w:rPr>
        <w:t xml:space="preserve"> </w:t>
      </w:r>
      <w:r w:rsidRPr="00610316">
        <w:rPr>
          <w:rFonts w:ascii="Palatino" w:eastAsia="Times New Roman" w:hAnsi="Palatino"/>
          <w:sz w:val="26"/>
          <w:szCs w:val="20"/>
        </w:rPr>
        <w:t>10-12-003, requesting Commission authorization to construct and operate the Shepherd Substation Project (Proposed Project).  Simultaneously, PG&amp;E filed its Proponent’s Environmental Assessment (PEA).</w:t>
      </w:r>
    </w:p>
    <w:p w14:paraId="0E9EB204" w14:textId="77777777" w:rsidR="00D279D9" w:rsidRPr="00D279D9" w:rsidRDefault="00D279D9" w:rsidP="00D279D9">
      <w:pPr>
        <w:spacing w:after="0" w:line="360" w:lineRule="auto"/>
        <w:ind w:firstLine="720"/>
        <w:rPr>
          <w:rFonts w:ascii="Palatino" w:eastAsia="Times New Roman" w:hAnsi="Palatino"/>
          <w:sz w:val="26"/>
          <w:szCs w:val="20"/>
        </w:rPr>
      </w:pPr>
      <w:r w:rsidRPr="00D279D9">
        <w:rPr>
          <w:rFonts w:ascii="Palatino" w:eastAsia="Times New Roman" w:hAnsi="Palatino"/>
          <w:sz w:val="26"/>
          <w:szCs w:val="20"/>
        </w:rPr>
        <w:t>Due process requires that affected parties be provided adequate notice and opportunity to be heard, such that they can timely protest and participate in the Commission’s environmental review and analysis of the Proposed Project.  For permits to construct (PTCs), the utility must comply with notice requirements described in GO 131-D, Section XI.A.  PG&amp;E represents that it has complied with all applicable notice requirements and submitted documents to support this representation.</w:t>
      </w:r>
    </w:p>
    <w:p w14:paraId="177836D3" w14:textId="417B97D8" w:rsidR="00610316" w:rsidRPr="00610316" w:rsidRDefault="00610316" w:rsidP="00610316">
      <w:pPr>
        <w:spacing w:after="0" w:line="360" w:lineRule="auto"/>
        <w:ind w:firstLine="720"/>
        <w:rPr>
          <w:rFonts w:ascii="Palatino" w:eastAsia="Times New Roman" w:hAnsi="Palatino"/>
          <w:sz w:val="26"/>
          <w:szCs w:val="20"/>
        </w:rPr>
      </w:pPr>
      <w:r w:rsidRPr="00610316">
        <w:rPr>
          <w:rFonts w:ascii="Palatino" w:eastAsia="Times New Roman" w:hAnsi="Palatino"/>
          <w:sz w:val="26"/>
          <w:szCs w:val="20"/>
        </w:rPr>
        <w:t>The Application was noticed in the Commission’s Daily Calendar on December 9, 2010.  Two parties, the Division of Ratepayer Advocates (DRA)</w:t>
      </w:r>
      <w:r w:rsidRPr="00610316">
        <w:rPr>
          <w:rFonts w:ascii="Palatino" w:eastAsia="Times New Roman" w:hAnsi="Palatino"/>
          <w:sz w:val="24"/>
          <w:szCs w:val="20"/>
          <w:vertAlign w:val="superscript"/>
        </w:rPr>
        <w:footnoteReference w:id="2"/>
      </w:r>
      <w:r w:rsidRPr="00610316">
        <w:rPr>
          <w:rFonts w:ascii="Palatino" w:eastAsia="Times New Roman" w:hAnsi="Palatino"/>
          <w:sz w:val="26"/>
          <w:szCs w:val="20"/>
        </w:rPr>
        <w:t xml:space="preserve"> and homeowner, Greg Johnson</w:t>
      </w:r>
      <w:r w:rsidR="004D13A2">
        <w:rPr>
          <w:rFonts w:ascii="Palatino" w:eastAsia="Times New Roman" w:hAnsi="Palatino"/>
          <w:sz w:val="26"/>
          <w:szCs w:val="20"/>
        </w:rPr>
        <w:t>,</w:t>
      </w:r>
      <w:r w:rsidRPr="00610316">
        <w:rPr>
          <w:rFonts w:ascii="Palatino" w:eastAsia="Times New Roman" w:hAnsi="Palatino"/>
          <w:sz w:val="24"/>
          <w:szCs w:val="20"/>
          <w:vertAlign w:val="superscript"/>
        </w:rPr>
        <w:footnoteReference w:id="3"/>
      </w:r>
      <w:r w:rsidRPr="00610316">
        <w:rPr>
          <w:rFonts w:ascii="Palatino" w:eastAsia="Times New Roman" w:hAnsi="Palatino"/>
          <w:sz w:val="26"/>
          <w:szCs w:val="20"/>
        </w:rPr>
        <w:t xml:space="preserve"> filed protests.</w:t>
      </w:r>
    </w:p>
    <w:p w14:paraId="79DC0B53" w14:textId="77777777" w:rsidR="00610316" w:rsidRPr="00610316" w:rsidRDefault="00610316" w:rsidP="00610316">
      <w:pPr>
        <w:spacing w:after="0" w:line="360" w:lineRule="auto"/>
        <w:ind w:firstLine="720"/>
        <w:rPr>
          <w:rFonts w:ascii="Palatino" w:eastAsia="Times New Roman" w:hAnsi="Palatino"/>
          <w:sz w:val="26"/>
          <w:szCs w:val="20"/>
        </w:rPr>
      </w:pPr>
      <w:r w:rsidRPr="00610316">
        <w:rPr>
          <w:rFonts w:ascii="Palatino" w:eastAsia="Times New Roman" w:hAnsi="Palatino"/>
          <w:sz w:val="26"/>
          <w:szCs w:val="20"/>
        </w:rPr>
        <w:t>On December 2, 2011, PG&amp;E filed an amendment to A.10-12-003.</w:t>
      </w:r>
      <w:r w:rsidRPr="00610316">
        <w:rPr>
          <w:rFonts w:ascii="Palatino" w:eastAsia="Times New Roman" w:hAnsi="Palatino"/>
          <w:sz w:val="24"/>
          <w:szCs w:val="20"/>
          <w:vertAlign w:val="superscript"/>
        </w:rPr>
        <w:footnoteReference w:id="4"/>
      </w:r>
    </w:p>
    <w:p w14:paraId="09AB64B8" w14:textId="3D7D21FF" w:rsidR="00610316" w:rsidRPr="00610316" w:rsidRDefault="00610316" w:rsidP="00610316">
      <w:pPr>
        <w:spacing w:after="0" w:line="360" w:lineRule="auto"/>
        <w:ind w:firstLine="720"/>
        <w:rPr>
          <w:rFonts w:ascii="Palatino" w:eastAsia="Times New Roman" w:hAnsi="Palatino"/>
          <w:sz w:val="26"/>
          <w:szCs w:val="20"/>
        </w:rPr>
      </w:pPr>
      <w:r w:rsidRPr="00610316">
        <w:rPr>
          <w:rFonts w:ascii="Palatino" w:eastAsia="Times New Roman" w:hAnsi="Palatino"/>
          <w:sz w:val="26"/>
          <w:szCs w:val="20"/>
        </w:rPr>
        <w:lastRenderedPageBreak/>
        <w:t>On June 21, 2012, the assigned Administrative Law Judge (ALJ) held a prehearing conference to determine the parties, scope, and schedule of this proceeding.  The assigned Commissioner and ALJ issued a Ruling and Scoping Memo on July 27, 2012 stating that the scope of the proceeding will focus on a review of the Energy Division’s final Mitigated Negative Declaration (MND) and its compliance with the California Environmental Quality Act (CEQA), and a determination of whether the Proposed Project complies with the Commission’s policies governing the mitigation of electric and magnetic fields (EMF) effects using low-cost and no-cost measures.  The Scoping Memo also determined that Evidentiary Hearings in this</w:t>
      </w:r>
      <w:r w:rsidR="00B81745">
        <w:rPr>
          <w:rFonts w:ascii="Palatino" w:eastAsia="Times New Roman" w:hAnsi="Palatino"/>
          <w:sz w:val="26"/>
          <w:szCs w:val="20"/>
        </w:rPr>
        <w:t xml:space="preserve"> proceeding are not necessary.</w:t>
      </w:r>
    </w:p>
    <w:p w14:paraId="0F439A2C" w14:textId="77777777" w:rsidR="00610316" w:rsidRPr="00610316" w:rsidRDefault="00610316" w:rsidP="00610316">
      <w:pPr>
        <w:spacing w:after="0" w:line="360" w:lineRule="auto"/>
        <w:ind w:firstLine="720"/>
        <w:rPr>
          <w:rFonts w:ascii="Palatino" w:eastAsia="Times New Roman" w:hAnsi="Palatino"/>
          <w:sz w:val="26"/>
          <w:szCs w:val="20"/>
        </w:rPr>
      </w:pPr>
      <w:r w:rsidRPr="00610316">
        <w:rPr>
          <w:rFonts w:ascii="Palatino" w:eastAsia="Times New Roman" w:hAnsi="Palatino"/>
          <w:sz w:val="26"/>
          <w:szCs w:val="20"/>
        </w:rPr>
        <w:t>Parties were provided an opportunity to file briefs on the issues three weeks following the issuance of the final MND.  Only PG&amp;E filed an opening brief and no party filed a reply brief.</w:t>
      </w:r>
    </w:p>
    <w:p w14:paraId="2F7E4DB9" w14:textId="77777777" w:rsidR="00610316" w:rsidRPr="00610316" w:rsidRDefault="00610316" w:rsidP="009962B1">
      <w:pPr>
        <w:keepNext/>
        <w:numPr>
          <w:ilvl w:val="0"/>
          <w:numId w:val="5"/>
        </w:numPr>
        <w:spacing w:before="120" w:after="120" w:line="240" w:lineRule="auto"/>
        <w:ind w:right="2160" w:hanging="720"/>
        <w:outlineLvl w:val="0"/>
        <w:rPr>
          <w:rFonts w:ascii="Helvetica" w:eastAsia="Times New Roman" w:hAnsi="Helvetica"/>
          <w:b/>
          <w:kern w:val="28"/>
          <w:sz w:val="26"/>
          <w:szCs w:val="20"/>
        </w:rPr>
      </w:pPr>
      <w:bookmarkStart w:id="7" w:name="_Toc234137497"/>
      <w:bookmarkStart w:id="8" w:name="_Toc352237783"/>
      <w:r w:rsidRPr="00610316">
        <w:rPr>
          <w:rFonts w:ascii="Helvetica" w:eastAsia="Times New Roman" w:hAnsi="Helvetica"/>
          <w:b/>
          <w:kern w:val="28"/>
          <w:sz w:val="26"/>
          <w:szCs w:val="20"/>
        </w:rPr>
        <w:t>The Proposed Project</w:t>
      </w:r>
      <w:bookmarkEnd w:id="7"/>
      <w:bookmarkEnd w:id="8"/>
    </w:p>
    <w:p w14:paraId="1B786D7A" w14:textId="32BABF85" w:rsidR="00610316" w:rsidRPr="00610316" w:rsidRDefault="00610316" w:rsidP="00610316">
      <w:pPr>
        <w:spacing w:after="0" w:line="360" w:lineRule="auto"/>
        <w:ind w:firstLine="720"/>
        <w:rPr>
          <w:rFonts w:ascii="Palatino" w:eastAsia="Times New Roman" w:hAnsi="Palatino"/>
          <w:sz w:val="26"/>
          <w:szCs w:val="20"/>
        </w:rPr>
      </w:pPr>
      <w:r w:rsidRPr="00610316">
        <w:rPr>
          <w:rFonts w:ascii="Palatino" w:eastAsia="Times New Roman" w:hAnsi="Palatino"/>
          <w:sz w:val="26"/>
          <w:szCs w:val="20"/>
        </w:rPr>
        <w:t>The Proposed Project will provide additional capacity serving the Woodward Distribution Planning Area (DPA) which includes northeast Fresno and northwest Clovis.  The electrical needs of the Woodward DPA are currently served by eight transformers at four existing 115/21 kilovolt (kV) substations: Bullard, Clovis, Pinedale and Woodward.  All fou</w:t>
      </w:r>
      <w:r w:rsidR="004D13A2">
        <w:rPr>
          <w:rFonts w:ascii="Palatino" w:eastAsia="Times New Roman" w:hAnsi="Palatino"/>
          <w:sz w:val="26"/>
          <w:szCs w:val="20"/>
        </w:rPr>
        <w:t xml:space="preserve">r substations are at full </w:t>
      </w:r>
      <w:r w:rsidR="004D13A2">
        <w:rPr>
          <w:rFonts w:ascii="Palatino" w:eastAsia="Times New Roman" w:hAnsi="Palatino"/>
          <w:sz w:val="26"/>
          <w:szCs w:val="20"/>
        </w:rPr>
        <w:br/>
        <w:t>build-</w:t>
      </w:r>
      <w:r w:rsidRPr="00610316">
        <w:rPr>
          <w:rFonts w:ascii="Palatino" w:eastAsia="Times New Roman" w:hAnsi="Palatino"/>
          <w:sz w:val="26"/>
          <w:szCs w:val="20"/>
        </w:rPr>
        <w:t>out.</w:t>
      </w:r>
    </w:p>
    <w:p w14:paraId="760CAECB" w14:textId="77777777" w:rsidR="00610316" w:rsidRPr="00610316" w:rsidRDefault="00610316" w:rsidP="00610316">
      <w:pPr>
        <w:spacing w:after="0" w:line="360" w:lineRule="auto"/>
        <w:ind w:firstLine="720"/>
        <w:rPr>
          <w:rFonts w:ascii="Palatino" w:eastAsia="Times New Roman" w:hAnsi="Palatino"/>
          <w:sz w:val="26"/>
          <w:szCs w:val="20"/>
        </w:rPr>
      </w:pPr>
      <w:r w:rsidRPr="00610316">
        <w:rPr>
          <w:rFonts w:ascii="Palatino" w:eastAsia="Times New Roman" w:hAnsi="Palatino"/>
          <w:sz w:val="26"/>
          <w:szCs w:val="20"/>
        </w:rPr>
        <w:t>PG&amp;E estimates the electrical growth rate of the Woodward DPA to be approximately 5 megawatts (MW) or 1.5 percent per year.  The current load of the area is 325 MW.  With a current capacity of 339 MW, PG&amp;E anticipates the Woodward DPA to be overload by 2.6 MW in 2014 and by 7.5 MW in 2015.  PG&amp;E contends that the Proposed Project will relieve the projected electric system deficiency and ensure the ability of the system to safely and reliably serve the area without interruption or emergency conditions.</w:t>
      </w:r>
    </w:p>
    <w:p w14:paraId="5F9A9AE7" w14:textId="77777777" w:rsidR="00610316" w:rsidRPr="00610316" w:rsidRDefault="00610316" w:rsidP="00610316">
      <w:pPr>
        <w:spacing w:after="0" w:line="360" w:lineRule="auto"/>
        <w:ind w:firstLine="720"/>
        <w:rPr>
          <w:rFonts w:ascii="Palatino" w:eastAsia="Times New Roman" w:hAnsi="Palatino"/>
          <w:sz w:val="26"/>
          <w:szCs w:val="20"/>
        </w:rPr>
      </w:pPr>
      <w:r w:rsidRPr="00610316">
        <w:rPr>
          <w:rFonts w:ascii="Palatino" w:eastAsia="Times New Roman" w:hAnsi="Palatino"/>
          <w:sz w:val="26"/>
          <w:szCs w:val="20"/>
        </w:rPr>
        <w:t>The Proposed Project consists of four major elements: construction of the proposed 115/21 kV electrical substation; a new, 1.5-mile, double circuit 115 kV power line; extension of an existing distribution line; and construction of three proposed distribution lines.</w:t>
      </w:r>
    </w:p>
    <w:p w14:paraId="285BCF5E" w14:textId="77777777" w:rsidR="00D279D9" w:rsidRPr="00D279D9" w:rsidRDefault="00D279D9" w:rsidP="00D279D9">
      <w:pPr>
        <w:spacing w:after="0" w:line="360" w:lineRule="auto"/>
        <w:ind w:firstLine="720"/>
        <w:rPr>
          <w:rFonts w:ascii="Palatino" w:eastAsia="Times New Roman" w:hAnsi="Palatino"/>
          <w:sz w:val="26"/>
          <w:szCs w:val="20"/>
        </w:rPr>
      </w:pPr>
      <w:r w:rsidRPr="00D279D9">
        <w:rPr>
          <w:rFonts w:ascii="Palatino" w:eastAsia="Times New Roman" w:hAnsi="Palatino"/>
          <w:sz w:val="26"/>
          <w:szCs w:val="20"/>
        </w:rPr>
        <w:t>The new 115/21 kV distribution substation with three 45 megavolt ampere transformers and a capacity of 135 MW will be located on five acres of property in the southwest corner of Sunnyside and Perrin Avenues in an unincorporated portion of Fresno County.  PG&amp;E proposes that the substation will have automated features as well as remote control capabilities, which makes staffing in the substation unnecessary.  The substation will be surrounded by a neutral-colored concrete wall on two sides and an eight-foot tall chain link fence on two other sides.  Automated 10 feet tall sodium vapor lamps will provide security lighting for the substation.  A fiber optic telecommunications line attached to an existing electrical distribution line will be part of the safety and security network.</w:t>
      </w:r>
    </w:p>
    <w:p w14:paraId="254319D1" w14:textId="77777777" w:rsidR="00610316" w:rsidRPr="00610316" w:rsidRDefault="00610316" w:rsidP="00610316">
      <w:pPr>
        <w:spacing w:after="0" w:line="360" w:lineRule="auto"/>
        <w:ind w:firstLine="720"/>
        <w:rPr>
          <w:rFonts w:ascii="Palatino" w:eastAsia="Times New Roman" w:hAnsi="Palatino"/>
          <w:sz w:val="26"/>
          <w:szCs w:val="20"/>
        </w:rPr>
      </w:pPr>
      <w:r w:rsidRPr="00610316">
        <w:rPr>
          <w:rFonts w:ascii="Palatino" w:eastAsia="Times New Roman" w:hAnsi="Palatino"/>
          <w:sz w:val="26"/>
          <w:szCs w:val="20"/>
        </w:rPr>
        <w:t>A double-circuit 115 kV power line approximately 1.5 miles long will be constructed to link the Shepherd substation to the existing Power line.  Three distribution alignments will extend south from the substation along Sunnyside Avenue.  At Shepherd Avenue, two distribution lines would extend east and west along Shepherd Avenue and one would extend south along Sunnyside to Nees Avenue.</w:t>
      </w:r>
    </w:p>
    <w:p w14:paraId="1876F4D0" w14:textId="77777777" w:rsidR="00D279D9" w:rsidRPr="00610316" w:rsidRDefault="00D279D9" w:rsidP="00D279D9">
      <w:pPr>
        <w:spacing w:after="0" w:line="360" w:lineRule="auto"/>
        <w:ind w:firstLine="720"/>
        <w:rPr>
          <w:rFonts w:ascii="Palatino" w:eastAsia="Times New Roman" w:hAnsi="Palatino"/>
          <w:sz w:val="26"/>
          <w:szCs w:val="20"/>
        </w:rPr>
      </w:pPr>
      <w:bookmarkStart w:id="9" w:name="_Toc234137501"/>
      <w:bookmarkStart w:id="10" w:name="_Toc352237784"/>
      <w:r w:rsidRPr="00610316">
        <w:rPr>
          <w:rFonts w:ascii="Palatino" w:eastAsia="Times New Roman" w:hAnsi="Palatino"/>
          <w:sz w:val="26"/>
          <w:szCs w:val="20"/>
        </w:rPr>
        <w:t xml:space="preserve">Due to delays </w:t>
      </w:r>
      <w:r>
        <w:rPr>
          <w:rFonts w:ascii="Palatino" w:eastAsia="Times New Roman" w:hAnsi="Palatino"/>
          <w:sz w:val="26"/>
          <w:szCs w:val="20"/>
        </w:rPr>
        <w:t xml:space="preserve">resulting </w:t>
      </w:r>
      <w:r w:rsidRPr="00610316">
        <w:rPr>
          <w:rFonts w:ascii="Palatino" w:eastAsia="Times New Roman" w:hAnsi="Palatino"/>
          <w:sz w:val="26"/>
          <w:szCs w:val="20"/>
        </w:rPr>
        <w:t xml:space="preserve">from </w:t>
      </w:r>
      <w:r>
        <w:rPr>
          <w:rFonts w:ascii="Palatino" w:eastAsia="Times New Roman" w:hAnsi="Palatino"/>
          <w:sz w:val="26"/>
          <w:szCs w:val="20"/>
        </w:rPr>
        <w:t xml:space="preserve">PG&amp;E’s </w:t>
      </w:r>
      <w:r w:rsidRPr="00610316">
        <w:rPr>
          <w:rFonts w:ascii="Palatino" w:eastAsia="Times New Roman" w:hAnsi="Palatino"/>
          <w:sz w:val="26"/>
          <w:szCs w:val="20"/>
        </w:rPr>
        <w:t>amend</w:t>
      </w:r>
      <w:r>
        <w:rPr>
          <w:rFonts w:ascii="Palatino" w:eastAsia="Times New Roman" w:hAnsi="Palatino"/>
          <w:sz w:val="26"/>
          <w:szCs w:val="20"/>
        </w:rPr>
        <w:t xml:space="preserve">ing </w:t>
      </w:r>
      <w:r w:rsidRPr="00610316">
        <w:rPr>
          <w:rFonts w:ascii="Palatino" w:eastAsia="Times New Roman" w:hAnsi="Palatino"/>
          <w:sz w:val="26"/>
          <w:szCs w:val="20"/>
        </w:rPr>
        <w:t xml:space="preserve">the application and </w:t>
      </w:r>
      <w:r>
        <w:rPr>
          <w:rFonts w:ascii="Palatino" w:eastAsia="Times New Roman" w:hAnsi="Palatino"/>
          <w:sz w:val="26"/>
          <w:szCs w:val="20"/>
        </w:rPr>
        <w:t xml:space="preserve">from the time needed to prepare and </w:t>
      </w:r>
      <w:r w:rsidRPr="00610316">
        <w:rPr>
          <w:rFonts w:ascii="Palatino" w:eastAsia="Times New Roman" w:hAnsi="Palatino"/>
          <w:sz w:val="26"/>
          <w:szCs w:val="20"/>
        </w:rPr>
        <w:t>issu</w:t>
      </w:r>
      <w:r>
        <w:rPr>
          <w:rFonts w:ascii="Palatino" w:eastAsia="Times New Roman" w:hAnsi="Palatino"/>
          <w:sz w:val="26"/>
          <w:szCs w:val="20"/>
        </w:rPr>
        <w:t xml:space="preserve">e </w:t>
      </w:r>
      <w:r w:rsidRPr="00610316">
        <w:rPr>
          <w:rFonts w:ascii="Palatino" w:eastAsia="Times New Roman" w:hAnsi="Palatino"/>
          <w:sz w:val="26"/>
          <w:szCs w:val="20"/>
        </w:rPr>
        <w:t>the Final MND, construction is now scheduled to begin in March 2014 and PG&amp;E plans to begin operating the Proposed Project in June 2015.</w:t>
      </w:r>
    </w:p>
    <w:p w14:paraId="78D88699" w14:textId="77777777" w:rsidR="00610316" w:rsidRPr="00610316" w:rsidRDefault="00610316" w:rsidP="009962B1">
      <w:pPr>
        <w:keepNext/>
        <w:numPr>
          <w:ilvl w:val="0"/>
          <w:numId w:val="5"/>
        </w:numPr>
        <w:spacing w:before="120" w:after="120" w:line="240" w:lineRule="auto"/>
        <w:ind w:right="2160" w:hanging="720"/>
        <w:outlineLvl w:val="0"/>
        <w:rPr>
          <w:rFonts w:ascii="Helvetica" w:eastAsia="Times New Roman" w:hAnsi="Helvetica"/>
          <w:b/>
          <w:kern w:val="28"/>
          <w:sz w:val="26"/>
          <w:szCs w:val="20"/>
        </w:rPr>
      </w:pPr>
      <w:r w:rsidRPr="00610316">
        <w:rPr>
          <w:rFonts w:ascii="Helvetica" w:eastAsia="Times New Roman" w:hAnsi="Helvetica"/>
          <w:b/>
          <w:kern w:val="28"/>
          <w:sz w:val="26"/>
          <w:szCs w:val="20"/>
        </w:rPr>
        <w:t>Environmental Review</w:t>
      </w:r>
      <w:bookmarkEnd w:id="9"/>
      <w:bookmarkEnd w:id="10"/>
    </w:p>
    <w:p w14:paraId="25B09D23" w14:textId="77777777" w:rsidR="00610316" w:rsidRPr="00610316" w:rsidRDefault="00610316" w:rsidP="00610316">
      <w:pPr>
        <w:spacing w:after="120" w:line="360" w:lineRule="auto"/>
        <w:ind w:firstLine="720"/>
        <w:rPr>
          <w:rFonts w:ascii="Palatino" w:eastAsia="Times New Roman" w:hAnsi="Palatino"/>
          <w:sz w:val="26"/>
          <w:szCs w:val="20"/>
        </w:rPr>
      </w:pPr>
      <w:r w:rsidRPr="00610316">
        <w:rPr>
          <w:rFonts w:ascii="Palatino" w:eastAsia="Times New Roman" w:hAnsi="Palatino"/>
          <w:sz w:val="26"/>
          <w:szCs w:val="20"/>
        </w:rPr>
        <w:t>CEQA requires that the Commission consider the environmental consequences before acting upon or approving the Proposed Project.</w:t>
      </w:r>
      <w:r w:rsidRPr="00610316">
        <w:rPr>
          <w:rFonts w:ascii="Palatino" w:eastAsia="Times New Roman" w:hAnsi="Palatino"/>
          <w:sz w:val="24"/>
          <w:szCs w:val="20"/>
          <w:vertAlign w:val="superscript"/>
        </w:rPr>
        <w:footnoteReference w:id="5"/>
      </w:r>
      <w:r w:rsidRPr="00610316">
        <w:rPr>
          <w:rFonts w:ascii="Palatino" w:eastAsia="Times New Roman" w:hAnsi="Palatino"/>
          <w:sz w:val="26"/>
          <w:szCs w:val="20"/>
        </w:rPr>
        <w:t xml:space="preserve">  Under CEQA, the Commission must act as either the Lead Agency or a Responsible Agency for project approval.  The Lead Agency is the public agency with the greatest responsibility for supervising or approving the Proposed Project as a whole.</w:t>
      </w:r>
      <w:r w:rsidRPr="00610316">
        <w:rPr>
          <w:rFonts w:ascii="Palatino" w:eastAsia="Times New Roman" w:hAnsi="Palatino"/>
          <w:sz w:val="24"/>
          <w:szCs w:val="20"/>
          <w:vertAlign w:val="superscript"/>
        </w:rPr>
        <w:footnoteReference w:id="6"/>
      </w:r>
      <w:r w:rsidRPr="00610316">
        <w:rPr>
          <w:rFonts w:ascii="Palatino" w:eastAsia="Times New Roman" w:hAnsi="Palatino"/>
          <w:sz w:val="26"/>
          <w:szCs w:val="20"/>
        </w:rPr>
        <w:t xml:space="preserve">  Here, the Commission is the Lead Agency.  The actions and steps taken for environmental review of the Proposed Project, in accordance with GO 131-D and CEQA, are discussed below.</w:t>
      </w:r>
    </w:p>
    <w:p w14:paraId="0388FD71" w14:textId="77777777" w:rsidR="00610316" w:rsidRPr="00610316" w:rsidRDefault="00610316" w:rsidP="009962B1">
      <w:pPr>
        <w:keepNext/>
        <w:numPr>
          <w:ilvl w:val="1"/>
          <w:numId w:val="0"/>
        </w:numPr>
        <w:tabs>
          <w:tab w:val="num" w:pos="1710"/>
        </w:tabs>
        <w:spacing w:before="120" w:after="120" w:line="240" w:lineRule="auto"/>
        <w:ind w:left="1710" w:right="2520" w:hanging="990"/>
        <w:outlineLvl w:val="1"/>
        <w:rPr>
          <w:rFonts w:ascii="Helvetica" w:eastAsia="Times New Roman" w:hAnsi="Helvetica"/>
          <w:b/>
          <w:iCs/>
          <w:sz w:val="26"/>
          <w:szCs w:val="20"/>
        </w:rPr>
      </w:pPr>
      <w:bookmarkStart w:id="11" w:name="_Toc234137502"/>
      <w:bookmarkStart w:id="12" w:name="_Toc352237785"/>
      <w:r>
        <w:rPr>
          <w:rFonts w:ascii="Helvetica" w:eastAsia="Times New Roman" w:hAnsi="Helvetica"/>
          <w:b/>
          <w:iCs/>
          <w:sz w:val="26"/>
          <w:szCs w:val="20"/>
        </w:rPr>
        <w:t>4.1</w:t>
      </w:r>
      <w:r>
        <w:rPr>
          <w:rFonts w:ascii="Helvetica" w:eastAsia="Times New Roman" w:hAnsi="Helvetica"/>
          <w:b/>
          <w:iCs/>
          <w:sz w:val="26"/>
          <w:szCs w:val="20"/>
        </w:rPr>
        <w:tab/>
      </w:r>
      <w:r w:rsidRPr="00610316">
        <w:rPr>
          <w:rFonts w:ascii="Helvetica" w:eastAsia="Times New Roman" w:hAnsi="Helvetica"/>
          <w:b/>
          <w:iCs/>
          <w:sz w:val="26"/>
          <w:szCs w:val="20"/>
        </w:rPr>
        <w:t>Proponent’s Environmental Assessment</w:t>
      </w:r>
      <w:bookmarkEnd w:id="11"/>
      <w:bookmarkEnd w:id="12"/>
    </w:p>
    <w:p w14:paraId="396F9498" w14:textId="50415D0B" w:rsidR="00610316" w:rsidRPr="00610316" w:rsidRDefault="00610316" w:rsidP="00610316">
      <w:pPr>
        <w:spacing w:after="0" w:line="360" w:lineRule="auto"/>
        <w:ind w:firstLine="720"/>
        <w:rPr>
          <w:rFonts w:ascii="Palatino" w:eastAsia="Times New Roman" w:hAnsi="Palatino"/>
          <w:sz w:val="26"/>
          <w:szCs w:val="20"/>
        </w:rPr>
      </w:pPr>
      <w:r w:rsidRPr="00610316">
        <w:rPr>
          <w:rFonts w:ascii="Palatino" w:eastAsia="Times New Roman" w:hAnsi="Palatino"/>
          <w:sz w:val="26"/>
          <w:szCs w:val="20"/>
        </w:rPr>
        <w:t>PG&amp;E included its PEA with the Application, pursuant to GO 131-D, Section</w:t>
      </w:r>
      <w:r w:rsidR="00B81745">
        <w:rPr>
          <w:rFonts w:ascii="Palatino" w:eastAsia="Times New Roman" w:hAnsi="Palatino"/>
          <w:sz w:val="26"/>
          <w:szCs w:val="20"/>
        </w:rPr>
        <w:t xml:space="preserve"> </w:t>
      </w:r>
      <w:r w:rsidRPr="00610316">
        <w:rPr>
          <w:rFonts w:ascii="Palatino" w:eastAsia="Times New Roman" w:hAnsi="Palatino"/>
          <w:sz w:val="26"/>
          <w:szCs w:val="20"/>
        </w:rPr>
        <w:t>IX.B.1.e.</w:t>
      </w:r>
      <w:r w:rsidRPr="00610316">
        <w:rPr>
          <w:rFonts w:ascii="Palatino" w:eastAsia="Times New Roman" w:hAnsi="Palatino"/>
          <w:sz w:val="24"/>
          <w:szCs w:val="20"/>
          <w:vertAlign w:val="superscript"/>
        </w:rPr>
        <w:footnoteReference w:id="7"/>
      </w:r>
      <w:r w:rsidRPr="00610316">
        <w:rPr>
          <w:rFonts w:ascii="Palatino" w:eastAsia="Times New Roman" w:hAnsi="Palatino"/>
          <w:sz w:val="26"/>
          <w:szCs w:val="20"/>
        </w:rPr>
        <w:t xml:space="preserve">  As previously stated, PG&amp;E also included a supplement to the PEA.</w:t>
      </w:r>
      <w:r w:rsidRPr="00610316">
        <w:rPr>
          <w:rFonts w:ascii="Palatino" w:eastAsia="Times New Roman" w:hAnsi="Palatino"/>
          <w:sz w:val="24"/>
          <w:szCs w:val="20"/>
          <w:vertAlign w:val="superscript"/>
        </w:rPr>
        <w:footnoteReference w:id="8"/>
      </w:r>
      <w:r w:rsidRPr="00610316">
        <w:rPr>
          <w:rFonts w:ascii="Palatino" w:eastAsia="Times New Roman" w:hAnsi="Palatino"/>
          <w:sz w:val="26"/>
          <w:szCs w:val="20"/>
        </w:rPr>
        <w:t xml:space="preserve">  The PEA evaluates the environmental impacts that may result from the construction and operation of the Proposed Project.  PG&amp;E’s PEA contains a project description in Section 3.0, and maps and diagrams in Figures 1.1 </w:t>
      </w:r>
      <w:r w:rsidR="00A56443">
        <w:rPr>
          <w:rFonts w:ascii="Palatino" w:eastAsia="Times New Roman" w:hAnsi="Palatino"/>
          <w:sz w:val="26"/>
          <w:szCs w:val="20"/>
        </w:rPr>
        <w:br/>
      </w:r>
      <w:r w:rsidRPr="00610316">
        <w:rPr>
          <w:rFonts w:ascii="Palatino" w:eastAsia="Times New Roman" w:hAnsi="Palatino"/>
          <w:sz w:val="26"/>
          <w:szCs w:val="20"/>
        </w:rPr>
        <w:t>through 6.1.</w:t>
      </w:r>
    </w:p>
    <w:p w14:paraId="451A525C" w14:textId="77777777" w:rsidR="00D279D9" w:rsidRPr="00D279D9" w:rsidRDefault="00D279D9" w:rsidP="00D279D9">
      <w:pPr>
        <w:numPr>
          <w:ilvl w:val="1"/>
          <w:numId w:val="0"/>
        </w:numPr>
        <w:spacing w:after="0" w:line="360" w:lineRule="auto"/>
        <w:ind w:right="86" w:firstLine="720"/>
        <w:outlineLvl w:val="1"/>
        <w:rPr>
          <w:rFonts w:ascii="Palatino" w:eastAsia="Times New Roman" w:hAnsi="Palatino"/>
          <w:sz w:val="26"/>
          <w:szCs w:val="20"/>
        </w:rPr>
      </w:pPr>
      <w:bookmarkStart w:id="13" w:name="_Toc234137503"/>
      <w:bookmarkStart w:id="14" w:name="_Toc352237786"/>
      <w:r w:rsidRPr="00D279D9">
        <w:rPr>
          <w:rFonts w:ascii="Palatino" w:eastAsia="Times New Roman" w:hAnsi="Palatino"/>
          <w:sz w:val="26"/>
          <w:szCs w:val="20"/>
        </w:rPr>
        <w:t>The PEA concludes that the Proposed Project will have less than significant, or no impact, to all environmental resource categories.  Although PG&amp;E does not anticipate significant impacts to any resource category, PG&amp;E incorporates specific procedures into the project construction plans as an added measure of protection to environmental resources that occur in the area (Applicant’s Proposed Measures).</w:t>
      </w:r>
      <w:r w:rsidRPr="00D279D9">
        <w:rPr>
          <w:rFonts w:ascii="Palatino" w:eastAsia="Times New Roman" w:hAnsi="Palatino"/>
          <w:sz w:val="26"/>
          <w:szCs w:val="20"/>
          <w:vertAlign w:val="superscript"/>
        </w:rPr>
        <w:footnoteReference w:id="9"/>
      </w:r>
      <w:r w:rsidRPr="00D279D9">
        <w:rPr>
          <w:rFonts w:ascii="Palatino" w:eastAsia="Times New Roman" w:hAnsi="Palatino"/>
          <w:sz w:val="26"/>
          <w:szCs w:val="20"/>
        </w:rPr>
        <w:t xml:space="preserve">  We find the Applicant’s Proposed Measures (APMs) to be reasonable.  We adopt the APMs as part of our approval of the Proposed Project, and require PG&amp;E to comply with the APMs.</w:t>
      </w:r>
    </w:p>
    <w:p w14:paraId="246CD1A4" w14:textId="77777777" w:rsidR="00610316" w:rsidRPr="00610316" w:rsidRDefault="00610316" w:rsidP="00D279D9">
      <w:pPr>
        <w:numPr>
          <w:ilvl w:val="1"/>
          <w:numId w:val="0"/>
        </w:numPr>
        <w:tabs>
          <w:tab w:val="num" w:pos="1710"/>
        </w:tabs>
        <w:spacing w:after="0" w:line="360" w:lineRule="auto"/>
        <w:ind w:left="1714" w:right="86" w:hanging="994"/>
        <w:outlineLvl w:val="1"/>
        <w:rPr>
          <w:rFonts w:ascii="Helvetica" w:eastAsia="Times New Roman" w:hAnsi="Helvetica"/>
          <w:b/>
          <w:iCs/>
          <w:sz w:val="26"/>
          <w:szCs w:val="20"/>
        </w:rPr>
      </w:pPr>
      <w:r>
        <w:rPr>
          <w:rFonts w:ascii="Helvetica" w:eastAsia="Times New Roman" w:hAnsi="Helvetica"/>
          <w:b/>
          <w:iCs/>
          <w:sz w:val="26"/>
          <w:szCs w:val="20"/>
        </w:rPr>
        <w:t>4.2</w:t>
      </w:r>
      <w:r>
        <w:rPr>
          <w:rFonts w:ascii="Helvetica" w:eastAsia="Times New Roman" w:hAnsi="Helvetica"/>
          <w:b/>
          <w:iCs/>
          <w:sz w:val="26"/>
          <w:szCs w:val="20"/>
        </w:rPr>
        <w:tab/>
      </w:r>
      <w:r w:rsidRPr="00610316">
        <w:rPr>
          <w:rFonts w:ascii="Helvetica" w:eastAsia="Times New Roman" w:hAnsi="Helvetica"/>
          <w:b/>
          <w:iCs/>
          <w:sz w:val="26"/>
          <w:szCs w:val="20"/>
        </w:rPr>
        <w:t>Draft Initial Study/Mitigated</w:t>
      </w:r>
      <w:r>
        <w:rPr>
          <w:rFonts w:ascii="Helvetica" w:eastAsia="Times New Roman" w:hAnsi="Helvetica"/>
          <w:b/>
          <w:iCs/>
          <w:sz w:val="26"/>
          <w:szCs w:val="20"/>
        </w:rPr>
        <w:t xml:space="preserve"> </w:t>
      </w:r>
      <w:r w:rsidRPr="00610316">
        <w:rPr>
          <w:rFonts w:ascii="Helvetica" w:eastAsia="Times New Roman" w:hAnsi="Helvetica"/>
          <w:b/>
          <w:iCs/>
          <w:sz w:val="26"/>
          <w:szCs w:val="20"/>
        </w:rPr>
        <w:t>Negative Declaration</w:t>
      </w:r>
      <w:bookmarkEnd w:id="13"/>
      <w:bookmarkEnd w:id="14"/>
    </w:p>
    <w:p w14:paraId="31490563" w14:textId="77777777" w:rsidR="00B0239B" w:rsidRPr="00B0239B" w:rsidRDefault="00B0239B" w:rsidP="00B0239B">
      <w:pPr>
        <w:spacing w:after="0" w:line="360" w:lineRule="auto"/>
        <w:ind w:firstLine="720"/>
        <w:rPr>
          <w:rFonts w:ascii="Palatino" w:eastAsia="Times New Roman" w:hAnsi="Palatino"/>
          <w:sz w:val="26"/>
          <w:szCs w:val="20"/>
        </w:rPr>
      </w:pPr>
      <w:r w:rsidRPr="00B0239B">
        <w:rPr>
          <w:rFonts w:ascii="Palatino" w:eastAsia="Times New Roman" w:hAnsi="Palatino"/>
          <w:sz w:val="26"/>
          <w:szCs w:val="20"/>
        </w:rPr>
        <w:t xml:space="preserve">As the next step in the environmental review, the Commission’s Energy Division reviewed the PEA.  On June 21, 2011, the Energy Division informed PG&amp;E by letter that the Application was deemed complete for purposes of reviewing environmental impacts, and began preparing an Initial Study (IS).  The IS determined that the Proposed Project will not have a significant adverse impact on the environment, but this determination is conditioned on certain mitigation measures. </w:t>
      </w:r>
    </w:p>
    <w:p w14:paraId="2850F5BB" w14:textId="77777777" w:rsidR="00B0239B" w:rsidRPr="00B0239B" w:rsidRDefault="00B0239B" w:rsidP="00B0239B">
      <w:pPr>
        <w:spacing w:after="0" w:line="360" w:lineRule="auto"/>
        <w:ind w:firstLine="720"/>
        <w:rPr>
          <w:rFonts w:ascii="Palatino" w:eastAsia="Times New Roman" w:hAnsi="Palatino"/>
          <w:sz w:val="26"/>
          <w:szCs w:val="20"/>
        </w:rPr>
      </w:pPr>
      <w:bookmarkStart w:id="15" w:name="_Toc234286596"/>
      <w:bookmarkStart w:id="16" w:name="_Toc234287642"/>
      <w:bookmarkStart w:id="17" w:name="_Toc234286597"/>
      <w:bookmarkStart w:id="18" w:name="_Toc234287643"/>
      <w:bookmarkStart w:id="19" w:name="_Toc234286598"/>
      <w:bookmarkStart w:id="20" w:name="_Toc234287644"/>
      <w:bookmarkStart w:id="21" w:name="_Toc234286599"/>
      <w:bookmarkStart w:id="22" w:name="_Toc234287645"/>
      <w:bookmarkStart w:id="23" w:name="_Toc234286601"/>
      <w:bookmarkStart w:id="24" w:name="_Toc234287647"/>
      <w:bookmarkStart w:id="25" w:name="_Toc234286608"/>
      <w:bookmarkStart w:id="26" w:name="_Toc234287654"/>
      <w:bookmarkStart w:id="27" w:name="_Toc234286618"/>
      <w:bookmarkStart w:id="28" w:name="_Toc234287664"/>
      <w:bookmarkStart w:id="29" w:name="_Toc234286619"/>
      <w:bookmarkStart w:id="30" w:name="_Toc234287665"/>
      <w:bookmarkStart w:id="31" w:name="_Toc234286624"/>
      <w:bookmarkStart w:id="32" w:name="_Toc234287670"/>
      <w:bookmarkStart w:id="33" w:name="_Toc234286625"/>
      <w:bookmarkStart w:id="34" w:name="_Toc234287671"/>
      <w:bookmarkStart w:id="35" w:name="_Toc234286631"/>
      <w:bookmarkStart w:id="36" w:name="_Toc234287677"/>
      <w:bookmarkStart w:id="37" w:name="_Toc234286632"/>
      <w:bookmarkStart w:id="38" w:name="_Toc234287678"/>
      <w:bookmarkStart w:id="39" w:name="_Toc234286635"/>
      <w:bookmarkStart w:id="40" w:name="_Toc234287681"/>
      <w:bookmarkStart w:id="41" w:name="_Toc234286636"/>
      <w:bookmarkStart w:id="42" w:name="_Toc234287682"/>
      <w:bookmarkStart w:id="43" w:name="_Toc234286656"/>
      <w:bookmarkStart w:id="44" w:name="_Toc234287702"/>
      <w:bookmarkStart w:id="45" w:name="_Toc234286657"/>
      <w:bookmarkStart w:id="46" w:name="_Toc234287703"/>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B0239B">
        <w:rPr>
          <w:rFonts w:ascii="Palatino" w:eastAsia="Times New Roman" w:hAnsi="Palatino"/>
          <w:sz w:val="26"/>
          <w:szCs w:val="20"/>
        </w:rPr>
        <w:t>On May 7, 2012, the Energy Division released for public review a Draft IS/Mitigated Negative Declaration (MND) for the Proposed Project.</w:t>
      </w:r>
      <w:r w:rsidRPr="00B0239B">
        <w:rPr>
          <w:rFonts w:ascii="Palatino" w:eastAsia="Times New Roman" w:hAnsi="Palatino"/>
          <w:sz w:val="26"/>
          <w:szCs w:val="20"/>
          <w:vertAlign w:val="superscript"/>
        </w:rPr>
        <w:t xml:space="preserve"> </w:t>
      </w:r>
      <w:r w:rsidRPr="00B0239B">
        <w:rPr>
          <w:rFonts w:ascii="Palatino" w:eastAsia="Times New Roman" w:hAnsi="Palatino"/>
          <w:sz w:val="26"/>
          <w:szCs w:val="20"/>
          <w:vertAlign w:val="superscript"/>
        </w:rPr>
        <w:footnoteReference w:id="10"/>
      </w:r>
      <w:r w:rsidRPr="00B0239B">
        <w:rPr>
          <w:rFonts w:ascii="Palatino" w:eastAsia="Times New Roman" w:hAnsi="Palatino"/>
          <w:sz w:val="26"/>
          <w:szCs w:val="20"/>
        </w:rPr>
        <w:t xml:space="preserve">  The Draft IS/MND determined that, with the mitigation incorporated, approval of the Proposed Project will result in less than significant impacts in the areas of aesthetics, agricultural resources, air quality, greenhouse gases, biological resources, cultural resources, geology and soils, hazards and hazardous materials, hydrology and water quality, land use planning, mineral resources, noise, population and housing, public services, recreation, transportation and traffic, and utilities and services systems.</w:t>
      </w:r>
    </w:p>
    <w:p w14:paraId="492EE4AA" w14:textId="50EBC354" w:rsidR="00610316" w:rsidRPr="00610316" w:rsidRDefault="00610316" w:rsidP="00610316">
      <w:pPr>
        <w:spacing w:after="0" w:line="360" w:lineRule="auto"/>
        <w:ind w:firstLine="720"/>
        <w:rPr>
          <w:rFonts w:ascii="Palatino" w:eastAsia="Times New Roman" w:hAnsi="Palatino"/>
          <w:sz w:val="26"/>
          <w:szCs w:val="20"/>
        </w:rPr>
      </w:pPr>
      <w:r w:rsidRPr="00610316">
        <w:rPr>
          <w:rFonts w:ascii="Palatino" w:eastAsia="Times New Roman" w:hAnsi="Palatino"/>
          <w:sz w:val="26"/>
          <w:szCs w:val="20"/>
        </w:rPr>
        <w:t>As required by CEQA, the Draft IS/MND included a Mitigation, Monitoring and Reporting Program (MMRP).  The MMRP describes the mitigation measures, specifically details how each mitigation measure will be implemented, and includes information on the timing of implementation and monitoring requirements.</w:t>
      </w:r>
      <w:r w:rsidR="00AC1BFA">
        <w:rPr>
          <w:rFonts w:ascii="Palatino" w:eastAsia="Times New Roman" w:hAnsi="Palatino"/>
          <w:sz w:val="26"/>
          <w:szCs w:val="20"/>
        </w:rPr>
        <w:t xml:space="preserve"> </w:t>
      </w:r>
      <w:r w:rsidRPr="00610316">
        <w:rPr>
          <w:rFonts w:ascii="Palatino" w:eastAsia="Times New Roman" w:hAnsi="Palatino"/>
          <w:sz w:val="26"/>
          <w:szCs w:val="20"/>
        </w:rPr>
        <w:t xml:space="preserve"> The Commission will use the MMRP as a framework to create a Mitigation Monitoring, Compliance and Reporting Program which will formalize protocols to be followed by Commission third-party environmental monitors and PG&amp;E project staff prior to and during construction.  The Commission adopts the MMRP as part of its approval of the Proposed Project.</w:t>
      </w:r>
      <w:r w:rsidRPr="00610316">
        <w:rPr>
          <w:rFonts w:ascii="Palatino" w:eastAsia="Times New Roman" w:hAnsi="Palatino"/>
          <w:sz w:val="24"/>
          <w:szCs w:val="20"/>
          <w:vertAlign w:val="superscript"/>
        </w:rPr>
        <w:footnoteReference w:id="11"/>
      </w:r>
    </w:p>
    <w:p w14:paraId="27072B1F" w14:textId="2F397C31" w:rsidR="00610316" w:rsidRPr="00610316" w:rsidRDefault="00610316" w:rsidP="00610316">
      <w:pPr>
        <w:spacing w:after="0" w:line="360" w:lineRule="auto"/>
        <w:ind w:firstLine="720"/>
        <w:rPr>
          <w:rFonts w:ascii="Palatino" w:eastAsia="Times New Roman" w:hAnsi="Palatino"/>
          <w:sz w:val="26"/>
          <w:szCs w:val="20"/>
        </w:rPr>
      </w:pPr>
      <w:r w:rsidRPr="00610316">
        <w:rPr>
          <w:rFonts w:ascii="Palatino" w:eastAsia="Times New Roman" w:hAnsi="Palatino"/>
          <w:sz w:val="26"/>
          <w:szCs w:val="20"/>
        </w:rPr>
        <w:t>The Draft IS/MND was distributed to federal, state and local agencies; property owners within 300 feet of the Proposed Project; and other interested parties (i</w:t>
      </w:r>
      <w:r w:rsidR="00C53DA5">
        <w:rPr>
          <w:rFonts w:ascii="Palatino" w:eastAsia="Times New Roman" w:hAnsi="Palatino"/>
          <w:sz w:val="26"/>
          <w:szCs w:val="20"/>
        </w:rPr>
        <w:t xml:space="preserve">dentified in the Draft IS/MND). </w:t>
      </w:r>
      <w:r w:rsidRPr="00610316">
        <w:rPr>
          <w:rFonts w:ascii="Palatino" w:eastAsia="Times New Roman" w:hAnsi="Palatino"/>
          <w:sz w:val="26"/>
          <w:szCs w:val="20"/>
        </w:rPr>
        <w:t xml:space="preserve"> A Public Notice of the Proposed Project also was published in the local newspaper, announcin</w:t>
      </w:r>
      <w:r w:rsidR="00B81745">
        <w:rPr>
          <w:rFonts w:ascii="Palatino" w:eastAsia="Times New Roman" w:hAnsi="Palatino"/>
          <w:sz w:val="26"/>
          <w:szCs w:val="20"/>
        </w:rPr>
        <w:t xml:space="preserve">g the availability of the Draft </w:t>
      </w:r>
      <w:r w:rsidRPr="00610316">
        <w:rPr>
          <w:rFonts w:ascii="Palatino" w:eastAsia="Times New Roman" w:hAnsi="Palatino"/>
          <w:sz w:val="26"/>
          <w:szCs w:val="20"/>
        </w:rPr>
        <w:t>IS/MND.</w:t>
      </w:r>
      <w:r w:rsidR="00B81745">
        <w:rPr>
          <w:rFonts w:ascii="Palatino" w:eastAsia="Times New Roman" w:hAnsi="Palatino"/>
          <w:sz w:val="26"/>
          <w:szCs w:val="20"/>
        </w:rPr>
        <w:t xml:space="preserve"> </w:t>
      </w:r>
      <w:r w:rsidRPr="00610316">
        <w:rPr>
          <w:rFonts w:ascii="Palatino" w:eastAsia="Times New Roman" w:hAnsi="Palatino"/>
          <w:sz w:val="26"/>
          <w:szCs w:val="20"/>
        </w:rPr>
        <w:t xml:space="preserve"> The 30-day public review and comment period ended on June 6, 2012.</w:t>
      </w:r>
    </w:p>
    <w:p w14:paraId="590E042D" w14:textId="37F7F180" w:rsidR="00610316" w:rsidRPr="00610316" w:rsidRDefault="00610316" w:rsidP="00610316">
      <w:pPr>
        <w:spacing w:after="0" w:line="360" w:lineRule="auto"/>
        <w:ind w:firstLine="720"/>
        <w:rPr>
          <w:rFonts w:ascii="Palatino" w:eastAsia="Times New Roman" w:hAnsi="Palatino"/>
          <w:sz w:val="26"/>
          <w:szCs w:val="26"/>
        </w:rPr>
      </w:pPr>
      <w:r w:rsidRPr="00610316">
        <w:rPr>
          <w:rFonts w:ascii="Palatino" w:eastAsia="Times New Roman" w:hAnsi="Palatino"/>
          <w:sz w:val="26"/>
          <w:szCs w:val="26"/>
        </w:rPr>
        <w:t xml:space="preserve">Comment letters on the Draft IS/MND were received from the </w:t>
      </w:r>
      <w:r w:rsidRPr="00610316">
        <w:rPr>
          <w:rFonts w:ascii="Palatino" w:eastAsia="Times New Roman" w:hAnsi="Palatino"/>
          <w:sz w:val="26"/>
          <w:szCs w:val="20"/>
        </w:rPr>
        <w:t xml:space="preserve">California Department of Fish and Game; Division of Ratepayer Advocates; Fresno Metropolitan Flood Control District, Property Owners Greg Johnson, </w:t>
      </w:r>
      <w:r w:rsidR="00B81745">
        <w:rPr>
          <w:rFonts w:ascii="Palatino" w:eastAsia="Times New Roman" w:hAnsi="Palatino"/>
          <w:sz w:val="26"/>
          <w:szCs w:val="20"/>
        </w:rPr>
        <w:br/>
      </w:r>
      <w:r w:rsidRPr="00610316">
        <w:rPr>
          <w:rFonts w:ascii="Palatino" w:eastAsia="Times New Roman" w:hAnsi="Palatino"/>
          <w:sz w:val="26"/>
          <w:szCs w:val="20"/>
        </w:rPr>
        <w:t>Pat Menagh, Vimy and Rohit Sundran, and Timothy and Deanna Watson, and PG&amp;E</w:t>
      </w:r>
      <w:r w:rsidRPr="00610316">
        <w:rPr>
          <w:rFonts w:ascii="Palatino" w:eastAsia="Times New Roman" w:hAnsi="Palatino"/>
          <w:sz w:val="26"/>
          <w:szCs w:val="26"/>
        </w:rPr>
        <w:t>.</w:t>
      </w:r>
    </w:p>
    <w:p w14:paraId="09C309DE" w14:textId="6C791BA4" w:rsidR="00610316" w:rsidRPr="00610316" w:rsidRDefault="00610316" w:rsidP="002A2ADC">
      <w:pPr>
        <w:keepNext/>
        <w:numPr>
          <w:ilvl w:val="1"/>
          <w:numId w:val="0"/>
        </w:numPr>
        <w:tabs>
          <w:tab w:val="num" w:pos="1710"/>
        </w:tabs>
        <w:spacing w:before="120" w:after="120" w:line="240" w:lineRule="auto"/>
        <w:ind w:left="1710" w:hanging="990"/>
        <w:outlineLvl w:val="1"/>
        <w:rPr>
          <w:rFonts w:ascii="Helvetica" w:eastAsia="Times New Roman" w:hAnsi="Helvetica"/>
          <w:b/>
          <w:iCs/>
          <w:sz w:val="26"/>
          <w:szCs w:val="20"/>
        </w:rPr>
      </w:pPr>
      <w:bookmarkStart w:id="47" w:name="_Toc234137515"/>
      <w:bookmarkStart w:id="48" w:name="_Toc352237789"/>
      <w:r>
        <w:rPr>
          <w:rFonts w:ascii="Helvetica" w:eastAsia="Times New Roman" w:hAnsi="Helvetica"/>
          <w:b/>
          <w:iCs/>
          <w:sz w:val="26"/>
          <w:szCs w:val="20"/>
        </w:rPr>
        <w:t>4.3</w:t>
      </w:r>
      <w:r>
        <w:rPr>
          <w:rFonts w:ascii="Helvetica" w:eastAsia="Times New Roman" w:hAnsi="Helvetica"/>
          <w:b/>
          <w:iCs/>
          <w:sz w:val="26"/>
          <w:szCs w:val="20"/>
        </w:rPr>
        <w:tab/>
      </w:r>
      <w:r w:rsidRPr="00610316">
        <w:rPr>
          <w:rFonts w:ascii="Helvetica" w:eastAsia="Times New Roman" w:hAnsi="Helvetica"/>
          <w:b/>
          <w:iCs/>
          <w:sz w:val="26"/>
          <w:szCs w:val="20"/>
        </w:rPr>
        <w:t>Final MND</w:t>
      </w:r>
      <w:bookmarkEnd w:id="47"/>
      <w:r w:rsidRPr="00610316">
        <w:rPr>
          <w:rFonts w:ascii="Helvetica" w:eastAsia="Times New Roman" w:hAnsi="Helvetica"/>
          <w:b/>
          <w:iCs/>
          <w:sz w:val="26"/>
          <w:szCs w:val="20"/>
        </w:rPr>
        <w:t xml:space="preserve"> and </w:t>
      </w:r>
      <w:r w:rsidR="002A2ADC">
        <w:rPr>
          <w:rFonts w:ascii="Helvetica" w:eastAsia="Times New Roman" w:hAnsi="Helvetica"/>
          <w:b/>
          <w:iCs/>
          <w:sz w:val="26"/>
          <w:szCs w:val="20"/>
        </w:rPr>
        <w:t>the Addendum to the</w:t>
      </w:r>
      <w:r w:rsidRPr="00610316">
        <w:rPr>
          <w:rFonts w:ascii="Helvetica" w:eastAsia="Times New Roman" w:hAnsi="Helvetica"/>
          <w:b/>
          <w:iCs/>
          <w:sz w:val="26"/>
          <w:szCs w:val="20"/>
        </w:rPr>
        <w:t xml:space="preserve"> Final MND</w:t>
      </w:r>
      <w:bookmarkEnd w:id="48"/>
    </w:p>
    <w:p w14:paraId="1A5E431F" w14:textId="769B3C65" w:rsidR="00610316" w:rsidRPr="00610316" w:rsidRDefault="00610316" w:rsidP="00610316">
      <w:pPr>
        <w:spacing w:after="0" w:line="360" w:lineRule="auto"/>
        <w:ind w:firstLine="720"/>
        <w:rPr>
          <w:rFonts w:ascii="Palatino" w:eastAsia="Times New Roman" w:hAnsi="Palatino"/>
          <w:sz w:val="26"/>
          <w:szCs w:val="20"/>
        </w:rPr>
      </w:pPr>
      <w:r w:rsidRPr="00610316">
        <w:rPr>
          <w:rFonts w:ascii="Palatino" w:eastAsia="Times New Roman" w:hAnsi="Palatino"/>
          <w:sz w:val="26"/>
          <w:szCs w:val="20"/>
        </w:rPr>
        <w:t>A Final MND was prepared pursuant to CEQA guidelines, and issued by the Energy Division on January 4, 2013.</w:t>
      </w:r>
      <w:r w:rsidRPr="00610316">
        <w:rPr>
          <w:rFonts w:ascii="Palatino" w:eastAsia="Times New Roman" w:hAnsi="Palatino"/>
          <w:sz w:val="24"/>
          <w:szCs w:val="26"/>
          <w:vertAlign w:val="superscript"/>
        </w:rPr>
        <w:footnoteReference w:id="12"/>
      </w:r>
      <w:r w:rsidRPr="00610316">
        <w:rPr>
          <w:rFonts w:ascii="Palatino" w:eastAsia="Times New Roman" w:hAnsi="Palatino"/>
          <w:sz w:val="26"/>
          <w:szCs w:val="20"/>
        </w:rPr>
        <w:t xml:space="preserve">  The Final MND addresses all aspects of </w:t>
      </w:r>
      <w:bookmarkStart w:id="49" w:name="OLE_LINK5"/>
      <w:bookmarkStart w:id="50" w:name="OLE_LINK6"/>
      <w:r w:rsidRPr="00610316">
        <w:rPr>
          <w:rFonts w:ascii="Palatino" w:eastAsia="Times New Roman" w:hAnsi="Palatino"/>
          <w:sz w:val="26"/>
          <w:szCs w:val="20"/>
        </w:rPr>
        <w:t>the Draft IS/MND</w:t>
      </w:r>
      <w:bookmarkEnd w:id="49"/>
      <w:bookmarkEnd w:id="50"/>
      <w:r w:rsidRPr="00610316">
        <w:rPr>
          <w:rFonts w:ascii="Palatino" w:eastAsia="Times New Roman" w:hAnsi="Palatino"/>
          <w:sz w:val="26"/>
          <w:szCs w:val="20"/>
        </w:rPr>
        <w:t>, includes the comments received on the Draft IS/MND and the responses to those comments by the Lead Agency (Energy Division), and includes a final version of the MMRP.</w:t>
      </w:r>
    </w:p>
    <w:p w14:paraId="2D41BBF4" w14:textId="0BB0F618" w:rsidR="00610316" w:rsidRPr="00610316" w:rsidRDefault="00610316" w:rsidP="00610316">
      <w:pPr>
        <w:spacing w:after="0" w:line="360" w:lineRule="auto"/>
        <w:ind w:firstLine="720"/>
        <w:rPr>
          <w:rFonts w:ascii="Palatino" w:eastAsia="Times New Roman" w:hAnsi="Palatino"/>
          <w:sz w:val="26"/>
          <w:szCs w:val="20"/>
        </w:rPr>
      </w:pPr>
      <w:r w:rsidRPr="00610316">
        <w:rPr>
          <w:rFonts w:ascii="Palatino" w:eastAsia="Times New Roman" w:hAnsi="Palatino"/>
          <w:sz w:val="26"/>
          <w:szCs w:val="20"/>
        </w:rPr>
        <w:t>Although a few revisions were made to clarify and revise certain mitigation measures described in the Draft IS/MND, the Final MND does not identify any new significant environmental impacts, and does not omit any existing mitigation measures, from those i</w:t>
      </w:r>
      <w:r w:rsidR="00C53DA5">
        <w:rPr>
          <w:rFonts w:ascii="Palatino" w:eastAsia="Times New Roman" w:hAnsi="Palatino"/>
          <w:sz w:val="26"/>
          <w:szCs w:val="20"/>
        </w:rPr>
        <w:t>dentified in the Draft IS/MND.</w:t>
      </w:r>
    </w:p>
    <w:p w14:paraId="5A1474FC" w14:textId="77777777" w:rsidR="002A2ADC" w:rsidRPr="00610316" w:rsidRDefault="002A2ADC" w:rsidP="002A2ADC">
      <w:pPr>
        <w:spacing w:after="0" w:line="360" w:lineRule="auto"/>
        <w:ind w:firstLine="720"/>
        <w:rPr>
          <w:rFonts w:ascii="Palatino" w:eastAsia="Times New Roman" w:hAnsi="Palatino"/>
          <w:sz w:val="26"/>
          <w:szCs w:val="20"/>
        </w:rPr>
      </w:pPr>
      <w:bookmarkStart w:id="51" w:name="_Toc234137506"/>
      <w:bookmarkStart w:id="52" w:name="_Toc352237787"/>
      <w:bookmarkStart w:id="53" w:name="_Toc234137516"/>
      <w:bookmarkStart w:id="54" w:name="_Toc352237790"/>
      <w:r w:rsidRPr="00610316">
        <w:rPr>
          <w:rFonts w:ascii="Palatino" w:eastAsia="Times New Roman" w:hAnsi="Palatino"/>
          <w:sz w:val="26"/>
          <w:szCs w:val="20"/>
        </w:rPr>
        <w:t>The Final MND concludes that the Proposed Project will not have a significant adverse impact on the environment, because the mitigation measures described therein, and agreed to and incorporated by PG&amp;E into the Proposed Project, will ensure that any potentially significant impacts that have been identified with the Proposed Project will remain at less than significant levels.</w:t>
      </w:r>
    </w:p>
    <w:p w14:paraId="5DD8BC24" w14:textId="709EB3D8" w:rsidR="002A2ADC" w:rsidRDefault="002A2ADC" w:rsidP="002A2ADC">
      <w:pPr>
        <w:spacing w:after="0" w:line="360" w:lineRule="auto"/>
        <w:ind w:firstLine="720"/>
        <w:rPr>
          <w:rFonts w:ascii="Palatino" w:eastAsia="Times New Roman" w:hAnsi="Palatino"/>
          <w:sz w:val="26"/>
          <w:szCs w:val="20"/>
        </w:rPr>
      </w:pPr>
      <w:r w:rsidRPr="00D432F2">
        <w:rPr>
          <w:rFonts w:ascii="Palatino" w:eastAsia="Times New Roman" w:hAnsi="Palatino"/>
          <w:sz w:val="26"/>
          <w:szCs w:val="20"/>
        </w:rPr>
        <w:t xml:space="preserve">Staff issued an </w:t>
      </w:r>
      <w:r>
        <w:rPr>
          <w:rFonts w:ascii="Palatino" w:eastAsia="Times New Roman" w:hAnsi="Palatino"/>
          <w:sz w:val="26"/>
          <w:szCs w:val="20"/>
        </w:rPr>
        <w:t>Addendum to the</w:t>
      </w:r>
      <w:r w:rsidRPr="00D432F2">
        <w:rPr>
          <w:rFonts w:ascii="Palatino" w:eastAsia="Times New Roman" w:hAnsi="Palatino"/>
          <w:sz w:val="26"/>
          <w:szCs w:val="20"/>
        </w:rPr>
        <w:t xml:space="preserve"> Final MND </w:t>
      </w:r>
      <w:r>
        <w:rPr>
          <w:rFonts w:ascii="Palatino" w:eastAsia="Times New Roman" w:hAnsi="Palatino"/>
          <w:sz w:val="26"/>
          <w:szCs w:val="20"/>
        </w:rPr>
        <w:t>in</w:t>
      </w:r>
      <w:r w:rsidRPr="00D432F2">
        <w:rPr>
          <w:rFonts w:ascii="Palatino" w:eastAsia="Times New Roman" w:hAnsi="Palatino"/>
          <w:sz w:val="26"/>
          <w:szCs w:val="20"/>
        </w:rPr>
        <w:t xml:space="preserve"> March 2013.</w:t>
      </w:r>
      <w:r w:rsidRPr="00D432F2">
        <w:rPr>
          <w:rFonts w:ascii="Palatino" w:eastAsia="Times New Roman" w:hAnsi="Palatino"/>
          <w:sz w:val="24"/>
          <w:szCs w:val="20"/>
          <w:vertAlign w:val="superscript"/>
        </w:rPr>
        <w:footnoteReference w:id="13"/>
      </w:r>
      <w:r w:rsidRPr="00D432F2">
        <w:rPr>
          <w:rFonts w:ascii="Palatino" w:eastAsia="Times New Roman" w:hAnsi="Palatino"/>
          <w:sz w:val="26"/>
          <w:szCs w:val="20"/>
        </w:rPr>
        <w:t xml:space="preserve">  The </w:t>
      </w:r>
      <w:r>
        <w:rPr>
          <w:rFonts w:ascii="Palatino" w:eastAsia="Times New Roman" w:hAnsi="Palatino"/>
          <w:sz w:val="26"/>
          <w:szCs w:val="20"/>
        </w:rPr>
        <w:t>Addendum was prepared to evaluate the potential impacts of a project modification to the Shepherd project in compliance with CEQA Guidelines 15164</w:t>
      </w:r>
      <w:r w:rsidR="002470BA">
        <w:rPr>
          <w:rFonts w:ascii="Palatino" w:eastAsia="Times New Roman" w:hAnsi="Palatino"/>
          <w:sz w:val="26"/>
          <w:szCs w:val="20"/>
        </w:rPr>
        <w:t>.</w:t>
      </w:r>
      <w:r>
        <w:rPr>
          <w:rStyle w:val="FootnoteReference"/>
          <w:rFonts w:ascii="Palatino" w:eastAsia="Times New Roman" w:hAnsi="Palatino"/>
          <w:szCs w:val="20"/>
        </w:rPr>
        <w:footnoteReference w:id="14"/>
      </w:r>
    </w:p>
    <w:p w14:paraId="5EB68DB0" w14:textId="77777777" w:rsidR="002A2ADC" w:rsidRDefault="002A2ADC" w:rsidP="002A2ADC">
      <w:pPr>
        <w:spacing w:after="0" w:line="360" w:lineRule="auto"/>
        <w:ind w:firstLine="720"/>
        <w:rPr>
          <w:rFonts w:ascii="Palatino" w:eastAsia="Times New Roman" w:hAnsi="Palatino"/>
          <w:sz w:val="26"/>
          <w:szCs w:val="20"/>
        </w:rPr>
      </w:pPr>
      <w:r>
        <w:rPr>
          <w:rFonts w:ascii="Palatino" w:eastAsia="Times New Roman" w:hAnsi="Palatino"/>
          <w:sz w:val="26"/>
          <w:szCs w:val="20"/>
        </w:rPr>
        <w:t>The modification</w:t>
      </w:r>
      <w:r w:rsidRPr="00D432F2">
        <w:rPr>
          <w:rFonts w:ascii="Palatino" w:eastAsia="Times New Roman" w:hAnsi="Palatino"/>
          <w:sz w:val="26"/>
          <w:szCs w:val="20"/>
        </w:rPr>
        <w:t xml:space="preserve"> </w:t>
      </w:r>
      <w:r>
        <w:rPr>
          <w:rFonts w:ascii="Palatino" w:eastAsia="Times New Roman" w:hAnsi="Palatino"/>
          <w:sz w:val="26"/>
          <w:szCs w:val="20"/>
        </w:rPr>
        <w:t>increases the number of tubular steel poles from 17 to 18 in order to avoid potential conflicts with the Fresno Metropolitan Flood Control District’s plan for a flood control channel located north of Behymer Avenue.  The original proposed pole has been relocated approximately 320 feet north along the alignment so that the power line would span the flood control channel.  Relocating the pole north to avoid the planned flood control channel increases the power line span requiring an additional pole just north of Behymer Avenue.  The additional pole results in an increase of temporary ground disturbance from 3.0 acres to 3.24 acres and an increase of permanent ground disturbance from 0.17 acres to 0.18 acres.</w:t>
      </w:r>
    </w:p>
    <w:p w14:paraId="1C668643" w14:textId="43B7F82C" w:rsidR="002A2ADC" w:rsidRPr="00610316" w:rsidRDefault="002A2ADC" w:rsidP="002A2ADC">
      <w:pPr>
        <w:spacing w:after="0" w:line="360" w:lineRule="auto"/>
        <w:ind w:firstLine="720"/>
        <w:rPr>
          <w:rFonts w:ascii="Palatino" w:eastAsia="Times New Roman" w:hAnsi="Palatino"/>
          <w:sz w:val="26"/>
          <w:szCs w:val="20"/>
        </w:rPr>
      </w:pPr>
      <w:r>
        <w:rPr>
          <w:rFonts w:ascii="Palatino" w:eastAsia="Times New Roman" w:hAnsi="Palatino"/>
          <w:sz w:val="26"/>
          <w:szCs w:val="20"/>
        </w:rPr>
        <w:t xml:space="preserve">In the Addendum, staff concluded that the proposed project modification is not a substantial change to the project and does not result in </w:t>
      </w:r>
      <w:r w:rsidRPr="00D432F2">
        <w:rPr>
          <w:rFonts w:ascii="Palatino" w:eastAsia="Times New Roman" w:hAnsi="Palatino"/>
          <w:sz w:val="26"/>
          <w:szCs w:val="20"/>
        </w:rPr>
        <w:t xml:space="preserve">any new significant environmental impacts or </w:t>
      </w:r>
      <w:r>
        <w:rPr>
          <w:rFonts w:ascii="Palatino" w:eastAsia="Times New Roman" w:hAnsi="Palatino"/>
          <w:sz w:val="26"/>
          <w:szCs w:val="20"/>
        </w:rPr>
        <w:t>any substantial increases in the severity of previously significant impacts.  The modification do</w:t>
      </w:r>
      <w:r w:rsidR="00F72DBD">
        <w:rPr>
          <w:rFonts w:ascii="Palatino" w:eastAsia="Times New Roman" w:hAnsi="Palatino"/>
          <w:sz w:val="26"/>
          <w:szCs w:val="20"/>
        </w:rPr>
        <w:t>es</w:t>
      </w:r>
      <w:r>
        <w:rPr>
          <w:rFonts w:ascii="Palatino" w:eastAsia="Times New Roman" w:hAnsi="Palatino"/>
          <w:sz w:val="26"/>
          <w:szCs w:val="20"/>
        </w:rPr>
        <w:t xml:space="preserve"> not otherwise trigger the need to prepare a subsequent Environmental Impact Report or negative declaration pur</w:t>
      </w:r>
      <w:r w:rsidR="009D5310">
        <w:rPr>
          <w:rFonts w:ascii="Palatino" w:eastAsia="Times New Roman" w:hAnsi="Palatino"/>
          <w:sz w:val="26"/>
          <w:szCs w:val="20"/>
        </w:rPr>
        <w:t>suant to CEQA Guidelines 15162.</w:t>
      </w:r>
    </w:p>
    <w:p w14:paraId="24396C58" w14:textId="5F85859F" w:rsidR="002A2ADC" w:rsidRPr="00610316" w:rsidRDefault="002A2ADC" w:rsidP="002A2ADC">
      <w:pPr>
        <w:spacing w:after="0" w:line="360" w:lineRule="auto"/>
        <w:ind w:firstLine="720"/>
        <w:rPr>
          <w:rFonts w:ascii="Palatino" w:eastAsia="Times New Roman" w:hAnsi="Palatino"/>
          <w:sz w:val="26"/>
          <w:szCs w:val="20"/>
        </w:rPr>
      </w:pPr>
      <w:r w:rsidRPr="00610316">
        <w:rPr>
          <w:rFonts w:ascii="Palatino" w:eastAsia="Times New Roman" w:hAnsi="Palatino"/>
          <w:sz w:val="26"/>
          <w:szCs w:val="20"/>
        </w:rPr>
        <w:t>Before granting the Application, we must consider the Final MND</w:t>
      </w:r>
      <w:r>
        <w:rPr>
          <w:rFonts w:ascii="Palatino" w:eastAsia="Times New Roman" w:hAnsi="Palatino"/>
          <w:sz w:val="26"/>
          <w:szCs w:val="20"/>
        </w:rPr>
        <w:t xml:space="preserve"> and its Addendum</w:t>
      </w:r>
      <w:r w:rsidRPr="00610316">
        <w:rPr>
          <w:rFonts w:ascii="Palatino" w:eastAsia="Times New Roman" w:hAnsi="Palatino"/>
          <w:sz w:val="26"/>
          <w:szCs w:val="20"/>
        </w:rPr>
        <w:t>.</w:t>
      </w:r>
      <w:r w:rsidRPr="00610316">
        <w:rPr>
          <w:rFonts w:ascii="Palatino" w:eastAsia="Times New Roman" w:hAnsi="Palatino"/>
          <w:sz w:val="24"/>
          <w:szCs w:val="20"/>
          <w:vertAlign w:val="superscript"/>
        </w:rPr>
        <w:footnoteReference w:id="15"/>
      </w:r>
      <w:r w:rsidRPr="00610316">
        <w:rPr>
          <w:rFonts w:ascii="Palatino" w:eastAsia="Times New Roman" w:hAnsi="Palatino"/>
          <w:sz w:val="26"/>
          <w:szCs w:val="20"/>
        </w:rPr>
        <w:t xml:space="preserve">  We find that the Final MND (which incorporates the Draft IS/MND) </w:t>
      </w:r>
      <w:r>
        <w:rPr>
          <w:rFonts w:ascii="Palatino" w:eastAsia="Times New Roman" w:hAnsi="Palatino"/>
          <w:sz w:val="26"/>
          <w:szCs w:val="20"/>
        </w:rPr>
        <w:t xml:space="preserve">and its Addendum </w:t>
      </w:r>
      <w:r w:rsidRPr="00610316">
        <w:rPr>
          <w:rFonts w:ascii="Palatino" w:eastAsia="Times New Roman" w:hAnsi="Palatino"/>
          <w:sz w:val="26"/>
          <w:szCs w:val="20"/>
        </w:rPr>
        <w:t>w</w:t>
      </w:r>
      <w:r>
        <w:rPr>
          <w:rFonts w:ascii="Palatino" w:eastAsia="Times New Roman" w:hAnsi="Palatino"/>
          <w:sz w:val="26"/>
          <w:szCs w:val="20"/>
        </w:rPr>
        <w:t>ere</w:t>
      </w:r>
      <w:r w:rsidRPr="00610316">
        <w:rPr>
          <w:rFonts w:ascii="Palatino" w:eastAsia="Times New Roman" w:hAnsi="Palatino"/>
          <w:sz w:val="26"/>
          <w:szCs w:val="20"/>
        </w:rPr>
        <w:t xml:space="preserve"> prepared in compliance with and meet the </w:t>
      </w:r>
      <w:r w:rsidR="00525CC1">
        <w:rPr>
          <w:rFonts w:ascii="Palatino" w:eastAsia="Times New Roman" w:hAnsi="Palatino"/>
          <w:sz w:val="26"/>
          <w:szCs w:val="20"/>
        </w:rPr>
        <w:t xml:space="preserve">requirements of CEQA. </w:t>
      </w:r>
      <w:r w:rsidRPr="00610316">
        <w:rPr>
          <w:rFonts w:ascii="Palatino" w:eastAsia="Times New Roman" w:hAnsi="Palatino"/>
          <w:sz w:val="26"/>
          <w:szCs w:val="20"/>
        </w:rPr>
        <w:t xml:space="preserve"> We further find that on the basis of the whole record, there is no substantial evidence that the Proposed Project will have a significant effect on the environment and that the Final MND </w:t>
      </w:r>
      <w:r>
        <w:rPr>
          <w:rFonts w:ascii="Palatino" w:eastAsia="Times New Roman" w:hAnsi="Palatino"/>
          <w:sz w:val="26"/>
          <w:szCs w:val="20"/>
        </w:rPr>
        <w:t xml:space="preserve">and its Addendum </w:t>
      </w:r>
      <w:r w:rsidRPr="00610316">
        <w:rPr>
          <w:rFonts w:ascii="Palatino" w:eastAsia="Times New Roman" w:hAnsi="Palatino"/>
          <w:sz w:val="26"/>
          <w:szCs w:val="20"/>
        </w:rPr>
        <w:t>reflects the Commission’s independent judgments and analysis.</w:t>
      </w:r>
      <w:r w:rsidRPr="00610316">
        <w:rPr>
          <w:rFonts w:ascii="Palatino" w:eastAsia="Times New Roman" w:hAnsi="Palatino"/>
          <w:sz w:val="24"/>
          <w:szCs w:val="20"/>
          <w:vertAlign w:val="superscript"/>
        </w:rPr>
        <w:footnoteReference w:id="16"/>
      </w:r>
      <w:r w:rsidRPr="00610316">
        <w:rPr>
          <w:rFonts w:ascii="Palatino" w:eastAsia="Times New Roman" w:hAnsi="Palatino"/>
          <w:sz w:val="26"/>
          <w:szCs w:val="20"/>
        </w:rPr>
        <w:t xml:space="preserve">  We adopt the Final MND </w:t>
      </w:r>
      <w:r>
        <w:rPr>
          <w:rFonts w:ascii="Palatino" w:eastAsia="Times New Roman" w:hAnsi="Palatino"/>
          <w:sz w:val="26"/>
          <w:szCs w:val="20"/>
        </w:rPr>
        <w:t xml:space="preserve">and </w:t>
      </w:r>
      <w:r w:rsidRPr="00610316">
        <w:rPr>
          <w:rFonts w:ascii="Palatino" w:eastAsia="Times New Roman" w:hAnsi="Palatino"/>
          <w:sz w:val="26"/>
          <w:szCs w:val="20"/>
        </w:rPr>
        <w:t>it</w:t>
      </w:r>
      <w:r>
        <w:rPr>
          <w:rFonts w:ascii="Palatino" w:eastAsia="Times New Roman" w:hAnsi="Palatino"/>
          <w:sz w:val="26"/>
          <w:szCs w:val="20"/>
        </w:rPr>
        <w:t>s</w:t>
      </w:r>
      <w:r w:rsidRPr="00610316">
        <w:rPr>
          <w:rFonts w:ascii="Palatino" w:eastAsia="Times New Roman" w:hAnsi="Palatino"/>
          <w:sz w:val="26"/>
          <w:szCs w:val="20"/>
        </w:rPr>
        <w:t xml:space="preserve"> </w:t>
      </w:r>
      <w:r>
        <w:rPr>
          <w:rFonts w:ascii="Palatino" w:eastAsia="Times New Roman" w:hAnsi="Palatino"/>
          <w:sz w:val="26"/>
          <w:szCs w:val="20"/>
        </w:rPr>
        <w:t xml:space="preserve">Addendum </w:t>
      </w:r>
      <w:r w:rsidRPr="00610316">
        <w:rPr>
          <w:rFonts w:ascii="Palatino" w:eastAsia="Times New Roman" w:hAnsi="Palatino"/>
          <w:sz w:val="26"/>
          <w:szCs w:val="20"/>
        </w:rPr>
        <w:t>in its entirety.</w:t>
      </w:r>
    </w:p>
    <w:p w14:paraId="4732F425" w14:textId="77777777" w:rsidR="00610316" w:rsidRPr="00610316" w:rsidRDefault="00610316" w:rsidP="009962B1">
      <w:pPr>
        <w:keepNext/>
        <w:numPr>
          <w:ilvl w:val="0"/>
          <w:numId w:val="5"/>
        </w:numPr>
        <w:spacing w:before="120" w:after="120" w:line="240" w:lineRule="auto"/>
        <w:ind w:right="2160" w:hanging="720"/>
        <w:outlineLvl w:val="0"/>
        <w:rPr>
          <w:rFonts w:ascii="Helvetica" w:eastAsia="Times New Roman" w:hAnsi="Helvetica"/>
          <w:b/>
          <w:kern w:val="28"/>
          <w:sz w:val="26"/>
          <w:szCs w:val="20"/>
        </w:rPr>
      </w:pPr>
      <w:r w:rsidRPr="00610316">
        <w:rPr>
          <w:rFonts w:ascii="Helvetica" w:eastAsia="Times New Roman" w:hAnsi="Helvetica"/>
          <w:b/>
          <w:kern w:val="28"/>
          <w:sz w:val="26"/>
          <w:szCs w:val="20"/>
        </w:rPr>
        <w:t>Electric and Magnetic Fields</w:t>
      </w:r>
      <w:bookmarkEnd w:id="51"/>
      <w:bookmarkEnd w:id="52"/>
    </w:p>
    <w:p w14:paraId="08CD0CBB" w14:textId="1E88110D" w:rsidR="00610316" w:rsidRPr="00610316" w:rsidRDefault="00610316" w:rsidP="00610316">
      <w:pPr>
        <w:spacing w:after="0" w:line="360" w:lineRule="auto"/>
        <w:ind w:firstLine="720"/>
        <w:rPr>
          <w:rFonts w:ascii="Palatino" w:eastAsia="Times New Roman" w:hAnsi="Palatino"/>
          <w:sz w:val="26"/>
          <w:szCs w:val="20"/>
        </w:rPr>
      </w:pPr>
      <w:r w:rsidRPr="00610316">
        <w:rPr>
          <w:rFonts w:ascii="Palatino" w:eastAsia="Times New Roman" w:hAnsi="Palatino"/>
          <w:sz w:val="26"/>
          <w:szCs w:val="20"/>
        </w:rPr>
        <w:t>The Commission has examined EMF impacts in several previous proceedings.</w:t>
      </w:r>
      <w:r w:rsidRPr="00610316">
        <w:rPr>
          <w:rFonts w:ascii="Palatino" w:eastAsia="Times New Roman" w:hAnsi="Palatino"/>
          <w:sz w:val="24"/>
          <w:szCs w:val="27"/>
          <w:vertAlign w:val="superscript"/>
        </w:rPr>
        <w:footnoteReference w:id="17"/>
      </w:r>
      <w:r w:rsidR="00A56443">
        <w:rPr>
          <w:rFonts w:ascii="Palatino" w:eastAsia="Times New Roman" w:hAnsi="Palatino"/>
          <w:sz w:val="26"/>
          <w:szCs w:val="20"/>
        </w:rPr>
        <w:t xml:space="preserve"> </w:t>
      </w:r>
      <w:r w:rsidRPr="00610316">
        <w:rPr>
          <w:rFonts w:ascii="Palatino" w:eastAsia="Times New Roman" w:hAnsi="Palatino"/>
          <w:sz w:val="26"/>
          <w:szCs w:val="20"/>
        </w:rPr>
        <w:t xml:space="preserve"> We found the scientific evidence presented in those proceedings was uncertain as to the possible health effects of EMFs and we did not find it appropriate to adopt any related numerical standards.  Because there is no agreement among scientists that exposure to EMF creates any potential health risk, and because CEQA does not define or adopt any standards to address the potential health risk impacts of possible exposure to EMFs, the Commission does not consider magnetic fields in the context of CEQA and determination of environmental impacts.</w:t>
      </w:r>
    </w:p>
    <w:p w14:paraId="10ACDAE4" w14:textId="060908BB" w:rsidR="00525CC1" w:rsidRPr="00525CC1" w:rsidRDefault="00525CC1" w:rsidP="00525CC1">
      <w:pPr>
        <w:spacing w:after="0" w:line="360" w:lineRule="auto"/>
        <w:ind w:firstLine="720"/>
        <w:rPr>
          <w:rFonts w:ascii="Palatino" w:eastAsia="Times New Roman" w:hAnsi="Palatino"/>
          <w:sz w:val="26"/>
          <w:szCs w:val="20"/>
        </w:rPr>
      </w:pPr>
      <w:r w:rsidRPr="00525CC1">
        <w:rPr>
          <w:rFonts w:ascii="Palatino" w:eastAsia="Times New Roman" w:hAnsi="Palatino"/>
          <w:sz w:val="26"/>
          <w:szCs w:val="20"/>
        </w:rPr>
        <w:t>However, recognizing that public concern remains, we do require, pursuant to GO 131-D, Section X.A., that all requests for a PTC include a description of the measures taken or proposed by the utility to reduce the potential for exposure to EMFs generated by the Proposed Project.  We developed a policy that requires utilities, among other things, to identify the no-cost measures undertaken, and the low-cost measures implemented, to reduce the potential EMF impacts.  The benchmark established for low-cost measures is 4% of the total budgeted project cost that results in an EMF reduction of at least 15% (as measured at the edge of the utility right-of-way).</w:t>
      </w:r>
    </w:p>
    <w:p w14:paraId="440A0560" w14:textId="5B40EDE2" w:rsidR="00610316" w:rsidRPr="00610316" w:rsidRDefault="00610316" w:rsidP="00610316">
      <w:pPr>
        <w:spacing w:after="0" w:line="360" w:lineRule="auto"/>
        <w:ind w:firstLine="720"/>
        <w:rPr>
          <w:rFonts w:ascii="Palatino" w:eastAsia="Times New Roman" w:hAnsi="Palatino"/>
          <w:sz w:val="26"/>
          <w:szCs w:val="20"/>
        </w:rPr>
      </w:pPr>
      <w:r w:rsidRPr="00610316">
        <w:rPr>
          <w:rFonts w:ascii="Palatino" w:eastAsia="Times New Roman" w:hAnsi="Palatino"/>
          <w:sz w:val="26"/>
          <w:szCs w:val="20"/>
        </w:rPr>
        <w:t>The Field Management Plan (FMP) contained in the Application</w:t>
      </w:r>
      <w:r w:rsidRPr="00610316">
        <w:rPr>
          <w:rFonts w:ascii="Palatino" w:eastAsia="Times New Roman" w:hAnsi="Palatino"/>
          <w:sz w:val="24"/>
          <w:szCs w:val="20"/>
          <w:vertAlign w:val="superscript"/>
        </w:rPr>
        <w:footnoteReference w:id="18"/>
      </w:r>
      <w:r w:rsidRPr="00610316">
        <w:rPr>
          <w:rFonts w:ascii="Palatino" w:eastAsia="Times New Roman" w:hAnsi="Palatino"/>
          <w:sz w:val="26"/>
          <w:szCs w:val="20"/>
        </w:rPr>
        <w:t xml:space="preserve"> addresses the EMF measures that will be taken in connec</w:t>
      </w:r>
      <w:r w:rsidR="00AB573B">
        <w:rPr>
          <w:rFonts w:ascii="Palatino" w:eastAsia="Times New Roman" w:hAnsi="Palatino"/>
          <w:sz w:val="26"/>
          <w:szCs w:val="20"/>
        </w:rPr>
        <w:t xml:space="preserve">tion with the Proposed Project. </w:t>
      </w:r>
      <w:r w:rsidRPr="00610316">
        <w:rPr>
          <w:rFonts w:ascii="Palatino" w:eastAsia="Times New Roman" w:hAnsi="Palatino"/>
          <w:sz w:val="26"/>
          <w:szCs w:val="20"/>
        </w:rPr>
        <w:t xml:space="preserve"> As no-cost and low-cost options, PG&amp;E will ensure that the major components in the Shepherd Substation meet or exceed the recommended setback distances from the substation fence or property line, and the proposed power lines supplying the substation will be phased for magnetic field reduction.  PG&amp;E will also increase by five feet the height of 16 poles nearest to residences so as to reduce EMF at the edge of the right of way.  We adopt the FMP for the Proposed Project and require PG&amp;E to comply with it.</w:t>
      </w:r>
    </w:p>
    <w:p w14:paraId="4F7D1355" w14:textId="77777777" w:rsidR="00610316" w:rsidRPr="00610316" w:rsidRDefault="00610316" w:rsidP="009962B1">
      <w:pPr>
        <w:keepNext/>
        <w:numPr>
          <w:ilvl w:val="0"/>
          <w:numId w:val="5"/>
        </w:numPr>
        <w:spacing w:before="120" w:after="120" w:line="240" w:lineRule="auto"/>
        <w:ind w:right="2160" w:hanging="720"/>
        <w:outlineLvl w:val="0"/>
        <w:rPr>
          <w:rFonts w:ascii="Helvetica" w:eastAsia="Times New Roman" w:hAnsi="Helvetica"/>
          <w:b/>
          <w:kern w:val="28"/>
          <w:sz w:val="26"/>
          <w:szCs w:val="20"/>
        </w:rPr>
      </w:pPr>
      <w:r w:rsidRPr="00610316">
        <w:rPr>
          <w:rFonts w:ascii="Helvetica" w:eastAsia="Times New Roman" w:hAnsi="Helvetica"/>
          <w:b/>
          <w:kern w:val="28"/>
          <w:sz w:val="26"/>
          <w:szCs w:val="20"/>
        </w:rPr>
        <w:t>Conclusion</w:t>
      </w:r>
      <w:bookmarkEnd w:id="53"/>
      <w:bookmarkEnd w:id="54"/>
    </w:p>
    <w:p w14:paraId="7D69DB7F" w14:textId="77777777" w:rsidR="00525CC1" w:rsidRPr="00610316" w:rsidRDefault="00525CC1" w:rsidP="00525CC1">
      <w:pPr>
        <w:spacing w:after="0" w:line="360" w:lineRule="auto"/>
        <w:ind w:firstLine="720"/>
        <w:rPr>
          <w:rFonts w:ascii="Palatino" w:eastAsia="Times New Roman" w:hAnsi="Palatino"/>
          <w:sz w:val="26"/>
          <w:szCs w:val="20"/>
        </w:rPr>
      </w:pPr>
      <w:r w:rsidRPr="00610316">
        <w:rPr>
          <w:rFonts w:ascii="Palatino" w:eastAsia="Times New Roman" w:hAnsi="Palatino"/>
          <w:sz w:val="26"/>
          <w:szCs w:val="20"/>
        </w:rPr>
        <w:t>We have reviewed the Application and, after considering all of the above requirements, find it complete and in compliance with GO 131-D.  Based on the analysis of the Initial Study, the Draft and Final MNDs</w:t>
      </w:r>
      <w:r>
        <w:rPr>
          <w:rFonts w:ascii="Palatino" w:eastAsia="Times New Roman" w:hAnsi="Palatino"/>
          <w:sz w:val="26"/>
          <w:szCs w:val="20"/>
        </w:rPr>
        <w:t xml:space="preserve"> and the Addendum</w:t>
      </w:r>
      <w:r w:rsidRPr="00610316">
        <w:rPr>
          <w:rFonts w:ascii="Palatino" w:eastAsia="Times New Roman" w:hAnsi="Palatino"/>
          <w:sz w:val="26"/>
          <w:szCs w:val="20"/>
        </w:rPr>
        <w:t>, and the mitigation measures identified therein and incorporated into the Proposed Project, the Commission finds that the Proposed Project will not have a significant impact on the environment.</w:t>
      </w:r>
      <w:r>
        <w:rPr>
          <w:rFonts w:ascii="Palatino" w:eastAsia="Times New Roman" w:hAnsi="Palatino"/>
          <w:sz w:val="26"/>
          <w:szCs w:val="20"/>
        </w:rPr>
        <w:t xml:space="preserve"> </w:t>
      </w:r>
      <w:r w:rsidRPr="00610316">
        <w:rPr>
          <w:rFonts w:ascii="Palatino" w:eastAsia="Times New Roman" w:hAnsi="Palatino"/>
          <w:sz w:val="26"/>
          <w:szCs w:val="20"/>
        </w:rPr>
        <w:t xml:space="preserve"> Furthermore, we find PG&amp;E’s FMP to be in compliance with the Commission’s EMF requirements.</w:t>
      </w:r>
    </w:p>
    <w:p w14:paraId="76193738" w14:textId="77777777" w:rsidR="00525CC1" w:rsidRPr="00610316" w:rsidRDefault="00525CC1" w:rsidP="00525CC1">
      <w:pPr>
        <w:spacing w:after="120" w:line="360" w:lineRule="auto"/>
        <w:ind w:firstLine="720"/>
        <w:rPr>
          <w:rFonts w:ascii="Palatino" w:eastAsia="Times New Roman" w:hAnsi="Palatino"/>
          <w:sz w:val="26"/>
          <w:szCs w:val="20"/>
        </w:rPr>
      </w:pPr>
      <w:bookmarkStart w:id="55" w:name="_Toc234137517"/>
      <w:bookmarkStart w:id="56" w:name="_Toc352237791"/>
      <w:r w:rsidRPr="00610316">
        <w:rPr>
          <w:rFonts w:ascii="Palatino" w:eastAsia="Times New Roman" w:hAnsi="Palatino"/>
          <w:sz w:val="26"/>
          <w:szCs w:val="20"/>
        </w:rPr>
        <w:t>We therefore grant PG&amp;E’s Application for a PTC.</w:t>
      </w:r>
      <w:r>
        <w:rPr>
          <w:rFonts w:ascii="Palatino" w:eastAsia="Times New Roman" w:hAnsi="Palatino"/>
          <w:sz w:val="26"/>
          <w:szCs w:val="20"/>
        </w:rPr>
        <w:t xml:space="preserve"> </w:t>
      </w:r>
      <w:r w:rsidRPr="00610316">
        <w:rPr>
          <w:rFonts w:ascii="Palatino" w:eastAsia="Times New Roman" w:hAnsi="Palatino"/>
          <w:sz w:val="26"/>
          <w:szCs w:val="20"/>
        </w:rPr>
        <w:t xml:space="preserve"> This Decision also adopts the Final MND (which incorporates the Draft IS/MND</w:t>
      </w:r>
      <w:r>
        <w:rPr>
          <w:rFonts w:ascii="Palatino" w:eastAsia="Times New Roman" w:hAnsi="Palatino"/>
          <w:sz w:val="26"/>
          <w:szCs w:val="20"/>
        </w:rPr>
        <w:t xml:space="preserve"> and the Addendum</w:t>
      </w:r>
      <w:r w:rsidRPr="00610316">
        <w:rPr>
          <w:rFonts w:ascii="Palatino" w:eastAsia="Times New Roman" w:hAnsi="Palatino"/>
          <w:sz w:val="26"/>
          <w:szCs w:val="20"/>
        </w:rPr>
        <w:t>), subject to the conditions therein, and authorizes work on the Proposed Project to begin.  Before commencing construction of the Proposed Project, PG&amp;E must have in place all required permits, easements or other legal authority for the project site.</w:t>
      </w:r>
    </w:p>
    <w:p w14:paraId="6F85F761" w14:textId="77777777" w:rsidR="00610316" w:rsidRPr="00610316" w:rsidRDefault="00610316" w:rsidP="009962B1">
      <w:pPr>
        <w:keepNext/>
        <w:numPr>
          <w:ilvl w:val="0"/>
          <w:numId w:val="5"/>
        </w:numPr>
        <w:spacing w:before="120" w:after="120" w:line="240" w:lineRule="auto"/>
        <w:ind w:right="2160" w:hanging="720"/>
        <w:outlineLvl w:val="0"/>
        <w:rPr>
          <w:rFonts w:ascii="Helvetica" w:eastAsia="Times New Roman" w:hAnsi="Helvetica"/>
          <w:b/>
          <w:kern w:val="28"/>
          <w:sz w:val="26"/>
          <w:szCs w:val="20"/>
        </w:rPr>
      </w:pPr>
      <w:r w:rsidRPr="00610316">
        <w:rPr>
          <w:rFonts w:ascii="Helvetica" w:eastAsia="Times New Roman" w:hAnsi="Helvetica"/>
          <w:b/>
          <w:kern w:val="28"/>
          <w:sz w:val="26"/>
          <w:szCs w:val="20"/>
        </w:rPr>
        <w:t>Comment</w:t>
      </w:r>
      <w:bookmarkEnd w:id="55"/>
      <w:r w:rsidRPr="00610316">
        <w:rPr>
          <w:rFonts w:ascii="Helvetica" w:eastAsia="Times New Roman" w:hAnsi="Helvetica"/>
          <w:b/>
          <w:kern w:val="28"/>
          <w:sz w:val="26"/>
          <w:szCs w:val="20"/>
        </w:rPr>
        <w:t>s on Proposed Decision</w:t>
      </w:r>
      <w:bookmarkEnd w:id="56"/>
    </w:p>
    <w:p w14:paraId="01703AC7" w14:textId="0A412F47" w:rsidR="00610316" w:rsidRPr="00610316" w:rsidRDefault="00610316" w:rsidP="00610316">
      <w:pPr>
        <w:spacing w:after="0" w:line="360" w:lineRule="auto"/>
        <w:ind w:firstLine="720"/>
        <w:rPr>
          <w:rFonts w:ascii="Palatino" w:eastAsia="Times New Roman" w:hAnsi="Palatino"/>
          <w:sz w:val="26"/>
          <w:szCs w:val="20"/>
        </w:rPr>
      </w:pPr>
      <w:r w:rsidRPr="00610316">
        <w:rPr>
          <w:rFonts w:ascii="Palatino" w:eastAsia="Times New Roman" w:hAnsi="Palatino"/>
          <w:sz w:val="26"/>
          <w:szCs w:val="20"/>
        </w:rPr>
        <w:t>The proposed decision of the ALJ in this matter was mailed to the parties in accordance with Section 311 of the Public Utilities Co</w:t>
      </w:r>
      <w:r w:rsidR="003B26E6">
        <w:rPr>
          <w:rFonts w:ascii="Palatino" w:eastAsia="Times New Roman" w:hAnsi="Palatino"/>
          <w:sz w:val="26"/>
          <w:szCs w:val="20"/>
        </w:rPr>
        <w:t>d</w:t>
      </w:r>
      <w:r w:rsidRPr="00610316">
        <w:rPr>
          <w:rFonts w:ascii="Palatino" w:eastAsia="Times New Roman" w:hAnsi="Palatino"/>
          <w:sz w:val="26"/>
          <w:szCs w:val="20"/>
        </w:rPr>
        <w:t xml:space="preserve">e and comments were allowed under Rule 14.3 of the Commission’s Rules of Practice and Procedure.  </w:t>
      </w:r>
      <w:r w:rsidR="006E3802">
        <w:rPr>
          <w:rFonts w:ascii="Palatino" w:eastAsia="Times New Roman" w:hAnsi="Palatino"/>
          <w:sz w:val="26"/>
          <w:szCs w:val="20"/>
        </w:rPr>
        <w:t>No party filed comments.</w:t>
      </w:r>
    </w:p>
    <w:p w14:paraId="498BA568" w14:textId="77777777" w:rsidR="00610316" w:rsidRPr="00610316" w:rsidRDefault="00610316" w:rsidP="009962B1">
      <w:pPr>
        <w:keepNext/>
        <w:numPr>
          <w:ilvl w:val="0"/>
          <w:numId w:val="5"/>
        </w:numPr>
        <w:spacing w:before="120" w:after="120" w:line="240" w:lineRule="auto"/>
        <w:ind w:right="2160" w:hanging="720"/>
        <w:outlineLvl w:val="0"/>
        <w:rPr>
          <w:rFonts w:ascii="Helvetica" w:eastAsia="Times New Roman" w:hAnsi="Helvetica"/>
          <w:b/>
          <w:kern w:val="28"/>
          <w:sz w:val="26"/>
          <w:szCs w:val="20"/>
        </w:rPr>
      </w:pPr>
      <w:bookmarkStart w:id="57" w:name="_Toc234137518"/>
      <w:bookmarkStart w:id="58" w:name="_Toc352237792"/>
      <w:r w:rsidRPr="00610316">
        <w:rPr>
          <w:rFonts w:ascii="Helvetica" w:eastAsia="Times New Roman" w:hAnsi="Helvetica"/>
          <w:b/>
          <w:kern w:val="28"/>
          <w:sz w:val="26"/>
          <w:szCs w:val="20"/>
        </w:rPr>
        <w:t>Assignment of Proceeding</w:t>
      </w:r>
      <w:bookmarkEnd w:id="57"/>
      <w:bookmarkEnd w:id="58"/>
    </w:p>
    <w:p w14:paraId="0D555AB5" w14:textId="77777777" w:rsidR="00610316" w:rsidRPr="00610316" w:rsidRDefault="00610316" w:rsidP="00610316">
      <w:pPr>
        <w:spacing w:after="120" w:line="360" w:lineRule="auto"/>
        <w:ind w:firstLine="720"/>
        <w:rPr>
          <w:rFonts w:ascii="Palatino" w:eastAsia="Times New Roman" w:hAnsi="Palatino"/>
          <w:sz w:val="26"/>
          <w:szCs w:val="20"/>
        </w:rPr>
      </w:pPr>
      <w:r w:rsidRPr="00610316">
        <w:rPr>
          <w:rFonts w:ascii="Palatino" w:eastAsia="Times New Roman" w:hAnsi="Palatino"/>
          <w:sz w:val="26"/>
          <w:szCs w:val="20"/>
        </w:rPr>
        <w:t>Michel Peter Florio is the assigned Commissioner and Kelly A. Hymes is the assigned Administrative Law Judge in this proceeding.</w:t>
      </w:r>
    </w:p>
    <w:p w14:paraId="1E857B1E" w14:textId="77777777" w:rsidR="00610316" w:rsidRPr="00610316" w:rsidRDefault="00610316" w:rsidP="00610316">
      <w:pPr>
        <w:keepNext/>
        <w:spacing w:before="120" w:after="120" w:line="240" w:lineRule="auto"/>
        <w:ind w:left="72"/>
        <w:rPr>
          <w:rFonts w:ascii="Helvetica" w:eastAsia="Times New Roman" w:hAnsi="Helvetica"/>
          <w:b/>
          <w:kern w:val="28"/>
          <w:sz w:val="26"/>
          <w:szCs w:val="20"/>
        </w:rPr>
      </w:pPr>
      <w:bookmarkStart w:id="59" w:name="_Toc450990219"/>
      <w:bookmarkStart w:id="60" w:name="_Toc451151266"/>
      <w:bookmarkStart w:id="61" w:name="_Toc352237793"/>
      <w:bookmarkEnd w:id="2"/>
      <w:r w:rsidRPr="00610316">
        <w:rPr>
          <w:rFonts w:ascii="Helvetica" w:eastAsia="Times New Roman" w:hAnsi="Helvetica"/>
          <w:b/>
          <w:kern w:val="28"/>
          <w:sz w:val="26"/>
          <w:szCs w:val="20"/>
        </w:rPr>
        <w:t>Findings of Fact</w:t>
      </w:r>
      <w:bookmarkEnd w:id="59"/>
      <w:bookmarkEnd w:id="60"/>
      <w:bookmarkEnd w:id="61"/>
    </w:p>
    <w:p w14:paraId="0DD6387B" w14:textId="77777777" w:rsidR="007B5868" w:rsidRPr="007B5868" w:rsidRDefault="007B5868" w:rsidP="007B5868">
      <w:pPr>
        <w:numPr>
          <w:ilvl w:val="0"/>
          <w:numId w:val="1"/>
        </w:numPr>
        <w:tabs>
          <w:tab w:val="left" w:pos="-720"/>
        </w:tabs>
        <w:suppressAutoHyphens/>
        <w:spacing w:after="0" w:line="360" w:lineRule="auto"/>
        <w:ind w:firstLine="360"/>
        <w:rPr>
          <w:rFonts w:ascii="Palatino" w:eastAsia="Times New Roman" w:hAnsi="Palatino"/>
          <w:sz w:val="26"/>
          <w:szCs w:val="20"/>
        </w:rPr>
      </w:pPr>
      <w:bookmarkStart w:id="62" w:name="_Toc370798914"/>
      <w:bookmarkStart w:id="63" w:name="_Toc450990220"/>
      <w:bookmarkStart w:id="64" w:name="_Toc451151267"/>
      <w:bookmarkStart w:id="65" w:name="_Toc352237794"/>
      <w:r w:rsidRPr="007B5868">
        <w:rPr>
          <w:rFonts w:ascii="Palatino" w:eastAsia="Times New Roman" w:hAnsi="Palatino"/>
          <w:sz w:val="26"/>
          <w:szCs w:val="20"/>
        </w:rPr>
        <w:t>PG&amp;E’s Application for a PTC and the Amendment are complete and meet the notification requirements set forth in GO 131-D.</w:t>
      </w:r>
    </w:p>
    <w:p w14:paraId="6E4173A3" w14:textId="77777777" w:rsidR="007B5868" w:rsidRPr="007B5868" w:rsidRDefault="007B5868" w:rsidP="007B5868">
      <w:pPr>
        <w:numPr>
          <w:ilvl w:val="0"/>
          <w:numId w:val="1"/>
        </w:numPr>
        <w:tabs>
          <w:tab w:val="left" w:pos="-720"/>
        </w:tabs>
        <w:suppressAutoHyphens/>
        <w:spacing w:after="0" w:line="360" w:lineRule="auto"/>
        <w:ind w:firstLine="360"/>
        <w:rPr>
          <w:rFonts w:ascii="Palatino" w:eastAsia="Times New Roman" w:hAnsi="Palatino"/>
          <w:sz w:val="26"/>
          <w:szCs w:val="20"/>
        </w:rPr>
      </w:pPr>
      <w:r w:rsidRPr="007B5868">
        <w:rPr>
          <w:rFonts w:ascii="Palatino" w:eastAsia="Times New Roman" w:hAnsi="Palatino"/>
          <w:sz w:val="26"/>
          <w:szCs w:val="20"/>
        </w:rPr>
        <w:t>The Final MND (which incorporates the Draft IS/MND and the Addendum) related to the Proposed Project conforms to the requirements of CEQA.</w:t>
      </w:r>
    </w:p>
    <w:p w14:paraId="5FFE33D1" w14:textId="77777777" w:rsidR="007B5868" w:rsidRPr="007B5868" w:rsidRDefault="007B5868" w:rsidP="007B5868">
      <w:pPr>
        <w:numPr>
          <w:ilvl w:val="0"/>
          <w:numId w:val="1"/>
        </w:numPr>
        <w:tabs>
          <w:tab w:val="left" w:pos="-720"/>
        </w:tabs>
        <w:suppressAutoHyphens/>
        <w:spacing w:after="0" w:line="360" w:lineRule="auto"/>
        <w:ind w:firstLine="360"/>
        <w:rPr>
          <w:rFonts w:ascii="Palatino" w:eastAsia="Times New Roman" w:hAnsi="Palatino"/>
          <w:sz w:val="26"/>
          <w:szCs w:val="20"/>
        </w:rPr>
      </w:pPr>
      <w:r w:rsidRPr="007B5868">
        <w:rPr>
          <w:rFonts w:ascii="Palatino" w:eastAsia="Times New Roman" w:hAnsi="Palatino"/>
          <w:sz w:val="26"/>
          <w:szCs w:val="20"/>
        </w:rPr>
        <w:t>The Final MND identified no significant environmental impacts of the Proposed Project that could not be avoided or reduced to non-significant levels with the mitigation measures described therein.</w:t>
      </w:r>
    </w:p>
    <w:p w14:paraId="3616BFA7" w14:textId="77777777" w:rsidR="007B5868" w:rsidRPr="007B5868" w:rsidRDefault="007B5868" w:rsidP="007B5868">
      <w:pPr>
        <w:numPr>
          <w:ilvl w:val="0"/>
          <w:numId w:val="1"/>
        </w:numPr>
        <w:tabs>
          <w:tab w:val="left" w:pos="-720"/>
        </w:tabs>
        <w:suppressAutoHyphens/>
        <w:spacing w:after="0" w:line="360" w:lineRule="auto"/>
        <w:ind w:firstLine="360"/>
        <w:rPr>
          <w:rFonts w:ascii="Palatino" w:eastAsia="Times New Roman" w:hAnsi="Palatino"/>
          <w:sz w:val="26"/>
          <w:szCs w:val="20"/>
        </w:rPr>
      </w:pPr>
      <w:r w:rsidRPr="007B5868">
        <w:rPr>
          <w:rFonts w:ascii="Palatino" w:eastAsia="Times New Roman" w:hAnsi="Palatino"/>
          <w:sz w:val="26"/>
          <w:szCs w:val="20"/>
        </w:rPr>
        <w:t>The MMRP, included as part of the Final MND, describes the specific mitigation measures to be taken.</w:t>
      </w:r>
    </w:p>
    <w:p w14:paraId="21C344A2" w14:textId="77777777" w:rsidR="007B5868" w:rsidRPr="007B5868" w:rsidRDefault="007B5868" w:rsidP="007B5868">
      <w:pPr>
        <w:numPr>
          <w:ilvl w:val="0"/>
          <w:numId w:val="1"/>
        </w:numPr>
        <w:tabs>
          <w:tab w:val="left" w:pos="-720"/>
        </w:tabs>
        <w:suppressAutoHyphens/>
        <w:spacing w:after="0" w:line="360" w:lineRule="auto"/>
        <w:ind w:firstLine="270"/>
        <w:rPr>
          <w:rFonts w:ascii="Palatino" w:eastAsia="Times New Roman" w:hAnsi="Palatino"/>
          <w:sz w:val="26"/>
          <w:szCs w:val="20"/>
        </w:rPr>
      </w:pPr>
      <w:r w:rsidRPr="007B5868">
        <w:rPr>
          <w:rFonts w:ascii="Palatino" w:eastAsia="Times New Roman" w:hAnsi="Palatino"/>
          <w:sz w:val="26"/>
          <w:szCs w:val="20"/>
        </w:rPr>
        <w:t>The measures included in the MMRP and reasonable and consistent with CEQA.</w:t>
      </w:r>
    </w:p>
    <w:p w14:paraId="5B2CC1F5" w14:textId="77777777" w:rsidR="007B5868" w:rsidRPr="007B5868" w:rsidRDefault="007B5868" w:rsidP="007B5868">
      <w:pPr>
        <w:numPr>
          <w:ilvl w:val="0"/>
          <w:numId w:val="1"/>
        </w:numPr>
        <w:tabs>
          <w:tab w:val="left" w:pos="-720"/>
        </w:tabs>
        <w:suppressAutoHyphens/>
        <w:spacing w:after="0" w:line="360" w:lineRule="auto"/>
        <w:ind w:firstLine="270"/>
        <w:rPr>
          <w:rFonts w:ascii="Palatino" w:eastAsia="Times New Roman" w:hAnsi="Palatino"/>
          <w:sz w:val="26"/>
          <w:szCs w:val="20"/>
        </w:rPr>
      </w:pPr>
      <w:r w:rsidRPr="007B5868">
        <w:rPr>
          <w:rFonts w:ascii="Palatino" w:eastAsia="Times New Roman" w:hAnsi="Palatino"/>
          <w:sz w:val="26"/>
          <w:szCs w:val="20"/>
        </w:rPr>
        <w:t>The Commission considered the Final MND in deciding to approve the Proposed Project.</w:t>
      </w:r>
    </w:p>
    <w:p w14:paraId="5F19BC4D" w14:textId="77777777" w:rsidR="007B5868" w:rsidRPr="007B5868" w:rsidRDefault="007B5868" w:rsidP="007B5868">
      <w:pPr>
        <w:numPr>
          <w:ilvl w:val="0"/>
          <w:numId w:val="1"/>
        </w:numPr>
        <w:tabs>
          <w:tab w:val="left" w:pos="-720"/>
        </w:tabs>
        <w:suppressAutoHyphens/>
        <w:spacing w:after="0" w:line="360" w:lineRule="auto"/>
        <w:ind w:firstLine="270"/>
        <w:rPr>
          <w:rFonts w:ascii="Palatino" w:eastAsia="Times New Roman" w:hAnsi="Palatino"/>
          <w:sz w:val="26"/>
          <w:szCs w:val="20"/>
        </w:rPr>
      </w:pPr>
      <w:r w:rsidRPr="007B5868">
        <w:rPr>
          <w:rFonts w:ascii="Palatino" w:eastAsia="Times New Roman" w:hAnsi="Palatino"/>
          <w:sz w:val="26"/>
          <w:szCs w:val="20"/>
        </w:rPr>
        <w:t>PG&amp;E has fulfilled all CEQA requirements.</w:t>
      </w:r>
    </w:p>
    <w:p w14:paraId="7959D02D" w14:textId="77777777" w:rsidR="007B5868" w:rsidRPr="007B5868" w:rsidRDefault="007B5868" w:rsidP="007B5868">
      <w:pPr>
        <w:numPr>
          <w:ilvl w:val="0"/>
          <w:numId w:val="1"/>
        </w:numPr>
        <w:tabs>
          <w:tab w:val="left" w:pos="-720"/>
        </w:tabs>
        <w:suppressAutoHyphens/>
        <w:spacing w:after="0" w:line="360" w:lineRule="auto"/>
        <w:ind w:firstLine="270"/>
        <w:rPr>
          <w:rFonts w:ascii="Palatino" w:eastAsia="Times New Roman" w:hAnsi="Palatino"/>
          <w:sz w:val="26"/>
          <w:szCs w:val="20"/>
        </w:rPr>
      </w:pPr>
      <w:r w:rsidRPr="007B5868">
        <w:rPr>
          <w:rFonts w:ascii="Palatino" w:eastAsia="Times New Roman" w:hAnsi="Palatino"/>
          <w:sz w:val="26"/>
          <w:szCs w:val="20"/>
        </w:rPr>
        <w:t>The Final MND reflects the Commission’s independent judgment.</w:t>
      </w:r>
    </w:p>
    <w:p w14:paraId="0594585F" w14:textId="77777777" w:rsidR="007B5868" w:rsidRPr="007B5868" w:rsidRDefault="007B5868" w:rsidP="007B5868">
      <w:pPr>
        <w:numPr>
          <w:ilvl w:val="0"/>
          <w:numId w:val="1"/>
        </w:numPr>
        <w:tabs>
          <w:tab w:val="left" w:pos="-720"/>
        </w:tabs>
        <w:suppressAutoHyphens/>
        <w:spacing w:after="0" w:line="360" w:lineRule="auto"/>
        <w:ind w:firstLine="270"/>
        <w:rPr>
          <w:rFonts w:ascii="Palatino" w:eastAsia="Times New Roman" w:hAnsi="Palatino"/>
          <w:sz w:val="26"/>
          <w:szCs w:val="20"/>
        </w:rPr>
      </w:pPr>
      <w:r w:rsidRPr="007B5868">
        <w:rPr>
          <w:rFonts w:ascii="Palatino" w:eastAsia="Times New Roman" w:hAnsi="Palatino"/>
          <w:sz w:val="26"/>
          <w:szCs w:val="20"/>
        </w:rPr>
        <w:t>Based on the mitigation measures included in the Final MND, the Proposed Project will not have a significant impact upon the environment.</w:t>
      </w:r>
    </w:p>
    <w:p w14:paraId="270ED7F4" w14:textId="77777777" w:rsidR="007B5868" w:rsidRPr="007B5868" w:rsidRDefault="007B5868" w:rsidP="007B5868">
      <w:pPr>
        <w:numPr>
          <w:ilvl w:val="0"/>
          <w:numId w:val="1"/>
        </w:numPr>
        <w:tabs>
          <w:tab w:val="left" w:pos="-720"/>
        </w:tabs>
        <w:suppressAutoHyphens/>
        <w:spacing w:after="0" w:line="360" w:lineRule="auto"/>
        <w:ind w:firstLine="270"/>
        <w:rPr>
          <w:rFonts w:ascii="Palatino" w:eastAsia="Times New Roman" w:hAnsi="Palatino"/>
          <w:sz w:val="26"/>
          <w:szCs w:val="20"/>
        </w:rPr>
      </w:pPr>
      <w:r w:rsidRPr="007B5868">
        <w:rPr>
          <w:rFonts w:ascii="Palatino" w:eastAsia="Times New Roman" w:hAnsi="Palatino"/>
          <w:sz w:val="26"/>
          <w:szCs w:val="20"/>
        </w:rPr>
        <w:t>The Proposed Project includes no-cost and low-cost measures (within the meaning of D.93-11-013, and D.06-01-042) to reduce possible exposure to EMF.</w:t>
      </w:r>
    </w:p>
    <w:p w14:paraId="0EEDD2A9" w14:textId="77777777" w:rsidR="00610316" w:rsidRPr="00610316" w:rsidRDefault="00610316" w:rsidP="00610316">
      <w:pPr>
        <w:keepNext/>
        <w:spacing w:before="120" w:after="120" w:line="240" w:lineRule="auto"/>
        <w:ind w:left="72"/>
        <w:rPr>
          <w:rFonts w:ascii="Helvetica" w:eastAsia="Times New Roman" w:hAnsi="Helvetica"/>
          <w:b/>
          <w:kern w:val="28"/>
          <w:sz w:val="26"/>
          <w:szCs w:val="20"/>
        </w:rPr>
      </w:pPr>
      <w:r w:rsidRPr="00610316">
        <w:rPr>
          <w:rFonts w:ascii="Helvetica" w:eastAsia="Times New Roman" w:hAnsi="Helvetica"/>
          <w:b/>
          <w:kern w:val="28"/>
          <w:sz w:val="26"/>
          <w:szCs w:val="20"/>
        </w:rPr>
        <w:t>Conclusions of Law</w:t>
      </w:r>
      <w:bookmarkEnd w:id="62"/>
      <w:bookmarkEnd w:id="63"/>
      <w:bookmarkEnd w:id="64"/>
      <w:bookmarkEnd w:id="65"/>
    </w:p>
    <w:p w14:paraId="7947C524" w14:textId="77777777" w:rsidR="007B5868" w:rsidRPr="007B5868" w:rsidRDefault="007B5868" w:rsidP="007B5868">
      <w:pPr>
        <w:numPr>
          <w:ilvl w:val="0"/>
          <w:numId w:val="3"/>
        </w:numPr>
        <w:tabs>
          <w:tab w:val="left" w:pos="-720"/>
        </w:tabs>
        <w:suppressAutoHyphens/>
        <w:spacing w:after="0" w:line="360" w:lineRule="auto"/>
        <w:ind w:firstLine="360"/>
        <w:rPr>
          <w:rFonts w:ascii="Palatino" w:eastAsia="Times New Roman" w:hAnsi="Palatino"/>
          <w:sz w:val="26"/>
          <w:szCs w:val="20"/>
        </w:rPr>
      </w:pPr>
      <w:bookmarkStart w:id="66" w:name="_Toc370798915"/>
      <w:bookmarkStart w:id="67" w:name="_Toc450990221"/>
      <w:bookmarkStart w:id="68" w:name="_Toc451151268"/>
      <w:bookmarkStart w:id="69" w:name="_Toc352237795"/>
      <w:bookmarkStart w:id="70" w:name="OLE_LINK1"/>
      <w:bookmarkStart w:id="71" w:name="OLE_LINK2"/>
      <w:r w:rsidRPr="007B5868">
        <w:rPr>
          <w:rFonts w:ascii="Palatino" w:eastAsia="Times New Roman" w:hAnsi="Palatino"/>
          <w:sz w:val="26"/>
          <w:szCs w:val="20"/>
        </w:rPr>
        <w:t>The Commission is the Lead Agency for compliance with the provisions of CEQA.</w:t>
      </w:r>
    </w:p>
    <w:p w14:paraId="5162E86B" w14:textId="77777777" w:rsidR="007B5868" w:rsidRPr="007B5868" w:rsidRDefault="007B5868" w:rsidP="007B5868">
      <w:pPr>
        <w:numPr>
          <w:ilvl w:val="0"/>
          <w:numId w:val="3"/>
        </w:numPr>
        <w:tabs>
          <w:tab w:val="left" w:pos="-720"/>
        </w:tabs>
        <w:suppressAutoHyphens/>
        <w:spacing w:after="0" w:line="360" w:lineRule="auto"/>
        <w:ind w:firstLine="360"/>
        <w:rPr>
          <w:rFonts w:ascii="Palatino" w:eastAsia="Times New Roman" w:hAnsi="Palatino"/>
          <w:sz w:val="26"/>
          <w:szCs w:val="20"/>
        </w:rPr>
      </w:pPr>
      <w:r w:rsidRPr="007B5868">
        <w:rPr>
          <w:rFonts w:ascii="Palatino" w:eastAsia="Times New Roman" w:hAnsi="Palatino"/>
          <w:sz w:val="26"/>
          <w:szCs w:val="20"/>
        </w:rPr>
        <w:t>A Draft IS/MND analyzing the environmental impacts of the Proposed Project was processed in compliance with the requirements of CEQA.</w:t>
      </w:r>
    </w:p>
    <w:p w14:paraId="5A7B31C1" w14:textId="77777777" w:rsidR="007B5868" w:rsidRPr="007B5868" w:rsidRDefault="007B5868" w:rsidP="007B5868">
      <w:pPr>
        <w:numPr>
          <w:ilvl w:val="0"/>
          <w:numId w:val="3"/>
        </w:numPr>
        <w:tabs>
          <w:tab w:val="left" w:pos="-720"/>
        </w:tabs>
        <w:suppressAutoHyphens/>
        <w:spacing w:after="0" w:line="360" w:lineRule="auto"/>
        <w:ind w:firstLine="360"/>
        <w:rPr>
          <w:rFonts w:ascii="Palatino" w:eastAsia="Times New Roman" w:hAnsi="Palatino"/>
          <w:sz w:val="26"/>
          <w:szCs w:val="20"/>
        </w:rPr>
      </w:pPr>
      <w:r w:rsidRPr="007B5868">
        <w:rPr>
          <w:rFonts w:ascii="Palatino" w:eastAsia="Times New Roman" w:hAnsi="Palatino"/>
          <w:sz w:val="26"/>
          <w:szCs w:val="20"/>
        </w:rPr>
        <w:t>A Final MND on the Proposed Project was processed and completed in compliance with the requirements of CEQA.</w:t>
      </w:r>
    </w:p>
    <w:p w14:paraId="43308DA2" w14:textId="77777777" w:rsidR="007B5868" w:rsidRPr="007B5868" w:rsidRDefault="007B5868" w:rsidP="007B5868">
      <w:pPr>
        <w:numPr>
          <w:ilvl w:val="0"/>
          <w:numId w:val="3"/>
        </w:numPr>
        <w:tabs>
          <w:tab w:val="left" w:pos="-720"/>
        </w:tabs>
        <w:suppressAutoHyphens/>
        <w:spacing w:after="0" w:line="360" w:lineRule="auto"/>
        <w:ind w:firstLine="360"/>
        <w:rPr>
          <w:rFonts w:ascii="Palatino" w:eastAsia="Times New Roman" w:hAnsi="Palatino"/>
          <w:sz w:val="26"/>
          <w:szCs w:val="20"/>
        </w:rPr>
      </w:pPr>
      <w:r w:rsidRPr="007B5868">
        <w:rPr>
          <w:rFonts w:ascii="Palatino" w:eastAsia="Times New Roman" w:hAnsi="Palatino"/>
          <w:sz w:val="26"/>
          <w:szCs w:val="20"/>
        </w:rPr>
        <w:t>The Draft IS/MND, the Final MND (which includes the MMRP) and the Addendum are consistent with CEQA and should be adopted in their entirety.</w:t>
      </w:r>
    </w:p>
    <w:p w14:paraId="38B6557F" w14:textId="77777777" w:rsidR="007B5868" w:rsidRPr="007B5868" w:rsidRDefault="007B5868" w:rsidP="007B5868">
      <w:pPr>
        <w:numPr>
          <w:ilvl w:val="0"/>
          <w:numId w:val="3"/>
        </w:numPr>
        <w:tabs>
          <w:tab w:val="left" w:pos="-720"/>
        </w:tabs>
        <w:suppressAutoHyphens/>
        <w:spacing w:after="0" w:line="360" w:lineRule="auto"/>
        <w:ind w:firstLine="360"/>
        <w:rPr>
          <w:rFonts w:ascii="Palatino" w:eastAsia="Times New Roman" w:hAnsi="Palatino"/>
          <w:sz w:val="26"/>
          <w:szCs w:val="20"/>
        </w:rPr>
      </w:pPr>
      <w:r w:rsidRPr="007B5868">
        <w:rPr>
          <w:rFonts w:ascii="Palatino" w:eastAsia="Times New Roman" w:hAnsi="Palatino"/>
          <w:sz w:val="26"/>
          <w:szCs w:val="20"/>
        </w:rPr>
        <w:t>PG&amp;E should obtain all necessary permits, easement rights or other legal authority for the project site prior to commencing construction.</w:t>
      </w:r>
    </w:p>
    <w:p w14:paraId="45FAB437" w14:textId="77777777" w:rsidR="007B5868" w:rsidRPr="007B5868" w:rsidRDefault="007B5868" w:rsidP="007B5868">
      <w:pPr>
        <w:numPr>
          <w:ilvl w:val="0"/>
          <w:numId w:val="3"/>
        </w:numPr>
        <w:tabs>
          <w:tab w:val="left" w:pos="-720"/>
        </w:tabs>
        <w:suppressAutoHyphens/>
        <w:spacing w:after="0" w:line="360" w:lineRule="auto"/>
        <w:ind w:firstLine="360"/>
        <w:rPr>
          <w:rFonts w:ascii="Palatino" w:eastAsia="Times New Roman" w:hAnsi="Palatino"/>
          <w:sz w:val="26"/>
          <w:szCs w:val="20"/>
        </w:rPr>
      </w:pPr>
      <w:r w:rsidRPr="007B5868">
        <w:rPr>
          <w:rFonts w:ascii="Palatino" w:eastAsia="Times New Roman" w:hAnsi="Palatino"/>
          <w:sz w:val="26"/>
          <w:szCs w:val="20"/>
        </w:rPr>
        <w:t>PG&amp;E’s Application for a PTC should be approved, subject to the mitigation measures set forth in the Final MND.</w:t>
      </w:r>
    </w:p>
    <w:p w14:paraId="3DE07BF8" w14:textId="77777777" w:rsidR="007B5868" w:rsidRPr="007B5868" w:rsidRDefault="007B5868" w:rsidP="007B5868">
      <w:pPr>
        <w:numPr>
          <w:ilvl w:val="0"/>
          <w:numId w:val="3"/>
        </w:numPr>
        <w:tabs>
          <w:tab w:val="left" w:pos="-720"/>
        </w:tabs>
        <w:suppressAutoHyphens/>
        <w:spacing w:after="0" w:line="360" w:lineRule="auto"/>
        <w:ind w:firstLine="360"/>
        <w:rPr>
          <w:rFonts w:ascii="Palatino" w:eastAsia="Times New Roman" w:hAnsi="Palatino"/>
          <w:sz w:val="26"/>
          <w:szCs w:val="20"/>
        </w:rPr>
      </w:pPr>
      <w:r w:rsidRPr="007B5868">
        <w:rPr>
          <w:rFonts w:ascii="Palatino" w:eastAsia="Times New Roman" w:hAnsi="Palatino"/>
          <w:sz w:val="26"/>
          <w:szCs w:val="20"/>
        </w:rPr>
        <w:t>PG&amp;E’s FMP provided in Appendix F of its application should be adopted.</w:t>
      </w:r>
    </w:p>
    <w:p w14:paraId="6800B8B3" w14:textId="77777777" w:rsidR="007B5868" w:rsidRPr="007B5868" w:rsidRDefault="007B5868" w:rsidP="007B5868">
      <w:pPr>
        <w:numPr>
          <w:ilvl w:val="0"/>
          <w:numId w:val="3"/>
        </w:numPr>
        <w:tabs>
          <w:tab w:val="left" w:pos="-720"/>
        </w:tabs>
        <w:suppressAutoHyphens/>
        <w:spacing w:after="0" w:line="360" w:lineRule="auto"/>
        <w:ind w:firstLine="360"/>
        <w:rPr>
          <w:rFonts w:ascii="Palatino" w:eastAsia="Times New Roman" w:hAnsi="Palatino"/>
          <w:sz w:val="26"/>
          <w:szCs w:val="20"/>
        </w:rPr>
      </w:pPr>
      <w:r w:rsidRPr="007B5868">
        <w:rPr>
          <w:rFonts w:ascii="Palatino" w:eastAsia="Times New Roman" w:hAnsi="Palatino"/>
          <w:sz w:val="26"/>
          <w:szCs w:val="20"/>
        </w:rPr>
        <w:t>This order should be effective immediately so that construction of the Proposed Project can begin.</w:t>
      </w:r>
    </w:p>
    <w:p w14:paraId="7EBAA289" w14:textId="77777777" w:rsidR="007B5868" w:rsidRPr="007B5868" w:rsidRDefault="007B5868" w:rsidP="00F43DEB">
      <w:pPr>
        <w:keepNext/>
        <w:keepLines/>
        <w:numPr>
          <w:ilvl w:val="0"/>
          <w:numId w:val="3"/>
        </w:numPr>
        <w:tabs>
          <w:tab w:val="left" w:pos="-720"/>
        </w:tabs>
        <w:suppressAutoHyphens/>
        <w:spacing w:after="0" w:line="360" w:lineRule="auto"/>
        <w:ind w:firstLine="360"/>
        <w:rPr>
          <w:rFonts w:ascii="Palatino" w:eastAsia="Times New Roman" w:hAnsi="Palatino"/>
          <w:sz w:val="26"/>
          <w:szCs w:val="20"/>
        </w:rPr>
      </w:pPr>
      <w:r w:rsidRPr="007B5868">
        <w:rPr>
          <w:rFonts w:ascii="Palatino" w:eastAsia="Times New Roman" w:hAnsi="Palatino"/>
          <w:sz w:val="26"/>
          <w:szCs w:val="20"/>
        </w:rPr>
        <w:t>A.10-12-003 should be closed.</w:t>
      </w:r>
    </w:p>
    <w:p w14:paraId="46FE6645" w14:textId="77777777" w:rsidR="00610316" w:rsidRPr="00610316" w:rsidRDefault="00610316" w:rsidP="00F43DEB">
      <w:pPr>
        <w:keepNext/>
        <w:keepLines/>
        <w:spacing w:after="0" w:line="360" w:lineRule="auto"/>
        <w:jc w:val="center"/>
        <w:rPr>
          <w:rFonts w:ascii="Helvetica" w:eastAsia="Times New Roman" w:hAnsi="Helvetica"/>
          <w:b/>
          <w:spacing w:val="120"/>
          <w:sz w:val="26"/>
          <w:szCs w:val="20"/>
        </w:rPr>
      </w:pPr>
      <w:r w:rsidRPr="00610316">
        <w:rPr>
          <w:rFonts w:ascii="Helvetica" w:eastAsia="Times New Roman" w:hAnsi="Helvetica"/>
          <w:b/>
          <w:spacing w:val="120"/>
          <w:sz w:val="26"/>
          <w:szCs w:val="20"/>
        </w:rPr>
        <w:t>ORDER</w:t>
      </w:r>
      <w:bookmarkEnd w:id="66"/>
      <w:bookmarkEnd w:id="67"/>
      <w:bookmarkEnd w:id="68"/>
      <w:bookmarkEnd w:id="69"/>
    </w:p>
    <w:bookmarkEnd w:id="70"/>
    <w:bookmarkEnd w:id="71"/>
    <w:p w14:paraId="0E7188D1" w14:textId="77777777" w:rsidR="00610316" w:rsidRPr="00610316" w:rsidRDefault="00610316" w:rsidP="00F43DEB">
      <w:pPr>
        <w:keepNext/>
        <w:keepLines/>
        <w:spacing w:after="0" w:line="360" w:lineRule="auto"/>
        <w:ind w:firstLine="720"/>
        <w:rPr>
          <w:rFonts w:ascii="Palatino" w:eastAsia="Times New Roman" w:hAnsi="Palatino"/>
          <w:sz w:val="26"/>
          <w:szCs w:val="20"/>
        </w:rPr>
      </w:pPr>
      <w:r w:rsidRPr="00610316">
        <w:rPr>
          <w:rFonts w:ascii="Palatino" w:eastAsia="Times New Roman" w:hAnsi="Palatino"/>
          <w:b/>
          <w:sz w:val="26"/>
          <w:szCs w:val="20"/>
        </w:rPr>
        <w:t>IT IS ORDERED</w:t>
      </w:r>
      <w:r w:rsidRPr="00610316">
        <w:rPr>
          <w:rFonts w:ascii="Palatino" w:eastAsia="Times New Roman" w:hAnsi="Palatino"/>
          <w:sz w:val="26"/>
          <w:szCs w:val="20"/>
        </w:rPr>
        <w:t xml:space="preserve"> that:</w:t>
      </w:r>
    </w:p>
    <w:p w14:paraId="1C803253" w14:textId="77777777" w:rsidR="007B5868" w:rsidRPr="00610316" w:rsidRDefault="007B5868" w:rsidP="00F43DEB">
      <w:pPr>
        <w:keepNext/>
        <w:keepLines/>
        <w:numPr>
          <w:ilvl w:val="0"/>
          <w:numId w:val="4"/>
        </w:numPr>
        <w:tabs>
          <w:tab w:val="left" w:pos="-720"/>
        </w:tabs>
        <w:suppressAutoHyphens/>
        <w:spacing w:after="0" w:line="360" w:lineRule="auto"/>
        <w:ind w:firstLine="360"/>
        <w:rPr>
          <w:rFonts w:ascii="Palatino" w:eastAsia="Times New Roman" w:hAnsi="Palatino"/>
          <w:sz w:val="26"/>
          <w:szCs w:val="20"/>
        </w:rPr>
      </w:pPr>
      <w:r w:rsidRPr="00610316">
        <w:rPr>
          <w:rFonts w:ascii="Palatino" w:eastAsia="Times New Roman" w:hAnsi="Palatino"/>
          <w:sz w:val="26"/>
          <w:szCs w:val="20"/>
        </w:rPr>
        <w:t>Pacific Gas and Electric Company is granted a Permit to Construct t</w:t>
      </w:r>
      <w:r>
        <w:rPr>
          <w:rFonts w:ascii="Palatino" w:eastAsia="Times New Roman" w:hAnsi="Palatino"/>
          <w:sz w:val="26"/>
          <w:szCs w:val="20"/>
        </w:rPr>
        <w:t>he Shepherd Substation Project.</w:t>
      </w:r>
    </w:p>
    <w:p w14:paraId="7D176B12" w14:textId="77777777" w:rsidR="007B5868" w:rsidRPr="00610316" w:rsidRDefault="007B5868" w:rsidP="007B5868">
      <w:pPr>
        <w:numPr>
          <w:ilvl w:val="0"/>
          <w:numId w:val="4"/>
        </w:numPr>
        <w:tabs>
          <w:tab w:val="left" w:pos="-720"/>
        </w:tabs>
        <w:suppressAutoHyphens/>
        <w:spacing w:after="0" w:line="360" w:lineRule="auto"/>
        <w:ind w:firstLine="360"/>
        <w:rPr>
          <w:rFonts w:ascii="Palatino" w:eastAsia="Times New Roman" w:hAnsi="Palatino"/>
          <w:sz w:val="26"/>
          <w:szCs w:val="20"/>
        </w:rPr>
      </w:pPr>
      <w:r w:rsidRPr="00610316">
        <w:rPr>
          <w:rFonts w:ascii="Palatino" w:eastAsia="Times New Roman" w:hAnsi="Palatino"/>
          <w:sz w:val="26"/>
          <w:szCs w:val="20"/>
        </w:rPr>
        <w:t>The Final Mitigated Negative Declaration (which incorporates the Draft Initial Study/Mitigated Negative Declaration</w:t>
      </w:r>
      <w:r>
        <w:rPr>
          <w:rFonts w:ascii="Palatino" w:eastAsia="Times New Roman" w:hAnsi="Palatino"/>
          <w:sz w:val="26"/>
          <w:szCs w:val="20"/>
        </w:rPr>
        <w:t xml:space="preserve"> and the March 2013 Addendum</w:t>
      </w:r>
      <w:r w:rsidRPr="00610316">
        <w:rPr>
          <w:rFonts w:ascii="Palatino" w:eastAsia="Times New Roman" w:hAnsi="Palatino"/>
          <w:sz w:val="26"/>
          <w:szCs w:val="20"/>
        </w:rPr>
        <w:t xml:space="preserve">) is adopted pursuant to the requirements of the California Environmental Quality Act, Public Resources Code §§ 21000 </w:t>
      </w:r>
      <w:r w:rsidRPr="00610316">
        <w:rPr>
          <w:rFonts w:ascii="Palatino" w:eastAsia="Times New Roman" w:hAnsi="Palatino"/>
          <w:i/>
          <w:iCs/>
          <w:sz w:val="26"/>
          <w:szCs w:val="20"/>
        </w:rPr>
        <w:t>et seq</w:t>
      </w:r>
      <w:r w:rsidRPr="00610316">
        <w:rPr>
          <w:rFonts w:ascii="Palatino" w:eastAsia="Times New Roman" w:hAnsi="Palatino"/>
          <w:sz w:val="26"/>
          <w:szCs w:val="20"/>
        </w:rPr>
        <w:t>.</w:t>
      </w:r>
    </w:p>
    <w:p w14:paraId="06739857" w14:textId="77777777" w:rsidR="007B5868" w:rsidRPr="00610316" w:rsidRDefault="007B5868" w:rsidP="007B5868">
      <w:pPr>
        <w:numPr>
          <w:ilvl w:val="0"/>
          <w:numId w:val="4"/>
        </w:numPr>
        <w:tabs>
          <w:tab w:val="left" w:pos="-720"/>
        </w:tabs>
        <w:suppressAutoHyphens/>
        <w:spacing w:after="0" w:line="360" w:lineRule="auto"/>
        <w:ind w:firstLine="360"/>
        <w:rPr>
          <w:rFonts w:ascii="Palatino" w:eastAsia="Times New Roman" w:hAnsi="Palatino"/>
          <w:sz w:val="26"/>
          <w:szCs w:val="20"/>
        </w:rPr>
      </w:pPr>
      <w:r w:rsidRPr="00610316">
        <w:rPr>
          <w:rFonts w:ascii="Palatino" w:eastAsia="Times New Roman" w:hAnsi="Palatino"/>
          <w:sz w:val="26"/>
          <w:szCs w:val="20"/>
        </w:rPr>
        <w:t>The Mitigation Monitoring and Reporting Program, included as part of the Final Mitigated Negative Declaration, is adopted.</w:t>
      </w:r>
    </w:p>
    <w:p w14:paraId="1BA7EC64" w14:textId="77777777" w:rsidR="007B5868" w:rsidRPr="00610316" w:rsidRDefault="007B5868" w:rsidP="007B5868">
      <w:pPr>
        <w:numPr>
          <w:ilvl w:val="0"/>
          <w:numId w:val="4"/>
        </w:numPr>
        <w:tabs>
          <w:tab w:val="left" w:pos="-720"/>
        </w:tabs>
        <w:suppressAutoHyphens/>
        <w:spacing w:after="0" w:line="360" w:lineRule="auto"/>
        <w:ind w:firstLine="360"/>
        <w:rPr>
          <w:rFonts w:ascii="Palatino" w:eastAsia="Times New Roman" w:hAnsi="Palatino"/>
          <w:sz w:val="26"/>
          <w:szCs w:val="20"/>
        </w:rPr>
      </w:pPr>
      <w:r w:rsidRPr="00610316">
        <w:rPr>
          <w:rFonts w:ascii="Palatino" w:eastAsia="Times New Roman" w:hAnsi="Palatino"/>
          <w:sz w:val="26"/>
          <w:szCs w:val="20"/>
        </w:rPr>
        <w:t>Pacific Gas and Electric Company shall comply with the mitigation measures set forth in the Mitigation Monitoring and Reporting Program of the Final Mitigated Negative Declaration.</w:t>
      </w:r>
    </w:p>
    <w:p w14:paraId="1424874E" w14:textId="77777777" w:rsidR="007B5868" w:rsidRPr="00610316" w:rsidRDefault="007B5868" w:rsidP="007B5868">
      <w:pPr>
        <w:numPr>
          <w:ilvl w:val="0"/>
          <w:numId w:val="4"/>
        </w:numPr>
        <w:tabs>
          <w:tab w:val="left" w:pos="-720"/>
        </w:tabs>
        <w:suppressAutoHyphens/>
        <w:spacing w:after="0" w:line="360" w:lineRule="auto"/>
        <w:ind w:firstLine="360"/>
        <w:rPr>
          <w:rFonts w:ascii="Palatino" w:eastAsia="Times New Roman" w:hAnsi="Palatino"/>
          <w:sz w:val="26"/>
          <w:szCs w:val="20"/>
        </w:rPr>
      </w:pPr>
      <w:r w:rsidRPr="00610316">
        <w:rPr>
          <w:rFonts w:ascii="Palatino" w:eastAsia="Times New Roman" w:hAnsi="Palatino"/>
          <w:sz w:val="26"/>
          <w:szCs w:val="20"/>
        </w:rPr>
        <w:t>Pacific Gas and Electric Company shall comply with the low cost and no cost measures in its Field Management Plan provided in Appendix F of its Application.</w:t>
      </w:r>
    </w:p>
    <w:p w14:paraId="5867800B" w14:textId="77777777" w:rsidR="007B5868" w:rsidRDefault="007B5868" w:rsidP="007B5868">
      <w:pPr>
        <w:numPr>
          <w:ilvl w:val="0"/>
          <w:numId w:val="4"/>
        </w:numPr>
        <w:tabs>
          <w:tab w:val="left" w:pos="-720"/>
        </w:tabs>
        <w:suppressAutoHyphens/>
        <w:spacing w:after="0" w:line="360" w:lineRule="auto"/>
        <w:ind w:firstLine="360"/>
        <w:rPr>
          <w:rFonts w:ascii="Palatino" w:eastAsia="Times New Roman" w:hAnsi="Palatino"/>
          <w:sz w:val="26"/>
          <w:szCs w:val="20"/>
        </w:rPr>
      </w:pPr>
      <w:r w:rsidRPr="00610316">
        <w:rPr>
          <w:rFonts w:ascii="Palatino" w:eastAsia="Times New Roman" w:hAnsi="Palatino"/>
          <w:sz w:val="26"/>
          <w:szCs w:val="20"/>
        </w:rPr>
        <w:t>Pacific Gas and Electric Company shall have in place, prior to commencing construction, all of the necessary permits, easements rights, or other legal authority, to the Shepherd Substation Project sites.</w:t>
      </w:r>
    </w:p>
    <w:p w14:paraId="15A8157E" w14:textId="77777777" w:rsidR="007B5868" w:rsidRPr="00610316" w:rsidRDefault="007B5868" w:rsidP="007B5868">
      <w:pPr>
        <w:numPr>
          <w:ilvl w:val="0"/>
          <w:numId w:val="4"/>
        </w:numPr>
        <w:tabs>
          <w:tab w:val="left" w:pos="-720"/>
        </w:tabs>
        <w:suppressAutoHyphens/>
        <w:spacing w:after="0" w:line="360" w:lineRule="auto"/>
        <w:ind w:firstLine="360"/>
        <w:rPr>
          <w:rFonts w:ascii="Palatino" w:eastAsia="Times New Roman" w:hAnsi="Palatino"/>
          <w:sz w:val="26"/>
          <w:szCs w:val="20"/>
        </w:rPr>
      </w:pPr>
      <w:r>
        <w:rPr>
          <w:rFonts w:ascii="Book Antiqua" w:hAnsi="Book Antiqua"/>
          <w:position w:val="2"/>
          <w:sz w:val="26"/>
          <w:szCs w:val="26"/>
        </w:rPr>
        <w:t>Energy D</w:t>
      </w:r>
      <w:r>
        <w:rPr>
          <w:rFonts w:ascii="Book Antiqua" w:hAnsi="Book Antiqua"/>
          <w:spacing w:val="-1"/>
          <w:position w:val="2"/>
          <w:sz w:val="26"/>
          <w:szCs w:val="26"/>
        </w:rPr>
        <w:t>i</w:t>
      </w:r>
      <w:r>
        <w:rPr>
          <w:rFonts w:ascii="Book Antiqua" w:hAnsi="Book Antiqua"/>
          <w:position w:val="2"/>
          <w:sz w:val="26"/>
          <w:szCs w:val="26"/>
        </w:rPr>
        <w:t>vision may approve requests by Pacific Gas &amp; Electric</w:t>
      </w:r>
      <w:r>
        <w:rPr>
          <w:rFonts w:ascii="Book Antiqua" w:hAnsi="Book Antiqua"/>
          <w:sz w:val="26"/>
          <w:szCs w:val="26"/>
        </w:rPr>
        <w:t xml:space="preserve"> Compa</w:t>
      </w:r>
      <w:r>
        <w:rPr>
          <w:rFonts w:ascii="Book Antiqua" w:hAnsi="Book Antiqua"/>
          <w:spacing w:val="-2"/>
          <w:sz w:val="26"/>
          <w:szCs w:val="26"/>
        </w:rPr>
        <w:t>n</w:t>
      </w:r>
      <w:r>
        <w:rPr>
          <w:rFonts w:ascii="Book Antiqua" w:hAnsi="Book Antiqua"/>
          <w:sz w:val="26"/>
          <w:szCs w:val="26"/>
        </w:rPr>
        <w:t>y</w:t>
      </w:r>
      <w:r>
        <w:rPr>
          <w:rFonts w:ascii="Book Antiqua" w:hAnsi="Book Antiqua"/>
          <w:spacing w:val="-1"/>
          <w:sz w:val="26"/>
          <w:szCs w:val="26"/>
        </w:rPr>
        <w:t xml:space="preserve"> </w:t>
      </w:r>
      <w:r>
        <w:rPr>
          <w:rFonts w:ascii="Book Antiqua" w:hAnsi="Book Antiqua"/>
          <w:sz w:val="26"/>
          <w:szCs w:val="26"/>
        </w:rPr>
        <w:t xml:space="preserve">(PG&amp;E) </w:t>
      </w:r>
      <w:r>
        <w:rPr>
          <w:rFonts w:ascii="Book Antiqua" w:hAnsi="Book Antiqua"/>
          <w:spacing w:val="-2"/>
          <w:sz w:val="26"/>
          <w:szCs w:val="26"/>
        </w:rPr>
        <w:t>f</w:t>
      </w:r>
      <w:r>
        <w:rPr>
          <w:rFonts w:ascii="Book Antiqua" w:hAnsi="Book Antiqua"/>
          <w:spacing w:val="-1"/>
          <w:sz w:val="26"/>
          <w:szCs w:val="26"/>
        </w:rPr>
        <w:t>o</w:t>
      </w:r>
      <w:r>
        <w:rPr>
          <w:rFonts w:ascii="Book Antiqua" w:hAnsi="Book Antiqua"/>
          <w:sz w:val="26"/>
          <w:szCs w:val="26"/>
        </w:rPr>
        <w:t>r</w:t>
      </w:r>
      <w:r>
        <w:rPr>
          <w:rFonts w:ascii="Book Antiqua" w:hAnsi="Book Antiqua"/>
          <w:spacing w:val="-1"/>
          <w:sz w:val="26"/>
          <w:szCs w:val="26"/>
        </w:rPr>
        <w:t xml:space="preserve"> </w:t>
      </w:r>
      <w:r>
        <w:rPr>
          <w:rFonts w:ascii="Book Antiqua" w:hAnsi="Book Antiqua"/>
          <w:sz w:val="26"/>
          <w:szCs w:val="26"/>
        </w:rPr>
        <w:t>minor project re</w:t>
      </w:r>
      <w:r>
        <w:rPr>
          <w:rFonts w:ascii="Book Antiqua" w:hAnsi="Book Antiqua"/>
          <w:spacing w:val="-2"/>
          <w:sz w:val="26"/>
          <w:szCs w:val="26"/>
        </w:rPr>
        <w:t>f</w:t>
      </w:r>
      <w:r>
        <w:rPr>
          <w:rFonts w:ascii="Book Antiqua" w:hAnsi="Book Antiqua"/>
          <w:sz w:val="26"/>
          <w:szCs w:val="26"/>
        </w:rPr>
        <w:t>in</w:t>
      </w:r>
      <w:r>
        <w:rPr>
          <w:rFonts w:ascii="Book Antiqua" w:hAnsi="Book Antiqua"/>
          <w:spacing w:val="-1"/>
          <w:sz w:val="26"/>
          <w:szCs w:val="26"/>
        </w:rPr>
        <w:t>e</w:t>
      </w:r>
      <w:r>
        <w:rPr>
          <w:rFonts w:ascii="Book Antiqua" w:hAnsi="Book Antiqua"/>
          <w:sz w:val="26"/>
          <w:szCs w:val="26"/>
        </w:rPr>
        <w:t>ments that may be necessary due to final eng</w:t>
      </w:r>
      <w:r>
        <w:rPr>
          <w:rFonts w:ascii="Book Antiqua" w:hAnsi="Book Antiqua"/>
          <w:spacing w:val="-1"/>
          <w:sz w:val="26"/>
          <w:szCs w:val="26"/>
        </w:rPr>
        <w:t>i</w:t>
      </w:r>
      <w:r>
        <w:rPr>
          <w:rFonts w:ascii="Book Antiqua" w:hAnsi="Book Antiqua"/>
          <w:sz w:val="26"/>
          <w:szCs w:val="26"/>
        </w:rPr>
        <w:t>neering of</w:t>
      </w:r>
      <w:r>
        <w:rPr>
          <w:rFonts w:ascii="Book Antiqua" w:hAnsi="Book Antiqua"/>
          <w:spacing w:val="-2"/>
          <w:sz w:val="26"/>
          <w:szCs w:val="26"/>
        </w:rPr>
        <w:t xml:space="preserve"> </w:t>
      </w:r>
      <w:r>
        <w:rPr>
          <w:rFonts w:ascii="Book Antiqua" w:hAnsi="Book Antiqua"/>
          <w:sz w:val="26"/>
          <w:szCs w:val="26"/>
        </w:rPr>
        <w:t>the Shepherd Su</w:t>
      </w:r>
      <w:r>
        <w:rPr>
          <w:rFonts w:ascii="Book Antiqua" w:hAnsi="Book Antiqua"/>
          <w:spacing w:val="-1"/>
          <w:sz w:val="26"/>
          <w:szCs w:val="26"/>
        </w:rPr>
        <w:t>b</w:t>
      </w:r>
      <w:r>
        <w:rPr>
          <w:rFonts w:ascii="Book Antiqua" w:hAnsi="Book Antiqua"/>
          <w:sz w:val="26"/>
          <w:szCs w:val="26"/>
        </w:rPr>
        <w:t>station Project so long as such</w:t>
      </w:r>
      <w:r>
        <w:rPr>
          <w:rFonts w:ascii="Book Antiqua" w:hAnsi="Book Antiqua"/>
          <w:spacing w:val="-2"/>
          <w:sz w:val="26"/>
          <w:szCs w:val="26"/>
        </w:rPr>
        <w:t xml:space="preserve"> </w:t>
      </w:r>
      <w:r>
        <w:rPr>
          <w:rFonts w:ascii="Book Antiqua" w:hAnsi="Book Antiqua"/>
          <w:sz w:val="26"/>
          <w:szCs w:val="26"/>
        </w:rPr>
        <w:t>minor project re</w:t>
      </w:r>
      <w:r>
        <w:rPr>
          <w:rFonts w:ascii="Book Antiqua" w:hAnsi="Book Antiqua"/>
          <w:spacing w:val="-2"/>
          <w:sz w:val="26"/>
          <w:szCs w:val="26"/>
        </w:rPr>
        <w:t>f</w:t>
      </w:r>
      <w:r>
        <w:rPr>
          <w:rFonts w:ascii="Book Antiqua" w:hAnsi="Book Antiqua"/>
          <w:sz w:val="26"/>
          <w:szCs w:val="26"/>
        </w:rPr>
        <w:t>inements are locat</w:t>
      </w:r>
      <w:r>
        <w:rPr>
          <w:rFonts w:ascii="Book Antiqua" w:hAnsi="Book Antiqua"/>
          <w:spacing w:val="-1"/>
          <w:sz w:val="26"/>
          <w:szCs w:val="26"/>
        </w:rPr>
        <w:t>e</w:t>
      </w:r>
      <w:r>
        <w:rPr>
          <w:rFonts w:ascii="Book Antiqua" w:hAnsi="Book Antiqua"/>
          <w:sz w:val="26"/>
          <w:szCs w:val="26"/>
        </w:rPr>
        <w:t>d within the</w:t>
      </w:r>
      <w:r>
        <w:rPr>
          <w:rFonts w:ascii="Book Antiqua" w:hAnsi="Book Antiqua"/>
          <w:spacing w:val="-1"/>
          <w:sz w:val="26"/>
          <w:szCs w:val="26"/>
        </w:rPr>
        <w:t xml:space="preserve"> </w:t>
      </w:r>
      <w:r>
        <w:rPr>
          <w:rFonts w:ascii="Book Antiqua" w:hAnsi="Book Antiqua"/>
          <w:sz w:val="26"/>
          <w:szCs w:val="26"/>
        </w:rPr>
        <w:t>geographic boundary of t</w:t>
      </w:r>
      <w:r>
        <w:rPr>
          <w:rFonts w:ascii="Book Antiqua" w:hAnsi="Book Antiqua"/>
          <w:spacing w:val="-2"/>
          <w:sz w:val="26"/>
          <w:szCs w:val="26"/>
        </w:rPr>
        <w:t>h</w:t>
      </w:r>
      <w:r>
        <w:rPr>
          <w:rFonts w:ascii="Book Antiqua" w:hAnsi="Book Antiqua"/>
          <w:sz w:val="26"/>
          <w:szCs w:val="26"/>
        </w:rPr>
        <w:t>e study area of the Final Mitigated Negative Declaration and do not, without m</w:t>
      </w:r>
      <w:r>
        <w:rPr>
          <w:rFonts w:ascii="Book Antiqua" w:hAnsi="Book Antiqua"/>
          <w:spacing w:val="-1"/>
          <w:sz w:val="26"/>
          <w:szCs w:val="26"/>
        </w:rPr>
        <w:t>i</w:t>
      </w:r>
      <w:r>
        <w:rPr>
          <w:rFonts w:ascii="Book Antiqua" w:hAnsi="Book Antiqua"/>
          <w:sz w:val="26"/>
          <w:szCs w:val="26"/>
        </w:rPr>
        <w:t>tigat</w:t>
      </w:r>
      <w:r>
        <w:rPr>
          <w:rFonts w:ascii="Book Antiqua" w:hAnsi="Book Antiqua"/>
          <w:spacing w:val="-2"/>
          <w:sz w:val="26"/>
          <w:szCs w:val="26"/>
        </w:rPr>
        <w:t>i</w:t>
      </w:r>
      <w:r>
        <w:rPr>
          <w:rFonts w:ascii="Book Antiqua" w:hAnsi="Book Antiqua"/>
          <w:sz w:val="26"/>
          <w:szCs w:val="26"/>
        </w:rPr>
        <w:t xml:space="preserve">on, result </w:t>
      </w:r>
      <w:r>
        <w:rPr>
          <w:rFonts w:ascii="Book Antiqua" w:hAnsi="Book Antiqua"/>
          <w:spacing w:val="-1"/>
          <w:sz w:val="26"/>
          <w:szCs w:val="26"/>
        </w:rPr>
        <w:t>i</w:t>
      </w:r>
      <w:r>
        <w:rPr>
          <w:rFonts w:ascii="Book Antiqua" w:hAnsi="Book Antiqua"/>
          <w:sz w:val="26"/>
          <w:szCs w:val="26"/>
        </w:rPr>
        <w:t>n a new s</w:t>
      </w:r>
      <w:r>
        <w:rPr>
          <w:rFonts w:ascii="Book Antiqua" w:hAnsi="Book Antiqua"/>
          <w:spacing w:val="-1"/>
          <w:sz w:val="26"/>
          <w:szCs w:val="26"/>
        </w:rPr>
        <w:t>i</w:t>
      </w:r>
      <w:r>
        <w:rPr>
          <w:rFonts w:ascii="Book Antiqua" w:hAnsi="Book Antiqua"/>
          <w:sz w:val="26"/>
          <w:szCs w:val="26"/>
        </w:rPr>
        <w:t xml:space="preserve">gnificant </w:t>
      </w:r>
      <w:r>
        <w:rPr>
          <w:rFonts w:ascii="Book Antiqua" w:hAnsi="Book Antiqua"/>
          <w:spacing w:val="-1"/>
          <w:sz w:val="26"/>
          <w:szCs w:val="26"/>
        </w:rPr>
        <w:t>i</w:t>
      </w:r>
      <w:r>
        <w:rPr>
          <w:rFonts w:ascii="Book Antiqua" w:hAnsi="Book Antiqua"/>
          <w:spacing w:val="1"/>
          <w:sz w:val="26"/>
          <w:szCs w:val="26"/>
        </w:rPr>
        <w:t>m</w:t>
      </w:r>
      <w:r>
        <w:rPr>
          <w:rFonts w:ascii="Book Antiqua" w:hAnsi="Book Antiqua"/>
          <w:sz w:val="26"/>
          <w:szCs w:val="26"/>
        </w:rPr>
        <w:t>pact or a substant</w:t>
      </w:r>
      <w:r>
        <w:rPr>
          <w:rFonts w:ascii="Book Antiqua" w:hAnsi="Book Antiqua"/>
          <w:spacing w:val="-1"/>
          <w:sz w:val="26"/>
          <w:szCs w:val="26"/>
        </w:rPr>
        <w:t>i</w:t>
      </w:r>
      <w:r>
        <w:rPr>
          <w:rFonts w:ascii="Book Antiqua" w:hAnsi="Book Antiqua"/>
          <w:spacing w:val="1"/>
          <w:sz w:val="26"/>
          <w:szCs w:val="26"/>
        </w:rPr>
        <w:t>a</w:t>
      </w:r>
      <w:r>
        <w:rPr>
          <w:rFonts w:ascii="Book Antiqua" w:hAnsi="Book Antiqua"/>
          <w:sz w:val="26"/>
          <w:szCs w:val="26"/>
        </w:rPr>
        <w:t>l increase in</w:t>
      </w:r>
      <w:r>
        <w:rPr>
          <w:rFonts w:ascii="Book Antiqua" w:hAnsi="Book Antiqua"/>
          <w:spacing w:val="-2"/>
          <w:sz w:val="26"/>
          <w:szCs w:val="26"/>
        </w:rPr>
        <w:t xml:space="preserve"> </w:t>
      </w:r>
      <w:r>
        <w:rPr>
          <w:rFonts w:ascii="Book Antiqua" w:hAnsi="Book Antiqua"/>
          <w:sz w:val="26"/>
          <w:szCs w:val="26"/>
        </w:rPr>
        <w:t xml:space="preserve">the severity of a previously </w:t>
      </w:r>
      <w:r>
        <w:rPr>
          <w:rFonts w:ascii="Book Antiqua" w:hAnsi="Book Antiqua"/>
          <w:spacing w:val="-1"/>
          <w:sz w:val="26"/>
          <w:szCs w:val="26"/>
        </w:rPr>
        <w:t>id</w:t>
      </w:r>
      <w:r>
        <w:rPr>
          <w:rFonts w:ascii="Book Antiqua" w:hAnsi="Book Antiqua"/>
          <w:sz w:val="26"/>
          <w:szCs w:val="26"/>
        </w:rPr>
        <w:t>entified s</w:t>
      </w:r>
      <w:r>
        <w:rPr>
          <w:rFonts w:ascii="Book Antiqua" w:hAnsi="Book Antiqua"/>
          <w:spacing w:val="-1"/>
          <w:sz w:val="26"/>
          <w:szCs w:val="26"/>
        </w:rPr>
        <w:t>i</w:t>
      </w:r>
      <w:r>
        <w:rPr>
          <w:rFonts w:ascii="Book Antiqua" w:hAnsi="Book Antiqua"/>
          <w:sz w:val="26"/>
          <w:szCs w:val="26"/>
        </w:rPr>
        <w:t xml:space="preserve">gnificant </w:t>
      </w:r>
      <w:r>
        <w:rPr>
          <w:rFonts w:ascii="Book Antiqua" w:hAnsi="Book Antiqua"/>
          <w:spacing w:val="-1"/>
          <w:sz w:val="26"/>
          <w:szCs w:val="26"/>
        </w:rPr>
        <w:t>i</w:t>
      </w:r>
      <w:r>
        <w:rPr>
          <w:rFonts w:ascii="Book Antiqua" w:hAnsi="Book Antiqua"/>
          <w:spacing w:val="1"/>
          <w:sz w:val="26"/>
          <w:szCs w:val="26"/>
        </w:rPr>
        <w:t>m</w:t>
      </w:r>
      <w:r>
        <w:rPr>
          <w:rFonts w:ascii="Book Antiqua" w:hAnsi="Book Antiqua"/>
          <w:sz w:val="26"/>
          <w:szCs w:val="26"/>
        </w:rPr>
        <w:t xml:space="preserve">pact </w:t>
      </w:r>
      <w:r>
        <w:rPr>
          <w:rFonts w:ascii="Book Antiqua" w:hAnsi="Book Antiqua"/>
          <w:spacing w:val="-1"/>
          <w:sz w:val="26"/>
          <w:szCs w:val="26"/>
        </w:rPr>
        <w:t>b</w:t>
      </w:r>
      <w:r>
        <w:rPr>
          <w:rFonts w:ascii="Book Antiqua" w:hAnsi="Book Antiqua"/>
          <w:spacing w:val="1"/>
          <w:sz w:val="26"/>
          <w:szCs w:val="26"/>
        </w:rPr>
        <w:t>a</w:t>
      </w:r>
      <w:r>
        <w:rPr>
          <w:rFonts w:ascii="Book Antiqua" w:hAnsi="Book Antiqua"/>
          <w:spacing w:val="-1"/>
          <w:sz w:val="26"/>
          <w:szCs w:val="26"/>
        </w:rPr>
        <w:t>s</w:t>
      </w:r>
      <w:r>
        <w:rPr>
          <w:rFonts w:ascii="Book Antiqua" w:hAnsi="Book Antiqua"/>
          <w:sz w:val="26"/>
          <w:szCs w:val="26"/>
        </w:rPr>
        <w:t>ed on the criter</w:t>
      </w:r>
      <w:r>
        <w:rPr>
          <w:rFonts w:ascii="Book Antiqua" w:hAnsi="Book Antiqua"/>
          <w:spacing w:val="-1"/>
          <w:sz w:val="26"/>
          <w:szCs w:val="26"/>
        </w:rPr>
        <w:t>i</w:t>
      </w:r>
      <w:r>
        <w:rPr>
          <w:rFonts w:ascii="Book Antiqua" w:hAnsi="Book Antiqua"/>
          <w:sz w:val="26"/>
          <w:szCs w:val="26"/>
        </w:rPr>
        <w:t>a used in the environmental document; conflict with any mit</w:t>
      </w:r>
      <w:r>
        <w:rPr>
          <w:rFonts w:ascii="Book Antiqua" w:hAnsi="Book Antiqua"/>
          <w:spacing w:val="-1"/>
          <w:sz w:val="26"/>
          <w:szCs w:val="26"/>
        </w:rPr>
        <w:t>i</w:t>
      </w:r>
      <w:r>
        <w:rPr>
          <w:rFonts w:ascii="Book Antiqua" w:hAnsi="Book Antiqua"/>
          <w:sz w:val="26"/>
          <w:szCs w:val="26"/>
        </w:rPr>
        <w:t xml:space="preserve">gation measure or applicable law or </w:t>
      </w:r>
      <w:r>
        <w:rPr>
          <w:rFonts w:ascii="Book Antiqua" w:hAnsi="Book Antiqua"/>
          <w:spacing w:val="-2"/>
          <w:sz w:val="26"/>
          <w:szCs w:val="26"/>
        </w:rPr>
        <w:t>p</w:t>
      </w:r>
      <w:r>
        <w:rPr>
          <w:rFonts w:ascii="Book Antiqua" w:hAnsi="Book Antiqua"/>
          <w:spacing w:val="-1"/>
          <w:sz w:val="26"/>
          <w:szCs w:val="26"/>
        </w:rPr>
        <w:t>o</w:t>
      </w:r>
      <w:r>
        <w:rPr>
          <w:rFonts w:ascii="Book Antiqua" w:hAnsi="Book Antiqua"/>
          <w:sz w:val="26"/>
          <w:szCs w:val="26"/>
        </w:rPr>
        <w:t>licy; or t</w:t>
      </w:r>
      <w:r>
        <w:rPr>
          <w:rFonts w:ascii="Book Antiqua" w:hAnsi="Book Antiqua"/>
          <w:spacing w:val="1"/>
          <w:sz w:val="26"/>
          <w:szCs w:val="26"/>
        </w:rPr>
        <w:t>r</w:t>
      </w:r>
      <w:r>
        <w:rPr>
          <w:rFonts w:ascii="Book Antiqua" w:hAnsi="Book Antiqua"/>
          <w:sz w:val="26"/>
          <w:szCs w:val="26"/>
        </w:rPr>
        <w:t>igg</w:t>
      </w:r>
      <w:r>
        <w:rPr>
          <w:rFonts w:ascii="Book Antiqua" w:hAnsi="Book Antiqua"/>
          <w:spacing w:val="-1"/>
          <w:sz w:val="26"/>
          <w:szCs w:val="26"/>
        </w:rPr>
        <w:t>e</w:t>
      </w:r>
      <w:r>
        <w:rPr>
          <w:rFonts w:ascii="Book Antiqua" w:hAnsi="Book Antiqua"/>
          <w:sz w:val="26"/>
          <w:szCs w:val="26"/>
        </w:rPr>
        <w:t>r</w:t>
      </w:r>
      <w:r>
        <w:rPr>
          <w:rFonts w:ascii="Book Antiqua" w:hAnsi="Book Antiqua"/>
          <w:spacing w:val="-1"/>
          <w:sz w:val="26"/>
          <w:szCs w:val="26"/>
        </w:rPr>
        <w:t xml:space="preserve"> </w:t>
      </w:r>
      <w:r>
        <w:rPr>
          <w:rFonts w:ascii="Book Antiqua" w:hAnsi="Book Antiqua"/>
          <w:sz w:val="26"/>
          <w:szCs w:val="26"/>
        </w:rPr>
        <w:t>an</w:t>
      </w:r>
      <w:r>
        <w:rPr>
          <w:rFonts w:ascii="Book Antiqua" w:hAnsi="Book Antiqua"/>
          <w:spacing w:val="-1"/>
          <w:sz w:val="26"/>
          <w:szCs w:val="26"/>
        </w:rPr>
        <w:t xml:space="preserve"> </w:t>
      </w:r>
      <w:r>
        <w:rPr>
          <w:rFonts w:ascii="Book Antiqua" w:hAnsi="Book Antiqua"/>
          <w:sz w:val="26"/>
          <w:szCs w:val="26"/>
        </w:rPr>
        <w:t>add</w:t>
      </w:r>
      <w:r>
        <w:rPr>
          <w:rFonts w:ascii="Book Antiqua" w:hAnsi="Book Antiqua"/>
          <w:spacing w:val="-1"/>
          <w:sz w:val="26"/>
          <w:szCs w:val="26"/>
        </w:rPr>
        <w:t>i</w:t>
      </w:r>
      <w:r>
        <w:rPr>
          <w:rFonts w:ascii="Book Antiqua" w:hAnsi="Book Antiqua"/>
          <w:sz w:val="26"/>
          <w:szCs w:val="26"/>
        </w:rPr>
        <w:t>tional</w:t>
      </w:r>
      <w:r>
        <w:rPr>
          <w:rFonts w:ascii="Book Antiqua" w:hAnsi="Book Antiqua"/>
          <w:spacing w:val="-1"/>
          <w:sz w:val="26"/>
          <w:szCs w:val="26"/>
        </w:rPr>
        <w:t xml:space="preserve"> </w:t>
      </w:r>
      <w:r>
        <w:rPr>
          <w:rFonts w:ascii="Book Antiqua" w:hAnsi="Book Antiqua"/>
          <w:sz w:val="26"/>
          <w:szCs w:val="26"/>
        </w:rPr>
        <w:t>permit</w:t>
      </w:r>
      <w:r>
        <w:rPr>
          <w:rFonts w:ascii="Book Antiqua" w:hAnsi="Book Antiqua"/>
          <w:spacing w:val="-1"/>
          <w:sz w:val="26"/>
          <w:szCs w:val="26"/>
        </w:rPr>
        <w:t xml:space="preserve"> </w:t>
      </w:r>
      <w:r>
        <w:rPr>
          <w:rFonts w:ascii="Book Antiqua" w:hAnsi="Book Antiqua"/>
          <w:sz w:val="26"/>
          <w:szCs w:val="26"/>
        </w:rPr>
        <w:t>r</w:t>
      </w:r>
      <w:r>
        <w:rPr>
          <w:rFonts w:ascii="Book Antiqua" w:hAnsi="Book Antiqua"/>
          <w:spacing w:val="-1"/>
          <w:sz w:val="26"/>
          <w:szCs w:val="26"/>
        </w:rPr>
        <w:t>e</w:t>
      </w:r>
      <w:r>
        <w:rPr>
          <w:rFonts w:ascii="Book Antiqua" w:hAnsi="Book Antiqua"/>
          <w:sz w:val="26"/>
          <w:szCs w:val="26"/>
        </w:rPr>
        <w:t>quir</w:t>
      </w:r>
      <w:r>
        <w:rPr>
          <w:rFonts w:ascii="Book Antiqua" w:hAnsi="Book Antiqua"/>
          <w:spacing w:val="-1"/>
          <w:sz w:val="26"/>
          <w:szCs w:val="26"/>
        </w:rPr>
        <w:t>e</w:t>
      </w:r>
      <w:r>
        <w:rPr>
          <w:rFonts w:ascii="Book Antiqua" w:hAnsi="Book Antiqua"/>
          <w:spacing w:val="1"/>
          <w:sz w:val="26"/>
          <w:szCs w:val="26"/>
        </w:rPr>
        <w:t>m</w:t>
      </w:r>
      <w:r>
        <w:rPr>
          <w:rFonts w:ascii="Book Antiqua" w:hAnsi="Book Antiqua"/>
          <w:sz w:val="26"/>
          <w:szCs w:val="26"/>
        </w:rPr>
        <w:t>ent. PG&amp;E s</w:t>
      </w:r>
      <w:r>
        <w:rPr>
          <w:rFonts w:ascii="Book Antiqua" w:hAnsi="Book Antiqua"/>
          <w:spacing w:val="-2"/>
          <w:sz w:val="26"/>
          <w:szCs w:val="26"/>
        </w:rPr>
        <w:t>h</w:t>
      </w:r>
      <w:r>
        <w:rPr>
          <w:rFonts w:ascii="Book Antiqua" w:hAnsi="Book Antiqua"/>
          <w:sz w:val="26"/>
          <w:szCs w:val="26"/>
        </w:rPr>
        <w:t>all seek a</w:t>
      </w:r>
      <w:r>
        <w:rPr>
          <w:rFonts w:ascii="Book Antiqua" w:hAnsi="Book Antiqua"/>
          <w:spacing w:val="-2"/>
          <w:sz w:val="26"/>
          <w:szCs w:val="26"/>
        </w:rPr>
        <w:t>n</w:t>
      </w:r>
      <w:r>
        <w:rPr>
          <w:rFonts w:ascii="Book Antiqua" w:hAnsi="Book Antiqua"/>
          <w:sz w:val="26"/>
          <w:szCs w:val="26"/>
        </w:rPr>
        <w:t>y other project refi</w:t>
      </w:r>
      <w:r>
        <w:rPr>
          <w:rFonts w:ascii="Book Antiqua" w:hAnsi="Book Antiqua"/>
          <w:spacing w:val="-2"/>
          <w:sz w:val="26"/>
          <w:szCs w:val="26"/>
        </w:rPr>
        <w:t>ne</w:t>
      </w:r>
      <w:r>
        <w:rPr>
          <w:rFonts w:ascii="Book Antiqua" w:hAnsi="Book Antiqua"/>
          <w:sz w:val="26"/>
          <w:szCs w:val="26"/>
        </w:rPr>
        <w:t>ments by a petition to modify this decision.</w:t>
      </w:r>
    </w:p>
    <w:p w14:paraId="5008EE69" w14:textId="77777777" w:rsidR="00610316" w:rsidRPr="00610316" w:rsidRDefault="00610316" w:rsidP="000E50BF">
      <w:pPr>
        <w:numPr>
          <w:ilvl w:val="0"/>
          <w:numId w:val="4"/>
        </w:numPr>
        <w:tabs>
          <w:tab w:val="left" w:pos="-720"/>
        </w:tabs>
        <w:suppressAutoHyphens/>
        <w:spacing w:after="0" w:line="360" w:lineRule="auto"/>
        <w:ind w:firstLine="360"/>
        <w:rPr>
          <w:rFonts w:ascii="Palatino" w:eastAsia="Times New Roman" w:hAnsi="Palatino"/>
          <w:sz w:val="26"/>
          <w:szCs w:val="20"/>
        </w:rPr>
      </w:pPr>
      <w:r w:rsidRPr="00610316">
        <w:rPr>
          <w:rFonts w:ascii="Palatino" w:eastAsia="Times New Roman" w:hAnsi="Palatino"/>
          <w:sz w:val="26"/>
          <w:szCs w:val="20"/>
        </w:rPr>
        <w:t>Application 10-12-003 is closed.</w:t>
      </w:r>
    </w:p>
    <w:p w14:paraId="01AF0266" w14:textId="77777777" w:rsidR="00610316" w:rsidRPr="00610316" w:rsidRDefault="00610316" w:rsidP="00610316">
      <w:pPr>
        <w:spacing w:after="0" w:line="360" w:lineRule="auto"/>
        <w:ind w:firstLine="720"/>
        <w:rPr>
          <w:rFonts w:ascii="Palatino" w:eastAsia="Times New Roman" w:hAnsi="Palatino"/>
          <w:sz w:val="26"/>
          <w:szCs w:val="20"/>
        </w:rPr>
      </w:pPr>
      <w:r w:rsidRPr="00610316">
        <w:rPr>
          <w:rFonts w:ascii="Palatino" w:eastAsia="Times New Roman" w:hAnsi="Palatino"/>
          <w:sz w:val="26"/>
          <w:szCs w:val="20"/>
        </w:rPr>
        <w:t>This order is effective today.</w:t>
      </w:r>
    </w:p>
    <w:p w14:paraId="31FBA4C6" w14:textId="55520EA3" w:rsidR="00610316" w:rsidRPr="00610316" w:rsidRDefault="00610316" w:rsidP="00610316">
      <w:pPr>
        <w:spacing w:after="0" w:line="360" w:lineRule="auto"/>
        <w:ind w:firstLine="720"/>
        <w:rPr>
          <w:rFonts w:ascii="Palatino" w:eastAsia="Times New Roman" w:hAnsi="Palatino"/>
          <w:sz w:val="26"/>
          <w:szCs w:val="20"/>
        </w:rPr>
      </w:pPr>
      <w:r w:rsidRPr="00610316">
        <w:rPr>
          <w:rFonts w:ascii="Palatino" w:eastAsia="Times New Roman" w:hAnsi="Palatino"/>
          <w:sz w:val="26"/>
          <w:szCs w:val="20"/>
        </w:rPr>
        <w:t>Dated ___________</w:t>
      </w:r>
      <w:r w:rsidR="00F43DEB">
        <w:rPr>
          <w:rFonts w:ascii="Palatino" w:eastAsia="Times New Roman" w:hAnsi="Palatino"/>
          <w:sz w:val="26"/>
          <w:szCs w:val="20"/>
        </w:rPr>
        <w:t>,</w:t>
      </w:r>
      <w:r w:rsidRPr="00610316">
        <w:rPr>
          <w:rFonts w:ascii="Palatino" w:eastAsia="Times New Roman" w:hAnsi="Palatino"/>
          <w:sz w:val="26"/>
          <w:szCs w:val="20"/>
        </w:rPr>
        <w:t xml:space="preserve"> at San Francisco, California.</w:t>
      </w:r>
    </w:p>
    <w:sectPr w:rsidR="00610316" w:rsidRPr="00610316">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CD5A1" w14:textId="77777777" w:rsidR="00527DAE" w:rsidRDefault="00527DAE" w:rsidP="00610316">
      <w:pPr>
        <w:spacing w:after="0" w:line="240" w:lineRule="auto"/>
      </w:pPr>
      <w:r>
        <w:separator/>
      </w:r>
    </w:p>
  </w:endnote>
  <w:endnote w:type="continuationSeparator" w:id="0">
    <w:p w14:paraId="2C72B14C" w14:textId="77777777" w:rsidR="00527DAE" w:rsidRDefault="00527DAE" w:rsidP="00610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316D7" w14:textId="77777777" w:rsidR="00291A7D" w:rsidRDefault="00291A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3D386" w14:textId="77777777" w:rsidR="004F5AC0" w:rsidRPr="004F5E91" w:rsidRDefault="004841C3" w:rsidP="00742E22">
    <w:pPr>
      <w:pStyle w:val="Footer"/>
      <w:jc w:val="center"/>
      <w:rPr>
        <w:rFonts w:ascii="Palatino" w:eastAsia="Times New Roman" w:hAnsi="Palatino"/>
        <w:sz w:val="24"/>
        <w:szCs w:val="24"/>
      </w:rPr>
    </w:pPr>
    <w:r w:rsidRPr="004F5E91">
      <w:rPr>
        <w:rFonts w:ascii="Palatino" w:eastAsia="Times New Roman" w:hAnsi="Palatino"/>
        <w:sz w:val="24"/>
        <w:szCs w:val="24"/>
      </w:rPr>
      <w:t xml:space="preserve">- </w:t>
    </w:r>
    <w:r w:rsidRPr="004F5E91">
      <w:rPr>
        <w:rFonts w:ascii="Palatino" w:eastAsia="Times New Roman" w:hAnsi="Palatino"/>
        <w:sz w:val="24"/>
        <w:szCs w:val="24"/>
      </w:rPr>
      <w:fldChar w:fldCharType="begin"/>
    </w:r>
    <w:r w:rsidRPr="004F5E91">
      <w:rPr>
        <w:rFonts w:ascii="Palatino" w:eastAsia="Times New Roman" w:hAnsi="Palatino"/>
        <w:sz w:val="24"/>
        <w:szCs w:val="24"/>
      </w:rPr>
      <w:instrText xml:space="preserve"> PAGE </w:instrText>
    </w:r>
    <w:r w:rsidRPr="004F5E91">
      <w:rPr>
        <w:rFonts w:ascii="Palatino" w:eastAsia="Times New Roman" w:hAnsi="Palatino"/>
        <w:sz w:val="24"/>
        <w:szCs w:val="24"/>
      </w:rPr>
      <w:fldChar w:fldCharType="separate"/>
    </w:r>
    <w:r w:rsidR="00FA0900">
      <w:rPr>
        <w:rFonts w:ascii="Palatino" w:eastAsia="Times New Roman" w:hAnsi="Palatino"/>
        <w:noProof/>
        <w:sz w:val="24"/>
        <w:szCs w:val="24"/>
      </w:rPr>
      <w:t>2</w:t>
    </w:r>
    <w:r w:rsidRPr="004F5E91">
      <w:rPr>
        <w:rFonts w:ascii="Palatino" w:eastAsia="Times New Roman" w:hAnsi="Palatino"/>
        <w:sz w:val="24"/>
        <w:szCs w:val="24"/>
      </w:rPr>
      <w:fldChar w:fldCharType="end"/>
    </w:r>
    <w:r w:rsidRPr="004F5E91">
      <w:rPr>
        <w:rFonts w:ascii="Palatino" w:eastAsia="Times New Roman" w:hAnsi="Palatino"/>
        <w:sz w:val="24"/>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26D73" w14:textId="0A195A72" w:rsidR="004F5AC0" w:rsidRDefault="001174C1">
    <w:pPr>
      <w:pStyle w:val="Footer"/>
      <w:rPr>
        <w:rStyle w:val="PageNumber"/>
        <w:sz w:val="24"/>
        <w:szCs w:val="24"/>
      </w:rPr>
    </w:pPr>
    <w:r w:rsidRPr="001174C1">
      <w:rPr>
        <w:rFonts w:ascii="Palatino" w:eastAsia="Times New Roman" w:hAnsi="Palatino"/>
        <w:sz w:val="16"/>
        <w:szCs w:val="16"/>
      </w:rPr>
      <w:t>65605075</w:t>
    </w:r>
    <w:r w:rsidR="004841C3">
      <w:rPr>
        <w:rStyle w:val="PageNumber"/>
        <w:sz w:val="24"/>
        <w:szCs w:val="24"/>
      </w:rPr>
      <w:tab/>
    </w:r>
    <w:r w:rsidR="004841C3" w:rsidRPr="004F5E91">
      <w:rPr>
        <w:rFonts w:ascii="Palatino" w:eastAsia="Times New Roman" w:hAnsi="Palatino"/>
        <w:sz w:val="24"/>
        <w:szCs w:val="24"/>
      </w:rPr>
      <w:t xml:space="preserve">- </w:t>
    </w:r>
    <w:r w:rsidR="004841C3" w:rsidRPr="004F5E91">
      <w:rPr>
        <w:rFonts w:ascii="Palatino" w:eastAsia="Times New Roman" w:hAnsi="Palatino"/>
        <w:sz w:val="24"/>
        <w:szCs w:val="24"/>
      </w:rPr>
      <w:fldChar w:fldCharType="begin"/>
    </w:r>
    <w:r w:rsidR="004841C3" w:rsidRPr="004F5E91">
      <w:rPr>
        <w:rFonts w:ascii="Palatino" w:eastAsia="Times New Roman" w:hAnsi="Palatino"/>
        <w:sz w:val="24"/>
        <w:szCs w:val="24"/>
      </w:rPr>
      <w:instrText xml:space="preserve"> PAGE </w:instrText>
    </w:r>
    <w:r w:rsidR="004841C3" w:rsidRPr="004F5E91">
      <w:rPr>
        <w:rFonts w:ascii="Palatino" w:eastAsia="Times New Roman" w:hAnsi="Palatino"/>
        <w:sz w:val="24"/>
        <w:szCs w:val="24"/>
      </w:rPr>
      <w:fldChar w:fldCharType="separate"/>
    </w:r>
    <w:r w:rsidR="00FA0900">
      <w:rPr>
        <w:rFonts w:ascii="Palatino" w:eastAsia="Times New Roman" w:hAnsi="Palatino"/>
        <w:noProof/>
        <w:sz w:val="24"/>
        <w:szCs w:val="24"/>
      </w:rPr>
      <w:t>1</w:t>
    </w:r>
    <w:r w:rsidR="004841C3" w:rsidRPr="004F5E91">
      <w:rPr>
        <w:rFonts w:ascii="Palatino" w:eastAsia="Times New Roman" w:hAnsi="Palatino"/>
        <w:sz w:val="24"/>
        <w:szCs w:val="24"/>
      </w:rPr>
      <w:fldChar w:fldCharType="end"/>
    </w:r>
    <w:r w:rsidR="004841C3" w:rsidRPr="004F5E91">
      <w:rPr>
        <w:rFonts w:ascii="Palatino" w:eastAsia="Times New Roman" w:hAnsi="Palatino"/>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11978" w14:textId="77777777" w:rsidR="00527DAE" w:rsidRDefault="00527DAE" w:rsidP="00610316">
      <w:pPr>
        <w:spacing w:after="0" w:line="240" w:lineRule="auto"/>
      </w:pPr>
      <w:r>
        <w:separator/>
      </w:r>
    </w:p>
  </w:footnote>
  <w:footnote w:type="continuationSeparator" w:id="0">
    <w:p w14:paraId="6C83ED33" w14:textId="77777777" w:rsidR="00527DAE" w:rsidRDefault="00527DAE" w:rsidP="00610316">
      <w:pPr>
        <w:spacing w:after="0" w:line="240" w:lineRule="auto"/>
      </w:pPr>
      <w:r>
        <w:continuationSeparator/>
      </w:r>
    </w:p>
  </w:footnote>
  <w:footnote w:id="1">
    <w:p w14:paraId="25B730D2" w14:textId="0F86780D" w:rsidR="00955256" w:rsidRPr="004F5E91" w:rsidRDefault="00D279D9" w:rsidP="00961DB8">
      <w:pPr>
        <w:pStyle w:val="FootnoteText"/>
        <w:spacing w:line="240" w:lineRule="auto"/>
        <w:rPr>
          <w:rFonts w:ascii="Palatino" w:eastAsia="Times New Roman" w:hAnsi="Palatino"/>
          <w:sz w:val="24"/>
          <w:szCs w:val="24"/>
        </w:rPr>
      </w:pPr>
      <w:r w:rsidRPr="00F9658C">
        <w:rPr>
          <w:rFonts w:ascii="Palatino" w:eastAsia="Times New Roman" w:hAnsi="Palatino"/>
          <w:szCs w:val="24"/>
        </w:rPr>
        <w:footnoteRef/>
      </w:r>
      <w:r w:rsidRPr="00F9658C">
        <w:rPr>
          <w:rFonts w:ascii="Palatino" w:eastAsia="Times New Roman" w:hAnsi="Palatino"/>
          <w:sz w:val="24"/>
          <w:szCs w:val="24"/>
        </w:rPr>
        <w:t xml:space="preserve">  </w:t>
      </w:r>
      <w:r w:rsidRPr="004F5E91">
        <w:rPr>
          <w:rFonts w:ascii="Palatino" w:eastAsia="Times New Roman" w:hAnsi="Palatino"/>
          <w:sz w:val="24"/>
          <w:szCs w:val="24"/>
        </w:rPr>
        <w:t xml:space="preserve">Public Resources Code Section 21000, </w:t>
      </w:r>
      <w:r w:rsidRPr="00F9658C">
        <w:rPr>
          <w:rFonts w:ascii="Palatino" w:eastAsia="Times New Roman" w:hAnsi="Palatino"/>
          <w:sz w:val="24"/>
          <w:szCs w:val="24"/>
        </w:rPr>
        <w:t>et seq</w:t>
      </w:r>
      <w:r w:rsidRPr="004F5E91">
        <w:rPr>
          <w:rFonts w:ascii="Palatino" w:eastAsia="Times New Roman" w:hAnsi="Palatino"/>
          <w:sz w:val="24"/>
          <w:szCs w:val="24"/>
        </w:rPr>
        <w:t>.</w:t>
      </w:r>
    </w:p>
  </w:footnote>
  <w:footnote w:id="2">
    <w:p w14:paraId="7FD8A13B" w14:textId="34B83728" w:rsidR="00955256" w:rsidRPr="004F5E91" w:rsidRDefault="00610316" w:rsidP="00961DB8">
      <w:pPr>
        <w:pStyle w:val="FootnoteText"/>
        <w:spacing w:line="240" w:lineRule="auto"/>
        <w:rPr>
          <w:rFonts w:ascii="Palatino" w:eastAsia="Times New Roman" w:hAnsi="Palatino"/>
          <w:sz w:val="24"/>
          <w:szCs w:val="24"/>
        </w:rPr>
      </w:pPr>
      <w:r w:rsidRPr="00F9658C">
        <w:rPr>
          <w:rFonts w:ascii="Palatino" w:eastAsia="Times New Roman" w:hAnsi="Palatino"/>
          <w:szCs w:val="24"/>
        </w:rPr>
        <w:footnoteRef/>
      </w:r>
      <w:r w:rsidRPr="00F9658C">
        <w:rPr>
          <w:rFonts w:ascii="Palatino" w:eastAsia="Times New Roman" w:hAnsi="Palatino"/>
          <w:sz w:val="24"/>
          <w:szCs w:val="24"/>
        </w:rPr>
        <w:t xml:space="preserve">  </w:t>
      </w:r>
      <w:r w:rsidRPr="004F5E91">
        <w:rPr>
          <w:rFonts w:ascii="Palatino" w:eastAsia="Times New Roman" w:hAnsi="Palatino"/>
          <w:sz w:val="24"/>
          <w:szCs w:val="24"/>
        </w:rPr>
        <w:t>DRA filed a protest on January 10, 2011.</w:t>
      </w:r>
    </w:p>
  </w:footnote>
  <w:footnote w:id="3">
    <w:p w14:paraId="34AE566F" w14:textId="1A28C85C" w:rsidR="00955256" w:rsidRPr="00F9658C" w:rsidRDefault="00610316" w:rsidP="00961DB8">
      <w:pPr>
        <w:pStyle w:val="FootnoteText"/>
        <w:spacing w:line="240" w:lineRule="auto"/>
        <w:rPr>
          <w:rFonts w:ascii="Palatino" w:eastAsia="Times New Roman" w:hAnsi="Palatino"/>
          <w:sz w:val="24"/>
          <w:szCs w:val="24"/>
        </w:rPr>
      </w:pPr>
      <w:r w:rsidRPr="00F9658C">
        <w:rPr>
          <w:rFonts w:ascii="Palatino" w:eastAsia="Times New Roman" w:hAnsi="Palatino"/>
          <w:szCs w:val="24"/>
        </w:rPr>
        <w:footnoteRef/>
      </w:r>
      <w:r w:rsidRPr="00F9658C">
        <w:rPr>
          <w:rFonts w:ascii="Palatino" w:eastAsia="Times New Roman" w:hAnsi="Palatino"/>
          <w:sz w:val="24"/>
          <w:szCs w:val="24"/>
        </w:rPr>
        <w:t xml:space="preserve">  </w:t>
      </w:r>
      <w:r w:rsidRPr="004F5E91">
        <w:rPr>
          <w:rFonts w:ascii="Palatino" w:eastAsia="Times New Roman" w:hAnsi="Palatino"/>
          <w:sz w:val="24"/>
          <w:szCs w:val="24"/>
        </w:rPr>
        <w:t>Mr. Johnson filed a protest on January 18, 2011.</w:t>
      </w:r>
    </w:p>
  </w:footnote>
  <w:footnote w:id="4">
    <w:p w14:paraId="189AA95C" w14:textId="5CA5D9FA" w:rsidR="00610316" w:rsidRPr="00F9658C" w:rsidRDefault="00610316" w:rsidP="00961DB8">
      <w:pPr>
        <w:pStyle w:val="FootnoteText"/>
        <w:spacing w:line="240" w:lineRule="auto"/>
        <w:rPr>
          <w:rFonts w:ascii="Palatino" w:eastAsia="Times New Roman" w:hAnsi="Palatino"/>
          <w:sz w:val="24"/>
          <w:szCs w:val="24"/>
        </w:rPr>
      </w:pPr>
      <w:r w:rsidRPr="00F9658C">
        <w:rPr>
          <w:rFonts w:ascii="Palatino" w:eastAsia="Times New Roman" w:hAnsi="Palatino"/>
          <w:szCs w:val="24"/>
        </w:rPr>
        <w:footnoteRef/>
      </w:r>
      <w:r w:rsidRPr="00F9658C">
        <w:rPr>
          <w:rFonts w:ascii="Palatino" w:eastAsia="Times New Roman" w:hAnsi="Palatino"/>
          <w:sz w:val="24"/>
          <w:szCs w:val="24"/>
        </w:rPr>
        <w:t xml:space="preserve">  </w:t>
      </w:r>
      <w:r w:rsidRPr="004D13A2">
        <w:rPr>
          <w:rFonts w:ascii="Palatino" w:eastAsia="Times New Roman" w:hAnsi="Palatino"/>
          <w:sz w:val="24"/>
          <w:szCs w:val="24"/>
        </w:rPr>
        <w:t xml:space="preserve">The major components of the project did not change as a result of the amendment.  Following the filing of the original application, PG&amp;E determined that additional </w:t>
      </w:r>
      <w:r w:rsidR="00D53BF7">
        <w:rPr>
          <w:rFonts w:ascii="Palatino" w:eastAsia="Times New Roman" w:hAnsi="Palatino"/>
          <w:sz w:val="24"/>
          <w:szCs w:val="24"/>
        </w:rPr>
        <w:br/>
      </w:r>
      <w:r w:rsidRPr="004D13A2">
        <w:rPr>
          <w:rFonts w:ascii="Palatino" w:eastAsia="Times New Roman" w:hAnsi="Palatino"/>
          <w:sz w:val="24"/>
          <w:szCs w:val="24"/>
        </w:rPr>
        <w:t xml:space="preserve">low-voltage line work would be required to support the substation project.  This work includes rebuilding one mile of distribution line outside of the previously-defined project area, extending the exiting overhead distribution line north an additional </w:t>
      </w:r>
      <w:r w:rsidR="00D53BF7">
        <w:rPr>
          <w:rFonts w:ascii="Palatino" w:eastAsia="Times New Roman" w:hAnsi="Palatino"/>
          <w:sz w:val="24"/>
          <w:szCs w:val="24"/>
        </w:rPr>
        <w:br/>
      </w:r>
      <w:r w:rsidRPr="004D13A2">
        <w:rPr>
          <w:rFonts w:ascii="Palatino" w:eastAsia="Times New Roman" w:hAnsi="Palatino"/>
          <w:sz w:val="24"/>
          <w:szCs w:val="24"/>
        </w:rPr>
        <w:t>one-half mile, and shifting the substation 35 feet south to accommodate the power line connection</w:t>
      </w:r>
      <w:r w:rsidRPr="00F9658C">
        <w:rPr>
          <w:rFonts w:ascii="Palatino" w:eastAsia="Times New Roman" w:hAnsi="Palatino"/>
          <w:sz w:val="24"/>
          <w:szCs w:val="24"/>
        </w:rPr>
        <w:t>.</w:t>
      </w:r>
    </w:p>
  </w:footnote>
  <w:footnote w:id="5">
    <w:p w14:paraId="1F36BFDC" w14:textId="410247BA" w:rsidR="00955256" w:rsidRPr="00F9658C" w:rsidRDefault="00610316" w:rsidP="00961DB8">
      <w:pPr>
        <w:pStyle w:val="FootnoteText"/>
        <w:spacing w:line="240" w:lineRule="auto"/>
        <w:rPr>
          <w:rFonts w:ascii="Palatino" w:eastAsia="Times New Roman" w:hAnsi="Palatino"/>
          <w:sz w:val="24"/>
          <w:szCs w:val="24"/>
        </w:rPr>
      </w:pPr>
      <w:r w:rsidRPr="00F9658C">
        <w:rPr>
          <w:rFonts w:ascii="Palatino" w:eastAsia="Times New Roman" w:hAnsi="Palatino"/>
          <w:sz w:val="24"/>
          <w:szCs w:val="24"/>
        </w:rPr>
        <w:footnoteRef/>
      </w:r>
      <w:r w:rsidRPr="00F9658C">
        <w:rPr>
          <w:rFonts w:ascii="Palatino" w:eastAsia="Times New Roman" w:hAnsi="Palatino"/>
          <w:sz w:val="24"/>
          <w:szCs w:val="24"/>
        </w:rPr>
        <w:t xml:space="preserve">  CEQA Guidelines, Section 15050(b).</w:t>
      </w:r>
    </w:p>
  </w:footnote>
  <w:footnote w:id="6">
    <w:p w14:paraId="7A333D2C" w14:textId="77777777" w:rsidR="00610316" w:rsidRPr="00F9658C" w:rsidRDefault="00610316" w:rsidP="00961DB8">
      <w:pPr>
        <w:pStyle w:val="FootnoteText"/>
        <w:spacing w:line="240" w:lineRule="auto"/>
        <w:rPr>
          <w:rFonts w:ascii="Palatino" w:eastAsia="Times New Roman" w:hAnsi="Palatino"/>
          <w:sz w:val="24"/>
          <w:szCs w:val="24"/>
        </w:rPr>
      </w:pPr>
      <w:r w:rsidRPr="00F9658C">
        <w:rPr>
          <w:rFonts w:ascii="Palatino" w:eastAsia="Times New Roman" w:hAnsi="Palatino"/>
          <w:sz w:val="24"/>
          <w:szCs w:val="24"/>
        </w:rPr>
        <w:footnoteRef/>
      </w:r>
      <w:r w:rsidRPr="00F9658C">
        <w:rPr>
          <w:rFonts w:ascii="Palatino" w:eastAsia="Times New Roman" w:hAnsi="Palatino"/>
          <w:sz w:val="24"/>
          <w:szCs w:val="24"/>
        </w:rPr>
        <w:t xml:space="preserve">  CEQA Guidelines, Section 15051(b).</w:t>
      </w:r>
    </w:p>
  </w:footnote>
  <w:footnote w:id="7">
    <w:p w14:paraId="1ABEACCF" w14:textId="77777777" w:rsidR="00610316" w:rsidRPr="00F9658C" w:rsidRDefault="00610316" w:rsidP="00961DB8">
      <w:pPr>
        <w:pStyle w:val="FootnoteText"/>
        <w:spacing w:line="240" w:lineRule="auto"/>
        <w:rPr>
          <w:rFonts w:ascii="Palatino" w:eastAsia="Times New Roman" w:hAnsi="Palatino"/>
          <w:sz w:val="24"/>
          <w:szCs w:val="24"/>
        </w:rPr>
      </w:pPr>
      <w:r w:rsidRPr="00F9658C">
        <w:rPr>
          <w:rFonts w:ascii="Palatino" w:eastAsia="Times New Roman" w:hAnsi="Palatino"/>
          <w:sz w:val="24"/>
          <w:szCs w:val="24"/>
        </w:rPr>
        <w:footnoteRef/>
      </w:r>
      <w:r w:rsidRPr="00F9658C">
        <w:rPr>
          <w:rFonts w:ascii="Palatino" w:eastAsia="Times New Roman" w:hAnsi="Palatino"/>
          <w:sz w:val="24"/>
          <w:szCs w:val="24"/>
        </w:rPr>
        <w:t xml:space="preserve">  The PEA was prepared by PG&amp;E with portions of the PEA prepared by EPG, Inc. of </w:t>
      </w:r>
      <w:smartTag w:uri="urn:schemas-microsoft-com:office:smarttags" w:element="place">
        <w:smartTag w:uri="urn:schemas-microsoft-com:office:smarttags" w:element="City">
          <w:r w:rsidRPr="00F9658C">
            <w:rPr>
              <w:rFonts w:ascii="Palatino" w:eastAsia="Times New Roman" w:hAnsi="Palatino"/>
              <w:sz w:val="24"/>
              <w:szCs w:val="24"/>
            </w:rPr>
            <w:t>Phoenix</w:t>
          </w:r>
        </w:smartTag>
        <w:r w:rsidRPr="00F9658C">
          <w:rPr>
            <w:rFonts w:ascii="Palatino" w:eastAsia="Times New Roman" w:hAnsi="Palatino"/>
            <w:sz w:val="24"/>
            <w:szCs w:val="24"/>
          </w:rPr>
          <w:t xml:space="preserve">, </w:t>
        </w:r>
        <w:smartTag w:uri="urn:schemas-microsoft-com:office:smarttags" w:element="State">
          <w:r w:rsidRPr="00F9658C">
            <w:rPr>
              <w:rFonts w:ascii="Palatino" w:eastAsia="Times New Roman" w:hAnsi="Palatino"/>
              <w:sz w:val="24"/>
              <w:szCs w:val="24"/>
            </w:rPr>
            <w:t>AZ.</w:t>
          </w:r>
        </w:smartTag>
      </w:smartTag>
    </w:p>
  </w:footnote>
  <w:footnote w:id="8">
    <w:p w14:paraId="1FF85199" w14:textId="2039AF2E" w:rsidR="00610316" w:rsidRPr="00F9658C" w:rsidRDefault="00610316" w:rsidP="00961DB8">
      <w:pPr>
        <w:pStyle w:val="FootnoteText"/>
        <w:spacing w:line="240" w:lineRule="auto"/>
        <w:rPr>
          <w:rFonts w:ascii="Palatino" w:eastAsia="Times New Roman" w:hAnsi="Palatino"/>
          <w:sz w:val="24"/>
          <w:szCs w:val="24"/>
        </w:rPr>
      </w:pPr>
      <w:r w:rsidRPr="00F9658C">
        <w:rPr>
          <w:rFonts w:ascii="Palatino" w:eastAsia="Times New Roman" w:hAnsi="Palatino"/>
          <w:sz w:val="24"/>
          <w:szCs w:val="24"/>
        </w:rPr>
        <w:footnoteRef/>
      </w:r>
      <w:r w:rsidRPr="00F9658C">
        <w:rPr>
          <w:rFonts w:ascii="Palatino" w:eastAsia="Times New Roman" w:hAnsi="Palatino"/>
          <w:sz w:val="24"/>
          <w:szCs w:val="24"/>
        </w:rPr>
        <w:t xml:space="preserve"> </w:t>
      </w:r>
      <w:r w:rsidR="000E50BF" w:rsidRPr="00F9658C">
        <w:rPr>
          <w:rFonts w:ascii="Palatino" w:eastAsia="Times New Roman" w:hAnsi="Palatino"/>
          <w:sz w:val="24"/>
          <w:szCs w:val="24"/>
        </w:rPr>
        <w:t xml:space="preserve"> </w:t>
      </w:r>
      <w:r w:rsidRPr="00F9658C">
        <w:rPr>
          <w:rFonts w:ascii="Palatino" w:eastAsia="Times New Roman" w:hAnsi="Palatino"/>
          <w:sz w:val="24"/>
          <w:szCs w:val="24"/>
        </w:rPr>
        <w:t>December 2, 2011 Amendment, Exhibit A.</w:t>
      </w:r>
    </w:p>
  </w:footnote>
  <w:footnote w:id="9">
    <w:p w14:paraId="1DD66120" w14:textId="77777777" w:rsidR="00D279D9" w:rsidRPr="00F9658C" w:rsidRDefault="00D279D9" w:rsidP="00961DB8">
      <w:pPr>
        <w:pStyle w:val="FootnoteText"/>
        <w:spacing w:line="240" w:lineRule="auto"/>
        <w:rPr>
          <w:rFonts w:ascii="Palatino" w:eastAsia="Times New Roman" w:hAnsi="Palatino"/>
          <w:sz w:val="24"/>
          <w:szCs w:val="24"/>
        </w:rPr>
      </w:pPr>
      <w:r w:rsidRPr="00F9658C">
        <w:rPr>
          <w:rFonts w:ascii="Palatino" w:eastAsia="Times New Roman" w:hAnsi="Palatino"/>
          <w:szCs w:val="24"/>
        </w:rPr>
        <w:footnoteRef/>
      </w:r>
      <w:r w:rsidRPr="00F9658C">
        <w:rPr>
          <w:rFonts w:ascii="Palatino" w:eastAsia="Times New Roman" w:hAnsi="Palatino"/>
          <w:sz w:val="24"/>
          <w:szCs w:val="24"/>
        </w:rPr>
        <w:t xml:space="preserve">  </w:t>
      </w:r>
      <w:r w:rsidRPr="004D13A2">
        <w:rPr>
          <w:rFonts w:ascii="Palatino" w:eastAsia="Times New Roman" w:hAnsi="Palatino"/>
          <w:sz w:val="24"/>
          <w:szCs w:val="24"/>
        </w:rPr>
        <w:t>PEA, Appendix H.</w:t>
      </w:r>
    </w:p>
  </w:footnote>
  <w:footnote w:id="10">
    <w:p w14:paraId="44EFD8AE" w14:textId="77777777" w:rsidR="00B0239B" w:rsidRPr="00F9658C" w:rsidRDefault="00B0239B" w:rsidP="00961DB8">
      <w:pPr>
        <w:pStyle w:val="FootnoteText"/>
        <w:spacing w:line="240" w:lineRule="auto"/>
        <w:rPr>
          <w:rFonts w:ascii="Palatino" w:eastAsia="Times New Roman" w:hAnsi="Palatino"/>
          <w:sz w:val="24"/>
          <w:szCs w:val="24"/>
        </w:rPr>
      </w:pPr>
      <w:r w:rsidRPr="00F9658C">
        <w:rPr>
          <w:rFonts w:ascii="Palatino" w:eastAsia="Times New Roman" w:hAnsi="Palatino"/>
          <w:szCs w:val="24"/>
        </w:rPr>
        <w:footnoteRef/>
      </w:r>
      <w:r w:rsidRPr="00F9658C">
        <w:rPr>
          <w:rFonts w:ascii="Palatino" w:eastAsia="Times New Roman" w:hAnsi="Palatino"/>
          <w:sz w:val="24"/>
          <w:szCs w:val="24"/>
        </w:rPr>
        <w:t xml:space="preserve">  </w:t>
      </w:r>
      <w:r w:rsidRPr="004D13A2">
        <w:rPr>
          <w:rFonts w:ascii="Palatino" w:eastAsia="Times New Roman" w:hAnsi="Palatino"/>
          <w:sz w:val="24"/>
          <w:szCs w:val="24"/>
        </w:rPr>
        <w:t>A March 5, 2013 Administrative Law Judge Ruling identified, marked and received into the record the IS/Draft MND as Reference Exhibit A</w:t>
      </w:r>
      <w:r w:rsidRPr="00F9658C">
        <w:rPr>
          <w:rFonts w:ascii="Palatino" w:eastAsia="Times New Roman" w:hAnsi="Palatino"/>
          <w:sz w:val="24"/>
          <w:szCs w:val="24"/>
        </w:rPr>
        <w:t>.</w:t>
      </w:r>
    </w:p>
  </w:footnote>
  <w:footnote w:id="11">
    <w:p w14:paraId="5ED5593F" w14:textId="340A615E" w:rsidR="00610316" w:rsidRPr="00F9658C" w:rsidRDefault="00610316" w:rsidP="00961DB8">
      <w:pPr>
        <w:pStyle w:val="FootnoteText"/>
        <w:spacing w:line="240" w:lineRule="auto"/>
        <w:rPr>
          <w:rFonts w:ascii="Palatino" w:eastAsia="Times New Roman" w:hAnsi="Palatino"/>
          <w:sz w:val="24"/>
          <w:szCs w:val="24"/>
        </w:rPr>
      </w:pPr>
      <w:r w:rsidRPr="00F9658C">
        <w:rPr>
          <w:rFonts w:ascii="Palatino" w:eastAsia="Times New Roman" w:hAnsi="Palatino"/>
          <w:szCs w:val="24"/>
        </w:rPr>
        <w:footnoteRef/>
      </w:r>
      <w:r w:rsidR="000E50BF" w:rsidRPr="00F9658C">
        <w:rPr>
          <w:rFonts w:ascii="Palatino" w:eastAsia="Times New Roman" w:hAnsi="Palatino"/>
          <w:sz w:val="24"/>
          <w:szCs w:val="24"/>
        </w:rPr>
        <w:t xml:space="preserve"> </w:t>
      </w:r>
      <w:r w:rsidRPr="00F9658C">
        <w:rPr>
          <w:rFonts w:ascii="Palatino" w:eastAsia="Times New Roman" w:hAnsi="Palatino"/>
          <w:sz w:val="24"/>
          <w:szCs w:val="24"/>
        </w:rPr>
        <w:t xml:space="preserve"> </w:t>
      </w:r>
      <w:r w:rsidRPr="004D13A2">
        <w:rPr>
          <w:rFonts w:ascii="Palatino" w:eastAsia="Times New Roman" w:hAnsi="Palatino"/>
          <w:sz w:val="24"/>
          <w:szCs w:val="24"/>
        </w:rPr>
        <w:t>CEQA Guideline Section 15074(d).</w:t>
      </w:r>
    </w:p>
  </w:footnote>
  <w:footnote w:id="12">
    <w:p w14:paraId="39CDA75E" w14:textId="4219EC49" w:rsidR="00610316" w:rsidRPr="00F9658C" w:rsidRDefault="00610316" w:rsidP="00961DB8">
      <w:pPr>
        <w:pStyle w:val="FootnoteText"/>
        <w:spacing w:line="240" w:lineRule="auto"/>
        <w:rPr>
          <w:rFonts w:ascii="Palatino" w:eastAsia="Times New Roman" w:hAnsi="Palatino"/>
          <w:sz w:val="24"/>
          <w:szCs w:val="24"/>
        </w:rPr>
      </w:pPr>
      <w:r w:rsidRPr="00F9658C">
        <w:rPr>
          <w:rFonts w:ascii="Palatino" w:eastAsia="Times New Roman" w:hAnsi="Palatino"/>
          <w:szCs w:val="24"/>
        </w:rPr>
        <w:footnoteRef/>
      </w:r>
      <w:r w:rsidRPr="00F9658C">
        <w:rPr>
          <w:rFonts w:ascii="Palatino" w:eastAsia="Times New Roman" w:hAnsi="Palatino"/>
          <w:sz w:val="24"/>
          <w:szCs w:val="24"/>
        </w:rPr>
        <w:t xml:space="preserve">  </w:t>
      </w:r>
      <w:r w:rsidRPr="004D13A2">
        <w:rPr>
          <w:rFonts w:ascii="Palatino" w:eastAsia="Times New Roman" w:hAnsi="Palatino"/>
          <w:sz w:val="24"/>
          <w:szCs w:val="24"/>
        </w:rPr>
        <w:t>A March 5, 2013 Administrative Law Judge Ruling identified, marked and received into the record the Final MND as Reference Exhibit B.</w:t>
      </w:r>
    </w:p>
  </w:footnote>
  <w:footnote w:id="13">
    <w:p w14:paraId="49FE21B1" w14:textId="5AA205DE" w:rsidR="002A2ADC" w:rsidRPr="00F9658C" w:rsidRDefault="002A2ADC" w:rsidP="00961DB8">
      <w:pPr>
        <w:pStyle w:val="FootnoteText"/>
        <w:spacing w:line="240" w:lineRule="auto"/>
        <w:rPr>
          <w:rFonts w:ascii="Palatino" w:eastAsia="Times New Roman" w:hAnsi="Palatino"/>
          <w:sz w:val="24"/>
          <w:szCs w:val="24"/>
        </w:rPr>
      </w:pPr>
      <w:r w:rsidRPr="00F9658C">
        <w:rPr>
          <w:rFonts w:ascii="Palatino" w:eastAsia="Times New Roman" w:hAnsi="Palatino"/>
          <w:szCs w:val="24"/>
        </w:rPr>
        <w:footnoteRef/>
      </w:r>
      <w:r w:rsidRPr="00F9658C">
        <w:rPr>
          <w:rFonts w:ascii="Palatino" w:eastAsia="Times New Roman" w:hAnsi="Palatino"/>
          <w:sz w:val="24"/>
          <w:szCs w:val="24"/>
        </w:rPr>
        <w:t xml:space="preserve">  </w:t>
      </w:r>
      <w:r w:rsidRPr="002470BA">
        <w:rPr>
          <w:rFonts w:ascii="Palatino" w:eastAsia="Times New Roman" w:hAnsi="Palatino"/>
          <w:sz w:val="24"/>
          <w:szCs w:val="24"/>
        </w:rPr>
        <w:t>An</w:t>
      </w:r>
      <w:r w:rsidRPr="004D13A2">
        <w:rPr>
          <w:rFonts w:ascii="Palatino" w:eastAsia="Times New Roman" w:hAnsi="Palatino"/>
          <w:sz w:val="24"/>
          <w:szCs w:val="24"/>
        </w:rPr>
        <w:t xml:space="preserve"> April </w:t>
      </w:r>
      <w:r>
        <w:rPr>
          <w:rFonts w:ascii="Palatino" w:eastAsia="Times New Roman" w:hAnsi="Palatino"/>
          <w:sz w:val="24"/>
          <w:szCs w:val="24"/>
        </w:rPr>
        <w:t>1</w:t>
      </w:r>
      <w:r w:rsidR="002470BA">
        <w:rPr>
          <w:rFonts w:ascii="Palatino" w:eastAsia="Times New Roman" w:hAnsi="Palatino"/>
          <w:sz w:val="24"/>
          <w:szCs w:val="24"/>
        </w:rPr>
        <w:t>7</w:t>
      </w:r>
      <w:r w:rsidRPr="004D13A2">
        <w:rPr>
          <w:rFonts w:ascii="Palatino" w:eastAsia="Times New Roman" w:hAnsi="Palatino"/>
          <w:sz w:val="24"/>
          <w:szCs w:val="24"/>
        </w:rPr>
        <w:t xml:space="preserve">, 2013 Administrative Law Judge Ruling identified, marked and received into the record the </w:t>
      </w:r>
      <w:r>
        <w:rPr>
          <w:rFonts w:ascii="Palatino" w:eastAsia="Times New Roman" w:hAnsi="Palatino"/>
          <w:sz w:val="24"/>
          <w:szCs w:val="24"/>
        </w:rPr>
        <w:t xml:space="preserve">Addendum to the </w:t>
      </w:r>
      <w:r w:rsidRPr="004D13A2">
        <w:rPr>
          <w:rFonts w:ascii="Palatino" w:eastAsia="Times New Roman" w:hAnsi="Palatino"/>
          <w:sz w:val="24"/>
          <w:szCs w:val="24"/>
        </w:rPr>
        <w:t>Final MND as Reference Exhibit C.</w:t>
      </w:r>
    </w:p>
  </w:footnote>
  <w:footnote w:id="14">
    <w:p w14:paraId="355F6635" w14:textId="77777777" w:rsidR="002A2ADC" w:rsidRPr="00F9658C" w:rsidRDefault="002A2ADC" w:rsidP="00961DB8">
      <w:pPr>
        <w:pStyle w:val="FootnoteText"/>
        <w:spacing w:line="240" w:lineRule="auto"/>
        <w:rPr>
          <w:rFonts w:ascii="Palatino" w:eastAsia="Times New Roman" w:hAnsi="Palatino"/>
          <w:sz w:val="24"/>
          <w:szCs w:val="24"/>
        </w:rPr>
      </w:pPr>
      <w:r w:rsidRPr="00F9658C">
        <w:rPr>
          <w:rFonts w:ascii="Palatino" w:eastAsia="Times New Roman" w:hAnsi="Palatino"/>
          <w:szCs w:val="24"/>
        </w:rPr>
        <w:footnoteRef/>
      </w:r>
      <w:r w:rsidRPr="00F9658C">
        <w:rPr>
          <w:rFonts w:ascii="Palatino" w:eastAsia="Times New Roman" w:hAnsi="Palatino"/>
          <w:sz w:val="24"/>
          <w:szCs w:val="24"/>
        </w:rPr>
        <w:t xml:space="preserve"> CEQA Guideline 15164 provides:</w:t>
      </w:r>
    </w:p>
    <w:p w14:paraId="27E0D01A" w14:textId="77777777" w:rsidR="002A2ADC" w:rsidRPr="00F9658C" w:rsidRDefault="002A2ADC" w:rsidP="00961DB8">
      <w:pPr>
        <w:pStyle w:val="FootnoteText"/>
        <w:spacing w:line="240" w:lineRule="auto"/>
        <w:ind w:left="720"/>
        <w:rPr>
          <w:rFonts w:ascii="Palatino" w:eastAsia="Times New Roman" w:hAnsi="Palatino"/>
          <w:i/>
          <w:sz w:val="24"/>
          <w:szCs w:val="24"/>
        </w:rPr>
      </w:pPr>
      <w:r w:rsidRPr="00F9658C">
        <w:rPr>
          <w:rFonts w:ascii="Palatino" w:eastAsia="Times New Roman" w:hAnsi="Palatino"/>
          <w:i/>
          <w:sz w:val="24"/>
          <w:szCs w:val="24"/>
        </w:rPr>
        <w:t>(b) An addendum to an adopted negative declaration may be prepared if only minor technical changes or additions are necessary or none of the conditions described in Section 15162 calling for the preparation of a subsequent EIR or negative declaration have occurred.</w:t>
      </w:r>
    </w:p>
    <w:p w14:paraId="769C4EE8" w14:textId="77777777" w:rsidR="002A2ADC" w:rsidRPr="00F9658C" w:rsidRDefault="002A2ADC" w:rsidP="00961DB8">
      <w:pPr>
        <w:pStyle w:val="FootnoteText"/>
        <w:spacing w:line="240" w:lineRule="auto"/>
        <w:ind w:left="720"/>
        <w:rPr>
          <w:rFonts w:ascii="Palatino" w:eastAsia="Times New Roman" w:hAnsi="Palatino"/>
          <w:i/>
          <w:sz w:val="24"/>
          <w:szCs w:val="24"/>
        </w:rPr>
      </w:pPr>
      <w:r w:rsidRPr="00F9658C">
        <w:rPr>
          <w:rFonts w:ascii="Palatino" w:eastAsia="Times New Roman" w:hAnsi="Palatino"/>
          <w:i/>
          <w:sz w:val="24"/>
          <w:szCs w:val="24"/>
        </w:rPr>
        <w:t>c) An addendum need not be circulated for public review but can be included or attached to the final EIR or adopted negative declaration.</w:t>
      </w:r>
    </w:p>
    <w:p w14:paraId="658C15D6" w14:textId="77777777" w:rsidR="002A2ADC" w:rsidRPr="00F9658C" w:rsidRDefault="002A2ADC" w:rsidP="00961DB8">
      <w:pPr>
        <w:pStyle w:val="FootnoteText"/>
        <w:spacing w:line="240" w:lineRule="auto"/>
        <w:ind w:left="720"/>
        <w:rPr>
          <w:rFonts w:ascii="Palatino" w:eastAsia="Times New Roman" w:hAnsi="Palatino"/>
          <w:i/>
          <w:sz w:val="24"/>
          <w:szCs w:val="24"/>
        </w:rPr>
      </w:pPr>
      <w:r w:rsidRPr="00F9658C">
        <w:rPr>
          <w:rFonts w:ascii="Palatino" w:eastAsia="Times New Roman" w:hAnsi="Palatino"/>
          <w:i/>
          <w:sz w:val="24"/>
          <w:szCs w:val="24"/>
        </w:rPr>
        <w:t>d) The decision making body shall consider the addendum with the final EIR or adopted negative declaration prior to making a decision on the project.</w:t>
      </w:r>
    </w:p>
  </w:footnote>
  <w:footnote w:id="15">
    <w:p w14:paraId="4A2EA0D0" w14:textId="77777777" w:rsidR="002A2ADC" w:rsidRPr="00F9658C" w:rsidRDefault="002A2ADC" w:rsidP="00961DB8">
      <w:pPr>
        <w:pStyle w:val="FootnoteText"/>
        <w:spacing w:line="240" w:lineRule="auto"/>
        <w:rPr>
          <w:rFonts w:ascii="Palatino" w:eastAsia="Times New Roman" w:hAnsi="Palatino"/>
          <w:sz w:val="24"/>
          <w:szCs w:val="24"/>
        </w:rPr>
      </w:pPr>
      <w:r w:rsidRPr="00F9658C">
        <w:rPr>
          <w:rFonts w:ascii="Palatino" w:eastAsia="Times New Roman" w:hAnsi="Palatino"/>
          <w:szCs w:val="24"/>
        </w:rPr>
        <w:footnoteRef/>
      </w:r>
      <w:r w:rsidRPr="00F9658C">
        <w:rPr>
          <w:rFonts w:ascii="Palatino" w:eastAsia="Times New Roman" w:hAnsi="Palatino"/>
          <w:sz w:val="24"/>
          <w:szCs w:val="24"/>
        </w:rPr>
        <w:t xml:space="preserve">  </w:t>
      </w:r>
      <w:r w:rsidRPr="004D13A2">
        <w:rPr>
          <w:rFonts w:ascii="Palatino" w:eastAsia="Times New Roman" w:hAnsi="Palatino"/>
          <w:sz w:val="24"/>
          <w:szCs w:val="24"/>
        </w:rPr>
        <w:t>CEQA Guideline Section 15004(a).</w:t>
      </w:r>
    </w:p>
  </w:footnote>
  <w:footnote w:id="16">
    <w:p w14:paraId="79DC1EE1" w14:textId="7B4E4DBB" w:rsidR="002A2ADC" w:rsidRPr="00F9658C" w:rsidRDefault="002A2ADC" w:rsidP="00961DB8">
      <w:pPr>
        <w:pStyle w:val="FootnoteText"/>
        <w:spacing w:line="240" w:lineRule="auto"/>
        <w:rPr>
          <w:rFonts w:ascii="Palatino" w:eastAsia="Times New Roman" w:hAnsi="Palatino"/>
          <w:sz w:val="24"/>
          <w:szCs w:val="24"/>
        </w:rPr>
      </w:pPr>
      <w:r w:rsidRPr="00F9658C">
        <w:rPr>
          <w:rFonts w:ascii="Palatino" w:eastAsia="Times New Roman" w:hAnsi="Palatino"/>
          <w:szCs w:val="24"/>
        </w:rPr>
        <w:footnoteRef/>
      </w:r>
      <w:r w:rsidRPr="00F9658C">
        <w:rPr>
          <w:rFonts w:ascii="Palatino" w:eastAsia="Times New Roman" w:hAnsi="Palatino"/>
          <w:sz w:val="24"/>
          <w:szCs w:val="24"/>
        </w:rPr>
        <w:t xml:space="preserve">  </w:t>
      </w:r>
      <w:r w:rsidRPr="004D13A2">
        <w:rPr>
          <w:rFonts w:ascii="Palatino" w:eastAsia="Times New Roman" w:hAnsi="Palatino"/>
          <w:sz w:val="24"/>
          <w:szCs w:val="24"/>
        </w:rPr>
        <w:t>CEQA Guideline Section 15074(b).h</w:t>
      </w:r>
      <w:r w:rsidR="00BC48C9">
        <w:rPr>
          <w:rFonts w:ascii="Palatino" w:eastAsia="Times New Roman" w:hAnsi="Palatino"/>
          <w:sz w:val="24"/>
          <w:szCs w:val="24"/>
        </w:rPr>
        <w:t>.</w:t>
      </w:r>
    </w:p>
  </w:footnote>
  <w:footnote w:id="17">
    <w:p w14:paraId="74CD5B2F" w14:textId="77777777" w:rsidR="00610316" w:rsidRPr="00F9658C" w:rsidRDefault="00610316" w:rsidP="00961DB8">
      <w:pPr>
        <w:pStyle w:val="FootnoteText"/>
        <w:spacing w:line="240" w:lineRule="auto"/>
        <w:rPr>
          <w:rFonts w:ascii="Palatino" w:eastAsia="Times New Roman" w:hAnsi="Palatino"/>
          <w:sz w:val="24"/>
          <w:szCs w:val="24"/>
        </w:rPr>
      </w:pPr>
      <w:r w:rsidRPr="00F9658C">
        <w:rPr>
          <w:rFonts w:ascii="Palatino" w:eastAsia="Times New Roman" w:hAnsi="Palatino"/>
          <w:szCs w:val="24"/>
        </w:rPr>
        <w:footnoteRef/>
      </w:r>
      <w:r w:rsidRPr="00F9658C">
        <w:rPr>
          <w:rFonts w:ascii="Palatino" w:eastAsia="Times New Roman" w:hAnsi="Palatino"/>
          <w:sz w:val="24"/>
          <w:szCs w:val="24"/>
        </w:rPr>
        <w:t xml:space="preserve">  </w:t>
      </w:r>
      <w:r w:rsidRPr="004D13A2">
        <w:rPr>
          <w:rFonts w:ascii="Palatino" w:eastAsia="Times New Roman" w:hAnsi="Palatino"/>
          <w:sz w:val="24"/>
          <w:szCs w:val="24"/>
        </w:rPr>
        <w:t>See D.06-01-042 and D.93-11-013.</w:t>
      </w:r>
    </w:p>
  </w:footnote>
  <w:footnote w:id="18">
    <w:p w14:paraId="053014A9" w14:textId="77777777" w:rsidR="00610316" w:rsidRDefault="00610316" w:rsidP="00961DB8">
      <w:pPr>
        <w:pStyle w:val="FootnoteText"/>
        <w:spacing w:line="240" w:lineRule="auto"/>
      </w:pPr>
      <w:r w:rsidRPr="00961DB8">
        <w:rPr>
          <w:rFonts w:ascii="Palatino" w:eastAsia="Times New Roman" w:hAnsi="Palatino"/>
          <w:szCs w:val="24"/>
        </w:rPr>
        <w:footnoteRef/>
      </w:r>
      <w:r w:rsidRPr="00961DB8">
        <w:rPr>
          <w:rFonts w:ascii="Palatino" w:eastAsia="Times New Roman" w:hAnsi="Palatino"/>
          <w:sz w:val="24"/>
          <w:szCs w:val="24"/>
        </w:rPr>
        <w:t xml:space="preserve">  </w:t>
      </w:r>
      <w:r w:rsidRPr="004D13A2">
        <w:rPr>
          <w:rFonts w:ascii="Palatino" w:eastAsia="Times New Roman" w:hAnsi="Palatino"/>
          <w:sz w:val="24"/>
          <w:szCs w:val="24"/>
        </w:rPr>
        <w:t>Exhibit 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3B5CD" w14:textId="77777777" w:rsidR="00291A7D" w:rsidRDefault="00291A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89988" w14:textId="03C1A563" w:rsidR="004F5AC0" w:rsidRDefault="004E5E99" w:rsidP="00F00540">
    <w:pPr>
      <w:pStyle w:val="Header"/>
      <w:spacing w:after="0" w:line="240" w:lineRule="auto"/>
    </w:pPr>
    <w:r w:rsidRPr="004E5E99">
      <w:rPr>
        <w:rFonts w:ascii="Palatino" w:eastAsia="Times New Roman" w:hAnsi="Palatino"/>
        <w:sz w:val="26"/>
        <w:szCs w:val="26"/>
      </w:rPr>
      <w:t>A.10-12-003  ALJ/KHY/jv1</w:t>
    </w:r>
    <w:r w:rsidR="004841C3">
      <w:tab/>
    </w:r>
    <w:r w:rsidR="004841C3">
      <w:tab/>
    </w:r>
    <w:r w:rsidR="004841C3">
      <w:rPr>
        <w:rFonts w:ascii="Helvetica" w:hAnsi="Helvetica"/>
        <w:b/>
        <w:sz w:val="32"/>
        <w:szCs w:val="32"/>
      </w:rPr>
      <w:t>PROPOSED DECISION</w:t>
    </w:r>
    <w:r w:rsidR="00B1572A">
      <w:rPr>
        <w:rFonts w:ascii="Helvetica" w:hAnsi="Helvetica"/>
        <w:b/>
        <w:sz w:val="32"/>
        <w:szCs w:val="32"/>
      </w:rPr>
      <w:t xml:space="preserve">  (Rev. 1)</w:t>
    </w:r>
  </w:p>
  <w:p w14:paraId="11C6F33D" w14:textId="77777777" w:rsidR="004F5AC0" w:rsidRDefault="00FA0900" w:rsidP="00F00540">
    <w:pPr>
      <w:pStyle w:val="Header"/>
      <w:spacing w:after="0" w:line="240" w:lineRule="auto"/>
    </w:pPr>
  </w:p>
  <w:p w14:paraId="186E362B" w14:textId="77777777" w:rsidR="004F5AC0" w:rsidRDefault="00FA0900" w:rsidP="00F00540">
    <w:pPr>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F2854" w14:textId="77777777" w:rsidR="00291A7D" w:rsidRDefault="00291A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F2B26"/>
    <w:multiLevelType w:val="singleLevel"/>
    <w:tmpl w:val="95EADA3E"/>
    <w:lvl w:ilvl="0">
      <w:start w:val="1"/>
      <w:numFmt w:val="decimal"/>
      <w:lvlText w:val="%1."/>
      <w:legacy w:legacy="1" w:legacySpace="144" w:legacyIndent="0"/>
      <w:lvlJc w:val="left"/>
    </w:lvl>
  </w:abstractNum>
  <w:abstractNum w:abstractNumId="1">
    <w:nsid w:val="2DD46003"/>
    <w:multiLevelType w:val="singleLevel"/>
    <w:tmpl w:val="2FB6A734"/>
    <w:lvl w:ilvl="0">
      <w:start w:val="1"/>
      <w:numFmt w:val="decimal"/>
      <w:lvlText w:val="%1."/>
      <w:legacy w:legacy="1" w:legacySpace="144" w:legacyIndent="0"/>
      <w:lvlJc w:val="left"/>
    </w:lvl>
  </w:abstractNum>
  <w:abstractNum w:abstractNumId="2">
    <w:nsid w:val="3F4C7586"/>
    <w:multiLevelType w:val="hybridMultilevel"/>
    <w:tmpl w:val="45369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D56E1A"/>
    <w:multiLevelType w:val="singleLevel"/>
    <w:tmpl w:val="95EADA3E"/>
    <w:lvl w:ilvl="0">
      <w:start w:val="1"/>
      <w:numFmt w:val="decimal"/>
      <w:lvlText w:val="%1."/>
      <w:legacy w:legacy="1" w:legacySpace="144" w:legacyIndent="0"/>
      <w:lvlJc w:val="left"/>
    </w:lvl>
  </w:abstractNum>
  <w:abstractNum w:abstractNumId="4">
    <w:nsid w:val="61C62EB4"/>
    <w:multiLevelType w:val="hybridMultilevel"/>
    <w:tmpl w:val="DEFE7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Moves/>
  <w:defaultTabStop w:val="720"/>
  <w:characterSpacingControl w:val="doNotCompress"/>
  <w:hdrShapeDefaults>
    <o:shapedefaults v:ext="edit" spidmax="1843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0316"/>
    <w:rsid w:val="000928F3"/>
    <w:rsid w:val="000E50BF"/>
    <w:rsid w:val="001174C1"/>
    <w:rsid w:val="002470BA"/>
    <w:rsid w:val="00291A7D"/>
    <w:rsid w:val="002A2ADC"/>
    <w:rsid w:val="002D1F13"/>
    <w:rsid w:val="003A1D04"/>
    <w:rsid w:val="003B26E6"/>
    <w:rsid w:val="003D1D9C"/>
    <w:rsid w:val="004331C1"/>
    <w:rsid w:val="004841C3"/>
    <w:rsid w:val="004D13A2"/>
    <w:rsid w:val="004E5E99"/>
    <w:rsid w:val="004F5E91"/>
    <w:rsid w:val="00525CC1"/>
    <w:rsid w:val="00527DAE"/>
    <w:rsid w:val="00610316"/>
    <w:rsid w:val="006E3802"/>
    <w:rsid w:val="00742E22"/>
    <w:rsid w:val="007B5868"/>
    <w:rsid w:val="007F2297"/>
    <w:rsid w:val="00851707"/>
    <w:rsid w:val="00955256"/>
    <w:rsid w:val="00961DB8"/>
    <w:rsid w:val="009962B1"/>
    <w:rsid w:val="009D5310"/>
    <w:rsid w:val="009F3360"/>
    <w:rsid w:val="00A44372"/>
    <w:rsid w:val="00A56443"/>
    <w:rsid w:val="00AA290B"/>
    <w:rsid w:val="00AB573B"/>
    <w:rsid w:val="00AC1BFA"/>
    <w:rsid w:val="00AD23E6"/>
    <w:rsid w:val="00B0239B"/>
    <w:rsid w:val="00B1572A"/>
    <w:rsid w:val="00B81745"/>
    <w:rsid w:val="00B83093"/>
    <w:rsid w:val="00BC48C9"/>
    <w:rsid w:val="00BC6572"/>
    <w:rsid w:val="00BE4D24"/>
    <w:rsid w:val="00BF7BE3"/>
    <w:rsid w:val="00C34E67"/>
    <w:rsid w:val="00C53DA5"/>
    <w:rsid w:val="00C85EEB"/>
    <w:rsid w:val="00C930E0"/>
    <w:rsid w:val="00CC07A2"/>
    <w:rsid w:val="00CD1E00"/>
    <w:rsid w:val="00CE6C63"/>
    <w:rsid w:val="00D279D9"/>
    <w:rsid w:val="00D53BF7"/>
    <w:rsid w:val="00D85DC7"/>
    <w:rsid w:val="00DC57BD"/>
    <w:rsid w:val="00E206C8"/>
    <w:rsid w:val="00E533F8"/>
    <w:rsid w:val="00EC768A"/>
    <w:rsid w:val="00F00540"/>
    <w:rsid w:val="00F43DEB"/>
    <w:rsid w:val="00F72DBD"/>
    <w:rsid w:val="00F9658C"/>
    <w:rsid w:val="00FA0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8433"/>
    <o:shapelayout v:ext="edit">
      <o:idmap v:ext="edit" data="1"/>
    </o:shapelayout>
  </w:shapeDefaults>
  <w:decimalSymbol w:val="."/>
  <w:listSeparator w:val=","/>
  <w14:docId w14:val="09CE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10316"/>
    <w:rPr>
      <w:sz w:val="20"/>
      <w:szCs w:val="20"/>
    </w:rPr>
  </w:style>
  <w:style w:type="character" w:customStyle="1" w:styleId="FootnoteTextChar">
    <w:name w:val="Footnote Text Char"/>
    <w:basedOn w:val="DefaultParagraphFont"/>
    <w:link w:val="FootnoteText"/>
    <w:uiPriority w:val="99"/>
    <w:semiHidden/>
    <w:rsid w:val="00610316"/>
  </w:style>
  <w:style w:type="paragraph" w:styleId="Header">
    <w:name w:val="header"/>
    <w:basedOn w:val="Normal"/>
    <w:link w:val="HeaderChar"/>
    <w:uiPriority w:val="99"/>
    <w:unhideWhenUsed/>
    <w:rsid w:val="00610316"/>
    <w:pPr>
      <w:tabs>
        <w:tab w:val="center" w:pos="4680"/>
        <w:tab w:val="right" w:pos="9360"/>
      </w:tabs>
    </w:pPr>
  </w:style>
  <w:style w:type="character" w:customStyle="1" w:styleId="HeaderChar">
    <w:name w:val="Header Char"/>
    <w:link w:val="Header"/>
    <w:uiPriority w:val="99"/>
    <w:rsid w:val="00610316"/>
    <w:rPr>
      <w:sz w:val="22"/>
      <w:szCs w:val="22"/>
    </w:rPr>
  </w:style>
  <w:style w:type="paragraph" w:styleId="Footer">
    <w:name w:val="footer"/>
    <w:basedOn w:val="Normal"/>
    <w:link w:val="FooterChar"/>
    <w:uiPriority w:val="99"/>
    <w:unhideWhenUsed/>
    <w:rsid w:val="00610316"/>
    <w:pPr>
      <w:tabs>
        <w:tab w:val="center" w:pos="4680"/>
        <w:tab w:val="right" w:pos="9360"/>
      </w:tabs>
    </w:pPr>
  </w:style>
  <w:style w:type="character" w:customStyle="1" w:styleId="FooterChar">
    <w:name w:val="Footer Char"/>
    <w:link w:val="Footer"/>
    <w:uiPriority w:val="99"/>
    <w:rsid w:val="00610316"/>
    <w:rPr>
      <w:sz w:val="22"/>
      <w:szCs w:val="22"/>
    </w:rPr>
  </w:style>
  <w:style w:type="character" w:styleId="FootnoteReference">
    <w:name w:val="footnote reference"/>
    <w:aliases w:val="fr,Style 3,o1,o2,o3,o4,o5,o6,o11,o21,o7"/>
    <w:semiHidden/>
    <w:rsid w:val="00610316"/>
    <w:rPr>
      <w:sz w:val="24"/>
      <w:vertAlign w:val="superscript"/>
    </w:rPr>
  </w:style>
  <w:style w:type="character" w:styleId="PageNumber">
    <w:name w:val="page number"/>
    <w:rsid w:val="00610316"/>
  </w:style>
  <w:style w:type="character" w:styleId="Hyperlink">
    <w:name w:val="Hyperlink"/>
    <w:basedOn w:val="DefaultParagraphFont"/>
    <w:uiPriority w:val="99"/>
    <w:unhideWhenUsed/>
    <w:rsid w:val="00D85D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3185</Words>
  <Characters>17519</Characters>
  <Application>Microsoft Office Word</Application>
  <DocSecurity>0</DocSecurity>
  <Lines>334</Lines>
  <Paragraphs>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20700</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2013-05-22T18:42:00Z</cp:lastPrinted>
  <dcterms:created xsi:type="dcterms:W3CDTF">2013-05-22T22:10:00Z</dcterms:created>
  <dcterms:modified xsi:type="dcterms:W3CDTF">2013-05-22T22:10:00Z</dcterms:modified>
  <cp:category> </cp:category>
  <cp:contentStatus> </cp:contentStatus>
</cp:coreProperties>
</file>