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3A1" w:rsidRPr="009D70F2" w:rsidRDefault="007B3BAF" w:rsidP="004B0EFA">
      <w:pPr>
        <w:pStyle w:val="Header"/>
        <w:tabs>
          <w:tab w:val="clear" w:pos="8640"/>
          <w:tab w:val="left" w:pos="5940"/>
          <w:tab w:val="left" w:pos="7200"/>
          <w:tab w:val="right" w:pos="8010"/>
        </w:tabs>
        <w:rPr>
          <w:b/>
          <w:szCs w:val="26"/>
        </w:rPr>
      </w:pPr>
      <w:bookmarkStart w:id="0" w:name="_GoBack"/>
      <w:bookmarkEnd w:id="0"/>
      <w:r>
        <w:rPr>
          <w:sz w:val="24"/>
          <w:szCs w:val="24"/>
        </w:rPr>
        <w:t>TYR</w:t>
      </w:r>
      <w:r w:rsidR="005713A1" w:rsidRPr="00B94155">
        <w:rPr>
          <w:sz w:val="24"/>
          <w:szCs w:val="24"/>
        </w:rPr>
        <w:t>/PWK/</w:t>
      </w:r>
      <w:r w:rsidR="009A405C" w:rsidRPr="00B94155">
        <w:rPr>
          <w:sz w:val="24"/>
          <w:szCs w:val="24"/>
        </w:rPr>
        <w:t>DAR/AGG/</w:t>
      </w:r>
      <w:r>
        <w:rPr>
          <w:sz w:val="24"/>
          <w:szCs w:val="24"/>
        </w:rPr>
        <w:t>MKP</w:t>
      </w:r>
      <w:r w:rsidR="00C44D47" w:rsidRPr="00B94155">
        <w:rPr>
          <w:sz w:val="24"/>
          <w:szCs w:val="24"/>
        </w:rPr>
        <w:t>/</w:t>
      </w:r>
      <w:r>
        <w:rPr>
          <w:sz w:val="24"/>
          <w:szCs w:val="24"/>
        </w:rPr>
        <w:t>FKO</w:t>
      </w:r>
      <w:r w:rsidR="00780820" w:rsidRPr="00B94155">
        <w:rPr>
          <w:sz w:val="24"/>
          <w:szCs w:val="24"/>
        </w:rPr>
        <w:t>/</w:t>
      </w:r>
      <w:r w:rsidR="00CC7AA4" w:rsidRPr="00B94155">
        <w:rPr>
          <w:sz w:val="24"/>
          <w:szCs w:val="24"/>
        </w:rPr>
        <w:t>vdl</w:t>
      </w:r>
      <w:r w:rsidR="005713A1" w:rsidRPr="00CC7AA4">
        <w:rPr>
          <w:szCs w:val="26"/>
        </w:rPr>
        <w:t xml:space="preserve">          </w:t>
      </w:r>
      <w:r w:rsidR="009D70F2">
        <w:rPr>
          <w:szCs w:val="26"/>
        </w:rPr>
        <w:tab/>
      </w:r>
      <w:r w:rsidR="009E1768">
        <w:rPr>
          <w:szCs w:val="26"/>
        </w:rPr>
        <w:t>Agenda ID</w:t>
      </w:r>
      <w:r w:rsidR="00C44CD0">
        <w:rPr>
          <w:szCs w:val="26"/>
        </w:rPr>
        <w:t xml:space="preserve"> #12878</w:t>
      </w:r>
    </w:p>
    <w:p w:rsidR="005713A1" w:rsidRDefault="005713A1">
      <w:pPr>
        <w:pStyle w:val="titlebar"/>
        <w:jc w:val="left"/>
        <w:rPr>
          <w:sz w:val="24"/>
          <w:szCs w:val="24"/>
        </w:rPr>
      </w:pPr>
      <w:r>
        <w:rPr>
          <w:sz w:val="24"/>
          <w:szCs w:val="24"/>
        </w:rPr>
        <w:tab/>
      </w:r>
      <w:r>
        <w:rPr>
          <w:sz w:val="24"/>
          <w:szCs w:val="24"/>
        </w:rPr>
        <w:tab/>
      </w:r>
      <w:r>
        <w:rPr>
          <w:sz w:val="24"/>
          <w:szCs w:val="24"/>
        </w:rPr>
        <w:tab/>
      </w:r>
      <w:r>
        <w:rPr>
          <w:sz w:val="24"/>
          <w:szCs w:val="24"/>
        </w:rPr>
        <w:tab/>
      </w:r>
      <w:r>
        <w:rPr>
          <w:color w:val="0000FF"/>
          <w:sz w:val="24"/>
          <w:szCs w:val="24"/>
        </w:rPr>
        <w:tab/>
        <w:t xml:space="preserve"> </w:t>
      </w:r>
      <w:r>
        <w:rPr>
          <w:sz w:val="24"/>
          <w:szCs w:val="24"/>
        </w:rPr>
        <w:tab/>
      </w:r>
      <w:r>
        <w:rPr>
          <w:sz w:val="24"/>
          <w:szCs w:val="24"/>
        </w:rPr>
        <w:tab/>
      </w:r>
      <w:r>
        <w:rPr>
          <w:sz w:val="24"/>
          <w:szCs w:val="24"/>
        </w:rPr>
        <w:tab/>
      </w:r>
    </w:p>
    <w:p w:rsidR="005713A1" w:rsidRDefault="005713A1">
      <w:pPr>
        <w:pStyle w:val="titlebar"/>
        <w:jc w:val="left"/>
        <w:rPr>
          <w:sz w:val="24"/>
          <w:szCs w:val="24"/>
        </w:rPr>
      </w:pPr>
    </w:p>
    <w:p w:rsidR="005713A1" w:rsidRDefault="005713A1">
      <w:pPr>
        <w:pStyle w:val="titlebar"/>
      </w:pPr>
      <w:r>
        <w:t>PUBLIC UTILITIES COMMISSION OF THE STATE OF CALIFORNIA</w:t>
      </w:r>
    </w:p>
    <w:p w:rsidR="005713A1" w:rsidRDefault="005713A1">
      <w:pPr>
        <w:jc w:val="center"/>
        <w:rPr>
          <w:sz w:val="24"/>
        </w:rPr>
      </w:pPr>
    </w:p>
    <w:p w:rsidR="005713A1" w:rsidRDefault="005713A1">
      <w:pPr>
        <w:tabs>
          <w:tab w:val="left" w:pos="3480"/>
        </w:tabs>
        <w:rPr>
          <w:b/>
          <w:sz w:val="24"/>
        </w:rPr>
      </w:pPr>
      <w:r>
        <w:rPr>
          <w:b/>
          <w:sz w:val="24"/>
        </w:rPr>
        <w:tab/>
      </w:r>
    </w:p>
    <w:tbl>
      <w:tblPr>
        <w:tblW w:w="0" w:type="auto"/>
        <w:tblLayout w:type="fixed"/>
        <w:tblLook w:val="0000" w:firstRow="0" w:lastRow="0" w:firstColumn="0" w:lastColumn="0" w:noHBand="0" w:noVBand="0"/>
      </w:tblPr>
      <w:tblGrid>
        <w:gridCol w:w="5148"/>
        <w:gridCol w:w="4050"/>
      </w:tblGrid>
      <w:tr w:rsidR="005713A1">
        <w:tc>
          <w:tcPr>
            <w:tcW w:w="5148" w:type="dxa"/>
          </w:tcPr>
          <w:p w:rsidR="00B94155" w:rsidRDefault="00B93249">
            <w:r>
              <w:t>Safety</w:t>
            </w:r>
            <w:r w:rsidR="005713A1">
              <w:t xml:space="preserve"> and </w:t>
            </w:r>
            <w:r>
              <w:t>Enforcement</w:t>
            </w:r>
            <w:r w:rsidR="005713A1">
              <w:t xml:space="preserve"> Division</w:t>
            </w:r>
          </w:p>
          <w:p w:rsidR="005713A1" w:rsidRDefault="005713A1">
            <w:r>
              <w:t>Rail Transit and Crossings Branch</w:t>
            </w:r>
          </w:p>
          <w:p w:rsidR="005713A1" w:rsidRDefault="005713A1">
            <w:r>
              <w:t>Rail Crossings Engineering Section</w:t>
            </w:r>
          </w:p>
          <w:p w:rsidR="005713A1" w:rsidRDefault="005713A1">
            <w:pPr>
              <w:jc w:val="both"/>
              <w:rPr>
                <w:sz w:val="24"/>
              </w:rPr>
            </w:pPr>
          </w:p>
        </w:tc>
        <w:tc>
          <w:tcPr>
            <w:tcW w:w="4050" w:type="dxa"/>
          </w:tcPr>
          <w:p w:rsidR="005713A1" w:rsidRDefault="005713A1" w:rsidP="00B94155">
            <w:pPr>
              <w:ind w:left="612"/>
              <w:jc w:val="both"/>
            </w:pPr>
            <w:r>
              <w:t>RESOLUTION SX-</w:t>
            </w:r>
            <w:r w:rsidR="00511573">
              <w:t>1</w:t>
            </w:r>
            <w:r w:rsidR="007B3BAF">
              <w:t>10</w:t>
            </w:r>
          </w:p>
          <w:p w:rsidR="005713A1" w:rsidRDefault="009E1768" w:rsidP="009E1768">
            <w:pPr>
              <w:ind w:left="612"/>
              <w:jc w:val="both"/>
              <w:rPr>
                <w:sz w:val="24"/>
              </w:rPr>
            </w:pPr>
            <w:r>
              <w:t xml:space="preserve">May 1, </w:t>
            </w:r>
            <w:r w:rsidR="00B93249">
              <w:t>201</w:t>
            </w:r>
            <w:r w:rsidR="00093031">
              <w:t>4</w:t>
            </w:r>
          </w:p>
        </w:tc>
      </w:tr>
    </w:tbl>
    <w:p w:rsidR="005713A1" w:rsidRDefault="005713A1">
      <w:pPr>
        <w:rPr>
          <w:b/>
          <w:sz w:val="24"/>
        </w:rPr>
      </w:pPr>
    </w:p>
    <w:p w:rsidR="005713A1" w:rsidRDefault="005713A1">
      <w:pPr>
        <w:pStyle w:val="Res-Caption"/>
        <w:rPr>
          <w:sz w:val="24"/>
        </w:rPr>
      </w:pPr>
      <w:r>
        <w:tab/>
      </w:r>
      <w:r>
        <w:tab/>
      </w:r>
    </w:p>
    <w:p w:rsidR="005713A1" w:rsidRDefault="005713A1">
      <w:pPr>
        <w:pStyle w:val="main"/>
        <w:rPr>
          <w:u w:val="single"/>
        </w:rPr>
      </w:pPr>
      <w:r>
        <w:rPr>
          <w:u w:val="single"/>
        </w:rPr>
        <w:t>R E S O L U T I O N</w:t>
      </w:r>
    </w:p>
    <w:p w:rsidR="005713A1" w:rsidRDefault="005713A1">
      <w:pPr>
        <w:rPr>
          <w:sz w:val="24"/>
        </w:rPr>
      </w:pPr>
    </w:p>
    <w:p w:rsidR="007B3BAF" w:rsidRPr="007B3BAF" w:rsidRDefault="007B3BAF" w:rsidP="007B3BAF">
      <w:pPr>
        <w:pStyle w:val="Res-Caption"/>
        <w:pBdr>
          <w:bottom w:val="single" w:sz="12" w:space="1" w:color="auto"/>
        </w:pBdr>
      </w:pPr>
      <w:r w:rsidRPr="007B3BAF">
        <w:t>RESOLUTION SX-110   GRANTING AUTHORIZATION TO DEVIATE FROM THE PROVISIONS OF SECTION 12.1 OF GENERAL ORDER 26-D REQUIRING A MINIMUM VERTICAL CLEARANCE OF 15 FEET ABOVE THE ROADWAY AT THE GRADE</w:t>
      </w:r>
      <w:r w:rsidR="009E1768">
        <w:t>-</w:t>
      </w:r>
      <w:r w:rsidRPr="007B3BAF">
        <w:t>SEPARATED HIGHWAY-RAIL CROSSINGS AT MONTE DIABLO AVENUE AND TILTON AVENUE IN THE CITY OF SAN MATEO IN SAN MATEO COUNTY.</w:t>
      </w:r>
    </w:p>
    <w:p w:rsidR="005713A1" w:rsidRDefault="005713A1">
      <w:pPr>
        <w:pStyle w:val="Res-Caption"/>
        <w:pBdr>
          <w:bottom w:val="single" w:sz="12" w:space="1" w:color="auto"/>
        </w:pBdr>
        <w:rPr>
          <w:szCs w:val="26"/>
        </w:rPr>
      </w:pPr>
    </w:p>
    <w:p w:rsidR="005713A1" w:rsidRDefault="005713A1">
      <w:pPr>
        <w:jc w:val="center"/>
        <w:rPr>
          <w:sz w:val="24"/>
        </w:rPr>
      </w:pPr>
    </w:p>
    <w:p w:rsidR="005713A1" w:rsidRDefault="005713A1">
      <w:pPr>
        <w:pStyle w:val="Heading1"/>
      </w:pPr>
      <w:r>
        <w:t>Summary</w:t>
      </w:r>
    </w:p>
    <w:p w:rsidR="007B3BAF" w:rsidRDefault="007B3BAF" w:rsidP="007B3BAF">
      <w:r w:rsidRPr="007B3BAF">
        <w:t>By letter dated January 17, 2014</w:t>
      </w:r>
      <w:r w:rsidR="00643962">
        <w:t>,</w:t>
      </w:r>
      <w:r w:rsidRPr="007B3BAF">
        <w:t xml:space="preserve"> and submitted on February 26, 2014, the San Mateo County Transit District  request</w:t>
      </w:r>
      <w:r w:rsidR="00643962">
        <w:t>s</w:t>
      </w:r>
      <w:r w:rsidRPr="007B3BAF">
        <w:t xml:space="preserve"> an exemption from the provisions of Section 12.1</w:t>
      </w:r>
      <w:r w:rsidR="00643962">
        <w:t>,</w:t>
      </w:r>
      <w:r w:rsidR="00CE6371">
        <w:t xml:space="preserve"> </w:t>
      </w:r>
      <w:r w:rsidRPr="007B3BAF">
        <w:t>Vertical Clearance for Public Roads Crossing Under Tracks</w:t>
      </w:r>
      <w:r w:rsidR="00643962">
        <w:t>,</w:t>
      </w:r>
      <w:r w:rsidRPr="007B3BAF">
        <w:t xml:space="preserve"> of General Order 26-D for not meeting the required vertical clearance at two grade</w:t>
      </w:r>
      <w:r w:rsidR="009E1768">
        <w:t>-</w:t>
      </w:r>
      <w:r w:rsidRPr="007B3BAF">
        <w:t xml:space="preserve"> separated crossings in the City of San Mateo.  </w:t>
      </w:r>
      <w:r w:rsidR="00643962" w:rsidRPr="007B3BAF">
        <w:t>San Mateo County Transit District</w:t>
      </w:r>
      <w:r w:rsidR="00DF5EF6">
        <w:t xml:space="preserve">, a funding agency of </w:t>
      </w:r>
      <w:r w:rsidRPr="007B3BAF">
        <w:t>Caltrain</w:t>
      </w:r>
      <w:r w:rsidR="00DF5EF6">
        <w:t>,</w:t>
      </w:r>
      <w:r w:rsidRPr="007B3BAF">
        <w:t xml:space="preserve"> has a project to raise the </w:t>
      </w:r>
      <w:r w:rsidR="00DF5EF6">
        <w:t xml:space="preserve">Caltrain </w:t>
      </w:r>
      <w:r w:rsidRPr="007B3BAF">
        <w:t>tracks in the vicinity, enabling two of four rail bridges to meet G</w:t>
      </w:r>
      <w:r w:rsidR="00D0389E">
        <w:t xml:space="preserve">eneral </w:t>
      </w:r>
      <w:r w:rsidRPr="007B3BAF">
        <w:t>O</w:t>
      </w:r>
      <w:r w:rsidR="00D0389E">
        <w:t>rder</w:t>
      </w:r>
      <w:r w:rsidRPr="007B3BAF">
        <w:t xml:space="preserve"> 26-D minimum vertical clearance requirements.  The remaining two bridges will be raised as well, but not enough to meet the required 15</w:t>
      </w:r>
      <w:r w:rsidR="009E1768">
        <w:t>-</w:t>
      </w:r>
      <w:r w:rsidRPr="007B3BAF">
        <w:t>foot vertical clearance requirement.</w:t>
      </w:r>
      <w:r w:rsidR="00B17862">
        <w:t xml:space="preserve">  The exemptions will apply to the following crossings:</w:t>
      </w:r>
    </w:p>
    <w:p w:rsidR="00B17862" w:rsidRDefault="00B17862" w:rsidP="007B3BAF"/>
    <w:p w:rsidR="00B17862" w:rsidRDefault="00B17862" w:rsidP="00B17862">
      <w:pPr>
        <w:pStyle w:val="ListParagraph"/>
        <w:numPr>
          <w:ilvl w:val="0"/>
          <w:numId w:val="12"/>
        </w:numPr>
      </w:pPr>
      <w:r>
        <w:t>Monte Diablo Avenue, San Mateo</w:t>
      </w:r>
    </w:p>
    <w:p w:rsidR="00B17862" w:rsidRPr="007B3BAF" w:rsidRDefault="00B17862" w:rsidP="00B17862">
      <w:pPr>
        <w:pStyle w:val="ListParagraph"/>
        <w:numPr>
          <w:ilvl w:val="0"/>
          <w:numId w:val="12"/>
        </w:numPr>
      </w:pPr>
      <w:r>
        <w:t>Tilton Avenue, San Mateo</w:t>
      </w:r>
    </w:p>
    <w:p w:rsidR="007B3BAF" w:rsidRPr="007B3BAF" w:rsidRDefault="007B3BAF" w:rsidP="007B3BAF"/>
    <w:p w:rsidR="008278D2" w:rsidRDefault="008278D2" w:rsidP="00B17862">
      <w:pPr>
        <w:rPr>
          <w:rFonts w:ascii="Helvetica" w:hAnsi="Helvetica"/>
          <w:b/>
          <w:caps/>
          <w:kern w:val="28"/>
          <w:u w:val="single"/>
        </w:rPr>
      </w:pPr>
    </w:p>
    <w:p w:rsidR="008278D2" w:rsidRDefault="008278D2" w:rsidP="00B17862">
      <w:pPr>
        <w:rPr>
          <w:rFonts w:ascii="Helvetica" w:hAnsi="Helvetica"/>
          <w:b/>
          <w:caps/>
          <w:kern w:val="28"/>
          <w:u w:val="single"/>
        </w:rPr>
      </w:pPr>
    </w:p>
    <w:p w:rsidR="008278D2" w:rsidRDefault="008278D2" w:rsidP="00B17862">
      <w:pPr>
        <w:rPr>
          <w:rFonts w:ascii="Helvetica" w:hAnsi="Helvetica"/>
          <w:b/>
          <w:caps/>
          <w:kern w:val="28"/>
          <w:u w:val="single"/>
        </w:rPr>
      </w:pPr>
    </w:p>
    <w:p w:rsidR="00B17862" w:rsidRDefault="00B17862" w:rsidP="00B17862">
      <w:r>
        <w:rPr>
          <w:rFonts w:ascii="Helvetica" w:hAnsi="Helvetica"/>
          <w:b/>
          <w:caps/>
          <w:kern w:val="28"/>
          <w:u w:val="single"/>
        </w:rPr>
        <w:t>Background</w:t>
      </w:r>
      <w:r>
        <w:t xml:space="preserve"> </w:t>
      </w:r>
    </w:p>
    <w:p w:rsidR="00B17862" w:rsidRDefault="00B17862"/>
    <w:p w:rsidR="00A30261" w:rsidRDefault="00B17862" w:rsidP="00B17862">
      <w:r w:rsidRPr="00B553EA">
        <w:t>There are currently four historical grade</w:t>
      </w:r>
      <w:r w:rsidR="009E1768">
        <w:t>-</w:t>
      </w:r>
      <w:r w:rsidRPr="00B553EA">
        <w:t>separated rail crossings in the City of San Mateo which do not meet the G</w:t>
      </w:r>
      <w:r w:rsidR="00643962">
        <w:t xml:space="preserve">eneral </w:t>
      </w:r>
      <w:r w:rsidRPr="00B553EA">
        <w:t>O</w:t>
      </w:r>
      <w:r w:rsidR="00643962">
        <w:t>rder (GO)</w:t>
      </w:r>
      <w:r w:rsidRPr="00B553EA">
        <w:t xml:space="preserve"> 26-D minimum vertical clearance requirement of 15 feet for roadways under the tracks.  These four underpass crossings are identified as</w:t>
      </w:r>
      <w:r w:rsidR="00A30261">
        <w:t>:</w:t>
      </w:r>
    </w:p>
    <w:p w:rsidR="00A30261" w:rsidRDefault="00A30261" w:rsidP="00B17862"/>
    <w:p w:rsidR="00A30261" w:rsidRDefault="00B17862" w:rsidP="00A30261">
      <w:pPr>
        <w:pStyle w:val="ListParagraph"/>
        <w:numPr>
          <w:ilvl w:val="0"/>
          <w:numId w:val="13"/>
        </w:numPr>
      </w:pPr>
      <w:r w:rsidRPr="00B553EA">
        <w:t xml:space="preserve">Poplar Avenue (CPUC No. 105E-17.20-B, SM-1153, </w:t>
      </w:r>
      <w:r w:rsidR="00A30261">
        <w:t>DOT No. 754896L)</w:t>
      </w:r>
    </w:p>
    <w:p w:rsidR="00A30261" w:rsidRDefault="00B17862" w:rsidP="00A30261">
      <w:pPr>
        <w:pStyle w:val="ListParagraph"/>
        <w:numPr>
          <w:ilvl w:val="0"/>
          <w:numId w:val="13"/>
        </w:numPr>
      </w:pPr>
      <w:r w:rsidRPr="00B553EA">
        <w:t xml:space="preserve">Santa Inez Avenue (CPUC No. 105E-17.30-B, SM-1154, DOT No. 754897T), </w:t>
      </w:r>
    </w:p>
    <w:p w:rsidR="00A30261" w:rsidRDefault="00B17862" w:rsidP="00A30261">
      <w:pPr>
        <w:pStyle w:val="ListParagraph"/>
        <w:numPr>
          <w:ilvl w:val="0"/>
          <w:numId w:val="13"/>
        </w:numPr>
      </w:pPr>
      <w:r w:rsidRPr="00B553EA">
        <w:t xml:space="preserve">Monte Diablo Avenue (CPUC No. 105E-17.40-B, SM-1155, </w:t>
      </w:r>
      <w:r w:rsidR="00A30261">
        <w:t>DOT No. 754898A)</w:t>
      </w:r>
    </w:p>
    <w:p w:rsidR="00A30261" w:rsidRDefault="00B17862" w:rsidP="00A30261">
      <w:pPr>
        <w:pStyle w:val="ListParagraph"/>
        <w:numPr>
          <w:ilvl w:val="0"/>
          <w:numId w:val="13"/>
        </w:numPr>
      </w:pPr>
      <w:r w:rsidRPr="00B553EA">
        <w:t>Tilton Avenue (CPUC No. 105E-17.50-B, SM-1069, DOT No. 754899G).</w:t>
      </w:r>
      <w:r>
        <w:t xml:space="preserve">  </w:t>
      </w:r>
    </w:p>
    <w:p w:rsidR="00A30261" w:rsidRDefault="00A30261" w:rsidP="00A30261">
      <w:pPr>
        <w:pStyle w:val="ListParagraph"/>
      </w:pPr>
    </w:p>
    <w:p w:rsidR="00B17862" w:rsidRPr="00B553EA" w:rsidRDefault="00B17862" w:rsidP="00A30261">
      <w:r>
        <w:t xml:space="preserve">These rail bridges </w:t>
      </w:r>
      <w:r w:rsidR="00DF5EF6">
        <w:t>have been</w:t>
      </w:r>
      <w:r>
        <w:t xml:space="preserve"> struck by vehicles passing beneath the structures, disrupting </w:t>
      </w:r>
      <w:r w:rsidR="000F23A8">
        <w:t xml:space="preserve">freight and passenger rail </w:t>
      </w:r>
      <w:r>
        <w:t>service.</w:t>
      </w:r>
      <w:r w:rsidR="00CC07DC">
        <w:t xml:space="preserve">  The project will raise the elevation of the tracks, enabling the Poplar Avenue and Santa Inez Avenue crossings to meet the GO 26-D vertical clearance requirement.</w:t>
      </w:r>
    </w:p>
    <w:p w:rsidR="00B17862" w:rsidRDefault="00B17862"/>
    <w:p w:rsidR="00CC07DC" w:rsidRDefault="00643962" w:rsidP="00CC07DC">
      <w:r w:rsidRPr="007B3BAF">
        <w:t xml:space="preserve">San Mateo County Transit District </w:t>
      </w:r>
      <w:r>
        <w:t>(</w:t>
      </w:r>
      <w:r w:rsidR="00CC07DC" w:rsidRPr="007B3BAF">
        <w:t>Caltrain</w:t>
      </w:r>
      <w:r>
        <w:t>)</w:t>
      </w:r>
      <w:r w:rsidR="00CC07DC" w:rsidRPr="007B3BAF">
        <w:t xml:space="preserve"> will raise the minimum vertical clearance at the Monte Diablo Avenue crossing from 11 feet – 1 inch to 13 feet – 2 inches.  Caltrain will raise the minimum vertical clearance at the Tilton Avenue crossing from 8 feet – 6 inches to 8 feet – 7 inches. </w:t>
      </w:r>
    </w:p>
    <w:p w:rsidR="00CD1163" w:rsidRDefault="00CD1163" w:rsidP="00CC07DC"/>
    <w:p w:rsidR="00CD1163" w:rsidRPr="007B3BAF" w:rsidRDefault="00CD1163" w:rsidP="00CC07DC">
      <w:r>
        <w:t>The impaired clearances at the two structures is well marked for motorists in advance of the underpasses, and the increased clearances will reduce the potential for further contact between vehicles and the bridge structures.</w:t>
      </w:r>
    </w:p>
    <w:p w:rsidR="00B17862" w:rsidRDefault="00B17862"/>
    <w:p w:rsidR="005713A1" w:rsidRDefault="005713A1">
      <w:pPr>
        <w:pStyle w:val="Heading1"/>
      </w:pPr>
      <w:r>
        <w:t>Discussion</w:t>
      </w:r>
    </w:p>
    <w:p w:rsidR="00CD1163" w:rsidRDefault="008800E2" w:rsidP="00B553EA">
      <w:r>
        <w:rPr>
          <w:szCs w:val="24"/>
        </w:rPr>
        <w:t>Caltrain operates 92 passenger trains per day at the crossing</w:t>
      </w:r>
      <w:r w:rsidR="009F1906">
        <w:rPr>
          <w:szCs w:val="24"/>
        </w:rPr>
        <w:t>s</w:t>
      </w:r>
      <w:r>
        <w:rPr>
          <w:szCs w:val="24"/>
        </w:rPr>
        <w:t xml:space="preserve"> with a max</w:t>
      </w:r>
      <w:r>
        <w:t>imum speed limit of 79 MPH.  Union Pacific</w:t>
      </w:r>
      <w:r w:rsidR="0033505F">
        <w:t xml:space="preserve"> Railroad</w:t>
      </w:r>
      <w:r>
        <w:t xml:space="preserve"> (UP</w:t>
      </w:r>
      <w:r w:rsidR="0033505F">
        <w:t>RR</w:t>
      </w:r>
      <w:r>
        <w:t>) operates approximately 4 freight trains per day at the crossing</w:t>
      </w:r>
      <w:r w:rsidR="00DF5EF6">
        <w:t>s</w:t>
      </w:r>
      <w:r>
        <w:t xml:space="preserve"> with a maximum speed limit of 50 </w:t>
      </w:r>
      <w:r w:rsidR="0033505F">
        <w:t>MPH</w:t>
      </w:r>
      <w:r w:rsidR="009F1906">
        <w:t>.</w:t>
      </w:r>
      <w:r w:rsidRPr="00B553EA">
        <w:t xml:space="preserve"> </w:t>
      </w:r>
      <w:r w:rsidR="00B553EA" w:rsidRPr="00B553EA">
        <w:t xml:space="preserve">Section 12.1 of GO 26-D requires a minimum vertical clearance of 15 feet for public roadways crossing beneath railroad tracks.  </w:t>
      </w:r>
    </w:p>
    <w:p w:rsidR="00CD1163" w:rsidRDefault="00CD1163" w:rsidP="00B553EA"/>
    <w:p w:rsidR="00CD1163" w:rsidRDefault="00CD1163" w:rsidP="00B553EA"/>
    <w:p w:rsidR="00CD1163" w:rsidRDefault="00CD1163" w:rsidP="00B553EA">
      <w:r w:rsidRPr="00B553EA">
        <w:lastRenderedPageBreak/>
        <w:t xml:space="preserve">In its </w:t>
      </w:r>
      <w:r>
        <w:t xml:space="preserve">letter dated </w:t>
      </w:r>
      <w:r w:rsidRPr="00B553EA">
        <w:t>January 17, 2014</w:t>
      </w:r>
      <w:r>
        <w:t>,</w:t>
      </w:r>
      <w:r w:rsidRPr="00B553EA">
        <w:t xml:space="preserve"> Caltrain requested exemptions from the minimum vertical clearance requirements for the Monte Diablo Avenue and Tilton Avenue grade</w:t>
      </w:r>
      <w:r w:rsidR="009E1768">
        <w:t>-</w:t>
      </w:r>
      <w:r w:rsidRPr="00B553EA">
        <w:t xml:space="preserve">separated highway-rail crossings.  </w:t>
      </w:r>
    </w:p>
    <w:p w:rsidR="00CD1163" w:rsidRDefault="00CD1163" w:rsidP="00B553EA"/>
    <w:p w:rsidR="00B553EA" w:rsidRDefault="00B553EA" w:rsidP="009E1768">
      <w:pPr>
        <w:spacing w:before="120" w:after="120"/>
      </w:pPr>
      <w:r w:rsidRPr="00B553EA">
        <w:t>The two grade</w:t>
      </w:r>
      <w:r w:rsidR="00147DBD">
        <w:t>-</w:t>
      </w:r>
      <w:r w:rsidRPr="00B553EA">
        <w:t xml:space="preserve">separated crossings at Monte Diablo Avenue and Tilton Avenue will be raised, providing a greater clearance than existing conditions, but not enough to meet the required GO 26-D minimum vertical clearance.  These two crossings are in close proximity to downtown San Mateo and the San Mateo Caltrain station.  </w:t>
      </w:r>
      <w:r w:rsidR="008800E2">
        <w:t xml:space="preserve">Caltrain states in </w:t>
      </w:r>
      <w:r w:rsidR="009E1768">
        <w:t xml:space="preserve">its </w:t>
      </w:r>
      <w:r w:rsidR="008800E2">
        <w:t>request letter “It is recognized that this is not in compliance with GO 26-D, however the roadway clearance is being increased as much as possible given the constraints of the rail profile above and the maximum allowable grades</w:t>
      </w:r>
      <w:r w:rsidR="009E1768">
        <w:t>.</w:t>
      </w:r>
      <w:r w:rsidR="008800E2">
        <w:t>”</w:t>
      </w:r>
      <w:r w:rsidR="008800E2" w:rsidRPr="00B553EA">
        <w:t xml:space="preserve"> </w:t>
      </w:r>
      <w:r w:rsidRPr="00B553EA">
        <w:t xml:space="preserve">Raising the rail bridges at Monte Diablo Avenue and Tilton Avenue further would require elevating the </w:t>
      </w:r>
      <w:r w:rsidR="00DF5EF6">
        <w:t xml:space="preserve">nearby </w:t>
      </w:r>
      <w:r w:rsidRPr="00B553EA">
        <w:t>Caltrain station and numerous roadways within downtown San Mateo</w:t>
      </w:r>
      <w:r w:rsidR="00DF5EF6">
        <w:t xml:space="preserve"> at significant additional cost that could not be funded within current funding limits</w:t>
      </w:r>
      <w:r w:rsidRPr="00B553EA">
        <w:t>.</w:t>
      </w:r>
      <w:r w:rsidR="00DF5EF6">
        <w:t xml:space="preserve">  The proposed project results in an improvement over existing conditions.</w:t>
      </w:r>
    </w:p>
    <w:p w:rsidR="005714F3" w:rsidRDefault="005714F3" w:rsidP="009E1768">
      <w:pPr>
        <w:spacing w:before="120" w:after="240"/>
      </w:pPr>
      <w:r>
        <w:t>The City of San Mateo has been served a copy of this request and indicates no objection to the requested exemption.</w:t>
      </w:r>
    </w:p>
    <w:p w:rsidR="005713A1" w:rsidRDefault="005713A1">
      <w:pPr>
        <w:pStyle w:val="Heading1"/>
      </w:pPr>
      <w:r>
        <w:t>NOTICE</w:t>
      </w:r>
    </w:p>
    <w:p w:rsidR="005713A1" w:rsidRDefault="005713A1">
      <w:pPr>
        <w:pStyle w:val="Heading1"/>
        <w:rPr>
          <w:rFonts w:ascii="Palatino Linotype" w:hAnsi="Palatino Linotype" w:cs="Arial"/>
          <w:b w:val="0"/>
          <w:caps w:val="0"/>
          <w:szCs w:val="26"/>
          <w:u w:val="none"/>
        </w:rPr>
      </w:pPr>
      <w:r w:rsidRPr="007F0135">
        <w:rPr>
          <w:rFonts w:ascii="Palatino Linotype" w:hAnsi="Palatino Linotype" w:cs="Arial"/>
          <w:b w:val="0"/>
          <w:caps w:val="0"/>
          <w:szCs w:val="26"/>
          <w:u w:val="none"/>
        </w:rPr>
        <w:t>On</w:t>
      </w:r>
      <w:r w:rsidR="00B745B0">
        <w:rPr>
          <w:rFonts w:ascii="Palatino Linotype" w:hAnsi="Palatino Linotype" w:cs="Arial"/>
          <w:b w:val="0"/>
          <w:caps w:val="0"/>
          <w:szCs w:val="26"/>
          <w:u w:val="none"/>
        </w:rPr>
        <w:t xml:space="preserve"> March 25</w:t>
      </w:r>
      <w:r w:rsidR="00CC7AA4" w:rsidRPr="005714F3">
        <w:rPr>
          <w:rFonts w:ascii="Palatino Linotype" w:hAnsi="Palatino Linotype" w:cs="Arial"/>
          <w:b w:val="0"/>
          <w:caps w:val="0"/>
          <w:szCs w:val="26"/>
          <w:u w:val="none"/>
        </w:rPr>
        <w:t>, 2014</w:t>
      </w:r>
      <w:r w:rsidRPr="007F0135">
        <w:rPr>
          <w:rFonts w:ascii="Palatino Linotype" w:hAnsi="Palatino Linotype" w:cs="Arial"/>
          <w:b w:val="0"/>
          <w:caps w:val="0"/>
          <w:szCs w:val="26"/>
          <w:u w:val="none"/>
        </w:rPr>
        <w:t xml:space="preserve">, the </w:t>
      </w:r>
      <w:r w:rsidR="007F0135" w:rsidRPr="007F0135">
        <w:rPr>
          <w:rFonts w:ascii="Palatino Linotype" w:hAnsi="Palatino Linotype" w:cs="Arial"/>
          <w:b w:val="0"/>
          <w:caps w:val="0"/>
          <w:szCs w:val="26"/>
          <w:u w:val="none"/>
        </w:rPr>
        <w:t>San Mateo County Transit District’s</w:t>
      </w:r>
      <w:r w:rsidRPr="007F0135">
        <w:rPr>
          <w:rFonts w:ascii="Palatino Linotype" w:hAnsi="Palatino Linotype" w:cs="Arial"/>
          <w:b w:val="0"/>
          <w:caps w:val="0"/>
          <w:szCs w:val="26"/>
          <w:u w:val="none"/>
        </w:rPr>
        <w:t xml:space="preserve"> request was published in the Commission’s Daily Calendar.</w:t>
      </w:r>
    </w:p>
    <w:p w:rsidR="005713A1" w:rsidRDefault="005713A1">
      <w:pPr>
        <w:pStyle w:val="Heading1"/>
      </w:pPr>
      <w:r>
        <w:t>COMMENTS</w:t>
      </w:r>
    </w:p>
    <w:p w:rsidR="005713A1" w:rsidRDefault="005713A1">
      <w:r>
        <w:t xml:space="preserve">The draft Resolution of the </w:t>
      </w:r>
      <w:r w:rsidR="00E00771" w:rsidRPr="00495A0A">
        <w:t>S</w:t>
      </w:r>
      <w:r w:rsidR="00E00771">
        <w:t>afety</w:t>
      </w:r>
      <w:r w:rsidR="00E00771" w:rsidRPr="00495A0A">
        <w:t xml:space="preserve"> </w:t>
      </w:r>
      <w:r w:rsidR="00495A0A" w:rsidRPr="00495A0A">
        <w:t>and Enforcement Division</w:t>
      </w:r>
      <w:r>
        <w:t xml:space="preserve"> in this matter was mailed in accordance with Section 311 of the </w:t>
      </w:r>
      <w:r w:rsidR="003875BD">
        <w:t>P</w:t>
      </w:r>
      <w:r>
        <w:t>ublic Utilities Code and Rule 14.2 (c) of the Commission’s Rules of Practice and Procedure</w:t>
      </w:r>
      <w:r w:rsidR="00CD70FC">
        <w:t xml:space="preserve">.  </w:t>
      </w:r>
      <w:r w:rsidR="00DF5EF6">
        <w:t xml:space="preserve">____ </w:t>
      </w:r>
      <w:r>
        <w:t>comments were received.</w:t>
      </w:r>
    </w:p>
    <w:p w:rsidR="00DF5EF6" w:rsidRDefault="00DF5EF6"/>
    <w:p w:rsidR="005713A1" w:rsidRDefault="005713A1">
      <w:pPr>
        <w:pStyle w:val="Heading1"/>
      </w:pPr>
      <w:r>
        <w:t>Findings</w:t>
      </w:r>
    </w:p>
    <w:p w:rsidR="00741376" w:rsidRDefault="00741376" w:rsidP="00741376">
      <w:pPr>
        <w:numPr>
          <w:ilvl w:val="0"/>
          <w:numId w:val="10"/>
        </w:numPr>
      </w:pPr>
      <w:r w:rsidRPr="00741376">
        <w:t>Caltrain requested, by letter dated January 17, 2014, exemption from the GO 26-D required minimum vertical clearance of 15 feet for roadways passing beneath railroad tracks at the Monte Diablo Avenue (CPUC No. 105E-17.40-B, SM-1155, DOT No. 754898A) and Tilton Avenue (CPUC No. 105E-17.50-B, SM-1069, DOT No. 754899G) crossings of their tracks in the City of San Mateo.</w:t>
      </w:r>
    </w:p>
    <w:p w:rsidR="0033505F" w:rsidRDefault="0033505F" w:rsidP="00741376">
      <w:pPr>
        <w:numPr>
          <w:ilvl w:val="0"/>
          <w:numId w:val="10"/>
        </w:numPr>
      </w:pPr>
      <w:r>
        <w:t xml:space="preserve">Monte Diablo Avenue and Tilton Avenue </w:t>
      </w:r>
      <w:r w:rsidRPr="00B553EA">
        <w:t>crossings are in close proximity to downtown San Mateo and the San Mateo Caltrain station</w:t>
      </w:r>
      <w:r>
        <w:t>.</w:t>
      </w:r>
    </w:p>
    <w:p w:rsidR="0033505F" w:rsidRDefault="0033505F" w:rsidP="009E1768">
      <w:pPr>
        <w:numPr>
          <w:ilvl w:val="0"/>
          <w:numId w:val="10"/>
        </w:numPr>
        <w:spacing w:before="120" w:after="240"/>
      </w:pPr>
      <w:r w:rsidRPr="00B553EA">
        <w:t>Raising the rail bridges at Monte Diablo Avenue and Tilton Avenue further would require elevating the Caltrain station and numerous roadways within downtown San Mateo</w:t>
      </w:r>
      <w:r w:rsidR="009E1768">
        <w:t>.</w:t>
      </w:r>
    </w:p>
    <w:p w:rsidR="00741376" w:rsidRPr="00741376" w:rsidRDefault="00741376" w:rsidP="00741376">
      <w:pPr>
        <w:numPr>
          <w:ilvl w:val="0"/>
          <w:numId w:val="10"/>
        </w:numPr>
      </w:pPr>
      <w:r w:rsidRPr="00741376">
        <w:t>Staff has reviewed the proposal and finds that the request has merit and should be granted.</w:t>
      </w:r>
    </w:p>
    <w:p w:rsidR="00741376" w:rsidRPr="00741376" w:rsidRDefault="00741376" w:rsidP="00741376"/>
    <w:p w:rsidR="005713A1" w:rsidRDefault="005713A1">
      <w:pPr>
        <w:pStyle w:val="Heading1"/>
      </w:pPr>
      <w:r>
        <w:t>THEREFORE, IT IS ORDERED that:</w:t>
      </w:r>
    </w:p>
    <w:p w:rsidR="00741376" w:rsidRDefault="00741376" w:rsidP="009E1768">
      <w:pPr>
        <w:pStyle w:val="BodyTextforResolution"/>
        <w:numPr>
          <w:ilvl w:val="0"/>
          <w:numId w:val="11"/>
        </w:numPr>
        <w:spacing w:before="120" w:after="240"/>
      </w:pPr>
      <w:r w:rsidRPr="00741376">
        <w:t xml:space="preserve">The San Mateo County Transit District  is authorized to </w:t>
      </w:r>
      <w:r w:rsidR="00847F33">
        <w:t xml:space="preserve">deviate from the </w:t>
      </w:r>
      <w:r w:rsidRPr="00741376">
        <w:t xml:space="preserve">provisions of Section 12.1 of General Order 26-D requiring a minimum vertical clearance of 15 feet above the roadways to the rail bridge structures at the Monte Diablo Avenue (CPUC No. 105E-17.40-B, SM-1155, DOT No. 754898A) and Tilton Avenue (CPUC No. 105E–17.50-B, SM-1069, DOT No. 754899G) highway-rail crossings in the City of San Mateo, as specifically described in its request and outlined herein. </w:t>
      </w:r>
    </w:p>
    <w:p w:rsidR="005713A1" w:rsidRDefault="009E1768" w:rsidP="009E1768">
      <w:pPr>
        <w:pStyle w:val="BodyTextforResolution"/>
        <w:numPr>
          <w:ilvl w:val="0"/>
          <w:numId w:val="11"/>
        </w:numPr>
      </w:pPr>
      <w:r>
        <w:t>T</w:t>
      </w:r>
      <w:r w:rsidR="005713A1">
        <w:t>his resolution is effective today.</w:t>
      </w:r>
    </w:p>
    <w:p w:rsidR="005713A1" w:rsidRDefault="005713A1">
      <w:pPr>
        <w:pStyle w:val="BodyTextforResolution"/>
      </w:pPr>
    </w:p>
    <w:p w:rsidR="005713A1" w:rsidRDefault="005713A1">
      <w:pPr>
        <w:pStyle w:val="BodyTextforResolution"/>
      </w:pPr>
      <w:r>
        <w:t xml:space="preserve">I certify that the foregoing resolution was duly introduced, passed, and adopted by the </w:t>
      </w:r>
      <w:r w:rsidR="00A24EF9">
        <w:t xml:space="preserve">California Public Utilities </w:t>
      </w:r>
      <w:r>
        <w:t xml:space="preserve">Commission at its regularly scheduled meeting </w:t>
      </w:r>
      <w:r w:rsidRPr="008C468B">
        <w:t>on</w:t>
      </w:r>
      <w:r w:rsidR="00CC7AA4" w:rsidRPr="008C468B">
        <w:t xml:space="preserve"> </w:t>
      </w:r>
      <w:r w:rsidR="009E1768">
        <w:t xml:space="preserve">May 1, </w:t>
      </w:r>
      <w:r w:rsidR="00CC7AA4" w:rsidRPr="008C468B">
        <w:t>2014</w:t>
      </w:r>
      <w:r w:rsidRPr="008C468B">
        <w:t>.  The</w:t>
      </w:r>
      <w:r>
        <w:t xml:space="preserve"> following Commissioners voted favorably thereon:</w:t>
      </w:r>
    </w:p>
    <w:p w:rsidR="005713A1" w:rsidRDefault="005713A1">
      <w:pPr>
        <w:pStyle w:val="BodyTextforResolution"/>
      </w:pPr>
    </w:p>
    <w:p w:rsidR="005713A1" w:rsidRDefault="005713A1"/>
    <w:p w:rsidR="006D7E3F" w:rsidRDefault="006D7E3F"/>
    <w:p w:rsidR="005713A1" w:rsidRDefault="005713A1" w:rsidP="005D6A9D">
      <w:pPr>
        <w:keepNext/>
        <w:keepLines/>
        <w:autoSpaceDE w:val="0"/>
        <w:autoSpaceDN w:val="0"/>
        <w:adjustRightInd w:val="0"/>
        <w:ind w:left="4320" w:firstLine="720"/>
      </w:pPr>
    </w:p>
    <w:p w:rsidR="005713A1" w:rsidRDefault="005713A1"/>
    <w:p w:rsidR="005713A1" w:rsidRDefault="005713A1">
      <w:pPr>
        <w:rPr>
          <w:u w:val="single"/>
        </w:rPr>
      </w:pPr>
      <w:r>
        <w:tab/>
      </w:r>
      <w:r>
        <w:tab/>
      </w:r>
      <w:r>
        <w:tab/>
      </w:r>
      <w:r>
        <w:tab/>
      </w:r>
      <w:r>
        <w:tab/>
      </w:r>
      <w:r>
        <w:tab/>
      </w:r>
      <w:r>
        <w:tab/>
      </w:r>
      <w:r w:rsidRPr="002C1868">
        <w:rPr>
          <w:u w:val="single"/>
        </w:rPr>
        <w:t>____</w:t>
      </w:r>
      <w:r w:rsidR="009E1768">
        <w:rPr>
          <w:u w:val="single"/>
        </w:rPr>
        <w:t>__________</w:t>
      </w:r>
      <w:r>
        <w:rPr>
          <w:u w:val="single"/>
        </w:rPr>
        <w:t>___________</w:t>
      </w:r>
    </w:p>
    <w:tbl>
      <w:tblPr>
        <w:tblW w:w="0" w:type="auto"/>
        <w:tblInd w:w="5148" w:type="dxa"/>
        <w:tblLayout w:type="fixed"/>
        <w:tblLook w:val="0000" w:firstRow="0" w:lastRow="0" w:firstColumn="0" w:lastColumn="0" w:noHBand="0" w:noVBand="0"/>
      </w:tblPr>
      <w:tblGrid>
        <w:gridCol w:w="3975"/>
      </w:tblGrid>
      <w:tr w:rsidR="005713A1">
        <w:tc>
          <w:tcPr>
            <w:tcW w:w="3975" w:type="dxa"/>
          </w:tcPr>
          <w:p w:rsidR="005713A1" w:rsidRDefault="005713A1" w:rsidP="00EE6893">
            <w:pPr>
              <w:jc w:val="center"/>
            </w:pPr>
            <w:r>
              <w:t>PAUL CLANON</w:t>
            </w:r>
          </w:p>
          <w:p w:rsidR="005713A1" w:rsidRDefault="005713A1" w:rsidP="00EE6893">
            <w:pPr>
              <w:jc w:val="center"/>
            </w:pPr>
            <w:r>
              <w:t>Executive Director</w:t>
            </w:r>
          </w:p>
        </w:tc>
      </w:tr>
    </w:tbl>
    <w:p w:rsidR="005713A1" w:rsidRDefault="005713A1">
      <w:pPr>
        <w:pStyle w:val="Style1"/>
        <w:tabs>
          <w:tab w:val="clear" w:pos="-720"/>
        </w:tabs>
        <w:suppressAutoHyphens w:val="0"/>
        <w:spacing w:after="0"/>
      </w:pPr>
      <w:r>
        <w:tab/>
      </w:r>
    </w:p>
    <w:p w:rsidR="00583362" w:rsidRDefault="00583362">
      <w:pPr>
        <w:pStyle w:val="Style1"/>
        <w:tabs>
          <w:tab w:val="clear" w:pos="-720"/>
        </w:tabs>
        <w:suppressAutoHyphens w:val="0"/>
        <w:spacing w:after="0"/>
      </w:pPr>
    </w:p>
    <w:sectPr w:rsidR="00583362">
      <w:headerReference w:type="even" r:id="rId8"/>
      <w:headerReference w:type="default" r:id="rId9"/>
      <w:footerReference w:type="even" r:id="rId10"/>
      <w:footerReference w:type="default" r:id="rId11"/>
      <w:headerReference w:type="first" r:id="rId12"/>
      <w:footerReference w:type="first" r:id="rId13"/>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DD" w:rsidRDefault="00F02FDD">
      <w:r>
        <w:separator/>
      </w:r>
    </w:p>
  </w:endnote>
  <w:endnote w:type="continuationSeparator" w:id="0">
    <w:p w:rsidR="00F02FDD" w:rsidRDefault="00F0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571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713A1" w:rsidRDefault="00571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5713A1">
    <w:pPr>
      <w:pStyle w:val="Footer"/>
      <w:rPr>
        <w:rStyle w:val="PageNumber"/>
      </w:rPr>
    </w:pPr>
  </w:p>
  <w:p w:rsidR="005713A1" w:rsidRPr="003875BD" w:rsidRDefault="005713A1">
    <w:pPr>
      <w:pStyle w:val="Footer"/>
      <w:rPr>
        <w:szCs w:val="26"/>
      </w:rPr>
    </w:pPr>
    <w:r>
      <w:rPr>
        <w:rStyle w:val="PageNumber"/>
      </w:rPr>
      <w:tab/>
    </w:r>
    <w:r w:rsidRPr="003875BD">
      <w:rPr>
        <w:rStyle w:val="PageNumber"/>
        <w:szCs w:val="26"/>
      </w:rPr>
      <w:t>-</w:t>
    </w:r>
    <w:r w:rsidRPr="003875BD">
      <w:rPr>
        <w:rStyle w:val="PageNumber"/>
        <w:szCs w:val="26"/>
      </w:rPr>
      <w:fldChar w:fldCharType="begin"/>
    </w:r>
    <w:r w:rsidRPr="003875BD">
      <w:rPr>
        <w:rStyle w:val="PageNumber"/>
        <w:szCs w:val="26"/>
      </w:rPr>
      <w:instrText xml:space="preserve"> PAGE </w:instrText>
    </w:r>
    <w:r w:rsidRPr="003875BD">
      <w:rPr>
        <w:rStyle w:val="PageNumber"/>
        <w:szCs w:val="26"/>
      </w:rPr>
      <w:fldChar w:fldCharType="separate"/>
    </w:r>
    <w:r w:rsidR="0034216E">
      <w:rPr>
        <w:rStyle w:val="PageNumber"/>
        <w:noProof/>
        <w:szCs w:val="26"/>
      </w:rPr>
      <w:t>2</w:t>
    </w:r>
    <w:r w:rsidRPr="003875BD">
      <w:rPr>
        <w:rStyle w:val="PageNumber"/>
        <w:szCs w:val="26"/>
      </w:rPr>
      <w:fldChar w:fldCharType="end"/>
    </w:r>
    <w:r w:rsidRPr="003875BD">
      <w:rPr>
        <w:rStyle w:val="PageNumber"/>
        <w:szCs w:val="2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BD40C9">
    <w:pPr>
      <w:pStyle w:val="Footer"/>
      <w:tabs>
        <w:tab w:val="center" w:pos="4723"/>
      </w:tabs>
      <w:rPr>
        <w:sz w:val="20"/>
      </w:rPr>
    </w:pPr>
    <w:r>
      <w:rPr>
        <w:rFonts w:ascii="Tahoma" w:hAnsi="Tahoma" w:cs="Tahoma"/>
        <w:sz w:val="17"/>
        <w:szCs w:val="17"/>
      </w:rPr>
      <w:t xml:space="preserve">89147688 </w:t>
    </w:r>
    <w:r w:rsidR="00583362">
      <w:rPr>
        <w:rFonts w:ascii="Tahoma" w:hAnsi="Tahoma" w:cs="Tahoma"/>
        <w:sz w:val="17"/>
        <w:szCs w:val="17"/>
      </w:rPr>
      <w:t xml:space="preserve"> </w:t>
    </w:r>
    <w:r w:rsidR="00DD1854">
      <w:rPr>
        <w:rFonts w:ascii="Tahoma" w:hAnsi="Tahoma" w:cs="Tahoma"/>
        <w:sz w:val="17"/>
        <w:szCs w:val="17"/>
      </w:rPr>
      <w:t xml:space="preserve"> </w:t>
    </w:r>
    <w:r w:rsidR="00F40A4E">
      <w:rPr>
        <w:rFonts w:ascii="Tahoma" w:hAnsi="Tahoma" w:cs="Tahoma"/>
        <w:sz w:val="17"/>
        <w:szCs w:val="17"/>
      </w:rPr>
      <w:t xml:space="preserve"> </w:t>
    </w:r>
    <w:r w:rsidR="005713A1">
      <w:tab/>
    </w:r>
    <w:r w:rsidR="005713A1">
      <w:tab/>
    </w:r>
    <w:r w:rsidR="005713A1" w:rsidRPr="003875BD">
      <w:rPr>
        <w:szCs w:val="26"/>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DD" w:rsidRDefault="00F02FDD">
      <w:r>
        <w:separator/>
      </w:r>
    </w:p>
  </w:footnote>
  <w:footnote w:type="continuationSeparator" w:id="0">
    <w:p w:rsidR="00F02FDD" w:rsidRDefault="00F0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E0" w:rsidRDefault="00117E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A1" w:rsidRDefault="00C44D47">
    <w:pPr>
      <w:tabs>
        <w:tab w:val="left" w:pos="5040"/>
        <w:tab w:val="left" w:pos="6480"/>
        <w:tab w:val="right" w:pos="9000"/>
      </w:tabs>
      <w:rPr>
        <w:sz w:val="24"/>
        <w:szCs w:val="24"/>
      </w:rPr>
    </w:pPr>
    <w:r w:rsidRPr="003875BD">
      <w:rPr>
        <w:sz w:val="24"/>
        <w:szCs w:val="24"/>
      </w:rPr>
      <w:t>SED/</w:t>
    </w:r>
    <w:r w:rsidR="00D66702">
      <w:rPr>
        <w:sz w:val="24"/>
        <w:szCs w:val="24"/>
      </w:rPr>
      <w:t>TYR</w:t>
    </w:r>
    <w:r w:rsidRPr="003875BD">
      <w:rPr>
        <w:sz w:val="24"/>
        <w:szCs w:val="24"/>
      </w:rPr>
      <w:t>/PWK/DAR/AGG/</w:t>
    </w:r>
    <w:r w:rsidR="00D66702">
      <w:rPr>
        <w:sz w:val="24"/>
        <w:szCs w:val="24"/>
      </w:rPr>
      <w:t>MKP</w:t>
    </w:r>
    <w:r w:rsidRPr="003875BD">
      <w:rPr>
        <w:sz w:val="24"/>
        <w:szCs w:val="24"/>
      </w:rPr>
      <w:t>/</w:t>
    </w:r>
    <w:r w:rsidR="00D66702">
      <w:rPr>
        <w:sz w:val="24"/>
        <w:szCs w:val="24"/>
      </w:rPr>
      <w:t>FKO</w:t>
    </w:r>
    <w:r w:rsidR="003875BD" w:rsidRPr="003875BD">
      <w:rPr>
        <w:sz w:val="24"/>
        <w:szCs w:val="24"/>
      </w:rPr>
      <w:t>/vdl</w:t>
    </w:r>
    <w:r w:rsidR="005713A1" w:rsidRPr="003875BD">
      <w:rPr>
        <w:sz w:val="24"/>
        <w:szCs w:val="24"/>
      </w:rPr>
      <w:t xml:space="preserve">       </w:t>
    </w:r>
    <w:r w:rsidR="00583362">
      <w:rPr>
        <w:sz w:val="24"/>
        <w:szCs w:val="24"/>
      </w:rPr>
      <w:tab/>
    </w:r>
    <w:r w:rsidR="005713A1" w:rsidRPr="003875BD">
      <w:rPr>
        <w:sz w:val="24"/>
        <w:szCs w:val="24"/>
      </w:rPr>
      <w:t>Resolution SX-</w:t>
    </w:r>
    <w:r w:rsidR="005D6962" w:rsidRPr="003875BD">
      <w:rPr>
        <w:sz w:val="24"/>
        <w:szCs w:val="24"/>
      </w:rPr>
      <w:t>1</w:t>
    </w:r>
    <w:r w:rsidR="00D66702">
      <w:rPr>
        <w:sz w:val="24"/>
        <w:szCs w:val="24"/>
      </w:rPr>
      <w:t>10</w:t>
    </w:r>
  </w:p>
  <w:p w:rsidR="009E1768" w:rsidRDefault="009E1768">
    <w:pPr>
      <w:tabs>
        <w:tab w:val="left" w:pos="5040"/>
        <w:tab w:val="left" w:pos="6480"/>
        <w:tab w:val="right" w:pos="9000"/>
      </w:tabs>
      <w:rPr>
        <w:sz w:val="24"/>
        <w:szCs w:val="24"/>
      </w:rPr>
    </w:pPr>
    <w:r>
      <w:rPr>
        <w:sz w:val="24"/>
        <w:szCs w:val="24"/>
      </w:rPr>
      <w:tab/>
    </w:r>
    <w:r>
      <w:rPr>
        <w:sz w:val="24"/>
        <w:szCs w:val="24"/>
      </w:rPr>
      <w:tab/>
      <w:t>May 1, 2014</w:t>
    </w:r>
  </w:p>
  <w:p w:rsidR="009E1768" w:rsidRDefault="009E1768">
    <w:pPr>
      <w:tabs>
        <w:tab w:val="left" w:pos="5040"/>
        <w:tab w:val="left" w:pos="6480"/>
        <w:tab w:val="right" w:pos="9000"/>
      </w:tabs>
      <w:rPr>
        <w:sz w:val="24"/>
        <w:szCs w:val="24"/>
      </w:rPr>
    </w:pPr>
  </w:p>
  <w:p w:rsidR="009E1768" w:rsidRDefault="009E1768">
    <w:pPr>
      <w:tabs>
        <w:tab w:val="left" w:pos="5040"/>
        <w:tab w:val="left" w:pos="6480"/>
        <w:tab w:val="right" w:pos="900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E0" w:rsidRDefault="00117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420"/>
    <w:multiLevelType w:val="singleLevel"/>
    <w:tmpl w:val="0409000F"/>
    <w:lvl w:ilvl="0">
      <w:start w:val="1"/>
      <w:numFmt w:val="decimal"/>
      <w:lvlText w:val="%1."/>
      <w:lvlJc w:val="left"/>
      <w:pPr>
        <w:tabs>
          <w:tab w:val="num" w:pos="360"/>
        </w:tabs>
        <w:ind w:left="360" w:hanging="360"/>
      </w:pPr>
    </w:lvl>
  </w:abstractNum>
  <w:abstractNum w:abstractNumId="1">
    <w:nsid w:val="17A43244"/>
    <w:multiLevelType w:val="hybridMultilevel"/>
    <w:tmpl w:val="210649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D863E5"/>
    <w:multiLevelType w:val="singleLevel"/>
    <w:tmpl w:val="0409000F"/>
    <w:lvl w:ilvl="0">
      <w:start w:val="1"/>
      <w:numFmt w:val="decimal"/>
      <w:lvlText w:val="%1."/>
      <w:lvlJc w:val="left"/>
      <w:pPr>
        <w:tabs>
          <w:tab w:val="num" w:pos="360"/>
        </w:tabs>
        <w:ind w:left="360" w:hanging="360"/>
      </w:pPr>
    </w:lvl>
  </w:abstractNum>
  <w:abstractNum w:abstractNumId="3">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247837CB"/>
    <w:multiLevelType w:val="singleLevel"/>
    <w:tmpl w:val="0409000F"/>
    <w:lvl w:ilvl="0">
      <w:start w:val="1"/>
      <w:numFmt w:val="decimal"/>
      <w:lvlText w:val="%1."/>
      <w:lvlJc w:val="left"/>
      <w:pPr>
        <w:tabs>
          <w:tab w:val="num" w:pos="360"/>
        </w:tabs>
        <w:ind w:left="360" w:hanging="360"/>
      </w:pPr>
    </w:lvl>
  </w:abstractNum>
  <w:abstractNum w:abstractNumId="5">
    <w:nsid w:val="27EC301C"/>
    <w:multiLevelType w:val="hybridMultilevel"/>
    <w:tmpl w:val="FD02F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30C71"/>
    <w:multiLevelType w:val="hybridMultilevel"/>
    <w:tmpl w:val="7984440C"/>
    <w:lvl w:ilvl="0" w:tplc="0409000F">
      <w:start w:val="1"/>
      <w:numFmt w:val="decimal"/>
      <w:lvlText w:val="%1."/>
      <w:lvlJc w:val="left"/>
      <w:pPr>
        <w:tabs>
          <w:tab w:val="num" w:pos="720"/>
        </w:tabs>
        <w:ind w:left="720" w:hanging="360"/>
      </w:pPr>
    </w:lvl>
    <w:lvl w:ilvl="1" w:tplc="CBCE33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54942"/>
    <w:multiLevelType w:val="singleLevel"/>
    <w:tmpl w:val="0409000F"/>
    <w:lvl w:ilvl="0">
      <w:start w:val="1"/>
      <w:numFmt w:val="decimal"/>
      <w:lvlText w:val="%1."/>
      <w:lvlJc w:val="left"/>
      <w:pPr>
        <w:tabs>
          <w:tab w:val="num" w:pos="360"/>
        </w:tabs>
        <w:ind w:left="360" w:hanging="360"/>
      </w:pPr>
    </w:lvl>
  </w:abstractNum>
  <w:abstractNum w:abstractNumId="8">
    <w:nsid w:val="5BD96383"/>
    <w:multiLevelType w:val="hybridMultilevel"/>
    <w:tmpl w:val="473C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830C3"/>
    <w:multiLevelType w:val="hybridMultilevel"/>
    <w:tmpl w:val="2730D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5447A"/>
    <w:multiLevelType w:val="hybridMultilevel"/>
    <w:tmpl w:val="85D007E6"/>
    <w:name w:val="WW8Num143"/>
    <w:lvl w:ilvl="0" w:tplc="111A9724">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E61020"/>
    <w:multiLevelType w:val="hybridMultilevel"/>
    <w:tmpl w:val="AAD669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4621B66"/>
    <w:multiLevelType w:val="hybridMultilevel"/>
    <w:tmpl w:val="A73A0EC6"/>
    <w:name w:val="WW8Num142"/>
    <w:lvl w:ilvl="0" w:tplc="66ECC8D2">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C36B72"/>
    <w:multiLevelType w:val="hybridMultilevel"/>
    <w:tmpl w:val="707EF506"/>
    <w:name w:val="WW8Num14"/>
    <w:lvl w:ilvl="0" w:tplc="CE647BF6">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EE008D"/>
    <w:multiLevelType w:val="hybridMultilevel"/>
    <w:tmpl w:val="88B8763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7F68133B"/>
    <w:multiLevelType w:val="hybridMultilevel"/>
    <w:tmpl w:val="B98EFE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4"/>
  </w:num>
  <w:num w:numId="5">
    <w:abstractNumId w:val="1"/>
  </w:num>
  <w:num w:numId="6">
    <w:abstractNumId w:val="9"/>
  </w:num>
  <w:num w:numId="7">
    <w:abstractNumId w:val="4"/>
  </w:num>
  <w:num w:numId="8">
    <w:abstractNumId w:val="6"/>
  </w:num>
  <w:num w:numId="9">
    <w:abstractNumId w:val="11"/>
  </w:num>
  <w:num w:numId="10">
    <w:abstractNumId w:val="7"/>
  </w:num>
  <w:num w:numId="11">
    <w:abstractNumId w:val="15"/>
  </w:num>
  <w:num w:numId="12">
    <w:abstractNumId w:val="8"/>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FD"/>
    <w:rsid w:val="00005052"/>
    <w:rsid w:val="00015861"/>
    <w:rsid w:val="00021599"/>
    <w:rsid w:val="00023C2B"/>
    <w:rsid w:val="00027758"/>
    <w:rsid w:val="000372CB"/>
    <w:rsid w:val="0009099B"/>
    <w:rsid w:val="00093031"/>
    <w:rsid w:val="000A78FD"/>
    <w:rsid w:val="000C1BE7"/>
    <w:rsid w:val="000C2C4C"/>
    <w:rsid w:val="000E134F"/>
    <w:rsid w:val="000E7AC4"/>
    <w:rsid w:val="000F0763"/>
    <w:rsid w:val="000F23A8"/>
    <w:rsid w:val="00114994"/>
    <w:rsid w:val="00117EE0"/>
    <w:rsid w:val="0012289D"/>
    <w:rsid w:val="00147DBD"/>
    <w:rsid w:val="001554FB"/>
    <w:rsid w:val="00160320"/>
    <w:rsid w:val="001934AB"/>
    <w:rsid w:val="001D176D"/>
    <w:rsid w:val="001F396D"/>
    <w:rsid w:val="001F4162"/>
    <w:rsid w:val="001F7C10"/>
    <w:rsid w:val="00217F6A"/>
    <w:rsid w:val="00222D99"/>
    <w:rsid w:val="00254CEA"/>
    <w:rsid w:val="002616E6"/>
    <w:rsid w:val="0027085E"/>
    <w:rsid w:val="00286374"/>
    <w:rsid w:val="002A0E0D"/>
    <w:rsid w:val="002B6D7C"/>
    <w:rsid w:val="002C1868"/>
    <w:rsid w:val="002D48A1"/>
    <w:rsid w:val="002E1702"/>
    <w:rsid w:val="002E2632"/>
    <w:rsid w:val="00300B8B"/>
    <w:rsid w:val="00334D1E"/>
    <w:rsid w:val="0033505F"/>
    <w:rsid w:val="0034216E"/>
    <w:rsid w:val="00345485"/>
    <w:rsid w:val="003462FD"/>
    <w:rsid w:val="00354B5B"/>
    <w:rsid w:val="0037243A"/>
    <w:rsid w:val="003860BB"/>
    <w:rsid w:val="00386F06"/>
    <w:rsid w:val="003875BD"/>
    <w:rsid w:val="00396AF2"/>
    <w:rsid w:val="003A314B"/>
    <w:rsid w:val="003A5BC0"/>
    <w:rsid w:val="003D3099"/>
    <w:rsid w:val="003E56A9"/>
    <w:rsid w:val="003F0939"/>
    <w:rsid w:val="003F4358"/>
    <w:rsid w:val="00401AC8"/>
    <w:rsid w:val="0041618A"/>
    <w:rsid w:val="0042218E"/>
    <w:rsid w:val="00486200"/>
    <w:rsid w:val="004915A2"/>
    <w:rsid w:val="00494D2F"/>
    <w:rsid w:val="00495A0A"/>
    <w:rsid w:val="004A229F"/>
    <w:rsid w:val="004B06B9"/>
    <w:rsid w:val="004B0EFA"/>
    <w:rsid w:val="004C7BD9"/>
    <w:rsid w:val="004E014D"/>
    <w:rsid w:val="004E4F70"/>
    <w:rsid w:val="00511573"/>
    <w:rsid w:val="00517762"/>
    <w:rsid w:val="00561B2E"/>
    <w:rsid w:val="005713A1"/>
    <w:rsid w:val="005714F3"/>
    <w:rsid w:val="00583362"/>
    <w:rsid w:val="005858E3"/>
    <w:rsid w:val="00596173"/>
    <w:rsid w:val="005B4421"/>
    <w:rsid w:val="005B6CDB"/>
    <w:rsid w:val="005D6962"/>
    <w:rsid w:val="005D6A9D"/>
    <w:rsid w:val="005E3CEE"/>
    <w:rsid w:val="00624792"/>
    <w:rsid w:val="0062632E"/>
    <w:rsid w:val="006332A8"/>
    <w:rsid w:val="0063500E"/>
    <w:rsid w:val="00643962"/>
    <w:rsid w:val="00652859"/>
    <w:rsid w:val="006908D4"/>
    <w:rsid w:val="006942E3"/>
    <w:rsid w:val="006B1B97"/>
    <w:rsid w:val="006C07D8"/>
    <w:rsid w:val="006D733C"/>
    <w:rsid w:val="006D7E3F"/>
    <w:rsid w:val="006E1125"/>
    <w:rsid w:val="006E3ABE"/>
    <w:rsid w:val="007161B1"/>
    <w:rsid w:val="007174A0"/>
    <w:rsid w:val="00720BD8"/>
    <w:rsid w:val="0072607C"/>
    <w:rsid w:val="00741376"/>
    <w:rsid w:val="00747F53"/>
    <w:rsid w:val="00754E4D"/>
    <w:rsid w:val="007706A7"/>
    <w:rsid w:val="0077119B"/>
    <w:rsid w:val="0077546F"/>
    <w:rsid w:val="00780820"/>
    <w:rsid w:val="0078675D"/>
    <w:rsid w:val="007A3542"/>
    <w:rsid w:val="007B3BAF"/>
    <w:rsid w:val="007B4DD9"/>
    <w:rsid w:val="007B62F3"/>
    <w:rsid w:val="007C2314"/>
    <w:rsid w:val="007D2D96"/>
    <w:rsid w:val="007D6735"/>
    <w:rsid w:val="007F0135"/>
    <w:rsid w:val="007F13E2"/>
    <w:rsid w:val="007F56F2"/>
    <w:rsid w:val="008001FF"/>
    <w:rsid w:val="008024D2"/>
    <w:rsid w:val="00807338"/>
    <w:rsid w:val="008246C2"/>
    <w:rsid w:val="00824C1E"/>
    <w:rsid w:val="00826A99"/>
    <w:rsid w:val="008278D2"/>
    <w:rsid w:val="008308F6"/>
    <w:rsid w:val="00830923"/>
    <w:rsid w:val="00844804"/>
    <w:rsid w:val="008478F3"/>
    <w:rsid w:val="00847F33"/>
    <w:rsid w:val="008654F8"/>
    <w:rsid w:val="0087509F"/>
    <w:rsid w:val="0087669F"/>
    <w:rsid w:val="0088003B"/>
    <w:rsid w:val="008800E2"/>
    <w:rsid w:val="008C468B"/>
    <w:rsid w:val="008D6914"/>
    <w:rsid w:val="008E3BD5"/>
    <w:rsid w:val="00903E5A"/>
    <w:rsid w:val="00930A14"/>
    <w:rsid w:val="00973DB6"/>
    <w:rsid w:val="00974EC1"/>
    <w:rsid w:val="009A0911"/>
    <w:rsid w:val="009A2F2A"/>
    <w:rsid w:val="009A405C"/>
    <w:rsid w:val="009B0804"/>
    <w:rsid w:val="009C02F1"/>
    <w:rsid w:val="009D0BE4"/>
    <w:rsid w:val="009D70F2"/>
    <w:rsid w:val="009E1768"/>
    <w:rsid w:val="009F1906"/>
    <w:rsid w:val="00A206CB"/>
    <w:rsid w:val="00A24EC1"/>
    <w:rsid w:val="00A24EF9"/>
    <w:rsid w:val="00A30261"/>
    <w:rsid w:val="00A53A3D"/>
    <w:rsid w:val="00A76F2B"/>
    <w:rsid w:val="00A803F0"/>
    <w:rsid w:val="00A84A58"/>
    <w:rsid w:val="00A8638D"/>
    <w:rsid w:val="00AD211D"/>
    <w:rsid w:val="00AF5A40"/>
    <w:rsid w:val="00B17862"/>
    <w:rsid w:val="00B31FAF"/>
    <w:rsid w:val="00B553EA"/>
    <w:rsid w:val="00B603F3"/>
    <w:rsid w:val="00B66E8C"/>
    <w:rsid w:val="00B745B0"/>
    <w:rsid w:val="00B87FE0"/>
    <w:rsid w:val="00B90872"/>
    <w:rsid w:val="00B93249"/>
    <w:rsid w:val="00B94155"/>
    <w:rsid w:val="00B97384"/>
    <w:rsid w:val="00BA7C27"/>
    <w:rsid w:val="00BB2E9B"/>
    <w:rsid w:val="00BB6C5E"/>
    <w:rsid w:val="00BD40C9"/>
    <w:rsid w:val="00BE61F8"/>
    <w:rsid w:val="00BE7997"/>
    <w:rsid w:val="00C00DAB"/>
    <w:rsid w:val="00C44CD0"/>
    <w:rsid w:val="00C44D47"/>
    <w:rsid w:val="00C46711"/>
    <w:rsid w:val="00C575E5"/>
    <w:rsid w:val="00C612F1"/>
    <w:rsid w:val="00C81BD7"/>
    <w:rsid w:val="00C8355A"/>
    <w:rsid w:val="00CA0AB7"/>
    <w:rsid w:val="00CB747D"/>
    <w:rsid w:val="00CC07DC"/>
    <w:rsid w:val="00CC7AA4"/>
    <w:rsid w:val="00CC7BDD"/>
    <w:rsid w:val="00CD1163"/>
    <w:rsid w:val="00CD70FC"/>
    <w:rsid w:val="00CE6371"/>
    <w:rsid w:val="00CF0A16"/>
    <w:rsid w:val="00CF4004"/>
    <w:rsid w:val="00D0215D"/>
    <w:rsid w:val="00D0389E"/>
    <w:rsid w:val="00D07B65"/>
    <w:rsid w:val="00D11A41"/>
    <w:rsid w:val="00D21156"/>
    <w:rsid w:val="00D40461"/>
    <w:rsid w:val="00D4484F"/>
    <w:rsid w:val="00D5247B"/>
    <w:rsid w:val="00D546FC"/>
    <w:rsid w:val="00D631C3"/>
    <w:rsid w:val="00D66702"/>
    <w:rsid w:val="00D821CB"/>
    <w:rsid w:val="00D90921"/>
    <w:rsid w:val="00D979F0"/>
    <w:rsid w:val="00DB4FE8"/>
    <w:rsid w:val="00DB7A6A"/>
    <w:rsid w:val="00DC7DD6"/>
    <w:rsid w:val="00DD1854"/>
    <w:rsid w:val="00DE3E10"/>
    <w:rsid w:val="00DF5EF6"/>
    <w:rsid w:val="00DF781E"/>
    <w:rsid w:val="00E00771"/>
    <w:rsid w:val="00E26DDA"/>
    <w:rsid w:val="00E44D92"/>
    <w:rsid w:val="00E53235"/>
    <w:rsid w:val="00E562DB"/>
    <w:rsid w:val="00E76165"/>
    <w:rsid w:val="00E82D11"/>
    <w:rsid w:val="00E83C92"/>
    <w:rsid w:val="00EA2751"/>
    <w:rsid w:val="00ED57CB"/>
    <w:rsid w:val="00EE6893"/>
    <w:rsid w:val="00F02FDD"/>
    <w:rsid w:val="00F075DE"/>
    <w:rsid w:val="00F20950"/>
    <w:rsid w:val="00F40A4E"/>
    <w:rsid w:val="00F479D5"/>
    <w:rsid w:val="00F51E7C"/>
    <w:rsid w:val="00F60EED"/>
    <w:rsid w:val="00FA7191"/>
    <w:rsid w:val="00FB4C75"/>
    <w:rsid w:val="00FC1106"/>
    <w:rsid w:val="00FC16E6"/>
    <w:rsid w:val="00FC5868"/>
    <w:rsid w:val="00FD4400"/>
    <w:rsid w:val="00FD5669"/>
    <w:rsid w:val="00FE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Normal"/>
    <w:qFormat/>
    <w:pPr>
      <w:keepNext/>
      <w:numPr>
        <w:ilvl w:val="1"/>
        <w:numId w:val="1"/>
      </w:numPr>
      <w:spacing w:before="120" w:after="120"/>
      <w:outlineLvl w:val="1"/>
    </w:pPr>
    <w:rPr>
      <w:rFonts w:ascii="Helvetica" w:hAnsi="Helvetica"/>
      <w:b/>
      <w:i/>
    </w:rPr>
  </w:style>
  <w:style w:type="paragraph" w:styleId="Heading3">
    <w:name w:val="heading 3"/>
    <w:basedOn w:val="Normal"/>
    <w:next w:val="Normal"/>
    <w:qFormat/>
    <w:pPr>
      <w:keepNext/>
      <w:spacing w:before="120" w:after="120"/>
      <w:ind w:firstLine="2160"/>
      <w:outlineLvl w:val="2"/>
    </w:pPr>
    <w:rPr>
      <w:rFonts w:ascii="Helvetica" w:hAnsi="Helvetica"/>
      <w:b/>
    </w:rPr>
  </w:style>
  <w:style w:type="paragraph" w:styleId="Heading4">
    <w:name w:val="heading 4"/>
    <w:basedOn w:val="Normal"/>
    <w:next w:val="Normal"/>
    <w:qFormat/>
    <w:pPr>
      <w:keepNext/>
      <w:spacing w:before="120" w:after="120"/>
      <w:ind w:firstLine="2880"/>
      <w:outlineLvl w:val="3"/>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pPr>
      <w:spacing w:line="360" w:lineRule="auto"/>
      <w:ind w:firstLine="720"/>
    </w:pPr>
  </w:style>
  <w:style w:type="paragraph" w:customStyle="1" w:styleId="mainex">
    <w:name w:val="mainex"/>
    <w:basedOn w:val="Normal"/>
    <w:pPr>
      <w:keepNext/>
      <w:jc w:val="center"/>
    </w:pPr>
    <w:rPr>
      <w:rFonts w:ascii="Helvetica" w:hAnsi="Helvetica"/>
      <w:b/>
      <w:spacing w:val="120"/>
    </w:rPr>
  </w:style>
  <w:style w:type="paragraph" w:customStyle="1" w:styleId="titlebar">
    <w:name w:val="title bar"/>
    <w:basedOn w:val="Normal"/>
    <w:pPr>
      <w:keepNext/>
      <w:suppressAutoHyphens/>
      <w:jc w:val="center"/>
    </w:pPr>
    <w:rPr>
      <w:rFonts w:ascii="Helvetica" w:hAnsi="Helvetica"/>
      <w:b/>
    </w:rPr>
  </w:style>
  <w:style w:type="paragraph" w:customStyle="1" w:styleId="Res-Caption">
    <w:name w:val="Res-Caption"/>
    <w:basedOn w:val="Normal"/>
    <w:pPr>
      <w:ind w:left="720" w:righ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sz w:val="24"/>
      <w:szCs w:val="24"/>
    </w:rPr>
  </w:style>
  <w:style w:type="paragraph" w:styleId="PlainText">
    <w:name w:val="Plain Text"/>
    <w:basedOn w:val="Normal"/>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noteText">
    <w:name w:val="footnote text"/>
    <w:basedOn w:val="Normal"/>
    <w:semiHidden/>
    <w:pPr>
      <w:numPr>
        <w:numId w:val="1"/>
      </w:numPr>
      <w:spacing w:after="240"/>
    </w:pPr>
    <w:rPr>
      <w:sz w:val="24"/>
    </w:rPr>
  </w:style>
  <w:style w:type="paragraph" w:styleId="BlockText">
    <w:name w:val="Block Text"/>
    <w:basedOn w:val="Normal"/>
    <w:pPr>
      <w:spacing w:after="120"/>
      <w:ind w:left="1440" w:right="1440"/>
    </w:pPr>
  </w:style>
  <w:style w:type="paragraph" w:styleId="Title">
    <w:name w:val="Title"/>
    <w:basedOn w:val="Normal"/>
    <w:qFormat/>
    <w:pPr>
      <w:jc w:val="center"/>
    </w:pPr>
    <w:rPr>
      <w:rFonts w:ascii="Helvetica" w:hAnsi="Helvetica"/>
      <w:b/>
      <w:sz w:val="24"/>
    </w:rPr>
  </w:style>
  <w:style w:type="paragraph" w:customStyle="1" w:styleId="Style1">
    <w:name w:val="Style1"/>
    <w:basedOn w:val="Normal"/>
    <w:pPr>
      <w:tabs>
        <w:tab w:val="left" w:pos="-720"/>
      </w:tabs>
      <w:suppressAutoHyphens/>
      <w:spacing w:after="240"/>
    </w:p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odyTextIndent2">
    <w:name w:val="Body Text Indent 2"/>
    <w:basedOn w:val="Normal"/>
    <w:pPr>
      <w:suppressAutoHyphens/>
      <w:spacing w:after="120" w:line="480" w:lineRule="auto"/>
      <w:ind w:left="360"/>
    </w:pPr>
    <w:rPr>
      <w:lang w:eastAsia="ar-SA"/>
    </w:rPr>
  </w:style>
  <w:style w:type="paragraph" w:customStyle="1" w:styleId="main">
    <w:name w:val="main"/>
    <w:basedOn w:val="Normal"/>
    <w:pPr>
      <w:jc w:val="center"/>
    </w:pPr>
    <w:rPr>
      <w:rFonts w:ascii="Helvetica" w:hAnsi="Helvetica"/>
      <w:b/>
    </w:rPr>
  </w:style>
  <w:style w:type="paragraph" w:customStyle="1" w:styleId="BodyTextforResolution">
    <w:name w:val="Body Text for Resolution"/>
    <w:basedOn w:val="Normal"/>
  </w:style>
  <w:style w:type="paragraph" w:styleId="BodyTextIndent">
    <w:name w:val="Body Text Indent"/>
    <w:basedOn w:val="Normal"/>
    <w:link w:val="BodyTextIndentChar"/>
    <w:rsid w:val="00A24EF9"/>
    <w:pPr>
      <w:spacing w:after="120"/>
      <w:ind w:left="360"/>
    </w:pPr>
  </w:style>
  <w:style w:type="character" w:customStyle="1" w:styleId="BodyTextIndentChar">
    <w:name w:val="Body Text Indent Char"/>
    <w:link w:val="BodyTextIndent"/>
    <w:rsid w:val="00A24EF9"/>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Normal"/>
    <w:qFormat/>
    <w:pPr>
      <w:keepNext/>
      <w:numPr>
        <w:ilvl w:val="1"/>
        <w:numId w:val="1"/>
      </w:numPr>
      <w:spacing w:before="120" w:after="120"/>
      <w:outlineLvl w:val="1"/>
    </w:pPr>
    <w:rPr>
      <w:rFonts w:ascii="Helvetica" w:hAnsi="Helvetica"/>
      <w:b/>
      <w:i/>
    </w:rPr>
  </w:style>
  <w:style w:type="paragraph" w:styleId="Heading3">
    <w:name w:val="heading 3"/>
    <w:basedOn w:val="Normal"/>
    <w:next w:val="Normal"/>
    <w:qFormat/>
    <w:pPr>
      <w:keepNext/>
      <w:spacing w:before="120" w:after="120"/>
      <w:ind w:firstLine="2160"/>
      <w:outlineLvl w:val="2"/>
    </w:pPr>
    <w:rPr>
      <w:rFonts w:ascii="Helvetica" w:hAnsi="Helvetica"/>
      <w:b/>
    </w:rPr>
  </w:style>
  <w:style w:type="paragraph" w:styleId="Heading4">
    <w:name w:val="heading 4"/>
    <w:basedOn w:val="Normal"/>
    <w:next w:val="Normal"/>
    <w:qFormat/>
    <w:pPr>
      <w:keepNext/>
      <w:spacing w:before="120" w:after="120"/>
      <w:ind w:firstLine="2880"/>
      <w:outlineLvl w:val="3"/>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pPr>
      <w:spacing w:line="360" w:lineRule="auto"/>
      <w:ind w:firstLine="720"/>
    </w:pPr>
  </w:style>
  <w:style w:type="paragraph" w:customStyle="1" w:styleId="mainex">
    <w:name w:val="mainex"/>
    <w:basedOn w:val="Normal"/>
    <w:pPr>
      <w:keepNext/>
      <w:jc w:val="center"/>
    </w:pPr>
    <w:rPr>
      <w:rFonts w:ascii="Helvetica" w:hAnsi="Helvetica"/>
      <w:b/>
      <w:spacing w:val="120"/>
    </w:rPr>
  </w:style>
  <w:style w:type="paragraph" w:customStyle="1" w:styleId="titlebar">
    <w:name w:val="title bar"/>
    <w:basedOn w:val="Normal"/>
    <w:pPr>
      <w:keepNext/>
      <w:suppressAutoHyphens/>
      <w:jc w:val="center"/>
    </w:pPr>
    <w:rPr>
      <w:rFonts w:ascii="Helvetica" w:hAnsi="Helvetica"/>
      <w:b/>
    </w:rPr>
  </w:style>
  <w:style w:type="paragraph" w:customStyle="1" w:styleId="Res-Caption">
    <w:name w:val="Res-Caption"/>
    <w:basedOn w:val="Normal"/>
    <w:pPr>
      <w:ind w:left="720" w:righ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sz w:val="24"/>
      <w:szCs w:val="24"/>
    </w:rPr>
  </w:style>
  <w:style w:type="paragraph" w:styleId="PlainText">
    <w:name w:val="Plain Text"/>
    <w:basedOn w:val="Normal"/>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noteText">
    <w:name w:val="footnote text"/>
    <w:basedOn w:val="Normal"/>
    <w:semiHidden/>
    <w:pPr>
      <w:numPr>
        <w:numId w:val="1"/>
      </w:numPr>
      <w:spacing w:after="240"/>
    </w:pPr>
    <w:rPr>
      <w:sz w:val="24"/>
    </w:rPr>
  </w:style>
  <w:style w:type="paragraph" w:styleId="BlockText">
    <w:name w:val="Block Text"/>
    <w:basedOn w:val="Normal"/>
    <w:pPr>
      <w:spacing w:after="120"/>
      <w:ind w:left="1440" w:right="1440"/>
    </w:pPr>
  </w:style>
  <w:style w:type="paragraph" w:styleId="Title">
    <w:name w:val="Title"/>
    <w:basedOn w:val="Normal"/>
    <w:qFormat/>
    <w:pPr>
      <w:jc w:val="center"/>
    </w:pPr>
    <w:rPr>
      <w:rFonts w:ascii="Helvetica" w:hAnsi="Helvetica"/>
      <w:b/>
      <w:sz w:val="24"/>
    </w:rPr>
  </w:style>
  <w:style w:type="paragraph" w:customStyle="1" w:styleId="Style1">
    <w:name w:val="Style1"/>
    <w:basedOn w:val="Normal"/>
    <w:pPr>
      <w:tabs>
        <w:tab w:val="left" w:pos="-720"/>
      </w:tabs>
      <w:suppressAutoHyphens/>
      <w:spacing w:after="240"/>
    </w:p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odyTextIndent2">
    <w:name w:val="Body Text Indent 2"/>
    <w:basedOn w:val="Normal"/>
    <w:pPr>
      <w:suppressAutoHyphens/>
      <w:spacing w:after="120" w:line="480" w:lineRule="auto"/>
      <w:ind w:left="360"/>
    </w:pPr>
    <w:rPr>
      <w:lang w:eastAsia="ar-SA"/>
    </w:rPr>
  </w:style>
  <w:style w:type="paragraph" w:customStyle="1" w:styleId="main">
    <w:name w:val="main"/>
    <w:basedOn w:val="Normal"/>
    <w:pPr>
      <w:jc w:val="center"/>
    </w:pPr>
    <w:rPr>
      <w:rFonts w:ascii="Helvetica" w:hAnsi="Helvetica"/>
      <w:b/>
    </w:rPr>
  </w:style>
  <w:style w:type="paragraph" w:customStyle="1" w:styleId="BodyTextforResolution">
    <w:name w:val="Body Text for Resolution"/>
    <w:basedOn w:val="Normal"/>
  </w:style>
  <w:style w:type="paragraph" w:styleId="BodyTextIndent">
    <w:name w:val="Body Text Indent"/>
    <w:basedOn w:val="Normal"/>
    <w:link w:val="BodyTextIndentChar"/>
    <w:rsid w:val="00A24EF9"/>
    <w:pPr>
      <w:spacing w:after="120"/>
      <w:ind w:left="360"/>
    </w:pPr>
  </w:style>
  <w:style w:type="character" w:customStyle="1" w:styleId="BodyTextIndentChar">
    <w:name w:val="Body Text Indent Char"/>
    <w:link w:val="BodyTextIndent"/>
    <w:rsid w:val="00A24EF9"/>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1814">
      <w:bodyDiv w:val="1"/>
      <w:marLeft w:val="0"/>
      <w:marRight w:val="0"/>
      <w:marTop w:val="0"/>
      <w:marBottom w:val="0"/>
      <w:divBdr>
        <w:top w:val="none" w:sz="0" w:space="0" w:color="auto"/>
        <w:left w:val="none" w:sz="0" w:space="0" w:color="auto"/>
        <w:bottom w:val="none" w:sz="0" w:space="0" w:color="auto"/>
        <w:right w:val="none" w:sz="0" w:space="0" w:color="auto"/>
      </w:divBdr>
    </w:div>
    <w:div w:id="1180970242">
      <w:bodyDiv w:val="1"/>
      <w:marLeft w:val="0"/>
      <w:marRight w:val="0"/>
      <w:marTop w:val="0"/>
      <w:marBottom w:val="0"/>
      <w:divBdr>
        <w:top w:val="none" w:sz="0" w:space="0" w:color="auto"/>
        <w:left w:val="none" w:sz="0" w:space="0" w:color="auto"/>
        <w:bottom w:val="none" w:sz="0" w:space="0" w:color="auto"/>
        <w:right w:val="none" w:sz="0" w:space="0" w:color="auto"/>
      </w:divBdr>
    </w:div>
    <w:div w:id="1384065348">
      <w:bodyDiv w:val="1"/>
      <w:marLeft w:val="0"/>
      <w:marRight w:val="0"/>
      <w:marTop w:val="0"/>
      <w:marBottom w:val="0"/>
      <w:divBdr>
        <w:top w:val="none" w:sz="0" w:space="0" w:color="auto"/>
        <w:left w:val="none" w:sz="0" w:space="0" w:color="auto"/>
        <w:bottom w:val="none" w:sz="0" w:space="0" w:color="auto"/>
        <w:right w:val="none" w:sz="0" w:space="0" w:color="auto"/>
      </w:divBdr>
    </w:div>
    <w:div w:id="1745714448">
      <w:bodyDiv w:val="1"/>
      <w:marLeft w:val="0"/>
      <w:marRight w:val="0"/>
      <w:marTop w:val="0"/>
      <w:marBottom w:val="0"/>
      <w:divBdr>
        <w:top w:val="none" w:sz="0" w:space="0" w:color="auto"/>
        <w:left w:val="none" w:sz="0" w:space="0" w:color="auto"/>
        <w:bottom w:val="none" w:sz="0" w:space="0" w:color="auto"/>
        <w:right w:val="none" w:sz="0" w:space="0" w:color="auto"/>
      </w:divBdr>
    </w:div>
    <w:div w:id="19860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5359</Characters>
  <Application>Microsoft Office Word</Application>
  <DocSecurity>0</DocSecurity>
  <Lines>141</Lines>
  <Paragraphs>43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6371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2011-08-05T22:16:00Z</cp:lastPrinted>
  <dcterms:created xsi:type="dcterms:W3CDTF">2014-03-24T17:04:00Z</dcterms:created>
  <dcterms:modified xsi:type="dcterms:W3CDTF">2014-03-24T17:04:00Z</dcterms:modified>
  <cp:category> </cp:category>
  <cp:contentStatus> </cp:contentStatus>
</cp:coreProperties>
</file>