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56A516" w14:textId="77777777" w:rsidR="00F5600A" w:rsidRPr="00425928" w:rsidRDefault="00F5600A">
      <w:pPr>
        <w:pStyle w:val="titlebar"/>
      </w:pPr>
      <w:bookmarkStart w:id="0" w:name="_GoBack"/>
      <w:bookmarkEnd w:id="0"/>
      <w:r w:rsidRPr="00425928">
        <w:t xml:space="preserve">PUBLIC UTILITIES COMMISSION OF THE STATE OF </w:t>
      </w:r>
      <w:smartTag w:uri="urn:schemas-microsoft-com:office:smarttags" w:element="State">
        <w:smartTag w:uri="urn:schemas-microsoft-com:office:smarttags" w:element="place">
          <w:r w:rsidRPr="00425928">
            <w:t>CALIFORNIA</w:t>
          </w:r>
        </w:smartTag>
      </w:smartTag>
    </w:p>
    <w:p w14:paraId="0E0822C0" w14:textId="77777777" w:rsidR="00F5600A" w:rsidRPr="00465123" w:rsidRDefault="00465123" w:rsidP="00465123">
      <w:pPr>
        <w:suppressAutoHyphens/>
        <w:jc w:val="right"/>
        <w:rPr>
          <w:rFonts w:ascii="Palatino Linotype" w:hAnsi="Palatino Linotype"/>
          <w:b/>
          <w:sz w:val="24"/>
          <w:szCs w:val="24"/>
        </w:rPr>
      </w:pPr>
      <w:r>
        <w:rPr>
          <w:rFonts w:ascii="Helvetica" w:hAnsi="Helvetica"/>
        </w:rPr>
        <w:tab/>
      </w:r>
      <w:r>
        <w:rPr>
          <w:rFonts w:ascii="Helvetica" w:hAnsi="Helvetica"/>
        </w:rPr>
        <w:tab/>
      </w:r>
      <w:r>
        <w:rPr>
          <w:rFonts w:ascii="Helvetica" w:hAnsi="Helvetica"/>
        </w:rPr>
        <w:tab/>
      </w:r>
      <w:r>
        <w:rPr>
          <w:rFonts w:ascii="Helvetica" w:hAnsi="Helvetica"/>
        </w:rPr>
        <w:tab/>
      </w:r>
      <w:r>
        <w:rPr>
          <w:rFonts w:ascii="Helvetica" w:hAnsi="Helvetica"/>
        </w:rPr>
        <w:tab/>
      </w:r>
      <w:r>
        <w:rPr>
          <w:rFonts w:ascii="Helvetica" w:hAnsi="Helvetica"/>
        </w:rPr>
        <w:tab/>
      </w:r>
      <w:r>
        <w:rPr>
          <w:rFonts w:ascii="Helvetica" w:hAnsi="Helvetica"/>
        </w:rPr>
        <w:tab/>
      </w:r>
      <w:r>
        <w:rPr>
          <w:rFonts w:ascii="Helvetica" w:hAnsi="Helvetica"/>
        </w:rPr>
        <w:tab/>
      </w:r>
      <w:r>
        <w:rPr>
          <w:rFonts w:ascii="Helvetica" w:hAnsi="Helvetica"/>
        </w:rPr>
        <w:tab/>
        <w:t xml:space="preserve">      </w:t>
      </w:r>
      <w:r>
        <w:rPr>
          <w:rFonts w:ascii="Helvetica" w:hAnsi="Helvetica"/>
        </w:rPr>
        <w:tab/>
      </w:r>
      <w:r>
        <w:rPr>
          <w:rFonts w:ascii="Helvetica" w:hAnsi="Helvetica"/>
        </w:rPr>
        <w:tab/>
      </w:r>
      <w:r w:rsidRPr="00465123">
        <w:rPr>
          <w:rFonts w:ascii="Palatino Linotype" w:hAnsi="Palatino Linotype"/>
          <w:b/>
          <w:sz w:val="24"/>
          <w:szCs w:val="24"/>
        </w:rPr>
        <w:t>ITEM 28</w:t>
      </w:r>
    </w:p>
    <w:p w14:paraId="6929C67C" w14:textId="1AFF0FC9" w:rsidR="00F5600A" w:rsidRPr="00234F5E" w:rsidRDefault="00F5600A" w:rsidP="00465123">
      <w:pPr>
        <w:suppressAutoHyphens/>
        <w:jc w:val="right"/>
        <w:rPr>
          <w:rFonts w:ascii="Palatino Linotype" w:hAnsi="Palatino Linotype"/>
          <w:b/>
          <w:sz w:val="24"/>
          <w:szCs w:val="24"/>
        </w:rPr>
      </w:pPr>
      <w:r>
        <w:rPr>
          <w:rFonts w:ascii="Helvetica" w:hAnsi="Helvetica"/>
        </w:rPr>
        <w:t xml:space="preserve">                                                                                          </w:t>
      </w:r>
      <w:r>
        <w:rPr>
          <w:rFonts w:ascii="Palatino Linotype" w:hAnsi="Palatino Linotype"/>
          <w:b/>
          <w:sz w:val="24"/>
          <w:szCs w:val="24"/>
        </w:rPr>
        <w:t>ID #</w:t>
      </w:r>
      <w:r w:rsidR="001C4E4D">
        <w:rPr>
          <w:rFonts w:ascii="Palatino Linotype" w:hAnsi="Palatino Linotype"/>
          <w:b/>
          <w:sz w:val="24"/>
          <w:szCs w:val="24"/>
        </w:rPr>
        <w:t>12147</w:t>
      </w:r>
      <w:r w:rsidR="0038215A">
        <w:rPr>
          <w:rFonts w:ascii="Palatino Linotype" w:hAnsi="Palatino Linotype"/>
          <w:b/>
          <w:sz w:val="24"/>
          <w:szCs w:val="24"/>
        </w:rPr>
        <w:t xml:space="preserve"> </w:t>
      </w:r>
      <w:r w:rsidR="00CB2636">
        <w:rPr>
          <w:rFonts w:ascii="Palatino Linotype" w:hAnsi="Palatino Linotype"/>
          <w:b/>
          <w:sz w:val="24"/>
          <w:szCs w:val="24"/>
        </w:rPr>
        <w:t>(Rev.2</w:t>
      </w:r>
      <w:r w:rsidR="00465123">
        <w:rPr>
          <w:rFonts w:ascii="Palatino Linotype" w:hAnsi="Palatino Linotype"/>
          <w:b/>
          <w:sz w:val="24"/>
          <w:szCs w:val="24"/>
        </w:rPr>
        <w:t>)</w:t>
      </w:r>
    </w:p>
    <w:p w14:paraId="02B07FBB" w14:textId="77777777" w:rsidR="00F5600A" w:rsidRPr="0008237E" w:rsidRDefault="00F5600A">
      <w:pPr>
        <w:rPr>
          <w:rFonts w:ascii="Palatino Linotype" w:hAnsi="Palatino Linotype"/>
          <w:b/>
          <w:sz w:val="24"/>
          <w:szCs w:val="24"/>
        </w:rPr>
      </w:pPr>
      <w:r w:rsidRPr="0008237E">
        <w:rPr>
          <w:rFonts w:ascii="Palatino Linotype" w:hAnsi="Palatino Linotype"/>
          <w:b/>
          <w:sz w:val="24"/>
          <w:szCs w:val="24"/>
        </w:rPr>
        <w:t>ENERGY DIVISION</w:t>
      </w:r>
      <w:r w:rsidRPr="00425928">
        <w:rPr>
          <w:rFonts w:ascii="Helvetica" w:hAnsi="Helvetica"/>
          <w:b/>
        </w:rPr>
        <w:tab/>
      </w:r>
      <w:r w:rsidRPr="00425928">
        <w:rPr>
          <w:rFonts w:ascii="Helvetica" w:hAnsi="Helvetica"/>
          <w:b/>
        </w:rPr>
        <w:tab/>
      </w:r>
      <w:r w:rsidRPr="00425928">
        <w:rPr>
          <w:rFonts w:ascii="Helvetica" w:hAnsi="Helvetica"/>
          <w:b/>
        </w:rPr>
        <w:tab/>
      </w:r>
      <w:r w:rsidRPr="00425928">
        <w:rPr>
          <w:rFonts w:ascii="Helvetica" w:hAnsi="Helvetica"/>
          <w:b/>
        </w:rPr>
        <w:tab/>
      </w:r>
      <w:r w:rsidRPr="00425928">
        <w:rPr>
          <w:rFonts w:ascii="Helvetica" w:hAnsi="Helvetica"/>
          <w:b/>
        </w:rPr>
        <w:tab/>
      </w:r>
      <w:r w:rsidRPr="0008237E">
        <w:rPr>
          <w:rFonts w:ascii="Palatino Linotype" w:hAnsi="Palatino Linotype"/>
          <w:b/>
          <w:sz w:val="24"/>
          <w:szCs w:val="24"/>
        </w:rPr>
        <w:t xml:space="preserve">           </w:t>
      </w:r>
      <w:r>
        <w:rPr>
          <w:rFonts w:ascii="Palatino Linotype" w:hAnsi="Palatino Linotype"/>
          <w:b/>
          <w:sz w:val="24"/>
          <w:szCs w:val="24"/>
        </w:rPr>
        <w:t xml:space="preserve">        </w:t>
      </w:r>
      <w:r w:rsidRPr="00A46908">
        <w:rPr>
          <w:rFonts w:ascii="Palatino Linotype" w:hAnsi="Palatino Linotype"/>
          <w:b/>
          <w:sz w:val="24"/>
          <w:szCs w:val="24"/>
        </w:rPr>
        <w:t>RESOLUTION E</w:t>
      </w:r>
      <w:r w:rsidR="00E27FD9" w:rsidRPr="00A46908">
        <w:rPr>
          <w:rFonts w:ascii="Palatino Linotype" w:hAnsi="Palatino Linotype"/>
          <w:b/>
          <w:sz w:val="24"/>
          <w:szCs w:val="24"/>
        </w:rPr>
        <w:t>-</w:t>
      </w:r>
      <w:r w:rsidR="00D73BDF">
        <w:rPr>
          <w:rFonts w:ascii="Palatino Linotype" w:hAnsi="Palatino Linotype"/>
          <w:b/>
          <w:sz w:val="24"/>
          <w:szCs w:val="24"/>
        </w:rPr>
        <w:t>4593</w:t>
      </w:r>
    </w:p>
    <w:p w14:paraId="4820E600" w14:textId="77777777" w:rsidR="00F5600A" w:rsidRPr="0008237E" w:rsidRDefault="00F5600A" w:rsidP="00465123">
      <w:pPr>
        <w:tabs>
          <w:tab w:val="right" w:pos="8910"/>
        </w:tabs>
        <w:ind w:left="1440" w:firstLine="720"/>
        <w:jc w:val="right"/>
        <w:rPr>
          <w:rFonts w:ascii="Palatino Linotype" w:hAnsi="Palatino Linotype"/>
          <w:b/>
          <w:sz w:val="24"/>
          <w:szCs w:val="24"/>
        </w:rPr>
      </w:pPr>
      <w:r>
        <w:rPr>
          <w:rFonts w:ascii="Palatino Linotype" w:hAnsi="Palatino Linotype"/>
          <w:b/>
          <w:sz w:val="24"/>
          <w:szCs w:val="24"/>
        </w:rPr>
        <w:t xml:space="preserve">                                                                               </w:t>
      </w:r>
      <w:r w:rsidR="00D73BDF">
        <w:rPr>
          <w:rFonts w:ascii="Palatino Linotype" w:hAnsi="Palatino Linotype"/>
          <w:b/>
          <w:sz w:val="24"/>
          <w:szCs w:val="24"/>
        </w:rPr>
        <w:t>June 27,</w:t>
      </w:r>
      <w:r w:rsidR="004356E0">
        <w:rPr>
          <w:rFonts w:ascii="Palatino Linotype" w:hAnsi="Palatino Linotype"/>
          <w:b/>
          <w:sz w:val="24"/>
          <w:szCs w:val="24"/>
        </w:rPr>
        <w:t xml:space="preserve"> 2013</w:t>
      </w:r>
    </w:p>
    <w:p w14:paraId="31246944" w14:textId="77777777" w:rsidR="00F5600A" w:rsidRPr="00425928" w:rsidRDefault="00F5600A">
      <w:pPr>
        <w:tabs>
          <w:tab w:val="right" w:pos="8910"/>
        </w:tabs>
        <w:ind w:left="1440" w:firstLine="720"/>
        <w:rPr>
          <w:rFonts w:ascii="Helvetica" w:hAnsi="Helvetica"/>
          <w:b/>
        </w:rPr>
      </w:pPr>
    </w:p>
    <w:p w14:paraId="5CE72952" w14:textId="77777777" w:rsidR="00F5600A" w:rsidRPr="00425928" w:rsidRDefault="00F5600A" w:rsidP="00F5600A">
      <w:pPr>
        <w:pStyle w:val="mainex"/>
        <w:rPr>
          <w:u w:val="single"/>
        </w:rPr>
      </w:pPr>
      <w:bookmarkStart w:id="1" w:name="_Ref404993683"/>
      <w:r w:rsidRPr="00425928">
        <w:rPr>
          <w:u w:val="single"/>
        </w:rPr>
        <w:t>RESOLUTION</w:t>
      </w:r>
    </w:p>
    <w:p w14:paraId="2B2923E7" w14:textId="77777777" w:rsidR="00F5600A" w:rsidRPr="00600701" w:rsidRDefault="00F5600A">
      <w:pPr>
        <w:rPr>
          <w:rFonts w:ascii="Palatino Linotype" w:hAnsi="Palatino Linotype"/>
        </w:rPr>
      </w:pPr>
    </w:p>
    <w:p w14:paraId="64532B15" w14:textId="77777777" w:rsidR="00F5600A" w:rsidRPr="00600701" w:rsidRDefault="00F5600A" w:rsidP="00A33ECC">
      <w:pPr>
        <w:pStyle w:val="Res-Caption"/>
        <w:spacing w:after="240"/>
        <w:rPr>
          <w:rFonts w:ascii="Palatino Linotype" w:hAnsi="Palatino Linotype"/>
        </w:rPr>
      </w:pPr>
      <w:r w:rsidRPr="00A46908">
        <w:rPr>
          <w:rFonts w:ascii="Palatino Linotype" w:hAnsi="Palatino Linotype"/>
        </w:rPr>
        <w:t>Resolution E-</w:t>
      </w:r>
      <w:r w:rsidR="00E27FD9" w:rsidRPr="00A46908">
        <w:rPr>
          <w:rFonts w:ascii="Palatino Linotype" w:hAnsi="Palatino Linotype"/>
        </w:rPr>
        <w:t>4</w:t>
      </w:r>
      <w:r w:rsidR="0069614E">
        <w:rPr>
          <w:rFonts w:ascii="Palatino Linotype" w:hAnsi="Palatino Linotype"/>
        </w:rPr>
        <w:t>5</w:t>
      </w:r>
      <w:r w:rsidR="00D73BDF">
        <w:rPr>
          <w:rFonts w:ascii="Palatino Linotype" w:hAnsi="Palatino Linotype"/>
        </w:rPr>
        <w:t>93</w:t>
      </w:r>
      <w:r w:rsidRPr="00A46908">
        <w:rPr>
          <w:rFonts w:ascii="Palatino Linotype" w:hAnsi="Palatino Linotype"/>
        </w:rPr>
        <w:t>.</w:t>
      </w:r>
      <w:r w:rsidR="00BE685E">
        <w:rPr>
          <w:rFonts w:ascii="Palatino Linotype" w:hAnsi="Palatino Linotype"/>
        </w:rPr>
        <w:t xml:space="preserve"> </w:t>
      </w:r>
      <w:r>
        <w:rPr>
          <w:rFonts w:ascii="Palatino Linotype" w:hAnsi="Palatino Linotype"/>
        </w:rPr>
        <w:t xml:space="preserve"> </w:t>
      </w:r>
      <w:r w:rsidR="00D73BDF">
        <w:rPr>
          <w:rFonts w:ascii="Palatino Linotype" w:hAnsi="Palatino Linotype"/>
        </w:rPr>
        <w:t>Southern California Edison</w:t>
      </w:r>
      <w:r w:rsidR="00AC4FAD">
        <w:rPr>
          <w:rFonts w:ascii="Palatino Linotype" w:hAnsi="Palatino Linotype"/>
        </w:rPr>
        <w:t xml:space="preserve"> (SCE)</w:t>
      </w:r>
      <w:r w:rsidR="00D73BDF">
        <w:rPr>
          <w:rFonts w:ascii="Palatino Linotype" w:hAnsi="Palatino Linotype"/>
        </w:rPr>
        <w:t xml:space="preserve"> requests </w:t>
      </w:r>
      <w:r w:rsidR="00D34D9A">
        <w:rPr>
          <w:rFonts w:ascii="Palatino Linotype" w:hAnsi="Palatino Linotype"/>
        </w:rPr>
        <w:t xml:space="preserve">       </w:t>
      </w:r>
      <w:r w:rsidR="00D73BDF">
        <w:rPr>
          <w:rFonts w:ascii="Palatino Linotype" w:hAnsi="Palatino Linotype"/>
        </w:rPr>
        <w:t xml:space="preserve">(1) </w:t>
      </w:r>
      <w:r w:rsidR="00E72302">
        <w:rPr>
          <w:rFonts w:ascii="Palatino Linotype" w:hAnsi="Palatino Linotype"/>
        </w:rPr>
        <w:t xml:space="preserve">Commission approval and </w:t>
      </w:r>
      <w:r w:rsidR="00EE5C33">
        <w:rPr>
          <w:rFonts w:ascii="Palatino Linotype" w:hAnsi="Palatino Linotype"/>
        </w:rPr>
        <w:t xml:space="preserve">cost </w:t>
      </w:r>
      <w:r w:rsidR="00E10635">
        <w:rPr>
          <w:rFonts w:ascii="Palatino Linotype" w:hAnsi="Palatino Linotype"/>
        </w:rPr>
        <w:t>recovery for</w:t>
      </w:r>
      <w:r w:rsidR="00D73BDF">
        <w:rPr>
          <w:rFonts w:ascii="Palatino Linotype" w:hAnsi="Palatino Linotype"/>
        </w:rPr>
        <w:t xml:space="preserve"> </w:t>
      </w:r>
      <w:r w:rsidR="00E97321">
        <w:rPr>
          <w:rFonts w:ascii="Palatino Linotype" w:hAnsi="Palatino Linotype"/>
        </w:rPr>
        <w:t>seventy-five</w:t>
      </w:r>
      <w:r w:rsidR="00D73BDF">
        <w:rPr>
          <w:rFonts w:ascii="Palatino Linotype" w:hAnsi="Palatino Linotype"/>
        </w:rPr>
        <w:t xml:space="preserve"> renewable energy power purchase agreements</w:t>
      </w:r>
      <w:r w:rsidR="00C07B14">
        <w:rPr>
          <w:rFonts w:ascii="Palatino Linotype" w:hAnsi="Palatino Linotype"/>
        </w:rPr>
        <w:t xml:space="preserve"> </w:t>
      </w:r>
      <w:r w:rsidR="00AC4FAD">
        <w:rPr>
          <w:rFonts w:ascii="Palatino Linotype" w:hAnsi="Palatino Linotype"/>
        </w:rPr>
        <w:t xml:space="preserve">(PPAs) </w:t>
      </w:r>
      <w:r w:rsidR="00C07B14">
        <w:rPr>
          <w:rFonts w:ascii="Palatino Linotype" w:hAnsi="Palatino Linotype"/>
        </w:rPr>
        <w:t>using its standard feed-in tariff CREST contract previously auth</w:t>
      </w:r>
      <w:r w:rsidR="00E97321">
        <w:rPr>
          <w:rFonts w:ascii="Palatino Linotype" w:hAnsi="Palatino Linotype"/>
        </w:rPr>
        <w:t xml:space="preserve">orized by the Commission, </w:t>
      </w:r>
      <w:r w:rsidR="00A77547">
        <w:rPr>
          <w:rFonts w:ascii="Palatino Linotype" w:hAnsi="Palatino Linotype"/>
        </w:rPr>
        <w:t xml:space="preserve">and </w:t>
      </w:r>
      <w:r w:rsidR="00E97321">
        <w:rPr>
          <w:rFonts w:ascii="Palatino Linotype" w:hAnsi="Palatino Linotype"/>
        </w:rPr>
        <w:t xml:space="preserve">(2) </w:t>
      </w:r>
      <w:r w:rsidR="00E72302">
        <w:rPr>
          <w:rFonts w:ascii="Palatino Linotype" w:hAnsi="Palatino Linotype"/>
        </w:rPr>
        <w:t xml:space="preserve">Commission approval and </w:t>
      </w:r>
      <w:r w:rsidR="00EE5C33">
        <w:rPr>
          <w:rFonts w:ascii="Palatino Linotype" w:hAnsi="Palatino Linotype"/>
        </w:rPr>
        <w:t xml:space="preserve">cost </w:t>
      </w:r>
      <w:r w:rsidR="00E97321">
        <w:rPr>
          <w:rFonts w:ascii="Palatino Linotype" w:hAnsi="Palatino Linotype"/>
        </w:rPr>
        <w:t>recovery for five additional renewable energy power purchase agreements using its standard feed-in tariff CR</w:t>
      </w:r>
      <w:r w:rsidR="00A77547">
        <w:rPr>
          <w:rFonts w:ascii="Palatino Linotype" w:hAnsi="Palatino Linotype"/>
        </w:rPr>
        <w:t xml:space="preserve">EST contract </w:t>
      </w:r>
      <w:r w:rsidR="00C06B7D">
        <w:rPr>
          <w:rFonts w:ascii="Palatino Linotype" w:hAnsi="Palatino Linotype"/>
        </w:rPr>
        <w:t>modified with one</w:t>
      </w:r>
      <w:r w:rsidR="00A77547">
        <w:rPr>
          <w:rFonts w:ascii="Palatino Linotype" w:hAnsi="Palatino Linotype"/>
        </w:rPr>
        <w:t xml:space="preserve"> amendment.</w:t>
      </w:r>
      <w:r w:rsidR="00E51DF7">
        <w:rPr>
          <w:rFonts w:ascii="Palatino Linotype" w:hAnsi="Palatino Linotype"/>
        </w:rPr>
        <w:t xml:space="preserve"> </w:t>
      </w:r>
    </w:p>
    <w:p w14:paraId="65A8C07C" w14:textId="77777777" w:rsidR="00E97321" w:rsidRDefault="00F5600A" w:rsidP="00A33ECC">
      <w:pPr>
        <w:pStyle w:val="Res-Caption"/>
        <w:spacing w:after="240"/>
        <w:rPr>
          <w:rFonts w:ascii="Palatino Linotype" w:hAnsi="Palatino Linotype"/>
        </w:rPr>
      </w:pPr>
      <w:r w:rsidRPr="00600701">
        <w:rPr>
          <w:rFonts w:ascii="Palatino Linotype" w:hAnsi="Palatino Linotype"/>
        </w:rPr>
        <w:t xml:space="preserve">PROPOSED OUTCOME:  This Resolution approves </w:t>
      </w:r>
      <w:r w:rsidR="007503C8">
        <w:rPr>
          <w:rFonts w:ascii="Palatino Linotype" w:hAnsi="Palatino Linotype"/>
        </w:rPr>
        <w:t>eighty</w:t>
      </w:r>
      <w:r w:rsidR="00E97321">
        <w:rPr>
          <w:rFonts w:ascii="Palatino Linotype" w:hAnsi="Palatino Linotype"/>
        </w:rPr>
        <w:t xml:space="preserve"> (</w:t>
      </w:r>
      <w:r w:rsidR="007503C8">
        <w:rPr>
          <w:rFonts w:ascii="Palatino Linotype" w:hAnsi="Palatino Linotype"/>
        </w:rPr>
        <w:t>80</w:t>
      </w:r>
      <w:r w:rsidR="00E97321">
        <w:rPr>
          <w:rFonts w:ascii="Palatino Linotype" w:hAnsi="Palatino Linotype"/>
        </w:rPr>
        <w:t xml:space="preserve">) long-term </w:t>
      </w:r>
      <w:r w:rsidR="00282078">
        <w:rPr>
          <w:rFonts w:ascii="Palatino Linotype" w:hAnsi="Palatino Linotype"/>
        </w:rPr>
        <w:t>renewable energy power purchase agreements using Southern California Edison’s standard feed-in tariff CREST contract</w:t>
      </w:r>
      <w:r w:rsidR="00E97321">
        <w:rPr>
          <w:rFonts w:ascii="Palatino Linotype" w:hAnsi="Palatino Linotype"/>
        </w:rPr>
        <w:t xml:space="preserve">. </w:t>
      </w:r>
    </w:p>
    <w:p w14:paraId="15ED388E" w14:textId="77777777" w:rsidR="003877E2" w:rsidRDefault="003877E2" w:rsidP="00A33ECC">
      <w:pPr>
        <w:pStyle w:val="Res-Caption"/>
        <w:spacing w:after="240"/>
        <w:rPr>
          <w:rFonts w:ascii="Palatino Linotype" w:hAnsi="Palatino Linotype"/>
        </w:rPr>
      </w:pPr>
      <w:r>
        <w:rPr>
          <w:rFonts w:ascii="Palatino Linotype" w:hAnsi="Palatino Linotype"/>
        </w:rPr>
        <w:t xml:space="preserve">Advice Letter 2870-E/E-A is approved with modification. </w:t>
      </w:r>
    </w:p>
    <w:p w14:paraId="489F5B74" w14:textId="77777777" w:rsidR="003877E2" w:rsidRDefault="0057489A" w:rsidP="003877E2">
      <w:pPr>
        <w:pStyle w:val="Res-Caption"/>
        <w:spacing w:after="240"/>
        <w:rPr>
          <w:rFonts w:ascii="Palatino Linotype" w:hAnsi="Palatino Linotype" w:cs="BookAntiqua"/>
          <w:szCs w:val="26"/>
        </w:rPr>
      </w:pPr>
      <w:r>
        <w:t xml:space="preserve">SAFETY CONSIDERATIONS:  </w:t>
      </w:r>
      <w:r w:rsidR="0063779B" w:rsidRPr="0063779B">
        <w:rPr>
          <w:bCs/>
        </w:rPr>
        <w:t xml:space="preserve">This resolution approves </w:t>
      </w:r>
      <w:r w:rsidR="00EE5C33">
        <w:rPr>
          <w:bCs/>
        </w:rPr>
        <w:t xml:space="preserve">cost </w:t>
      </w:r>
      <w:r w:rsidR="00282078">
        <w:rPr>
          <w:bCs/>
        </w:rPr>
        <w:t>recovery for 80</w:t>
      </w:r>
      <w:r w:rsidR="00E51DF7">
        <w:rPr>
          <w:bCs/>
        </w:rPr>
        <w:t xml:space="preserve"> separate power purchase agreements between Southern California Edison and various counterparties.</w:t>
      </w:r>
      <w:r w:rsidR="00E97321">
        <w:rPr>
          <w:bCs/>
        </w:rPr>
        <w:t xml:space="preserve"> </w:t>
      </w:r>
      <w:r w:rsidR="003877E2">
        <w:rPr>
          <w:bCs/>
        </w:rPr>
        <w:t xml:space="preserve">Based on the information provided by SCE, approval of these PPAs is not expected to result in any adverse safety impacts on the facilities or operations of SCE. </w:t>
      </w:r>
    </w:p>
    <w:p w14:paraId="24845000" w14:textId="77777777" w:rsidR="00AF3B9F" w:rsidRDefault="00E4731F" w:rsidP="00AF3B9F">
      <w:pPr>
        <w:pStyle w:val="Res-Caption"/>
        <w:rPr>
          <w:szCs w:val="26"/>
        </w:rPr>
      </w:pPr>
      <w:r w:rsidRPr="00B95137">
        <w:rPr>
          <w:rFonts w:ascii="Palatino Linotype" w:hAnsi="Palatino Linotype" w:cs="BookAntiqua"/>
          <w:szCs w:val="26"/>
        </w:rPr>
        <w:t xml:space="preserve">ESTIMATED COST: </w:t>
      </w:r>
      <w:r w:rsidR="00BE685E">
        <w:rPr>
          <w:rFonts w:ascii="Palatino Linotype" w:hAnsi="Palatino Linotype" w:cs="BookAntiqua"/>
          <w:szCs w:val="26"/>
        </w:rPr>
        <w:t xml:space="preserve"> </w:t>
      </w:r>
      <w:r w:rsidR="00830AD0">
        <w:rPr>
          <w:rFonts w:ascii="Palatino Linotype" w:hAnsi="Palatino Linotype" w:cs="BookAntiqua"/>
          <w:szCs w:val="26"/>
        </w:rPr>
        <w:t>Approximately $35 million per year for 20 years</w:t>
      </w:r>
      <w:r w:rsidR="003F38CB">
        <w:rPr>
          <w:rFonts w:ascii="Palatino Linotype" w:hAnsi="Palatino Linotype" w:cs="BookAntiqua"/>
          <w:szCs w:val="26"/>
        </w:rPr>
        <w:t>. Approximately $696 million over the life of the eighty contracts. (nominal)</w:t>
      </w:r>
    </w:p>
    <w:p w14:paraId="02FDE832" w14:textId="77777777" w:rsidR="00AF3B9F" w:rsidRDefault="00AF3B9F">
      <w:pPr>
        <w:pStyle w:val="Res-Caption"/>
        <w:rPr>
          <w:rFonts w:ascii="Palatino Linotype" w:hAnsi="Palatino Linotype"/>
        </w:rPr>
      </w:pPr>
    </w:p>
    <w:p w14:paraId="61C1719F" w14:textId="77777777" w:rsidR="00F5600A" w:rsidRPr="00600701" w:rsidRDefault="00DA3EF7" w:rsidP="00A77547">
      <w:pPr>
        <w:pStyle w:val="Res-Caption"/>
        <w:rPr>
          <w:rFonts w:ascii="Palatino Linotype" w:hAnsi="Palatino Linotype"/>
        </w:rPr>
      </w:pPr>
      <w:r w:rsidRPr="00A33ECC">
        <w:rPr>
          <w:rFonts w:ascii="Palatino Linotype" w:hAnsi="Palatino Linotype"/>
        </w:rPr>
        <w:t>By</w:t>
      </w:r>
      <w:r w:rsidR="00F5600A" w:rsidRPr="00A33ECC">
        <w:rPr>
          <w:rFonts w:ascii="Palatino Linotype" w:hAnsi="Palatino Linotype"/>
        </w:rPr>
        <w:t xml:space="preserve"> </w:t>
      </w:r>
      <w:r w:rsidR="00C07B14">
        <w:rPr>
          <w:rFonts w:ascii="Palatino Linotype" w:hAnsi="Palatino Linotype"/>
        </w:rPr>
        <w:t>Advice Letter</w:t>
      </w:r>
      <w:r w:rsidR="00A77547">
        <w:rPr>
          <w:rFonts w:ascii="Palatino Linotype" w:hAnsi="Palatino Linotype"/>
        </w:rPr>
        <w:t xml:space="preserve"> 2870-E filed on March 26, 2013 and</w:t>
      </w:r>
      <w:r w:rsidR="00E51DF7">
        <w:rPr>
          <w:rFonts w:ascii="Palatino Linotype" w:hAnsi="Palatino Linotype"/>
        </w:rPr>
        <w:t xml:space="preserve"> </w:t>
      </w:r>
      <w:r w:rsidR="003877E2">
        <w:rPr>
          <w:rFonts w:ascii="Palatino Linotype" w:hAnsi="Palatino Linotype"/>
        </w:rPr>
        <w:t xml:space="preserve">supplemental </w:t>
      </w:r>
      <w:r w:rsidR="00E51DF7">
        <w:rPr>
          <w:rFonts w:ascii="Palatino Linotype" w:hAnsi="Palatino Linotype"/>
        </w:rPr>
        <w:t xml:space="preserve">Advice Letter 2870-E-A filed on April 22, 2013. </w:t>
      </w:r>
      <w:r w:rsidR="00F5600A" w:rsidRPr="00600701">
        <w:rPr>
          <w:rFonts w:ascii="Palatino Linotype" w:hAnsi="Palatino Linotype"/>
        </w:rPr>
        <w:t>__________________________________________________________</w:t>
      </w:r>
    </w:p>
    <w:p w14:paraId="5530C817" w14:textId="77777777" w:rsidR="00F5600A" w:rsidRDefault="00F5600A">
      <w:pPr>
        <w:rPr>
          <w:rFonts w:ascii="Palatino Linotype" w:hAnsi="Palatino Linotype"/>
          <w:b/>
        </w:rPr>
      </w:pPr>
    </w:p>
    <w:p w14:paraId="4B78F757" w14:textId="77777777" w:rsidR="00F5600A" w:rsidRPr="00425928" w:rsidRDefault="00F5600A" w:rsidP="00F5600A">
      <w:pPr>
        <w:pStyle w:val="Heading1"/>
        <w:spacing w:before="0" w:after="120"/>
        <w:rPr>
          <w:rFonts w:ascii="Palatino Linotype" w:hAnsi="Palatino Linotype"/>
        </w:rPr>
      </w:pPr>
      <w:r w:rsidRPr="00600701">
        <w:lastRenderedPageBreak/>
        <w:t>Summary</w:t>
      </w:r>
      <w:bookmarkEnd w:id="1"/>
    </w:p>
    <w:p w14:paraId="7AB5AE67" w14:textId="77777777" w:rsidR="00872C34" w:rsidRPr="00150617" w:rsidRDefault="00D357F3" w:rsidP="00872C34">
      <w:pPr>
        <w:autoSpaceDE w:val="0"/>
        <w:autoSpaceDN w:val="0"/>
        <w:adjustRightInd w:val="0"/>
        <w:spacing w:after="120"/>
        <w:rPr>
          <w:rFonts w:cs="BookAntiqua,Bold"/>
          <w:b/>
          <w:szCs w:val="26"/>
          <w:lang w:eastAsia="ko-KR"/>
        </w:rPr>
      </w:pPr>
      <w:r>
        <w:rPr>
          <w:b/>
          <w:szCs w:val="26"/>
        </w:rPr>
        <w:t>Southern California Edison’s</w:t>
      </w:r>
      <w:r w:rsidR="00872C34">
        <w:rPr>
          <w:b/>
          <w:szCs w:val="26"/>
        </w:rPr>
        <w:t xml:space="preserve"> </w:t>
      </w:r>
      <w:r>
        <w:rPr>
          <w:b/>
          <w:szCs w:val="26"/>
        </w:rPr>
        <w:t xml:space="preserve">eighty </w:t>
      </w:r>
      <w:r w:rsidR="00872C34">
        <w:rPr>
          <w:rFonts w:cs="BookAntiqua,Bold"/>
          <w:b/>
          <w:bCs/>
          <w:szCs w:val="26"/>
          <w:lang w:eastAsia="ko-KR"/>
        </w:rPr>
        <w:t>renewable energy power purchase agreement</w:t>
      </w:r>
      <w:r>
        <w:rPr>
          <w:rFonts w:cs="BookAntiqua,Bold"/>
          <w:b/>
          <w:bCs/>
          <w:szCs w:val="26"/>
          <w:lang w:eastAsia="ko-KR"/>
        </w:rPr>
        <w:t>s</w:t>
      </w:r>
      <w:r w:rsidR="00872C34">
        <w:rPr>
          <w:rFonts w:cs="BookAntiqua,Bold"/>
          <w:b/>
          <w:bCs/>
          <w:szCs w:val="26"/>
          <w:lang w:eastAsia="ko-KR"/>
        </w:rPr>
        <w:t xml:space="preserve"> </w:t>
      </w:r>
      <w:r>
        <w:rPr>
          <w:rFonts w:cs="BookAntiqua,Bold"/>
          <w:b/>
          <w:bCs/>
          <w:szCs w:val="26"/>
          <w:lang w:eastAsia="ko-KR"/>
        </w:rPr>
        <w:t xml:space="preserve">countersigned by various parties </w:t>
      </w:r>
      <w:r w:rsidR="003A3858">
        <w:rPr>
          <w:rFonts w:cs="BookAntiqua,Bold"/>
          <w:b/>
          <w:bCs/>
          <w:szCs w:val="26"/>
          <w:lang w:eastAsia="ko-KR"/>
        </w:rPr>
        <w:t xml:space="preserve">pursuant to </w:t>
      </w:r>
      <w:r>
        <w:rPr>
          <w:rFonts w:cs="BookAntiqua,Bold"/>
          <w:b/>
          <w:bCs/>
          <w:szCs w:val="26"/>
          <w:lang w:eastAsia="ko-KR"/>
        </w:rPr>
        <w:t>the California Renewable Energy Small Tariff (CREST)</w:t>
      </w:r>
      <w:r>
        <w:rPr>
          <w:b/>
          <w:szCs w:val="26"/>
        </w:rPr>
        <w:t xml:space="preserve"> comply </w:t>
      </w:r>
      <w:r w:rsidR="00872C34">
        <w:rPr>
          <w:rFonts w:cs="BookAntiqua,Bold"/>
          <w:b/>
          <w:bCs/>
          <w:szCs w:val="26"/>
          <w:lang w:eastAsia="ko-KR"/>
        </w:rPr>
        <w:t xml:space="preserve">with </w:t>
      </w:r>
      <w:r>
        <w:rPr>
          <w:rFonts w:cs="BookAntiqua,Bold"/>
          <w:b/>
          <w:bCs/>
          <w:szCs w:val="26"/>
          <w:lang w:eastAsia="ko-KR"/>
        </w:rPr>
        <w:t>Commission Decision (D.) 07-07-027</w:t>
      </w:r>
      <w:r w:rsidR="00872C34">
        <w:rPr>
          <w:rFonts w:cs="BookAntiqua,Bold"/>
          <w:b/>
          <w:bCs/>
          <w:szCs w:val="26"/>
          <w:lang w:eastAsia="ko-KR"/>
        </w:rPr>
        <w:t xml:space="preserve"> and </w:t>
      </w:r>
      <w:r>
        <w:rPr>
          <w:rFonts w:cs="BookAntiqua,Bold"/>
          <w:b/>
          <w:bCs/>
          <w:szCs w:val="26"/>
          <w:lang w:eastAsia="ko-KR"/>
        </w:rPr>
        <w:t>are approved</w:t>
      </w:r>
      <w:r w:rsidR="00872C34">
        <w:rPr>
          <w:rFonts w:cs="BookAntiqua,Bold"/>
          <w:b/>
          <w:bCs/>
          <w:szCs w:val="26"/>
          <w:lang w:eastAsia="ko-KR"/>
        </w:rPr>
        <w:t>.</w:t>
      </w:r>
      <w:r>
        <w:rPr>
          <w:rFonts w:cs="BookAntiqua,Bold"/>
          <w:b/>
          <w:bCs/>
          <w:szCs w:val="26"/>
          <w:lang w:eastAsia="ko-KR"/>
        </w:rPr>
        <w:t xml:space="preserve"> </w:t>
      </w:r>
    </w:p>
    <w:p w14:paraId="26F0918B" w14:textId="77777777" w:rsidR="00574DA1" w:rsidRDefault="00574DA1" w:rsidP="00574DA1">
      <w:pPr>
        <w:spacing w:after="120"/>
        <w:rPr>
          <w:rFonts w:ascii="Palatino Linotype" w:hAnsi="Palatino Linotype" w:cs="BookAntiqua"/>
          <w:szCs w:val="26"/>
        </w:rPr>
      </w:pPr>
      <w:r>
        <w:rPr>
          <w:rFonts w:ascii="Palatino Linotype" w:hAnsi="Palatino Linotype" w:cs="BookAntiqua"/>
          <w:szCs w:val="26"/>
        </w:rPr>
        <w:t>Pursuant to D.07-07-027, the cost of feed-in tariff contracts executed up to the tariff capacity caps as authorized by that decision are considered per se reasonable, in the public interest, and recoverable in rates over the life of the contracts.</w:t>
      </w:r>
      <w:r>
        <w:rPr>
          <w:rStyle w:val="FootnoteReference"/>
          <w:rFonts w:ascii="Palatino Linotype" w:hAnsi="Palatino Linotype" w:cs="BookAntiqua"/>
          <w:szCs w:val="26"/>
        </w:rPr>
        <w:footnoteReference w:id="2"/>
      </w:r>
      <w:r>
        <w:rPr>
          <w:rFonts w:ascii="Palatino Linotype" w:hAnsi="Palatino Linotype" w:cs="BookAntiqua"/>
          <w:szCs w:val="26"/>
        </w:rPr>
        <w:t xml:space="preserve"> As a result, unlike traditional RPS procurement, Commission approval of feed-in tariff contracts up to the pre-authorized capacity cap is considered automatic without the need for additional Commission review via submission of an advice letter or any other process. </w:t>
      </w:r>
      <w:r w:rsidR="00DC17B1">
        <w:rPr>
          <w:rFonts w:ascii="Palatino Linotype" w:hAnsi="Palatino Linotype" w:cs="BookAntiqua"/>
          <w:szCs w:val="26"/>
        </w:rPr>
        <w:t xml:space="preserve">However, </w:t>
      </w:r>
      <w:r w:rsidR="00DC17B1">
        <w:rPr>
          <w:szCs w:val="26"/>
        </w:rPr>
        <w:t xml:space="preserve">D.07-07-027 </w:t>
      </w:r>
      <w:r w:rsidR="007553D7">
        <w:rPr>
          <w:szCs w:val="26"/>
        </w:rPr>
        <w:t xml:space="preserve">also </w:t>
      </w:r>
      <w:r w:rsidR="00DC17B1">
        <w:rPr>
          <w:szCs w:val="26"/>
        </w:rPr>
        <w:t>authorized the utility to engage in voluntary procurement beyond its authorized capacity cap for the program (herein referred to as “oversubscription”), subject to Commission review of the additional procurement via the advice letter process</w:t>
      </w:r>
      <w:r>
        <w:rPr>
          <w:rFonts w:ascii="Palatino Linotype" w:hAnsi="Palatino Linotype" w:cs="BookAntiqua"/>
          <w:szCs w:val="26"/>
        </w:rPr>
        <w:t>.</w:t>
      </w:r>
      <w:r w:rsidR="00DC17B1">
        <w:rPr>
          <w:rStyle w:val="FootnoteReference"/>
          <w:rFonts w:ascii="Palatino Linotype" w:hAnsi="Palatino Linotype" w:cs="BookAntiqua"/>
          <w:szCs w:val="26"/>
        </w:rPr>
        <w:footnoteReference w:id="3"/>
      </w:r>
      <w:r>
        <w:rPr>
          <w:rFonts w:ascii="Palatino Linotype" w:hAnsi="Palatino Linotype" w:cs="BookAntiqua"/>
          <w:szCs w:val="26"/>
        </w:rPr>
        <w:t xml:space="preserve"> </w:t>
      </w:r>
    </w:p>
    <w:p w14:paraId="760C392A" w14:textId="77777777" w:rsidR="00150617" w:rsidRDefault="00150617" w:rsidP="00150617">
      <w:pPr>
        <w:spacing w:after="120"/>
      </w:pPr>
      <w:r>
        <w:t>Southern California Edison</w:t>
      </w:r>
      <w:r w:rsidR="00872C34">
        <w:t xml:space="preserve"> (</w:t>
      </w:r>
      <w:r>
        <w:t>SC</w:t>
      </w:r>
      <w:r w:rsidR="00872C34">
        <w:t xml:space="preserve">E) filed Advice Letter </w:t>
      </w:r>
      <w:r>
        <w:t>2870-</w:t>
      </w:r>
      <w:r w:rsidR="00872C34">
        <w:t xml:space="preserve">E on </w:t>
      </w:r>
      <w:r>
        <w:t>March 26, 2013</w:t>
      </w:r>
      <w:r w:rsidR="00872C34">
        <w:t xml:space="preserve"> requesting California Public Utilities Commission (Commission) approval of </w:t>
      </w:r>
      <w:r>
        <w:t>seventy-five (75)</w:t>
      </w:r>
      <w:r w:rsidR="00872C34">
        <w:t xml:space="preserve"> renewable energy power purchase agreement</w:t>
      </w:r>
      <w:r>
        <w:t>s (PPAs) using SCE’s standard feed-in tariff CREST contract, as previously authorized by the Commission.</w:t>
      </w:r>
      <w:r w:rsidR="00277A70">
        <w:t xml:space="preserve"> These 75 PPAs represent</w:t>
      </w:r>
      <w:r w:rsidR="0026745B">
        <w:t xml:space="preserve"> 105.53 MW</w:t>
      </w:r>
      <w:r w:rsidR="00277A70">
        <w:t xml:space="preserve"> </w:t>
      </w:r>
      <w:r w:rsidR="0026745B">
        <w:t>of capacity</w:t>
      </w:r>
      <w:r w:rsidR="00574DA1">
        <w:t xml:space="preserve"> in excess of the capacity target authorized by D.07-07-027 and Resolution E-4137 for SCE’s CREST tariff</w:t>
      </w:r>
      <w:r w:rsidR="0026745B">
        <w:t>.</w:t>
      </w:r>
      <w:r w:rsidR="00872C34">
        <w:t xml:space="preserve"> </w:t>
      </w:r>
    </w:p>
    <w:p w14:paraId="4DF9FEE3" w14:textId="77777777" w:rsidR="00872C34" w:rsidRPr="0070584C" w:rsidRDefault="00872C34" w:rsidP="00872C34">
      <w:pPr>
        <w:pStyle w:val="Caption"/>
        <w:keepNext/>
        <w:spacing w:after="120"/>
        <w:rPr>
          <w:sz w:val="26"/>
          <w:szCs w:val="26"/>
        </w:rPr>
      </w:pPr>
      <w:r w:rsidRPr="0070584C">
        <w:rPr>
          <w:sz w:val="26"/>
          <w:szCs w:val="26"/>
        </w:rPr>
        <w:t xml:space="preserve">Table </w:t>
      </w:r>
      <w:r w:rsidRPr="0070584C">
        <w:rPr>
          <w:sz w:val="26"/>
          <w:szCs w:val="26"/>
        </w:rPr>
        <w:fldChar w:fldCharType="begin"/>
      </w:r>
      <w:r w:rsidRPr="0070584C">
        <w:rPr>
          <w:sz w:val="26"/>
          <w:szCs w:val="26"/>
        </w:rPr>
        <w:instrText xml:space="preserve"> SEQ Table \* ARABIC </w:instrText>
      </w:r>
      <w:r w:rsidRPr="0070584C">
        <w:rPr>
          <w:sz w:val="26"/>
          <w:szCs w:val="26"/>
        </w:rPr>
        <w:fldChar w:fldCharType="separate"/>
      </w:r>
      <w:r w:rsidR="005B3AC8">
        <w:rPr>
          <w:noProof/>
          <w:sz w:val="26"/>
          <w:szCs w:val="26"/>
        </w:rPr>
        <w:t>1</w:t>
      </w:r>
      <w:r w:rsidRPr="0070584C">
        <w:rPr>
          <w:sz w:val="26"/>
          <w:szCs w:val="26"/>
        </w:rPr>
        <w:fldChar w:fldCharType="end"/>
      </w:r>
      <w:r w:rsidRPr="0070584C">
        <w:rPr>
          <w:sz w:val="26"/>
          <w:szCs w:val="26"/>
        </w:rPr>
        <w:t xml:space="preserve">: Summary of </w:t>
      </w:r>
      <w:r w:rsidR="00150617">
        <w:rPr>
          <w:sz w:val="26"/>
          <w:szCs w:val="26"/>
        </w:rPr>
        <w:t xml:space="preserve">75 CREST PPAs filed for approval in AL 2870-E </w:t>
      </w:r>
    </w:p>
    <w:tbl>
      <w:tblPr>
        <w:tblW w:w="10620" w:type="dxa"/>
        <w:tblInd w:w="-615" w:type="dxa"/>
        <w:tblCellMar>
          <w:left w:w="0" w:type="dxa"/>
          <w:right w:w="0" w:type="dxa"/>
        </w:tblCellMar>
        <w:tblLook w:val="04A0" w:firstRow="1" w:lastRow="0" w:firstColumn="1" w:lastColumn="0" w:noHBand="0" w:noVBand="1"/>
      </w:tblPr>
      <w:tblGrid>
        <w:gridCol w:w="2520"/>
        <w:gridCol w:w="1800"/>
        <w:gridCol w:w="900"/>
        <w:gridCol w:w="1170"/>
        <w:gridCol w:w="720"/>
        <w:gridCol w:w="810"/>
        <w:gridCol w:w="720"/>
        <w:gridCol w:w="810"/>
        <w:gridCol w:w="1170"/>
      </w:tblGrid>
      <w:tr w:rsidR="00955A96" w:rsidRPr="00D97438" w14:paraId="0F77301C" w14:textId="77777777" w:rsidTr="00D97438">
        <w:trPr>
          <w:trHeight w:val="900"/>
          <w:tblHeader/>
        </w:trPr>
        <w:tc>
          <w:tcPr>
            <w:tcW w:w="2520" w:type="dxa"/>
            <w:tcBorders>
              <w:top w:val="single" w:sz="4" w:space="0" w:color="auto"/>
              <w:left w:val="single" w:sz="4" w:space="0" w:color="auto"/>
              <w:bottom w:val="single" w:sz="4" w:space="0" w:color="auto"/>
              <w:right w:val="single" w:sz="4" w:space="0" w:color="auto"/>
            </w:tcBorders>
            <w:shd w:val="clear" w:color="000000" w:fill="969696"/>
            <w:tcMar>
              <w:top w:w="15" w:type="dxa"/>
              <w:left w:w="15" w:type="dxa"/>
              <w:bottom w:w="0" w:type="dxa"/>
              <w:right w:w="15" w:type="dxa"/>
            </w:tcMar>
            <w:vAlign w:val="center"/>
            <w:hideMark/>
          </w:tcPr>
          <w:p w14:paraId="0AB42342" w14:textId="77777777" w:rsidR="00E71858" w:rsidRPr="00D97438" w:rsidRDefault="00E71858" w:rsidP="00D97438">
            <w:pPr>
              <w:jc w:val="center"/>
              <w:rPr>
                <w:rFonts w:ascii="Palatino Linotype" w:hAnsi="Palatino Linotype"/>
                <w:b/>
                <w:bCs/>
                <w:sz w:val="20"/>
              </w:rPr>
            </w:pPr>
            <w:r w:rsidRPr="00D97438">
              <w:rPr>
                <w:rFonts w:ascii="Palatino Linotype" w:hAnsi="Palatino Linotype"/>
                <w:b/>
                <w:bCs/>
                <w:sz w:val="20"/>
              </w:rPr>
              <w:t>Project Name</w:t>
            </w:r>
          </w:p>
        </w:tc>
        <w:tc>
          <w:tcPr>
            <w:tcW w:w="1800" w:type="dxa"/>
            <w:tcBorders>
              <w:top w:val="single" w:sz="4" w:space="0" w:color="auto"/>
              <w:left w:val="nil"/>
              <w:bottom w:val="single" w:sz="4" w:space="0" w:color="auto"/>
              <w:right w:val="single" w:sz="4" w:space="0" w:color="auto"/>
            </w:tcBorders>
            <w:shd w:val="clear" w:color="000000" w:fill="969696"/>
            <w:tcMar>
              <w:top w:w="15" w:type="dxa"/>
              <w:left w:w="15" w:type="dxa"/>
              <w:bottom w:w="0" w:type="dxa"/>
              <w:right w:w="15" w:type="dxa"/>
            </w:tcMar>
            <w:vAlign w:val="center"/>
            <w:hideMark/>
          </w:tcPr>
          <w:p w14:paraId="3BB957D2" w14:textId="77777777" w:rsidR="00E71858" w:rsidRPr="00D97438" w:rsidRDefault="00E71858" w:rsidP="00D97438">
            <w:pPr>
              <w:jc w:val="center"/>
              <w:rPr>
                <w:rFonts w:ascii="Palatino Linotype" w:hAnsi="Palatino Linotype"/>
                <w:b/>
                <w:bCs/>
                <w:sz w:val="20"/>
              </w:rPr>
            </w:pPr>
            <w:r w:rsidRPr="00D97438">
              <w:rPr>
                <w:rFonts w:ascii="Palatino Linotype" w:hAnsi="Palatino Linotype"/>
                <w:b/>
                <w:bCs/>
                <w:sz w:val="20"/>
              </w:rPr>
              <w:t>Parent Company</w:t>
            </w:r>
          </w:p>
        </w:tc>
        <w:tc>
          <w:tcPr>
            <w:tcW w:w="900" w:type="dxa"/>
            <w:tcBorders>
              <w:top w:val="single" w:sz="4" w:space="0" w:color="auto"/>
              <w:left w:val="nil"/>
              <w:bottom w:val="single" w:sz="4" w:space="0" w:color="auto"/>
              <w:right w:val="single" w:sz="4" w:space="0" w:color="auto"/>
            </w:tcBorders>
            <w:shd w:val="clear" w:color="000000" w:fill="969696"/>
            <w:tcMar>
              <w:top w:w="15" w:type="dxa"/>
              <w:left w:w="15" w:type="dxa"/>
              <w:bottom w:w="0" w:type="dxa"/>
              <w:right w:w="15" w:type="dxa"/>
            </w:tcMar>
            <w:vAlign w:val="center"/>
            <w:hideMark/>
          </w:tcPr>
          <w:p w14:paraId="506AD9A5" w14:textId="77777777" w:rsidR="00E71858" w:rsidRPr="00D97438" w:rsidRDefault="00E71858" w:rsidP="00D97438">
            <w:pPr>
              <w:jc w:val="center"/>
              <w:rPr>
                <w:rFonts w:ascii="Palatino Linotype" w:hAnsi="Palatino Linotype"/>
                <w:b/>
                <w:bCs/>
                <w:sz w:val="20"/>
              </w:rPr>
            </w:pPr>
            <w:r w:rsidRPr="00D97438">
              <w:rPr>
                <w:rFonts w:ascii="Palatino Linotype" w:hAnsi="Palatino Linotype"/>
                <w:b/>
                <w:bCs/>
                <w:sz w:val="20"/>
              </w:rPr>
              <w:t>Capacity (MW)</w:t>
            </w:r>
          </w:p>
        </w:tc>
        <w:tc>
          <w:tcPr>
            <w:tcW w:w="1170" w:type="dxa"/>
            <w:tcBorders>
              <w:top w:val="single" w:sz="4" w:space="0" w:color="auto"/>
              <w:left w:val="nil"/>
              <w:bottom w:val="single" w:sz="4" w:space="0" w:color="auto"/>
              <w:right w:val="single" w:sz="4" w:space="0" w:color="auto"/>
            </w:tcBorders>
            <w:shd w:val="clear" w:color="000000" w:fill="969696"/>
            <w:tcMar>
              <w:top w:w="15" w:type="dxa"/>
              <w:left w:w="15" w:type="dxa"/>
              <w:bottom w:w="0" w:type="dxa"/>
              <w:right w:w="15" w:type="dxa"/>
            </w:tcMar>
            <w:vAlign w:val="center"/>
            <w:hideMark/>
          </w:tcPr>
          <w:p w14:paraId="2E2C7E49" w14:textId="77777777" w:rsidR="00E71858" w:rsidRPr="00D97438" w:rsidRDefault="00E71858" w:rsidP="00D97438">
            <w:pPr>
              <w:jc w:val="center"/>
              <w:rPr>
                <w:rFonts w:ascii="Palatino Linotype" w:hAnsi="Palatino Linotype"/>
                <w:b/>
                <w:bCs/>
                <w:sz w:val="20"/>
              </w:rPr>
            </w:pPr>
            <w:r w:rsidRPr="00D97438">
              <w:rPr>
                <w:rFonts w:ascii="Palatino Linotype" w:hAnsi="Palatino Linotype"/>
                <w:b/>
                <w:bCs/>
                <w:sz w:val="20"/>
              </w:rPr>
              <w:t>Expected Generation (GWh/yr)</w:t>
            </w:r>
          </w:p>
        </w:tc>
        <w:tc>
          <w:tcPr>
            <w:tcW w:w="720" w:type="dxa"/>
            <w:tcBorders>
              <w:top w:val="single" w:sz="4" w:space="0" w:color="auto"/>
              <w:left w:val="nil"/>
              <w:bottom w:val="single" w:sz="4" w:space="0" w:color="auto"/>
              <w:right w:val="single" w:sz="4" w:space="0" w:color="auto"/>
            </w:tcBorders>
            <w:shd w:val="clear" w:color="000000" w:fill="969696"/>
            <w:tcMar>
              <w:top w:w="15" w:type="dxa"/>
              <w:left w:w="15" w:type="dxa"/>
              <w:bottom w:w="0" w:type="dxa"/>
              <w:right w:w="15" w:type="dxa"/>
            </w:tcMar>
            <w:vAlign w:val="center"/>
            <w:hideMark/>
          </w:tcPr>
          <w:p w14:paraId="7BF58D35" w14:textId="77777777" w:rsidR="00E71858" w:rsidRPr="00D97438" w:rsidRDefault="00E71858" w:rsidP="00D97438">
            <w:pPr>
              <w:jc w:val="center"/>
              <w:rPr>
                <w:rFonts w:ascii="Palatino Linotype" w:hAnsi="Palatino Linotype"/>
                <w:b/>
                <w:bCs/>
                <w:sz w:val="20"/>
              </w:rPr>
            </w:pPr>
            <w:r w:rsidRPr="00D97438">
              <w:rPr>
                <w:rFonts w:ascii="Palatino Linotype" w:hAnsi="Palatino Linotype"/>
                <w:b/>
                <w:bCs/>
                <w:sz w:val="20"/>
              </w:rPr>
              <w:t>Tech</w:t>
            </w:r>
            <w:r w:rsidR="00955A96">
              <w:rPr>
                <w:rFonts w:ascii="Palatino Linotype" w:hAnsi="Palatino Linotype"/>
                <w:b/>
                <w:bCs/>
                <w:sz w:val="20"/>
              </w:rPr>
              <w:t>.</w:t>
            </w:r>
          </w:p>
        </w:tc>
        <w:tc>
          <w:tcPr>
            <w:tcW w:w="810" w:type="dxa"/>
            <w:tcBorders>
              <w:top w:val="single" w:sz="4" w:space="0" w:color="auto"/>
              <w:left w:val="nil"/>
              <w:bottom w:val="single" w:sz="4" w:space="0" w:color="auto"/>
              <w:right w:val="single" w:sz="4" w:space="0" w:color="auto"/>
            </w:tcBorders>
            <w:shd w:val="clear" w:color="000000" w:fill="969696"/>
            <w:tcMar>
              <w:top w:w="15" w:type="dxa"/>
              <w:left w:w="15" w:type="dxa"/>
              <w:bottom w:w="0" w:type="dxa"/>
              <w:right w:w="15" w:type="dxa"/>
            </w:tcMar>
            <w:vAlign w:val="center"/>
            <w:hideMark/>
          </w:tcPr>
          <w:p w14:paraId="16373087" w14:textId="77777777" w:rsidR="00E71858" w:rsidRPr="00D97438" w:rsidRDefault="00E71858" w:rsidP="00D97438">
            <w:pPr>
              <w:jc w:val="center"/>
              <w:rPr>
                <w:rFonts w:ascii="Palatino Linotype" w:hAnsi="Palatino Linotype"/>
                <w:b/>
                <w:bCs/>
                <w:sz w:val="20"/>
              </w:rPr>
            </w:pPr>
            <w:r w:rsidRPr="00D97438">
              <w:rPr>
                <w:rFonts w:ascii="Palatino Linotype" w:hAnsi="Palatino Linotype"/>
                <w:b/>
                <w:bCs/>
                <w:sz w:val="20"/>
              </w:rPr>
              <w:t>Vintage</w:t>
            </w:r>
          </w:p>
        </w:tc>
        <w:tc>
          <w:tcPr>
            <w:tcW w:w="720" w:type="dxa"/>
            <w:tcBorders>
              <w:top w:val="single" w:sz="4" w:space="0" w:color="auto"/>
              <w:left w:val="nil"/>
              <w:bottom w:val="single" w:sz="4" w:space="0" w:color="auto"/>
              <w:right w:val="single" w:sz="4" w:space="0" w:color="auto"/>
            </w:tcBorders>
            <w:shd w:val="clear" w:color="000000" w:fill="969696"/>
            <w:tcMar>
              <w:top w:w="15" w:type="dxa"/>
              <w:left w:w="15" w:type="dxa"/>
              <w:bottom w:w="0" w:type="dxa"/>
              <w:right w:w="15" w:type="dxa"/>
            </w:tcMar>
            <w:vAlign w:val="center"/>
            <w:hideMark/>
          </w:tcPr>
          <w:p w14:paraId="5E4D71B3" w14:textId="77777777" w:rsidR="00E71858" w:rsidRPr="00D97438" w:rsidRDefault="00E71858" w:rsidP="00D97438">
            <w:pPr>
              <w:jc w:val="center"/>
              <w:rPr>
                <w:rFonts w:ascii="Palatino Linotype" w:hAnsi="Palatino Linotype"/>
                <w:b/>
                <w:bCs/>
                <w:sz w:val="20"/>
              </w:rPr>
            </w:pPr>
            <w:r w:rsidRPr="00D97438">
              <w:rPr>
                <w:rFonts w:ascii="Palatino Linotype" w:hAnsi="Palatino Linotype"/>
                <w:b/>
                <w:bCs/>
                <w:sz w:val="20"/>
              </w:rPr>
              <w:t>PPA          Term     (years)</w:t>
            </w:r>
          </w:p>
        </w:tc>
        <w:tc>
          <w:tcPr>
            <w:tcW w:w="810" w:type="dxa"/>
            <w:tcBorders>
              <w:top w:val="single" w:sz="4" w:space="0" w:color="auto"/>
              <w:left w:val="nil"/>
              <w:bottom w:val="single" w:sz="4" w:space="0" w:color="auto"/>
              <w:right w:val="single" w:sz="4" w:space="0" w:color="auto"/>
            </w:tcBorders>
            <w:shd w:val="clear" w:color="000000" w:fill="969696"/>
            <w:tcMar>
              <w:top w:w="15" w:type="dxa"/>
              <w:left w:w="15" w:type="dxa"/>
              <w:bottom w:w="0" w:type="dxa"/>
              <w:right w:w="15" w:type="dxa"/>
            </w:tcMar>
            <w:vAlign w:val="center"/>
            <w:hideMark/>
          </w:tcPr>
          <w:p w14:paraId="5C0FC4E1" w14:textId="77777777" w:rsidR="00E71858" w:rsidRPr="00D97438" w:rsidRDefault="00371419" w:rsidP="00371419">
            <w:pPr>
              <w:jc w:val="center"/>
              <w:rPr>
                <w:rFonts w:ascii="Palatino Linotype" w:hAnsi="Palatino Linotype"/>
                <w:b/>
                <w:bCs/>
                <w:sz w:val="20"/>
              </w:rPr>
            </w:pPr>
            <w:r>
              <w:rPr>
                <w:rFonts w:ascii="Palatino Linotype" w:hAnsi="Palatino Linotype"/>
                <w:b/>
                <w:bCs/>
                <w:sz w:val="20"/>
              </w:rPr>
              <w:t xml:space="preserve">Post-TOD </w:t>
            </w:r>
            <w:r w:rsidR="00E71858" w:rsidRPr="00D97438">
              <w:rPr>
                <w:rFonts w:ascii="Palatino Linotype" w:hAnsi="Palatino Linotype"/>
                <w:b/>
                <w:bCs/>
                <w:sz w:val="20"/>
              </w:rPr>
              <w:t>Price*</w:t>
            </w:r>
          </w:p>
        </w:tc>
        <w:tc>
          <w:tcPr>
            <w:tcW w:w="1170" w:type="dxa"/>
            <w:tcBorders>
              <w:top w:val="single" w:sz="4" w:space="0" w:color="auto"/>
              <w:left w:val="nil"/>
              <w:bottom w:val="single" w:sz="4" w:space="0" w:color="auto"/>
              <w:right w:val="single" w:sz="4" w:space="0" w:color="auto"/>
            </w:tcBorders>
            <w:shd w:val="clear" w:color="000000" w:fill="969696"/>
            <w:tcMar>
              <w:top w:w="15" w:type="dxa"/>
              <w:left w:w="15" w:type="dxa"/>
              <w:bottom w:w="0" w:type="dxa"/>
              <w:right w:w="15" w:type="dxa"/>
            </w:tcMar>
            <w:vAlign w:val="center"/>
            <w:hideMark/>
          </w:tcPr>
          <w:p w14:paraId="6400D84F" w14:textId="77777777" w:rsidR="00E71858" w:rsidRPr="00D97438" w:rsidRDefault="00E71858" w:rsidP="00D97438">
            <w:pPr>
              <w:jc w:val="center"/>
              <w:rPr>
                <w:rFonts w:ascii="Palatino Linotype" w:hAnsi="Palatino Linotype"/>
                <w:b/>
                <w:bCs/>
                <w:sz w:val="20"/>
              </w:rPr>
            </w:pPr>
            <w:r w:rsidRPr="00D97438">
              <w:rPr>
                <w:rFonts w:ascii="Palatino Linotype" w:hAnsi="Palatino Linotype"/>
                <w:b/>
                <w:bCs/>
                <w:sz w:val="20"/>
              </w:rPr>
              <w:t>Commercial Operation Date**</w:t>
            </w:r>
          </w:p>
        </w:tc>
      </w:tr>
      <w:tr w:rsidR="00371419" w:rsidRPr="00D97438" w14:paraId="7F30070E" w14:textId="77777777" w:rsidTr="00D97438">
        <w:trPr>
          <w:trHeight w:val="300"/>
        </w:trPr>
        <w:tc>
          <w:tcPr>
            <w:tcW w:w="252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A7D5ABE" w14:textId="77777777" w:rsidR="00371419" w:rsidRPr="00D97438" w:rsidRDefault="00371419">
            <w:pPr>
              <w:rPr>
                <w:rFonts w:ascii="Palatino Linotype" w:hAnsi="Palatino Linotype"/>
                <w:sz w:val="20"/>
              </w:rPr>
            </w:pPr>
            <w:r w:rsidRPr="00D97438">
              <w:rPr>
                <w:rFonts w:ascii="Palatino Linotype" w:hAnsi="Palatino Linotype"/>
                <w:sz w:val="20"/>
              </w:rPr>
              <w:t xml:space="preserve">East Valley Greenworks D </w:t>
            </w:r>
          </w:p>
        </w:tc>
        <w:tc>
          <w:tcPr>
            <w:tcW w:w="18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60F0A2E" w14:textId="77777777" w:rsidR="00371419" w:rsidRPr="00D97438" w:rsidRDefault="00371419">
            <w:pPr>
              <w:rPr>
                <w:rFonts w:ascii="Palatino Linotype" w:hAnsi="Palatino Linotype"/>
                <w:sz w:val="20"/>
              </w:rPr>
            </w:pPr>
            <w:r w:rsidRPr="00D97438">
              <w:rPr>
                <w:rFonts w:ascii="Palatino Linotype" w:hAnsi="Palatino Linotype"/>
                <w:sz w:val="20"/>
              </w:rPr>
              <w:t>Silverado</w:t>
            </w:r>
          </w:p>
        </w:tc>
        <w:tc>
          <w:tcPr>
            <w:tcW w:w="9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A067AC6" w14:textId="77777777" w:rsidR="00371419" w:rsidRPr="00D97438" w:rsidRDefault="00371419" w:rsidP="00D97438">
            <w:pPr>
              <w:jc w:val="center"/>
              <w:rPr>
                <w:rFonts w:ascii="Palatino Linotype" w:hAnsi="Palatino Linotype"/>
                <w:sz w:val="20"/>
              </w:rPr>
            </w:pPr>
            <w:r w:rsidRPr="00D97438">
              <w:rPr>
                <w:rFonts w:ascii="Palatino Linotype" w:hAnsi="Palatino Linotype"/>
                <w:sz w:val="20"/>
              </w:rPr>
              <w:t>1.5</w:t>
            </w:r>
          </w:p>
        </w:tc>
        <w:tc>
          <w:tcPr>
            <w:tcW w:w="11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5A0E5A2" w14:textId="77777777" w:rsidR="00371419" w:rsidRPr="00D97438" w:rsidRDefault="00371419" w:rsidP="00D97438">
            <w:pPr>
              <w:jc w:val="center"/>
              <w:rPr>
                <w:rFonts w:ascii="Palatino Linotype" w:hAnsi="Palatino Linotype"/>
                <w:sz w:val="20"/>
              </w:rPr>
            </w:pPr>
            <w:r w:rsidRPr="00D97438">
              <w:rPr>
                <w:rFonts w:ascii="Palatino Linotype" w:hAnsi="Palatino Linotype"/>
                <w:sz w:val="20"/>
              </w:rPr>
              <w:t>3.6</w:t>
            </w:r>
          </w:p>
        </w:tc>
        <w:tc>
          <w:tcPr>
            <w:tcW w:w="72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8963A50" w14:textId="77777777" w:rsidR="00371419" w:rsidRPr="00D97438" w:rsidRDefault="00371419" w:rsidP="00D97438">
            <w:pPr>
              <w:jc w:val="center"/>
              <w:rPr>
                <w:rFonts w:ascii="Palatino Linotype" w:hAnsi="Palatino Linotype"/>
                <w:sz w:val="20"/>
              </w:rPr>
            </w:pPr>
            <w:r>
              <w:rPr>
                <w:rFonts w:ascii="Palatino Linotype" w:hAnsi="Palatino Linotype"/>
                <w:sz w:val="20"/>
              </w:rPr>
              <w:t>PV</w:t>
            </w:r>
          </w:p>
        </w:tc>
        <w:tc>
          <w:tcPr>
            <w:tcW w:w="8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647ED53" w14:textId="77777777" w:rsidR="00371419" w:rsidRPr="00D97438" w:rsidRDefault="00371419" w:rsidP="00D97438">
            <w:pPr>
              <w:jc w:val="center"/>
              <w:rPr>
                <w:rFonts w:ascii="Palatino Linotype" w:hAnsi="Palatino Linotype"/>
                <w:sz w:val="20"/>
              </w:rPr>
            </w:pPr>
            <w:r w:rsidRPr="00D97438">
              <w:rPr>
                <w:rFonts w:ascii="Palatino Linotype" w:hAnsi="Palatino Linotype"/>
                <w:sz w:val="20"/>
              </w:rPr>
              <w:t>New</w:t>
            </w:r>
          </w:p>
        </w:tc>
        <w:tc>
          <w:tcPr>
            <w:tcW w:w="72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0684FF5" w14:textId="77777777" w:rsidR="00371419" w:rsidRPr="00D97438" w:rsidRDefault="00371419" w:rsidP="00D97438">
            <w:pPr>
              <w:jc w:val="center"/>
              <w:rPr>
                <w:rFonts w:ascii="Palatino Linotype" w:hAnsi="Palatino Linotype"/>
                <w:sz w:val="20"/>
              </w:rPr>
            </w:pPr>
            <w:r w:rsidRPr="00D97438">
              <w:rPr>
                <w:rFonts w:ascii="Palatino Linotype" w:hAnsi="Palatino Linotype"/>
                <w:sz w:val="20"/>
              </w:rPr>
              <w:t>20</w:t>
            </w:r>
          </w:p>
        </w:tc>
        <w:tc>
          <w:tcPr>
            <w:tcW w:w="8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CD05CCC" w14:textId="77777777" w:rsidR="00371419" w:rsidRPr="00371419" w:rsidRDefault="00371419" w:rsidP="00371419">
            <w:pPr>
              <w:jc w:val="center"/>
              <w:rPr>
                <w:rFonts w:ascii="Palatino Linotype" w:hAnsi="Palatino Linotype"/>
                <w:color w:val="000000"/>
                <w:sz w:val="20"/>
              </w:rPr>
            </w:pPr>
            <w:r w:rsidRPr="00371419">
              <w:rPr>
                <w:rFonts w:ascii="Palatino Linotype" w:hAnsi="Palatino Linotype"/>
                <w:color w:val="000000"/>
                <w:sz w:val="20"/>
              </w:rPr>
              <w:t>$121.88</w:t>
            </w:r>
          </w:p>
        </w:tc>
        <w:tc>
          <w:tcPr>
            <w:tcW w:w="11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084BC14" w14:textId="77777777" w:rsidR="00371419" w:rsidRPr="00D97438" w:rsidRDefault="00371419" w:rsidP="00D97438">
            <w:pPr>
              <w:jc w:val="center"/>
              <w:rPr>
                <w:rFonts w:ascii="Palatino Linotype" w:hAnsi="Palatino Linotype"/>
                <w:sz w:val="20"/>
              </w:rPr>
            </w:pPr>
            <w:r w:rsidRPr="00D97438">
              <w:rPr>
                <w:rFonts w:ascii="Palatino Linotype" w:hAnsi="Palatino Linotype"/>
                <w:sz w:val="20"/>
              </w:rPr>
              <w:t>12/19/2013</w:t>
            </w:r>
          </w:p>
        </w:tc>
      </w:tr>
      <w:tr w:rsidR="00371419" w:rsidRPr="00D97438" w14:paraId="02C9BC71" w14:textId="77777777" w:rsidTr="00D97438">
        <w:trPr>
          <w:trHeight w:val="300"/>
        </w:trPr>
        <w:tc>
          <w:tcPr>
            <w:tcW w:w="252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08BA257" w14:textId="77777777" w:rsidR="00371419" w:rsidRPr="00D97438" w:rsidRDefault="00371419">
            <w:pPr>
              <w:rPr>
                <w:rFonts w:ascii="Palatino Linotype" w:hAnsi="Palatino Linotype"/>
                <w:sz w:val="20"/>
              </w:rPr>
            </w:pPr>
            <w:r w:rsidRPr="00D97438">
              <w:rPr>
                <w:rFonts w:ascii="Palatino Linotype" w:hAnsi="Palatino Linotype"/>
                <w:sz w:val="20"/>
              </w:rPr>
              <w:t>East Valley Greenworks E</w:t>
            </w:r>
          </w:p>
        </w:tc>
        <w:tc>
          <w:tcPr>
            <w:tcW w:w="18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7DFCB62" w14:textId="77777777" w:rsidR="00371419" w:rsidRPr="00D97438" w:rsidRDefault="00371419">
            <w:pPr>
              <w:rPr>
                <w:rFonts w:ascii="Palatino Linotype" w:hAnsi="Palatino Linotype"/>
                <w:sz w:val="20"/>
              </w:rPr>
            </w:pPr>
            <w:r w:rsidRPr="00D97438">
              <w:rPr>
                <w:rFonts w:ascii="Palatino Linotype" w:hAnsi="Palatino Linotype"/>
                <w:sz w:val="20"/>
              </w:rPr>
              <w:t>Silverado</w:t>
            </w:r>
          </w:p>
        </w:tc>
        <w:tc>
          <w:tcPr>
            <w:tcW w:w="9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F8A381C" w14:textId="77777777" w:rsidR="00371419" w:rsidRPr="00D97438" w:rsidRDefault="00371419" w:rsidP="00D97438">
            <w:pPr>
              <w:jc w:val="center"/>
              <w:rPr>
                <w:rFonts w:ascii="Palatino Linotype" w:hAnsi="Palatino Linotype"/>
                <w:sz w:val="20"/>
              </w:rPr>
            </w:pPr>
            <w:r w:rsidRPr="00D97438">
              <w:rPr>
                <w:rFonts w:ascii="Palatino Linotype" w:hAnsi="Palatino Linotype"/>
                <w:sz w:val="20"/>
              </w:rPr>
              <w:t>1.5</w:t>
            </w:r>
          </w:p>
        </w:tc>
        <w:tc>
          <w:tcPr>
            <w:tcW w:w="11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49744EB" w14:textId="77777777" w:rsidR="00371419" w:rsidRPr="00D97438" w:rsidRDefault="00371419" w:rsidP="00D97438">
            <w:pPr>
              <w:jc w:val="center"/>
              <w:rPr>
                <w:rFonts w:ascii="Palatino Linotype" w:hAnsi="Palatino Linotype"/>
                <w:sz w:val="20"/>
              </w:rPr>
            </w:pPr>
            <w:r w:rsidRPr="00D97438">
              <w:rPr>
                <w:rFonts w:ascii="Palatino Linotype" w:hAnsi="Palatino Linotype"/>
                <w:sz w:val="20"/>
              </w:rPr>
              <w:t>3.6</w:t>
            </w:r>
          </w:p>
        </w:tc>
        <w:tc>
          <w:tcPr>
            <w:tcW w:w="72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0A3BAE6F" w14:textId="77777777" w:rsidR="00371419" w:rsidRPr="00D97438" w:rsidRDefault="00371419" w:rsidP="00D97438">
            <w:pPr>
              <w:jc w:val="center"/>
              <w:rPr>
                <w:rFonts w:ascii="Palatino Linotype" w:hAnsi="Palatino Linotype"/>
                <w:sz w:val="20"/>
              </w:rPr>
            </w:pPr>
            <w:r w:rsidRPr="00AF6B95">
              <w:rPr>
                <w:rFonts w:ascii="Palatino Linotype" w:hAnsi="Palatino Linotype"/>
                <w:sz w:val="20"/>
              </w:rPr>
              <w:t>PV</w:t>
            </w:r>
          </w:p>
        </w:tc>
        <w:tc>
          <w:tcPr>
            <w:tcW w:w="8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E9FA19B" w14:textId="77777777" w:rsidR="00371419" w:rsidRPr="00D97438" w:rsidRDefault="00371419" w:rsidP="00D97438">
            <w:pPr>
              <w:jc w:val="center"/>
              <w:rPr>
                <w:rFonts w:ascii="Palatino Linotype" w:hAnsi="Palatino Linotype"/>
                <w:sz w:val="20"/>
              </w:rPr>
            </w:pPr>
            <w:r w:rsidRPr="00D97438">
              <w:rPr>
                <w:rFonts w:ascii="Palatino Linotype" w:hAnsi="Palatino Linotype"/>
                <w:sz w:val="20"/>
              </w:rPr>
              <w:t>New</w:t>
            </w:r>
          </w:p>
        </w:tc>
        <w:tc>
          <w:tcPr>
            <w:tcW w:w="72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D078383" w14:textId="77777777" w:rsidR="00371419" w:rsidRPr="00D97438" w:rsidRDefault="00371419" w:rsidP="00D97438">
            <w:pPr>
              <w:jc w:val="center"/>
              <w:rPr>
                <w:rFonts w:ascii="Palatino Linotype" w:hAnsi="Palatino Linotype"/>
                <w:sz w:val="20"/>
              </w:rPr>
            </w:pPr>
            <w:r w:rsidRPr="00D97438">
              <w:rPr>
                <w:rFonts w:ascii="Palatino Linotype" w:hAnsi="Palatino Linotype"/>
                <w:sz w:val="20"/>
              </w:rPr>
              <w:t>20</w:t>
            </w:r>
          </w:p>
        </w:tc>
        <w:tc>
          <w:tcPr>
            <w:tcW w:w="8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44D0803" w14:textId="77777777" w:rsidR="00371419" w:rsidRPr="00371419" w:rsidRDefault="00371419" w:rsidP="00371419">
            <w:pPr>
              <w:jc w:val="center"/>
              <w:rPr>
                <w:rFonts w:ascii="Palatino Linotype" w:hAnsi="Palatino Linotype"/>
                <w:color w:val="000000"/>
                <w:sz w:val="20"/>
              </w:rPr>
            </w:pPr>
            <w:r w:rsidRPr="00371419">
              <w:rPr>
                <w:rFonts w:ascii="Palatino Linotype" w:hAnsi="Palatino Linotype"/>
                <w:color w:val="000000"/>
                <w:sz w:val="20"/>
              </w:rPr>
              <w:t>$121.88</w:t>
            </w:r>
          </w:p>
        </w:tc>
        <w:tc>
          <w:tcPr>
            <w:tcW w:w="11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A39499B" w14:textId="77777777" w:rsidR="00371419" w:rsidRPr="00D97438" w:rsidRDefault="00371419" w:rsidP="00D97438">
            <w:pPr>
              <w:jc w:val="center"/>
              <w:rPr>
                <w:rFonts w:ascii="Palatino Linotype" w:hAnsi="Palatino Linotype"/>
                <w:sz w:val="20"/>
              </w:rPr>
            </w:pPr>
            <w:r w:rsidRPr="00D97438">
              <w:rPr>
                <w:rFonts w:ascii="Palatino Linotype" w:hAnsi="Palatino Linotype"/>
                <w:sz w:val="20"/>
              </w:rPr>
              <w:t>12/19/2013</w:t>
            </w:r>
          </w:p>
        </w:tc>
      </w:tr>
      <w:tr w:rsidR="00371419" w:rsidRPr="00D97438" w14:paraId="650F53AA" w14:textId="77777777" w:rsidTr="00D97438">
        <w:trPr>
          <w:trHeight w:val="300"/>
        </w:trPr>
        <w:tc>
          <w:tcPr>
            <w:tcW w:w="252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04EFB91" w14:textId="77777777" w:rsidR="00371419" w:rsidRPr="00D97438" w:rsidRDefault="00371419">
            <w:pPr>
              <w:rPr>
                <w:rFonts w:ascii="Palatino Linotype" w:hAnsi="Palatino Linotype"/>
                <w:sz w:val="20"/>
              </w:rPr>
            </w:pPr>
            <w:r w:rsidRPr="00D97438">
              <w:rPr>
                <w:rFonts w:ascii="Palatino Linotype" w:hAnsi="Palatino Linotype"/>
                <w:sz w:val="20"/>
              </w:rPr>
              <w:t>Site 1A</w:t>
            </w:r>
          </w:p>
        </w:tc>
        <w:tc>
          <w:tcPr>
            <w:tcW w:w="18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115AC37" w14:textId="77777777" w:rsidR="00371419" w:rsidRPr="00D97438" w:rsidRDefault="00371419">
            <w:pPr>
              <w:rPr>
                <w:rFonts w:ascii="Palatino Linotype" w:hAnsi="Palatino Linotype"/>
                <w:sz w:val="20"/>
              </w:rPr>
            </w:pPr>
            <w:r w:rsidRPr="00D97438">
              <w:rPr>
                <w:rFonts w:ascii="Palatino Linotype" w:hAnsi="Palatino Linotype"/>
                <w:sz w:val="20"/>
              </w:rPr>
              <w:t>Ever CT Solar Farm</w:t>
            </w:r>
          </w:p>
        </w:tc>
        <w:tc>
          <w:tcPr>
            <w:tcW w:w="9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77C8FD8" w14:textId="77777777" w:rsidR="00371419" w:rsidRPr="00D97438" w:rsidRDefault="00371419" w:rsidP="00D97438">
            <w:pPr>
              <w:jc w:val="center"/>
              <w:rPr>
                <w:rFonts w:ascii="Palatino Linotype" w:hAnsi="Palatino Linotype"/>
                <w:sz w:val="20"/>
              </w:rPr>
            </w:pPr>
            <w:r w:rsidRPr="00D97438">
              <w:rPr>
                <w:rFonts w:ascii="Palatino Linotype" w:hAnsi="Palatino Linotype"/>
                <w:sz w:val="20"/>
              </w:rPr>
              <w:t>1.0</w:t>
            </w:r>
          </w:p>
        </w:tc>
        <w:tc>
          <w:tcPr>
            <w:tcW w:w="11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0A757D2" w14:textId="77777777" w:rsidR="00371419" w:rsidRPr="00D97438" w:rsidRDefault="00371419" w:rsidP="00D97438">
            <w:pPr>
              <w:jc w:val="center"/>
              <w:rPr>
                <w:rFonts w:ascii="Palatino Linotype" w:hAnsi="Palatino Linotype"/>
                <w:sz w:val="20"/>
              </w:rPr>
            </w:pPr>
            <w:r w:rsidRPr="00D97438">
              <w:rPr>
                <w:rFonts w:ascii="Palatino Linotype" w:hAnsi="Palatino Linotype"/>
                <w:sz w:val="20"/>
              </w:rPr>
              <w:t>2.0</w:t>
            </w:r>
          </w:p>
        </w:tc>
        <w:tc>
          <w:tcPr>
            <w:tcW w:w="72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2EE0BAA1" w14:textId="77777777" w:rsidR="00371419" w:rsidRPr="00D97438" w:rsidRDefault="00371419" w:rsidP="00D97438">
            <w:pPr>
              <w:jc w:val="center"/>
              <w:rPr>
                <w:rFonts w:ascii="Palatino Linotype" w:hAnsi="Palatino Linotype"/>
                <w:sz w:val="20"/>
              </w:rPr>
            </w:pPr>
            <w:r w:rsidRPr="00AF6B95">
              <w:rPr>
                <w:rFonts w:ascii="Palatino Linotype" w:hAnsi="Palatino Linotype"/>
                <w:sz w:val="20"/>
              </w:rPr>
              <w:t>PV</w:t>
            </w:r>
          </w:p>
        </w:tc>
        <w:tc>
          <w:tcPr>
            <w:tcW w:w="8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E6473D3" w14:textId="77777777" w:rsidR="00371419" w:rsidRPr="00D97438" w:rsidRDefault="00371419" w:rsidP="00D97438">
            <w:pPr>
              <w:jc w:val="center"/>
              <w:rPr>
                <w:rFonts w:ascii="Palatino Linotype" w:hAnsi="Palatino Linotype"/>
                <w:sz w:val="20"/>
              </w:rPr>
            </w:pPr>
            <w:r w:rsidRPr="00D97438">
              <w:rPr>
                <w:rFonts w:ascii="Palatino Linotype" w:hAnsi="Palatino Linotype"/>
                <w:sz w:val="20"/>
              </w:rPr>
              <w:t>New</w:t>
            </w:r>
          </w:p>
        </w:tc>
        <w:tc>
          <w:tcPr>
            <w:tcW w:w="72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EBC59FA" w14:textId="77777777" w:rsidR="00371419" w:rsidRPr="00D97438" w:rsidRDefault="00371419" w:rsidP="00D97438">
            <w:pPr>
              <w:jc w:val="center"/>
              <w:rPr>
                <w:rFonts w:ascii="Palatino Linotype" w:hAnsi="Palatino Linotype"/>
                <w:sz w:val="20"/>
              </w:rPr>
            </w:pPr>
            <w:r w:rsidRPr="00D97438">
              <w:rPr>
                <w:rFonts w:ascii="Palatino Linotype" w:hAnsi="Palatino Linotype"/>
                <w:sz w:val="20"/>
              </w:rPr>
              <w:t>20</w:t>
            </w:r>
          </w:p>
        </w:tc>
        <w:tc>
          <w:tcPr>
            <w:tcW w:w="8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AD4B8B1" w14:textId="77777777" w:rsidR="00371419" w:rsidRPr="00371419" w:rsidRDefault="00371419" w:rsidP="00371419">
            <w:pPr>
              <w:jc w:val="center"/>
              <w:rPr>
                <w:rFonts w:ascii="Palatino Linotype" w:hAnsi="Palatino Linotype"/>
                <w:color w:val="000000"/>
                <w:sz w:val="20"/>
              </w:rPr>
            </w:pPr>
            <w:r w:rsidRPr="00371419">
              <w:rPr>
                <w:rFonts w:ascii="Palatino Linotype" w:hAnsi="Palatino Linotype"/>
                <w:color w:val="000000"/>
                <w:sz w:val="20"/>
              </w:rPr>
              <w:t>$121.88</w:t>
            </w:r>
          </w:p>
        </w:tc>
        <w:tc>
          <w:tcPr>
            <w:tcW w:w="11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DBE354B" w14:textId="77777777" w:rsidR="00371419" w:rsidRPr="00D97438" w:rsidRDefault="00371419" w:rsidP="00D97438">
            <w:pPr>
              <w:jc w:val="center"/>
              <w:rPr>
                <w:rFonts w:ascii="Palatino Linotype" w:hAnsi="Palatino Linotype"/>
                <w:sz w:val="20"/>
              </w:rPr>
            </w:pPr>
            <w:r w:rsidRPr="00D97438">
              <w:rPr>
                <w:rFonts w:ascii="Palatino Linotype" w:hAnsi="Palatino Linotype"/>
                <w:sz w:val="20"/>
              </w:rPr>
              <w:t>12/19/2013</w:t>
            </w:r>
          </w:p>
        </w:tc>
      </w:tr>
      <w:tr w:rsidR="00371419" w:rsidRPr="00D97438" w14:paraId="4D0C3463" w14:textId="77777777" w:rsidTr="00D97438">
        <w:trPr>
          <w:trHeight w:val="300"/>
        </w:trPr>
        <w:tc>
          <w:tcPr>
            <w:tcW w:w="252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8097D4C" w14:textId="77777777" w:rsidR="00371419" w:rsidRPr="00D97438" w:rsidRDefault="00371419">
            <w:pPr>
              <w:rPr>
                <w:rFonts w:ascii="Palatino Linotype" w:hAnsi="Palatino Linotype"/>
                <w:sz w:val="20"/>
              </w:rPr>
            </w:pPr>
            <w:r w:rsidRPr="00D97438">
              <w:rPr>
                <w:rFonts w:ascii="Palatino Linotype" w:hAnsi="Palatino Linotype"/>
                <w:sz w:val="20"/>
              </w:rPr>
              <w:t>Site 1B</w:t>
            </w:r>
          </w:p>
        </w:tc>
        <w:tc>
          <w:tcPr>
            <w:tcW w:w="18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F188C99" w14:textId="77777777" w:rsidR="00371419" w:rsidRPr="00D97438" w:rsidRDefault="00371419">
            <w:pPr>
              <w:rPr>
                <w:rFonts w:ascii="Palatino Linotype" w:hAnsi="Palatino Linotype"/>
                <w:sz w:val="20"/>
              </w:rPr>
            </w:pPr>
            <w:r w:rsidRPr="00D97438">
              <w:rPr>
                <w:rFonts w:ascii="Palatino Linotype" w:hAnsi="Palatino Linotype"/>
                <w:sz w:val="20"/>
              </w:rPr>
              <w:t>Ever CT Solar Farm</w:t>
            </w:r>
          </w:p>
        </w:tc>
        <w:tc>
          <w:tcPr>
            <w:tcW w:w="9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BD6A811" w14:textId="77777777" w:rsidR="00371419" w:rsidRPr="00D97438" w:rsidRDefault="00371419" w:rsidP="00D97438">
            <w:pPr>
              <w:jc w:val="center"/>
              <w:rPr>
                <w:rFonts w:ascii="Palatino Linotype" w:hAnsi="Palatino Linotype"/>
                <w:sz w:val="20"/>
              </w:rPr>
            </w:pPr>
            <w:r w:rsidRPr="00D97438">
              <w:rPr>
                <w:rFonts w:ascii="Palatino Linotype" w:hAnsi="Palatino Linotype"/>
                <w:sz w:val="20"/>
              </w:rPr>
              <w:t>1.0</w:t>
            </w:r>
          </w:p>
        </w:tc>
        <w:tc>
          <w:tcPr>
            <w:tcW w:w="11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4FA6FE3" w14:textId="77777777" w:rsidR="00371419" w:rsidRPr="00D97438" w:rsidRDefault="00371419" w:rsidP="00D97438">
            <w:pPr>
              <w:jc w:val="center"/>
              <w:rPr>
                <w:rFonts w:ascii="Palatino Linotype" w:hAnsi="Palatino Linotype"/>
                <w:sz w:val="20"/>
              </w:rPr>
            </w:pPr>
            <w:r w:rsidRPr="00D97438">
              <w:rPr>
                <w:rFonts w:ascii="Palatino Linotype" w:hAnsi="Palatino Linotype"/>
                <w:sz w:val="20"/>
              </w:rPr>
              <w:t>2.0</w:t>
            </w:r>
          </w:p>
        </w:tc>
        <w:tc>
          <w:tcPr>
            <w:tcW w:w="72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76A33DE4" w14:textId="77777777" w:rsidR="00371419" w:rsidRPr="00D97438" w:rsidRDefault="00371419" w:rsidP="00D97438">
            <w:pPr>
              <w:jc w:val="center"/>
              <w:rPr>
                <w:rFonts w:ascii="Palatino Linotype" w:hAnsi="Palatino Linotype"/>
                <w:sz w:val="20"/>
              </w:rPr>
            </w:pPr>
            <w:r w:rsidRPr="00AF6B95">
              <w:rPr>
                <w:rFonts w:ascii="Palatino Linotype" w:hAnsi="Palatino Linotype"/>
                <w:sz w:val="20"/>
              </w:rPr>
              <w:t>PV</w:t>
            </w:r>
          </w:p>
        </w:tc>
        <w:tc>
          <w:tcPr>
            <w:tcW w:w="8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F8A3947" w14:textId="77777777" w:rsidR="00371419" w:rsidRPr="00D97438" w:rsidRDefault="00371419" w:rsidP="00D97438">
            <w:pPr>
              <w:jc w:val="center"/>
              <w:rPr>
                <w:rFonts w:ascii="Palatino Linotype" w:hAnsi="Palatino Linotype"/>
                <w:sz w:val="20"/>
              </w:rPr>
            </w:pPr>
            <w:r w:rsidRPr="00D97438">
              <w:rPr>
                <w:rFonts w:ascii="Palatino Linotype" w:hAnsi="Palatino Linotype"/>
                <w:sz w:val="20"/>
              </w:rPr>
              <w:t>New</w:t>
            </w:r>
          </w:p>
        </w:tc>
        <w:tc>
          <w:tcPr>
            <w:tcW w:w="72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4C456C0" w14:textId="77777777" w:rsidR="00371419" w:rsidRPr="00D97438" w:rsidRDefault="00371419" w:rsidP="00D97438">
            <w:pPr>
              <w:jc w:val="center"/>
              <w:rPr>
                <w:rFonts w:ascii="Palatino Linotype" w:hAnsi="Palatino Linotype"/>
                <w:sz w:val="20"/>
              </w:rPr>
            </w:pPr>
            <w:r w:rsidRPr="00D97438">
              <w:rPr>
                <w:rFonts w:ascii="Palatino Linotype" w:hAnsi="Palatino Linotype"/>
                <w:sz w:val="20"/>
              </w:rPr>
              <w:t>20</w:t>
            </w:r>
          </w:p>
        </w:tc>
        <w:tc>
          <w:tcPr>
            <w:tcW w:w="8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B40C444" w14:textId="77777777" w:rsidR="00371419" w:rsidRPr="00371419" w:rsidRDefault="00371419" w:rsidP="00371419">
            <w:pPr>
              <w:jc w:val="center"/>
              <w:rPr>
                <w:rFonts w:ascii="Palatino Linotype" w:hAnsi="Palatino Linotype"/>
                <w:color w:val="000000"/>
                <w:sz w:val="20"/>
              </w:rPr>
            </w:pPr>
            <w:r w:rsidRPr="00371419">
              <w:rPr>
                <w:rFonts w:ascii="Palatino Linotype" w:hAnsi="Palatino Linotype"/>
                <w:color w:val="000000"/>
                <w:sz w:val="20"/>
              </w:rPr>
              <w:t>$121.88</w:t>
            </w:r>
          </w:p>
        </w:tc>
        <w:tc>
          <w:tcPr>
            <w:tcW w:w="11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EB6273E" w14:textId="77777777" w:rsidR="00371419" w:rsidRPr="00D97438" w:rsidRDefault="00371419" w:rsidP="00D97438">
            <w:pPr>
              <w:jc w:val="center"/>
              <w:rPr>
                <w:rFonts w:ascii="Palatino Linotype" w:hAnsi="Palatino Linotype"/>
                <w:sz w:val="20"/>
              </w:rPr>
            </w:pPr>
            <w:r w:rsidRPr="00D97438">
              <w:rPr>
                <w:rFonts w:ascii="Palatino Linotype" w:hAnsi="Palatino Linotype"/>
                <w:sz w:val="20"/>
              </w:rPr>
              <w:t>12/19/2013</w:t>
            </w:r>
          </w:p>
        </w:tc>
      </w:tr>
      <w:tr w:rsidR="00371419" w:rsidRPr="00D97438" w14:paraId="119D8EBD" w14:textId="77777777" w:rsidTr="00D97438">
        <w:trPr>
          <w:trHeight w:val="300"/>
        </w:trPr>
        <w:tc>
          <w:tcPr>
            <w:tcW w:w="252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842A303" w14:textId="77777777" w:rsidR="00371419" w:rsidRPr="00D97438" w:rsidRDefault="00371419">
            <w:pPr>
              <w:rPr>
                <w:rFonts w:ascii="Palatino Linotype" w:hAnsi="Palatino Linotype"/>
                <w:sz w:val="20"/>
              </w:rPr>
            </w:pPr>
            <w:r w:rsidRPr="00D97438">
              <w:rPr>
                <w:rFonts w:ascii="Palatino Linotype" w:hAnsi="Palatino Linotype"/>
                <w:sz w:val="20"/>
              </w:rPr>
              <w:t>Site 2A</w:t>
            </w:r>
          </w:p>
        </w:tc>
        <w:tc>
          <w:tcPr>
            <w:tcW w:w="18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F749D41" w14:textId="77777777" w:rsidR="00371419" w:rsidRPr="00D97438" w:rsidRDefault="00371419">
            <w:pPr>
              <w:rPr>
                <w:rFonts w:ascii="Palatino Linotype" w:hAnsi="Palatino Linotype"/>
                <w:sz w:val="20"/>
              </w:rPr>
            </w:pPr>
            <w:r w:rsidRPr="00D97438">
              <w:rPr>
                <w:rFonts w:ascii="Palatino Linotype" w:hAnsi="Palatino Linotype"/>
                <w:sz w:val="20"/>
              </w:rPr>
              <w:t>Ever CT Solar Farm</w:t>
            </w:r>
          </w:p>
        </w:tc>
        <w:tc>
          <w:tcPr>
            <w:tcW w:w="9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7C1A76C" w14:textId="77777777" w:rsidR="00371419" w:rsidRPr="00D97438" w:rsidRDefault="00371419" w:rsidP="00D97438">
            <w:pPr>
              <w:jc w:val="center"/>
              <w:rPr>
                <w:rFonts w:ascii="Palatino Linotype" w:hAnsi="Palatino Linotype"/>
                <w:sz w:val="20"/>
              </w:rPr>
            </w:pPr>
            <w:r w:rsidRPr="00D97438">
              <w:rPr>
                <w:rFonts w:ascii="Palatino Linotype" w:hAnsi="Palatino Linotype"/>
                <w:sz w:val="20"/>
              </w:rPr>
              <w:t>1.5</w:t>
            </w:r>
          </w:p>
        </w:tc>
        <w:tc>
          <w:tcPr>
            <w:tcW w:w="11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B40A7C8" w14:textId="77777777" w:rsidR="00371419" w:rsidRPr="00D97438" w:rsidRDefault="00371419" w:rsidP="00D97438">
            <w:pPr>
              <w:jc w:val="center"/>
              <w:rPr>
                <w:rFonts w:ascii="Palatino Linotype" w:hAnsi="Palatino Linotype"/>
                <w:sz w:val="20"/>
              </w:rPr>
            </w:pPr>
            <w:r w:rsidRPr="00D97438">
              <w:rPr>
                <w:rFonts w:ascii="Palatino Linotype" w:hAnsi="Palatino Linotype"/>
                <w:sz w:val="20"/>
              </w:rPr>
              <w:t>3.1</w:t>
            </w:r>
          </w:p>
        </w:tc>
        <w:tc>
          <w:tcPr>
            <w:tcW w:w="72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7A71A3C8" w14:textId="77777777" w:rsidR="00371419" w:rsidRPr="00D97438" w:rsidRDefault="00371419" w:rsidP="00D97438">
            <w:pPr>
              <w:jc w:val="center"/>
              <w:rPr>
                <w:rFonts w:ascii="Palatino Linotype" w:hAnsi="Palatino Linotype"/>
                <w:sz w:val="20"/>
              </w:rPr>
            </w:pPr>
            <w:r w:rsidRPr="00AF6B95">
              <w:rPr>
                <w:rFonts w:ascii="Palatino Linotype" w:hAnsi="Palatino Linotype"/>
                <w:sz w:val="20"/>
              </w:rPr>
              <w:t>PV</w:t>
            </w:r>
          </w:p>
        </w:tc>
        <w:tc>
          <w:tcPr>
            <w:tcW w:w="8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4A520B8" w14:textId="77777777" w:rsidR="00371419" w:rsidRPr="00D97438" w:rsidRDefault="00371419" w:rsidP="00D97438">
            <w:pPr>
              <w:jc w:val="center"/>
              <w:rPr>
                <w:rFonts w:ascii="Palatino Linotype" w:hAnsi="Palatino Linotype"/>
                <w:sz w:val="20"/>
              </w:rPr>
            </w:pPr>
            <w:r w:rsidRPr="00D97438">
              <w:rPr>
                <w:rFonts w:ascii="Palatino Linotype" w:hAnsi="Palatino Linotype"/>
                <w:sz w:val="20"/>
              </w:rPr>
              <w:t>New</w:t>
            </w:r>
          </w:p>
        </w:tc>
        <w:tc>
          <w:tcPr>
            <w:tcW w:w="72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DE536CA" w14:textId="77777777" w:rsidR="00371419" w:rsidRPr="00D97438" w:rsidRDefault="00371419" w:rsidP="00D97438">
            <w:pPr>
              <w:jc w:val="center"/>
              <w:rPr>
                <w:rFonts w:ascii="Palatino Linotype" w:hAnsi="Palatino Linotype"/>
                <w:sz w:val="20"/>
              </w:rPr>
            </w:pPr>
            <w:r w:rsidRPr="00D97438">
              <w:rPr>
                <w:rFonts w:ascii="Palatino Linotype" w:hAnsi="Palatino Linotype"/>
                <w:sz w:val="20"/>
              </w:rPr>
              <w:t>20</w:t>
            </w:r>
          </w:p>
        </w:tc>
        <w:tc>
          <w:tcPr>
            <w:tcW w:w="8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D73DEA3" w14:textId="77777777" w:rsidR="00371419" w:rsidRPr="00371419" w:rsidRDefault="00371419" w:rsidP="00371419">
            <w:pPr>
              <w:jc w:val="center"/>
              <w:rPr>
                <w:rFonts w:ascii="Palatino Linotype" w:hAnsi="Palatino Linotype"/>
                <w:color w:val="000000"/>
                <w:sz w:val="20"/>
              </w:rPr>
            </w:pPr>
            <w:r w:rsidRPr="00371419">
              <w:rPr>
                <w:rFonts w:ascii="Palatino Linotype" w:hAnsi="Palatino Linotype"/>
                <w:color w:val="000000"/>
                <w:sz w:val="20"/>
              </w:rPr>
              <w:t>$121.88</w:t>
            </w:r>
          </w:p>
        </w:tc>
        <w:tc>
          <w:tcPr>
            <w:tcW w:w="11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1310BC6" w14:textId="77777777" w:rsidR="00371419" w:rsidRPr="00D97438" w:rsidRDefault="00371419" w:rsidP="00D97438">
            <w:pPr>
              <w:jc w:val="center"/>
              <w:rPr>
                <w:rFonts w:ascii="Palatino Linotype" w:hAnsi="Palatino Linotype"/>
                <w:sz w:val="20"/>
              </w:rPr>
            </w:pPr>
            <w:r w:rsidRPr="00D97438">
              <w:rPr>
                <w:rFonts w:ascii="Palatino Linotype" w:hAnsi="Palatino Linotype"/>
                <w:sz w:val="20"/>
              </w:rPr>
              <w:t>12/19/2013</w:t>
            </w:r>
          </w:p>
        </w:tc>
      </w:tr>
      <w:tr w:rsidR="00371419" w:rsidRPr="00D97438" w14:paraId="20EAFC75" w14:textId="77777777" w:rsidTr="00D97438">
        <w:trPr>
          <w:trHeight w:val="300"/>
        </w:trPr>
        <w:tc>
          <w:tcPr>
            <w:tcW w:w="252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4799A09" w14:textId="77777777" w:rsidR="00371419" w:rsidRPr="00D97438" w:rsidRDefault="00371419">
            <w:pPr>
              <w:rPr>
                <w:rFonts w:ascii="Palatino Linotype" w:hAnsi="Palatino Linotype"/>
                <w:sz w:val="20"/>
              </w:rPr>
            </w:pPr>
            <w:r w:rsidRPr="00D97438">
              <w:rPr>
                <w:rFonts w:ascii="Palatino Linotype" w:hAnsi="Palatino Linotype"/>
                <w:sz w:val="20"/>
              </w:rPr>
              <w:lastRenderedPageBreak/>
              <w:t>Site 2B</w:t>
            </w:r>
          </w:p>
        </w:tc>
        <w:tc>
          <w:tcPr>
            <w:tcW w:w="18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8174002" w14:textId="77777777" w:rsidR="00371419" w:rsidRPr="00D97438" w:rsidRDefault="00371419">
            <w:pPr>
              <w:rPr>
                <w:rFonts w:ascii="Palatino Linotype" w:hAnsi="Palatino Linotype"/>
                <w:sz w:val="20"/>
              </w:rPr>
            </w:pPr>
            <w:r w:rsidRPr="00D97438">
              <w:rPr>
                <w:rFonts w:ascii="Palatino Linotype" w:hAnsi="Palatino Linotype"/>
                <w:sz w:val="20"/>
              </w:rPr>
              <w:t>Ever CT Solar Farm</w:t>
            </w:r>
          </w:p>
        </w:tc>
        <w:tc>
          <w:tcPr>
            <w:tcW w:w="9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EFF666B" w14:textId="77777777" w:rsidR="00371419" w:rsidRPr="00D97438" w:rsidRDefault="00371419" w:rsidP="00D97438">
            <w:pPr>
              <w:jc w:val="center"/>
              <w:rPr>
                <w:rFonts w:ascii="Palatino Linotype" w:hAnsi="Palatino Linotype"/>
                <w:sz w:val="20"/>
              </w:rPr>
            </w:pPr>
            <w:r w:rsidRPr="00D97438">
              <w:rPr>
                <w:rFonts w:ascii="Palatino Linotype" w:hAnsi="Palatino Linotype"/>
                <w:sz w:val="20"/>
              </w:rPr>
              <w:t>1.0</w:t>
            </w:r>
          </w:p>
        </w:tc>
        <w:tc>
          <w:tcPr>
            <w:tcW w:w="11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708DA9B" w14:textId="77777777" w:rsidR="00371419" w:rsidRPr="00D97438" w:rsidRDefault="00371419" w:rsidP="00D97438">
            <w:pPr>
              <w:jc w:val="center"/>
              <w:rPr>
                <w:rFonts w:ascii="Palatino Linotype" w:hAnsi="Palatino Linotype"/>
                <w:sz w:val="20"/>
              </w:rPr>
            </w:pPr>
            <w:r w:rsidRPr="00D97438">
              <w:rPr>
                <w:rFonts w:ascii="Palatino Linotype" w:hAnsi="Palatino Linotype"/>
                <w:sz w:val="20"/>
              </w:rPr>
              <w:t>2.0</w:t>
            </w:r>
          </w:p>
        </w:tc>
        <w:tc>
          <w:tcPr>
            <w:tcW w:w="72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39B74DF1" w14:textId="77777777" w:rsidR="00371419" w:rsidRPr="00D97438" w:rsidRDefault="00371419" w:rsidP="00D97438">
            <w:pPr>
              <w:jc w:val="center"/>
              <w:rPr>
                <w:rFonts w:ascii="Palatino Linotype" w:hAnsi="Palatino Linotype"/>
                <w:sz w:val="20"/>
              </w:rPr>
            </w:pPr>
            <w:r w:rsidRPr="00AF6B95">
              <w:rPr>
                <w:rFonts w:ascii="Palatino Linotype" w:hAnsi="Palatino Linotype"/>
                <w:sz w:val="20"/>
              </w:rPr>
              <w:t>PV</w:t>
            </w:r>
          </w:p>
        </w:tc>
        <w:tc>
          <w:tcPr>
            <w:tcW w:w="8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835E407" w14:textId="77777777" w:rsidR="00371419" w:rsidRPr="00D97438" w:rsidRDefault="00371419" w:rsidP="00D97438">
            <w:pPr>
              <w:jc w:val="center"/>
              <w:rPr>
                <w:rFonts w:ascii="Palatino Linotype" w:hAnsi="Palatino Linotype"/>
                <w:sz w:val="20"/>
              </w:rPr>
            </w:pPr>
            <w:r w:rsidRPr="00D97438">
              <w:rPr>
                <w:rFonts w:ascii="Palatino Linotype" w:hAnsi="Palatino Linotype"/>
                <w:sz w:val="20"/>
              </w:rPr>
              <w:t>New</w:t>
            </w:r>
          </w:p>
        </w:tc>
        <w:tc>
          <w:tcPr>
            <w:tcW w:w="72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679B356" w14:textId="77777777" w:rsidR="00371419" w:rsidRPr="00D97438" w:rsidRDefault="00371419" w:rsidP="00D97438">
            <w:pPr>
              <w:jc w:val="center"/>
              <w:rPr>
                <w:rFonts w:ascii="Palatino Linotype" w:hAnsi="Palatino Linotype"/>
                <w:sz w:val="20"/>
              </w:rPr>
            </w:pPr>
            <w:r w:rsidRPr="00D97438">
              <w:rPr>
                <w:rFonts w:ascii="Palatino Linotype" w:hAnsi="Palatino Linotype"/>
                <w:sz w:val="20"/>
              </w:rPr>
              <w:t>20</w:t>
            </w:r>
          </w:p>
        </w:tc>
        <w:tc>
          <w:tcPr>
            <w:tcW w:w="8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5E1DF6F" w14:textId="77777777" w:rsidR="00371419" w:rsidRPr="00371419" w:rsidRDefault="00371419" w:rsidP="00371419">
            <w:pPr>
              <w:jc w:val="center"/>
              <w:rPr>
                <w:rFonts w:ascii="Palatino Linotype" w:hAnsi="Palatino Linotype"/>
                <w:color w:val="000000"/>
                <w:sz w:val="20"/>
              </w:rPr>
            </w:pPr>
            <w:r w:rsidRPr="00371419">
              <w:rPr>
                <w:rFonts w:ascii="Palatino Linotype" w:hAnsi="Palatino Linotype"/>
                <w:color w:val="000000"/>
                <w:sz w:val="20"/>
              </w:rPr>
              <w:t>$121.88</w:t>
            </w:r>
          </w:p>
        </w:tc>
        <w:tc>
          <w:tcPr>
            <w:tcW w:w="11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5455C1A" w14:textId="77777777" w:rsidR="00371419" w:rsidRPr="00D97438" w:rsidRDefault="00371419" w:rsidP="00D97438">
            <w:pPr>
              <w:jc w:val="center"/>
              <w:rPr>
                <w:rFonts w:ascii="Palatino Linotype" w:hAnsi="Palatino Linotype"/>
                <w:sz w:val="20"/>
              </w:rPr>
            </w:pPr>
            <w:r w:rsidRPr="00D97438">
              <w:rPr>
                <w:rFonts w:ascii="Palatino Linotype" w:hAnsi="Palatino Linotype"/>
                <w:sz w:val="20"/>
              </w:rPr>
              <w:t>12/19/2013</w:t>
            </w:r>
          </w:p>
        </w:tc>
      </w:tr>
      <w:tr w:rsidR="00371419" w:rsidRPr="00D97438" w14:paraId="452A0A04" w14:textId="77777777" w:rsidTr="00D97438">
        <w:trPr>
          <w:trHeight w:val="300"/>
        </w:trPr>
        <w:tc>
          <w:tcPr>
            <w:tcW w:w="252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1E3D204" w14:textId="77777777" w:rsidR="00371419" w:rsidRPr="00D97438" w:rsidRDefault="00371419">
            <w:pPr>
              <w:rPr>
                <w:rFonts w:ascii="Palatino Linotype" w:hAnsi="Palatino Linotype"/>
                <w:sz w:val="20"/>
              </w:rPr>
            </w:pPr>
            <w:r w:rsidRPr="00D97438">
              <w:rPr>
                <w:rFonts w:ascii="Palatino Linotype" w:hAnsi="Palatino Linotype"/>
                <w:sz w:val="20"/>
              </w:rPr>
              <w:t>Site 2C</w:t>
            </w:r>
          </w:p>
        </w:tc>
        <w:tc>
          <w:tcPr>
            <w:tcW w:w="18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BFCE886" w14:textId="77777777" w:rsidR="00371419" w:rsidRPr="00D97438" w:rsidRDefault="00371419">
            <w:pPr>
              <w:rPr>
                <w:rFonts w:ascii="Palatino Linotype" w:hAnsi="Palatino Linotype"/>
                <w:sz w:val="20"/>
              </w:rPr>
            </w:pPr>
            <w:r w:rsidRPr="00D97438">
              <w:rPr>
                <w:rFonts w:ascii="Palatino Linotype" w:hAnsi="Palatino Linotype"/>
                <w:sz w:val="20"/>
              </w:rPr>
              <w:t>Ever CT Solar Farm</w:t>
            </w:r>
          </w:p>
        </w:tc>
        <w:tc>
          <w:tcPr>
            <w:tcW w:w="9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0714D4C" w14:textId="77777777" w:rsidR="00371419" w:rsidRPr="00D97438" w:rsidRDefault="00371419" w:rsidP="00D97438">
            <w:pPr>
              <w:jc w:val="center"/>
              <w:rPr>
                <w:rFonts w:ascii="Palatino Linotype" w:hAnsi="Palatino Linotype"/>
                <w:sz w:val="20"/>
              </w:rPr>
            </w:pPr>
            <w:r w:rsidRPr="00D97438">
              <w:rPr>
                <w:rFonts w:ascii="Palatino Linotype" w:hAnsi="Palatino Linotype"/>
                <w:sz w:val="20"/>
              </w:rPr>
              <w:t>1.0</w:t>
            </w:r>
          </w:p>
        </w:tc>
        <w:tc>
          <w:tcPr>
            <w:tcW w:w="11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5AF36AC" w14:textId="77777777" w:rsidR="00371419" w:rsidRPr="00D97438" w:rsidRDefault="00371419" w:rsidP="00D97438">
            <w:pPr>
              <w:jc w:val="center"/>
              <w:rPr>
                <w:rFonts w:ascii="Palatino Linotype" w:hAnsi="Palatino Linotype"/>
                <w:sz w:val="20"/>
              </w:rPr>
            </w:pPr>
            <w:r w:rsidRPr="00D97438">
              <w:rPr>
                <w:rFonts w:ascii="Palatino Linotype" w:hAnsi="Palatino Linotype"/>
                <w:sz w:val="20"/>
              </w:rPr>
              <w:t>2.0</w:t>
            </w:r>
          </w:p>
        </w:tc>
        <w:tc>
          <w:tcPr>
            <w:tcW w:w="72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3DD14B10" w14:textId="77777777" w:rsidR="00371419" w:rsidRPr="00D97438" w:rsidRDefault="00371419" w:rsidP="00D97438">
            <w:pPr>
              <w:jc w:val="center"/>
              <w:rPr>
                <w:rFonts w:ascii="Palatino Linotype" w:hAnsi="Palatino Linotype"/>
                <w:sz w:val="20"/>
              </w:rPr>
            </w:pPr>
            <w:r w:rsidRPr="00AF6B95">
              <w:rPr>
                <w:rFonts w:ascii="Palatino Linotype" w:hAnsi="Palatino Linotype"/>
                <w:sz w:val="20"/>
              </w:rPr>
              <w:t>PV</w:t>
            </w:r>
          </w:p>
        </w:tc>
        <w:tc>
          <w:tcPr>
            <w:tcW w:w="8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13971D7" w14:textId="77777777" w:rsidR="00371419" w:rsidRPr="00D97438" w:rsidRDefault="00371419" w:rsidP="00D97438">
            <w:pPr>
              <w:jc w:val="center"/>
              <w:rPr>
                <w:rFonts w:ascii="Palatino Linotype" w:hAnsi="Palatino Linotype"/>
                <w:sz w:val="20"/>
              </w:rPr>
            </w:pPr>
            <w:r w:rsidRPr="00D97438">
              <w:rPr>
                <w:rFonts w:ascii="Palatino Linotype" w:hAnsi="Palatino Linotype"/>
                <w:sz w:val="20"/>
              </w:rPr>
              <w:t>New</w:t>
            </w:r>
          </w:p>
        </w:tc>
        <w:tc>
          <w:tcPr>
            <w:tcW w:w="72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3D11475" w14:textId="77777777" w:rsidR="00371419" w:rsidRPr="00D97438" w:rsidRDefault="00371419" w:rsidP="00D97438">
            <w:pPr>
              <w:jc w:val="center"/>
              <w:rPr>
                <w:rFonts w:ascii="Palatino Linotype" w:hAnsi="Palatino Linotype"/>
                <w:sz w:val="20"/>
              </w:rPr>
            </w:pPr>
            <w:r w:rsidRPr="00D97438">
              <w:rPr>
                <w:rFonts w:ascii="Palatino Linotype" w:hAnsi="Palatino Linotype"/>
                <w:sz w:val="20"/>
              </w:rPr>
              <w:t>20</w:t>
            </w:r>
          </w:p>
        </w:tc>
        <w:tc>
          <w:tcPr>
            <w:tcW w:w="8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70A8DB0" w14:textId="77777777" w:rsidR="00371419" w:rsidRPr="00371419" w:rsidRDefault="00371419" w:rsidP="00371419">
            <w:pPr>
              <w:jc w:val="center"/>
              <w:rPr>
                <w:rFonts w:ascii="Palatino Linotype" w:hAnsi="Palatino Linotype"/>
                <w:color w:val="000000"/>
                <w:sz w:val="20"/>
              </w:rPr>
            </w:pPr>
            <w:r w:rsidRPr="00371419">
              <w:rPr>
                <w:rFonts w:ascii="Palatino Linotype" w:hAnsi="Palatino Linotype"/>
                <w:color w:val="000000"/>
                <w:sz w:val="20"/>
              </w:rPr>
              <w:t>$121.88</w:t>
            </w:r>
          </w:p>
        </w:tc>
        <w:tc>
          <w:tcPr>
            <w:tcW w:w="11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AEA9A30" w14:textId="77777777" w:rsidR="00371419" w:rsidRPr="00D97438" w:rsidRDefault="00371419" w:rsidP="00D97438">
            <w:pPr>
              <w:jc w:val="center"/>
              <w:rPr>
                <w:rFonts w:ascii="Palatino Linotype" w:hAnsi="Palatino Linotype"/>
                <w:sz w:val="20"/>
              </w:rPr>
            </w:pPr>
            <w:r w:rsidRPr="00D97438">
              <w:rPr>
                <w:rFonts w:ascii="Palatino Linotype" w:hAnsi="Palatino Linotype"/>
                <w:sz w:val="20"/>
              </w:rPr>
              <w:t>12/19/2013</w:t>
            </w:r>
          </w:p>
        </w:tc>
      </w:tr>
      <w:tr w:rsidR="00371419" w:rsidRPr="00D97438" w14:paraId="23D475EA" w14:textId="77777777" w:rsidTr="00D97438">
        <w:trPr>
          <w:trHeight w:val="300"/>
        </w:trPr>
        <w:tc>
          <w:tcPr>
            <w:tcW w:w="252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8CF088D" w14:textId="77777777" w:rsidR="00371419" w:rsidRPr="00D97438" w:rsidRDefault="00371419">
            <w:pPr>
              <w:rPr>
                <w:rFonts w:ascii="Palatino Linotype" w:hAnsi="Palatino Linotype"/>
                <w:sz w:val="20"/>
              </w:rPr>
            </w:pPr>
            <w:r w:rsidRPr="00D97438">
              <w:rPr>
                <w:rFonts w:ascii="Palatino Linotype" w:hAnsi="Palatino Linotype"/>
                <w:sz w:val="20"/>
              </w:rPr>
              <w:t>Palms North 1</w:t>
            </w:r>
          </w:p>
        </w:tc>
        <w:tc>
          <w:tcPr>
            <w:tcW w:w="18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98805E7" w14:textId="77777777" w:rsidR="00371419" w:rsidRPr="00D97438" w:rsidRDefault="00371419">
            <w:pPr>
              <w:rPr>
                <w:rFonts w:ascii="Palatino Linotype" w:hAnsi="Palatino Linotype"/>
                <w:sz w:val="20"/>
              </w:rPr>
            </w:pPr>
            <w:r w:rsidRPr="00D97438">
              <w:rPr>
                <w:rFonts w:ascii="Palatino Linotype" w:hAnsi="Palatino Linotype"/>
                <w:sz w:val="20"/>
              </w:rPr>
              <w:t>Belectric/Coronus</w:t>
            </w:r>
          </w:p>
        </w:tc>
        <w:tc>
          <w:tcPr>
            <w:tcW w:w="9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2575259" w14:textId="77777777" w:rsidR="00371419" w:rsidRPr="00D97438" w:rsidRDefault="00371419" w:rsidP="00D97438">
            <w:pPr>
              <w:jc w:val="center"/>
              <w:rPr>
                <w:rFonts w:ascii="Palatino Linotype" w:hAnsi="Palatino Linotype"/>
                <w:sz w:val="20"/>
              </w:rPr>
            </w:pPr>
            <w:r w:rsidRPr="00D97438">
              <w:rPr>
                <w:rFonts w:ascii="Palatino Linotype" w:hAnsi="Palatino Linotype"/>
                <w:sz w:val="20"/>
              </w:rPr>
              <w:t>1.5</w:t>
            </w:r>
          </w:p>
        </w:tc>
        <w:tc>
          <w:tcPr>
            <w:tcW w:w="11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AFEFB98" w14:textId="77777777" w:rsidR="00371419" w:rsidRPr="00D97438" w:rsidRDefault="00371419" w:rsidP="00D97438">
            <w:pPr>
              <w:jc w:val="center"/>
              <w:rPr>
                <w:rFonts w:ascii="Palatino Linotype" w:hAnsi="Palatino Linotype"/>
                <w:sz w:val="20"/>
              </w:rPr>
            </w:pPr>
            <w:r w:rsidRPr="00D97438">
              <w:rPr>
                <w:rFonts w:ascii="Palatino Linotype" w:hAnsi="Palatino Linotype"/>
                <w:sz w:val="20"/>
              </w:rPr>
              <w:t>3.5</w:t>
            </w:r>
          </w:p>
        </w:tc>
        <w:tc>
          <w:tcPr>
            <w:tcW w:w="72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0306D934" w14:textId="77777777" w:rsidR="00371419" w:rsidRPr="00D97438" w:rsidRDefault="00371419" w:rsidP="00D97438">
            <w:pPr>
              <w:jc w:val="center"/>
              <w:rPr>
                <w:rFonts w:ascii="Palatino Linotype" w:hAnsi="Palatino Linotype"/>
                <w:sz w:val="20"/>
              </w:rPr>
            </w:pPr>
            <w:r w:rsidRPr="00AF6B95">
              <w:rPr>
                <w:rFonts w:ascii="Palatino Linotype" w:hAnsi="Palatino Linotype"/>
                <w:sz w:val="20"/>
              </w:rPr>
              <w:t>PV</w:t>
            </w:r>
          </w:p>
        </w:tc>
        <w:tc>
          <w:tcPr>
            <w:tcW w:w="8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8C75158" w14:textId="77777777" w:rsidR="00371419" w:rsidRPr="00D97438" w:rsidRDefault="00371419" w:rsidP="00D97438">
            <w:pPr>
              <w:jc w:val="center"/>
              <w:rPr>
                <w:rFonts w:ascii="Palatino Linotype" w:hAnsi="Palatino Linotype"/>
                <w:sz w:val="20"/>
              </w:rPr>
            </w:pPr>
            <w:r w:rsidRPr="00D97438">
              <w:rPr>
                <w:rFonts w:ascii="Palatino Linotype" w:hAnsi="Palatino Linotype"/>
                <w:sz w:val="20"/>
              </w:rPr>
              <w:t>New</w:t>
            </w:r>
          </w:p>
        </w:tc>
        <w:tc>
          <w:tcPr>
            <w:tcW w:w="72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1887250" w14:textId="77777777" w:rsidR="00371419" w:rsidRPr="00D97438" w:rsidRDefault="00371419" w:rsidP="00D97438">
            <w:pPr>
              <w:jc w:val="center"/>
              <w:rPr>
                <w:rFonts w:ascii="Palatino Linotype" w:hAnsi="Palatino Linotype"/>
                <w:sz w:val="20"/>
              </w:rPr>
            </w:pPr>
            <w:r w:rsidRPr="00D97438">
              <w:rPr>
                <w:rFonts w:ascii="Palatino Linotype" w:hAnsi="Palatino Linotype"/>
                <w:sz w:val="20"/>
              </w:rPr>
              <w:t>20</w:t>
            </w:r>
          </w:p>
        </w:tc>
        <w:tc>
          <w:tcPr>
            <w:tcW w:w="8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A9653A1" w14:textId="77777777" w:rsidR="00371419" w:rsidRPr="00371419" w:rsidRDefault="00371419" w:rsidP="00371419">
            <w:pPr>
              <w:jc w:val="center"/>
              <w:rPr>
                <w:rFonts w:ascii="Palatino Linotype" w:hAnsi="Palatino Linotype"/>
                <w:color w:val="000000"/>
                <w:sz w:val="20"/>
              </w:rPr>
            </w:pPr>
            <w:r w:rsidRPr="00371419">
              <w:rPr>
                <w:rFonts w:ascii="Palatino Linotype" w:hAnsi="Palatino Linotype"/>
                <w:color w:val="000000"/>
                <w:sz w:val="20"/>
              </w:rPr>
              <w:t>$121.88</w:t>
            </w:r>
          </w:p>
        </w:tc>
        <w:tc>
          <w:tcPr>
            <w:tcW w:w="11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4134F41" w14:textId="77777777" w:rsidR="00371419" w:rsidRPr="00D97438" w:rsidRDefault="00371419" w:rsidP="00D97438">
            <w:pPr>
              <w:jc w:val="center"/>
              <w:rPr>
                <w:rFonts w:ascii="Palatino Linotype" w:hAnsi="Palatino Linotype"/>
                <w:sz w:val="20"/>
              </w:rPr>
            </w:pPr>
            <w:r w:rsidRPr="00D97438">
              <w:rPr>
                <w:rFonts w:ascii="Palatino Linotype" w:hAnsi="Palatino Linotype"/>
                <w:sz w:val="20"/>
              </w:rPr>
              <w:t>12/15/2013</w:t>
            </w:r>
          </w:p>
        </w:tc>
      </w:tr>
      <w:tr w:rsidR="00371419" w:rsidRPr="00D97438" w14:paraId="26736475" w14:textId="77777777" w:rsidTr="00D97438">
        <w:trPr>
          <w:trHeight w:val="300"/>
        </w:trPr>
        <w:tc>
          <w:tcPr>
            <w:tcW w:w="252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8BC4AE1" w14:textId="77777777" w:rsidR="00371419" w:rsidRPr="00D97438" w:rsidRDefault="00371419">
            <w:pPr>
              <w:rPr>
                <w:rFonts w:ascii="Palatino Linotype" w:hAnsi="Palatino Linotype"/>
                <w:sz w:val="20"/>
              </w:rPr>
            </w:pPr>
            <w:r w:rsidRPr="00D97438">
              <w:rPr>
                <w:rFonts w:ascii="Palatino Linotype" w:hAnsi="Palatino Linotype"/>
                <w:sz w:val="20"/>
              </w:rPr>
              <w:t>Palms North 2</w:t>
            </w:r>
          </w:p>
        </w:tc>
        <w:tc>
          <w:tcPr>
            <w:tcW w:w="18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A916E68" w14:textId="77777777" w:rsidR="00371419" w:rsidRPr="00D97438" w:rsidRDefault="00371419">
            <w:pPr>
              <w:rPr>
                <w:rFonts w:ascii="Palatino Linotype" w:hAnsi="Palatino Linotype"/>
                <w:sz w:val="20"/>
              </w:rPr>
            </w:pPr>
            <w:r w:rsidRPr="00D97438">
              <w:rPr>
                <w:rFonts w:ascii="Palatino Linotype" w:hAnsi="Palatino Linotype"/>
                <w:sz w:val="20"/>
              </w:rPr>
              <w:t>Belectric/Coronus</w:t>
            </w:r>
          </w:p>
        </w:tc>
        <w:tc>
          <w:tcPr>
            <w:tcW w:w="9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8456F5D" w14:textId="77777777" w:rsidR="00371419" w:rsidRPr="00D97438" w:rsidRDefault="00371419" w:rsidP="00D97438">
            <w:pPr>
              <w:jc w:val="center"/>
              <w:rPr>
                <w:rFonts w:ascii="Palatino Linotype" w:hAnsi="Palatino Linotype"/>
                <w:sz w:val="20"/>
              </w:rPr>
            </w:pPr>
            <w:r w:rsidRPr="00D97438">
              <w:rPr>
                <w:rFonts w:ascii="Palatino Linotype" w:hAnsi="Palatino Linotype"/>
                <w:sz w:val="20"/>
              </w:rPr>
              <w:t>1.5</w:t>
            </w:r>
          </w:p>
        </w:tc>
        <w:tc>
          <w:tcPr>
            <w:tcW w:w="11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ACE059F" w14:textId="77777777" w:rsidR="00371419" w:rsidRPr="00D97438" w:rsidRDefault="00371419" w:rsidP="00D97438">
            <w:pPr>
              <w:jc w:val="center"/>
              <w:rPr>
                <w:rFonts w:ascii="Palatino Linotype" w:hAnsi="Palatino Linotype"/>
                <w:sz w:val="20"/>
              </w:rPr>
            </w:pPr>
            <w:r w:rsidRPr="00D97438">
              <w:rPr>
                <w:rFonts w:ascii="Palatino Linotype" w:hAnsi="Palatino Linotype"/>
                <w:sz w:val="20"/>
              </w:rPr>
              <w:t>3.5</w:t>
            </w:r>
          </w:p>
        </w:tc>
        <w:tc>
          <w:tcPr>
            <w:tcW w:w="72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0CBA7F81" w14:textId="77777777" w:rsidR="00371419" w:rsidRPr="00D97438" w:rsidRDefault="00371419" w:rsidP="00D97438">
            <w:pPr>
              <w:jc w:val="center"/>
              <w:rPr>
                <w:rFonts w:ascii="Palatino Linotype" w:hAnsi="Palatino Linotype"/>
                <w:sz w:val="20"/>
              </w:rPr>
            </w:pPr>
            <w:r w:rsidRPr="00AF6B95">
              <w:rPr>
                <w:rFonts w:ascii="Palatino Linotype" w:hAnsi="Palatino Linotype"/>
                <w:sz w:val="20"/>
              </w:rPr>
              <w:t>PV</w:t>
            </w:r>
          </w:p>
        </w:tc>
        <w:tc>
          <w:tcPr>
            <w:tcW w:w="8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9BA2A10" w14:textId="77777777" w:rsidR="00371419" w:rsidRPr="00D97438" w:rsidRDefault="00371419" w:rsidP="00D97438">
            <w:pPr>
              <w:jc w:val="center"/>
              <w:rPr>
                <w:rFonts w:ascii="Palatino Linotype" w:hAnsi="Palatino Linotype"/>
                <w:sz w:val="20"/>
              </w:rPr>
            </w:pPr>
            <w:r w:rsidRPr="00D97438">
              <w:rPr>
                <w:rFonts w:ascii="Palatino Linotype" w:hAnsi="Palatino Linotype"/>
                <w:sz w:val="20"/>
              </w:rPr>
              <w:t>New</w:t>
            </w:r>
          </w:p>
        </w:tc>
        <w:tc>
          <w:tcPr>
            <w:tcW w:w="72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5EC9C7A" w14:textId="77777777" w:rsidR="00371419" w:rsidRPr="00D97438" w:rsidRDefault="00371419" w:rsidP="00D97438">
            <w:pPr>
              <w:jc w:val="center"/>
              <w:rPr>
                <w:rFonts w:ascii="Palatino Linotype" w:hAnsi="Palatino Linotype"/>
                <w:sz w:val="20"/>
              </w:rPr>
            </w:pPr>
            <w:r w:rsidRPr="00D97438">
              <w:rPr>
                <w:rFonts w:ascii="Palatino Linotype" w:hAnsi="Palatino Linotype"/>
                <w:sz w:val="20"/>
              </w:rPr>
              <w:t>20</w:t>
            </w:r>
          </w:p>
        </w:tc>
        <w:tc>
          <w:tcPr>
            <w:tcW w:w="8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13BC70C" w14:textId="77777777" w:rsidR="00371419" w:rsidRPr="00371419" w:rsidRDefault="00371419" w:rsidP="00371419">
            <w:pPr>
              <w:jc w:val="center"/>
              <w:rPr>
                <w:rFonts w:ascii="Palatino Linotype" w:hAnsi="Palatino Linotype"/>
                <w:color w:val="000000"/>
                <w:sz w:val="20"/>
              </w:rPr>
            </w:pPr>
            <w:r w:rsidRPr="00371419">
              <w:rPr>
                <w:rFonts w:ascii="Palatino Linotype" w:hAnsi="Palatino Linotype"/>
                <w:color w:val="000000"/>
                <w:sz w:val="20"/>
              </w:rPr>
              <w:t>$121.88</w:t>
            </w:r>
          </w:p>
        </w:tc>
        <w:tc>
          <w:tcPr>
            <w:tcW w:w="11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D4FB8DA" w14:textId="77777777" w:rsidR="00371419" w:rsidRPr="00D97438" w:rsidRDefault="00371419" w:rsidP="00D97438">
            <w:pPr>
              <w:jc w:val="center"/>
              <w:rPr>
                <w:rFonts w:ascii="Palatino Linotype" w:hAnsi="Palatino Linotype"/>
                <w:sz w:val="20"/>
              </w:rPr>
            </w:pPr>
            <w:r w:rsidRPr="00D97438">
              <w:rPr>
                <w:rFonts w:ascii="Palatino Linotype" w:hAnsi="Palatino Linotype"/>
                <w:sz w:val="20"/>
              </w:rPr>
              <w:t>12/15/2013</w:t>
            </w:r>
          </w:p>
        </w:tc>
      </w:tr>
      <w:tr w:rsidR="00371419" w:rsidRPr="00D97438" w14:paraId="54CC45C7" w14:textId="77777777" w:rsidTr="00D97438">
        <w:trPr>
          <w:trHeight w:val="300"/>
        </w:trPr>
        <w:tc>
          <w:tcPr>
            <w:tcW w:w="252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3E192AE" w14:textId="77777777" w:rsidR="00371419" w:rsidRPr="00D97438" w:rsidRDefault="00371419">
            <w:pPr>
              <w:rPr>
                <w:rFonts w:ascii="Palatino Linotype" w:hAnsi="Palatino Linotype"/>
                <w:sz w:val="20"/>
              </w:rPr>
            </w:pPr>
            <w:r w:rsidRPr="00D97438">
              <w:rPr>
                <w:rFonts w:ascii="Palatino Linotype" w:hAnsi="Palatino Linotype"/>
                <w:sz w:val="20"/>
              </w:rPr>
              <w:t>Hesperia West 2</w:t>
            </w:r>
          </w:p>
        </w:tc>
        <w:tc>
          <w:tcPr>
            <w:tcW w:w="18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FC4DD32" w14:textId="77777777" w:rsidR="00371419" w:rsidRPr="00D97438" w:rsidRDefault="00371419">
            <w:pPr>
              <w:rPr>
                <w:rFonts w:ascii="Palatino Linotype" w:hAnsi="Palatino Linotype"/>
                <w:sz w:val="20"/>
              </w:rPr>
            </w:pPr>
            <w:r w:rsidRPr="00D97438">
              <w:rPr>
                <w:rFonts w:ascii="Palatino Linotype" w:hAnsi="Palatino Linotype"/>
                <w:sz w:val="20"/>
              </w:rPr>
              <w:t>Belectric/Coronus</w:t>
            </w:r>
          </w:p>
        </w:tc>
        <w:tc>
          <w:tcPr>
            <w:tcW w:w="9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E66CC02" w14:textId="77777777" w:rsidR="00371419" w:rsidRPr="00D97438" w:rsidRDefault="00371419" w:rsidP="00D97438">
            <w:pPr>
              <w:jc w:val="center"/>
              <w:rPr>
                <w:rFonts w:ascii="Palatino Linotype" w:hAnsi="Palatino Linotype"/>
                <w:sz w:val="20"/>
              </w:rPr>
            </w:pPr>
            <w:r w:rsidRPr="00D97438">
              <w:rPr>
                <w:rFonts w:ascii="Palatino Linotype" w:hAnsi="Palatino Linotype"/>
                <w:sz w:val="20"/>
              </w:rPr>
              <w:t>1.5</w:t>
            </w:r>
          </w:p>
        </w:tc>
        <w:tc>
          <w:tcPr>
            <w:tcW w:w="11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8AD6AE0" w14:textId="77777777" w:rsidR="00371419" w:rsidRPr="00D97438" w:rsidRDefault="00371419" w:rsidP="00D97438">
            <w:pPr>
              <w:jc w:val="center"/>
              <w:rPr>
                <w:rFonts w:ascii="Palatino Linotype" w:hAnsi="Palatino Linotype"/>
                <w:sz w:val="20"/>
              </w:rPr>
            </w:pPr>
            <w:r w:rsidRPr="00D97438">
              <w:rPr>
                <w:rFonts w:ascii="Palatino Linotype" w:hAnsi="Palatino Linotype"/>
                <w:sz w:val="20"/>
              </w:rPr>
              <w:t>3.6</w:t>
            </w:r>
          </w:p>
        </w:tc>
        <w:tc>
          <w:tcPr>
            <w:tcW w:w="72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2FEA00D9" w14:textId="77777777" w:rsidR="00371419" w:rsidRPr="00D97438" w:rsidRDefault="00371419" w:rsidP="00D97438">
            <w:pPr>
              <w:jc w:val="center"/>
              <w:rPr>
                <w:rFonts w:ascii="Palatino Linotype" w:hAnsi="Palatino Linotype"/>
                <w:sz w:val="20"/>
              </w:rPr>
            </w:pPr>
            <w:r w:rsidRPr="00AF6B95">
              <w:rPr>
                <w:rFonts w:ascii="Palatino Linotype" w:hAnsi="Palatino Linotype"/>
                <w:sz w:val="20"/>
              </w:rPr>
              <w:t>PV</w:t>
            </w:r>
          </w:p>
        </w:tc>
        <w:tc>
          <w:tcPr>
            <w:tcW w:w="8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F2F46D8" w14:textId="77777777" w:rsidR="00371419" w:rsidRPr="00D97438" w:rsidRDefault="00371419" w:rsidP="00D97438">
            <w:pPr>
              <w:jc w:val="center"/>
              <w:rPr>
                <w:rFonts w:ascii="Palatino Linotype" w:hAnsi="Palatino Linotype"/>
                <w:sz w:val="20"/>
              </w:rPr>
            </w:pPr>
            <w:r w:rsidRPr="00D97438">
              <w:rPr>
                <w:rFonts w:ascii="Palatino Linotype" w:hAnsi="Palatino Linotype"/>
                <w:sz w:val="20"/>
              </w:rPr>
              <w:t>New</w:t>
            </w:r>
          </w:p>
        </w:tc>
        <w:tc>
          <w:tcPr>
            <w:tcW w:w="72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3BDA749" w14:textId="77777777" w:rsidR="00371419" w:rsidRPr="00D97438" w:rsidRDefault="00371419" w:rsidP="00D97438">
            <w:pPr>
              <w:jc w:val="center"/>
              <w:rPr>
                <w:rFonts w:ascii="Palatino Linotype" w:hAnsi="Palatino Linotype"/>
                <w:sz w:val="20"/>
              </w:rPr>
            </w:pPr>
            <w:r w:rsidRPr="00D97438">
              <w:rPr>
                <w:rFonts w:ascii="Palatino Linotype" w:hAnsi="Palatino Linotype"/>
                <w:sz w:val="20"/>
              </w:rPr>
              <w:t>20</w:t>
            </w:r>
          </w:p>
        </w:tc>
        <w:tc>
          <w:tcPr>
            <w:tcW w:w="8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DC754B0" w14:textId="77777777" w:rsidR="00371419" w:rsidRPr="00371419" w:rsidRDefault="00371419" w:rsidP="00371419">
            <w:pPr>
              <w:jc w:val="center"/>
              <w:rPr>
                <w:rFonts w:ascii="Palatino Linotype" w:hAnsi="Palatino Linotype"/>
                <w:color w:val="000000"/>
                <w:sz w:val="20"/>
              </w:rPr>
            </w:pPr>
            <w:r w:rsidRPr="00371419">
              <w:rPr>
                <w:rFonts w:ascii="Palatino Linotype" w:hAnsi="Palatino Linotype"/>
                <w:color w:val="000000"/>
                <w:sz w:val="20"/>
              </w:rPr>
              <w:t>$121.88</w:t>
            </w:r>
          </w:p>
        </w:tc>
        <w:tc>
          <w:tcPr>
            <w:tcW w:w="11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308D47C" w14:textId="77777777" w:rsidR="00371419" w:rsidRPr="00D97438" w:rsidRDefault="00371419" w:rsidP="00D97438">
            <w:pPr>
              <w:jc w:val="center"/>
              <w:rPr>
                <w:rFonts w:ascii="Palatino Linotype" w:hAnsi="Palatino Linotype"/>
                <w:sz w:val="20"/>
              </w:rPr>
            </w:pPr>
            <w:r w:rsidRPr="00D97438">
              <w:rPr>
                <w:rFonts w:ascii="Palatino Linotype" w:hAnsi="Palatino Linotype"/>
                <w:sz w:val="20"/>
              </w:rPr>
              <w:t>4/1/2013</w:t>
            </w:r>
          </w:p>
        </w:tc>
      </w:tr>
      <w:tr w:rsidR="00371419" w:rsidRPr="00D97438" w14:paraId="05E0E574" w14:textId="77777777" w:rsidTr="00D97438">
        <w:trPr>
          <w:trHeight w:val="300"/>
        </w:trPr>
        <w:tc>
          <w:tcPr>
            <w:tcW w:w="252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B9DCDFE" w14:textId="77777777" w:rsidR="00371419" w:rsidRPr="00D97438" w:rsidRDefault="00371419">
            <w:pPr>
              <w:rPr>
                <w:rFonts w:ascii="Palatino Linotype" w:hAnsi="Palatino Linotype"/>
                <w:sz w:val="20"/>
              </w:rPr>
            </w:pPr>
            <w:r w:rsidRPr="00D97438">
              <w:rPr>
                <w:rFonts w:ascii="Palatino Linotype" w:hAnsi="Palatino Linotype"/>
                <w:sz w:val="20"/>
              </w:rPr>
              <w:t>Yucca Valley East 1</w:t>
            </w:r>
          </w:p>
        </w:tc>
        <w:tc>
          <w:tcPr>
            <w:tcW w:w="18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FF455ED" w14:textId="77777777" w:rsidR="00371419" w:rsidRPr="00D97438" w:rsidRDefault="00371419">
            <w:pPr>
              <w:rPr>
                <w:rFonts w:ascii="Palatino Linotype" w:hAnsi="Palatino Linotype"/>
                <w:sz w:val="20"/>
              </w:rPr>
            </w:pPr>
            <w:r w:rsidRPr="00D97438">
              <w:rPr>
                <w:rFonts w:ascii="Palatino Linotype" w:hAnsi="Palatino Linotype"/>
                <w:sz w:val="20"/>
              </w:rPr>
              <w:t>Belectric/Coronus</w:t>
            </w:r>
          </w:p>
        </w:tc>
        <w:tc>
          <w:tcPr>
            <w:tcW w:w="9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B9137F8" w14:textId="77777777" w:rsidR="00371419" w:rsidRPr="00D97438" w:rsidRDefault="00371419" w:rsidP="00D97438">
            <w:pPr>
              <w:jc w:val="center"/>
              <w:rPr>
                <w:rFonts w:ascii="Palatino Linotype" w:hAnsi="Palatino Linotype"/>
                <w:sz w:val="20"/>
              </w:rPr>
            </w:pPr>
            <w:r w:rsidRPr="00D97438">
              <w:rPr>
                <w:rFonts w:ascii="Palatino Linotype" w:hAnsi="Palatino Linotype"/>
                <w:sz w:val="20"/>
              </w:rPr>
              <w:t>1.5</w:t>
            </w:r>
          </w:p>
        </w:tc>
        <w:tc>
          <w:tcPr>
            <w:tcW w:w="11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D1CFAE4" w14:textId="77777777" w:rsidR="00371419" w:rsidRPr="00D97438" w:rsidRDefault="00371419" w:rsidP="00D97438">
            <w:pPr>
              <w:jc w:val="center"/>
              <w:rPr>
                <w:rFonts w:ascii="Palatino Linotype" w:hAnsi="Palatino Linotype"/>
                <w:sz w:val="20"/>
              </w:rPr>
            </w:pPr>
            <w:r w:rsidRPr="00D97438">
              <w:rPr>
                <w:rFonts w:ascii="Palatino Linotype" w:hAnsi="Palatino Linotype"/>
                <w:sz w:val="20"/>
              </w:rPr>
              <w:t>3.6</w:t>
            </w:r>
          </w:p>
        </w:tc>
        <w:tc>
          <w:tcPr>
            <w:tcW w:w="72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7BD1AF7A" w14:textId="77777777" w:rsidR="00371419" w:rsidRPr="00D97438" w:rsidRDefault="00371419" w:rsidP="00D97438">
            <w:pPr>
              <w:jc w:val="center"/>
              <w:rPr>
                <w:rFonts w:ascii="Palatino Linotype" w:hAnsi="Palatino Linotype"/>
                <w:sz w:val="20"/>
              </w:rPr>
            </w:pPr>
            <w:r w:rsidRPr="00AF6B95">
              <w:rPr>
                <w:rFonts w:ascii="Palatino Linotype" w:hAnsi="Palatino Linotype"/>
                <w:sz w:val="20"/>
              </w:rPr>
              <w:t>PV</w:t>
            </w:r>
          </w:p>
        </w:tc>
        <w:tc>
          <w:tcPr>
            <w:tcW w:w="8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645D36E" w14:textId="77777777" w:rsidR="00371419" w:rsidRPr="00D97438" w:rsidRDefault="00371419" w:rsidP="00D97438">
            <w:pPr>
              <w:jc w:val="center"/>
              <w:rPr>
                <w:rFonts w:ascii="Palatino Linotype" w:hAnsi="Palatino Linotype"/>
                <w:sz w:val="20"/>
              </w:rPr>
            </w:pPr>
            <w:r w:rsidRPr="00D97438">
              <w:rPr>
                <w:rFonts w:ascii="Palatino Linotype" w:hAnsi="Palatino Linotype"/>
                <w:sz w:val="20"/>
              </w:rPr>
              <w:t>New</w:t>
            </w:r>
          </w:p>
        </w:tc>
        <w:tc>
          <w:tcPr>
            <w:tcW w:w="72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FCD0365" w14:textId="77777777" w:rsidR="00371419" w:rsidRPr="00D97438" w:rsidRDefault="00371419" w:rsidP="00D97438">
            <w:pPr>
              <w:jc w:val="center"/>
              <w:rPr>
                <w:rFonts w:ascii="Palatino Linotype" w:hAnsi="Palatino Linotype"/>
                <w:sz w:val="20"/>
              </w:rPr>
            </w:pPr>
            <w:r w:rsidRPr="00D97438">
              <w:rPr>
                <w:rFonts w:ascii="Palatino Linotype" w:hAnsi="Palatino Linotype"/>
                <w:sz w:val="20"/>
              </w:rPr>
              <w:t>20</w:t>
            </w:r>
          </w:p>
        </w:tc>
        <w:tc>
          <w:tcPr>
            <w:tcW w:w="8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7080AC3" w14:textId="77777777" w:rsidR="00371419" w:rsidRPr="00371419" w:rsidRDefault="00371419" w:rsidP="00371419">
            <w:pPr>
              <w:jc w:val="center"/>
              <w:rPr>
                <w:rFonts w:ascii="Palatino Linotype" w:hAnsi="Palatino Linotype"/>
                <w:color w:val="000000"/>
                <w:sz w:val="20"/>
              </w:rPr>
            </w:pPr>
            <w:r w:rsidRPr="00371419">
              <w:rPr>
                <w:rFonts w:ascii="Palatino Linotype" w:hAnsi="Palatino Linotype"/>
                <w:color w:val="000000"/>
                <w:sz w:val="20"/>
              </w:rPr>
              <w:t>$126.83</w:t>
            </w:r>
          </w:p>
        </w:tc>
        <w:tc>
          <w:tcPr>
            <w:tcW w:w="11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A91C936" w14:textId="77777777" w:rsidR="00371419" w:rsidRPr="00D97438" w:rsidRDefault="00371419" w:rsidP="00D97438">
            <w:pPr>
              <w:jc w:val="center"/>
              <w:rPr>
                <w:rFonts w:ascii="Palatino Linotype" w:hAnsi="Palatino Linotype"/>
                <w:sz w:val="20"/>
              </w:rPr>
            </w:pPr>
            <w:r w:rsidRPr="00D97438">
              <w:rPr>
                <w:rFonts w:ascii="Palatino Linotype" w:hAnsi="Palatino Linotype"/>
                <w:sz w:val="20"/>
              </w:rPr>
              <w:t>1/15/2014</w:t>
            </w:r>
          </w:p>
        </w:tc>
      </w:tr>
      <w:tr w:rsidR="00371419" w:rsidRPr="00D97438" w14:paraId="00DE4397" w14:textId="77777777" w:rsidTr="00D97438">
        <w:trPr>
          <w:trHeight w:val="300"/>
        </w:trPr>
        <w:tc>
          <w:tcPr>
            <w:tcW w:w="252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FCF3589" w14:textId="77777777" w:rsidR="00371419" w:rsidRPr="00D97438" w:rsidRDefault="00371419">
            <w:pPr>
              <w:rPr>
                <w:rFonts w:ascii="Palatino Linotype" w:hAnsi="Palatino Linotype"/>
                <w:sz w:val="20"/>
              </w:rPr>
            </w:pPr>
            <w:r w:rsidRPr="00D97438">
              <w:rPr>
                <w:rFonts w:ascii="Palatino Linotype" w:hAnsi="Palatino Linotype"/>
                <w:sz w:val="20"/>
              </w:rPr>
              <w:t>Marinos Ventures</w:t>
            </w:r>
          </w:p>
        </w:tc>
        <w:tc>
          <w:tcPr>
            <w:tcW w:w="18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B458A8E" w14:textId="77777777" w:rsidR="00371419" w:rsidRPr="00D97438" w:rsidRDefault="00371419">
            <w:pPr>
              <w:rPr>
                <w:rFonts w:ascii="Palatino Linotype" w:hAnsi="Palatino Linotype"/>
                <w:sz w:val="20"/>
              </w:rPr>
            </w:pPr>
            <w:r w:rsidRPr="00D97438">
              <w:rPr>
                <w:rFonts w:ascii="Palatino Linotype" w:hAnsi="Palatino Linotype"/>
                <w:sz w:val="20"/>
              </w:rPr>
              <w:t>Marinos Ventures</w:t>
            </w:r>
          </w:p>
        </w:tc>
        <w:tc>
          <w:tcPr>
            <w:tcW w:w="9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5E155DB" w14:textId="77777777" w:rsidR="00371419" w:rsidRPr="00D97438" w:rsidRDefault="00371419" w:rsidP="00D97438">
            <w:pPr>
              <w:jc w:val="center"/>
              <w:rPr>
                <w:rFonts w:ascii="Palatino Linotype" w:hAnsi="Palatino Linotype"/>
                <w:sz w:val="20"/>
              </w:rPr>
            </w:pPr>
            <w:r w:rsidRPr="00D97438">
              <w:rPr>
                <w:rFonts w:ascii="Palatino Linotype" w:hAnsi="Palatino Linotype"/>
                <w:sz w:val="20"/>
              </w:rPr>
              <w:t>0.3</w:t>
            </w:r>
          </w:p>
        </w:tc>
        <w:tc>
          <w:tcPr>
            <w:tcW w:w="11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0A79E89" w14:textId="77777777" w:rsidR="00371419" w:rsidRPr="00D97438" w:rsidRDefault="00371419" w:rsidP="00D97438">
            <w:pPr>
              <w:jc w:val="center"/>
              <w:rPr>
                <w:rFonts w:ascii="Palatino Linotype" w:hAnsi="Palatino Linotype"/>
                <w:sz w:val="20"/>
              </w:rPr>
            </w:pPr>
            <w:r w:rsidRPr="00D97438">
              <w:rPr>
                <w:rFonts w:ascii="Palatino Linotype" w:hAnsi="Palatino Linotype"/>
                <w:sz w:val="20"/>
              </w:rPr>
              <w:t>0.7</w:t>
            </w:r>
          </w:p>
        </w:tc>
        <w:tc>
          <w:tcPr>
            <w:tcW w:w="72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0979976F" w14:textId="77777777" w:rsidR="00371419" w:rsidRPr="00D97438" w:rsidRDefault="00371419" w:rsidP="00D97438">
            <w:pPr>
              <w:jc w:val="center"/>
              <w:rPr>
                <w:rFonts w:ascii="Palatino Linotype" w:hAnsi="Palatino Linotype"/>
                <w:sz w:val="20"/>
              </w:rPr>
            </w:pPr>
            <w:r w:rsidRPr="00AF6B95">
              <w:rPr>
                <w:rFonts w:ascii="Palatino Linotype" w:hAnsi="Palatino Linotype"/>
                <w:sz w:val="20"/>
              </w:rPr>
              <w:t>PV</w:t>
            </w:r>
          </w:p>
        </w:tc>
        <w:tc>
          <w:tcPr>
            <w:tcW w:w="8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8B33081" w14:textId="77777777" w:rsidR="00371419" w:rsidRPr="00D97438" w:rsidRDefault="00371419" w:rsidP="00D97438">
            <w:pPr>
              <w:jc w:val="center"/>
              <w:rPr>
                <w:rFonts w:ascii="Palatino Linotype" w:hAnsi="Palatino Linotype"/>
                <w:sz w:val="20"/>
              </w:rPr>
            </w:pPr>
            <w:r w:rsidRPr="00D97438">
              <w:rPr>
                <w:rFonts w:ascii="Palatino Linotype" w:hAnsi="Palatino Linotype"/>
                <w:sz w:val="20"/>
              </w:rPr>
              <w:t>New</w:t>
            </w:r>
          </w:p>
        </w:tc>
        <w:tc>
          <w:tcPr>
            <w:tcW w:w="72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D587AAA" w14:textId="77777777" w:rsidR="00371419" w:rsidRPr="00D97438" w:rsidRDefault="00371419" w:rsidP="00D97438">
            <w:pPr>
              <w:jc w:val="center"/>
              <w:rPr>
                <w:rFonts w:ascii="Palatino Linotype" w:hAnsi="Palatino Linotype"/>
                <w:sz w:val="20"/>
              </w:rPr>
            </w:pPr>
            <w:r w:rsidRPr="00D97438">
              <w:rPr>
                <w:rFonts w:ascii="Palatino Linotype" w:hAnsi="Palatino Linotype"/>
                <w:sz w:val="20"/>
              </w:rPr>
              <w:t>20</w:t>
            </w:r>
          </w:p>
        </w:tc>
        <w:tc>
          <w:tcPr>
            <w:tcW w:w="8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6668F45" w14:textId="77777777" w:rsidR="00371419" w:rsidRPr="00371419" w:rsidRDefault="00371419" w:rsidP="00371419">
            <w:pPr>
              <w:jc w:val="center"/>
              <w:rPr>
                <w:rFonts w:ascii="Palatino Linotype" w:hAnsi="Palatino Linotype"/>
                <w:color w:val="000000"/>
                <w:sz w:val="20"/>
              </w:rPr>
            </w:pPr>
            <w:r w:rsidRPr="00371419">
              <w:rPr>
                <w:rFonts w:ascii="Palatino Linotype" w:hAnsi="Palatino Linotype"/>
                <w:color w:val="000000"/>
                <w:sz w:val="20"/>
              </w:rPr>
              <w:t>$121.88</w:t>
            </w:r>
          </w:p>
        </w:tc>
        <w:tc>
          <w:tcPr>
            <w:tcW w:w="11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79316CC" w14:textId="77777777" w:rsidR="00371419" w:rsidRPr="00D97438" w:rsidRDefault="00371419" w:rsidP="00D97438">
            <w:pPr>
              <w:jc w:val="center"/>
              <w:rPr>
                <w:rFonts w:ascii="Palatino Linotype" w:hAnsi="Palatino Linotype"/>
                <w:sz w:val="20"/>
              </w:rPr>
            </w:pPr>
            <w:r w:rsidRPr="00D97438">
              <w:rPr>
                <w:rFonts w:ascii="Palatino Linotype" w:hAnsi="Palatino Linotype"/>
                <w:sz w:val="20"/>
              </w:rPr>
              <w:t>4/1/2013</w:t>
            </w:r>
          </w:p>
        </w:tc>
      </w:tr>
      <w:tr w:rsidR="00371419" w:rsidRPr="00D97438" w14:paraId="64777EBF" w14:textId="77777777" w:rsidTr="00D97438">
        <w:trPr>
          <w:trHeight w:val="300"/>
        </w:trPr>
        <w:tc>
          <w:tcPr>
            <w:tcW w:w="252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9D3A329" w14:textId="77777777" w:rsidR="00371419" w:rsidRPr="00D97438" w:rsidRDefault="00371419">
            <w:pPr>
              <w:rPr>
                <w:rFonts w:ascii="Palatino Linotype" w:hAnsi="Palatino Linotype"/>
                <w:sz w:val="20"/>
              </w:rPr>
            </w:pPr>
            <w:r w:rsidRPr="00D97438">
              <w:rPr>
                <w:rFonts w:ascii="Palatino Linotype" w:hAnsi="Palatino Linotype"/>
                <w:sz w:val="20"/>
              </w:rPr>
              <w:t>Yucca Valley East 2</w:t>
            </w:r>
          </w:p>
        </w:tc>
        <w:tc>
          <w:tcPr>
            <w:tcW w:w="18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7275BA5" w14:textId="77777777" w:rsidR="00371419" w:rsidRPr="00D97438" w:rsidRDefault="00371419">
            <w:pPr>
              <w:rPr>
                <w:rFonts w:ascii="Palatino Linotype" w:hAnsi="Palatino Linotype"/>
                <w:sz w:val="20"/>
              </w:rPr>
            </w:pPr>
            <w:r w:rsidRPr="00D97438">
              <w:rPr>
                <w:rFonts w:ascii="Palatino Linotype" w:hAnsi="Palatino Linotype"/>
                <w:sz w:val="20"/>
              </w:rPr>
              <w:t>Belectric/Coronus</w:t>
            </w:r>
          </w:p>
        </w:tc>
        <w:tc>
          <w:tcPr>
            <w:tcW w:w="9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BF3C8FF" w14:textId="77777777" w:rsidR="00371419" w:rsidRPr="00D97438" w:rsidRDefault="00371419" w:rsidP="00D97438">
            <w:pPr>
              <w:jc w:val="center"/>
              <w:rPr>
                <w:rFonts w:ascii="Palatino Linotype" w:hAnsi="Palatino Linotype"/>
                <w:sz w:val="20"/>
              </w:rPr>
            </w:pPr>
            <w:r w:rsidRPr="00D97438">
              <w:rPr>
                <w:rFonts w:ascii="Palatino Linotype" w:hAnsi="Palatino Linotype"/>
                <w:sz w:val="20"/>
              </w:rPr>
              <w:t>1.5</w:t>
            </w:r>
          </w:p>
        </w:tc>
        <w:tc>
          <w:tcPr>
            <w:tcW w:w="11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272A273" w14:textId="77777777" w:rsidR="00371419" w:rsidRPr="00D97438" w:rsidRDefault="00371419" w:rsidP="00D97438">
            <w:pPr>
              <w:jc w:val="center"/>
              <w:rPr>
                <w:rFonts w:ascii="Palatino Linotype" w:hAnsi="Palatino Linotype"/>
                <w:sz w:val="20"/>
              </w:rPr>
            </w:pPr>
            <w:r w:rsidRPr="00D97438">
              <w:rPr>
                <w:rFonts w:ascii="Palatino Linotype" w:hAnsi="Palatino Linotype"/>
                <w:sz w:val="20"/>
              </w:rPr>
              <w:t>3.6</w:t>
            </w:r>
          </w:p>
        </w:tc>
        <w:tc>
          <w:tcPr>
            <w:tcW w:w="72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52CED803" w14:textId="77777777" w:rsidR="00371419" w:rsidRPr="00D97438" w:rsidRDefault="00371419" w:rsidP="00D97438">
            <w:pPr>
              <w:jc w:val="center"/>
              <w:rPr>
                <w:rFonts w:ascii="Palatino Linotype" w:hAnsi="Palatino Linotype"/>
                <w:sz w:val="20"/>
              </w:rPr>
            </w:pPr>
            <w:r w:rsidRPr="00AF6B95">
              <w:rPr>
                <w:rFonts w:ascii="Palatino Linotype" w:hAnsi="Palatino Linotype"/>
                <w:sz w:val="20"/>
              </w:rPr>
              <w:t>PV</w:t>
            </w:r>
          </w:p>
        </w:tc>
        <w:tc>
          <w:tcPr>
            <w:tcW w:w="8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441DACE" w14:textId="77777777" w:rsidR="00371419" w:rsidRPr="00D97438" w:rsidRDefault="00371419" w:rsidP="00D97438">
            <w:pPr>
              <w:jc w:val="center"/>
              <w:rPr>
                <w:rFonts w:ascii="Palatino Linotype" w:hAnsi="Palatino Linotype"/>
                <w:sz w:val="20"/>
              </w:rPr>
            </w:pPr>
            <w:r w:rsidRPr="00D97438">
              <w:rPr>
                <w:rFonts w:ascii="Palatino Linotype" w:hAnsi="Palatino Linotype"/>
                <w:sz w:val="20"/>
              </w:rPr>
              <w:t>New</w:t>
            </w:r>
          </w:p>
        </w:tc>
        <w:tc>
          <w:tcPr>
            <w:tcW w:w="72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D740A5E" w14:textId="77777777" w:rsidR="00371419" w:rsidRPr="00D97438" w:rsidRDefault="00371419" w:rsidP="00D97438">
            <w:pPr>
              <w:jc w:val="center"/>
              <w:rPr>
                <w:rFonts w:ascii="Palatino Linotype" w:hAnsi="Palatino Linotype"/>
                <w:sz w:val="20"/>
              </w:rPr>
            </w:pPr>
            <w:r w:rsidRPr="00D97438">
              <w:rPr>
                <w:rFonts w:ascii="Palatino Linotype" w:hAnsi="Palatino Linotype"/>
                <w:sz w:val="20"/>
              </w:rPr>
              <w:t>20</w:t>
            </w:r>
          </w:p>
        </w:tc>
        <w:tc>
          <w:tcPr>
            <w:tcW w:w="8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7BEA9D0" w14:textId="77777777" w:rsidR="00371419" w:rsidRPr="00371419" w:rsidRDefault="00371419" w:rsidP="00371419">
            <w:pPr>
              <w:jc w:val="center"/>
              <w:rPr>
                <w:rFonts w:ascii="Palatino Linotype" w:hAnsi="Palatino Linotype"/>
                <w:color w:val="000000"/>
                <w:sz w:val="20"/>
              </w:rPr>
            </w:pPr>
            <w:r w:rsidRPr="00371419">
              <w:rPr>
                <w:rFonts w:ascii="Palatino Linotype" w:hAnsi="Palatino Linotype"/>
                <w:color w:val="000000"/>
                <w:sz w:val="20"/>
              </w:rPr>
              <w:t>$126.83</w:t>
            </w:r>
          </w:p>
        </w:tc>
        <w:tc>
          <w:tcPr>
            <w:tcW w:w="11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8857F74" w14:textId="77777777" w:rsidR="00371419" w:rsidRPr="00D97438" w:rsidRDefault="00371419" w:rsidP="00D97438">
            <w:pPr>
              <w:jc w:val="center"/>
              <w:rPr>
                <w:rFonts w:ascii="Palatino Linotype" w:hAnsi="Palatino Linotype"/>
                <w:sz w:val="20"/>
              </w:rPr>
            </w:pPr>
            <w:r w:rsidRPr="00D97438">
              <w:rPr>
                <w:rFonts w:ascii="Palatino Linotype" w:hAnsi="Palatino Linotype"/>
                <w:sz w:val="20"/>
              </w:rPr>
              <w:t>1/15/2014</w:t>
            </w:r>
          </w:p>
        </w:tc>
      </w:tr>
      <w:tr w:rsidR="00371419" w:rsidRPr="00D97438" w14:paraId="1FD7CB43" w14:textId="77777777" w:rsidTr="00D97438">
        <w:trPr>
          <w:trHeight w:val="300"/>
        </w:trPr>
        <w:tc>
          <w:tcPr>
            <w:tcW w:w="252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7465E05" w14:textId="77777777" w:rsidR="00371419" w:rsidRPr="00D97438" w:rsidRDefault="00371419">
            <w:pPr>
              <w:rPr>
                <w:rFonts w:ascii="Palatino Linotype" w:hAnsi="Palatino Linotype"/>
                <w:sz w:val="20"/>
              </w:rPr>
            </w:pPr>
            <w:r w:rsidRPr="00D97438">
              <w:rPr>
                <w:rFonts w:ascii="Palatino Linotype" w:hAnsi="Palatino Linotype"/>
                <w:sz w:val="20"/>
              </w:rPr>
              <w:t>Farmersville 1</w:t>
            </w:r>
          </w:p>
        </w:tc>
        <w:tc>
          <w:tcPr>
            <w:tcW w:w="18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191D097" w14:textId="77777777" w:rsidR="00371419" w:rsidRPr="00D97438" w:rsidRDefault="00371419">
            <w:pPr>
              <w:rPr>
                <w:rFonts w:ascii="Palatino Linotype" w:hAnsi="Palatino Linotype"/>
                <w:sz w:val="20"/>
              </w:rPr>
            </w:pPr>
            <w:r w:rsidRPr="00D97438">
              <w:rPr>
                <w:rFonts w:ascii="Palatino Linotype" w:hAnsi="Palatino Linotype"/>
                <w:sz w:val="20"/>
              </w:rPr>
              <w:t xml:space="preserve">ImMODO </w:t>
            </w:r>
          </w:p>
        </w:tc>
        <w:tc>
          <w:tcPr>
            <w:tcW w:w="9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1FC047B" w14:textId="77777777" w:rsidR="00371419" w:rsidRPr="00D97438" w:rsidRDefault="00371419" w:rsidP="00D97438">
            <w:pPr>
              <w:jc w:val="center"/>
              <w:rPr>
                <w:rFonts w:ascii="Palatino Linotype" w:hAnsi="Palatino Linotype"/>
                <w:sz w:val="20"/>
              </w:rPr>
            </w:pPr>
            <w:r w:rsidRPr="00D97438">
              <w:rPr>
                <w:rFonts w:ascii="Palatino Linotype" w:hAnsi="Palatino Linotype"/>
                <w:sz w:val="20"/>
              </w:rPr>
              <w:t>1.5</w:t>
            </w:r>
          </w:p>
        </w:tc>
        <w:tc>
          <w:tcPr>
            <w:tcW w:w="11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C448B13" w14:textId="77777777" w:rsidR="00371419" w:rsidRPr="00D97438" w:rsidRDefault="00371419" w:rsidP="00D97438">
            <w:pPr>
              <w:jc w:val="center"/>
              <w:rPr>
                <w:rFonts w:ascii="Palatino Linotype" w:hAnsi="Palatino Linotype"/>
                <w:sz w:val="20"/>
              </w:rPr>
            </w:pPr>
            <w:r w:rsidRPr="00D97438">
              <w:rPr>
                <w:rFonts w:ascii="Palatino Linotype" w:hAnsi="Palatino Linotype"/>
                <w:sz w:val="20"/>
              </w:rPr>
              <w:t>3.0</w:t>
            </w:r>
          </w:p>
        </w:tc>
        <w:tc>
          <w:tcPr>
            <w:tcW w:w="72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3C9807B5" w14:textId="77777777" w:rsidR="00371419" w:rsidRPr="00D97438" w:rsidRDefault="00371419" w:rsidP="00D97438">
            <w:pPr>
              <w:jc w:val="center"/>
              <w:rPr>
                <w:rFonts w:ascii="Palatino Linotype" w:hAnsi="Palatino Linotype"/>
                <w:sz w:val="20"/>
              </w:rPr>
            </w:pPr>
            <w:r w:rsidRPr="00AF6B95">
              <w:rPr>
                <w:rFonts w:ascii="Palatino Linotype" w:hAnsi="Palatino Linotype"/>
                <w:sz w:val="20"/>
              </w:rPr>
              <w:t>PV</w:t>
            </w:r>
          </w:p>
        </w:tc>
        <w:tc>
          <w:tcPr>
            <w:tcW w:w="8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F6C8040" w14:textId="77777777" w:rsidR="00371419" w:rsidRPr="00D97438" w:rsidRDefault="00371419" w:rsidP="00D97438">
            <w:pPr>
              <w:jc w:val="center"/>
              <w:rPr>
                <w:rFonts w:ascii="Palatino Linotype" w:hAnsi="Palatino Linotype"/>
                <w:sz w:val="20"/>
              </w:rPr>
            </w:pPr>
            <w:r w:rsidRPr="00D97438">
              <w:rPr>
                <w:rFonts w:ascii="Palatino Linotype" w:hAnsi="Palatino Linotype"/>
                <w:sz w:val="20"/>
              </w:rPr>
              <w:t>New</w:t>
            </w:r>
          </w:p>
        </w:tc>
        <w:tc>
          <w:tcPr>
            <w:tcW w:w="72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080D464" w14:textId="77777777" w:rsidR="00371419" w:rsidRPr="00D97438" w:rsidRDefault="00371419" w:rsidP="00D97438">
            <w:pPr>
              <w:jc w:val="center"/>
              <w:rPr>
                <w:rFonts w:ascii="Palatino Linotype" w:hAnsi="Palatino Linotype"/>
                <w:sz w:val="20"/>
              </w:rPr>
            </w:pPr>
            <w:r w:rsidRPr="00D97438">
              <w:rPr>
                <w:rFonts w:ascii="Palatino Linotype" w:hAnsi="Palatino Linotype"/>
                <w:sz w:val="20"/>
              </w:rPr>
              <w:t>20</w:t>
            </w:r>
          </w:p>
        </w:tc>
        <w:tc>
          <w:tcPr>
            <w:tcW w:w="8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960E290" w14:textId="77777777" w:rsidR="00371419" w:rsidRPr="00371419" w:rsidRDefault="00371419" w:rsidP="00371419">
            <w:pPr>
              <w:jc w:val="center"/>
              <w:rPr>
                <w:rFonts w:ascii="Palatino Linotype" w:hAnsi="Palatino Linotype"/>
                <w:color w:val="000000"/>
                <w:sz w:val="20"/>
              </w:rPr>
            </w:pPr>
            <w:r w:rsidRPr="00371419">
              <w:rPr>
                <w:rFonts w:ascii="Palatino Linotype" w:hAnsi="Palatino Linotype"/>
                <w:color w:val="000000"/>
                <w:sz w:val="20"/>
              </w:rPr>
              <w:t>$121.88</w:t>
            </w:r>
          </w:p>
        </w:tc>
        <w:tc>
          <w:tcPr>
            <w:tcW w:w="11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4E066E2" w14:textId="77777777" w:rsidR="00371419" w:rsidRPr="00D97438" w:rsidRDefault="00371419" w:rsidP="00D97438">
            <w:pPr>
              <w:jc w:val="center"/>
              <w:rPr>
                <w:rFonts w:ascii="Palatino Linotype" w:hAnsi="Palatino Linotype"/>
                <w:sz w:val="20"/>
              </w:rPr>
            </w:pPr>
            <w:r w:rsidRPr="00D97438">
              <w:rPr>
                <w:rFonts w:ascii="Palatino Linotype" w:hAnsi="Palatino Linotype"/>
                <w:sz w:val="20"/>
              </w:rPr>
              <w:t>10/1/2013</w:t>
            </w:r>
          </w:p>
        </w:tc>
      </w:tr>
      <w:tr w:rsidR="00371419" w:rsidRPr="00D97438" w14:paraId="6A5CED1E" w14:textId="77777777" w:rsidTr="00D97438">
        <w:trPr>
          <w:trHeight w:val="300"/>
        </w:trPr>
        <w:tc>
          <w:tcPr>
            <w:tcW w:w="252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49D970B" w14:textId="77777777" w:rsidR="00371419" w:rsidRPr="00D97438" w:rsidRDefault="00371419">
            <w:pPr>
              <w:rPr>
                <w:rFonts w:ascii="Palatino Linotype" w:hAnsi="Palatino Linotype"/>
                <w:sz w:val="20"/>
              </w:rPr>
            </w:pPr>
            <w:r w:rsidRPr="00D97438">
              <w:rPr>
                <w:rFonts w:ascii="Palatino Linotype" w:hAnsi="Palatino Linotype"/>
                <w:sz w:val="20"/>
              </w:rPr>
              <w:t>Farmersville 2</w:t>
            </w:r>
          </w:p>
        </w:tc>
        <w:tc>
          <w:tcPr>
            <w:tcW w:w="18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CB84256" w14:textId="77777777" w:rsidR="00371419" w:rsidRPr="00D97438" w:rsidRDefault="00371419">
            <w:pPr>
              <w:rPr>
                <w:rFonts w:ascii="Palatino Linotype" w:hAnsi="Palatino Linotype"/>
                <w:sz w:val="20"/>
              </w:rPr>
            </w:pPr>
            <w:r w:rsidRPr="00D97438">
              <w:rPr>
                <w:rFonts w:ascii="Palatino Linotype" w:hAnsi="Palatino Linotype"/>
                <w:sz w:val="20"/>
              </w:rPr>
              <w:t xml:space="preserve">ImMODO </w:t>
            </w:r>
          </w:p>
        </w:tc>
        <w:tc>
          <w:tcPr>
            <w:tcW w:w="9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3D59FB4" w14:textId="77777777" w:rsidR="00371419" w:rsidRPr="00D97438" w:rsidRDefault="00371419" w:rsidP="00D97438">
            <w:pPr>
              <w:jc w:val="center"/>
              <w:rPr>
                <w:rFonts w:ascii="Palatino Linotype" w:hAnsi="Palatino Linotype"/>
                <w:sz w:val="20"/>
              </w:rPr>
            </w:pPr>
            <w:r w:rsidRPr="00D97438">
              <w:rPr>
                <w:rFonts w:ascii="Palatino Linotype" w:hAnsi="Palatino Linotype"/>
                <w:sz w:val="20"/>
              </w:rPr>
              <w:t>1.5</w:t>
            </w:r>
          </w:p>
        </w:tc>
        <w:tc>
          <w:tcPr>
            <w:tcW w:w="11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55C9AA7" w14:textId="77777777" w:rsidR="00371419" w:rsidRPr="00D97438" w:rsidRDefault="00371419" w:rsidP="00D97438">
            <w:pPr>
              <w:jc w:val="center"/>
              <w:rPr>
                <w:rFonts w:ascii="Palatino Linotype" w:hAnsi="Palatino Linotype"/>
                <w:sz w:val="20"/>
              </w:rPr>
            </w:pPr>
            <w:r w:rsidRPr="00D97438">
              <w:rPr>
                <w:rFonts w:ascii="Palatino Linotype" w:hAnsi="Palatino Linotype"/>
                <w:sz w:val="20"/>
              </w:rPr>
              <w:t>3.0</w:t>
            </w:r>
          </w:p>
        </w:tc>
        <w:tc>
          <w:tcPr>
            <w:tcW w:w="72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1CA5BF7A" w14:textId="77777777" w:rsidR="00371419" w:rsidRPr="00D97438" w:rsidRDefault="00371419" w:rsidP="00D97438">
            <w:pPr>
              <w:jc w:val="center"/>
              <w:rPr>
                <w:rFonts w:ascii="Palatino Linotype" w:hAnsi="Palatino Linotype"/>
                <w:sz w:val="20"/>
              </w:rPr>
            </w:pPr>
            <w:r w:rsidRPr="00AF6B95">
              <w:rPr>
                <w:rFonts w:ascii="Palatino Linotype" w:hAnsi="Palatino Linotype"/>
                <w:sz w:val="20"/>
              </w:rPr>
              <w:t>PV</w:t>
            </w:r>
          </w:p>
        </w:tc>
        <w:tc>
          <w:tcPr>
            <w:tcW w:w="8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DAF77C0" w14:textId="77777777" w:rsidR="00371419" w:rsidRPr="00D97438" w:rsidRDefault="00371419" w:rsidP="00D97438">
            <w:pPr>
              <w:jc w:val="center"/>
              <w:rPr>
                <w:rFonts w:ascii="Palatino Linotype" w:hAnsi="Palatino Linotype"/>
                <w:sz w:val="20"/>
              </w:rPr>
            </w:pPr>
            <w:r w:rsidRPr="00D97438">
              <w:rPr>
                <w:rFonts w:ascii="Palatino Linotype" w:hAnsi="Palatino Linotype"/>
                <w:sz w:val="20"/>
              </w:rPr>
              <w:t>New</w:t>
            </w:r>
          </w:p>
        </w:tc>
        <w:tc>
          <w:tcPr>
            <w:tcW w:w="72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F91BEB7" w14:textId="77777777" w:rsidR="00371419" w:rsidRPr="00D97438" w:rsidRDefault="00371419" w:rsidP="00D97438">
            <w:pPr>
              <w:jc w:val="center"/>
              <w:rPr>
                <w:rFonts w:ascii="Palatino Linotype" w:hAnsi="Palatino Linotype"/>
                <w:sz w:val="20"/>
              </w:rPr>
            </w:pPr>
            <w:r w:rsidRPr="00D97438">
              <w:rPr>
                <w:rFonts w:ascii="Palatino Linotype" w:hAnsi="Palatino Linotype"/>
                <w:sz w:val="20"/>
              </w:rPr>
              <w:t>20</w:t>
            </w:r>
          </w:p>
        </w:tc>
        <w:tc>
          <w:tcPr>
            <w:tcW w:w="8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54E54A3" w14:textId="77777777" w:rsidR="00371419" w:rsidRPr="00371419" w:rsidRDefault="00371419" w:rsidP="00371419">
            <w:pPr>
              <w:jc w:val="center"/>
              <w:rPr>
                <w:rFonts w:ascii="Palatino Linotype" w:hAnsi="Palatino Linotype"/>
                <w:color w:val="000000"/>
                <w:sz w:val="20"/>
              </w:rPr>
            </w:pPr>
            <w:r w:rsidRPr="00371419">
              <w:rPr>
                <w:rFonts w:ascii="Palatino Linotype" w:hAnsi="Palatino Linotype"/>
                <w:color w:val="000000"/>
                <w:sz w:val="20"/>
              </w:rPr>
              <w:t>$121.88</w:t>
            </w:r>
          </w:p>
        </w:tc>
        <w:tc>
          <w:tcPr>
            <w:tcW w:w="11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911C91B" w14:textId="77777777" w:rsidR="00371419" w:rsidRPr="00D97438" w:rsidRDefault="00371419" w:rsidP="00D97438">
            <w:pPr>
              <w:jc w:val="center"/>
              <w:rPr>
                <w:rFonts w:ascii="Palatino Linotype" w:hAnsi="Palatino Linotype"/>
                <w:sz w:val="20"/>
              </w:rPr>
            </w:pPr>
            <w:r w:rsidRPr="00D97438">
              <w:rPr>
                <w:rFonts w:ascii="Palatino Linotype" w:hAnsi="Palatino Linotype"/>
                <w:sz w:val="20"/>
              </w:rPr>
              <w:t>10/1/2013</w:t>
            </w:r>
          </w:p>
        </w:tc>
      </w:tr>
      <w:tr w:rsidR="00371419" w:rsidRPr="00D97438" w14:paraId="34BE5448" w14:textId="77777777" w:rsidTr="00D97438">
        <w:trPr>
          <w:trHeight w:val="300"/>
        </w:trPr>
        <w:tc>
          <w:tcPr>
            <w:tcW w:w="252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A018FB6" w14:textId="77777777" w:rsidR="00371419" w:rsidRPr="00D97438" w:rsidRDefault="00371419">
            <w:pPr>
              <w:rPr>
                <w:rFonts w:ascii="Palatino Linotype" w:hAnsi="Palatino Linotype"/>
                <w:sz w:val="20"/>
              </w:rPr>
            </w:pPr>
            <w:r w:rsidRPr="00D97438">
              <w:rPr>
                <w:rFonts w:ascii="Palatino Linotype" w:hAnsi="Palatino Linotype"/>
                <w:sz w:val="20"/>
              </w:rPr>
              <w:t>Farmersville 3</w:t>
            </w:r>
          </w:p>
        </w:tc>
        <w:tc>
          <w:tcPr>
            <w:tcW w:w="18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8F2FD99" w14:textId="77777777" w:rsidR="00371419" w:rsidRPr="00D97438" w:rsidRDefault="00371419">
            <w:pPr>
              <w:rPr>
                <w:rFonts w:ascii="Palatino Linotype" w:hAnsi="Palatino Linotype"/>
                <w:sz w:val="20"/>
              </w:rPr>
            </w:pPr>
            <w:r w:rsidRPr="00D97438">
              <w:rPr>
                <w:rFonts w:ascii="Palatino Linotype" w:hAnsi="Palatino Linotype"/>
                <w:sz w:val="20"/>
              </w:rPr>
              <w:t xml:space="preserve">ImMODO </w:t>
            </w:r>
          </w:p>
        </w:tc>
        <w:tc>
          <w:tcPr>
            <w:tcW w:w="9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CF7D789" w14:textId="77777777" w:rsidR="00371419" w:rsidRPr="00D97438" w:rsidRDefault="00371419" w:rsidP="00D97438">
            <w:pPr>
              <w:jc w:val="center"/>
              <w:rPr>
                <w:rFonts w:ascii="Palatino Linotype" w:hAnsi="Palatino Linotype"/>
                <w:sz w:val="20"/>
              </w:rPr>
            </w:pPr>
            <w:r w:rsidRPr="00D97438">
              <w:rPr>
                <w:rFonts w:ascii="Palatino Linotype" w:hAnsi="Palatino Linotype"/>
                <w:sz w:val="20"/>
              </w:rPr>
              <w:t>1.5</w:t>
            </w:r>
          </w:p>
        </w:tc>
        <w:tc>
          <w:tcPr>
            <w:tcW w:w="11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B146D79" w14:textId="77777777" w:rsidR="00371419" w:rsidRPr="00D97438" w:rsidRDefault="00371419" w:rsidP="00D97438">
            <w:pPr>
              <w:jc w:val="center"/>
              <w:rPr>
                <w:rFonts w:ascii="Palatino Linotype" w:hAnsi="Palatino Linotype"/>
                <w:sz w:val="20"/>
              </w:rPr>
            </w:pPr>
            <w:r w:rsidRPr="00D97438">
              <w:rPr>
                <w:rFonts w:ascii="Palatino Linotype" w:hAnsi="Palatino Linotype"/>
                <w:sz w:val="20"/>
              </w:rPr>
              <w:t>3.0</w:t>
            </w:r>
          </w:p>
        </w:tc>
        <w:tc>
          <w:tcPr>
            <w:tcW w:w="72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09B89879" w14:textId="77777777" w:rsidR="00371419" w:rsidRPr="00D97438" w:rsidRDefault="00371419" w:rsidP="00D97438">
            <w:pPr>
              <w:jc w:val="center"/>
              <w:rPr>
                <w:rFonts w:ascii="Palatino Linotype" w:hAnsi="Palatino Linotype"/>
                <w:sz w:val="20"/>
              </w:rPr>
            </w:pPr>
            <w:r w:rsidRPr="00AF6B95">
              <w:rPr>
                <w:rFonts w:ascii="Palatino Linotype" w:hAnsi="Palatino Linotype"/>
                <w:sz w:val="20"/>
              </w:rPr>
              <w:t>PV</w:t>
            </w:r>
          </w:p>
        </w:tc>
        <w:tc>
          <w:tcPr>
            <w:tcW w:w="8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9BE0173" w14:textId="77777777" w:rsidR="00371419" w:rsidRPr="00D97438" w:rsidRDefault="00371419" w:rsidP="00D97438">
            <w:pPr>
              <w:jc w:val="center"/>
              <w:rPr>
                <w:rFonts w:ascii="Palatino Linotype" w:hAnsi="Palatino Linotype"/>
                <w:sz w:val="20"/>
              </w:rPr>
            </w:pPr>
            <w:r w:rsidRPr="00D97438">
              <w:rPr>
                <w:rFonts w:ascii="Palatino Linotype" w:hAnsi="Palatino Linotype"/>
                <w:sz w:val="20"/>
              </w:rPr>
              <w:t>New</w:t>
            </w:r>
          </w:p>
        </w:tc>
        <w:tc>
          <w:tcPr>
            <w:tcW w:w="72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94A41B0" w14:textId="77777777" w:rsidR="00371419" w:rsidRPr="00D97438" w:rsidRDefault="00371419" w:rsidP="00D97438">
            <w:pPr>
              <w:jc w:val="center"/>
              <w:rPr>
                <w:rFonts w:ascii="Palatino Linotype" w:hAnsi="Palatino Linotype"/>
                <w:sz w:val="20"/>
              </w:rPr>
            </w:pPr>
            <w:r w:rsidRPr="00D97438">
              <w:rPr>
                <w:rFonts w:ascii="Palatino Linotype" w:hAnsi="Palatino Linotype"/>
                <w:sz w:val="20"/>
              </w:rPr>
              <w:t>20</w:t>
            </w:r>
          </w:p>
        </w:tc>
        <w:tc>
          <w:tcPr>
            <w:tcW w:w="8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0C6DD86" w14:textId="77777777" w:rsidR="00371419" w:rsidRPr="00371419" w:rsidRDefault="00371419" w:rsidP="00371419">
            <w:pPr>
              <w:jc w:val="center"/>
              <w:rPr>
                <w:rFonts w:ascii="Palatino Linotype" w:hAnsi="Palatino Linotype"/>
                <w:color w:val="000000"/>
                <w:sz w:val="20"/>
              </w:rPr>
            </w:pPr>
            <w:r w:rsidRPr="00371419">
              <w:rPr>
                <w:rFonts w:ascii="Palatino Linotype" w:hAnsi="Palatino Linotype"/>
                <w:color w:val="000000"/>
                <w:sz w:val="20"/>
              </w:rPr>
              <w:t>$121.88</w:t>
            </w:r>
          </w:p>
        </w:tc>
        <w:tc>
          <w:tcPr>
            <w:tcW w:w="11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82D1654" w14:textId="77777777" w:rsidR="00371419" w:rsidRPr="00D97438" w:rsidRDefault="00371419" w:rsidP="00D97438">
            <w:pPr>
              <w:jc w:val="center"/>
              <w:rPr>
                <w:rFonts w:ascii="Palatino Linotype" w:hAnsi="Palatino Linotype"/>
                <w:sz w:val="20"/>
              </w:rPr>
            </w:pPr>
            <w:r w:rsidRPr="00D97438">
              <w:rPr>
                <w:rFonts w:ascii="Palatino Linotype" w:hAnsi="Palatino Linotype"/>
                <w:sz w:val="20"/>
              </w:rPr>
              <w:t>10/1/2013</w:t>
            </w:r>
          </w:p>
        </w:tc>
      </w:tr>
      <w:tr w:rsidR="00371419" w:rsidRPr="00D97438" w14:paraId="0AB9F107" w14:textId="77777777" w:rsidTr="00D97438">
        <w:trPr>
          <w:trHeight w:val="300"/>
        </w:trPr>
        <w:tc>
          <w:tcPr>
            <w:tcW w:w="252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4B417BD" w14:textId="77777777" w:rsidR="00371419" w:rsidRPr="00D97438" w:rsidRDefault="00371419">
            <w:pPr>
              <w:rPr>
                <w:rFonts w:ascii="Palatino Linotype" w:hAnsi="Palatino Linotype"/>
                <w:sz w:val="20"/>
              </w:rPr>
            </w:pPr>
            <w:r w:rsidRPr="00D97438">
              <w:rPr>
                <w:rFonts w:ascii="Palatino Linotype" w:hAnsi="Palatino Linotype"/>
                <w:sz w:val="20"/>
              </w:rPr>
              <w:t>Palms North 3</w:t>
            </w:r>
          </w:p>
        </w:tc>
        <w:tc>
          <w:tcPr>
            <w:tcW w:w="18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BFF6F60" w14:textId="77777777" w:rsidR="00371419" w:rsidRPr="00D97438" w:rsidRDefault="00371419">
            <w:pPr>
              <w:rPr>
                <w:rFonts w:ascii="Palatino Linotype" w:hAnsi="Palatino Linotype"/>
                <w:sz w:val="20"/>
              </w:rPr>
            </w:pPr>
            <w:r w:rsidRPr="00D97438">
              <w:rPr>
                <w:rFonts w:ascii="Palatino Linotype" w:hAnsi="Palatino Linotype"/>
                <w:sz w:val="20"/>
              </w:rPr>
              <w:t>Belectric/Coronus</w:t>
            </w:r>
          </w:p>
        </w:tc>
        <w:tc>
          <w:tcPr>
            <w:tcW w:w="9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16074D0" w14:textId="77777777" w:rsidR="00371419" w:rsidRPr="00D97438" w:rsidRDefault="00371419" w:rsidP="00D97438">
            <w:pPr>
              <w:jc w:val="center"/>
              <w:rPr>
                <w:rFonts w:ascii="Palatino Linotype" w:hAnsi="Palatino Linotype"/>
                <w:sz w:val="20"/>
              </w:rPr>
            </w:pPr>
            <w:r w:rsidRPr="00D97438">
              <w:rPr>
                <w:rFonts w:ascii="Palatino Linotype" w:hAnsi="Palatino Linotype"/>
                <w:sz w:val="20"/>
              </w:rPr>
              <w:t>1.5</w:t>
            </w:r>
          </w:p>
        </w:tc>
        <w:tc>
          <w:tcPr>
            <w:tcW w:w="11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C6E3F94" w14:textId="77777777" w:rsidR="00371419" w:rsidRPr="00D97438" w:rsidRDefault="00371419" w:rsidP="00D97438">
            <w:pPr>
              <w:jc w:val="center"/>
              <w:rPr>
                <w:rFonts w:ascii="Palatino Linotype" w:hAnsi="Palatino Linotype"/>
                <w:sz w:val="20"/>
              </w:rPr>
            </w:pPr>
            <w:r w:rsidRPr="00D97438">
              <w:rPr>
                <w:rFonts w:ascii="Palatino Linotype" w:hAnsi="Palatino Linotype"/>
                <w:sz w:val="20"/>
              </w:rPr>
              <w:t>3.5</w:t>
            </w:r>
          </w:p>
        </w:tc>
        <w:tc>
          <w:tcPr>
            <w:tcW w:w="72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3C89FFCF" w14:textId="77777777" w:rsidR="00371419" w:rsidRPr="00D97438" w:rsidRDefault="00371419" w:rsidP="00D97438">
            <w:pPr>
              <w:jc w:val="center"/>
              <w:rPr>
                <w:rFonts w:ascii="Palatino Linotype" w:hAnsi="Palatino Linotype"/>
                <w:sz w:val="20"/>
              </w:rPr>
            </w:pPr>
            <w:r w:rsidRPr="00AF6B95">
              <w:rPr>
                <w:rFonts w:ascii="Palatino Linotype" w:hAnsi="Palatino Linotype"/>
                <w:sz w:val="20"/>
              </w:rPr>
              <w:t>PV</w:t>
            </w:r>
          </w:p>
        </w:tc>
        <w:tc>
          <w:tcPr>
            <w:tcW w:w="8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5278962" w14:textId="77777777" w:rsidR="00371419" w:rsidRPr="00D97438" w:rsidRDefault="00371419" w:rsidP="00D97438">
            <w:pPr>
              <w:jc w:val="center"/>
              <w:rPr>
                <w:rFonts w:ascii="Palatino Linotype" w:hAnsi="Palatino Linotype"/>
                <w:sz w:val="20"/>
              </w:rPr>
            </w:pPr>
            <w:r w:rsidRPr="00D97438">
              <w:rPr>
                <w:rFonts w:ascii="Palatino Linotype" w:hAnsi="Palatino Linotype"/>
                <w:sz w:val="20"/>
              </w:rPr>
              <w:t>New</w:t>
            </w:r>
          </w:p>
        </w:tc>
        <w:tc>
          <w:tcPr>
            <w:tcW w:w="72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8CE3EA2" w14:textId="77777777" w:rsidR="00371419" w:rsidRPr="00D97438" w:rsidRDefault="00371419" w:rsidP="00D97438">
            <w:pPr>
              <w:jc w:val="center"/>
              <w:rPr>
                <w:rFonts w:ascii="Palatino Linotype" w:hAnsi="Palatino Linotype"/>
                <w:sz w:val="20"/>
              </w:rPr>
            </w:pPr>
            <w:r w:rsidRPr="00D97438">
              <w:rPr>
                <w:rFonts w:ascii="Palatino Linotype" w:hAnsi="Palatino Linotype"/>
                <w:sz w:val="20"/>
              </w:rPr>
              <w:t>20</w:t>
            </w:r>
          </w:p>
        </w:tc>
        <w:tc>
          <w:tcPr>
            <w:tcW w:w="8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B459204" w14:textId="77777777" w:rsidR="00371419" w:rsidRPr="00371419" w:rsidRDefault="00371419" w:rsidP="00371419">
            <w:pPr>
              <w:jc w:val="center"/>
              <w:rPr>
                <w:rFonts w:ascii="Palatino Linotype" w:hAnsi="Palatino Linotype"/>
                <w:color w:val="000000"/>
                <w:sz w:val="20"/>
              </w:rPr>
            </w:pPr>
            <w:r w:rsidRPr="00371419">
              <w:rPr>
                <w:rFonts w:ascii="Palatino Linotype" w:hAnsi="Palatino Linotype"/>
                <w:color w:val="000000"/>
                <w:sz w:val="20"/>
              </w:rPr>
              <w:t>$121.88</w:t>
            </w:r>
          </w:p>
        </w:tc>
        <w:tc>
          <w:tcPr>
            <w:tcW w:w="11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6FF49AC" w14:textId="77777777" w:rsidR="00371419" w:rsidRPr="00D97438" w:rsidRDefault="00371419" w:rsidP="00D97438">
            <w:pPr>
              <w:jc w:val="center"/>
              <w:rPr>
                <w:rFonts w:ascii="Palatino Linotype" w:hAnsi="Palatino Linotype"/>
                <w:sz w:val="20"/>
              </w:rPr>
            </w:pPr>
            <w:r w:rsidRPr="00D97438">
              <w:rPr>
                <w:rFonts w:ascii="Palatino Linotype" w:hAnsi="Palatino Linotype"/>
                <w:sz w:val="20"/>
              </w:rPr>
              <w:t>12/15/2013</w:t>
            </w:r>
          </w:p>
        </w:tc>
      </w:tr>
      <w:tr w:rsidR="00371419" w:rsidRPr="00D97438" w14:paraId="10B49477" w14:textId="77777777" w:rsidTr="00D97438">
        <w:trPr>
          <w:trHeight w:val="300"/>
        </w:trPr>
        <w:tc>
          <w:tcPr>
            <w:tcW w:w="252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A604D19" w14:textId="77777777" w:rsidR="00371419" w:rsidRPr="00D97438" w:rsidRDefault="00371419">
            <w:pPr>
              <w:rPr>
                <w:rFonts w:ascii="Palatino Linotype" w:hAnsi="Palatino Linotype"/>
                <w:sz w:val="20"/>
              </w:rPr>
            </w:pPr>
            <w:r w:rsidRPr="00D97438">
              <w:rPr>
                <w:rFonts w:ascii="Palatino Linotype" w:hAnsi="Palatino Linotype"/>
                <w:sz w:val="20"/>
              </w:rPr>
              <w:t>Porterville 6</w:t>
            </w:r>
          </w:p>
        </w:tc>
        <w:tc>
          <w:tcPr>
            <w:tcW w:w="18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B7A6A5B" w14:textId="77777777" w:rsidR="00371419" w:rsidRPr="00D97438" w:rsidRDefault="00371419">
            <w:pPr>
              <w:rPr>
                <w:rFonts w:ascii="Palatino Linotype" w:hAnsi="Palatino Linotype"/>
                <w:sz w:val="20"/>
              </w:rPr>
            </w:pPr>
            <w:r w:rsidRPr="00D97438">
              <w:rPr>
                <w:rFonts w:ascii="Palatino Linotype" w:hAnsi="Palatino Linotype"/>
                <w:sz w:val="20"/>
              </w:rPr>
              <w:t xml:space="preserve">ImMODO </w:t>
            </w:r>
          </w:p>
        </w:tc>
        <w:tc>
          <w:tcPr>
            <w:tcW w:w="9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24F20B1" w14:textId="77777777" w:rsidR="00371419" w:rsidRPr="00D97438" w:rsidRDefault="00371419" w:rsidP="00D97438">
            <w:pPr>
              <w:jc w:val="center"/>
              <w:rPr>
                <w:rFonts w:ascii="Palatino Linotype" w:hAnsi="Palatino Linotype"/>
                <w:sz w:val="20"/>
              </w:rPr>
            </w:pPr>
            <w:r w:rsidRPr="00D97438">
              <w:rPr>
                <w:rFonts w:ascii="Palatino Linotype" w:hAnsi="Palatino Linotype"/>
                <w:sz w:val="20"/>
              </w:rPr>
              <w:t>1.5</w:t>
            </w:r>
          </w:p>
        </w:tc>
        <w:tc>
          <w:tcPr>
            <w:tcW w:w="11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0A5F4E6" w14:textId="77777777" w:rsidR="00371419" w:rsidRPr="00D97438" w:rsidRDefault="00371419" w:rsidP="00D97438">
            <w:pPr>
              <w:jc w:val="center"/>
              <w:rPr>
                <w:rFonts w:ascii="Palatino Linotype" w:hAnsi="Palatino Linotype"/>
                <w:sz w:val="20"/>
              </w:rPr>
            </w:pPr>
            <w:r w:rsidRPr="00D97438">
              <w:rPr>
                <w:rFonts w:ascii="Palatino Linotype" w:hAnsi="Palatino Linotype"/>
                <w:sz w:val="20"/>
              </w:rPr>
              <w:t>3.0</w:t>
            </w:r>
          </w:p>
        </w:tc>
        <w:tc>
          <w:tcPr>
            <w:tcW w:w="72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09B10A27" w14:textId="77777777" w:rsidR="00371419" w:rsidRPr="00D97438" w:rsidRDefault="00371419" w:rsidP="00D97438">
            <w:pPr>
              <w:jc w:val="center"/>
              <w:rPr>
                <w:rFonts w:ascii="Palatino Linotype" w:hAnsi="Palatino Linotype"/>
                <w:sz w:val="20"/>
              </w:rPr>
            </w:pPr>
            <w:r w:rsidRPr="00AF6B95">
              <w:rPr>
                <w:rFonts w:ascii="Palatino Linotype" w:hAnsi="Palatino Linotype"/>
                <w:sz w:val="20"/>
              </w:rPr>
              <w:t>PV</w:t>
            </w:r>
          </w:p>
        </w:tc>
        <w:tc>
          <w:tcPr>
            <w:tcW w:w="8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7DF318A" w14:textId="77777777" w:rsidR="00371419" w:rsidRPr="00D97438" w:rsidRDefault="00371419" w:rsidP="00D97438">
            <w:pPr>
              <w:jc w:val="center"/>
              <w:rPr>
                <w:rFonts w:ascii="Palatino Linotype" w:hAnsi="Palatino Linotype"/>
                <w:sz w:val="20"/>
              </w:rPr>
            </w:pPr>
            <w:r w:rsidRPr="00D97438">
              <w:rPr>
                <w:rFonts w:ascii="Palatino Linotype" w:hAnsi="Palatino Linotype"/>
                <w:sz w:val="20"/>
              </w:rPr>
              <w:t>New</w:t>
            </w:r>
          </w:p>
        </w:tc>
        <w:tc>
          <w:tcPr>
            <w:tcW w:w="72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87C5DE3" w14:textId="77777777" w:rsidR="00371419" w:rsidRPr="00D97438" w:rsidRDefault="00371419" w:rsidP="00D97438">
            <w:pPr>
              <w:jc w:val="center"/>
              <w:rPr>
                <w:rFonts w:ascii="Palatino Linotype" w:hAnsi="Palatino Linotype"/>
                <w:sz w:val="20"/>
              </w:rPr>
            </w:pPr>
            <w:r w:rsidRPr="00D97438">
              <w:rPr>
                <w:rFonts w:ascii="Palatino Linotype" w:hAnsi="Palatino Linotype"/>
                <w:sz w:val="20"/>
              </w:rPr>
              <w:t>20</w:t>
            </w:r>
          </w:p>
        </w:tc>
        <w:tc>
          <w:tcPr>
            <w:tcW w:w="8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62AB6BD" w14:textId="77777777" w:rsidR="00371419" w:rsidRPr="00371419" w:rsidRDefault="00371419" w:rsidP="00371419">
            <w:pPr>
              <w:jc w:val="center"/>
              <w:rPr>
                <w:rFonts w:ascii="Palatino Linotype" w:hAnsi="Palatino Linotype"/>
                <w:color w:val="000000"/>
                <w:sz w:val="20"/>
              </w:rPr>
            </w:pPr>
            <w:r w:rsidRPr="00371419">
              <w:rPr>
                <w:rFonts w:ascii="Palatino Linotype" w:hAnsi="Palatino Linotype"/>
                <w:color w:val="000000"/>
                <w:sz w:val="20"/>
              </w:rPr>
              <w:t>$121.88</w:t>
            </w:r>
          </w:p>
        </w:tc>
        <w:tc>
          <w:tcPr>
            <w:tcW w:w="11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FB15271" w14:textId="77777777" w:rsidR="00371419" w:rsidRPr="00D97438" w:rsidRDefault="00371419" w:rsidP="00D97438">
            <w:pPr>
              <w:jc w:val="center"/>
              <w:rPr>
                <w:rFonts w:ascii="Palatino Linotype" w:hAnsi="Palatino Linotype"/>
                <w:sz w:val="20"/>
              </w:rPr>
            </w:pPr>
            <w:r w:rsidRPr="00D97438">
              <w:rPr>
                <w:rFonts w:ascii="Palatino Linotype" w:hAnsi="Palatino Linotype"/>
                <w:sz w:val="20"/>
              </w:rPr>
              <w:t>10/1/2013</w:t>
            </w:r>
          </w:p>
        </w:tc>
      </w:tr>
      <w:tr w:rsidR="00371419" w:rsidRPr="00D97438" w14:paraId="08B8438F" w14:textId="77777777" w:rsidTr="00D97438">
        <w:trPr>
          <w:trHeight w:val="300"/>
        </w:trPr>
        <w:tc>
          <w:tcPr>
            <w:tcW w:w="252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AB063C8" w14:textId="77777777" w:rsidR="00371419" w:rsidRPr="00D97438" w:rsidRDefault="00371419">
            <w:pPr>
              <w:rPr>
                <w:rFonts w:ascii="Palatino Linotype" w:hAnsi="Palatino Linotype"/>
                <w:sz w:val="20"/>
              </w:rPr>
            </w:pPr>
            <w:r w:rsidRPr="00D97438">
              <w:rPr>
                <w:rFonts w:ascii="Palatino Linotype" w:hAnsi="Palatino Linotype"/>
                <w:sz w:val="20"/>
              </w:rPr>
              <w:t>Porterville 7</w:t>
            </w:r>
          </w:p>
        </w:tc>
        <w:tc>
          <w:tcPr>
            <w:tcW w:w="18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BF0E598" w14:textId="77777777" w:rsidR="00371419" w:rsidRPr="00D97438" w:rsidRDefault="00371419">
            <w:pPr>
              <w:rPr>
                <w:rFonts w:ascii="Palatino Linotype" w:hAnsi="Palatino Linotype"/>
                <w:sz w:val="20"/>
              </w:rPr>
            </w:pPr>
            <w:r w:rsidRPr="00D97438">
              <w:rPr>
                <w:rFonts w:ascii="Palatino Linotype" w:hAnsi="Palatino Linotype"/>
                <w:sz w:val="20"/>
              </w:rPr>
              <w:t xml:space="preserve">ImMODO </w:t>
            </w:r>
          </w:p>
        </w:tc>
        <w:tc>
          <w:tcPr>
            <w:tcW w:w="9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3A4CE50" w14:textId="77777777" w:rsidR="00371419" w:rsidRPr="00D97438" w:rsidRDefault="00371419" w:rsidP="00D97438">
            <w:pPr>
              <w:jc w:val="center"/>
              <w:rPr>
                <w:rFonts w:ascii="Palatino Linotype" w:hAnsi="Palatino Linotype"/>
                <w:sz w:val="20"/>
              </w:rPr>
            </w:pPr>
            <w:r w:rsidRPr="00D97438">
              <w:rPr>
                <w:rFonts w:ascii="Palatino Linotype" w:hAnsi="Palatino Linotype"/>
                <w:sz w:val="20"/>
              </w:rPr>
              <w:t>1.5</w:t>
            </w:r>
          </w:p>
        </w:tc>
        <w:tc>
          <w:tcPr>
            <w:tcW w:w="11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48BA197" w14:textId="77777777" w:rsidR="00371419" w:rsidRPr="00D97438" w:rsidRDefault="00371419" w:rsidP="00D97438">
            <w:pPr>
              <w:jc w:val="center"/>
              <w:rPr>
                <w:rFonts w:ascii="Palatino Linotype" w:hAnsi="Palatino Linotype"/>
                <w:sz w:val="20"/>
              </w:rPr>
            </w:pPr>
            <w:r w:rsidRPr="00D97438">
              <w:rPr>
                <w:rFonts w:ascii="Palatino Linotype" w:hAnsi="Palatino Linotype"/>
                <w:sz w:val="20"/>
              </w:rPr>
              <w:t>3.0</w:t>
            </w:r>
          </w:p>
        </w:tc>
        <w:tc>
          <w:tcPr>
            <w:tcW w:w="72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1BC2DF1F" w14:textId="77777777" w:rsidR="00371419" w:rsidRPr="00D97438" w:rsidRDefault="00371419" w:rsidP="00D97438">
            <w:pPr>
              <w:jc w:val="center"/>
              <w:rPr>
                <w:rFonts w:ascii="Palatino Linotype" w:hAnsi="Palatino Linotype"/>
                <w:sz w:val="20"/>
              </w:rPr>
            </w:pPr>
            <w:r w:rsidRPr="00AF6B95">
              <w:rPr>
                <w:rFonts w:ascii="Palatino Linotype" w:hAnsi="Palatino Linotype"/>
                <w:sz w:val="20"/>
              </w:rPr>
              <w:t>PV</w:t>
            </w:r>
          </w:p>
        </w:tc>
        <w:tc>
          <w:tcPr>
            <w:tcW w:w="8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DF663C2" w14:textId="77777777" w:rsidR="00371419" w:rsidRPr="00D97438" w:rsidRDefault="00371419" w:rsidP="00D97438">
            <w:pPr>
              <w:jc w:val="center"/>
              <w:rPr>
                <w:rFonts w:ascii="Palatino Linotype" w:hAnsi="Palatino Linotype"/>
                <w:sz w:val="20"/>
              </w:rPr>
            </w:pPr>
            <w:r w:rsidRPr="00D97438">
              <w:rPr>
                <w:rFonts w:ascii="Palatino Linotype" w:hAnsi="Palatino Linotype"/>
                <w:sz w:val="20"/>
              </w:rPr>
              <w:t>New</w:t>
            </w:r>
          </w:p>
        </w:tc>
        <w:tc>
          <w:tcPr>
            <w:tcW w:w="72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05DC57F" w14:textId="77777777" w:rsidR="00371419" w:rsidRPr="00D97438" w:rsidRDefault="00371419" w:rsidP="00D97438">
            <w:pPr>
              <w:jc w:val="center"/>
              <w:rPr>
                <w:rFonts w:ascii="Palatino Linotype" w:hAnsi="Palatino Linotype"/>
                <w:sz w:val="20"/>
              </w:rPr>
            </w:pPr>
            <w:r w:rsidRPr="00D97438">
              <w:rPr>
                <w:rFonts w:ascii="Palatino Linotype" w:hAnsi="Palatino Linotype"/>
                <w:sz w:val="20"/>
              </w:rPr>
              <w:t>20</w:t>
            </w:r>
          </w:p>
        </w:tc>
        <w:tc>
          <w:tcPr>
            <w:tcW w:w="8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86E5F91" w14:textId="77777777" w:rsidR="00371419" w:rsidRPr="00371419" w:rsidRDefault="00371419" w:rsidP="00371419">
            <w:pPr>
              <w:jc w:val="center"/>
              <w:rPr>
                <w:rFonts w:ascii="Palatino Linotype" w:hAnsi="Palatino Linotype"/>
                <w:color w:val="000000"/>
                <w:sz w:val="20"/>
              </w:rPr>
            </w:pPr>
            <w:r w:rsidRPr="00371419">
              <w:rPr>
                <w:rFonts w:ascii="Palatino Linotype" w:hAnsi="Palatino Linotype"/>
                <w:color w:val="000000"/>
                <w:sz w:val="20"/>
              </w:rPr>
              <w:t>$121.88</w:t>
            </w:r>
          </w:p>
        </w:tc>
        <w:tc>
          <w:tcPr>
            <w:tcW w:w="11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D5533FD" w14:textId="77777777" w:rsidR="00371419" w:rsidRPr="00D97438" w:rsidRDefault="00371419" w:rsidP="00D97438">
            <w:pPr>
              <w:jc w:val="center"/>
              <w:rPr>
                <w:rFonts w:ascii="Palatino Linotype" w:hAnsi="Palatino Linotype"/>
                <w:sz w:val="20"/>
              </w:rPr>
            </w:pPr>
            <w:r w:rsidRPr="00D97438">
              <w:rPr>
                <w:rFonts w:ascii="Palatino Linotype" w:hAnsi="Palatino Linotype"/>
                <w:sz w:val="20"/>
              </w:rPr>
              <w:t>10/1/2013</w:t>
            </w:r>
          </w:p>
        </w:tc>
      </w:tr>
      <w:tr w:rsidR="00371419" w:rsidRPr="00D97438" w14:paraId="4DECD300" w14:textId="77777777" w:rsidTr="00D97438">
        <w:trPr>
          <w:trHeight w:val="300"/>
        </w:trPr>
        <w:tc>
          <w:tcPr>
            <w:tcW w:w="252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00485D7" w14:textId="77777777" w:rsidR="00371419" w:rsidRPr="00D97438" w:rsidRDefault="00371419">
            <w:pPr>
              <w:rPr>
                <w:rFonts w:ascii="Palatino Linotype" w:hAnsi="Palatino Linotype"/>
                <w:sz w:val="20"/>
              </w:rPr>
            </w:pPr>
            <w:r w:rsidRPr="00D97438">
              <w:rPr>
                <w:rFonts w:ascii="Palatino Linotype" w:hAnsi="Palatino Linotype"/>
                <w:sz w:val="20"/>
              </w:rPr>
              <w:t>SP Indigo Ranch A2</w:t>
            </w:r>
          </w:p>
        </w:tc>
        <w:tc>
          <w:tcPr>
            <w:tcW w:w="18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88F481E" w14:textId="77777777" w:rsidR="00371419" w:rsidRPr="00D97438" w:rsidRDefault="00371419">
            <w:pPr>
              <w:rPr>
                <w:rFonts w:ascii="Palatino Linotype" w:hAnsi="Palatino Linotype"/>
                <w:sz w:val="20"/>
              </w:rPr>
            </w:pPr>
            <w:r w:rsidRPr="00D97438">
              <w:rPr>
                <w:rFonts w:ascii="Palatino Linotype" w:hAnsi="Palatino Linotype"/>
                <w:sz w:val="20"/>
              </w:rPr>
              <w:t>Silverado</w:t>
            </w:r>
          </w:p>
        </w:tc>
        <w:tc>
          <w:tcPr>
            <w:tcW w:w="9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BCE9DE2" w14:textId="77777777" w:rsidR="00371419" w:rsidRPr="00D97438" w:rsidRDefault="00371419" w:rsidP="00D97438">
            <w:pPr>
              <w:jc w:val="center"/>
              <w:rPr>
                <w:rFonts w:ascii="Palatino Linotype" w:hAnsi="Palatino Linotype"/>
                <w:sz w:val="20"/>
              </w:rPr>
            </w:pPr>
            <w:r w:rsidRPr="00D97438">
              <w:rPr>
                <w:rFonts w:ascii="Palatino Linotype" w:hAnsi="Palatino Linotype"/>
                <w:sz w:val="20"/>
              </w:rPr>
              <w:t>1.5</w:t>
            </w:r>
          </w:p>
        </w:tc>
        <w:tc>
          <w:tcPr>
            <w:tcW w:w="11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08BD207" w14:textId="77777777" w:rsidR="00371419" w:rsidRPr="00D97438" w:rsidRDefault="00371419" w:rsidP="00D97438">
            <w:pPr>
              <w:jc w:val="center"/>
              <w:rPr>
                <w:rFonts w:ascii="Palatino Linotype" w:hAnsi="Palatino Linotype"/>
                <w:sz w:val="20"/>
              </w:rPr>
            </w:pPr>
            <w:r w:rsidRPr="00D97438">
              <w:rPr>
                <w:rFonts w:ascii="Palatino Linotype" w:hAnsi="Palatino Linotype"/>
                <w:sz w:val="20"/>
              </w:rPr>
              <w:t>3.5</w:t>
            </w:r>
          </w:p>
        </w:tc>
        <w:tc>
          <w:tcPr>
            <w:tcW w:w="72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2F0511BD" w14:textId="77777777" w:rsidR="00371419" w:rsidRPr="00D97438" w:rsidRDefault="00371419" w:rsidP="00D97438">
            <w:pPr>
              <w:jc w:val="center"/>
              <w:rPr>
                <w:rFonts w:ascii="Palatino Linotype" w:hAnsi="Palatino Linotype"/>
                <w:sz w:val="20"/>
              </w:rPr>
            </w:pPr>
            <w:r w:rsidRPr="00AF6B95">
              <w:rPr>
                <w:rFonts w:ascii="Palatino Linotype" w:hAnsi="Palatino Linotype"/>
                <w:sz w:val="20"/>
              </w:rPr>
              <w:t>PV</w:t>
            </w:r>
          </w:p>
        </w:tc>
        <w:tc>
          <w:tcPr>
            <w:tcW w:w="8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086462A" w14:textId="77777777" w:rsidR="00371419" w:rsidRPr="00D97438" w:rsidRDefault="00371419" w:rsidP="00D97438">
            <w:pPr>
              <w:jc w:val="center"/>
              <w:rPr>
                <w:rFonts w:ascii="Palatino Linotype" w:hAnsi="Palatino Linotype"/>
                <w:sz w:val="20"/>
              </w:rPr>
            </w:pPr>
            <w:r w:rsidRPr="00D97438">
              <w:rPr>
                <w:rFonts w:ascii="Palatino Linotype" w:hAnsi="Palatino Linotype"/>
                <w:sz w:val="20"/>
              </w:rPr>
              <w:t>New</w:t>
            </w:r>
          </w:p>
        </w:tc>
        <w:tc>
          <w:tcPr>
            <w:tcW w:w="72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A3EB689" w14:textId="77777777" w:rsidR="00371419" w:rsidRPr="00D97438" w:rsidRDefault="00371419" w:rsidP="00D97438">
            <w:pPr>
              <w:jc w:val="center"/>
              <w:rPr>
                <w:rFonts w:ascii="Palatino Linotype" w:hAnsi="Palatino Linotype"/>
                <w:sz w:val="20"/>
              </w:rPr>
            </w:pPr>
            <w:r w:rsidRPr="00D97438">
              <w:rPr>
                <w:rFonts w:ascii="Palatino Linotype" w:hAnsi="Palatino Linotype"/>
                <w:sz w:val="20"/>
              </w:rPr>
              <w:t>20</w:t>
            </w:r>
          </w:p>
        </w:tc>
        <w:tc>
          <w:tcPr>
            <w:tcW w:w="8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2ED9A96" w14:textId="77777777" w:rsidR="00371419" w:rsidRPr="00371419" w:rsidRDefault="00371419" w:rsidP="00371419">
            <w:pPr>
              <w:jc w:val="center"/>
              <w:rPr>
                <w:rFonts w:ascii="Palatino Linotype" w:hAnsi="Palatino Linotype"/>
                <w:color w:val="000000"/>
                <w:sz w:val="20"/>
              </w:rPr>
            </w:pPr>
            <w:r w:rsidRPr="00371419">
              <w:rPr>
                <w:rFonts w:ascii="Palatino Linotype" w:hAnsi="Palatino Linotype"/>
                <w:color w:val="000000"/>
                <w:sz w:val="20"/>
              </w:rPr>
              <w:t>$126.83</w:t>
            </w:r>
          </w:p>
        </w:tc>
        <w:tc>
          <w:tcPr>
            <w:tcW w:w="11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05026C9" w14:textId="77777777" w:rsidR="00371419" w:rsidRPr="00D97438" w:rsidRDefault="00371419" w:rsidP="00D97438">
            <w:pPr>
              <w:jc w:val="center"/>
              <w:rPr>
                <w:rFonts w:ascii="Palatino Linotype" w:hAnsi="Palatino Linotype"/>
                <w:sz w:val="20"/>
              </w:rPr>
            </w:pPr>
            <w:r w:rsidRPr="00D97438">
              <w:rPr>
                <w:rFonts w:ascii="Palatino Linotype" w:hAnsi="Palatino Linotype"/>
                <w:sz w:val="20"/>
              </w:rPr>
              <w:t>3/20/2014</w:t>
            </w:r>
          </w:p>
        </w:tc>
      </w:tr>
      <w:tr w:rsidR="00371419" w:rsidRPr="00D97438" w14:paraId="277EA1E9" w14:textId="77777777" w:rsidTr="00D97438">
        <w:trPr>
          <w:trHeight w:val="300"/>
        </w:trPr>
        <w:tc>
          <w:tcPr>
            <w:tcW w:w="252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16779A6" w14:textId="77777777" w:rsidR="00371419" w:rsidRPr="00D97438" w:rsidRDefault="00371419">
            <w:pPr>
              <w:rPr>
                <w:rFonts w:ascii="Palatino Linotype" w:hAnsi="Palatino Linotype"/>
                <w:sz w:val="20"/>
              </w:rPr>
            </w:pPr>
            <w:r w:rsidRPr="00D97438">
              <w:rPr>
                <w:rFonts w:ascii="Palatino Linotype" w:hAnsi="Palatino Linotype"/>
                <w:sz w:val="20"/>
              </w:rPr>
              <w:t>SP Indigo Ranch B2</w:t>
            </w:r>
          </w:p>
        </w:tc>
        <w:tc>
          <w:tcPr>
            <w:tcW w:w="18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9B29631" w14:textId="77777777" w:rsidR="00371419" w:rsidRPr="00D97438" w:rsidRDefault="00371419">
            <w:pPr>
              <w:rPr>
                <w:rFonts w:ascii="Palatino Linotype" w:hAnsi="Palatino Linotype"/>
                <w:sz w:val="20"/>
              </w:rPr>
            </w:pPr>
            <w:r w:rsidRPr="00D97438">
              <w:rPr>
                <w:rFonts w:ascii="Palatino Linotype" w:hAnsi="Palatino Linotype"/>
                <w:sz w:val="20"/>
              </w:rPr>
              <w:t>Silverado</w:t>
            </w:r>
          </w:p>
        </w:tc>
        <w:tc>
          <w:tcPr>
            <w:tcW w:w="9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338BB2D" w14:textId="77777777" w:rsidR="00371419" w:rsidRPr="00D97438" w:rsidRDefault="00371419" w:rsidP="00D97438">
            <w:pPr>
              <w:jc w:val="center"/>
              <w:rPr>
                <w:rFonts w:ascii="Palatino Linotype" w:hAnsi="Palatino Linotype"/>
                <w:sz w:val="20"/>
              </w:rPr>
            </w:pPr>
            <w:r w:rsidRPr="00D97438">
              <w:rPr>
                <w:rFonts w:ascii="Palatino Linotype" w:hAnsi="Palatino Linotype"/>
                <w:sz w:val="20"/>
              </w:rPr>
              <w:t>1.5</w:t>
            </w:r>
          </w:p>
        </w:tc>
        <w:tc>
          <w:tcPr>
            <w:tcW w:w="11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271A456" w14:textId="77777777" w:rsidR="00371419" w:rsidRPr="00D97438" w:rsidRDefault="00371419" w:rsidP="00D97438">
            <w:pPr>
              <w:jc w:val="center"/>
              <w:rPr>
                <w:rFonts w:ascii="Palatino Linotype" w:hAnsi="Palatino Linotype"/>
                <w:sz w:val="20"/>
              </w:rPr>
            </w:pPr>
            <w:r w:rsidRPr="00D97438">
              <w:rPr>
                <w:rFonts w:ascii="Palatino Linotype" w:hAnsi="Palatino Linotype"/>
                <w:sz w:val="20"/>
              </w:rPr>
              <w:t>3.5</w:t>
            </w:r>
          </w:p>
        </w:tc>
        <w:tc>
          <w:tcPr>
            <w:tcW w:w="72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2CBA3BCE" w14:textId="77777777" w:rsidR="00371419" w:rsidRPr="00D97438" w:rsidRDefault="00371419" w:rsidP="00D97438">
            <w:pPr>
              <w:jc w:val="center"/>
              <w:rPr>
                <w:rFonts w:ascii="Palatino Linotype" w:hAnsi="Palatino Linotype"/>
                <w:sz w:val="20"/>
              </w:rPr>
            </w:pPr>
            <w:r w:rsidRPr="00AF6B95">
              <w:rPr>
                <w:rFonts w:ascii="Palatino Linotype" w:hAnsi="Palatino Linotype"/>
                <w:sz w:val="20"/>
              </w:rPr>
              <w:t>PV</w:t>
            </w:r>
          </w:p>
        </w:tc>
        <w:tc>
          <w:tcPr>
            <w:tcW w:w="8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F950907" w14:textId="77777777" w:rsidR="00371419" w:rsidRPr="00D97438" w:rsidRDefault="00371419" w:rsidP="00D97438">
            <w:pPr>
              <w:jc w:val="center"/>
              <w:rPr>
                <w:rFonts w:ascii="Palatino Linotype" w:hAnsi="Palatino Linotype"/>
                <w:sz w:val="20"/>
              </w:rPr>
            </w:pPr>
            <w:r w:rsidRPr="00D97438">
              <w:rPr>
                <w:rFonts w:ascii="Palatino Linotype" w:hAnsi="Palatino Linotype"/>
                <w:sz w:val="20"/>
              </w:rPr>
              <w:t>New</w:t>
            </w:r>
          </w:p>
        </w:tc>
        <w:tc>
          <w:tcPr>
            <w:tcW w:w="72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3883E6B" w14:textId="77777777" w:rsidR="00371419" w:rsidRPr="00D97438" w:rsidRDefault="00371419" w:rsidP="00D97438">
            <w:pPr>
              <w:jc w:val="center"/>
              <w:rPr>
                <w:rFonts w:ascii="Palatino Linotype" w:hAnsi="Palatino Linotype"/>
                <w:sz w:val="20"/>
              </w:rPr>
            </w:pPr>
            <w:r w:rsidRPr="00D97438">
              <w:rPr>
                <w:rFonts w:ascii="Palatino Linotype" w:hAnsi="Palatino Linotype"/>
                <w:sz w:val="20"/>
              </w:rPr>
              <w:t>20</w:t>
            </w:r>
          </w:p>
        </w:tc>
        <w:tc>
          <w:tcPr>
            <w:tcW w:w="8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CCF3F7F" w14:textId="77777777" w:rsidR="00371419" w:rsidRPr="00371419" w:rsidRDefault="00371419" w:rsidP="00371419">
            <w:pPr>
              <w:jc w:val="center"/>
              <w:rPr>
                <w:rFonts w:ascii="Palatino Linotype" w:hAnsi="Palatino Linotype"/>
                <w:color w:val="000000"/>
                <w:sz w:val="20"/>
              </w:rPr>
            </w:pPr>
            <w:r w:rsidRPr="00371419">
              <w:rPr>
                <w:rFonts w:ascii="Palatino Linotype" w:hAnsi="Palatino Linotype"/>
                <w:color w:val="000000"/>
                <w:sz w:val="20"/>
              </w:rPr>
              <w:t>$126.83</w:t>
            </w:r>
          </w:p>
        </w:tc>
        <w:tc>
          <w:tcPr>
            <w:tcW w:w="11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5C3E6EB" w14:textId="77777777" w:rsidR="00371419" w:rsidRPr="00D97438" w:rsidRDefault="00371419" w:rsidP="00D97438">
            <w:pPr>
              <w:jc w:val="center"/>
              <w:rPr>
                <w:rFonts w:ascii="Palatino Linotype" w:hAnsi="Palatino Linotype"/>
                <w:sz w:val="20"/>
              </w:rPr>
            </w:pPr>
            <w:r w:rsidRPr="00D97438">
              <w:rPr>
                <w:rFonts w:ascii="Palatino Linotype" w:hAnsi="Palatino Linotype"/>
                <w:sz w:val="20"/>
              </w:rPr>
              <w:t>3/20/2014</w:t>
            </w:r>
          </w:p>
        </w:tc>
      </w:tr>
      <w:tr w:rsidR="00371419" w:rsidRPr="00D97438" w14:paraId="65FE3E26" w14:textId="77777777" w:rsidTr="00D97438">
        <w:trPr>
          <w:trHeight w:val="300"/>
        </w:trPr>
        <w:tc>
          <w:tcPr>
            <w:tcW w:w="252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01627A2" w14:textId="77777777" w:rsidR="00371419" w:rsidRPr="00D97438" w:rsidRDefault="00371419">
            <w:pPr>
              <w:rPr>
                <w:rFonts w:ascii="Palatino Linotype" w:hAnsi="Palatino Linotype"/>
                <w:sz w:val="20"/>
              </w:rPr>
            </w:pPr>
            <w:r w:rsidRPr="00D97438">
              <w:rPr>
                <w:rFonts w:ascii="Palatino Linotype" w:hAnsi="Palatino Linotype"/>
                <w:sz w:val="20"/>
              </w:rPr>
              <w:t>SP Indigo Ranch C2</w:t>
            </w:r>
          </w:p>
        </w:tc>
        <w:tc>
          <w:tcPr>
            <w:tcW w:w="18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CFB5056" w14:textId="77777777" w:rsidR="00371419" w:rsidRPr="00D97438" w:rsidRDefault="00371419">
            <w:pPr>
              <w:rPr>
                <w:rFonts w:ascii="Palatino Linotype" w:hAnsi="Palatino Linotype"/>
                <w:sz w:val="20"/>
              </w:rPr>
            </w:pPr>
            <w:r w:rsidRPr="00D97438">
              <w:rPr>
                <w:rFonts w:ascii="Palatino Linotype" w:hAnsi="Palatino Linotype"/>
                <w:sz w:val="20"/>
              </w:rPr>
              <w:t>Silverado</w:t>
            </w:r>
          </w:p>
        </w:tc>
        <w:tc>
          <w:tcPr>
            <w:tcW w:w="9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045CEF4" w14:textId="77777777" w:rsidR="00371419" w:rsidRPr="00D97438" w:rsidRDefault="00371419" w:rsidP="00D97438">
            <w:pPr>
              <w:jc w:val="center"/>
              <w:rPr>
                <w:rFonts w:ascii="Palatino Linotype" w:hAnsi="Palatino Linotype"/>
                <w:sz w:val="20"/>
              </w:rPr>
            </w:pPr>
            <w:r w:rsidRPr="00D97438">
              <w:rPr>
                <w:rFonts w:ascii="Palatino Linotype" w:hAnsi="Palatino Linotype"/>
                <w:sz w:val="20"/>
              </w:rPr>
              <w:t>1.5</w:t>
            </w:r>
          </w:p>
        </w:tc>
        <w:tc>
          <w:tcPr>
            <w:tcW w:w="11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1214D11" w14:textId="77777777" w:rsidR="00371419" w:rsidRPr="00D97438" w:rsidRDefault="00371419" w:rsidP="00D97438">
            <w:pPr>
              <w:jc w:val="center"/>
              <w:rPr>
                <w:rFonts w:ascii="Palatino Linotype" w:hAnsi="Palatino Linotype"/>
                <w:sz w:val="20"/>
              </w:rPr>
            </w:pPr>
            <w:r w:rsidRPr="00D97438">
              <w:rPr>
                <w:rFonts w:ascii="Palatino Linotype" w:hAnsi="Palatino Linotype"/>
                <w:sz w:val="20"/>
              </w:rPr>
              <w:t>3.5</w:t>
            </w:r>
          </w:p>
        </w:tc>
        <w:tc>
          <w:tcPr>
            <w:tcW w:w="72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05966AA2" w14:textId="77777777" w:rsidR="00371419" w:rsidRPr="00D97438" w:rsidRDefault="00371419" w:rsidP="00D97438">
            <w:pPr>
              <w:jc w:val="center"/>
              <w:rPr>
                <w:rFonts w:ascii="Palatino Linotype" w:hAnsi="Palatino Linotype"/>
                <w:sz w:val="20"/>
              </w:rPr>
            </w:pPr>
            <w:r w:rsidRPr="00AF6B95">
              <w:rPr>
                <w:rFonts w:ascii="Palatino Linotype" w:hAnsi="Palatino Linotype"/>
                <w:sz w:val="20"/>
              </w:rPr>
              <w:t>PV</w:t>
            </w:r>
          </w:p>
        </w:tc>
        <w:tc>
          <w:tcPr>
            <w:tcW w:w="8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6857A14" w14:textId="77777777" w:rsidR="00371419" w:rsidRPr="00D97438" w:rsidRDefault="00371419" w:rsidP="00D97438">
            <w:pPr>
              <w:jc w:val="center"/>
              <w:rPr>
                <w:rFonts w:ascii="Palatino Linotype" w:hAnsi="Palatino Linotype"/>
                <w:sz w:val="20"/>
              </w:rPr>
            </w:pPr>
            <w:r w:rsidRPr="00D97438">
              <w:rPr>
                <w:rFonts w:ascii="Palatino Linotype" w:hAnsi="Palatino Linotype"/>
                <w:sz w:val="20"/>
              </w:rPr>
              <w:t>New</w:t>
            </w:r>
          </w:p>
        </w:tc>
        <w:tc>
          <w:tcPr>
            <w:tcW w:w="72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9A93810" w14:textId="77777777" w:rsidR="00371419" w:rsidRPr="00D97438" w:rsidRDefault="00371419" w:rsidP="00D97438">
            <w:pPr>
              <w:jc w:val="center"/>
              <w:rPr>
                <w:rFonts w:ascii="Palatino Linotype" w:hAnsi="Palatino Linotype"/>
                <w:sz w:val="20"/>
              </w:rPr>
            </w:pPr>
            <w:r w:rsidRPr="00D97438">
              <w:rPr>
                <w:rFonts w:ascii="Palatino Linotype" w:hAnsi="Palatino Linotype"/>
                <w:sz w:val="20"/>
              </w:rPr>
              <w:t>20</w:t>
            </w:r>
          </w:p>
        </w:tc>
        <w:tc>
          <w:tcPr>
            <w:tcW w:w="8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BD8C61B" w14:textId="77777777" w:rsidR="00371419" w:rsidRPr="00371419" w:rsidRDefault="00371419" w:rsidP="00371419">
            <w:pPr>
              <w:jc w:val="center"/>
              <w:rPr>
                <w:rFonts w:ascii="Palatino Linotype" w:hAnsi="Palatino Linotype"/>
                <w:color w:val="000000"/>
                <w:sz w:val="20"/>
              </w:rPr>
            </w:pPr>
            <w:r w:rsidRPr="00371419">
              <w:rPr>
                <w:rFonts w:ascii="Palatino Linotype" w:hAnsi="Palatino Linotype"/>
                <w:color w:val="000000"/>
                <w:sz w:val="20"/>
              </w:rPr>
              <w:t>$126.83</w:t>
            </w:r>
          </w:p>
        </w:tc>
        <w:tc>
          <w:tcPr>
            <w:tcW w:w="11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634E33B" w14:textId="77777777" w:rsidR="00371419" w:rsidRPr="00D97438" w:rsidRDefault="00371419" w:rsidP="00D97438">
            <w:pPr>
              <w:jc w:val="center"/>
              <w:rPr>
                <w:rFonts w:ascii="Palatino Linotype" w:hAnsi="Palatino Linotype"/>
                <w:sz w:val="20"/>
              </w:rPr>
            </w:pPr>
            <w:r w:rsidRPr="00D97438">
              <w:rPr>
                <w:rFonts w:ascii="Palatino Linotype" w:hAnsi="Palatino Linotype"/>
                <w:sz w:val="20"/>
              </w:rPr>
              <w:t>3/20/2014</w:t>
            </w:r>
          </w:p>
        </w:tc>
      </w:tr>
      <w:tr w:rsidR="00371419" w:rsidRPr="00D97438" w14:paraId="4A2CE37C" w14:textId="77777777" w:rsidTr="00D97438">
        <w:trPr>
          <w:trHeight w:val="300"/>
        </w:trPr>
        <w:tc>
          <w:tcPr>
            <w:tcW w:w="252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5A33169" w14:textId="77777777" w:rsidR="00371419" w:rsidRPr="00D97438" w:rsidRDefault="00371419">
            <w:pPr>
              <w:rPr>
                <w:rFonts w:ascii="Palatino Linotype" w:hAnsi="Palatino Linotype"/>
                <w:sz w:val="20"/>
              </w:rPr>
            </w:pPr>
            <w:r w:rsidRPr="00D97438">
              <w:rPr>
                <w:rFonts w:ascii="Palatino Linotype" w:hAnsi="Palatino Linotype"/>
                <w:sz w:val="20"/>
              </w:rPr>
              <w:t>SunE CREST 1</w:t>
            </w:r>
          </w:p>
        </w:tc>
        <w:tc>
          <w:tcPr>
            <w:tcW w:w="18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0AB81C8" w14:textId="77777777" w:rsidR="00371419" w:rsidRPr="00D97438" w:rsidRDefault="00371419">
            <w:pPr>
              <w:rPr>
                <w:rFonts w:ascii="Palatino Linotype" w:hAnsi="Palatino Linotype"/>
                <w:sz w:val="20"/>
              </w:rPr>
            </w:pPr>
            <w:r w:rsidRPr="00D97438">
              <w:rPr>
                <w:rFonts w:ascii="Palatino Linotype" w:hAnsi="Palatino Linotype"/>
                <w:sz w:val="20"/>
              </w:rPr>
              <w:t>SunEdison</w:t>
            </w:r>
          </w:p>
        </w:tc>
        <w:tc>
          <w:tcPr>
            <w:tcW w:w="9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E9E9A12" w14:textId="77777777" w:rsidR="00371419" w:rsidRPr="00D97438" w:rsidRDefault="00371419" w:rsidP="00D97438">
            <w:pPr>
              <w:jc w:val="center"/>
              <w:rPr>
                <w:rFonts w:ascii="Palatino Linotype" w:hAnsi="Palatino Linotype"/>
                <w:sz w:val="20"/>
              </w:rPr>
            </w:pPr>
            <w:r w:rsidRPr="00D97438">
              <w:rPr>
                <w:rFonts w:ascii="Palatino Linotype" w:hAnsi="Palatino Linotype"/>
                <w:sz w:val="20"/>
              </w:rPr>
              <w:t>1.5</w:t>
            </w:r>
          </w:p>
        </w:tc>
        <w:tc>
          <w:tcPr>
            <w:tcW w:w="11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58951CB" w14:textId="77777777" w:rsidR="00371419" w:rsidRPr="00D97438" w:rsidRDefault="00371419" w:rsidP="00D97438">
            <w:pPr>
              <w:jc w:val="center"/>
              <w:rPr>
                <w:rFonts w:ascii="Palatino Linotype" w:hAnsi="Palatino Linotype"/>
                <w:sz w:val="20"/>
              </w:rPr>
            </w:pPr>
            <w:r w:rsidRPr="00D97438">
              <w:rPr>
                <w:rFonts w:ascii="Palatino Linotype" w:hAnsi="Palatino Linotype"/>
                <w:sz w:val="20"/>
              </w:rPr>
              <w:t>4.3</w:t>
            </w:r>
          </w:p>
        </w:tc>
        <w:tc>
          <w:tcPr>
            <w:tcW w:w="72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3013CDDC" w14:textId="77777777" w:rsidR="00371419" w:rsidRPr="00D97438" w:rsidRDefault="00371419" w:rsidP="00D97438">
            <w:pPr>
              <w:jc w:val="center"/>
              <w:rPr>
                <w:rFonts w:ascii="Palatino Linotype" w:hAnsi="Palatino Linotype"/>
                <w:sz w:val="20"/>
              </w:rPr>
            </w:pPr>
            <w:r w:rsidRPr="00AF6B95">
              <w:rPr>
                <w:rFonts w:ascii="Palatino Linotype" w:hAnsi="Palatino Linotype"/>
                <w:sz w:val="20"/>
              </w:rPr>
              <w:t>PV</w:t>
            </w:r>
          </w:p>
        </w:tc>
        <w:tc>
          <w:tcPr>
            <w:tcW w:w="8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2CD472B" w14:textId="77777777" w:rsidR="00371419" w:rsidRPr="00D97438" w:rsidRDefault="00371419" w:rsidP="00D97438">
            <w:pPr>
              <w:jc w:val="center"/>
              <w:rPr>
                <w:rFonts w:ascii="Palatino Linotype" w:hAnsi="Palatino Linotype"/>
                <w:sz w:val="20"/>
              </w:rPr>
            </w:pPr>
            <w:r w:rsidRPr="00D97438">
              <w:rPr>
                <w:rFonts w:ascii="Palatino Linotype" w:hAnsi="Palatino Linotype"/>
                <w:sz w:val="20"/>
              </w:rPr>
              <w:t>New</w:t>
            </w:r>
          </w:p>
        </w:tc>
        <w:tc>
          <w:tcPr>
            <w:tcW w:w="72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82FF2B9" w14:textId="77777777" w:rsidR="00371419" w:rsidRPr="00D97438" w:rsidRDefault="00371419" w:rsidP="00D97438">
            <w:pPr>
              <w:jc w:val="center"/>
              <w:rPr>
                <w:rFonts w:ascii="Palatino Linotype" w:hAnsi="Palatino Linotype"/>
                <w:sz w:val="20"/>
              </w:rPr>
            </w:pPr>
            <w:r w:rsidRPr="00D97438">
              <w:rPr>
                <w:rFonts w:ascii="Palatino Linotype" w:hAnsi="Palatino Linotype"/>
                <w:sz w:val="20"/>
              </w:rPr>
              <w:t>20</w:t>
            </w:r>
          </w:p>
        </w:tc>
        <w:tc>
          <w:tcPr>
            <w:tcW w:w="8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27F5C3C" w14:textId="77777777" w:rsidR="00371419" w:rsidRPr="00371419" w:rsidRDefault="00371419" w:rsidP="00371419">
            <w:pPr>
              <w:jc w:val="center"/>
              <w:rPr>
                <w:rFonts w:ascii="Palatino Linotype" w:hAnsi="Palatino Linotype"/>
                <w:color w:val="000000"/>
                <w:sz w:val="20"/>
              </w:rPr>
            </w:pPr>
            <w:r w:rsidRPr="00371419">
              <w:rPr>
                <w:rFonts w:ascii="Palatino Linotype" w:hAnsi="Palatino Linotype"/>
                <w:color w:val="000000"/>
                <w:sz w:val="20"/>
              </w:rPr>
              <w:t>$126.83</w:t>
            </w:r>
          </w:p>
        </w:tc>
        <w:tc>
          <w:tcPr>
            <w:tcW w:w="11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B0216AD" w14:textId="77777777" w:rsidR="00371419" w:rsidRPr="00D97438" w:rsidRDefault="00371419" w:rsidP="00D97438">
            <w:pPr>
              <w:jc w:val="center"/>
              <w:rPr>
                <w:rFonts w:ascii="Palatino Linotype" w:hAnsi="Palatino Linotype"/>
                <w:sz w:val="20"/>
              </w:rPr>
            </w:pPr>
            <w:r w:rsidRPr="00D97438">
              <w:rPr>
                <w:rFonts w:ascii="Palatino Linotype" w:hAnsi="Palatino Linotype"/>
                <w:sz w:val="20"/>
              </w:rPr>
              <w:t>2/28/2014</w:t>
            </w:r>
          </w:p>
        </w:tc>
      </w:tr>
      <w:tr w:rsidR="00371419" w:rsidRPr="00D97438" w14:paraId="2C5D5606" w14:textId="77777777" w:rsidTr="00D97438">
        <w:trPr>
          <w:trHeight w:val="300"/>
        </w:trPr>
        <w:tc>
          <w:tcPr>
            <w:tcW w:w="252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71FE763" w14:textId="77777777" w:rsidR="00371419" w:rsidRPr="00D97438" w:rsidRDefault="00371419">
            <w:pPr>
              <w:rPr>
                <w:rFonts w:ascii="Palatino Linotype" w:hAnsi="Palatino Linotype"/>
                <w:sz w:val="20"/>
              </w:rPr>
            </w:pPr>
            <w:r w:rsidRPr="00D97438">
              <w:rPr>
                <w:rFonts w:ascii="Palatino Linotype" w:hAnsi="Palatino Linotype"/>
                <w:sz w:val="20"/>
              </w:rPr>
              <w:t>SunE CREST 2</w:t>
            </w:r>
          </w:p>
        </w:tc>
        <w:tc>
          <w:tcPr>
            <w:tcW w:w="18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DFC848C" w14:textId="77777777" w:rsidR="00371419" w:rsidRPr="00D97438" w:rsidRDefault="00371419">
            <w:pPr>
              <w:rPr>
                <w:rFonts w:ascii="Palatino Linotype" w:hAnsi="Palatino Linotype"/>
                <w:sz w:val="20"/>
              </w:rPr>
            </w:pPr>
            <w:r w:rsidRPr="00D97438">
              <w:rPr>
                <w:rFonts w:ascii="Palatino Linotype" w:hAnsi="Palatino Linotype"/>
                <w:sz w:val="20"/>
              </w:rPr>
              <w:t>SunEdison</w:t>
            </w:r>
          </w:p>
        </w:tc>
        <w:tc>
          <w:tcPr>
            <w:tcW w:w="9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B75E8EB" w14:textId="77777777" w:rsidR="00371419" w:rsidRPr="00D97438" w:rsidRDefault="00371419" w:rsidP="00D97438">
            <w:pPr>
              <w:jc w:val="center"/>
              <w:rPr>
                <w:rFonts w:ascii="Palatino Linotype" w:hAnsi="Palatino Linotype"/>
                <w:sz w:val="20"/>
              </w:rPr>
            </w:pPr>
            <w:r w:rsidRPr="00D97438">
              <w:rPr>
                <w:rFonts w:ascii="Palatino Linotype" w:hAnsi="Palatino Linotype"/>
                <w:sz w:val="20"/>
              </w:rPr>
              <w:t>1.0</w:t>
            </w:r>
          </w:p>
        </w:tc>
        <w:tc>
          <w:tcPr>
            <w:tcW w:w="11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5755517" w14:textId="77777777" w:rsidR="00371419" w:rsidRPr="00D97438" w:rsidRDefault="00371419" w:rsidP="00D97438">
            <w:pPr>
              <w:jc w:val="center"/>
              <w:rPr>
                <w:rFonts w:ascii="Palatino Linotype" w:hAnsi="Palatino Linotype"/>
                <w:sz w:val="20"/>
              </w:rPr>
            </w:pPr>
            <w:r w:rsidRPr="00D97438">
              <w:rPr>
                <w:rFonts w:ascii="Palatino Linotype" w:hAnsi="Palatino Linotype"/>
                <w:sz w:val="20"/>
              </w:rPr>
              <w:t>2.9</w:t>
            </w:r>
          </w:p>
        </w:tc>
        <w:tc>
          <w:tcPr>
            <w:tcW w:w="72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714E2566" w14:textId="77777777" w:rsidR="00371419" w:rsidRPr="00D97438" w:rsidRDefault="00371419" w:rsidP="00D97438">
            <w:pPr>
              <w:jc w:val="center"/>
              <w:rPr>
                <w:rFonts w:ascii="Palatino Linotype" w:hAnsi="Palatino Linotype"/>
                <w:sz w:val="20"/>
              </w:rPr>
            </w:pPr>
            <w:r w:rsidRPr="00AF6B95">
              <w:rPr>
                <w:rFonts w:ascii="Palatino Linotype" w:hAnsi="Palatino Linotype"/>
                <w:sz w:val="20"/>
              </w:rPr>
              <w:t>PV</w:t>
            </w:r>
          </w:p>
        </w:tc>
        <w:tc>
          <w:tcPr>
            <w:tcW w:w="8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DFDB649" w14:textId="77777777" w:rsidR="00371419" w:rsidRPr="00D97438" w:rsidRDefault="00371419" w:rsidP="00D97438">
            <w:pPr>
              <w:jc w:val="center"/>
              <w:rPr>
                <w:rFonts w:ascii="Palatino Linotype" w:hAnsi="Palatino Linotype"/>
                <w:sz w:val="20"/>
              </w:rPr>
            </w:pPr>
            <w:r w:rsidRPr="00D97438">
              <w:rPr>
                <w:rFonts w:ascii="Palatino Linotype" w:hAnsi="Palatino Linotype"/>
                <w:sz w:val="20"/>
              </w:rPr>
              <w:t>New</w:t>
            </w:r>
          </w:p>
        </w:tc>
        <w:tc>
          <w:tcPr>
            <w:tcW w:w="72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946EE80" w14:textId="77777777" w:rsidR="00371419" w:rsidRPr="00D97438" w:rsidRDefault="00371419" w:rsidP="00D97438">
            <w:pPr>
              <w:jc w:val="center"/>
              <w:rPr>
                <w:rFonts w:ascii="Palatino Linotype" w:hAnsi="Palatino Linotype"/>
                <w:sz w:val="20"/>
              </w:rPr>
            </w:pPr>
            <w:r w:rsidRPr="00D97438">
              <w:rPr>
                <w:rFonts w:ascii="Palatino Linotype" w:hAnsi="Palatino Linotype"/>
                <w:sz w:val="20"/>
              </w:rPr>
              <w:t>20</w:t>
            </w:r>
          </w:p>
        </w:tc>
        <w:tc>
          <w:tcPr>
            <w:tcW w:w="8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138987D" w14:textId="77777777" w:rsidR="00371419" w:rsidRPr="00371419" w:rsidRDefault="00371419" w:rsidP="00371419">
            <w:pPr>
              <w:jc w:val="center"/>
              <w:rPr>
                <w:rFonts w:ascii="Palatino Linotype" w:hAnsi="Palatino Linotype"/>
                <w:color w:val="000000"/>
                <w:sz w:val="20"/>
              </w:rPr>
            </w:pPr>
            <w:r w:rsidRPr="00371419">
              <w:rPr>
                <w:rFonts w:ascii="Palatino Linotype" w:hAnsi="Palatino Linotype"/>
                <w:color w:val="000000"/>
                <w:sz w:val="20"/>
              </w:rPr>
              <w:t>$126.83</w:t>
            </w:r>
          </w:p>
        </w:tc>
        <w:tc>
          <w:tcPr>
            <w:tcW w:w="11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33ED424" w14:textId="77777777" w:rsidR="00371419" w:rsidRPr="00D97438" w:rsidRDefault="00371419" w:rsidP="00D97438">
            <w:pPr>
              <w:jc w:val="center"/>
              <w:rPr>
                <w:rFonts w:ascii="Palatino Linotype" w:hAnsi="Palatino Linotype"/>
                <w:sz w:val="20"/>
              </w:rPr>
            </w:pPr>
            <w:r w:rsidRPr="00D97438">
              <w:rPr>
                <w:rFonts w:ascii="Palatino Linotype" w:hAnsi="Palatino Linotype"/>
                <w:sz w:val="20"/>
              </w:rPr>
              <w:t>2/28/2014</w:t>
            </w:r>
          </w:p>
        </w:tc>
      </w:tr>
      <w:tr w:rsidR="00371419" w:rsidRPr="00D97438" w14:paraId="5A1676CA" w14:textId="77777777" w:rsidTr="00D97438">
        <w:trPr>
          <w:trHeight w:val="300"/>
        </w:trPr>
        <w:tc>
          <w:tcPr>
            <w:tcW w:w="252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3BA0211" w14:textId="77777777" w:rsidR="00371419" w:rsidRPr="00D97438" w:rsidRDefault="00371419">
            <w:pPr>
              <w:rPr>
                <w:rFonts w:ascii="Palatino Linotype" w:hAnsi="Palatino Linotype"/>
                <w:sz w:val="20"/>
              </w:rPr>
            </w:pPr>
            <w:r w:rsidRPr="00D97438">
              <w:rPr>
                <w:rFonts w:ascii="Palatino Linotype" w:hAnsi="Palatino Linotype"/>
                <w:sz w:val="20"/>
              </w:rPr>
              <w:t>SunE CREST 3</w:t>
            </w:r>
          </w:p>
        </w:tc>
        <w:tc>
          <w:tcPr>
            <w:tcW w:w="18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1EE1081" w14:textId="77777777" w:rsidR="00371419" w:rsidRPr="00D97438" w:rsidRDefault="00371419">
            <w:pPr>
              <w:rPr>
                <w:rFonts w:ascii="Palatino Linotype" w:hAnsi="Palatino Linotype"/>
                <w:sz w:val="20"/>
              </w:rPr>
            </w:pPr>
            <w:r w:rsidRPr="00D97438">
              <w:rPr>
                <w:rFonts w:ascii="Palatino Linotype" w:hAnsi="Palatino Linotype"/>
                <w:sz w:val="20"/>
              </w:rPr>
              <w:t>SunEdison</w:t>
            </w:r>
          </w:p>
        </w:tc>
        <w:tc>
          <w:tcPr>
            <w:tcW w:w="9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4FC05E6" w14:textId="77777777" w:rsidR="00371419" w:rsidRPr="00D97438" w:rsidRDefault="00371419" w:rsidP="00D97438">
            <w:pPr>
              <w:jc w:val="center"/>
              <w:rPr>
                <w:rFonts w:ascii="Palatino Linotype" w:hAnsi="Palatino Linotype"/>
                <w:sz w:val="20"/>
              </w:rPr>
            </w:pPr>
            <w:r w:rsidRPr="00D97438">
              <w:rPr>
                <w:rFonts w:ascii="Palatino Linotype" w:hAnsi="Palatino Linotype"/>
                <w:sz w:val="20"/>
              </w:rPr>
              <w:t>1.0</w:t>
            </w:r>
          </w:p>
        </w:tc>
        <w:tc>
          <w:tcPr>
            <w:tcW w:w="11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37B04A5" w14:textId="77777777" w:rsidR="00371419" w:rsidRPr="00D97438" w:rsidRDefault="00371419" w:rsidP="00D97438">
            <w:pPr>
              <w:jc w:val="center"/>
              <w:rPr>
                <w:rFonts w:ascii="Palatino Linotype" w:hAnsi="Palatino Linotype"/>
                <w:sz w:val="20"/>
              </w:rPr>
            </w:pPr>
            <w:r w:rsidRPr="00D97438">
              <w:rPr>
                <w:rFonts w:ascii="Palatino Linotype" w:hAnsi="Palatino Linotype"/>
                <w:sz w:val="20"/>
              </w:rPr>
              <w:t>2.9</w:t>
            </w:r>
          </w:p>
        </w:tc>
        <w:tc>
          <w:tcPr>
            <w:tcW w:w="72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316E21B5" w14:textId="77777777" w:rsidR="00371419" w:rsidRPr="00D97438" w:rsidRDefault="00371419" w:rsidP="00D97438">
            <w:pPr>
              <w:jc w:val="center"/>
              <w:rPr>
                <w:rFonts w:ascii="Palatino Linotype" w:hAnsi="Palatino Linotype"/>
                <w:sz w:val="20"/>
              </w:rPr>
            </w:pPr>
            <w:r w:rsidRPr="00AF6B95">
              <w:rPr>
                <w:rFonts w:ascii="Palatino Linotype" w:hAnsi="Palatino Linotype"/>
                <w:sz w:val="20"/>
              </w:rPr>
              <w:t>PV</w:t>
            </w:r>
          </w:p>
        </w:tc>
        <w:tc>
          <w:tcPr>
            <w:tcW w:w="8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90FE894" w14:textId="77777777" w:rsidR="00371419" w:rsidRPr="00D97438" w:rsidRDefault="00371419" w:rsidP="00D97438">
            <w:pPr>
              <w:jc w:val="center"/>
              <w:rPr>
                <w:rFonts w:ascii="Palatino Linotype" w:hAnsi="Palatino Linotype"/>
                <w:sz w:val="20"/>
              </w:rPr>
            </w:pPr>
            <w:r w:rsidRPr="00D97438">
              <w:rPr>
                <w:rFonts w:ascii="Palatino Linotype" w:hAnsi="Palatino Linotype"/>
                <w:sz w:val="20"/>
              </w:rPr>
              <w:t>New</w:t>
            </w:r>
          </w:p>
        </w:tc>
        <w:tc>
          <w:tcPr>
            <w:tcW w:w="72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25A6F14" w14:textId="77777777" w:rsidR="00371419" w:rsidRPr="00D97438" w:rsidRDefault="00371419" w:rsidP="00D97438">
            <w:pPr>
              <w:jc w:val="center"/>
              <w:rPr>
                <w:rFonts w:ascii="Palatino Linotype" w:hAnsi="Palatino Linotype"/>
                <w:sz w:val="20"/>
              </w:rPr>
            </w:pPr>
            <w:r w:rsidRPr="00D97438">
              <w:rPr>
                <w:rFonts w:ascii="Palatino Linotype" w:hAnsi="Palatino Linotype"/>
                <w:sz w:val="20"/>
              </w:rPr>
              <w:t>20</w:t>
            </w:r>
          </w:p>
        </w:tc>
        <w:tc>
          <w:tcPr>
            <w:tcW w:w="8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26408AB" w14:textId="77777777" w:rsidR="00371419" w:rsidRPr="00371419" w:rsidRDefault="00371419" w:rsidP="00371419">
            <w:pPr>
              <w:jc w:val="center"/>
              <w:rPr>
                <w:rFonts w:ascii="Palatino Linotype" w:hAnsi="Palatino Linotype"/>
                <w:color w:val="000000"/>
                <w:sz w:val="20"/>
              </w:rPr>
            </w:pPr>
            <w:r w:rsidRPr="00371419">
              <w:rPr>
                <w:rFonts w:ascii="Palatino Linotype" w:hAnsi="Palatino Linotype"/>
                <w:color w:val="000000"/>
                <w:sz w:val="20"/>
              </w:rPr>
              <w:t>$126.83</w:t>
            </w:r>
          </w:p>
        </w:tc>
        <w:tc>
          <w:tcPr>
            <w:tcW w:w="11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2AD36A7" w14:textId="77777777" w:rsidR="00371419" w:rsidRPr="00D97438" w:rsidRDefault="00371419" w:rsidP="00D97438">
            <w:pPr>
              <w:jc w:val="center"/>
              <w:rPr>
                <w:rFonts w:ascii="Palatino Linotype" w:hAnsi="Palatino Linotype"/>
                <w:sz w:val="20"/>
              </w:rPr>
            </w:pPr>
            <w:r w:rsidRPr="00D97438">
              <w:rPr>
                <w:rFonts w:ascii="Palatino Linotype" w:hAnsi="Palatino Linotype"/>
                <w:sz w:val="20"/>
              </w:rPr>
              <w:t>2/28/2014</w:t>
            </w:r>
          </w:p>
        </w:tc>
      </w:tr>
      <w:tr w:rsidR="00371419" w:rsidRPr="00D97438" w14:paraId="38763D62" w14:textId="77777777" w:rsidTr="00D97438">
        <w:trPr>
          <w:trHeight w:val="300"/>
        </w:trPr>
        <w:tc>
          <w:tcPr>
            <w:tcW w:w="252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AD81739" w14:textId="77777777" w:rsidR="00371419" w:rsidRPr="00D97438" w:rsidRDefault="00371419">
            <w:pPr>
              <w:rPr>
                <w:rFonts w:ascii="Palatino Linotype" w:hAnsi="Palatino Linotype"/>
                <w:sz w:val="20"/>
              </w:rPr>
            </w:pPr>
            <w:r w:rsidRPr="00D97438">
              <w:rPr>
                <w:rFonts w:ascii="Palatino Linotype" w:hAnsi="Palatino Linotype"/>
                <w:sz w:val="20"/>
              </w:rPr>
              <w:t>Victor Mesa Linda B2</w:t>
            </w:r>
          </w:p>
        </w:tc>
        <w:tc>
          <w:tcPr>
            <w:tcW w:w="18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EFFB881" w14:textId="77777777" w:rsidR="00371419" w:rsidRPr="00D97438" w:rsidRDefault="00371419">
            <w:pPr>
              <w:rPr>
                <w:rFonts w:ascii="Palatino Linotype" w:hAnsi="Palatino Linotype"/>
                <w:sz w:val="20"/>
              </w:rPr>
            </w:pPr>
            <w:r w:rsidRPr="00D97438">
              <w:rPr>
                <w:rFonts w:ascii="Palatino Linotype" w:hAnsi="Palatino Linotype"/>
                <w:sz w:val="20"/>
              </w:rPr>
              <w:t>Silverado</w:t>
            </w:r>
          </w:p>
        </w:tc>
        <w:tc>
          <w:tcPr>
            <w:tcW w:w="9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355FBAF" w14:textId="77777777" w:rsidR="00371419" w:rsidRPr="00D97438" w:rsidRDefault="00371419" w:rsidP="00D97438">
            <w:pPr>
              <w:jc w:val="center"/>
              <w:rPr>
                <w:rFonts w:ascii="Palatino Linotype" w:hAnsi="Palatino Linotype"/>
                <w:sz w:val="20"/>
              </w:rPr>
            </w:pPr>
            <w:r w:rsidRPr="00D97438">
              <w:rPr>
                <w:rFonts w:ascii="Palatino Linotype" w:hAnsi="Palatino Linotype"/>
                <w:sz w:val="20"/>
              </w:rPr>
              <w:t>1.5</w:t>
            </w:r>
          </w:p>
        </w:tc>
        <w:tc>
          <w:tcPr>
            <w:tcW w:w="11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4A56C13" w14:textId="77777777" w:rsidR="00371419" w:rsidRPr="00D97438" w:rsidRDefault="00371419" w:rsidP="00D97438">
            <w:pPr>
              <w:jc w:val="center"/>
              <w:rPr>
                <w:rFonts w:ascii="Palatino Linotype" w:hAnsi="Palatino Linotype"/>
                <w:sz w:val="20"/>
              </w:rPr>
            </w:pPr>
            <w:r w:rsidRPr="00D97438">
              <w:rPr>
                <w:rFonts w:ascii="Palatino Linotype" w:hAnsi="Palatino Linotype"/>
                <w:sz w:val="20"/>
              </w:rPr>
              <w:t>3.8</w:t>
            </w:r>
          </w:p>
        </w:tc>
        <w:tc>
          <w:tcPr>
            <w:tcW w:w="72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192FE65A" w14:textId="77777777" w:rsidR="00371419" w:rsidRPr="00D97438" w:rsidRDefault="00371419" w:rsidP="00D97438">
            <w:pPr>
              <w:jc w:val="center"/>
              <w:rPr>
                <w:rFonts w:ascii="Palatino Linotype" w:hAnsi="Palatino Linotype"/>
                <w:sz w:val="20"/>
              </w:rPr>
            </w:pPr>
            <w:r w:rsidRPr="00AF6B95">
              <w:rPr>
                <w:rFonts w:ascii="Palatino Linotype" w:hAnsi="Palatino Linotype"/>
                <w:sz w:val="20"/>
              </w:rPr>
              <w:t>PV</w:t>
            </w:r>
          </w:p>
        </w:tc>
        <w:tc>
          <w:tcPr>
            <w:tcW w:w="8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DA4CF2E" w14:textId="77777777" w:rsidR="00371419" w:rsidRPr="00D97438" w:rsidRDefault="00371419" w:rsidP="00D97438">
            <w:pPr>
              <w:jc w:val="center"/>
              <w:rPr>
                <w:rFonts w:ascii="Palatino Linotype" w:hAnsi="Palatino Linotype"/>
                <w:sz w:val="20"/>
              </w:rPr>
            </w:pPr>
            <w:r w:rsidRPr="00D97438">
              <w:rPr>
                <w:rFonts w:ascii="Palatino Linotype" w:hAnsi="Palatino Linotype"/>
                <w:sz w:val="20"/>
              </w:rPr>
              <w:t>New</w:t>
            </w:r>
          </w:p>
        </w:tc>
        <w:tc>
          <w:tcPr>
            <w:tcW w:w="72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6ACF24D" w14:textId="77777777" w:rsidR="00371419" w:rsidRPr="00D97438" w:rsidRDefault="00371419" w:rsidP="00D97438">
            <w:pPr>
              <w:jc w:val="center"/>
              <w:rPr>
                <w:rFonts w:ascii="Palatino Linotype" w:hAnsi="Palatino Linotype"/>
                <w:sz w:val="20"/>
              </w:rPr>
            </w:pPr>
            <w:r w:rsidRPr="00D97438">
              <w:rPr>
                <w:rFonts w:ascii="Palatino Linotype" w:hAnsi="Palatino Linotype"/>
                <w:sz w:val="20"/>
              </w:rPr>
              <w:t>20</w:t>
            </w:r>
          </w:p>
        </w:tc>
        <w:tc>
          <w:tcPr>
            <w:tcW w:w="8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3D83E9B" w14:textId="77777777" w:rsidR="00371419" w:rsidRPr="00371419" w:rsidRDefault="00371419" w:rsidP="00371419">
            <w:pPr>
              <w:jc w:val="center"/>
              <w:rPr>
                <w:rFonts w:ascii="Palatino Linotype" w:hAnsi="Palatino Linotype"/>
                <w:color w:val="000000"/>
                <w:sz w:val="20"/>
              </w:rPr>
            </w:pPr>
            <w:r w:rsidRPr="00371419">
              <w:rPr>
                <w:rFonts w:ascii="Palatino Linotype" w:hAnsi="Palatino Linotype"/>
                <w:color w:val="000000"/>
                <w:sz w:val="20"/>
              </w:rPr>
              <w:t>$126.83</w:t>
            </w:r>
          </w:p>
        </w:tc>
        <w:tc>
          <w:tcPr>
            <w:tcW w:w="11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9E6707D" w14:textId="77777777" w:rsidR="00371419" w:rsidRPr="00D97438" w:rsidRDefault="00371419" w:rsidP="00D97438">
            <w:pPr>
              <w:jc w:val="center"/>
              <w:rPr>
                <w:rFonts w:ascii="Palatino Linotype" w:hAnsi="Palatino Linotype"/>
                <w:sz w:val="20"/>
              </w:rPr>
            </w:pPr>
            <w:r w:rsidRPr="00D97438">
              <w:rPr>
                <w:rFonts w:ascii="Palatino Linotype" w:hAnsi="Palatino Linotype"/>
                <w:sz w:val="20"/>
              </w:rPr>
              <w:t>3/7/2014</w:t>
            </w:r>
          </w:p>
        </w:tc>
      </w:tr>
      <w:tr w:rsidR="00371419" w:rsidRPr="00D97438" w14:paraId="12D1F072" w14:textId="77777777" w:rsidTr="00D97438">
        <w:trPr>
          <w:trHeight w:val="300"/>
        </w:trPr>
        <w:tc>
          <w:tcPr>
            <w:tcW w:w="252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B1DA781" w14:textId="77777777" w:rsidR="00371419" w:rsidRPr="00D97438" w:rsidRDefault="00371419">
            <w:pPr>
              <w:rPr>
                <w:rFonts w:ascii="Palatino Linotype" w:hAnsi="Palatino Linotype"/>
                <w:sz w:val="20"/>
              </w:rPr>
            </w:pPr>
            <w:r w:rsidRPr="00D97438">
              <w:rPr>
                <w:rFonts w:ascii="Palatino Linotype" w:hAnsi="Palatino Linotype"/>
                <w:sz w:val="20"/>
              </w:rPr>
              <w:t>Victor Mesa Linda C2</w:t>
            </w:r>
          </w:p>
        </w:tc>
        <w:tc>
          <w:tcPr>
            <w:tcW w:w="18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BAFBD9B" w14:textId="77777777" w:rsidR="00371419" w:rsidRPr="00D97438" w:rsidRDefault="00371419">
            <w:pPr>
              <w:rPr>
                <w:rFonts w:ascii="Palatino Linotype" w:hAnsi="Palatino Linotype"/>
                <w:sz w:val="20"/>
              </w:rPr>
            </w:pPr>
            <w:r w:rsidRPr="00D97438">
              <w:rPr>
                <w:rFonts w:ascii="Palatino Linotype" w:hAnsi="Palatino Linotype"/>
                <w:sz w:val="20"/>
              </w:rPr>
              <w:t>Silverado</w:t>
            </w:r>
          </w:p>
        </w:tc>
        <w:tc>
          <w:tcPr>
            <w:tcW w:w="9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009B090" w14:textId="77777777" w:rsidR="00371419" w:rsidRPr="00D97438" w:rsidRDefault="00371419" w:rsidP="00D97438">
            <w:pPr>
              <w:jc w:val="center"/>
              <w:rPr>
                <w:rFonts w:ascii="Palatino Linotype" w:hAnsi="Palatino Linotype"/>
                <w:sz w:val="20"/>
              </w:rPr>
            </w:pPr>
            <w:r w:rsidRPr="00D97438">
              <w:rPr>
                <w:rFonts w:ascii="Palatino Linotype" w:hAnsi="Palatino Linotype"/>
                <w:sz w:val="20"/>
              </w:rPr>
              <w:t>1.5</w:t>
            </w:r>
          </w:p>
        </w:tc>
        <w:tc>
          <w:tcPr>
            <w:tcW w:w="11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EC74234" w14:textId="77777777" w:rsidR="00371419" w:rsidRPr="00D97438" w:rsidRDefault="00371419" w:rsidP="00D97438">
            <w:pPr>
              <w:jc w:val="center"/>
              <w:rPr>
                <w:rFonts w:ascii="Palatino Linotype" w:hAnsi="Palatino Linotype"/>
                <w:sz w:val="20"/>
              </w:rPr>
            </w:pPr>
            <w:r w:rsidRPr="00D97438">
              <w:rPr>
                <w:rFonts w:ascii="Palatino Linotype" w:hAnsi="Palatino Linotype"/>
                <w:sz w:val="20"/>
              </w:rPr>
              <w:t>3.8</w:t>
            </w:r>
          </w:p>
        </w:tc>
        <w:tc>
          <w:tcPr>
            <w:tcW w:w="72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1D43A015" w14:textId="77777777" w:rsidR="00371419" w:rsidRPr="00D97438" w:rsidRDefault="00371419" w:rsidP="00D97438">
            <w:pPr>
              <w:jc w:val="center"/>
              <w:rPr>
                <w:rFonts w:ascii="Palatino Linotype" w:hAnsi="Palatino Linotype"/>
                <w:sz w:val="20"/>
              </w:rPr>
            </w:pPr>
            <w:r w:rsidRPr="00AF6B95">
              <w:rPr>
                <w:rFonts w:ascii="Palatino Linotype" w:hAnsi="Palatino Linotype"/>
                <w:sz w:val="20"/>
              </w:rPr>
              <w:t>PV</w:t>
            </w:r>
          </w:p>
        </w:tc>
        <w:tc>
          <w:tcPr>
            <w:tcW w:w="8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660FB47" w14:textId="77777777" w:rsidR="00371419" w:rsidRPr="00D97438" w:rsidRDefault="00371419" w:rsidP="00D97438">
            <w:pPr>
              <w:jc w:val="center"/>
              <w:rPr>
                <w:rFonts w:ascii="Palatino Linotype" w:hAnsi="Palatino Linotype"/>
                <w:sz w:val="20"/>
              </w:rPr>
            </w:pPr>
            <w:r w:rsidRPr="00D97438">
              <w:rPr>
                <w:rFonts w:ascii="Palatino Linotype" w:hAnsi="Palatino Linotype"/>
                <w:sz w:val="20"/>
              </w:rPr>
              <w:t>New</w:t>
            </w:r>
          </w:p>
        </w:tc>
        <w:tc>
          <w:tcPr>
            <w:tcW w:w="72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194AEBC" w14:textId="77777777" w:rsidR="00371419" w:rsidRPr="00D97438" w:rsidRDefault="00371419" w:rsidP="00D97438">
            <w:pPr>
              <w:jc w:val="center"/>
              <w:rPr>
                <w:rFonts w:ascii="Palatino Linotype" w:hAnsi="Palatino Linotype"/>
                <w:sz w:val="20"/>
              </w:rPr>
            </w:pPr>
            <w:r w:rsidRPr="00D97438">
              <w:rPr>
                <w:rFonts w:ascii="Palatino Linotype" w:hAnsi="Palatino Linotype"/>
                <w:sz w:val="20"/>
              </w:rPr>
              <w:t>20</w:t>
            </w:r>
          </w:p>
        </w:tc>
        <w:tc>
          <w:tcPr>
            <w:tcW w:w="8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00010E8" w14:textId="77777777" w:rsidR="00371419" w:rsidRPr="00371419" w:rsidRDefault="00371419" w:rsidP="00371419">
            <w:pPr>
              <w:jc w:val="center"/>
              <w:rPr>
                <w:rFonts w:ascii="Palatino Linotype" w:hAnsi="Palatino Linotype"/>
                <w:color w:val="000000"/>
                <w:sz w:val="20"/>
              </w:rPr>
            </w:pPr>
            <w:r w:rsidRPr="00371419">
              <w:rPr>
                <w:rFonts w:ascii="Palatino Linotype" w:hAnsi="Palatino Linotype"/>
                <w:color w:val="000000"/>
                <w:sz w:val="20"/>
              </w:rPr>
              <w:t>$126.83</w:t>
            </w:r>
          </w:p>
        </w:tc>
        <w:tc>
          <w:tcPr>
            <w:tcW w:w="11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D954701" w14:textId="77777777" w:rsidR="00371419" w:rsidRPr="00D97438" w:rsidRDefault="00371419" w:rsidP="00D97438">
            <w:pPr>
              <w:jc w:val="center"/>
              <w:rPr>
                <w:rFonts w:ascii="Palatino Linotype" w:hAnsi="Palatino Linotype"/>
                <w:sz w:val="20"/>
              </w:rPr>
            </w:pPr>
            <w:r w:rsidRPr="00D97438">
              <w:rPr>
                <w:rFonts w:ascii="Palatino Linotype" w:hAnsi="Palatino Linotype"/>
                <w:sz w:val="20"/>
              </w:rPr>
              <w:t>3/7/2014</w:t>
            </w:r>
          </w:p>
        </w:tc>
      </w:tr>
      <w:tr w:rsidR="00371419" w:rsidRPr="00D97438" w14:paraId="1468351C" w14:textId="77777777" w:rsidTr="00D97438">
        <w:trPr>
          <w:trHeight w:val="300"/>
        </w:trPr>
        <w:tc>
          <w:tcPr>
            <w:tcW w:w="252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B01FB4A" w14:textId="77777777" w:rsidR="00371419" w:rsidRPr="00D97438" w:rsidRDefault="00371419">
            <w:pPr>
              <w:rPr>
                <w:rFonts w:ascii="Palatino Linotype" w:hAnsi="Palatino Linotype"/>
                <w:sz w:val="20"/>
              </w:rPr>
            </w:pPr>
            <w:r w:rsidRPr="00D97438">
              <w:rPr>
                <w:rFonts w:ascii="Palatino Linotype" w:hAnsi="Palatino Linotype"/>
                <w:sz w:val="20"/>
              </w:rPr>
              <w:t>Victor Mesa Linda D2</w:t>
            </w:r>
          </w:p>
        </w:tc>
        <w:tc>
          <w:tcPr>
            <w:tcW w:w="18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612105D" w14:textId="77777777" w:rsidR="00371419" w:rsidRPr="00D97438" w:rsidRDefault="00371419">
            <w:pPr>
              <w:rPr>
                <w:rFonts w:ascii="Palatino Linotype" w:hAnsi="Palatino Linotype"/>
                <w:sz w:val="20"/>
              </w:rPr>
            </w:pPr>
            <w:r w:rsidRPr="00D97438">
              <w:rPr>
                <w:rFonts w:ascii="Palatino Linotype" w:hAnsi="Palatino Linotype"/>
                <w:sz w:val="20"/>
              </w:rPr>
              <w:t>Silverado</w:t>
            </w:r>
          </w:p>
        </w:tc>
        <w:tc>
          <w:tcPr>
            <w:tcW w:w="9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E0A8863" w14:textId="77777777" w:rsidR="00371419" w:rsidRPr="00D97438" w:rsidRDefault="00371419" w:rsidP="00D97438">
            <w:pPr>
              <w:jc w:val="center"/>
              <w:rPr>
                <w:rFonts w:ascii="Palatino Linotype" w:hAnsi="Palatino Linotype"/>
                <w:sz w:val="20"/>
              </w:rPr>
            </w:pPr>
            <w:r w:rsidRPr="00D97438">
              <w:rPr>
                <w:rFonts w:ascii="Palatino Linotype" w:hAnsi="Palatino Linotype"/>
                <w:sz w:val="20"/>
              </w:rPr>
              <w:t>1.5</w:t>
            </w:r>
          </w:p>
        </w:tc>
        <w:tc>
          <w:tcPr>
            <w:tcW w:w="11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51F3E8B" w14:textId="77777777" w:rsidR="00371419" w:rsidRPr="00D97438" w:rsidRDefault="00371419" w:rsidP="00D97438">
            <w:pPr>
              <w:jc w:val="center"/>
              <w:rPr>
                <w:rFonts w:ascii="Palatino Linotype" w:hAnsi="Palatino Linotype"/>
                <w:sz w:val="20"/>
              </w:rPr>
            </w:pPr>
            <w:r w:rsidRPr="00D97438">
              <w:rPr>
                <w:rFonts w:ascii="Palatino Linotype" w:hAnsi="Palatino Linotype"/>
                <w:sz w:val="20"/>
              </w:rPr>
              <w:t>3.8</w:t>
            </w:r>
          </w:p>
        </w:tc>
        <w:tc>
          <w:tcPr>
            <w:tcW w:w="72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3AAF28A6" w14:textId="77777777" w:rsidR="00371419" w:rsidRPr="00D97438" w:rsidRDefault="00371419" w:rsidP="00D97438">
            <w:pPr>
              <w:jc w:val="center"/>
              <w:rPr>
                <w:rFonts w:ascii="Palatino Linotype" w:hAnsi="Palatino Linotype"/>
                <w:sz w:val="20"/>
              </w:rPr>
            </w:pPr>
            <w:r w:rsidRPr="00AF6B95">
              <w:rPr>
                <w:rFonts w:ascii="Palatino Linotype" w:hAnsi="Palatino Linotype"/>
                <w:sz w:val="20"/>
              </w:rPr>
              <w:t>PV</w:t>
            </w:r>
          </w:p>
        </w:tc>
        <w:tc>
          <w:tcPr>
            <w:tcW w:w="8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CB72D16" w14:textId="77777777" w:rsidR="00371419" w:rsidRPr="00D97438" w:rsidRDefault="00371419" w:rsidP="00D97438">
            <w:pPr>
              <w:jc w:val="center"/>
              <w:rPr>
                <w:rFonts w:ascii="Palatino Linotype" w:hAnsi="Palatino Linotype"/>
                <w:sz w:val="20"/>
              </w:rPr>
            </w:pPr>
            <w:r w:rsidRPr="00D97438">
              <w:rPr>
                <w:rFonts w:ascii="Palatino Linotype" w:hAnsi="Palatino Linotype"/>
                <w:sz w:val="20"/>
              </w:rPr>
              <w:t>New</w:t>
            </w:r>
          </w:p>
        </w:tc>
        <w:tc>
          <w:tcPr>
            <w:tcW w:w="72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A499B74" w14:textId="77777777" w:rsidR="00371419" w:rsidRPr="00D97438" w:rsidRDefault="00371419" w:rsidP="00D97438">
            <w:pPr>
              <w:jc w:val="center"/>
              <w:rPr>
                <w:rFonts w:ascii="Palatino Linotype" w:hAnsi="Palatino Linotype"/>
                <w:sz w:val="20"/>
              </w:rPr>
            </w:pPr>
            <w:r w:rsidRPr="00D97438">
              <w:rPr>
                <w:rFonts w:ascii="Palatino Linotype" w:hAnsi="Palatino Linotype"/>
                <w:sz w:val="20"/>
              </w:rPr>
              <w:t>20</w:t>
            </w:r>
          </w:p>
        </w:tc>
        <w:tc>
          <w:tcPr>
            <w:tcW w:w="8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4DD91BA" w14:textId="77777777" w:rsidR="00371419" w:rsidRPr="00371419" w:rsidRDefault="00371419" w:rsidP="00371419">
            <w:pPr>
              <w:jc w:val="center"/>
              <w:rPr>
                <w:rFonts w:ascii="Palatino Linotype" w:hAnsi="Palatino Linotype"/>
                <w:color w:val="000000"/>
                <w:sz w:val="20"/>
              </w:rPr>
            </w:pPr>
            <w:r w:rsidRPr="00371419">
              <w:rPr>
                <w:rFonts w:ascii="Palatino Linotype" w:hAnsi="Palatino Linotype"/>
                <w:color w:val="000000"/>
                <w:sz w:val="20"/>
              </w:rPr>
              <w:t>$126.83</w:t>
            </w:r>
          </w:p>
        </w:tc>
        <w:tc>
          <w:tcPr>
            <w:tcW w:w="11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32C4537" w14:textId="77777777" w:rsidR="00371419" w:rsidRPr="00D97438" w:rsidRDefault="00371419" w:rsidP="00D97438">
            <w:pPr>
              <w:jc w:val="center"/>
              <w:rPr>
                <w:rFonts w:ascii="Palatino Linotype" w:hAnsi="Palatino Linotype"/>
                <w:sz w:val="20"/>
              </w:rPr>
            </w:pPr>
            <w:r w:rsidRPr="00D97438">
              <w:rPr>
                <w:rFonts w:ascii="Palatino Linotype" w:hAnsi="Palatino Linotype"/>
                <w:sz w:val="20"/>
              </w:rPr>
              <w:t>3/7/2014</w:t>
            </w:r>
          </w:p>
        </w:tc>
      </w:tr>
      <w:tr w:rsidR="00371419" w:rsidRPr="00D97438" w14:paraId="57D4D10E" w14:textId="77777777" w:rsidTr="00D97438">
        <w:trPr>
          <w:trHeight w:val="300"/>
        </w:trPr>
        <w:tc>
          <w:tcPr>
            <w:tcW w:w="252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CCA3CC0" w14:textId="77777777" w:rsidR="00371419" w:rsidRPr="00D97438" w:rsidRDefault="00371419">
            <w:pPr>
              <w:rPr>
                <w:rFonts w:ascii="Palatino Linotype" w:hAnsi="Palatino Linotype"/>
                <w:sz w:val="20"/>
              </w:rPr>
            </w:pPr>
            <w:r w:rsidRPr="00D97438">
              <w:rPr>
                <w:rFonts w:ascii="Palatino Linotype" w:hAnsi="Palatino Linotype"/>
                <w:sz w:val="20"/>
              </w:rPr>
              <w:t>Victor Mesa Linda E2</w:t>
            </w:r>
          </w:p>
        </w:tc>
        <w:tc>
          <w:tcPr>
            <w:tcW w:w="18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58979D3" w14:textId="77777777" w:rsidR="00371419" w:rsidRPr="00D97438" w:rsidRDefault="00371419">
            <w:pPr>
              <w:rPr>
                <w:rFonts w:ascii="Palatino Linotype" w:hAnsi="Palatino Linotype"/>
                <w:sz w:val="20"/>
              </w:rPr>
            </w:pPr>
            <w:r w:rsidRPr="00D97438">
              <w:rPr>
                <w:rFonts w:ascii="Palatino Linotype" w:hAnsi="Palatino Linotype"/>
                <w:sz w:val="20"/>
              </w:rPr>
              <w:t>Silverado</w:t>
            </w:r>
          </w:p>
        </w:tc>
        <w:tc>
          <w:tcPr>
            <w:tcW w:w="9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6137908" w14:textId="77777777" w:rsidR="00371419" w:rsidRPr="00D97438" w:rsidRDefault="00371419" w:rsidP="00D97438">
            <w:pPr>
              <w:jc w:val="center"/>
              <w:rPr>
                <w:rFonts w:ascii="Palatino Linotype" w:hAnsi="Palatino Linotype"/>
                <w:sz w:val="20"/>
              </w:rPr>
            </w:pPr>
            <w:r w:rsidRPr="00D97438">
              <w:rPr>
                <w:rFonts w:ascii="Palatino Linotype" w:hAnsi="Palatino Linotype"/>
                <w:sz w:val="20"/>
              </w:rPr>
              <w:t>1.5</w:t>
            </w:r>
          </w:p>
        </w:tc>
        <w:tc>
          <w:tcPr>
            <w:tcW w:w="11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416F89B" w14:textId="77777777" w:rsidR="00371419" w:rsidRPr="00D97438" w:rsidRDefault="00371419" w:rsidP="00D97438">
            <w:pPr>
              <w:jc w:val="center"/>
              <w:rPr>
                <w:rFonts w:ascii="Palatino Linotype" w:hAnsi="Palatino Linotype"/>
                <w:sz w:val="20"/>
              </w:rPr>
            </w:pPr>
            <w:r w:rsidRPr="00D97438">
              <w:rPr>
                <w:rFonts w:ascii="Palatino Linotype" w:hAnsi="Palatino Linotype"/>
                <w:sz w:val="20"/>
              </w:rPr>
              <w:t>3.8</w:t>
            </w:r>
          </w:p>
        </w:tc>
        <w:tc>
          <w:tcPr>
            <w:tcW w:w="72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204C1DD7" w14:textId="77777777" w:rsidR="00371419" w:rsidRPr="00D97438" w:rsidRDefault="00371419" w:rsidP="00D97438">
            <w:pPr>
              <w:jc w:val="center"/>
              <w:rPr>
                <w:rFonts w:ascii="Palatino Linotype" w:hAnsi="Palatino Linotype"/>
                <w:sz w:val="20"/>
              </w:rPr>
            </w:pPr>
            <w:r w:rsidRPr="00AF6B95">
              <w:rPr>
                <w:rFonts w:ascii="Palatino Linotype" w:hAnsi="Palatino Linotype"/>
                <w:sz w:val="20"/>
              </w:rPr>
              <w:t>PV</w:t>
            </w:r>
          </w:p>
        </w:tc>
        <w:tc>
          <w:tcPr>
            <w:tcW w:w="8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321782E" w14:textId="77777777" w:rsidR="00371419" w:rsidRPr="00D97438" w:rsidRDefault="00371419" w:rsidP="00D97438">
            <w:pPr>
              <w:jc w:val="center"/>
              <w:rPr>
                <w:rFonts w:ascii="Palatino Linotype" w:hAnsi="Palatino Linotype"/>
                <w:sz w:val="20"/>
              </w:rPr>
            </w:pPr>
            <w:r w:rsidRPr="00D97438">
              <w:rPr>
                <w:rFonts w:ascii="Palatino Linotype" w:hAnsi="Palatino Linotype"/>
                <w:sz w:val="20"/>
              </w:rPr>
              <w:t>New</w:t>
            </w:r>
          </w:p>
        </w:tc>
        <w:tc>
          <w:tcPr>
            <w:tcW w:w="72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60C4398" w14:textId="77777777" w:rsidR="00371419" w:rsidRPr="00D97438" w:rsidRDefault="00371419" w:rsidP="00D97438">
            <w:pPr>
              <w:jc w:val="center"/>
              <w:rPr>
                <w:rFonts w:ascii="Palatino Linotype" w:hAnsi="Palatino Linotype"/>
                <w:sz w:val="20"/>
              </w:rPr>
            </w:pPr>
            <w:r w:rsidRPr="00D97438">
              <w:rPr>
                <w:rFonts w:ascii="Palatino Linotype" w:hAnsi="Palatino Linotype"/>
                <w:sz w:val="20"/>
              </w:rPr>
              <w:t>20</w:t>
            </w:r>
          </w:p>
        </w:tc>
        <w:tc>
          <w:tcPr>
            <w:tcW w:w="8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F89F19E" w14:textId="77777777" w:rsidR="00371419" w:rsidRPr="00371419" w:rsidRDefault="00371419" w:rsidP="00371419">
            <w:pPr>
              <w:jc w:val="center"/>
              <w:rPr>
                <w:rFonts w:ascii="Palatino Linotype" w:hAnsi="Palatino Linotype"/>
                <w:color w:val="000000"/>
                <w:sz w:val="20"/>
              </w:rPr>
            </w:pPr>
            <w:r w:rsidRPr="00371419">
              <w:rPr>
                <w:rFonts w:ascii="Palatino Linotype" w:hAnsi="Palatino Linotype"/>
                <w:color w:val="000000"/>
                <w:sz w:val="20"/>
              </w:rPr>
              <w:t>$126.83</w:t>
            </w:r>
          </w:p>
        </w:tc>
        <w:tc>
          <w:tcPr>
            <w:tcW w:w="11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A06F43E" w14:textId="77777777" w:rsidR="00371419" w:rsidRPr="00D97438" w:rsidRDefault="00371419" w:rsidP="00D97438">
            <w:pPr>
              <w:jc w:val="center"/>
              <w:rPr>
                <w:rFonts w:ascii="Palatino Linotype" w:hAnsi="Palatino Linotype"/>
                <w:sz w:val="20"/>
              </w:rPr>
            </w:pPr>
            <w:r w:rsidRPr="00D97438">
              <w:rPr>
                <w:rFonts w:ascii="Palatino Linotype" w:hAnsi="Palatino Linotype"/>
                <w:sz w:val="20"/>
              </w:rPr>
              <w:t>3/7/2014</w:t>
            </w:r>
          </w:p>
        </w:tc>
      </w:tr>
      <w:tr w:rsidR="00371419" w:rsidRPr="00D97438" w14:paraId="129614B2" w14:textId="77777777" w:rsidTr="00D97438">
        <w:trPr>
          <w:trHeight w:val="300"/>
        </w:trPr>
        <w:tc>
          <w:tcPr>
            <w:tcW w:w="252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A64DA75" w14:textId="77777777" w:rsidR="00371419" w:rsidRPr="00D97438" w:rsidRDefault="00371419">
            <w:pPr>
              <w:rPr>
                <w:rFonts w:ascii="Palatino Linotype" w:hAnsi="Palatino Linotype"/>
                <w:sz w:val="20"/>
              </w:rPr>
            </w:pPr>
            <w:r w:rsidRPr="00D97438">
              <w:rPr>
                <w:rFonts w:ascii="Palatino Linotype" w:hAnsi="Palatino Linotype"/>
                <w:sz w:val="20"/>
              </w:rPr>
              <w:t>San Jacinto Solar</w:t>
            </w:r>
          </w:p>
        </w:tc>
        <w:tc>
          <w:tcPr>
            <w:tcW w:w="18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A1D8236" w14:textId="77777777" w:rsidR="00371419" w:rsidRPr="00D97438" w:rsidRDefault="00371419">
            <w:pPr>
              <w:rPr>
                <w:rFonts w:ascii="Palatino Linotype" w:hAnsi="Palatino Linotype"/>
                <w:sz w:val="20"/>
              </w:rPr>
            </w:pPr>
            <w:r w:rsidRPr="00D97438">
              <w:rPr>
                <w:rFonts w:ascii="Palatino Linotype" w:hAnsi="Palatino Linotype"/>
                <w:sz w:val="20"/>
              </w:rPr>
              <w:t>Ecos Energy</w:t>
            </w:r>
          </w:p>
        </w:tc>
        <w:tc>
          <w:tcPr>
            <w:tcW w:w="9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91924F0" w14:textId="77777777" w:rsidR="00371419" w:rsidRPr="00D97438" w:rsidRDefault="00371419" w:rsidP="00D97438">
            <w:pPr>
              <w:jc w:val="center"/>
              <w:rPr>
                <w:rFonts w:ascii="Palatino Linotype" w:hAnsi="Palatino Linotype"/>
                <w:sz w:val="20"/>
              </w:rPr>
            </w:pPr>
            <w:r w:rsidRPr="00D97438">
              <w:rPr>
                <w:rFonts w:ascii="Palatino Linotype" w:hAnsi="Palatino Linotype"/>
                <w:sz w:val="20"/>
              </w:rPr>
              <w:t>1.5</w:t>
            </w:r>
          </w:p>
        </w:tc>
        <w:tc>
          <w:tcPr>
            <w:tcW w:w="11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4AAE46D" w14:textId="77777777" w:rsidR="00371419" w:rsidRPr="00D97438" w:rsidRDefault="00371419" w:rsidP="00D97438">
            <w:pPr>
              <w:jc w:val="center"/>
              <w:rPr>
                <w:rFonts w:ascii="Palatino Linotype" w:hAnsi="Palatino Linotype"/>
                <w:sz w:val="20"/>
              </w:rPr>
            </w:pPr>
            <w:r w:rsidRPr="00D97438">
              <w:rPr>
                <w:rFonts w:ascii="Palatino Linotype" w:hAnsi="Palatino Linotype"/>
                <w:sz w:val="20"/>
              </w:rPr>
              <w:t>4.2</w:t>
            </w:r>
          </w:p>
        </w:tc>
        <w:tc>
          <w:tcPr>
            <w:tcW w:w="72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0B0A1041" w14:textId="77777777" w:rsidR="00371419" w:rsidRPr="00D97438" w:rsidRDefault="00371419" w:rsidP="00D97438">
            <w:pPr>
              <w:jc w:val="center"/>
              <w:rPr>
                <w:rFonts w:ascii="Palatino Linotype" w:hAnsi="Palatino Linotype"/>
                <w:sz w:val="20"/>
              </w:rPr>
            </w:pPr>
            <w:r w:rsidRPr="00AF6B95">
              <w:rPr>
                <w:rFonts w:ascii="Palatino Linotype" w:hAnsi="Palatino Linotype"/>
                <w:sz w:val="20"/>
              </w:rPr>
              <w:t>PV</w:t>
            </w:r>
          </w:p>
        </w:tc>
        <w:tc>
          <w:tcPr>
            <w:tcW w:w="8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C1E3B3F" w14:textId="77777777" w:rsidR="00371419" w:rsidRPr="00D97438" w:rsidRDefault="00371419" w:rsidP="00D97438">
            <w:pPr>
              <w:jc w:val="center"/>
              <w:rPr>
                <w:rFonts w:ascii="Palatino Linotype" w:hAnsi="Palatino Linotype"/>
                <w:sz w:val="20"/>
              </w:rPr>
            </w:pPr>
            <w:r w:rsidRPr="00D97438">
              <w:rPr>
                <w:rFonts w:ascii="Palatino Linotype" w:hAnsi="Palatino Linotype"/>
                <w:sz w:val="20"/>
              </w:rPr>
              <w:t>New</w:t>
            </w:r>
          </w:p>
        </w:tc>
        <w:tc>
          <w:tcPr>
            <w:tcW w:w="72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ED3AB1D" w14:textId="77777777" w:rsidR="00371419" w:rsidRPr="00D97438" w:rsidRDefault="00371419" w:rsidP="00D97438">
            <w:pPr>
              <w:jc w:val="center"/>
              <w:rPr>
                <w:rFonts w:ascii="Palatino Linotype" w:hAnsi="Palatino Linotype"/>
                <w:sz w:val="20"/>
              </w:rPr>
            </w:pPr>
            <w:r w:rsidRPr="00D97438">
              <w:rPr>
                <w:rFonts w:ascii="Palatino Linotype" w:hAnsi="Palatino Linotype"/>
                <w:sz w:val="20"/>
              </w:rPr>
              <w:t>20</w:t>
            </w:r>
          </w:p>
        </w:tc>
        <w:tc>
          <w:tcPr>
            <w:tcW w:w="8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9585F76" w14:textId="77777777" w:rsidR="00371419" w:rsidRPr="00371419" w:rsidRDefault="00371419" w:rsidP="00371419">
            <w:pPr>
              <w:jc w:val="center"/>
              <w:rPr>
                <w:rFonts w:ascii="Palatino Linotype" w:hAnsi="Palatino Linotype"/>
                <w:color w:val="000000"/>
                <w:sz w:val="20"/>
              </w:rPr>
            </w:pPr>
            <w:r w:rsidRPr="00371419">
              <w:rPr>
                <w:rFonts w:ascii="Palatino Linotype" w:hAnsi="Palatino Linotype"/>
                <w:color w:val="000000"/>
                <w:sz w:val="20"/>
              </w:rPr>
              <w:t>$121.88</w:t>
            </w:r>
          </w:p>
        </w:tc>
        <w:tc>
          <w:tcPr>
            <w:tcW w:w="11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E53093C" w14:textId="77777777" w:rsidR="00371419" w:rsidRPr="00D97438" w:rsidRDefault="00371419" w:rsidP="00D97438">
            <w:pPr>
              <w:jc w:val="center"/>
              <w:rPr>
                <w:rFonts w:ascii="Palatino Linotype" w:hAnsi="Palatino Linotype"/>
                <w:sz w:val="20"/>
              </w:rPr>
            </w:pPr>
            <w:r w:rsidRPr="00D97438">
              <w:rPr>
                <w:rFonts w:ascii="Palatino Linotype" w:hAnsi="Palatino Linotype"/>
                <w:sz w:val="20"/>
              </w:rPr>
              <w:t>6/1/2013</w:t>
            </w:r>
          </w:p>
        </w:tc>
      </w:tr>
      <w:tr w:rsidR="00371419" w:rsidRPr="00D97438" w14:paraId="43E8E80B" w14:textId="77777777" w:rsidTr="00D97438">
        <w:trPr>
          <w:trHeight w:val="300"/>
        </w:trPr>
        <w:tc>
          <w:tcPr>
            <w:tcW w:w="252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2A4B899" w14:textId="77777777" w:rsidR="00371419" w:rsidRPr="00D97438" w:rsidRDefault="00371419">
            <w:pPr>
              <w:rPr>
                <w:rFonts w:ascii="Palatino Linotype" w:hAnsi="Palatino Linotype"/>
                <w:sz w:val="20"/>
              </w:rPr>
            </w:pPr>
            <w:r w:rsidRPr="00D97438">
              <w:rPr>
                <w:rFonts w:ascii="Palatino Linotype" w:hAnsi="Palatino Linotype"/>
                <w:sz w:val="20"/>
              </w:rPr>
              <w:t>Lake Perris Solar</w:t>
            </w:r>
          </w:p>
        </w:tc>
        <w:tc>
          <w:tcPr>
            <w:tcW w:w="18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44A8772" w14:textId="77777777" w:rsidR="00371419" w:rsidRPr="00D97438" w:rsidRDefault="00371419">
            <w:pPr>
              <w:rPr>
                <w:rFonts w:ascii="Palatino Linotype" w:hAnsi="Palatino Linotype"/>
                <w:sz w:val="20"/>
              </w:rPr>
            </w:pPr>
            <w:r w:rsidRPr="00D97438">
              <w:rPr>
                <w:rFonts w:ascii="Palatino Linotype" w:hAnsi="Palatino Linotype"/>
                <w:sz w:val="20"/>
              </w:rPr>
              <w:t>Ecos Energy</w:t>
            </w:r>
          </w:p>
        </w:tc>
        <w:tc>
          <w:tcPr>
            <w:tcW w:w="9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A3AED4A" w14:textId="77777777" w:rsidR="00371419" w:rsidRPr="00D97438" w:rsidRDefault="00371419" w:rsidP="00D97438">
            <w:pPr>
              <w:jc w:val="center"/>
              <w:rPr>
                <w:rFonts w:ascii="Palatino Linotype" w:hAnsi="Palatino Linotype"/>
                <w:sz w:val="20"/>
              </w:rPr>
            </w:pPr>
            <w:r w:rsidRPr="00D97438">
              <w:rPr>
                <w:rFonts w:ascii="Palatino Linotype" w:hAnsi="Palatino Linotype"/>
                <w:sz w:val="20"/>
              </w:rPr>
              <w:t>1.5</w:t>
            </w:r>
          </w:p>
        </w:tc>
        <w:tc>
          <w:tcPr>
            <w:tcW w:w="11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1AE17A9" w14:textId="77777777" w:rsidR="00371419" w:rsidRPr="00D97438" w:rsidRDefault="00371419" w:rsidP="00D97438">
            <w:pPr>
              <w:jc w:val="center"/>
              <w:rPr>
                <w:rFonts w:ascii="Palatino Linotype" w:hAnsi="Palatino Linotype"/>
                <w:sz w:val="20"/>
              </w:rPr>
            </w:pPr>
            <w:r w:rsidRPr="00D97438">
              <w:rPr>
                <w:rFonts w:ascii="Palatino Linotype" w:hAnsi="Palatino Linotype"/>
                <w:sz w:val="20"/>
              </w:rPr>
              <w:t>4.2</w:t>
            </w:r>
          </w:p>
        </w:tc>
        <w:tc>
          <w:tcPr>
            <w:tcW w:w="72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2ECE77D3" w14:textId="77777777" w:rsidR="00371419" w:rsidRPr="00D97438" w:rsidRDefault="00371419" w:rsidP="00D97438">
            <w:pPr>
              <w:jc w:val="center"/>
              <w:rPr>
                <w:rFonts w:ascii="Palatino Linotype" w:hAnsi="Palatino Linotype"/>
                <w:sz w:val="20"/>
              </w:rPr>
            </w:pPr>
            <w:r w:rsidRPr="00AF6B95">
              <w:rPr>
                <w:rFonts w:ascii="Palatino Linotype" w:hAnsi="Palatino Linotype"/>
                <w:sz w:val="20"/>
              </w:rPr>
              <w:t>PV</w:t>
            </w:r>
          </w:p>
        </w:tc>
        <w:tc>
          <w:tcPr>
            <w:tcW w:w="8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1D7B3CB" w14:textId="77777777" w:rsidR="00371419" w:rsidRPr="00D97438" w:rsidRDefault="00371419" w:rsidP="00D97438">
            <w:pPr>
              <w:jc w:val="center"/>
              <w:rPr>
                <w:rFonts w:ascii="Palatino Linotype" w:hAnsi="Palatino Linotype"/>
                <w:sz w:val="20"/>
              </w:rPr>
            </w:pPr>
            <w:r w:rsidRPr="00D97438">
              <w:rPr>
                <w:rFonts w:ascii="Palatino Linotype" w:hAnsi="Palatino Linotype"/>
                <w:sz w:val="20"/>
              </w:rPr>
              <w:t>New</w:t>
            </w:r>
          </w:p>
        </w:tc>
        <w:tc>
          <w:tcPr>
            <w:tcW w:w="72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B1939EE" w14:textId="77777777" w:rsidR="00371419" w:rsidRPr="00D97438" w:rsidRDefault="00371419" w:rsidP="00D97438">
            <w:pPr>
              <w:jc w:val="center"/>
              <w:rPr>
                <w:rFonts w:ascii="Palatino Linotype" w:hAnsi="Palatino Linotype"/>
                <w:sz w:val="20"/>
              </w:rPr>
            </w:pPr>
            <w:r w:rsidRPr="00D97438">
              <w:rPr>
                <w:rFonts w:ascii="Palatino Linotype" w:hAnsi="Palatino Linotype"/>
                <w:sz w:val="20"/>
              </w:rPr>
              <w:t>20</w:t>
            </w:r>
          </w:p>
        </w:tc>
        <w:tc>
          <w:tcPr>
            <w:tcW w:w="8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1D0285D" w14:textId="77777777" w:rsidR="00371419" w:rsidRPr="00371419" w:rsidRDefault="00371419" w:rsidP="00371419">
            <w:pPr>
              <w:jc w:val="center"/>
              <w:rPr>
                <w:rFonts w:ascii="Palatino Linotype" w:hAnsi="Palatino Linotype"/>
                <w:color w:val="000000"/>
                <w:sz w:val="20"/>
              </w:rPr>
            </w:pPr>
            <w:r w:rsidRPr="00371419">
              <w:rPr>
                <w:rFonts w:ascii="Palatino Linotype" w:hAnsi="Palatino Linotype"/>
                <w:color w:val="000000"/>
                <w:sz w:val="20"/>
              </w:rPr>
              <w:t>$121.88</w:t>
            </w:r>
          </w:p>
        </w:tc>
        <w:tc>
          <w:tcPr>
            <w:tcW w:w="11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9A96DE0" w14:textId="77777777" w:rsidR="00371419" w:rsidRPr="00D97438" w:rsidRDefault="00371419" w:rsidP="00D97438">
            <w:pPr>
              <w:jc w:val="center"/>
              <w:rPr>
                <w:rFonts w:ascii="Palatino Linotype" w:hAnsi="Palatino Linotype"/>
                <w:sz w:val="20"/>
              </w:rPr>
            </w:pPr>
            <w:r w:rsidRPr="00D97438">
              <w:rPr>
                <w:rFonts w:ascii="Palatino Linotype" w:hAnsi="Palatino Linotype"/>
                <w:sz w:val="20"/>
              </w:rPr>
              <w:t>6/1/2013</w:t>
            </w:r>
          </w:p>
        </w:tc>
      </w:tr>
      <w:tr w:rsidR="00371419" w:rsidRPr="00D97438" w14:paraId="24765FF5" w14:textId="77777777" w:rsidTr="00D97438">
        <w:trPr>
          <w:trHeight w:val="300"/>
        </w:trPr>
        <w:tc>
          <w:tcPr>
            <w:tcW w:w="252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91AB447" w14:textId="77777777" w:rsidR="00371419" w:rsidRPr="00D97438" w:rsidRDefault="00371419">
            <w:pPr>
              <w:rPr>
                <w:rFonts w:ascii="Palatino Linotype" w:hAnsi="Palatino Linotype"/>
                <w:sz w:val="20"/>
              </w:rPr>
            </w:pPr>
            <w:r w:rsidRPr="00D97438">
              <w:rPr>
                <w:rFonts w:ascii="Palatino Linotype" w:hAnsi="Palatino Linotype"/>
                <w:sz w:val="20"/>
              </w:rPr>
              <w:t>Hanford 1</w:t>
            </w:r>
          </w:p>
        </w:tc>
        <w:tc>
          <w:tcPr>
            <w:tcW w:w="18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082F02A" w14:textId="77777777" w:rsidR="00371419" w:rsidRPr="00D97438" w:rsidRDefault="00371419">
            <w:pPr>
              <w:rPr>
                <w:rFonts w:ascii="Palatino Linotype" w:hAnsi="Palatino Linotype"/>
                <w:sz w:val="20"/>
              </w:rPr>
            </w:pPr>
            <w:r w:rsidRPr="00D97438">
              <w:rPr>
                <w:rFonts w:ascii="Palatino Linotype" w:hAnsi="Palatino Linotype"/>
                <w:sz w:val="20"/>
              </w:rPr>
              <w:t xml:space="preserve">ImMODO </w:t>
            </w:r>
          </w:p>
        </w:tc>
        <w:tc>
          <w:tcPr>
            <w:tcW w:w="9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A447C6F" w14:textId="77777777" w:rsidR="00371419" w:rsidRPr="00D97438" w:rsidRDefault="00371419" w:rsidP="00D97438">
            <w:pPr>
              <w:jc w:val="center"/>
              <w:rPr>
                <w:rFonts w:ascii="Palatino Linotype" w:hAnsi="Palatino Linotype"/>
                <w:sz w:val="20"/>
              </w:rPr>
            </w:pPr>
            <w:r w:rsidRPr="00D97438">
              <w:rPr>
                <w:rFonts w:ascii="Palatino Linotype" w:hAnsi="Palatino Linotype"/>
                <w:sz w:val="20"/>
              </w:rPr>
              <w:t>1.5</w:t>
            </w:r>
          </w:p>
        </w:tc>
        <w:tc>
          <w:tcPr>
            <w:tcW w:w="11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0668DDB" w14:textId="77777777" w:rsidR="00371419" w:rsidRPr="00D97438" w:rsidRDefault="00371419" w:rsidP="00D97438">
            <w:pPr>
              <w:jc w:val="center"/>
              <w:rPr>
                <w:rFonts w:ascii="Palatino Linotype" w:hAnsi="Palatino Linotype"/>
                <w:sz w:val="20"/>
              </w:rPr>
            </w:pPr>
            <w:r w:rsidRPr="00D97438">
              <w:rPr>
                <w:rFonts w:ascii="Palatino Linotype" w:hAnsi="Palatino Linotype"/>
                <w:sz w:val="20"/>
              </w:rPr>
              <w:t>3.0</w:t>
            </w:r>
          </w:p>
        </w:tc>
        <w:tc>
          <w:tcPr>
            <w:tcW w:w="72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595CFB1A" w14:textId="77777777" w:rsidR="00371419" w:rsidRPr="00D97438" w:rsidRDefault="00371419" w:rsidP="00D97438">
            <w:pPr>
              <w:jc w:val="center"/>
              <w:rPr>
                <w:rFonts w:ascii="Palatino Linotype" w:hAnsi="Palatino Linotype"/>
                <w:sz w:val="20"/>
              </w:rPr>
            </w:pPr>
            <w:r w:rsidRPr="00AF6B95">
              <w:rPr>
                <w:rFonts w:ascii="Palatino Linotype" w:hAnsi="Palatino Linotype"/>
                <w:sz w:val="20"/>
              </w:rPr>
              <w:t>PV</w:t>
            </w:r>
          </w:p>
        </w:tc>
        <w:tc>
          <w:tcPr>
            <w:tcW w:w="8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F19E78A" w14:textId="77777777" w:rsidR="00371419" w:rsidRPr="00D97438" w:rsidRDefault="00371419" w:rsidP="00D97438">
            <w:pPr>
              <w:jc w:val="center"/>
              <w:rPr>
                <w:rFonts w:ascii="Palatino Linotype" w:hAnsi="Palatino Linotype"/>
                <w:sz w:val="20"/>
              </w:rPr>
            </w:pPr>
            <w:r w:rsidRPr="00D97438">
              <w:rPr>
                <w:rFonts w:ascii="Palatino Linotype" w:hAnsi="Palatino Linotype"/>
                <w:sz w:val="20"/>
              </w:rPr>
              <w:t>New</w:t>
            </w:r>
          </w:p>
        </w:tc>
        <w:tc>
          <w:tcPr>
            <w:tcW w:w="72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FD483D4" w14:textId="77777777" w:rsidR="00371419" w:rsidRPr="00D97438" w:rsidRDefault="00371419" w:rsidP="00D97438">
            <w:pPr>
              <w:jc w:val="center"/>
              <w:rPr>
                <w:rFonts w:ascii="Palatino Linotype" w:hAnsi="Palatino Linotype"/>
                <w:sz w:val="20"/>
              </w:rPr>
            </w:pPr>
            <w:r w:rsidRPr="00D97438">
              <w:rPr>
                <w:rFonts w:ascii="Palatino Linotype" w:hAnsi="Palatino Linotype"/>
                <w:sz w:val="20"/>
              </w:rPr>
              <w:t>20</w:t>
            </w:r>
          </w:p>
        </w:tc>
        <w:tc>
          <w:tcPr>
            <w:tcW w:w="8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6D24F09" w14:textId="77777777" w:rsidR="00371419" w:rsidRPr="00371419" w:rsidRDefault="00371419" w:rsidP="00371419">
            <w:pPr>
              <w:jc w:val="center"/>
              <w:rPr>
                <w:rFonts w:ascii="Palatino Linotype" w:hAnsi="Palatino Linotype"/>
                <w:color w:val="000000"/>
                <w:sz w:val="20"/>
              </w:rPr>
            </w:pPr>
            <w:r w:rsidRPr="00371419">
              <w:rPr>
                <w:rFonts w:ascii="Palatino Linotype" w:hAnsi="Palatino Linotype"/>
                <w:color w:val="000000"/>
                <w:sz w:val="20"/>
              </w:rPr>
              <w:t>$121.88</w:t>
            </w:r>
          </w:p>
        </w:tc>
        <w:tc>
          <w:tcPr>
            <w:tcW w:w="11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D2EB8DB" w14:textId="77777777" w:rsidR="00371419" w:rsidRPr="00D97438" w:rsidRDefault="00371419" w:rsidP="00D97438">
            <w:pPr>
              <w:jc w:val="center"/>
              <w:rPr>
                <w:rFonts w:ascii="Palatino Linotype" w:hAnsi="Palatino Linotype"/>
                <w:sz w:val="20"/>
              </w:rPr>
            </w:pPr>
            <w:r w:rsidRPr="00D97438">
              <w:rPr>
                <w:rFonts w:ascii="Palatino Linotype" w:hAnsi="Palatino Linotype"/>
                <w:sz w:val="20"/>
              </w:rPr>
              <w:t>12/1/2013</w:t>
            </w:r>
          </w:p>
        </w:tc>
      </w:tr>
      <w:tr w:rsidR="00371419" w:rsidRPr="00D97438" w14:paraId="50A98DC4" w14:textId="77777777" w:rsidTr="00D97438">
        <w:trPr>
          <w:trHeight w:val="300"/>
        </w:trPr>
        <w:tc>
          <w:tcPr>
            <w:tcW w:w="252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C4C0EE5" w14:textId="77777777" w:rsidR="00371419" w:rsidRPr="00D97438" w:rsidRDefault="00371419">
            <w:pPr>
              <w:rPr>
                <w:rFonts w:ascii="Palatino Linotype" w:hAnsi="Palatino Linotype"/>
                <w:sz w:val="20"/>
              </w:rPr>
            </w:pPr>
            <w:r w:rsidRPr="00D97438">
              <w:rPr>
                <w:rFonts w:ascii="Palatino Linotype" w:hAnsi="Palatino Linotype"/>
                <w:sz w:val="20"/>
              </w:rPr>
              <w:t>Hanford 2</w:t>
            </w:r>
          </w:p>
        </w:tc>
        <w:tc>
          <w:tcPr>
            <w:tcW w:w="18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CE45FAD" w14:textId="77777777" w:rsidR="00371419" w:rsidRPr="00D97438" w:rsidRDefault="00371419">
            <w:pPr>
              <w:rPr>
                <w:rFonts w:ascii="Palatino Linotype" w:hAnsi="Palatino Linotype"/>
                <w:sz w:val="20"/>
              </w:rPr>
            </w:pPr>
            <w:r w:rsidRPr="00D97438">
              <w:rPr>
                <w:rFonts w:ascii="Palatino Linotype" w:hAnsi="Palatino Linotype"/>
                <w:sz w:val="20"/>
              </w:rPr>
              <w:t xml:space="preserve">ImMODO </w:t>
            </w:r>
          </w:p>
        </w:tc>
        <w:tc>
          <w:tcPr>
            <w:tcW w:w="9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0374CB0" w14:textId="77777777" w:rsidR="00371419" w:rsidRPr="00D97438" w:rsidRDefault="00371419" w:rsidP="00D97438">
            <w:pPr>
              <w:jc w:val="center"/>
              <w:rPr>
                <w:rFonts w:ascii="Palatino Linotype" w:hAnsi="Palatino Linotype"/>
                <w:sz w:val="20"/>
              </w:rPr>
            </w:pPr>
            <w:r w:rsidRPr="00D97438">
              <w:rPr>
                <w:rFonts w:ascii="Palatino Linotype" w:hAnsi="Palatino Linotype"/>
                <w:sz w:val="20"/>
              </w:rPr>
              <w:t>1.5</w:t>
            </w:r>
          </w:p>
        </w:tc>
        <w:tc>
          <w:tcPr>
            <w:tcW w:w="11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485B171" w14:textId="77777777" w:rsidR="00371419" w:rsidRPr="00D97438" w:rsidRDefault="00371419" w:rsidP="00D97438">
            <w:pPr>
              <w:jc w:val="center"/>
              <w:rPr>
                <w:rFonts w:ascii="Palatino Linotype" w:hAnsi="Palatino Linotype"/>
                <w:sz w:val="20"/>
              </w:rPr>
            </w:pPr>
            <w:r w:rsidRPr="00D97438">
              <w:rPr>
                <w:rFonts w:ascii="Palatino Linotype" w:hAnsi="Palatino Linotype"/>
                <w:sz w:val="20"/>
              </w:rPr>
              <w:t>3.0</w:t>
            </w:r>
          </w:p>
        </w:tc>
        <w:tc>
          <w:tcPr>
            <w:tcW w:w="72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17F4E3B1" w14:textId="77777777" w:rsidR="00371419" w:rsidRPr="00D97438" w:rsidRDefault="00371419" w:rsidP="00D97438">
            <w:pPr>
              <w:jc w:val="center"/>
              <w:rPr>
                <w:rFonts w:ascii="Palatino Linotype" w:hAnsi="Palatino Linotype"/>
                <w:sz w:val="20"/>
              </w:rPr>
            </w:pPr>
            <w:r w:rsidRPr="00AF6B95">
              <w:rPr>
                <w:rFonts w:ascii="Palatino Linotype" w:hAnsi="Palatino Linotype"/>
                <w:sz w:val="20"/>
              </w:rPr>
              <w:t>PV</w:t>
            </w:r>
          </w:p>
        </w:tc>
        <w:tc>
          <w:tcPr>
            <w:tcW w:w="8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8CFB426" w14:textId="77777777" w:rsidR="00371419" w:rsidRPr="00D97438" w:rsidRDefault="00371419" w:rsidP="00D97438">
            <w:pPr>
              <w:jc w:val="center"/>
              <w:rPr>
                <w:rFonts w:ascii="Palatino Linotype" w:hAnsi="Palatino Linotype"/>
                <w:sz w:val="20"/>
              </w:rPr>
            </w:pPr>
            <w:r w:rsidRPr="00D97438">
              <w:rPr>
                <w:rFonts w:ascii="Palatino Linotype" w:hAnsi="Palatino Linotype"/>
                <w:sz w:val="20"/>
              </w:rPr>
              <w:t>New</w:t>
            </w:r>
          </w:p>
        </w:tc>
        <w:tc>
          <w:tcPr>
            <w:tcW w:w="72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33EEE25" w14:textId="77777777" w:rsidR="00371419" w:rsidRPr="00D97438" w:rsidRDefault="00371419" w:rsidP="00D97438">
            <w:pPr>
              <w:jc w:val="center"/>
              <w:rPr>
                <w:rFonts w:ascii="Palatino Linotype" w:hAnsi="Palatino Linotype"/>
                <w:sz w:val="20"/>
              </w:rPr>
            </w:pPr>
            <w:r w:rsidRPr="00D97438">
              <w:rPr>
                <w:rFonts w:ascii="Palatino Linotype" w:hAnsi="Palatino Linotype"/>
                <w:sz w:val="20"/>
              </w:rPr>
              <w:t>20</w:t>
            </w:r>
          </w:p>
        </w:tc>
        <w:tc>
          <w:tcPr>
            <w:tcW w:w="8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042E133" w14:textId="77777777" w:rsidR="00371419" w:rsidRPr="00371419" w:rsidRDefault="00371419" w:rsidP="00371419">
            <w:pPr>
              <w:jc w:val="center"/>
              <w:rPr>
                <w:rFonts w:ascii="Palatino Linotype" w:hAnsi="Palatino Linotype"/>
                <w:color w:val="000000"/>
                <w:sz w:val="20"/>
              </w:rPr>
            </w:pPr>
            <w:r w:rsidRPr="00371419">
              <w:rPr>
                <w:rFonts w:ascii="Palatino Linotype" w:hAnsi="Palatino Linotype"/>
                <w:color w:val="000000"/>
                <w:sz w:val="20"/>
              </w:rPr>
              <w:t>$121.88</w:t>
            </w:r>
          </w:p>
        </w:tc>
        <w:tc>
          <w:tcPr>
            <w:tcW w:w="11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0C6409E" w14:textId="77777777" w:rsidR="00371419" w:rsidRPr="00D97438" w:rsidRDefault="00371419" w:rsidP="00D97438">
            <w:pPr>
              <w:jc w:val="center"/>
              <w:rPr>
                <w:rFonts w:ascii="Palatino Linotype" w:hAnsi="Palatino Linotype"/>
                <w:sz w:val="20"/>
              </w:rPr>
            </w:pPr>
            <w:r w:rsidRPr="00D97438">
              <w:rPr>
                <w:rFonts w:ascii="Palatino Linotype" w:hAnsi="Palatino Linotype"/>
                <w:sz w:val="20"/>
              </w:rPr>
              <w:t>12/1/2013</w:t>
            </w:r>
          </w:p>
        </w:tc>
      </w:tr>
      <w:tr w:rsidR="00371419" w:rsidRPr="00D97438" w14:paraId="1E4A9537" w14:textId="77777777" w:rsidTr="00D97438">
        <w:trPr>
          <w:trHeight w:val="300"/>
        </w:trPr>
        <w:tc>
          <w:tcPr>
            <w:tcW w:w="252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3B08407" w14:textId="77777777" w:rsidR="00371419" w:rsidRPr="00D97438" w:rsidRDefault="00371419">
            <w:pPr>
              <w:rPr>
                <w:rFonts w:ascii="Palatino Linotype" w:hAnsi="Palatino Linotype"/>
                <w:sz w:val="20"/>
              </w:rPr>
            </w:pPr>
            <w:r w:rsidRPr="00D97438">
              <w:rPr>
                <w:rFonts w:ascii="Palatino Linotype" w:hAnsi="Palatino Linotype"/>
                <w:sz w:val="20"/>
              </w:rPr>
              <w:t>Desert Hot Springs Solar 1</w:t>
            </w:r>
          </w:p>
        </w:tc>
        <w:tc>
          <w:tcPr>
            <w:tcW w:w="18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5C5CE17" w14:textId="77777777" w:rsidR="00371419" w:rsidRPr="00D97438" w:rsidRDefault="00371419">
            <w:pPr>
              <w:rPr>
                <w:rFonts w:ascii="Palatino Linotype" w:hAnsi="Palatino Linotype"/>
                <w:sz w:val="20"/>
              </w:rPr>
            </w:pPr>
            <w:r w:rsidRPr="00D97438">
              <w:rPr>
                <w:rFonts w:ascii="Palatino Linotype" w:hAnsi="Palatino Linotype"/>
                <w:sz w:val="20"/>
              </w:rPr>
              <w:t>Aloha Systems, Inc</w:t>
            </w:r>
          </w:p>
        </w:tc>
        <w:tc>
          <w:tcPr>
            <w:tcW w:w="9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080487C" w14:textId="77777777" w:rsidR="00371419" w:rsidRPr="00D97438" w:rsidRDefault="00371419" w:rsidP="00D97438">
            <w:pPr>
              <w:jc w:val="center"/>
              <w:rPr>
                <w:rFonts w:ascii="Palatino Linotype" w:hAnsi="Palatino Linotype"/>
                <w:sz w:val="20"/>
              </w:rPr>
            </w:pPr>
            <w:r w:rsidRPr="00D97438">
              <w:rPr>
                <w:rFonts w:ascii="Palatino Linotype" w:hAnsi="Palatino Linotype"/>
                <w:sz w:val="20"/>
              </w:rPr>
              <w:t>1.0</w:t>
            </w:r>
          </w:p>
        </w:tc>
        <w:tc>
          <w:tcPr>
            <w:tcW w:w="11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46987C1" w14:textId="77777777" w:rsidR="00371419" w:rsidRPr="00D97438" w:rsidRDefault="00371419" w:rsidP="00D97438">
            <w:pPr>
              <w:jc w:val="center"/>
              <w:rPr>
                <w:rFonts w:ascii="Palatino Linotype" w:hAnsi="Palatino Linotype"/>
                <w:sz w:val="20"/>
              </w:rPr>
            </w:pPr>
            <w:r w:rsidRPr="00D97438">
              <w:rPr>
                <w:rFonts w:ascii="Palatino Linotype" w:hAnsi="Palatino Linotype"/>
                <w:sz w:val="20"/>
              </w:rPr>
              <w:t>2.6</w:t>
            </w:r>
          </w:p>
        </w:tc>
        <w:tc>
          <w:tcPr>
            <w:tcW w:w="72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2F89AE43" w14:textId="77777777" w:rsidR="00371419" w:rsidRPr="00D97438" w:rsidRDefault="00371419" w:rsidP="00D97438">
            <w:pPr>
              <w:jc w:val="center"/>
              <w:rPr>
                <w:rFonts w:ascii="Palatino Linotype" w:hAnsi="Palatino Linotype"/>
                <w:sz w:val="20"/>
              </w:rPr>
            </w:pPr>
            <w:r w:rsidRPr="00AF6B95">
              <w:rPr>
                <w:rFonts w:ascii="Palatino Linotype" w:hAnsi="Palatino Linotype"/>
                <w:sz w:val="20"/>
              </w:rPr>
              <w:t>PV</w:t>
            </w:r>
          </w:p>
        </w:tc>
        <w:tc>
          <w:tcPr>
            <w:tcW w:w="8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FEF0E31" w14:textId="77777777" w:rsidR="00371419" w:rsidRPr="00D97438" w:rsidRDefault="00371419" w:rsidP="00D97438">
            <w:pPr>
              <w:jc w:val="center"/>
              <w:rPr>
                <w:rFonts w:ascii="Palatino Linotype" w:hAnsi="Palatino Linotype"/>
                <w:sz w:val="20"/>
              </w:rPr>
            </w:pPr>
            <w:r w:rsidRPr="00D97438">
              <w:rPr>
                <w:rFonts w:ascii="Palatino Linotype" w:hAnsi="Palatino Linotype"/>
                <w:sz w:val="20"/>
              </w:rPr>
              <w:t>New</w:t>
            </w:r>
          </w:p>
        </w:tc>
        <w:tc>
          <w:tcPr>
            <w:tcW w:w="72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1003D14" w14:textId="77777777" w:rsidR="00371419" w:rsidRPr="00D97438" w:rsidRDefault="00371419" w:rsidP="00D97438">
            <w:pPr>
              <w:jc w:val="center"/>
              <w:rPr>
                <w:rFonts w:ascii="Palatino Linotype" w:hAnsi="Palatino Linotype"/>
                <w:sz w:val="20"/>
              </w:rPr>
            </w:pPr>
            <w:r w:rsidRPr="00D97438">
              <w:rPr>
                <w:rFonts w:ascii="Palatino Linotype" w:hAnsi="Palatino Linotype"/>
                <w:sz w:val="20"/>
              </w:rPr>
              <w:t>20</w:t>
            </w:r>
          </w:p>
        </w:tc>
        <w:tc>
          <w:tcPr>
            <w:tcW w:w="8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133E27D" w14:textId="77777777" w:rsidR="00371419" w:rsidRPr="00371419" w:rsidRDefault="00371419" w:rsidP="00371419">
            <w:pPr>
              <w:jc w:val="center"/>
              <w:rPr>
                <w:rFonts w:ascii="Palatino Linotype" w:hAnsi="Palatino Linotype"/>
                <w:color w:val="000000"/>
                <w:sz w:val="20"/>
              </w:rPr>
            </w:pPr>
            <w:r w:rsidRPr="00371419">
              <w:rPr>
                <w:rFonts w:ascii="Palatino Linotype" w:hAnsi="Palatino Linotype"/>
                <w:color w:val="000000"/>
                <w:sz w:val="20"/>
              </w:rPr>
              <w:t>$121.88</w:t>
            </w:r>
          </w:p>
        </w:tc>
        <w:tc>
          <w:tcPr>
            <w:tcW w:w="11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E848E0E" w14:textId="77777777" w:rsidR="00371419" w:rsidRPr="00D97438" w:rsidRDefault="00371419" w:rsidP="00D97438">
            <w:pPr>
              <w:jc w:val="center"/>
              <w:rPr>
                <w:rFonts w:ascii="Palatino Linotype" w:hAnsi="Palatino Linotype"/>
                <w:sz w:val="20"/>
              </w:rPr>
            </w:pPr>
            <w:r w:rsidRPr="00D97438">
              <w:rPr>
                <w:rFonts w:ascii="Palatino Linotype" w:hAnsi="Palatino Linotype"/>
                <w:sz w:val="20"/>
              </w:rPr>
              <w:t>8/1/2013</w:t>
            </w:r>
          </w:p>
        </w:tc>
      </w:tr>
      <w:tr w:rsidR="00371419" w:rsidRPr="00D97438" w14:paraId="5DCB700D" w14:textId="77777777" w:rsidTr="00D97438">
        <w:trPr>
          <w:trHeight w:val="300"/>
        </w:trPr>
        <w:tc>
          <w:tcPr>
            <w:tcW w:w="252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E4B2890" w14:textId="77777777" w:rsidR="00371419" w:rsidRPr="00D97438" w:rsidRDefault="00371419">
            <w:pPr>
              <w:rPr>
                <w:rFonts w:ascii="Palatino Linotype" w:hAnsi="Palatino Linotype"/>
                <w:sz w:val="20"/>
              </w:rPr>
            </w:pPr>
            <w:r w:rsidRPr="00D97438">
              <w:rPr>
                <w:rFonts w:ascii="Palatino Linotype" w:hAnsi="Palatino Linotype"/>
                <w:sz w:val="20"/>
              </w:rPr>
              <w:t>Desert Hot Springs Solar 2</w:t>
            </w:r>
          </w:p>
        </w:tc>
        <w:tc>
          <w:tcPr>
            <w:tcW w:w="18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45FDE07" w14:textId="77777777" w:rsidR="00371419" w:rsidRPr="00D97438" w:rsidRDefault="00371419">
            <w:pPr>
              <w:rPr>
                <w:rFonts w:ascii="Palatino Linotype" w:hAnsi="Palatino Linotype"/>
                <w:sz w:val="20"/>
              </w:rPr>
            </w:pPr>
            <w:r w:rsidRPr="00D97438">
              <w:rPr>
                <w:rFonts w:ascii="Palatino Linotype" w:hAnsi="Palatino Linotype"/>
                <w:sz w:val="20"/>
              </w:rPr>
              <w:t>Aloha Systems, Inc</w:t>
            </w:r>
          </w:p>
        </w:tc>
        <w:tc>
          <w:tcPr>
            <w:tcW w:w="9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CD5717C" w14:textId="77777777" w:rsidR="00371419" w:rsidRPr="00D97438" w:rsidRDefault="00371419" w:rsidP="00D97438">
            <w:pPr>
              <w:jc w:val="center"/>
              <w:rPr>
                <w:rFonts w:ascii="Palatino Linotype" w:hAnsi="Palatino Linotype"/>
                <w:sz w:val="20"/>
              </w:rPr>
            </w:pPr>
            <w:r w:rsidRPr="00D97438">
              <w:rPr>
                <w:rFonts w:ascii="Palatino Linotype" w:hAnsi="Palatino Linotype"/>
                <w:sz w:val="20"/>
              </w:rPr>
              <w:t>1.5</w:t>
            </w:r>
          </w:p>
        </w:tc>
        <w:tc>
          <w:tcPr>
            <w:tcW w:w="11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36F6BB3" w14:textId="77777777" w:rsidR="00371419" w:rsidRPr="00D97438" w:rsidRDefault="00371419" w:rsidP="00D97438">
            <w:pPr>
              <w:jc w:val="center"/>
              <w:rPr>
                <w:rFonts w:ascii="Palatino Linotype" w:hAnsi="Palatino Linotype"/>
                <w:sz w:val="20"/>
              </w:rPr>
            </w:pPr>
            <w:r w:rsidRPr="00D97438">
              <w:rPr>
                <w:rFonts w:ascii="Palatino Linotype" w:hAnsi="Palatino Linotype"/>
                <w:sz w:val="20"/>
              </w:rPr>
              <w:t>3.7</w:t>
            </w:r>
          </w:p>
        </w:tc>
        <w:tc>
          <w:tcPr>
            <w:tcW w:w="72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4483A112" w14:textId="77777777" w:rsidR="00371419" w:rsidRPr="00D97438" w:rsidRDefault="00371419" w:rsidP="00D97438">
            <w:pPr>
              <w:jc w:val="center"/>
              <w:rPr>
                <w:rFonts w:ascii="Palatino Linotype" w:hAnsi="Palatino Linotype"/>
                <w:sz w:val="20"/>
              </w:rPr>
            </w:pPr>
            <w:r w:rsidRPr="00AF6B95">
              <w:rPr>
                <w:rFonts w:ascii="Palatino Linotype" w:hAnsi="Palatino Linotype"/>
                <w:sz w:val="20"/>
              </w:rPr>
              <w:t>PV</w:t>
            </w:r>
          </w:p>
        </w:tc>
        <w:tc>
          <w:tcPr>
            <w:tcW w:w="8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8C710BA" w14:textId="77777777" w:rsidR="00371419" w:rsidRPr="00D97438" w:rsidRDefault="00371419" w:rsidP="00D97438">
            <w:pPr>
              <w:jc w:val="center"/>
              <w:rPr>
                <w:rFonts w:ascii="Palatino Linotype" w:hAnsi="Palatino Linotype"/>
                <w:sz w:val="20"/>
              </w:rPr>
            </w:pPr>
            <w:r w:rsidRPr="00D97438">
              <w:rPr>
                <w:rFonts w:ascii="Palatino Linotype" w:hAnsi="Palatino Linotype"/>
                <w:sz w:val="20"/>
              </w:rPr>
              <w:t>New</w:t>
            </w:r>
          </w:p>
        </w:tc>
        <w:tc>
          <w:tcPr>
            <w:tcW w:w="72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7D9533C" w14:textId="77777777" w:rsidR="00371419" w:rsidRPr="00D97438" w:rsidRDefault="00371419" w:rsidP="00D97438">
            <w:pPr>
              <w:jc w:val="center"/>
              <w:rPr>
                <w:rFonts w:ascii="Palatino Linotype" w:hAnsi="Palatino Linotype"/>
                <w:sz w:val="20"/>
              </w:rPr>
            </w:pPr>
            <w:r w:rsidRPr="00D97438">
              <w:rPr>
                <w:rFonts w:ascii="Palatino Linotype" w:hAnsi="Palatino Linotype"/>
                <w:sz w:val="20"/>
              </w:rPr>
              <w:t>20</w:t>
            </w:r>
          </w:p>
        </w:tc>
        <w:tc>
          <w:tcPr>
            <w:tcW w:w="8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75B1052" w14:textId="77777777" w:rsidR="00371419" w:rsidRPr="00371419" w:rsidRDefault="00371419" w:rsidP="00371419">
            <w:pPr>
              <w:jc w:val="center"/>
              <w:rPr>
                <w:rFonts w:ascii="Palatino Linotype" w:hAnsi="Palatino Linotype"/>
                <w:color w:val="000000"/>
                <w:sz w:val="20"/>
              </w:rPr>
            </w:pPr>
            <w:r w:rsidRPr="00371419">
              <w:rPr>
                <w:rFonts w:ascii="Palatino Linotype" w:hAnsi="Palatino Linotype"/>
                <w:color w:val="000000"/>
                <w:sz w:val="20"/>
              </w:rPr>
              <w:t>$121.88</w:t>
            </w:r>
          </w:p>
        </w:tc>
        <w:tc>
          <w:tcPr>
            <w:tcW w:w="11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B8DE65F" w14:textId="77777777" w:rsidR="00371419" w:rsidRPr="00D97438" w:rsidRDefault="00371419" w:rsidP="00D97438">
            <w:pPr>
              <w:jc w:val="center"/>
              <w:rPr>
                <w:rFonts w:ascii="Palatino Linotype" w:hAnsi="Palatino Linotype"/>
                <w:sz w:val="20"/>
              </w:rPr>
            </w:pPr>
            <w:r w:rsidRPr="00D97438">
              <w:rPr>
                <w:rFonts w:ascii="Palatino Linotype" w:hAnsi="Palatino Linotype"/>
                <w:sz w:val="20"/>
              </w:rPr>
              <w:t>8/1/2013</w:t>
            </w:r>
          </w:p>
        </w:tc>
      </w:tr>
      <w:tr w:rsidR="00371419" w:rsidRPr="00D97438" w14:paraId="7400B65E" w14:textId="77777777" w:rsidTr="00D97438">
        <w:trPr>
          <w:trHeight w:val="300"/>
        </w:trPr>
        <w:tc>
          <w:tcPr>
            <w:tcW w:w="252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0967CA3" w14:textId="77777777" w:rsidR="00371419" w:rsidRPr="00D97438" w:rsidRDefault="00371419">
            <w:pPr>
              <w:rPr>
                <w:rFonts w:ascii="Palatino Linotype" w:hAnsi="Palatino Linotype"/>
                <w:sz w:val="20"/>
              </w:rPr>
            </w:pPr>
            <w:r w:rsidRPr="00D97438">
              <w:rPr>
                <w:rFonts w:ascii="Palatino Linotype" w:hAnsi="Palatino Linotype"/>
                <w:sz w:val="20"/>
              </w:rPr>
              <w:t>Madelyn Solar</w:t>
            </w:r>
          </w:p>
        </w:tc>
        <w:tc>
          <w:tcPr>
            <w:tcW w:w="18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83851DC" w14:textId="77777777" w:rsidR="00371419" w:rsidRPr="00D97438" w:rsidRDefault="00371419">
            <w:pPr>
              <w:rPr>
                <w:rFonts w:ascii="Palatino Linotype" w:hAnsi="Palatino Linotype"/>
                <w:sz w:val="20"/>
              </w:rPr>
            </w:pPr>
            <w:r w:rsidRPr="00D97438">
              <w:rPr>
                <w:rFonts w:ascii="Palatino Linotype" w:hAnsi="Palatino Linotype"/>
                <w:sz w:val="20"/>
              </w:rPr>
              <w:t>Sunlight Partners</w:t>
            </w:r>
          </w:p>
        </w:tc>
        <w:tc>
          <w:tcPr>
            <w:tcW w:w="9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3A913D3" w14:textId="77777777" w:rsidR="00371419" w:rsidRPr="00D97438" w:rsidRDefault="00371419" w:rsidP="00D97438">
            <w:pPr>
              <w:jc w:val="center"/>
              <w:rPr>
                <w:rFonts w:ascii="Palatino Linotype" w:hAnsi="Palatino Linotype"/>
                <w:sz w:val="20"/>
              </w:rPr>
            </w:pPr>
            <w:r w:rsidRPr="00D97438">
              <w:rPr>
                <w:rFonts w:ascii="Palatino Linotype" w:hAnsi="Palatino Linotype"/>
                <w:sz w:val="20"/>
              </w:rPr>
              <w:t>1.5</w:t>
            </w:r>
          </w:p>
        </w:tc>
        <w:tc>
          <w:tcPr>
            <w:tcW w:w="11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86A7A9E" w14:textId="77777777" w:rsidR="00371419" w:rsidRPr="00D97438" w:rsidRDefault="00371419" w:rsidP="00D97438">
            <w:pPr>
              <w:jc w:val="center"/>
              <w:rPr>
                <w:rFonts w:ascii="Palatino Linotype" w:hAnsi="Palatino Linotype"/>
                <w:sz w:val="20"/>
              </w:rPr>
            </w:pPr>
            <w:r w:rsidRPr="00D97438">
              <w:rPr>
                <w:rFonts w:ascii="Palatino Linotype" w:hAnsi="Palatino Linotype"/>
                <w:sz w:val="20"/>
              </w:rPr>
              <w:t>4.6</w:t>
            </w:r>
          </w:p>
        </w:tc>
        <w:tc>
          <w:tcPr>
            <w:tcW w:w="72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67EEC7B4" w14:textId="77777777" w:rsidR="00371419" w:rsidRPr="00D97438" w:rsidRDefault="00371419" w:rsidP="00D97438">
            <w:pPr>
              <w:jc w:val="center"/>
              <w:rPr>
                <w:rFonts w:ascii="Palatino Linotype" w:hAnsi="Palatino Linotype"/>
                <w:sz w:val="20"/>
              </w:rPr>
            </w:pPr>
            <w:r w:rsidRPr="00AF6B95">
              <w:rPr>
                <w:rFonts w:ascii="Palatino Linotype" w:hAnsi="Palatino Linotype"/>
                <w:sz w:val="20"/>
              </w:rPr>
              <w:t>PV</w:t>
            </w:r>
          </w:p>
        </w:tc>
        <w:tc>
          <w:tcPr>
            <w:tcW w:w="8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E702918" w14:textId="77777777" w:rsidR="00371419" w:rsidRPr="00D97438" w:rsidRDefault="00371419" w:rsidP="00D97438">
            <w:pPr>
              <w:jc w:val="center"/>
              <w:rPr>
                <w:rFonts w:ascii="Palatino Linotype" w:hAnsi="Palatino Linotype"/>
                <w:sz w:val="20"/>
              </w:rPr>
            </w:pPr>
            <w:r w:rsidRPr="00D97438">
              <w:rPr>
                <w:rFonts w:ascii="Palatino Linotype" w:hAnsi="Palatino Linotype"/>
                <w:sz w:val="20"/>
              </w:rPr>
              <w:t>New</w:t>
            </w:r>
          </w:p>
        </w:tc>
        <w:tc>
          <w:tcPr>
            <w:tcW w:w="72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FE55C5A" w14:textId="77777777" w:rsidR="00371419" w:rsidRPr="00D97438" w:rsidRDefault="00371419" w:rsidP="00D97438">
            <w:pPr>
              <w:jc w:val="center"/>
              <w:rPr>
                <w:rFonts w:ascii="Palatino Linotype" w:hAnsi="Palatino Linotype"/>
                <w:sz w:val="20"/>
              </w:rPr>
            </w:pPr>
            <w:r w:rsidRPr="00D97438">
              <w:rPr>
                <w:rFonts w:ascii="Palatino Linotype" w:hAnsi="Palatino Linotype"/>
                <w:sz w:val="20"/>
              </w:rPr>
              <w:t>20</w:t>
            </w:r>
          </w:p>
        </w:tc>
        <w:tc>
          <w:tcPr>
            <w:tcW w:w="8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D14D258" w14:textId="77777777" w:rsidR="00371419" w:rsidRPr="00371419" w:rsidRDefault="00371419" w:rsidP="00371419">
            <w:pPr>
              <w:jc w:val="center"/>
              <w:rPr>
                <w:rFonts w:ascii="Palatino Linotype" w:hAnsi="Palatino Linotype"/>
                <w:color w:val="000000"/>
                <w:sz w:val="20"/>
              </w:rPr>
            </w:pPr>
            <w:r w:rsidRPr="00371419">
              <w:rPr>
                <w:rFonts w:ascii="Palatino Linotype" w:hAnsi="Palatino Linotype"/>
                <w:color w:val="000000"/>
                <w:sz w:val="20"/>
              </w:rPr>
              <w:t>$126.83</w:t>
            </w:r>
          </w:p>
        </w:tc>
        <w:tc>
          <w:tcPr>
            <w:tcW w:w="11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2D65828" w14:textId="77777777" w:rsidR="00371419" w:rsidRPr="00D97438" w:rsidRDefault="00371419" w:rsidP="00D97438">
            <w:pPr>
              <w:jc w:val="center"/>
              <w:rPr>
                <w:rFonts w:ascii="Palatino Linotype" w:hAnsi="Palatino Linotype"/>
                <w:sz w:val="20"/>
              </w:rPr>
            </w:pPr>
            <w:r w:rsidRPr="00D97438">
              <w:rPr>
                <w:rFonts w:ascii="Palatino Linotype" w:hAnsi="Palatino Linotype"/>
                <w:sz w:val="20"/>
              </w:rPr>
              <w:t>1/15/2014</w:t>
            </w:r>
          </w:p>
        </w:tc>
      </w:tr>
      <w:tr w:rsidR="00371419" w:rsidRPr="00D97438" w14:paraId="355F2083" w14:textId="77777777" w:rsidTr="00D97438">
        <w:trPr>
          <w:trHeight w:val="300"/>
        </w:trPr>
        <w:tc>
          <w:tcPr>
            <w:tcW w:w="252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A612B10" w14:textId="77777777" w:rsidR="00371419" w:rsidRPr="00D97438" w:rsidRDefault="00371419">
            <w:pPr>
              <w:rPr>
                <w:rFonts w:ascii="Palatino Linotype" w:hAnsi="Palatino Linotype"/>
                <w:sz w:val="20"/>
              </w:rPr>
            </w:pPr>
            <w:r w:rsidRPr="00D97438">
              <w:rPr>
                <w:rFonts w:ascii="Palatino Linotype" w:hAnsi="Palatino Linotype"/>
                <w:sz w:val="20"/>
              </w:rPr>
              <w:t>Rudy Solar</w:t>
            </w:r>
          </w:p>
        </w:tc>
        <w:tc>
          <w:tcPr>
            <w:tcW w:w="18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CBDD968" w14:textId="77777777" w:rsidR="00371419" w:rsidRPr="00D97438" w:rsidRDefault="00371419">
            <w:pPr>
              <w:rPr>
                <w:rFonts w:ascii="Palatino Linotype" w:hAnsi="Palatino Linotype"/>
                <w:sz w:val="20"/>
              </w:rPr>
            </w:pPr>
            <w:r w:rsidRPr="00D97438">
              <w:rPr>
                <w:rFonts w:ascii="Palatino Linotype" w:hAnsi="Palatino Linotype"/>
                <w:sz w:val="20"/>
              </w:rPr>
              <w:t>Sunlight Partners</w:t>
            </w:r>
          </w:p>
        </w:tc>
        <w:tc>
          <w:tcPr>
            <w:tcW w:w="9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A4A4764" w14:textId="77777777" w:rsidR="00371419" w:rsidRPr="00D97438" w:rsidRDefault="00371419" w:rsidP="00D97438">
            <w:pPr>
              <w:jc w:val="center"/>
              <w:rPr>
                <w:rFonts w:ascii="Palatino Linotype" w:hAnsi="Palatino Linotype"/>
                <w:sz w:val="20"/>
              </w:rPr>
            </w:pPr>
            <w:r w:rsidRPr="00D97438">
              <w:rPr>
                <w:rFonts w:ascii="Palatino Linotype" w:hAnsi="Palatino Linotype"/>
                <w:sz w:val="20"/>
              </w:rPr>
              <w:t>1.5</w:t>
            </w:r>
          </w:p>
        </w:tc>
        <w:tc>
          <w:tcPr>
            <w:tcW w:w="11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EA1B4A7" w14:textId="77777777" w:rsidR="00371419" w:rsidRPr="00D97438" w:rsidRDefault="00371419" w:rsidP="00D97438">
            <w:pPr>
              <w:jc w:val="center"/>
              <w:rPr>
                <w:rFonts w:ascii="Palatino Linotype" w:hAnsi="Palatino Linotype"/>
                <w:sz w:val="20"/>
              </w:rPr>
            </w:pPr>
            <w:r w:rsidRPr="00D97438">
              <w:rPr>
                <w:rFonts w:ascii="Palatino Linotype" w:hAnsi="Palatino Linotype"/>
                <w:sz w:val="20"/>
              </w:rPr>
              <w:t>4.6</w:t>
            </w:r>
          </w:p>
        </w:tc>
        <w:tc>
          <w:tcPr>
            <w:tcW w:w="72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6C9C1EBE" w14:textId="77777777" w:rsidR="00371419" w:rsidRPr="00D97438" w:rsidRDefault="00371419" w:rsidP="00D97438">
            <w:pPr>
              <w:jc w:val="center"/>
              <w:rPr>
                <w:rFonts w:ascii="Palatino Linotype" w:hAnsi="Palatino Linotype"/>
                <w:sz w:val="20"/>
              </w:rPr>
            </w:pPr>
            <w:r w:rsidRPr="00AF6B95">
              <w:rPr>
                <w:rFonts w:ascii="Palatino Linotype" w:hAnsi="Palatino Linotype"/>
                <w:sz w:val="20"/>
              </w:rPr>
              <w:t>PV</w:t>
            </w:r>
          </w:p>
        </w:tc>
        <w:tc>
          <w:tcPr>
            <w:tcW w:w="8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C544214" w14:textId="77777777" w:rsidR="00371419" w:rsidRPr="00D97438" w:rsidRDefault="00371419" w:rsidP="00D97438">
            <w:pPr>
              <w:jc w:val="center"/>
              <w:rPr>
                <w:rFonts w:ascii="Palatino Linotype" w:hAnsi="Palatino Linotype"/>
                <w:sz w:val="20"/>
              </w:rPr>
            </w:pPr>
            <w:r w:rsidRPr="00D97438">
              <w:rPr>
                <w:rFonts w:ascii="Palatino Linotype" w:hAnsi="Palatino Linotype"/>
                <w:sz w:val="20"/>
              </w:rPr>
              <w:t>New</w:t>
            </w:r>
          </w:p>
        </w:tc>
        <w:tc>
          <w:tcPr>
            <w:tcW w:w="72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777D80E" w14:textId="77777777" w:rsidR="00371419" w:rsidRPr="00D97438" w:rsidRDefault="00371419" w:rsidP="00D97438">
            <w:pPr>
              <w:jc w:val="center"/>
              <w:rPr>
                <w:rFonts w:ascii="Palatino Linotype" w:hAnsi="Palatino Linotype"/>
                <w:sz w:val="20"/>
              </w:rPr>
            </w:pPr>
            <w:r w:rsidRPr="00D97438">
              <w:rPr>
                <w:rFonts w:ascii="Palatino Linotype" w:hAnsi="Palatino Linotype"/>
                <w:sz w:val="20"/>
              </w:rPr>
              <w:t>20</w:t>
            </w:r>
          </w:p>
        </w:tc>
        <w:tc>
          <w:tcPr>
            <w:tcW w:w="8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BA83BF3" w14:textId="77777777" w:rsidR="00371419" w:rsidRPr="00371419" w:rsidRDefault="00371419" w:rsidP="00371419">
            <w:pPr>
              <w:jc w:val="center"/>
              <w:rPr>
                <w:rFonts w:ascii="Palatino Linotype" w:hAnsi="Palatino Linotype"/>
                <w:color w:val="000000"/>
                <w:sz w:val="20"/>
              </w:rPr>
            </w:pPr>
            <w:r w:rsidRPr="00371419">
              <w:rPr>
                <w:rFonts w:ascii="Palatino Linotype" w:hAnsi="Palatino Linotype"/>
                <w:color w:val="000000"/>
                <w:sz w:val="20"/>
              </w:rPr>
              <w:t>$126.83</w:t>
            </w:r>
          </w:p>
        </w:tc>
        <w:tc>
          <w:tcPr>
            <w:tcW w:w="11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01088DC" w14:textId="77777777" w:rsidR="00371419" w:rsidRPr="00D97438" w:rsidRDefault="00371419" w:rsidP="00D97438">
            <w:pPr>
              <w:jc w:val="center"/>
              <w:rPr>
                <w:rFonts w:ascii="Palatino Linotype" w:hAnsi="Palatino Linotype"/>
                <w:sz w:val="20"/>
              </w:rPr>
            </w:pPr>
            <w:r w:rsidRPr="00D97438">
              <w:rPr>
                <w:rFonts w:ascii="Palatino Linotype" w:hAnsi="Palatino Linotype"/>
                <w:sz w:val="20"/>
              </w:rPr>
              <w:t>1/15/2014</w:t>
            </w:r>
          </w:p>
        </w:tc>
      </w:tr>
      <w:tr w:rsidR="00371419" w:rsidRPr="00D97438" w14:paraId="3AB5E9D3" w14:textId="77777777" w:rsidTr="00D97438">
        <w:trPr>
          <w:trHeight w:val="300"/>
        </w:trPr>
        <w:tc>
          <w:tcPr>
            <w:tcW w:w="252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D6F0B19" w14:textId="77777777" w:rsidR="00371419" w:rsidRPr="00D97438" w:rsidRDefault="00371419">
            <w:pPr>
              <w:rPr>
                <w:rFonts w:ascii="Palatino Linotype" w:hAnsi="Palatino Linotype"/>
                <w:sz w:val="20"/>
              </w:rPr>
            </w:pPr>
            <w:r w:rsidRPr="00D97438">
              <w:rPr>
                <w:rFonts w:ascii="Palatino Linotype" w:hAnsi="Palatino Linotype"/>
                <w:sz w:val="20"/>
              </w:rPr>
              <w:t>Jimmy Solar</w:t>
            </w:r>
          </w:p>
        </w:tc>
        <w:tc>
          <w:tcPr>
            <w:tcW w:w="18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80978D3" w14:textId="77777777" w:rsidR="00371419" w:rsidRPr="00D97438" w:rsidRDefault="00371419">
            <w:pPr>
              <w:rPr>
                <w:rFonts w:ascii="Palatino Linotype" w:hAnsi="Palatino Linotype"/>
                <w:sz w:val="20"/>
              </w:rPr>
            </w:pPr>
            <w:r w:rsidRPr="00D97438">
              <w:rPr>
                <w:rFonts w:ascii="Palatino Linotype" w:hAnsi="Palatino Linotype"/>
                <w:sz w:val="20"/>
              </w:rPr>
              <w:t>Sunlight Partners</w:t>
            </w:r>
          </w:p>
        </w:tc>
        <w:tc>
          <w:tcPr>
            <w:tcW w:w="9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E6D2014" w14:textId="77777777" w:rsidR="00371419" w:rsidRPr="00D97438" w:rsidRDefault="00371419" w:rsidP="00D97438">
            <w:pPr>
              <w:jc w:val="center"/>
              <w:rPr>
                <w:rFonts w:ascii="Palatino Linotype" w:hAnsi="Palatino Linotype"/>
                <w:sz w:val="20"/>
              </w:rPr>
            </w:pPr>
            <w:r w:rsidRPr="00D97438">
              <w:rPr>
                <w:rFonts w:ascii="Palatino Linotype" w:hAnsi="Palatino Linotype"/>
                <w:sz w:val="20"/>
              </w:rPr>
              <w:t>1.5</w:t>
            </w:r>
          </w:p>
        </w:tc>
        <w:tc>
          <w:tcPr>
            <w:tcW w:w="11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B74688C" w14:textId="77777777" w:rsidR="00371419" w:rsidRPr="00D97438" w:rsidRDefault="00371419" w:rsidP="00D97438">
            <w:pPr>
              <w:jc w:val="center"/>
              <w:rPr>
                <w:rFonts w:ascii="Palatino Linotype" w:hAnsi="Palatino Linotype"/>
                <w:sz w:val="20"/>
              </w:rPr>
            </w:pPr>
            <w:r w:rsidRPr="00D97438">
              <w:rPr>
                <w:rFonts w:ascii="Palatino Linotype" w:hAnsi="Palatino Linotype"/>
                <w:sz w:val="20"/>
              </w:rPr>
              <w:t>4.6</w:t>
            </w:r>
          </w:p>
        </w:tc>
        <w:tc>
          <w:tcPr>
            <w:tcW w:w="72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2BDB8F10" w14:textId="77777777" w:rsidR="00371419" w:rsidRPr="00D97438" w:rsidRDefault="00371419" w:rsidP="00D97438">
            <w:pPr>
              <w:jc w:val="center"/>
              <w:rPr>
                <w:rFonts w:ascii="Palatino Linotype" w:hAnsi="Palatino Linotype"/>
                <w:sz w:val="20"/>
              </w:rPr>
            </w:pPr>
            <w:r w:rsidRPr="00AF6B95">
              <w:rPr>
                <w:rFonts w:ascii="Palatino Linotype" w:hAnsi="Palatino Linotype"/>
                <w:sz w:val="20"/>
              </w:rPr>
              <w:t>PV</w:t>
            </w:r>
          </w:p>
        </w:tc>
        <w:tc>
          <w:tcPr>
            <w:tcW w:w="8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10C283D" w14:textId="77777777" w:rsidR="00371419" w:rsidRPr="00D97438" w:rsidRDefault="00371419" w:rsidP="00D97438">
            <w:pPr>
              <w:jc w:val="center"/>
              <w:rPr>
                <w:rFonts w:ascii="Palatino Linotype" w:hAnsi="Palatino Linotype"/>
                <w:sz w:val="20"/>
              </w:rPr>
            </w:pPr>
            <w:r w:rsidRPr="00D97438">
              <w:rPr>
                <w:rFonts w:ascii="Palatino Linotype" w:hAnsi="Palatino Linotype"/>
                <w:sz w:val="20"/>
              </w:rPr>
              <w:t>New</w:t>
            </w:r>
          </w:p>
        </w:tc>
        <w:tc>
          <w:tcPr>
            <w:tcW w:w="72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A707450" w14:textId="77777777" w:rsidR="00371419" w:rsidRPr="00D97438" w:rsidRDefault="00371419" w:rsidP="00D97438">
            <w:pPr>
              <w:jc w:val="center"/>
              <w:rPr>
                <w:rFonts w:ascii="Palatino Linotype" w:hAnsi="Palatino Linotype"/>
                <w:sz w:val="20"/>
              </w:rPr>
            </w:pPr>
            <w:r w:rsidRPr="00D97438">
              <w:rPr>
                <w:rFonts w:ascii="Palatino Linotype" w:hAnsi="Palatino Linotype"/>
                <w:sz w:val="20"/>
              </w:rPr>
              <w:t>20</w:t>
            </w:r>
          </w:p>
        </w:tc>
        <w:tc>
          <w:tcPr>
            <w:tcW w:w="8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72B1E31" w14:textId="77777777" w:rsidR="00371419" w:rsidRPr="00371419" w:rsidRDefault="00371419" w:rsidP="00371419">
            <w:pPr>
              <w:jc w:val="center"/>
              <w:rPr>
                <w:rFonts w:ascii="Palatino Linotype" w:hAnsi="Palatino Linotype"/>
                <w:color w:val="000000"/>
                <w:sz w:val="20"/>
              </w:rPr>
            </w:pPr>
            <w:r w:rsidRPr="00371419">
              <w:rPr>
                <w:rFonts w:ascii="Palatino Linotype" w:hAnsi="Palatino Linotype"/>
                <w:color w:val="000000"/>
                <w:sz w:val="20"/>
              </w:rPr>
              <w:t>$126.83</w:t>
            </w:r>
          </w:p>
        </w:tc>
        <w:tc>
          <w:tcPr>
            <w:tcW w:w="11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C3224AD" w14:textId="77777777" w:rsidR="00371419" w:rsidRPr="00D97438" w:rsidRDefault="00371419" w:rsidP="00D97438">
            <w:pPr>
              <w:jc w:val="center"/>
              <w:rPr>
                <w:rFonts w:ascii="Palatino Linotype" w:hAnsi="Palatino Linotype"/>
                <w:sz w:val="20"/>
              </w:rPr>
            </w:pPr>
            <w:r w:rsidRPr="00D97438">
              <w:rPr>
                <w:rFonts w:ascii="Palatino Linotype" w:hAnsi="Palatino Linotype"/>
                <w:sz w:val="20"/>
              </w:rPr>
              <w:t>4/15/2014</w:t>
            </w:r>
          </w:p>
        </w:tc>
      </w:tr>
      <w:tr w:rsidR="00371419" w:rsidRPr="00D97438" w14:paraId="71E2F52F" w14:textId="77777777" w:rsidTr="00D97438">
        <w:trPr>
          <w:trHeight w:val="300"/>
        </w:trPr>
        <w:tc>
          <w:tcPr>
            <w:tcW w:w="252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FD8097C" w14:textId="77777777" w:rsidR="00371419" w:rsidRPr="00D97438" w:rsidRDefault="00371419">
            <w:pPr>
              <w:rPr>
                <w:rFonts w:ascii="Palatino Linotype" w:hAnsi="Palatino Linotype"/>
                <w:sz w:val="20"/>
              </w:rPr>
            </w:pPr>
            <w:r w:rsidRPr="00D97438">
              <w:rPr>
                <w:rFonts w:ascii="Palatino Linotype" w:hAnsi="Palatino Linotype"/>
                <w:sz w:val="20"/>
              </w:rPr>
              <w:t>Mitchell Solar</w:t>
            </w:r>
          </w:p>
        </w:tc>
        <w:tc>
          <w:tcPr>
            <w:tcW w:w="18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DF0BEFA" w14:textId="77777777" w:rsidR="00371419" w:rsidRPr="00D97438" w:rsidRDefault="00371419">
            <w:pPr>
              <w:rPr>
                <w:rFonts w:ascii="Palatino Linotype" w:hAnsi="Palatino Linotype"/>
                <w:sz w:val="20"/>
              </w:rPr>
            </w:pPr>
            <w:r w:rsidRPr="00D97438">
              <w:rPr>
                <w:rFonts w:ascii="Palatino Linotype" w:hAnsi="Palatino Linotype"/>
                <w:sz w:val="20"/>
              </w:rPr>
              <w:t>Sunlight Partners</w:t>
            </w:r>
          </w:p>
        </w:tc>
        <w:tc>
          <w:tcPr>
            <w:tcW w:w="9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7DB4A13" w14:textId="77777777" w:rsidR="00371419" w:rsidRPr="00D97438" w:rsidRDefault="00371419" w:rsidP="00D97438">
            <w:pPr>
              <w:jc w:val="center"/>
              <w:rPr>
                <w:rFonts w:ascii="Palatino Linotype" w:hAnsi="Palatino Linotype"/>
                <w:sz w:val="20"/>
              </w:rPr>
            </w:pPr>
            <w:r w:rsidRPr="00D97438">
              <w:rPr>
                <w:rFonts w:ascii="Palatino Linotype" w:hAnsi="Palatino Linotype"/>
                <w:sz w:val="20"/>
              </w:rPr>
              <w:t>1.5</w:t>
            </w:r>
          </w:p>
        </w:tc>
        <w:tc>
          <w:tcPr>
            <w:tcW w:w="11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2B578CC" w14:textId="77777777" w:rsidR="00371419" w:rsidRPr="00D97438" w:rsidRDefault="00371419" w:rsidP="00D97438">
            <w:pPr>
              <w:jc w:val="center"/>
              <w:rPr>
                <w:rFonts w:ascii="Palatino Linotype" w:hAnsi="Palatino Linotype"/>
                <w:sz w:val="20"/>
              </w:rPr>
            </w:pPr>
            <w:r w:rsidRPr="00D97438">
              <w:rPr>
                <w:rFonts w:ascii="Palatino Linotype" w:hAnsi="Palatino Linotype"/>
                <w:sz w:val="20"/>
              </w:rPr>
              <w:t>4.6</w:t>
            </w:r>
          </w:p>
        </w:tc>
        <w:tc>
          <w:tcPr>
            <w:tcW w:w="72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26E7DEF0" w14:textId="77777777" w:rsidR="00371419" w:rsidRPr="00D97438" w:rsidRDefault="00371419" w:rsidP="00D97438">
            <w:pPr>
              <w:jc w:val="center"/>
              <w:rPr>
                <w:rFonts w:ascii="Palatino Linotype" w:hAnsi="Palatino Linotype"/>
                <w:sz w:val="20"/>
              </w:rPr>
            </w:pPr>
            <w:r w:rsidRPr="00AF6B95">
              <w:rPr>
                <w:rFonts w:ascii="Palatino Linotype" w:hAnsi="Palatino Linotype"/>
                <w:sz w:val="20"/>
              </w:rPr>
              <w:t>PV</w:t>
            </w:r>
          </w:p>
        </w:tc>
        <w:tc>
          <w:tcPr>
            <w:tcW w:w="8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86052D7" w14:textId="77777777" w:rsidR="00371419" w:rsidRPr="00D97438" w:rsidRDefault="00371419" w:rsidP="00D97438">
            <w:pPr>
              <w:jc w:val="center"/>
              <w:rPr>
                <w:rFonts w:ascii="Palatino Linotype" w:hAnsi="Palatino Linotype"/>
                <w:sz w:val="20"/>
              </w:rPr>
            </w:pPr>
            <w:r w:rsidRPr="00D97438">
              <w:rPr>
                <w:rFonts w:ascii="Palatino Linotype" w:hAnsi="Palatino Linotype"/>
                <w:sz w:val="20"/>
              </w:rPr>
              <w:t>New</w:t>
            </w:r>
          </w:p>
        </w:tc>
        <w:tc>
          <w:tcPr>
            <w:tcW w:w="72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256B7AF" w14:textId="77777777" w:rsidR="00371419" w:rsidRPr="00D97438" w:rsidRDefault="00371419" w:rsidP="00D97438">
            <w:pPr>
              <w:jc w:val="center"/>
              <w:rPr>
                <w:rFonts w:ascii="Palatino Linotype" w:hAnsi="Palatino Linotype"/>
                <w:sz w:val="20"/>
              </w:rPr>
            </w:pPr>
            <w:r w:rsidRPr="00D97438">
              <w:rPr>
                <w:rFonts w:ascii="Palatino Linotype" w:hAnsi="Palatino Linotype"/>
                <w:sz w:val="20"/>
              </w:rPr>
              <w:t>20</w:t>
            </w:r>
          </w:p>
        </w:tc>
        <w:tc>
          <w:tcPr>
            <w:tcW w:w="8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3D1632F" w14:textId="77777777" w:rsidR="00371419" w:rsidRPr="00371419" w:rsidRDefault="00371419" w:rsidP="00371419">
            <w:pPr>
              <w:jc w:val="center"/>
              <w:rPr>
                <w:rFonts w:ascii="Palatino Linotype" w:hAnsi="Palatino Linotype"/>
                <w:color w:val="000000"/>
                <w:sz w:val="20"/>
              </w:rPr>
            </w:pPr>
            <w:r w:rsidRPr="00371419">
              <w:rPr>
                <w:rFonts w:ascii="Palatino Linotype" w:hAnsi="Palatino Linotype"/>
                <w:color w:val="000000"/>
                <w:sz w:val="20"/>
              </w:rPr>
              <w:t>$126.83</w:t>
            </w:r>
          </w:p>
        </w:tc>
        <w:tc>
          <w:tcPr>
            <w:tcW w:w="11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2D6B4CD" w14:textId="77777777" w:rsidR="00371419" w:rsidRPr="00D97438" w:rsidRDefault="00371419" w:rsidP="00D97438">
            <w:pPr>
              <w:jc w:val="center"/>
              <w:rPr>
                <w:rFonts w:ascii="Palatino Linotype" w:hAnsi="Palatino Linotype"/>
                <w:sz w:val="20"/>
              </w:rPr>
            </w:pPr>
            <w:r w:rsidRPr="00D97438">
              <w:rPr>
                <w:rFonts w:ascii="Palatino Linotype" w:hAnsi="Palatino Linotype"/>
                <w:sz w:val="20"/>
              </w:rPr>
              <w:t>1/15/2014</w:t>
            </w:r>
          </w:p>
        </w:tc>
      </w:tr>
      <w:tr w:rsidR="00371419" w:rsidRPr="00D97438" w14:paraId="06C93357" w14:textId="77777777" w:rsidTr="00D97438">
        <w:trPr>
          <w:trHeight w:val="300"/>
        </w:trPr>
        <w:tc>
          <w:tcPr>
            <w:tcW w:w="252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AE50EAD" w14:textId="77777777" w:rsidR="00371419" w:rsidRPr="00D97438" w:rsidRDefault="00371419">
            <w:pPr>
              <w:rPr>
                <w:rFonts w:ascii="Palatino Linotype" w:hAnsi="Palatino Linotype"/>
                <w:sz w:val="20"/>
              </w:rPr>
            </w:pPr>
            <w:r w:rsidRPr="00D97438">
              <w:rPr>
                <w:rFonts w:ascii="Palatino Linotype" w:hAnsi="Palatino Linotype"/>
                <w:sz w:val="20"/>
              </w:rPr>
              <w:t>Joshua Tee East 1</w:t>
            </w:r>
          </w:p>
        </w:tc>
        <w:tc>
          <w:tcPr>
            <w:tcW w:w="18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070CD67" w14:textId="77777777" w:rsidR="00371419" w:rsidRPr="00D97438" w:rsidRDefault="00371419">
            <w:pPr>
              <w:rPr>
                <w:rFonts w:ascii="Palatino Linotype" w:hAnsi="Palatino Linotype"/>
                <w:sz w:val="20"/>
              </w:rPr>
            </w:pPr>
            <w:r w:rsidRPr="00D97438">
              <w:rPr>
                <w:rFonts w:ascii="Palatino Linotype" w:hAnsi="Palatino Linotype"/>
                <w:sz w:val="20"/>
              </w:rPr>
              <w:t>Belectric/Coronus</w:t>
            </w:r>
          </w:p>
        </w:tc>
        <w:tc>
          <w:tcPr>
            <w:tcW w:w="9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284B7FD" w14:textId="77777777" w:rsidR="00371419" w:rsidRPr="00D97438" w:rsidRDefault="00371419" w:rsidP="00D97438">
            <w:pPr>
              <w:jc w:val="center"/>
              <w:rPr>
                <w:rFonts w:ascii="Palatino Linotype" w:hAnsi="Palatino Linotype"/>
                <w:sz w:val="20"/>
              </w:rPr>
            </w:pPr>
            <w:r w:rsidRPr="00D97438">
              <w:rPr>
                <w:rFonts w:ascii="Palatino Linotype" w:hAnsi="Palatino Linotype"/>
                <w:sz w:val="20"/>
              </w:rPr>
              <w:t>1.5</w:t>
            </w:r>
          </w:p>
        </w:tc>
        <w:tc>
          <w:tcPr>
            <w:tcW w:w="11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893615D" w14:textId="77777777" w:rsidR="00371419" w:rsidRPr="00D97438" w:rsidRDefault="00371419" w:rsidP="00D97438">
            <w:pPr>
              <w:jc w:val="center"/>
              <w:rPr>
                <w:rFonts w:ascii="Palatino Linotype" w:hAnsi="Palatino Linotype"/>
                <w:sz w:val="20"/>
              </w:rPr>
            </w:pPr>
            <w:r w:rsidRPr="00D97438">
              <w:rPr>
                <w:rFonts w:ascii="Palatino Linotype" w:hAnsi="Palatino Linotype"/>
                <w:sz w:val="20"/>
              </w:rPr>
              <w:t>3.6</w:t>
            </w:r>
          </w:p>
        </w:tc>
        <w:tc>
          <w:tcPr>
            <w:tcW w:w="72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790B21BF" w14:textId="77777777" w:rsidR="00371419" w:rsidRPr="00D97438" w:rsidRDefault="00371419" w:rsidP="00D97438">
            <w:pPr>
              <w:jc w:val="center"/>
              <w:rPr>
                <w:rFonts w:ascii="Palatino Linotype" w:hAnsi="Palatino Linotype"/>
                <w:sz w:val="20"/>
              </w:rPr>
            </w:pPr>
            <w:r w:rsidRPr="00AF6B95">
              <w:rPr>
                <w:rFonts w:ascii="Palatino Linotype" w:hAnsi="Palatino Linotype"/>
                <w:sz w:val="20"/>
              </w:rPr>
              <w:t>PV</w:t>
            </w:r>
          </w:p>
        </w:tc>
        <w:tc>
          <w:tcPr>
            <w:tcW w:w="8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B1A8AFB" w14:textId="77777777" w:rsidR="00371419" w:rsidRPr="00D97438" w:rsidRDefault="00371419" w:rsidP="00D97438">
            <w:pPr>
              <w:jc w:val="center"/>
              <w:rPr>
                <w:rFonts w:ascii="Palatino Linotype" w:hAnsi="Palatino Linotype"/>
                <w:sz w:val="20"/>
              </w:rPr>
            </w:pPr>
            <w:r w:rsidRPr="00D97438">
              <w:rPr>
                <w:rFonts w:ascii="Palatino Linotype" w:hAnsi="Palatino Linotype"/>
                <w:sz w:val="20"/>
              </w:rPr>
              <w:t>New</w:t>
            </w:r>
          </w:p>
        </w:tc>
        <w:tc>
          <w:tcPr>
            <w:tcW w:w="72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4529CEC" w14:textId="77777777" w:rsidR="00371419" w:rsidRPr="00D97438" w:rsidRDefault="00371419" w:rsidP="00D97438">
            <w:pPr>
              <w:jc w:val="center"/>
              <w:rPr>
                <w:rFonts w:ascii="Palatino Linotype" w:hAnsi="Palatino Linotype"/>
                <w:sz w:val="20"/>
              </w:rPr>
            </w:pPr>
            <w:r w:rsidRPr="00D97438">
              <w:rPr>
                <w:rFonts w:ascii="Palatino Linotype" w:hAnsi="Palatino Linotype"/>
                <w:sz w:val="20"/>
              </w:rPr>
              <w:t>20</w:t>
            </w:r>
          </w:p>
        </w:tc>
        <w:tc>
          <w:tcPr>
            <w:tcW w:w="8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05AC620" w14:textId="77777777" w:rsidR="00371419" w:rsidRPr="00371419" w:rsidRDefault="00371419" w:rsidP="00371419">
            <w:pPr>
              <w:jc w:val="center"/>
              <w:rPr>
                <w:rFonts w:ascii="Palatino Linotype" w:hAnsi="Palatino Linotype"/>
                <w:color w:val="000000"/>
                <w:sz w:val="20"/>
              </w:rPr>
            </w:pPr>
            <w:r w:rsidRPr="00371419">
              <w:rPr>
                <w:rFonts w:ascii="Palatino Linotype" w:hAnsi="Palatino Linotype"/>
                <w:color w:val="000000"/>
                <w:sz w:val="20"/>
              </w:rPr>
              <w:t>$121.88</w:t>
            </w:r>
          </w:p>
        </w:tc>
        <w:tc>
          <w:tcPr>
            <w:tcW w:w="11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56FA2E6" w14:textId="77777777" w:rsidR="00371419" w:rsidRPr="00D97438" w:rsidRDefault="00371419" w:rsidP="00D97438">
            <w:pPr>
              <w:jc w:val="center"/>
              <w:rPr>
                <w:rFonts w:ascii="Palatino Linotype" w:hAnsi="Palatino Linotype"/>
                <w:sz w:val="20"/>
              </w:rPr>
            </w:pPr>
            <w:r w:rsidRPr="00D97438">
              <w:rPr>
                <w:rFonts w:ascii="Palatino Linotype" w:hAnsi="Palatino Linotype"/>
                <w:sz w:val="20"/>
              </w:rPr>
              <w:t>12/15/2013</w:t>
            </w:r>
          </w:p>
        </w:tc>
      </w:tr>
      <w:tr w:rsidR="00371419" w:rsidRPr="00D97438" w14:paraId="208EA569" w14:textId="77777777" w:rsidTr="00D97438">
        <w:trPr>
          <w:trHeight w:val="300"/>
        </w:trPr>
        <w:tc>
          <w:tcPr>
            <w:tcW w:w="252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FC345A7" w14:textId="77777777" w:rsidR="00371419" w:rsidRPr="00D97438" w:rsidRDefault="00371419">
            <w:pPr>
              <w:rPr>
                <w:rFonts w:ascii="Palatino Linotype" w:hAnsi="Palatino Linotype"/>
                <w:sz w:val="20"/>
              </w:rPr>
            </w:pPr>
            <w:r w:rsidRPr="00D97438">
              <w:rPr>
                <w:rFonts w:ascii="Palatino Linotype" w:hAnsi="Palatino Linotype"/>
                <w:sz w:val="20"/>
              </w:rPr>
              <w:t>Joshua Tee East 2</w:t>
            </w:r>
          </w:p>
        </w:tc>
        <w:tc>
          <w:tcPr>
            <w:tcW w:w="18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1540896" w14:textId="77777777" w:rsidR="00371419" w:rsidRPr="00D97438" w:rsidRDefault="00371419">
            <w:pPr>
              <w:rPr>
                <w:rFonts w:ascii="Palatino Linotype" w:hAnsi="Palatino Linotype"/>
                <w:sz w:val="20"/>
              </w:rPr>
            </w:pPr>
            <w:r w:rsidRPr="00D97438">
              <w:rPr>
                <w:rFonts w:ascii="Palatino Linotype" w:hAnsi="Palatino Linotype"/>
                <w:sz w:val="20"/>
              </w:rPr>
              <w:t>Belectric/Coronus</w:t>
            </w:r>
          </w:p>
        </w:tc>
        <w:tc>
          <w:tcPr>
            <w:tcW w:w="9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FDA3223" w14:textId="77777777" w:rsidR="00371419" w:rsidRPr="00D97438" w:rsidRDefault="00371419" w:rsidP="00D97438">
            <w:pPr>
              <w:jc w:val="center"/>
              <w:rPr>
                <w:rFonts w:ascii="Palatino Linotype" w:hAnsi="Palatino Linotype"/>
                <w:sz w:val="20"/>
              </w:rPr>
            </w:pPr>
            <w:r w:rsidRPr="00D97438">
              <w:rPr>
                <w:rFonts w:ascii="Palatino Linotype" w:hAnsi="Palatino Linotype"/>
                <w:sz w:val="20"/>
              </w:rPr>
              <w:t>1.5</w:t>
            </w:r>
          </w:p>
        </w:tc>
        <w:tc>
          <w:tcPr>
            <w:tcW w:w="11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0C26C23" w14:textId="77777777" w:rsidR="00371419" w:rsidRPr="00D97438" w:rsidRDefault="00371419" w:rsidP="00D97438">
            <w:pPr>
              <w:jc w:val="center"/>
              <w:rPr>
                <w:rFonts w:ascii="Palatino Linotype" w:hAnsi="Palatino Linotype"/>
                <w:sz w:val="20"/>
              </w:rPr>
            </w:pPr>
            <w:r w:rsidRPr="00D97438">
              <w:rPr>
                <w:rFonts w:ascii="Palatino Linotype" w:hAnsi="Palatino Linotype"/>
                <w:sz w:val="20"/>
              </w:rPr>
              <w:t>3.6</w:t>
            </w:r>
          </w:p>
        </w:tc>
        <w:tc>
          <w:tcPr>
            <w:tcW w:w="72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6DBB6B7B" w14:textId="77777777" w:rsidR="00371419" w:rsidRPr="00D97438" w:rsidRDefault="00371419" w:rsidP="00D97438">
            <w:pPr>
              <w:jc w:val="center"/>
              <w:rPr>
                <w:rFonts w:ascii="Palatino Linotype" w:hAnsi="Palatino Linotype"/>
                <w:sz w:val="20"/>
              </w:rPr>
            </w:pPr>
            <w:r w:rsidRPr="00AF6B95">
              <w:rPr>
                <w:rFonts w:ascii="Palatino Linotype" w:hAnsi="Palatino Linotype"/>
                <w:sz w:val="20"/>
              </w:rPr>
              <w:t>PV</w:t>
            </w:r>
          </w:p>
        </w:tc>
        <w:tc>
          <w:tcPr>
            <w:tcW w:w="8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A1735C2" w14:textId="77777777" w:rsidR="00371419" w:rsidRPr="00D97438" w:rsidRDefault="00371419" w:rsidP="00D97438">
            <w:pPr>
              <w:jc w:val="center"/>
              <w:rPr>
                <w:rFonts w:ascii="Palatino Linotype" w:hAnsi="Palatino Linotype"/>
                <w:sz w:val="20"/>
              </w:rPr>
            </w:pPr>
            <w:r w:rsidRPr="00D97438">
              <w:rPr>
                <w:rFonts w:ascii="Palatino Linotype" w:hAnsi="Palatino Linotype"/>
                <w:sz w:val="20"/>
              </w:rPr>
              <w:t>New</w:t>
            </w:r>
          </w:p>
        </w:tc>
        <w:tc>
          <w:tcPr>
            <w:tcW w:w="72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77638DA" w14:textId="77777777" w:rsidR="00371419" w:rsidRPr="00D97438" w:rsidRDefault="00371419" w:rsidP="00D97438">
            <w:pPr>
              <w:jc w:val="center"/>
              <w:rPr>
                <w:rFonts w:ascii="Palatino Linotype" w:hAnsi="Palatino Linotype"/>
                <w:sz w:val="20"/>
              </w:rPr>
            </w:pPr>
            <w:r w:rsidRPr="00D97438">
              <w:rPr>
                <w:rFonts w:ascii="Palatino Linotype" w:hAnsi="Palatino Linotype"/>
                <w:sz w:val="20"/>
              </w:rPr>
              <w:t>20</w:t>
            </w:r>
          </w:p>
        </w:tc>
        <w:tc>
          <w:tcPr>
            <w:tcW w:w="8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D6FFA2F" w14:textId="77777777" w:rsidR="00371419" w:rsidRPr="00371419" w:rsidRDefault="00371419" w:rsidP="00371419">
            <w:pPr>
              <w:jc w:val="center"/>
              <w:rPr>
                <w:rFonts w:ascii="Palatino Linotype" w:hAnsi="Palatino Linotype"/>
                <w:color w:val="000000"/>
                <w:sz w:val="20"/>
              </w:rPr>
            </w:pPr>
            <w:r w:rsidRPr="00371419">
              <w:rPr>
                <w:rFonts w:ascii="Palatino Linotype" w:hAnsi="Palatino Linotype"/>
                <w:color w:val="000000"/>
                <w:sz w:val="20"/>
              </w:rPr>
              <w:t>$121.88</w:t>
            </w:r>
          </w:p>
        </w:tc>
        <w:tc>
          <w:tcPr>
            <w:tcW w:w="11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BDDA1A3" w14:textId="77777777" w:rsidR="00371419" w:rsidRPr="00D97438" w:rsidRDefault="00371419" w:rsidP="00D97438">
            <w:pPr>
              <w:jc w:val="center"/>
              <w:rPr>
                <w:rFonts w:ascii="Palatino Linotype" w:hAnsi="Palatino Linotype"/>
                <w:sz w:val="20"/>
              </w:rPr>
            </w:pPr>
            <w:r w:rsidRPr="00D97438">
              <w:rPr>
                <w:rFonts w:ascii="Palatino Linotype" w:hAnsi="Palatino Linotype"/>
                <w:sz w:val="20"/>
              </w:rPr>
              <w:t>12/15/2013</w:t>
            </w:r>
          </w:p>
        </w:tc>
      </w:tr>
      <w:tr w:rsidR="00371419" w:rsidRPr="00D97438" w14:paraId="0491CB12" w14:textId="77777777" w:rsidTr="00D97438">
        <w:trPr>
          <w:trHeight w:val="300"/>
        </w:trPr>
        <w:tc>
          <w:tcPr>
            <w:tcW w:w="252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B6C73A8" w14:textId="77777777" w:rsidR="00371419" w:rsidRPr="00D97438" w:rsidRDefault="00371419">
            <w:pPr>
              <w:rPr>
                <w:rFonts w:ascii="Palatino Linotype" w:hAnsi="Palatino Linotype"/>
                <w:sz w:val="20"/>
              </w:rPr>
            </w:pPr>
            <w:r w:rsidRPr="00D97438">
              <w:rPr>
                <w:rFonts w:ascii="Palatino Linotype" w:hAnsi="Palatino Linotype"/>
                <w:sz w:val="20"/>
              </w:rPr>
              <w:t>Joshua Tee East 3</w:t>
            </w:r>
          </w:p>
        </w:tc>
        <w:tc>
          <w:tcPr>
            <w:tcW w:w="18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A9DA496" w14:textId="77777777" w:rsidR="00371419" w:rsidRPr="00D97438" w:rsidRDefault="00371419">
            <w:pPr>
              <w:rPr>
                <w:rFonts w:ascii="Palatino Linotype" w:hAnsi="Palatino Linotype"/>
                <w:sz w:val="20"/>
              </w:rPr>
            </w:pPr>
            <w:r w:rsidRPr="00D97438">
              <w:rPr>
                <w:rFonts w:ascii="Palatino Linotype" w:hAnsi="Palatino Linotype"/>
                <w:sz w:val="20"/>
              </w:rPr>
              <w:t>Belectric/Coronus</w:t>
            </w:r>
          </w:p>
        </w:tc>
        <w:tc>
          <w:tcPr>
            <w:tcW w:w="9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CBFDCF0" w14:textId="77777777" w:rsidR="00371419" w:rsidRPr="00D97438" w:rsidRDefault="00371419" w:rsidP="00D97438">
            <w:pPr>
              <w:jc w:val="center"/>
              <w:rPr>
                <w:rFonts w:ascii="Palatino Linotype" w:hAnsi="Palatino Linotype"/>
                <w:sz w:val="20"/>
              </w:rPr>
            </w:pPr>
            <w:r w:rsidRPr="00D97438">
              <w:rPr>
                <w:rFonts w:ascii="Palatino Linotype" w:hAnsi="Palatino Linotype"/>
                <w:sz w:val="20"/>
              </w:rPr>
              <w:t>1.5</w:t>
            </w:r>
          </w:p>
        </w:tc>
        <w:tc>
          <w:tcPr>
            <w:tcW w:w="11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78BEA35" w14:textId="77777777" w:rsidR="00371419" w:rsidRPr="00D97438" w:rsidRDefault="00371419" w:rsidP="00D97438">
            <w:pPr>
              <w:jc w:val="center"/>
              <w:rPr>
                <w:rFonts w:ascii="Palatino Linotype" w:hAnsi="Palatino Linotype"/>
                <w:sz w:val="20"/>
              </w:rPr>
            </w:pPr>
            <w:r w:rsidRPr="00D97438">
              <w:rPr>
                <w:rFonts w:ascii="Palatino Linotype" w:hAnsi="Palatino Linotype"/>
                <w:sz w:val="20"/>
              </w:rPr>
              <w:t>3.6</w:t>
            </w:r>
          </w:p>
        </w:tc>
        <w:tc>
          <w:tcPr>
            <w:tcW w:w="72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7DA4D93A" w14:textId="77777777" w:rsidR="00371419" w:rsidRPr="00D97438" w:rsidRDefault="00371419" w:rsidP="00D97438">
            <w:pPr>
              <w:jc w:val="center"/>
              <w:rPr>
                <w:rFonts w:ascii="Palatino Linotype" w:hAnsi="Palatino Linotype"/>
                <w:sz w:val="20"/>
              </w:rPr>
            </w:pPr>
            <w:r w:rsidRPr="00AF6B95">
              <w:rPr>
                <w:rFonts w:ascii="Palatino Linotype" w:hAnsi="Palatino Linotype"/>
                <w:sz w:val="20"/>
              </w:rPr>
              <w:t>PV</w:t>
            </w:r>
          </w:p>
        </w:tc>
        <w:tc>
          <w:tcPr>
            <w:tcW w:w="8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82E8E71" w14:textId="77777777" w:rsidR="00371419" w:rsidRPr="00D97438" w:rsidRDefault="00371419" w:rsidP="00D97438">
            <w:pPr>
              <w:jc w:val="center"/>
              <w:rPr>
                <w:rFonts w:ascii="Palatino Linotype" w:hAnsi="Palatino Linotype"/>
                <w:sz w:val="20"/>
              </w:rPr>
            </w:pPr>
            <w:r w:rsidRPr="00D97438">
              <w:rPr>
                <w:rFonts w:ascii="Palatino Linotype" w:hAnsi="Palatino Linotype"/>
                <w:sz w:val="20"/>
              </w:rPr>
              <w:t>New</w:t>
            </w:r>
          </w:p>
        </w:tc>
        <w:tc>
          <w:tcPr>
            <w:tcW w:w="72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D1B4F01" w14:textId="77777777" w:rsidR="00371419" w:rsidRPr="00D97438" w:rsidRDefault="00371419" w:rsidP="00D97438">
            <w:pPr>
              <w:jc w:val="center"/>
              <w:rPr>
                <w:rFonts w:ascii="Palatino Linotype" w:hAnsi="Palatino Linotype"/>
                <w:sz w:val="20"/>
              </w:rPr>
            </w:pPr>
            <w:r w:rsidRPr="00D97438">
              <w:rPr>
                <w:rFonts w:ascii="Palatino Linotype" w:hAnsi="Palatino Linotype"/>
                <w:sz w:val="20"/>
              </w:rPr>
              <w:t>20</w:t>
            </w:r>
          </w:p>
        </w:tc>
        <w:tc>
          <w:tcPr>
            <w:tcW w:w="8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BB2BDEB" w14:textId="77777777" w:rsidR="00371419" w:rsidRPr="00371419" w:rsidRDefault="00371419" w:rsidP="00371419">
            <w:pPr>
              <w:jc w:val="center"/>
              <w:rPr>
                <w:rFonts w:ascii="Palatino Linotype" w:hAnsi="Palatino Linotype"/>
                <w:color w:val="000000"/>
                <w:sz w:val="20"/>
              </w:rPr>
            </w:pPr>
            <w:r w:rsidRPr="00371419">
              <w:rPr>
                <w:rFonts w:ascii="Palatino Linotype" w:hAnsi="Palatino Linotype"/>
                <w:color w:val="000000"/>
                <w:sz w:val="20"/>
              </w:rPr>
              <w:t>$121.88</w:t>
            </w:r>
          </w:p>
        </w:tc>
        <w:tc>
          <w:tcPr>
            <w:tcW w:w="11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32CB112" w14:textId="77777777" w:rsidR="00371419" w:rsidRPr="00D97438" w:rsidRDefault="00371419" w:rsidP="00D97438">
            <w:pPr>
              <w:jc w:val="center"/>
              <w:rPr>
                <w:rFonts w:ascii="Palatino Linotype" w:hAnsi="Palatino Linotype"/>
                <w:sz w:val="20"/>
              </w:rPr>
            </w:pPr>
            <w:r w:rsidRPr="00D97438">
              <w:rPr>
                <w:rFonts w:ascii="Palatino Linotype" w:hAnsi="Palatino Linotype"/>
                <w:sz w:val="20"/>
              </w:rPr>
              <w:t>12/15/2013</w:t>
            </w:r>
          </w:p>
        </w:tc>
      </w:tr>
      <w:tr w:rsidR="00371419" w:rsidRPr="00D97438" w14:paraId="57151E73" w14:textId="77777777" w:rsidTr="00D97438">
        <w:trPr>
          <w:trHeight w:val="300"/>
        </w:trPr>
        <w:tc>
          <w:tcPr>
            <w:tcW w:w="252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828289C" w14:textId="77777777" w:rsidR="00371419" w:rsidRPr="00D97438" w:rsidRDefault="00371419">
            <w:pPr>
              <w:rPr>
                <w:rFonts w:ascii="Palatino Linotype" w:hAnsi="Palatino Linotype"/>
                <w:sz w:val="20"/>
              </w:rPr>
            </w:pPr>
            <w:r w:rsidRPr="00D97438">
              <w:rPr>
                <w:rFonts w:ascii="Palatino Linotype" w:hAnsi="Palatino Linotype"/>
                <w:sz w:val="20"/>
              </w:rPr>
              <w:lastRenderedPageBreak/>
              <w:t>Joshua Tee East 4</w:t>
            </w:r>
          </w:p>
        </w:tc>
        <w:tc>
          <w:tcPr>
            <w:tcW w:w="18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7AAD5EA" w14:textId="77777777" w:rsidR="00371419" w:rsidRPr="00D97438" w:rsidRDefault="00371419">
            <w:pPr>
              <w:rPr>
                <w:rFonts w:ascii="Palatino Linotype" w:hAnsi="Palatino Linotype"/>
                <w:sz w:val="20"/>
              </w:rPr>
            </w:pPr>
            <w:r w:rsidRPr="00D97438">
              <w:rPr>
                <w:rFonts w:ascii="Palatino Linotype" w:hAnsi="Palatino Linotype"/>
                <w:sz w:val="20"/>
              </w:rPr>
              <w:t>Belectric/Coronus</w:t>
            </w:r>
          </w:p>
        </w:tc>
        <w:tc>
          <w:tcPr>
            <w:tcW w:w="9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FDD6BC5" w14:textId="77777777" w:rsidR="00371419" w:rsidRPr="00D97438" w:rsidRDefault="00371419" w:rsidP="00D97438">
            <w:pPr>
              <w:jc w:val="center"/>
              <w:rPr>
                <w:rFonts w:ascii="Palatino Linotype" w:hAnsi="Palatino Linotype"/>
                <w:sz w:val="20"/>
              </w:rPr>
            </w:pPr>
            <w:r w:rsidRPr="00D97438">
              <w:rPr>
                <w:rFonts w:ascii="Palatino Linotype" w:hAnsi="Palatino Linotype"/>
                <w:sz w:val="20"/>
              </w:rPr>
              <w:t>1.5</w:t>
            </w:r>
          </w:p>
        </w:tc>
        <w:tc>
          <w:tcPr>
            <w:tcW w:w="11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C7C1E6A" w14:textId="77777777" w:rsidR="00371419" w:rsidRPr="00D97438" w:rsidRDefault="00371419" w:rsidP="00D97438">
            <w:pPr>
              <w:jc w:val="center"/>
              <w:rPr>
                <w:rFonts w:ascii="Palatino Linotype" w:hAnsi="Palatino Linotype"/>
                <w:sz w:val="20"/>
              </w:rPr>
            </w:pPr>
            <w:r w:rsidRPr="00D97438">
              <w:rPr>
                <w:rFonts w:ascii="Palatino Linotype" w:hAnsi="Palatino Linotype"/>
                <w:sz w:val="20"/>
              </w:rPr>
              <w:t>3.6</w:t>
            </w:r>
          </w:p>
        </w:tc>
        <w:tc>
          <w:tcPr>
            <w:tcW w:w="72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10A784AE" w14:textId="77777777" w:rsidR="00371419" w:rsidRPr="00D97438" w:rsidRDefault="00371419" w:rsidP="00D97438">
            <w:pPr>
              <w:jc w:val="center"/>
              <w:rPr>
                <w:rFonts w:ascii="Palatino Linotype" w:hAnsi="Palatino Linotype"/>
                <w:sz w:val="20"/>
              </w:rPr>
            </w:pPr>
            <w:r w:rsidRPr="00AF6B95">
              <w:rPr>
                <w:rFonts w:ascii="Palatino Linotype" w:hAnsi="Palatino Linotype"/>
                <w:sz w:val="20"/>
              </w:rPr>
              <w:t>PV</w:t>
            </w:r>
          </w:p>
        </w:tc>
        <w:tc>
          <w:tcPr>
            <w:tcW w:w="8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599B539" w14:textId="77777777" w:rsidR="00371419" w:rsidRPr="00D97438" w:rsidRDefault="00371419" w:rsidP="00D97438">
            <w:pPr>
              <w:jc w:val="center"/>
              <w:rPr>
                <w:rFonts w:ascii="Palatino Linotype" w:hAnsi="Palatino Linotype"/>
                <w:sz w:val="20"/>
              </w:rPr>
            </w:pPr>
            <w:r w:rsidRPr="00D97438">
              <w:rPr>
                <w:rFonts w:ascii="Palatino Linotype" w:hAnsi="Palatino Linotype"/>
                <w:sz w:val="20"/>
              </w:rPr>
              <w:t>New</w:t>
            </w:r>
          </w:p>
        </w:tc>
        <w:tc>
          <w:tcPr>
            <w:tcW w:w="72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4C9ED0C" w14:textId="77777777" w:rsidR="00371419" w:rsidRPr="00D97438" w:rsidRDefault="00371419" w:rsidP="00D97438">
            <w:pPr>
              <w:jc w:val="center"/>
              <w:rPr>
                <w:rFonts w:ascii="Palatino Linotype" w:hAnsi="Palatino Linotype"/>
                <w:sz w:val="20"/>
              </w:rPr>
            </w:pPr>
            <w:r w:rsidRPr="00D97438">
              <w:rPr>
                <w:rFonts w:ascii="Palatino Linotype" w:hAnsi="Palatino Linotype"/>
                <w:sz w:val="20"/>
              </w:rPr>
              <w:t>20</w:t>
            </w:r>
          </w:p>
        </w:tc>
        <w:tc>
          <w:tcPr>
            <w:tcW w:w="8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197DF0C" w14:textId="77777777" w:rsidR="00371419" w:rsidRPr="00371419" w:rsidRDefault="00371419" w:rsidP="00371419">
            <w:pPr>
              <w:jc w:val="center"/>
              <w:rPr>
                <w:rFonts w:ascii="Palatino Linotype" w:hAnsi="Palatino Linotype"/>
                <w:color w:val="000000"/>
                <w:sz w:val="20"/>
              </w:rPr>
            </w:pPr>
            <w:r w:rsidRPr="00371419">
              <w:rPr>
                <w:rFonts w:ascii="Palatino Linotype" w:hAnsi="Palatino Linotype"/>
                <w:color w:val="000000"/>
                <w:sz w:val="20"/>
              </w:rPr>
              <w:t>$121.88</w:t>
            </w:r>
          </w:p>
        </w:tc>
        <w:tc>
          <w:tcPr>
            <w:tcW w:w="11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A54823D" w14:textId="77777777" w:rsidR="00371419" w:rsidRPr="00D97438" w:rsidRDefault="00371419" w:rsidP="00D97438">
            <w:pPr>
              <w:jc w:val="center"/>
              <w:rPr>
                <w:rFonts w:ascii="Palatino Linotype" w:hAnsi="Palatino Linotype"/>
                <w:sz w:val="20"/>
              </w:rPr>
            </w:pPr>
            <w:r w:rsidRPr="00D97438">
              <w:rPr>
                <w:rFonts w:ascii="Palatino Linotype" w:hAnsi="Palatino Linotype"/>
                <w:sz w:val="20"/>
              </w:rPr>
              <w:t>12/15/2013</w:t>
            </w:r>
          </w:p>
        </w:tc>
      </w:tr>
      <w:tr w:rsidR="00371419" w:rsidRPr="00D97438" w14:paraId="2F76E87B" w14:textId="77777777" w:rsidTr="00D97438">
        <w:trPr>
          <w:trHeight w:val="300"/>
        </w:trPr>
        <w:tc>
          <w:tcPr>
            <w:tcW w:w="252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03E013C" w14:textId="77777777" w:rsidR="00371419" w:rsidRPr="00D97438" w:rsidRDefault="00371419">
            <w:pPr>
              <w:rPr>
                <w:rFonts w:ascii="Palatino Linotype" w:hAnsi="Palatino Linotype"/>
                <w:sz w:val="20"/>
              </w:rPr>
            </w:pPr>
            <w:r w:rsidRPr="00D97438">
              <w:rPr>
                <w:rFonts w:ascii="Palatino Linotype" w:hAnsi="Palatino Linotype"/>
                <w:sz w:val="20"/>
              </w:rPr>
              <w:t>Joshua Tee East 5</w:t>
            </w:r>
          </w:p>
        </w:tc>
        <w:tc>
          <w:tcPr>
            <w:tcW w:w="18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5C2445F" w14:textId="77777777" w:rsidR="00371419" w:rsidRPr="00D97438" w:rsidRDefault="00371419">
            <w:pPr>
              <w:rPr>
                <w:rFonts w:ascii="Palatino Linotype" w:hAnsi="Palatino Linotype"/>
                <w:sz w:val="20"/>
              </w:rPr>
            </w:pPr>
            <w:r w:rsidRPr="00D97438">
              <w:rPr>
                <w:rFonts w:ascii="Palatino Linotype" w:hAnsi="Palatino Linotype"/>
                <w:sz w:val="20"/>
              </w:rPr>
              <w:t>Belectric/Coronus</w:t>
            </w:r>
          </w:p>
        </w:tc>
        <w:tc>
          <w:tcPr>
            <w:tcW w:w="9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8C5C7BA" w14:textId="77777777" w:rsidR="00371419" w:rsidRPr="00D97438" w:rsidRDefault="00371419" w:rsidP="00D97438">
            <w:pPr>
              <w:jc w:val="center"/>
              <w:rPr>
                <w:rFonts w:ascii="Palatino Linotype" w:hAnsi="Palatino Linotype"/>
                <w:sz w:val="20"/>
              </w:rPr>
            </w:pPr>
            <w:r w:rsidRPr="00D97438">
              <w:rPr>
                <w:rFonts w:ascii="Palatino Linotype" w:hAnsi="Palatino Linotype"/>
                <w:sz w:val="20"/>
              </w:rPr>
              <w:t>1.5</w:t>
            </w:r>
          </w:p>
        </w:tc>
        <w:tc>
          <w:tcPr>
            <w:tcW w:w="11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68C14E4" w14:textId="77777777" w:rsidR="00371419" w:rsidRPr="00D97438" w:rsidRDefault="00371419" w:rsidP="00D97438">
            <w:pPr>
              <w:jc w:val="center"/>
              <w:rPr>
                <w:rFonts w:ascii="Palatino Linotype" w:hAnsi="Palatino Linotype"/>
                <w:sz w:val="20"/>
              </w:rPr>
            </w:pPr>
            <w:r w:rsidRPr="00D97438">
              <w:rPr>
                <w:rFonts w:ascii="Palatino Linotype" w:hAnsi="Palatino Linotype"/>
                <w:sz w:val="20"/>
              </w:rPr>
              <w:t>3.6</w:t>
            </w:r>
          </w:p>
        </w:tc>
        <w:tc>
          <w:tcPr>
            <w:tcW w:w="72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270A655E" w14:textId="77777777" w:rsidR="00371419" w:rsidRPr="00D97438" w:rsidRDefault="00371419" w:rsidP="00D97438">
            <w:pPr>
              <w:jc w:val="center"/>
              <w:rPr>
                <w:rFonts w:ascii="Palatino Linotype" w:hAnsi="Palatino Linotype"/>
                <w:sz w:val="20"/>
              </w:rPr>
            </w:pPr>
            <w:r w:rsidRPr="00AF6B95">
              <w:rPr>
                <w:rFonts w:ascii="Palatino Linotype" w:hAnsi="Palatino Linotype"/>
                <w:sz w:val="20"/>
              </w:rPr>
              <w:t>PV</w:t>
            </w:r>
          </w:p>
        </w:tc>
        <w:tc>
          <w:tcPr>
            <w:tcW w:w="8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4DF8843" w14:textId="77777777" w:rsidR="00371419" w:rsidRPr="00D97438" w:rsidRDefault="00371419" w:rsidP="00D97438">
            <w:pPr>
              <w:jc w:val="center"/>
              <w:rPr>
                <w:rFonts w:ascii="Palatino Linotype" w:hAnsi="Palatino Linotype"/>
                <w:sz w:val="20"/>
              </w:rPr>
            </w:pPr>
            <w:r w:rsidRPr="00D97438">
              <w:rPr>
                <w:rFonts w:ascii="Palatino Linotype" w:hAnsi="Palatino Linotype"/>
                <w:sz w:val="20"/>
              </w:rPr>
              <w:t>New</w:t>
            </w:r>
          </w:p>
        </w:tc>
        <w:tc>
          <w:tcPr>
            <w:tcW w:w="72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E7B4643" w14:textId="77777777" w:rsidR="00371419" w:rsidRPr="00D97438" w:rsidRDefault="00371419" w:rsidP="00D97438">
            <w:pPr>
              <w:jc w:val="center"/>
              <w:rPr>
                <w:rFonts w:ascii="Palatino Linotype" w:hAnsi="Palatino Linotype"/>
                <w:sz w:val="20"/>
              </w:rPr>
            </w:pPr>
            <w:r w:rsidRPr="00D97438">
              <w:rPr>
                <w:rFonts w:ascii="Palatino Linotype" w:hAnsi="Palatino Linotype"/>
                <w:sz w:val="20"/>
              </w:rPr>
              <w:t>20</w:t>
            </w:r>
          </w:p>
        </w:tc>
        <w:tc>
          <w:tcPr>
            <w:tcW w:w="8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A433C99" w14:textId="77777777" w:rsidR="00371419" w:rsidRPr="00371419" w:rsidRDefault="00371419" w:rsidP="00371419">
            <w:pPr>
              <w:jc w:val="center"/>
              <w:rPr>
                <w:rFonts w:ascii="Palatino Linotype" w:hAnsi="Palatino Linotype"/>
                <w:color w:val="000000"/>
                <w:sz w:val="20"/>
              </w:rPr>
            </w:pPr>
            <w:r w:rsidRPr="00371419">
              <w:rPr>
                <w:rFonts w:ascii="Palatino Linotype" w:hAnsi="Palatino Linotype"/>
                <w:color w:val="000000"/>
                <w:sz w:val="20"/>
              </w:rPr>
              <w:t>$121.88</w:t>
            </w:r>
          </w:p>
        </w:tc>
        <w:tc>
          <w:tcPr>
            <w:tcW w:w="11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078A5A2" w14:textId="77777777" w:rsidR="00371419" w:rsidRPr="00D97438" w:rsidRDefault="00371419" w:rsidP="00D97438">
            <w:pPr>
              <w:jc w:val="center"/>
              <w:rPr>
                <w:rFonts w:ascii="Palatino Linotype" w:hAnsi="Palatino Linotype"/>
                <w:sz w:val="20"/>
              </w:rPr>
            </w:pPr>
            <w:r w:rsidRPr="00D97438">
              <w:rPr>
                <w:rFonts w:ascii="Palatino Linotype" w:hAnsi="Palatino Linotype"/>
                <w:sz w:val="20"/>
              </w:rPr>
              <w:t>12/15/2013</w:t>
            </w:r>
          </w:p>
        </w:tc>
      </w:tr>
      <w:tr w:rsidR="00371419" w:rsidRPr="00D97438" w14:paraId="6037498F" w14:textId="77777777" w:rsidTr="00D97438">
        <w:trPr>
          <w:trHeight w:val="300"/>
        </w:trPr>
        <w:tc>
          <w:tcPr>
            <w:tcW w:w="252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FC18C19" w14:textId="77777777" w:rsidR="00371419" w:rsidRPr="00D97438" w:rsidRDefault="00371419">
            <w:pPr>
              <w:rPr>
                <w:rFonts w:ascii="Palatino Linotype" w:hAnsi="Palatino Linotype"/>
                <w:sz w:val="20"/>
              </w:rPr>
            </w:pPr>
            <w:r w:rsidRPr="00D97438">
              <w:rPr>
                <w:rFonts w:ascii="Palatino Linotype" w:hAnsi="Palatino Linotype"/>
                <w:sz w:val="20"/>
              </w:rPr>
              <w:t>Apple Valley East 1</w:t>
            </w:r>
          </w:p>
        </w:tc>
        <w:tc>
          <w:tcPr>
            <w:tcW w:w="18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F28A97C" w14:textId="77777777" w:rsidR="00371419" w:rsidRPr="00D97438" w:rsidRDefault="00371419">
            <w:pPr>
              <w:rPr>
                <w:rFonts w:ascii="Palatino Linotype" w:hAnsi="Palatino Linotype"/>
                <w:sz w:val="20"/>
              </w:rPr>
            </w:pPr>
            <w:r w:rsidRPr="00D97438">
              <w:rPr>
                <w:rFonts w:ascii="Palatino Linotype" w:hAnsi="Palatino Linotype"/>
                <w:sz w:val="20"/>
              </w:rPr>
              <w:t>Belectric/Coronus</w:t>
            </w:r>
          </w:p>
        </w:tc>
        <w:tc>
          <w:tcPr>
            <w:tcW w:w="9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5FAC8A6" w14:textId="77777777" w:rsidR="00371419" w:rsidRPr="00D97438" w:rsidRDefault="00371419" w:rsidP="00D97438">
            <w:pPr>
              <w:jc w:val="center"/>
              <w:rPr>
                <w:rFonts w:ascii="Palatino Linotype" w:hAnsi="Palatino Linotype"/>
                <w:sz w:val="20"/>
              </w:rPr>
            </w:pPr>
            <w:r w:rsidRPr="00D97438">
              <w:rPr>
                <w:rFonts w:ascii="Palatino Linotype" w:hAnsi="Palatino Linotype"/>
                <w:sz w:val="20"/>
              </w:rPr>
              <w:t>1.5</w:t>
            </w:r>
          </w:p>
        </w:tc>
        <w:tc>
          <w:tcPr>
            <w:tcW w:w="11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0F05089" w14:textId="77777777" w:rsidR="00371419" w:rsidRPr="00D97438" w:rsidRDefault="00371419" w:rsidP="00D97438">
            <w:pPr>
              <w:jc w:val="center"/>
              <w:rPr>
                <w:rFonts w:ascii="Palatino Linotype" w:hAnsi="Palatino Linotype"/>
                <w:sz w:val="20"/>
              </w:rPr>
            </w:pPr>
            <w:r w:rsidRPr="00D97438">
              <w:rPr>
                <w:rFonts w:ascii="Palatino Linotype" w:hAnsi="Palatino Linotype"/>
                <w:sz w:val="20"/>
              </w:rPr>
              <w:t>3.6</w:t>
            </w:r>
          </w:p>
        </w:tc>
        <w:tc>
          <w:tcPr>
            <w:tcW w:w="72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2E4E7582" w14:textId="77777777" w:rsidR="00371419" w:rsidRPr="00D97438" w:rsidRDefault="00371419" w:rsidP="00D97438">
            <w:pPr>
              <w:jc w:val="center"/>
              <w:rPr>
                <w:rFonts w:ascii="Palatino Linotype" w:hAnsi="Palatino Linotype"/>
                <w:sz w:val="20"/>
              </w:rPr>
            </w:pPr>
            <w:r w:rsidRPr="00AF6B95">
              <w:rPr>
                <w:rFonts w:ascii="Palatino Linotype" w:hAnsi="Palatino Linotype"/>
                <w:sz w:val="20"/>
              </w:rPr>
              <w:t>PV</w:t>
            </w:r>
          </w:p>
        </w:tc>
        <w:tc>
          <w:tcPr>
            <w:tcW w:w="8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2FEB89F" w14:textId="77777777" w:rsidR="00371419" w:rsidRPr="00D97438" w:rsidRDefault="00371419" w:rsidP="00D97438">
            <w:pPr>
              <w:jc w:val="center"/>
              <w:rPr>
                <w:rFonts w:ascii="Palatino Linotype" w:hAnsi="Palatino Linotype"/>
                <w:sz w:val="20"/>
              </w:rPr>
            </w:pPr>
            <w:r w:rsidRPr="00D97438">
              <w:rPr>
                <w:rFonts w:ascii="Palatino Linotype" w:hAnsi="Palatino Linotype"/>
                <w:sz w:val="20"/>
              </w:rPr>
              <w:t>New</w:t>
            </w:r>
          </w:p>
        </w:tc>
        <w:tc>
          <w:tcPr>
            <w:tcW w:w="72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0FD6EAC" w14:textId="77777777" w:rsidR="00371419" w:rsidRPr="00D97438" w:rsidRDefault="00371419" w:rsidP="00D97438">
            <w:pPr>
              <w:jc w:val="center"/>
              <w:rPr>
                <w:rFonts w:ascii="Palatino Linotype" w:hAnsi="Palatino Linotype"/>
                <w:sz w:val="20"/>
              </w:rPr>
            </w:pPr>
            <w:r w:rsidRPr="00D97438">
              <w:rPr>
                <w:rFonts w:ascii="Palatino Linotype" w:hAnsi="Palatino Linotype"/>
                <w:sz w:val="20"/>
              </w:rPr>
              <w:t>20</w:t>
            </w:r>
          </w:p>
        </w:tc>
        <w:tc>
          <w:tcPr>
            <w:tcW w:w="8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58B9E31" w14:textId="77777777" w:rsidR="00371419" w:rsidRPr="00371419" w:rsidRDefault="00371419" w:rsidP="00371419">
            <w:pPr>
              <w:jc w:val="center"/>
              <w:rPr>
                <w:rFonts w:ascii="Palatino Linotype" w:hAnsi="Palatino Linotype"/>
                <w:color w:val="000000"/>
                <w:sz w:val="20"/>
              </w:rPr>
            </w:pPr>
            <w:r w:rsidRPr="00371419">
              <w:rPr>
                <w:rFonts w:ascii="Palatino Linotype" w:hAnsi="Palatino Linotype"/>
                <w:color w:val="000000"/>
                <w:sz w:val="20"/>
              </w:rPr>
              <w:t>$121.88</w:t>
            </w:r>
          </w:p>
        </w:tc>
        <w:tc>
          <w:tcPr>
            <w:tcW w:w="11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840923E" w14:textId="77777777" w:rsidR="00371419" w:rsidRPr="00D97438" w:rsidRDefault="00371419" w:rsidP="00D97438">
            <w:pPr>
              <w:jc w:val="center"/>
              <w:rPr>
                <w:rFonts w:ascii="Palatino Linotype" w:hAnsi="Palatino Linotype"/>
                <w:sz w:val="20"/>
              </w:rPr>
            </w:pPr>
            <w:r w:rsidRPr="00D97438">
              <w:rPr>
                <w:rFonts w:ascii="Palatino Linotype" w:hAnsi="Palatino Linotype"/>
                <w:sz w:val="20"/>
              </w:rPr>
              <w:t>12/15/2013</w:t>
            </w:r>
          </w:p>
        </w:tc>
      </w:tr>
      <w:tr w:rsidR="00371419" w:rsidRPr="00D97438" w14:paraId="52EFA294" w14:textId="77777777" w:rsidTr="00D97438">
        <w:trPr>
          <w:trHeight w:val="300"/>
        </w:trPr>
        <w:tc>
          <w:tcPr>
            <w:tcW w:w="252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40DE883" w14:textId="77777777" w:rsidR="00371419" w:rsidRPr="00D97438" w:rsidRDefault="00371419">
            <w:pPr>
              <w:rPr>
                <w:rFonts w:ascii="Palatino Linotype" w:hAnsi="Palatino Linotype"/>
                <w:sz w:val="20"/>
              </w:rPr>
            </w:pPr>
            <w:r w:rsidRPr="00D97438">
              <w:rPr>
                <w:rFonts w:ascii="Palatino Linotype" w:hAnsi="Palatino Linotype"/>
                <w:sz w:val="20"/>
              </w:rPr>
              <w:t>Apple Valley East 2</w:t>
            </w:r>
          </w:p>
        </w:tc>
        <w:tc>
          <w:tcPr>
            <w:tcW w:w="18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49DC334" w14:textId="77777777" w:rsidR="00371419" w:rsidRPr="00D97438" w:rsidRDefault="00371419">
            <w:pPr>
              <w:rPr>
                <w:rFonts w:ascii="Palatino Linotype" w:hAnsi="Palatino Linotype"/>
                <w:sz w:val="20"/>
              </w:rPr>
            </w:pPr>
            <w:r w:rsidRPr="00D97438">
              <w:rPr>
                <w:rFonts w:ascii="Palatino Linotype" w:hAnsi="Palatino Linotype"/>
                <w:sz w:val="20"/>
              </w:rPr>
              <w:t>Belectric/Coronus</w:t>
            </w:r>
          </w:p>
        </w:tc>
        <w:tc>
          <w:tcPr>
            <w:tcW w:w="9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3568506" w14:textId="77777777" w:rsidR="00371419" w:rsidRPr="00D97438" w:rsidRDefault="00371419" w:rsidP="00D97438">
            <w:pPr>
              <w:jc w:val="center"/>
              <w:rPr>
                <w:rFonts w:ascii="Palatino Linotype" w:hAnsi="Palatino Linotype"/>
                <w:sz w:val="20"/>
              </w:rPr>
            </w:pPr>
            <w:r w:rsidRPr="00D97438">
              <w:rPr>
                <w:rFonts w:ascii="Palatino Linotype" w:hAnsi="Palatino Linotype"/>
                <w:sz w:val="20"/>
              </w:rPr>
              <w:t>1.5</w:t>
            </w:r>
          </w:p>
        </w:tc>
        <w:tc>
          <w:tcPr>
            <w:tcW w:w="11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939F691" w14:textId="77777777" w:rsidR="00371419" w:rsidRPr="00D97438" w:rsidRDefault="00371419" w:rsidP="00D97438">
            <w:pPr>
              <w:jc w:val="center"/>
              <w:rPr>
                <w:rFonts w:ascii="Palatino Linotype" w:hAnsi="Palatino Linotype"/>
                <w:sz w:val="20"/>
              </w:rPr>
            </w:pPr>
            <w:r w:rsidRPr="00D97438">
              <w:rPr>
                <w:rFonts w:ascii="Palatino Linotype" w:hAnsi="Palatino Linotype"/>
                <w:sz w:val="20"/>
              </w:rPr>
              <w:t>3.6</w:t>
            </w:r>
          </w:p>
        </w:tc>
        <w:tc>
          <w:tcPr>
            <w:tcW w:w="72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3FB50C24" w14:textId="77777777" w:rsidR="00371419" w:rsidRPr="00D97438" w:rsidRDefault="00371419" w:rsidP="00D97438">
            <w:pPr>
              <w:jc w:val="center"/>
              <w:rPr>
                <w:rFonts w:ascii="Palatino Linotype" w:hAnsi="Palatino Linotype"/>
                <w:sz w:val="20"/>
              </w:rPr>
            </w:pPr>
            <w:r w:rsidRPr="00AF6B95">
              <w:rPr>
                <w:rFonts w:ascii="Palatino Linotype" w:hAnsi="Palatino Linotype"/>
                <w:sz w:val="20"/>
              </w:rPr>
              <w:t>PV</w:t>
            </w:r>
          </w:p>
        </w:tc>
        <w:tc>
          <w:tcPr>
            <w:tcW w:w="8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F9F9779" w14:textId="77777777" w:rsidR="00371419" w:rsidRPr="00D97438" w:rsidRDefault="00371419" w:rsidP="00D97438">
            <w:pPr>
              <w:jc w:val="center"/>
              <w:rPr>
                <w:rFonts w:ascii="Palatino Linotype" w:hAnsi="Palatino Linotype"/>
                <w:sz w:val="20"/>
              </w:rPr>
            </w:pPr>
            <w:r w:rsidRPr="00D97438">
              <w:rPr>
                <w:rFonts w:ascii="Palatino Linotype" w:hAnsi="Palatino Linotype"/>
                <w:sz w:val="20"/>
              </w:rPr>
              <w:t>New</w:t>
            </w:r>
          </w:p>
        </w:tc>
        <w:tc>
          <w:tcPr>
            <w:tcW w:w="72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882C0FE" w14:textId="77777777" w:rsidR="00371419" w:rsidRPr="00D97438" w:rsidRDefault="00371419" w:rsidP="00D97438">
            <w:pPr>
              <w:jc w:val="center"/>
              <w:rPr>
                <w:rFonts w:ascii="Palatino Linotype" w:hAnsi="Palatino Linotype"/>
                <w:sz w:val="20"/>
              </w:rPr>
            </w:pPr>
            <w:r w:rsidRPr="00D97438">
              <w:rPr>
                <w:rFonts w:ascii="Palatino Linotype" w:hAnsi="Palatino Linotype"/>
                <w:sz w:val="20"/>
              </w:rPr>
              <w:t>20</w:t>
            </w:r>
          </w:p>
        </w:tc>
        <w:tc>
          <w:tcPr>
            <w:tcW w:w="8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B32A76A" w14:textId="77777777" w:rsidR="00371419" w:rsidRPr="00371419" w:rsidRDefault="00371419" w:rsidP="00371419">
            <w:pPr>
              <w:jc w:val="center"/>
              <w:rPr>
                <w:rFonts w:ascii="Palatino Linotype" w:hAnsi="Palatino Linotype"/>
                <w:color w:val="000000"/>
                <w:sz w:val="20"/>
              </w:rPr>
            </w:pPr>
            <w:r w:rsidRPr="00371419">
              <w:rPr>
                <w:rFonts w:ascii="Palatino Linotype" w:hAnsi="Palatino Linotype"/>
                <w:color w:val="000000"/>
                <w:sz w:val="20"/>
              </w:rPr>
              <w:t>$121.88</w:t>
            </w:r>
          </w:p>
        </w:tc>
        <w:tc>
          <w:tcPr>
            <w:tcW w:w="11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14D70DD" w14:textId="77777777" w:rsidR="00371419" w:rsidRPr="00D97438" w:rsidRDefault="00371419" w:rsidP="00D97438">
            <w:pPr>
              <w:jc w:val="center"/>
              <w:rPr>
                <w:rFonts w:ascii="Palatino Linotype" w:hAnsi="Palatino Linotype"/>
                <w:sz w:val="20"/>
              </w:rPr>
            </w:pPr>
            <w:r w:rsidRPr="00D97438">
              <w:rPr>
                <w:rFonts w:ascii="Palatino Linotype" w:hAnsi="Palatino Linotype"/>
                <w:sz w:val="20"/>
              </w:rPr>
              <w:t>12/15/2013</w:t>
            </w:r>
          </w:p>
        </w:tc>
      </w:tr>
      <w:tr w:rsidR="00371419" w:rsidRPr="00D97438" w14:paraId="3BADE582" w14:textId="77777777" w:rsidTr="00D97438">
        <w:trPr>
          <w:trHeight w:val="300"/>
        </w:trPr>
        <w:tc>
          <w:tcPr>
            <w:tcW w:w="252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E3CEEDE" w14:textId="77777777" w:rsidR="00371419" w:rsidRPr="00D97438" w:rsidRDefault="00371419">
            <w:pPr>
              <w:rPr>
                <w:rFonts w:ascii="Palatino Linotype" w:hAnsi="Palatino Linotype"/>
                <w:sz w:val="20"/>
              </w:rPr>
            </w:pPr>
            <w:r w:rsidRPr="00D97438">
              <w:rPr>
                <w:rFonts w:ascii="Palatino Linotype" w:hAnsi="Palatino Linotype"/>
                <w:sz w:val="20"/>
              </w:rPr>
              <w:t>Zamora Zuni Road North</w:t>
            </w:r>
          </w:p>
        </w:tc>
        <w:tc>
          <w:tcPr>
            <w:tcW w:w="18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2A49218" w14:textId="77777777" w:rsidR="00371419" w:rsidRPr="00D97438" w:rsidRDefault="00371419">
            <w:pPr>
              <w:rPr>
                <w:rFonts w:ascii="Palatino Linotype" w:hAnsi="Palatino Linotype"/>
                <w:sz w:val="20"/>
              </w:rPr>
            </w:pPr>
            <w:r w:rsidRPr="00D97438">
              <w:rPr>
                <w:rFonts w:ascii="Palatino Linotype" w:hAnsi="Palatino Linotype"/>
                <w:sz w:val="20"/>
              </w:rPr>
              <w:t>Belectric/Coronus</w:t>
            </w:r>
          </w:p>
        </w:tc>
        <w:tc>
          <w:tcPr>
            <w:tcW w:w="9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E855538" w14:textId="77777777" w:rsidR="00371419" w:rsidRPr="00D97438" w:rsidRDefault="00371419" w:rsidP="00D97438">
            <w:pPr>
              <w:jc w:val="center"/>
              <w:rPr>
                <w:rFonts w:ascii="Palatino Linotype" w:hAnsi="Palatino Linotype"/>
                <w:sz w:val="20"/>
              </w:rPr>
            </w:pPr>
            <w:r w:rsidRPr="00D97438">
              <w:rPr>
                <w:rFonts w:ascii="Palatino Linotype" w:hAnsi="Palatino Linotype"/>
                <w:sz w:val="20"/>
              </w:rPr>
              <w:t>1.5</w:t>
            </w:r>
          </w:p>
        </w:tc>
        <w:tc>
          <w:tcPr>
            <w:tcW w:w="11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C232F84" w14:textId="77777777" w:rsidR="00371419" w:rsidRPr="00D97438" w:rsidRDefault="00371419" w:rsidP="00D97438">
            <w:pPr>
              <w:jc w:val="center"/>
              <w:rPr>
                <w:rFonts w:ascii="Palatino Linotype" w:hAnsi="Palatino Linotype"/>
                <w:sz w:val="20"/>
              </w:rPr>
            </w:pPr>
            <w:r w:rsidRPr="00D97438">
              <w:rPr>
                <w:rFonts w:ascii="Palatino Linotype" w:hAnsi="Palatino Linotype"/>
                <w:sz w:val="20"/>
              </w:rPr>
              <w:t>3.7</w:t>
            </w:r>
          </w:p>
        </w:tc>
        <w:tc>
          <w:tcPr>
            <w:tcW w:w="72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1CE2C38E" w14:textId="77777777" w:rsidR="00371419" w:rsidRPr="00D97438" w:rsidRDefault="00371419" w:rsidP="00D97438">
            <w:pPr>
              <w:jc w:val="center"/>
              <w:rPr>
                <w:rFonts w:ascii="Palatino Linotype" w:hAnsi="Palatino Linotype"/>
                <w:sz w:val="20"/>
              </w:rPr>
            </w:pPr>
            <w:r w:rsidRPr="00AF6B95">
              <w:rPr>
                <w:rFonts w:ascii="Palatino Linotype" w:hAnsi="Palatino Linotype"/>
                <w:sz w:val="20"/>
              </w:rPr>
              <w:t>PV</w:t>
            </w:r>
          </w:p>
        </w:tc>
        <w:tc>
          <w:tcPr>
            <w:tcW w:w="8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274E7F1" w14:textId="77777777" w:rsidR="00371419" w:rsidRPr="00D97438" w:rsidRDefault="00371419" w:rsidP="00D97438">
            <w:pPr>
              <w:jc w:val="center"/>
              <w:rPr>
                <w:rFonts w:ascii="Palatino Linotype" w:hAnsi="Palatino Linotype"/>
                <w:sz w:val="20"/>
              </w:rPr>
            </w:pPr>
            <w:r w:rsidRPr="00D97438">
              <w:rPr>
                <w:rFonts w:ascii="Palatino Linotype" w:hAnsi="Palatino Linotype"/>
                <w:sz w:val="20"/>
              </w:rPr>
              <w:t>New</w:t>
            </w:r>
          </w:p>
        </w:tc>
        <w:tc>
          <w:tcPr>
            <w:tcW w:w="72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9F2DBB9" w14:textId="77777777" w:rsidR="00371419" w:rsidRPr="00D97438" w:rsidRDefault="00371419" w:rsidP="00D97438">
            <w:pPr>
              <w:jc w:val="center"/>
              <w:rPr>
                <w:rFonts w:ascii="Palatino Linotype" w:hAnsi="Palatino Linotype"/>
                <w:sz w:val="20"/>
              </w:rPr>
            </w:pPr>
            <w:r w:rsidRPr="00D97438">
              <w:rPr>
                <w:rFonts w:ascii="Palatino Linotype" w:hAnsi="Palatino Linotype"/>
                <w:sz w:val="20"/>
              </w:rPr>
              <w:t>20</w:t>
            </w:r>
          </w:p>
        </w:tc>
        <w:tc>
          <w:tcPr>
            <w:tcW w:w="8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4E41383" w14:textId="77777777" w:rsidR="00371419" w:rsidRPr="00371419" w:rsidRDefault="00371419" w:rsidP="00371419">
            <w:pPr>
              <w:jc w:val="center"/>
              <w:rPr>
                <w:rFonts w:ascii="Palatino Linotype" w:hAnsi="Palatino Linotype"/>
                <w:color w:val="000000"/>
                <w:sz w:val="20"/>
              </w:rPr>
            </w:pPr>
            <w:r w:rsidRPr="00371419">
              <w:rPr>
                <w:rFonts w:ascii="Palatino Linotype" w:hAnsi="Palatino Linotype"/>
                <w:color w:val="000000"/>
                <w:sz w:val="20"/>
              </w:rPr>
              <w:t>$121.88</w:t>
            </w:r>
          </w:p>
        </w:tc>
        <w:tc>
          <w:tcPr>
            <w:tcW w:w="11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CCD5120" w14:textId="77777777" w:rsidR="00371419" w:rsidRPr="00D97438" w:rsidRDefault="00371419" w:rsidP="00D97438">
            <w:pPr>
              <w:jc w:val="center"/>
              <w:rPr>
                <w:rFonts w:ascii="Palatino Linotype" w:hAnsi="Palatino Linotype"/>
                <w:sz w:val="20"/>
              </w:rPr>
            </w:pPr>
            <w:r w:rsidRPr="00D97438">
              <w:rPr>
                <w:rFonts w:ascii="Palatino Linotype" w:hAnsi="Palatino Linotype"/>
                <w:sz w:val="20"/>
              </w:rPr>
              <w:t>12/31/2013</w:t>
            </w:r>
          </w:p>
        </w:tc>
      </w:tr>
      <w:tr w:rsidR="00371419" w:rsidRPr="00D97438" w14:paraId="39DF36F6" w14:textId="77777777" w:rsidTr="00D97438">
        <w:trPr>
          <w:trHeight w:val="300"/>
        </w:trPr>
        <w:tc>
          <w:tcPr>
            <w:tcW w:w="252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94A7E80" w14:textId="77777777" w:rsidR="00371419" w:rsidRPr="00D97438" w:rsidRDefault="00371419">
            <w:pPr>
              <w:rPr>
                <w:rFonts w:ascii="Palatino Linotype" w:hAnsi="Palatino Linotype"/>
                <w:sz w:val="20"/>
              </w:rPr>
            </w:pPr>
            <w:r w:rsidRPr="00D97438">
              <w:rPr>
                <w:rFonts w:ascii="Palatino Linotype" w:hAnsi="Palatino Linotype"/>
                <w:sz w:val="20"/>
              </w:rPr>
              <w:t>White Lightning Solar</w:t>
            </w:r>
          </w:p>
        </w:tc>
        <w:tc>
          <w:tcPr>
            <w:tcW w:w="18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9E3B8E9" w14:textId="77777777" w:rsidR="00371419" w:rsidRPr="00D97438" w:rsidRDefault="00371419">
            <w:pPr>
              <w:rPr>
                <w:rFonts w:ascii="Palatino Linotype" w:hAnsi="Palatino Linotype"/>
                <w:sz w:val="20"/>
              </w:rPr>
            </w:pPr>
            <w:r w:rsidRPr="00D97438">
              <w:rPr>
                <w:rFonts w:ascii="Palatino Linotype" w:hAnsi="Palatino Linotype"/>
                <w:sz w:val="20"/>
              </w:rPr>
              <w:t>Sunlight Partners</w:t>
            </w:r>
          </w:p>
        </w:tc>
        <w:tc>
          <w:tcPr>
            <w:tcW w:w="9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0399645" w14:textId="77777777" w:rsidR="00371419" w:rsidRPr="00D97438" w:rsidRDefault="00371419" w:rsidP="00D97438">
            <w:pPr>
              <w:jc w:val="center"/>
              <w:rPr>
                <w:rFonts w:ascii="Palatino Linotype" w:hAnsi="Palatino Linotype"/>
                <w:sz w:val="20"/>
              </w:rPr>
            </w:pPr>
            <w:r w:rsidRPr="00D97438">
              <w:rPr>
                <w:rFonts w:ascii="Palatino Linotype" w:hAnsi="Palatino Linotype"/>
                <w:sz w:val="20"/>
              </w:rPr>
              <w:t>1.5</w:t>
            </w:r>
          </w:p>
        </w:tc>
        <w:tc>
          <w:tcPr>
            <w:tcW w:w="11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C467D75" w14:textId="77777777" w:rsidR="00371419" w:rsidRPr="00D97438" w:rsidRDefault="00371419" w:rsidP="00D97438">
            <w:pPr>
              <w:jc w:val="center"/>
              <w:rPr>
                <w:rFonts w:ascii="Palatino Linotype" w:hAnsi="Palatino Linotype"/>
                <w:sz w:val="20"/>
              </w:rPr>
            </w:pPr>
            <w:r w:rsidRPr="00D97438">
              <w:rPr>
                <w:rFonts w:ascii="Palatino Linotype" w:hAnsi="Palatino Linotype"/>
                <w:sz w:val="20"/>
              </w:rPr>
              <w:t>4.6</w:t>
            </w:r>
          </w:p>
        </w:tc>
        <w:tc>
          <w:tcPr>
            <w:tcW w:w="72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0747A150" w14:textId="77777777" w:rsidR="00371419" w:rsidRPr="00D97438" w:rsidRDefault="00371419" w:rsidP="00D97438">
            <w:pPr>
              <w:jc w:val="center"/>
              <w:rPr>
                <w:rFonts w:ascii="Palatino Linotype" w:hAnsi="Palatino Linotype"/>
                <w:sz w:val="20"/>
              </w:rPr>
            </w:pPr>
            <w:r w:rsidRPr="00AF6B95">
              <w:rPr>
                <w:rFonts w:ascii="Palatino Linotype" w:hAnsi="Palatino Linotype"/>
                <w:sz w:val="20"/>
              </w:rPr>
              <w:t>PV</w:t>
            </w:r>
          </w:p>
        </w:tc>
        <w:tc>
          <w:tcPr>
            <w:tcW w:w="8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2042931" w14:textId="77777777" w:rsidR="00371419" w:rsidRPr="00D97438" w:rsidRDefault="00371419" w:rsidP="00D97438">
            <w:pPr>
              <w:jc w:val="center"/>
              <w:rPr>
                <w:rFonts w:ascii="Palatino Linotype" w:hAnsi="Palatino Linotype"/>
                <w:sz w:val="20"/>
              </w:rPr>
            </w:pPr>
            <w:r w:rsidRPr="00D97438">
              <w:rPr>
                <w:rFonts w:ascii="Palatino Linotype" w:hAnsi="Palatino Linotype"/>
                <w:sz w:val="20"/>
              </w:rPr>
              <w:t>New</w:t>
            </w:r>
          </w:p>
        </w:tc>
        <w:tc>
          <w:tcPr>
            <w:tcW w:w="72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4AD204E" w14:textId="77777777" w:rsidR="00371419" w:rsidRPr="00D97438" w:rsidRDefault="00371419" w:rsidP="00D97438">
            <w:pPr>
              <w:jc w:val="center"/>
              <w:rPr>
                <w:rFonts w:ascii="Palatino Linotype" w:hAnsi="Palatino Linotype"/>
                <w:sz w:val="20"/>
              </w:rPr>
            </w:pPr>
            <w:r w:rsidRPr="00D97438">
              <w:rPr>
                <w:rFonts w:ascii="Palatino Linotype" w:hAnsi="Palatino Linotype"/>
                <w:sz w:val="20"/>
              </w:rPr>
              <w:t>20</w:t>
            </w:r>
          </w:p>
        </w:tc>
        <w:tc>
          <w:tcPr>
            <w:tcW w:w="8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0BD3292" w14:textId="77777777" w:rsidR="00371419" w:rsidRPr="00371419" w:rsidRDefault="00371419" w:rsidP="00371419">
            <w:pPr>
              <w:jc w:val="center"/>
              <w:rPr>
                <w:rFonts w:ascii="Palatino Linotype" w:hAnsi="Palatino Linotype"/>
                <w:color w:val="000000"/>
                <w:sz w:val="20"/>
              </w:rPr>
            </w:pPr>
            <w:r w:rsidRPr="00371419">
              <w:rPr>
                <w:rFonts w:ascii="Palatino Linotype" w:hAnsi="Palatino Linotype"/>
                <w:color w:val="000000"/>
                <w:sz w:val="20"/>
              </w:rPr>
              <w:t>$126.83</w:t>
            </w:r>
          </w:p>
        </w:tc>
        <w:tc>
          <w:tcPr>
            <w:tcW w:w="11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549C389" w14:textId="77777777" w:rsidR="00371419" w:rsidRPr="00D97438" w:rsidRDefault="00371419" w:rsidP="00D97438">
            <w:pPr>
              <w:jc w:val="center"/>
              <w:rPr>
                <w:rFonts w:ascii="Palatino Linotype" w:hAnsi="Palatino Linotype"/>
                <w:sz w:val="20"/>
              </w:rPr>
            </w:pPr>
            <w:r w:rsidRPr="00D97438">
              <w:rPr>
                <w:rFonts w:ascii="Palatino Linotype" w:hAnsi="Palatino Linotype"/>
                <w:sz w:val="20"/>
              </w:rPr>
              <w:t>4/15/2014</w:t>
            </w:r>
          </w:p>
        </w:tc>
      </w:tr>
      <w:tr w:rsidR="00371419" w:rsidRPr="00D97438" w14:paraId="3E23F0B0" w14:textId="77777777" w:rsidTr="00D97438">
        <w:trPr>
          <w:trHeight w:val="300"/>
        </w:trPr>
        <w:tc>
          <w:tcPr>
            <w:tcW w:w="252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34C4D30" w14:textId="77777777" w:rsidR="00371419" w:rsidRPr="00D97438" w:rsidRDefault="00371419">
            <w:pPr>
              <w:rPr>
                <w:rFonts w:ascii="Palatino Linotype" w:hAnsi="Palatino Linotype"/>
                <w:sz w:val="20"/>
              </w:rPr>
            </w:pPr>
            <w:r w:rsidRPr="00D97438">
              <w:rPr>
                <w:rFonts w:ascii="Palatino Linotype" w:hAnsi="Palatino Linotype"/>
                <w:sz w:val="20"/>
              </w:rPr>
              <w:t>Addison Solar</w:t>
            </w:r>
          </w:p>
        </w:tc>
        <w:tc>
          <w:tcPr>
            <w:tcW w:w="18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13A11C3" w14:textId="77777777" w:rsidR="00371419" w:rsidRPr="00D97438" w:rsidRDefault="00371419">
            <w:pPr>
              <w:rPr>
                <w:rFonts w:ascii="Palatino Linotype" w:hAnsi="Palatino Linotype"/>
                <w:sz w:val="20"/>
              </w:rPr>
            </w:pPr>
            <w:r w:rsidRPr="00D97438">
              <w:rPr>
                <w:rFonts w:ascii="Palatino Linotype" w:hAnsi="Palatino Linotype"/>
                <w:sz w:val="20"/>
              </w:rPr>
              <w:t>Sunlight Partners</w:t>
            </w:r>
          </w:p>
        </w:tc>
        <w:tc>
          <w:tcPr>
            <w:tcW w:w="9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BC85231" w14:textId="77777777" w:rsidR="00371419" w:rsidRPr="00D97438" w:rsidRDefault="00371419" w:rsidP="00D97438">
            <w:pPr>
              <w:jc w:val="center"/>
              <w:rPr>
                <w:rFonts w:ascii="Palatino Linotype" w:hAnsi="Palatino Linotype"/>
                <w:sz w:val="20"/>
              </w:rPr>
            </w:pPr>
            <w:r w:rsidRPr="00D97438">
              <w:rPr>
                <w:rFonts w:ascii="Palatino Linotype" w:hAnsi="Palatino Linotype"/>
                <w:sz w:val="20"/>
              </w:rPr>
              <w:t>1.0</w:t>
            </w:r>
          </w:p>
        </w:tc>
        <w:tc>
          <w:tcPr>
            <w:tcW w:w="11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F05C7F1" w14:textId="77777777" w:rsidR="00371419" w:rsidRPr="00D97438" w:rsidRDefault="00371419" w:rsidP="00D97438">
            <w:pPr>
              <w:jc w:val="center"/>
              <w:rPr>
                <w:rFonts w:ascii="Palatino Linotype" w:hAnsi="Palatino Linotype"/>
                <w:sz w:val="20"/>
              </w:rPr>
            </w:pPr>
            <w:r w:rsidRPr="00D97438">
              <w:rPr>
                <w:rFonts w:ascii="Palatino Linotype" w:hAnsi="Palatino Linotype"/>
                <w:sz w:val="20"/>
              </w:rPr>
              <w:t>3.1</w:t>
            </w:r>
          </w:p>
        </w:tc>
        <w:tc>
          <w:tcPr>
            <w:tcW w:w="72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3BD42D7C" w14:textId="77777777" w:rsidR="00371419" w:rsidRPr="00D97438" w:rsidRDefault="00371419" w:rsidP="00D97438">
            <w:pPr>
              <w:jc w:val="center"/>
              <w:rPr>
                <w:rFonts w:ascii="Palatino Linotype" w:hAnsi="Palatino Linotype"/>
                <w:sz w:val="20"/>
              </w:rPr>
            </w:pPr>
            <w:r w:rsidRPr="00AF6B95">
              <w:rPr>
                <w:rFonts w:ascii="Palatino Linotype" w:hAnsi="Palatino Linotype"/>
                <w:sz w:val="20"/>
              </w:rPr>
              <w:t>PV</w:t>
            </w:r>
          </w:p>
        </w:tc>
        <w:tc>
          <w:tcPr>
            <w:tcW w:w="8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5E1CC15" w14:textId="77777777" w:rsidR="00371419" w:rsidRPr="00D97438" w:rsidRDefault="00371419" w:rsidP="00D97438">
            <w:pPr>
              <w:jc w:val="center"/>
              <w:rPr>
                <w:rFonts w:ascii="Palatino Linotype" w:hAnsi="Palatino Linotype"/>
                <w:sz w:val="20"/>
              </w:rPr>
            </w:pPr>
            <w:r w:rsidRPr="00D97438">
              <w:rPr>
                <w:rFonts w:ascii="Palatino Linotype" w:hAnsi="Palatino Linotype"/>
                <w:sz w:val="20"/>
              </w:rPr>
              <w:t>New</w:t>
            </w:r>
          </w:p>
        </w:tc>
        <w:tc>
          <w:tcPr>
            <w:tcW w:w="72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25F19E5" w14:textId="77777777" w:rsidR="00371419" w:rsidRPr="00D97438" w:rsidRDefault="00371419" w:rsidP="00D97438">
            <w:pPr>
              <w:jc w:val="center"/>
              <w:rPr>
                <w:rFonts w:ascii="Palatino Linotype" w:hAnsi="Palatino Linotype"/>
                <w:sz w:val="20"/>
              </w:rPr>
            </w:pPr>
            <w:r w:rsidRPr="00D97438">
              <w:rPr>
                <w:rFonts w:ascii="Palatino Linotype" w:hAnsi="Palatino Linotype"/>
                <w:sz w:val="20"/>
              </w:rPr>
              <w:t>20</w:t>
            </w:r>
          </w:p>
        </w:tc>
        <w:tc>
          <w:tcPr>
            <w:tcW w:w="8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5713EFC" w14:textId="77777777" w:rsidR="00371419" w:rsidRPr="00371419" w:rsidRDefault="00371419" w:rsidP="00371419">
            <w:pPr>
              <w:jc w:val="center"/>
              <w:rPr>
                <w:rFonts w:ascii="Palatino Linotype" w:hAnsi="Palatino Linotype"/>
                <w:color w:val="000000"/>
                <w:sz w:val="20"/>
              </w:rPr>
            </w:pPr>
            <w:r w:rsidRPr="00371419">
              <w:rPr>
                <w:rFonts w:ascii="Palatino Linotype" w:hAnsi="Palatino Linotype"/>
                <w:color w:val="000000"/>
                <w:sz w:val="20"/>
              </w:rPr>
              <w:t>$126.83</w:t>
            </w:r>
          </w:p>
        </w:tc>
        <w:tc>
          <w:tcPr>
            <w:tcW w:w="11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48A0665" w14:textId="77777777" w:rsidR="00371419" w:rsidRPr="00D97438" w:rsidRDefault="00371419" w:rsidP="00D97438">
            <w:pPr>
              <w:jc w:val="center"/>
              <w:rPr>
                <w:rFonts w:ascii="Palatino Linotype" w:hAnsi="Palatino Linotype"/>
                <w:sz w:val="20"/>
              </w:rPr>
            </w:pPr>
            <w:r w:rsidRPr="00D97438">
              <w:rPr>
                <w:rFonts w:ascii="Palatino Linotype" w:hAnsi="Palatino Linotype"/>
                <w:sz w:val="20"/>
              </w:rPr>
              <w:t>4/15/2014</w:t>
            </w:r>
          </w:p>
        </w:tc>
      </w:tr>
      <w:tr w:rsidR="00371419" w:rsidRPr="00D97438" w14:paraId="6FBF6BE0" w14:textId="77777777" w:rsidTr="00D97438">
        <w:trPr>
          <w:trHeight w:val="300"/>
        </w:trPr>
        <w:tc>
          <w:tcPr>
            <w:tcW w:w="252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3D558EC" w14:textId="77777777" w:rsidR="00371419" w:rsidRPr="00D97438" w:rsidRDefault="00371419">
            <w:pPr>
              <w:rPr>
                <w:rFonts w:ascii="Palatino Linotype" w:hAnsi="Palatino Linotype"/>
                <w:sz w:val="20"/>
              </w:rPr>
            </w:pPr>
            <w:r w:rsidRPr="00D97438">
              <w:rPr>
                <w:rFonts w:ascii="Palatino Linotype" w:hAnsi="Palatino Linotype"/>
                <w:sz w:val="20"/>
              </w:rPr>
              <w:t>Carson Solar</w:t>
            </w:r>
          </w:p>
        </w:tc>
        <w:tc>
          <w:tcPr>
            <w:tcW w:w="18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AC10611" w14:textId="77777777" w:rsidR="00371419" w:rsidRPr="00D97438" w:rsidRDefault="00371419">
            <w:pPr>
              <w:rPr>
                <w:rFonts w:ascii="Palatino Linotype" w:hAnsi="Palatino Linotype"/>
                <w:sz w:val="20"/>
              </w:rPr>
            </w:pPr>
            <w:r w:rsidRPr="00D97438">
              <w:rPr>
                <w:rFonts w:ascii="Palatino Linotype" w:hAnsi="Palatino Linotype"/>
                <w:sz w:val="20"/>
              </w:rPr>
              <w:t>Sunlight Partners</w:t>
            </w:r>
          </w:p>
        </w:tc>
        <w:tc>
          <w:tcPr>
            <w:tcW w:w="9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A1273B8" w14:textId="77777777" w:rsidR="00371419" w:rsidRPr="00D97438" w:rsidRDefault="00371419" w:rsidP="00D97438">
            <w:pPr>
              <w:jc w:val="center"/>
              <w:rPr>
                <w:rFonts w:ascii="Palatino Linotype" w:hAnsi="Palatino Linotype"/>
                <w:sz w:val="20"/>
              </w:rPr>
            </w:pPr>
            <w:r w:rsidRPr="00D97438">
              <w:rPr>
                <w:rFonts w:ascii="Palatino Linotype" w:hAnsi="Palatino Linotype"/>
                <w:sz w:val="20"/>
              </w:rPr>
              <w:t>1.0</w:t>
            </w:r>
          </w:p>
        </w:tc>
        <w:tc>
          <w:tcPr>
            <w:tcW w:w="11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0EE46DD" w14:textId="77777777" w:rsidR="00371419" w:rsidRPr="00D97438" w:rsidRDefault="00371419" w:rsidP="00D97438">
            <w:pPr>
              <w:jc w:val="center"/>
              <w:rPr>
                <w:rFonts w:ascii="Palatino Linotype" w:hAnsi="Palatino Linotype"/>
                <w:sz w:val="20"/>
              </w:rPr>
            </w:pPr>
            <w:r w:rsidRPr="00D97438">
              <w:rPr>
                <w:rFonts w:ascii="Palatino Linotype" w:hAnsi="Palatino Linotype"/>
                <w:sz w:val="20"/>
              </w:rPr>
              <w:t>3.1</w:t>
            </w:r>
          </w:p>
        </w:tc>
        <w:tc>
          <w:tcPr>
            <w:tcW w:w="72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10217124" w14:textId="77777777" w:rsidR="00371419" w:rsidRPr="00D97438" w:rsidRDefault="00371419" w:rsidP="00D97438">
            <w:pPr>
              <w:jc w:val="center"/>
              <w:rPr>
                <w:rFonts w:ascii="Palatino Linotype" w:hAnsi="Palatino Linotype"/>
                <w:sz w:val="20"/>
              </w:rPr>
            </w:pPr>
            <w:r w:rsidRPr="00AF6B95">
              <w:rPr>
                <w:rFonts w:ascii="Palatino Linotype" w:hAnsi="Palatino Linotype"/>
                <w:sz w:val="20"/>
              </w:rPr>
              <w:t>PV</w:t>
            </w:r>
          </w:p>
        </w:tc>
        <w:tc>
          <w:tcPr>
            <w:tcW w:w="8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DFE3849" w14:textId="77777777" w:rsidR="00371419" w:rsidRPr="00D97438" w:rsidRDefault="00371419" w:rsidP="00D97438">
            <w:pPr>
              <w:jc w:val="center"/>
              <w:rPr>
                <w:rFonts w:ascii="Palatino Linotype" w:hAnsi="Palatino Linotype"/>
                <w:sz w:val="20"/>
              </w:rPr>
            </w:pPr>
            <w:r w:rsidRPr="00D97438">
              <w:rPr>
                <w:rFonts w:ascii="Palatino Linotype" w:hAnsi="Palatino Linotype"/>
                <w:sz w:val="20"/>
              </w:rPr>
              <w:t>New</w:t>
            </w:r>
          </w:p>
        </w:tc>
        <w:tc>
          <w:tcPr>
            <w:tcW w:w="72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CC229ED" w14:textId="77777777" w:rsidR="00371419" w:rsidRPr="00D97438" w:rsidRDefault="00371419" w:rsidP="00D97438">
            <w:pPr>
              <w:jc w:val="center"/>
              <w:rPr>
                <w:rFonts w:ascii="Palatino Linotype" w:hAnsi="Palatino Linotype"/>
                <w:sz w:val="20"/>
              </w:rPr>
            </w:pPr>
            <w:r w:rsidRPr="00D97438">
              <w:rPr>
                <w:rFonts w:ascii="Palatino Linotype" w:hAnsi="Palatino Linotype"/>
                <w:sz w:val="20"/>
              </w:rPr>
              <w:t>20</w:t>
            </w:r>
          </w:p>
        </w:tc>
        <w:tc>
          <w:tcPr>
            <w:tcW w:w="8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FCF4808" w14:textId="77777777" w:rsidR="00371419" w:rsidRPr="00371419" w:rsidRDefault="00371419" w:rsidP="00371419">
            <w:pPr>
              <w:jc w:val="center"/>
              <w:rPr>
                <w:rFonts w:ascii="Palatino Linotype" w:hAnsi="Palatino Linotype"/>
                <w:color w:val="000000"/>
                <w:sz w:val="20"/>
              </w:rPr>
            </w:pPr>
            <w:r w:rsidRPr="00371419">
              <w:rPr>
                <w:rFonts w:ascii="Palatino Linotype" w:hAnsi="Palatino Linotype"/>
                <w:color w:val="000000"/>
                <w:sz w:val="20"/>
              </w:rPr>
              <w:t>$126.83</w:t>
            </w:r>
          </w:p>
        </w:tc>
        <w:tc>
          <w:tcPr>
            <w:tcW w:w="11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E0B3A10" w14:textId="77777777" w:rsidR="00371419" w:rsidRPr="00D97438" w:rsidRDefault="00371419" w:rsidP="00D97438">
            <w:pPr>
              <w:jc w:val="center"/>
              <w:rPr>
                <w:rFonts w:ascii="Palatino Linotype" w:hAnsi="Palatino Linotype"/>
                <w:sz w:val="20"/>
              </w:rPr>
            </w:pPr>
            <w:r w:rsidRPr="00D97438">
              <w:rPr>
                <w:rFonts w:ascii="Palatino Linotype" w:hAnsi="Palatino Linotype"/>
                <w:sz w:val="20"/>
              </w:rPr>
              <w:t>4/15/2014</w:t>
            </w:r>
          </w:p>
        </w:tc>
      </w:tr>
      <w:tr w:rsidR="00371419" w:rsidRPr="00D97438" w14:paraId="40F8FD7C" w14:textId="77777777" w:rsidTr="00D97438">
        <w:trPr>
          <w:trHeight w:val="300"/>
        </w:trPr>
        <w:tc>
          <w:tcPr>
            <w:tcW w:w="252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D9A5814" w14:textId="77777777" w:rsidR="00371419" w:rsidRPr="00D97438" w:rsidRDefault="00371419">
            <w:pPr>
              <w:rPr>
                <w:rFonts w:ascii="Palatino Linotype" w:hAnsi="Palatino Linotype"/>
                <w:sz w:val="20"/>
              </w:rPr>
            </w:pPr>
            <w:r w:rsidRPr="00D97438">
              <w:rPr>
                <w:rFonts w:ascii="Palatino Linotype" w:hAnsi="Palatino Linotype"/>
                <w:sz w:val="20"/>
              </w:rPr>
              <w:t>Venezia Solar</w:t>
            </w:r>
          </w:p>
        </w:tc>
        <w:tc>
          <w:tcPr>
            <w:tcW w:w="18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531B9BA" w14:textId="77777777" w:rsidR="00371419" w:rsidRPr="00D97438" w:rsidRDefault="00371419">
            <w:pPr>
              <w:rPr>
                <w:rFonts w:ascii="Palatino Linotype" w:hAnsi="Palatino Linotype"/>
                <w:sz w:val="20"/>
              </w:rPr>
            </w:pPr>
            <w:r w:rsidRPr="00D97438">
              <w:rPr>
                <w:rFonts w:ascii="Palatino Linotype" w:hAnsi="Palatino Linotype"/>
                <w:sz w:val="20"/>
              </w:rPr>
              <w:t>Sunlight Partners</w:t>
            </w:r>
          </w:p>
        </w:tc>
        <w:tc>
          <w:tcPr>
            <w:tcW w:w="9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FAEF2D5" w14:textId="77777777" w:rsidR="00371419" w:rsidRPr="00D97438" w:rsidRDefault="00371419" w:rsidP="00D97438">
            <w:pPr>
              <w:jc w:val="center"/>
              <w:rPr>
                <w:rFonts w:ascii="Palatino Linotype" w:hAnsi="Palatino Linotype"/>
                <w:sz w:val="20"/>
              </w:rPr>
            </w:pPr>
            <w:r w:rsidRPr="00D97438">
              <w:rPr>
                <w:rFonts w:ascii="Palatino Linotype" w:hAnsi="Palatino Linotype"/>
                <w:sz w:val="20"/>
              </w:rPr>
              <w:t>1.5</w:t>
            </w:r>
          </w:p>
        </w:tc>
        <w:tc>
          <w:tcPr>
            <w:tcW w:w="11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5A69C30" w14:textId="77777777" w:rsidR="00371419" w:rsidRPr="00D97438" w:rsidRDefault="00371419" w:rsidP="00D97438">
            <w:pPr>
              <w:jc w:val="center"/>
              <w:rPr>
                <w:rFonts w:ascii="Palatino Linotype" w:hAnsi="Palatino Linotype"/>
                <w:sz w:val="20"/>
              </w:rPr>
            </w:pPr>
            <w:r w:rsidRPr="00D97438">
              <w:rPr>
                <w:rFonts w:ascii="Palatino Linotype" w:hAnsi="Palatino Linotype"/>
                <w:sz w:val="20"/>
              </w:rPr>
              <w:t>4.6</w:t>
            </w:r>
          </w:p>
        </w:tc>
        <w:tc>
          <w:tcPr>
            <w:tcW w:w="72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33C2A9DE" w14:textId="77777777" w:rsidR="00371419" w:rsidRPr="00D97438" w:rsidRDefault="00371419" w:rsidP="00D97438">
            <w:pPr>
              <w:jc w:val="center"/>
              <w:rPr>
                <w:rFonts w:ascii="Palatino Linotype" w:hAnsi="Palatino Linotype"/>
                <w:sz w:val="20"/>
              </w:rPr>
            </w:pPr>
            <w:r w:rsidRPr="00AF6B95">
              <w:rPr>
                <w:rFonts w:ascii="Palatino Linotype" w:hAnsi="Palatino Linotype"/>
                <w:sz w:val="20"/>
              </w:rPr>
              <w:t>PV</w:t>
            </w:r>
          </w:p>
        </w:tc>
        <w:tc>
          <w:tcPr>
            <w:tcW w:w="8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DFB679D" w14:textId="77777777" w:rsidR="00371419" w:rsidRPr="00D97438" w:rsidRDefault="00371419" w:rsidP="00D97438">
            <w:pPr>
              <w:jc w:val="center"/>
              <w:rPr>
                <w:rFonts w:ascii="Palatino Linotype" w:hAnsi="Palatino Linotype"/>
                <w:sz w:val="20"/>
              </w:rPr>
            </w:pPr>
            <w:r w:rsidRPr="00D97438">
              <w:rPr>
                <w:rFonts w:ascii="Palatino Linotype" w:hAnsi="Palatino Linotype"/>
                <w:sz w:val="20"/>
              </w:rPr>
              <w:t>New</w:t>
            </w:r>
          </w:p>
        </w:tc>
        <w:tc>
          <w:tcPr>
            <w:tcW w:w="72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0C2D431" w14:textId="77777777" w:rsidR="00371419" w:rsidRPr="00D97438" w:rsidRDefault="00371419" w:rsidP="00D97438">
            <w:pPr>
              <w:jc w:val="center"/>
              <w:rPr>
                <w:rFonts w:ascii="Palatino Linotype" w:hAnsi="Palatino Linotype"/>
                <w:sz w:val="20"/>
              </w:rPr>
            </w:pPr>
            <w:r w:rsidRPr="00D97438">
              <w:rPr>
                <w:rFonts w:ascii="Palatino Linotype" w:hAnsi="Palatino Linotype"/>
                <w:sz w:val="20"/>
              </w:rPr>
              <w:t>20</w:t>
            </w:r>
          </w:p>
        </w:tc>
        <w:tc>
          <w:tcPr>
            <w:tcW w:w="8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D5333B2" w14:textId="77777777" w:rsidR="00371419" w:rsidRPr="00371419" w:rsidRDefault="00371419" w:rsidP="00371419">
            <w:pPr>
              <w:jc w:val="center"/>
              <w:rPr>
                <w:rFonts w:ascii="Palatino Linotype" w:hAnsi="Palatino Linotype"/>
                <w:color w:val="000000"/>
                <w:sz w:val="20"/>
              </w:rPr>
            </w:pPr>
            <w:r w:rsidRPr="00371419">
              <w:rPr>
                <w:rFonts w:ascii="Palatino Linotype" w:hAnsi="Palatino Linotype"/>
                <w:color w:val="000000"/>
                <w:sz w:val="20"/>
              </w:rPr>
              <w:t>$126.83</w:t>
            </w:r>
          </w:p>
        </w:tc>
        <w:tc>
          <w:tcPr>
            <w:tcW w:w="11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BF2E99D" w14:textId="77777777" w:rsidR="00371419" w:rsidRPr="00D97438" w:rsidRDefault="00371419" w:rsidP="00D97438">
            <w:pPr>
              <w:jc w:val="center"/>
              <w:rPr>
                <w:rFonts w:ascii="Palatino Linotype" w:hAnsi="Palatino Linotype"/>
                <w:sz w:val="20"/>
              </w:rPr>
            </w:pPr>
            <w:r w:rsidRPr="00D97438">
              <w:rPr>
                <w:rFonts w:ascii="Palatino Linotype" w:hAnsi="Palatino Linotype"/>
                <w:sz w:val="20"/>
              </w:rPr>
              <w:t>4/15/2014</w:t>
            </w:r>
          </w:p>
        </w:tc>
      </w:tr>
      <w:tr w:rsidR="00371419" w:rsidRPr="00D97438" w14:paraId="59E37169" w14:textId="77777777" w:rsidTr="00D97438">
        <w:trPr>
          <w:trHeight w:val="300"/>
        </w:trPr>
        <w:tc>
          <w:tcPr>
            <w:tcW w:w="252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B214288" w14:textId="77777777" w:rsidR="00371419" w:rsidRPr="00D97438" w:rsidRDefault="00371419">
            <w:pPr>
              <w:rPr>
                <w:rFonts w:ascii="Palatino Linotype" w:hAnsi="Palatino Linotype"/>
                <w:sz w:val="20"/>
              </w:rPr>
            </w:pPr>
            <w:r w:rsidRPr="00D97438">
              <w:rPr>
                <w:rFonts w:ascii="Palatino Linotype" w:hAnsi="Palatino Linotype"/>
                <w:sz w:val="20"/>
              </w:rPr>
              <w:t>Gales B East</w:t>
            </w:r>
          </w:p>
        </w:tc>
        <w:tc>
          <w:tcPr>
            <w:tcW w:w="18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60235FF" w14:textId="77777777" w:rsidR="00371419" w:rsidRPr="00D97438" w:rsidRDefault="00371419">
            <w:pPr>
              <w:rPr>
                <w:rFonts w:ascii="Palatino Linotype" w:hAnsi="Palatino Linotype"/>
                <w:sz w:val="20"/>
              </w:rPr>
            </w:pPr>
            <w:r w:rsidRPr="00D97438">
              <w:rPr>
                <w:rFonts w:ascii="Palatino Linotype" w:hAnsi="Palatino Linotype"/>
                <w:sz w:val="20"/>
              </w:rPr>
              <w:t>Belectric/Coronus</w:t>
            </w:r>
          </w:p>
        </w:tc>
        <w:tc>
          <w:tcPr>
            <w:tcW w:w="9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DDE4245" w14:textId="77777777" w:rsidR="00371419" w:rsidRPr="00D97438" w:rsidRDefault="00371419" w:rsidP="00D97438">
            <w:pPr>
              <w:jc w:val="center"/>
              <w:rPr>
                <w:rFonts w:ascii="Palatino Linotype" w:hAnsi="Palatino Linotype"/>
                <w:sz w:val="20"/>
              </w:rPr>
            </w:pPr>
            <w:r w:rsidRPr="00D97438">
              <w:rPr>
                <w:rFonts w:ascii="Palatino Linotype" w:hAnsi="Palatino Linotype"/>
                <w:sz w:val="20"/>
              </w:rPr>
              <w:t>1.5</w:t>
            </w:r>
          </w:p>
        </w:tc>
        <w:tc>
          <w:tcPr>
            <w:tcW w:w="11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2A1013F" w14:textId="77777777" w:rsidR="00371419" w:rsidRPr="00D97438" w:rsidRDefault="00371419" w:rsidP="00D97438">
            <w:pPr>
              <w:jc w:val="center"/>
              <w:rPr>
                <w:rFonts w:ascii="Palatino Linotype" w:hAnsi="Palatino Linotype"/>
                <w:sz w:val="20"/>
              </w:rPr>
            </w:pPr>
            <w:r w:rsidRPr="00D97438">
              <w:rPr>
                <w:rFonts w:ascii="Palatino Linotype" w:hAnsi="Palatino Linotype"/>
                <w:sz w:val="20"/>
              </w:rPr>
              <w:t>3.4</w:t>
            </w:r>
          </w:p>
        </w:tc>
        <w:tc>
          <w:tcPr>
            <w:tcW w:w="72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15B99FDC" w14:textId="77777777" w:rsidR="00371419" w:rsidRPr="00D97438" w:rsidRDefault="00371419" w:rsidP="00D97438">
            <w:pPr>
              <w:jc w:val="center"/>
              <w:rPr>
                <w:rFonts w:ascii="Palatino Linotype" w:hAnsi="Palatino Linotype"/>
                <w:sz w:val="20"/>
              </w:rPr>
            </w:pPr>
            <w:r w:rsidRPr="00AF6B95">
              <w:rPr>
                <w:rFonts w:ascii="Palatino Linotype" w:hAnsi="Palatino Linotype"/>
                <w:sz w:val="20"/>
              </w:rPr>
              <w:t>PV</w:t>
            </w:r>
          </w:p>
        </w:tc>
        <w:tc>
          <w:tcPr>
            <w:tcW w:w="8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D3689D3" w14:textId="77777777" w:rsidR="00371419" w:rsidRPr="00D97438" w:rsidRDefault="00371419" w:rsidP="00D97438">
            <w:pPr>
              <w:jc w:val="center"/>
              <w:rPr>
                <w:rFonts w:ascii="Palatino Linotype" w:hAnsi="Palatino Linotype"/>
                <w:sz w:val="20"/>
              </w:rPr>
            </w:pPr>
            <w:r w:rsidRPr="00D97438">
              <w:rPr>
                <w:rFonts w:ascii="Palatino Linotype" w:hAnsi="Palatino Linotype"/>
                <w:sz w:val="20"/>
              </w:rPr>
              <w:t>New</w:t>
            </w:r>
          </w:p>
        </w:tc>
        <w:tc>
          <w:tcPr>
            <w:tcW w:w="72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0522166" w14:textId="77777777" w:rsidR="00371419" w:rsidRPr="00D97438" w:rsidRDefault="00371419" w:rsidP="00D97438">
            <w:pPr>
              <w:jc w:val="center"/>
              <w:rPr>
                <w:rFonts w:ascii="Palatino Linotype" w:hAnsi="Palatino Linotype"/>
                <w:sz w:val="20"/>
              </w:rPr>
            </w:pPr>
            <w:r w:rsidRPr="00D97438">
              <w:rPr>
                <w:rFonts w:ascii="Palatino Linotype" w:hAnsi="Palatino Linotype"/>
                <w:sz w:val="20"/>
              </w:rPr>
              <w:t>20</w:t>
            </w:r>
          </w:p>
        </w:tc>
        <w:tc>
          <w:tcPr>
            <w:tcW w:w="8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9D7ECF1" w14:textId="77777777" w:rsidR="00371419" w:rsidRPr="00371419" w:rsidRDefault="00371419" w:rsidP="00371419">
            <w:pPr>
              <w:jc w:val="center"/>
              <w:rPr>
                <w:rFonts w:ascii="Palatino Linotype" w:hAnsi="Palatino Linotype"/>
                <w:color w:val="000000"/>
                <w:sz w:val="20"/>
              </w:rPr>
            </w:pPr>
            <w:r w:rsidRPr="00371419">
              <w:rPr>
                <w:rFonts w:ascii="Palatino Linotype" w:hAnsi="Palatino Linotype"/>
                <w:color w:val="000000"/>
                <w:sz w:val="20"/>
              </w:rPr>
              <w:t>$126.83</w:t>
            </w:r>
          </w:p>
        </w:tc>
        <w:tc>
          <w:tcPr>
            <w:tcW w:w="11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BA9BDCF" w14:textId="77777777" w:rsidR="00371419" w:rsidRPr="00D97438" w:rsidRDefault="00371419" w:rsidP="00D97438">
            <w:pPr>
              <w:jc w:val="center"/>
              <w:rPr>
                <w:rFonts w:ascii="Palatino Linotype" w:hAnsi="Palatino Linotype"/>
                <w:sz w:val="20"/>
              </w:rPr>
            </w:pPr>
            <w:r w:rsidRPr="00D97438">
              <w:rPr>
                <w:rFonts w:ascii="Palatino Linotype" w:hAnsi="Palatino Linotype"/>
                <w:sz w:val="20"/>
              </w:rPr>
              <w:t>1/17/2014</w:t>
            </w:r>
          </w:p>
        </w:tc>
      </w:tr>
      <w:tr w:rsidR="00371419" w:rsidRPr="00D97438" w14:paraId="6274AC16" w14:textId="77777777" w:rsidTr="00D97438">
        <w:trPr>
          <w:trHeight w:val="300"/>
        </w:trPr>
        <w:tc>
          <w:tcPr>
            <w:tcW w:w="252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582A05D" w14:textId="77777777" w:rsidR="00371419" w:rsidRPr="00D97438" w:rsidRDefault="00371419">
            <w:pPr>
              <w:rPr>
                <w:rFonts w:ascii="Palatino Linotype" w:hAnsi="Palatino Linotype"/>
                <w:sz w:val="20"/>
              </w:rPr>
            </w:pPr>
            <w:r w:rsidRPr="00D97438">
              <w:rPr>
                <w:rFonts w:ascii="Palatino Linotype" w:hAnsi="Palatino Linotype"/>
                <w:sz w:val="20"/>
              </w:rPr>
              <w:t>Gales A West</w:t>
            </w:r>
          </w:p>
        </w:tc>
        <w:tc>
          <w:tcPr>
            <w:tcW w:w="18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F4ED3BE" w14:textId="77777777" w:rsidR="00371419" w:rsidRPr="00D97438" w:rsidRDefault="00371419">
            <w:pPr>
              <w:rPr>
                <w:rFonts w:ascii="Palatino Linotype" w:hAnsi="Palatino Linotype"/>
                <w:sz w:val="20"/>
              </w:rPr>
            </w:pPr>
            <w:r w:rsidRPr="00D97438">
              <w:rPr>
                <w:rFonts w:ascii="Palatino Linotype" w:hAnsi="Palatino Linotype"/>
                <w:sz w:val="20"/>
              </w:rPr>
              <w:t>Belectric/Coronus</w:t>
            </w:r>
          </w:p>
        </w:tc>
        <w:tc>
          <w:tcPr>
            <w:tcW w:w="9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E1E1690" w14:textId="77777777" w:rsidR="00371419" w:rsidRPr="00D97438" w:rsidRDefault="00371419" w:rsidP="00D97438">
            <w:pPr>
              <w:jc w:val="center"/>
              <w:rPr>
                <w:rFonts w:ascii="Palatino Linotype" w:hAnsi="Palatino Linotype"/>
                <w:sz w:val="20"/>
              </w:rPr>
            </w:pPr>
            <w:r w:rsidRPr="00D97438">
              <w:rPr>
                <w:rFonts w:ascii="Palatino Linotype" w:hAnsi="Palatino Linotype"/>
                <w:sz w:val="20"/>
              </w:rPr>
              <w:t>1.5</w:t>
            </w:r>
          </w:p>
        </w:tc>
        <w:tc>
          <w:tcPr>
            <w:tcW w:w="11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354536D" w14:textId="77777777" w:rsidR="00371419" w:rsidRPr="00D97438" w:rsidRDefault="00371419" w:rsidP="00D97438">
            <w:pPr>
              <w:jc w:val="center"/>
              <w:rPr>
                <w:rFonts w:ascii="Palatino Linotype" w:hAnsi="Palatino Linotype"/>
                <w:sz w:val="20"/>
              </w:rPr>
            </w:pPr>
            <w:r w:rsidRPr="00D97438">
              <w:rPr>
                <w:rFonts w:ascii="Palatino Linotype" w:hAnsi="Palatino Linotype"/>
                <w:sz w:val="20"/>
              </w:rPr>
              <w:t>3.4</w:t>
            </w:r>
          </w:p>
        </w:tc>
        <w:tc>
          <w:tcPr>
            <w:tcW w:w="72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45115084" w14:textId="77777777" w:rsidR="00371419" w:rsidRPr="00D97438" w:rsidRDefault="00371419" w:rsidP="00D97438">
            <w:pPr>
              <w:jc w:val="center"/>
              <w:rPr>
                <w:rFonts w:ascii="Palatino Linotype" w:hAnsi="Palatino Linotype"/>
                <w:sz w:val="20"/>
              </w:rPr>
            </w:pPr>
            <w:r w:rsidRPr="00AF6B95">
              <w:rPr>
                <w:rFonts w:ascii="Palatino Linotype" w:hAnsi="Palatino Linotype"/>
                <w:sz w:val="20"/>
              </w:rPr>
              <w:t>PV</w:t>
            </w:r>
          </w:p>
        </w:tc>
        <w:tc>
          <w:tcPr>
            <w:tcW w:w="8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44AC293" w14:textId="77777777" w:rsidR="00371419" w:rsidRPr="00D97438" w:rsidRDefault="00371419" w:rsidP="00D97438">
            <w:pPr>
              <w:jc w:val="center"/>
              <w:rPr>
                <w:rFonts w:ascii="Palatino Linotype" w:hAnsi="Palatino Linotype"/>
                <w:sz w:val="20"/>
              </w:rPr>
            </w:pPr>
            <w:r w:rsidRPr="00D97438">
              <w:rPr>
                <w:rFonts w:ascii="Palatino Linotype" w:hAnsi="Palatino Linotype"/>
                <w:sz w:val="20"/>
              </w:rPr>
              <w:t>New</w:t>
            </w:r>
          </w:p>
        </w:tc>
        <w:tc>
          <w:tcPr>
            <w:tcW w:w="72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3176D74" w14:textId="77777777" w:rsidR="00371419" w:rsidRPr="00D97438" w:rsidRDefault="00371419" w:rsidP="00D97438">
            <w:pPr>
              <w:jc w:val="center"/>
              <w:rPr>
                <w:rFonts w:ascii="Palatino Linotype" w:hAnsi="Palatino Linotype"/>
                <w:sz w:val="20"/>
              </w:rPr>
            </w:pPr>
            <w:r w:rsidRPr="00D97438">
              <w:rPr>
                <w:rFonts w:ascii="Palatino Linotype" w:hAnsi="Palatino Linotype"/>
                <w:sz w:val="20"/>
              </w:rPr>
              <w:t>20</w:t>
            </w:r>
          </w:p>
        </w:tc>
        <w:tc>
          <w:tcPr>
            <w:tcW w:w="8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4CEABC5" w14:textId="77777777" w:rsidR="00371419" w:rsidRPr="00371419" w:rsidRDefault="00371419" w:rsidP="00371419">
            <w:pPr>
              <w:jc w:val="center"/>
              <w:rPr>
                <w:rFonts w:ascii="Palatino Linotype" w:hAnsi="Palatino Linotype"/>
                <w:color w:val="000000"/>
                <w:sz w:val="20"/>
              </w:rPr>
            </w:pPr>
            <w:r w:rsidRPr="00371419">
              <w:rPr>
                <w:rFonts w:ascii="Palatino Linotype" w:hAnsi="Palatino Linotype"/>
                <w:color w:val="000000"/>
                <w:sz w:val="20"/>
              </w:rPr>
              <w:t>$126.83</w:t>
            </w:r>
          </w:p>
        </w:tc>
        <w:tc>
          <w:tcPr>
            <w:tcW w:w="11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7A079FC" w14:textId="77777777" w:rsidR="00371419" w:rsidRPr="00D97438" w:rsidRDefault="00371419" w:rsidP="00D97438">
            <w:pPr>
              <w:jc w:val="center"/>
              <w:rPr>
                <w:rFonts w:ascii="Palatino Linotype" w:hAnsi="Palatino Linotype"/>
                <w:sz w:val="20"/>
              </w:rPr>
            </w:pPr>
            <w:r w:rsidRPr="00D97438">
              <w:rPr>
                <w:rFonts w:ascii="Palatino Linotype" w:hAnsi="Palatino Linotype"/>
                <w:sz w:val="20"/>
              </w:rPr>
              <w:t>1/17/2014</w:t>
            </w:r>
          </w:p>
        </w:tc>
      </w:tr>
      <w:tr w:rsidR="00371419" w:rsidRPr="00D97438" w14:paraId="1AFB8F8D" w14:textId="77777777" w:rsidTr="00D97438">
        <w:trPr>
          <w:trHeight w:val="300"/>
        </w:trPr>
        <w:tc>
          <w:tcPr>
            <w:tcW w:w="252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0FAA547" w14:textId="77777777" w:rsidR="00371419" w:rsidRPr="00D97438" w:rsidRDefault="00371419">
            <w:pPr>
              <w:rPr>
                <w:rFonts w:ascii="Palatino Linotype" w:hAnsi="Palatino Linotype"/>
                <w:sz w:val="20"/>
              </w:rPr>
            </w:pPr>
            <w:r w:rsidRPr="00D97438">
              <w:rPr>
                <w:rFonts w:ascii="Palatino Linotype" w:hAnsi="Palatino Linotype"/>
                <w:sz w:val="20"/>
              </w:rPr>
              <w:t>Ecos Energy</w:t>
            </w:r>
          </w:p>
        </w:tc>
        <w:tc>
          <w:tcPr>
            <w:tcW w:w="18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AA3741B" w14:textId="77777777" w:rsidR="00371419" w:rsidRPr="00D97438" w:rsidRDefault="00371419">
            <w:pPr>
              <w:rPr>
                <w:rFonts w:ascii="Palatino Linotype" w:hAnsi="Palatino Linotype"/>
                <w:sz w:val="20"/>
              </w:rPr>
            </w:pPr>
            <w:r w:rsidRPr="00D97438">
              <w:rPr>
                <w:rFonts w:ascii="Palatino Linotype" w:hAnsi="Palatino Linotype"/>
                <w:sz w:val="20"/>
              </w:rPr>
              <w:t>Ecos Energy</w:t>
            </w:r>
          </w:p>
        </w:tc>
        <w:tc>
          <w:tcPr>
            <w:tcW w:w="9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BA9E516" w14:textId="77777777" w:rsidR="00371419" w:rsidRPr="00D97438" w:rsidRDefault="00371419" w:rsidP="00D97438">
            <w:pPr>
              <w:jc w:val="center"/>
              <w:rPr>
                <w:rFonts w:ascii="Palatino Linotype" w:hAnsi="Palatino Linotype"/>
                <w:sz w:val="20"/>
              </w:rPr>
            </w:pPr>
            <w:r w:rsidRPr="00D97438">
              <w:rPr>
                <w:rFonts w:ascii="Palatino Linotype" w:hAnsi="Palatino Linotype"/>
                <w:sz w:val="20"/>
              </w:rPr>
              <w:t>1.3</w:t>
            </w:r>
          </w:p>
        </w:tc>
        <w:tc>
          <w:tcPr>
            <w:tcW w:w="11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FC63617" w14:textId="77777777" w:rsidR="00371419" w:rsidRPr="00D97438" w:rsidRDefault="00371419" w:rsidP="00D97438">
            <w:pPr>
              <w:jc w:val="center"/>
              <w:rPr>
                <w:rFonts w:ascii="Palatino Linotype" w:hAnsi="Palatino Linotype"/>
                <w:sz w:val="20"/>
              </w:rPr>
            </w:pPr>
            <w:r w:rsidRPr="00D97438">
              <w:rPr>
                <w:rFonts w:ascii="Palatino Linotype" w:hAnsi="Palatino Linotype"/>
                <w:sz w:val="20"/>
              </w:rPr>
              <w:t>2.7</w:t>
            </w:r>
          </w:p>
        </w:tc>
        <w:tc>
          <w:tcPr>
            <w:tcW w:w="72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4215D391" w14:textId="77777777" w:rsidR="00371419" w:rsidRPr="00D97438" w:rsidRDefault="00371419" w:rsidP="00D97438">
            <w:pPr>
              <w:jc w:val="center"/>
              <w:rPr>
                <w:rFonts w:ascii="Palatino Linotype" w:hAnsi="Palatino Linotype"/>
                <w:sz w:val="20"/>
              </w:rPr>
            </w:pPr>
            <w:r w:rsidRPr="00AF6B95">
              <w:rPr>
                <w:rFonts w:ascii="Palatino Linotype" w:hAnsi="Palatino Linotype"/>
                <w:sz w:val="20"/>
              </w:rPr>
              <w:t>PV</w:t>
            </w:r>
          </w:p>
        </w:tc>
        <w:tc>
          <w:tcPr>
            <w:tcW w:w="8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A6238E4" w14:textId="77777777" w:rsidR="00371419" w:rsidRPr="00D97438" w:rsidRDefault="00371419" w:rsidP="00D97438">
            <w:pPr>
              <w:jc w:val="center"/>
              <w:rPr>
                <w:rFonts w:ascii="Palatino Linotype" w:hAnsi="Palatino Linotype"/>
                <w:sz w:val="20"/>
              </w:rPr>
            </w:pPr>
            <w:r w:rsidRPr="00D97438">
              <w:rPr>
                <w:rFonts w:ascii="Palatino Linotype" w:hAnsi="Palatino Linotype"/>
                <w:sz w:val="20"/>
              </w:rPr>
              <w:t>New</w:t>
            </w:r>
          </w:p>
        </w:tc>
        <w:tc>
          <w:tcPr>
            <w:tcW w:w="72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52D6D28" w14:textId="77777777" w:rsidR="00371419" w:rsidRPr="00D97438" w:rsidRDefault="00371419" w:rsidP="00D97438">
            <w:pPr>
              <w:jc w:val="center"/>
              <w:rPr>
                <w:rFonts w:ascii="Palatino Linotype" w:hAnsi="Palatino Linotype"/>
                <w:sz w:val="20"/>
              </w:rPr>
            </w:pPr>
            <w:r w:rsidRPr="00D97438">
              <w:rPr>
                <w:rFonts w:ascii="Palatino Linotype" w:hAnsi="Palatino Linotype"/>
                <w:sz w:val="20"/>
              </w:rPr>
              <w:t>20</w:t>
            </w:r>
          </w:p>
        </w:tc>
        <w:tc>
          <w:tcPr>
            <w:tcW w:w="8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AC14158" w14:textId="77777777" w:rsidR="00371419" w:rsidRPr="00371419" w:rsidRDefault="00371419" w:rsidP="00371419">
            <w:pPr>
              <w:jc w:val="center"/>
              <w:rPr>
                <w:rFonts w:ascii="Palatino Linotype" w:hAnsi="Palatino Linotype"/>
                <w:color w:val="000000"/>
                <w:sz w:val="20"/>
              </w:rPr>
            </w:pPr>
            <w:r w:rsidRPr="00371419">
              <w:rPr>
                <w:rFonts w:ascii="Palatino Linotype" w:hAnsi="Palatino Linotype"/>
                <w:color w:val="000000"/>
                <w:sz w:val="20"/>
              </w:rPr>
              <w:t>$126.83</w:t>
            </w:r>
          </w:p>
        </w:tc>
        <w:tc>
          <w:tcPr>
            <w:tcW w:w="11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2F48E15" w14:textId="77777777" w:rsidR="00371419" w:rsidRPr="00D97438" w:rsidRDefault="00371419" w:rsidP="00D97438">
            <w:pPr>
              <w:jc w:val="center"/>
              <w:rPr>
                <w:rFonts w:ascii="Palatino Linotype" w:hAnsi="Palatino Linotype"/>
                <w:sz w:val="20"/>
              </w:rPr>
            </w:pPr>
            <w:r w:rsidRPr="00D97438">
              <w:rPr>
                <w:rFonts w:ascii="Palatino Linotype" w:hAnsi="Palatino Linotype"/>
                <w:sz w:val="20"/>
              </w:rPr>
              <w:t>1/15/2014</w:t>
            </w:r>
          </w:p>
        </w:tc>
      </w:tr>
      <w:tr w:rsidR="00371419" w:rsidRPr="00D97438" w14:paraId="24583081" w14:textId="77777777" w:rsidTr="00D97438">
        <w:trPr>
          <w:trHeight w:val="300"/>
        </w:trPr>
        <w:tc>
          <w:tcPr>
            <w:tcW w:w="252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FBED87C" w14:textId="77777777" w:rsidR="00371419" w:rsidRPr="00D97438" w:rsidRDefault="00371419">
            <w:pPr>
              <w:rPr>
                <w:rFonts w:ascii="Palatino Linotype" w:hAnsi="Palatino Linotype"/>
                <w:sz w:val="20"/>
              </w:rPr>
            </w:pPr>
            <w:r w:rsidRPr="00D97438">
              <w:rPr>
                <w:rFonts w:ascii="Palatino Linotype" w:hAnsi="Palatino Linotype"/>
                <w:sz w:val="20"/>
              </w:rPr>
              <w:t>Adelanto West 2</w:t>
            </w:r>
          </w:p>
        </w:tc>
        <w:tc>
          <w:tcPr>
            <w:tcW w:w="18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783D2BC" w14:textId="77777777" w:rsidR="00371419" w:rsidRPr="00D97438" w:rsidRDefault="00371419">
            <w:pPr>
              <w:rPr>
                <w:rFonts w:ascii="Palatino Linotype" w:hAnsi="Palatino Linotype"/>
                <w:sz w:val="20"/>
              </w:rPr>
            </w:pPr>
            <w:r w:rsidRPr="00D97438">
              <w:rPr>
                <w:rFonts w:ascii="Palatino Linotype" w:hAnsi="Palatino Linotype"/>
                <w:sz w:val="20"/>
              </w:rPr>
              <w:t>Belectric/Coronus</w:t>
            </w:r>
          </w:p>
        </w:tc>
        <w:tc>
          <w:tcPr>
            <w:tcW w:w="9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73826ED" w14:textId="77777777" w:rsidR="00371419" w:rsidRPr="00D97438" w:rsidRDefault="00371419" w:rsidP="00D97438">
            <w:pPr>
              <w:jc w:val="center"/>
              <w:rPr>
                <w:rFonts w:ascii="Palatino Linotype" w:hAnsi="Palatino Linotype"/>
                <w:sz w:val="20"/>
              </w:rPr>
            </w:pPr>
            <w:r w:rsidRPr="00D97438">
              <w:rPr>
                <w:rFonts w:ascii="Palatino Linotype" w:hAnsi="Palatino Linotype"/>
                <w:sz w:val="20"/>
              </w:rPr>
              <w:t>1.5</w:t>
            </w:r>
          </w:p>
        </w:tc>
        <w:tc>
          <w:tcPr>
            <w:tcW w:w="11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03A2785" w14:textId="77777777" w:rsidR="00371419" w:rsidRPr="00D97438" w:rsidRDefault="00371419" w:rsidP="00D97438">
            <w:pPr>
              <w:jc w:val="center"/>
              <w:rPr>
                <w:rFonts w:ascii="Palatino Linotype" w:hAnsi="Palatino Linotype"/>
                <w:sz w:val="20"/>
              </w:rPr>
            </w:pPr>
            <w:r w:rsidRPr="00D97438">
              <w:rPr>
                <w:rFonts w:ascii="Palatino Linotype" w:hAnsi="Palatino Linotype"/>
                <w:sz w:val="20"/>
              </w:rPr>
              <w:t>3.6</w:t>
            </w:r>
          </w:p>
        </w:tc>
        <w:tc>
          <w:tcPr>
            <w:tcW w:w="72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520ACF7D" w14:textId="77777777" w:rsidR="00371419" w:rsidRPr="00D97438" w:rsidRDefault="00371419" w:rsidP="00D97438">
            <w:pPr>
              <w:jc w:val="center"/>
              <w:rPr>
                <w:rFonts w:ascii="Palatino Linotype" w:hAnsi="Palatino Linotype"/>
                <w:sz w:val="20"/>
              </w:rPr>
            </w:pPr>
            <w:r w:rsidRPr="00AF6B95">
              <w:rPr>
                <w:rFonts w:ascii="Palatino Linotype" w:hAnsi="Palatino Linotype"/>
                <w:sz w:val="20"/>
              </w:rPr>
              <w:t>PV</w:t>
            </w:r>
          </w:p>
        </w:tc>
        <w:tc>
          <w:tcPr>
            <w:tcW w:w="8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3C6D4C5" w14:textId="77777777" w:rsidR="00371419" w:rsidRPr="00D97438" w:rsidRDefault="00371419" w:rsidP="00D97438">
            <w:pPr>
              <w:jc w:val="center"/>
              <w:rPr>
                <w:rFonts w:ascii="Palatino Linotype" w:hAnsi="Palatino Linotype"/>
                <w:sz w:val="20"/>
              </w:rPr>
            </w:pPr>
            <w:r w:rsidRPr="00D97438">
              <w:rPr>
                <w:rFonts w:ascii="Palatino Linotype" w:hAnsi="Palatino Linotype"/>
                <w:sz w:val="20"/>
              </w:rPr>
              <w:t>New</w:t>
            </w:r>
          </w:p>
        </w:tc>
        <w:tc>
          <w:tcPr>
            <w:tcW w:w="72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DDD29B5" w14:textId="77777777" w:rsidR="00371419" w:rsidRPr="00D97438" w:rsidRDefault="00371419" w:rsidP="00D97438">
            <w:pPr>
              <w:jc w:val="center"/>
              <w:rPr>
                <w:rFonts w:ascii="Palatino Linotype" w:hAnsi="Palatino Linotype"/>
                <w:sz w:val="20"/>
              </w:rPr>
            </w:pPr>
            <w:r w:rsidRPr="00D97438">
              <w:rPr>
                <w:rFonts w:ascii="Palatino Linotype" w:hAnsi="Palatino Linotype"/>
                <w:sz w:val="20"/>
              </w:rPr>
              <w:t>20</w:t>
            </w:r>
          </w:p>
        </w:tc>
        <w:tc>
          <w:tcPr>
            <w:tcW w:w="8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8960209" w14:textId="77777777" w:rsidR="00371419" w:rsidRPr="00371419" w:rsidRDefault="00371419" w:rsidP="00371419">
            <w:pPr>
              <w:jc w:val="center"/>
              <w:rPr>
                <w:rFonts w:ascii="Palatino Linotype" w:hAnsi="Palatino Linotype"/>
                <w:color w:val="000000"/>
                <w:sz w:val="20"/>
              </w:rPr>
            </w:pPr>
            <w:r w:rsidRPr="00371419">
              <w:rPr>
                <w:rFonts w:ascii="Palatino Linotype" w:hAnsi="Palatino Linotype"/>
                <w:color w:val="000000"/>
                <w:sz w:val="20"/>
              </w:rPr>
              <w:t>$126.83</w:t>
            </w:r>
          </w:p>
        </w:tc>
        <w:tc>
          <w:tcPr>
            <w:tcW w:w="11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DD8E1B9" w14:textId="77777777" w:rsidR="00371419" w:rsidRPr="00D97438" w:rsidRDefault="00371419" w:rsidP="00D97438">
            <w:pPr>
              <w:jc w:val="center"/>
              <w:rPr>
                <w:rFonts w:ascii="Palatino Linotype" w:hAnsi="Palatino Linotype"/>
                <w:sz w:val="20"/>
              </w:rPr>
            </w:pPr>
            <w:r w:rsidRPr="00D97438">
              <w:rPr>
                <w:rFonts w:ascii="Palatino Linotype" w:hAnsi="Palatino Linotype"/>
                <w:sz w:val="20"/>
              </w:rPr>
              <w:t>1/15/2014</w:t>
            </w:r>
          </w:p>
        </w:tc>
      </w:tr>
      <w:tr w:rsidR="00371419" w:rsidRPr="00D97438" w14:paraId="3C86242C" w14:textId="77777777" w:rsidTr="00D97438">
        <w:trPr>
          <w:trHeight w:val="300"/>
        </w:trPr>
        <w:tc>
          <w:tcPr>
            <w:tcW w:w="252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649847A" w14:textId="77777777" w:rsidR="00371419" w:rsidRPr="00D97438" w:rsidRDefault="00371419">
            <w:pPr>
              <w:rPr>
                <w:rFonts w:ascii="Palatino Linotype" w:hAnsi="Palatino Linotype"/>
                <w:sz w:val="20"/>
              </w:rPr>
            </w:pPr>
            <w:r w:rsidRPr="00D97438">
              <w:rPr>
                <w:rFonts w:ascii="Palatino Linotype" w:hAnsi="Palatino Linotype"/>
                <w:sz w:val="20"/>
              </w:rPr>
              <w:t>Adelanto West 1</w:t>
            </w:r>
          </w:p>
        </w:tc>
        <w:tc>
          <w:tcPr>
            <w:tcW w:w="18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D6C1E54" w14:textId="77777777" w:rsidR="00371419" w:rsidRPr="00D97438" w:rsidRDefault="00371419">
            <w:pPr>
              <w:rPr>
                <w:rFonts w:ascii="Palatino Linotype" w:hAnsi="Palatino Linotype"/>
                <w:sz w:val="20"/>
              </w:rPr>
            </w:pPr>
            <w:r w:rsidRPr="00D97438">
              <w:rPr>
                <w:rFonts w:ascii="Palatino Linotype" w:hAnsi="Palatino Linotype"/>
                <w:sz w:val="20"/>
              </w:rPr>
              <w:t>Belectric/Coronus</w:t>
            </w:r>
          </w:p>
        </w:tc>
        <w:tc>
          <w:tcPr>
            <w:tcW w:w="9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7D44679" w14:textId="77777777" w:rsidR="00371419" w:rsidRPr="00D97438" w:rsidRDefault="00371419" w:rsidP="00D97438">
            <w:pPr>
              <w:jc w:val="center"/>
              <w:rPr>
                <w:rFonts w:ascii="Palatino Linotype" w:hAnsi="Palatino Linotype"/>
                <w:sz w:val="20"/>
              </w:rPr>
            </w:pPr>
            <w:r w:rsidRPr="00D97438">
              <w:rPr>
                <w:rFonts w:ascii="Palatino Linotype" w:hAnsi="Palatino Linotype"/>
                <w:sz w:val="20"/>
              </w:rPr>
              <w:t>1.5</w:t>
            </w:r>
          </w:p>
        </w:tc>
        <w:tc>
          <w:tcPr>
            <w:tcW w:w="11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5A04E27" w14:textId="77777777" w:rsidR="00371419" w:rsidRPr="00D97438" w:rsidRDefault="00371419" w:rsidP="00D97438">
            <w:pPr>
              <w:jc w:val="center"/>
              <w:rPr>
                <w:rFonts w:ascii="Palatino Linotype" w:hAnsi="Palatino Linotype"/>
                <w:sz w:val="20"/>
              </w:rPr>
            </w:pPr>
            <w:r w:rsidRPr="00D97438">
              <w:rPr>
                <w:rFonts w:ascii="Palatino Linotype" w:hAnsi="Palatino Linotype"/>
                <w:sz w:val="20"/>
              </w:rPr>
              <w:t>3.6</w:t>
            </w:r>
          </w:p>
        </w:tc>
        <w:tc>
          <w:tcPr>
            <w:tcW w:w="72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41E2D881" w14:textId="77777777" w:rsidR="00371419" w:rsidRPr="00D97438" w:rsidRDefault="00371419" w:rsidP="00D97438">
            <w:pPr>
              <w:jc w:val="center"/>
              <w:rPr>
                <w:rFonts w:ascii="Palatino Linotype" w:hAnsi="Palatino Linotype"/>
                <w:sz w:val="20"/>
              </w:rPr>
            </w:pPr>
            <w:r w:rsidRPr="00AF6B95">
              <w:rPr>
                <w:rFonts w:ascii="Palatino Linotype" w:hAnsi="Palatino Linotype"/>
                <w:sz w:val="20"/>
              </w:rPr>
              <w:t>PV</w:t>
            </w:r>
          </w:p>
        </w:tc>
        <w:tc>
          <w:tcPr>
            <w:tcW w:w="8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6989864" w14:textId="77777777" w:rsidR="00371419" w:rsidRPr="00D97438" w:rsidRDefault="00371419" w:rsidP="00D97438">
            <w:pPr>
              <w:jc w:val="center"/>
              <w:rPr>
                <w:rFonts w:ascii="Palatino Linotype" w:hAnsi="Palatino Linotype"/>
                <w:sz w:val="20"/>
              </w:rPr>
            </w:pPr>
            <w:r w:rsidRPr="00D97438">
              <w:rPr>
                <w:rFonts w:ascii="Palatino Linotype" w:hAnsi="Palatino Linotype"/>
                <w:sz w:val="20"/>
              </w:rPr>
              <w:t>New</w:t>
            </w:r>
          </w:p>
        </w:tc>
        <w:tc>
          <w:tcPr>
            <w:tcW w:w="72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71B11C4" w14:textId="77777777" w:rsidR="00371419" w:rsidRPr="00D97438" w:rsidRDefault="00371419" w:rsidP="00D97438">
            <w:pPr>
              <w:jc w:val="center"/>
              <w:rPr>
                <w:rFonts w:ascii="Palatino Linotype" w:hAnsi="Palatino Linotype"/>
                <w:sz w:val="20"/>
              </w:rPr>
            </w:pPr>
            <w:r w:rsidRPr="00D97438">
              <w:rPr>
                <w:rFonts w:ascii="Palatino Linotype" w:hAnsi="Palatino Linotype"/>
                <w:sz w:val="20"/>
              </w:rPr>
              <w:t>20</w:t>
            </w:r>
          </w:p>
        </w:tc>
        <w:tc>
          <w:tcPr>
            <w:tcW w:w="8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4855317" w14:textId="77777777" w:rsidR="00371419" w:rsidRPr="00371419" w:rsidRDefault="00371419" w:rsidP="00371419">
            <w:pPr>
              <w:jc w:val="center"/>
              <w:rPr>
                <w:rFonts w:ascii="Palatino Linotype" w:hAnsi="Palatino Linotype"/>
                <w:color w:val="000000"/>
                <w:sz w:val="20"/>
              </w:rPr>
            </w:pPr>
            <w:r w:rsidRPr="00371419">
              <w:rPr>
                <w:rFonts w:ascii="Palatino Linotype" w:hAnsi="Palatino Linotype"/>
                <w:color w:val="000000"/>
                <w:sz w:val="20"/>
              </w:rPr>
              <w:t>$126.83</w:t>
            </w:r>
          </w:p>
        </w:tc>
        <w:tc>
          <w:tcPr>
            <w:tcW w:w="11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9D14664" w14:textId="77777777" w:rsidR="00371419" w:rsidRPr="00D97438" w:rsidRDefault="00371419" w:rsidP="00D97438">
            <w:pPr>
              <w:jc w:val="center"/>
              <w:rPr>
                <w:rFonts w:ascii="Palatino Linotype" w:hAnsi="Palatino Linotype"/>
                <w:sz w:val="20"/>
              </w:rPr>
            </w:pPr>
            <w:r w:rsidRPr="00D97438">
              <w:rPr>
                <w:rFonts w:ascii="Palatino Linotype" w:hAnsi="Palatino Linotype"/>
                <w:sz w:val="20"/>
              </w:rPr>
              <w:t>1/15/2014</w:t>
            </w:r>
          </w:p>
        </w:tc>
      </w:tr>
      <w:tr w:rsidR="00371419" w:rsidRPr="00D97438" w14:paraId="77490D72" w14:textId="77777777" w:rsidTr="00D97438">
        <w:trPr>
          <w:trHeight w:val="300"/>
        </w:trPr>
        <w:tc>
          <w:tcPr>
            <w:tcW w:w="252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1268E85" w14:textId="77777777" w:rsidR="00371419" w:rsidRPr="00D97438" w:rsidRDefault="00371419">
            <w:pPr>
              <w:rPr>
                <w:rFonts w:ascii="Palatino Linotype" w:hAnsi="Palatino Linotype"/>
                <w:sz w:val="20"/>
              </w:rPr>
            </w:pPr>
            <w:r w:rsidRPr="00D97438">
              <w:rPr>
                <w:rFonts w:ascii="Palatino Linotype" w:hAnsi="Palatino Linotype"/>
                <w:sz w:val="20"/>
              </w:rPr>
              <w:t>Yucca Valley East 3</w:t>
            </w:r>
          </w:p>
        </w:tc>
        <w:tc>
          <w:tcPr>
            <w:tcW w:w="18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F363253" w14:textId="77777777" w:rsidR="00371419" w:rsidRPr="00D97438" w:rsidRDefault="00371419">
            <w:pPr>
              <w:rPr>
                <w:rFonts w:ascii="Palatino Linotype" w:hAnsi="Palatino Linotype"/>
                <w:sz w:val="20"/>
              </w:rPr>
            </w:pPr>
            <w:r w:rsidRPr="00D97438">
              <w:rPr>
                <w:rFonts w:ascii="Palatino Linotype" w:hAnsi="Palatino Linotype"/>
                <w:sz w:val="20"/>
              </w:rPr>
              <w:t>Belectric/Coronus</w:t>
            </w:r>
          </w:p>
        </w:tc>
        <w:tc>
          <w:tcPr>
            <w:tcW w:w="9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D3561DD" w14:textId="77777777" w:rsidR="00371419" w:rsidRPr="00D97438" w:rsidRDefault="00371419" w:rsidP="00D97438">
            <w:pPr>
              <w:jc w:val="center"/>
              <w:rPr>
                <w:rFonts w:ascii="Palatino Linotype" w:hAnsi="Palatino Linotype"/>
                <w:sz w:val="20"/>
              </w:rPr>
            </w:pPr>
            <w:r w:rsidRPr="00D97438">
              <w:rPr>
                <w:rFonts w:ascii="Palatino Linotype" w:hAnsi="Palatino Linotype"/>
                <w:sz w:val="20"/>
              </w:rPr>
              <w:t>1.5</w:t>
            </w:r>
          </w:p>
        </w:tc>
        <w:tc>
          <w:tcPr>
            <w:tcW w:w="11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3F813B5" w14:textId="77777777" w:rsidR="00371419" w:rsidRPr="00D97438" w:rsidRDefault="00371419" w:rsidP="00D97438">
            <w:pPr>
              <w:jc w:val="center"/>
              <w:rPr>
                <w:rFonts w:ascii="Palatino Linotype" w:hAnsi="Palatino Linotype"/>
                <w:sz w:val="20"/>
              </w:rPr>
            </w:pPr>
            <w:r w:rsidRPr="00D97438">
              <w:rPr>
                <w:rFonts w:ascii="Palatino Linotype" w:hAnsi="Palatino Linotype"/>
                <w:sz w:val="20"/>
              </w:rPr>
              <w:t>3.6</w:t>
            </w:r>
          </w:p>
        </w:tc>
        <w:tc>
          <w:tcPr>
            <w:tcW w:w="72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7F18D7F9" w14:textId="77777777" w:rsidR="00371419" w:rsidRPr="00D97438" w:rsidRDefault="00371419" w:rsidP="00D97438">
            <w:pPr>
              <w:jc w:val="center"/>
              <w:rPr>
                <w:rFonts w:ascii="Palatino Linotype" w:hAnsi="Palatino Linotype"/>
                <w:sz w:val="20"/>
              </w:rPr>
            </w:pPr>
            <w:r w:rsidRPr="00AF6B95">
              <w:rPr>
                <w:rFonts w:ascii="Palatino Linotype" w:hAnsi="Palatino Linotype"/>
                <w:sz w:val="20"/>
              </w:rPr>
              <w:t>PV</w:t>
            </w:r>
          </w:p>
        </w:tc>
        <w:tc>
          <w:tcPr>
            <w:tcW w:w="8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72267C3" w14:textId="77777777" w:rsidR="00371419" w:rsidRPr="00D97438" w:rsidRDefault="00371419" w:rsidP="00D97438">
            <w:pPr>
              <w:jc w:val="center"/>
              <w:rPr>
                <w:rFonts w:ascii="Palatino Linotype" w:hAnsi="Palatino Linotype"/>
                <w:sz w:val="20"/>
              </w:rPr>
            </w:pPr>
            <w:r w:rsidRPr="00D97438">
              <w:rPr>
                <w:rFonts w:ascii="Palatino Linotype" w:hAnsi="Palatino Linotype"/>
                <w:sz w:val="20"/>
              </w:rPr>
              <w:t>New</w:t>
            </w:r>
          </w:p>
        </w:tc>
        <w:tc>
          <w:tcPr>
            <w:tcW w:w="72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DF38ADD" w14:textId="77777777" w:rsidR="00371419" w:rsidRPr="00D97438" w:rsidRDefault="00371419" w:rsidP="00D97438">
            <w:pPr>
              <w:jc w:val="center"/>
              <w:rPr>
                <w:rFonts w:ascii="Palatino Linotype" w:hAnsi="Palatino Linotype"/>
                <w:sz w:val="20"/>
              </w:rPr>
            </w:pPr>
            <w:r w:rsidRPr="00D97438">
              <w:rPr>
                <w:rFonts w:ascii="Palatino Linotype" w:hAnsi="Palatino Linotype"/>
                <w:sz w:val="20"/>
              </w:rPr>
              <w:t>20</w:t>
            </w:r>
          </w:p>
        </w:tc>
        <w:tc>
          <w:tcPr>
            <w:tcW w:w="8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3233733" w14:textId="77777777" w:rsidR="00371419" w:rsidRPr="00371419" w:rsidRDefault="00371419" w:rsidP="00371419">
            <w:pPr>
              <w:jc w:val="center"/>
              <w:rPr>
                <w:rFonts w:ascii="Palatino Linotype" w:hAnsi="Palatino Linotype"/>
                <w:color w:val="000000"/>
                <w:sz w:val="20"/>
              </w:rPr>
            </w:pPr>
            <w:r w:rsidRPr="00371419">
              <w:rPr>
                <w:rFonts w:ascii="Palatino Linotype" w:hAnsi="Palatino Linotype"/>
                <w:color w:val="000000"/>
                <w:sz w:val="20"/>
              </w:rPr>
              <w:t>$126.83</w:t>
            </w:r>
          </w:p>
        </w:tc>
        <w:tc>
          <w:tcPr>
            <w:tcW w:w="11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9095D31" w14:textId="77777777" w:rsidR="00371419" w:rsidRPr="00D97438" w:rsidRDefault="00371419" w:rsidP="00D97438">
            <w:pPr>
              <w:jc w:val="center"/>
              <w:rPr>
                <w:rFonts w:ascii="Palatino Linotype" w:hAnsi="Palatino Linotype"/>
                <w:sz w:val="20"/>
              </w:rPr>
            </w:pPr>
            <w:r w:rsidRPr="00D97438">
              <w:rPr>
                <w:rFonts w:ascii="Palatino Linotype" w:hAnsi="Palatino Linotype"/>
                <w:sz w:val="20"/>
              </w:rPr>
              <w:t>1/15/2014</w:t>
            </w:r>
          </w:p>
        </w:tc>
      </w:tr>
      <w:tr w:rsidR="00371419" w:rsidRPr="00D97438" w14:paraId="49B19AD3" w14:textId="77777777" w:rsidTr="00D97438">
        <w:trPr>
          <w:trHeight w:val="300"/>
        </w:trPr>
        <w:tc>
          <w:tcPr>
            <w:tcW w:w="252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895CDB8" w14:textId="77777777" w:rsidR="00371419" w:rsidRPr="00D97438" w:rsidRDefault="00371419">
            <w:pPr>
              <w:rPr>
                <w:rFonts w:ascii="Palatino Linotype" w:hAnsi="Palatino Linotype"/>
                <w:sz w:val="20"/>
              </w:rPr>
            </w:pPr>
            <w:r w:rsidRPr="00D97438">
              <w:rPr>
                <w:rFonts w:ascii="Palatino Linotype" w:hAnsi="Palatino Linotype"/>
                <w:sz w:val="20"/>
              </w:rPr>
              <w:t>SunE CREST 7</w:t>
            </w:r>
          </w:p>
        </w:tc>
        <w:tc>
          <w:tcPr>
            <w:tcW w:w="18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601D6B3" w14:textId="77777777" w:rsidR="00371419" w:rsidRPr="00D97438" w:rsidRDefault="00371419">
            <w:pPr>
              <w:rPr>
                <w:rFonts w:ascii="Palatino Linotype" w:hAnsi="Palatino Linotype"/>
                <w:sz w:val="20"/>
              </w:rPr>
            </w:pPr>
            <w:r w:rsidRPr="00D97438">
              <w:rPr>
                <w:rFonts w:ascii="Palatino Linotype" w:hAnsi="Palatino Linotype"/>
                <w:sz w:val="20"/>
              </w:rPr>
              <w:t>SunEdison</w:t>
            </w:r>
          </w:p>
        </w:tc>
        <w:tc>
          <w:tcPr>
            <w:tcW w:w="9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F96561C" w14:textId="77777777" w:rsidR="00371419" w:rsidRPr="00D97438" w:rsidRDefault="00371419" w:rsidP="00D97438">
            <w:pPr>
              <w:jc w:val="center"/>
              <w:rPr>
                <w:rFonts w:ascii="Palatino Linotype" w:hAnsi="Palatino Linotype"/>
                <w:sz w:val="20"/>
              </w:rPr>
            </w:pPr>
            <w:r w:rsidRPr="00D97438">
              <w:rPr>
                <w:rFonts w:ascii="Palatino Linotype" w:hAnsi="Palatino Linotype"/>
                <w:sz w:val="20"/>
              </w:rPr>
              <w:t>1.5</w:t>
            </w:r>
          </w:p>
        </w:tc>
        <w:tc>
          <w:tcPr>
            <w:tcW w:w="11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5725C25" w14:textId="77777777" w:rsidR="00371419" w:rsidRPr="00D97438" w:rsidRDefault="00371419" w:rsidP="00D97438">
            <w:pPr>
              <w:jc w:val="center"/>
              <w:rPr>
                <w:rFonts w:ascii="Palatino Linotype" w:hAnsi="Palatino Linotype"/>
                <w:sz w:val="20"/>
              </w:rPr>
            </w:pPr>
            <w:r w:rsidRPr="00D97438">
              <w:rPr>
                <w:rFonts w:ascii="Palatino Linotype" w:hAnsi="Palatino Linotype"/>
                <w:sz w:val="20"/>
              </w:rPr>
              <w:t>4.4</w:t>
            </w:r>
          </w:p>
        </w:tc>
        <w:tc>
          <w:tcPr>
            <w:tcW w:w="72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4F45C78A" w14:textId="77777777" w:rsidR="00371419" w:rsidRPr="00D97438" w:rsidRDefault="00371419" w:rsidP="00D97438">
            <w:pPr>
              <w:jc w:val="center"/>
              <w:rPr>
                <w:rFonts w:ascii="Palatino Linotype" w:hAnsi="Palatino Linotype"/>
                <w:sz w:val="20"/>
              </w:rPr>
            </w:pPr>
            <w:r w:rsidRPr="00AF6B95">
              <w:rPr>
                <w:rFonts w:ascii="Palatino Linotype" w:hAnsi="Palatino Linotype"/>
                <w:sz w:val="20"/>
              </w:rPr>
              <w:t>PV</w:t>
            </w:r>
          </w:p>
        </w:tc>
        <w:tc>
          <w:tcPr>
            <w:tcW w:w="8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304D9A4" w14:textId="77777777" w:rsidR="00371419" w:rsidRPr="00D97438" w:rsidRDefault="00371419" w:rsidP="00D97438">
            <w:pPr>
              <w:jc w:val="center"/>
              <w:rPr>
                <w:rFonts w:ascii="Palatino Linotype" w:hAnsi="Palatino Linotype"/>
                <w:sz w:val="20"/>
              </w:rPr>
            </w:pPr>
            <w:r w:rsidRPr="00D97438">
              <w:rPr>
                <w:rFonts w:ascii="Palatino Linotype" w:hAnsi="Palatino Linotype"/>
                <w:sz w:val="20"/>
              </w:rPr>
              <w:t>New</w:t>
            </w:r>
          </w:p>
        </w:tc>
        <w:tc>
          <w:tcPr>
            <w:tcW w:w="72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C1E409F" w14:textId="77777777" w:rsidR="00371419" w:rsidRPr="00D97438" w:rsidRDefault="00371419" w:rsidP="00D97438">
            <w:pPr>
              <w:jc w:val="center"/>
              <w:rPr>
                <w:rFonts w:ascii="Palatino Linotype" w:hAnsi="Palatino Linotype"/>
                <w:sz w:val="20"/>
              </w:rPr>
            </w:pPr>
            <w:r w:rsidRPr="00D97438">
              <w:rPr>
                <w:rFonts w:ascii="Palatino Linotype" w:hAnsi="Palatino Linotype"/>
                <w:sz w:val="20"/>
              </w:rPr>
              <w:t>20</w:t>
            </w:r>
          </w:p>
        </w:tc>
        <w:tc>
          <w:tcPr>
            <w:tcW w:w="8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FA1D7A6" w14:textId="77777777" w:rsidR="00371419" w:rsidRPr="00371419" w:rsidRDefault="00371419" w:rsidP="00371419">
            <w:pPr>
              <w:jc w:val="center"/>
              <w:rPr>
                <w:rFonts w:ascii="Palatino Linotype" w:hAnsi="Palatino Linotype"/>
                <w:color w:val="000000"/>
                <w:sz w:val="20"/>
              </w:rPr>
            </w:pPr>
            <w:r w:rsidRPr="00371419">
              <w:rPr>
                <w:rFonts w:ascii="Palatino Linotype" w:hAnsi="Palatino Linotype"/>
                <w:color w:val="000000"/>
                <w:sz w:val="20"/>
              </w:rPr>
              <w:t>$126.83</w:t>
            </w:r>
          </w:p>
        </w:tc>
        <w:tc>
          <w:tcPr>
            <w:tcW w:w="11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EDAC483" w14:textId="77777777" w:rsidR="00371419" w:rsidRPr="00D97438" w:rsidRDefault="00371419" w:rsidP="00D97438">
            <w:pPr>
              <w:jc w:val="center"/>
              <w:rPr>
                <w:rFonts w:ascii="Palatino Linotype" w:hAnsi="Palatino Linotype"/>
                <w:sz w:val="20"/>
              </w:rPr>
            </w:pPr>
            <w:r w:rsidRPr="00D97438">
              <w:rPr>
                <w:rFonts w:ascii="Palatino Linotype" w:hAnsi="Palatino Linotype"/>
                <w:sz w:val="20"/>
              </w:rPr>
              <w:t>2/28/2014</w:t>
            </w:r>
          </w:p>
        </w:tc>
      </w:tr>
      <w:tr w:rsidR="00371419" w:rsidRPr="00D97438" w14:paraId="6D921C9F" w14:textId="77777777" w:rsidTr="00D97438">
        <w:trPr>
          <w:trHeight w:val="300"/>
        </w:trPr>
        <w:tc>
          <w:tcPr>
            <w:tcW w:w="252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D8D6433" w14:textId="77777777" w:rsidR="00371419" w:rsidRPr="00D97438" w:rsidRDefault="00371419">
            <w:pPr>
              <w:rPr>
                <w:rFonts w:ascii="Palatino Linotype" w:hAnsi="Palatino Linotype"/>
                <w:sz w:val="20"/>
              </w:rPr>
            </w:pPr>
            <w:r w:rsidRPr="00D97438">
              <w:rPr>
                <w:rFonts w:ascii="Palatino Linotype" w:hAnsi="Palatino Linotype"/>
                <w:sz w:val="20"/>
              </w:rPr>
              <w:t>SunE CREST 6</w:t>
            </w:r>
          </w:p>
        </w:tc>
        <w:tc>
          <w:tcPr>
            <w:tcW w:w="18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449C04E" w14:textId="77777777" w:rsidR="00371419" w:rsidRPr="00D97438" w:rsidRDefault="00371419">
            <w:pPr>
              <w:rPr>
                <w:rFonts w:ascii="Palatino Linotype" w:hAnsi="Palatino Linotype"/>
                <w:sz w:val="20"/>
              </w:rPr>
            </w:pPr>
            <w:r w:rsidRPr="00D97438">
              <w:rPr>
                <w:rFonts w:ascii="Palatino Linotype" w:hAnsi="Palatino Linotype"/>
                <w:sz w:val="20"/>
              </w:rPr>
              <w:t>SunEdison</w:t>
            </w:r>
          </w:p>
        </w:tc>
        <w:tc>
          <w:tcPr>
            <w:tcW w:w="9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C6370FD" w14:textId="77777777" w:rsidR="00371419" w:rsidRPr="00D97438" w:rsidRDefault="00371419" w:rsidP="00D97438">
            <w:pPr>
              <w:jc w:val="center"/>
              <w:rPr>
                <w:rFonts w:ascii="Palatino Linotype" w:hAnsi="Palatino Linotype"/>
                <w:sz w:val="20"/>
              </w:rPr>
            </w:pPr>
            <w:r w:rsidRPr="00D97438">
              <w:rPr>
                <w:rFonts w:ascii="Palatino Linotype" w:hAnsi="Palatino Linotype"/>
                <w:sz w:val="20"/>
              </w:rPr>
              <w:t>1.5</w:t>
            </w:r>
          </w:p>
        </w:tc>
        <w:tc>
          <w:tcPr>
            <w:tcW w:w="11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DF26F1B" w14:textId="77777777" w:rsidR="00371419" w:rsidRPr="00D97438" w:rsidRDefault="00371419" w:rsidP="00D97438">
            <w:pPr>
              <w:jc w:val="center"/>
              <w:rPr>
                <w:rFonts w:ascii="Palatino Linotype" w:hAnsi="Palatino Linotype"/>
                <w:sz w:val="20"/>
              </w:rPr>
            </w:pPr>
            <w:r w:rsidRPr="00D97438">
              <w:rPr>
                <w:rFonts w:ascii="Palatino Linotype" w:hAnsi="Palatino Linotype"/>
                <w:sz w:val="20"/>
              </w:rPr>
              <w:t>4.4</w:t>
            </w:r>
          </w:p>
        </w:tc>
        <w:tc>
          <w:tcPr>
            <w:tcW w:w="72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789D2670" w14:textId="77777777" w:rsidR="00371419" w:rsidRPr="00D97438" w:rsidRDefault="00371419" w:rsidP="00D97438">
            <w:pPr>
              <w:jc w:val="center"/>
              <w:rPr>
                <w:rFonts w:ascii="Palatino Linotype" w:hAnsi="Palatino Linotype"/>
                <w:sz w:val="20"/>
              </w:rPr>
            </w:pPr>
            <w:r w:rsidRPr="00AF6B95">
              <w:rPr>
                <w:rFonts w:ascii="Palatino Linotype" w:hAnsi="Palatino Linotype"/>
                <w:sz w:val="20"/>
              </w:rPr>
              <w:t>PV</w:t>
            </w:r>
          </w:p>
        </w:tc>
        <w:tc>
          <w:tcPr>
            <w:tcW w:w="8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FD88967" w14:textId="77777777" w:rsidR="00371419" w:rsidRPr="00D97438" w:rsidRDefault="00371419" w:rsidP="00D97438">
            <w:pPr>
              <w:jc w:val="center"/>
              <w:rPr>
                <w:rFonts w:ascii="Palatino Linotype" w:hAnsi="Palatino Linotype"/>
                <w:sz w:val="20"/>
              </w:rPr>
            </w:pPr>
            <w:r w:rsidRPr="00D97438">
              <w:rPr>
                <w:rFonts w:ascii="Palatino Linotype" w:hAnsi="Palatino Linotype"/>
                <w:sz w:val="20"/>
              </w:rPr>
              <w:t>New</w:t>
            </w:r>
          </w:p>
        </w:tc>
        <w:tc>
          <w:tcPr>
            <w:tcW w:w="72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11C11DA" w14:textId="77777777" w:rsidR="00371419" w:rsidRPr="00D97438" w:rsidRDefault="00371419" w:rsidP="00D97438">
            <w:pPr>
              <w:jc w:val="center"/>
              <w:rPr>
                <w:rFonts w:ascii="Palatino Linotype" w:hAnsi="Palatino Linotype"/>
                <w:sz w:val="20"/>
              </w:rPr>
            </w:pPr>
            <w:r w:rsidRPr="00D97438">
              <w:rPr>
                <w:rFonts w:ascii="Palatino Linotype" w:hAnsi="Palatino Linotype"/>
                <w:sz w:val="20"/>
              </w:rPr>
              <w:t>20</w:t>
            </w:r>
          </w:p>
        </w:tc>
        <w:tc>
          <w:tcPr>
            <w:tcW w:w="8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CE5C570" w14:textId="77777777" w:rsidR="00371419" w:rsidRPr="00371419" w:rsidRDefault="00371419" w:rsidP="00371419">
            <w:pPr>
              <w:jc w:val="center"/>
              <w:rPr>
                <w:rFonts w:ascii="Palatino Linotype" w:hAnsi="Palatino Linotype"/>
                <w:color w:val="000000"/>
                <w:sz w:val="20"/>
              </w:rPr>
            </w:pPr>
            <w:r w:rsidRPr="00371419">
              <w:rPr>
                <w:rFonts w:ascii="Palatino Linotype" w:hAnsi="Palatino Linotype"/>
                <w:color w:val="000000"/>
                <w:sz w:val="20"/>
              </w:rPr>
              <w:t>$126.83</w:t>
            </w:r>
          </w:p>
        </w:tc>
        <w:tc>
          <w:tcPr>
            <w:tcW w:w="11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5D45371" w14:textId="77777777" w:rsidR="00371419" w:rsidRPr="00D97438" w:rsidRDefault="00371419" w:rsidP="00D97438">
            <w:pPr>
              <w:jc w:val="center"/>
              <w:rPr>
                <w:rFonts w:ascii="Palatino Linotype" w:hAnsi="Palatino Linotype"/>
                <w:sz w:val="20"/>
              </w:rPr>
            </w:pPr>
            <w:r w:rsidRPr="00D97438">
              <w:rPr>
                <w:rFonts w:ascii="Palatino Linotype" w:hAnsi="Palatino Linotype"/>
                <w:sz w:val="20"/>
              </w:rPr>
              <w:t>2/28/2014</w:t>
            </w:r>
          </w:p>
        </w:tc>
      </w:tr>
      <w:tr w:rsidR="00371419" w:rsidRPr="00D97438" w14:paraId="42AF91D1" w14:textId="77777777" w:rsidTr="00D97438">
        <w:trPr>
          <w:trHeight w:val="300"/>
        </w:trPr>
        <w:tc>
          <w:tcPr>
            <w:tcW w:w="252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960E24C" w14:textId="77777777" w:rsidR="00371419" w:rsidRPr="00D97438" w:rsidRDefault="00371419">
            <w:pPr>
              <w:rPr>
                <w:rFonts w:ascii="Palatino Linotype" w:hAnsi="Palatino Linotype"/>
                <w:sz w:val="20"/>
              </w:rPr>
            </w:pPr>
            <w:r w:rsidRPr="00D97438">
              <w:rPr>
                <w:rFonts w:ascii="Palatino Linotype" w:hAnsi="Palatino Linotype"/>
                <w:sz w:val="20"/>
              </w:rPr>
              <w:t>SunE CREST 5</w:t>
            </w:r>
          </w:p>
        </w:tc>
        <w:tc>
          <w:tcPr>
            <w:tcW w:w="18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4D62BB1" w14:textId="77777777" w:rsidR="00371419" w:rsidRPr="00D97438" w:rsidRDefault="00371419">
            <w:pPr>
              <w:rPr>
                <w:rFonts w:ascii="Palatino Linotype" w:hAnsi="Palatino Linotype"/>
                <w:sz w:val="20"/>
              </w:rPr>
            </w:pPr>
            <w:r w:rsidRPr="00D97438">
              <w:rPr>
                <w:rFonts w:ascii="Palatino Linotype" w:hAnsi="Palatino Linotype"/>
                <w:sz w:val="20"/>
              </w:rPr>
              <w:t>SunEdison</w:t>
            </w:r>
          </w:p>
        </w:tc>
        <w:tc>
          <w:tcPr>
            <w:tcW w:w="9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756F3FA" w14:textId="77777777" w:rsidR="00371419" w:rsidRPr="00D97438" w:rsidRDefault="00371419" w:rsidP="00D97438">
            <w:pPr>
              <w:jc w:val="center"/>
              <w:rPr>
                <w:rFonts w:ascii="Palatino Linotype" w:hAnsi="Palatino Linotype"/>
                <w:sz w:val="20"/>
              </w:rPr>
            </w:pPr>
            <w:r w:rsidRPr="00D97438">
              <w:rPr>
                <w:rFonts w:ascii="Palatino Linotype" w:hAnsi="Palatino Linotype"/>
                <w:sz w:val="20"/>
              </w:rPr>
              <w:t>1.5</w:t>
            </w:r>
          </w:p>
        </w:tc>
        <w:tc>
          <w:tcPr>
            <w:tcW w:w="11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DDA8D04" w14:textId="77777777" w:rsidR="00371419" w:rsidRPr="00D97438" w:rsidRDefault="00371419" w:rsidP="00D97438">
            <w:pPr>
              <w:jc w:val="center"/>
              <w:rPr>
                <w:rFonts w:ascii="Palatino Linotype" w:hAnsi="Palatino Linotype"/>
                <w:sz w:val="20"/>
              </w:rPr>
            </w:pPr>
            <w:r w:rsidRPr="00D97438">
              <w:rPr>
                <w:rFonts w:ascii="Palatino Linotype" w:hAnsi="Palatino Linotype"/>
                <w:sz w:val="20"/>
              </w:rPr>
              <w:t>4.4</w:t>
            </w:r>
          </w:p>
        </w:tc>
        <w:tc>
          <w:tcPr>
            <w:tcW w:w="72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4460D26E" w14:textId="77777777" w:rsidR="00371419" w:rsidRPr="00D97438" w:rsidRDefault="00371419" w:rsidP="00D97438">
            <w:pPr>
              <w:jc w:val="center"/>
              <w:rPr>
                <w:rFonts w:ascii="Palatino Linotype" w:hAnsi="Palatino Linotype"/>
                <w:sz w:val="20"/>
              </w:rPr>
            </w:pPr>
            <w:r w:rsidRPr="00AF6B95">
              <w:rPr>
                <w:rFonts w:ascii="Palatino Linotype" w:hAnsi="Palatino Linotype"/>
                <w:sz w:val="20"/>
              </w:rPr>
              <w:t>PV</w:t>
            </w:r>
          </w:p>
        </w:tc>
        <w:tc>
          <w:tcPr>
            <w:tcW w:w="8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175A917" w14:textId="77777777" w:rsidR="00371419" w:rsidRPr="00D97438" w:rsidRDefault="00371419" w:rsidP="00D97438">
            <w:pPr>
              <w:jc w:val="center"/>
              <w:rPr>
                <w:rFonts w:ascii="Palatino Linotype" w:hAnsi="Palatino Linotype"/>
                <w:sz w:val="20"/>
              </w:rPr>
            </w:pPr>
            <w:r w:rsidRPr="00D97438">
              <w:rPr>
                <w:rFonts w:ascii="Palatino Linotype" w:hAnsi="Palatino Linotype"/>
                <w:sz w:val="20"/>
              </w:rPr>
              <w:t>New</w:t>
            </w:r>
          </w:p>
        </w:tc>
        <w:tc>
          <w:tcPr>
            <w:tcW w:w="72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9E4BD1C" w14:textId="77777777" w:rsidR="00371419" w:rsidRPr="00D97438" w:rsidRDefault="00371419" w:rsidP="00D97438">
            <w:pPr>
              <w:jc w:val="center"/>
              <w:rPr>
                <w:rFonts w:ascii="Palatino Linotype" w:hAnsi="Palatino Linotype"/>
                <w:sz w:val="20"/>
              </w:rPr>
            </w:pPr>
            <w:r w:rsidRPr="00D97438">
              <w:rPr>
                <w:rFonts w:ascii="Palatino Linotype" w:hAnsi="Palatino Linotype"/>
                <w:sz w:val="20"/>
              </w:rPr>
              <w:t>20</w:t>
            </w:r>
          </w:p>
        </w:tc>
        <w:tc>
          <w:tcPr>
            <w:tcW w:w="8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737A846" w14:textId="77777777" w:rsidR="00371419" w:rsidRPr="00371419" w:rsidRDefault="00371419" w:rsidP="00371419">
            <w:pPr>
              <w:jc w:val="center"/>
              <w:rPr>
                <w:rFonts w:ascii="Palatino Linotype" w:hAnsi="Palatino Linotype"/>
                <w:color w:val="000000"/>
                <w:sz w:val="20"/>
              </w:rPr>
            </w:pPr>
            <w:r w:rsidRPr="00371419">
              <w:rPr>
                <w:rFonts w:ascii="Palatino Linotype" w:hAnsi="Palatino Linotype"/>
                <w:color w:val="000000"/>
                <w:sz w:val="20"/>
              </w:rPr>
              <w:t>$126.83</w:t>
            </w:r>
          </w:p>
        </w:tc>
        <w:tc>
          <w:tcPr>
            <w:tcW w:w="11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D3F5BBF" w14:textId="77777777" w:rsidR="00371419" w:rsidRPr="00D97438" w:rsidRDefault="00371419" w:rsidP="00D97438">
            <w:pPr>
              <w:jc w:val="center"/>
              <w:rPr>
                <w:rFonts w:ascii="Palatino Linotype" w:hAnsi="Palatino Linotype"/>
                <w:sz w:val="20"/>
              </w:rPr>
            </w:pPr>
            <w:r w:rsidRPr="00D97438">
              <w:rPr>
                <w:rFonts w:ascii="Palatino Linotype" w:hAnsi="Palatino Linotype"/>
                <w:sz w:val="20"/>
              </w:rPr>
              <w:t>2/28/2014</w:t>
            </w:r>
          </w:p>
        </w:tc>
      </w:tr>
      <w:tr w:rsidR="00371419" w:rsidRPr="00D97438" w14:paraId="0F73FC52" w14:textId="77777777" w:rsidTr="00D97438">
        <w:trPr>
          <w:trHeight w:val="300"/>
        </w:trPr>
        <w:tc>
          <w:tcPr>
            <w:tcW w:w="252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479DA30" w14:textId="77777777" w:rsidR="00371419" w:rsidRPr="00D97438" w:rsidRDefault="00371419">
            <w:pPr>
              <w:rPr>
                <w:rFonts w:ascii="Palatino Linotype" w:hAnsi="Palatino Linotype"/>
                <w:sz w:val="20"/>
              </w:rPr>
            </w:pPr>
            <w:r w:rsidRPr="00D97438">
              <w:rPr>
                <w:rFonts w:ascii="Palatino Linotype" w:hAnsi="Palatino Linotype"/>
                <w:sz w:val="20"/>
              </w:rPr>
              <w:t>Lydia Solar</w:t>
            </w:r>
          </w:p>
        </w:tc>
        <w:tc>
          <w:tcPr>
            <w:tcW w:w="18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1B4466B" w14:textId="77777777" w:rsidR="00371419" w:rsidRPr="00D97438" w:rsidRDefault="00371419">
            <w:pPr>
              <w:rPr>
                <w:rFonts w:ascii="Palatino Linotype" w:hAnsi="Palatino Linotype"/>
                <w:sz w:val="20"/>
              </w:rPr>
            </w:pPr>
            <w:r w:rsidRPr="00D97438">
              <w:rPr>
                <w:rFonts w:ascii="Palatino Linotype" w:hAnsi="Palatino Linotype"/>
                <w:sz w:val="20"/>
              </w:rPr>
              <w:t>Sunlight Partners</w:t>
            </w:r>
          </w:p>
        </w:tc>
        <w:tc>
          <w:tcPr>
            <w:tcW w:w="9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BFE4EAF" w14:textId="77777777" w:rsidR="00371419" w:rsidRPr="00D97438" w:rsidRDefault="00371419" w:rsidP="00D97438">
            <w:pPr>
              <w:jc w:val="center"/>
              <w:rPr>
                <w:rFonts w:ascii="Palatino Linotype" w:hAnsi="Palatino Linotype"/>
                <w:sz w:val="20"/>
              </w:rPr>
            </w:pPr>
            <w:r w:rsidRPr="00D97438">
              <w:rPr>
                <w:rFonts w:ascii="Palatino Linotype" w:hAnsi="Palatino Linotype"/>
                <w:sz w:val="20"/>
              </w:rPr>
              <w:t>1.5</w:t>
            </w:r>
          </w:p>
        </w:tc>
        <w:tc>
          <w:tcPr>
            <w:tcW w:w="11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61D8B49" w14:textId="77777777" w:rsidR="00371419" w:rsidRPr="00D97438" w:rsidRDefault="00371419" w:rsidP="00D97438">
            <w:pPr>
              <w:jc w:val="center"/>
              <w:rPr>
                <w:rFonts w:ascii="Palatino Linotype" w:hAnsi="Palatino Linotype"/>
                <w:sz w:val="20"/>
              </w:rPr>
            </w:pPr>
            <w:r w:rsidRPr="00D97438">
              <w:rPr>
                <w:rFonts w:ascii="Palatino Linotype" w:hAnsi="Palatino Linotype"/>
                <w:sz w:val="20"/>
              </w:rPr>
              <w:t>4.6</w:t>
            </w:r>
          </w:p>
        </w:tc>
        <w:tc>
          <w:tcPr>
            <w:tcW w:w="72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06751ECE" w14:textId="77777777" w:rsidR="00371419" w:rsidRPr="00D97438" w:rsidRDefault="00371419" w:rsidP="00D97438">
            <w:pPr>
              <w:jc w:val="center"/>
              <w:rPr>
                <w:rFonts w:ascii="Palatino Linotype" w:hAnsi="Palatino Linotype"/>
                <w:sz w:val="20"/>
              </w:rPr>
            </w:pPr>
            <w:r w:rsidRPr="00AF6B95">
              <w:rPr>
                <w:rFonts w:ascii="Palatino Linotype" w:hAnsi="Palatino Linotype"/>
                <w:sz w:val="20"/>
              </w:rPr>
              <w:t>PV</w:t>
            </w:r>
          </w:p>
        </w:tc>
        <w:tc>
          <w:tcPr>
            <w:tcW w:w="8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62B698D" w14:textId="77777777" w:rsidR="00371419" w:rsidRPr="00D97438" w:rsidRDefault="00371419" w:rsidP="00D97438">
            <w:pPr>
              <w:jc w:val="center"/>
              <w:rPr>
                <w:rFonts w:ascii="Palatino Linotype" w:hAnsi="Palatino Linotype"/>
                <w:sz w:val="20"/>
              </w:rPr>
            </w:pPr>
            <w:r w:rsidRPr="00D97438">
              <w:rPr>
                <w:rFonts w:ascii="Palatino Linotype" w:hAnsi="Palatino Linotype"/>
                <w:sz w:val="20"/>
              </w:rPr>
              <w:t>New</w:t>
            </w:r>
          </w:p>
        </w:tc>
        <w:tc>
          <w:tcPr>
            <w:tcW w:w="72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A7D2036" w14:textId="77777777" w:rsidR="00371419" w:rsidRPr="00D97438" w:rsidRDefault="00371419" w:rsidP="00D97438">
            <w:pPr>
              <w:jc w:val="center"/>
              <w:rPr>
                <w:rFonts w:ascii="Palatino Linotype" w:hAnsi="Palatino Linotype"/>
                <w:sz w:val="20"/>
              </w:rPr>
            </w:pPr>
            <w:r w:rsidRPr="00D97438">
              <w:rPr>
                <w:rFonts w:ascii="Palatino Linotype" w:hAnsi="Palatino Linotype"/>
                <w:sz w:val="20"/>
              </w:rPr>
              <w:t>20</w:t>
            </w:r>
          </w:p>
        </w:tc>
        <w:tc>
          <w:tcPr>
            <w:tcW w:w="8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D49973B" w14:textId="77777777" w:rsidR="00371419" w:rsidRPr="00371419" w:rsidRDefault="00371419" w:rsidP="00371419">
            <w:pPr>
              <w:jc w:val="center"/>
              <w:rPr>
                <w:rFonts w:ascii="Palatino Linotype" w:hAnsi="Palatino Linotype"/>
                <w:color w:val="000000"/>
                <w:sz w:val="20"/>
              </w:rPr>
            </w:pPr>
            <w:r w:rsidRPr="00371419">
              <w:rPr>
                <w:rFonts w:ascii="Palatino Linotype" w:hAnsi="Palatino Linotype"/>
                <w:color w:val="000000"/>
                <w:sz w:val="20"/>
              </w:rPr>
              <w:t>$126.83</w:t>
            </w:r>
          </w:p>
        </w:tc>
        <w:tc>
          <w:tcPr>
            <w:tcW w:w="11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B3B5D37" w14:textId="77777777" w:rsidR="00371419" w:rsidRPr="00D97438" w:rsidRDefault="00371419" w:rsidP="00D97438">
            <w:pPr>
              <w:jc w:val="center"/>
              <w:rPr>
                <w:rFonts w:ascii="Palatino Linotype" w:hAnsi="Palatino Linotype"/>
                <w:sz w:val="20"/>
              </w:rPr>
            </w:pPr>
            <w:r w:rsidRPr="00D97438">
              <w:rPr>
                <w:rFonts w:ascii="Palatino Linotype" w:hAnsi="Palatino Linotype"/>
                <w:sz w:val="20"/>
              </w:rPr>
              <w:t>4/15/2014</w:t>
            </w:r>
          </w:p>
        </w:tc>
      </w:tr>
      <w:tr w:rsidR="00371419" w:rsidRPr="00D97438" w14:paraId="79F33060" w14:textId="77777777" w:rsidTr="00D97438">
        <w:trPr>
          <w:trHeight w:val="300"/>
        </w:trPr>
        <w:tc>
          <w:tcPr>
            <w:tcW w:w="252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FA39A7F" w14:textId="77777777" w:rsidR="00371419" w:rsidRPr="00D97438" w:rsidRDefault="00371419">
            <w:pPr>
              <w:rPr>
                <w:rFonts w:ascii="Palatino Linotype" w:hAnsi="Palatino Linotype"/>
                <w:sz w:val="20"/>
              </w:rPr>
            </w:pPr>
            <w:r w:rsidRPr="00D97438">
              <w:rPr>
                <w:rFonts w:ascii="Palatino Linotype" w:hAnsi="Palatino Linotype"/>
                <w:sz w:val="20"/>
              </w:rPr>
              <w:t>Greta Solar</w:t>
            </w:r>
          </w:p>
        </w:tc>
        <w:tc>
          <w:tcPr>
            <w:tcW w:w="18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26AE9A1" w14:textId="77777777" w:rsidR="00371419" w:rsidRPr="00D97438" w:rsidRDefault="00371419">
            <w:pPr>
              <w:rPr>
                <w:rFonts w:ascii="Palatino Linotype" w:hAnsi="Palatino Linotype"/>
                <w:sz w:val="20"/>
              </w:rPr>
            </w:pPr>
            <w:r w:rsidRPr="00D97438">
              <w:rPr>
                <w:rFonts w:ascii="Palatino Linotype" w:hAnsi="Palatino Linotype"/>
                <w:sz w:val="20"/>
              </w:rPr>
              <w:t>Sunlight Partners</w:t>
            </w:r>
          </w:p>
        </w:tc>
        <w:tc>
          <w:tcPr>
            <w:tcW w:w="9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A91AA1F" w14:textId="77777777" w:rsidR="00371419" w:rsidRPr="00D97438" w:rsidRDefault="00371419" w:rsidP="00D97438">
            <w:pPr>
              <w:jc w:val="center"/>
              <w:rPr>
                <w:rFonts w:ascii="Palatino Linotype" w:hAnsi="Palatino Linotype"/>
                <w:sz w:val="20"/>
              </w:rPr>
            </w:pPr>
            <w:r w:rsidRPr="00D97438">
              <w:rPr>
                <w:rFonts w:ascii="Palatino Linotype" w:hAnsi="Palatino Linotype"/>
                <w:sz w:val="20"/>
              </w:rPr>
              <w:t>1.0</w:t>
            </w:r>
          </w:p>
        </w:tc>
        <w:tc>
          <w:tcPr>
            <w:tcW w:w="11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13818A5" w14:textId="77777777" w:rsidR="00371419" w:rsidRPr="00D97438" w:rsidRDefault="00371419" w:rsidP="00D97438">
            <w:pPr>
              <w:jc w:val="center"/>
              <w:rPr>
                <w:rFonts w:ascii="Palatino Linotype" w:hAnsi="Palatino Linotype"/>
                <w:sz w:val="20"/>
              </w:rPr>
            </w:pPr>
            <w:r w:rsidRPr="00D97438">
              <w:rPr>
                <w:rFonts w:ascii="Palatino Linotype" w:hAnsi="Palatino Linotype"/>
                <w:sz w:val="20"/>
              </w:rPr>
              <w:t>3.1</w:t>
            </w:r>
          </w:p>
        </w:tc>
        <w:tc>
          <w:tcPr>
            <w:tcW w:w="72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301619F4" w14:textId="77777777" w:rsidR="00371419" w:rsidRPr="00D97438" w:rsidRDefault="00371419" w:rsidP="00D97438">
            <w:pPr>
              <w:jc w:val="center"/>
              <w:rPr>
                <w:rFonts w:ascii="Palatino Linotype" w:hAnsi="Palatino Linotype"/>
                <w:sz w:val="20"/>
              </w:rPr>
            </w:pPr>
            <w:r w:rsidRPr="00AF6B95">
              <w:rPr>
                <w:rFonts w:ascii="Palatino Linotype" w:hAnsi="Palatino Linotype"/>
                <w:sz w:val="20"/>
              </w:rPr>
              <w:t>PV</w:t>
            </w:r>
          </w:p>
        </w:tc>
        <w:tc>
          <w:tcPr>
            <w:tcW w:w="8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AEE7F54" w14:textId="77777777" w:rsidR="00371419" w:rsidRPr="00D97438" w:rsidRDefault="00371419" w:rsidP="00D97438">
            <w:pPr>
              <w:jc w:val="center"/>
              <w:rPr>
                <w:rFonts w:ascii="Palatino Linotype" w:hAnsi="Palatino Linotype"/>
                <w:sz w:val="20"/>
              </w:rPr>
            </w:pPr>
            <w:r w:rsidRPr="00D97438">
              <w:rPr>
                <w:rFonts w:ascii="Palatino Linotype" w:hAnsi="Palatino Linotype"/>
                <w:sz w:val="20"/>
              </w:rPr>
              <w:t>New</w:t>
            </w:r>
          </w:p>
        </w:tc>
        <w:tc>
          <w:tcPr>
            <w:tcW w:w="72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A97A39E" w14:textId="77777777" w:rsidR="00371419" w:rsidRPr="00D97438" w:rsidRDefault="00371419" w:rsidP="00D97438">
            <w:pPr>
              <w:jc w:val="center"/>
              <w:rPr>
                <w:rFonts w:ascii="Palatino Linotype" w:hAnsi="Palatino Linotype"/>
                <w:sz w:val="20"/>
              </w:rPr>
            </w:pPr>
            <w:r w:rsidRPr="00D97438">
              <w:rPr>
                <w:rFonts w:ascii="Palatino Linotype" w:hAnsi="Palatino Linotype"/>
                <w:sz w:val="20"/>
              </w:rPr>
              <w:t>20</w:t>
            </w:r>
          </w:p>
        </w:tc>
        <w:tc>
          <w:tcPr>
            <w:tcW w:w="8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66C9FAA" w14:textId="77777777" w:rsidR="00371419" w:rsidRPr="00371419" w:rsidRDefault="00371419" w:rsidP="00371419">
            <w:pPr>
              <w:jc w:val="center"/>
              <w:rPr>
                <w:rFonts w:ascii="Palatino Linotype" w:hAnsi="Palatino Linotype"/>
                <w:color w:val="000000"/>
                <w:sz w:val="20"/>
              </w:rPr>
            </w:pPr>
            <w:r w:rsidRPr="00371419">
              <w:rPr>
                <w:rFonts w:ascii="Palatino Linotype" w:hAnsi="Palatino Linotype"/>
                <w:color w:val="000000"/>
                <w:sz w:val="20"/>
              </w:rPr>
              <w:t>$126.83</w:t>
            </w:r>
          </w:p>
        </w:tc>
        <w:tc>
          <w:tcPr>
            <w:tcW w:w="11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0363099" w14:textId="77777777" w:rsidR="00371419" w:rsidRPr="00D97438" w:rsidRDefault="00371419" w:rsidP="00D97438">
            <w:pPr>
              <w:jc w:val="center"/>
              <w:rPr>
                <w:rFonts w:ascii="Palatino Linotype" w:hAnsi="Palatino Linotype"/>
                <w:sz w:val="20"/>
              </w:rPr>
            </w:pPr>
            <w:r w:rsidRPr="00D97438">
              <w:rPr>
                <w:rFonts w:ascii="Palatino Linotype" w:hAnsi="Palatino Linotype"/>
                <w:sz w:val="20"/>
              </w:rPr>
              <w:t>4/15/2014</w:t>
            </w:r>
          </w:p>
        </w:tc>
      </w:tr>
      <w:tr w:rsidR="00371419" w:rsidRPr="00D97438" w14:paraId="676A34B7" w14:textId="77777777" w:rsidTr="00D97438">
        <w:trPr>
          <w:trHeight w:val="300"/>
        </w:trPr>
        <w:tc>
          <w:tcPr>
            <w:tcW w:w="252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193C811" w14:textId="77777777" w:rsidR="00371419" w:rsidRPr="00D97438" w:rsidRDefault="00371419">
            <w:pPr>
              <w:rPr>
                <w:rFonts w:ascii="Palatino Linotype" w:hAnsi="Palatino Linotype"/>
                <w:sz w:val="20"/>
              </w:rPr>
            </w:pPr>
            <w:r w:rsidRPr="00D97438">
              <w:rPr>
                <w:rFonts w:ascii="Palatino Linotype" w:hAnsi="Palatino Linotype"/>
                <w:sz w:val="20"/>
              </w:rPr>
              <w:t>Zeke Solar</w:t>
            </w:r>
          </w:p>
        </w:tc>
        <w:tc>
          <w:tcPr>
            <w:tcW w:w="18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D6EEAF3" w14:textId="77777777" w:rsidR="00371419" w:rsidRPr="00D97438" w:rsidRDefault="00371419">
            <w:pPr>
              <w:rPr>
                <w:rFonts w:ascii="Palatino Linotype" w:hAnsi="Palatino Linotype"/>
                <w:sz w:val="20"/>
              </w:rPr>
            </w:pPr>
            <w:r w:rsidRPr="00D97438">
              <w:rPr>
                <w:rFonts w:ascii="Palatino Linotype" w:hAnsi="Palatino Linotype"/>
                <w:sz w:val="20"/>
              </w:rPr>
              <w:t>Sunlight Partners</w:t>
            </w:r>
          </w:p>
        </w:tc>
        <w:tc>
          <w:tcPr>
            <w:tcW w:w="9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3383DA7" w14:textId="77777777" w:rsidR="00371419" w:rsidRPr="00D97438" w:rsidRDefault="00371419" w:rsidP="00D97438">
            <w:pPr>
              <w:jc w:val="center"/>
              <w:rPr>
                <w:rFonts w:ascii="Palatino Linotype" w:hAnsi="Palatino Linotype"/>
                <w:sz w:val="20"/>
              </w:rPr>
            </w:pPr>
            <w:r w:rsidRPr="00D97438">
              <w:rPr>
                <w:rFonts w:ascii="Palatino Linotype" w:hAnsi="Palatino Linotype"/>
                <w:sz w:val="20"/>
              </w:rPr>
              <w:t>1.5</w:t>
            </w:r>
          </w:p>
        </w:tc>
        <w:tc>
          <w:tcPr>
            <w:tcW w:w="11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FA1F8AF" w14:textId="77777777" w:rsidR="00371419" w:rsidRPr="00D97438" w:rsidRDefault="00371419" w:rsidP="00D97438">
            <w:pPr>
              <w:jc w:val="center"/>
              <w:rPr>
                <w:rFonts w:ascii="Palatino Linotype" w:hAnsi="Palatino Linotype"/>
                <w:sz w:val="20"/>
              </w:rPr>
            </w:pPr>
            <w:r w:rsidRPr="00D97438">
              <w:rPr>
                <w:rFonts w:ascii="Palatino Linotype" w:hAnsi="Palatino Linotype"/>
                <w:sz w:val="20"/>
              </w:rPr>
              <w:t>4.6</w:t>
            </w:r>
          </w:p>
        </w:tc>
        <w:tc>
          <w:tcPr>
            <w:tcW w:w="72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63CE3EF8" w14:textId="77777777" w:rsidR="00371419" w:rsidRPr="00D97438" w:rsidRDefault="00371419" w:rsidP="00D97438">
            <w:pPr>
              <w:jc w:val="center"/>
              <w:rPr>
                <w:rFonts w:ascii="Palatino Linotype" w:hAnsi="Palatino Linotype"/>
                <w:sz w:val="20"/>
              </w:rPr>
            </w:pPr>
            <w:r w:rsidRPr="00AF6B95">
              <w:rPr>
                <w:rFonts w:ascii="Palatino Linotype" w:hAnsi="Palatino Linotype"/>
                <w:sz w:val="20"/>
              </w:rPr>
              <w:t>PV</w:t>
            </w:r>
          </w:p>
        </w:tc>
        <w:tc>
          <w:tcPr>
            <w:tcW w:w="8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A52916C" w14:textId="77777777" w:rsidR="00371419" w:rsidRPr="00D97438" w:rsidRDefault="00371419" w:rsidP="00D97438">
            <w:pPr>
              <w:jc w:val="center"/>
              <w:rPr>
                <w:rFonts w:ascii="Palatino Linotype" w:hAnsi="Palatino Linotype"/>
                <w:sz w:val="20"/>
              </w:rPr>
            </w:pPr>
            <w:r w:rsidRPr="00D97438">
              <w:rPr>
                <w:rFonts w:ascii="Palatino Linotype" w:hAnsi="Palatino Linotype"/>
                <w:sz w:val="20"/>
              </w:rPr>
              <w:t>New</w:t>
            </w:r>
          </w:p>
        </w:tc>
        <w:tc>
          <w:tcPr>
            <w:tcW w:w="72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CA1DA90" w14:textId="77777777" w:rsidR="00371419" w:rsidRPr="00D97438" w:rsidRDefault="00371419" w:rsidP="00D97438">
            <w:pPr>
              <w:jc w:val="center"/>
              <w:rPr>
                <w:rFonts w:ascii="Palatino Linotype" w:hAnsi="Palatino Linotype"/>
                <w:sz w:val="20"/>
              </w:rPr>
            </w:pPr>
            <w:r w:rsidRPr="00D97438">
              <w:rPr>
                <w:rFonts w:ascii="Palatino Linotype" w:hAnsi="Palatino Linotype"/>
                <w:sz w:val="20"/>
              </w:rPr>
              <w:t>20</w:t>
            </w:r>
          </w:p>
        </w:tc>
        <w:tc>
          <w:tcPr>
            <w:tcW w:w="8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84AA997" w14:textId="77777777" w:rsidR="00371419" w:rsidRPr="00371419" w:rsidRDefault="00371419" w:rsidP="00371419">
            <w:pPr>
              <w:jc w:val="center"/>
              <w:rPr>
                <w:rFonts w:ascii="Palatino Linotype" w:hAnsi="Palatino Linotype"/>
                <w:color w:val="000000"/>
                <w:sz w:val="20"/>
              </w:rPr>
            </w:pPr>
            <w:r w:rsidRPr="00371419">
              <w:rPr>
                <w:rFonts w:ascii="Palatino Linotype" w:hAnsi="Palatino Linotype"/>
                <w:color w:val="000000"/>
                <w:sz w:val="20"/>
              </w:rPr>
              <w:t>$126.83</w:t>
            </w:r>
          </w:p>
        </w:tc>
        <w:tc>
          <w:tcPr>
            <w:tcW w:w="11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358F98B" w14:textId="77777777" w:rsidR="00371419" w:rsidRPr="00D97438" w:rsidRDefault="00371419" w:rsidP="00D97438">
            <w:pPr>
              <w:jc w:val="center"/>
              <w:rPr>
                <w:rFonts w:ascii="Palatino Linotype" w:hAnsi="Palatino Linotype"/>
                <w:sz w:val="20"/>
              </w:rPr>
            </w:pPr>
            <w:r w:rsidRPr="00D97438">
              <w:rPr>
                <w:rFonts w:ascii="Palatino Linotype" w:hAnsi="Palatino Linotype"/>
                <w:sz w:val="20"/>
              </w:rPr>
              <w:t>4/25/2014</w:t>
            </w:r>
          </w:p>
        </w:tc>
      </w:tr>
      <w:tr w:rsidR="00371419" w:rsidRPr="00D97438" w14:paraId="3BA52B59" w14:textId="77777777" w:rsidTr="00D97438">
        <w:trPr>
          <w:trHeight w:val="300"/>
        </w:trPr>
        <w:tc>
          <w:tcPr>
            <w:tcW w:w="252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0754DE8" w14:textId="77777777" w:rsidR="00371419" w:rsidRPr="00D97438" w:rsidRDefault="00371419">
            <w:pPr>
              <w:rPr>
                <w:rFonts w:ascii="Palatino Linotype" w:hAnsi="Palatino Linotype"/>
                <w:sz w:val="20"/>
              </w:rPr>
            </w:pPr>
            <w:r w:rsidRPr="00D97438">
              <w:rPr>
                <w:rFonts w:ascii="Palatino Linotype" w:hAnsi="Palatino Linotype"/>
                <w:sz w:val="20"/>
              </w:rPr>
              <w:t>Penny Solar</w:t>
            </w:r>
          </w:p>
        </w:tc>
        <w:tc>
          <w:tcPr>
            <w:tcW w:w="18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F3AC008" w14:textId="77777777" w:rsidR="00371419" w:rsidRPr="00D97438" w:rsidRDefault="00371419">
            <w:pPr>
              <w:rPr>
                <w:rFonts w:ascii="Palatino Linotype" w:hAnsi="Palatino Linotype"/>
                <w:sz w:val="20"/>
              </w:rPr>
            </w:pPr>
            <w:r w:rsidRPr="00D97438">
              <w:rPr>
                <w:rFonts w:ascii="Palatino Linotype" w:hAnsi="Palatino Linotype"/>
                <w:sz w:val="20"/>
              </w:rPr>
              <w:t>Sunlight Partners</w:t>
            </w:r>
          </w:p>
        </w:tc>
        <w:tc>
          <w:tcPr>
            <w:tcW w:w="9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BE5CB65" w14:textId="77777777" w:rsidR="00371419" w:rsidRPr="00D97438" w:rsidRDefault="00371419" w:rsidP="00D97438">
            <w:pPr>
              <w:jc w:val="center"/>
              <w:rPr>
                <w:rFonts w:ascii="Palatino Linotype" w:hAnsi="Palatino Linotype"/>
                <w:sz w:val="20"/>
              </w:rPr>
            </w:pPr>
            <w:r w:rsidRPr="00D97438">
              <w:rPr>
                <w:rFonts w:ascii="Palatino Linotype" w:hAnsi="Palatino Linotype"/>
                <w:sz w:val="20"/>
              </w:rPr>
              <w:t>1.0</w:t>
            </w:r>
          </w:p>
        </w:tc>
        <w:tc>
          <w:tcPr>
            <w:tcW w:w="11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9B8CF62" w14:textId="77777777" w:rsidR="00371419" w:rsidRPr="00D97438" w:rsidRDefault="00371419" w:rsidP="00D97438">
            <w:pPr>
              <w:jc w:val="center"/>
              <w:rPr>
                <w:rFonts w:ascii="Palatino Linotype" w:hAnsi="Palatino Linotype"/>
                <w:sz w:val="20"/>
              </w:rPr>
            </w:pPr>
            <w:r w:rsidRPr="00D97438">
              <w:rPr>
                <w:rFonts w:ascii="Palatino Linotype" w:hAnsi="Palatino Linotype"/>
                <w:sz w:val="20"/>
              </w:rPr>
              <w:t>3.1</w:t>
            </w:r>
          </w:p>
        </w:tc>
        <w:tc>
          <w:tcPr>
            <w:tcW w:w="72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71F8DFCE" w14:textId="77777777" w:rsidR="00371419" w:rsidRPr="00D97438" w:rsidRDefault="00371419" w:rsidP="00D97438">
            <w:pPr>
              <w:jc w:val="center"/>
              <w:rPr>
                <w:rFonts w:ascii="Palatino Linotype" w:hAnsi="Palatino Linotype"/>
                <w:sz w:val="20"/>
              </w:rPr>
            </w:pPr>
            <w:r w:rsidRPr="00AF6B95">
              <w:rPr>
                <w:rFonts w:ascii="Palatino Linotype" w:hAnsi="Palatino Linotype"/>
                <w:sz w:val="20"/>
              </w:rPr>
              <w:t>PV</w:t>
            </w:r>
          </w:p>
        </w:tc>
        <w:tc>
          <w:tcPr>
            <w:tcW w:w="8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3AECFAE" w14:textId="77777777" w:rsidR="00371419" w:rsidRPr="00D97438" w:rsidRDefault="00371419" w:rsidP="00D97438">
            <w:pPr>
              <w:jc w:val="center"/>
              <w:rPr>
                <w:rFonts w:ascii="Palatino Linotype" w:hAnsi="Palatino Linotype"/>
                <w:sz w:val="20"/>
              </w:rPr>
            </w:pPr>
            <w:r w:rsidRPr="00D97438">
              <w:rPr>
                <w:rFonts w:ascii="Palatino Linotype" w:hAnsi="Palatino Linotype"/>
                <w:sz w:val="20"/>
              </w:rPr>
              <w:t>New</w:t>
            </w:r>
          </w:p>
        </w:tc>
        <w:tc>
          <w:tcPr>
            <w:tcW w:w="72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4622AFE" w14:textId="77777777" w:rsidR="00371419" w:rsidRPr="00D97438" w:rsidRDefault="00371419" w:rsidP="00D97438">
            <w:pPr>
              <w:jc w:val="center"/>
              <w:rPr>
                <w:rFonts w:ascii="Palatino Linotype" w:hAnsi="Palatino Linotype"/>
                <w:sz w:val="20"/>
              </w:rPr>
            </w:pPr>
            <w:r w:rsidRPr="00D97438">
              <w:rPr>
                <w:rFonts w:ascii="Palatino Linotype" w:hAnsi="Palatino Linotype"/>
                <w:sz w:val="20"/>
              </w:rPr>
              <w:t>20</w:t>
            </w:r>
          </w:p>
        </w:tc>
        <w:tc>
          <w:tcPr>
            <w:tcW w:w="8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5181197" w14:textId="77777777" w:rsidR="00371419" w:rsidRPr="00371419" w:rsidRDefault="00371419" w:rsidP="00371419">
            <w:pPr>
              <w:jc w:val="center"/>
              <w:rPr>
                <w:rFonts w:ascii="Palatino Linotype" w:hAnsi="Palatino Linotype"/>
                <w:color w:val="000000"/>
                <w:sz w:val="20"/>
              </w:rPr>
            </w:pPr>
            <w:r w:rsidRPr="00371419">
              <w:rPr>
                <w:rFonts w:ascii="Palatino Linotype" w:hAnsi="Palatino Linotype"/>
                <w:color w:val="000000"/>
                <w:sz w:val="20"/>
              </w:rPr>
              <w:t>$126.83</w:t>
            </w:r>
          </w:p>
        </w:tc>
        <w:tc>
          <w:tcPr>
            <w:tcW w:w="11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76793FD" w14:textId="77777777" w:rsidR="00371419" w:rsidRPr="00D97438" w:rsidRDefault="00371419" w:rsidP="00D97438">
            <w:pPr>
              <w:jc w:val="center"/>
              <w:rPr>
                <w:rFonts w:ascii="Palatino Linotype" w:hAnsi="Palatino Linotype"/>
                <w:sz w:val="20"/>
              </w:rPr>
            </w:pPr>
            <w:r w:rsidRPr="00D97438">
              <w:rPr>
                <w:rFonts w:ascii="Palatino Linotype" w:hAnsi="Palatino Linotype"/>
                <w:sz w:val="20"/>
              </w:rPr>
              <w:t>4/15/2014</w:t>
            </w:r>
          </w:p>
        </w:tc>
      </w:tr>
      <w:tr w:rsidR="00371419" w:rsidRPr="00D97438" w14:paraId="79DD2BD6" w14:textId="77777777" w:rsidTr="00D97438">
        <w:trPr>
          <w:trHeight w:val="300"/>
        </w:trPr>
        <w:tc>
          <w:tcPr>
            <w:tcW w:w="252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A7CD863" w14:textId="77777777" w:rsidR="00371419" w:rsidRPr="00D97438" w:rsidRDefault="00371419">
            <w:pPr>
              <w:rPr>
                <w:rFonts w:ascii="Palatino Linotype" w:hAnsi="Palatino Linotype"/>
                <w:sz w:val="20"/>
              </w:rPr>
            </w:pPr>
            <w:r w:rsidRPr="00D97438">
              <w:rPr>
                <w:rFonts w:ascii="Palatino Linotype" w:hAnsi="Palatino Linotype"/>
                <w:sz w:val="20"/>
              </w:rPr>
              <w:t>Zamora Zuni Road South</w:t>
            </w:r>
          </w:p>
        </w:tc>
        <w:tc>
          <w:tcPr>
            <w:tcW w:w="18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2862CC0" w14:textId="77777777" w:rsidR="00371419" w:rsidRPr="00D97438" w:rsidRDefault="00371419">
            <w:pPr>
              <w:rPr>
                <w:rFonts w:ascii="Palatino Linotype" w:hAnsi="Palatino Linotype"/>
                <w:sz w:val="20"/>
              </w:rPr>
            </w:pPr>
            <w:r w:rsidRPr="00D97438">
              <w:rPr>
                <w:rFonts w:ascii="Palatino Linotype" w:hAnsi="Palatino Linotype"/>
                <w:sz w:val="20"/>
              </w:rPr>
              <w:t>Belectric/Coronus</w:t>
            </w:r>
          </w:p>
        </w:tc>
        <w:tc>
          <w:tcPr>
            <w:tcW w:w="9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06F92F8" w14:textId="77777777" w:rsidR="00371419" w:rsidRPr="00D97438" w:rsidRDefault="00371419" w:rsidP="00D97438">
            <w:pPr>
              <w:jc w:val="center"/>
              <w:rPr>
                <w:rFonts w:ascii="Palatino Linotype" w:hAnsi="Palatino Linotype"/>
                <w:sz w:val="20"/>
              </w:rPr>
            </w:pPr>
            <w:r w:rsidRPr="00D97438">
              <w:rPr>
                <w:rFonts w:ascii="Palatino Linotype" w:hAnsi="Palatino Linotype"/>
                <w:sz w:val="20"/>
              </w:rPr>
              <w:t>1.5</w:t>
            </w:r>
          </w:p>
        </w:tc>
        <w:tc>
          <w:tcPr>
            <w:tcW w:w="11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3663067" w14:textId="77777777" w:rsidR="00371419" w:rsidRPr="00D97438" w:rsidRDefault="00371419" w:rsidP="00D97438">
            <w:pPr>
              <w:jc w:val="center"/>
              <w:rPr>
                <w:rFonts w:ascii="Palatino Linotype" w:hAnsi="Palatino Linotype"/>
                <w:sz w:val="20"/>
              </w:rPr>
            </w:pPr>
            <w:r w:rsidRPr="00D97438">
              <w:rPr>
                <w:rFonts w:ascii="Palatino Linotype" w:hAnsi="Palatino Linotype"/>
                <w:sz w:val="20"/>
              </w:rPr>
              <w:t>3.7</w:t>
            </w:r>
          </w:p>
        </w:tc>
        <w:tc>
          <w:tcPr>
            <w:tcW w:w="72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725BA001" w14:textId="77777777" w:rsidR="00371419" w:rsidRPr="00D97438" w:rsidRDefault="00371419" w:rsidP="00D97438">
            <w:pPr>
              <w:jc w:val="center"/>
              <w:rPr>
                <w:rFonts w:ascii="Palatino Linotype" w:hAnsi="Palatino Linotype"/>
                <w:sz w:val="20"/>
              </w:rPr>
            </w:pPr>
            <w:r w:rsidRPr="00AF6B95">
              <w:rPr>
                <w:rFonts w:ascii="Palatino Linotype" w:hAnsi="Palatino Linotype"/>
                <w:sz w:val="20"/>
              </w:rPr>
              <w:t>PV</w:t>
            </w:r>
          </w:p>
        </w:tc>
        <w:tc>
          <w:tcPr>
            <w:tcW w:w="8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016363B" w14:textId="77777777" w:rsidR="00371419" w:rsidRPr="00D97438" w:rsidRDefault="00371419" w:rsidP="00D97438">
            <w:pPr>
              <w:jc w:val="center"/>
              <w:rPr>
                <w:rFonts w:ascii="Palatino Linotype" w:hAnsi="Palatino Linotype"/>
                <w:sz w:val="20"/>
              </w:rPr>
            </w:pPr>
            <w:r w:rsidRPr="00D97438">
              <w:rPr>
                <w:rFonts w:ascii="Palatino Linotype" w:hAnsi="Palatino Linotype"/>
                <w:sz w:val="20"/>
              </w:rPr>
              <w:t>New</w:t>
            </w:r>
          </w:p>
        </w:tc>
        <w:tc>
          <w:tcPr>
            <w:tcW w:w="72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F2B569E" w14:textId="77777777" w:rsidR="00371419" w:rsidRPr="00D97438" w:rsidRDefault="00371419" w:rsidP="00D97438">
            <w:pPr>
              <w:jc w:val="center"/>
              <w:rPr>
                <w:rFonts w:ascii="Palatino Linotype" w:hAnsi="Palatino Linotype"/>
                <w:sz w:val="20"/>
              </w:rPr>
            </w:pPr>
            <w:r w:rsidRPr="00D97438">
              <w:rPr>
                <w:rFonts w:ascii="Palatino Linotype" w:hAnsi="Palatino Linotype"/>
                <w:sz w:val="20"/>
              </w:rPr>
              <w:t>20</w:t>
            </w:r>
          </w:p>
        </w:tc>
        <w:tc>
          <w:tcPr>
            <w:tcW w:w="8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CA6B56E" w14:textId="77777777" w:rsidR="00371419" w:rsidRPr="00371419" w:rsidRDefault="00371419" w:rsidP="00371419">
            <w:pPr>
              <w:jc w:val="center"/>
              <w:rPr>
                <w:rFonts w:ascii="Palatino Linotype" w:hAnsi="Palatino Linotype"/>
                <w:color w:val="000000"/>
                <w:sz w:val="20"/>
              </w:rPr>
            </w:pPr>
            <w:r w:rsidRPr="00371419">
              <w:rPr>
                <w:rFonts w:ascii="Palatino Linotype" w:hAnsi="Palatino Linotype"/>
                <w:color w:val="000000"/>
                <w:sz w:val="20"/>
              </w:rPr>
              <w:t>$121.88</w:t>
            </w:r>
          </w:p>
        </w:tc>
        <w:tc>
          <w:tcPr>
            <w:tcW w:w="11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28B021F" w14:textId="77777777" w:rsidR="00371419" w:rsidRPr="00D97438" w:rsidRDefault="00371419" w:rsidP="00D97438">
            <w:pPr>
              <w:jc w:val="center"/>
              <w:rPr>
                <w:rFonts w:ascii="Palatino Linotype" w:hAnsi="Palatino Linotype"/>
                <w:sz w:val="20"/>
              </w:rPr>
            </w:pPr>
            <w:r w:rsidRPr="00D97438">
              <w:rPr>
                <w:rFonts w:ascii="Palatino Linotype" w:hAnsi="Palatino Linotype"/>
                <w:sz w:val="20"/>
              </w:rPr>
              <w:t>12/31/2013</w:t>
            </w:r>
          </w:p>
        </w:tc>
      </w:tr>
      <w:tr w:rsidR="00371419" w:rsidRPr="00D97438" w14:paraId="50DFC036" w14:textId="77777777" w:rsidTr="00D97438">
        <w:trPr>
          <w:trHeight w:val="300"/>
        </w:trPr>
        <w:tc>
          <w:tcPr>
            <w:tcW w:w="252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4E7A302" w14:textId="77777777" w:rsidR="00371419" w:rsidRPr="00D97438" w:rsidRDefault="00371419">
            <w:pPr>
              <w:rPr>
                <w:rFonts w:ascii="Palatino Linotype" w:hAnsi="Palatino Linotype"/>
                <w:sz w:val="20"/>
              </w:rPr>
            </w:pPr>
            <w:r w:rsidRPr="00D97438">
              <w:rPr>
                <w:rFonts w:ascii="Palatino Linotype" w:hAnsi="Palatino Linotype"/>
                <w:sz w:val="20"/>
              </w:rPr>
              <w:t>Con Dios Solar Park 29</w:t>
            </w:r>
          </w:p>
        </w:tc>
        <w:tc>
          <w:tcPr>
            <w:tcW w:w="18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5655DB7" w14:textId="77777777" w:rsidR="00371419" w:rsidRPr="00D97438" w:rsidRDefault="00371419">
            <w:pPr>
              <w:rPr>
                <w:rFonts w:ascii="Palatino Linotype" w:hAnsi="Palatino Linotype"/>
                <w:sz w:val="20"/>
              </w:rPr>
            </w:pPr>
            <w:r w:rsidRPr="00D97438">
              <w:rPr>
                <w:rFonts w:ascii="Palatino Linotype" w:hAnsi="Palatino Linotype"/>
                <w:sz w:val="20"/>
              </w:rPr>
              <w:t>Global Ren</w:t>
            </w:r>
            <w:r>
              <w:rPr>
                <w:rFonts w:ascii="Palatino Linotype" w:hAnsi="Palatino Linotype"/>
                <w:sz w:val="20"/>
              </w:rPr>
              <w:t>.</w:t>
            </w:r>
            <w:r w:rsidRPr="00D97438">
              <w:rPr>
                <w:rFonts w:ascii="Palatino Linotype" w:hAnsi="Palatino Linotype"/>
                <w:sz w:val="20"/>
              </w:rPr>
              <w:t xml:space="preserve"> Energ</w:t>
            </w:r>
            <w:r>
              <w:rPr>
                <w:rFonts w:ascii="Palatino Linotype" w:hAnsi="Palatino Linotype"/>
                <w:sz w:val="20"/>
              </w:rPr>
              <w:t>.</w:t>
            </w:r>
            <w:r w:rsidRPr="00D97438">
              <w:rPr>
                <w:rFonts w:ascii="Palatino Linotype" w:hAnsi="Palatino Linotype"/>
                <w:sz w:val="20"/>
              </w:rPr>
              <w:t xml:space="preserve"> </w:t>
            </w:r>
          </w:p>
        </w:tc>
        <w:tc>
          <w:tcPr>
            <w:tcW w:w="9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CC91518" w14:textId="77777777" w:rsidR="00371419" w:rsidRPr="00D97438" w:rsidRDefault="00371419" w:rsidP="00D97438">
            <w:pPr>
              <w:jc w:val="center"/>
              <w:rPr>
                <w:rFonts w:ascii="Palatino Linotype" w:hAnsi="Palatino Linotype"/>
                <w:sz w:val="20"/>
              </w:rPr>
            </w:pPr>
            <w:r w:rsidRPr="00D97438">
              <w:rPr>
                <w:rFonts w:ascii="Palatino Linotype" w:hAnsi="Palatino Linotype"/>
                <w:sz w:val="20"/>
              </w:rPr>
              <w:t>1.5</w:t>
            </w:r>
          </w:p>
        </w:tc>
        <w:tc>
          <w:tcPr>
            <w:tcW w:w="11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93AE481" w14:textId="77777777" w:rsidR="00371419" w:rsidRPr="00D97438" w:rsidRDefault="00371419" w:rsidP="00D97438">
            <w:pPr>
              <w:jc w:val="center"/>
              <w:rPr>
                <w:rFonts w:ascii="Palatino Linotype" w:hAnsi="Palatino Linotype"/>
                <w:sz w:val="20"/>
              </w:rPr>
            </w:pPr>
            <w:r w:rsidRPr="00D97438">
              <w:rPr>
                <w:rFonts w:ascii="Palatino Linotype" w:hAnsi="Palatino Linotype"/>
                <w:sz w:val="20"/>
              </w:rPr>
              <w:t>4.9</w:t>
            </w:r>
          </w:p>
        </w:tc>
        <w:tc>
          <w:tcPr>
            <w:tcW w:w="72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035CF7D7" w14:textId="77777777" w:rsidR="00371419" w:rsidRPr="00D97438" w:rsidRDefault="00371419" w:rsidP="00D97438">
            <w:pPr>
              <w:jc w:val="center"/>
              <w:rPr>
                <w:rFonts w:ascii="Palatino Linotype" w:hAnsi="Palatino Linotype"/>
                <w:sz w:val="20"/>
              </w:rPr>
            </w:pPr>
            <w:r w:rsidRPr="00AF6B95">
              <w:rPr>
                <w:rFonts w:ascii="Palatino Linotype" w:hAnsi="Palatino Linotype"/>
                <w:sz w:val="20"/>
              </w:rPr>
              <w:t>PV</w:t>
            </w:r>
          </w:p>
        </w:tc>
        <w:tc>
          <w:tcPr>
            <w:tcW w:w="8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09CB7D1" w14:textId="77777777" w:rsidR="00371419" w:rsidRPr="00D97438" w:rsidRDefault="00371419" w:rsidP="00D97438">
            <w:pPr>
              <w:jc w:val="center"/>
              <w:rPr>
                <w:rFonts w:ascii="Palatino Linotype" w:hAnsi="Palatino Linotype"/>
                <w:sz w:val="20"/>
              </w:rPr>
            </w:pPr>
            <w:r w:rsidRPr="00D97438">
              <w:rPr>
                <w:rFonts w:ascii="Palatino Linotype" w:hAnsi="Palatino Linotype"/>
                <w:sz w:val="20"/>
              </w:rPr>
              <w:t>New</w:t>
            </w:r>
          </w:p>
        </w:tc>
        <w:tc>
          <w:tcPr>
            <w:tcW w:w="72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744960F" w14:textId="77777777" w:rsidR="00371419" w:rsidRPr="00D97438" w:rsidRDefault="00371419" w:rsidP="00D97438">
            <w:pPr>
              <w:jc w:val="center"/>
              <w:rPr>
                <w:rFonts w:ascii="Palatino Linotype" w:hAnsi="Palatino Linotype"/>
                <w:sz w:val="20"/>
              </w:rPr>
            </w:pPr>
            <w:r w:rsidRPr="00D97438">
              <w:rPr>
                <w:rFonts w:ascii="Palatino Linotype" w:hAnsi="Palatino Linotype"/>
                <w:sz w:val="20"/>
              </w:rPr>
              <w:t>20</w:t>
            </w:r>
          </w:p>
        </w:tc>
        <w:tc>
          <w:tcPr>
            <w:tcW w:w="8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D3D7BB7" w14:textId="77777777" w:rsidR="00371419" w:rsidRPr="00371419" w:rsidRDefault="00371419" w:rsidP="00371419">
            <w:pPr>
              <w:jc w:val="center"/>
              <w:rPr>
                <w:rFonts w:ascii="Palatino Linotype" w:hAnsi="Palatino Linotype"/>
                <w:color w:val="000000"/>
                <w:sz w:val="20"/>
              </w:rPr>
            </w:pPr>
            <w:r w:rsidRPr="00371419">
              <w:rPr>
                <w:rFonts w:ascii="Palatino Linotype" w:hAnsi="Palatino Linotype"/>
                <w:color w:val="000000"/>
                <w:sz w:val="20"/>
              </w:rPr>
              <w:t>$126.83</w:t>
            </w:r>
          </w:p>
        </w:tc>
        <w:tc>
          <w:tcPr>
            <w:tcW w:w="11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ABFF326" w14:textId="77777777" w:rsidR="00371419" w:rsidRPr="00D97438" w:rsidRDefault="00371419" w:rsidP="00D97438">
            <w:pPr>
              <w:jc w:val="center"/>
              <w:rPr>
                <w:rFonts w:ascii="Palatino Linotype" w:hAnsi="Palatino Linotype"/>
                <w:sz w:val="20"/>
              </w:rPr>
            </w:pPr>
            <w:r w:rsidRPr="00D97438">
              <w:rPr>
                <w:rFonts w:ascii="Palatino Linotype" w:hAnsi="Palatino Linotype"/>
                <w:sz w:val="20"/>
              </w:rPr>
              <w:t>6/21/2014</w:t>
            </w:r>
          </w:p>
        </w:tc>
      </w:tr>
      <w:tr w:rsidR="00371419" w:rsidRPr="00D97438" w14:paraId="260AE247" w14:textId="77777777" w:rsidTr="00D97438">
        <w:trPr>
          <w:trHeight w:val="300"/>
        </w:trPr>
        <w:tc>
          <w:tcPr>
            <w:tcW w:w="252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2DDB56E" w14:textId="77777777" w:rsidR="00371419" w:rsidRPr="00D97438" w:rsidRDefault="00371419">
            <w:pPr>
              <w:rPr>
                <w:rFonts w:ascii="Palatino Linotype" w:hAnsi="Palatino Linotype"/>
                <w:sz w:val="20"/>
              </w:rPr>
            </w:pPr>
            <w:r w:rsidRPr="00D97438">
              <w:rPr>
                <w:rFonts w:ascii="Palatino Linotype" w:hAnsi="Palatino Linotype"/>
                <w:sz w:val="20"/>
              </w:rPr>
              <w:t>Con Dios Solar Park 42</w:t>
            </w:r>
          </w:p>
        </w:tc>
        <w:tc>
          <w:tcPr>
            <w:tcW w:w="18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7E860051" w14:textId="77777777" w:rsidR="00371419" w:rsidRPr="00D97438" w:rsidRDefault="00371419">
            <w:pPr>
              <w:rPr>
                <w:rFonts w:ascii="Palatino Linotype" w:hAnsi="Palatino Linotype"/>
                <w:sz w:val="20"/>
              </w:rPr>
            </w:pPr>
            <w:r w:rsidRPr="0074123E">
              <w:rPr>
                <w:rFonts w:ascii="Palatino Linotype" w:hAnsi="Palatino Linotype"/>
                <w:sz w:val="20"/>
              </w:rPr>
              <w:t xml:space="preserve">Global Ren. Energ. </w:t>
            </w:r>
          </w:p>
        </w:tc>
        <w:tc>
          <w:tcPr>
            <w:tcW w:w="9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5C72EF0" w14:textId="77777777" w:rsidR="00371419" w:rsidRPr="00D97438" w:rsidRDefault="00371419" w:rsidP="00D97438">
            <w:pPr>
              <w:jc w:val="center"/>
              <w:rPr>
                <w:rFonts w:ascii="Palatino Linotype" w:hAnsi="Palatino Linotype"/>
                <w:sz w:val="20"/>
              </w:rPr>
            </w:pPr>
            <w:r w:rsidRPr="00D97438">
              <w:rPr>
                <w:rFonts w:ascii="Palatino Linotype" w:hAnsi="Palatino Linotype"/>
                <w:sz w:val="20"/>
              </w:rPr>
              <w:t>1.5</w:t>
            </w:r>
          </w:p>
        </w:tc>
        <w:tc>
          <w:tcPr>
            <w:tcW w:w="11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560B5A1" w14:textId="77777777" w:rsidR="00371419" w:rsidRPr="00D97438" w:rsidRDefault="00371419" w:rsidP="00D97438">
            <w:pPr>
              <w:jc w:val="center"/>
              <w:rPr>
                <w:rFonts w:ascii="Palatino Linotype" w:hAnsi="Palatino Linotype"/>
                <w:sz w:val="20"/>
              </w:rPr>
            </w:pPr>
            <w:r w:rsidRPr="00D97438">
              <w:rPr>
                <w:rFonts w:ascii="Palatino Linotype" w:hAnsi="Palatino Linotype"/>
                <w:sz w:val="20"/>
              </w:rPr>
              <w:t>4.9</w:t>
            </w:r>
          </w:p>
        </w:tc>
        <w:tc>
          <w:tcPr>
            <w:tcW w:w="72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1A24D8DA" w14:textId="77777777" w:rsidR="00371419" w:rsidRPr="00D97438" w:rsidRDefault="00371419" w:rsidP="00D97438">
            <w:pPr>
              <w:jc w:val="center"/>
              <w:rPr>
                <w:rFonts w:ascii="Palatino Linotype" w:hAnsi="Palatino Linotype"/>
                <w:sz w:val="20"/>
              </w:rPr>
            </w:pPr>
            <w:r w:rsidRPr="00AF6B95">
              <w:rPr>
                <w:rFonts w:ascii="Palatino Linotype" w:hAnsi="Palatino Linotype"/>
                <w:sz w:val="20"/>
              </w:rPr>
              <w:t>PV</w:t>
            </w:r>
          </w:p>
        </w:tc>
        <w:tc>
          <w:tcPr>
            <w:tcW w:w="8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29FE450" w14:textId="77777777" w:rsidR="00371419" w:rsidRPr="00D97438" w:rsidRDefault="00371419" w:rsidP="00D97438">
            <w:pPr>
              <w:jc w:val="center"/>
              <w:rPr>
                <w:rFonts w:ascii="Palatino Linotype" w:hAnsi="Palatino Linotype"/>
                <w:sz w:val="20"/>
              </w:rPr>
            </w:pPr>
            <w:r w:rsidRPr="00D97438">
              <w:rPr>
                <w:rFonts w:ascii="Palatino Linotype" w:hAnsi="Palatino Linotype"/>
                <w:sz w:val="20"/>
              </w:rPr>
              <w:t>New</w:t>
            </w:r>
          </w:p>
        </w:tc>
        <w:tc>
          <w:tcPr>
            <w:tcW w:w="72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B067E9F" w14:textId="77777777" w:rsidR="00371419" w:rsidRPr="00D97438" w:rsidRDefault="00371419" w:rsidP="00D97438">
            <w:pPr>
              <w:jc w:val="center"/>
              <w:rPr>
                <w:rFonts w:ascii="Palatino Linotype" w:hAnsi="Palatino Linotype"/>
                <w:sz w:val="20"/>
              </w:rPr>
            </w:pPr>
            <w:r w:rsidRPr="00D97438">
              <w:rPr>
                <w:rFonts w:ascii="Palatino Linotype" w:hAnsi="Palatino Linotype"/>
                <w:sz w:val="20"/>
              </w:rPr>
              <w:t>20</w:t>
            </w:r>
          </w:p>
        </w:tc>
        <w:tc>
          <w:tcPr>
            <w:tcW w:w="8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3345E05" w14:textId="77777777" w:rsidR="00371419" w:rsidRPr="00371419" w:rsidRDefault="00371419" w:rsidP="00371419">
            <w:pPr>
              <w:jc w:val="center"/>
              <w:rPr>
                <w:rFonts w:ascii="Palatino Linotype" w:hAnsi="Palatino Linotype"/>
                <w:color w:val="000000"/>
                <w:sz w:val="20"/>
              </w:rPr>
            </w:pPr>
            <w:r w:rsidRPr="00371419">
              <w:rPr>
                <w:rFonts w:ascii="Palatino Linotype" w:hAnsi="Palatino Linotype"/>
                <w:color w:val="000000"/>
                <w:sz w:val="20"/>
              </w:rPr>
              <w:t>$126.83</w:t>
            </w:r>
          </w:p>
        </w:tc>
        <w:tc>
          <w:tcPr>
            <w:tcW w:w="11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B07D1DC" w14:textId="77777777" w:rsidR="00371419" w:rsidRPr="00D97438" w:rsidRDefault="00371419" w:rsidP="00D97438">
            <w:pPr>
              <w:jc w:val="center"/>
              <w:rPr>
                <w:rFonts w:ascii="Palatino Linotype" w:hAnsi="Palatino Linotype"/>
                <w:sz w:val="20"/>
              </w:rPr>
            </w:pPr>
            <w:r w:rsidRPr="00D97438">
              <w:rPr>
                <w:rFonts w:ascii="Palatino Linotype" w:hAnsi="Palatino Linotype"/>
                <w:sz w:val="20"/>
              </w:rPr>
              <w:t>6/21/2014</w:t>
            </w:r>
          </w:p>
        </w:tc>
      </w:tr>
      <w:tr w:rsidR="00371419" w:rsidRPr="00D97438" w14:paraId="06E9FB5D" w14:textId="77777777" w:rsidTr="00D97438">
        <w:trPr>
          <w:trHeight w:val="300"/>
        </w:trPr>
        <w:tc>
          <w:tcPr>
            <w:tcW w:w="252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A97934A" w14:textId="77777777" w:rsidR="00371419" w:rsidRPr="00D97438" w:rsidRDefault="00371419">
            <w:pPr>
              <w:rPr>
                <w:rFonts w:ascii="Palatino Linotype" w:hAnsi="Palatino Linotype"/>
                <w:sz w:val="20"/>
              </w:rPr>
            </w:pPr>
            <w:r w:rsidRPr="00D97438">
              <w:rPr>
                <w:rFonts w:ascii="Palatino Linotype" w:hAnsi="Palatino Linotype"/>
                <w:sz w:val="20"/>
              </w:rPr>
              <w:t>Con Dios Solar Park 12</w:t>
            </w:r>
          </w:p>
        </w:tc>
        <w:tc>
          <w:tcPr>
            <w:tcW w:w="18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73FA3B05" w14:textId="77777777" w:rsidR="00371419" w:rsidRPr="00D97438" w:rsidRDefault="00371419">
            <w:pPr>
              <w:rPr>
                <w:rFonts w:ascii="Palatino Linotype" w:hAnsi="Palatino Linotype"/>
                <w:sz w:val="20"/>
              </w:rPr>
            </w:pPr>
            <w:r w:rsidRPr="0074123E">
              <w:rPr>
                <w:rFonts w:ascii="Palatino Linotype" w:hAnsi="Palatino Linotype"/>
                <w:sz w:val="20"/>
              </w:rPr>
              <w:t xml:space="preserve">Global Ren. Energ. </w:t>
            </w:r>
          </w:p>
        </w:tc>
        <w:tc>
          <w:tcPr>
            <w:tcW w:w="9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1B73769" w14:textId="77777777" w:rsidR="00371419" w:rsidRPr="00D97438" w:rsidRDefault="00371419" w:rsidP="00D97438">
            <w:pPr>
              <w:jc w:val="center"/>
              <w:rPr>
                <w:rFonts w:ascii="Palatino Linotype" w:hAnsi="Palatino Linotype"/>
                <w:sz w:val="20"/>
              </w:rPr>
            </w:pPr>
            <w:r w:rsidRPr="00D97438">
              <w:rPr>
                <w:rFonts w:ascii="Palatino Linotype" w:hAnsi="Palatino Linotype"/>
                <w:sz w:val="20"/>
              </w:rPr>
              <w:t>1.5</w:t>
            </w:r>
          </w:p>
        </w:tc>
        <w:tc>
          <w:tcPr>
            <w:tcW w:w="11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CD59614" w14:textId="77777777" w:rsidR="00371419" w:rsidRPr="00D97438" w:rsidRDefault="00371419" w:rsidP="00D97438">
            <w:pPr>
              <w:jc w:val="center"/>
              <w:rPr>
                <w:rFonts w:ascii="Palatino Linotype" w:hAnsi="Palatino Linotype"/>
                <w:sz w:val="20"/>
              </w:rPr>
            </w:pPr>
            <w:r w:rsidRPr="00D97438">
              <w:rPr>
                <w:rFonts w:ascii="Palatino Linotype" w:hAnsi="Palatino Linotype"/>
                <w:sz w:val="20"/>
              </w:rPr>
              <w:t>4.9</w:t>
            </w:r>
          </w:p>
        </w:tc>
        <w:tc>
          <w:tcPr>
            <w:tcW w:w="72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38EB5C6D" w14:textId="77777777" w:rsidR="00371419" w:rsidRPr="00D97438" w:rsidRDefault="00371419" w:rsidP="00D97438">
            <w:pPr>
              <w:jc w:val="center"/>
              <w:rPr>
                <w:rFonts w:ascii="Palatino Linotype" w:hAnsi="Palatino Linotype"/>
                <w:sz w:val="20"/>
              </w:rPr>
            </w:pPr>
            <w:r w:rsidRPr="00AF6B95">
              <w:rPr>
                <w:rFonts w:ascii="Palatino Linotype" w:hAnsi="Palatino Linotype"/>
                <w:sz w:val="20"/>
              </w:rPr>
              <w:t>PV</w:t>
            </w:r>
          </w:p>
        </w:tc>
        <w:tc>
          <w:tcPr>
            <w:tcW w:w="8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8458F4D" w14:textId="77777777" w:rsidR="00371419" w:rsidRPr="00D97438" w:rsidRDefault="00371419" w:rsidP="00D97438">
            <w:pPr>
              <w:jc w:val="center"/>
              <w:rPr>
                <w:rFonts w:ascii="Palatino Linotype" w:hAnsi="Palatino Linotype"/>
                <w:sz w:val="20"/>
              </w:rPr>
            </w:pPr>
            <w:r w:rsidRPr="00D97438">
              <w:rPr>
                <w:rFonts w:ascii="Palatino Linotype" w:hAnsi="Palatino Linotype"/>
                <w:sz w:val="20"/>
              </w:rPr>
              <w:t>New</w:t>
            </w:r>
          </w:p>
        </w:tc>
        <w:tc>
          <w:tcPr>
            <w:tcW w:w="72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F973E4F" w14:textId="77777777" w:rsidR="00371419" w:rsidRPr="00D97438" w:rsidRDefault="00371419" w:rsidP="00D97438">
            <w:pPr>
              <w:jc w:val="center"/>
              <w:rPr>
                <w:rFonts w:ascii="Palatino Linotype" w:hAnsi="Palatino Linotype"/>
                <w:sz w:val="20"/>
              </w:rPr>
            </w:pPr>
            <w:r w:rsidRPr="00D97438">
              <w:rPr>
                <w:rFonts w:ascii="Palatino Linotype" w:hAnsi="Palatino Linotype"/>
                <w:sz w:val="20"/>
              </w:rPr>
              <w:t>20</w:t>
            </w:r>
          </w:p>
        </w:tc>
        <w:tc>
          <w:tcPr>
            <w:tcW w:w="8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83E4586" w14:textId="77777777" w:rsidR="00371419" w:rsidRPr="00371419" w:rsidRDefault="00371419" w:rsidP="00371419">
            <w:pPr>
              <w:jc w:val="center"/>
              <w:rPr>
                <w:rFonts w:ascii="Palatino Linotype" w:hAnsi="Palatino Linotype"/>
                <w:color w:val="000000"/>
                <w:sz w:val="20"/>
              </w:rPr>
            </w:pPr>
            <w:r w:rsidRPr="00371419">
              <w:rPr>
                <w:rFonts w:ascii="Palatino Linotype" w:hAnsi="Palatino Linotype"/>
                <w:color w:val="000000"/>
                <w:sz w:val="20"/>
              </w:rPr>
              <w:t>$126.83</w:t>
            </w:r>
          </w:p>
        </w:tc>
        <w:tc>
          <w:tcPr>
            <w:tcW w:w="11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7FE03F1" w14:textId="77777777" w:rsidR="00371419" w:rsidRPr="00D97438" w:rsidRDefault="00371419" w:rsidP="00D97438">
            <w:pPr>
              <w:jc w:val="center"/>
              <w:rPr>
                <w:rFonts w:ascii="Palatino Linotype" w:hAnsi="Palatino Linotype"/>
                <w:sz w:val="20"/>
              </w:rPr>
            </w:pPr>
            <w:r w:rsidRPr="00D97438">
              <w:rPr>
                <w:rFonts w:ascii="Palatino Linotype" w:hAnsi="Palatino Linotype"/>
                <w:sz w:val="20"/>
              </w:rPr>
              <w:t>6/21/2014</w:t>
            </w:r>
          </w:p>
        </w:tc>
      </w:tr>
      <w:tr w:rsidR="00371419" w:rsidRPr="00D97438" w14:paraId="04061E80" w14:textId="77777777" w:rsidTr="00D97438">
        <w:trPr>
          <w:trHeight w:val="300"/>
        </w:trPr>
        <w:tc>
          <w:tcPr>
            <w:tcW w:w="252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95CC4D9" w14:textId="77777777" w:rsidR="00371419" w:rsidRPr="00D97438" w:rsidRDefault="00371419">
            <w:pPr>
              <w:rPr>
                <w:rFonts w:ascii="Palatino Linotype" w:hAnsi="Palatino Linotype"/>
                <w:sz w:val="20"/>
              </w:rPr>
            </w:pPr>
            <w:r w:rsidRPr="00D97438">
              <w:rPr>
                <w:rFonts w:ascii="Palatino Linotype" w:hAnsi="Palatino Linotype"/>
                <w:sz w:val="20"/>
              </w:rPr>
              <w:t>Con Dios Solar Park 1</w:t>
            </w:r>
          </w:p>
        </w:tc>
        <w:tc>
          <w:tcPr>
            <w:tcW w:w="18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56F89D29" w14:textId="77777777" w:rsidR="00371419" w:rsidRPr="00D97438" w:rsidRDefault="00371419">
            <w:pPr>
              <w:rPr>
                <w:rFonts w:ascii="Palatino Linotype" w:hAnsi="Palatino Linotype"/>
                <w:sz w:val="20"/>
              </w:rPr>
            </w:pPr>
            <w:r w:rsidRPr="0074123E">
              <w:rPr>
                <w:rFonts w:ascii="Palatino Linotype" w:hAnsi="Palatino Linotype"/>
                <w:sz w:val="20"/>
              </w:rPr>
              <w:t xml:space="preserve">Global Ren. Energ. </w:t>
            </w:r>
          </w:p>
        </w:tc>
        <w:tc>
          <w:tcPr>
            <w:tcW w:w="9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AB2100E" w14:textId="77777777" w:rsidR="00371419" w:rsidRPr="00D97438" w:rsidRDefault="00371419" w:rsidP="00D97438">
            <w:pPr>
              <w:jc w:val="center"/>
              <w:rPr>
                <w:rFonts w:ascii="Palatino Linotype" w:hAnsi="Palatino Linotype"/>
                <w:sz w:val="20"/>
              </w:rPr>
            </w:pPr>
            <w:r w:rsidRPr="00D97438">
              <w:rPr>
                <w:rFonts w:ascii="Palatino Linotype" w:hAnsi="Palatino Linotype"/>
                <w:sz w:val="20"/>
              </w:rPr>
              <w:t>1.5</w:t>
            </w:r>
          </w:p>
        </w:tc>
        <w:tc>
          <w:tcPr>
            <w:tcW w:w="11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C1E9A9D" w14:textId="77777777" w:rsidR="00371419" w:rsidRPr="00D97438" w:rsidRDefault="00371419" w:rsidP="00D97438">
            <w:pPr>
              <w:jc w:val="center"/>
              <w:rPr>
                <w:rFonts w:ascii="Palatino Linotype" w:hAnsi="Palatino Linotype"/>
                <w:sz w:val="20"/>
              </w:rPr>
            </w:pPr>
            <w:r w:rsidRPr="00D97438">
              <w:rPr>
                <w:rFonts w:ascii="Palatino Linotype" w:hAnsi="Palatino Linotype"/>
                <w:sz w:val="20"/>
              </w:rPr>
              <w:t>4.9</w:t>
            </w:r>
          </w:p>
        </w:tc>
        <w:tc>
          <w:tcPr>
            <w:tcW w:w="72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7D1E5558" w14:textId="77777777" w:rsidR="00371419" w:rsidRPr="00D97438" w:rsidRDefault="00371419" w:rsidP="00D97438">
            <w:pPr>
              <w:jc w:val="center"/>
              <w:rPr>
                <w:rFonts w:ascii="Palatino Linotype" w:hAnsi="Palatino Linotype"/>
                <w:sz w:val="20"/>
              </w:rPr>
            </w:pPr>
            <w:r w:rsidRPr="00AF6B95">
              <w:rPr>
                <w:rFonts w:ascii="Palatino Linotype" w:hAnsi="Palatino Linotype"/>
                <w:sz w:val="20"/>
              </w:rPr>
              <w:t>PV</w:t>
            </w:r>
          </w:p>
        </w:tc>
        <w:tc>
          <w:tcPr>
            <w:tcW w:w="8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FBD08C8" w14:textId="77777777" w:rsidR="00371419" w:rsidRPr="00D97438" w:rsidRDefault="00371419" w:rsidP="00D97438">
            <w:pPr>
              <w:jc w:val="center"/>
              <w:rPr>
                <w:rFonts w:ascii="Palatino Linotype" w:hAnsi="Palatino Linotype"/>
                <w:sz w:val="20"/>
              </w:rPr>
            </w:pPr>
            <w:r w:rsidRPr="00D97438">
              <w:rPr>
                <w:rFonts w:ascii="Palatino Linotype" w:hAnsi="Palatino Linotype"/>
                <w:sz w:val="20"/>
              </w:rPr>
              <w:t>New</w:t>
            </w:r>
          </w:p>
        </w:tc>
        <w:tc>
          <w:tcPr>
            <w:tcW w:w="72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206A537" w14:textId="77777777" w:rsidR="00371419" w:rsidRPr="00D97438" w:rsidRDefault="00371419" w:rsidP="00D97438">
            <w:pPr>
              <w:jc w:val="center"/>
              <w:rPr>
                <w:rFonts w:ascii="Palatino Linotype" w:hAnsi="Palatino Linotype"/>
                <w:sz w:val="20"/>
              </w:rPr>
            </w:pPr>
            <w:r w:rsidRPr="00D97438">
              <w:rPr>
                <w:rFonts w:ascii="Palatino Linotype" w:hAnsi="Palatino Linotype"/>
                <w:sz w:val="20"/>
              </w:rPr>
              <w:t>20</w:t>
            </w:r>
          </w:p>
        </w:tc>
        <w:tc>
          <w:tcPr>
            <w:tcW w:w="8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3FD108A" w14:textId="77777777" w:rsidR="00371419" w:rsidRPr="00371419" w:rsidRDefault="00371419" w:rsidP="00371419">
            <w:pPr>
              <w:jc w:val="center"/>
              <w:rPr>
                <w:rFonts w:ascii="Palatino Linotype" w:hAnsi="Palatino Linotype"/>
                <w:color w:val="000000"/>
                <w:sz w:val="20"/>
              </w:rPr>
            </w:pPr>
            <w:r w:rsidRPr="00371419">
              <w:rPr>
                <w:rFonts w:ascii="Palatino Linotype" w:hAnsi="Palatino Linotype"/>
                <w:color w:val="000000"/>
                <w:sz w:val="20"/>
              </w:rPr>
              <w:t>$126.83</w:t>
            </w:r>
          </w:p>
        </w:tc>
        <w:tc>
          <w:tcPr>
            <w:tcW w:w="11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E7044A5" w14:textId="77777777" w:rsidR="00371419" w:rsidRPr="00D97438" w:rsidRDefault="00371419" w:rsidP="00D97438">
            <w:pPr>
              <w:jc w:val="center"/>
              <w:rPr>
                <w:rFonts w:ascii="Palatino Linotype" w:hAnsi="Palatino Linotype"/>
                <w:sz w:val="20"/>
              </w:rPr>
            </w:pPr>
            <w:r w:rsidRPr="00D97438">
              <w:rPr>
                <w:rFonts w:ascii="Palatino Linotype" w:hAnsi="Palatino Linotype"/>
                <w:sz w:val="20"/>
              </w:rPr>
              <w:t>6/20/2014</w:t>
            </w:r>
          </w:p>
        </w:tc>
      </w:tr>
      <w:tr w:rsidR="00371419" w:rsidRPr="00D97438" w14:paraId="1EDE4B53" w14:textId="77777777" w:rsidTr="00D97438">
        <w:trPr>
          <w:trHeight w:val="300"/>
        </w:trPr>
        <w:tc>
          <w:tcPr>
            <w:tcW w:w="252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9CCBC95" w14:textId="77777777" w:rsidR="00371419" w:rsidRPr="00D97438" w:rsidRDefault="00371419">
            <w:pPr>
              <w:rPr>
                <w:rFonts w:ascii="Palatino Linotype" w:hAnsi="Palatino Linotype"/>
                <w:sz w:val="20"/>
              </w:rPr>
            </w:pPr>
            <w:r w:rsidRPr="00D97438">
              <w:rPr>
                <w:rFonts w:ascii="Palatino Linotype" w:hAnsi="Palatino Linotype"/>
                <w:sz w:val="20"/>
              </w:rPr>
              <w:t>Con Dios Solar Park 10</w:t>
            </w:r>
          </w:p>
        </w:tc>
        <w:tc>
          <w:tcPr>
            <w:tcW w:w="18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3E6BA726" w14:textId="77777777" w:rsidR="00371419" w:rsidRPr="00D97438" w:rsidRDefault="00371419">
            <w:pPr>
              <w:rPr>
                <w:rFonts w:ascii="Palatino Linotype" w:hAnsi="Palatino Linotype"/>
                <w:sz w:val="20"/>
              </w:rPr>
            </w:pPr>
            <w:r w:rsidRPr="0074123E">
              <w:rPr>
                <w:rFonts w:ascii="Palatino Linotype" w:hAnsi="Palatino Linotype"/>
                <w:sz w:val="20"/>
              </w:rPr>
              <w:t xml:space="preserve">Global Ren. Energ. </w:t>
            </w:r>
          </w:p>
        </w:tc>
        <w:tc>
          <w:tcPr>
            <w:tcW w:w="9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2F842C8" w14:textId="77777777" w:rsidR="00371419" w:rsidRPr="00D97438" w:rsidRDefault="00371419" w:rsidP="00D97438">
            <w:pPr>
              <w:jc w:val="center"/>
              <w:rPr>
                <w:rFonts w:ascii="Palatino Linotype" w:hAnsi="Palatino Linotype"/>
                <w:sz w:val="20"/>
              </w:rPr>
            </w:pPr>
            <w:r w:rsidRPr="00D97438">
              <w:rPr>
                <w:rFonts w:ascii="Palatino Linotype" w:hAnsi="Palatino Linotype"/>
                <w:sz w:val="20"/>
              </w:rPr>
              <w:t>1.5</w:t>
            </w:r>
          </w:p>
        </w:tc>
        <w:tc>
          <w:tcPr>
            <w:tcW w:w="11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926D4AA" w14:textId="77777777" w:rsidR="00371419" w:rsidRPr="00D97438" w:rsidRDefault="00371419" w:rsidP="00D97438">
            <w:pPr>
              <w:jc w:val="center"/>
              <w:rPr>
                <w:rFonts w:ascii="Palatino Linotype" w:hAnsi="Palatino Linotype"/>
                <w:sz w:val="20"/>
              </w:rPr>
            </w:pPr>
            <w:r w:rsidRPr="00D97438">
              <w:rPr>
                <w:rFonts w:ascii="Palatino Linotype" w:hAnsi="Palatino Linotype"/>
                <w:sz w:val="20"/>
              </w:rPr>
              <w:t>4.9</w:t>
            </w:r>
          </w:p>
        </w:tc>
        <w:tc>
          <w:tcPr>
            <w:tcW w:w="72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71B947B6" w14:textId="77777777" w:rsidR="00371419" w:rsidRPr="00D97438" w:rsidRDefault="00371419" w:rsidP="00D97438">
            <w:pPr>
              <w:jc w:val="center"/>
              <w:rPr>
                <w:rFonts w:ascii="Palatino Linotype" w:hAnsi="Palatino Linotype"/>
                <w:sz w:val="20"/>
              </w:rPr>
            </w:pPr>
            <w:r w:rsidRPr="00AF6B95">
              <w:rPr>
                <w:rFonts w:ascii="Palatino Linotype" w:hAnsi="Palatino Linotype"/>
                <w:sz w:val="20"/>
              </w:rPr>
              <w:t>PV</w:t>
            </w:r>
          </w:p>
        </w:tc>
        <w:tc>
          <w:tcPr>
            <w:tcW w:w="8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C00F5AB" w14:textId="77777777" w:rsidR="00371419" w:rsidRPr="00D97438" w:rsidRDefault="00371419" w:rsidP="00D97438">
            <w:pPr>
              <w:jc w:val="center"/>
              <w:rPr>
                <w:rFonts w:ascii="Palatino Linotype" w:hAnsi="Palatino Linotype"/>
                <w:sz w:val="20"/>
              </w:rPr>
            </w:pPr>
            <w:r w:rsidRPr="00D97438">
              <w:rPr>
                <w:rFonts w:ascii="Palatino Linotype" w:hAnsi="Palatino Linotype"/>
                <w:sz w:val="20"/>
              </w:rPr>
              <w:t>New</w:t>
            </w:r>
          </w:p>
        </w:tc>
        <w:tc>
          <w:tcPr>
            <w:tcW w:w="72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BDD982E" w14:textId="77777777" w:rsidR="00371419" w:rsidRPr="00D97438" w:rsidRDefault="00371419" w:rsidP="00D97438">
            <w:pPr>
              <w:jc w:val="center"/>
              <w:rPr>
                <w:rFonts w:ascii="Palatino Linotype" w:hAnsi="Palatino Linotype"/>
                <w:sz w:val="20"/>
              </w:rPr>
            </w:pPr>
            <w:r w:rsidRPr="00D97438">
              <w:rPr>
                <w:rFonts w:ascii="Palatino Linotype" w:hAnsi="Palatino Linotype"/>
                <w:sz w:val="20"/>
              </w:rPr>
              <w:t>20</w:t>
            </w:r>
          </w:p>
        </w:tc>
        <w:tc>
          <w:tcPr>
            <w:tcW w:w="8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F240EAC" w14:textId="77777777" w:rsidR="00371419" w:rsidRPr="00371419" w:rsidRDefault="00371419" w:rsidP="00371419">
            <w:pPr>
              <w:jc w:val="center"/>
              <w:rPr>
                <w:rFonts w:ascii="Palatino Linotype" w:hAnsi="Palatino Linotype"/>
                <w:color w:val="000000"/>
                <w:sz w:val="20"/>
              </w:rPr>
            </w:pPr>
            <w:r w:rsidRPr="00371419">
              <w:rPr>
                <w:rFonts w:ascii="Palatino Linotype" w:hAnsi="Palatino Linotype"/>
                <w:color w:val="000000"/>
                <w:sz w:val="20"/>
              </w:rPr>
              <w:t>$126.83</w:t>
            </w:r>
          </w:p>
        </w:tc>
        <w:tc>
          <w:tcPr>
            <w:tcW w:w="11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553E754" w14:textId="77777777" w:rsidR="00371419" w:rsidRPr="00D97438" w:rsidRDefault="00371419" w:rsidP="00D97438">
            <w:pPr>
              <w:jc w:val="center"/>
              <w:rPr>
                <w:rFonts w:ascii="Palatino Linotype" w:hAnsi="Palatino Linotype"/>
                <w:sz w:val="20"/>
              </w:rPr>
            </w:pPr>
            <w:r w:rsidRPr="00D97438">
              <w:rPr>
                <w:rFonts w:ascii="Palatino Linotype" w:hAnsi="Palatino Linotype"/>
                <w:sz w:val="20"/>
              </w:rPr>
              <w:t>6/20/2014</w:t>
            </w:r>
          </w:p>
        </w:tc>
      </w:tr>
      <w:tr w:rsidR="00371419" w:rsidRPr="00D97438" w14:paraId="53594983" w14:textId="77777777" w:rsidTr="00D97438">
        <w:trPr>
          <w:trHeight w:val="300"/>
        </w:trPr>
        <w:tc>
          <w:tcPr>
            <w:tcW w:w="252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0FC5F68" w14:textId="77777777" w:rsidR="00371419" w:rsidRPr="00D97438" w:rsidRDefault="00371419">
            <w:pPr>
              <w:rPr>
                <w:rFonts w:ascii="Palatino Linotype" w:hAnsi="Palatino Linotype"/>
                <w:sz w:val="20"/>
              </w:rPr>
            </w:pPr>
            <w:r w:rsidRPr="00D97438">
              <w:rPr>
                <w:rFonts w:ascii="Palatino Linotype" w:hAnsi="Palatino Linotype"/>
                <w:sz w:val="20"/>
              </w:rPr>
              <w:t>Con Dios Solar Park 11</w:t>
            </w:r>
          </w:p>
        </w:tc>
        <w:tc>
          <w:tcPr>
            <w:tcW w:w="18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7CE4F1B8" w14:textId="77777777" w:rsidR="00371419" w:rsidRPr="00D97438" w:rsidRDefault="00371419">
            <w:pPr>
              <w:rPr>
                <w:rFonts w:ascii="Palatino Linotype" w:hAnsi="Palatino Linotype"/>
                <w:sz w:val="20"/>
              </w:rPr>
            </w:pPr>
            <w:r w:rsidRPr="0074123E">
              <w:rPr>
                <w:rFonts w:ascii="Palatino Linotype" w:hAnsi="Palatino Linotype"/>
                <w:sz w:val="20"/>
              </w:rPr>
              <w:t xml:space="preserve">Global Ren. Energ. </w:t>
            </w:r>
          </w:p>
        </w:tc>
        <w:tc>
          <w:tcPr>
            <w:tcW w:w="9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61A10FC" w14:textId="77777777" w:rsidR="00371419" w:rsidRPr="00D97438" w:rsidRDefault="00371419" w:rsidP="00D97438">
            <w:pPr>
              <w:jc w:val="center"/>
              <w:rPr>
                <w:rFonts w:ascii="Palatino Linotype" w:hAnsi="Palatino Linotype"/>
                <w:sz w:val="20"/>
              </w:rPr>
            </w:pPr>
            <w:r w:rsidRPr="00D97438">
              <w:rPr>
                <w:rFonts w:ascii="Palatino Linotype" w:hAnsi="Palatino Linotype"/>
                <w:sz w:val="20"/>
              </w:rPr>
              <w:t>1.5</w:t>
            </w:r>
          </w:p>
        </w:tc>
        <w:tc>
          <w:tcPr>
            <w:tcW w:w="11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10A7806" w14:textId="77777777" w:rsidR="00371419" w:rsidRPr="00D97438" w:rsidRDefault="00371419" w:rsidP="00D97438">
            <w:pPr>
              <w:jc w:val="center"/>
              <w:rPr>
                <w:rFonts w:ascii="Palatino Linotype" w:hAnsi="Palatino Linotype"/>
                <w:sz w:val="20"/>
              </w:rPr>
            </w:pPr>
            <w:r w:rsidRPr="00D97438">
              <w:rPr>
                <w:rFonts w:ascii="Palatino Linotype" w:hAnsi="Palatino Linotype"/>
                <w:sz w:val="20"/>
              </w:rPr>
              <w:t>4.9</w:t>
            </w:r>
          </w:p>
        </w:tc>
        <w:tc>
          <w:tcPr>
            <w:tcW w:w="72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69AB6E58" w14:textId="77777777" w:rsidR="00371419" w:rsidRPr="00D97438" w:rsidRDefault="00371419" w:rsidP="00D97438">
            <w:pPr>
              <w:jc w:val="center"/>
              <w:rPr>
                <w:rFonts w:ascii="Palatino Linotype" w:hAnsi="Palatino Linotype"/>
                <w:sz w:val="20"/>
              </w:rPr>
            </w:pPr>
            <w:r w:rsidRPr="00AF6B95">
              <w:rPr>
                <w:rFonts w:ascii="Palatino Linotype" w:hAnsi="Palatino Linotype"/>
                <w:sz w:val="20"/>
              </w:rPr>
              <w:t>PV</w:t>
            </w:r>
          </w:p>
        </w:tc>
        <w:tc>
          <w:tcPr>
            <w:tcW w:w="8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0B522F2" w14:textId="77777777" w:rsidR="00371419" w:rsidRPr="00D97438" w:rsidRDefault="00371419" w:rsidP="00D97438">
            <w:pPr>
              <w:jc w:val="center"/>
              <w:rPr>
                <w:rFonts w:ascii="Palatino Linotype" w:hAnsi="Palatino Linotype"/>
                <w:sz w:val="20"/>
              </w:rPr>
            </w:pPr>
            <w:r w:rsidRPr="00D97438">
              <w:rPr>
                <w:rFonts w:ascii="Palatino Linotype" w:hAnsi="Palatino Linotype"/>
                <w:sz w:val="20"/>
              </w:rPr>
              <w:t>New</w:t>
            </w:r>
          </w:p>
        </w:tc>
        <w:tc>
          <w:tcPr>
            <w:tcW w:w="72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00A9D37" w14:textId="77777777" w:rsidR="00371419" w:rsidRPr="00D97438" w:rsidRDefault="00371419" w:rsidP="00D97438">
            <w:pPr>
              <w:jc w:val="center"/>
              <w:rPr>
                <w:rFonts w:ascii="Palatino Linotype" w:hAnsi="Palatino Linotype"/>
                <w:sz w:val="20"/>
              </w:rPr>
            </w:pPr>
            <w:r w:rsidRPr="00D97438">
              <w:rPr>
                <w:rFonts w:ascii="Palatino Linotype" w:hAnsi="Palatino Linotype"/>
                <w:sz w:val="20"/>
              </w:rPr>
              <w:t>20</w:t>
            </w:r>
          </w:p>
        </w:tc>
        <w:tc>
          <w:tcPr>
            <w:tcW w:w="8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23E3832" w14:textId="77777777" w:rsidR="00371419" w:rsidRPr="00371419" w:rsidRDefault="00371419" w:rsidP="00371419">
            <w:pPr>
              <w:jc w:val="center"/>
              <w:rPr>
                <w:rFonts w:ascii="Palatino Linotype" w:hAnsi="Palatino Linotype"/>
                <w:color w:val="000000"/>
                <w:sz w:val="20"/>
              </w:rPr>
            </w:pPr>
            <w:r w:rsidRPr="00371419">
              <w:rPr>
                <w:rFonts w:ascii="Palatino Linotype" w:hAnsi="Palatino Linotype"/>
                <w:color w:val="000000"/>
                <w:sz w:val="20"/>
              </w:rPr>
              <w:t>$126.83</w:t>
            </w:r>
          </w:p>
        </w:tc>
        <w:tc>
          <w:tcPr>
            <w:tcW w:w="11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7FEC1B1" w14:textId="77777777" w:rsidR="00371419" w:rsidRPr="00D97438" w:rsidRDefault="00371419" w:rsidP="00D97438">
            <w:pPr>
              <w:jc w:val="center"/>
              <w:rPr>
                <w:rFonts w:ascii="Palatino Linotype" w:hAnsi="Palatino Linotype"/>
                <w:sz w:val="20"/>
              </w:rPr>
            </w:pPr>
            <w:r w:rsidRPr="00D97438">
              <w:rPr>
                <w:rFonts w:ascii="Palatino Linotype" w:hAnsi="Palatino Linotype"/>
                <w:sz w:val="20"/>
              </w:rPr>
              <w:t>6/21/2014</w:t>
            </w:r>
          </w:p>
        </w:tc>
      </w:tr>
      <w:tr w:rsidR="00371419" w:rsidRPr="00D97438" w14:paraId="0CEF14BE" w14:textId="77777777" w:rsidTr="00D97438">
        <w:trPr>
          <w:trHeight w:val="300"/>
        </w:trPr>
        <w:tc>
          <w:tcPr>
            <w:tcW w:w="252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36618DC" w14:textId="77777777" w:rsidR="00371419" w:rsidRPr="00D97438" w:rsidRDefault="00371419">
            <w:pPr>
              <w:rPr>
                <w:rFonts w:ascii="Palatino Linotype" w:hAnsi="Palatino Linotype"/>
                <w:sz w:val="20"/>
              </w:rPr>
            </w:pPr>
            <w:r w:rsidRPr="00D97438">
              <w:rPr>
                <w:rFonts w:ascii="Palatino Linotype" w:hAnsi="Palatino Linotype"/>
                <w:sz w:val="20"/>
              </w:rPr>
              <w:t>Con Dios Solar Park 3</w:t>
            </w:r>
          </w:p>
        </w:tc>
        <w:tc>
          <w:tcPr>
            <w:tcW w:w="18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1ED4637A" w14:textId="77777777" w:rsidR="00371419" w:rsidRPr="00D97438" w:rsidRDefault="00371419">
            <w:pPr>
              <w:rPr>
                <w:rFonts w:ascii="Palatino Linotype" w:hAnsi="Palatino Linotype"/>
                <w:sz w:val="20"/>
              </w:rPr>
            </w:pPr>
            <w:r w:rsidRPr="0074123E">
              <w:rPr>
                <w:rFonts w:ascii="Palatino Linotype" w:hAnsi="Palatino Linotype"/>
                <w:sz w:val="20"/>
              </w:rPr>
              <w:t xml:space="preserve">Global Ren. Energ. </w:t>
            </w:r>
          </w:p>
        </w:tc>
        <w:tc>
          <w:tcPr>
            <w:tcW w:w="9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4F8F199" w14:textId="77777777" w:rsidR="00371419" w:rsidRPr="00D97438" w:rsidRDefault="00371419" w:rsidP="00D97438">
            <w:pPr>
              <w:jc w:val="center"/>
              <w:rPr>
                <w:rFonts w:ascii="Palatino Linotype" w:hAnsi="Palatino Linotype"/>
                <w:sz w:val="20"/>
              </w:rPr>
            </w:pPr>
            <w:r w:rsidRPr="00D97438">
              <w:rPr>
                <w:rFonts w:ascii="Palatino Linotype" w:hAnsi="Palatino Linotype"/>
                <w:sz w:val="20"/>
              </w:rPr>
              <w:t>1.5</w:t>
            </w:r>
          </w:p>
        </w:tc>
        <w:tc>
          <w:tcPr>
            <w:tcW w:w="11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D594FD9" w14:textId="77777777" w:rsidR="00371419" w:rsidRPr="00D97438" w:rsidRDefault="00371419" w:rsidP="00D97438">
            <w:pPr>
              <w:jc w:val="center"/>
              <w:rPr>
                <w:rFonts w:ascii="Palatino Linotype" w:hAnsi="Palatino Linotype"/>
                <w:sz w:val="20"/>
              </w:rPr>
            </w:pPr>
            <w:r w:rsidRPr="00D97438">
              <w:rPr>
                <w:rFonts w:ascii="Palatino Linotype" w:hAnsi="Palatino Linotype"/>
                <w:sz w:val="20"/>
              </w:rPr>
              <w:t>4.9</w:t>
            </w:r>
          </w:p>
        </w:tc>
        <w:tc>
          <w:tcPr>
            <w:tcW w:w="72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16592CCC" w14:textId="77777777" w:rsidR="00371419" w:rsidRPr="00D97438" w:rsidRDefault="00371419" w:rsidP="00D97438">
            <w:pPr>
              <w:jc w:val="center"/>
              <w:rPr>
                <w:rFonts w:ascii="Palatino Linotype" w:hAnsi="Palatino Linotype"/>
                <w:sz w:val="20"/>
              </w:rPr>
            </w:pPr>
            <w:r w:rsidRPr="00AF6B95">
              <w:rPr>
                <w:rFonts w:ascii="Palatino Linotype" w:hAnsi="Palatino Linotype"/>
                <w:sz w:val="20"/>
              </w:rPr>
              <w:t>PV</w:t>
            </w:r>
          </w:p>
        </w:tc>
        <w:tc>
          <w:tcPr>
            <w:tcW w:w="8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618566A" w14:textId="77777777" w:rsidR="00371419" w:rsidRPr="00D97438" w:rsidRDefault="00371419" w:rsidP="00D97438">
            <w:pPr>
              <w:jc w:val="center"/>
              <w:rPr>
                <w:rFonts w:ascii="Palatino Linotype" w:hAnsi="Palatino Linotype"/>
                <w:sz w:val="20"/>
              </w:rPr>
            </w:pPr>
            <w:r w:rsidRPr="00D97438">
              <w:rPr>
                <w:rFonts w:ascii="Palatino Linotype" w:hAnsi="Palatino Linotype"/>
                <w:sz w:val="20"/>
              </w:rPr>
              <w:t>New</w:t>
            </w:r>
          </w:p>
        </w:tc>
        <w:tc>
          <w:tcPr>
            <w:tcW w:w="72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EB80537" w14:textId="77777777" w:rsidR="00371419" w:rsidRPr="00D97438" w:rsidRDefault="00371419" w:rsidP="00D97438">
            <w:pPr>
              <w:jc w:val="center"/>
              <w:rPr>
                <w:rFonts w:ascii="Palatino Linotype" w:hAnsi="Palatino Linotype"/>
                <w:sz w:val="20"/>
              </w:rPr>
            </w:pPr>
            <w:r w:rsidRPr="00D97438">
              <w:rPr>
                <w:rFonts w:ascii="Palatino Linotype" w:hAnsi="Palatino Linotype"/>
                <w:sz w:val="20"/>
              </w:rPr>
              <w:t>20</w:t>
            </w:r>
          </w:p>
        </w:tc>
        <w:tc>
          <w:tcPr>
            <w:tcW w:w="8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4ACC741" w14:textId="77777777" w:rsidR="00371419" w:rsidRPr="00371419" w:rsidRDefault="00371419" w:rsidP="00371419">
            <w:pPr>
              <w:jc w:val="center"/>
              <w:rPr>
                <w:rFonts w:ascii="Palatino Linotype" w:hAnsi="Palatino Linotype"/>
                <w:color w:val="000000"/>
                <w:sz w:val="20"/>
              </w:rPr>
            </w:pPr>
            <w:r w:rsidRPr="00371419">
              <w:rPr>
                <w:rFonts w:ascii="Palatino Linotype" w:hAnsi="Palatino Linotype"/>
                <w:color w:val="000000"/>
                <w:sz w:val="20"/>
              </w:rPr>
              <w:t>$126.83</w:t>
            </w:r>
          </w:p>
        </w:tc>
        <w:tc>
          <w:tcPr>
            <w:tcW w:w="11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364CBE6" w14:textId="77777777" w:rsidR="00371419" w:rsidRPr="00D97438" w:rsidRDefault="00371419" w:rsidP="00D97438">
            <w:pPr>
              <w:jc w:val="center"/>
              <w:rPr>
                <w:rFonts w:ascii="Palatino Linotype" w:hAnsi="Palatino Linotype"/>
                <w:sz w:val="20"/>
              </w:rPr>
            </w:pPr>
            <w:r w:rsidRPr="00D97438">
              <w:rPr>
                <w:rFonts w:ascii="Palatino Linotype" w:hAnsi="Palatino Linotype"/>
                <w:sz w:val="20"/>
              </w:rPr>
              <w:t>6/21/2014</w:t>
            </w:r>
          </w:p>
        </w:tc>
      </w:tr>
      <w:tr w:rsidR="00371419" w:rsidRPr="00D97438" w14:paraId="67DB0D9E" w14:textId="77777777" w:rsidTr="00D97438">
        <w:trPr>
          <w:trHeight w:val="300"/>
        </w:trPr>
        <w:tc>
          <w:tcPr>
            <w:tcW w:w="252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AFB7CDD" w14:textId="77777777" w:rsidR="00371419" w:rsidRPr="00D97438" w:rsidRDefault="00371419">
            <w:pPr>
              <w:rPr>
                <w:rFonts w:ascii="Palatino Linotype" w:hAnsi="Palatino Linotype"/>
                <w:sz w:val="20"/>
              </w:rPr>
            </w:pPr>
            <w:r w:rsidRPr="00D97438">
              <w:rPr>
                <w:rFonts w:ascii="Palatino Linotype" w:hAnsi="Palatino Linotype"/>
                <w:sz w:val="20"/>
              </w:rPr>
              <w:t>Con Dios Solar Park 44</w:t>
            </w:r>
          </w:p>
        </w:tc>
        <w:tc>
          <w:tcPr>
            <w:tcW w:w="18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2CF1FAD6" w14:textId="77777777" w:rsidR="00371419" w:rsidRPr="00D97438" w:rsidRDefault="00371419">
            <w:pPr>
              <w:rPr>
                <w:rFonts w:ascii="Palatino Linotype" w:hAnsi="Palatino Linotype"/>
                <w:sz w:val="20"/>
              </w:rPr>
            </w:pPr>
            <w:r w:rsidRPr="0074123E">
              <w:rPr>
                <w:rFonts w:ascii="Palatino Linotype" w:hAnsi="Palatino Linotype"/>
                <w:sz w:val="20"/>
              </w:rPr>
              <w:t xml:space="preserve">Global Ren. Energ. </w:t>
            </w:r>
          </w:p>
        </w:tc>
        <w:tc>
          <w:tcPr>
            <w:tcW w:w="9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A30A155" w14:textId="77777777" w:rsidR="00371419" w:rsidRPr="00D97438" w:rsidRDefault="00371419" w:rsidP="00D97438">
            <w:pPr>
              <w:jc w:val="center"/>
              <w:rPr>
                <w:rFonts w:ascii="Palatino Linotype" w:hAnsi="Palatino Linotype"/>
                <w:sz w:val="20"/>
              </w:rPr>
            </w:pPr>
            <w:r w:rsidRPr="00D97438">
              <w:rPr>
                <w:rFonts w:ascii="Palatino Linotype" w:hAnsi="Palatino Linotype"/>
                <w:sz w:val="20"/>
              </w:rPr>
              <w:t>1.5</w:t>
            </w:r>
          </w:p>
        </w:tc>
        <w:tc>
          <w:tcPr>
            <w:tcW w:w="11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6AA1F8F" w14:textId="77777777" w:rsidR="00371419" w:rsidRPr="00D97438" w:rsidRDefault="00371419" w:rsidP="00D97438">
            <w:pPr>
              <w:jc w:val="center"/>
              <w:rPr>
                <w:rFonts w:ascii="Palatino Linotype" w:hAnsi="Palatino Linotype"/>
                <w:sz w:val="20"/>
              </w:rPr>
            </w:pPr>
            <w:r w:rsidRPr="00D97438">
              <w:rPr>
                <w:rFonts w:ascii="Palatino Linotype" w:hAnsi="Palatino Linotype"/>
                <w:sz w:val="20"/>
              </w:rPr>
              <w:t>4.9</w:t>
            </w:r>
          </w:p>
        </w:tc>
        <w:tc>
          <w:tcPr>
            <w:tcW w:w="72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17897716" w14:textId="77777777" w:rsidR="00371419" w:rsidRPr="00D97438" w:rsidRDefault="00371419" w:rsidP="00D97438">
            <w:pPr>
              <w:jc w:val="center"/>
              <w:rPr>
                <w:rFonts w:ascii="Palatino Linotype" w:hAnsi="Palatino Linotype"/>
                <w:sz w:val="20"/>
              </w:rPr>
            </w:pPr>
            <w:r w:rsidRPr="00AF6B95">
              <w:rPr>
                <w:rFonts w:ascii="Palatino Linotype" w:hAnsi="Palatino Linotype"/>
                <w:sz w:val="20"/>
              </w:rPr>
              <w:t>PV</w:t>
            </w:r>
          </w:p>
        </w:tc>
        <w:tc>
          <w:tcPr>
            <w:tcW w:w="8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FAA3B12" w14:textId="77777777" w:rsidR="00371419" w:rsidRPr="00D97438" w:rsidRDefault="00371419" w:rsidP="00D97438">
            <w:pPr>
              <w:jc w:val="center"/>
              <w:rPr>
                <w:rFonts w:ascii="Palatino Linotype" w:hAnsi="Palatino Linotype"/>
                <w:sz w:val="20"/>
              </w:rPr>
            </w:pPr>
            <w:r w:rsidRPr="00D97438">
              <w:rPr>
                <w:rFonts w:ascii="Palatino Linotype" w:hAnsi="Palatino Linotype"/>
                <w:sz w:val="20"/>
              </w:rPr>
              <w:t>New</w:t>
            </w:r>
          </w:p>
        </w:tc>
        <w:tc>
          <w:tcPr>
            <w:tcW w:w="72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0A8DE3C" w14:textId="77777777" w:rsidR="00371419" w:rsidRPr="00D97438" w:rsidRDefault="00371419" w:rsidP="00D97438">
            <w:pPr>
              <w:jc w:val="center"/>
              <w:rPr>
                <w:rFonts w:ascii="Palatino Linotype" w:hAnsi="Palatino Linotype"/>
                <w:sz w:val="20"/>
              </w:rPr>
            </w:pPr>
            <w:r w:rsidRPr="00D97438">
              <w:rPr>
                <w:rFonts w:ascii="Palatino Linotype" w:hAnsi="Palatino Linotype"/>
                <w:sz w:val="20"/>
              </w:rPr>
              <w:t>20</w:t>
            </w:r>
          </w:p>
        </w:tc>
        <w:tc>
          <w:tcPr>
            <w:tcW w:w="8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9625C38" w14:textId="77777777" w:rsidR="00371419" w:rsidRPr="00371419" w:rsidRDefault="00371419" w:rsidP="00371419">
            <w:pPr>
              <w:jc w:val="center"/>
              <w:rPr>
                <w:rFonts w:ascii="Palatino Linotype" w:hAnsi="Palatino Linotype"/>
                <w:color w:val="000000"/>
                <w:sz w:val="20"/>
              </w:rPr>
            </w:pPr>
            <w:r w:rsidRPr="00371419">
              <w:rPr>
                <w:rFonts w:ascii="Palatino Linotype" w:hAnsi="Palatino Linotype"/>
                <w:color w:val="000000"/>
                <w:sz w:val="20"/>
              </w:rPr>
              <w:t>$126.83</w:t>
            </w:r>
          </w:p>
        </w:tc>
        <w:tc>
          <w:tcPr>
            <w:tcW w:w="11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D78A192" w14:textId="77777777" w:rsidR="00371419" w:rsidRPr="00D97438" w:rsidRDefault="00371419" w:rsidP="00D97438">
            <w:pPr>
              <w:jc w:val="center"/>
              <w:rPr>
                <w:rFonts w:ascii="Palatino Linotype" w:hAnsi="Palatino Linotype"/>
                <w:sz w:val="20"/>
              </w:rPr>
            </w:pPr>
            <w:r w:rsidRPr="00D97438">
              <w:rPr>
                <w:rFonts w:ascii="Palatino Linotype" w:hAnsi="Palatino Linotype"/>
                <w:sz w:val="20"/>
              </w:rPr>
              <w:t>6/20/2014</w:t>
            </w:r>
          </w:p>
        </w:tc>
      </w:tr>
      <w:tr w:rsidR="00371419" w:rsidRPr="00D97438" w14:paraId="7B75F490" w14:textId="77777777" w:rsidTr="00D97438">
        <w:trPr>
          <w:trHeight w:val="300"/>
        </w:trPr>
        <w:tc>
          <w:tcPr>
            <w:tcW w:w="252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9A64D59" w14:textId="77777777" w:rsidR="00371419" w:rsidRPr="00D97438" w:rsidRDefault="00371419">
            <w:pPr>
              <w:rPr>
                <w:rFonts w:ascii="Palatino Linotype" w:hAnsi="Palatino Linotype"/>
                <w:sz w:val="20"/>
              </w:rPr>
            </w:pPr>
            <w:r w:rsidRPr="00D97438">
              <w:rPr>
                <w:rFonts w:ascii="Palatino Linotype" w:hAnsi="Palatino Linotype"/>
                <w:sz w:val="20"/>
              </w:rPr>
              <w:t>Con Dios Solar Park 2</w:t>
            </w:r>
          </w:p>
        </w:tc>
        <w:tc>
          <w:tcPr>
            <w:tcW w:w="18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5BF23F33" w14:textId="77777777" w:rsidR="00371419" w:rsidRPr="00D97438" w:rsidRDefault="00371419">
            <w:pPr>
              <w:rPr>
                <w:rFonts w:ascii="Palatino Linotype" w:hAnsi="Palatino Linotype"/>
                <w:sz w:val="20"/>
              </w:rPr>
            </w:pPr>
            <w:r w:rsidRPr="0074123E">
              <w:rPr>
                <w:rFonts w:ascii="Palatino Linotype" w:hAnsi="Palatino Linotype"/>
                <w:sz w:val="20"/>
              </w:rPr>
              <w:t xml:space="preserve">Global Ren. Energ. </w:t>
            </w:r>
          </w:p>
        </w:tc>
        <w:tc>
          <w:tcPr>
            <w:tcW w:w="9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76F68A2" w14:textId="77777777" w:rsidR="00371419" w:rsidRPr="00D97438" w:rsidRDefault="00371419" w:rsidP="00D97438">
            <w:pPr>
              <w:jc w:val="center"/>
              <w:rPr>
                <w:rFonts w:ascii="Palatino Linotype" w:hAnsi="Palatino Linotype"/>
                <w:sz w:val="20"/>
              </w:rPr>
            </w:pPr>
            <w:r w:rsidRPr="00D97438">
              <w:rPr>
                <w:rFonts w:ascii="Palatino Linotype" w:hAnsi="Palatino Linotype"/>
                <w:sz w:val="20"/>
              </w:rPr>
              <w:t>1.5</w:t>
            </w:r>
          </w:p>
        </w:tc>
        <w:tc>
          <w:tcPr>
            <w:tcW w:w="11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80DF848" w14:textId="77777777" w:rsidR="00371419" w:rsidRPr="00D97438" w:rsidRDefault="00371419" w:rsidP="00D97438">
            <w:pPr>
              <w:jc w:val="center"/>
              <w:rPr>
                <w:rFonts w:ascii="Palatino Linotype" w:hAnsi="Palatino Linotype"/>
                <w:sz w:val="20"/>
              </w:rPr>
            </w:pPr>
            <w:r w:rsidRPr="00D97438">
              <w:rPr>
                <w:rFonts w:ascii="Palatino Linotype" w:hAnsi="Palatino Linotype"/>
                <w:sz w:val="20"/>
              </w:rPr>
              <w:t>4.9</w:t>
            </w:r>
          </w:p>
        </w:tc>
        <w:tc>
          <w:tcPr>
            <w:tcW w:w="72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1AFA8526" w14:textId="77777777" w:rsidR="00371419" w:rsidRPr="00D97438" w:rsidRDefault="00371419" w:rsidP="00D97438">
            <w:pPr>
              <w:jc w:val="center"/>
              <w:rPr>
                <w:rFonts w:ascii="Palatino Linotype" w:hAnsi="Palatino Linotype"/>
                <w:sz w:val="20"/>
              </w:rPr>
            </w:pPr>
            <w:r w:rsidRPr="00AF6B95">
              <w:rPr>
                <w:rFonts w:ascii="Palatino Linotype" w:hAnsi="Palatino Linotype"/>
                <w:sz w:val="20"/>
              </w:rPr>
              <w:t>PV</w:t>
            </w:r>
          </w:p>
        </w:tc>
        <w:tc>
          <w:tcPr>
            <w:tcW w:w="8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7D2D5FA" w14:textId="77777777" w:rsidR="00371419" w:rsidRPr="00D97438" w:rsidRDefault="00371419" w:rsidP="00D97438">
            <w:pPr>
              <w:jc w:val="center"/>
              <w:rPr>
                <w:rFonts w:ascii="Palatino Linotype" w:hAnsi="Palatino Linotype"/>
                <w:sz w:val="20"/>
              </w:rPr>
            </w:pPr>
            <w:r w:rsidRPr="00D97438">
              <w:rPr>
                <w:rFonts w:ascii="Palatino Linotype" w:hAnsi="Palatino Linotype"/>
                <w:sz w:val="20"/>
              </w:rPr>
              <w:t>New</w:t>
            </w:r>
          </w:p>
        </w:tc>
        <w:tc>
          <w:tcPr>
            <w:tcW w:w="72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E67A320" w14:textId="77777777" w:rsidR="00371419" w:rsidRPr="00D97438" w:rsidRDefault="00371419" w:rsidP="00D97438">
            <w:pPr>
              <w:jc w:val="center"/>
              <w:rPr>
                <w:rFonts w:ascii="Palatino Linotype" w:hAnsi="Palatino Linotype"/>
                <w:sz w:val="20"/>
              </w:rPr>
            </w:pPr>
            <w:r w:rsidRPr="00D97438">
              <w:rPr>
                <w:rFonts w:ascii="Palatino Linotype" w:hAnsi="Palatino Linotype"/>
                <w:sz w:val="20"/>
              </w:rPr>
              <w:t>20</w:t>
            </w:r>
          </w:p>
        </w:tc>
        <w:tc>
          <w:tcPr>
            <w:tcW w:w="8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8E9CB28" w14:textId="77777777" w:rsidR="00371419" w:rsidRPr="00371419" w:rsidRDefault="00371419" w:rsidP="00371419">
            <w:pPr>
              <w:jc w:val="center"/>
              <w:rPr>
                <w:rFonts w:ascii="Palatino Linotype" w:hAnsi="Palatino Linotype"/>
                <w:color w:val="000000"/>
                <w:sz w:val="20"/>
              </w:rPr>
            </w:pPr>
            <w:r w:rsidRPr="00371419">
              <w:rPr>
                <w:rFonts w:ascii="Palatino Linotype" w:hAnsi="Palatino Linotype"/>
                <w:color w:val="000000"/>
                <w:sz w:val="20"/>
              </w:rPr>
              <w:t>$126.83</w:t>
            </w:r>
          </w:p>
        </w:tc>
        <w:tc>
          <w:tcPr>
            <w:tcW w:w="11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C2390C6" w14:textId="77777777" w:rsidR="00371419" w:rsidRPr="00D97438" w:rsidRDefault="00371419" w:rsidP="00D97438">
            <w:pPr>
              <w:jc w:val="center"/>
              <w:rPr>
                <w:rFonts w:ascii="Palatino Linotype" w:hAnsi="Palatino Linotype"/>
                <w:sz w:val="20"/>
              </w:rPr>
            </w:pPr>
            <w:r w:rsidRPr="00D97438">
              <w:rPr>
                <w:rFonts w:ascii="Palatino Linotype" w:hAnsi="Palatino Linotype"/>
                <w:sz w:val="20"/>
              </w:rPr>
              <w:t>6/20/2014</w:t>
            </w:r>
          </w:p>
        </w:tc>
      </w:tr>
      <w:tr w:rsidR="00371419" w:rsidRPr="00D97438" w14:paraId="73574740" w14:textId="77777777" w:rsidTr="00D97438">
        <w:trPr>
          <w:trHeight w:val="300"/>
        </w:trPr>
        <w:tc>
          <w:tcPr>
            <w:tcW w:w="252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7342315" w14:textId="77777777" w:rsidR="00371419" w:rsidRPr="00D97438" w:rsidRDefault="00371419">
            <w:pPr>
              <w:rPr>
                <w:rFonts w:ascii="Palatino Linotype" w:hAnsi="Palatino Linotype"/>
                <w:sz w:val="20"/>
              </w:rPr>
            </w:pPr>
            <w:r w:rsidRPr="00D97438">
              <w:rPr>
                <w:rFonts w:ascii="Palatino Linotype" w:hAnsi="Palatino Linotype"/>
                <w:sz w:val="20"/>
              </w:rPr>
              <w:t>Con Dios Solar Park 41</w:t>
            </w:r>
          </w:p>
        </w:tc>
        <w:tc>
          <w:tcPr>
            <w:tcW w:w="18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2632D6B0" w14:textId="77777777" w:rsidR="00371419" w:rsidRPr="00D97438" w:rsidRDefault="00371419">
            <w:pPr>
              <w:rPr>
                <w:rFonts w:ascii="Palatino Linotype" w:hAnsi="Palatino Linotype"/>
                <w:sz w:val="20"/>
              </w:rPr>
            </w:pPr>
            <w:r w:rsidRPr="0074123E">
              <w:rPr>
                <w:rFonts w:ascii="Palatino Linotype" w:hAnsi="Palatino Linotype"/>
                <w:sz w:val="20"/>
              </w:rPr>
              <w:t xml:space="preserve">Global Ren. Energ. </w:t>
            </w:r>
          </w:p>
        </w:tc>
        <w:tc>
          <w:tcPr>
            <w:tcW w:w="9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762F3BC" w14:textId="77777777" w:rsidR="00371419" w:rsidRPr="00D97438" w:rsidRDefault="00371419" w:rsidP="00D97438">
            <w:pPr>
              <w:jc w:val="center"/>
              <w:rPr>
                <w:rFonts w:ascii="Palatino Linotype" w:hAnsi="Palatino Linotype"/>
                <w:sz w:val="20"/>
              </w:rPr>
            </w:pPr>
            <w:r w:rsidRPr="00D97438">
              <w:rPr>
                <w:rFonts w:ascii="Palatino Linotype" w:hAnsi="Palatino Linotype"/>
                <w:sz w:val="20"/>
              </w:rPr>
              <w:t>1.5</w:t>
            </w:r>
          </w:p>
        </w:tc>
        <w:tc>
          <w:tcPr>
            <w:tcW w:w="11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A2D25F2" w14:textId="77777777" w:rsidR="00371419" w:rsidRPr="00D97438" w:rsidRDefault="00371419" w:rsidP="00D97438">
            <w:pPr>
              <w:jc w:val="center"/>
              <w:rPr>
                <w:rFonts w:ascii="Palatino Linotype" w:hAnsi="Palatino Linotype"/>
                <w:sz w:val="20"/>
              </w:rPr>
            </w:pPr>
            <w:r w:rsidRPr="00D97438">
              <w:rPr>
                <w:rFonts w:ascii="Palatino Linotype" w:hAnsi="Palatino Linotype"/>
                <w:sz w:val="20"/>
              </w:rPr>
              <w:t>4.9</w:t>
            </w:r>
          </w:p>
        </w:tc>
        <w:tc>
          <w:tcPr>
            <w:tcW w:w="72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3115AD06" w14:textId="77777777" w:rsidR="00371419" w:rsidRPr="00D97438" w:rsidRDefault="00371419" w:rsidP="00D97438">
            <w:pPr>
              <w:jc w:val="center"/>
              <w:rPr>
                <w:rFonts w:ascii="Palatino Linotype" w:hAnsi="Palatino Linotype"/>
                <w:sz w:val="20"/>
              </w:rPr>
            </w:pPr>
            <w:r w:rsidRPr="00AF6B95">
              <w:rPr>
                <w:rFonts w:ascii="Palatino Linotype" w:hAnsi="Palatino Linotype"/>
                <w:sz w:val="20"/>
              </w:rPr>
              <w:t>PV</w:t>
            </w:r>
          </w:p>
        </w:tc>
        <w:tc>
          <w:tcPr>
            <w:tcW w:w="8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79B9F9D" w14:textId="77777777" w:rsidR="00371419" w:rsidRPr="00D97438" w:rsidRDefault="00371419" w:rsidP="00D97438">
            <w:pPr>
              <w:jc w:val="center"/>
              <w:rPr>
                <w:rFonts w:ascii="Palatino Linotype" w:hAnsi="Palatino Linotype"/>
                <w:sz w:val="20"/>
              </w:rPr>
            </w:pPr>
            <w:r w:rsidRPr="00D97438">
              <w:rPr>
                <w:rFonts w:ascii="Palatino Linotype" w:hAnsi="Palatino Linotype"/>
                <w:sz w:val="20"/>
              </w:rPr>
              <w:t>New</w:t>
            </w:r>
          </w:p>
        </w:tc>
        <w:tc>
          <w:tcPr>
            <w:tcW w:w="72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8471B1C" w14:textId="77777777" w:rsidR="00371419" w:rsidRPr="00D97438" w:rsidRDefault="00371419" w:rsidP="00D97438">
            <w:pPr>
              <w:jc w:val="center"/>
              <w:rPr>
                <w:rFonts w:ascii="Palatino Linotype" w:hAnsi="Palatino Linotype"/>
                <w:sz w:val="20"/>
              </w:rPr>
            </w:pPr>
            <w:r w:rsidRPr="00D97438">
              <w:rPr>
                <w:rFonts w:ascii="Palatino Linotype" w:hAnsi="Palatino Linotype"/>
                <w:sz w:val="20"/>
              </w:rPr>
              <w:t>20</w:t>
            </w:r>
          </w:p>
        </w:tc>
        <w:tc>
          <w:tcPr>
            <w:tcW w:w="8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AE7C92D" w14:textId="77777777" w:rsidR="00371419" w:rsidRPr="00371419" w:rsidRDefault="00371419" w:rsidP="00371419">
            <w:pPr>
              <w:jc w:val="center"/>
              <w:rPr>
                <w:rFonts w:ascii="Palatino Linotype" w:hAnsi="Palatino Linotype"/>
                <w:color w:val="000000"/>
                <w:sz w:val="20"/>
              </w:rPr>
            </w:pPr>
            <w:r w:rsidRPr="00371419">
              <w:rPr>
                <w:rFonts w:ascii="Palatino Linotype" w:hAnsi="Palatino Linotype"/>
                <w:color w:val="000000"/>
                <w:sz w:val="20"/>
              </w:rPr>
              <w:t>$126.83</w:t>
            </w:r>
          </w:p>
        </w:tc>
        <w:tc>
          <w:tcPr>
            <w:tcW w:w="11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91DB28B" w14:textId="77777777" w:rsidR="00371419" w:rsidRPr="00D97438" w:rsidRDefault="00371419" w:rsidP="00D97438">
            <w:pPr>
              <w:jc w:val="center"/>
              <w:rPr>
                <w:rFonts w:ascii="Palatino Linotype" w:hAnsi="Palatino Linotype"/>
                <w:sz w:val="20"/>
              </w:rPr>
            </w:pPr>
            <w:r w:rsidRPr="00D97438">
              <w:rPr>
                <w:rFonts w:ascii="Palatino Linotype" w:hAnsi="Palatino Linotype"/>
                <w:sz w:val="20"/>
              </w:rPr>
              <w:t>6/20/2014</w:t>
            </w:r>
          </w:p>
        </w:tc>
      </w:tr>
      <w:tr w:rsidR="00DE7E42" w:rsidRPr="00B563EC" w14:paraId="62B48FA2" w14:textId="77777777" w:rsidTr="00371419">
        <w:trPr>
          <w:trHeight w:val="300"/>
        </w:trPr>
        <w:tc>
          <w:tcPr>
            <w:tcW w:w="2520" w:type="dxa"/>
            <w:tcBorders>
              <w:top w:val="single" w:sz="4" w:space="0" w:color="auto"/>
              <w:right w:val="single" w:sz="4" w:space="0" w:color="auto"/>
            </w:tcBorders>
            <w:shd w:val="clear" w:color="auto" w:fill="auto"/>
            <w:noWrap/>
            <w:tcMar>
              <w:top w:w="15" w:type="dxa"/>
              <w:left w:w="15" w:type="dxa"/>
              <w:bottom w:w="0" w:type="dxa"/>
              <w:right w:w="15" w:type="dxa"/>
            </w:tcMar>
            <w:vAlign w:val="bottom"/>
          </w:tcPr>
          <w:p w14:paraId="76554A66" w14:textId="77777777" w:rsidR="00DE7E42" w:rsidRPr="00B563EC" w:rsidRDefault="00DE7E42" w:rsidP="00D97438">
            <w:pPr>
              <w:rPr>
                <w:rFonts w:ascii="Palatino Linotype" w:hAnsi="Palatino Linotype"/>
                <w:color w:val="000000"/>
                <w:sz w:val="20"/>
                <w:szCs w:val="22"/>
              </w:rPr>
            </w:pPr>
          </w:p>
        </w:tc>
        <w:tc>
          <w:tcPr>
            <w:tcW w:w="1800" w:type="dxa"/>
            <w:tcBorders>
              <w:top w:val="single" w:sz="4" w:space="0" w:color="auto"/>
              <w:left w:val="nil"/>
              <w:bottom w:val="single" w:sz="4" w:space="0" w:color="auto"/>
              <w:right w:val="single" w:sz="4" w:space="0" w:color="auto"/>
            </w:tcBorders>
            <w:shd w:val="clear" w:color="auto" w:fill="A6A6A6"/>
            <w:noWrap/>
            <w:tcMar>
              <w:top w:w="15" w:type="dxa"/>
              <w:left w:w="15" w:type="dxa"/>
              <w:bottom w:w="0" w:type="dxa"/>
              <w:right w:w="15" w:type="dxa"/>
            </w:tcMar>
            <w:vAlign w:val="center"/>
          </w:tcPr>
          <w:p w14:paraId="41141754" w14:textId="77777777" w:rsidR="00DE7E42" w:rsidRPr="00B563EC" w:rsidRDefault="00DE7E42" w:rsidP="00371419">
            <w:pPr>
              <w:jc w:val="center"/>
              <w:rPr>
                <w:rFonts w:ascii="Palatino Linotype" w:hAnsi="Palatino Linotype"/>
                <w:b/>
                <w:color w:val="000000"/>
                <w:sz w:val="20"/>
                <w:szCs w:val="22"/>
              </w:rPr>
            </w:pPr>
            <w:r w:rsidRPr="00B563EC">
              <w:rPr>
                <w:rFonts w:ascii="Palatino Linotype" w:hAnsi="Palatino Linotype"/>
                <w:b/>
                <w:color w:val="000000"/>
                <w:sz w:val="20"/>
                <w:szCs w:val="22"/>
              </w:rPr>
              <w:t>Total:</w:t>
            </w:r>
          </w:p>
        </w:tc>
        <w:tc>
          <w:tcPr>
            <w:tcW w:w="900" w:type="dxa"/>
            <w:tcBorders>
              <w:top w:val="single" w:sz="4" w:space="0" w:color="auto"/>
              <w:left w:val="nil"/>
              <w:bottom w:val="single" w:sz="4" w:space="0" w:color="auto"/>
              <w:right w:val="single" w:sz="4" w:space="0" w:color="auto"/>
            </w:tcBorders>
            <w:shd w:val="clear" w:color="auto" w:fill="D9D9D9"/>
            <w:noWrap/>
            <w:tcMar>
              <w:top w:w="15" w:type="dxa"/>
              <w:left w:w="15" w:type="dxa"/>
              <w:bottom w:w="0" w:type="dxa"/>
              <w:right w:w="15" w:type="dxa"/>
            </w:tcMar>
            <w:vAlign w:val="center"/>
          </w:tcPr>
          <w:p w14:paraId="3ACFB720" w14:textId="77777777" w:rsidR="00DE7E42" w:rsidRPr="00B563EC" w:rsidRDefault="00DE7E42" w:rsidP="00371419">
            <w:pPr>
              <w:jc w:val="center"/>
              <w:rPr>
                <w:rFonts w:ascii="Palatino Linotype" w:hAnsi="Palatino Linotype"/>
                <w:b/>
                <w:color w:val="000000"/>
                <w:sz w:val="20"/>
                <w:szCs w:val="22"/>
              </w:rPr>
            </w:pPr>
            <w:r>
              <w:rPr>
                <w:rFonts w:ascii="Palatino Linotype" w:hAnsi="Palatino Linotype"/>
                <w:b/>
                <w:color w:val="000000"/>
                <w:sz w:val="20"/>
                <w:szCs w:val="22"/>
              </w:rPr>
              <w:t>105.53</w:t>
            </w:r>
          </w:p>
        </w:tc>
        <w:tc>
          <w:tcPr>
            <w:tcW w:w="1170" w:type="dxa"/>
            <w:tcBorders>
              <w:top w:val="single" w:sz="4" w:space="0" w:color="auto"/>
              <w:left w:val="nil"/>
              <w:bottom w:val="single" w:sz="4" w:space="0" w:color="auto"/>
              <w:right w:val="single" w:sz="4" w:space="0" w:color="auto"/>
            </w:tcBorders>
            <w:shd w:val="clear" w:color="auto" w:fill="D9D9D9"/>
            <w:noWrap/>
            <w:tcMar>
              <w:top w:w="15" w:type="dxa"/>
              <w:left w:w="15" w:type="dxa"/>
              <w:bottom w:w="0" w:type="dxa"/>
              <w:right w:w="15" w:type="dxa"/>
            </w:tcMar>
            <w:vAlign w:val="center"/>
          </w:tcPr>
          <w:p w14:paraId="4DB116A6" w14:textId="77777777" w:rsidR="00DE7E42" w:rsidRPr="00B563EC" w:rsidRDefault="00DE7E42" w:rsidP="00371419">
            <w:pPr>
              <w:jc w:val="center"/>
              <w:rPr>
                <w:rFonts w:ascii="Palatino Linotype" w:hAnsi="Palatino Linotype"/>
                <w:b/>
                <w:color w:val="000000"/>
                <w:sz w:val="20"/>
                <w:szCs w:val="22"/>
              </w:rPr>
            </w:pPr>
            <w:r>
              <w:rPr>
                <w:rFonts w:ascii="Palatino Linotype" w:hAnsi="Palatino Linotype"/>
                <w:b/>
                <w:color w:val="000000"/>
                <w:sz w:val="20"/>
                <w:szCs w:val="22"/>
              </w:rPr>
              <w:t>275.6</w:t>
            </w:r>
          </w:p>
        </w:tc>
        <w:tc>
          <w:tcPr>
            <w:tcW w:w="720" w:type="dxa"/>
            <w:tcBorders>
              <w:top w:val="single" w:sz="4" w:space="0" w:color="auto"/>
              <w:left w:val="nil"/>
            </w:tcBorders>
            <w:shd w:val="clear" w:color="auto" w:fill="auto"/>
            <w:noWrap/>
            <w:tcMar>
              <w:top w:w="15" w:type="dxa"/>
              <w:left w:w="15" w:type="dxa"/>
              <w:bottom w:w="0" w:type="dxa"/>
              <w:right w:w="15" w:type="dxa"/>
            </w:tcMar>
          </w:tcPr>
          <w:p w14:paraId="1DBEB7D9" w14:textId="77777777" w:rsidR="00DE7E42" w:rsidRDefault="00DE7E42" w:rsidP="00D97438">
            <w:pPr>
              <w:jc w:val="center"/>
              <w:rPr>
                <w:rFonts w:ascii="Palatino Linotype" w:hAnsi="Palatino Linotype"/>
                <w:sz w:val="20"/>
              </w:rPr>
            </w:pPr>
          </w:p>
        </w:tc>
        <w:tc>
          <w:tcPr>
            <w:tcW w:w="810" w:type="dxa"/>
            <w:tcBorders>
              <w:top w:val="single" w:sz="4" w:space="0" w:color="auto"/>
            </w:tcBorders>
            <w:shd w:val="clear" w:color="auto" w:fill="auto"/>
            <w:noWrap/>
            <w:tcMar>
              <w:top w:w="15" w:type="dxa"/>
              <w:left w:w="15" w:type="dxa"/>
              <w:bottom w:w="0" w:type="dxa"/>
              <w:right w:w="15" w:type="dxa"/>
            </w:tcMar>
            <w:vAlign w:val="bottom"/>
          </w:tcPr>
          <w:p w14:paraId="389FB5A2" w14:textId="77777777" w:rsidR="00DE7E42" w:rsidRPr="00B563EC" w:rsidRDefault="00DE7E42" w:rsidP="00D97438">
            <w:pPr>
              <w:jc w:val="center"/>
              <w:rPr>
                <w:rFonts w:ascii="Calibri" w:hAnsi="Calibri"/>
                <w:color w:val="000000"/>
                <w:sz w:val="20"/>
                <w:szCs w:val="22"/>
              </w:rPr>
            </w:pPr>
          </w:p>
        </w:tc>
        <w:tc>
          <w:tcPr>
            <w:tcW w:w="720" w:type="dxa"/>
            <w:tcBorders>
              <w:top w:val="single" w:sz="4" w:space="0" w:color="auto"/>
              <w:left w:val="nil"/>
            </w:tcBorders>
            <w:shd w:val="clear" w:color="auto" w:fill="auto"/>
            <w:noWrap/>
            <w:tcMar>
              <w:top w:w="15" w:type="dxa"/>
              <w:left w:w="15" w:type="dxa"/>
              <w:bottom w:w="0" w:type="dxa"/>
              <w:right w:w="15" w:type="dxa"/>
            </w:tcMar>
            <w:vAlign w:val="bottom"/>
          </w:tcPr>
          <w:p w14:paraId="6207CB5C" w14:textId="77777777" w:rsidR="00DE7E42" w:rsidRPr="00B563EC" w:rsidRDefault="00DE7E42" w:rsidP="00D97438">
            <w:pPr>
              <w:jc w:val="center"/>
              <w:rPr>
                <w:rFonts w:ascii="Calibri" w:hAnsi="Calibri"/>
                <w:color w:val="000000"/>
                <w:sz w:val="20"/>
                <w:szCs w:val="22"/>
              </w:rPr>
            </w:pPr>
          </w:p>
        </w:tc>
        <w:tc>
          <w:tcPr>
            <w:tcW w:w="810" w:type="dxa"/>
            <w:tcBorders>
              <w:top w:val="single" w:sz="4" w:space="0" w:color="auto"/>
            </w:tcBorders>
            <w:shd w:val="clear" w:color="auto" w:fill="auto"/>
            <w:noWrap/>
            <w:tcMar>
              <w:top w:w="15" w:type="dxa"/>
              <w:left w:w="15" w:type="dxa"/>
              <w:bottom w:w="0" w:type="dxa"/>
              <w:right w:w="15" w:type="dxa"/>
            </w:tcMar>
            <w:vAlign w:val="bottom"/>
          </w:tcPr>
          <w:p w14:paraId="60117B83" w14:textId="77777777" w:rsidR="00DE7E42" w:rsidRPr="00B563EC" w:rsidRDefault="00DE7E42" w:rsidP="00D97438">
            <w:pPr>
              <w:jc w:val="center"/>
              <w:rPr>
                <w:rFonts w:ascii="Calibri" w:hAnsi="Calibri"/>
                <w:color w:val="000000"/>
                <w:sz w:val="20"/>
                <w:szCs w:val="22"/>
              </w:rPr>
            </w:pPr>
          </w:p>
        </w:tc>
        <w:tc>
          <w:tcPr>
            <w:tcW w:w="1170" w:type="dxa"/>
            <w:tcBorders>
              <w:top w:val="single" w:sz="4" w:space="0" w:color="auto"/>
              <w:left w:val="nil"/>
            </w:tcBorders>
            <w:shd w:val="clear" w:color="auto" w:fill="auto"/>
            <w:noWrap/>
            <w:tcMar>
              <w:top w:w="15" w:type="dxa"/>
              <w:left w:w="15" w:type="dxa"/>
              <w:bottom w:w="0" w:type="dxa"/>
              <w:right w:w="15" w:type="dxa"/>
            </w:tcMar>
            <w:vAlign w:val="bottom"/>
          </w:tcPr>
          <w:p w14:paraId="19BC2A6E" w14:textId="77777777" w:rsidR="00DE7E42" w:rsidRPr="00B563EC" w:rsidRDefault="00DE7E42" w:rsidP="00D97438">
            <w:pPr>
              <w:jc w:val="center"/>
              <w:rPr>
                <w:rFonts w:ascii="Calibri" w:hAnsi="Calibri"/>
                <w:color w:val="000000"/>
                <w:sz w:val="20"/>
                <w:szCs w:val="22"/>
              </w:rPr>
            </w:pPr>
          </w:p>
        </w:tc>
      </w:tr>
    </w:tbl>
    <w:p w14:paraId="43F7133E" w14:textId="77777777" w:rsidR="00371419" w:rsidRPr="00371419" w:rsidRDefault="00A02B19" w:rsidP="00371419">
      <w:pPr>
        <w:spacing w:before="60" w:after="60"/>
        <w:rPr>
          <w:i/>
          <w:sz w:val="20"/>
        </w:rPr>
      </w:pPr>
      <w:r w:rsidRPr="00B563EC">
        <w:rPr>
          <w:i/>
          <w:sz w:val="20"/>
        </w:rPr>
        <w:t>*</w:t>
      </w:r>
      <w:r w:rsidR="00371419" w:rsidRPr="00371419">
        <w:rPr>
          <w:i/>
          <w:sz w:val="20"/>
        </w:rPr>
        <w:t xml:space="preserve"> </w:t>
      </w:r>
      <w:r w:rsidR="00371419">
        <w:rPr>
          <w:i/>
          <w:sz w:val="20"/>
        </w:rPr>
        <w:t>Price reflects the relevant MPR value, as adopted in Resolution E-4442, assuming the</w:t>
      </w:r>
      <w:r w:rsidR="00371419" w:rsidRPr="00B563EC">
        <w:rPr>
          <w:i/>
          <w:sz w:val="20"/>
        </w:rPr>
        <w:t xml:space="preserve"> COD</w:t>
      </w:r>
      <w:r w:rsidR="00371419">
        <w:rPr>
          <w:i/>
          <w:sz w:val="20"/>
        </w:rPr>
        <w:t xml:space="preserve"> for the project</w:t>
      </w:r>
      <w:r w:rsidR="00371419" w:rsidRPr="00B563EC">
        <w:rPr>
          <w:i/>
          <w:sz w:val="20"/>
        </w:rPr>
        <w:t xml:space="preserve"> is</w:t>
      </w:r>
      <w:r w:rsidR="00371419">
        <w:rPr>
          <w:i/>
          <w:sz w:val="20"/>
        </w:rPr>
        <w:t xml:space="preserve"> the PPA’s</w:t>
      </w:r>
      <w:r w:rsidR="00371419" w:rsidRPr="00B563EC">
        <w:rPr>
          <w:i/>
          <w:sz w:val="20"/>
        </w:rPr>
        <w:t xml:space="preserve"> expected date of Initial Operation </w:t>
      </w:r>
      <w:r w:rsidR="00371419">
        <w:rPr>
          <w:i/>
          <w:sz w:val="20"/>
        </w:rPr>
        <w:t>multiplied by SCE’s Solar PV TOD adjustment</w:t>
      </w:r>
      <w:r w:rsidR="00371419" w:rsidRPr="00B563EC">
        <w:rPr>
          <w:i/>
          <w:sz w:val="20"/>
        </w:rPr>
        <w:t>.</w:t>
      </w:r>
      <w:r w:rsidR="00371419" w:rsidRPr="00B563EC" w:rsidDel="00A33DA8">
        <w:rPr>
          <w:i/>
          <w:sz w:val="20"/>
        </w:rPr>
        <w:t xml:space="preserve"> </w:t>
      </w:r>
      <w:r w:rsidR="00371419">
        <w:rPr>
          <w:i/>
          <w:sz w:val="20"/>
        </w:rPr>
        <w:t xml:space="preserve">These prices are public. </w:t>
      </w:r>
    </w:p>
    <w:p w14:paraId="78A9FFBF" w14:textId="77777777" w:rsidR="00A02B19" w:rsidRPr="00B563EC" w:rsidRDefault="00A02B19" w:rsidP="00371419">
      <w:pPr>
        <w:spacing w:before="60" w:after="60"/>
        <w:rPr>
          <w:i/>
          <w:sz w:val="20"/>
          <w:szCs w:val="26"/>
        </w:rPr>
      </w:pPr>
      <w:r w:rsidRPr="00B563EC">
        <w:rPr>
          <w:i/>
          <w:sz w:val="20"/>
          <w:szCs w:val="26"/>
        </w:rPr>
        <w:t xml:space="preserve">** Estimated Initial Operation Date in PPA. </w:t>
      </w:r>
    </w:p>
    <w:p w14:paraId="2CC53481" w14:textId="77777777" w:rsidR="00150617" w:rsidRDefault="00150617" w:rsidP="00150617">
      <w:pPr>
        <w:spacing w:after="120"/>
      </w:pPr>
      <w:r>
        <w:lastRenderedPageBreak/>
        <w:t>On April 22, 2013, SCE filed supplemental Advice Letter 2870-E-A, requesting approval of an additional five (5) CREST PPAs</w:t>
      </w:r>
      <w:r w:rsidR="00277A70">
        <w:t xml:space="preserve"> representing</w:t>
      </w:r>
      <w:r w:rsidR="009B5564">
        <w:t xml:space="preserve"> another</w:t>
      </w:r>
      <w:r w:rsidR="00277A70">
        <w:t xml:space="preserve"> </w:t>
      </w:r>
      <w:r w:rsidR="0026745B">
        <w:t>6.99 MW of capacity</w:t>
      </w:r>
      <w:r w:rsidR="00574DA1">
        <w:t xml:space="preserve"> in excess of the capacity target for SCE’s CREST tariff</w:t>
      </w:r>
      <w:r w:rsidR="0026745B">
        <w:t>.</w:t>
      </w:r>
      <w:r>
        <w:t xml:space="preserve"> SCE included an amendment with each of these additional five PPAs that would allow the PPAs to be terminated if not approved by the Commission. </w:t>
      </w:r>
    </w:p>
    <w:p w14:paraId="247C04EB" w14:textId="77777777" w:rsidR="00150617" w:rsidRPr="0070584C" w:rsidRDefault="00150617" w:rsidP="00D97438">
      <w:pPr>
        <w:pStyle w:val="Caption"/>
        <w:keepNext/>
        <w:spacing w:before="120" w:after="120"/>
        <w:rPr>
          <w:sz w:val="26"/>
          <w:szCs w:val="26"/>
        </w:rPr>
      </w:pPr>
      <w:r w:rsidRPr="0070584C">
        <w:rPr>
          <w:sz w:val="26"/>
          <w:szCs w:val="26"/>
        </w:rPr>
        <w:t xml:space="preserve">Table </w:t>
      </w:r>
      <w:r>
        <w:rPr>
          <w:sz w:val="26"/>
          <w:szCs w:val="26"/>
        </w:rPr>
        <w:t>2</w:t>
      </w:r>
      <w:r w:rsidRPr="0070584C">
        <w:rPr>
          <w:sz w:val="26"/>
          <w:szCs w:val="26"/>
        </w:rPr>
        <w:t xml:space="preserve">: Summary of </w:t>
      </w:r>
      <w:r>
        <w:rPr>
          <w:sz w:val="26"/>
          <w:szCs w:val="26"/>
        </w:rPr>
        <w:t xml:space="preserve">5 CREST PPAs filed for approval in AL 2870-E-A </w:t>
      </w:r>
    </w:p>
    <w:tbl>
      <w:tblPr>
        <w:tblW w:w="10620" w:type="dxa"/>
        <w:tblInd w:w="-615" w:type="dxa"/>
        <w:tblCellMar>
          <w:left w:w="0" w:type="dxa"/>
          <w:right w:w="0" w:type="dxa"/>
        </w:tblCellMar>
        <w:tblLook w:val="04A0" w:firstRow="1" w:lastRow="0" w:firstColumn="1" w:lastColumn="0" w:noHBand="0" w:noVBand="1"/>
      </w:tblPr>
      <w:tblGrid>
        <w:gridCol w:w="2520"/>
        <w:gridCol w:w="1800"/>
        <w:gridCol w:w="900"/>
        <w:gridCol w:w="1170"/>
        <w:gridCol w:w="720"/>
        <w:gridCol w:w="810"/>
        <w:gridCol w:w="720"/>
        <w:gridCol w:w="810"/>
        <w:gridCol w:w="1170"/>
      </w:tblGrid>
      <w:tr w:rsidR="00A33DA8" w:rsidRPr="00B563EC" w14:paraId="7BA61C70" w14:textId="77777777" w:rsidTr="00D97438">
        <w:trPr>
          <w:trHeight w:val="900"/>
          <w:tblHeader/>
        </w:trPr>
        <w:tc>
          <w:tcPr>
            <w:tcW w:w="2520" w:type="dxa"/>
            <w:tcBorders>
              <w:top w:val="single" w:sz="4" w:space="0" w:color="auto"/>
              <w:left w:val="single" w:sz="4" w:space="0" w:color="auto"/>
              <w:bottom w:val="single" w:sz="4" w:space="0" w:color="auto"/>
              <w:right w:val="single" w:sz="4" w:space="0" w:color="auto"/>
            </w:tcBorders>
            <w:shd w:val="clear" w:color="000000" w:fill="969696"/>
            <w:tcMar>
              <w:top w:w="15" w:type="dxa"/>
              <w:left w:w="15" w:type="dxa"/>
              <w:bottom w:w="0" w:type="dxa"/>
              <w:right w:w="15" w:type="dxa"/>
            </w:tcMar>
            <w:vAlign w:val="center"/>
            <w:hideMark/>
          </w:tcPr>
          <w:p w14:paraId="44D56CDC" w14:textId="77777777" w:rsidR="00A33DA8" w:rsidRPr="00B563EC" w:rsidRDefault="00A33DA8" w:rsidP="00D97438">
            <w:pPr>
              <w:jc w:val="center"/>
              <w:rPr>
                <w:rFonts w:ascii="Palatino Linotype" w:hAnsi="Palatino Linotype"/>
                <w:b/>
                <w:bCs/>
                <w:sz w:val="20"/>
              </w:rPr>
            </w:pPr>
            <w:r w:rsidRPr="00B563EC">
              <w:rPr>
                <w:rFonts w:ascii="Palatino Linotype" w:hAnsi="Palatino Linotype"/>
                <w:b/>
                <w:bCs/>
                <w:sz w:val="20"/>
              </w:rPr>
              <w:t>Project Name</w:t>
            </w:r>
          </w:p>
        </w:tc>
        <w:tc>
          <w:tcPr>
            <w:tcW w:w="1800" w:type="dxa"/>
            <w:tcBorders>
              <w:top w:val="single" w:sz="4" w:space="0" w:color="auto"/>
              <w:left w:val="nil"/>
              <w:bottom w:val="single" w:sz="4" w:space="0" w:color="auto"/>
              <w:right w:val="single" w:sz="4" w:space="0" w:color="auto"/>
            </w:tcBorders>
            <w:shd w:val="clear" w:color="000000" w:fill="969696"/>
            <w:tcMar>
              <w:top w:w="15" w:type="dxa"/>
              <w:left w:w="15" w:type="dxa"/>
              <w:bottom w:w="0" w:type="dxa"/>
              <w:right w:w="15" w:type="dxa"/>
            </w:tcMar>
            <w:vAlign w:val="center"/>
            <w:hideMark/>
          </w:tcPr>
          <w:p w14:paraId="4ABE0452" w14:textId="77777777" w:rsidR="00A33DA8" w:rsidRPr="00B563EC" w:rsidRDefault="00A33DA8" w:rsidP="00D97438">
            <w:pPr>
              <w:jc w:val="center"/>
              <w:rPr>
                <w:rFonts w:ascii="Palatino Linotype" w:hAnsi="Palatino Linotype"/>
                <w:b/>
                <w:bCs/>
                <w:sz w:val="20"/>
              </w:rPr>
            </w:pPr>
            <w:r w:rsidRPr="00B563EC">
              <w:rPr>
                <w:rFonts w:ascii="Palatino Linotype" w:hAnsi="Palatino Linotype"/>
                <w:b/>
                <w:bCs/>
                <w:sz w:val="20"/>
              </w:rPr>
              <w:t>Parent Company</w:t>
            </w:r>
          </w:p>
        </w:tc>
        <w:tc>
          <w:tcPr>
            <w:tcW w:w="900" w:type="dxa"/>
            <w:tcBorders>
              <w:top w:val="single" w:sz="4" w:space="0" w:color="auto"/>
              <w:left w:val="nil"/>
              <w:bottom w:val="single" w:sz="4" w:space="0" w:color="auto"/>
              <w:right w:val="single" w:sz="4" w:space="0" w:color="auto"/>
            </w:tcBorders>
            <w:shd w:val="clear" w:color="000000" w:fill="969696"/>
            <w:tcMar>
              <w:top w:w="15" w:type="dxa"/>
              <w:left w:w="15" w:type="dxa"/>
              <w:bottom w:w="0" w:type="dxa"/>
              <w:right w:w="15" w:type="dxa"/>
            </w:tcMar>
            <w:vAlign w:val="center"/>
            <w:hideMark/>
          </w:tcPr>
          <w:p w14:paraId="76B893CE" w14:textId="77777777" w:rsidR="00A33DA8" w:rsidRPr="00B563EC" w:rsidRDefault="00A33DA8" w:rsidP="00D97438">
            <w:pPr>
              <w:jc w:val="center"/>
              <w:rPr>
                <w:rFonts w:ascii="Palatino Linotype" w:hAnsi="Palatino Linotype"/>
                <w:b/>
                <w:bCs/>
                <w:sz w:val="20"/>
              </w:rPr>
            </w:pPr>
            <w:r w:rsidRPr="00B563EC">
              <w:rPr>
                <w:rFonts w:ascii="Palatino Linotype" w:hAnsi="Palatino Linotype"/>
                <w:b/>
                <w:bCs/>
                <w:sz w:val="20"/>
              </w:rPr>
              <w:t>Capacity (MW)</w:t>
            </w:r>
          </w:p>
        </w:tc>
        <w:tc>
          <w:tcPr>
            <w:tcW w:w="1170" w:type="dxa"/>
            <w:tcBorders>
              <w:top w:val="single" w:sz="4" w:space="0" w:color="auto"/>
              <w:left w:val="nil"/>
              <w:bottom w:val="single" w:sz="4" w:space="0" w:color="auto"/>
              <w:right w:val="single" w:sz="4" w:space="0" w:color="auto"/>
            </w:tcBorders>
            <w:shd w:val="clear" w:color="000000" w:fill="969696"/>
            <w:tcMar>
              <w:top w:w="15" w:type="dxa"/>
              <w:left w:w="15" w:type="dxa"/>
              <w:bottom w:w="0" w:type="dxa"/>
              <w:right w:w="15" w:type="dxa"/>
            </w:tcMar>
            <w:vAlign w:val="center"/>
            <w:hideMark/>
          </w:tcPr>
          <w:p w14:paraId="220B33C2" w14:textId="77777777" w:rsidR="00A33DA8" w:rsidRPr="00B563EC" w:rsidRDefault="00A33DA8" w:rsidP="00D97438">
            <w:pPr>
              <w:jc w:val="center"/>
              <w:rPr>
                <w:rFonts w:ascii="Palatino Linotype" w:hAnsi="Palatino Linotype"/>
                <w:b/>
                <w:bCs/>
                <w:sz w:val="20"/>
              </w:rPr>
            </w:pPr>
            <w:r w:rsidRPr="00B563EC">
              <w:rPr>
                <w:rFonts w:ascii="Palatino Linotype" w:hAnsi="Palatino Linotype"/>
                <w:b/>
                <w:bCs/>
                <w:sz w:val="20"/>
              </w:rPr>
              <w:t>Expected Generation (GWh/yr)</w:t>
            </w:r>
          </w:p>
        </w:tc>
        <w:tc>
          <w:tcPr>
            <w:tcW w:w="720" w:type="dxa"/>
            <w:tcBorders>
              <w:top w:val="single" w:sz="4" w:space="0" w:color="auto"/>
              <w:left w:val="nil"/>
              <w:bottom w:val="single" w:sz="4" w:space="0" w:color="auto"/>
              <w:right w:val="single" w:sz="4" w:space="0" w:color="auto"/>
            </w:tcBorders>
            <w:shd w:val="clear" w:color="000000" w:fill="969696"/>
            <w:tcMar>
              <w:top w:w="15" w:type="dxa"/>
              <w:left w:w="15" w:type="dxa"/>
              <w:bottom w:w="0" w:type="dxa"/>
              <w:right w:w="15" w:type="dxa"/>
            </w:tcMar>
            <w:vAlign w:val="center"/>
            <w:hideMark/>
          </w:tcPr>
          <w:p w14:paraId="22CD5EF0" w14:textId="77777777" w:rsidR="00A33DA8" w:rsidRPr="00B563EC" w:rsidRDefault="00A33DA8" w:rsidP="00D97438">
            <w:pPr>
              <w:jc w:val="center"/>
              <w:rPr>
                <w:rFonts w:ascii="Palatino Linotype" w:hAnsi="Palatino Linotype"/>
                <w:b/>
                <w:bCs/>
                <w:sz w:val="20"/>
              </w:rPr>
            </w:pPr>
            <w:r w:rsidRPr="00B563EC">
              <w:rPr>
                <w:rFonts w:ascii="Palatino Linotype" w:hAnsi="Palatino Linotype"/>
                <w:b/>
                <w:bCs/>
                <w:sz w:val="20"/>
              </w:rPr>
              <w:t>Tech</w:t>
            </w:r>
            <w:r>
              <w:rPr>
                <w:rFonts w:ascii="Palatino Linotype" w:hAnsi="Palatino Linotype"/>
                <w:b/>
                <w:bCs/>
                <w:sz w:val="20"/>
              </w:rPr>
              <w:t>.</w:t>
            </w:r>
          </w:p>
        </w:tc>
        <w:tc>
          <w:tcPr>
            <w:tcW w:w="810" w:type="dxa"/>
            <w:tcBorders>
              <w:top w:val="single" w:sz="4" w:space="0" w:color="auto"/>
              <w:left w:val="nil"/>
              <w:bottom w:val="single" w:sz="4" w:space="0" w:color="auto"/>
              <w:right w:val="single" w:sz="4" w:space="0" w:color="auto"/>
            </w:tcBorders>
            <w:shd w:val="clear" w:color="000000" w:fill="969696"/>
            <w:tcMar>
              <w:top w:w="15" w:type="dxa"/>
              <w:left w:w="15" w:type="dxa"/>
              <w:bottom w:w="0" w:type="dxa"/>
              <w:right w:w="15" w:type="dxa"/>
            </w:tcMar>
            <w:vAlign w:val="center"/>
            <w:hideMark/>
          </w:tcPr>
          <w:p w14:paraId="3BBFDF46" w14:textId="77777777" w:rsidR="00A33DA8" w:rsidRPr="00B563EC" w:rsidRDefault="00A33DA8" w:rsidP="00D97438">
            <w:pPr>
              <w:jc w:val="center"/>
              <w:rPr>
                <w:rFonts w:ascii="Palatino Linotype" w:hAnsi="Palatino Linotype"/>
                <w:b/>
                <w:bCs/>
                <w:sz w:val="20"/>
              </w:rPr>
            </w:pPr>
            <w:r w:rsidRPr="00B563EC">
              <w:rPr>
                <w:rFonts w:ascii="Palatino Linotype" w:hAnsi="Palatino Linotype"/>
                <w:b/>
                <w:bCs/>
                <w:sz w:val="20"/>
              </w:rPr>
              <w:t>Vintage</w:t>
            </w:r>
          </w:p>
        </w:tc>
        <w:tc>
          <w:tcPr>
            <w:tcW w:w="720" w:type="dxa"/>
            <w:tcBorders>
              <w:top w:val="single" w:sz="4" w:space="0" w:color="auto"/>
              <w:left w:val="nil"/>
              <w:bottom w:val="single" w:sz="4" w:space="0" w:color="auto"/>
              <w:right w:val="single" w:sz="4" w:space="0" w:color="auto"/>
            </w:tcBorders>
            <w:shd w:val="clear" w:color="000000" w:fill="969696"/>
            <w:tcMar>
              <w:top w:w="15" w:type="dxa"/>
              <w:left w:w="15" w:type="dxa"/>
              <w:bottom w:w="0" w:type="dxa"/>
              <w:right w:w="15" w:type="dxa"/>
            </w:tcMar>
            <w:vAlign w:val="center"/>
            <w:hideMark/>
          </w:tcPr>
          <w:p w14:paraId="4AE56236" w14:textId="77777777" w:rsidR="00A33DA8" w:rsidRPr="00B563EC" w:rsidRDefault="00A33DA8" w:rsidP="00D97438">
            <w:pPr>
              <w:jc w:val="center"/>
              <w:rPr>
                <w:rFonts w:ascii="Palatino Linotype" w:hAnsi="Palatino Linotype"/>
                <w:b/>
                <w:bCs/>
                <w:sz w:val="20"/>
              </w:rPr>
            </w:pPr>
            <w:r w:rsidRPr="00B563EC">
              <w:rPr>
                <w:rFonts w:ascii="Palatino Linotype" w:hAnsi="Palatino Linotype"/>
                <w:b/>
                <w:bCs/>
                <w:sz w:val="20"/>
              </w:rPr>
              <w:t>PPA          Term     (years)</w:t>
            </w:r>
          </w:p>
        </w:tc>
        <w:tc>
          <w:tcPr>
            <w:tcW w:w="810" w:type="dxa"/>
            <w:tcBorders>
              <w:top w:val="single" w:sz="4" w:space="0" w:color="auto"/>
              <w:left w:val="nil"/>
              <w:bottom w:val="single" w:sz="4" w:space="0" w:color="auto"/>
              <w:right w:val="single" w:sz="4" w:space="0" w:color="auto"/>
            </w:tcBorders>
            <w:shd w:val="clear" w:color="000000" w:fill="969696"/>
            <w:tcMar>
              <w:top w:w="15" w:type="dxa"/>
              <w:left w:w="15" w:type="dxa"/>
              <w:bottom w:w="0" w:type="dxa"/>
              <w:right w:w="15" w:type="dxa"/>
            </w:tcMar>
            <w:vAlign w:val="center"/>
            <w:hideMark/>
          </w:tcPr>
          <w:p w14:paraId="5CF58D07" w14:textId="77777777" w:rsidR="00A33DA8" w:rsidRPr="00B563EC" w:rsidRDefault="00371419" w:rsidP="00D97438">
            <w:pPr>
              <w:jc w:val="center"/>
              <w:rPr>
                <w:rFonts w:ascii="Palatino Linotype" w:hAnsi="Palatino Linotype"/>
                <w:b/>
                <w:bCs/>
                <w:sz w:val="20"/>
              </w:rPr>
            </w:pPr>
            <w:r>
              <w:rPr>
                <w:rFonts w:ascii="Palatino Linotype" w:hAnsi="Palatino Linotype"/>
                <w:b/>
                <w:bCs/>
                <w:sz w:val="20"/>
              </w:rPr>
              <w:t xml:space="preserve">Post-TOD </w:t>
            </w:r>
            <w:r w:rsidRPr="00D97438">
              <w:rPr>
                <w:rFonts w:ascii="Palatino Linotype" w:hAnsi="Palatino Linotype"/>
                <w:b/>
                <w:bCs/>
                <w:sz w:val="20"/>
              </w:rPr>
              <w:t>Price</w:t>
            </w:r>
            <w:r w:rsidRPr="00B563EC">
              <w:rPr>
                <w:rFonts w:ascii="Palatino Linotype" w:hAnsi="Palatino Linotype"/>
                <w:b/>
                <w:bCs/>
                <w:sz w:val="20"/>
              </w:rPr>
              <w:t xml:space="preserve"> </w:t>
            </w:r>
            <w:r w:rsidR="00A33DA8" w:rsidRPr="00B563EC">
              <w:rPr>
                <w:rFonts w:ascii="Palatino Linotype" w:hAnsi="Palatino Linotype"/>
                <w:b/>
                <w:bCs/>
                <w:sz w:val="20"/>
              </w:rPr>
              <w:t>*</w:t>
            </w:r>
          </w:p>
        </w:tc>
        <w:tc>
          <w:tcPr>
            <w:tcW w:w="1170" w:type="dxa"/>
            <w:tcBorders>
              <w:top w:val="single" w:sz="4" w:space="0" w:color="auto"/>
              <w:left w:val="nil"/>
              <w:bottom w:val="single" w:sz="4" w:space="0" w:color="auto"/>
              <w:right w:val="single" w:sz="4" w:space="0" w:color="auto"/>
            </w:tcBorders>
            <w:shd w:val="clear" w:color="000000" w:fill="969696"/>
            <w:tcMar>
              <w:top w:w="15" w:type="dxa"/>
              <w:left w:w="15" w:type="dxa"/>
              <w:bottom w:w="0" w:type="dxa"/>
              <w:right w:w="15" w:type="dxa"/>
            </w:tcMar>
            <w:vAlign w:val="center"/>
            <w:hideMark/>
          </w:tcPr>
          <w:p w14:paraId="53303676" w14:textId="77777777" w:rsidR="00A33DA8" w:rsidRPr="00B563EC" w:rsidRDefault="00A33DA8" w:rsidP="00D97438">
            <w:pPr>
              <w:jc w:val="center"/>
              <w:rPr>
                <w:rFonts w:ascii="Palatino Linotype" w:hAnsi="Palatino Linotype"/>
                <w:b/>
                <w:bCs/>
                <w:sz w:val="20"/>
              </w:rPr>
            </w:pPr>
            <w:r w:rsidRPr="00B563EC">
              <w:rPr>
                <w:rFonts w:ascii="Palatino Linotype" w:hAnsi="Palatino Linotype"/>
                <w:b/>
                <w:bCs/>
                <w:sz w:val="20"/>
              </w:rPr>
              <w:t>Commercial Operation Date**</w:t>
            </w:r>
          </w:p>
        </w:tc>
      </w:tr>
      <w:tr w:rsidR="00371419" w:rsidRPr="00B563EC" w14:paraId="46E13E08" w14:textId="77777777" w:rsidTr="00D97438">
        <w:trPr>
          <w:trHeight w:val="300"/>
        </w:trPr>
        <w:tc>
          <w:tcPr>
            <w:tcW w:w="252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14:paraId="2E9DF125" w14:textId="77777777" w:rsidR="00371419" w:rsidRPr="00D97438" w:rsidRDefault="00371419" w:rsidP="00D97438">
            <w:pPr>
              <w:rPr>
                <w:rFonts w:ascii="Palatino Linotype" w:hAnsi="Palatino Linotype"/>
                <w:sz w:val="20"/>
              </w:rPr>
            </w:pPr>
            <w:r w:rsidRPr="00D97438">
              <w:rPr>
                <w:rFonts w:ascii="Palatino Linotype" w:hAnsi="Palatino Linotype"/>
                <w:color w:val="000000"/>
                <w:sz w:val="20"/>
                <w:szCs w:val="22"/>
              </w:rPr>
              <w:t>Venable 1 North</w:t>
            </w:r>
          </w:p>
        </w:tc>
        <w:tc>
          <w:tcPr>
            <w:tcW w:w="18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14:paraId="7C38E70A" w14:textId="77777777" w:rsidR="00371419" w:rsidRPr="00D97438" w:rsidRDefault="00371419" w:rsidP="00D97438">
            <w:pPr>
              <w:rPr>
                <w:rFonts w:ascii="Palatino Linotype" w:hAnsi="Palatino Linotype"/>
                <w:sz w:val="20"/>
              </w:rPr>
            </w:pPr>
            <w:r w:rsidRPr="00D97438">
              <w:rPr>
                <w:rFonts w:ascii="Palatino Linotype" w:hAnsi="Palatino Linotype"/>
                <w:color w:val="000000"/>
                <w:sz w:val="20"/>
                <w:szCs w:val="22"/>
              </w:rPr>
              <w:t>Belectric</w:t>
            </w:r>
          </w:p>
        </w:tc>
        <w:tc>
          <w:tcPr>
            <w:tcW w:w="9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14:paraId="2E04593A" w14:textId="77777777" w:rsidR="00371419" w:rsidRPr="00D97438" w:rsidRDefault="00371419" w:rsidP="00D97438">
            <w:pPr>
              <w:jc w:val="center"/>
              <w:rPr>
                <w:rFonts w:ascii="Palatino Linotype" w:hAnsi="Palatino Linotype"/>
                <w:sz w:val="20"/>
              </w:rPr>
            </w:pPr>
            <w:r w:rsidRPr="00D97438">
              <w:rPr>
                <w:rFonts w:ascii="Palatino Linotype" w:hAnsi="Palatino Linotype"/>
                <w:color w:val="000000"/>
                <w:sz w:val="20"/>
                <w:szCs w:val="22"/>
              </w:rPr>
              <w:t>1.5</w:t>
            </w:r>
          </w:p>
        </w:tc>
        <w:tc>
          <w:tcPr>
            <w:tcW w:w="11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14:paraId="77DFE3CD" w14:textId="77777777" w:rsidR="00371419" w:rsidRPr="00D97438" w:rsidRDefault="00371419" w:rsidP="00D97438">
            <w:pPr>
              <w:jc w:val="center"/>
              <w:rPr>
                <w:rFonts w:ascii="Palatino Linotype" w:hAnsi="Palatino Linotype"/>
                <w:sz w:val="20"/>
              </w:rPr>
            </w:pPr>
            <w:r w:rsidRPr="00D97438">
              <w:rPr>
                <w:rFonts w:ascii="Palatino Linotype" w:hAnsi="Palatino Linotype"/>
                <w:color w:val="000000"/>
                <w:sz w:val="20"/>
                <w:szCs w:val="22"/>
              </w:rPr>
              <w:t>3.6</w:t>
            </w:r>
          </w:p>
        </w:tc>
        <w:tc>
          <w:tcPr>
            <w:tcW w:w="72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14:paraId="63333897" w14:textId="77777777" w:rsidR="00371419" w:rsidRPr="00D97438" w:rsidRDefault="00371419" w:rsidP="00D97438">
            <w:pPr>
              <w:jc w:val="center"/>
              <w:rPr>
                <w:rFonts w:ascii="Palatino Linotype" w:hAnsi="Palatino Linotype"/>
                <w:sz w:val="20"/>
              </w:rPr>
            </w:pPr>
            <w:r w:rsidRPr="00D97438">
              <w:rPr>
                <w:rFonts w:ascii="Palatino Linotype" w:hAnsi="Palatino Linotype"/>
                <w:sz w:val="20"/>
              </w:rPr>
              <w:t>PV</w:t>
            </w:r>
          </w:p>
        </w:tc>
        <w:tc>
          <w:tcPr>
            <w:tcW w:w="8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14:paraId="3F0EE221" w14:textId="77777777" w:rsidR="00371419" w:rsidRPr="00D97438" w:rsidRDefault="00371419" w:rsidP="00D97438">
            <w:pPr>
              <w:jc w:val="center"/>
              <w:rPr>
                <w:rFonts w:ascii="Palatino Linotype" w:hAnsi="Palatino Linotype"/>
                <w:sz w:val="20"/>
              </w:rPr>
            </w:pPr>
            <w:r w:rsidRPr="00D97438">
              <w:rPr>
                <w:rFonts w:ascii="Palatino Linotype" w:hAnsi="Palatino Linotype"/>
                <w:color w:val="000000"/>
                <w:sz w:val="20"/>
                <w:szCs w:val="22"/>
              </w:rPr>
              <w:t>New</w:t>
            </w:r>
          </w:p>
        </w:tc>
        <w:tc>
          <w:tcPr>
            <w:tcW w:w="72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14:paraId="3905EDB2" w14:textId="77777777" w:rsidR="00371419" w:rsidRPr="00D97438" w:rsidRDefault="00371419" w:rsidP="00D97438">
            <w:pPr>
              <w:jc w:val="center"/>
              <w:rPr>
                <w:rFonts w:ascii="Palatino Linotype" w:hAnsi="Palatino Linotype"/>
                <w:sz w:val="20"/>
              </w:rPr>
            </w:pPr>
            <w:r w:rsidRPr="00D97438">
              <w:rPr>
                <w:rFonts w:ascii="Palatino Linotype" w:hAnsi="Palatino Linotype"/>
                <w:color w:val="000000"/>
                <w:sz w:val="20"/>
                <w:szCs w:val="22"/>
              </w:rPr>
              <w:t>20</w:t>
            </w:r>
          </w:p>
        </w:tc>
        <w:tc>
          <w:tcPr>
            <w:tcW w:w="8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14:paraId="337C9A1C" w14:textId="77777777" w:rsidR="00371419" w:rsidRPr="00371419" w:rsidRDefault="00371419" w:rsidP="00371419">
            <w:pPr>
              <w:jc w:val="center"/>
              <w:rPr>
                <w:rFonts w:ascii="Palatino Linotype" w:hAnsi="Palatino Linotype"/>
                <w:color w:val="000000"/>
                <w:sz w:val="20"/>
              </w:rPr>
            </w:pPr>
            <w:r w:rsidRPr="00371419">
              <w:rPr>
                <w:rFonts w:ascii="Palatino Linotype" w:hAnsi="Palatino Linotype"/>
                <w:color w:val="000000"/>
                <w:sz w:val="20"/>
              </w:rPr>
              <w:t>$121.88</w:t>
            </w:r>
          </w:p>
        </w:tc>
        <w:tc>
          <w:tcPr>
            <w:tcW w:w="11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14:paraId="4E30F2D9" w14:textId="77777777" w:rsidR="00371419" w:rsidRPr="00D97438" w:rsidRDefault="00371419" w:rsidP="00D97438">
            <w:pPr>
              <w:jc w:val="center"/>
              <w:rPr>
                <w:rFonts w:ascii="Palatino Linotype" w:hAnsi="Palatino Linotype"/>
                <w:sz w:val="20"/>
              </w:rPr>
            </w:pPr>
            <w:r w:rsidRPr="00D97438">
              <w:rPr>
                <w:rFonts w:ascii="Palatino Linotype" w:hAnsi="Palatino Linotype"/>
                <w:color w:val="000000"/>
                <w:sz w:val="20"/>
                <w:szCs w:val="22"/>
              </w:rPr>
              <w:t>11/8/2013</w:t>
            </w:r>
          </w:p>
        </w:tc>
      </w:tr>
      <w:tr w:rsidR="00371419" w:rsidRPr="00B563EC" w14:paraId="1B45ED8A" w14:textId="77777777" w:rsidTr="00D97438">
        <w:trPr>
          <w:trHeight w:val="300"/>
        </w:trPr>
        <w:tc>
          <w:tcPr>
            <w:tcW w:w="252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14:paraId="4A159285" w14:textId="77777777" w:rsidR="00371419" w:rsidRPr="00D97438" w:rsidRDefault="00371419" w:rsidP="00D97438">
            <w:pPr>
              <w:rPr>
                <w:rFonts w:ascii="Palatino Linotype" w:hAnsi="Palatino Linotype"/>
                <w:sz w:val="20"/>
              </w:rPr>
            </w:pPr>
            <w:r w:rsidRPr="00D97438">
              <w:rPr>
                <w:rFonts w:ascii="Palatino Linotype" w:hAnsi="Palatino Linotype"/>
                <w:color w:val="000000"/>
                <w:sz w:val="20"/>
                <w:szCs w:val="22"/>
              </w:rPr>
              <w:t>Venable 2 South</w:t>
            </w:r>
          </w:p>
        </w:tc>
        <w:tc>
          <w:tcPr>
            <w:tcW w:w="18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14:paraId="38A2DB73" w14:textId="77777777" w:rsidR="00371419" w:rsidRPr="00D97438" w:rsidRDefault="00371419" w:rsidP="00D97438">
            <w:pPr>
              <w:rPr>
                <w:rFonts w:ascii="Palatino Linotype" w:hAnsi="Palatino Linotype"/>
                <w:sz w:val="20"/>
              </w:rPr>
            </w:pPr>
            <w:r w:rsidRPr="00D97438">
              <w:rPr>
                <w:rFonts w:ascii="Palatino Linotype" w:hAnsi="Palatino Linotype"/>
                <w:color w:val="000000"/>
                <w:sz w:val="20"/>
                <w:szCs w:val="22"/>
              </w:rPr>
              <w:t>Belectric</w:t>
            </w:r>
          </w:p>
        </w:tc>
        <w:tc>
          <w:tcPr>
            <w:tcW w:w="9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14:paraId="5AC98A2A" w14:textId="77777777" w:rsidR="00371419" w:rsidRPr="00D97438" w:rsidRDefault="00371419" w:rsidP="00D97438">
            <w:pPr>
              <w:jc w:val="center"/>
              <w:rPr>
                <w:rFonts w:ascii="Palatino Linotype" w:hAnsi="Palatino Linotype"/>
                <w:sz w:val="20"/>
              </w:rPr>
            </w:pPr>
            <w:r w:rsidRPr="00D97438">
              <w:rPr>
                <w:rFonts w:ascii="Palatino Linotype" w:hAnsi="Palatino Linotype"/>
                <w:color w:val="000000"/>
                <w:sz w:val="20"/>
                <w:szCs w:val="22"/>
              </w:rPr>
              <w:t>1.5</w:t>
            </w:r>
          </w:p>
        </w:tc>
        <w:tc>
          <w:tcPr>
            <w:tcW w:w="11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14:paraId="00C660BA" w14:textId="77777777" w:rsidR="00371419" w:rsidRPr="00D97438" w:rsidRDefault="00371419" w:rsidP="00D97438">
            <w:pPr>
              <w:jc w:val="center"/>
              <w:rPr>
                <w:rFonts w:ascii="Palatino Linotype" w:hAnsi="Palatino Linotype"/>
                <w:sz w:val="20"/>
              </w:rPr>
            </w:pPr>
            <w:r w:rsidRPr="00D97438">
              <w:rPr>
                <w:rFonts w:ascii="Palatino Linotype" w:hAnsi="Palatino Linotype"/>
                <w:color w:val="000000"/>
                <w:sz w:val="20"/>
                <w:szCs w:val="22"/>
              </w:rPr>
              <w:t>3.6</w:t>
            </w:r>
          </w:p>
        </w:tc>
        <w:tc>
          <w:tcPr>
            <w:tcW w:w="72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14:paraId="55796F86" w14:textId="77777777" w:rsidR="00371419" w:rsidRPr="00D97438" w:rsidRDefault="00371419" w:rsidP="00D97438">
            <w:pPr>
              <w:jc w:val="center"/>
              <w:rPr>
                <w:rFonts w:ascii="Palatino Linotype" w:hAnsi="Palatino Linotype"/>
                <w:sz w:val="20"/>
              </w:rPr>
            </w:pPr>
            <w:r w:rsidRPr="00D97438">
              <w:rPr>
                <w:rFonts w:ascii="Palatino Linotype" w:hAnsi="Palatino Linotype"/>
                <w:sz w:val="20"/>
              </w:rPr>
              <w:t>PV</w:t>
            </w:r>
          </w:p>
        </w:tc>
        <w:tc>
          <w:tcPr>
            <w:tcW w:w="8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14:paraId="2EB84B1D" w14:textId="77777777" w:rsidR="00371419" w:rsidRPr="00D97438" w:rsidRDefault="00371419" w:rsidP="00D97438">
            <w:pPr>
              <w:jc w:val="center"/>
              <w:rPr>
                <w:rFonts w:ascii="Palatino Linotype" w:hAnsi="Palatino Linotype"/>
                <w:sz w:val="20"/>
              </w:rPr>
            </w:pPr>
            <w:r w:rsidRPr="00D97438">
              <w:rPr>
                <w:rFonts w:ascii="Palatino Linotype" w:hAnsi="Palatino Linotype"/>
                <w:color w:val="000000"/>
                <w:sz w:val="20"/>
                <w:szCs w:val="22"/>
              </w:rPr>
              <w:t>New</w:t>
            </w:r>
          </w:p>
        </w:tc>
        <w:tc>
          <w:tcPr>
            <w:tcW w:w="72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14:paraId="6F2657E5" w14:textId="77777777" w:rsidR="00371419" w:rsidRPr="00D97438" w:rsidRDefault="00371419" w:rsidP="00D97438">
            <w:pPr>
              <w:jc w:val="center"/>
              <w:rPr>
                <w:rFonts w:ascii="Palatino Linotype" w:hAnsi="Palatino Linotype"/>
                <w:sz w:val="20"/>
              </w:rPr>
            </w:pPr>
            <w:r w:rsidRPr="00D97438">
              <w:rPr>
                <w:rFonts w:ascii="Palatino Linotype" w:hAnsi="Palatino Linotype"/>
                <w:color w:val="000000"/>
                <w:sz w:val="20"/>
                <w:szCs w:val="22"/>
              </w:rPr>
              <w:t>20</w:t>
            </w:r>
          </w:p>
        </w:tc>
        <w:tc>
          <w:tcPr>
            <w:tcW w:w="8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14:paraId="2D06ED85" w14:textId="77777777" w:rsidR="00371419" w:rsidRPr="00371419" w:rsidRDefault="00371419" w:rsidP="00371419">
            <w:pPr>
              <w:jc w:val="center"/>
              <w:rPr>
                <w:rFonts w:ascii="Palatino Linotype" w:hAnsi="Palatino Linotype"/>
                <w:color w:val="000000"/>
                <w:sz w:val="20"/>
              </w:rPr>
            </w:pPr>
            <w:r w:rsidRPr="00371419">
              <w:rPr>
                <w:rFonts w:ascii="Palatino Linotype" w:hAnsi="Palatino Linotype"/>
                <w:color w:val="000000"/>
                <w:sz w:val="20"/>
              </w:rPr>
              <w:t>$121.88</w:t>
            </w:r>
          </w:p>
        </w:tc>
        <w:tc>
          <w:tcPr>
            <w:tcW w:w="11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14:paraId="7DD2CE6B" w14:textId="77777777" w:rsidR="00371419" w:rsidRPr="00D97438" w:rsidRDefault="00371419" w:rsidP="00D97438">
            <w:pPr>
              <w:jc w:val="center"/>
              <w:rPr>
                <w:rFonts w:ascii="Palatino Linotype" w:hAnsi="Palatino Linotype"/>
                <w:sz w:val="20"/>
              </w:rPr>
            </w:pPr>
            <w:r w:rsidRPr="00D97438">
              <w:rPr>
                <w:rFonts w:ascii="Palatino Linotype" w:hAnsi="Palatino Linotype"/>
                <w:color w:val="000000"/>
                <w:sz w:val="20"/>
                <w:szCs w:val="22"/>
              </w:rPr>
              <w:t>11/8/2013</w:t>
            </w:r>
          </w:p>
        </w:tc>
      </w:tr>
      <w:tr w:rsidR="00371419" w:rsidRPr="00B563EC" w14:paraId="634F56B4" w14:textId="77777777" w:rsidTr="00D97438">
        <w:trPr>
          <w:trHeight w:val="300"/>
        </w:trPr>
        <w:tc>
          <w:tcPr>
            <w:tcW w:w="252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14:paraId="64B6749D" w14:textId="77777777" w:rsidR="00371419" w:rsidRPr="00D97438" w:rsidRDefault="00371419" w:rsidP="00D97438">
            <w:pPr>
              <w:rPr>
                <w:rFonts w:ascii="Palatino Linotype" w:hAnsi="Palatino Linotype"/>
                <w:sz w:val="20"/>
              </w:rPr>
            </w:pPr>
            <w:r w:rsidRPr="00D97438">
              <w:rPr>
                <w:rFonts w:ascii="Palatino Linotype" w:hAnsi="Palatino Linotype"/>
                <w:color w:val="000000"/>
                <w:sz w:val="20"/>
                <w:szCs w:val="22"/>
              </w:rPr>
              <w:t>SunE CREST 8</w:t>
            </w:r>
          </w:p>
        </w:tc>
        <w:tc>
          <w:tcPr>
            <w:tcW w:w="18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14:paraId="46A48EB1" w14:textId="77777777" w:rsidR="00371419" w:rsidRPr="00D97438" w:rsidRDefault="00371419" w:rsidP="00D97438">
            <w:pPr>
              <w:rPr>
                <w:rFonts w:ascii="Palatino Linotype" w:hAnsi="Palatino Linotype"/>
                <w:sz w:val="20"/>
              </w:rPr>
            </w:pPr>
            <w:r w:rsidRPr="00D97438">
              <w:rPr>
                <w:rFonts w:ascii="Palatino Linotype" w:hAnsi="Palatino Linotype"/>
                <w:color w:val="000000"/>
                <w:sz w:val="20"/>
                <w:szCs w:val="22"/>
              </w:rPr>
              <w:t>SunEdison</w:t>
            </w:r>
          </w:p>
        </w:tc>
        <w:tc>
          <w:tcPr>
            <w:tcW w:w="9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14:paraId="3202E61B" w14:textId="77777777" w:rsidR="00371419" w:rsidRPr="00D97438" w:rsidRDefault="00371419" w:rsidP="00D97438">
            <w:pPr>
              <w:jc w:val="center"/>
              <w:rPr>
                <w:rFonts w:ascii="Palatino Linotype" w:hAnsi="Palatino Linotype"/>
                <w:sz w:val="20"/>
              </w:rPr>
            </w:pPr>
            <w:r w:rsidRPr="00D97438">
              <w:rPr>
                <w:rFonts w:ascii="Palatino Linotype" w:hAnsi="Palatino Linotype"/>
                <w:color w:val="000000"/>
                <w:sz w:val="20"/>
                <w:szCs w:val="22"/>
              </w:rPr>
              <w:t>1.0</w:t>
            </w:r>
          </w:p>
        </w:tc>
        <w:tc>
          <w:tcPr>
            <w:tcW w:w="11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14:paraId="3442706D" w14:textId="77777777" w:rsidR="00371419" w:rsidRPr="00D97438" w:rsidRDefault="00371419" w:rsidP="00D97438">
            <w:pPr>
              <w:jc w:val="center"/>
              <w:rPr>
                <w:rFonts w:ascii="Palatino Linotype" w:hAnsi="Palatino Linotype"/>
                <w:sz w:val="20"/>
              </w:rPr>
            </w:pPr>
            <w:r w:rsidRPr="00D97438">
              <w:rPr>
                <w:rFonts w:ascii="Palatino Linotype" w:hAnsi="Palatino Linotype"/>
                <w:color w:val="000000"/>
                <w:sz w:val="20"/>
                <w:szCs w:val="22"/>
              </w:rPr>
              <w:t>3.0</w:t>
            </w:r>
          </w:p>
        </w:tc>
        <w:tc>
          <w:tcPr>
            <w:tcW w:w="72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14:paraId="73DFDE89" w14:textId="77777777" w:rsidR="00371419" w:rsidRPr="00D97438" w:rsidRDefault="00371419" w:rsidP="00D97438">
            <w:pPr>
              <w:jc w:val="center"/>
              <w:rPr>
                <w:rFonts w:ascii="Palatino Linotype" w:hAnsi="Palatino Linotype"/>
                <w:sz w:val="20"/>
              </w:rPr>
            </w:pPr>
            <w:r w:rsidRPr="00D97438">
              <w:rPr>
                <w:rFonts w:ascii="Palatino Linotype" w:hAnsi="Palatino Linotype"/>
                <w:sz w:val="20"/>
              </w:rPr>
              <w:t>PV</w:t>
            </w:r>
          </w:p>
        </w:tc>
        <w:tc>
          <w:tcPr>
            <w:tcW w:w="8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14:paraId="6E691EE9" w14:textId="77777777" w:rsidR="00371419" w:rsidRPr="00D97438" w:rsidRDefault="00371419" w:rsidP="00D97438">
            <w:pPr>
              <w:jc w:val="center"/>
              <w:rPr>
                <w:rFonts w:ascii="Palatino Linotype" w:hAnsi="Palatino Linotype"/>
                <w:sz w:val="20"/>
              </w:rPr>
            </w:pPr>
            <w:r w:rsidRPr="00D97438">
              <w:rPr>
                <w:rFonts w:ascii="Palatino Linotype" w:hAnsi="Palatino Linotype"/>
                <w:color w:val="000000"/>
                <w:sz w:val="20"/>
                <w:szCs w:val="22"/>
              </w:rPr>
              <w:t>New</w:t>
            </w:r>
          </w:p>
        </w:tc>
        <w:tc>
          <w:tcPr>
            <w:tcW w:w="72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14:paraId="51D3B51F" w14:textId="77777777" w:rsidR="00371419" w:rsidRPr="00D97438" w:rsidRDefault="00371419" w:rsidP="00D97438">
            <w:pPr>
              <w:jc w:val="center"/>
              <w:rPr>
                <w:rFonts w:ascii="Palatino Linotype" w:hAnsi="Palatino Linotype"/>
                <w:sz w:val="20"/>
              </w:rPr>
            </w:pPr>
            <w:r w:rsidRPr="00D97438">
              <w:rPr>
                <w:rFonts w:ascii="Palatino Linotype" w:hAnsi="Palatino Linotype"/>
                <w:color w:val="000000"/>
                <w:sz w:val="20"/>
                <w:szCs w:val="22"/>
              </w:rPr>
              <w:t>20</w:t>
            </w:r>
          </w:p>
        </w:tc>
        <w:tc>
          <w:tcPr>
            <w:tcW w:w="8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14:paraId="41D8566E" w14:textId="77777777" w:rsidR="00371419" w:rsidRPr="00371419" w:rsidRDefault="00371419" w:rsidP="00371419">
            <w:pPr>
              <w:jc w:val="center"/>
              <w:rPr>
                <w:rFonts w:ascii="Palatino Linotype" w:hAnsi="Palatino Linotype"/>
                <w:color w:val="000000"/>
                <w:sz w:val="20"/>
              </w:rPr>
            </w:pPr>
            <w:r w:rsidRPr="00371419">
              <w:rPr>
                <w:rFonts w:ascii="Palatino Linotype" w:hAnsi="Palatino Linotype"/>
                <w:color w:val="000000"/>
                <w:sz w:val="20"/>
              </w:rPr>
              <w:t>$126.83</w:t>
            </w:r>
          </w:p>
        </w:tc>
        <w:tc>
          <w:tcPr>
            <w:tcW w:w="11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14:paraId="23789095" w14:textId="77777777" w:rsidR="00371419" w:rsidRPr="00D97438" w:rsidRDefault="00371419" w:rsidP="00D97438">
            <w:pPr>
              <w:jc w:val="center"/>
              <w:rPr>
                <w:rFonts w:ascii="Palatino Linotype" w:hAnsi="Palatino Linotype"/>
                <w:sz w:val="20"/>
              </w:rPr>
            </w:pPr>
            <w:r w:rsidRPr="00D97438">
              <w:rPr>
                <w:rFonts w:ascii="Palatino Linotype" w:hAnsi="Palatino Linotype"/>
                <w:color w:val="000000"/>
                <w:sz w:val="20"/>
                <w:szCs w:val="22"/>
              </w:rPr>
              <w:t>2/28/2014</w:t>
            </w:r>
          </w:p>
        </w:tc>
      </w:tr>
      <w:tr w:rsidR="00371419" w:rsidRPr="00B563EC" w14:paraId="6C76D7B1" w14:textId="77777777" w:rsidTr="00D97438">
        <w:trPr>
          <w:trHeight w:val="300"/>
        </w:trPr>
        <w:tc>
          <w:tcPr>
            <w:tcW w:w="252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14:paraId="75BE2888" w14:textId="77777777" w:rsidR="00371419" w:rsidRPr="00D97438" w:rsidRDefault="00371419" w:rsidP="00D97438">
            <w:pPr>
              <w:rPr>
                <w:rFonts w:ascii="Palatino Linotype" w:hAnsi="Palatino Linotype"/>
                <w:sz w:val="20"/>
              </w:rPr>
            </w:pPr>
            <w:r w:rsidRPr="00D97438">
              <w:rPr>
                <w:rFonts w:ascii="Palatino Linotype" w:hAnsi="Palatino Linotype"/>
                <w:color w:val="000000"/>
                <w:sz w:val="20"/>
                <w:szCs w:val="22"/>
              </w:rPr>
              <w:t>Lancaster Solar CREST 1</w:t>
            </w:r>
          </w:p>
        </w:tc>
        <w:tc>
          <w:tcPr>
            <w:tcW w:w="180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14:paraId="1B25CDE3" w14:textId="77777777" w:rsidR="00371419" w:rsidRPr="00D97438" w:rsidRDefault="00371419" w:rsidP="00D97438">
            <w:pPr>
              <w:rPr>
                <w:rFonts w:ascii="Palatino Linotype" w:hAnsi="Palatino Linotype"/>
                <w:sz w:val="20"/>
              </w:rPr>
            </w:pPr>
            <w:r w:rsidRPr="00D97438">
              <w:rPr>
                <w:rFonts w:ascii="Palatino Linotype" w:hAnsi="Palatino Linotype"/>
                <w:color w:val="000000"/>
                <w:sz w:val="20"/>
                <w:szCs w:val="22"/>
              </w:rPr>
              <w:t xml:space="preserve">PsomasFMG </w:t>
            </w:r>
          </w:p>
        </w:tc>
        <w:tc>
          <w:tcPr>
            <w:tcW w:w="90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14:paraId="14584746" w14:textId="77777777" w:rsidR="00371419" w:rsidRPr="00D97438" w:rsidRDefault="00371419" w:rsidP="00D97438">
            <w:pPr>
              <w:jc w:val="center"/>
              <w:rPr>
                <w:rFonts w:ascii="Palatino Linotype" w:hAnsi="Palatino Linotype"/>
                <w:sz w:val="20"/>
              </w:rPr>
            </w:pPr>
            <w:r w:rsidRPr="00D97438">
              <w:rPr>
                <w:rFonts w:ascii="Palatino Linotype" w:hAnsi="Palatino Linotype"/>
                <w:color w:val="000000"/>
                <w:sz w:val="20"/>
                <w:szCs w:val="22"/>
              </w:rPr>
              <w:t>1.5</w:t>
            </w:r>
          </w:p>
        </w:tc>
        <w:tc>
          <w:tcPr>
            <w:tcW w:w="117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14:paraId="19B2F8B0" w14:textId="77777777" w:rsidR="00371419" w:rsidRPr="00D97438" w:rsidRDefault="00371419" w:rsidP="00D97438">
            <w:pPr>
              <w:jc w:val="center"/>
              <w:rPr>
                <w:rFonts w:ascii="Palatino Linotype" w:hAnsi="Palatino Linotype"/>
                <w:sz w:val="20"/>
              </w:rPr>
            </w:pPr>
            <w:r w:rsidRPr="00D97438">
              <w:rPr>
                <w:rFonts w:ascii="Palatino Linotype" w:hAnsi="Palatino Linotype"/>
                <w:color w:val="000000"/>
                <w:sz w:val="20"/>
                <w:szCs w:val="22"/>
              </w:rPr>
              <w:t>4.7</w:t>
            </w:r>
          </w:p>
        </w:tc>
        <w:tc>
          <w:tcPr>
            <w:tcW w:w="72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tcPr>
          <w:p w14:paraId="01FB2A85" w14:textId="77777777" w:rsidR="00371419" w:rsidRPr="00D97438" w:rsidRDefault="00371419" w:rsidP="00D97438">
            <w:pPr>
              <w:jc w:val="center"/>
              <w:rPr>
                <w:rFonts w:ascii="Palatino Linotype" w:hAnsi="Palatino Linotype"/>
                <w:sz w:val="20"/>
              </w:rPr>
            </w:pPr>
            <w:r w:rsidRPr="00D97438">
              <w:rPr>
                <w:rFonts w:ascii="Palatino Linotype" w:hAnsi="Palatino Linotype"/>
                <w:sz w:val="20"/>
              </w:rPr>
              <w:t>PV</w:t>
            </w:r>
          </w:p>
        </w:tc>
        <w:tc>
          <w:tcPr>
            <w:tcW w:w="81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14:paraId="1B9AD4BC" w14:textId="77777777" w:rsidR="00371419" w:rsidRPr="00D97438" w:rsidRDefault="00371419" w:rsidP="00D97438">
            <w:pPr>
              <w:jc w:val="center"/>
              <w:rPr>
                <w:rFonts w:ascii="Palatino Linotype" w:hAnsi="Palatino Linotype"/>
                <w:sz w:val="20"/>
              </w:rPr>
            </w:pPr>
            <w:r w:rsidRPr="00D97438">
              <w:rPr>
                <w:rFonts w:ascii="Palatino Linotype" w:hAnsi="Palatino Linotype"/>
                <w:color w:val="000000"/>
                <w:sz w:val="20"/>
                <w:szCs w:val="22"/>
              </w:rPr>
              <w:t>New</w:t>
            </w:r>
          </w:p>
        </w:tc>
        <w:tc>
          <w:tcPr>
            <w:tcW w:w="72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14:paraId="1DDFEE6B" w14:textId="77777777" w:rsidR="00371419" w:rsidRPr="00D97438" w:rsidRDefault="00371419" w:rsidP="00D97438">
            <w:pPr>
              <w:jc w:val="center"/>
              <w:rPr>
                <w:rFonts w:ascii="Palatino Linotype" w:hAnsi="Palatino Linotype"/>
                <w:sz w:val="20"/>
              </w:rPr>
            </w:pPr>
            <w:r w:rsidRPr="00D97438">
              <w:rPr>
                <w:rFonts w:ascii="Palatino Linotype" w:hAnsi="Palatino Linotype"/>
                <w:color w:val="000000"/>
                <w:sz w:val="20"/>
                <w:szCs w:val="22"/>
              </w:rPr>
              <w:t>20</w:t>
            </w:r>
          </w:p>
        </w:tc>
        <w:tc>
          <w:tcPr>
            <w:tcW w:w="81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14:paraId="32CA393E" w14:textId="77777777" w:rsidR="00371419" w:rsidRPr="00371419" w:rsidRDefault="00371419" w:rsidP="00371419">
            <w:pPr>
              <w:jc w:val="center"/>
              <w:rPr>
                <w:rFonts w:ascii="Palatino Linotype" w:hAnsi="Palatino Linotype"/>
                <w:color w:val="000000"/>
                <w:sz w:val="20"/>
              </w:rPr>
            </w:pPr>
            <w:r w:rsidRPr="00371419">
              <w:rPr>
                <w:rFonts w:ascii="Palatino Linotype" w:hAnsi="Palatino Linotype"/>
                <w:color w:val="000000"/>
                <w:sz w:val="20"/>
              </w:rPr>
              <w:t>$126.83</w:t>
            </w:r>
          </w:p>
        </w:tc>
        <w:tc>
          <w:tcPr>
            <w:tcW w:w="117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14:paraId="1302C61C" w14:textId="77777777" w:rsidR="00371419" w:rsidRPr="00D97438" w:rsidRDefault="00371419" w:rsidP="00D97438">
            <w:pPr>
              <w:jc w:val="center"/>
              <w:rPr>
                <w:rFonts w:ascii="Palatino Linotype" w:hAnsi="Palatino Linotype"/>
                <w:sz w:val="20"/>
              </w:rPr>
            </w:pPr>
            <w:r w:rsidRPr="00D97438">
              <w:rPr>
                <w:rFonts w:ascii="Palatino Linotype" w:hAnsi="Palatino Linotype"/>
                <w:color w:val="000000"/>
                <w:sz w:val="20"/>
                <w:szCs w:val="22"/>
              </w:rPr>
              <w:t>1/30/2014</w:t>
            </w:r>
          </w:p>
        </w:tc>
      </w:tr>
      <w:tr w:rsidR="00371419" w:rsidRPr="00B563EC" w14:paraId="411DEA8D" w14:textId="77777777" w:rsidTr="00D97438">
        <w:trPr>
          <w:trHeight w:val="300"/>
        </w:trPr>
        <w:tc>
          <w:tcPr>
            <w:tcW w:w="252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14:paraId="263D91FF" w14:textId="77777777" w:rsidR="00371419" w:rsidRPr="00D97438" w:rsidRDefault="00371419" w:rsidP="00D97438">
            <w:pPr>
              <w:rPr>
                <w:rFonts w:ascii="Palatino Linotype" w:hAnsi="Palatino Linotype"/>
                <w:sz w:val="20"/>
              </w:rPr>
            </w:pPr>
            <w:r w:rsidRPr="00D97438">
              <w:rPr>
                <w:rFonts w:ascii="Palatino Linotype" w:hAnsi="Palatino Linotype"/>
                <w:color w:val="000000"/>
                <w:sz w:val="20"/>
                <w:szCs w:val="22"/>
              </w:rPr>
              <w:t>Lancaster Solar CREST 2</w:t>
            </w:r>
          </w:p>
        </w:tc>
        <w:tc>
          <w:tcPr>
            <w:tcW w:w="180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14:paraId="23169E4F" w14:textId="77777777" w:rsidR="00371419" w:rsidRPr="00D97438" w:rsidRDefault="00371419" w:rsidP="00D97438">
            <w:pPr>
              <w:rPr>
                <w:rFonts w:ascii="Palatino Linotype" w:hAnsi="Palatino Linotype"/>
                <w:sz w:val="20"/>
              </w:rPr>
            </w:pPr>
            <w:r w:rsidRPr="00D97438">
              <w:rPr>
                <w:rFonts w:ascii="Palatino Linotype" w:hAnsi="Palatino Linotype"/>
                <w:color w:val="000000"/>
                <w:sz w:val="20"/>
                <w:szCs w:val="22"/>
              </w:rPr>
              <w:t xml:space="preserve">PsomasFMG </w:t>
            </w:r>
          </w:p>
        </w:tc>
        <w:tc>
          <w:tcPr>
            <w:tcW w:w="90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14:paraId="35C3F8CB" w14:textId="77777777" w:rsidR="00371419" w:rsidRPr="00D97438" w:rsidRDefault="00371419" w:rsidP="00D97438">
            <w:pPr>
              <w:jc w:val="center"/>
              <w:rPr>
                <w:rFonts w:ascii="Palatino Linotype" w:hAnsi="Palatino Linotype"/>
                <w:sz w:val="20"/>
              </w:rPr>
            </w:pPr>
            <w:r w:rsidRPr="00D97438">
              <w:rPr>
                <w:rFonts w:ascii="Palatino Linotype" w:hAnsi="Palatino Linotype"/>
                <w:color w:val="000000"/>
                <w:sz w:val="20"/>
                <w:szCs w:val="22"/>
              </w:rPr>
              <w:t>1.5</w:t>
            </w:r>
          </w:p>
        </w:tc>
        <w:tc>
          <w:tcPr>
            <w:tcW w:w="117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14:paraId="3A2C5126" w14:textId="77777777" w:rsidR="00371419" w:rsidRPr="00D97438" w:rsidRDefault="00371419" w:rsidP="00D97438">
            <w:pPr>
              <w:jc w:val="center"/>
              <w:rPr>
                <w:rFonts w:ascii="Palatino Linotype" w:hAnsi="Palatino Linotype"/>
                <w:sz w:val="20"/>
              </w:rPr>
            </w:pPr>
            <w:r w:rsidRPr="00D97438">
              <w:rPr>
                <w:rFonts w:ascii="Palatino Linotype" w:hAnsi="Palatino Linotype"/>
                <w:color w:val="000000"/>
                <w:sz w:val="20"/>
                <w:szCs w:val="22"/>
              </w:rPr>
              <w:t>4.7</w:t>
            </w:r>
          </w:p>
        </w:tc>
        <w:tc>
          <w:tcPr>
            <w:tcW w:w="72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tcPr>
          <w:p w14:paraId="5131EAA2" w14:textId="77777777" w:rsidR="00371419" w:rsidRPr="00D97438" w:rsidRDefault="00371419" w:rsidP="00D97438">
            <w:pPr>
              <w:jc w:val="center"/>
              <w:rPr>
                <w:rFonts w:ascii="Palatino Linotype" w:hAnsi="Palatino Linotype"/>
                <w:sz w:val="20"/>
              </w:rPr>
            </w:pPr>
            <w:r w:rsidRPr="00D97438">
              <w:rPr>
                <w:rFonts w:ascii="Palatino Linotype" w:hAnsi="Palatino Linotype"/>
                <w:sz w:val="20"/>
              </w:rPr>
              <w:t>PV</w:t>
            </w:r>
          </w:p>
        </w:tc>
        <w:tc>
          <w:tcPr>
            <w:tcW w:w="81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14:paraId="03031BCD" w14:textId="77777777" w:rsidR="00371419" w:rsidRPr="00D97438" w:rsidRDefault="00371419" w:rsidP="00D97438">
            <w:pPr>
              <w:jc w:val="center"/>
              <w:rPr>
                <w:rFonts w:ascii="Palatino Linotype" w:hAnsi="Palatino Linotype"/>
                <w:sz w:val="20"/>
              </w:rPr>
            </w:pPr>
            <w:r w:rsidRPr="00D97438">
              <w:rPr>
                <w:rFonts w:ascii="Palatino Linotype" w:hAnsi="Palatino Linotype"/>
                <w:color w:val="000000"/>
                <w:sz w:val="20"/>
                <w:szCs w:val="22"/>
              </w:rPr>
              <w:t>New</w:t>
            </w:r>
          </w:p>
        </w:tc>
        <w:tc>
          <w:tcPr>
            <w:tcW w:w="72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14:paraId="294E3DDF" w14:textId="77777777" w:rsidR="00371419" w:rsidRPr="00D97438" w:rsidRDefault="00371419" w:rsidP="00D97438">
            <w:pPr>
              <w:jc w:val="center"/>
              <w:rPr>
                <w:rFonts w:ascii="Palatino Linotype" w:hAnsi="Palatino Linotype"/>
                <w:sz w:val="20"/>
              </w:rPr>
            </w:pPr>
            <w:r w:rsidRPr="00D97438">
              <w:rPr>
                <w:rFonts w:ascii="Palatino Linotype" w:hAnsi="Palatino Linotype"/>
                <w:color w:val="000000"/>
                <w:sz w:val="20"/>
                <w:szCs w:val="22"/>
              </w:rPr>
              <w:t>20</w:t>
            </w:r>
          </w:p>
        </w:tc>
        <w:tc>
          <w:tcPr>
            <w:tcW w:w="81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14:paraId="39A868E9" w14:textId="77777777" w:rsidR="00371419" w:rsidRPr="00371419" w:rsidRDefault="00371419" w:rsidP="00371419">
            <w:pPr>
              <w:jc w:val="center"/>
              <w:rPr>
                <w:rFonts w:ascii="Palatino Linotype" w:hAnsi="Palatino Linotype"/>
                <w:color w:val="000000"/>
                <w:sz w:val="20"/>
              </w:rPr>
            </w:pPr>
            <w:r w:rsidRPr="00371419">
              <w:rPr>
                <w:rFonts w:ascii="Palatino Linotype" w:hAnsi="Palatino Linotype"/>
                <w:color w:val="000000"/>
                <w:sz w:val="20"/>
              </w:rPr>
              <w:t>$126.83</w:t>
            </w:r>
          </w:p>
        </w:tc>
        <w:tc>
          <w:tcPr>
            <w:tcW w:w="117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14:paraId="0CCD7569" w14:textId="77777777" w:rsidR="00371419" w:rsidRPr="00D97438" w:rsidRDefault="00371419" w:rsidP="00D97438">
            <w:pPr>
              <w:jc w:val="center"/>
              <w:rPr>
                <w:rFonts w:ascii="Palatino Linotype" w:hAnsi="Palatino Linotype"/>
                <w:sz w:val="20"/>
              </w:rPr>
            </w:pPr>
            <w:r w:rsidRPr="00D97438">
              <w:rPr>
                <w:rFonts w:ascii="Palatino Linotype" w:hAnsi="Palatino Linotype"/>
                <w:color w:val="000000"/>
                <w:sz w:val="20"/>
                <w:szCs w:val="22"/>
              </w:rPr>
              <w:t>1/30/2014</w:t>
            </w:r>
          </w:p>
        </w:tc>
      </w:tr>
      <w:tr w:rsidR="00DE7E42" w:rsidRPr="00B563EC" w14:paraId="1D7ABF8E" w14:textId="77777777" w:rsidTr="00371419">
        <w:trPr>
          <w:trHeight w:val="300"/>
        </w:trPr>
        <w:tc>
          <w:tcPr>
            <w:tcW w:w="2520" w:type="dxa"/>
            <w:tcBorders>
              <w:top w:val="single" w:sz="4" w:space="0" w:color="auto"/>
              <w:right w:val="single" w:sz="4" w:space="0" w:color="auto"/>
            </w:tcBorders>
            <w:shd w:val="clear" w:color="auto" w:fill="auto"/>
            <w:noWrap/>
            <w:tcMar>
              <w:top w:w="15" w:type="dxa"/>
              <w:left w:w="15" w:type="dxa"/>
              <w:bottom w:w="0" w:type="dxa"/>
              <w:right w:w="15" w:type="dxa"/>
            </w:tcMar>
            <w:vAlign w:val="bottom"/>
          </w:tcPr>
          <w:p w14:paraId="33BBFFE9" w14:textId="77777777" w:rsidR="00DE7E42" w:rsidRPr="00D97438" w:rsidRDefault="00DE7E42" w:rsidP="00D97438">
            <w:pPr>
              <w:rPr>
                <w:rFonts w:ascii="Palatino Linotype" w:hAnsi="Palatino Linotype"/>
                <w:color w:val="000000"/>
                <w:sz w:val="20"/>
                <w:szCs w:val="22"/>
              </w:rPr>
            </w:pPr>
          </w:p>
        </w:tc>
        <w:tc>
          <w:tcPr>
            <w:tcW w:w="1800" w:type="dxa"/>
            <w:tcBorders>
              <w:top w:val="single" w:sz="4" w:space="0" w:color="auto"/>
              <w:left w:val="nil"/>
              <w:bottom w:val="single" w:sz="4" w:space="0" w:color="auto"/>
              <w:right w:val="single" w:sz="4" w:space="0" w:color="auto"/>
            </w:tcBorders>
            <w:shd w:val="clear" w:color="auto" w:fill="A6A6A6"/>
            <w:noWrap/>
            <w:tcMar>
              <w:top w:w="15" w:type="dxa"/>
              <w:left w:w="15" w:type="dxa"/>
              <w:bottom w:w="0" w:type="dxa"/>
              <w:right w:w="15" w:type="dxa"/>
            </w:tcMar>
            <w:vAlign w:val="center"/>
          </w:tcPr>
          <w:p w14:paraId="4E555B92" w14:textId="77777777" w:rsidR="00DE7E42" w:rsidRPr="00D97438" w:rsidRDefault="00DE7E42" w:rsidP="00371419">
            <w:pPr>
              <w:jc w:val="center"/>
              <w:rPr>
                <w:rFonts w:ascii="Palatino Linotype" w:hAnsi="Palatino Linotype"/>
                <w:b/>
                <w:color w:val="000000"/>
                <w:sz w:val="20"/>
                <w:szCs w:val="22"/>
              </w:rPr>
            </w:pPr>
            <w:r w:rsidRPr="00D97438">
              <w:rPr>
                <w:rFonts w:ascii="Palatino Linotype" w:hAnsi="Palatino Linotype"/>
                <w:b/>
                <w:color w:val="000000"/>
                <w:sz w:val="20"/>
                <w:szCs w:val="22"/>
              </w:rPr>
              <w:t>Total:</w:t>
            </w:r>
          </w:p>
        </w:tc>
        <w:tc>
          <w:tcPr>
            <w:tcW w:w="900" w:type="dxa"/>
            <w:tcBorders>
              <w:top w:val="single" w:sz="4" w:space="0" w:color="auto"/>
              <w:left w:val="nil"/>
              <w:bottom w:val="single" w:sz="4" w:space="0" w:color="auto"/>
              <w:right w:val="single" w:sz="4" w:space="0" w:color="auto"/>
            </w:tcBorders>
            <w:shd w:val="clear" w:color="auto" w:fill="D9D9D9"/>
            <w:noWrap/>
            <w:tcMar>
              <w:top w:w="15" w:type="dxa"/>
              <w:left w:w="15" w:type="dxa"/>
              <w:bottom w:w="0" w:type="dxa"/>
              <w:right w:w="15" w:type="dxa"/>
            </w:tcMar>
            <w:vAlign w:val="center"/>
          </w:tcPr>
          <w:p w14:paraId="3BA6C648" w14:textId="77777777" w:rsidR="00DE7E42" w:rsidRPr="00D97438" w:rsidRDefault="00DE7E42" w:rsidP="00371419">
            <w:pPr>
              <w:jc w:val="center"/>
              <w:rPr>
                <w:rFonts w:ascii="Palatino Linotype" w:hAnsi="Palatino Linotype"/>
                <w:b/>
                <w:color w:val="000000"/>
                <w:sz w:val="20"/>
                <w:szCs w:val="22"/>
              </w:rPr>
            </w:pPr>
            <w:r w:rsidRPr="00D97438">
              <w:rPr>
                <w:rFonts w:ascii="Palatino Linotype" w:hAnsi="Palatino Linotype"/>
                <w:b/>
                <w:color w:val="000000"/>
                <w:sz w:val="20"/>
                <w:szCs w:val="22"/>
              </w:rPr>
              <w:t>6.99</w:t>
            </w:r>
          </w:p>
        </w:tc>
        <w:tc>
          <w:tcPr>
            <w:tcW w:w="1170" w:type="dxa"/>
            <w:tcBorders>
              <w:top w:val="single" w:sz="4" w:space="0" w:color="auto"/>
              <w:left w:val="nil"/>
              <w:bottom w:val="single" w:sz="4" w:space="0" w:color="auto"/>
              <w:right w:val="single" w:sz="4" w:space="0" w:color="auto"/>
            </w:tcBorders>
            <w:shd w:val="clear" w:color="auto" w:fill="D9D9D9"/>
            <w:noWrap/>
            <w:tcMar>
              <w:top w:w="15" w:type="dxa"/>
              <w:left w:w="15" w:type="dxa"/>
              <w:bottom w:w="0" w:type="dxa"/>
              <w:right w:w="15" w:type="dxa"/>
            </w:tcMar>
            <w:vAlign w:val="center"/>
          </w:tcPr>
          <w:p w14:paraId="0811949F" w14:textId="77777777" w:rsidR="00DE7E42" w:rsidRPr="00D97438" w:rsidRDefault="00DE7E42" w:rsidP="00371419">
            <w:pPr>
              <w:jc w:val="center"/>
              <w:rPr>
                <w:rFonts w:ascii="Palatino Linotype" w:hAnsi="Palatino Linotype"/>
                <w:b/>
                <w:color w:val="000000"/>
                <w:sz w:val="20"/>
                <w:szCs w:val="22"/>
              </w:rPr>
            </w:pPr>
            <w:r w:rsidRPr="00D97438">
              <w:rPr>
                <w:rFonts w:ascii="Palatino Linotype" w:hAnsi="Palatino Linotype"/>
                <w:b/>
                <w:color w:val="000000"/>
                <w:sz w:val="20"/>
                <w:szCs w:val="22"/>
              </w:rPr>
              <w:t>19.6</w:t>
            </w:r>
          </w:p>
        </w:tc>
        <w:tc>
          <w:tcPr>
            <w:tcW w:w="720" w:type="dxa"/>
            <w:tcBorders>
              <w:top w:val="single" w:sz="4" w:space="0" w:color="auto"/>
              <w:left w:val="nil"/>
            </w:tcBorders>
            <w:shd w:val="clear" w:color="auto" w:fill="auto"/>
            <w:noWrap/>
            <w:tcMar>
              <w:top w:w="15" w:type="dxa"/>
              <w:left w:w="15" w:type="dxa"/>
              <w:bottom w:w="0" w:type="dxa"/>
              <w:right w:w="15" w:type="dxa"/>
            </w:tcMar>
          </w:tcPr>
          <w:p w14:paraId="257F50C9" w14:textId="77777777" w:rsidR="00DE7E42" w:rsidRDefault="00DE7E42" w:rsidP="00D97438">
            <w:pPr>
              <w:jc w:val="center"/>
              <w:rPr>
                <w:rFonts w:ascii="Palatino Linotype" w:hAnsi="Palatino Linotype"/>
                <w:sz w:val="20"/>
              </w:rPr>
            </w:pPr>
          </w:p>
        </w:tc>
        <w:tc>
          <w:tcPr>
            <w:tcW w:w="810" w:type="dxa"/>
            <w:tcBorders>
              <w:top w:val="single" w:sz="4" w:space="0" w:color="auto"/>
            </w:tcBorders>
            <w:shd w:val="clear" w:color="auto" w:fill="auto"/>
            <w:noWrap/>
            <w:tcMar>
              <w:top w:w="15" w:type="dxa"/>
              <w:left w:w="15" w:type="dxa"/>
              <w:bottom w:w="0" w:type="dxa"/>
              <w:right w:w="15" w:type="dxa"/>
            </w:tcMar>
            <w:vAlign w:val="bottom"/>
          </w:tcPr>
          <w:p w14:paraId="204AEB44" w14:textId="77777777" w:rsidR="00DE7E42" w:rsidRPr="00D97438" w:rsidRDefault="00DE7E42" w:rsidP="00D97438">
            <w:pPr>
              <w:jc w:val="center"/>
              <w:rPr>
                <w:rFonts w:ascii="Calibri" w:hAnsi="Calibri"/>
                <w:color w:val="000000"/>
                <w:sz w:val="20"/>
                <w:szCs w:val="22"/>
              </w:rPr>
            </w:pPr>
          </w:p>
        </w:tc>
        <w:tc>
          <w:tcPr>
            <w:tcW w:w="720" w:type="dxa"/>
            <w:tcBorders>
              <w:top w:val="single" w:sz="4" w:space="0" w:color="auto"/>
              <w:left w:val="nil"/>
            </w:tcBorders>
            <w:shd w:val="clear" w:color="auto" w:fill="auto"/>
            <w:noWrap/>
            <w:tcMar>
              <w:top w:w="15" w:type="dxa"/>
              <w:left w:w="15" w:type="dxa"/>
              <w:bottom w:w="0" w:type="dxa"/>
              <w:right w:w="15" w:type="dxa"/>
            </w:tcMar>
            <w:vAlign w:val="bottom"/>
          </w:tcPr>
          <w:p w14:paraId="753044AD" w14:textId="77777777" w:rsidR="00DE7E42" w:rsidRPr="00D97438" w:rsidRDefault="00DE7E42" w:rsidP="00D97438">
            <w:pPr>
              <w:jc w:val="center"/>
              <w:rPr>
                <w:rFonts w:ascii="Calibri" w:hAnsi="Calibri"/>
                <w:color w:val="000000"/>
                <w:sz w:val="20"/>
                <w:szCs w:val="22"/>
              </w:rPr>
            </w:pPr>
          </w:p>
        </w:tc>
        <w:tc>
          <w:tcPr>
            <w:tcW w:w="810" w:type="dxa"/>
            <w:tcBorders>
              <w:top w:val="single" w:sz="4" w:space="0" w:color="auto"/>
            </w:tcBorders>
            <w:shd w:val="clear" w:color="auto" w:fill="auto"/>
            <w:noWrap/>
            <w:tcMar>
              <w:top w:w="15" w:type="dxa"/>
              <w:left w:w="15" w:type="dxa"/>
              <w:bottom w:w="0" w:type="dxa"/>
              <w:right w:w="15" w:type="dxa"/>
            </w:tcMar>
            <w:vAlign w:val="bottom"/>
          </w:tcPr>
          <w:p w14:paraId="57C78ACC" w14:textId="77777777" w:rsidR="00DE7E42" w:rsidRPr="00D97438" w:rsidRDefault="00DE7E42" w:rsidP="00D97438">
            <w:pPr>
              <w:jc w:val="center"/>
              <w:rPr>
                <w:rFonts w:ascii="Calibri" w:hAnsi="Calibri"/>
                <w:color w:val="000000"/>
                <w:sz w:val="20"/>
                <w:szCs w:val="22"/>
              </w:rPr>
            </w:pPr>
          </w:p>
        </w:tc>
        <w:tc>
          <w:tcPr>
            <w:tcW w:w="1170" w:type="dxa"/>
            <w:tcBorders>
              <w:top w:val="single" w:sz="4" w:space="0" w:color="auto"/>
              <w:left w:val="nil"/>
            </w:tcBorders>
            <w:shd w:val="clear" w:color="auto" w:fill="auto"/>
            <w:noWrap/>
            <w:tcMar>
              <w:top w:w="15" w:type="dxa"/>
              <w:left w:w="15" w:type="dxa"/>
              <w:bottom w:w="0" w:type="dxa"/>
              <w:right w:w="15" w:type="dxa"/>
            </w:tcMar>
            <w:vAlign w:val="bottom"/>
          </w:tcPr>
          <w:p w14:paraId="1D2487CF" w14:textId="77777777" w:rsidR="00DE7E42" w:rsidRPr="00D97438" w:rsidRDefault="00DE7E42" w:rsidP="00D97438">
            <w:pPr>
              <w:jc w:val="center"/>
              <w:rPr>
                <w:rFonts w:ascii="Calibri" w:hAnsi="Calibri"/>
                <w:color w:val="000000"/>
                <w:sz w:val="20"/>
                <w:szCs w:val="22"/>
              </w:rPr>
            </w:pPr>
          </w:p>
        </w:tc>
      </w:tr>
    </w:tbl>
    <w:p w14:paraId="09137CA3" w14:textId="77777777" w:rsidR="003632D3" w:rsidRPr="00371419" w:rsidRDefault="003632D3" w:rsidP="003632D3">
      <w:pPr>
        <w:spacing w:before="60" w:after="60"/>
        <w:rPr>
          <w:i/>
          <w:sz w:val="20"/>
        </w:rPr>
      </w:pPr>
      <w:r w:rsidRPr="00B563EC">
        <w:rPr>
          <w:i/>
          <w:sz w:val="20"/>
        </w:rPr>
        <w:t>*</w:t>
      </w:r>
      <w:r>
        <w:rPr>
          <w:i/>
          <w:sz w:val="20"/>
        </w:rPr>
        <w:t xml:space="preserve">Price reflects the relevant MPR value, </w:t>
      </w:r>
      <w:r w:rsidR="00371419">
        <w:rPr>
          <w:i/>
          <w:sz w:val="20"/>
        </w:rPr>
        <w:t xml:space="preserve">as </w:t>
      </w:r>
      <w:r>
        <w:rPr>
          <w:i/>
          <w:sz w:val="20"/>
        </w:rPr>
        <w:t>adopted in Resolution E-4442, assuming the</w:t>
      </w:r>
      <w:r w:rsidRPr="00B563EC">
        <w:rPr>
          <w:i/>
          <w:sz w:val="20"/>
        </w:rPr>
        <w:t xml:space="preserve"> COD</w:t>
      </w:r>
      <w:r>
        <w:rPr>
          <w:i/>
          <w:sz w:val="20"/>
        </w:rPr>
        <w:t xml:space="preserve"> for the project</w:t>
      </w:r>
      <w:r w:rsidRPr="00B563EC">
        <w:rPr>
          <w:i/>
          <w:sz w:val="20"/>
        </w:rPr>
        <w:t xml:space="preserve"> is</w:t>
      </w:r>
      <w:r>
        <w:rPr>
          <w:i/>
          <w:sz w:val="20"/>
        </w:rPr>
        <w:t xml:space="preserve"> the</w:t>
      </w:r>
      <w:r w:rsidR="00371419">
        <w:rPr>
          <w:i/>
          <w:sz w:val="20"/>
        </w:rPr>
        <w:t xml:space="preserve"> PPA’s</w:t>
      </w:r>
      <w:r w:rsidRPr="00B563EC">
        <w:rPr>
          <w:i/>
          <w:sz w:val="20"/>
        </w:rPr>
        <w:t xml:space="preserve"> expected date of Initial Operation </w:t>
      </w:r>
      <w:r w:rsidR="00371419">
        <w:rPr>
          <w:i/>
          <w:sz w:val="20"/>
        </w:rPr>
        <w:t>multiplied by SCE’s Solar PV TOD adjustment</w:t>
      </w:r>
      <w:r w:rsidRPr="00B563EC">
        <w:rPr>
          <w:i/>
          <w:sz w:val="20"/>
        </w:rPr>
        <w:t>.</w:t>
      </w:r>
      <w:r w:rsidRPr="00B563EC" w:rsidDel="00A33DA8">
        <w:rPr>
          <w:i/>
          <w:sz w:val="20"/>
        </w:rPr>
        <w:t xml:space="preserve"> </w:t>
      </w:r>
      <w:r w:rsidR="00371419">
        <w:rPr>
          <w:i/>
          <w:sz w:val="20"/>
        </w:rPr>
        <w:t>These</w:t>
      </w:r>
      <w:r>
        <w:rPr>
          <w:i/>
          <w:sz w:val="20"/>
        </w:rPr>
        <w:t xml:space="preserve"> prices are public. </w:t>
      </w:r>
    </w:p>
    <w:p w14:paraId="4BA128B8" w14:textId="77777777" w:rsidR="00A33DA8" w:rsidRPr="00C92AB4" w:rsidRDefault="00ED2EC0" w:rsidP="009B5564">
      <w:pPr>
        <w:spacing w:after="120"/>
        <w:rPr>
          <w:i/>
          <w:sz w:val="20"/>
          <w:szCs w:val="26"/>
        </w:rPr>
      </w:pPr>
      <w:r w:rsidRPr="00D97438">
        <w:rPr>
          <w:i/>
          <w:sz w:val="20"/>
          <w:szCs w:val="26"/>
        </w:rPr>
        <w:t xml:space="preserve">** Estimated Initial Operation Date in PPA. </w:t>
      </w:r>
    </w:p>
    <w:p w14:paraId="00A3FAD5" w14:textId="77777777" w:rsidR="00493857" w:rsidRDefault="00150617" w:rsidP="00D97438">
      <w:pPr>
        <w:spacing w:before="120" w:after="120"/>
        <w:rPr>
          <w:szCs w:val="26"/>
        </w:rPr>
      </w:pPr>
      <w:r>
        <w:rPr>
          <w:szCs w:val="26"/>
        </w:rPr>
        <w:t>The</w:t>
      </w:r>
      <w:r w:rsidR="00277A70">
        <w:rPr>
          <w:szCs w:val="26"/>
        </w:rPr>
        <w:t xml:space="preserve">se </w:t>
      </w:r>
      <w:r w:rsidR="00F915A5">
        <w:rPr>
          <w:szCs w:val="26"/>
        </w:rPr>
        <w:t xml:space="preserve">eighty feed-in tariff PPAs, for </w:t>
      </w:r>
      <w:r w:rsidR="0026745B">
        <w:rPr>
          <w:szCs w:val="26"/>
        </w:rPr>
        <w:t>112.52 MW of capacity</w:t>
      </w:r>
      <w:r w:rsidR="00F915A5">
        <w:rPr>
          <w:szCs w:val="26"/>
        </w:rPr>
        <w:t xml:space="preserve">, were voluntarily procured by SCE in excess of the </w:t>
      </w:r>
      <w:r w:rsidR="0026745B">
        <w:rPr>
          <w:szCs w:val="26"/>
        </w:rPr>
        <w:t xml:space="preserve">123.8 MW </w:t>
      </w:r>
      <w:r w:rsidR="00F915A5">
        <w:rPr>
          <w:szCs w:val="26"/>
        </w:rPr>
        <w:t>capacity cap adopted by the Commission for SCE’s CRES</w:t>
      </w:r>
      <w:r w:rsidR="00A354BC">
        <w:rPr>
          <w:szCs w:val="26"/>
        </w:rPr>
        <w:t>T program in D.07-07-027</w:t>
      </w:r>
      <w:r w:rsidR="00493857">
        <w:rPr>
          <w:szCs w:val="26"/>
        </w:rPr>
        <w:t xml:space="preserve"> and Resolution E-4137</w:t>
      </w:r>
      <w:r w:rsidR="00A354BC">
        <w:rPr>
          <w:szCs w:val="26"/>
        </w:rPr>
        <w:t xml:space="preserve">. </w:t>
      </w:r>
    </w:p>
    <w:p w14:paraId="2DDA64A5" w14:textId="77777777" w:rsidR="00F915A5" w:rsidRDefault="00872C34" w:rsidP="009B5564">
      <w:pPr>
        <w:spacing w:after="120"/>
      </w:pPr>
      <w:r>
        <w:t>This resolution approves</w:t>
      </w:r>
      <w:r w:rsidR="005963C4">
        <w:t xml:space="preserve"> SCE’s Advice Letter 2870-E/E-A with modification </w:t>
      </w:r>
      <w:r w:rsidR="00701289">
        <w:t xml:space="preserve">to order SCE to remove Amendment No. 1 from each of the five PPAs filed through supplemental Advice Letter 2870-E-A. </w:t>
      </w:r>
      <w:r>
        <w:t xml:space="preserve"> </w:t>
      </w:r>
      <w:r w:rsidR="00F915A5">
        <w:t>SCE’s</w:t>
      </w:r>
      <w:r>
        <w:t xml:space="preserve"> execution of </w:t>
      </w:r>
      <w:r w:rsidR="00F915A5">
        <w:t>these</w:t>
      </w:r>
      <w:r>
        <w:t xml:space="preserve"> </w:t>
      </w:r>
      <w:r w:rsidR="00F915A5">
        <w:t>PPAs</w:t>
      </w:r>
      <w:r>
        <w:t xml:space="preserve"> is consistent with </w:t>
      </w:r>
      <w:r w:rsidR="00F915A5">
        <w:t>the Commission’s guidance in D.07-07</w:t>
      </w:r>
      <w:r w:rsidR="0026745B">
        <w:t xml:space="preserve">-027 </w:t>
      </w:r>
      <w:r w:rsidR="00493857">
        <w:t>authorizing</w:t>
      </w:r>
      <w:r w:rsidR="0026745B">
        <w:t xml:space="preserve"> </w:t>
      </w:r>
      <w:r w:rsidR="00493857">
        <w:t>oversubscription by a utility of its feed-in tariff</w:t>
      </w:r>
      <w:r>
        <w:t xml:space="preserve">.  </w:t>
      </w:r>
    </w:p>
    <w:p w14:paraId="2E53C850" w14:textId="77777777" w:rsidR="00F5600A" w:rsidRPr="00425928" w:rsidRDefault="00701289" w:rsidP="003B5666">
      <w:pPr>
        <w:pStyle w:val="Heading1"/>
        <w:spacing w:before="240" w:after="120"/>
        <w:rPr>
          <w:rFonts w:ascii="Palatino Linotype" w:hAnsi="Palatino Linotype"/>
        </w:rPr>
      </w:pPr>
      <w:r>
        <w:t>B</w:t>
      </w:r>
      <w:r w:rsidR="00F5600A" w:rsidRPr="00600701">
        <w:t>ackground</w:t>
      </w:r>
    </w:p>
    <w:p w14:paraId="5F387725" w14:textId="77777777" w:rsidR="003710BE" w:rsidRPr="003710BE" w:rsidRDefault="003710BE" w:rsidP="003710BE">
      <w:pPr>
        <w:keepNext/>
        <w:spacing w:after="120"/>
        <w:rPr>
          <w:b/>
          <w:szCs w:val="26"/>
        </w:rPr>
      </w:pPr>
      <w:r w:rsidRPr="003710BE">
        <w:rPr>
          <w:b/>
          <w:szCs w:val="26"/>
        </w:rPr>
        <w:t>Overview of the Renewables Portfolio Standard (RPS) Program</w:t>
      </w:r>
    </w:p>
    <w:p w14:paraId="143FB2FA" w14:textId="77777777" w:rsidR="003710BE" w:rsidRPr="003710BE" w:rsidRDefault="003710BE" w:rsidP="003710BE">
      <w:pPr>
        <w:spacing w:after="120"/>
        <w:rPr>
          <w:szCs w:val="26"/>
        </w:rPr>
      </w:pPr>
      <w:r w:rsidRPr="003710BE">
        <w:rPr>
          <w:szCs w:val="26"/>
        </w:rPr>
        <w:t>The California RPS program was established by</w:t>
      </w:r>
      <w:r w:rsidR="00701289">
        <w:rPr>
          <w:szCs w:val="26"/>
        </w:rPr>
        <w:t xml:space="preserve"> Senate Bill (SB) 1078, and has </w:t>
      </w:r>
      <w:r w:rsidRPr="003710BE">
        <w:rPr>
          <w:szCs w:val="26"/>
        </w:rPr>
        <w:t>been subsequently modified by SB 107, SB 1036, and SB 2 (1X).</w:t>
      </w:r>
      <w:r w:rsidRPr="003710BE">
        <w:rPr>
          <w:szCs w:val="26"/>
          <w:vertAlign w:val="superscript"/>
        </w:rPr>
        <w:footnoteReference w:id="4"/>
      </w:r>
      <w:r w:rsidR="00701289">
        <w:rPr>
          <w:szCs w:val="26"/>
        </w:rPr>
        <w:t xml:space="preserve">  The RPS </w:t>
      </w:r>
      <w:r w:rsidRPr="003710BE">
        <w:rPr>
          <w:szCs w:val="26"/>
        </w:rPr>
        <w:lastRenderedPageBreak/>
        <w:t xml:space="preserve">program is codified in Pub. Util. Code </w:t>
      </w:r>
      <w:r w:rsidRPr="003710BE">
        <w:rPr>
          <w:rFonts w:ascii="Book Antiqua" w:hAnsi="Book Antiqua"/>
          <w:szCs w:val="26"/>
        </w:rPr>
        <w:t>§§</w:t>
      </w:r>
      <w:r w:rsidRPr="003710BE">
        <w:rPr>
          <w:szCs w:val="26"/>
        </w:rPr>
        <w:t xml:space="preserve"> 399.11-399.31.</w:t>
      </w:r>
      <w:r w:rsidRPr="003710BE">
        <w:rPr>
          <w:szCs w:val="26"/>
          <w:vertAlign w:val="superscript"/>
        </w:rPr>
        <w:footnoteReference w:id="5"/>
      </w:r>
      <w:r w:rsidR="00701289">
        <w:rPr>
          <w:szCs w:val="26"/>
        </w:rPr>
        <w:t xml:space="preserve">  Under </w:t>
      </w:r>
      <w:r w:rsidRPr="003710BE">
        <w:rPr>
          <w:szCs w:val="26"/>
        </w:rPr>
        <w:t>SB 2 (1X), the RPS program administered by the Commission requires each retail seller to procure eligible renewable energy resources so that the amount of electricity generated from eligible renewable resour</w:t>
      </w:r>
      <w:r w:rsidR="00701289">
        <w:rPr>
          <w:szCs w:val="26"/>
        </w:rPr>
        <w:t xml:space="preserve">ces be an amount that equals an </w:t>
      </w:r>
      <w:r w:rsidRPr="003710BE">
        <w:rPr>
          <w:szCs w:val="26"/>
        </w:rPr>
        <w:t>average of 20 percent of the total electricity sold to retail customers in California for compliance period 2011-2013; 25 percent of retail sales by December 31, 2016; and 33 percent of retail sales by December 31, 2020.</w:t>
      </w:r>
      <w:r w:rsidRPr="003710BE">
        <w:rPr>
          <w:szCs w:val="26"/>
          <w:vertAlign w:val="superscript"/>
        </w:rPr>
        <w:footnoteReference w:id="6"/>
      </w:r>
      <w:r w:rsidRPr="003710BE">
        <w:rPr>
          <w:szCs w:val="26"/>
        </w:rPr>
        <w:t xml:space="preserve">  </w:t>
      </w:r>
    </w:p>
    <w:p w14:paraId="6AC1EB99" w14:textId="7B9E2335" w:rsidR="003710BE" w:rsidRPr="003710BE" w:rsidRDefault="003710BE" w:rsidP="003710BE">
      <w:pPr>
        <w:spacing w:after="120"/>
        <w:rPr>
          <w:rFonts w:ascii="Palatino Linotype" w:hAnsi="Palatino Linotype"/>
          <w:b/>
          <w:u w:val="single"/>
        </w:rPr>
      </w:pPr>
      <w:r w:rsidRPr="003710BE">
        <w:t xml:space="preserve">Additional background information about the Commission’s RPS Program, including links to relevant laws and Commission decisions, is available at </w:t>
      </w:r>
      <w:hyperlink r:id="rId8" w:history="1">
        <w:r w:rsidRPr="003710BE">
          <w:rPr>
            <w:bCs/>
            <w:color w:val="0000FF"/>
            <w:u w:val="single"/>
          </w:rPr>
          <w:t>http://www.cpuc.ca.gov/PUC/energy/Renewables/overview.htm</w:t>
        </w:r>
      </w:hyperlink>
      <w:r w:rsidRPr="003710BE">
        <w:t xml:space="preserve"> and </w:t>
      </w:r>
      <w:hyperlink r:id="rId9" w:history="1">
        <w:r w:rsidRPr="003710BE">
          <w:rPr>
            <w:bCs/>
            <w:color w:val="0000FF"/>
            <w:u w:val="single"/>
          </w:rPr>
          <w:t>http://www.cpuc.ca.gov/PUC/energy/Renewables/decisions.htm</w:t>
        </w:r>
      </w:hyperlink>
      <w:r w:rsidRPr="003710BE">
        <w:t>.</w:t>
      </w:r>
    </w:p>
    <w:p w14:paraId="2C783110" w14:textId="77777777" w:rsidR="003710BE" w:rsidRPr="003710BE" w:rsidRDefault="003710BE" w:rsidP="0084755C">
      <w:pPr>
        <w:keepNext/>
        <w:spacing w:before="120" w:after="120"/>
        <w:rPr>
          <w:b/>
          <w:szCs w:val="26"/>
        </w:rPr>
      </w:pPr>
      <w:r w:rsidRPr="003710BE">
        <w:rPr>
          <w:b/>
          <w:szCs w:val="26"/>
        </w:rPr>
        <w:t xml:space="preserve">Overview of the </w:t>
      </w:r>
      <w:r w:rsidR="009979B1">
        <w:rPr>
          <w:b/>
          <w:szCs w:val="26"/>
        </w:rPr>
        <w:t xml:space="preserve">Renewable </w:t>
      </w:r>
      <w:r w:rsidRPr="003710BE">
        <w:rPr>
          <w:b/>
          <w:szCs w:val="26"/>
        </w:rPr>
        <w:t>Feed-in Tariff (FIT) Program</w:t>
      </w:r>
    </w:p>
    <w:p w14:paraId="19FEFC8B" w14:textId="77777777" w:rsidR="00EB2B83" w:rsidRDefault="003710BE" w:rsidP="003710BE">
      <w:pPr>
        <w:spacing w:after="120"/>
        <w:rPr>
          <w:rFonts w:ascii="Palatino Linotype" w:hAnsi="Palatino Linotype" w:cs="BookAntiqua"/>
          <w:szCs w:val="26"/>
        </w:rPr>
      </w:pPr>
      <w:r w:rsidRPr="003710BE">
        <w:rPr>
          <w:rFonts w:ascii="Palatino Linotype" w:hAnsi="Palatino Linotype"/>
        </w:rPr>
        <w:t>The specific code section</w:t>
      </w:r>
      <w:r w:rsidR="00AC4FAD" w:rsidRPr="003710BE">
        <w:rPr>
          <w:rFonts w:ascii="Palatino Linotype" w:hAnsi="Palatino Linotype"/>
        </w:rPr>
        <w:t xml:space="preserve">, </w:t>
      </w:r>
      <w:r w:rsidR="00AC4FAD" w:rsidRPr="003710BE">
        <w:rPr>
          <w:rFonts w:ascii="Palatino Linotype" w:hAnsi="Palatino Linotype" w:cs="BookAntiqua"/>
          <w:szCs w:val="26"/>
        </w:rPr>
        <w:t>§ 399.20,</w:t>
      </w:r>
      <w:r w:rsidRPr="003710BE">
        <w:rPr>
          <w:rFonts w:ascii="Palatino Linotype" w:hAnsi="Palatino Linotype"/>
        </w:rPr>
        <w:t xml:space="preserve"> relevant to today’s resolution</w:t>
      </w:r>
      <w:r w:rsidR="00D97438">
        <w:rPr>
          <w:rFonts w:ascii="Palatino Linotype" w:hAnsi="Palatino Linotype"/>
        </w:rPr>
        <w:t xml:space="preserve"> </w:t>
      </w:r>
      <w:r w:rsidRPr="003710BE">
        <w:rPr>
          <w:rFonts w:ascii="Palatino Linotype" w:hAnsi="Palatino Linotype" w:cs="BookAntiqua"/>
          <w:szCs w:val="26"/>
        </w:rPr>
        <w:t>was added to the Pub. Util. Code by Assembly Bill (AB) 1969 (Yee, Stats. 2006, ch. 731), to be effective on January 1, 2007.  The provisions of § 399.20 are part of the RPS Program and, importantly, every kilowatt hour (kWh) of electricity purchased from an eligible renewable resource pursuant to § 399.20 counts toward meeting an electric corporation</w:t>
      </w:r>
      <w:r w:rsidR="00AC4FAD">
        <w:rPr>
          <w:rFonts w:ascii="Palatino Linotype" w:hAnsi="Palatino Linotype" w:cs="BookAntiqua"/>
          <w:szCs w:val="26"/>
        </w:rPr>
        <w:t>’</w:t>
      </w:r>
      <w:r w:rsidRPr="003710BE">
        <w:rPr>
          <w:rFonts w:ascii="Palatino Linotype" w:hAnsi="Palatino Linotype" w:cs="BookAntiqua"/>
          <w:szCs w:val="26"/>
        </w:rPr>
        <w:t xml:space="preserve">s RPS Program procurement quantity requirements under SB 2 (1X). </w:t>
      </w:r>
      <w:r w:rsidR="0065142D">
        <w:rPr>
          <w:rFonts w:ascii="Palatino Linotype" w:hAnsi="Palatino Linotype" w:cs="BookAntiqua"/>
          <w:szCs w:val="26"/>
        </w:rPr>
        <w:t>AB 1969 statutorily obligated the three large investor-owned utilities</w:t>
      </w:r>
      <w:r w:rsidR="00EB2B83">
        <w:rPr>
          <w:rFonts w:ascii="Palatino Linotype" w:hAnsi="Palatino Linotype" w:cs="BookAntiqua"/>
          <w:szCs w:val="26"/>
        </w:rPr>
        <w:t xml:space="preserve"> (IOUs)</w:t>
      </w:r>
      <w:r w:rsidR="0065142D">
        <w:rPr>
          <w:rFonts w:ascii="Palatino Linotype" w:hAnsi="Palatino Linotype" w:cs="BookAntiqua"/>
          <w:szCs w:val="26"/>
        </w:rPr>
        <w:t xml:space="preserve"> to procure 250 MW of feed-in tariff capacity, </w:t>
      </w:r>
      <w:r w:rsidR="00AC4FAD">
        <w:rPr>
          <w:rFonts w:ascii="Palatino Linotype" w:hAnsi="Palatino Linotype" w:cs="BookAntiqua"/>
          <w:szCs w:val="26"/>
        </w:rPr>
        <w:t xml:space="preserve">and </w:t>
      </w:r>
      <w:r w:rsidR="00EB2B83">
        <w:rPr>
          <w:rFonts w:ascii="Palatino Linotype" w:hAnsi="Palatino Linotype" w:cs="BookAntiqua"/>
          <w:szCs w:val="26"/>
        </w:rPr>
        <w:t>§ 399.20(b)</w:t>
      </w:r>
      <w:r w:rsidR="0065142D">
        <w:rPr>
          <w:rFonts w:ascii="Palatino Linotype" w:hAnsi="Palatino Linotype" w:cs="BookAntiqua"/>
          <w:szCs w:val="26"/>
        </w:rPr>
        <w:t xml:space="preserve"> restricted </w:t>
      </w:r>
      <w:r w:rsidR="00EB2B83">
        <w:rPr>
          <w:rFonts w:ascii="Palatino Linotype" w:hAnsi="Palatino Linotype" w:cs="BookAntiqua"/>
          <w:szCs w:val="26"/>
        </w:rPr>
        <w:t>access to that capacity to electric generation facilities “owned and operated by a public water or wastewater agency</w:t>
      </w:r>
      <w:r w:rsidR="00CB1465">
        <w:rPr>
          <w:rFonts w:ascii="Palatino Linotype" w:hAnsi="Palatino Linotype" w:cs="BookAntiqua"/>
          <w:szCs w:val="26"/>
        </w:rPr>
        <w:t>.”</w:t>
      </w:r>
      <w:r w:rsidR="00EB2B83">
        <w:rPr>
          <w:rFonts w:ascii="Palatino Linotype" w:hAnsi="Palatino Linotype" w:cs="BookAntiqua"/>
          <w:szCs w:val="26"/>
        </w:rPr>
        <w:t xml:space="preserve"> </w:t>
      </w:r>
    </w:p>
    <w:p w14:paraId="662B3025" w14:textId="77777777" w:rsidR="00EB2B83" w:rsidRDefault="00EB2B83" w:rsidP="003710BE">
      <w:pPr>
        <w:spacing w:after="120"/>
        <w:rPr>
          <w:rFonts w:ascii="Palatino Linotype" w:hAnsi="Palatino Linotype" w:cs="BookAntiqua"/>
          <w:szCs w:val="26"/>
        </w:rPr>
      </w:pPr>
      <w:r>
        <w:rPr>
          <w:rFonts w:ascii="Palatino Linotype" w:hAnsi="Palatino Linotype" w:cs="BookAntiqua"/>
          <w:szCs w:val="26"/>
        </w:rPr>
        <w:t xml:space="preserve">Commission Decision (D.) 07-07-027 implemented AB 1969 </w:t>
      </w:r>
      <w:r w:rsidR="00CB1465">
        <w:rPr>
          <w:rFonts w:ascii="Palatino Linotype" w:hAnsi="Palatino Linotype" w:cs="BookAntiqua"/>
          <w:szCs w:val="26"/>
        </w:rPr>
        <w:t>and</w:t>
      </w:r>
      <w:r w:rsidR="00A97775">
        <w:rPr>
          <w:rFonts w:ascii="Palatino Linotype" w:hAnsi="Palatino Linotype" w:cs="BookAntiqua"/>
          <w:szCs w:val="26"/>
        </w:rPr>
        <w:t>, at the same time,</w:t>
      </w:r>
      <w:r>
        <w:rPr>
          <w:rFonts w:ascii="Palatino Linotype" w:hAnsi="Palatino Linotype" w:cs="BookAntiqua"/>
          <w:szCs w:val="26"/>
        </w:rPr>
        <w:t xml:space="preserve"> also expand</w:t>
      </w:r>
      <w:r w:rsidR="00CB1465">
        <w:rPr>
          <w:rFonts w:ascii="Palatino Linotype" w:hAnsi="Palatino Linotype" w:cs="BookAntiqua"/>
          <w:szCs w:val="26"/>
        </w:rPr>
        <w:t>ed</w:t>
      </w:r>
      <w:r>
        <w:rPr>
          <w:rFonts w:ascii="Palatino Linotype" w:hAnsi="Palatino Linotype" w:cs="BookAntiqua"/>
          <w:szCs w:val="26"/>
        </w:rPr>
        <w:t xml:space="preserve"> the feed-in tariff program beyond its original statutory authorization.</w:t>
      </w:r>
      <w:r w:rsidR="00CB1465">
        <w:rPr>
          <w:rFonts w:ascii="Palatino Linotype" w:hAnsi="Palatino Linotype" w:cs="BookAntiqua"/>
          <w:szCs w:val="26"/>
        </w:rPr>
        <w:t xml:space="preserve"> </w:t>
      </w:r>
      <w:r>
        <w:rPr>
          <w:rFonts w:ascii="Palatino Linotype" w:hAnsi="Palatino Linotype" w:cs="BookAntiqua"/>
          <w:szCs w:val="26"/>
        </w:rPr>
        <w:t>Significantly, in that Decision, the Commission ordered the creation of a parallel feed-in tariff program for PG&amp;E and SCE with the same capacity authorization</w:t>
      </w:r>
      <w:r w:rsidR="0084755C">
        <w:rPr>
          <w:rFonts w:ascii="Palatino Linotype" w:hAnsi="Palatino Linotype" w:cs="BookAntiqua"/>
          <w:szCs w:val="26"/>
        </w:rPr>
        <w:t>s</w:t>
      </w:r>
      <w:r>
        <w:rPr>
          <w:rFonts w:ascii="Palatino Linotype" w:hAnsi="Palatino Linotype" w:cs="BookAntiqua"/>
          <w:szCs w:val="26"/>
        </w:rPr>
        <w:t>, same terms and conditions, and same pricing structure</w:t>
      </w:r>
      <w:r w:rsidR="00CB1465">
        <w:rPr>
          <w:rFonts w:ascii="Palatino Linotype" w:hAnsi="Palatino Linotype" w:cs="BookAntiqua"/>
          <w:szCs w:val="26"/>
        </w:rPr>
        <w:t xml:space="preserve"> as the statutorily mandated program for public water or wastewater agency customers</w:t>
      </w:r>
      <w:r>
        <w:rPr>
          <w:rFonts w:ascii="Palatino Linotype" w:hAnsi="Palatino Linotype" w:cs="BookAntiqua"/>
          <w:szCs w:val="26"/>
        </w:rPr>
        <w:t xml:space="preserve">. The Commission ordered, however, that this incremental </w:t>
      </w:r>
      <w:r w:rsidR="00CB1465">
        <w:rPr>
          <w:rFonts w:ascii="Palatino Linotype" w:hAnsi="Palatino Linotype" w:cs="BookAntiqua"/>
          <w:szCs w:val="26"/>
        </w:rPr>
        <w:t xml:space="preserve">additional </w:t>
      </w:r>
      <w:r>
        <w:rPr>
          <w:rFonts w:ascii="Palatino Linotype" w:hAnsi="Palatino Linotype" w:cs="BookAntiqua"/>
          <w:szCs w:val="26"/>
        </w:rPr>
        <w:lastRenderedPageBreak/>
        <w:t>authorized c</w:t>
      </w:r>
      <w:r w:rsidR="00CB1465">
        <w:rPr>
          <w:rFonts w:ascii="Palatino Linotype" w:hAnsi="Palatino Linotype" w:cs="BookAntiqua"/>
          <w:szCs w:val="26"/>
        </w:rPr>
        <w:t>apacity be available to customers “other than water / wastewater customers.”</w:t>
      </w:r>
      <w:r w:rsidR="0084755C">
        <w:rPr>
          <w:rStyle w:val="FootnoteReference"/>
          <w:rFonts w:ascii="Palatino Linotype" w:hAnsi="Palatino Linotype" w:cs="BookAntiqua"/>
          <w:szCs w:val="26"/>
        </w:rPr>
        <w:footnoteReference w:id="7"/>
      </w:r>
      <w:r w:rsidR="00CB1465">
        <w:rPr>
          <w:rFonts w:ascii="Palatino Linotype" w:hAnsi="Palatino Linotype" w:cs="BookAntiqua"/>
          <w:szCs w:val="26"/>
        </w:rPr>
        <w:t xml:space="preserve"> </w:t>
      </w:r>
    </w:p>
    <w:p w14:paraId="21E2D881" w14:textId="77777777" w:rsidR="00AE1355" w:rsidRDefault="00AE1355" w:rsidP="003710BE">
      <w:pPr>
        <w:spacing w:after="120"/>
        <w:rPr>
          <w:rFonts w:ascii="Palatino Linotype" w:hAnsi="Palatino Linotype" w:cs="BookAntiqua"/>
          <w:szCs w:val="26"/>
        </w:rPr>
      </w:pPr>
      <w:r>
        <w:rPr>
          <w:rFonts w:ascii="Palatino Linotype" w:hAnsi="Palatino Linotype" w:cs="BookAntiqua"/>
          <w:szCs w:val="26"/>
        </w:rPr>
        <w:t>Pursuant to D.07-07-027, the cost of feed-in tariff contracts executed up to the tariff capacity caps as authorized by that decision are considered per se reasonable, in the public interest, and recoverable in rates over the life of the contracts.</w:t>
      </w:r>
      <w:r w:rsidR="003C05E7">
        <w:rPr>
          <w:rStyle w:val="FootnoteReference"/>
          <w:rFonts w:ascii="Palatino Linotype" w:hAnsi="Palatino Linotype" w:cs="BookAntiqua"/>
          <w:szCs w:val="26"/>
        </w:rPr>
        <w:footnoteReference w:id="8"/>
      </w:r>
      <w:r>
        <w:rPr>
          <w:rFonts w:ascii="Palatino Linotype" w:hAnsi="Palatino Linotype" w:cs="BookAntiqua"/>
          <w:szCs w:val="26"/>
        </w:rPr>
        <w:t xml:space="preserve"> As a result, unlike traditional RPS procurement, Commission approval of feed-in tariff contracts up to the pre-authorized capacity cap is considered automatic without the need for additional Commission review via submission of an advice letter or any other process. </w:t>
      </w:r>
    </w:p>
    <w:p w14:paraId="16989745" w14:textId="77777777" w:rsidR="003710BE" w:rsidRDefault="00CB1465" w:rsidP="003710BE">
      <w:pPr>
        <w:spacing w:after="120"/>
        <w:rPr>
          <w:rFonts w:ascii="Palatino Linotype" w:hAnsi="Palatino Linotype" w:cs="BookAntiqua"/>
          <w:szCs w:val="26"/>
        </w:rPr>
      </w:pPr>
      <w:r>
        <w:rPr>
          <w:rFonts w:ascii="Palatino Linotype" w:hAnsi="Palatino Linotype" w:cs="BookAntiqua"/>
          <w:szCs w:val="26"/>
        </w:rPr>
        <w:t>In response to the advice letters filed by the three large IOUs demonstrating compliance with D.07-07-027, t</w:t>
      </w:r>
      <w:r w:rsidR="003710BE" w:rsidRPr="003710BE">
        <w:rPr>
          <w:rFonts w:ascii="Palatino Linotype" w:hAnsi="Palatino Linotype" w:cs="BookAntiqua"/>
          <w:szCs w:val="26"/>
        </w:rPr>
        <w:t>he Commission approved Resolution E-4137 on February 14, 2008</w:t>
      </w:r>
      <w:r>
        <w:rPr>
          <w:rFonts w:ascii="Palatino Linotype" w:hAnsi="Palatino Linotype" w:cs="BookAntiqua"/>
          <w:szCs w:val="26"/>
        </w:rPr>
        <w:t xml:space="preserve">. That resolution authorized the creation SCE’s </w:t>
      </w:r>
      <w:r w:rsidR="00105740">
        <w:rPr>
          <w:rFonts w:ascii="Palatino Linotype" w:hAnsi="Palatino Linotype" w:cs="BookAntiqua"/>
          <w:szCs w:val="26"/>
        </w:rPr>
        <w:t xml:space="preserve">WATER tariff and </w:t>
      </w:r>
      <w:r w:rsidR="008E31AC">
        <w:rPr>
          <w:rFonts w:ascii="Palatino Linotype" w:hAnsi="Palatino Linotype" w:cs="BookAntiqua"/>
          <w:szCs w:val="26"/>
        </w:rPr>
        <w:t xml:space="preserve">standard </w:t>
      </w:r>
      <w:r w:rsidR="00105740">
        <w:rPr>
          <w:rFonts w:ascii="Palatino Linotype" w:hAnsi="Palatino Linotype" w:cs="BookAntiqua"/>
          <w:szCs w:val="26"/>
        </w:rPr>
        <w:t xml:space="preserve">contract for 123.8 MW of feed-in tariff capacity from projects owned and operated by public water or wastewater agency customers, and it authorized the creation of SCE’s </w:t>
      </w:r>
      <w:r w:rsidR="003710BE" w:rsidRPr="003710BE">
        <w:rPr>
          <w:rFonts w:ascii="Palatino Linotype" w:hAnsi="Palatino Linotype" w:cs="BookAntiqua"/>
          <w:szCs w:val="26"/>
        </w:rPr>
        <w:t>California Renewable Energy Small Tariff (CREST)</w:t>
      </w:r>
      <w:r w:rsidR="00105740">
        <w:rPr>
          <w:rFonts w:ascii="Palatino Linotype" w:hAnsi="Palatino Linotype" w:cs="BookAntiqua"/>
          <w:szCs w:val="26"/>
        </w:rPr>
        <w:t xml:space="preserve"> for another 123.8 MW of feed-in tariff capacity from projects </w:t>
      </w:r>
      <w:r w:rsidR="00105740" w:rsidRPr="00A97775">
        <w:rPr>
          <w:rFonts w:ascii="Palatino Linotype" w:hAnsi="Palatino Linotype" w:cs="BookAntiqua"/>
          <w:i/>
          <w:szCs w:val="26"/>
        </w:rPr>
        <w:t>other than</w:t>
      </w:r>
      <w:r w:rsidR="00105740">
        <w:rPr>
          <w:rFonts w:ascii="Palatino Linotype" w:hAnsi="Palatino Linotype" w:cs="BookAntiqua"/>
          <w:szCs w:val="26"/>
        </w:rPr>
        <w:t xml:space="preserve"> those owned and operated by public water or wastewater agency customers</w:t>
      </w:r>
      <w:r w:rsidR="003710BE" w:rsidRPr="003710BE">
        <w:rPr>
          <w:rFonts w:ascii="Palatino Linotype" w:hAnsi="Palatino Linotype" w:cs="BookAntiqua"/>
          <w:szCs w:val="26"/>
        </w:rPr>
        <w:t>.</w:t>
      </w:r>
      <w:r w:rsidR="0084755C">
        <w:rPr>
          <w:rStyle w:val="FootnoteReference"/>
          <w:rFonts w:ascii="Palatino Linotype" w:hAnsi="Palatino Linotype" w:cs="BookAntiqua"/>
          <w:szCs w:val="26"/>
        </w:rPr>
        <w:footnoteReference w:id="9"/>
      </w:r>
      <w:r w:rsidR="003710BE" w:rsidRPr="003710BE">
        <w:rPr>
          <w:rFonts w:ascii="Palatino Linotype" w:hAnsi="Palatino Linotype" w:cs="BookAntiqua"/>
          <w:szCs w:val="26"/>
        </w:rPr>
        <w:t xml:space="preserve"> </w:t>
      </w:r>
      <w:r w:rsidR="002964A1">
        <w:rPr>
          <w:rFonts w:ascii="Palatino Linotype" w:hAnsi="Palatino Linotype" w:cs="BookAntiqua"/>
          <w:szCs w:val="26"/>
        </w:rPr>
        <w:t>The terms and conditions of the CREST standard feed-in tariff contract were later amended by D.11-11-012.</w:t>
      </w:r>
    </w:p>
    <w:p w14:paraId="76EFF3B3" w14:textId="17BF61DA" w:rsidR="003710BE" w:rsidRPr="003710BE" w:rsidRDefault="003710BE" w:rsidP="003710BE">
      <w:pPr>
        <w:spacing w:after="120"/>
        <w:rPr>
          <w:rFonts w:ascii="Palatino Linotype" w:hAnsi="Palatino Linotype"/>
          <w:b/>
          <w:u w:val="single"/>
        </w:rPr>
      </w:pPr>
      <w:r w:rsidRPr="003710BE">
        <w:rPr>
          <w:rFonts w:ascii="Palatino Linotype" w:hAnsi="Palatino Linotype" w:cs="BookAntiqua"/>
          <w:szCs w:val="26"/>
        </w:rPr>
        <w:t xml:space="preserve">Additional background information about the Commission’s Feed-in Tariff program, including links to relevant laws and Commission decisions, is available at </w:t>
      </w:r>
      <w:hyperlink r:id="rId10" w:history="1">
        <w:r w:rsidRPr="003710BE">
          <w:rPr>
            <w:rFonts w:cs="BookAntiqua"/>
            <w:color w:val="0000FF"/>
            <w:szCs w:val="26"/>
            <w:u w:val="single"/>
          </w:rPr>
          <w:t>http://www.cpuc.ca.gov/PUC/energy/Renewables/hot/feedintariffs.htm</w:t>
        </w:r>
      </w:hyperlink>
      <w:r w:rsidRPr="003710BE">
        <w:rPr>
          <w:rFonts w:ascii="Palatino Linotype" w:hAnsi="Palatino Linotype" w:cs="BookAntiqua"/>
          <w:szCs w:val="26"/>
        </w:rPr>
        <w:t xml:space="preserve"> .</w:t>
      </w:r>
    </w:p>
    <w:p w14:paraId="6E651EB9" w14:textId="77777777" w:rsidR="003710BE" w:rsidRDefault="003710BE" w:rsidP="003B5666">
      <w:pPr>
        <w:pStyle w:val="Heading1"/>
        <w:spacing w:before="240" w:after="120"/>
      </w:pPr>
      <w:r>
        <w:t>NOTICE</w:t>
      </w:r>
    </w:p>
    <w:p w14:paraId="3858936C" w14:textId="77777777" w:rsidR="003710BE" w:rsidRDefault="003710BE" w:rsidP="00B37B91">
      <w:pPr>
        <w:spacing w:after="240"/>
      </w:pPr>
      <w:r>
        <w:t xml:space="preserve">Notice of AL </w:t>
      </w:r>
      <w:r w:rsidR="002964A1">
        <w:t xml:space="preserve">2870-E and </w:t>
      </w:r>
      <w:r w:rsidR="0084755C">
        <w:t xml:space="preserve">supplemental </w:t>
      </w:r>
      <w:r w:rsidR="002964A1">
        <w:t>AL 2870-E-A</w:t>
      </w:r>
      <w:r>
        <w:t xml:space="preserve"> was made by publication in the Commission’s Daily Calendar.  SCE states that </w:t>
      </w:r>
      <w:r w:rsidR="002964A1">
        <w:t xml:space="preserve">copies </w:t>
      </w:r>
      <w:r>
        <w:t>of the Advice Letter</w:t>
      </w:r>
      <w:r w:rsidR="002964A1">
        <w:t xml:space="preserve"> and the supplemental Advice Letter</w:t>
      </w:r>
      <w:r>
        <w:t xml:space="preserve"> </w:t>
      </w:r>
      <w:r w:rsidR="002964A1">
        <w:t>were</w:t>
      </w:r>
      <w:r>
        <w:t xml:space="preserve"> mailed and distributed in accordance with Section 3.14 of General Order 96-B. </w:t>
      </w:r>
    </w:p>
    <w:p w14:paraId="391C6596" w14:textId="77777777" w:rsidR="003710BE" w:rsidRDefault="003710BE" w:rsidP="003710BE">
      <w:pPr>
        <w:pStyle w:val="Heading1"/>
        <w:spacing w:before="0" w:after="120"/>
      </w:pPr>
      <w:r>
        <w:lastRenderedPageBreak/>
        <w:t>PROTESTS</w:t>
      </w:r>
    </w:p>
    <w:p w14:paraId="1171ECAF" w14:textId="77777777" w:rsidR="003C0840" w:rsidRDefault="003C0840" w:rsidP="003C0840">
      <w:pPr>
        <w:spacing w:after="120"/>
        <w:rPr>
          <w:rFonts w:ascii="Palatino Linotype" w:hAnsi="Palatino Linotype"/>
        </w:rPr>
      </w:pPr>
      <w:r>
        <w:rPr>
          <w:rFonts w:ascii="Palatino Linotype" w:hAnsi="Palatino Linotype"/>
        </w:rPr>
        <w:t xml:space="preserve">On April 16, 2013, protests to Advice Letter 2870-E were received from the Division of Ratepayer Advocates (DRA), David Fick, Ashlee Dalton, and Jackie Hanselman. Additionally, on the same day, responses to Advice Letter 2870-E </w:t>
      </w:r>
      <w:r w:rsidR="0026745B">
        <w:rPr>
          <w:rFonts w:ascii="Palatino Linotype" w:hAnsi="Palatino Linotype"/>
        </w:rPr>
        <w:t>supporting SCE’s request for</w:t>
      </w:r>
      <w:r>
        <w:rPr>
          <w:rFonts w:ascii="Palatino Linotype" w:hAnsi="Palatino Linotype"/>
        </w:rPr>
        <w:t xml:space="preserve"> Commission approval were filed by the Clean Coalition, the Solar Energy Industries Association (SEIA), and ImMODO. </w:t>
      </w:r>
    </w:p>
    <w:p w14:paraId="5A91AA19" w14:textId="77777777" w:rsidR="003C0840" w:rsidRDefault="003C0840" w:rsidP="0026745B">
      <w:pPr>
        <w:spacing w:after="240"/>
        <w:rPr>
          <w:rFonts w:ascii="Palatino Linotype" w:hAnsi="Palatino Linotype"/>
        </w:rPr>
      </w:pPr>
      <w:r>
        <w:rPr>
          <w:rFonts w:ascii="Palatino Linotype" w:hAnsi="Palatino Linotype"/>
        </w:rPr>
        <w:t>On April 22, 2013, SCE</w:t>
      </w:r>
      <w:r w:rsidR="0026745B">
        <w:rPr>
          <w:rFonts w:ascii="Palatino Linotype" w:hAnsi="Palatino Linotype"/>
        </w:rPr>
        <w:t xml:space="preserve"> filed a reply to these protest</w:t>
      </w:r>
      <w:r w:rsidR="008E31AC">
        <w:rPr>
          <w:rFonts w:ascii="Palatino Linotype" w:hAnsi="Palatino Linotype"/>
        </w:rPr>
        <w:t>s</w:t>
      </w:r>
      <w:r w:rsidR="0026745B">
        <w:rPr>
          <w:rFonts w:ascii="Palatino Linotype" w:hAnsi="Palatino Linotype"/>
        </w:rPr>
        <w:t xml:space="preserve"> and respon</w:t>
      </w:r>
      <w:r w:rsidR="008E31AC">
        <w:rPr>
          <w:rFonts w:ascii="Palatino Linotype" w:hAnsi="Palatino Linotype"/>
        </w:rPr>
        <w:t>ses</w:t>
      </w:r>
      <w:r>
        <w:rPr>
          <w:rFonts w:ascii="Palatino Linotype" w:hAnsi="Palatino Linotype"/>
        </w:rPr>
        <w:t xml:space="preserve">. </w:t>
      </w:r>
    </w:p>
    <w:p w14:paraId="21376796" w14:textId="77777777" w:rsidR="003C0840" w:rsidRDefault="003C0840" w:rsidP="003710BE">
      <w:pPr>
        <w:spacing w:after="120"/>
        <w:rPr>
          <w:rFonts w:ascii="Palatino Linotype" w:hAnsi="Palatino Linotype"/>
        </w:rPr>
      </w:pPr>
      <w:r>
        <w:rPr>
          <w:rFonts w:ascii="Palatino Linotype" w:hAnsi="Palatino Linotype"/>
          <w:i/>
          <w:u w:val="single"/>
        </w:rPr>
        <w:t>Responses to AL 2870-E</w:t>
      </w:r>
    </w:p>
    <w:p w14:paraId="658DAB8C" w14:textId="77777777" w:rsidR="00C222B9" w:rsidRDefault="00F80FC1" w:rsidP="003710BE">
      <w:pPr>
        <w:spacing w:after="120"/>
        <w:rPr>
          <w:rFonts w:ascii="Palatino Linotype" w:hAnsi="Palatino Linotype"/>
        </w:rPr>
      </w:pPr>
      <w:r>
        <w:rPr>
          <w:rFonts w:ascii="Palatino Linotype" w:hAnsi="Palatino Linotype"/>
        </w:rPr>
        <w:t>Clean Coalition, SEIA, and ImMODO filed</w:t>
      </w:r>
      <w:r w:rsidR="003C0840">
        <w:rPr>
          <w:rFonts w:ascii="Palatino Linotype" w:hAnsi="Palatino Linotype"/>
        </w:rPr>
        <w:t xml:space="preserve"> responses in support of the advice letter</w:t>
      </w:r>
      <w:r w:rsidR="0026745B">
        <w:rPr>
          <w:rFonts w:ascii="Palatino Linotype" w:hAnsi="Palatino Linotype"/>
        </w:rPr>
        <w:t>, each</w:t>
      </w:r>
      <w:r w:rsidR="003C0840">
        <w:rPr>
          <w:rFonts w:ascii="Palatino Linotype" w:hAnsi="Palatino Linotype"/>
        </w:rPr>
        <w:t xml:space="preserve"> generally seek</w:t>
      </w:r>
      <w:r>
        <w:rPr>
          <w:rFonts w:ascii="Palatino Linotype" w:hAnsi="Palatino Linotype"/>
        </w:rPr>
        <w:t>ing</w:t>
      </w:r>
      <w:r w:rsidR="003C0840">
        <w:rPr>
          <w:rFonts w:ascii="Palatino Linotype" w:hAnsi="Palatino Linotype"/>
        </w:rPr>
        <w:t xml:space="preserve"> timely action by the Commission to approve </w:t>
      </w:r>
      <w:r w:rsidR="00EE5C33">
        <w:rPr>
          <w:rFonts w:ascii="Palatino Linotype" w:hAnsi="Palatino Linotype"/>
        </w:rPr>
        <w:t xml:space="preserve">cost </w:t>
      </w:r>
      <w:r w:rsidR="003C0840">
        <w:rPr>
          <w:rFonts w:ascii="Palatino Linotype" w:hAnsi="Palatino Linotype"/>
        </w:rPr>
        <w:t xml:space="preserve">recovery for these power purchase </w:t>
      </w:r>
      <w:r w:rsidR="00F26DF0">
        <w:rPr>
          <w:rFonts w:ascii="Palatino Linotype" w:hAnsi="Palatino Linotype"/>
        </w:rPr>
        <w:t>agreements</w:t>
      </w:r>
      <w:r w:rsidR="003C0840">
        <w:rPr>
          <w:rFonts w:ascii="Palatino Linotype" w:hAnsi="Palatino Linotype"/>
        </w:rPr>
        <w:t xml:space="preserve">. </w:t>
      </w:r>
    </w:p>
    <w:p w14:paraId="06FB13B2" w14:textId="77777777" w:rsidR="003C0840" w:rsidRDefault="003C0840" w:rsidP="000A70D6">
      <w:pPr>
        <w:spacing w:before="120" w:after="120"/>
        <w:rPr>
          <w:rFonts w:ascii="Palatino Linotype" w:hAnsi="Palatino Linotype"/>
        </w:rPr>
      </w:pPr>
      <w:r>
        <w:rPr>
          <w:rFonts w:ascii="Palatino Linotype" w:hAnsi="Palatino Linotype"/>
          <w:i/>
          <w:u w:val="single"/>
        </w:rPr>
        <w:t>Protests to AL 2870-E</w:t>
      </w:r>
    </w:p>
    <w:p w14:paraId="692F547A" w14:textId="77777777" w:rsidR="003C0840" w:rsidRDefault="003C0840" w:rsidP="003710BE">
      <w:pPr>
        <w:spacing w:after="120"/>
        <w:rPr>
          <w:rFonts w:ascii="Palatino Linotype" w:hAnsi="Palatino Linotype"/>
        </w:rPr>
      </w:pPr>
      <w:r>
        <w:rPr>
          <w:rFonts w:ascii="Palatino Linotype" w:hAnsi="Palatino Linotype"/>
        </w:rPr>
        <w:t xml:space="preserve">DRA contends that the Commission should deny </w:t>
      </w:r>
      <w:r w:rsidR="00EE5C33">
        <w:rPr>
          <w:rFonts w:ascii="Palatino Linotype" w:hAnsi="Palatino Linotype"/>
        </w:rPr>
        <w:t xml:space="preserve">cost </w:t>
      </w:r>
      <w:r>
        <w:rPr>
          <w:rFonts w:ascii="Palatino Linotype" w:hAnsi="Palatino Linotype"/>
        </w:rPr>
        <w:t xml:space="preserve">recovery for these power purchase agreements on the basis that SCE has not </w:t>
      </w:r>
      <w:r w:rsidR="00064AD7">
        <w:rPr>
          <w:rFonts w:ascii="Palatino Linotype" w:hAnsi="Palatino Linotype"/>
        </w:rPr>
        <w:t>shown a</w:t>
      </w:r>
      <w:r>
        <w:rPr>
          <w:rFonts w:ascii="Palatino Linotype" w:hAnsi="Palatino Linotype"/>
        </w:rPr>
        <w:t xml:space="preserve"> short-term renewables portfolio standard (RPS) compliance need for these projects. Further, DRA argues that SCE failed to articulate in its 2012 RPS Procurement Plans a need for additional feed-in tariff contracts, or to articulate why feed-in tariff contracts provide the best vehicle for SCE to contribute to Governor Brown’</w:t>
      </w:r>
      <w:r w:rsidR="00064AD7">
        <w:rPr>
          <w:rFonts w:ascii="Palatino Linotype" w:hAnsi="Palatino Linotype"/>
        </w:rPr>
        <w:t xml:space="preserve">s goal of 12,000 MW of renewable distributed generation (DG) by 2020. </w:t>
      </w:r>
    </w:p>
    <w:p w14:paraId="57C8AABB" w14:textId="77777777" w:rsidR="00C222B9" w:rsidRDefault="00064AD7" w:rsidP="003710BE">
      <w:pPr>
        <w:spacing w:after="120"/>
        <w:rPr>
          <w:rFonts w:ascii="Palatino Linotype" w:hAnsi="Palatino Linotype"/>
        </w:rPr>
      </w:pPr>
      <w:r>
        <w:rPr>
          <w:rFonts w:ascii="Palatino Linotype" w:hAnsi="Palatino Linotype"/>
        </w:rPr>
        <w:t>In its reply, SCE addressed DRA’s protest by noting that DRA fails to take into account SCE’s expected long-term RPS compliance need beginning at the end of this decade and into the future. On this basis, and given that, according to SCE, the generation associated with these contracts would be bankable for RPS compliance needs into the future, SCE contends that it has a need for these contracts and that the Commission should approve them.</w:t>
      </w:r>
      <w:r w:rsidR="00C222B9">
        <w:rPr>
          <w:rFonts w:ascii="Palatino Linotype" w:hAnsi="Palatino Linotype"/>
        </w:rPr>
        <w:t xml:space="preserve"> </w:t>
      </w:r>
    </w:p>
    <w:p w14:paraId="484A9CAD" w14:textId="77777777" w:rsidR="00064AD7" w:rsidRDefault="00CA1EE5" w:rsidP="003710BE">
      <w:pPr>
        <w:spacing w:after="120"/>
        <w:rPr>
          <w:rFonts w:ascii="Palatino Linotype" w:hAnsi="Palatino Linotype"/>
        </w:rPr>
      </w:pPr>
      <w:r>
        <w:rPr>
          <w:rFonts w:ascii="Palatino Linotype" w:hAnsi="Palatino Linotype"/>
          <w:u w:val="single"/>
        </w:rPr>
        <w:t>DRA’s protest</w:t>
      </w:r>
      <w:r w:rsidR="00C962F0">
        <w:rPr>
          <w:rFonts w:ascii="Palatino Linotype" w:hAnsi="Palatino Linotype"/>
          <w:u w:val="single"/>
        </w:rPr>
        <w:t xml:space="preserve"> should be denied</w:t>
      </w:r>
      <w:r>
        <w:rPr>
          <w:rFonts w:ascii="Palatino Linotype" w:hAnsi="Palatino Linotype"/>
          <w:u w:val="single"/>
        </w:rPr>
        <w:t xml:space="preserve"> </w:t>
      </w:r>
      <w:r w:rsidR="00A3263E">
        <w:rPr>
          <w:rFonts w:ascii="Palatino Linotype" w:hAnsi="Palatino Linotype"/>
          <w:u w:val="single"/>
        </w:rPr>
        <w:t>because it is</w:t>
      </w:r>
      <w:r w:rsidR="000A70D6">
        <w:rPr>
          <w:rFonts w:ascii="Palatino Linotype" w:hAnsi="Palatino Linotype"/>
          <w:u w:val="single"/>
        </w:rPr>
        <w:t xml:space="preserve"> </w:t>
      </w:r>
      <w:r w:rsidR="002B1ABD">
        <w:rPr>
          <w:rFonts w:ascii="Palatino Linotype" w:hAnsi="Palatino Linotype"/>
          <w:u w:val="single"/>
        </w:rPr>
        <w:t>beyond the scope of review for AL 2870-E</w:t>
      </w:r>
      <w:r w:rsidR="00A3263E">
        <w:rPr>
          <w:rFonts w:ascii="Palatino Linotype" w:hAnsi="Palatino Linotype"/>
          <w:u w:val="single"/>
        </w:rPr>
        <w:t>. The</w:t>
      </w:r>
      <w:r w:rsidR="00A3263E" w:rsidRPr="00C222B9">
        <w:rPr>
          <w:rFonts w:ascii="Palatino Linotype" w:hAnsi="Palatino Linotype"/>
          <w:u w:val="single"/>
        </w:rPr>
        <w:t xml:space="preserve"> review of AL 2870-E is limited to whether or not </w:t>
      </w:r>
      <w:r w:rsidR="00EE5C33">
        <w:rPr>
          <w:rFonts w:ascii="Palatino Linotype" w:hAnsi="Palatino Linotype"/>
          <w:u w:val="single"/>
        </w:rPr>
        <w:t>cost</w:t>
      </w:r>
      <w:r w:rsidR="00EE5C33" w:rsidRPr="00C222B9">
        <w:rPr>
          <w:rFonts w:ascii="Palatino Linotype" w:hAnsi="Palatino Linotype"/>
          <w:u w:val="single"/>
        </w:rPr>
        <w:t xml:space="preserve"> </w:t>
      </w:r>
      <w:r w:rsidR="00A3263E" w:rsidRPr="00C222B9">
        <w:rPr>
          <w:rFonts w:ascii="Palatino Linotype" w:hAnsi="Palatino Linotype"/>
          <w:u w:val="single"/>
        </w:rPr>
        <w:t xml:space="preserve">recovery is appropriate </w:t>
      </w:r>
      <w:r w:rsidR="00A3263E">
        <w:rPr>
          <w:rFonts w:ascii="Palatino Linotype" w:hAnsi="Palatino Linotype"/>
          <w:u w:val="single"/>
        </w:rPr>
        <w:t>pursuant to D.07-07-027</w:t>
      </w:r>
      <w:r w:rsidR="00C222B9">
        <w:rPr>
          <w:rFonts w:ascii="Palatino Linotype" w:hAnsi="Palatino Linotype"/>
        </w:rPr>
        <w:t xml:space="preserve">. </w:t>
      </w:r>
    </w:p>
    <w:p w14:paraId="71698365" w14:textId="77777777" w:rsidR="00064AD7" w:rsidRDefault="00064AD7" w:rsidP="003710BE">
      <w:pPr>
        <w:spacing w:after="120"/>
        <w:rPr>
          <w:rFonts w:ascii="Palatino Linotype" w:hAnsi="Palatino Linotype"/>
        </w:rPr>
      </w:pPr>
      <w:r>
        <w:rPr>
          <w:rFonts w:ascii="Palatino Linotype" w:hAnsi="Palatino Linotype"/>
        </w:rPr>
        <w:t xml:space="preserve">In their protests to AL 2870-E, David Fick, Ashlee Dalton, and Jackie Hanselman each raise a variety of issues, primarily related to potential health and environmental impacts resulting from the specific proposed locations for some of these projects in or around Joshua Tree, California. </w:t>
      </w:r>
    </w:p>
    <w:p w14:paraId="77E29EC4" w14:textId="77777777" w:rsidR="0026745B" w:rsidRDefault="00105740" w:rsidP="003710BE">
      <w:pPr>
        <w:spacing w:after="120"/>
        <w:rPr>
          <w:rFonts w:ascii="Palatino Linotype" w:hAnsi="Palatino Linotype"/>
        </w:rPr>
      </w:pPr>
      <w:r>
        <w:rPr>
          <w:rFonts w:ascii="Palatino Linotype" w:hAnsi="Palatino Linotype"/>
        </w:rPr>
        <w:lastRenderedPageBreak/>
        <w:t>In its reply to these protestants, SCE argues that the</w:t>
      </w:r>
      <w:r w:rsidR="00C222B9">
        <w:rPr>
          <w:rFonts w:ascii="Palatino Linotype" w:hAnsi="Palatino Linotype"/>
        </w:rPr>
        <w:t xml:space="preserve"> issues raised are out of scope; </w:t>
      </w:r>
      <w:r>
        <w:rPr>
          <w:rFonts w:ascii="Palatino Linotype" w:hAnsi="Palatino Linotype"/>
        </w:rPr>
        <w:t xml:space="preserve">that the Commission’s review of AL 2870-E should be limited in scope to whether or not </w:t>
      </w:r>
      <w:r w:rsidR="00EE5C33">
        <w:rPr>
          <w:rFonts w:ascii="Palatino Linotype" w:hAnsi="Palatino Linotype"/>
        </w:rPr>
        <w:t xml:space="preserve">cost </w:t>
      </w:r>
      <w:r>
        <w:rPr>
          <w:rFonts w:ascii="Palatino Linotype" w:hAnsi="Palatino Linotype"/>
        </w:rPr>
        <w:t>recovery is appropriate for these contracts</w:t>
      </w:r>
      <w:r w:rsidR="00C222B9">
        <w:rPr>
          <w:rFonts w:ascii="Palatino Linotype" w:hAnsi="Palatino Linotype"/>
        </w:rPr>
        <w:t>; and that the protestants have more appropriate venues in which to raise these concerns, such as with local permitting authorities</w:t>
      </w:r>
      <w:r>
        <w:rPr>
          <w:rFonts w:ascii="Palatino Linotype" w:hAnsi="Palatino Linotype"/>
        </w:rPr>
        <w:t xml:space="preserve">. </w:t>
      </w:r>
    </w:p>
    <w:p w14:paraId="4BF1C6C1" w14:textId="77777777" w:rsidR="00105740" w:rsidRPr="003C0840" w:rsidRDefault="006732B5" w:rsidP="0026745B">
      <w:pPr>
        <w:spacing w:after="240"/>
        <w:rPr>
          <w:rFonts w:ascii="Palatino Linotype" w:hAnsi="Palatino Linotype"/>
        </w:rPr>
      </w:pPr>
      <w:r>
        <w:rPr>
          <w:rFonts w:ascii="Palatino Linotype" w:hAnsi="Palatino Linotype"/>
          <w:u w:val="single"/>
        </w:rPr>
        <w:t>The</w:t>
      </w:r>
      <w:r w:rsidR="00105740" w:rsidRPr="00C222B9">
        <w:rPr>
          <w:rFonts w:ascii="Palatino Linotype" w:hAnsi="Palatino Linotype"/>
          <w:u w:val="single"/>
        </w:rPr>
        <w:t xml:space="preserve"> issues raised by David Fick, Ashlee Dalton, and Jackie Hanselman in protests to AL 2870-E are </w:t>
      </w:r>
      <w:r w:rsidR="00C5710F">
        <w:rPr>
          <w:rFonts w:ascii="Palatino Linotype" w:hAnsi="Palatino Linotype"/>
          <w:u w:val="single"/>
        </w:rPr>
        <w:t>beyond the scope of review for AL 2870-E</w:t>
      </w:r>
      <w:r w:rsidR="00A3263E">
        <w:rPr>
          <w:rFonts w:ascii="Palatino Linotype" w:hAnsi="Palatino Linotype"/>
          <w:u w:val="single"/>
        </w:rPr>
        <w:t>.</w:t>
      </w:r>
      <w:r w:rsidR="00105740" w:rsidRPr="00C222B9">
        <w:rPr>
          <w:rFonts w:ascii="Palatino Linotype" w:hAnsi="Palatino Linotype"/>
          <w:u w:val="single"/>
        </w:rPr>
        <w:t xml:space="preserve"> </w:t>
      </w:r>
      <w:r w:rsidR="00A3263E">
        <w:rPr>
          <w:rFonts w:ascii="Palatino Linotype" w:hAnsi="Palatino Linotype"/>
          <w:u w:val="single"/>
        </w:rPr>
        <w:t xml:space="preserve">The </w:t>
      </w:r>
      <w:r w:rsidR="00105740" w:rsidRPr="00C222B9">
        <w:rPr>
          <w:rFonts w:ascii="Palatino Linotype" w:hAnsi="Palatino Linotype"/>
          <w:u w:val="single"/>
        </w:rPr>
        <w:t xml:space="preserve">review of AL 2870-E is limited to whether or not </w:t>
      </w:r>
      <w:r w:rsidR="00EE5C33">
        <w:rPr>
          <w:rFonts w:ascii="Palatino Linotype" w:hAnsi="Palatino Linotype"/>
          <w:u w:val="single"/>
        </w:rPr>
        <w:t>cost</w:t>
      </w:r>
      <w:r w:rsidR="00EE5C33" w:rsidRPr="00C222B9">
        <w:rPr>
          <w:rFonts w:ascii="Palatino Linotype" w:hAnsi="Palatino Linotype"/>
          <w:u w:val="single"/>
        </w:rPr>
        <w:t xml:space="preserve"> </w:t>
      </w:r>
      <w:r w:rsidR="00105740" w:rsidRPr="00C222B9">
        <w:rPr>
          <w:rFonts w:ascii="Palatino Linotype" w:hAnsi="Palatino Linotype"/>
          <w:u w:val="single"/>
        </w:rPr>
        <w:t>recovery is appropriate</w:t>
      </w:r>
      <w:r w:rsidR="00C222B9" w:rsidRPr="00C222B9">
        <w:rPr>
          <w:rFonts w:ascii="Palatino Linotype" w:hAnsi="Palatino Linotype"/>
          <w:u w:val="single"/>
        </w:rPr>
        <w:t xml:space="preserve"> </w:t>
      </w:r>
      <w:r w:rsidR="00B37B91">
        <w:rPr>
          <w:rFonts w:ascii="Palatino Linotype" w:hAnsi="Palatino Linotype"/>
          <w:u w:val="single"/>
        </w:rPr>
        <w:t xml:space="preserve">pursuant to </w:t>
      </w:r>
      <w:r w:rsidR="00A3263E">
        <w:rPr>
          <w:rFonts w:ascii="Palatino Linotype" w:hAnsi="Palatino Linotype"/>
          <w:u w:val="single"/>
        </w:rPr>
        <w:t>D.07-07-027</w:t>
      </w:r>
      <w:r w:rsidR="00105740">
        <w:rPr>
          <w:rFonts w:ascii="Palatino Linotype" w:hAnsi="Palatino Linotype"/>
        </w:rPr>
        <w:t xml:space="preserve">. </w:t>
      </w:r>
    </w:p>
    <w:p w14:paraId="1562B634" w14:textId="77777777" w:rsidR="0026745B" w:rsidRDefault="0026745B" w:rsidP="0026745B">
      <w:pPr>
        <w:spacing w:after="120"/>
        <w:rPr>
          <w:rFonts w:ascii="Palatino Linotype" w:hAnsi="Palatino Linotype"/>
          <w:i/>
          <w:u w:val="single"/>
        </w:rPr>
      </w:pPr>
      <w:r>
        <w:rPr>
          <w:rFonts w:ascii="Palatino Linotype" w:hAnsi="Palatino Linotype"/>
          <w:i/>
          <w:u w:val="single"/>
        </w:rPr>
        <w:t>Protests to AL 2870-E-A</w:t>
      </w:r>
    </w:p>
    <w:p w14:paraId="06F4A570" w14:textId="77777777" w:rsidR="00712B95" w:rsidRDefault="00712B95" w:rsidP="0026745B">
      <w:pPr>
        <w:spacing w:after="120"/>
        <w:rPr>
          <w:rFonts w:ascii="Palatino Linotype" w:hAnsi="Palatino Linotype"/>
        </w:rPr>
      </w:pPr>
      <w:r>
        <w:rPr>
          <w:rFonts w:ascii="Palatino Linotype" w:hAnsi="Palatino Linotype"/>
        </w:rPr>
        <w:t>In</w:t>
      </w:r>
      <w:r w:rsidR="009A20D8">
        <w:rPr>
          <w:rFonts w:ascii="Palatino Linotype" w:hAnsi="Palatino Linotype"/>
        </w:rPr>
        <w:t xml:space="preserve"> response to a request from DRA</w:t>
      </w:r>
      <w:r>
        <w:rPr>
          <w:rFonts w:ascii="Palatino Linotype" w:hAnsi="Palatino Linotype"/>
        </w:rPr>
        <w:t xml:space="preserve"> on April 25, 2013, Energy Division staff used its discretion to re-open the protest period for Advice Letter 2870-E to allow parties to file protests to supplemental Advice Letter 2870-E-A. Protests to </w:t>
      </w:r>
      <w:r w:rsidR="009A20D8">
        <w:rPr>
          <w:rFonts w:ascii="Palatino Linotype" w:hAnsi="Palatino Linotype"/>
        </w:rPr>
        <w:t xml:space="preserve">supplemental </w:t>
      </w:r>
      <w:r>
        <w:rPr>
          <w:rFonts w:ascii="Palatino Linotype" w:hAnsi="Palatino Linotype"/>
        </w:rPr>
        <w:t xml:space="preserve">AL 2870-E-A were to be limited in scope to the additional information presented in the supplemental filing only, and not to information contained within the original advice letter filing. </w:t>
      </w:r>
    </w:p>
    <w:p w14:paraId="727B642B" w14:textId="77777777" w:rsidR="003F128E" w:rsidRDefault="00CD1195" w:rsidP="0026745B">
      <w:pPr>
        <w:spacing w:after="120"/>
        <w:rPr>
          <w:rFonts w:ascii="Palatino Linotype" w:hAnsi="Palatino Linotype"/>
        </w:rPr>
      </w:pPr>
      <w:r>
        <w:rPr>
          <w:rFonts w:ascii="Palatino Linotype" w:hAnsi="Palatino Linotype"/>
        </w:rPr>
        <w:t xml:space="preserve">On May 2, 2013, one protest was received to supplemental AL 2870-E-A from DRA. In its protest, </w:t>
      </w:r>
      <w:r w:rsidR="00CD5C04">
        <w:rPr>
          <w:rFonts w:ascii="Palatino Linotype" w:hAnsi="Palatino Linotype"/>
        </w:rPr>
        <w:t xml:space="preserve">DRA argues that the Commission should deny SCE’s request for </w:t>
      </w:r>
      <w:r w:rsidR="00EE5C33">
        <w:rPr>
          <w:rFonts w:ascii="Palatino Linotype" w:hAnsi="Palatino Linotype"/>
        </w:rPr>
        <w:t xml:space="preserve">cost </w:t>
      </w:r>
      <w:r w:rsidR="00CD5C04">
        <w:rPr>
          <w:rFonts w:ascii="Palatino Linotype" w:hAnsi="Palatino Linotype"/>
        </w:rPr>
        <w:t>recovery for these five contracts</w:t>
      </w:r>
      <w:r w:rsidR="00712B95">
        <w:rPr>
          <w:rFonts w:ascii="Palatino Linotype" w:hAnsi="Palatino Linotype"/>
        </w:rPr>
        <w:t xml:space="preserve"> </w:t>
      </w:r>
      <w:r w:rsidR="00CD5C04">
        <w:rPr>
          <w:rFonts w:ascii="Palatino Linotype" w:hAnsi="Palatino Linotype"/>
        </w:rPr>
        <w:t xml:space="preserve">on the basis that </w:t>
      </w:r>
      <w:r w:rsidR="00457178">
        <w:rPr>
          <w:rFonts w:ascii="Palatino Linotype" w:hAnsi="Palatino Linotype"/>
        </w:rPr>
        <w:t>SCE</w:t>
      </w:r>
      <w:r w:rsidR="00CD5C04">
        <w:rPr>
          <w:rFonts w:ascii="Palatino Linotype" w:hAnsi="Palatino Linotype"/>
        </w:rPr>
        <w:t xml:space="preserve"> failed to provide a cost-benefit analysis of the impact to ratepayers of banking</w:t>
      </w:r>
      <w:r w:rsidR="009A20D8">
        <w:rPr>
          <w:rFonts w:ascii="Palatino Linotype" w:hAnsi="Palatino Linotype"/>
        </w:rPr>
        <w:t xml:space="preserve"> excess </w:t>
      </w:r>
      <w:r w:rsidR="00CD5C04">
        <w:rPr>
          <w:rFonts w:ascii="Palatino Linotype" w:hAnsi="Palatino Linotype"/>
        </w:rPr>
        <w:t xml:space="preserve">RPS procurement into the future. </w:t>
      </w:r>
    </w:p>
    <w:p w14:paraId="02BEC574" w14:textId="77777777" w:rsidR="0026745B" w:rsidRDefault="00FE0068" w:rsidP="0026745B">
      <w:pPr>
        <w:spacing w:after="120"/>
        <w:rPr>
          <w:rFonts w:ascii="Palatino Linotype" w:hAnsi="Palatino Linotype"/>
        </w:rPr>
      </w:pPr>
      <w:r>
        <w:rPr>
          <w:rFonts w:ascii="Palatino Linotype" w:hAnsi="Palatino Linotype"/>
        </w:rPr>
        <w:t xml:space="preserve">On May 15, 2013, SCE replied to DRA’s protest of supplemental Advice Letter 2870-E-A. </w:t>
      </w:r>
      <w:r w:rsidR="00457178">
        <w:rPr>
          <w:rFonts w:ascii="Palatino Linotype" w:hAnsi="Palatino Linotype"/>
        </w:rPr>
        <w:t xml:space="preserve">In its reply, SCE </w:t>
      </w:r>
      <w:r w:rsidR="00627437">
        <w:rPr>
          <w:rFonts w:ascii="Palatino Linotype" w:hAnsi="Palatino Linotype"/>
        </w:rPr>
        <w:t>contends that it would be premature for it to</w:t>
      </w:r>
      <w:r w:rsidR="00457178">
        <w:rPr>
          <w:rFonts w:ascii="Palatino Linotype" w:hAnsi="Palatino Linotype"/>
        </w:rPr>
        <w:t xml:space="preserve"> evaluate whether</w:t>
      </w:r>
      <w:r w:rsidR="00627437">
        <w:rPr>
          <w:rFonts w:ascii="Palatino Linotype" w:hAnsi="Palatino Linotype"/>
        </w:rPr>
        <w:t xml:space="preserve"> it will be cost-effective at a future date to bank potential excess generation associated with these projects, </w:t>
      </w:r>
      <w:r w:rsidR="00457178">
        <w:rPr>
          <w:rFonts w:ascii="Palatino Linotype" w:hAnsi="Palatino Linotype"/>
        </w:rPr>
        <w:t xml:space="preserve">or whether it may be more cost-effective to sell </w:t>
      </w:r>
      <w:r w:rsidR="00627437">
        <w:rPr>
          <w:rFonts w:ascii="Palatino Linotype" w:hAnsi="Palatino Linotype"/>
        </w:rPr>
        <w:t>any</w:t>
      </w:r>
      <w:r w:rsidR="00457178">
        <w:rPr>
          <w:rFonts w:ascii="Palatino Linotype" w:hAnsi="Palatino Linotype"/>
        </w:rPr>
        <w:t xml:space="preserve"> excess generation. Additionally, SCE reiterates that the vast majority of the expected energy deliveries associated with these feed-in tariff contracts, most of which are for terms of 20 years, will occur after 2017, at a time when SCE expects to have </w:t>
      </w:r>
      <w:r w:rsidR="00A42811">
        <w:rPr>
          <w:rFonts w:ascii="Palatino Linotype" w:hAnsi="Palatino Linotype"/>
        </w:rPr>
        <w:t>RPS compliance</w:t>
      </w:r>
      <w:r w:rsidR="00457178">
        <w:rPr>
          <w:rFonts w:ascii="Palatino Linotype" w:hAnsi="Palatino Linotype"/>
        </w:rPr>
        <w:t xml:space="preserve"> need. </w:t>
      </w:r>
    </w:p>
    <w:p w14:paraId="6BA9A1F8" w14:textId="77777777" w:rsidR="00D86BC6" w:rsidRDefault="00D86BC6" w:rsidP="00D86BC6">
      <w:pPr>
        <w:spacing w:after="120"/>
        <w:rPr>
          <w:rFonts w:ascii="Palatino Linotype" w:hAnsi="Palatino Linotype"/>
        </w:rPr>
      </w:pPr>
      <w:r>
        <w:rPr>
          <w:rFonts w:ascii="Palatino Linotype" w:hAnsi="Palatino Linotype"/>
          <w:u w:val="single"/>
        </w:rPr>
        <w:t>DRA’s protest</w:t>
      </w:r>
      <w:r w:rsidR="006732B5">
        <w:rPr>
          <w:rFonts w:ascii="Palatino Linotype" w:hAnsi="Palatino Linotype"/>
          <w:u w:val="single"/>
        </w:rPr>
        <w:t xml:space="preserve"> should be denied</w:t>
      </w:r>
      <w:r>
        <w:rPr>
          <w:rFonts w:ascii="Palatino Linotype" w:hAnsi="Palatino Linotype"/>
          <w:u w:val="single"/>
        </w:rPr>
        <w:t xml:space="preserve"> because it is </w:t>
      </w:r>
      <w:r w:rsidR="00EE0A95">
        <w:rPr>
          <w:rFonts w:ascii="Palatino Linotype" w:hAnsi="Palatino Linotype"/>
          <w:u w:val="single"/>
        </w:rPr>
        <w:t>beyond the scope of review for AL 2870-E</w:t>
      </w:r>
      <w:r>
        <w:rPr>
          <w:rFonts w:ascii="Palatino Linotype" w:hAnsi="Palatino Linotype"/>
          <w:u w:val="single"/>
        </w:rPr>
        <w:t>. The</w:t>
      </w:r>
      <w:r w:rsidRPr="00C222B9">
        <w:rPr>
          <w:rFonts w:ascii="Palatino Linotype" w:hAnsi="Palatino Linotype"/>
          <w:u w:val="single"/>
        </w:rPr>
        <w:t xml:space="preserve"> review of AL 2870-E</w:t>
      </w:r>
      <w:r>
        <w:rPr>
          <w:rFonts w:ascii="Palatino Linotype" w:hAnsi="Palatino Linotype"/>
          <w:u w:val="single"/>
        </w:rPr>
        <w:t xml:space="preserve"> and supplemental AL 2870-E-A</w:t>
      </w:r>
      <w:r w:rsidRPr="00C222B9">
        <w:rPr>
          <w:rFonts w:ascii="Palatino Linotype" w:hAnsi="Palatino Linotype"/>
          <w:u w:val="single"/>
        </w:rPr>
        <w:t xml:space="preserve"> is limited to whether or not </w:t>
      </w:r>
      <w:r w:rsidR="00EE5C33">
        <w:rPr>
          <w:rFonts w:ascii="Palatino Linotype" w:hAnsi="Palatino Linotype"/>
          <w:u w:val="single"/>
        </w:rPr>
        <w:t>cost</w:t>
      </w:r>
      <w:r w:rsidR="00EE5C33" w:rsidRPr="00C222B9">
        <w:rPr>
          <w:rFonts w:ascii="Palatino Linotype" w:hAnsi="Palatino Linotype"/>
          <w:u w:val="single"/>
        </w:rPr>
        <w:t xml:space="preserve"> </w:t>
      </w:r>
      <w:r w:rsidRPr="00C222B9">
        <w:rPr>
          <w:rFonts w:ascii="Palatino Linotype" w:hAnsi="Palatino Linotype"/>
          <w:u w:val="single"/>
        </w:rPr>
        <w:t xml:space="preserve">recovery is appropriate </w:t>
      </w:r>
      <w:r>
        <w:rPr>
          <w:rFonts w:ascii="Palatino Linotype" w:hAnsi="Palatino Linotype"/>
          <w:u w:val="single"/>
        </w:rPr>
        <w:t>pursuant to D.07-07-027</w:t>
      </w:r>
      <w:r>
        <w:rPr>
          <w:rFonts w:ascii="Palatino Linotype" w:hAnsi="Palatino Linotype"/>
        </w:rPr>
        <w:t xml:space="preserve">. </w:t>
      </w:r>
    </w:p>
    <w:p w14:paraId="65B79517" w14:textId="77777777" w:rsidR="00CC5DAC" w:rsidRDefault="00F5600A" w:rsidP="003E3B3E">
      <w:pPr>
        <w:pStyle w:val="Heading1"/>
        <w:spacing w:before="240" w:after="120"/>
      </w:pPr>
      <w:r w:rsidRPr="00600701">
        <w:lastRenderedPageBreak/>
        <w:t>Disc</w:t>
      </w:r>
      <w:r w:rsidR="00CC5DAC">
        <w:t>USSION</w:t>
      </w:r>
    </w:p>
    <w:p w14:paraId="4EDF76A3" w14:textId="77777777" w:rsidR="00267B51" w:rsidRPr="00150617" w:rsidRDefault="00267B51" w:rsidP="00267B51">
      <w:pPr>
        <w:autoSpaceDE w:val="0"/>
        <w:autoSpaceDN w:val="0"/>
        <w:adjustRightInd w:val="0"/>
        <w:spacing w:after="120"/>
        <w:rPr>
          <w:rFonts w:cs="BookAntiqua,Bold"/>
          <w:b/>
          <w:szCs w:val="26"/>
          <w:lang w:eastAsia="ko-KR"/>
        </w:rPr>
      </w:pPr>
      <w:r>
        <w:rPr>
          <w:b/>
          <w:szCs w:val="26"/>
        </w:rPr>
        <w:t xml:space="preserve">Southern California Edison’s eighty </w:t>
      </w:r>
      <w:r>
        <w:rPr>
          <w:rFonts w:cs="BookAntiqua,Bold"/>
          <w:b/>
          <w:bCs/>
          <w:szCs w:val="26"/>
          <w:lang w:eastAsia="ko-KR"/>
        </w:rPr>
        <w:t>renewable energy power purchase agreements countersigned by various parties pursuant to the California Renewable Energy Small Tariff (CREST)</w:t>
      </w:r>
      <w:r>
        <w:rPr>
          <w:b/>
          <w:szCs w:val="26"/>
        </w:rPr>
        <w:t xml:space="preserve"> comply </w:t>
      </w:r>
      <w:r>
        <w:rPr>
          <w:rFonts w:cs="BookAntiqua,Bold"/>
          <w:b/>
          <w:bCs/>
          <w:szCs w:val="26"/>
          <w:lang w:eastAsia="ko-KR"/>
        </w:rPr>
        <w:t xml:space="preserve">with Commission Decision (D.) 07-07-027 and are approved. </w:t>
      </w:r>
    </w:p>
    <w:p w14:paraId="6DD7188A" w14:textId="77777777" w:rsidR="00267B51" w:rsidRDefault="00267B51" w:rsidP="00267B51">
      <w:pPr>
        <w:spacing w:after="120"/>
        <w:rPr>
          <w:rFonts w:ascii="Palatino Linotype" w:hAnsi="Palatino Linotype" w:cs="BookAntiqua"/>
          <w:szCs w:val="26"/>
        </w:rPr>
      </w:pPr>
      <w:r>
        <w:rPr>
          <w:rFonts w:ascii="Palatino Linotype" w:hAnsi="Palatino Linotype" w:cs="BookAntiqua"/>
          <w:szCs w:val="26"/>
        </w:rPr>
        <w:t>Pursuant to D.07-07-027, the cost of feed-in tariff contracts executed up to the tariff capacity caps as authorized by that decision are considered per se reasonable, in the public interest, and recoverable in rates over the life of the contracts.</w:t>
      </w:r>
      <w:r>
        <w:rPr>
          <w:rStyle w:val="FootnoteReference"/>
          <w:rFonts w:ascii="Palatino Linotype" w:hAnsi="Palatino Linotype" w:cs="BookAntiqua"/>
          <w:szCs w:val="26"/>
        </w:rPr>
        <w:footnoteReference w:id="10"/>
      </w:r>
      <w:r>
        <w:rPr>
          <w:rFonts w:ascii="Palatino Linotype" w:hAnsi="Palatino Linotype" w:cs="BookAntiqua"/>
          <w:szCs w:val="26"/>
        </w:rPr>
        <w:t xml:space="preserve"> As a result, unlike traditional RPS procurement, Commission approval of feed-in tariff contracts up to the pre-authorized capacity cap is considered automatic without the need for additional Commission review via submission of an advice letter or any other process. However, </w:t>
      </w:r>
      <w:r>
        <w:rPr>
          <w:szCs w:val="26"/>
        </w:rPr>
        <w:t>D.07-07-027 also authorized the utility to engage in voluntary procurement beyond its authorized capacity cap for the program (herein referred to as “oversubscription”), subject to Commission review of the additional procurement via the advice letter process</w:t>
      </w:r>
      <w:r>
        <w:rPr>
          <w:rFonts w:ascii="Palatino Linotype" w:hAnsi="Palatino Linotype" w:cs="BookAntiqua"/>
          <w:szCs w:val="26"/>
        </w:rPr>
        <w:t>.</w:t>
      </w:r>
      <w:r>
        <w:rPr>
          <w:rStyle w:val="FootnoteReference"/>
          <w:rFonts w:ascii="Palatino Linotype" w:hAnsi="Palatino Linotype" w:cs="BookAntiqua"/>
          <w:szCs w:val="26"/>
        </w:rPr>
        <w:footnoteReference w:id="11"/>
      </w:r>
      <w:r>
        <w:rPr>
          <w:rFonts w:ascii="Palatino Linotype" w:hAnsi="Palatino Linotype" w:cs="BookAntiqua"/>
          <w:szCs w:val="26"/>
        </w:rPr>
        <w:t xml:space="preserve"> </w:t>
      </w:r>
    </w:p>
    <w:p w14:paraId="6FD5515A" w14:textId="77777777" w:rsidR="00267B51" w:rsidRDefault="00267B51" w:rsidP="00267B51">
      <w:pPr>
        <w:spacing w:after="120"/>
      </w:pPr>
      <w:r>
        <w:t xml:space="preserve">Southern California Edison (SCE) filed Advice Letter 2870-E on March 26, 2013 requesting California Public Utilities Commission (Commission) approval of seventy-five (75) renewable energy power purchase agreements (PPAs) using SCE’s standard feed-in tariff CREST contract, as previously authorized by the Commission. These 75 PPAs represent 105.53 MW of capacity in excess of the capacity target authorized by D.07-07-027 and Resolution E-4137 for SCE’s CREST tariff. </w:t>
      </w:r>
    </w:p>
    <w:p w14:paraId="659EE733" w14:textId="77777777" w:rsidR="00267B51" w:rsidRDefault="00267B51" w:rsidP="00267B51">
      <w:pPr>
        <w:spacing w:after="120"/>
      </w:pPr>
      <w:r>
        <w:t xml:space="preserve">On April 22, 2013, SCE filed supplemental Advice Letter 2870-E-A, requesting approval of an additional five (5) CREST PPAs representing another 6.99 MW of capacity in excess of the capacity target for SCE’s CREST tariff. SCE included an amendment with each of these additional five PPAs that would allow the PPAs to be terminated if not approved by the Commission. </w:t>
      </w:r>
    </w:p>
    <w:p w14:paraId="1C1872F6" w14:textId="77777777" w:rsidR="00267B51" w:rsidRDefault="00267B51" w:rsidP="00267B51">
      <w:pPr>
        <w:spacing w:after="120"/>
        <w:rPr>
          <w:szCs w:val="26"/>
        </w:rPr>
      </w:pPr>
      <w:r>
        <w:rPr>
          <w:szCs w:val="26"/>
        </w:rPr>
        <w:t xml:space="preserve">These eighty feed-in tariff PPAs, for 112.52 MW of capacity, were voluntarily procured by SCE in excess of the 123.8 MW capacity cap adopted by the Commission for SCE’s CREST program in D.07-07-027 and Resolution E-4137. </w:t>
      </w:r>
    </w:p>
    <w:p w14:paraId="70FEFC44" w14:textId="77777777" w:rsidR="00267B51" w:rsidRDefault="00267B51" w:rsidP="00267B51">
      <w:pPr>
        <w:spacing w:after="120"/>
      </w:pPr>
      <w:r>
        <w:lastRenderedPageBreak/>
        <w:t xml:space="preserve">This resolution approves SCE’s Advice Letter 2870-E/E-A with modification to order SCE to remove Amendment No. 1 from each of the five PPAs filed through supplemental Advice Letter 2870-E-A.  SCE’s execution of these PPAs is consistent with the Commission’s guidance in D.07-07-027 authorizing oversubscription by a utility of its feed-in tariff.  </w:t>
      </w:r>
    </w:p>
    <w:p w14:paraId="01209FB0" w14:textId="77777777" w:rsidR="003710BE" w:rsidRDefault="003710BE" w:rsidP="00267B51">
      <w:pPr>
        <w:spacing w:before="120" w:after="120"/>
        <w:rPr>
          <w:rFonts w:ascii="Palatino Linotype" w:hAnsi="Palatino Linotype"/>
          <w:b/>
        </w:rPr>
      </w:pPr>
      <w:r>
        <w:rPr>
          <w:rFonts w:ascii="Palatino Linotype" w:hAnsi="Palatino Linotype"/>
          <w:b/>
        </w:rPr>
        <w:t>SCE requests that the Commission issue a resolution containing:</w:t>
      </w:r>
    </w:p>
    <w:p w14:paraId="5B9AD477" w14:textId="77777777" w:rsidR="00F35F73" w:rsidRPr="00F35F73" w:rsidRDefault="00F35F73" w:rsidP="002B4019">
      <w:pPr>
        <w:numPr>
          <w:ilvl w:val="0"/>
          <w:numId w:val="7"/>
        </w:numPr>
        <w:spacing w:after="120"/>
        <w:rPr>
          <w:rFonts w:ascii="Palatino Linotype" w:hAnsi="Palatino Linotype"/>
          <w:szCs w:val="26"/>
        </w:rPr>
      </w:pPr>
      <w:r w:rsidRPr="00F35F73">
        <w:rPr>
          <w:rFonts w:ascii="Palatino Linotype" w:hAnsi="Palatino Linotype"/>
        </w:rPr>
        <w:t xml:space="preserve">Approval of the CREST Contracts in their entirety; </w:t>
      </w:r>
    </w:p>
    <w:p w14:paraId="5DD5B58B" w14:textId="77777777" w:rsidR="00F35F73" w:rsidRDefault="00F35F73" w:rsidP="002B4019">
      <w:pPr>
        <w:numPr>
          <w:ilvl w:val="0"/>
          <w:numId w:val="7"/>
        </w:numPr>
        <w:spacing w:after="120"/>
        <w:rPr>
          <w:rFonts w:ascii="Palatino Linotype" w:hAnsi="Palatino Linotype"/>
          <w:szCs w:val="26"/>
        </w:rPr>
      </w:pPr>
      <w:r w:rsidRPr="00F35F73">
        <w:rPr>
          <w:rFonts w:ascii="Palatino Linotype" w:hAnsi="Palatino Linotype"/>
        </w:rPr>
        <w:t xml:space="preserve">A finding that any electric energy sold or dedicated to SCE pursuant to the CREST Contracts constitutes procurement by SCE from an ERR for the purpose of determining SCE’s compliance with the RPS Legislation or other applicable law concerning the procurement of electric energy from renewable energy resources; </w:t>
      </w:r>
    </w:p>
    <w:p w14:paraId="6AA27268" w14:textId="77777777" w:rsidR="00F35F73" w:rsidRDefault="00F35F73" w:rsidP="002B4019">
      <w:pPr>
        <w:numPr>
          <w:ilvl w:val="0"/>
          <w:numId w:val="7"/>
        </w:numPr>
        <w:spacing w:after="120"/>
        <w:rPr>
          <w:rFonts w:ascii="Palatino Linotype" w:hAnsi="Palatino Linotype"/>
          <w:szCs w:val="26"/>
        </w:rPr>
      </w:pPr>
      <w:r w:rsidRPr="00F35F73">
        <w:rPr>
          <w:rFonts w:ascii="Palatino Linotype" w:hAnsi="Palatino Linotype"/>
        </w:rPr>
        <w:t>A finding that all procurement under the CREST Contracts counts, in full and without condition, towards the req</w:t>
      </w:r>
      <w:r>
        <w:rPr>
          <w:rFonts w:ascii="Palatino Linotype" w:hAnsi="Palatino Linotype"/>
        </w:rPr>
        <w:t xml:space="preserve">uirement in the RPS Legislation </w:t>
      </w:r>
      <w:r w:rsidRPr="00F35F73">
        <w:rPr>
          <w:rFonts w:ascii="Palatino Linotype" w:hAnsi="Palatino Linotype"/>
        </w:rPr>
        <w:t>that SCE procure 33 percent (or such other percentage as may be established</w:t>
      </w:r>
      <w:r>
        <w:rPr>
          <w:rFonts w:ascii="Palatino Linotype" w:hAnsi="Palatino Linotype"/>
          <w:szCs w:val="26"/>
        </w:rPr>
        <w:t xml:space="preserve"> </w:t>
      </w:r>
      <w:r w:rsidRPr="00F35F73">
        <w:rPr>
          <w:rFonts w:ascii="Palatino Linotype" w:hAnsi="Palatino Linotype"/>
        </w:rPr>
        <w:t xml:space="preserve">by law) of its retail sales from ERRs by 2020 (or such other date as may be established by law); </w:t>
      </w:r>
    </w:p>
    <w:p w14:paraId="750BE29C" w14:textId="77777777" w:rsidR="00F35F73" w:rsidRDefault="00F35F73" w:rsidP="002B4019">
      <w:pPr>
        <w:numPr>
          <w:ilvl w:val="0"/>
          <w:numId w:val="7"/>
        </w:numPr>
        <w:spacing w:after="120"/>
        <w:rPr>
          <w:rFonts w:ascii="Palatino Linotype" w:hAnsi="Palatino Linotype"/>
          <w:szCs w:val="26"/>
        </w:rPr>
      </w:pPr>
      <w:r w:rsidRPr="00F35F73">
        <w:rPr>
          <w:rFonts w:ascii="Palatino Linotype" w:hAnsi="Palatino Linotype"/>
        </w:rPr>
        <w:t xml:space="preserve">A finding that the CREST Contracts, and SCE’s entry into the CREST Contracts, are reasonable and prudent for all purposes, including, but not limited to, recovery in rates of payments made pursuant to the CREST Contracts, subject only to further review with respect to the reasonableness of SCE’s administration of the CREST Contracts; and </w:t>
      </w:r>
    </w:p>
    <w:p w14:paraId="64016AEA" w14:textId="77777777" w:rsidR="00F35F73" w:rsidRPr="00F35F73" w:rsidRDefault="00F35F73" w:rsidP="002B4019">
      <w:pPr>
        <w:numPr>
          <w:ilvl w:val="0"/>
          <w:numId w:val="7"/>
        </w:numPr>
        <w:spacing w:after="120"/>
        <w:rPr>
          <w:rFonts w:ascii="Palatino Linotype" w:hAnsi="Palatino Linotype"/>
          <w:szCs w:val="26"/>
        </w:rPr>
      </w:pPr>
      <w:r w:rsidRPr="00F35F73">
        <w:rPr>
          <w:rFonts w:ascii="Palatino Linotype" w:hAnsi="Palatino Linotype"/>
        </w:rPr>
        <w:t>Any other and further relief as the Commission finds just and reasonable.</w:t>
      </w:r>
    </w:p>
    <w:p w14:paraId="256F7098" w14:textId="77777777" w:rsidR="003710BE" w:rsidRDefault="003710BE" w:rsidP="00202EAB">
      <w:pPr>
        <w:keepNext/>
        <w:keepLines/>
        <w:spacing w:before="240" w:after="120"/>
        <w:rPr>
          <w:rFonts w:ascii="Palatino Linotype" w:hAnsi="Palatino Linotype"/>
          <w:b/>
        </w:rPr>
      </w:pPr>
      <w:r>
        <w:rPr>
          <w:rFonts w:ascii="Palatino Linotype" w:hAnsi="Palatino Linotype"/>
          <w:b/>
        </w:rPr>
        <w:t>Energ</w:t>
      </w:r>
      <w:r w:rsidR="00F35F73">
        <w:rPr>
          <w:rFonts w:ascii="Palatino Linotype" w:hAnsi="Palatino Linotype"/>
          <w:b/>
        </w:rPr>
        <w:t xml:space="preserve">y Division Evaluated the Request for </w:t>
      </w:r>
      <w:r w:rsidR="00EE5C33">
        <w:rPr>
          <w:rFonts w:ascii="Palatino Linotype" w:hAnsi="Palatino Linotype"/>
          <w:b/>
        </w:rPr>
        <w:t xml:space="preserve">Cost </w:t>
      </w:r>
      <w:r w:rsidR="00F35F73">
        <w:rPr>
          <w:rFonts w:ascii="Palatino Linotype" w:hAnsi="Palatino Linotype"/>
          <w:b/>
        </w:rPr>
        <w:t xml:space="preserve">Recovery of these CREST PPAs </w:t>
      </w:r>
      <w:r>
        <w:rPr>
          <w:rFonts w:ascii="Palatino Linotype" w:hAnsi="Palatino Linotype"/>
          <w:b/>
        </w:rPr>
        <w:t>on the Following Grounds:</w:t>
      </w:r>
    </w:p>
    <w:p w14:paraId="3F3F4C0A" w14:textId="77777777" w:rsidR="003710BE" w:rsidRDefault="003710BE" w:rsidP="002B4019">
      <w:pPr>
        <w:numPr>
          <w:ilvl w:val="1"/>
          <w:numId w:val="8"/>
        </w:numPr>
        <w:spacing w:after="120"/>
        <w:rPr>
          <w:rFonts w:ascii="Palatino Linotype" w:hAnsi="Palatino Linotype"/>
        </w:rPr>
      </w:pPr>
      <w:r>
        <w:rPr>
          <w:rFonts w:ascii="Palatino Linotype" w:hAnsi="Palatino Linotype"/>
        </w:rPr>
        <w:t xml:space="preserve">Consistency with </w:t>
      </w:r>
      <w:r w:rsidR="00F35F73">
        <w:rPr>
          <w:rFonts w:ascii="Palatino Linotype" w:hAnsi="Palatino Linotype"/>
        </w:rPr>
        <w:t>D.07-07-027</w:t>
      </w:r>
      <w:r w:rsidR="002C748F">
        <w:rPr>
          <w:rFonts w:ascii="Palatino Linotype" w:hAnsi="Palatino Linotype"/>
        </w:rPr>
        <w:t xml:space="preserve">’s authorization for voluntary excess feed-in tariff procurement </w:t>
      </w:r>
    </w:p>
    <w:p w14:paraId="7A54E6C8" w14:textId="77777777" w:rsidR="003710BE" w:rsidRDefault="003710BE" w:rsidP="002B4019">
      <w:pPr>
        <w:numPr>
          <w:ilvl w:val="1"/>
          <w:numId w:val="8"/>
        </w:numPr>
        <w:spacing w:after="120"/>
        <w:rPr>
          <w:rFonts w:ascii="Palatino Linotype" w:hAnsi="Palatino Linotype"/>
        </w:rPr>
      </w:pPr>
      <w:r>
        <w:rPr>
          <w:rFonts w:ascii="Palatino Linotype" w:hAnsi="Palatino Linotype"/>
        </w:rPr>
        <w:t xml:space="preserve">Consistency with </w:t>
      </w:r>
      <w:r w:rsidR="002C748F">
        <w:rPr>
          <w:rFonts w:ascii="Palatino Linotype" w:hAnsi="Palatino Linotype"/>
        </w:rPr>
        <w:t xml:space="preserve">the standard terms and conditions of the Commission-authorized feed-in tariff contract </w:t>
      </w:r>
      <w:r>
        <w:rPr>
          <w:rFonts w:ascii="Palatino Linotype" w:hAnsi="Palatino Linotype"/>
        </w:rPr>
        <w:t xml:space="preserve"> </w:t>
      </w:r>
    </w:p>
    <w:p w14:paraId="26268DFB" w14:textId="77777777" w:rsidR="001F276A" w:rsidRDefault="001F276A" w:rsidP="002B4019">
      <w:pPr>
        <w:numPr>
          <w:ilvl w:val="1"/>
          <w:numId w:val="8"/>
        </w:numPr>
        <w:spacing w:after="120"/>
        <w:rPr>
          <w:rFonts w:ascii="Palatino Linotype" w:hAnsi="Palatino Linotype"/>
        </w:rPr>
      </w:pPr>
      <w:r>
        <w:rPr>
          <w:rFonts w:ascii="Palatino Linotype" w:hAnsi="Palatino Linotype"/>
        </w:rPr>
        <w:t>F</w:t>
      </w:r>
      <w:r w:rsidR="00A75EA4">
        <w:rPr>
          <w:rFonts w:ascii="Palatino Linotype" w:hAnsi="Palatino Linotype"/>
        </w:rPr>
        <w:t xml:space="preserve">eed-in Tariff policy guidance and RPS need </w:t>
      </w:r>
    </w:p>
    <w:p w14:paraId="30218B4F" w14:textId="77777777" w:rsidR="003710BE" w:rsidRDefault="002C748F" w:rsidP="002B4019">
      <w:pPr>
        <w:numPr>
          <w:ilvl w:val="1"/>
          <w:numId w:val="8"/>
        </w:numPr>
        <w:spacing w:after="120"/>
        <w:rPr>
          <w:rFonts w:ascii="Palatino Linotype" w:hAnsi="Palatino Linotype"/>
          <w:b/>
        </w:rPr>
      </w:pPr>
      <w:r>
        <w:rPr>
          <w:rFonts w:ascii="Palatino Linotype" w:hAnsi="Palatino Linotype"/>
        </w:rPr>
        <w:t xml:space="preserve">Procurement Review Group (PRG) participation </w:t>
      </w:r>
    </w:p>
    <w:p w14:paraId="11EA2739" w14:textId="77777777" w:rsidR="00832E06" w:rsidRDefault="00832E06" w:rsidP="00202EAB">
      <w:pPr>
        <w:pStyle w:val="BodyText"/>
        <w:keepNext/>
        <w:spacing w:before="240" w:after="120"/>
        <w:rPr>
          <w:bCs/>
        </w:rPr>
      </w:pPr>
      <w:r>
        <w:rPr>
          <w:bCs/>
        </w:rPr>
        <w:lastRenderedPageBreak/>
        <w:t xml:space="preserve">Consistency with </w:t>
      </w:r>
      <w:r w:rsidR="002C748F">
        <w:rPr>
          <w:bCs/>
        </w:rPr>
        <w:t>D.07-07-027’s authorization for voluntary excess feed-in tariff procurement</w:t>
      </w:r>
    </w:p>
    <w:p w14:paraId="5EEF8129" w14:textId="77777777" w:rsidR="00E3650C" w:rsidRPr="00FD3D56" w:rsidRDefault="00E3650C" w:rsidP="00832E06">
      <w:pPr>
        <w:spacing w:after="120"/>
        <w:rPr>
          <w:b/>
          <w:i/>
        </w:rPr>
      </w:pPr>
      <w:r w:rsidRPr="00FD3D56">
        <w:rPr>
          <w:b/>
          <w:i/>
        </w:rPr>
        <w:t>SCE’s Feed-in Tariff Program Capacity Caps</w:t>
      </w:r>
    </w:p>
    <w:p w14:paraId="253AD85D" w14:textId="77777777" w:rsidR="00832E06" w:rsidRDefault="00AA694E" w:rsidP="00832E06">
      <w:pPr>
        <w:spacing w:after="120"/>
      </w:pPr>
      <w:r>
        <w:t>As described above in the “Background” section of this resolution, D.07-07-027 implemented the renewable feed-in tariff program authorized by AB 1969. In that decision, the Commission implemented the statute’s requirement for a 250 MW r</w:t>
      </w:r>
      <w:r w:rsidR="008521AA">
        <w:t>enewable feed-in tariff program for facilities owned and operated by public water or wastewater agency customers.</w:t>
      </w:r>
      <w:r w:rsidR="00006F38">
        <w:rPr>
          <w:rStyle w:val="FootnoteReference"/>
        </w:rPr>
        <w:footnoteReference w:id="12"/>
      </w:r>
      <w:r w:rsidR="008521AA">
        <w:t xml:space="preserve"> In the same decision, the Commission also expanded the feed-in tariff program, ordering SCE and PG&amp;E to procure additional feed-in tariff capacity from </w:t>
      </w:r>
      <w:r w:rsidR="008521AA" w:rsidRPr="00DE135F">
        <w:rPr>
          <w:i/>
        </w:rPr>
        <w:t>non</w:t>
      </w:r>
      <w:r w:rsidR="008521AA">
        <w:t>-water or wastewater agency customers.</w:t>
      </w:r>
      <w:r w:rsidR="008521AA">
        <w:rPr>
          <w:rStyle w:val="FootnoteReference"/>
        </w:rPr>
        <w:footnoteReference w:id="13"/>
      </w:r>
      <w:r w:rsidR="008521AA">
        <w:t xml:space="preserve"> </w:t>
      </w:r>
    </w:p>
    <w:p w14:paraId="5D8B32C9" w14:textId="77777777" w:rsidR="008521AA" w:rsidRDefault="008521AA" w:rsidP="00832E06">
      <w:pPr>
        <w:spacing w:after="120"/>
      </w:pPr>
      <w:r>
        <w:t>The Commiss</w:t>
      </w:r>
      <w:r w:rsidR="00BA25F4">
        <w:t>ion, in that decision, also determined the size of the capacity allocation for each of the utility’s respective feed-in tariff programs. The Commission determined that SCE’s feed-in tariff programs would have the following capacity allocations:</w:t>
      </w:r>
    </w:p>
    <w:p w14:paraId="40284267" w14:textId="77777777" w:rsidR="00BA25F4" w:rsidRPr="00BA25F4" w:rsidRDefault="00BA25F4" w:rsidP="00202EAB">
      <w:pPr>
        <w:spacing w:before="120" w:after="120"/>
        <w:rPr>
          <w:b/>
        </w:rPr>
      </w:pPr>
      <w:r>
        <w:rPr>
          <w:b/>
        </w:rPr>
        <w:t>Table 3. SCE’s Capacity Allocations for its Renewable Feed-in Tariff Programs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8"/>
        <w:gridCol w:w="2880"/>
        <w:gridCol w:w="2628"/>
      </w:tblGrid>
      <w:tr w:rsidR="00BA25F4" w14:paraId="59D4B228" w14:textId="77777777" w:rsidTr="008F2F26">
        <w:tc>
          <w:tcPr>
            <w:tcW w:w="4068" w:type="dxa"/>
            <w:tcBorders>
              <w:right w:val="single" w:sz="4" w:space="0" w:color="FFFFFF"/>
            </w:tcBorders>
            <w:shd w:val="clear" w:color="auto" w:fill="000000"/>
            <w:vAlign w:val="center"/>
          </w:tcPr>
          <w:p w14:paraId="63884D25" w14:textId="77777777" w:rsidR="00BA25F4" w:rsidRDefault="00BA25F4" w:rsidP="002B4019">
            <w:pPr>
              <w:spacing w:before="60" w:after="60"/>
              <w:jc w:val="center"/>
            </w:pPr>
            <w:r>
              <w:t>Eligibility</w:t>
            </w:r>
          </w:p>
        </w:tc>
        <w:tc>
          <w:tcPr>
            <w:tcW w:w="2880" w:type="dxa"/>
            <w:tcBorders>
              <w:top w:val="single" w:sz="4" w:space="0" w:color="FFFFFF"/>
              <w:left w:val="single" w:sz="4" w:space="0" w:color="FFFFFF"/>
              <w:bottom w:val="single" w:sz="4" w:space="0" w:color="FFFFFF"/>
              <w:right w:val="single" w:sz="4" w:space="0" w:color="FFFFFF"/>
            </w:tcBorders>
            <w:shd w:val="clear" w:color="auto" w:fill="000000"/>
            <w:vAlign w:val="center"/>
          </w:tcPr>
          <w:p w14:paraId="7F047B93" w14:textId="77777777" w:rsidR="00236CA0" w:rsidRDefault="00236CA0" w:rsidP="002B4019">
            <w:pPr>
              <w:spacing w:before="60" w:after="60"/>
              <w:jc w:val="center"/>
            </w:pPr>
            <w:r>
              <w:t xml:space="preserve">SCE’s </w:t>
            </w:r>
            <w:r w:rsidR="00BA25F4">
              <w:t>Program</w:t>
            </w:r>
            <w:r>
              <w:t xml:space="preserve">/ </w:t>
            </w:r>
          </w:p>
          <w:p w14:paraId="6A05AF42" w14:textId="77777777" w:rsidR="00BA25F4" w:rsidRDefault="00236CA0" w:rsidP="002B4019">
            <w:pPr>
              <w:spacing w:before="60" w:after="60"/>
              <w:jc w:val="center"/>
            </w:pPr>
            <w:r>
              <w:t>Tariff</w:t>
            </w:r>
            <w:r w:rsidR="00BA25F4">
              <w:t xml:space="preserve"> Name</w:t>
            </w:r>
          </w:p>
        </w:tc>
        <w:tc>
          <w:tcPr>
            <w:tcW w:w="2628" w:type="dxa"/>
            <w:tcBorders>
              <w:left w:val="single" w:sz="4" w:space="0" w:color="FFFFFF"/>
            </w:tcBorders>
            <w:shd w:val="clear" w:color="auto" w:fill="000000"/>
            <w:vAlign w:val="center"/>
          </w:tcPr>
          <w:p w14:paraId="772176BA" w14:textId="77777777" w:rsidR="00BA25F4" w:rsidRDefault="00BA25F4" w:rsidP="002B4019">
            <w:pPr>
              <w:spacing w:before="60" w:after="60"/>
              <w:jc w:val="center"/>
            </w:pPr>
            <w:r>
              <w:t>Capacity Allocation</w:t>
            </w:r>
          </w:p>
        </w:tc>
      </w:tr>
      <w:tr w:rsidR="00BA25F4" w14:paraId="37BB8127" w14:textId="77777777" w:rsidTr="008F2F26">
        <w:tc>
          <w:tcPr>
            <w:tcW w:w="4068" w:type="dxa"/>
            <w:shd w:val="clear" w:color="auto" w:fill="auto"/>
            <w:vAlign w:val="center"/>
          </w:tcPr>
          <w:p w14:paraId="4FC39AA5" w14:textId="77777777" w:rsidR="00BA25F4" w:rsidRDefault="00236CA0" w:rsidP="002B4019">
            <w:pPr>
              <w:spacing w:before="60" w:after="60"/>
              <w:jc w:val="center"/>
            </w:pPr>
            <w:r w:rsidRPr="002B4019">
              <w:rPr>
                <w:sz w:val="24"/>
              </w:rPr>
              <w:t>Eligible renewable energy f</w:t>
            </w:r>
            <w:r w:rsidR="00BA25F4" w:rsidRPr="002B4019">
              <w:rPr>
                <w:sz w:val="24"/>
              </w:rPr>
              <w:t xml:space="preserve">acilities </w:t>
            </w:r>
            <w:r w:rsidR="00BA25F4" w:rsidRPr="002B4019">
              <w:rPr>
                <w:rFonts w:ascii="Palatino Linotype" w:hAnsi="Palatino Linotype" w:cs="BookAntiqua"/>
                <w:sz w:val="24"/>
                <w:szCs w:val="26"/>
              </w:rPr>
              <w:t>owned and operated by a public water or wastewater agency</w:t>
            </w:r>
            <w:r w:rsidR="00BA25F4" w:rsidRPr="002B4019">
              <w:rPr>
                <w:rStyle w:val="FootnoteReference"/>
                <w:rFonts w:ascii="Palatino Linotype" w:hAnsi="Palatino Linotype" w:cs="BookAntiqua"/>
                <w:sz w:val="24"/>
                <w:szCs w:val="26"/>
              </w:rPr>
              <w:footnoteReference w:id="14"/>
            </w:r>
          </w:p>
        </w:tc>
        <w:tc>
          <w:tcPr>
            <w:tcW w:w="2880" w:type="dxa"/>
            <w:tcBorders>
              <w:top w:val="single" w:sz="4" w:space="0" w:color="FFFFFF"/>
            </w:tcBorders>
            <w:shd w:val="clear" w:color="auto" w:fill="auto"/>
            <w:vAlign w:val="center"/>
          </w:tcPr>
          <w:p w14:paraId="1E109E49" w14:textId="77777777" w:rsidR="00BA25F4" w:rsidRDefault="00BA25F4" w:rsidP="002B4019">
            <w:pPr>
              <w:spacing w:before="60" w:after="60"/>
              <w:jc w:val="center"/>
            </w:pPr>
            <w:r>
              <w:t>WATER</w:t>
            </w:r>
            <w:r w:rsidR="009A20D8">
              <w:rPr>
                <w:rStyle w:val="FootnoteReference"/>
              </w:rPr>
              <w:footnoteReference w:id="15"/>
            </w:r>
          </w:p>
        </w:tc>
        <w:tc>
          <w:tcPr>
            <w:tcW w:w="2628" w:type="dxa"/>
            <w:shd w:val="clear" w:color="auto" w:fill="auto"/>
            <w:vAlign w:val="center"/>
          </w:tcPr>
          <w:p w14:paraId="7E951109" w14:textId="77777777" w:rsidR="00BA25F4" w:rsidRDefault="009A20D8" w:rsidP="002B4019">
            <w:pPr>
              <w:spacing w:before="60" w:after="60"/>
              <w:jc w:val="center"/>
            </w:pPr>
            <w:r>
              <w:t>123.8</w:t>
            </w:r>
            <w:r w:rsidR="00BA25F4">
              <w:t xml:space="preserve"> MW</w:t>
            </w:r>
            <w:r w:rsidR="00236CA0">
              <w:rPr>
                <w:rStyle w:val="FootnoteReference"/>
              </w:rPr>
              <w:footnoteReference w:id="16"/>
            </w:r>
          </w:p>
        </w:tc>
      </w:tr>
      <w:tr w:rsidR="00BA25F4" w14:paraId="208C0B49" w14:textId="77777777" w:rsidTr="006732B5">
        <w:tc>
          <w:tcPr>
            <w:tcW w:w="4068" w:type="dxa"/>
            <w:shd w:val="clear" w:color="auto" w:fill="auto"/>
            <w:vAlign w:val="center"/>
          </w:tcPr>
          <w:p w14:paraId="2F568AD0" w14:textId="77777777" w:rsidR="00BA25F4" w:rsidRPr="00BA25F4" w:rsidRDefault="00236CA0" w:rsidP="002B4019">
            <w:pPr>
              <w:spacing w:before="60" w:after="60"/>
              <w:jc w:val="center"/>
            </w:pPr>
            <w:r w:rsidRPr="002B4019">
              <w:rPr>
                <w:sz w:val="24"/>
              </w:rPr>
              <w:t>Eligible renewable energy f</w:t>
            </w:r>
            <w:r w:rsidR="00BA25F4" w:rsidRPr="002B4019">
              <w:rPr>
                <w:sz w:val="24"/>
              </w:rPr>
              <w:t xml:space="preserve">acilities </w:t>
            </w:r>
            <w:r w:rsidR="00BA25F4" w:rsidRPr="002B4019">
              <w:rPr>
                <w:i/>
                <w:sz w:val="24"/>
                <w:u w:val="single"/>
              </w:rPr>
              <w:t>other than</w:t>
            </w:r>
            <w:r w:rsidR="00BA25F4" w:rsidRPr="002B4019">
              <w:rPr>
                <w:sz w:val="24"/>
              </w:rPr>
              <w:t xml:space="preserve"> those owned by a public water or wastewater agency</w:t>
            </w:r>
            <w:r w:rsidR="00BA25F4" w:rsidRPr="002B4019">
              <w:rPr>
                <w:rStyle w:val="FootnoteReference"/>
                <w:sz w:val="24"/>
              </w:rPr>
              <w:footnoteReference w:id="17"/>
            </w:r>
          </w:p>
        </w:tc>
        <w:tc>
          <w:tcPr>
            <w:tcW w:w="2880" w:type="dxa"/>
            <w:shd w:val="clear" w:color="auto" w:fill="auto"/>
            <w:vAlign w:val="center"/>
          </w:tcPr>
          <w:p w14:paraId="261818A4" w14:textId="77777777" w:rsidR="00BA25F4" w:rsidRDefault="00BA25F4" w:rsidP="002B4019">
            <w:pPr>
              <w:spacing w:before="60" w:after="60"/>
              <w:jc w:val="center"/>
            </w:pPr>
            <w:r>
              <w:t>CREST</w:t>
            </w:r>
            <w:r w:rsidR="009A20D8">
              <w:rPr>
                <w:rStyle w:val="FootnoteReference"/>
              </w:rPr>
              <w:footnoteReference w:id="18"/>
            </w:r>
          </w:p>
        </w:tc>
        <w:tc>
          <w:tcPr>
            <w:tcW w:w="2628" w:type="dxa"/>
            <w:shd w:val="clear" w:color="auto" w:fill="auto"/>
            <w:vAlign w:val="center"/>
          </w:tcPr>
          <w:p w14:paraId="05762592" w14:textId="77777777" w:rsidR="00BA25F4" w:rsidRDefault="00BA25F4" w:rsidP="002B4019">
            <w:pPr>
              <w:spacing w:before="60" w:after="60"/>
              <w:jc w:val="center"/>
            </w:pPr>
            <w:r>
              <w:t>123.8 MW</w:t>
            </w:r>
            <w:r w:rsidR="00236CA0">
              <w:rPr>
                <w:rStyle w:val="FootnoteReference"/>
              </w:rPr>
              <w:footnoteReference w:id="19"/>
            </w:r>
          </w:p>
        </w:tc>
      </w:tr>
    </w:tbl>
    <w:p w14:paraId="3799C0AB" w14:textId="77777777" w:rsidR="00E3650C" w:rsidRPr="00FD3D56" w:rsidRDefault="00E56D17" w:rsidP="00202EAB">
      <w:pPr>
        <w:spacing w:before="360" w:after="120"/>
        <w:rPr>
          <w:b/>
          <w:i/>
        </w:rPr>
      </w:pPr>
      <w:r>
        <w:rPr>
          <w:b/>
          <w:i/>
        </w:rPr>
        <w:lastRenderedPageBreak/>
        <w:t>SCE’s Authority to Oversubscribe its</w:t>
      </w:r>
      <w:r w:rsidR="00E3650C" w:rsidRPr="00FD3D56">
        <w:rPr>
          <w:b/>
          <w:i/>
        </w:rPr>
        <w:t xml:space="preserve"> Feed-in Tariff </w:t>
      </w:r>
      <w:r>
        <w:rPr>
          <w:b/>
          <w:i/>
        </w:rPr>
        <w:t xml:space="preserve">Program </w:t>
      </w:r>
    </w:p>
    <w:p w14:paraId="20812F19" w14:textId="77777777" w:rsidR="0082462B" w:rsidRDefault="00DE135F" w:rsidP="00E3650C">
      <w:pPr>
        <w:spacing w:after="120"/>
      </w:pPr>
      <w:r>
        <w:t xml:space="preserve">Section 3.4.2 of D.07-07-027 addressed the issue of when a utility’s obligations under the feed-in tariff programs would close. As required by Section 399.20(e) of the statute, D.07-07-027 </w:t>
      </w:r>
      <w:r w:rsidR="0015148F">
        <w:t>reaffirmed</w:t>
      </w:r>
      <w:r>
        <w:t xml:space="preserve"> that the utility is “required to offer the tariff or standard contract until it meets its proportionate share of the 250 MW.</w:t>
      </w:r>
      <w:r w:rsidR="0015148F">
        <w:t>”</w:t>
      </w:r>
      <w:r>
        <w:rPr>
          <w:rStyle w:val="FootnoteReference"/>
        </w:rPr>
        <w:footnoteReference w:id="20"/>
      </w:r>
      <w:r w:rsidR="0015148F">
        <w:t xml:space="preserve"> In SCE’s case, </w:t>
      </w:r>
      <w:r w:rsidR="00EF4DF9">
        <w:t xml:space="preserve">that is, </w:t>
      </w:r>
      <w:r w:rsidR="0015148F">
        <w:t xml:space="preserve">the utility </w:t>
      </w:r>
      <w:r w:rsidR="004A359C">
        <w:t>is</w:t>
      </w:r>
      <w:r w:rsidR="0015148F">
        <w:t xml:space="preserve"> </w:t>
      </w:r>
      <w:r w:rsidR="0015148F" w:rsidRPr="0015148F">
        <w:rPr>
          <w:i/>
        </w:rPr>
        <w:t>required</w:t>
      </w:r>
      <w:r w:rsidR="0015148F">
        <w:t xml:space="preserve"> to offer the st</w:t>
      </w:r>
      <w:r w:rsidR="004A359C">
        <w:t>andard contract until it reaches</w:t>
      </w:r>
      <w:r w:rsidR="00560142">
        <w:t xml:space="preserve"> its target of 123.8</w:t>
      </w:r>
      <w:r w:rsidR="0015148F">
        <w:t xml:space="preserve"> MW pursuant to its WATER standard contract and until it reache</w:t>
      </w:r>
      <w:r w:rsidR="004A359C">
        <w:t>s</w:t>
      </w:r>
      <w:r w:rsidR="0015148F">
        <w:t xml:space="preserve"> its target of 123.8 MW pursuant to its CREST standard contract. </w:t>
      </w:r>
    </w:p>
    <w:p w14:paraId="16F896CB" w14:textId="77777777" w:rsidR="00E247E3" w:rsidRDefault="00DE0122" w:rsidP="00832E06">
      <w:pPr>
        <w:spacing w:after="120"/>
      </w:pPr>
      <w:r>
        <w:t>The d</w:t>
      </w:r>
      <w:r w:rsidR="00E247E3">
        <w:t xml:space="preserve">ecision also clarified what would occur upon a utility reaching its procurement targets </w:t>
      </w:r>
      <w:r w:rsidR="00560142">
        <w:t>for each of</w:t>
      </w:r>
      <w:r w:rsidR="00E247E3">
        <w:t xml:space="preserve"> </w:t>
      </w:r>
      <w:r w:rsidR="00EF4DF9">
        <w:t>its</w:t>
      </w:r>
      <w:r w:rsidR="00E247E3">
        <w:t xml:space="preserve"> feed-in tariff programs. Pursuant to D.07-07-027, upon reaching the capacity target for one of its feed-in tariff</w:t>
      </w:r>
      <w:r w:rsidR="00EF4DF9">
        <w:t xml:space="preserve"> programs, the utility “need not file an advice letter to suspend the tariff,” but the utility is “relieved </w:t>
      </w:r>
      <w:r w:rsidR="00EF4DF9" w:rsidRPr="00EF4DF9">
        <w:t>of an obligation to purchase energy from additional projects pursuant to the § 399.20 tariff</w:t>
      </w:r>
      <w:r w:rsidR="00EF4DF9">
        <w:t>.”</w:t>
      </w:r>
      <w:r w:rsidR="00EF4DF9">
        <w:rPr>
          <w:rStyle w:val="FootnoteReference"/>
        </w:rPr>
        <w:footnoteReference w:id="21"/>
      </w:r>
      <w:r w:rsidR="00EF4DF9">
        <w:t xml:space="preserve"> </w:t>
      </w:r>
    </w:p>
    <w:p w14:paraId="59BDB2E0" w14:textId="77777777" w:rsidR="00EF4DF9" w:rsidRDefault="00EF4DF9" w:rsidP="00832E06">
      <w:pPr>
        <w:spacing w:after="120"/>
      </w:pPr>
      <w:r>
        <w:t>The Commission offered further guidance in the event that a utility wanted to voluntarily continue to offer its standard contract</w:t>
      </w:r>
      <w:r w:rsidR="00560142">
        <w:t>, despite being relieved of an obligation to do so</w:t>
      </w:r>
      <w:r>
        <w:t>:</w:t>
      </w:r>
    </w:p>
    <w:p w14:paraId="5D842001" w14:textId="77777777" w:rsidR="00EF4DF9" w:rsidRPr="00EF4DF9" w:rsidRDefault="00EF4DF9" w:rsidP="00EF4DF9">
      <w:pPr>
        <w:spacing w:after="120"/>
        <w:ind w:left="720"/>
        <w:rPr>
          <w:i/>
        </w:rPr>
      </w:pPr>
      <w:r w:rsidRPr="00EF4DF9">
        <w:rPr>
          <w:i/>
        </w:rPr>
        <w:t>“Respondents may voluntarily elect to purchase energy from additional projects…Projects up to the allocated capacity are per se reasonable. Projects beyond the capacity allocation need Commission review (e.g., by applicant submitting an advice letter).”</w:t>
      </w:r>
      <w:r>
        <w:rPr>
          <w:rStyle w:val="FootnoteReference"/>
          <w:i/>
        </w:rPr>
        <w:footnoteReference w:id="22"/>
      </w:r>
      <w:r w:rsidRPr="00EF4DF9">
        <w:rPr>
          <w:i/>
        </w:rPr>
        <w:t xml:space="preserve"> </w:t>
      </w:r>
    </w:p>
    <w:p w14:paraId="30CC9E08" w14:textId="77777777" w:rsidR="00C34AAC" w:rsidRDefault="00C34AAC" w:rsidP="00832E06">
      <w:pPr>
        <w:spacing w:after="120"/>
      </w:pPr>
      <w:r w:rsidRPr="00C34AAC">
        <w:rPr>
          <w:u w:val="single"/>
        </w:rPr>
        <w:t xml:space="preserve">The Commission reaffirms that D.07-07-027 authorized </w:t>
      </w:r>
      <w:r>
        <w:rPr>
          <w:u w:val="single"/>
        </w:rPr>
        <w:t xml:space="preserve">the </w:t>
      </w:r>
      <w:r w:rsidRPr="00C34AAC">
        <w:rPr>
          <w:u w:val="single"/>
        </w:rPr>
        <w:t>utilities to voluntarily exceed the allocated capacity limits for their respective feed-in tariff programs, and that such oversubscription would require Commission review via the submission of an advice letter</w:t>
      </w:r>
      <w:r>
        <w:t xml:space="preserve">. </w:t>
      </w:r>
    </w:p>
    <w:p w14:paraId="34D76050" w14:textId="77777777" w:rsidR="00DB1417" w:rsidRDefault="00DB1417" w:rsidP="00E3650C">
      <w:pPr>
        <w:spacing w:before="120" w:after="120"/>
        <w:rPr>
          <w:b/>
          <w:i/>
        </w:rPr>
      </w:pPr>
    </w:p>
    <w:p w14:paraId="4596BADF" w14:textId="77777777" w:rsidR="00E3650C" w:rsidRPr="00FD3D56" w:rsidRDefault="00E3650C" w:rsidP="00E3650C">
      <w:pPr>
        <w:spacing w:before="120" w:after="120"/>
        <w:rPr>
          <w:b/>
          <w:i/>
        </w:rPr>
      </w:pPr>
      <w:r w:rsidRPr="00FD3D56">
        <w:rPr>
          <w:b/>
          <w:i/>
        </w:rPr>
        <w:lastRenderedPageBreak/>
        <w:t>SCE’s Oversubscription of its CREST Tariff</w:t>
      </w:r>
    </w:p>
    <w:p w14:paraId="428BE6BC" w14:textId="77777777" w:rsidR="00E247E3" w:rsidRDefault="00EF4DF9" w:rsidP="00832E06">
      <w:pPr>
        <w:spacing w:after="120"/>
      </w:pPr>
      <w:r>
        <w:t>In AL 2870-E, SCE states that it reached its proportionate share of its non-water or wastewater cap</w:t>
      </w:r>
      <w:r w:rsidR="00C34AAC">
        <w:t xml:space="preserve"> of 123.8 MW (“the CREST program cap”) on July 20, 2012.</w:t>
      </w:r>
      <w:r w:rsidR="00DC5040">
        <w:rPr>
          <w:rStyle w:val="FootnoteReference"/>
        </w:rPr>
        <w:footnoteReference w:id="23"/>
      </w:r>
      <w:r w:rsidR="00C34AAC">
        <w:t xml:space="preserve"> On that date, SCE executed a CREST PPA that took its procurement pursuant to that tariff from 122</w:t>
      </w:r>
      <w:r w:rsidR="00DE0122">
        <w:t>.682 MW to 124.182 MW, and since then</w:t>
      </w:r>
      <w:r w:rsidR="00C34AAC">
        <w:t xml:space="preserve"> </w:t>
      </w:r>
      <w:r w:rsidR="00DE0122">
        <w:t xml:space="preserve">SCE has </w:t>
      </w:r>
      <w:r w:rsidR="00C34AAC">
        <w:t xml:space="preserve">executed 80 additional CREST PPAs for an additional 112.52 MW of capacity. </w:t>
      </w:r>
    </w:p>
    <w:p w14:paraId="0C1F9F74" w14:textId="77777777" w:rsidR="00EF4DF9" w:rsidRDefault="00C34AAC" w:rsidP="00EF4DF9">
      <w:pPr>
        <w:spacing w:after="120"/>
      </w:pPr>
      <w:r w:rsidRPr="00C34AAC">
        <w:rPr>
          <w:u w:val="single"/>
        </w:rPr>
        <w:t>SCE exceeded its CREST program cap when it offered a standard CREST contract to the first project for which the entire capacity of that project was in excess of SCE’s 123.8 MW CREST program cap</w:t>
      </w:r>
      <w:r>
        <w:t xml:space="preserve">. </w:t>
      </w:r>
    </w:p>
    <w:p w14:paraId="3434E0DC" w14:textId="77777777" w:rsidR="00C34AAC" w:rsidRDefault="00C34AAC" w:rsidP="00EF4DF9">
      <w:pPr>
        <w:spacing w:after="120"/>
      </w:pPr>
      <w:r w:rsidRPr="00C34AAC">
        <w:rPr>
          <w:u w:val="single"/>
        </w:rPr>
        <w:t xml:space="preserve">The eighty CREST PPAs submitted by SCE for approval via Advice Letter 2870-E and </w:t>
      </w:r>
      <w:r w:rsidR="00EE6CC7">
        <w:rPr>
          <w:u w:val="single"/>
        </w:rPr>
        <w:t xml:space="preserve">supplemental </w:t>
      </w:r>
      <w:r w:rsidRPr="00C34AAC">
        <w:rPr>
          <w:u w:val="single"/>
        </w:rPr>
        <w:t>Advice Letter 2870-E-A qualify as oversubscription of its CREST tariff</w:t>
      </w:r>
      <w:r>
        <w:t xml:space="preserve">. </w:t>
      </w:r>
    </w:p>
    <w:p w14:paraId="6BA328D8" w14:textId="77777777" w:rsidR="00C34AAC" w:rsidRPr="00195D25" w:rsidRDefault="00DE0122" w:rsidP="00EF4DF9">
      <w:pPr>
        <w:spacing w:after="120"/>
      </w:pPr>
      <w:r>
        <w:rPr>
          <w:u w:val="single"/>
        </w:rPr>
        <w:t xml:space="preserve">Consistent with D.07-07-027, </w:t>
      </w:r>
      <w:r w:rsidR="00195D25" w:rsidRPr="00195D25">
        <w:rPr>
          <w:u w:val="single"/>
        </w:rPr>
        <w:t xml:space="preserve">SCE submitted a Tier 3 advice letter </w:t>
      </w:r>
      <w:r>
        <w:rPr>
          <w:u w:val="single"/>
        </w:rPr>
        <w:t>s</w:t>
      </w:r>
      <w:r w:rsidR="00195D25" w:rsidRPr="00195D25">
        <w:rPr>
          <w:u w:val="single"/>
        </w:rPr>
        <w:t>eeking approval of this oversubscription in excess of its CREST program cap</w:t>
      </w:r>
      <w:r w:rsidR="00195D25">
        <w:t xml:space="preserve">. </w:t>
      </w:r>
    </w:p>
    <w:p w14:paraId="6D62C6E6" w14:textId="77777777" w:rsidR="00F52055" w:rsidRDefault="00F52055" w:rsidP="00EF1B49">
      <w:pPr>
        <w:spacing w:before="240" w:after="120"/>
        <w:rPr>
          <w:b/>
          <w:i/>
        </w:rPr>
      </w:pPr>
      <w:r>
        <w:rPr>
          <w:b/>
          <w:i/>
        </w:rPr>
        <w:t>The Effect of Oversubscr</w:t>
      </w:r>
      <w:r w:rsidR="0073400F">
        <w:rPr>
          <w:b/>
          <w:i/>
        </w:rPr>
        <w:t>iption on SCE’s Feed-in Tariff Program C</w:t>
      </w:r>
      <w:r>
        <w:rPr>
          <w:b/>
          <w:i/>
        </w:rPr>
        <w:t>aps</w:t>
      </w:r>
    </w:p>
    <w:p w14:paraId="01755D12" w14:textId="77777777" w:rsidR="00F52055" w:rsidRDefault="00F52055" w:rsidP="00EF4DF9">
      <w:pPr>
        <w:spacing w:after="120"/>
      </w:pPr>
      <w:r>
        <w:t>As outlined above, the Commissio</w:t>
      </w:r>
      <w:r w:rsidR="00FF3D8B">
        <w:t>n obligated SCE to procure 123.8</w:t>
      </w:r>
      <w:r>
        <w:t xml:space="preserve"> MW of feed-in tariff capacity for projects eligible for its WATER tariff and an additional 123.8 MW of feed-in tariff capacity for projects eligible for its CREST tariff. </w:t>
      </w:r>
    </w:p>
    <w:p w14:paraId="0E80243A" w14:textId="77777777" w:rsidR="00631558" w:rsidRDefault="00631558" w:rsidP="00EF4DF9">
      <w:pPr>
        <w:spacing w:after="120"/>
      </w:pPr>
      <w:r>
        <w:t xml:space="preserve">In responses filed to AL 2870-E, several parties raised the issue of whether or not SCE’s oversubscription of its CREST tariff would have any impact on SCE’s remaining capacity for its WATER tariff. The Commission, through D.07-07-027 and Resolution E-4137, clearly </w:t>
      </w:r>
      <w:r w:rsidR="0073400F">
        <w:t>established</w:t>
      </w:r>
      <w:r>
        <w:t xml:space="preserve"> separate procurement requirements on SCE for its CREST tariff and </w:t>
      </w:r>
      <w:r w:rsidR="00DC4755">
        <w:t xml:space="preserve">for </w:t>
      </w:r>
      <w:r>
        <w:t xml:space="preserve">its WATER tariff. These are separate tariffs and were designed to serve different customers. </w:t>
      </w:r>
    </w:p>
    <w:p w14:paraId="64FA90BF" w14:textId="77777777" w:rsidR="00631558" w:rsidRDefault="00631558" w:rsidP="00EF4DF9">
      <w:pPr>
        <w:spacing w:after="120"/>
      </w:pPr>
      <w:r>
        <w:t xml:space="preserve">As a result, </w:t>
      </w:r>
      <w:r w:rsidRPr="00631558">
        <w:rPr>
          <w:u w:val="single"/>
        </w:rPr>
        <w:t>SCE’s oversubscription of its CREST tariff by 112.52 MW constitutes a voluntary expansion of its feed-in tariff program. The capacity associated with this oversubscription has no impact on SCE’s separate requirement, imposed by D.07-07-027 in its implementation of the statutory requirements of A</w:t>
      </w:r>
      <w:r w:rsidR="00FF3D8B">
        <w:rPr>
          <w:u w:val="single"/>
        </w:rPr>
        <w:t>B 1969, for SCE to procure 123.8</w:t>
      </w:r>
      <w:r w:rsidRPr="00631558">
        <w:rPr>
          <w:u w:val="single"/>
        </w:rPr>
        <w:t xml:space="preserve"> MW pursuant to its WATER tariff, available only to facilities owned and operated by public water or wastewater agency customers</w:t>
      </w:r>
      <w:r>
        <w:t xml:space="preserve">. </w:t>
      </w:r>
    </w:p>
    <w:p w14:paraId="7B8FE642" w14:textId="77777777" w:rsidR="000304D8" w:rsidRDefault="000304D8" w:rsidP="00EF4DF9">
      <w:pPr>
        <w:spacing w:after="120"/>
        <w:rPr>
          <w:u w:val="single"/>
        </w:rPr>
      </w:pPr>
      <w:r w:rsidRPr="0055323C">
        <w:rPr>
          <w:u w:val="single"/>
        </w:rPr>
        <w:lastRenderedPageBreak/>
        <w:t>SCE has no obligation</w:t>
      </w:r>
      <w:r>
        <w:rPr>
          <w:u w:val="single"/>
        </w:rPr>
        <w:t>, however,</w:t>
      </w:r>
      <w:r w:rsidRPr="0055323C">
        <w:rPr>
          <w:u w:val="single"/>
        </w:rPr>
        <w:t xml:space="preserve"> to re-contract for this 112.52 MW of FIT capacity in the event that any of these contracts result in termination, because SCE undertook this procurement on a voluntary basis. As a result, approval of SCE’s voluntary </w:t>
      </w:r>
      <w:r w:rsidR="00E117C4">
        <w:rPr>
          <w:u w:val="single"/>
        </w:rPr>
        <w:t>oversubscription of its FIT program</w:t>
      </w:r>
      <w:r w:rsidR="00E117C4" w:rsidRPr="00E117C4">
        <w:rPr>
          <w:u w:val="single"/>
        </w:rPr>
        <w:t xml:space="preserve"> does not generate a</w:t>
      </w:r>
      <w:r w:rsidR="00E117C4">
        <w:rPr>
          <w:u w:val="single"/>
        </w:rPr>
        <w:t xml:space="preserve"> new </w:t>
      </w:r>
      <w:r w:rsidRPr="0055323C">
        <w:rPr>
          <w:u w:val="single"/>
        </w:rPr>
        <w:t>obligation for SCE to maintain that voluntary capacity in the event of termination.</w:t>
      </w:r>
    </w:p>
    <w:p w14:paraId="5A8165AA" w14:textId="77777777" w:rsidR="00B44AE0" w:rsidRPr="0055323C" w:rsidRDefault="00B44AE0" w:rsidP="0055323C">
      <w:pPr>
        <w:spacing w:after="120"/>
      </w:pPr>
      <w:r w:rsidRPr="0055323C">
        <w:rPr>
          <w:u w:val="single"/>
        </w:rPr>
        <w:t>In the event, however, that any CREST PPAs counting toward SCE’s 123.8 MW capacity requirement (i.e. not the oversubscribed contracts considered in this resolution) are terminated between the date that SCE filed AL 2870-E (March 26, 2013) and the date that this Resolution is approved by the Commission, SCE may attribute the capacity associated with the 80 PPAs approved herein to comply with the requirement imposed by D.07-07-027 for SCE to procure 123.8 MW pursuant to its CREST tariff.</w:t>
      </w:r>
    </w:p>
    <w:p w14:paraId="1D261541" w14:textId="77777777" w:rsidR="00F52055" w:rsidRPr="00D959FA" w:rsidRDefault="00F52055" w:rsidP="00631558">
      <w:pPr>
        <w:spacing w:before="120" w:after="120"/>
        <w:rPr>
          <w:b/>
          <w:i/>
        </w:rPr>
      </w:pPr>
      <w:r w:rsidRPr="00D959FA">
        <w:rPr>
          <w:b/>
          <w:i/>
        </w:rPr>
        <w:t>Regulatory Delay</w:t>
      </w:r>
    </w:p>
    <w:p w14:paraId="590A14A3" w14:textId="77777777" w:rsidR="00D347A1" w:rsidRDefault="00F52055" w:rsidP="00EF4DF9">
      <w:pPr>
        <w:spacing w:after="120"/>
      </w:pPr>
      <w:r w:rsidRPr="00890FE6">
        <w:t xml:space="preserve">D.07-07-027 </w:t>
      </w:r>
      <w:r w:rsidR="00D347A1" w:rsidRPr="00890FE6">
        <w:t xml:space="preserve">offered </w:t>
      </w:r>
      <w:r w:rsidRPr="00890FE6">
        <w:t xml:space="preserve">a path by which contracts executed </w:t>
      </w:r>
      <w:r w:rsidR="00C05F31" w:rsidRPr="007237DD">
        <w:t xml:space="preserve">by a utility </w:t>
      </w:r>
      <w:r w:rsidRPr="007237DD">
        <w:t xml:space="preserve">in excess of </w:t>
      </w:r>
      <w:r w:rsidR="00C05F31" w:rsidRPr="007237DD">
        <w:t>its</w:t>
      </w:r>
      <w:r w:rsidRPr="007237DD">
        <w:t xml:space="preserve"> feed-in tariff program cap could secure Commission approval</w:t>
      </w:r>
      <w:r w:rsidR="00FB380A">
        <w:t xml:space="preserve"> (i.e., by filing an advice letter, as noted above)</w:t>
      </w:r>
      <w:r w:rsidR="00D347A1">
        <w:t>.</w:t>
      </w:r>
      <w:r w:rsidRPr="007237DD">
        <w:t xml:space="preserve"> </w:t>
      </w:r>
      <w:r w:rsidR="00D347A1">
        <w:t xml:space="preserve">That decision, however, did not </w:t>
      </w:r>
      <w:r w:rsidR="00631558" w:rsidRPr="006D43E7">
        <w:t>clearly</w:t>
      </w:r>
      <w:r w:rsidRPr="003413E1">
        <w:t xml:space="preserve"> address </w:t>
      </w:r>
      <w:r w:rsidR="00D347A1">
        <w:t>how the time required for Commission review of an advice letter seeking approval of excess FIT procurement would impact the requirement that FIT projects achieve commercial operation (COD) within 18 months of contract execution.</w:t>
      </w:r>
      <w:r w:rsidR="00D347A1" w:rsidRPr="00D959FA">
        <w:rPr>
          <w:rStyle w:val="FootnoteReference"/>
        </w:rPr>
        <w:footnoteReference w:id="24"/>
      </w:r>
      <w:r w:rsidR="00D347A1" w:rsidRPr="00D959FA">
        <w:t xml:space="preserve"> </w:t>
      </w:r>
    </w:p>
    <w:p w14:paraId="72C689A1" w14:textId="77777777" w:rsidR="00F52055" w:rsidRPr="00244760" w:rsidRDefault="00D347A1" w:rsidP="00EF4DF9">
      <w:pPr>
        <w:spacing w:after="120"/>
      </w:pPr>
      <w:r>
        <w:t>Ordinarily, FIT contracts executed up to the authorized capacity cap are</w:t>
      </w:r>
      <w:r w:rsidR="00FB380A">
        <w:t xml:space="preserve"> considered</w:t>
      </w:r>
      <w:r>
        <w:t xml:space="preserve"> approved upon execution of the standard, pre-approved contract by both parties. From that date</w:t>
      </w:r>
      <w:r w:rsidR="00FB380A">
        <w:t xml:space="preserve"> of contract execution</w:t>
      </w:r>
      <w:r>
        <w:t xml:space="preserve">, the projects must achieve COD within 18 months without taking into account the potential time required for Commission review and approval of an advice letter filing, as required for the PPAs at issue in this resolution. </w:t>
      </w:r>
    </w:p>
    <w:p w14:paraId="459ACC37" w14:textId="24AD5E91" w:rsidR="001541C7" w:rsidRPr="0055323C" w:rsidRDefault="00FB380A" w:rsidP="00EF4DF9">
      <w:pPr>
        <w:spacing w:after="120"/>
      </w:pPr>
      <w:r>
        <w:t>For these reasons, t</w:t>
      </w:r>
      <w:r w:rsidR="00631558" w:rsidRPr="00C5733F">
        <w:t>he Commissi</w:t>
      </w:r>
      <w:r w:rsidR="00DF03AE">
        <w:t xml:space="preserve">on </w:t>
      </w:r>
      <w:r>
        <w:t xml:space="preserve">now </w:t>
      </w:r>
      <w:r w:rsidR="00DF03AE">
        <w:t>takes the opportunity to address</w:t>
      </w:r>
      <w:r w:rsidR="00631558" w:rsidRPr="00C5733F">
        <w:t xml:space="preserve"> this issue</w:t>
      </w:r>
      <w:r>
        <w:t xml:space="preserve"> further. </w:t>
      </w:r>
      <w:r w:rsidR="001541C7" w:rsidRPr="00890FE6">
        <w:t xml:space="preserve">In D.11-11-012, the Commission modified the terms of the CREST PPA, including a modification to </w:t>
      </w:r>
      <w:r w:rsidR="00F73609" w:rsidRPr="007237DD">
        <w:t xml:space="preserve">better </w:t>
      </w:r>
      <w:r w:rsidR="001541C7" w:rsidRPr="007237DD">
        <w:t>align the CREST PPA with another standard contract adopted by the Commission for the Renewable Auction Mechani</w:t>
      </w:r>
      <w:r w:rsidR="00B82479" w:rsidRPr="006D43E7">
        <w:t>sm (RAM). That decision</w:t>
      </w:r>
      <w:r w:rsidR="001541C7" w:rsidRPr="00244760">
        <w:t xml:space="preserve"> ordered SCE to incorporate into its CREST PPA</w:t>
      </w:r>
      <w:r w:rsidR="00B82479" w:rsidRPr="00244760">
        <w:t xml:space="preserve"> </w:t>
      </w:r>
      <w:r w:rsidR="00F73609" w:rsidRPr="00C5733F">
        <w:t>a provision</w:t>
      </w:r>
      <w:r w:rsidR="00B82479" w:rsidRPr="00D1749B">
        <w:t xml:space="preserve"> </w:t>
      </w:r>
      <w:r>
        <w:t xml:space="preserve">authorizing an extension of </w:t>
      </w:r>
      <w:r w:rsidR="00B82479" w:rsidRPr="00D1749B">
        <w:t xml:space="preserve">the date required for a project to </w:t>
      </w:r>
      <w:r w:rsidR="00B82479" w:rsidRPr="00D1749B">
        <w:lastRenderedPageBreak/>
        <w:t xml:space="preserve">achieve </w:t>
      </w:r>
      <w:r w:rsidR="00D959FA">
        <w:t>COD</w:t>
      </w:r>
      <w:r w:rsidR="00B82479" w:rsidRPr="00D959FA">
        <w:t xml:space="preserve"> by </w:t>
      </w:r>
      <w:r>
        <w:t>six months</w:t>
      </w:r>
      <w:r w:rsidR="00EF1B49" w:rsidRPr="00D959FA">
        <w:t xml:space="preserve"> for regulatory delay</w:t>
      </w:r>
      <w:r w:rsidR="001541C7" w:rsidRPr="00D959FA">
        <w:t>.</w:t>
      </w:r>
      <w:r w:rsidR="001541C7" w:rsidRPr="00D959FA">
        <w:rPr>
          <w:rStyle w:val="FootnoteReference"/>
        </w:rPr>
        <w:footnoteReference w:id="25"/>
      </w:r>
      <w:r w:rsidR="001541C7" w:rsidRPr="00D959FA">
        <w:t xml:space="preserve"> </w:t>
      </w:r>
      <w:r w:rsidR="00EF1B49" w:rsidRPr="00D959FA">
        <w:t>At the time, the Commission recognized that “legitimate delays can occur relative to any timeline.”</w:t>
      </w:r>
      <w:r w:rsidR="00EF1B49" w:rsidRPr="00D959FA">
        <w:rPr>
          <w:rStyle w:val="FootnoteReference"/>
        </w:rPr>
        <w:footnoteReference w:id="26"/>
      </w:r>
      <w:r w:rsidR="00EF1B49" w:rsidRPr="00D959FA">
        <w:t xml:space="preserve"> </w:t>
      </w:r>
    </w:p>
    <w:p w14:paraId="5E993504" w14:textId="77777777" w:rsidR="00FB380A" w:rsidRPr="00FB380A" w:rsidRDefault="00DF03AE" w:rsidP="00FB380A">
      <w:pPr>
        <w:spacing w:after="120"/>
      </w:pPr>
      <w:r w:rsidRPr="004A410F">
        <w:t>The draft version of this resolution found that the existing CREST PPA</w:t>
      </w:r>
      <w:r>
        <w:t xml:space="preserve"> terms</w:t>
      </w:r>
      <w:r w:rsidRPr="004A410F">
        <w:t xml:space="preserve"> could already accommodate the delay associated with the Commission’s review and approval process for AL 2870-E/E-A. In comments to the draft resolution, however, SCE and ImMODO offered alternative approaches to clarify the issue. ImMODO asked that the Commission provide unambiguous guidance on how long the extension of the COD would be as a result of the delay associated with the processing of AL 2870-E/E-A. </w:t>
      </w:r>
      <w:r w:rsidR="00FB380A" w:rsidRPr="00FB380A">
        <w:t xml:space="preserve">The Commission agrees with ImMODO that certainty about the duration of any COD extension resulting from the delay associated with the Commission’s review and approval of AL 2870-E/E-A would be desirable. </w:t>
      </w:r>
    </w:p>
    <w:p w14:paraId="3693CEE5" w14:textId="77777777" w:rsidR="00DF03AE" w:rsidRPr="00FB380A" w:rsidRDefault="00DF03AE" w:rsidP="00DF03AE">
      <w:pPr>
        <w:spacing w:after="120"/>
      </w:pPr>
      <w:r>
        <w:t xml:space="preserve">Meanwhile, SCE contends that the existing PPA term cannot be interpreted as already accommodating this delay. SCE argues that that it would be more consistent with D.11-11-012 for the Commission to authorize SCE to offer a contract amendment to these CREST PPAs to modify the COD term. </w:t>
      </w:r>
      <w:r w:rsidR="00240A02">
        <w:t>After additional review, t</w:t>
      </w:r>
      <w:r w:rsidR="00240A02" w:rsidRPr="00FB380A">
        <w:t>he Commission agrees with SCE</w:t>
      </w:r>
      <w:r w:rsidR="00240A02">
        <w:t xml:space="preserve"> that Ordering Paragraph #1 of D.11-11-012 ordered SCE to offer a narrowly defined COD extension term in its CREST PPA, and that that term does not clearly accommodate this unanticipated delay. It </w:t>
      </w:r>
      <w:r w:rsidR="00240A02" w:rsidRPr="00FB380A">
        <w:t>would be more consistent with D.11-11-012 to amend the CREST PPAs to better accommodate this unanticipated delay, rather than relying on the existing PPA term.</w:t>
      </w:r>
    </w:p>
    <w:p w14:paraId="5F74E501" w14:textId="77777777" w:rsidR="00DF03AE" w:rsidRDefault="00240A02" w:rsidP="00DF03AE">
      <w:pPr>
        <w:spacing w:after="120"/>
      </w:pPr>
      <w:r>
        <w:rPr>
          <w:u w:val="single"/>
        </w:rPr>
        <w:t xml:space="preserve">The Commission finds that </w:t>
      </w:r>
      <w:r w:rsidR="00DF03AE">
        <w:rPr>
          <w:u w:val="single"/>
        </w:rPr>
        <w:t xml:space="preserve">D.11-11-012 ordered SCE to adopt a specific contract provision verbatim from its RAM contract in its CREST PPA to accommodate reasonable delays in a project’s commercial operation date. Accordingly, it would be inappropriate now to modify this order of a Commission decision through the resolution process. </w:t>
      </w:r>
    </w:p>
    <w:p w14:paraId="228251F3" w14:textId="77777777" w:rsidR="00B3762E" w:rsidRPr="00B3762E" w:rsidRDefault="00B3762E" w:rsidP="00BB3E59">
      <w:pPr>
        <w:spacing w:before="120" w:after="120"/>
        <w:rPr>
          <w:rFonts w:ascii="Palatino Linotype" w:hAnsi="Palatino Linotype"/>
          <w:b/>
        </w:rPr>
      </w:pPr>
      <w:r w:rsidRPr="00B3762E">
        <w:rPr>
          <w:rFonts w:ascii="Palatino Linotype" w:hAnsi="Palatino Linotype"/>
          <w:b/>
        </w:rPr>
        <w:t xml:space="preserve">Consistency with the standard terms and conditions of the Commission-authorized feed-in tariff contract  </w:t>
      </w:r>
    </w:p>
    <w:p w14:paraId="7C8E910B" w14:textId="77777777" w:rsidR="002F0505" w:rsidRDefault="002F0505" w:rsidP="00F52055">
      <w:pPr>
        <w:spacing w:after="120"/>
      </w:pPr>
      <w:r>
        <w:t xml:space="preserve">In D.07-07-027, the Commission required that the feed-in tariff contract should be standard and that the utilities should offer it to customers on a “take it or leave </w:t>
      </w:r>
      <w:r>
        <w:lastRenderedPageBreak/>
        <w:t>it” basis.</w:t>
      </w:r>
      <w:r w:rsidR="009600DB">
        <w:rPr>
          <w:rStyle w:val="FootnoteReference"/>
        </w:rPr>
        <w:footnoteReference w:id="27"/>
      </w:r>
      <w:r>
        <w:t xml:space="preserve"> As such, the CREST PPAs submitted via Advice Letter 2870-E/E-A must conform to this order. </w:t>
      </w:r>
    </w:p>
    <w:p w14:paraId="045F54ED" w14:textId="77777777" w:rsidR="002F0505" w:rsidRDefault="00CC632A" w:rsidP="00F52055">
      <w:pPr>
        <w:spacing w:after="120"/>
      </w:pPr>
      <w:r w:rsidRPr="00CC632A">
        <w:rPr>
          <w:u w:val="single"/>
        </w:rPr>
        <w:t>The</w:t>
      </w:r>
      <w:r w:rsidR="002F0505" w:rsidRPr="00CC632A">
        <w:rPr>
          <w:u w:val="single"/>
        </w:rPr>
        <w:t xml:space="preserve"> </w:t>
      </w:r>
      <w:r w:rsidR="002F0505" w:rsidRPr="009600DB">
        <w:rPr>
          <w:u w:val="single"/>
        </w:rPr>
        <w:t xml:space="preserve">seventy-five (75) CREST PPAs filed for approval in Advice Letter 2870-E conform to the standard contract terms </w:t>
      </w:r>
      <w:r w:rsidR="00EF1B49">
        <w:rPr>
          <w:u w:val="single"/>
        </w:rPr>
        <w:t>authorized by</w:t>
      </w:r>
      <w:r w:rsidR="002F0505" w:rsidRPr="009600DB">
        <w:rPr>
          <w:u w:val="single"/>
        </w:rPr>
        <w:t xml:space="preserve"> </w:t>
      </w:r>
      <w:r w:rsidR="00E3798B" w:rsidRPr="009600DB">
        <w:rPr>
          <w:u w:val="single"/>
        </w:rPr>
        <w:t>D.07-07-027, as modified by Resolution E-4137 and D.11-11-012</w:t>
      </w:r>
      <w:r w:rsidR="00E3798B">
        <w:t xml:space="preserve">. </w:t>
      </w:r>
    </w:p>
    <w:p w14:paraId="5849BA39" w14:textId="77777777" w:rsidR="00CC632A" w:rsidRDefault="00CC632A" w:rsidP="00F52055">
      <w:pPr>
        <w:spacing w:after="120"/>
        <w:rPr>
          <w:u w:val="single"/>
        </w:rPr>
      </w:pPr>
      <w:r>
        <w:rPr>
          <w:u w:val="single"/>
        </w:rPr>
        <w:t>The</w:t>
      </w:r>
      <w:r w:rsidR="00E3798B" w:rsidRPr="009600DB">
        <w:rPr>
          <w:u w:val="single"/>
        </w:rPr>
        <w:t xml:space="preserve"> five (5) additional CREST PPAs filed for approval in supplemental Advice </w:t>
      </w:r>
      <w:r w:rsidR="009600DB" w:rsidRPr="009600DB">
        <w:rPr>
          <w:u w:val="single"/>
        </w:rPr>
        <w:t>Letter 2870-E-A conform to the standard contract terms</w:t>
      </w:r>
      <w:r w:rsidR="00EF1B49">
        <w:rPr>
          <w:u w:val="single"/>
        </w:rPr>
        <w:t xml:space="preserve"> authorized </w:t>
      </w:r>
      <w:r w:rsidR="009600DB" w:rsidRPr="009600DB">
        <w:rPr>
          <w:u w:val="single"/>
        </w:rPr>
        <w:t xml:space="preserve">by D.07-07-027, as modified by Resolution E-4137 and D.11-11-012, with one exception. </w:t>
      </w:r>
    </w:p>
    <w:p w14:paraId="1F7A0A68" w14:textId="77777777" w:rsidR="00E3798B" w:rsidRDefault="009600DB" w:rsidP="00F52055">
      <w:pPr>
        <w:spacing w:after="120"/>
      </w:pPr>
      <w:r w:rsidRPr="009600DB">
        <w:rPr>
          <w:u w:val="single"/>
        </w:rPr>
        <w:t xml:space="preserve">SCE modified </w:t>
      </w:r>
      <w:r w:rsidR="00CE2F7A">
        <w:rPr>
          <w:u w:val="single"/>
        </w:rPr>
        <w:t>the</w:t>
      </w:r>
      <w:r w:rsidR="00CC632A">
        <w:rPr>
          <w:u w:val="single"/>
        </w:rPr>
        <w:t xml:space="preserve"> </w:t>
      </w:r>
      <w:r w:rsidR="00964551">
        <w:rPr>
          <w:u w:val="single"/>
        </w:rPr>
        <w:t>5</w:t>
      </w:r>
      <w:r w:rsidRPr="009600DB">
        <w:rPr>
          <w:u w:val="single"/>
        </w:rPr>
        <w:t xml:space="preserve"> PPAs</w:t>
      </w:r>
      <w:r w:rsidR="00CE2F7A">
        <w:rPr>
          <w:u w:val="single"/>
        </w:rPr>
        <w:t xml:space="preserve"> filed through supplemental Advice Letter 2870-E-A</w:t>
      </w:r>
      <w:r w:rsidRPr="009600DB">
        <w:rPr>
          <w:u w:val="single"/>
        </w:rPr>
        <w:t xml:space="preserve"> </w:t>
      </w:r>
      <w:r w:rsidR="00EF1B49">
        <w:rPr>
          <w:u w:val="single"/>
        </w:rPr>
        <w:t>to include</w:t>
      </w:r>
      <w:r w:rsidRPr="009600DB">
        <w:rPr>
          <w:u w:val="single"/>
        </w:rPr>
        <w:t xml:space="preserve"> Amendment No. 1, which would allow either party to terminate the agreement if not approved by the Commission within 365 days and would relieve SCE of any obligation to pay for deliveries under the contract until Commission approval is obtained</w:t>
      </w:r>
      <w:r>
        <w:t xml:space="preserve">.  </w:t>
      </w:r>
    </w:p>
    <w:p w14:paraId="27EDE843" w14:textId="77777777" w:rsidR="009600DB" w:rsidRDefault="00CC632A" w:rsidP="00F52055">
      <w:pPr>
        <w:spacing w:after="120"/>
      </w:pPr>
      <w:r>
        <w:rPr>
          <w:u w:val="single"/>
        </w:rPr>
        <w:t>It</w:t>
      </w:r>
      <w:r w:rsidR="009600DB" w:rsidRPr="009600DB">
        <w:rPr>
          <w:u w:val="single"/>
        </w:rPr>
        <w:t xml:space="preserve"> would be inconsistent with D.07-07-027 to approve without modification the five additional CREST PPAs filed for approval in supplemental Advice Letter 2870-E-A. </w:t>
      </w:r>
      <w:r w:rsidR="00964551">
        <w:rPr>
          <w:u w:val="single"/>
        </w:rPr>
        <w:t xml:space="preserve">Consistent with D.07-07-027, the five PPAs filed in supplemental Advice Letter 2870-E-A should be modified to </w:t>
      </w:r>
      <w:r w:rsidR="009600DB" w:rsidRPr="009600DB">
        <w:rPr>
          <w:u w:val="single"/>
        </w:rPr>
        <w:t>strike Amendment No. 1 from the agreements</w:t>
      </w:r>
      <w:r w:rsidR="009600DB">
        <w:t xml:space="preserve">. </w:t>
      </w:r>
    </w:p>
    <w:p w14:paraId="6CF419D2" w14:textId="77777777" w:rsidR="009600DB" w:rsidRPr="009600DB" w:rsidRDefault="00A75EA4" w:rsidP="005A195D">
      <w:pPr>
        <w:spacing w:before="240" w:after="120"/>
        <w:rPr>
          <w:rFonts w:ascii="Palatino Linotype" w:hAnsi="Palatino Linotype"/>
          <w:b/>
        </w:rPr>
      </w:pPr>
      <w:r>
        <w:rPr>
          <w:rFonts w:ascii="Palatino Linotype" w:hAnsi="Palatino Linotype"/>
          <w:b/>
        </w:rPr>
        <w:t>Feed-in Tariff policy guidance and RPS need</w:t>
      </w:r>
    </w:p>
    <w:p w14:paraId="6B8F7211" w14:textId="77777777" w:rsidR="00F96EE4" w:rsidRDefault="009C7019" w:rsidP="00F52055">
      <w:pPr>
        <w:spacing w:after="120"/>
      </w:pPr>
      <w:r>
        <w:t>In Section 3.4.2 of D.07-07-027, the same section noted above for providing guidance on the process for securing approval of voluntary oversubscription, the Commission stated: “We encourage each respondent to fully use this tariff/standard contract to secure as much RPS generation as possible.”</w:t>
      </w:r>
      <w:r>
        <w:rPr>
          <w:rStyle w:val="FootnoteReference"/>
        </w:rPr>
        <w:footnoteReference w:id="28"/>
      </w:r>
      <w:r>
        <w:t xml:space="preserve"> </w:t>
      </w:r>
    </w:p>
    <w:p w14:paraId="7917DBDA" w14:textId="77777777" w:rsidR="009600DB" w:rsidRDefault="00297A04" w:rsidP="00F52055">
      <w:pPr>
        <w:spacing w:after="120"/>
      </w:pPr>
      <w:r>
        <w:t>Additionally, D.11-11-012 acknowledged that, in addition to the</w:t>
      </w:r>
      <w:r w:rsidR="00F337A5">
        <w:t xml:space="preserve"> various</w:t>
      </w:r>
      <w:r>
        <w:t xml:space="preserve"> legislative mandates, the Governor of the State of California has announced his intention to encourage the development of 12,000 MW of small-scale distributed generation projects. Further, D.11-11-012 stated that, to achieve this goal the Governor has called upon the Commission to assist with the development of small-scale distributed generation.</w:t>
      </w:r>
      <w:r>
        <w:rPr>
          <w:rStyle w:val="FootnoteReference"/>
        </w:rPr>
        <w:footnoteReference w:id="29"/>
      </w:r>
      <w:r>
        <w:t xml:space="preserve"> </w:t>
      </w:r>
    </w:p>
    <w:p w14:paraId="235A26C5" w14:textId="77777777" w:rsidR="00A75EA4" w:rsidRDefault="00297A04" w:rsidP="00A75EA4">
      <w:pPr>
        <w:spacing w:after="120"/>
      </w:pPr>
      <w:r w:rsidRPr="00F337A5">
        <w:rPr>
          <w:u w:val="single"/>
        </w:rPr>
        <w:lastRenderedPageBreak/>
        <w:t>The Commission finds that</w:t>
      </w:r>
      <w:r w:rsidR="00C355AC" w:rsidRPr="00F337A5">
        <w:rPr>
          <w:u w:val="single"/>
        </w:rPr>
        <w:t xml:space="preserve"> approval of SCE’s eighty CREST PPAs submitted </w:t>
      </w:r>
      <w:r w:rsidR="00CC632A">
        <w:rPr>
          <w:u w:val="single"/>
        </w:rPr>
        <w:t>via</w:t>
      </w:r>
      <w:r w:rsidR="00C355AC" w:rsidRPr="00F337A5">
        <w:rPr>
          <w:u w:val="single"/>
        </w:rPr>
        <w:t xml:space="preserve"> Advice Letter 2870-E/E-A</w:t>
      </w:r>
      <w:r w:rsidRPr="00F337A5">
        <w:rPr>
          <w:u w:val="single"/>
        </w:rPr>
        <w:t xml:space="preserve"> would be consistent with the policy guidance in D.07-07-027 and the Governor’</w:t>
      </w:r>
      <w:r w:rsidR="00F337A5" w:rsidRPr="00F337A5">
        <w:rPr>
          <w:u w:val="single"/>
        </w:rPr>
        <w:t xml:space="preserve">s 12,000 MW small </w:t>
      </w:r>
      <w:r w:rsidRPr="00F337A5">
        <w:rPr>
          <w:u w:val="single"/>
        </w:rPr>
        <w:t xml:space="preserve">scale </w:t>
      </w:r>
      <w:r w:rsidR="00C355AC" w:rsidRPr="00F337A5">
        <w:rPr>
          <w:u w:val="single"/>
        </w:rPr>
        <w:t>distributed generation goal</w:t>
      </w:r>
      <w:r w:rsidR="00C355AC">
        <w:t xml:space="preserve">. </w:t>
      </w:r>
    </w:p>
    <w:p w14:paraId="548E0EAF" w14:textId="77777777" w:rsidR="00A75EA4" w:rsidRPr="00A75EA4" w:rsidRDefault="00A75EA4" w:rsidP="00A75EA4">
      <w:pPr>
        <w:spacing w:after="120"/>
      </w:pPr>
      <w:r w:rsidRPr="00A75EA4">
        <w:rPr>
          <w:u w:val="single"/>
        </w:rPr>
        <w:t>As a result of the alternative basis for approval provided in D.07-07-027, the Commission does not separately evaluate whether SCE has demonstrated an RPS compliance need for this procurement</w:t>
      </w:r>
      <w:r>
        <w:t xml:space="preserve">. </w:t>
      </w:r>
    </w:p>
    <w:p w14:paraId="68D63579" w14:textId="77777777" w:rsidR="00832E06" w:rsidRPr="00671303" w:rsidRDefault="00832E06" w:rsidP="00BA29DC">
      <w:pPr>
        <w:widowControl w:val="0"/>
        <w:spacing w:before="240"/>
        <w:rPr>
          <w:b/>
        </w:rPr>
      </w:pPr>
      <w:r w:rsidRPr="00671303">
        <w:rPr>
          <w:b/>
        </w:rPr>
        <w:t>Procurement Review Group Participation</w:t>
      </w:r>
    </w:p>
    <w:p w14:paraId="7CCE645B" w14:textId="77777777" w:rsidR="00662E52" w:rsidRPr="000847BA" w:rsidRDefault="00662E52" w:rsidP="00662E52">
      <w:pPr>
        <w:spacing w:before="120" w:after="120"/>
        <w:rPr>
          <w:rFonts w:ascii="Palatino Linotype" w:hAnsi="Palatino Linotype" w:cs="Arial"/>
          <w:szCs w:val="24"/>
        </w:rPr>
      </w:pPr>
      <w:r w:rsidRPr="00F8016A">
        <w:rPr>
          <w:rFonts w:ascii="Palatino Linotype" w:hAnsi="Palatino Linotype" w:cs="Arial"/>
          <w:szCs w:val="24"/>
        </w:rPr>
        <w:t>The Procurement Review Group (PRG) process was initially established in D.02-08-071 as an advisory group to review and assess the details of the IOUs' overall procurement strategy, solicitations, specific proposed procurement contracts and other procurement processes prior to submitting filings to the Commission as an int</w:t>
      </w:r>
      <w:r w:rsidRPr="000847BA">
        <w:rPr>
          <w:rFonts w:ascii="Palatino Linotype" w:hAnsi="Palatino Linotype" w:cs="Arial"/>
          <w:szCs w:val="24"/>
        </w:rPr>
        <w:t xml:space="preserve">erim mechanism for procurement review. </w:t>
      </w:r>
    </w:p>
    <w:p w14:paraId="14ECEB80" w14:textId="77777777" w:rsidR="00662E52" w:rsidRDefault="00662E52" w:rsidP="00662E52">
      <w:pPr>
        <w:spacing w:after="120"/>
        <w:rPr>
          <w:rFonts w:ascii="Palatino Linotype" w:hAnsi="Palatino Linotype"/>
          <w:bCs/>
        </w:rPr>
      </w:pPr>
      <w:r w:rsidRPr="005E3C92">
        <w:rPr>
          <w:rFonts w:ascii="Palatino Linotype" w:hAnsi="Palatino Linotype"/>
          <w:bCs/>
        </w:rPr>
        <w:t>Participants in the Procurement Review Group include representatives from the CPUC’s Energy and Legal Divisions, the Division of Ratepayer Advocates, The Utility Reform Network, the Natural Resources Defense Council, California Utility Employees, the Union of Concerned Scientists, and the California Department of Water Resources.</w:t>
      </w:r>
      <w:r>
        <w:rPr>
          <w:rFonts w:ascii="Palatino Linotype" w:hAnsi="Palatino Linotype"/>
          <w:bCs/>
        </w:rPr>
        <w:t xml:space="preserve">  On March 20, 2013</w:t>
      </w:r>
      <w:r w:rsidR="008A1FA6">
        <w:rPr>
          <w:rFonts w:ascii="Palatino Linotype" w:hAnsi="Palatino Linotype"/>
          <w:bCs/>
        </w:rPr>
        <w:t xml:space="preserve"> and on May 15, 2013</w:t>
      </w:r>
      <w:r>
        <w:rPr>
          <w:rFonts w:ascii="Palatino Linotype" w:hAnsi="Palatino Linotype"/>
          <w:bCs/>
        </w:rPr>
        <w:t>, SCE briefed the PRG on these CREST PPAs.</w:t>
      </w:r>
    </w:p>
    <w:p w14:paraId="60134B50" w14:textId="77777777" w:rsidR="00662E52" w:rsidRPr="005E3C92" w:rsidRDefault="00662E52" w:rsidP="00662E52">
      <w:pPr>
        <w:rPr>
          <w:rFonts w:ascii="Palatino Linotype" w:hAnsi="Palatino Linotype"/>
          <w:b/>
        </w:rPr>
      </w:pPr>
      <w:r w:rsidRPr="005E3C92">
        <w:rPr>
          <w:rFonts w:ascii="Palatino Linotype" w:hAnsi="Palatino Linotype"/>
          <w:szCs w:val="26"/>
          <w:u w:val="single"/>
        </w:rPr>
        <w:t xml:space="preserve">Pursuant to D.02-08-071, SCE’s Procurement Review Group participated in the review of </w:t>
      </w:r>
      <w:r>
        <w:rPr>
          <w:rFonts w:ascii="Palatino Linotype" w:hAnsi="Palatino Linotype"/>
          <w:szCs w:val="26"/>
          <w:u w:val="single"/>
        </w:rPr>
        <w:t>the CREST PPAs considered in this resolution</w:t>
      </w:r>
      <w:r w:rsidRPr="005E3C92">
        <w:rPr>
          <w:rFonts w:ascii="Palatino Linotype" w:hAnsi="Palatino Linotype"/>
          <w:szCs w:val="26"/>
          <w:u w:val="single"/>
        </w:rPr>
        <w:t xml:space="preserve">, and </w:t>
      </w:r>
      <w:r w:rsidRPr="005E3C92">
        <w:rPr>
          <w:rFonts w:ascii="Palatino Linotype" w:hAnsi="Palatino Linotype"/>
          <w:u w:val="single"/>
        </w:rPr>
        <w:t>SCE has complied with the Commission’s rules for involving the PRG.</w:t>
      </w:r>
      <w:r>
        <w:rPr>
          <w:rFonts w:ascii="Palatino Linotype" w:hAnsi="Palatino Linotype"/>
          <w:u w:val="single"/>
        </w:rPr>
        <w:t xml:space="preserve"> </w:t>
      </w:r>
    </w:p>
    <w:p w14:paraId="5F3D36A5" w14:textId="77777777" w:rsidR="00AB2BC1" w:rsidRDefault="00AB2BC1" w:rsidP="00F337A5">
      <w:pPr>
        <w:pStyle w:val="Heading1"/>
        <w:spacing w:before="240" w:after="120"/>
      </w:pPr>
      <w:r>
        <w:t xml:space="preserve">Confidential Information </w:t>
      </w:r>
    </w:p>
    <w:p w14:paraId="4A663813" w14:textId="77777777" w:rsidR="00AB2BC1" w:rsidRDefault="00AB2BC1" w:rsidP="00AB2BC1">
      <w:pPr>
        <w:autoSpaceDE w:val="0"/>
        <w:autoSpaceDN w:val="0"/>
        <w:adjustRightInd w:val="0"/>
        <w:spacing w:after="120"/>
        <w:rPr>
          <w:rFonts w:ascii="Palatino Linotype" w:hAnsi="Palatino Linotype" w:cs="Courier New"/>
          <w:u w:val="single"/>
        </w:rPr>
      </w:pPr>
      <w:r>
        <w:rPr>
          <w:rFonts w:ascii="Palatino Linotype" w:hAnsi="Palatino Linotype" w:cs="Courier New"/>
        </w:rPr>
        <w:t xml:space="preserve">The Commission, in implementing Pub. Util. Code § 454.5(g), has determined in D.06-06-066, as modified by D.07-05-032, that certain material submitted to the Commission as confidential should be kept confidential to ensure that market sensitive data does not influence the behavior of bidders in future RPS solicitations.  D.06-06-066 adopted a time limit on the confidentiality of specific terms in RPS contracts. </w:t>
      </w:r>
      <w:r w:rsidR="00BA29DC">
        <w:rPr>
          <w:rFonts w:cs="Courier New"/>
        </w:rPr>
        <w:t>The contracts considered herein are standard</w:t>
      </w:r>
      <w:r w:rsidR="002A033E">
        <w:rPr>
          <w:rFonts w:cs="Courier New"/>
        </w:rPr>
        <w:t>, pre-</w:t>
      </w:r>
      <w:r w:rsidR="002A033E">
        <w:rPr>
          <w:rFonts w:cs="Courier New"/>
        </w:rPr>
        <w:lastRenderedPageBreak/>
        <w:t>approved</w:t>
      </w:r>
      <w:r w:rsidR="00BA29DC">
        <w:rPr>
          <w:rFonts w:cs="Courier New"/>
        </w:rPr>
        <w:t xml:space="preserve"> feed-in tariff contracts </w:t>
      </w:r>
      <w:r w:rsidR="002A033E">
        <w:rPr>
          <w:rFonts w:cs="Courier New"/>
        </w:rPr>
        <w:t>signed by</w:t>
      </w:r>
      <w:r w:rsidR="00BA29DC">
        <w:rPr>
          <w:rFonts w:cs="Courier New"/>
        </w:rPr>
        <w:t xml:space="preserve"> SCE and various counterparties.  As such, the PPAs, including the PPA prices</w:t>
      </w:r>
      <w:r w:rsidR="00BA29DC">
        <w:rPr>
          <w:rStyle w:val="FootnoteReference"/>
          <w:rFonts w:cs="Courier New"/>
        </w:rPr>
        <w:footnoteReference w:id="30"/>
      </w:r>
      <w:r w:rsidR="00BA29DC">
        <w:rPr>
          <w:rFonts w:cs="Courier New"/>
        </w:rPr>
        <w:t xml:space="preserve"> are not confidential.  </w:t>
      </w:r>
    </w:p>
    <w:p w14:paraId="4E820C77" w14:textId="77777777" w:rsidR="00AB2BC1" w:rsidRDefault="00AB2BC1" w:rsidP="00AB2BC1">
      <w:pPr>
        <w:pStyle w:val="Heading1"/>
        <w:spacing w:after="120"/>
      </w:pPr>
      <w:r>
        <w:t xml:space="preserve">RPS Eligibility and CPUC Approval </w:t>
      </w:r>
    </w:p>
    <w:p w14:paraId="6E2509B8" w14:textId="77777777" w:rsidR="00AB2BC1" w:rsidRDefault="00AB2BC1" w:rsidP="00AB2BC1">
      <w:pPr>
        <w:spacing w:after="120"/>
        <w:rPr>
          <w:rFonts w:ascii="Palatino Linotype" w:hAnsi="Palatino Linotype"/>
          <w:szCs w:val="26"/>
        </w:rPr>
      </w:pPr>
      <w:r>
        <w:rPr>
          <w:rFonts w:ascii="Palatino Linotype" w:hAnsi="Palatino Linotype"/>
        </w:rPr>
        <w:t>Pursuant to Pub. Util. Code § 399.13, the CEC certifies eligible renewable energy resources.  Generati</w:t>
      </w:r>
      <w:r w:rsidR="00F337A5">
        <w:rPr>
          <w:rFonts w:ascii="Palatino Linotype" w:hAnsi="Palatino Linotype"/>
        </w:rPr>
        <w:t xml:space="preserve">on from a resource that is not </w:t>
      </w:r>
      <w:r>
        <w:rPr>
          <w:rFonts w:ascii="Palatino Linotype" w:hAnsi="Palatino Linotype"/>
        </w:rPr>
        <w:t>CEC-certified cannot be used to meet RPS requirements.  To ensure that only CEC-certified energy is procured under a Commission-approved RPS contract, the Commission has required standard and non-modifiable “eligibility” language in all RPS contracts.  That language requires a seller to warrant that the project qualifies and is certified by the CEC as an “Eligible Renewable Energy Resource,” that the project’s output delivered to the buyer qualifies under the requirements of the California RPS, and that the seller uses commercially reasonable efforts to maintain eligibility should there be a change in law affecting eligibility.</w:t>
      </w:r>
      <w:r>
        <w:rPr>
          <w:rStyle w:val="FootnoteReference"/>
          <w:rFonts w:ascii="Palatino Linotype" w:hAnsi="Palatino Linotype"/>
          <w:szCs w:val="26"/>
        </w:rPr>
        <w:footnoteReference w:id="31"/>
      </w:r>
      <w:r>
        <w:rPr>
          <w:rFonts w:ascii="Palatino Linotype" w:hAnsi="Palatino Linotype"/>
        </w:rPr>
        <w:t xml:space="preserve"> </w:t>
      </w:r>
    </w:p>
    <w:p w14:paraId="1DF2C58B" w14:textId="77777777" w:rsidR="00AB2BC1" w:rsidRDefault="00AB2BC1" w:rsidP="00AB2BC1">
      <w:pPr>
        <w:spacing w:after="120"/>
        <w:rPr>
          <w:rFonts w:ascii="Palatino Linotype" w:hAnsi="Palatino Linotype"/>
          <w:szCs w:val="26"/>
        </w:rPr>
      </w:pPr>
      <w:r>
        <w:rPr>
          <w:rFonts w:ascii="Palatino Linotype" w:hAnsi="Palatino Linotype"/>
          <w:szCs w:val="26"/>
        </w:rPr>
        <w:t>The Commission requires a standard and non-modifiable clause in all RPS contracts that requires “CPUC Approval” of a PPA to include an explicit finding that “</w:t>
      </w:r>
      <w:r>
        <w:rPr>
          <w:rFonts w:ascii="Palatino Linotype" w:hAnsi="Palatino Linotype"/>
          <w:szCs w:val="26"/>
          <w:u w:val="single"/>
        </w:rPr>
        <w:t>any procurement pursuant to this Agreement is procurement from an eligible renewable energy resource for purposes of determining Buyer's compliance with any obligation that it may have to procure eligible renewable energy resources pursuant to the California Renewables Portfolio Standard (</w:t>
      </w:r>
      <w:r>
        <w:rPr>
          <w:rFonts w:ascii="Palatino Linotype" w:hAnsi="Palatino Linotype"/>
          <w:i/>
          <w:iCs/>
          <w:szCs w:val="26"/>
          <w:u w:val="single"/>
        </w:rPr>
        <w:t>Public Utilities Code Section 399.11</w:t>
      </w:r>
      <w:r>
        <w:rPr>
          <w:rFonts w:ascii="Palatino Linotype" w:hAnsi="Palatino Linotype"/>
          <w:szCs w:val="26"/>
          <w:u w:val="single"/>
        </w:rPr>
        <w:t xml:space="preserve"> </w:t>
      </w:r>
      <w:r>
        <w:rPr>
          <w:rFonts w:ascii="Palatino Linotype" w:hAnsi="Palatino Linotype"/>
          <w:i/>
          <w:iCs/>
          <w:szCs w:val="26"/>
          <w:u w:val="single"/>
        </w:rPr>
        <w:t>et seq.</w:t>
      </w:r>
      <w:r>
        <w:rPr>
          <w:rFonts w:ascii="Palatino Linotype" w:hAnsi="Palatino Linotype"/>
          <w:szCs w:val="26"/>
          <w:u w:val="single"/>
        </w:rPr>
        <w:t>), D.11-12-020 and D.11-12-052, or other applicable law.</w:t>
      </w:r>
      <w:r>
        <w:rPr>
          <w:rFonts w:ascii="Palatino Linotype" w:hAnsi="Palatino Linotype"/>
          <w:szCs w:val="26"/>
        </w:rPr>
        <w:t>”</w:t>
      </w:r>
      <w:r>
        <w:rPr>
          <w:rStyle w:val="FootnoteReference"/>
          <w:rFonts w:ascii="Palatino Linotype" w:hAnsi="Palatino Linotype"/>
          <w:szCs w:val="26"/>
        </w:rPr>
        <w:footnoteReference w:id="32"/>
      </w:r>
    </w:p>
    <w:p w14:paraId="059115FB" w14:textId="77777777" w:rsidR="00AB2BC1" w:rsidRDefault="00AB2BC1" w:rsidP="00AB2BC1">
      <w:pPr>
        <w:spacing w:after="120"/>
        <w:rPr>
          <w:rFonts w:ascii="Palatino Linotype" w:hAnsi="Palatino Linotype"/>
          <w:szCs w:val="26"/>
        </w:rPr>
      </w:pPr>
      <w:r>
        <w:rPr>
          <w:rFonts w:ascii="Palatino Linotype" w:hAnsi="Palatino Linotype"/>
          <w:szCs w:val="26"/>
        </w:rPr>
        <w:t xml:space="preserve">Notwithstanding this language, the Commission has no jurisdiction to determine whether a project is an eligible renewable energy resource, nor can the Commission determine prior to final CEC certification of a project, that “any procurement” pursuant to a specific contract will be “procurement from an eligible renewable energy resource.”  </w:t>
      </w:r>
    </w:p>
    <w:p w14:paraId="2A04DF4E" w14:textId="77777777" w:rsidR="00AB2BC1" w:rsidRDefault="00AB2BC1" w:rsidP="00AB2BC1">
      <w:pPr>
        <w:spacing w:after="240"/>
        <w:rPr>
          <w:rFonts w:ascii="Palatino Linotype" w:hAnsi="Palatino Linotype"/>
        </w:rPr>
      </w:pPr>
      <w:r>
        <w:rPr>
          <w:rFonts w:ascii="Palatino Linotype" w:hAnsi="Palatino Linotype"/>
        </w:rPr>
        <w:lastRenderedPageBreak/>
        <w:t xml:space="preserve">Therefore, while we include the required finding here, </w:t>
      </w:r>
      <w:r>
        <w:rPr>
          <w:rFonts w:ascii="Palatino Linotype" w:hAnsi="Palatino Linotype"/>
          <w:u w:val="single"/>
        </w:rPr>
        <w:t>this finding has never been intended, and shall not be read now, to allow the generation from a non-RPS-eligible resource to count towards an RPS compliance obligation.  Nor shall such finding absolve the seller of its obligation to obtain CEC certification, or the utility of its obligation to pursue remedies for breach of contract</w:t>
      </w:r>
      <w:r>
        <w:rPr>
          <w:rFonts w:ascii="Palatino Linotype" w:hAnsi="Palatino Linotype"/>
        </w:rPr>
        <w:t>.  Such contract enforcement activities shall be reviewed pursuant to the Commission’s authority to review the utilities’ administration of such contracts.</w:t>
      </w:r>
    </w:p>
    <w:p w14:paraId="17F771C1" w14:textId="77777777" w:rsidR="003710BE" w:rsidRDefault="003710BE" w:rsidP="003710BE">
      <w:pPr>
        <w:pStyle w:val="Heading1"/>
        <w:spacing w:before="0" w:after="120"/>
      </w:pPr>
      <w:r>
        <w:t>PUBLIC SAFETY</w:t>
      </w:r>
    </w:p>
    <w:p w14:paraId="0AD3B85B" w14:textId="77777777" w:rsidR="00B82E63" w:rsidRDefault="00B82E63" w:rsidP="008A1FA6">
      <w:pPr>
        <w:pStyle w:val="BodyText"/>
        <w:spacing w:after="120"/>
        <w:rPr>
          <w:b w:val="0"/>
        </w:rPr>
      </w:pPr>
      <w:r>
        <w:rPr>
          <w:b w:val="0"/>
          <w:bCs/>
        </w:rPr>
        <w:t xml:space="preserve">California Public Utilities Code Section 451 requires that every public utility maintain adequate, efficient, just, and reasonable service, instrumentalities, equipment and facilities to ensure the safety, health, and comfort of the public. </w:t>
      </w:r>
    </w:p>
    <w:p w14:paraId="77543A38" w14:textId="77777777" w:rsidR="002A033E" w:rsidRPr="002A033E" w:rsidRDefault="00B82E63" w:rsidP="002A033E">
      <w:pPr>
        <w:pStyle w:val="BodyText"/>
        <w:rPr>
          <w:b w:val="0"/>
          <w:bCs/>
        </w:rPr>
      </w:pPr>
      <w:r>
        <w:rPr>
          <w:b w:val="0"/>
          <w:bCs/>
        </w:rPr>
        <w:t xml:space="preserve">This resolution approves </w:t>
      </w:r>
      <w:r w:rsidR="002A033E">
        <w:rPr>
          <w:b w:val="0"/>
          <w:bCs/>
        </w:rPr>
        <w:t>80 PPAs for renewable feed-in tariff proj</w:t>
      </w:r>
      <w:r w:rsidR="002A033E" w:rsidRPr="002A033E">
        <w:rPr>
          <w:b w:val="0"/>
          <w:bCs/>
        </w:rPr>
        <w:t>ects and is not expected to result in any adverse safety impacts on the facilities or operations of SCE.</w:t>
      </w:r>
      <w:r w:rsidR="002A033E">
        <w:rPr>
          <w:bCs/>
        </w:rPr>
        <w:t xml:space="preserve"> </w:t>
      </w:r>
    </w:p>
    <w:p w14:paraId="754A7B43" w14:textId="77777777" w:rsidR="00F5600A" w:rsidRDefault="00F5600A" w:rsidP="008A1FA6">
      <w:pPr>
        <w:pStyle w:val="Heading1"/>
        <w:spacing w:before="240" w:after="120"/>
      </w:pPr>
      <w:r>
        <w:t>Comments</w:t>
      </w:r>
    </w:p>
    <w:p w14:paraId="4567C262" w14:textId="77777777" w:rsidR="00F5600A" w:rsidRDefault="00F5600A" w:rsidP="00433E84">
      <w:pPr>
        <w:spacing w:after="120"/>
      </w:pPr>
      <w:r>
        <w:t xml:space="preserve">Public Utilities Code Section 311(g)(1) provides that this Resolution must be served on all parties and subject to at least 30 days public review and comment prior to a vote of the Commission.  Section 311(g)(2) provides that this 30-day period may be reduced or waived upon the stipulation of all parties in the proceeding.  </w:t>
      </w:r>
    </w:p>
    <w:p w14:paraId="38990BFC" w14:textId="006A6277" w:rsidR="004B08DC" w:rsidRDefault="004B08DC" w:rsidP="004B08DC">
      <w:pPr>
        <w:spacing w:after="120"/>
        <w:rPr>
          <w:rFonts w:eastAsia="MS Mincho"/>
        </w:rPr>
      </w:pPr>
      <w:r w:rsidRPr="00AE6A3A">
        <w:rPr>
          <w:rFonts w:eastAsia="MS Mincho"/>
        </w:rPr>
        <w:t xml:space="preserve">The 30-day comment period for the draft of this resolution </w:t>
      </w:r>
      <w:r>
        <w:rPr>
          <w:rFonts w:eastAsia="MS Mincho"/>
        </w:rPr>
        <w:t>was neither waived nor reduced. Accordingly, the draft of this resolution was mailed to parties for comments on May 28, 2013.</w:t>
      </w:r>
    </w:p>
    <w:p w14:paraId="626D88FA" w14:textId="77777777" w:rsidR="004B08DC" w:rsidRDefault="004B08DC" w:rsidP="004B08DC">
      <w:pPr>
        <w:spacing w:after="120"/>
        <w:rPr>
          <w:rFonts w:eastAsia="MS Mincho"/>
        </w:rPr>
      </w:pPr>
      <w:r>
        <w:rPr>
          <w:rFonts w:eastAsia="MS Mincho"/>
        </w:rPr>
        <w:t xml:space="preserve">Comments were timely received on June 17, 2013 from SCE; ImMODO Corporation (ImMODO); the Green Power Institute (GPI); the Independent Energy Producers Association (IEP); and the Clean Coalition.  </w:t>
      </w:r>
    </w:p>
    <w:p w14:paraId="1F2CD522" w14:textId="77777777" w:rsidR="004B08DC" w:rsidRDefault="004B08DC" w:rsidP="004B08DC">
      <w:pPr>
        <w:spacing w:after="120"/>
        <w:rPr>
          <w:rFonts w:eastAsia="MS Mincho"/>
        </w:rPr>
      </w:pPr>
      <w:r>
        <w:rPr>
          <w:rFonts w:eastAsia="MS Mincho"/>
        </w:rPr>
        <w:t xml:space="preserve">SCE, ImMODO, GPI, and Clean Coalition offer general support for approval of the draft resolution with modifications. </w:t>
      </w:r>
    </w:p>
    <w:p w14:paraId="15F94BED" w14:textId="77777777" w:rsidR="004B08DC" w:rsidRDefault="004B08DC" w:rsidP="004B08DC">
      <w:pPr>
        <w:spacing w:after="120"/>
        <w:rPr>
          <w:rFonts w:eastAsia="MS Mincho"/>
        </w:rPr>
      </w:pPr>
      <w:r>
        <w:rPr>
          <w:rFonts w:eastAsia="MS Mincho"/>
        </w:rPr>
        <w:t xml:space="preserve">IEP opposes the draft resolution. </w:t>
      </w:r>
    </w:p>
    <w:p w14:paraId="17E27D05" w14:textId="77777777" w:rsidR="004B08DC" w:rsidRDefault="004B08DC" w:rsidP="004B08DC">
      <w:pPr>
        <w:spacing w:after="120"/>
        <w:rPr>
          <w:rFonts w:eastAsia="MS Mincho"/>
        </w:rPr>
      </w:pPr>
      <w:r>
        <w:rPr>
          <w:rFonts w:eastAsia="MS Mincho"/>
        </w:rPr>
        <w:t xml:space="preserve">The substance of these comments is addressed below. </w:t>
      </w:r>
    </w:p>
    <w:p w14:paraId="66E2EBF3" w14:textId="77777777" w:rsidR="001F037F" w:rsidRDefault="001F037F" w:rsidP="004B08DC">
      <w:pPr>
        <w:spacing w:before="120" w:after="120"/>
        <w:rPr>
          <w:rFonts w:eastAsia="MS Mincho"/>
          <w:i/>
          <w:u w:val="single"/>
        </w:rPr>
      </w:pPr>
    </w:p>
    <w:p w14:paraId="2A82BFE4" w14:textId="77777777" w:rsidR="001F037F" w:rsidRDefault="001F037F" w:rsidP="004B08DC">
      <w:pPr>
        <w:spacing w:before="120" w:after="120"/>
        <w:rPr>
          <w:rFonts w:eastAsia="MS Mincho"/>
          <w:i/>
          <w:u w:val="single"/>
        </w:rPr>
      </w:pPr>
    </w:p>
    <w:p w14:paraId="750855E8" w14:textId="77777777" w:rsidR="004B08DC" w:rsidRPr="0055323C" w:rsidRDefault="004B08DC" w:rsidP="004B08DC">
      <w:pPr>
        <w:spacing w:before="120" w:after="120"/>
        <w:rPr>
          <w:rFonts w:eastAsia="MS Mincho"/>
          <w:i/>
          <w:u w:val="single"/>
        </w:rPr>
      </w:pPr>
      <w:r w:rsidRPr="0055323C">
        <w:rPr>
          <w:rFonts w:eastAsia="MS Mincho"/>
          <w:i/>
          <w:u w:val="single"/>
        </w:rPr>
        <w:lastRenderedPageBreak/>
        <w:t>Extension of Commercial Operation Date</w:t>
      </w:r>
    </w:p>
    <w:p w14:paraId="5BD49B71" w14:textId="77777777" w:rsidR="004B08DC" w:rsidRPr="003413E1" w:rsidRDefault="004B08DC" w:rsidP="004B08DC">
      <w:pPr>
        <w:rPr>
          <w:rFonts w:eastAsia="MS Mincho"/>
        </w:rPr>
      </w:pPr>
      <w:r w:rsidRPr="0055323C">
        <w:rPr>
          <w:rFonts w:eastAsia="MS Mincho"/>
        </w:rPr>
        <w:t xml:space="preserve">SCE and ImMODO </w:t>
      </w:r>
      <w:r w:rsidR="006D43E7" w:rsidRPr="0055323C">
        <w:rPr>
          <w:rFonts w:eastAsia="MS Mincho"/>
        </w:rPr>
        <w:t xml:space="preserve">both </w:t>
      </w:r>
      <w:r w:rsidRPr="0055323C">
        <w:rPr>
          <w:rFonts w:eastAsia="MS Mincho"/>
        </w:rPr>
        <w:t>commented on the section of the draft resolution that addressed whether the delay associated with the Commission’s processing of AL 2870-E/E-A warrants an extension of the COD requirement for these CREST projects.</w:t>
      </w:r>
      <w:r>
        <w:rPr>
          <w:rFonts w:eastAsia="MS Mincho"/>
        </w:rPr>
        <w:t xml:space="preserve"> </w:t>
      </w:r>
      <w:r w:rsidR="006D43E7">
        <w:rPr>
          <w:rFonts w:eastAsia="MS Mincho"/>
        </w:rPr>
        <w:t xml:space="preserve">The substance of these comments is addressed above in the section of this resolution </w:t>
      </w:r>
      <w:r w:rsidR="003413E1">
        <w:rPr>
          <w:rFonts w:eastAsia="MS Mincho"/>
        </w:rPr>
        <w:t xml:space="preserve">titled </w:t>
      </w:r>
      <w:r w:rsidR="003413E1">
        <w:rPr>
          <w:rFonts w:eastAsia="MS Mincho"/>
          <w:i/>
        </w:rPr>
        <w:t>“Regulatory Delay</w:t>
      </w:r>
      <w:r w:rsidR="003413E1">
        <w:rPr>
          <w:rFonts w:eastAsia="MS Mincho"/>
        </w:rPr>
        <w:t xml:space="preserve">.” </w:t>
      </w:r>
    </w:p>
    <w:p w14:paraId="065C2921" w14:textId="77777777" w:rsidR="004B08DC" w:rsidRDefault="004B08DC" w:rsidP="004B08DC">
      <w:pPr>
        <w:rPr>
          <w:rFonts w:eastAsia="MS Mincho"/>
        </w:rPr>
      </w:pPr>
    </w:p>
    <w:p w14:paraId="18A279C2" w14:textId="77777777" w:rsidR="004B08DC" w:rsidRDefault="004B08DC" w:rsidP="004B08DC">
      <w:pPr>
        <w:spacing w:after="120"/>
        <w:rPr>
          <w:rFonts w:eastAsia="MS Mincho"/>
          <w:i/>
          <w:u w:val="single"/>
        </w:rPr>
      </w:pPr>
      <w:r>
        <w:rPr>
          <w:rFonts w:eastAsia="MS Mincho"/>
          <w:i/>
          <w:u w:val="single"/>
        </w:rPr>
        <w:t xml:space="preserve">SCE’s Need for Additional FIT Capacity </w:t>
      </w:r>
    </w:p>
    <w:p w14:paraId="2C25C5BE" w14:textId="77777777" w:rsidR="004B08DC" w:rsidRDefault="004B08DC" w:rsidP="004B08DC">
      <w:pPr>
        <w:spacing w:after="120"/>
        <w:rPr>
          <w:rFonts w:eastAsia="MS Mincho"/>
        </w:rPr>
      </w:pPr>
      <w:r>
        <w:rPr>
          <w:rFonts w:eastAsia="MS Mincho"/>
        </w:rPr>
        <w:t xml:space="preserve">Clean Coalition, SCE, GPI, and IEP submitted comments related to various aspects of whether the capacity associated with these contracts should constitute an expansion of SCE’s FIT program or whether SCE has a compliance need for this additional FIT capacity. The draft version of this resolution found that the capacity associated with these contracts does, in fact, constitute a voluntary expansion of SCE’s FIT program. Further, the draft version of this resolution did not evaluate whether SCE has an RPS compliance need for this additional capacity on the basis that D.07-07-027 authorized excess FIT procurement at the utility’s discretion without requiring a prior demonstration of need. </w:t>
      </w:r>
    </w:p>
    <w:p w14:paraId="401FE1B1" w14:textId="77777777" w:rsidR="004B08DC" w:rsidRDefault="004B08DC" w:rsidP="004B08DC">
      <w:pPr>
        <w:spacing w:after="120"/>
        <w:rPr>
          <w:rFonts w:eastAsia="MS Mincho"/>
        </w:rPr>
      </w:pPr>
      <w:r w:rsidRPr="00E0652B">
        <w:rPr>
          <w:rFonts w:eastAsia="MS Mincho"/>
        </w:rPr>
        <w:t xml:space="preserve">Clean Coalition supports the draft resolution but urges the Commission to adopt a different rationale to justify </w:t>
      </w:r>
      <w:r w:rsidRPr="00D34968">
        <w:rPr>
          <w:rFonts w:eastAsia="MS Mincho"/>
        </w:rPr>
        <w:t>approval.</w:t>
      </w:r>
      <w:r>
        <w:rPr>
          <w:rFonts w:eastAsia="MS Mincho"/>
        </w:rPr>
        <w:t xml:space="preserve"> Clean Coalition recommends that the Commission rely on SB 380, the legislative change which removed the water/wastewater distinction from the Section 399.20 FIT statute, rather than, as the draft of this resolution did, on the authority provided in D.07-07-027 for the utility to procure excess FIT contracts, subject to Commission review. </w:t>
      </w:r>
    </w:p>
    <w:p w14:paraId="22220AB6" w14:textId="77777777" w:rsidR="004B08DC" w:rsidRDefault="004B08DC" w:rsidP="004B08DC">
      <w:pPr>
        <w:spacing w:after="120"/>
        <w:rPr>
          <w:rFonts w:eastAsia="MS Mincho"/>
        </w:rPr>
      </w:pPr>
      <w:r>
        <w:rPr>
          <w:rFonts w:eastAsia="MS Mincho"/>
        </w:rPr>
        <w:t xml:space="preserve">The Commission disagrees because SB 380’s modifications to the Section 399.20 FIT statute were not implemented until May 2013, when the Commission adopted D.13-05-034. The relevant authority at the time that these contracts were executed was D.07-07-027, and that decision authorized the utility to procure additional FIT contracts. </w:t>
      </w:r>
    </w:p>
    <w:p w14:paraId="0F019F91" w14:textId="77777777" w:rsidR="004B08DC" w:rsidRDefault="004B08DC" w:rsidP="004B08DC">
      <w:pPr>
        <w:spacing w:after="120"/>
        <w:rPr>
          <w:rFonts w:eastAsia="MS Mincho"/>
        </w:rPr>
      </w:pPr>
      <w:r>
        <w:rPr>
          <w:rFonts w:eastAsia="MS Mincho"/>
        </w:rPr>
        <w:t xml:space="preserve">SCE supports the draft resolution but seeks modification of the treatment of the capacity associated with these contracts as an incremental expansion of its FIT program. Rather, SCE reiterates the position that it expressed in its reply to party protests to AL 2870-E that the Commission should treat the capacity associated with these contracts as satisfying its existing cumulative capacity target for its Section 399.20 FIT program. </w:t>
      </w:r>
    </w:p>
    <w:p w14:paraId="4C534109" w14:textId="77777777" w:rsidR="004B08DC" w:rsidRDefault="004B08DC" w:rsidP="004B08DC">
      <w:pPr>
        <w:spacing w:after="120"/>
      </w:pPr>
      <w:r>
        <w:rPr>
          <w:rFonts w:eastAsia="MS Mincho"/>
        </w:rPr>
        <w:t xml:space="preserve">The Commission disagrees. As described above, however, D.07-07-027 and Resolution E-4137 clearly established separate procurement requirements on SCE for its CREST tariff and for its WATER tariff. As such, it would be improper to </w:t>
      </w:r>
      <w:r>
        <w:rPr>
          <w:rFonts w:eastAsia="MS Mincho"/>
        </w:rPr>
        <w:lastRenderedPageBreak/>
        <w:t>attribute the capacity associated with these excess CREST contracts against its WATER tariff procurement requirements.</w:t>
      </w:r>
      <w:r>
        <w:t xml:space="preserve"> These are separate tariffs and were designed to serve different customers.</w:t>
      </w:r>
    </w:p>
    <w:p w14:paraId="30F2DB6D" w14:textId="77777777" w:rsidR="004B08DC" w:rsidRDefault="004B08DC" w:rsidP="004B08DC">
      <w:pPr>
        <w:spacing w:after="120"/>
      </w:pPr>
      <w:r>
        <w:t xml:space="preserve">SCE also offered in its comments a modification to the Commission’s proposal to count the capacity associated with these CREST contracts as an incremental expansion of its FIT program. SCE proposes that the Commission clarify that SCE need </w:t>
      </w:r>
      <w:r>
        <w:rPr>
          <w:i/>
        </w:rPr>
        <w:t>not</w:t>
      </w:r>
      <w:r>
        <w:t xml:space="preserve"> re-contract for the capacity associated with any of these contracts in the event that one more of the contracts is terminated. </w:t>
      </w:r>
    </w:p>
    <w:p w14:paraId="6FD8A050" w14:textId="77777777" w:rsidR="004B08DC" w:rsidRDefault="004B08DC" w:rsidP="004B08DC">
      <w:pPr>
        <w:spacing w:after="120"/>
      </w:pPr>
      <w:r>
        <w:t xml:space="preserve">The Commission agrees with SCE that it need not re-contract for this capacity if a contract is terminated. The draft resolution has been modified accordingly. </w:t>
      </w:r>
    </w:p>
    <w:p w14:paraId="648B1459" w14:textId="77777777" w:rsidR="004B08DC" w:rsidRDefault="004B08DC" w:rsidP="004B08DC">
      <w:pPr>
        <w:spacing w:after="120"/>
        <w:rPr>
          <w:rFonts w:eastAsia="MS Mincho"/>
        </w:rPr>
      </w:pPr>
      <w:r>
        <w:rPr>
          <w:rFonts w:eastAsia="MS Mincho"/>
        </w:rPr>
        <w:t xml:space="preserve">GPI also supports the draft resolution but urges the CPUC to take a different perspective on how much of the capacity associated with these CREST contracts should constitute “excess capacity.” GPI contends that approximately 30% of renewable projects signing PPAs will fail to come online. As a result, GPI suggests that the Commission take this failure rate into account when determining at what point in time SCE exceeded its authorized CREST capacity cap of 123.8 MW. </w:t>
      </w:r>
    </w:p>
    <w:p w14:paraId="46987AC4" w14:textId="77777777" w:rsidR="004B08DC" w:rsidRDefault="004B08DC" w:rsidP="004B08DC">
      <w:pPr>
        <w:spacing w:after="120"/>
        <w:rPr>
          <w:rFonts w:eastAsia="MS Mincho"/>
        </w:rPr>
      </w:pPr>
      <w:r>
        <w:rPr>
          <w:rFonts w:eastAsia="MS Mincho"/>
        </w:rPr>
        <w:t>The Commission disagrees because SCE has an obligation to fully procure its FIT procurement requirement. In the event that one of its FIT contracts is terminated, SCE has an obligation to re-contract for that capacity to fulfill its program requirement</w:t>
      </w:r>
      <w:r w:rsidR="00B44AE0">
        <w:rPr>
          <w:rFonts w:eastAsia="MS Mincho"/>
        </w:rPr>
        <w:t xml:space="preserve"> </w:t>
      </w:r>
      <w:r w:rsidR="00B44AE0" w:rsidRPr="0055323C">
        <w:t>consistent with D.07-07-027, D.12-05-035, and D.13-05-034</w:t>
      </w:r>
      <w:r w:rsidR="00B44AE0" w:rsidRPr="009C769E">
        <w:t>.</w:t>
      </w:r>
      <w:r w:rsidR="00B44AE0">
        <w:t xml:space="preserve"> The draft resolution has been modified accordingly to clarify this in conjunction with the clarification noted above that</w:t>
      </w:r>
      <w:r w:rsidR="00B44AE0" w:rsidRPr="0055323C">
        <w:t xml:space="preserve"> </w:t>
      </w:r>
      <w:r w:rsidR="00B44AE0">
        <w:t xml:space="preserve">SCE need </w:t>
      </w:r>
      <w:r w:rsidR="00B44AE0">
        <w:rPr>
          <w:i/>
          <w:iCs/>
        </w:rPr>
        <w:t>not</w:t>
      </w:r>
      <w:r w:rsidR="00B44AE0">
        <w:t xml:space="preserve"> re-contract for capacity associated with any of the excess CREST contracts </w:t>
      </w:r>
      <w:r w:rsidR="00B44AE0" w:rsidRPr="0055323C">
        <w:t>which would take SCE beyond its 123.8 MW cap as authorized by D.07-07-027</w:t>
      </w:r>
      <w:r>
        <w:rPr>
          <w:rFonts w:eastAsia="MS Mincho"/>
        </w:rPr>
        <w:t xml:space="preserve">.  </w:t>
      </w:r>
    </w:p>
    <w:p w14:paraId="62AA8246" w14:textId="77777777" w:rsidR="004B08DC" w:rsidRDefault="004B08DC" w:rsidP="004B08DC">
      <w:pPr>
        <w:spacing w:after="120"/>
        <w:rPr>
          <w:rFonts w:eastAsia="MS Mincho"/>
        </w:rPr>
      </w:pPr>
      <w:r>
        <w:rPr>
          <w:rFonts w:eastAsia="MS Mincho"/>
        </w:rPr>
        <w:t xml:space="preserve">IEP does not support the draft resolution and argues that AL 2870-E/E-A should be rejected on various grounds. IEP contends that D.07-07-027 intended to limit the size of the CREST program and that SCE has not demonstrated an RPS compliance need for this incremental capacity. Further, IEP argues that SCE’s decision to voluntarily procure additional FIT capacity conflicts with its decision not to hold a 2012 large-scale RPS RFO, and that the Commission should reject these contracts and order SCE to meet this capacity need by holding such an RFO. </w:t>
      </w:r>
    </w:p>
    <w:p w14:paraId="4254A5CD" w14:textId="77777777" w:rsidR="004B08DC" w:rsidRDefault="004B08DC" w:rsidP="004B08DC">
      <w:pPr>
        <w:rPr>
          <w:rFonts w:eastAsia="MS Mincho"/>
        </w:rPr>
      </w:pPr>
      <w:r>
        <w:rPr>
          <w:rFonts w:eastAsia="MS Mincho"/>
        </w:rPr>
        <w:t xml:space="preserve">The Commission disagrees with IEP’s comments. As the resolution explains, D.07-07-027 provided the authority for SCE to voluntarily increase the size of its FIT program by filing an advice letter for Commission review. Additionally, as explained above, the Commission did not evaluate whether SCE has an RPS </w:t>
      </w:r>
      <w:r>
        <w:rPr>
          <w:rFonts w:eastAsia="MS Mincho"/>
        </w:rPr>
        <w:lastRenderedPageBreak/>
        <w:t>compliance need for this additional capacity on the basis that D.07-07-027 authorized excess FIT procurement at the utility’s discretion without requiring a prior demonstration of need.</w:t>
      </w:r>
    </w:p>
    <w:p w14:paraId="4469724E" w14:textId="77777777" w:rsidR="004B08DC" w:rsidRPr="00463B79" w:rsidRDefault="004B08DC" w:rsidP="004B08DC">
      <w:pPr>
        <w:rPr>
          <w:rFonts w:eastAsia="MS Mincho"/>
        </w:rPr>
      </w:pPr>
    </w:p>
    <w:p w14:paraId="1C52E318" w14:textId="77777777" w:rsidR="00C45DD6" w:rsidRPr="00C45DD6" w:rsidRDefault="00C45DD6" w:rsidP="00C45DD6">
      <w:pPr>
        <w:keepNext/>
        <w:spacing w:after="120"/>
        <w:outlineLvl w:val="0"/>
        <w:rPr>
          <w:rFonts w:ascii="Palatino Linotype" w:eastAsia="Calibri" w:hAnsi="Palatino Linotype"/>
          <w:b/>
          <w:caps/>
          <w:kern w:val="28"/>
          <w:szCs w:val="26"/>
          <w:u w:val="single"/>
        </w:rPr>
      </w:pPr>
      <w:r w:rsidRPr="00C45DD6">
        <w:rPr>
          <w:rFonts w:ascii="Helvetica" w:eastAsia="Calibri" w:hAnsi="Helvetica"/>
          <w:b/>
          <w:caps/>
          <w:kern w:val="28"/>
          <w:szCs w:val="26"/>
          <w:u w:val="single"/>
        </w:rPr>
        <w:t>Findings AND CONCLUSIONS</w:t>
      </w:r>
    </w:p>
    <w:p w14:paraId="32DED182" w14:textId="77777777" w:rsidR="00E36CF3" w:rsidRDefault="00E36CF3" w:rsidP="00E36CF3">
      <w:pPr>
        <w:numPr>
          <w:ilvl w:val="0"/>
          <w:numId w:val="9"/>
        </w:numPr>
        <w:spacing w:after="240" w:line="276" w:lineRule="auto"/>
        <w:ind w:left="360"/>
        <w:rPr>
          <w:rFonts w:ascii="Palatino Linotype" w:hAnsi="Palatino Linotype"/>
          <w:szCs w:val="26"/>
        </w:rPr>
      </w:pPr>
      <w:r w:rsidRPr="00E36CF3">
        <w:rPr>
          <w:rFonts w:ascii="Palatino Linotype" w:hAnsi="Palatino Linotype" w:cs="BookAntiqua"/>
          <w:szCs w:val="26"/>
        </w:rPr>
        <w:t>Pursuant to D.07-07-027, the cost of feed-in tariff contracts executed up to the tariff capacity caps as authorized by that decision are considered per se reasonable, in the public interest, and recoverable in rates over the life of the contracts</w:t>
      </w:r>
      <w:r>
        <w:rPr>
          <w:rFonts w:ascii="Palatino Linotype" w:hAnsi="Palatino Linotype" w:cs="BookAntiqua"/>
          <w:szCs w:val="26"/>
        </w:rPr>
        <w:t>.</w:t>
      </w:r>
    </w:p>
    <w:p w14:paraId="29182E23" w14:textId="77777777" w:rsidR="00E36CF3" w:rsidRDefault="00E36CF3" w:rsidP="00E36CF3">
      <w:pPr>
        <w:numPr>
          <w:ilvl w:val="0"/>
          <w:numId w:val="9"/>
        </w:numPr>
        <w:spacing w:after="240" w:line="276" w:lineRule="auto"/>
        <w:ind w:left="360"/>
        <w:rPr>
          <w:rFonts w:ascii="Palatino Linotype" w:hAnsi="Palatino Linotype"/>
          <w:szCs w:val="26"/>
        </w:rPr>
      </w:pPr>
      <w:r w:rsidRPr="00E36CF3">
        <w:rPr>
          <w:rFonts w:ascii="Palatino Linotype" w:hAnsi="Palatino Linotype"/>
          <w:szCs w:val="26"/>
        </w:rPr>
        <w:t xml:space="preserve">DRA’s protest </w:t>
      </w:r>
      <w:r w:rsidR="00F204E4">
        <w:rPr>
          <w:rFonts w:ascii="Palatino Linotype" w:hAnsi="Palatino Linotype"/>
          <w:szCs w:val="26"/>
        </w:rPr>
        <w:t xml:space="preserve">to AL 2870-E should be denied </w:t>
      </w:r>
      <w:r w:rsidRPr="00E36CF3">
        <w:rPr>
          <w:rFonts w:ascii="Palatino Linotype" w:hAnsi="Palatino Linotype"/>
          <w:szCs w:val="26"/>
        </w:rPr>
        <w:t xml:space="preserve">because it is </w:t>
      </w:r>
      <w:r w:rsidR="00A45408">
        <w:rPr>
          <w:rFonts w:ascii="Palatino Linotype" w:hAnsi="Palatino Linotype"/>
          <w:szCs w:val="26"/>
        </w:rPr>
        <w:t>beyond the scope of review for AL 2870-E</w:t>
      </w:r>
      <w:r w:rsidRPr="00E36CF3">
        <w:rPr>
          <w:rFonts w:ascii="Palatino Linotype" w:hAnsi="Palatino Linotype"/>
          <w:szCs w:val="26"/>
        </w:rPr>
        <w:t xml:space="preserve">. The review of AL 2870-E is limited to whether or not </w:t>
      </w:r>
      <w:r w:rsidR="00EE5C33">
        <w:rPr>
          <w:rFonts w:ascii="Palatino Linotype" w:hAnsi="Palatino Linotype"/>
          <w:szCs w:val="26"/>
        </w:rPr>
        <w:t>cost</w:t>
      </w:r>
      <w:r w:rsidR="00EE5C33" w:rsidRPr="00E36CF3">
        <w:rPr>
          <w:rFonts w:ascii="Palatino Linotype" w:hAnsi="Palatino Linotype"/>
          <w:szCs w:val="26"/>
        </w:rPr>
        <w:t xml:space="preserve"> </w:t>
      </w:r>
      <w:r w:rsidRPr="00E36CF3">
        <w:rPr>
          <w:rFonts w:ascii="Palatino Linotype" w:hAnsi="Palatino Linotype"/>
          <w:szCs w:val="26"/>
        </w:rPr>
        <w:t xml:space="preserve">recovery is appropriate pursuant to D.07-07-027. </w:t>
      </w:r>
    </w:p>
    <w:p w14:paraId="1FAEBA40" w14:textId="77777777" w:rsidR="00E36CF3" w:rsidRDefault="00E36CF3" w:rsidP="00E36CF3">
      <w:pPr>
        <w:numPr>
          <w:ilvl w:val="0"/>
          <w:numId w:val="9"/>
        </w:numPr>
        <w:spacing w:after="240" w:line="276" w:lineRule="auto"/>
        <w:ind w:left="360"/>
        <w:rPr>
          <w:rFonts w:ascii="Palatino Linotype" w:hAnsi="Palatino Linotype"/>
          <w:szCs w:val="26"/>
        </w:rPr>
      </w:pPr>
      <w:r w:rsidRPr="00E36CF3">
        <w:rPr>
          <w:rFonts w:ascii="Palatino Linotype" w:hAnsi="Palatino Linotype"/>
          <w:szCs w:val="26"/>
        </w:rPr>
        <w:t xml:space="preserve">The issues raised by David Fick, Ashlee Dalton, and Jackie Hanselman in protests to AL 2870-E are </w:t>
      </w:r>
      <w:r w:rsidR="00A45408">
        <w:rPr>
          <w:rFonts w:ascii="Palatino Linotype" w:hAnsi="Palatino Linotype"/>
          <w:szCs w:val="26"/>
        </w:rPr>
        <w:t>beyond the scope of review for AL 2870-E</w:t>
      </w:r>
      <w:r w:rsidRPr="00E36CF3">
        <w:rPr>
          <w:rFonts w:ascii="Palatino Linotype" w:hAnsi="Palatino Linotype"/>
          <w:szCs w:val="26"/>
        </w:rPr>
        <w:t xml:space="preserve">. The review of AL 2870-E is limited to whether or not </w:t>
      </w:r>
      <w:r w:rsidR="00EE5C33">
        <w:rPr>
          <w:rFonts w:ascii="Palatino Linotype" w:hAnsi="Palatino Linotype"/>
          <w:szCs w:val="26"/>
        </w:rPr>
        <w:t>cost</w:t>
      </w:r>
      <w:r w:rsidR="00EE5C33" w:rsidRPr="00E36CF3">
        <w:rPr>
          <w:rFonts w:ascii="Palatino Linotype" w:hAnsi="Palatino Linotype"/>
          <w:szCs w:val="26"/>
        </w:rPr>
        <w:t xml:space="preserve"> </w:t>
      </w:r>
      <w:r w:rsidRPr="00E36CF3">
        <w:rPr>
          <w:rFonts w:ascii="Palatino Linotype" w:hAnsi="Palatino Linotype"/>
          <w:szCs w:val="26"/>
        </w:rPr>
        <w:t xml:space="preserve">recovery is appropriate pursuant to D.07-07-027. </w:t>
      </w:r>
    </w:p>
    <w:p w14:paraId="0D2BF24F" w14:textId="77777777" w:rsidR="00E36CF3" w:rsidRDefault="00E36CF3" w:rsidP="00E36CF3">
      <w:pPr>
        <w:numPr>
          <w:ilvl w:val="0"/>
          <w:numId w:val="9"/>
        </w:numPr>
        <w:spacing w:after="240" w:line="276" w:lineRule="auto"/>
        <w:ind w:left="360"/>
        <w:rPr>
          <w:rFonts w:ascii="Palatino Linotype" w:hAnsi="Palatino Linotype"/>
          <w:szCs w:val="26"/>
        </w:rPr>
      </w:pPr>
      <w:r w:rsidRPr="00E36CF3">
        <w:rPr>
          <w:rFonts w:ascii="Palatino Linotype" w:hAnsi="Palatino Linotype"/>
          <w:szCs w:val="26"/>
        </w:rPr>
        <w:t xml:space="preserve">DRA’s protest </w:t>
      </w:r>
      <w:r w:rsidR="00F204E4">
        <w:rPr>
          <w:rFonts w:ascii="Palatino Linotype" w:hAnsi="Palatino Linotype"/>
          <w:szCs w:val="26"/>
        </w:rPr>
        <w:t xml:space="preserve">to </w:t>
      </w:r>
      <w:r w:rsidR="00F204E4" w:rsidRPr="00E36CF3">
        <w:rPr>
          <w:rFonts w:ascii="Palatino Linotype" w:hAnsi="Palatino Linotype"/>
          <w:szCs w:val="26"/>
        </w:rPr>
        <w:t xml:space="preserve">AL 2870-E-A </w:t>
      </w:r>
      <w:r w:rsidR="00F204E4">
        <w:rPr>
          <w:rFonts w:ascii="Palatino Linotype" w:hAnsi="Palatino Linotype"/>
          <w:szCs w:val="26"/>
        </w:rPr>
        <w:t xml:space="preserve">should be denied </w:t>
      </w:r>
      <w:r w:rsidRPr="00E36CF3">
        <w:rPr>
          <w:rFonts w:ascii="Palatino Linotype" w:hAnsi="Palatino Linotype"/>
          <w:szCs w:val="26"/>
        </w:rPr>
        <w:t xml:space="preserve">because it is </w:t>
      </w:r>
      <w:r w:rsidR="00A45408">
        <w:rPr>
          <w:rFonts w:ascii="Palatino Linotype" w:hAnsi="Palatino Linotype"/>
          <w:szCs w:val="26"/>
        </w:rPr>
        <w:t>beyond the scope of review for AL 2870-E</w:t>
      </w:r>
      <w:r w:rsidRPr="00E36CF3">
        <w:rPr>
          <w:rFonts w:ascii="Palatino Linotype" w:hAnsi="Palatino Linotype"/>
          <w:szCs w:val="26"/>
        </w:rPr>
        <w:t xml:space="preserve">. The review of AL 2870-E and supplemental AL 2870-E-A is limited to whether or not </w:t>
      </w:r>
      <w:r w:rsidR="00EE5C33">
        <w:rPr>
          <w:rFonts w:ascii="Palatino Linotype" w:hAnsi="Palatino Linotype"/>
          <w:szCs w:val="26"/>
        </w:rPr>
        <w:t>cost</w:t>
      </w:r>
      <w:r w:rsidR="00EE5C33" w:rsidRPr="00E36CF3">
        <w:rPr>
          <w:rFonts w:ascii="Palatino Linotype" w:hAnsi="Palatino Linotype"/>
          <w:szCs w:val="26"/>
        </w:rPr>
        <w:t xml:space="preserve"> </w:t>
      </w:r>
      <w:r w:rsidRPr="00E36CF3">
        <w:rPr>
          <w:rFonts w:ascii="Palatino Linotype" w:hAnsi="Palatino Linotype"/>
          <w:szCs w:val="26"/>
        </w:rPr>
        <w:t xml:space="preserve">recovery is appropriate pursuant to D.07-07-027. </w:t>
      </w:r>
    </w:p>
    <w:p w14:paraId="69FB77FE" w14:textId="77777777" w:rsidR="00E36CF3" w:rsidRDefault="00E36CF3" w:rsidP="00E36CF3">
      <w:pPr>
        <w:numPr>
          <w:ilvl w:val="0"/>
          <w:numId w:val="9"/>
        </w:numPr>
        <w:spacing w:after="240" w:line="276" w:lineRule="auto"/>
        <w:ind w:left="360"/>
        <w:rPr>
          <w:rFonts w:ascii="Palatino Linotype" w:hAnsi="Palatino Linotype"/>
          <w:szCs w:val="26"/>
        </w:rPr>
      </w:pPr>
      <w:r w:rsidRPr="00E36CF3">
        <w:rPr>
          <w:rFonts w:ascii="Palatino Linotype" w:hAnsi="Palatino Linotype"/>
          <w:szCs w:val="26"/>
        </w:rPr>
        <w:t xml:space="preserve">D.07-07-027 authorized the utilities to voluntarily exceed the allocated capacity limits for their respective feed-in tariff programs, and </w:t>
      </w:r>
      <w:r w:rsidR="00F204E4">
        <w:rPr>
          <w:rFonts w:ascii="Palatino Linotype" w:hAnsi="Palatino Linotype"/>
          <w:szCs w:val="26"/>
        </w:rPr>
        <w:t xml:space="preserve">required </w:t>
      </w:r>
      <w:r w:rsidRPr="00E36CF3">
        <w:rPr>
          <w:rFonts w:ascii="Palatino Linotype" w:hAnsi="Palatino Linotype"/>
          <w:szCs w:val="26"/>
        </w:rPr>
        <w:t xml:space="preserve">oversubscription </w:t>
      </w:r>
      <w:r w:rsidR="00F204E4">
        <w:rPr>
          <w:rFonts w:ascii="Palatino Linotype" w:hAnsi="Palatino Linotype"/>
          <w:szCs w:val="26"/>
        </w:rPr>
        <w:t>be subject to</w:t>
      </w:r>
      <w:r w:rsidRPr="00E36CF3">
        <w:rPr>
          <w:rFonts w:ascii="Palatino Linotype" w:hAnsi="Palatino Linotype"/>
          <w:szCs w:val="26"/>
        </w:rPr>
        <w:t xml:space="preserve"> Commission review via the submission of an advice letter. </w:t>
      </w:r>
    </w:p>
    <w:p w14:paraId="6F374D6C" w14:textId="77777777" w:rsidR="00E36CF3" w:rsidRDefault="00E36CF3" w:rsidP="00E36CF3">
      <w:pPr>
        <w:numPr>
          <w:ilvl w:val="0"/>
          <w:numId w:val="9"/>
        </w:numPr>
        <w:spacing w:after="240" w:line="276" w:lineRule="auto"/>
        <w:ind w:left="360"/>
        <w:rPr>
          <w:rFonts w:ascii="Palatino Linotype" w:hAnsi="Palatino Linotype"/>
          <w:szCs w:val="26"/>
        </w:rPr>
      </w:pPr>
      <w:r w:rsidRPr="00E36CF3">
        <w:rPr>
          <w:rFonts w:ascii="Palatino Linotype" w:hAnsi="Palatino Linotype"/>
          <w:szCs w:val="26"/>
        </w:rPr>
        <w:t xml:space="preserve">SCE exceeded its CREST program cap when it offered a standard CREST contract to the first project for which the entire capacity of that project was in excess of SCE’s 123.8 MW CREST program cap. </w:t>
      </w:r>
    </w:p>
    <w:p w14:paraId="37A215A1" w14:textId="77777777" w:rsidR="00E36CF3" w:rsidRDefault="00E36CF3" w:rsidP="00E36CF3">
      <w:pPr>
        <w:numPr>
          <w:ilvl w:val="0"/>
          <w:numId w:val="9"/>
        </w:numPr>
        <w:spacing w:after="240" w:line="276" w:lineRule="auto"/>
        <w:ind w:left="360"/>
        <w:rPr>
          <w:rFonts w:ascii="Palatino Linotype" w:hAnsi="Palatino Linotype"/>
          <w:szCs w:val="26"/>
        </w:rPr>
      </w:pPr>
      <w:r w:rsidRPr="00E36CF3">
        <w:rPr>
          <w:rFonts w:ascii="Palatino Linotype" w:hAnsi="Palatino Linotype"/>
          <w:szCs w:val="26"/>
        </w:rPr>
        <w:lastRenderedPageBreak/>
        <w:t xml:space="preserve">The eighty CREST PPAs submitted by SCE for approval via Advice Letter 2870-E and supplemental Advice Letter 2870-E-A qualify as oversubscription of its CREST tariff. </w:t>
      </w:r>
    </w:p>
    <w:p w14:paraId="6024A2D2" w14:textId="77777777" w:rsidR="00E36CF3" w:rsidRDefault="00E36CF3" w:rsidP="00E36CF3">
      <w:pPr>
        <w:numPr>
          <w:ilvl w:val="0"/>
          <w:numId w:val="9"/>
        </w:numPr>
        <w:spacing w:after="240" w:line="276" w:lineRule="auto"/>
        <w:ind w:left="360"/>
        <w:rPr>
          <w:rFonts w:ascii="Palatino Linotype" w:hAnsi="Palatino Linotype"/>
          <w:szCs w:val="26"/>
        </w:rPr>
      </w:pPr>
      <w:r w:rsidRPr="00E36CF3">
        <w:rPr>
          <w:rFonts w:ascii="Palatino Linotype" w:hAnsi="Palatino Linotype"/>
          <w:szCs w:val="26"/>
        </w:rPr>
        <w:t>Consistent with D.07-07-027, SCE submitted a Tier 3 advice letter seeking approval of this oversubscription in excess of its CREST program cap</w:t>
      </w:r>
      <w:r w:rsidR="00F204E4">
        <w:rPr>
          <w:rFonts w:ascii="Palatino Linotype" w:hAnsi="Palatino Linotype"/>
          <w:szCs w:val="26"/>
        </w:rPr>
        <w:t>.</w:t>
      </w:r>
    </w:p>
    <w:p w14:paraId="78872A40" w14:textId="77777777" w:rsidR="003805BA" w:rsidRDefault="00E36CF3" w:rsidP="003805BA">
      <w:pPr>
        <w:numPr>
          <w:ilvl w:val="0"/>
          <w:numId w:val="9"/>
        </w:numPr>
        <w:spacing w:after="240" w:line="276" w:lineRule="auto"/>
        <w:ind w:left="360"/>
        <w:rPr>
          <w:rFonts w:ascii="Palatino Linotype" w:hAnsi="Palatino Linotype"/>
          <w:szCs w:val="26"/>
        </w:rPr>
      </w:pPr>
      <w:r w:rsidRPr="00E36CF3">
        <w:rPr>
          <w:rFonts w:ascii="Palatino Linotype" w:hAnsi="Palatino Linotype"/>
          <w:szCs w:val="26"/>
        </w:rPr>
        <w:t>SCE’s oversubscription of its CREST tariff by 112.52 MW constitutes a voluntary expansion of its feed-in tariff program. The capacity associated with this oversubscription has no impact on SCE’s separate requirement, imposed by D.07-07-027 in its implementation of the statutory requirements of AB 1969, for SCE to procure 123.8 MW pursuant to its WATER tariff, available only to facilities owned and operated by public water or wastewater agency customers</w:t>
      </w:r>
      <w:r>
        <w:rPr>
          <w:rFonts w:ascii="Palatino Linotype" w:hAnsi="Palatino Linotype"/>
          <w:szCs w:val="26"/>
        </w:rPr>
        <w:t>.</w:t>
      </w:r>
    </w:p>
    <w:p w14:paraId="746CE2E4" w14:textId="77777777" w:rsidR="00B44AE0" w:rsidRDefault="003805BA" w:rsidP="00B44AE0">
      <w:pPr>
        <w:numPr>
          <w:ilvl w:val="0"/>
          <w:numId w:val="9"/>
        </w:numPr>
        <w:spacing w:after="240" w:line="276" w:lineRule="auto"/>
        <w:ind w:left="360"/>
        <w:rPr>
          <w:rFonts w:ascii="Palatino Linotype" w:hAnsi="Palatino Linotype"/>
          <w:szCs w:val="26"/>
        </w:rPr>
      </w:pPr>
      <w:r w:rsidRPr="0055323C">
        <w:t>SCE has no obligation, however, to re-contract for this 112.52 MW of FIT capacity in the event that any of these contracts result in termination, because SCE undertook this procurement on a voluntary basis. As a result, approval of SCE’s voluntary oversubscription of its FIT program does not generate a new obligation for SCE to maintain that voluntary capacity in the event of termination.</w:t>
      </w:r>
    </w:p>
    <w:p w14:paraId="10493898" w14:textId="77777777" w:rsidR="00B44AE0" w:rsidRPr="009C769E" w:rsidRDefault="00B44AE0" w:rsidP="00B44AE0">
      <w:pPr>
        <w:numPr>
          <w:ilvl w:val="0"/>
          <w:numId w:val="9"/>
        </w:numPr>
        <w:spacing w:after="240" w:line="276" w:lineRule="auto"/>
        <w:ind w:left="360"/>
        <w:rPr>
          <w:rFonts w:ascii="Palatino Linotype" w:hAnsi="Palatino Linotype"/>
          <w:szCs w:val="26"/>
        </w:rPr>
      </w:pPr>
      <w:r w:rsidRPr="0055323C">
        <w:t>In the event, however, that any CREST PPAs counting toward SCE’s 123.8 MW capacity requirement (i.e. not the oversubscribed contracts considered in this resolution) are terminated between the date that SCE filed AL 2870-E (March 26, 2013) and the date that this Resolution is approved by the Commission, SCE may attribute the capacity associated with the 80 PPAs approved herein to comply with the requirement imposed by D.07-07-027 for SCE to procure 123.8 MW pursuant to its CREST tariff.</w:t>
      </w:r>
    </w:p>
    <w:p w14:paraId="5A7E02C2" w14:textId="77777777" w:rsidR="00B24865" w:rsidRDefault="00B17B90" w:rsidP="00B24865">
      <w:pPr>
        <w:numPr>
          <w:ilvl w:val="0"/>
          <w:numId w:val="9"/>
        </w:numPr>
        <w:spacing w:after="240" w:line="276" w:lineRule="auto"/>
        <w:ind w:left="360"/>
        <w:rPr>
          <w:rFonts w:ascii="Palatino Linotype" w:hAnsi="Palatino Linotype"/>
          <w:szCs w:val="26"/>
        </w:rPr>
      </w:pPr>
      <w:r w:rsidRPr="0055323C">
        <w:t xml:space="preserve">The Commission finds that D.11-11-012 ordered SCE to adopt a specific contract provision verbatim from its RAM contract in its CREST PPA to accommodate reasonable delays in a project’s commercial operation date. Accordingly, it would be inappropriate now to modify this order of a Commission decision through the resolution process. </w:t>
      </w:r>
    </w:p>
    <w:p w14:paraId="5EA4DE2D" w14:textId="2F3CBF31" w:rsidR="00E36CF3" w:rsidRPr="00B24865" w:rsidRDefault="00E36CF3" w:rsidP="00B24865">
      <w:pPr>
        <w:numPr>
          <w:ilvl w:val="0"/>
          <w:numId w:val="9"/>
        </w:numPr>
        <w:spacing w:after="240" w:line="276" w:lineRule="auto"/>
        <w:ind w:left="360"/>
        <w:rPr>
          <w:rFonts w:ascii="Palatino Linotype" w:hAnsi="Palatino Linotype"/>
          <w:szCs w:val="26"/>
        </w:rPr>
      </w:pPr>
      <w:r w:rsidRPr="00B24865">
        <w:rPr>
          <w:rFonts w:ascii="Palatino Linotype" w:hAnsi="Palatino Linotype"/>
          <w:szCs w:val="26"/>
        </w:rPr>
        <w:lastRenderedPageBreak/>
        <w:t xml:space="preserve">The seventy-five (75) CREST PPAs filed for approval in Advice Letter 2870-E conform to the standard contract terms authorized by D.07-07-027, as modified by Resolution E-4137 and D.11-11-012. </w:t>
      </w:r>
    </w:p>
    <w:p w14:paraId="75EC3CFC" w14:textId="77777777" w:rsidR="00E36CF3" w:rsidRDefault="00E36CF3" w:rsidP="00E36CF3">
      <w:pPr>
        <w:numPr>
          <w:ilvl w:val="0"/>
          <w:numId w:val="9"/>
        </w:numPr>
        <w:spacing w:after="240" w:line="276" w:lineRule="auto"/>
        <w:ind w:left="360"/>
        <w:rPr>
          <w:rFonts w:ascii="Palatino Linotype" w:hAnsi="Palatino Linotype"/>
          <w:szCs w:val="26"/>
        </w:rPr>
      </w:pPr>
      <w:r w:rsidRPr="003413E1">
        <w:rPr>
          <w:rFonts w:ascii="Palatino Linotype" w:hAnsi="Palatino Linotype"/>
          <w:szCs w:val="26"/>
        </w:rPr>
        <w:t>The five (5) additional CREST PPAs filed for approval in supplemental Advice Letter 2870-E-A conform to the standard contract terms authorized by D.0</w:t>
      </w:r>
      <w:r w:rsidRPr="00E36CF3">
        <w:rPr>
          <w:rFonts w:ascii="Palatino Linotype" w:hAnsi="Palatino Linotype"/>
          <w:szCs w:val="26"/>
        </w:rPr>
        <w:t xml:space="preserve">7-07-027, as modified by Resolution E-4137 and D.11-11-012, with one exception. </w:t>
      </w:r>
    </w:p>
    <w:p w14:paraId="02EC8B2F" w14:textId="77777777" w:rsidR="00E36CF3" w:rsidRDefault="00E36CF3" w:rsidP="00E36CF3">
      <w:pPr>
        <w:numPr>
          <w:ilvl w:val="0"/>
          <w:numId w:val="9"/>
        </w:numPr>
        <w:spacing w:after="240" w:line="276" w:lineRule="auto"/>
        <w:ind w:left="360"/>
        <w:rPr>
          <w:rFonts w:ascii="Palatino Linotype" w:hAnsi="Palatino Linotype"/>
          <w:szCs w:val="26"/>
        </w:rPr>
      </w:pPr>
      <w:r w:rsidRPr="00E36CF3">
        <w:rPr>
          <w:rFonts w:ascii="Palatino Linotype" w:hAnsi="Palatino Linotype"/>
          <w:szCs w:val="26"/>
        </w:rPr>
        <w:t xml:space="preserve">SCE modified the 5 PPAs filed through supplemental Advice Letter 2870-E-A to include Amendment No. 1, which would allow either party to terminate the agreement if not approved by the Commission within 365 days and would relieve SCE of any obligation to pay for deliveries under the contract until Commission approval is obtained.  </w:t>
      </w:r>
    </w:p>
    <w:p w14:paraId="47A43250" w14:textId="77777777" w:rsidR="00E36CF3" w:rsidRDefault="00E36CF3" w:rsidP="00E36CF3">
      <w:pPr>
        <w:numPr>
          <w:ilvl w:val="0"/>
          <w:numId w:val="9"/>
        </w:numPr>
        <w:spacing w:after="240" w:line="276" w:lineRule="auto"/>
        <w:ind w:left="360"/>
        <w:rPr>
          <w:rFonts w:ascii="Palatino Linotype" w:hAnsi="Palatino Linotype"/>
          <w:szCs w:val="26"/>
        </w:rPr>
      </w:pPr>
      <w:r w:rsidRPr="00E36CF3">
        <w:rPr>
          <w:rFonts w:ascii="Palatino Linotype" w:hAnsi="Palatino Linotype"/>
          <w:szCs w:val="26"/>
        </w:rPr>
        <w:t xml:space="preserve">It would be inconsistent with D.07-07-027 to approve without modification the five additional CREST PPAs filed for approval in supplemental Advice Letter 2870-E-A. Consistent with D.07-07-027, the five PPAs filed in supplemental Advice Letter 2870-E-A should be modified to strike Amendment No. 1 from the agreements. </w:t>
      </w:r>
    </w:p>
    <w:p w14:paraId="012AEF4D" w14:textId="77777777" w:rsidR="00E36CF3" w:rsidRDefault="00E36CF3" w:rsidP="00E36CF3">
      <w:pPr>
        <w:numPr>
          <w:ilvl w:val="0"/>
          <w:numId w:val="9"/>
        </w:numPr>
        <w:spacing w:after="240" w:line="276" w:lineRule="auto"/>
        <w:ind w:left="360"/>
        <w:rPr>
          <w:rFonts w:ascii="Palatino Linotype" w:hAnsi="Palatino Linotype"/>
          <w:szCs w:val="26"/>
        </w:rPr>
      </w:pPr>
      <w:r w:rsidRPr="00E36CF3">
        <w:rPr>
          <w:rFonts w:ascii="Palatino Linotype" w:hAnsi="Palatino Linotype"/>
          <w:szCs w:val="26"/>
        </w:rPr>
        <w:t xml:space="preserve">The Commission finds that approval of SCE’s eighty CREST PPAs submitted via Advice Letter 2870-E/E-A would be consistent with the policy guidance in D.07-07-027 and the Governor’s 12,000 MW small scale distributed generation goal. </w:t>
      </w:r>
    </w:p>
    <w:p w14:paraId="672B04FB" w14:textId="77777777" w:rsidR="00A75EA4" w:rsidRPr="00A75EA4" w:rsidRDefault="00A75EA4" w:rsidP="00E36CF3">
      <w:pPr>
        <w:numPr>
          <w:ilvl w:val="0"/>
          <w:numId w:val="9"/>
        </w:numPr>
        <w:spacing w:after="240" w:line="276" w:lineRule="auto"/>
        <w:ind w:left="360"/>
        <w:rPr>
          <w:rFonts w:ascii="Palatino Linotype" w:hAnsi="Palatino Linotype"/>
          <w:szCs w:val="26"/>
        </w:rPr>
      </w:pPr>
      <w:r w:rsidRPr="0055323C">
        <w:t>As a result of the alternative basis for approval provided in D.07-07-027, the Commission does not separately evaluate whether SCE has demonstrated an RPS compliance need for this procurement.</w:t>
      </w:r>
    </w:p>
    <w:p w14:paraId="786B113C" w14:textId="77777777" w:rsidR="00E36CF3" w:rsidRDefault="00E36CF3" w:rsidP="00E36CF3">
      <w:pPr>
        <w:numPr>
          <w:ilvl w:val="0"/>
          <w:numId w:val="9"/>
        </w:numPr>
        <w:spacing w:after="240" w:line="276" w:lineRule="auto"/>
        <w:ind w:left="360"/>
        <w:rPr>
          <w:rFonts w:ascii="Palatino Linotype" w:hAnsi="Palatino Linotype"/>
          <w:szCs w:val="26"/>
        </w:rPr>
      </w:pPr>
      <w:r w:rsidRPr="00E36CF3">
        <w:rPr>
          <w:rFonts w:ascii="Palatino Linotype" w:hAnsi="Palatino Linotype"/>
          <w:szCs w:val="26"/>
        </w:rPr>
        <w:t xml:space="preserve">Pursuant to D.02-08-071, SCE’s Procurement Review Group participated in the review of the CREST PPAs considered in this resolution, and SCE has complied with the Commission’s rules for involving the PRG. </w:t>
      </w:r>
    </w:p>
    <w:p w14:paraId="3E81205C" w14:textId="77777777" w:rsidR="00E36CF3" w:rsidRDefault="00E36CF3" w:rsidP="00E36CF3">
      <w:pPr>
        <w:numPr>
          <w:ilvl w:val="0"/>
          <w:numId w:val="9"/>
        </w:numPr>
        <w:spacing w:after="240" w:line="276" w:lineRule="auto"/>
        <w:ind w:left="360"/>
        <w:rPr>
          <w:rFonts w:ascii="Palatino Linotype" w:hAnsi="Palatino Linotype"/>
          <w:szCs w:val="26"/>
        </w:rPr>
      </w:pPr>
      <w:r>
        <w:rPr>
          <w:rFonts w:ascii="Palatino Linotype" w:hAnsi="Palatino Linotype"/>
          <w:szCs w:val="26"/>
        </w:rPr>
        <w:lastRenderedPageBreak/>
        <w:t>A</w:t>
      </w:r>
      <w:r w:rsidRPr="00E36CF3">
        <w:rPr>
          <w:rFonts w:ascii="Palatino Linotype" w:hAnsi="Palatino Linotype"/>
          <w:szCs w:val="26"/>
        </w:rPr>
        <w:t xml:space="preserve">ny procurement pursuant to </w:t>
      </w:r>
      <w:r>
        <w:rPr>
          <w:rFonts w:ascii="Palatino Linotype" w:hAnsi="Palatino Linotype"/>
          <w:szCs w:val="26"/>
        </w:rPr>
        <w:t>these</w:t>
      </w:r>
      <w:r w:rsidRPr="00E36CF3">
        <w:rPr>
          <w:rFonts w:ascii="Palatino Linotype" w:hAnsi="Palatino Linotype"/>
          <w:szCs w:val="26"/>
        </w:rPr>
        <w:t xml:space="preserve"> Agreement</w:t>
      </w:r>
      <w:r>
        <w:rPr>
          <w:rFonts w:ascii="Palatino Linotype" w:hAnsi="Palatino Linotype"/>
          <w:szCs w:val="26"/>
        </w:rPr>
        <w:t>s</w:t>
      </w:r>
      <w:r w:rsidRPr="00E36CF3">
        <w:rPr>
          <w:rFonts w:ascii="Palatino Linotype" w:hAnsi="Palatino Linotype"/>
          <w:szCs w:val="26"/>
        </w:rPr>
        <w:t xml:space="preserve"> is procurement from an eligible renewable energy resource for purposes of determining Buyer's compliance with any obligation that it may have to procure eligible renewable energy resources pursuant to the California Renewables Portfolio Standard (</w:t>
      </w:r>
      <w:r w:rsidRPr="00E36CF3">
        <w:rPr>
          <w:rFonts w:ascii="Palatino Linotype" w:hAnsi="Palatino Linotype"/>
          <w:i/>
          <w:iCs/>
          <w:szCs w:val="26"/>
        </w:rPr>
        <w:t>Public Utilities Code Section 399.11</w:t>
      </w:r>
      <w:r w:rsidRPr="00E36CF3">
        <w:rPr>
          <w:rFonts w:ascii="Palatino Linotype" w:hAnsi="Palatino Linotype"/>
          <w:szCs w:val="26"/>
        </w:rPr>
        <w:t xml:space="preserve"> </w:t>
      </w:r>
      <w:r w:rsidRPr="00E36CF3">
        <w:rPr>
          <w:rFonts w:ascii="Palatino Linotype" w:hAnsi="Palatino Linotype"/>
          <w:i/>
          <w:iCs/>
          <w:szCs w:val="26"/>
        </w:rPr>
        <w:t>et seq.</w:t>
      </w:r>
      <w:r w:rsidRPr="00E36CF3">
        <w:rPr>
          <w:rFonts w:ascii="Palatino Linotype" w:hAnsi="Palatino Linotype"/>
          <w:szCs w:val="26"/>
        </w:rPr>
        <w:t>), D.11-12-020 and D.11-12-052, or other applicable law</w:t>
      </w:r>
      <w:r>
        <w:rPr>
          <w:rFonts w:ascii="Palatino Linotype" w:hAnsi="Palatino Linotype"/>
          <w:szCs w:val="26"/>
        </w:rPr>
        <w:t>.</w:t>
      </w:r>
    </w:p>
    <w:p w14:paraId="7AC3431C" w14:textId="77777777" w:rsidR="00FA1B96" w:rsidRDefault="00E36CF3" w:rsidP="00FA1B96">
      <w:pPr>
        <w:numPr>
          <w:ilvl w:val="0"/>
          <w:numId w:val="9"/>
        </w:numPr>
        <w:spacing w:after="240" w:line="276" w:lineRule="auto"/>
        <w:ind w:left="360"/>
        <w:rPr>
          <w:rFonts w:ascii="Palatino Linotype" w:hAnsi="Palatino Linotype"/>
          <w:szCs w:val="26"/>
        </w:rPr>
      </w:pPr>
      <w:r>
        <w:rPr>
          <w:rFonts w:ascii="Palatino Linotype" w:hAnsi="Palatino Linotype"/>
          <w:szCs w:val="26"/>
        </w:rPr>
        <w:t>T</w:t>
      </w:r>
      <w:r w:rsidRPr="00E36CF3">
        <w:rPr>
          <w:rFonts w:ascii="Palatino Linotype" w:hAnsi="Palatino Linotype"/>
          <w:szCs w:val="26"/>
        </w:rPr>
        <w:t>his finding has never been intended, and shall not be read now, to allow the generation from a non-RPS-eligible resource to count towards an RPS compliance obligation.  Nor shall such finding absolve the seller of its obligation to obtain CEC certification, or the utility of its obligation to pursue remedies for breach of contract</w:t>
      </w:r>
      <w:r>
        <w:rPr>
          <w:rFonts w:ascii="Palatino Linotype" w:hAnsi="Palatino Linotype"/>
          <w:szCs w:val="26"/>
        </w:rPr>
        <w:t>.</w:t>
      </w:r>
    </w:p>
    <w:p w14:paraId="2FF27346" w14:textId="77777777" w:rsidR="00FA1B96" w:rsidRPr="00FA1B96" w:rsidRDefault="00FA1B96" w:rsidP="00FA1B96">
      <w:pPr>
        <w:numPr>
          <w:ilvl w:val="0"/>
          <w:numId w:val="9"/>
        </w:numPr>
        <w:spacing w:after="240" w:line="276" w:lineRule="auto"/>
        <w:ind w:left="360"/>
        <w:rPr>
          <w:rFonts w:ascii="Palatino Linotype" w:hAnsi="Palatino Linotype"/>
          <w:szCs w:val="26"/>
        </w:rPr>
      </w:pPr>
      <w:r w:rsidRPr="00FA1B96">
        <w:rPr>
          <w:rFonts w:ascii="Palatino Linotype" w:hAnsi="Palatino Linotype"/>
          <w:szCs w:val="26"/>
        </w:rPr>
        <w:t>Timely comments were submitted on June 17, 2013 by Southern California Edison; ImMODO Corporation; the Green Power Institute; the Independent Energy Producers Association; and the Clean Coalition. These comments have been disposed of in this resolution.</w:t>
      </w:r>
    </w:p>
    <w:p w14:paraId="033CFFB4" w14:textId="77777777" w:rsidR="00FA1B96" w:rsidRDefault="00C27498" w:rsidP="0055323C">
      <w:pPr>
        <w:numPr>
          <w:ilvl w:val="0"/>
          <w:numId w:val="9"/>
        </w:numPr>
        <w:spacing w:after="240" w:line="276" w:lineRule="auto"/>
        <w:ind w:left="360"/>
        <w:rPr>
          <w:rFonts w:ascii="Palatino Linotype" w:hAnsi="Palatino Linotype"/>
          <w:szCs w:val="26"/>
        </w:rPr>
      </w:pPr>
      <w:r w:rsidRPr="00E36CF3">
        <w:rPr>
          <w:rFonts w:ascii="Palatino Linotype" w:hAnsi="Palatino Linotype"/>
          <w:szCs w:val="26"/>
        </w:rPr>
        <w:t xml:space="preserve">Southern California Edison’s Advice Letter 2870-E/E-A </w:t>
      </w:r>
      <w:r w:rsidR="00F204E4">
        <w:rPr>
          <w:rFonts w:ascii="Palatino Linotype" w:hAnsi="Palatino Linotype"/>
          <w:szCs w:val="26"/>
        </w:rPr>
        <w:t>should be</w:t>
      </w:r>
      <w:r w:rsidR="00F204E4" w:rsidRPr="00E36CF3">
        <w:rPr>
          <w:rFonts w:ascii="Palatino Linotype" w:hAnsi="Palatino Linotype"/>
          <w:szCs w:val="26"/>
        </w:rPr>
        <w:t xml:space="preserve"> </w:t>
      </w:r>
      <w:r w:rsidRPr="00E36CF3">
        <w:rPr>
          <w:rFonts w:ascii="Palatino Linotype" w:hAnsi="Palatino Linotype"/>
          <w:szCs w:val="26"/>
        </w:rPr>
        <w:t xml:space="preserve">approved with modification to </w:t>
      </w:r>
      <w:r w:rsidR="00E36CF3">
        <w:rPr>
          <w:rFonts w:ascii="Palatino Linotype" w:hAnsi="Palatino Linotype"/>
          <w:szCs w:val="26"/>
        </w:rPr>
        <w:t>require SCE to strike</w:t>
      </w:r>
      <w:r w:rsidRPr="00E36CF3">
        <w:rPr>
          <w:rFonts w:ascii="Palatino Linotype" w:hAnsi="Palatino Linotype"/>
          <w:szCs w:val="26"/>
        </w:rPr>
        <w:t xml:space="preserve"> Amendment No. 1 from the five PPAs filed through supplemental Advice Letter 2870-E-A. </w:t>
      </w:r>
    </w:p>
    <w:p w14:paraId="562A4381" w14:textId="77777777" w:rsidR="00FA1B96" w:rsidRPr="00FA1B96" w:rsidRDefault="00FA1B96" w:rsidP="00FA1B96">
      <w:pPr>
        <w:numPr>
          <w:ilvl w:val="0"/>
          <w:numId w:val="9"/>
        </w:numPr>
        <w:spacing w:after="240" w:line="276" w:lineRule="auto"/>
        <w:ind w:left="360"/>
        <w:rPr>
          <w:rFonts w:ascii="Palatino Linotype" w:hAnsi="Palatino Linotype"/>
          <w:szCs w:val="26"/>
        </w:rPr>
      </w:pPr>
      <w:r w:rsidRPr="009D2ECD">
        <w:t xml:space="preserve">Payments made </w:t>
      </w:r>
      <w:r>
        <w:t xml:space="preserve">by SCE </w:t>
      </w:r>
      <w:r w:rsidRPr="009D2ECD">
        <w:t>under the</w:t>
      </w:r>
      <w:r>
        <w:t>se eighty CREST</w:t>
      </w:r>
      <w:r w:rsidRPr="009D2ECD">
        <w:t xml:space="preserve"> PPA</w:t>
      </w:r>
      <w:r>
        <w:t>s</w:t>
      </w:r>
      <w:r w:rsidRPr="009D2ECD">
        <w:t xml:space="preserve"> are fully recoverable in rates over the life of the </w:t>
      </w:r>
      <w:r>
        <w:t>CREST</w:t>
      </w:r>
      <w:r w:rsidRPr="009D2ECD">
        <w:t xml:space="preserve"> PPA</w:t>
      </w:r>
      <w:r>
        <w:t>s</w:t>
      </w:r>
      <w:r w:rsidRPr="009D2ECD">
        <w:t xml:space="preserve">, subject to Commission review of </w:t>
      </w:r>
      <w:r>
        <w:t>SCE’s</w:t>
      </w:r>
      <w:r w:rsidRPr="009D2ECD">
        <w:t xml:space="preserve"> administration of the </w:t>
      </w:r>
      <w:r>
        <w:t>CREST</w:t>
      </w:r>
      <w:r w:rsidRPr="009D2ECD">
        <w:t xml:space="preserve"> PPA</w:t>
      </w:r>
      <w:r>
        <w:t>s</w:t>
      </w:r>
      <w:r w:rsidRPr="009D2ECD">
        <w:t>.</w:t>
      </w:r>
    </w:p>
    <w:p w14:paraId="2E6C7EAA" w14:textId="77777777" w:rsidR="00396E66" w:rsidRPr="00396E66" w:rsidRDefault="00396E66" w:rsidP="00396E66">
      <w:pPr>
        <w:keepNext/>
        <w:spacing w:after="120"/>
        <w:outlineLvl w:val="0"/>
        <w:rPr>
          <w:rFonts w:ascii="Helvetica" w:hAnsi="Helvetica"/>
          <w:b/>
          <w:caps/>
          <w:kern w:val="28"/>
          <w:szCs w:val="26"/>
          <w:u w:val="single"/>
        </w:rPr>
      </w:pPr>
      <w:r w:rsidRPr="00396E66">
        <w:rPr>
          <w:rFonts w:ascii="Helvetica" w:hAnsi="Helvetica"/>
          <w:b/>
          <w:caps/>
          <w:kern w:val="28"/>
          <w:szCs w:val="26"/>
          <w:u w:val="single"/>
        </w:rPr>
        <w:t>Therefore it is ordered that:</w:t>
      </w:r>
    </w:p>
    <w:p w14:paraId="1343FF3A" w14:textId="77777777" w:rsidR="007441E8" w:rsidRDefault="00C27498" w:rsidP="002B4019">
      <w:pPr>
        <w:numPr>
          <w:ilvl w:val="0"/>
          <w:numId w:val="4"/>
        </w:numPr>
        <w:spacing w:after="120" w:line="276" w:lineRule="auto"/>
        <w:ind w:hanging="450"/>
        <w:rPr>
          <w:rFonts w:ascii="Palatino Linotype" w:eastAsia="Calibri" w:hAnsi="Palatino Linotype"/>
          <w:szCs w:val="26"/>
        </w:rPr>
      </w:pPr>
      <w:r>
        <w:rPr>
          <w:rFonts w:ascii="Palatino Linotype" w:eastAsia="Calibri" w:hAnsi="Palatino Linotype" w:cs="BookAntiqua"/>
          <w:szCs w:val="26"/>
        </w:rPr>
        <w:t>Southern California Edison’s seventy-five (75) long-term power purchase agreements, as submitted in Advice Letter 2870-E, with various counterparties using the Commission’s pre-approved feed-in tariff standard contract are approved.</w:t>
      </w:r>
    </w:p>
    <w:p w14:paraId="32A301C7" w14:textId="0C5010E0" w:rsidR="00F85D64" w:rsidRDefault="00C27498" w:rsidP="00F85D64">
      <w:pPr>
        <w:numPr>
          <w:ilvl w:val="0"/>
          <w:numId w:val="4"/>
        </w:numPr>
        <w:spacing w:after="120" w:line="276" w:lineRule="auto"/>
        <w:ind w:left="446" w:hanging="446"/>
        <w:rPr>
          <w:rFonts w:ascii="Palatino Linotype" w:eastAsia="Calibri" w:hAnsi="Palatino Linotype"/>
          <w:szCs w:val="26"/>
        </w:rPr>
      </w:pPr>
      <w:r>
        <w:rPr>
          <w:rFonts w:ascii="Palatino Linotype" w:eastAsia="Calibri" w:hAnsi="Palatino Linotype"/>
          <w:szCs w:val="26"/>
        </w:rPr>
        <w:t xml:space="preserve">Southern California Edison’s five (5) long-term power purchase agreements, as submitted in supplemental Advice Letter 2870-E-A, with various </w:t>
      </w:r>
      <w:r>
        <w:rPr>
          <w:rFonts w:ascii="Palatino Linotype" w:eastAsia="Calibri" w:hAnsi="Palatino Linotype"/>
          <w:szCs w:val="26"/>
        </w:rPr>
        <w:lastRenderedPageBreak/>
        <w:t>counterparties using the Commission’s pre-approved feed-in tariff standard contract are approved</w:t>
      </w:r>
      <w:r w:rsidR="00E36CF3">
        <w:rPr>
          <w:rFonts w:ascii="Palatino Linotype" w:eastAsia="Calibri" w:hAnsi="Palatino Linotype"/>
          <w:szCs w:val="26"/>
        </w:rPr>
        <w:t xml:space="preserve">, </w:t>
      </w:r>
      <w:r w:rsidR="00D97438">
        <w:rPr>
          <w:rFonts w:ascii="Palatino Linotype" w:eastAsia="Calibri" w:hAnsi="Palatino Linotype"/>
          <w:szCs w:val="26"/>
        </w:rPr>
        <w:t xml:space="preserve">and </w:t>
      </w:r>
      <w:r w:rsidR="00E36CF3">
        <w:rPr>
          <w:rFonts w:ascii="Palatino Linotype" w:eastAsia="Calibri" w:hAnsi="Palatino Linotype"/>
          <w:szCs w:val="26"/>
        </w:rPr>
        <w:t xml:space="preserve">Southern California Edison </w:t>
      </w:r>
      <w:r w:rsidR="00D97438">
        <w:rPr>
          <w:rFonts w:ascii="Palatino Linotype" w:eastAsia="Calibri" w:hAnsi="Palatino Linotype"/>
          <w:szCs w:val="26"/>
        </w:rPr>
        <w:t xml:space="preserve">must file </w:t>
      </w:r>
      <w:r w:rsidR="00E36CF3">
        <w:rPr>
          <w:rFonts w:ascii="Palatino Linotype" w:eastAsia="Calibri" w:hAnsi="Palatino Linotype"/>
          <w:szCs w:val="26"/>
        </w:rPr>
        <w:t xml:space="preserve">a Tier 1 advice letter within 7 days of today demonstrating compliance </w:t>
      </w:r>
      <w:r w:rsidR="00F204E4">
        <w:rPr>
          <w:rFonts w:ascii="Palatino Linotype" w:eastAsia="Calibri" w:hAnsi="Palatino Linotype"/>
          <w:szCs w:val="26"/>
        </w:rPr>
        <w:t xml:space="preserve">with </w:t>
      </w:r>
      <w:r w:rsidR="00E36CF3">
        <w:rPr>
          <w:rFonts w:ascii="Palatino Linotype" w:eastAsia="Calibri" w:hAnsi="Palatino Linotype"/>
          <w:szCs w:val="26"/>
        </w:rPr>
        <w:t xml:space="preserve">this resolution’s requirement that </w:t>
      </w:r>
      <w:r>
        <w:rPr>
          <w:rFonts w:ascii="Palatino Linotype" w:eastAsia="Calibri" w:hAnsi="Palatino Linotype"/>
          <w:szCs w:val="26"/>
        </w:rPr>
        <w:t xml:space="preserve">Amendment No. 1 </w:t>
      </w:r>
      <w:r w:rsidR="000E1C86">
        <w:rPr>
          <w:rFonts w:ascii="Palatino Linotype" w:eastAsia="Calibri" w:hAnsi="Palatino Linotype"/>
          <w:szCs w:val="26"/>
        </w:rPr>
        <w:t xml:space="preserve">be </w:t>
      </w:r>
      <w:r w:rsidR="00E36CF3">
        <w:rPr>
          <w:rFonts w:ascii="Palatino Linotype" w:eastAsia="Calibri" w:hAnsi="Palatino Linotype"/>
          <w:szCs w:val="26"/>
        </w:rPr>
        <w:t xml:space="preserve">removed from these </w:t>
      </w:r>
      <w:r>
        <w:rPr>
          <w:rFonts w:ascii="Palatino Linotype" w:eastAsia="Calibri" w:hAnsi="Palatino Linotype"/>
          <w:szCs w:val="26"/>
        </w:rPr>
        <w:t xml:space="preserve">. </w:t>
      </w:r>
    </w:p>
    <w:p w14:paraId="3288017E" w14:textId="76A42A34" w:rsidR="0087364A" w:rsidRPr="00F85D64" w:rsidRDefault="0087364A" w:rsidP="00F85D64">
      <w:pPr>
        <w:numPr>
          <w:ilvl w:val="0"/>
          <w:numId w:val="4"/>
        </w:numPr>
        <w:spacing w:after="120" w:line="276" w:lineRule="auto"/>
        <w:ind w:left="446" w:hanging="446"/>
        <w:rPr>
          <w:rFonts w:ascii="Palatino Linotype" w:eastAsia="Calibri" w:hAnsi="Palatino Linotype"/>
          <w:szCs w:val="26"/>
        </w:rPr>
      </w:pPr>
      <w:r w:rsidRPr="00F85D64">
        <w:rPr>
          <w:rFonts w:ascii="Palatino Linotype" w:eastAsia="Calibri" w:hAnsi="Palatino Linotype"/>
          <w:szCs w:val="26"/>
        </w:rPr>
        <w:t>Southern Edison shall not attribute t</w:t>
      </w:r>
      <w:r w:rsidR="00182F70" w:rsidRPr="00F85D64">
        <w:rPr>
          <w:rFonts w:ascii="Palatino Linotype" w:eastAsia="Calibri" w:hAnsi="Palatino Linotype"/>
          <w:szCs w:val="26"/>
        </w:rPr>
        <w:t>he capacity associated with the eighty long-term power purchase agreements submitted in Advice Letter 2870-E/E-A</w:t>
      </w:r>
      <w:r w:rsidRPr="00F85D64">
        <w:rPr>
          <w:rFonts w:ascii="Palatino Linotype" w:eastAsia="Calibri" w:hAnsi="Palatino Linotype"/>
          <w:szCs w:val="26"/>
        </w:rPr>
        <w:t xml:space="preserve"> and approved by this resolution against the procurement requirement established for its feed-in tariff program for water/wastewater agencies as authorized by D.07-07-027.</w:t>
      </w:r>
      <w:r w:rsidR="00182F70" w:rsidRPr="00F85D64">
        <w:rPr>
          <w:rFonts w:ascii="Palatino Linotype" w:eastAsia="Calibri" w:hAnsi="Palatino Linotype"/>
          <w:szCs w:val="26"/>
        </w:rPr>
        <w:t xml:space="preserve"> </w:t>
      </w:r>
    </w:p>
    <w:p w14:paraId="26ADFC37" w14:textId="77777777" w:rsidR="0087364A" w:rsidRDefault="0087364A" w:rsidP="0087364A">
      <w:pPr>
        <w:tabs>
          <w:tab w:val="left" w:pos="720"/>
          <w:tab w:val="left" w:pos="1296"/>
          <w:tab w:val="left" w:pos="2016"/>
          <w:tab w:val="left" w:pos="2736"/>
          <w:tab w:val="left" w:pos="3456"/>
          <w:tab w:val="left" w:pos="4176"/>
          <w:tab w:val="left" w:pos="5760"/>
        </w:tabs>
        <w:spacing w:after="120" w:line="276" w:lineRule="auto"/>
        <w:rPr>
          <w:rFonts w:ascii="Palatino Linotype" w:eastAsia="Calibri" w:hAnsi="Palatino Linotype"/>
          <w:szCs w:val="26"/>
        </w:rPr>
      </w:pPr>
    </w:p>
    <w:p w14:paraId="7BB1A1B8" w14:textId="77777777" w:rsidR="00F5600A" w:rsidRPr="0087364A" w:rsidRDefault="00396E66" w:rsidP="0087364A">
      <w:pPr>
        <w:tabs>
          <w:tab w:val="left" w:pos="720"/>
          <w:tab w:val="left" w:pos="1296"/>
          <w:tab w:val="left" w:pos="2016"/>
          <w:tab w:val="left" w:pos="2736"/>
          <w:tab w:val="left" w:pos="3456"/>
          <w:tab w:val="left" w:pos="4176"/>
          <w:tab w:val="left" w:pos="5760"/>
        </w:tabs>
        <w:spacing w:after="120" w:line="276" w:lineRule="auto"/>
        <w:rPr>
          <w:rFonts w:ascii="Palatino Linotype" w:hAnsi="Palatino Linotype"/>
        </w:rPr>
      </w:pPr>
      <w:r w:rsidRPr="0087364A">
        <w:rPr>
          <w:rFonts w:ascii="Palatino Linotype" w:eastAsia="Calibri" w:hAnsi="Palatino Linotype"/>
          <w:szCs w:val="26"/>
        </w:rPr>
        <w:t>This Resolution is effective today.</w:t>
      </w:r>
    </w:p>
    <w:p w14:paraId="68960494" w14:textId="77777777" w:rsidR="00F5600A" w:rsidRPr="00600701" w:rsidRDefault="00F5600A">
      <w:pPr>
        <w:rPr>
          <w:rFonts w:ascii="Palatino Linotype" w:hAnsi="Palatino Linotype"/>
          <w:snapToGrid w:val="0"/>
        </w:rPr>
      </w:pPr>
      <w:r w:rsidRPr="00600701">
        <w:rPr>
          <w:rFonts w:ascii="Palatino Linotype" w:hAnsi="Palatino Linotype"/>
          <w:snapToGrid w:val="0"/>
        </w:rPr>
        <w:t xml:space="preserve">I certify that the foregoing </w:t>
      </w:r>
      <w:r>
        <w:rPr>
          <w:rFonts w:ascii="Palatino Linotype" w:hAnsi="Palatino Linotype"/>
          <w:snapToGrid w:val="0"/>
        </w:rPr>
        <w:t>Resolution</w:t>
      </w:r>
      <w:r w:rsidRPr="00600701">
        <w:rPr>
          <w:rFonts w:ascii="Palatino Linotype" w:hAnsi="Palatino Linotype"/>
          <w:snapToGrid w:val="0"/>
        </w:rPr>
        <w:t xml:space="preserve"> was duly introduced, passed and adopted at a conference of the Public Utilities Commission of the State of California</w:t>
      </w:r>
      <w:r>
        <w:rPr>
          <w:rFonts w:ascii="Palatino Linotype" w:hAnsi="Palatino Linotype"/>
          <w:snapToGrid w:val="0"/>
        </w:rPr>
        <w:t xml:space="preserve"> held on </w:t>
      </w:r>
      <w:r w:rsidR="007441E8">
        <w:rPr>
          <w:rFonts w:ascii="Palatino Linotype" w:hAnsi="Palatino Linotype"/>
          <w:snapToGrid w:val="0"/>
        </w:rPr>
        <w:t>June 27,</w:t>
      </w:r>
      <w:r w:rsidR="00DF5A40">
        <w:rPr>
          <w:rFonts w:ascii="Palatino Linotype" w:hAnsi="Palatino Linotype"/>
          <w:snapToGrid w:val="0"/>
        </w:rPr>
        <w:t xml:space="preserve"> 2013</w:t>
      </w:r>
      <w:r w:rsidRPr="00600701">
        <w:rPr>
          <w:rFonts w:ascii="Palatino Linotype" w:hAnsi="Palatino Linotype"/>
          <w:snapToGrid w:val="0"/>
        </w:rPr>
        <w:t>; the following Commissioners voting favorably thereon:</w:t>
      </w:r>
    </w:p>
    <w:p w14:paraId="5E3AA1D1" w14:textId="77777777" w:rsidR="00F5600A" w:rsidRDefault="00F5600A">
      <w:pPr>
        <w:tabs>
          <w:tab w:val="left" w:pos="720"/>
          <w:tab w:val="left" w:pos="1152"/>
          <w:tab w:val="left" w:pos="1728"/>
          <w:tab w:val="left" w:pos="3168"/>
          <w:tab w:val="left" w:pos="5040"/>
        </w:tabs>
        <w:ind w:right="144"/>
        <w:rPr>
          <w:rFonts w:ascii="Palatino Linotype" w:hAnsi="Palatino Linotype"/>
        </w:rPr>
      </w:pPr>
    </w:p>
    <w:p w14:paraId="0A5EB907" w14:textId="77777777" w:rsidR="00396C58" w:rsidRPr="00600701" w:rsidRDefault="00396C58">
      <w:pPr>
        <w:tabs>
          <w:tab w:val="left" w:pos="720"/>
          <w:tab w:val="left" w:pos="1152"/>
          <w:tab w:val="left" w:pos="1728"/>
          <w:tab w:val="left" w:pos="3168"/>
          <w:tab w:val="left" w:pos="5040"/>
        </w:tabs>
        <w:ind w:right="144"/>
        <w:rPr>
          <w:rFonts w:ascii="Palatino Linotype" w:hAnsi="Palatino Linotype"/>
        </w:rPr>
      </w:pPr>
    </w:p>
    <w:p w14:paraId="6EECFCCF" w14:textId="77777777" w:rsidR="00F5600A" w:rsidRPr="00600701" w:rsidRDefault="00F5600A">
      <w:pPr>
        <w:tabs>
          <w:tab w:val="left" w:pos="720"/>
          <w:tab w:val="left" w:pos="1152"/>
          <w:tab w:val="left" w:pos="1728"/>
          <w:tab w:val="left" w:pos="3168"/>
          <w:tab w:val="left" w:pos="5040"/>
        </w:tabs>
        <w:ind w:right="144"/>
        <w:rPr>
          <w:rFonts w:ascii="Palatino Linotype" w:hAnsi="Palatino Linotype"/>
        </w:rPr>
      </w:pPr>
    </w:p>
    <w:p w14:paraId="14AB850B" w14:textId="77777777" w:rsidR="00F5600A" w:rsidRPr="00600701" w:rsidRDefault="00F5600A">
      <w:pPr>
        <w:tabs>
          <w:tab w:val="left" w:pos="720"/>
          <w:tab w:val="left" w:pos="1152"/>
          <w:tab w:val="left" w:pos="1728"/>
          <w:tab w:val="left" w:pos="3168"/>
          <w:tab w:val="left" w:pos="5040"/>
        </w:tabs>
        <w:ind w:right="144"/>
        <w:rPr>
          <w:rFonts w:ascii="Palatino Linotype" w:hAnsi="Palatino Linotype"/>
        </w:rPr>
      </w:pPr>
      <w:r>
        <w:rPr>
          <w:rFonts w:ascii="Palatino Linotype" w:hAnsi="Palatino Linotype"/>
        </w:rPr>
        <w:tab/>
      </w:r>
      <w:r>
        <w:rPr>
          <w:rFonts w:ascii="Palatino Linotype" w:hAnsi="Palatino Linotype"/>
        </w:rPr>
        <w:tab/>
      </w:r>
      <w:r>
        <w:rPr>
          <w:rFonts w:ascii="Palatino Linotype" w:hAnsi="Palatino Linotype"/>
        </w:rPr>
        <w:tab/>
      </w:r>
      <w:r>
        <w:rPr>
          <w:rFonts w:ascii="Palatino Linotype" w:hAnsi="Palatino Linotype"/>
        </w:rPr>
        <w:tab/>
      </w:r>
      <w:r>
        <w:rPr>
          <w:rFonts w:ascii="Palatino Linotype" w:hAnsi="Palatino Linotype"/>
        </w:rPr>
        <w:tab/>
        <w:t xml:space="preserve">    </w:t>
      </w:r>
      <w:r w:rsidRPr="00600701">
        <w:rPr>
          <w:rFonts w:ascii="Palatino Linotype" w:hAnsi="Palatino Linotype"/>
        </w:rPr>
        <w:t xml:space="preserve"> _______________</w:t>
      </w:r>
    </w:p>
    <w:p w14:paraId="131BA36F" w14:textId="77777777" w:rsidR="00F5600A" w:rsidRPr="00600701" w:rsidRDefault="00F5600A">
      <w:pPr>
        <w:rPr>
          <w:rFonts w:ascii="Palatino Linotype" w:hAnsi="Palatino Linotype"/>
        </w:rPr>
      </w:pPr>
      <w:r>
        <w:rPr>
          <w:rFonts w:ascii="Palatino Linotype" w:hAnsi="Palatino Linotype"/>
        </w:rPr>
        <w:tab/>
      </w:r>
      <w:r>
        <w:rPr>
          <w:rFonts w:ascii="Palatino Linotype" w:hAnsi="Palatino Linotype"/>
        </w:rPr>
        <w:tab/>
      </w:r>
      <w:r>
        <w:rPr>
          <w:rFonts w:ascii="Palatino Linotype" w:hAnsi="Palatino Linotype"/>
        </w:rPr>
        <w:tab/>
      </w:r>
      <w:r>
        <w:rPr>
          <w:rFonts w:ascii="Palatino Linotype" w:hAnsi="Palatino Linotype"/>
        </w:rPr>
        <w:tab/>
      </w:r>
      <w:r>
        <w:rPr>
          <w:rFonts w:ascii="Palatino Linotype" w:hAnsi="Palatino Linotype"/>
        </w:rPr>
        <w:tab/>
      </w:r>
      <w:r>
        <w:rPr>
          <w:rFonts w:ascii="Palatino Linotype" w:hAnsi="Palatino Linotype"/>
        </w:rPr>
        <w:tab/>
      </w:r>
      <w:r w:rsidRPr="00600701">
        <w:rPr>
          <w:rFonts w:ascii="Palatino Linotype" w:hAnsi="Palatino Linotype"/>
        </w:rPr>
        <w:tab/>
        <w:t xml:space="preserve"> </w:t>
      </w:r>
      <w:r>
        <w:rPr>
          <w:rFonts w:ascii="Palatino Linotype" w:hAnsi="Palatino Linotype"/>
        </w:rPr>
        <w:t xml:space="preserve">    PAUL CLANON</w:t>
      </w:r>
    </w:p>
    <w:p w14:paraId="265981CA" w14:textId="77777777" w:rsidR="00F5600A" w:rsidRPr="00600701" w:rsidRDefault="00F5600A">
      <w:pPr>
        <w:rPr>
          <w:rFonts w:ascii="Palatino Linotype" w:hAnsi="Palatino Linotype"/>
        </w:rPr>
      </w:pPr>
      <w:r>
        <w:rPr>
          <w:rFonts w:ascii="Palatino Linotype" w:hAnsi="Palatino Linotype"/>
        </w:rPr>
        <w:tab/>
      </w:r>
      <w:r>
        <w:rPr>
          <w:rFonts w:ascii="Palatino Linotype" w:hAnsi="Palatino Linotype"/>
        </w:rPr>
        <w:tab/>
      </w:r>
      <w:r>
        <w:rPr>
          <w:rFonts w:ascii="Palatino Linotype" w:hAnsi="Palatino Linotype"/>
        </w:rPr>
        <w:tab/>
      </w:r>
      <w:r>
        <w:rPr>
          <w:rFonts w:ascii="Palatino Linotype" w:hAnsi="Palatino Linotype"/>
        </w:rPr>
        <w:tab/>
      </w:r>
      <w:r>
        <w:rPr>
          <w:rFonts w:ascii="Palatino Linotype" w:hAnsi="Palatino Linotype"/>
        </w:rPr>
        <w:tab/>
      </w:r>
      <w:r>
        <w:rPr>
          <w:rFonts w:ascii="Palatino Linotype" w:hAnsi="Palatino Linotype"/>
        </w:rPr>
        <w:tab/>
        <w:t xml:space="preserve"> </w:t>
      </w:r>
      <w:r w:rsidRPr="00600701">
        <w:rPr>
          <w:rFonts w:ascii="Palatino Linotype" w:hAnsi="Palatino Linotype"/>
        </w:rPr>
        <w:tab/>
      </w:r>
      <w:r>
        <w:rPr>
          <w:rFonts w:ascii="Palatino Linotype" w:hAnsi="Palatino Linotype"/>
        </w:rPr>
        <w:t xml:space="preserve">     </w:t>
      </w:r>
      <w:r w:rsidRPr="00600701">
        <w:rPr>
          <w:rFonts w:ascii="Palatino Linotype" w:hAnsi="Palatino Linotype"/>
        </w:rPr>
        <w:t>Executive Director</w:t>
      </w:r>
    </w:p>
    <w:p w14:paraId="52D4D928" w14:textId="77777777" w:rsidR="001F3135" w:rsidRDefault="001F3135" w:rsidP="009E3259">
      <w:pPr>
        <w:jc w:val="center"/>
        <w:rPr>
          <w:rFonts w:ascii="Palatino Linotype" w:hAnsi="Palatino Linotype"/>
          <w:b/>
          <w:sz w:val="52"/>
          <w:szCs w:val="52"/>
          <w:u w:val="single"/>
        </w:rPr>
      </w:pPr>
    </w:p>
    <w:sectPr w:rsidR="001F3135" w:rsidSect="006732B5">
      <w:headerReference w:type="even" r:id="rId11"/>
      <w:headerReference w:type="default" r:id="rId12"/>
      <w:footerReference w:type="even" r:id="rId13"/>
      <w:footerReference w:type="default" r:id="rId14"/>
      <w:headerReference w:type="first" r:id="rId15"/>
      <w:footerReference w:type="first" r:id="rId16"/>
      <w:type w:val="continuous"/>
      <w:pgSz w:w="12240" w:h="15840" w:code="1"/>
      <w:pgMar w:top="1440" w:right="1440" w:bottom="1440" w:left="1440" w:header="540" w:footer="720" w:gutter="0"/>
      <w:cols w:space="720"/>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CA79E4" w14:textId="77777777" w:rsidR="00BD02D7" w:rsidRDefault="00BD02D7">
      <w:r>
        <w:separator/>
      </w:r>
    </w:p>
  </w:endnote>
  <w:endnote w:type="continuationSeparator" w:id="0">
    <w:p w14:paraId="16D31EC7" w14:textId="77777777" w:rsidR="00BD02D7" w:rsidRDefault="00BD02D7">
      <w:r>
        <w:continuationSeparator/>
      </w:r>
    </w:p>
  </w:endnote>
  <w:endnote w:type="continuationNotice" w:id="1">
    <w:p w14:paraId="76262082" w14:textId="77777777" w:rsidR="00BD02D7" w:rsidRDefault="00BD02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Palatino">
    <w:altName w:val="Book Antiqua"/>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Book Antiqua">
    <w:altName w:val="Book Antiqua"/>
    <w:panose1 w:val="02040602050305030304"/>
    <w:charset w:val="00"/>
    <w:family w:val="roman"/>
    <w:pitch w:val="variable"/>
    <w:sig w:usb0="00000287" w:usb1="00000000" w:usb2="00000000" w:usb3="00000000" w:csb0="0000009F" w:csb1="00000000"/>
  </w:font>
  <w:font w:name="Palatino Linotype">
    <w:altName w:val="Palatino"/>
    <w:panose1 w:val="02040502050505030304"/>
    <w:charset w:val="00"/>
    <w:family w:val="roman"/>
    <w:pitch w:val="variable"/>
    <w:sig w:usb0="E0000287" w:usb1="40000013" w:usb2="00000000" w:usb3="00000000" w:csb0="0000019F" w:csb1="00000000"/>
  </w:font>
  <w:font w:name="BookAntiqua">
    <w:panose1 w:val="00000000000000000000"/>
    <w:charset w:val="00"/>
    <w:family w:val="roman"/>
    <w:notTrueType/>
    <w:pitch w:val="default"/>
    <w:sig w:usb0="00000003" w:usb1="00000000" w:usb2="00000000" w:usb3="00000000" w:csb0="00000001" w:csb1="00000000"/>
  </w:font>
  <w:font w:name="BookAntiqua,Bold">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2858CD" w14:textId="77777777" w:rsidR="0055323C" w:rsidRDefault="005532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352204" w14:textId="77777777" w:rsidR="00D97438" w:rsidRDefault="00D97438">
    <w:pPr>
      <w:pStyle w:val="Footer"/>
    </w:pP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sidR="005B3AC8">
      <w:rPr>
        <w:rStyle w:val="PageNumber"/>
        <w:noProof/>
      </w:rPr>
      <w:t>27</w:t>
    </w:r>
    <w:r>
      <w:rPr>
        <w:rStyle w:val="PageNumber"/>
      </w:rPr>
      <w:fldChar w:fldCharType="end"/>
    </w:r>
    <w:r>
      <w:rPr>
        <w:rStyle w:val="PageNumber"/>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481" w:type="pct"/>
      <w:tblCellSpacing w:w="0" w:type="dxa"/>
      <w:tblInd w:w="-90" w:type="dxa"/>
      <w:tblCellMar>
        <w:left w:w="0" w:type="dxa"/>
        <w:right w:w="0" w:type="dxa"/>
      </w:tblCellMar>
      <w:tblLook w:val="04A0" w:firstRow="1" w:lastRow="0" w:firstColumn="1" w:lastColumn="0" w:noHBand="0" w:noVBand="1"/>
    </w:tblPr>
    <w:tblGrid>
      <w:gridCol w:w="1057"/>
      <w:gridCol w:w="7399"/>
    </w:tblGrid>
    <w:tr w:rsidR="00D97438" w:rsidRPr="002B726C" w14:paraId="3F6B65BD" w14:textId="77777777" w:rsidTr="00465123">
      <w:trPr>
        <w:trHeight w:val="300"/>
        <w:tblCellSpacing w:w="0" w:type="dxa"/>
      </w:trPr>
      <w:tc>
        <w:tcPr>
          <w:tcW w:w="625" w:type="pct"/>
          <w:vAlign w:val="center"/>
        </w:tcPr>
        <w:p w14:paraId="1F1BF8ED" w14:textId="0C1156B0" w:rsidR="00D97438" w:rsidRPr="002B726C" w:rsidRDefault="00C26763" w:rsidP="002B726C">
          <w:pPr>
            <w:pStyle w:val="Footer"/>
            <w:tabs>
              <w:tab w:val="center" w:pos="4680"/>
            </w:tabs>
          </w:pPr>
          <w:r>
            <w:rPr>
              <w:rFonts w:ascii="Tahoma" w:hAnsi="Tahoma" w:cs="Tahoma"/>
              <w:sz w:val="17"/>
              <w:szCs w:val="17"/>
            </w:rPr>
            <w:t>69336614</w:t>
          </w:r>
        </w:p>
      </w:tc>
      <w:tc>
        <w:tcPr>
          <w:tcW w:w="4375" w:type="pct"/>
          <w:noWrap/>
          <w:tcMar>
            <w:top w:w="75" w:type="dxa"/>
            <w:left w:w="75" w:type="dxa"/>
            <w:bottom w:w="75" w:type="dxa"/>
            <w:right w:w="75" w:type="dxa"/>
          </w:tcMar>
          <w:vAlign w:val="center"/>
        </w:tcPr>
        <w:p w14:paraId="0F295340" w14:textId="77777777" w:rsidR="00D97438" w:rsidRPr="002B726C" w:rsidRDefault="00D97438" w:rsidP="002B726C">
          <w:pPr>
            <w:pStyle w:val="Footer"/>
            <w:tabs>
              <w:tab w:val="center" w:pos="4680"/>
            </w:tabs>
          </w:pPr>
        </w:p>
      </w:tc>
    </w:tr>
  </w:tbl>
  <w:p w14:paraId="162AD2F0" w14:textId="77777777" w:rsidR="00D97438" w:rsidRDefault="00D97438" w:rsidP="00F5600A">
    <w:pPr>
      <w:pStyle w:val="Footer"/>
      <w:tabs>
        <w:tab w:val="clear" w:pos="4320"/>
        <w:tab w:val="center" w:pos="4680"/>
      </w:tabs>
      <w:jc w:val="left"/>
    </w:pPr>
    <w:r>
      <w:rPr>
        <w:rStyle w:val="PageNumber"/>
      </w:rPr>
      <w:tab/>
      <w:t xml:space="preserve">- </w:t>
    </w:r>
    <w:r>
      <w:rPr>
        <w:rStyle w:val="PageNumber"/>
      </w:rPr>
      <w:fldChar w:fldCharType="begin"/>
    </w:r>
    <w:r>
      <w:rPr>
        <w:rStyle w:val="PageNumber"/>
      </w:rPr>
      <w:instrText xml:space="preserve"> PAGE </w:instrText>
    </w:r>
    <w:r>
      <w:rPr>
        <w:rStyle w:val="PageNumber"/>
      </w:rPr>
      <w:fldChar w:fldCharType="separate"/>
    </w:r>
    <w:r w:rsidR="005B3AC8">
      <w:rPr>
        <w:rStyle w:val="PageNumber"/>
        <w:noProof/>
      </w:rPr>
      <w:t>1</w:t>
    </w:r>
    <w:r>
      <w:rPr>
        <w:rStyle w:val="PageNumber"/>
      </w:rPr>
      <w:fldChar w:fldCharType="end"/>
    </w:r>
    <w:r>
      <w:rPr>
        <w:rStyle w:val="PageNumber"/>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9BA4E7" w14:textId="77777777" w:rsidR="00BD02D7" w:rsidRDefault="00BD02D7">
      <w:r>
        <w:separator/>
      </w:r>
    </w:p>
  </w:footnote>
  <w:footnote w:type="continuationSeparator" w:id="0">
    <w:p w14:paraId="60DB11D1" w14:textId="77777777" w:rsidR="00BD02D7" w:rsidRDefault="00BD02D7">
      <w:r>
        <w:continuationSeparator/>
      </w:r>
    </w:p>
  </w:footnote>
  <w:footnote w:type="continuationNotice" w:id="1">
    <w:p w14:paraId="028F0190" w14:textId="77777777" w:rsidR="00BD02D7" w:rsidRDefault="00BD02D7">
      <w:pPr>
        <w:rPr>
          <w:sz w:val="22"/>
        </w:rPr>
      </w:pPr>
    </w:p>
    <w:p w14:paraId="433BB187" w14:textId="77777777" w:rsidR="00BD02D7" w:rsidRDefault="00BD02D7">
      <w:pPr>
        <w:jc w:val="right"/>
        <w:rPr>
          <w:sz w:val="22"/>
        </w:rPr>
      </w:pPr>
      <w:r>
        <w:rPr>
          <w:i/>
          <w:sz w:val="22"/>
        </w:rPr>
        <w:t>Footnote continued on next page</w:t>
      </w:r>
    </w:p>
  </w:footnote>
  <w:footnote w:id="2">
    <w:p w14:paraId="01876284" w14:textId="77777777" w:rsidR="00D97438" w:rsidRPr="003C05E7" w:rsidRDefault="00D97438" w:rsidP="00574DA1">
      <w:pPr>
        <w:pStyle w:val="FootnoteText"/>
        <w:rPr>
          <w:sz w:val="20"/>
        </w:rPr>
      </w:pPr>
      <w:r w:rsidRPr="003C05E7">
        <w:rPr>
          <w:rStyle w:val="FootnoteReference"/>
          <w:sz w:val="20"/>
        </w:rPr>
        <w:footnoteRef/>
      </w:r>
      <w:r w:rsidRPr="003C05E7">
        <w:rPr>
          <w:sz w:val="20"/>
        </w:rPr>
        <w:t xml:space="preserve"> D.07-07-027, Conclusion of Law #1, p. 58.</w:t>
      </w:r>
    </w:p>
  </w:footnote>
  <w:footnote w:id="3">
    <w:p w14:paraId="41DB052B" w14:textId="77777777" w:rsidR="00D97438" w:rsidRDefault="00D97438">
      <w:pPr>
        <w:pStyle w:val="FootnoteText"/>
      </w:pPr>
      <w:r>
        <w:rPr>
          <w:rStyle w:val="FootnoteReference"/>
        </w:rPr>
        <w:footnoteRef/>
      </w:r>
      <w:r>
        <w:t xml:space="preserve"> </w:t>
      </w:r>
      <w:r w:rsidRPr="00EF1B49">
        <w:rPr>
          <w:sz w:val="20"/>
        </w:rPr>
        <w:t>D.07-07-027, Section 3.4.2 Tariff Closure, footnote 12, p. 13-14.</w:t>
      </w:r>
    </w:p>
  </w:footnote>
  <w:footnote w:id="4">
    <w:p w14:paraId="0A622AB4" w14:textId="77777777" w:rsidR="00D97438" w:rsidRPr="00EF1B49" w:rsidRDefault="00D97438" w:rsidP="003710BE">
      <w:pPr>
        <w:pStyle w:val="FootnoteText"/>
        <w:widowControl w:val="0"/>
        <w:spacing w:after="120"/>
        <w:ind w:left="187" w:hanging="187"/>
        <w:rPr>
          <w:sz w:val="20"/>
        </w:rPr>
      </w:pPr>
      <w:r w:rsidRPr="00EF1B49">
        <w:rPr>
          <w:rStyle w:val="FootnoteReference"/>
          <w:sz w:val="20"/>
        </w:rPr>
        <w:footnoteRef/>
      </w:r>
      <w:r w:rsidRPr="00EF1B49">
        <w:rPr>
          <w:sz w:val="20"/>
        </w:rPr>
        <w:t xml:space="preserve">  SB 1078 (Sher, Chapter 516, Statutes of 2002); SB 107 (Simitian, Chapter 464, Statutes of   2006); SB 1036 (Perata, Chapter 685, Statutes of 2007); SB 2 (1X) (Simitian, Chapter 1, Statutes of 2011, First Extraordinary Session).</w:t>
      </w:r>
    </w:p>
  </w:footnote>
  <w:footnote w:id="5">
    <w:p w14:paraId="730CDF6E" w14:textId="77777777" w:rsidR="00D97438" w:rsidRPr="00EF1B49" w:rsidRDefault="00D97438" w:rsidP="003710BE">
      <w:pPr>
        <w:pStyle w:val="FootnoteText"/>
        <w:widowControl w:val="0"/>
        <w:spacing w:after="120"/>
        <w:ind w:left="187" w:hanging="187"/>
        <w:rPr>
          <w:sz w:val="20"/>
        </w:rPr>
      </w:pPr>
      <w:r w:rsidRPr="00EF1B49">
        <w:rPr>
          <w:rStyle w:val="FootnoteReference"/>
          <w:sz w:val="20"/>
        </w:rPr>
        <w:footnoteRef/>
      </w:r>
      <w:r w:rsidRPr="00EF1B49">
        <w:rPr>
          <w:sz w:val="20"/>
        </w:rPr>
        <w:t xml:space="preserve"> All further references to sections refer to Public Utilities Code unless otherwise specified.</w:t>
      </w:r>
    </w:p>
  </w:footnote>
  <w:footnote w:id="6">
    <w:p w14:paraId="4FE466F6" w14:textId="77777777" w:rsidR="00D97438" w:rsidRDefault="00D97438" w:rsidP="003710BE">
      <w:pPr>
        <w:pStyle w:val="FootnoteText"/>
        <w:widowControl w:val="0"/>
        <w:spacing w:after="120"/>
        <w:ind w:left="187" w:hanging="187"/>
        <w:rPr>
          <w:szCs w:val="24"/>
        </w:rPr>
      </w:pPr>
      <w:r w:rsidRPr="00EF1B49">
        <w:rPr>
          <w:rStyle w:val="FootnoteReference"/>
          <w:sz w:val="20"/>
          <w:szCs w:val="24"/>
        </w:rPr>
        <w:footnoteRef/>
      </w:r>
      <w:r w:rsidRPr="00EF1B49">
        <w:rPr>
          <w:sz w:val="20"/>
          <w:szCs w:val="24"/>
        </w:rPr>
        <w:t xml:space="preserve">  D.11-12-020 established a methodology to calculate procurement requirement </w:t>
      </w:r>
      <w:r w:rsidRPr="00EF1B49">
        <w:rPr>
          <w:sz w:val="20"/>
        </w:rPr>
        <w:t>quantities for the three different compliance periods covered in SB 2 (1X) (2011-2013, 2014</w:t>
      </w:r>
      <w:r w:rsidRPr="00EF1B49">
        <w:rPr>
          <w:sz w:val="20"/>
          <w:szCs w:val="24"/>
        </w:rPr>
        <w:t xml:space="preserve">-2016, and 2017-2020). </w:t>
      </w:r>
    </w:p>
  </w:footnote>
  <w:footnote w:id="7">
    <w:p w14:paraId="084EC9B5" w14:textId="77777777" w:rsidR="00D97438" w:rsidRPr="0084755C" w:rsidRDefault="00D97438">
      <w:pPr>
        <w:pStyle w:val="FootnoteText"/>
        <w:rPr>
          <w:sz w:val="20"/>
        </w:rPr>
      </w:pPr>
      <w:r w:rsidRPr="0084755C">
        <w:rPr>
          <w:rStyle w:val="FootnoteReference"/>
          <w:sz w:val="20"/>
        </w:rPr>
        <w:footnoteRef/>
      </w:r>
      <w:r w:rsidRPr="0084755C">
        <w:rPr>
          <w:sz w:val="20"/>
        </w:rPr>
        <w:t xml:space="preserve"> D.07-07-027, Ordering Paragraph #2, p. 62.</w:t>
      </w:r>
    </w:p>
  </w:footnote>
  <w:footnote w:id="8">
    <w:p w14:paraId="519CCC2A" w14:textId="77777777" w:rsidR="00D97438" w:rsidRPr="003C05E7" w:rsidRDefault="00D97438">
      <w:pPr>
        <w:pStyle w:val="FootnoteText"/>
        <w:rPr>
          <w:sz w:val="20"/>
        </w:rPr>
      </w:pPr>
      <w:r w:rsidRPr="003C05E7">
        <w:rPr>
          <w:rStyle w:val="FootnoteReference"/>
          <w:sz w:val="20"/>
        </w:rPr>
        <w:footnoteRef/>
      </w:r>
      <w:r w:rsidRPr="003C05E7">
        <w:rPr>
          <w:sz w:val="20"/>
        </w:rPr>
        <w:t xml:space="preserve"> D.07-07-027, Conclusion of Law #1, p. 58.</w:t>
      </w:r>
    </w:p>
  </w:footnote>
  <w:footnote w:id="9">
    <w:p w14:paraId="075155EE" w14:textId="77777777" w:rsidR="00D97438" w:rsidRDefault="00D97438">
      <w:pPr>
        <w:pStyle w:val="FootnoteText"/>
      </w:pPr>
      <w:r w:rsidRPr="0084755C">
        <w:rPr>
          <w:rStyle w:val="FootnoteReference"/>
          <w:sz w:val="20"/>
        </w:rPr>
        <w:footnoteRef/>
      </w:r>
      <w:r w:rsidRPr="0084755C">
        <w:rPr>
          <w:sz w:val="20"/>
        </w:rPr>
        <w:t xml:space="preserve"> Resolution E-4137, p. 5. </w:t>
      </w:r>
    </w:p>
  </w:footnote>
  <w:footnote w:id="10">
    <w:p w14:paraId="565A49CD" w14:textId="77777777" w:rsidR="00D97438" w:rsidRPr="003C05E7" w:rsidRDefault="00D97438" w:rsidP="00267B51">
      <w:pPr>
        <w:pStyle w:val="FootnoteText"/>
        <w:rPr>
          <w:sz w:val="20"/>
        </w:rPr>
      </w:pPr>
      <w:r w:rsidRPr="003C05E7">
        <w:rPr>
          <w:rStyle w:val="FootnoteReference"/>
          <w:sz w:val="20"/>
        </w:rPr>
        <w:footnoteRef/>
      </w:r>
      <w:r w:rsidRPr="003C05E7">
        <w:rPr>
          <w:sz w:val="20"/>
        </w:rPr>
        <w:t xml:space="preserve"> D.07-07-027, Conclusion of Law #1, p. 58.</w:t>
      </w:r>
    </w:p>
  </w:footnote>
  <w:footnote w:id="11">
    <w:p w14:paraId="60CE1C1B" w14:textId="77777777" w:rsidR="00D97438" w:rsidRDefault="00D97438" w:rsidP="00267B51">
      <w:pPr>
        <w:pStyle w:val="FootnoteText"/>
      </w:pPr>
      <w:r>
        <w:rPr>
          <w:rStyle w:val="FootnoteReference"/>
        </w:rPr>
        <w:footnoteRef/>
      </w:r>
      <w:r>
        <w:t xml:space="preserve"> </w:t>
      </w:r>
      <w:r w:rsidRPr="00EF1B49">
        <w:rPr>
          <w:sz w:val="20"/>
        </w:rPr>
        <w:t>D.07-07-027, Section 3.4.2 Tariff Closure, footnote 12, p. 13-14.</w:t>
      </w:r>
    </w:p>
  </w:footnote>
  <w:footnote w:id="12">
    <w:p w14:paraId="5E192175" w14:textId="77777777" w:rsidR="00D97438" w:rsidRPr="00EF1B49" w:rsidRDefault="00D97438">
      <w:pPr>
        <w:pStyle w:val="FootnoteText"/>
        <w:rPr>
          <w:sz w:val="20"/>
        </w:rPr>
      </w:pPr>
      <w:r w:rsidRPr="00EF1B49">
        <w:rPr>
          <w:rStyle w:val="FootnoteReference"/>
          <w:sz w:val="20"/>
        </w:rPr>
        <w:footnoteRef/>
      </w:r>
      <w:r w:rsidRPr="00EF1B49">
        <w:rPr>
          <w:sz w:val="20"/>
        </w:rPr>
        <w:t xml:space="preserve"> D.07-07-027, Ordering Paragraph #1, p. 62.</w:t>
      </w:r>
    </w:p>
  </w:footnote>
  <w:footnote w:id="13">
    <w:p w14:paraId="052563B1" w14:textId="77777777" w:rsidR="00D97438" w:rsidRDefault="00D97438">
      <w:pPr>
        <w:pStyle w:val="FootnoteText"/>
      </w:pPr>
      <w:r w:rsidRPr="00EF1B49">
        <w:rPr>
          <w:rStyle w:val="FootnoteReference"/>
          <w:sz w:val="20"/>
        </w:rPr>
        <w:footnoteRef/>
      </w:r>
      <w:r w:rsidRPr="00EF1B49">
        <w:rPr>
          <w:sz w:val="20"/>
        </w:rPr>
        <w:t xml:space="preserve"> D.07-07-027, Ordering Paragraph #2, p. 62-63. Note, also, that the Commission similarly expanded SDG&amp;E’s feed-in tariff program at a later date through D.08-09-033. </w:t>
      </w:r>
    </w:p>
  </w:footnote>
  <w:footnote w:id="14">
    <w:p w14:paraId="066E3D25" w14:textId="77777777" w:rsidR="00D97438" w:rsidRPr="00EF1B49" w:rsidRDefault="00D97438">
      <w:pPr>
        <w:pStyle w:val="FootnoteText"/>
        <w:rPr>
          <w:sz w:val="20"/>
        </w:rPr>
      </w:pPr>
      <w:r w:rsidRPr="00EF1B49">
        <w:rPr>
          <w:rStyle w:val="FootnoteReference"/>
          <w:sz w:val="20"/>
        </w:rPr>
        <w:footnoteRef/>
      </w:r>
      <w:r w:rsidRPr="00EF1B49">
        <w:rPr>
          <w:sz w:val="20"/>
        </w:rPr>
        <w:t xml:space="preserve"> AB 1969 (Yee, 2006) as codified in Section 399.20(b) of the Public Utilities Code. </w:t>
      </w:r>
    </w:p>
  </w:footnote>
  <w:footnote w:id="15">
    <w:p w14:paraId="4E2C5EA0" w14:textId="77777777" w:rsidR="00D97438" w:rsidRPr="009A20D8" w:rsidRDefault="00D97438">
      <w:pPr>
        <w:pStyle w:val="FootnoteText"/>
        <w:rPr>
          <w:sz w:val="20"/>
        </w:rPr>
      </w:pPr>
      <w:r w:rsidRPr="009A20D8">
        <w:rPr>
          <w:rStyle w:val="FootnoteReference"/>
          <w:sz w:val="20"/>
        </w:rPr>
        <w:footnoteRef/>
      </w:r>
      <w:r w:rsidRPr="009A20D8">
        <w:rPr>
          <w:sz w:val="20"/>
        </w:rPr>
        <w:t xml:space="preserve"> </w:t>
      </w:r>
      <w:r w:rsidRPr="009A20D8">
        <w:rPr>
          <w:i/>
          <w:sz w:val="20"/>
        </w:rPr>
        <w:t>See</w:t>
      </w:r>
      <w:r w:rsidRPr="009A20D8">
        <w:rPr>
          <w:sz w:val="20"/>
        </w:rPr>
        <w:t xml:space="preserve">, Resolution E-4137. </w:t>
      </w:r>
    </w:p>
  </w:footnote>
  <w:footnote w:id="16">
    <w:p w14:paraId="17370415" w14:textId="77777777" w:rsidR="00D97438" w:rsidRPr="00EF1B49" w:rsidRDefault="00D97438">
      <w:pPr>
        <w:pStyle w:val="FootnoteText"/>
        <w:rPr>
          <w:sz w:val="20"/>
        </w:rPr>
      </w:pPr>
      <w:r w:rsidRPr="00EF1B49">
        <w:rPr>
          <w:rStyle w:val="FootnoteReference"/>
          <w:sz w:val="20"/>
        </w:rPr>
        <w:footnoteRef/>
      </w:r>
      <w:r w:rsidRPr="00EF1B49">
        <w:rPr>
          <w:sz w:val="20"/>
        </w:rPr>
        <w:t xml:space="preserve"> D.07-07-027, Conclusion of Law #5, p. 58. </w:t>
      </w:r>
    </w:p>
  </w:footnote>
  <w:footnote w:id="17">
    <w:p w14:paraId="34A458F2" w14:textId="77777777" w:rsidR="00D97438" w:rsidRPr="00EF1B49" w:rsidRDefault="00D97438">
      <w:pPr>
        <w:pStyle w:val="FootnoteText"/>
        <w:rPr>
          <w:sz w:val="20"/>
        </w:rPr>
      </w:pPr>
      <w:r w:rsidRPr="00EF1B49">
        <w:rPr>
          <w:rStyle w:val="FootnoteReference"/>
          <w:sz w:val="20"/>
        </w:rPr>
        <w:footnoteRef/>
      </w:r>
      <w:r w:rsidRPr="00EF1B49">
        <w:rPr>
          <w:sz w:val="20"/>
        </w:rPr>
        <w:t xml:space="preserve"> D.07-07-027, Ordering Paragraph #2, p. 62-63. </w:t>
      </w:r>
    </w:p>
  </w:footnote>
  <w:footnote w:id="18">
    <w:p w14:paraId="1FF5020D" w14:textId="77777777" w:rsidR="00D97438" w:rsidRPr="009A20D8" w:rsidRDefault="00D97438">
      <w:pPr>
        <w:pStyle w:val="FootnoteText"/>
      </w:pPr>
      <w:r w:rsidRPr="009A20D8">
        <w:rPr>
          <w:rStyle w:val="FootnoteReference"/>
          <w:sz w:val="20"/>
        </w:rPr>
        <w:footnoteRef/>
      </w:r>
      <w:r w:rsidRPr="009A20D8">
        <w:rPr>
          <w:sz w:val="20"/>
        </w:rPr>
        <w:t xml:space="preserve"> </w:t>
      </w:r>
      <w:r w:rsidRPr="009A20D8">
        <w:rPr>
          <w:i/>
          <w:sz w:val="20"/>
        </w:rPr>
        <w:t>See</w:t>
      </w:r>
      <w:r w:rsidRPr="009A20D8">
        <w:rPr>
          <w:sz w:val="20"/>
        </w:rPr>
        <w:t xml:space="preserve">, Resolution E-4137. </w:t>
      </w:r>
    </w:p>
  </w:footnote>
  <w:footnote w:id="19">
    <w:p w14:paraId="155C60CD" w14:textId="77777777" w:rsidR="00D97438" w:rsidRPr="00EF1B49" w:rsidRDefault="00D97438">
      <w:pPr>
        <w:pStyle w:val="FootnoteText"/>
        <w:rPr>
          <w:sz w:val="20"/>
        </w:rPr>
      </w:pPr>
      <w:r w:rsidRPr="00EF1B49">
        <w:rPr>
          <w:rStyle w:val="FootnoteReference"/>
          <w:sz w:val="20"/>
        </w:rPr>
        <w:footnoteRef/>
      </w:r>
      <w:r w:rsidRPr="00EF1B49">
        <w:rPr>
          <w:sz w:val="20"/>
        </w:rPr>
        <w:t xml:space="preserve"> D.07-07-027, Conclusion of Law #25, p. 61. </w:t>
      </w:r>
    </w:p>
  </w:footnote>
  <w:footnote w:id="20">
    <w:p w14:paraId="13FA552B" w14:textId="77777777" w:rsidR="00D97438" w:rsidRDefault="00D97438">
      <w:pPr>
        <w:pStyle w:val="FootnoteText"/>
      </w:pPr>
      <w:r w:rsidRPr="00EF1B49">
        <w:rPr>
          <w:rStyle w:val="FootnoteReference"/>
          <w:sz w:val="20"/>
        </w:rPr>
        <w:footnoteRef/>
      </w:r>
      <w:r w:rsidRPr="00EF1B49">
        <w:rPr>
          <w:sz w:val="20"/>
        </w:rPr>
        <w:t xml:space="preserve"> D.07-07-027, Section 3.4.2 Tariff Closure, p. 13.</w:t>
      </w:r>
    </w:p>
  </w:footnote>
  <w:footnote w:id="21">
    <w:p w14:paraId="05A20B0C" w14:textId="77777777" w:rsidR="00D97438" w:rsidRPr="00EF1B49" w:rsidRDefault="00D97438">
      <w:pPr>
        <w:pStyle w:val="FootnoteText"/>
        <w:rPr>
          <w:sz w:val="20"/>
        </w:rPr>
      </w:pPr>
      <w:r w:rsidRPr="00EF1B49">
        <w:rPr>
          <w:rStyle w:val="FootnoteReference"/>
          <w:sz w:val="20"/>
        </w:rPr>
        <w:footnoteRef/>
      </w:r>
      <w:r w:rsidRPr="00EF1B49">
        <w:rPr>
          <w:sz w:val="20"/>
        </w:rPr>
        <w:t xml:space="preserve"> D.07-07-027, Section 3.4.2 Tariff Closure, footnote 12, p. 13-14. </w:t>
      </w:r>
    </w:p>
  </w:footnote>
  <w:footnote w:id="22">
    <w:p w14:paraId="348E7638" w14:textId="77777777" w:rsidR="00D97438" w:rsidRPr="00EF1B49" w:rsidRDefault="00D97438">
      <w:pPr>
        <w:pStyle w:val="FootnoteText"/>
        <w:rPr>
          <w:sz w:val="20"/>
        </w:rPr>
      </w:pPr>
      <w:r w:rsidRPr="00EF1B49">
        <w:rPr>
          <w:rStyle w:val="FootnoteReference"/>
          <w:sz w:val="20"/>
        </w:rPr>
        <w:footnoteRef/>
      </w:r>
      <w:r w:rsidRPr="00EF1B49">
        <w:rPr>
          <w:sz w:val="20"/>
        </w:rPr>
        <w:t xml:space="preserve"> </w:t>
      </w:r>
      <w:r w:rsidRPr="00EF1B49">
        <w:rPr>
          <w:i/>
          <w:sz w:val="20"/>
        </w:rPr>
        <w:t>Id</w:t>
      </w:r>
      <w:r w:rsidRPr="00EF1B49">
        <w:rPr>
          <w:sz w:val="20"/>
        </w:rPr>
        <w:t>.</w:t>
      </w:r>
    </w:p>
  </w:footnote>
  <w:footnote w:id="23">
    <w:p w14:paraId="585A1849" w14:textId="77777777" w:rsidR="00D97438" w:rsidRDefault="00D97438">
      <w:pPr>
        <w:pStyle w:val="FootnoteText"/>
      </w:pPr>
      <w:r w:rsidRPr="00EF1B49">
        <w:rPr>
          <w:rStyle w:val="FootnoteReference"/>
          <w:sz w:val="20"/>
        </w:rPr>
        <w:footnoteRef/>
      </w:r>
      <w:r w:rsidRPr="00EF1B49">
        <w:rPr>
          <w:sz w:val="20"/>
        </w:rPr>
        <w:t xml:space="preserve"> Southern California Edison, Advice Letter 2870-E, p. 5. </w:t>
      </w:r>
    </w:p>
  </w:footnote>
  <w:footnote w:id="24">
    <w:p w14:paraId="13628F79" w14:textId="77777777" w:rsidR="00D347A1" w:rsidRPr="00EF1B49" w:rsidRDefault="00D347A1" w:rsidP="00D347A1">
      <w:pPr>
        <w:pStyle w:val="FootnoteText"/>
        <w:rPr>
          <w:sz w:val="20"/>
        </w:rPr>
      </w:pPr>
      <w:r w:rsidRPr="00EF1B49">
        <w:rPr>
          <w:rStyle w:val="FootnoteReference"/>
          <w:sz w:val="20"/>
        </w:rPr>
        <w:footnoteRef/>
      </w:r>
      <w:r w:rsidRPr="00EF1B49">
        <w:rPr>
          <w:sz w:val="20"/>
        </w:rPr>
        <w:t xml:space="preserve"> D.07-07-027, Section 3.10.1 Initial Operation, p. 40. </w:t>
      </w:r>
    </w:p>
  </w:footnote>
  <w:footnote w:id="25">
    <w:p w14:paraId="4726DE76" w14:textId="77777777" w:rsidR="00D97438" w:rsidRPr="00EF1B49" w:rsidRDefault="00D97438">
      <w:pPr>
        <w:pStyle w:val="FootnoteText"/>
        <w:rPr>
          <w:sz w:val="20"/>
        </w:rPr>
      </w:pPr>
      <w:r w:rsidRPr="00EF1B49">
        <w:rPr>
          <w:rStyle w:val="FootnoteReference"/>
          <w:sz w:val="20"/>
        </w:rPr>
        <w:footnoteRef/>
      </w:r>
      <w:r w:rsidRPr="00EF1B49">
        <w:rPr>
          <w:sz w:val="20"/>
        </w:rPr>
        <w:t xml:space="preserve"> D.11-11-012, Conclusion of Law #1, p. 40. </w:t>
      </w:r>
    </w:p>
  </w:footnote>
  <w:footnote w:id="26">
    <w:p w14:paraId="393135FA" w14:textId="77777777" w:rsidR="00D97438" w:rsidRDefault="00D97438">
      <w:pPr>
        <w:pStyle w:val="FootnoteText"/>
      </w:pPr>
      <w:r w:rsidRPr="00EF1B49">
        <w:rPr>
          <w:rStyle w:val="FootnoteReference"/>
          <w:sz w:val="20"/>
        </w:rPr>
        <w:footnoteRef/>
      </w:r>
      <w:r w:rsidRPr="00EF1B49">
        <w:rPr>
          <w:sz w:val="20"/>
        </w:rPr>
        <w:t xml:space="preserve"> D.11-11-012, Section 5.1, p. 12.</w:t>
      </w:r>
      <w:r>
        <w:t xml:space="preserve"> </w:t>
      </w:r>
    </w:p>
  </w:footnote>
  <w:footnote w:id="27">
    <w:p w14:paraId="2FF07AE2" w14:textId="77777777" w:rsidR="00D97438" w:rsidRDefault="00D97438">
      <w:pPr>
        <w:pStyle w:val="FootnoteText"/>
      </w:pPr>
      <w:r w:rsidRPr="00EF1B49">
        <w:rPr>
          <w:rStyle w:val="FootnoteReference"/>
          <w:sz w:val="20"/>
        </w:rPr>
        <w:footnoteRef/>
      </w:r>
      <w:r w:rsidRPr="00EF1B49">
        <w:rPr>
          <w:sz w:val="20"/>
        </w:rPr>
        <w:t xml:space="preserve"> D.07-07-027, Conclusion of Law #4, p. 58. </w:t>
      </w:r>
    </w:p>
  </w:footnote>
  <w:footnote w:id="28">
    <w:p w14:paraId="37A6F962" w14:textId="77777777" w:rsidR="00D97438" w:rsidRDefault="00D97438">
      <w:pPr>
        <w:pStyle w:val="FootnoteText"/>
      </w:pPr>
      <w:r w:rsidRPr="00297A04">
        <w:rPr>
          <w:rStyle w:val="FootnoteReference"/>
          <w:sz w:val="20"/>
        </w:rPr>
        <w:footnoteRef/>
      </w:r>
      <w:r w:rsidRPr="00297A04">
        <w:rPr>
          <w:sz w:val="20"/>
        </w:rPr>
        <w:t xml:space="preserve"> D.07-07-027, Section 3.4.2, p. 14. </w:t>
      </w:r>
    </w:p>
  </w:footnote>
  <w:footnote w:id="29">
    <w:p w14:paraId="1BB9F0CE" w14:textId="77777777" w:rsidR="00D97438" w:rsidRPr="00297A04" w:rsidRDefault="00D97438">
      <w:pPr>
        <w:pStyle w:val="FootnoteText"/>
        <w:rPr>
          <w:sz w:val="20"/>
        </w:rPr>
      </w:pPr>
      <w:r w:rsidRPr="00297A04">
        <w:rPr>
          <w:rStyle w:val="FootnoteReference"/>
          <w:sz w:val="20"/>
        </w:rPr>
        <w:footnoteRef/>
      </w:r>
      <w:r w:rsidRPr="00297A04">
        <w:rPr>
          <w:sz w:val="20"/>
        </w:rPr>
        <w:t xml:space="preserve"> D.11-11-012, p. 3. </w:t>
      </w:r>
    </w:p>
  </w:footnote>
  <w:footnote w:id="30">
    <w:p w14:paraId="4757DE43" w14:textId="77777777" w:rsidR="00D97438" w:rsidRPr="00BA29DC" w:rsidRDefault="00D97438">
      <w:pPr>
        <w:pStyle w:val="FootnoteText"/>
        <w:rPr>
          <w:sz w:val="20"/>
        </w:rPr>
      </w:pPr>
      <w:r w:rsidRPr="00BA29DC">
        <w:rPr>
          <w:rStyle w:val="FootnoteReference"/>
          <w:sz w:val="20"/>
        </w:rPr>
        <w:footnoteRef/>
      </w:r>
      <w:r w:rsidRPr="00BA29DC">
        <w:rPr>
          <w:sz w:val="20"/>
        </w:rPr>
        <w:t xml:space="preserve"> The PPA prices for these standard feed-in tariff contracts are the relevant Market Price Referent (MPR) prices for each project as adopted by Commission Resolution E-4442 on December 1, 2011. </w:t>
      </w:r>
      <w:r>
        <w:rPr>
          <w:sz w:val="20"/>
        </w:rPr>
        <w:t xml:space="preserve">As such, these prices are public. </w:t>
      </w:r>
    </w:p>
  </w:footnote>
  <w:footnote w:id="31">
    <w:p w14:paraId="10F67880" w14:textId="77777777" w:rsidR="00D97438" w:rsidRDefault="00D97438" w:rsidP="00AB2BC1">
      <w:pPr>
        <w:pStyle w:val="FootnoteText"/>
        <w:spacing w:after="120"/>
      </w:pPr>
      <w:r w:rsidRPr="00BA29DC">
        <w:rPr>
          <w:rStyle w:val="FootnoteReference"/>
          <w:sz w:val="20"/>
        </w:rPr>
        <w:footnoteRef/>
      </w:r>
      <w:r w:rsidRPr="00BA29DC">
        <w:rPr>
          <w:sz w:val="20"/>
        </w:rPr>
        <w:t xml:space="preserve">  </w:t>
      </w:r>
      <w:r w:rsidRPr="00BA29DC">
        <w:rPr>
          <w:i/>
          <w:sz w:val="20"/>
        </w:rPr>
        <w:t xml:space="preserve">See, e.g. </w:t>
      </w:r>
      <w:r w:rsidRPr="00BA29DC">
        <w:rPr>
          <w:sz w:val="20"/>
        </w:rPr>
        <w:t>D. 08-04-009 at Appendix A, STC 6, Eligibility.</w:t>
      </w:r>
    </w:p>
  </w:footnote>
  <w:footnote w:id="32">
    <w:p w14:paraId="5A7976E7" w14:textId="77777777" w:rsidR="00D97438" w:rsidRDefault="00D97438" w:rsidP="00AB2BC1">
      <w:pPr>
        <w:pStyle w:val="FootnoteText"/>
        <w:spacing w:after="120"/>
      </w:pPr>
      <w:r>
        <w:rPr>
          <w:rStyle w:val="FootnoteReference"/>
          <w:szCs w:val="24"/>
        </w:rPr>
        <w:footnoteRef/>
      </w:r>
      <w:r>
        <w:rPr>
          <w:szCs w:val="24"/>
        </w:rPr>
        <w:t xml:space="preserve">  </w:t>
      </w:r>
      <w:r>
        <w:rPr>
          <w:i/>
          <w:szCs w:val="24"/>
        </w:rPr>
        <w:t xml:space="preserve">See, e.g. </w:t>
      </w:r>
      <w:r>
        <w:rPr>
          <w:szCs w:val="24"/>
        </w:rPr>
        <w:t>D. 08-04-009 at Appendix A, STC 1, CPUC Approval.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64CAF0" w14:textId="77777777" w:rsidR="0055323C" w:rsidRDefault="0055323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64E097" w14:textId="77777777" w:rsidR="00D97438" w:rsidRDefault="00D97438" w:rsidP="001F3135">
    <w:pPr>
      <w:pStyle w:val="Header"/>
      <w:tabs>
        <w:tab w:val="center" w:pos="4680"/>
        <w:tab w:val="right" w:pos="9180"/>
      </w:tabs>
    </w:pPr>
    <w:r>
      <w:t>Resolution E-</w:t>
    </w:r>
    <w:r>
      <w:rPr>
        <w:rFonts w:ascii="Palatino Linotype" w:hAnsi="Palatino Linotype"/>
      </w:rPr>
      <w:t>4593</w:t>
    </w:r>
    <w:r>
      <w:t xml:space="preserve">                                  </w:t>
    </w:r>
    <w:r w:rsidRPr="001F3135">
      <w:rPr>
        <w:b/>
      </w:rPr>
      <w:t xml:space="preserve">DRAFT </w:t>
    </w:r>
    <w:r>
      <w:t xml:space="preserve">                                       June 27, 2013</w:t>
    </w:r>
  </w:p>
  <w:p w14:paraId="6608C364" w14:textId="77777777" w:rsidR="00D97438" w:rsidRDefault="00D97438">
    <w:pPr>
      <w:pStyle w:val="Header"/>
      <w:tabs>
        <w:tab w:val="clear" w:pos="4320"/>
        <w:tab w:val="clear" w:pos="8640"/>
        <w:tab w:val="center" w:pos="4680"/>
        <w:tab w:val="right" w:pos="9180"/>
      </w:tabs>
    </w:pPr>
    <w:r>
      <w:t>SCE Advice Letter 2870-E/E-A/AS6</w:t>
    </w:r>
  </w:p>
  <w:p w14:paraId="793CB88E" w14:textId="77777777" w:rsidR="00D97438" w:rsidRDefault="00D9743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E9DBE4" w14:textId="77777777" w:rsidR="00D97438" w:rsidRDefault="00D97438">
    <w:pPr>
      <w:pStyle w:val="Header"/>
      <w:rPr>
        <w:rFonts w:ascii="Helvetica" w:hAnsi="Helvetica"/>
        <w:b/>
        <w:sz w:val="28"/>
      </w:rPr>
    </w:pPr>
    <w:r>
      <w:tab/>
    </w:r>
    <w:r>
      <w:rPr>
        <w:b/>
      </w:rPr>
      <w:t>DRAFT</w:t>
    </w:r>
    <w:r>
      <w:rPr>
        <w:b/>
      </w:rPr>
      <w:tab/>
    </w:r>
    <w:r>
      <w:rPr>
        <w:b/>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64D8D"/>
    <w:multiLevelType w:val="hybridMultilevel"/>
    <w:tmpl w:val="B4BE499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AAE5E0A"/>
    <w:multiLevelType w:val="singleLevel"/>
    <w:tmpl w:val="81622C8A"/>
    <w:lvl w:ilvl="0">
      <w:start w:val="1"/>
      <w:numFmt w:val="upperLetter"/>
      <w:pStyle w:val="AListIndent"/>
      <w:lvlText w:val="%1. "/>
      <w:lvlJc w:val="left"/>
      <w:pPr>
        <w:tabs>
          <w:tab w:val="num" w:pos="1152"/>
        </w:tabs>
        <w:ind w:left="1152" w:hanging="432"/>
      </w:pPr>
      <w:rPr>
        <w:rFonts w:ascii="Courier" w:hAnsi="Courier" w:hint="default"/>
        <w:b w:val="0"/>
        <w:i w:val="0"/>
        <w:sz w:val="24"/>
      </w:rPr>
    </w:lvl>
  </w:abstractNum>
  <w:abstractNum w:abstractNumId="2">
    <w:nsid w:val="0BDB7819"/>
    <w:multiLevelType w:val="singleLevel"/>
    <w:tmpl w:val="0409000F"/>
    <w:lvl w:ilvl="0">
      <w:start w:val="1"/>
      <w:numFmt w:val="decimal"/>
      <w:lvlText w:val="%1."/>
      <w:lvlJc w:val="left"/>
      <w:pPr>
        <w:tabs>
          <w:tab w:val="num" w:pos="450"/>
        </w:tabs>
        <w:ind w:left="450" w:hanging="360"/>
      </w:pPr>
    </w:lvl>
  </w:abstractNum>
  <w:abstractNum w:abstractNumId="3">
    <w:nsid w:val="17930C0F"/>
    <w:multiLevelType w:val="hybridMultilevel"/>
    <w:tmpl w:val="A8928462"/>
    <w:lvl w:ilvl="0" w:tplc="FFFFFFFF">
      <w:start w:val="1"/>
      <w:numFmt w:val="decimal"/>
      <w:pStyle w:val="h-1"/>
      <w:lvlText w:val="%1."/>
      <w:lvlJc w:val="left"/>
      <w:pPr>
        <w:tabs>
          <w:tab w:val="num" w:pos="720"/>
        </w:tabs>
        <w:ind w:left="720" w:hanging="360"/>
      </w:pPr>
      <w:rPr>
        <w:rFonts w:hint="default"/>
        <w:b/>
      </w:rPr>
    </w:lvl>
    <w:lvl w:ilvl="1" w:tplc="FFFFFFFF">
      <w:start w:val="1"/>
      <w:numFmt w:val="lowerLetter"/>
      <w:lvlText w:val="%2."/>
      <w:lvlJc w:val="left"/>
      <w:pPr>
        <w:tabs>
          <w:tab w:val="num" w:pos="1440"/>
        </w:tabs>
        <w:ind w:left="1440" w:hanging="360"/>
      </w:pPr>
      <w:rPr>
        <w:rFonts w:hint="default"/>
        <w:b w:val="0"/>
      </w:rPr>
    </w:lvl>
    <w:lvl w:ilvl="2" w:tplc="FFFFFFFF">
      <w:start w:val="1"/>
      <w:numFmt w:val="lowerRoman"/>
      <w:pStyle w:val="noi7"/>
      <w:lvlText w:val="%3."/>
      <w:lvlJc w:val="right"/>
      <w:pPr>
        <w:tabs>
          <w:tab w:val="num" w:pos="2160"/>
        </w:tabs>
        <w:ind w:left="2160" w:hanging="180"/>
      </w:pPr>
      <w:rPr>
        <w:b w:val="0"/>
      </w:rPr>
    </w:lvl>
    <w:lvl w:ilvl="3" w:tplc="FFFFFFFF">
      <w:start w:val="1"/>
      <w:numFmt w:val="bullet"/>
      <w:pStyle w:val="bl"/>
      <w:lvlText w:val=""/>
      <w:lvlJc w:val="left"/>
      <w:pPr>
        <w:tabs>
          <w:tab w:val="num" w:pos="2880"/>
        </w:tabs>
        <w:ind w:left="2880" w:hanging="360"/>
      </w:pPr>
      <w:rPr>
        <w:rFonts w:ascii="Symbol" w:hAnsi="Symbol"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nsid w:val="21480B1D"/>
    <w:multiLevelType w:val="multilevel"/>
    <w:tmpl w:val="C98CB7D4"/>
    <w:lvl w:ilvl="0">
      <w:start w:val="1"/>
      <w:numFmt w:val="decimal"/>
      <w:lvlText w:val="%1."/>
      <w:lvlJc w:val="left"/>
      <w:pPr>
        <w:tabs>
          <w:tab w:val="num" w:pos="360"/>
        </w:tabs>
        <w:ind w:left="360" w:hanging="360"/>
      </w:pPr>
      <w:rPr>
        <w:rFonts w:hint="default"/>
      </w:rPr>
    </w:lvl>
    <w:lvl w:ilvl="1">
      <w:start w:val="1"/>
      <w:numFmt w:val="decimal"/>
      <w:pStyle w:val="Heading2"/>
      <w:isLgl/>
      <w:lvlText w:val="%1.%2"/>
      <w:lvlJc w:val="left"/>
      <w:pPr>
        <w:tabs>
          <w:tab w:val="num" w:pos="1215"/>
        </w:tabs>
        <w:ind w:left="1215" w:hanging="495"/>
      </w:pPr>
      <w:rPr>
        <w:rFonts w:hint="default"/>
      </w:rPr>
    </w:lvl>
    <w:lvl w:ilvl="2">
      <w:start w:val="1"/>
      <w:numFmt w:val="decimal"/>
      <w:isLgl/>
      <w:lvlText w:val="%1.%2.%3"/>
      <w:lvlJc w:val="left"/>
      <w:pPr>
        <w:tabs>
          <w:tab w:val="num" w:pos="2160"/>
        </w:tabs>
        <w:ind w:left="2160" w:hanging="720"/>
      </w:pPr>
      <w:rPr>
        <w:rFonts w:hint="default"/>
      </w:rPr>
    </w:lvl>
    <w:lvl w:ilvl="3">
      <w:start w:val="1"/>
      <w:numFmt w:val="decimalZero"/>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5040"/>
        </w:tabs>
        <w:ind w:left="5040" w:hanging="144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840"/>
        </w:tabs>
        <w:ind w:left="6840" w:hanging="180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5">
    <w:nsid w:val="2B5B7E15"/>
    <w:multiLevelType w:val="hybridMultilevel"/>
    <w:tmpl w:val="840A1B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3D34417"/>
    <w:multiLevelType w:val="multilevel"/>
    <w:tmpl w:val="C28E5C40"/>
    <w:lvl w:ilvl="0">
      <w:start w:val="1"/>
      <w:numFmt w:val="decimal"/>
      <w:pStyle w:val="1ListIndent"/>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7">
    <w:nsid w:val="4E0316B2"/>
    <w:multiLevelType w:val="hybridMultilevel"/>
    <w:tmpl w:val="1C0EB16C"/>
    <w:lvl w:ilvl="0" w:tplc="0409000F">
      <w:start w:val="1"/>
      <w:numFmt w:val="decimal"/>
      <w:lvlText w:val="%1."/>
      <w:lvlJc w:val="left"/>
      <w:pPr>
        <w:tabs>
          <w:tab w:val="num" w:pos="720"/>
        </w:tabs>
        <w:ind w:left="720" w:hanging="360"/>
      </w:pPr>
    </w:lvl>
    <w:lvl w:ilvl="1" w:tplc="610A59F6">
      <w:start w:val="1"/>
      <w:numFmt w:val="bullet"/>
      <w:lvlText w:val=""/>
      <w:lvlJc w:val="left"/>
      <w:pPr>
        <w:tabs>
          <w:tab w:val="num" w:pos="828"/>
        </w:tabs>
        <w:ind w:left="828" w:hanging="288"/>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93E639E"/>
    <w:multiLevelType w:val="hybridMultilevel"/>
    <w:tmpl w:val="E13A2164"/>
    <w:lvl w:ilvl="0" w:tplc="6BEEF908">
      <w:start w:val="1"/>
      <w:numFmt w:val="bullet"/>
      <w:pStyle w:val="bullets4"/>
      <w:lvlText w:val=""/>
      <w:lvlJc w:val="left"/>
      <w:pPr>
        <w:tabs>
          <w:tab w:val="num" w:pos="1080"/>
        </w:tabs>
        <w:ind w:left="1080" w:hanging="360"/>
      </w:pPr>
      <w:rPr>
        <w:rFonts w:ascii="Symbol" w:hAnsi="Symbol" w:hint="default"/>
        <w:b/>
      </w:rPr>
    </w:lvl>
    <w:lvl w:ilvl="1" w:tplc="3268232A">
      <w:start w:val="1"/>
      <w:numFmt w:val="lowerLetter"/>
      <w:lvlText w:val="%2."/>
      <w:lvlJc w:val="left"/>
      <w:pPr>
        <w:tabs>
          <w:tab w:val="num" w:pos="1440"/>
        </w:tabs>
        <w:ind w:left="1440" w:hanging="360"/>
      </w:pPr>
      <w:rPr>
        <w:rFonts w:hint="default"/>
        <w:b w:val="0"/>
      </w:rPr>
    </w:lvl>
    <w:lvl w:ilvl="2" w:tplc="8C74C8CC">
      <w:start w:val="1"/>
      <w:numFmt w:val="lowerRoman"/>
      <w:lvlText w:val="%3."/>
      <w:lvlJc w:val="right"/>
      <w:pPr>
        <w:tabs>
          <w:tab w:val="num" w:pos="2160"/>
        </w:tabs>
        <w:ind w:left="2160" w:hanging="180"/>
      </w:pPr>
      <w:rPr>
        <w:b w:val="0"/>
      </w:rPr>
    </w:lvl>
    <w:lvl w:ilvl="3" w:tplc="BAC832E8">
      <w:start w:val="1"/>
      <w:numFmt w:val="bullet"/>
      <w:lvlText w:val=""/>
      <w:lvlJc w:val="left"/>
      <w:pPr>
        <w:tabs>
          <w:tab w:val="num" w:pos="2880"/>
        </w:tabs>
        <w:ind w:left="2880" w:hanging="360"/>
      </w:pPr>
      <w:rPr>
        <w:rFonts w:ascii="Symbol" w:hAnsi="Symbol" w:hint="default"/>
      </w:rPr>
    </w:lvl>
    <w:lvl w:ilvl="4" w:tplc="7486BEC0" w:tentative="1">
      <w:start w:val="1"/>
      <w:numFmt w:val="lowerLetter"/>
      <w:lvlText w:val="%5."/>
      <w:lvlJc w:val="left"/>
      <w:pPr>
        <w:tabs>
          <w:tab w:val="num" w:pos="3600"/>
        </w:tabs>
        <w:ind w:left="3600" w:hanging="360"/>
      </w:pPr>
    </w:lvl>
    <w:lvl w:ilvl="5" w:tplc="491C4B00" w:tentative="1">
      <w:start w:val="1"/>
      <w:numFmt w:val="lowerRoman"/>
      <w:lvlText w:val="%6."/>
      <w:lvlJc w:val="right"/>
      <w:pPr>
        <w:tabs>
          <w:tab w:val="num" w:pos="4320"/>
        </w:tabs>
        <w:ind w:left="4320" w:hanging="180"/>
      </w:pPr>
    </w:lvl>
    <w:lvl w:ilvl="6" w:tplc="B47815EC" w:tentative="1">
      <w:start w:val="1"/>
      <w:numFmt w:val="decimal"/>
      <w:lvlText w:val="%7."/>
      <w:lvlJc w:val="left"/>
      <w:pPr>
        <w:tabs>
          <w:tab w:val="num" w:pos="5040"/>
        </w:tabs>
        <w:ind w:left="5040" w:hanging="360"/>
      </w:pPr>
    </w:lvl>
    <w:lvl w:ilvl="7" w:tplc="85CA1B8C" w:tentative="1">
      <w:start w:val="1"/>
      <w:numFmt w:val="lowerLetter"/>
      <w:lvlText w:val="%8."/>
      <w:lvlJc w:val="left"/>
      <w:pPr>
        <w:tabs>
          <w:tab w:val="num" w:pos="5760"/>
        </w:tabs>
        <w:ind w:left="5760" w:hanging="360"/>
      </w:pPr>
    </w:lvl>
    <w:lvl w:ilvl="8" w:tplc="3556ADEC" w:tentative="1">
      <w:start w:val="1"/>
      <w:numFmt w:val="lowerRoman"/>
      <w:lvlText w:val="%9."/>
      <w:lvlJc w:val="right"/>
      <w:pPr>
        <w:tabs>
          <w:tab w:val="num" w:pos="6480"/>
        </w:tabs>
        <w:ind w:left="6480" w:hanging="180"/>
      </w:pPr>
    </w:lvl>
  </w:abstractNum>
  <w:num w:numId="1">
    <w:abstractNumId w:val="1"/>
  </w:num>
  <w:num w:numId="2">
    <w:abstractNumId w:val="6"/>
  </w:num>
  <w:num w:numId="3">
    <w:abstractNumId w:val="4"/>
  </w:num>
  <w:num w:numId="4">
    <w:abstractNumId w:val="2"/>
  </w:num>
  <w:num w:numId="5">
    <w:abstractNumId w:val="3"/>
  </w:num>
  <w:num w:numId="6">
    <w:abstractNumId w:val="8"/>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ctiveWritingStyle w:appName="MSWord" w:lang="en-US"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13313"/>
  </w:hdrShapeDefaults>
  <w:footnotePr>
    <w:footnote w:id="-1"/>
    <w:footnote w:id="0"/>
    <w:footnote w:id="1"/>
  </w:footnotePr>
  <w:endnotePr>
    <w:endnote w:id="-1"/>
    <w:endnote w:id="0"/>
    <w:endnote w:id="1"/>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8013A"/>
    <w:rsid w:val="00000FAC"/>
    <w:rsid w:val="00001DB5"/>
    <w:rsid w:val="000022B1"/>
    <w:rsid w:val="00002597"/>
    <w:rsid w:val="0000430F"/>
    <w:rsid w:val="000049C8"/>
    <w:rsid w:val="0000678F"/>
    <w:rsid w:val="00006F38"/>
    <w:rsid w:val="00007EEC"/>
    <w:rsid w:val="000205DB"/>
    <w:rsid w:val="00023FE2"/>
    <w:rsid w:val="00024477"/>
    <w:rsid w:val="000304D8"/>
    <w:rsid w:val="00031F14"/>
    <w:rsid w:val="00033F09"/>
    <w:rsid w:val="00036155"/>
    <w:rsid w:val="00036587"/>
    <w:rsid w:val="0003728F"/>
    <w:rsid w:val="00037A2F"/>
    <w:rsid w:val="000409CC"/>
    <w:rsid w:val="00041D39"/>
    <w:rsid w:val="000423DF"/>
    <w:rsid w:val="000434CD"/>
    <w:rsid w:val="0004752C"/>
    <w:rsid w:val="0005157E"/>
    <w:rsid w:val="0005470D"/>
    <w:rsid w:val="000556AA"/>
    <w:rsid w:val="000570A7"/>
    <w:rsid w:val="00061A5D"/>
    <w:rsid w:val="00061F97"/>
    <w:rsid w:val="0006393A"/>
    <w:rsid w:val="00064AD7"/>
    <w:rsid w:val="00075EAE"/>
    <w:rsid w:val="00076FAF"/>
    <w:rsid w:val="000804B9"/>
    <w:rsid w:val="00081D74"/>
    <w:rsid w:val="000861F3"/>
    <w:rsid w:val="00086819"/>
    <w:rsid w:val="00094CFB"/>
    <w:rsid w:val="00097E48"/>
    <w:rsid w:val="000A2684"/>
    <w:rsid w:val="000A56FE"/>
    <w:rsid w:val="000A70D6"/>
    <w:rsid w:val="000B1117"/>
    <w:rsid w:val="000B5100"/>
    <w:rsid w:val="000B6A6B"/>
    <w:rsid w:val="000C27DA"/>
    <w:rsid w:val="000C5EDF"/>
    <w:rsid w:val="000C715B"/>
    <w:rsid w:val="000C73B8"/>
    <w:rsid w:val="000D008E"/>
    <w:rsid w:val="000D2D23"/>
    <w:rsid w:val="000D3E9C"/>
    <w:rsid w:val="000D5C26"/>
    <w:rsid w:val="000D6309"/>
    <w:rsid w:val="000D63BA"/>
    <w:rsid w:val="000E1C86"/>
    <w:rsid w:val="000E30C1"/>
    <w:rsid w:val="000E4B19"/>
    <w:rsid w:val="000E5655"/>
    <w:rsid w:val="000F3E8B"/>
    <w:rsid w:val="000F45FD"/>
    <w:rsid w:val="000F6AE0"/>
    <w:rsid w:val="000F7B4D"/>
    <w:rsid w:val="0010050E"/>
    <w:rsid w:val="00101967"/>
    <w:rsid w:val="00101BD9"/>
    <w:rsid w:val="00103280"/>
    <w:rsid w:val="001034EF"/>
    <w:rsid w:val="00105740"/>
    <w:rsid w:val="001167EF"/>
    <w:rsid w:val="00117D21"/>
    <w:rsid w:val="00120F2B"/>
    <w:rsid w:val="0012392E"/>
    <w:rsid w:val="00126FC2"/>
    <w:rsid w:val="00131F2A"/>
    <w:rsid w:val="00132646"/>
    <w:rsid w:val="0013334F"/>
    <w:rsid w:val="0013393D"/>
    <w:rsid w:val="001342FE"/>
    <w:rsid w:val="00135144"/>
    <w:rsid w:val="00135BEE"/>
    <w:rsid w:val="00137C3A"/>
    <w:rsid w:val="00140393"/>
    <w:rsid w:val="001416F4"/>
    <w:rsid w:val="00143CEE"/>
    <w:rsid w:val="00147771"/>
    <w:rsid w:val="00150617"/>
    <w:rsid w:val="001513F5"/>
    <w:rsid w:val="0015148F"/>
    <w:rsid w:val="001541C7"/>
    <w:rsid w:val="0015713D"/>
    <w:rsid w:val="00160C3E"/>
    <w:rsid w:val="00162E50"/>
    <w:rsid w:val="0016560E"/>
    <w:rsid w:val="00171127"/>
    <w:rsid w:val="00173A1A"/>
    <w:rsid w:val="0018013A"/>
    <w:rsid w:val="00182F70"/>
    <w:rsid w:val="0018712A"/>
    <w:rsid w:val="00195D25"/>
    <w:rsid w:val="001A26EA"/>
    <w:rsid w:val="001A2B7D"/>
    <w:rsid w:val="001B3915"/>
    <w:rsid w:val="001B7D02"/>
    <w:rsid w:val="001C2093"/>
    <w:rsid w:val="001C41B7"/>
    <w:rsid w:val="001C484D"/>
    <w:rsid w:val="001C4E4D"/>
    <w:rsid w:val="001C5CE4"/>
    <w:rsid w:val="001C7AA4"/>
    <w:rsid w:val="001D1BCF"/>
    <w:rsid w:val="001D405E"/>
    <w:rsid w:val="001D40B9"/>
    <w:rsid w:val="001D4973"/>
    <w:rsid w:val="001D5277"/>
    <w:rsid w:val="001D52A2"/>
    <w:rsid w:val="001E174F"/>
    <w:rsid w:val="001E2695"/>
    <w:rsid w:val="001E2F62"/>
    <w:rsid w:val="001E38F3"/>
    <w:rsid w:val="001E4DAA"/>
    <w:rsid w:val="001F0182"/>
    <w:rsid w:val="001F037F"/>
    <w:rsid w:val="001F0852"/>
    <w:rsid w:val="001F276A"/>
    <w:rsid w:val="001F27B6"/>
    <w:rsid w:val="001F3135"/>
    <w:rsid w:val="002003B1"/>
    <w:rsid w:val="00202EAB"/>
    <w:rsid w:val="00212AEA"/>
    <w:rsid w:val="002168C1"/>
    <w:rsid w:val="0022291C"/>
    <w:rsid w:val="00223EDD"/>
    <w:rsid w:val="0023202B"/>
    <w:rsid w:val="00232B7E"/>
    <w:rsid w:val="002330E1"/>
    <w:rsid w:val="00236CA0"/>
    <w:rsid w:val="00240A02"/>
    <w:rsid w:val="002428CA"/>
    <w:rsid w:val="002437C3"/>
    <w:rsid w:val="00243FC6"/>
    <w:rsid w:val="00244760"/>
    <w:rsid w:val="0025172A"/>
    <w:rsid w:val="00254BC8"/>
    <w:rsid w:val="002562A3"/>
    <w:rsid w:val="00256859"/>
    <w:rsid w:val="00263816"/>
    <w:rsid w:val="002638BA"/>
    <w:rsid w:val="002660CC"/>
    <w:rsid w:val="0026694E"/>
    <w:rsid w:val="0026745B"/>
    <w:rsid w:val="00267B51"/>
    <w:rsid w:val="002704B3"/>
    <w:rsid w:val="002709BB"/>
    <w:rsid w:val="00271651"/>
    <w:rsid w:val="002722C8"/>
    <w:rsid w:val="00273D88"/>
    <w:rsid w:val="00274B1D"/>
    <w:rsid w:val="002756BB"/>
    <w:rsid w:val="00275A5A"/>
    <w:rsid w:val="00276044"/>
    <w:rsid w:val="00276B23"/>
    <w:rsid w:val="00277A70"/>
    <w:rsid w:val="00282078"/>
    <w:rsid w:val="00285252"/>
    <w:rsid w:val="00287196"/>
    <w:rsid w:val="00287CE4"/>
    <w:rsid w:val="00290B74"/>
    <w:rsid w:val="00292573"/>
    <w:rsid w:val="002928CE"/>
    <w:rsid w:val="00294008"/>
    <w:rsid w:val="002940A7"/>
    <w:rsid w:val="00296416"/>
    <w:rsid w:val="002964A1"/>
    <w:rsid w:val="00297A04"/>
    <w:rsid w:val="002A033E"/>
    <w:rsid w:val="002A0C74"/>
    <w:rsid w:val="002A3769"/>
    <w:rsid w:val="002A5B55"/>
    <w:rsid w:val="002B1ABD"/>
    <w:rsid w:val="002B341F"/>
    <w:rsid w:val="002B4019"/>
    <w:rsid w:val="002B50BE"/>
    <w:rsid w:val="002B726C"/>
    <w:rsid w:val="002C19F8"/>
    <w:rsid w:val="002C2DE5"/>
    <w:rsid w:val="002C58C9"/>
    <w:rsid w:val="002C66B8"/>
    <w:rsid w:val="002C748F"/>
    <w:rsid w:val="002D1FB7"/>
    <w:rsid w:val="002D25F9"/>
    <w:rsid w:val="002D4D69"/>
    <w:rsid w:val="002D50B1"/>
    <w:rsid w:val="002D5D32"/>
    <w:rsid w:val="002D67EE"/>
    <w:rsid w:val="002E25B9"/>
    <w:rsid w:val="002F00D8"/>
    <w:rsid w:val="002F0505"/>
    <w:rsid w:val="002F1E87"/>
    <w:rsid w:val="0030009E"/>
    <w:rsid w:val="0030042F"/>
    <w:rsid w:val="003043D6"/>
    <w:rsid w:val="00313355"/>
    <w:rsid w:val="00330172"/>
    <w:rsid w:val="00333843"/>
    <w:rsid w:val="00334387"/>
    <w:rsid w:val="003375BD"/>
    <w:rsid w:val="00337EDD"/>
    <w:rsid w:val="003413E1"/>
    <w:rsid w:val="00343B16"/>
    <w:rsid w:val="00343BF8"/>
    <w:rsid w:val="00345255"/>
    <w:rsid w:val="0034701E"/>
    <w:rsid w:val="0035063A"/>
    <w:rsid w:val="003508B3"/>
    <w:rsid w:val="003525AC"/>
    <w:rsid w:val="0035275B"/>
    <w:rsid w:val="003547A0"/>
    <w:rsid w:val="00357275"/>
    <w:rsid w:val="00361514"/>
    <w:rsid w:val="003621BB"/>
    <w:rsid w:val="003627DC"/>
    <w:rsid w:val="003632D3"/>
    <w:rsid w:val="00363EA3"/>
    <w:rsid w:val="00366379"/>
    <w:rsid w:val="003672E6"/>
    <w:rsid w:val="0036770D"/>
    <w:rsid w:val="00367B53"/>
    <w:rsid w:val="00370540"/>
    <w:rsid w:val="00370DDF"/>
    <w:rsid w:val="003710BE"/>
    <w:rsid w:val="00371419"/>
    <w:rsid w:val="00371CC9"/>
    <w:rsid w:val="00372B17"/>
    <w:rsid w:val="00373373"/>
    <w:rsid w:val="00374B5F"/>
    <w:rsid w:val="00374C7E"/>
    <w:rsid w:val="003805BA"/>
    <w:rsid w:val="0038215A"/>
    <w:rsid w:val="003840B8"/>
    <w:rsid w:val="0038479B"/>
    <w:rsid w:val="003877E2"/>
    <w:rsid w:val="00393C36"/>
    <w:rsid w:val="00394D57"/>
    <w:rsid w:val="00395CB2"/>
    <w:rsid w:val="00396C58"/>
    <w:rsid w:val="00396E66"/>
    <w:rsid w:val="003A3858"/>
    <w:rsid w:val="003A4D65"/>
    <w:rsid w:val="003A5113"/>
    <w:rsid w:val="003A7D26"/>
    <w:rsid w:val="003B5666"/>
    <w:rsid w:val="003C05E7"/>
    <w:rsid w:val="003C0840"/>
    <w:rsid w:val="003C6BDF"/>
    <w:rsid w:val="003C7206"/>
    <w:rsid w:val="003C7B82"/>
    <w:rsid w:val="003D3944"/>
    <w:rsid w:val="003D3A82"/>
    <w:rsid w:val="003E2F0F"/>
    <w:rsid w:val="003E374E"/>
    <w:rsid w:val="003E3B3E"/>
    <w:rsid w:val="003E5FC6"/>
    <w:rsid w:val="003F0B54"/>
    <w:rsid w:val="003F128E"/>
    <w:rsid w:val="003F38CB"/>
    <w:rsid w:val="004008D3"/>
    <w:rsid w:val="004016BD"/>
    <w:rsid w:val="00401AAD"/>
    <w:rsid w:val="0040532D"/>
    <w:rsid w:val="00405DAE"/>
    <w:rsid w:val="00413183"/>
    <w:rsid w:val="00414650"/>
    <w:rsid w:val="00414E10"/>
    <w:rsid w:val="004162F5"/>
    <w:rsid w:val="0042100C"/>
    <w:rsid w:val="00421F38"/>
    <w:rsid w:val="00422408"/>
    <w:rsid w:val="00425A25"/>
    <w:rsid w:val="00427BE0"/>
    <w:rsid w:val="00433E84"/>
    <w:rsid w:val="004343AD"/>
    <w:rsid w:val="004356E0"/>
    <w:rsid w:val="00436848"/>
    <w:rsid w:val="004402C9"/>
    <w:rsid w:val="004403B5"/>
    <w:rsid w:val="00440955"/>
    <w:rsid w:val="004420F2"/>
    <w:rsid w:val="00442327"/>
    <w:rsid w:val="004428AE"/>
    <w:rsid w:val="004439CA"/>
    <w:rsid w:val="004451CE"/>
    <w:rsid w:val="00453038"/>
    <w:rsid w:val="004532A5"/>
    <w:rsid w:val="00457178"/>
    <w:rsid w:val="00460F5E"/>
    <w:rsid w:val="00461EF4"/>
    <w:rsid w:val="00465123"/>
    <w:rsid w:val="00466DB8"/>
    <w:rsid w:val="0046796B"/>
    <w:rsid w:val="00471F4F"/>
    <w:rsid w:val="00480533"/>
    <w:rsid w:val="00480C65"/>
    <w:rsid w:val="00483360"/>
    <w:rsid w:val="0048353E"/>
    <w:rsid w:val="00484032"/>
    <w:rsid w:val="0048444D"/>
    <w:rsid w:val="00484CC6"/>
    <w:rsid w:val="00484D5F"/>
    <w:rsid w:val="004863BD"/>
    <w:rsid w:val="00486A2D"/>
    <w:rsid w:val="00492608"/>
    <w:rsid w:val="00492ADF"/>
    <w:rsid w:val="00493857"/>
    <w:rsid w:val="0049626B"/>
    <w:rsid w:val="004A042A"/>
    <w:rsid w:val="004A359C"/>
    <w:rsid w:val="004A569D"/>
    <w:rsid w:val="004A6A2F"/>
    <w:rsid w:val="004B08DC"/>
    <w:rsid w:val="004B0DA6"/>
    <w:rsid w:val="004B1B8A"/>
    <w:rsid w:val="004B2774"/>
    <w:rsid w:val="004B2E6C"/>
    <w:rsid w:val="004B7C4B"/>
    <w:rsid w:val="004C04C5"/>
    <w:rsid w:val="004C2B63"/>
    <w:rsid w:val="004C4CE5"/>
    <w:rsid w:val="004C78E9"/>
    <w:rsid w:val="004D08B9"/>
    <w:rsid w:val="004D4945"/>
    <w:rsid w:val="004D5602"/>
    <w:rsid w:val="004D605F"/>
    <w:rsid w:val="004D611D"/>
    <w:rsid w:val="004E2D1E"/>
    <w:rsid w:val="004E510F"/>
    <w:rsid w:val="004F0E46"/>
    <w:rsid w:val="004F5A04"/>
    <w:rsid w:val="00500A6F"/>
    <w:rsid w:val="005011BE"/>
    <w:rsid w:val="0050269A"/>
    <w:rsid w:val="00503529"/>
    <w:rsid w:val="00506CD2"/>
    <w:rsid w:val="00511864"/>
    <w:rsid w:val="00512CB3"/>
    <w:rsid w:val="00514328"/>
    <w:rsid w:val="00515F56"/>
    <w:rsid w:val="00517629"/>
    <w:rsid w:val="00525CD9"/>
    <w:rsid w:val="005264B8"/>
    <w:rsid w:val="005332C8"/>
    <w:rsid w:val="005337B9"/>
    <w:rsid w:val="0054523B"/>
    <w:rsid w:val="00547E09"/>
    <w:rsid w:val="00550B06"/>
    <w:rsid w:val="00550EE0"/>
    <w:rsid w:val="0055159D"/>
    <w:rsid w:val="00552933"/>
    <w:rsid w:val="0055323C"/>
    <w:rsid w:val="0055555C"/>
    <w:rsid w:val="00560142"/>
    <w:rsid w:val="005631E7"/>
    <w:rsid w:val="0056531F"/>
    <w:rsid w:val="00565B30"/>
    <w:rsid w:val="00566D89"/>
    <w:rsid w:val="00567EEB"/>
    <w:rsid w:val="005720F9"/>
    <w:rsid w:val="0057254F"/>
    <w:rsid w:val="00573633"/>
    <w:rsid w:val="0057489A"/>
    <w:rsid w:val="00574DA1"/>
    <w:rsid w:val="00575D2B"/>
    <w:rsid w:val="00582A82"/>
    <w:rsid w:val="00583692"/>
    <w:rsid w:val="0058731E"/>
    <w:rsid w:val="005905C7"/>
    <w:rsid w:val="0059241A"/>
    <w:rsid w:val="00594DFF"/>
    <w:rsid w:val="005963C4"/>
    <w:rsid w:val="005A03E9"/>
    <w:rsid w:val="005A14BE"/>
    <w:rsid w:val="005A195D"/>
    <w:rsid w:val="005B2B79"/>
    <w:rsid w:val="005B2F0D"/>
    <w:rsid w:val="005B3AC8"/>
    <w:rsid w:val="005B7BC4"/>
    <w:rsid w:val="005C04F3"/>
    <w:rsid w:val="005C23D4"/>
    <w:rsid w:val="005C2632"/>
    <w:rsid w:val="005C52A5"/>
    <w:rsid w:val="005C5851"/>
    <w:rsid w:val="005C6314"/>
    <w:rsid w:val="005D2930"/>
    <w:rsid w:val="005D45FA"/>
    <w:rsid w:val="005E028F"/>
    <w:rsid w:val="005E1D68"/>
    <w:rsid w:val="005E3F50"/>
    <w:rsid w:val="005E66F6"/>
    <w:rsid w:val="005F198B"/>
    <w:rsid w:val="005F3CDF"/>
    <w:rsid w:val="005F7A39"/>
    <w:rsid w:val="0060129C"/>
    <w:rsid w:val="0060244E"/>
    <w:rsid w:val="00603AA7"/>
    <w:rsid w:val="00603DEF"/>
    <w:rsid w:val="00604C06"/>
    <w:rsid w:val="0061054C"/>
    <w:rsid w:val="00614C66"/>
    <w:rsid w:val="00616A52"/>
    <w:rsid w:val="00616B48"/>
    <w:rsid w:val="00617717"/>
    <w:rsid w:val="00621997"/>
    <w:rsid w:val="0062530B"/>
    <w:rsid w:val="00625B89"/>
    <w:rsid w:val="00626221"/>
    <w:rsid w:val="00627437"/>
    <w:rsid w:val="00631558"/>
    <w:rsid w:val="00631948"/>
    <w:rsid w:val="006321B4"/>
    <w:rsid w:val="006327C1"/>
    <w:rsid w:val="00634871"/>
    <w:rsid w:val="0063779B"/>
    <w:rsid w:val="00641797"/>
    <w:rsid w:val="006426B7"/>
    <w:rsid w:val="00644077"/>
    <w:rsid w:val="00646939"/>
    <w:rsid w:val="00650713"/>
    <w:rsid w:val="0065142D"/>
    <w:rsid w:val="00652F7F"/>
    <w:rsid w:val="00654B27"/>
    <w:rsid w:val="00657EBF"/>
    <w:rsid w:val="0066133E"/>
    <w:rsid w:val="00661661"/>
    <w:rsid w:val="00661A15"/>
    <w:rsid w:val="0066201B"/>
    <w:rsid w:val="00662E52"/>
    <w:rsid w:val="006641A8"/>
    <w:rsid w:val="0066425B"/>
    <w:rsid w:val="00666449"/>
    <w:rsid w:val="00666583"/>
    <w:rsid w:val="00670A10"/>
    <w:rsid w:val="00671599"/>
    <w:rsid w:val="006722E9"/>
    <w:rsid w:val="006732B5"/>
    <w:rsid w:val="00677CE1"/>
    <w:rsid w:val="006807E7"/>
    <w:rsid w:val="0068198A"/>
    <w:rsid w:val="00684D30"/>
    <w:rsid w:val="006857C4"/>
    <w:rsid w:val="00687599"/>
    <w:rsid w:val="00691687"/>
    <w:rsid w:val="006917D8"/>
    <w:rsid w:val="006939CC"/>
    <w:rsid w:val="00695561"/>
    <w:rsid w:val="00695EC4"/>
    <w:rsid w:val="0069614E"/>
    <w:rsid w:val="006A44CF"/>
    <w:rsid w:val="006A6C59"/>
    <w:rsid w:val="006B22C9"/>
    <w:rsid w:val="006B2A2F"/>
    <w:rsid w:val="006B3BB5"/>
    <w:rsid w:val="006B4513"/>
    <w:rsid w:val="006B6A39"/>
    <w:rsid w:val="006C0236"/>
    <w:rsid w:val="006C643A"/>
    <w:rsid w:val="006C648E"/>
    <w:rsid w:val="006C7054"/>
    <w:rsid w:val="006C7B2B"/>
    <w:rsid w:val="006D0B4A"/>
    <w:rsid w:val="006D22C7"/>
    <w:rsid w:val="006D2F87"/>
    <w:rsid w:val="006D43E7"/>
    <w:rsid w:val="006D5436"/>
    <w:rsid w:val="006E1310"/>
    <w:rsid w:val="006E1FB5"/>
    <w:rsid w:val="006E2E9A"/>
    <w:rsid w:val="006E3901"/>
    <w:rsid w:val="006F6D64"/>
    <w:rsid w:val="00700C8C"/>
    <w:rsid w:val="00701289"/>
    <w:rsid w:val="00704656"/>
    <w:rsid w:val="00705135"/>
    <w:rsid w:val="00710AD1"/>
    <w:rsid w:val="00711520"/>
    <w:rsid w:val="007124F9"/>
    <w:rsid w:val="00712B95"/>
    <w:rsid w:val="00713B1C"/>
    <w:rsid w:val="0071475C"/>
    <w:rsid w:val="00717211"/>
    <w:rsid w:val="00717671"/>
    <w:rsid w:val="00717D4C"/>
    <w:rsid w:val="007237DD"/>
    <w:rsid w:val="00723E1E"/>
    <w:rsid w:val="00724E5A"/>
    <w:rsid w:val="007261AF"/>
    <w:rsid w:val="00733393"/>
    <w:rsid w:val="0073400F"/>
    <w:rsid w:val="00736BC6"/>
    <w:rsid w:val="00740CD3"/>
    <w:rsid w:val="00742D33"/>
    <w:rsid w:val="00744074"/>
    <w:rsid w:val="007441E8"/>
    <w:rsid w:val="00745C16"/>
    <w:rsid w:val="007478FA"/>
    <w:rsid w:val="007503C8"/>
    <w:rsid w:val="00751DC5"/>
    <w:rsid w:val="00753CF4"/>
    <w:rsid w:val="00754985"/>
    <w:rsid w:val="007553D7"/>
    <w:rsid w:val="00757078"/>
    <w:rsid w:val="007571C0"/>
    <w:rsid w:val="0075724E"/>
    <w:rsid w:val="007622B1"/>
    <w:rsid w:val="007625D1"/>
    <w:rsid w:val="00762862"/>
    <w:rsid w:val="0076350E"/>
    <w:rsid w:val="00764317"/>
    <w:rsid w:val="00767073"/>
    <w:rsid w:val="00770686"/>
    <w:rsid w:val="00771CD3"/>
    <w:rsid w:val="00772B00"/>
    <w:rsid w:val="0077486F"/>
    <w:rsid w:val="007760E9"/>
    <w:rsid w:val="00776B7A"/>
    <w:rsid w:val="00776D20"/>
    <w:rsid w:val="007825B7"/>
    <w:rsid w:val="007873FF"/>
    <w:rsid w:val="00790532"/>
    <w:rsid w:val="00790E52"/>
    <w:rsid w:val="007924C1"/>
    <w:rsid w:val="007936D9"/>
    <w:rsid w:val="0079409C"/>
    <w:rsid w:val="007A07C9"/>
    <w:rsid w:val="007A17C5"/>
    <w:rsid w:val="007A22A5"/>
    <w:rsid w:val="007A2F03"/>
    <w:rsid w:val="007A3B28"/>
    <w:rsid w:val="007A69F5"/>
    <w:rsid w:val="007B203E"/>
    <w:rsid w:val="007B3520"/>
    <w:rsid w:val="007B5105"/>
    <w:rsid w:val="007C1CA6"/>
    <w:rsid w:val="007C265E"/>
    <w:rsid w:val="007C6B6E"/>
    <w:rsid w:val="007D62EE"/>
    <w:rsid w:val="007D7B66"/>
    <w:rsid w:val="007E05B6"/>
    <w:rsid w:val="007E44F2"/>
    <w:rsid w:val="007E7538"/>
    <w:rsid w:val="007F2D2E"/>
    <w:rsid w:val="007F5698"/>
    <w:rsid w:val="007F61C3"/>
    <w:rsid w:val="0080075F"/>
    <w:rsid w:val="00805AB8"/>
    <w:rsid w:val="00807084"/>
    <w:rsid w:val="00815C45"/>
    <w:rsid w:val="008224BA"/>
    <w:rsid w:val="00822602"/>
    <w:rsid w:val="0082462B"/>
    <w:rsid w:val="00825066"/>
    <w:rsid w:val="0082547D"/>
    <w:rsid w:val="00830AD0"/>
    <w:rsid w:val="008318C7"/>
    <w:rsid w:val="00832E06"/>
    <w:rsid w:val="00836DB5"/>
    <w:rsid w:val="00837D77"/>
    <w:rsid w:val="00840B54"/>
    <w:rsid w:val="0084266F"/>
    <w:rsid w:val="00845ABA"/>
    <w:rsid w:val="00846FB3"/>
    <w:rsid w:val="008472A3"/>
    <w:rsid w:val="0084755C"/>
    <w:rsid w:val="00850134"/>
    <w:rsid w:val="00850A0A"/>
    <w:rsid w:val="00851EA3"/>
    <w:rsid w:val="008521AA"/>
    <w:rsid w:val="0085459B"/>
    <w:rsid w:val="00860148"/>
    <w:rsid w:val="008610F5"/>
    <w:rsid w:val="00863BEE"/>
    <w:rsid w:val="00867EFE"/>
    <w:rsid w:val="00870E35"/>
    <w:rsid w:val="00872C34"/>
    <w:rsid w:val="0087364A"/>
    <w:rsid w:val="00873A4A"/>
    <w:rsid w:val="00873B07"/>
    <w:rsid w:val="0088323E"/>
    <w:rsid w:val="00885B80"/>
    <w:rsid w:val="00885FC2"/>
    <w:rsid w:val="00890FE6"/>
    <w:rsid w:val="00894943"/>
    <w:rsid w:val="0089684E"/>
    <w:rsid w:val="008A1FA6"/>
    <w:rsid w:val="008A2189"/>
    <w:rsid w:val="008A295C"/>
    <w:rsid w:val="008A2CD2"/>
    <w:rsid w:val="008A6FEB"/>
    <w:rsid w:val="008B3B0F"/>
    <w:rsid w:val="008B469C"/>
    <w:rsid w:val="008B646F"/>
    <w:rsid w:val="008C15C9"/>
    <w:rsid w:val="008C3ED5"/>
    <w:rsid w:val="008C54D0"/>
    <w:rsid w:val="008D48C8"/>
    <w:rsid w:val="008D5FCF"/>
    <w:rsid w:val="008D6EF5"/>
    <w:rsid w:val="008E2653"/>
    <w:rsid w:val="008E31AC"/>
    <w:rsid w:val="008E5996"/>
    <w:rsid w:val="008E65F7"/>
    <w:rsid w:val="008E7F2A"/>
    <w:rsid w:val="008F2F26"/>
    <w:rsid w:val="008F3592"/>
    <w:rsid w:val="008F7957"/>
    <w:rsid w:val="00900E4D"/>
    <w:rsid w:val="0090168F"/>
    <w:rsid w:val="00901EA7"/>
    <w:rsid w:val="00906E86"/>
    <w:rsid w:val="009118F7"/>
    <w:rsid w:val="009127F0"/>
    <w:rsid w:val="00917636"/>
    <w:rsid w:val="009227E1"/>
    <w:rsid w:val="00922ACD"/>
    <w:rsid w:val="00931076"/>
    <w:rsid w:val="00943CFD"/>
    <w:rsid w:val="0095157E"/>
    <w:rsid w:val="009534B5"/>
    <w:rsid w:val="00955A96"/>
    <w:rsid w:val="00957DCF"/>
    <w:rsid w:val="009600DB"/>
    <w:rsid w:val="009616B8"/>
    <w:rsid w:val="00964551"/>
    <w:rsid w:val="00974E86"/>
    <w:rsid w:val="009752CC"/>
    <w:rsid w:val="0097581F"/>
    <w:rsid w:val="00977434"/>
    <w:rsid w:val="00983E44"/>
    <w:rsid w:val="00985A99"/>
    <w:rsid w:val="0098603D"/>
    <w:rsid w:val="0098787D"/>
    <w:rsid w:val="00990DC5"/>
    <w:rsid w:val="009914B3"/>
    <w:rsid w:val="00991553"/>
    <w:rsid w:val="009952EE"/>
    <w:rsid w:val="009979B1"/>
    <w:rsid w:val="009A1C16"/>
    <w:rsid w:val="009A20D8"/>
    <w:rsid w:val="009A25D9"/>
    <w:rsid w:val="009A36CE"/>
    <w:rsid w:val="009A463F"/>
    <w:rsid w:val="009A4C94"/>
    <w:rsid w:val="009A4D1A"/>
    <w:rsid w:val="009A5AE8"/>
    <w:rsid w:val="009B31D6"/>
    <w:rsid w:val="009B3AFD"/>
    <w:rsid w:val="009B5564"/>
    <w:rsid w:val="009C14AE"/>
    <w:rsid w:val="009C2D9B"/>
    <w:rsid w:val="009C59C6"/>
    <w:rsid w:val="009C6FBB"/>
    <w:rsid w:val="009C7019"/>
    <w:rsid w:val="009C764C"/>
    <w:rsid w:val="009C769E"/>
    <w:rsid w:val="009D1035"/>
    <w:rsid w:val="009D3131"/>
    <w:rsid w:val="009D4650"/>
    <w:rsid w:val="009E3259"/>
    <w:rsid w:val="009E6628"/>
    <w:rsid w:val="009F0271"/>
    <w:rsid w:val="009F43E6"/>
    <w:rsid w:val="009F52E1"/>
    <w:rsid w:val="009F62E5"/>
    <w:rsid w:val="00A02B19"/>
    <w:rsid w:val="00A05673"/>
    <w:rsid w:val="00A1141B"/>
    <w:rsid w:val="00A11FB3"/>
    <w:rsid w:val="00A122FC"/>
    <w:rsid w:val="00A14572"/>
    <w:rsid w:val="00A14CCC"/>
    <w:rsid w:val="00A14E9D"/>
    <w:rsid w:val="00A253BB"/>
    <w:rsid w:val="00A30C24"/>
    <w:rsid w:val="00A3263E"/>
    <w:rsid w:val="00A33DA8"/>
    <w:rsid w:val="00A33ECC"/>
    <w:rsid w:val="00A35396"/>
    <w:rsid w:val="00A354BC"/>
    <w:rsid w:val="00A356FA"/>
    <w:rsid w:val="00A37285"/>
    <w:rsid w:val="00A42811"/>
    <w:rsid w:val="00A43BE3"/>
    <w:rsid w:val="00A45408"/>
    <w:rsid w:val="00A458C8"/>
    <w:rsid w:val="00A46908"/>
    <w:rsid w:val="00A471E6"/>
    <w:rsid w:val="00A477DB"/>
    <w:rsid w:val="00A47DA9"/>
    <w:rsid w:val="00A5379B"/>
    <w:rsid w:val="00A55339"/>
    <w:rsid w:val="00A55FE0"/>
    <w:rsid w:val="00A60D51"/>
    <w:rsid w:val="00A62935"/>
    <w:rsid w:val="00A704AA"/>
    <w:rsid w:val="00A757B2"/>
    <w:rsid w:val="00A758EB"/>
    <w:rsid w:val="00A75EA4"/>
    <w:rsid w:val="00A773EE"/>
    <w:rsid w:val="00A77547"/>
    <w:rsid w:val="00A80751"/>
    <w:rsid w:val="00A807AC"/>
    <w:rsid w:val="00A82284"/>
    <w:rsid w:val="00A867A3"/>
    <w:rsid w:val="00A87E35"/>
    <w:rsid w:val="00A9150E"/>
    <w:rsid w:val="00A94B04"/>
    <w:rsid w:val="00A967B0"/>
    <w:rsid w:val="00A97775"/>
    <w:rsid w:val="00AA0D1A"/>
    <w:rsid w:val="00AA1953"/>
    <w:rsid w:val="00AA4067"/>
    <w:rsid w:val="00AA49AD"/>
    <w:rsid w:val="00AA4F72"/>
    <w:rsid w:val="00AA60D0"/>
    <w:rsid w:val="00AA694E"/>
    <w:rsid w:val="00AB08DD"/>
    <w:rsid w:val="00AB1D5B"/>
    <w:rsid w:val="00AB1DFF"/>
    <w:rsid w:val="00AB2BC1"/>
    <w:rsid w:val="00AB4615"/>
    <w:rsid w:val="00AC170B"/>
    <w:rsid w:val="00AC356E"/>
    <w:rsid w:val="00AC4FAD"/>
    <w:rsid w:val="00AD24C3"/>
    <w:rsid w:val="00AD527B"/>
    <w:rsid w:val="00AE06FD"/>
    <w:rsid w:val="00AE1355"/>
    <w:rsid w:val="00AE2656"/>
    <w:rsid w:val="00AE6A3A"/>
    <w:rsid w:val="00AF24C2"/>
    <w:rsid w:val="00AF3B9F"/>
    <w:rsid w:val="00AF7EC7"/>
    <w:rsid w:val="00B00C84"/>
    <w:rsid w:val="00B00F50"/>
    <w:rsid w:val="00B01731"/>
    <w:rsid w:val="00B046EB"/>
    <w:rsid w:val="00B11769"/>
    <w:rsid w:val="00B15149"/>
    <w:rsid w:val="00B15B3E"/>
    <w:rsid w:val="00B16781"/>
    <w:rsid w:val="00B16BA9"/>
    <w:rsid w:val="00B17B90"/>
    <w:rsid w:val="00B20C88"/>
    <w:rsid w:val="00B219C9"/>
    <w:rsid w:val="00B24865"/>
    <w:rsid w:val="00B24DF0"/>
    <w:rsid w:val="00B33CDD"/>
    <w:rsid w:val="00B34B3D"/>
    <w:rsid w:val="00B35C62"/>
    <w:rsid w:val="00B364F1"/>
    <w:rsid w:val="00B3749C"/>
    <w:rsid w:val="00B3762E"/>
    <w:rsid w:val="00B37B91"/>
    <w:rsid w:val="00B4409A"/>
    <w:rsid w:val="00B44AE0"/>
    <w:rsid w:val="00B52FE4"/>
    <w:rsid w:val="00B62E43"/>
    <w:rsid w:val="00B70C08"/>
    <w:rsid w:val="00B7292D"/>
    <w:rsid w:val="00B730CD"/>
    <w:rsid w:val="00B76CEA"/>
    <w:rsid w:val="00B77C00"/>
    <w:rsid w:val="00B8003E"/>
    <w:rsid w:val="00B82479"/>
    <w:rsid w:val="00B82E63"/>
    <w:rsid w:val="00B83FE3"/>
    <w:rsid w:val="00B87498"/>
    <w:rsid w:val="00B87A52"/>
    <w:rsid w:val="00B95137"/>
    <w:rsid w:val="00BA0044"/>
    <w:rsid w:val="00BA187F"/>
    <w:rsid w:val="00BA25F4"/>
    <w:rsid w:val="00BA29DC"/>
    <w:rsid w:val="00BA5784"/>
    <w:rsid w:val="00BA6468"/>
    <w:rsid w:val="00BB136B"/>
    <w:rsid w:val="00BB145F"/>
    <w:rsid w:val="00BB1AF0"/>
    <w:rsid w:val="00BB3706"/>
    <w:rsid w:val="00BB3E59"/>
    <w:rsid w:val="00BB496E"/>
    <w:rsid w:val="00BC2071"/>
    <w:rsid w:val="00BD02D7"/>
    <w:rsid w:val="00BD3A1B"/>
    <w:rsid w:val="00BD3FC9"/>
    <w:rsid w:val="00BD450F"/>
    <w:rsid w:val="00BE28F8"/>
    <w:rsid w:val="00BE387D"/>
    <w:rsid w:val="00BE4869"/>
    <w:rsid w:val="00BE685E"/>
    <w:rsid w:val="00BE7012"/>
    <w:rsid w:val="00BE7BA9"/>
    <w:rsid w:val="00BF0392"/>
    <w:rsid w:val="00BF0F24"/>
    <w:rsid w:val="00BF1793"/>
    <w:rsid w:val="00BF237A"/>
    <w:rsid w:val="00BF2FC1"/>
    <w:rsid w:val="00BF456A"/>
    <w:rsid w:val="00C01502"/>
    <w:rsid w:val="00C050A9"/>
    <w:rsid w:val="00C05F31"/>
    <w:rsid w:val="00C06B7D"/>
    <w:rsid w:val="00C07B14"/>
    <w:rsid w:val="00C10741"/>
    <w:rsid w:val="00C12785"/>
    <w:rsid w:val="00C17691"/>
    <w:rsid w:val="00C20B8E"/>
    <w:rsid w:val="00C222B9"/>
    <w:rsid w:val="00C22990"/>
    <w:rsid w:val="00C23E90"/>
    <w:rsid w:val="00C26763"/>
    <w:rsid w:val="00C27498"/>
    <w:rsid w:val="00C338BE"/>
    <w:rsid w:val="00C34AAC"/>
    <w:rsid w:val="00C355AC"/>
    <w:rsid w:val="00C36887"/>
    <w:rsid w:val="00C40D9C"/>
    <w:rsid w:val="00C4236E"/>
    <w:rsid w:val="00C45DD6"/>
    <w:rsid w:val="00C51A22"/>
    <w:rsid w:val="00C5294D"/>
    <w:rsid w:val="00C535D5"/>
    <w:rsid w:val="00C5710F"/>
    <w:rsid w:val="00C5733F"/>
    <w:rsid w:val="00C6029B"/>
    <w:rsid w:val="00C60F3E"/>
    <w:rsid w:val="00C6263A"/>
    <w:rsid w:val="00C63766"/>
    <w:rsid w:val="00C671B8"/>
    <w:rsid w:val="00C70848"/>
    <w:rsid w:val="00C737A8"/>
    <w:rsid w:val="00C76801"/>
    <w:rsid w:val="00C803D7"/>
    <w:rsid w:val="00C807BD"/>
    <w:rsid w:val="00C815CE"/>
    <w:rsid w:val="00C821FA"/>
    <w:rsid w:val="00C82B98"/>
    <w:rsid w:val="00C83064"/>
    <w:rsid w:val="00C8379C"/>
    <w:rsid w:val="00C8504E"/>
    <w:rsid w:val="00C90B8A"/>
    <w:rsid w:val="00C90FD4"/>
    <w:rsid w:val="00C91A2E"/>
    <w:rsid w:val="00C92AB4"/>
    <w:rsid w:val="00C962F0"/>
    <w:rsid w:val="00C96904"/>
    <w:rsid w:val="00CA066D"/>
    <w:rsid w:val="00CA1EE5"/>
    <w:rsid w:val="00CA4CEB"/>
    <w:rsid w:val="00CA4E1C"/>
    <w:rsid w:val="00CB0D1A"/>
    <w:rsid w:val="00CB1465"/>
    <w:rsid w:val="00CB2636"/>
    <w:rsid w:val="00CB4BC4"/>
    <w:rsid w:val="00CC3648"/>
    <w:rsid w:val="00CC371C"/>
    <w:rsid w:val="00CC520D"/>
    <w:rsid w:val="00CC5DAC"/>
    <w:rsid w:val="00CC632A"/>
    <w:rsid w:val="00CD0EC0"/>
    <w:rsid w:val="00CD1195"/>
    <w:rsid w:val="00CD2790"/>
    <w:rsid w:val="00CD4519"/>
    <w:rsid w:val="00CD5C04"/>
    <w:rsid w:val="00CD61EE"/>
    <w:rsid w:val="00CD71E0"/>
    <w:rsid w:val="00CE00BE"/>
    <w:rsid w:val="00CE0CD6"/>
    <w:rsid w:val="00CE1A50"/>
    <w:rsid w:val="00CE275A"/>
    <w:rsid w:val="00CE2F7A"/>
    <w:rsid w:val="00CE5CB3"/>
    <w:rsid w:val="00CF0BC6"/>
    <w:rsid w:val="00CF0D2E"/>
    <w:rsid w:val="00CF4C19"/>
    <w:rsid w:val="00CF6CA2"/>
    <w:rsid w:val="00D00B92"/>
    <w:rsid w:val="00D00BE0"/>
    <w:rsid w:val="00D015C6"/>
    <w:rsid w:val="00D038D2"/>
    <w:rsid w:val="00D04DA6"/>
    <w:rsid w:val="00D073BC"/>
    <w:rsid w:val="00D1026C"/>
    <w:rsid w:val="00D12214"/>
    <w:rsid w:val="00D1633B"/>
    <w:rsid w:val="00D1749B"/>
    <w:rsid w:val="00D174A4"/>
    <w:rsid w:val="00D2308D"/>
    <w:rsid w:val="00D24B8F"/>
    <w:rsid w:val="00D24D2A"/>
    <w:rsid w:val="00D259AB"/>
    <w:rsid w:val="00D264BB"/>
    <w:rsid w:val="00D2739E"/>
    <w:rsid w:val="00D333BB"/>
    <w:rsid w:val="00D347A1"/>
    <w:rsid w:val="00D34D9A"/>
    <w:rsid w:val="00D357F3"/>
    <w:rsid w:val="00D35823"/>
    <w:rsid w:val="00D43D81"/>
    <w:rsid w:val="00D43E78"/>
    <w:rsid w:val="00D461DB"/>
    <w:rsid w:val="00D473DB"/>
    <w:rsid w:val="00D47BAB"/>
    <w:rsid w:val="00D50329"/>
    <w:rsid w:val="00D513C0"/>
    <w:rsid w:val="00D548DF"/>
    <w:rsid w:val="00D553D9"/>
    <w:rsid w:val="00D617A1"/>
    <w:rsid w:val="00D663D1"/>
    <w:rsid w:val="00D6724D"/>
    <w:rsid w:val="00D70099"/>
    <w:rsid w:val="00D715EA"/>
    <w:rsid w:val="00D72DDB"/>
    <w:rsid w:val="00D73BDF"/>
    <w:rsid w:val="00D747B8"/>
    <w:rsid w:val="00D76313"/>
    <w:rsid w:val="00D82F8C"/>
    <w:rsid w:val="00D84ADB"/>
    <w:rsid w:val="00D86B0B"/>
    <w:rsid w:val="00D86BC6"/>
    <w:rsid w:val="00D86C61"/>
    <w:rsid w:val="00D8741E"/>
    <w:rsid w:val="00D916A3"/>
    <w:rsid w:val="00D9287B"/>
    <w:rsid w:val="00D94B27"/>
    <w:rsid w:val="00D959FA"/>
    <w:rsid w:val="00D97438"/>
    <w:rsid w:val="00DA2DD1"/>
    <w:rsid w:val="00DA3224"/>
    <w:rsid w:val="00DA3EF7"/>
    <w:rsid w:val="00DA7487"/>
    <w:rsid w:val="00DB1417"/>
    <w:rsid w:val="00DB1875"/>
    <w:rsid w:val="00DB25A9"/>
    <w:rsid w:val="00DB53C9"/>
    <w:rsid w:val="00DC0B01"/>
    <w:rsid w:val="00DC17B1"/>
    <w:rsid w:val="00DC1CA7"/>
    <w:rsid w:val="00DC4755"/>
    <w:rsid w:val="00DC5040"/>
    <w:rsid w:val="00DC6A4B"/>
    <w:rsid w:val="00DD14A9"/>
    <w:rsid w:val="00DD1C0E"/>
    <w:rsid w:val="00DD64BD"/>
    <w:rsid w:val="00DD6E2C"/>
    <w:rsid w:val="00DE0122"/>
    <w:rsid w:val="00DE0A84"/>
    <w:rsid w:val="00DE135F"/>
    <w:rsid w:val="00DE2616"/>
    <w:rsid w:val="00DE3E02"/>
    <w:rsid w:val="00DE514A"/>
    <w:rsid w:val="00DE7E42"/>
    <w:rsid w:val="00DF03AE"/>
    <w:rsid w:val="00DF1B16"/>
    <w:rsid w:val="00DF3063"/>
    <w:rsid w:val="00DF5A40"/>
    <w:rsid w:val="00E0044E"/>
    <w:rsid w:val="00E04D14"/>
    <w:rsid w:val="00E04EB0"/>
    <w:rsid w:val="00E065C8"/>
    <w:rsid w:val="00E102C6"/>
    <w:rsid w:val="00E10635"/>
    <w:rsid w:val="00E117C4"/>
    <w:rsid w:val="00E11AC3"/>
    <w:rsid w:val="00E12932"/>
    <w:rsid w:val="00E144D8"/>
    <w:rsid w:val="00E145A2"/>
    <w:rsid w:val="00E16241"/>
    <w:rsid w:val="00E16FE3"/>
    <w:rsid w:val="00E1712D"/>
    <w:rsid w:val="00E20302"/>
    <w:rsid w:val="00E237EF"/>
    <w:rsid w:val="00E247E3"/>
    <w:rsid w:val="00E27E96"/>
    <w:rsid w:val="00E27FD9"/>
    <w:rsid w:val="00E3650C"/>
    <w:rsid w:val="00E36CF3"/>
    <w:rsid w:val="00E3735B"/>
    <w:rsid w:val="00E3798B"/>
    <w:rsid w:val="00E40139"/>
    <w:rsid w:val="00E4144B"/>
    <w:rsid w:val="00E434F6"/>
    <w:rsid w:val="00E463F4"/>
    <w:rsid w:val="00E46B14"/>
    <w:rsid w:val="00E4731F"/>
    <w:rsid w:val="00E51DF7"/>
    <w:rsid w:val="00E54A5A"/>
    <w:rsid w:val="00E555FF"/>
    <w:rsid w:val="00E56D17"/>
    <w:rsid w:val="00E5741A"/>
    <w:rsid w:val="00E61F29"/>
    <w:rsid w:val="00E62ABF"/>
    <w:rsid w:val="00E668AF"/>
    <w:rsid w:val="00E707EE"/>
    <w:rsid w:val="00E7118A"/>
    <w:rsid w:val="00E71858"/>
    <w:rsid w:val="00E720D2"/>
    <w:rsid w:val="00E72302"/>
    <w:rsid w:val="00E73358"/>
    <w:rsid w:val="00E74050"/>
    <w:rsid w:val="00E74BF7"/>
    <w:rsid w:val="00E74EF3"/>
    <w:rsid w:val="00E9074C"/>
    <w:rsid w:val="00E91783"/>
    <w:rsid w:val="00E92DC3"/>
    <w:rsid w:val="00E97321"/>
    <w:rsid w:val="00EA22F7"/>
    <w:rsid w:val="00EA312C"/>
    <w:rsid w:val="00EA334D"/>
    <w:rsid w:val="00EA4D70"/>
    <w:rsid w:val="00EB2B83"/>
    <w:rsid w:val="00EB4282"/>
    <w:rsid w:val="00EC1CCD"/>
    <w:rsid w:val="00EC2851"/>
    <w:rsid w:val="00ED0688"/>
    <w:rsid w:val="00ED0FFB"/>
    <w:rsid w:val="00ED218F"/>
    <w:rsid w:val="00ED28B7"/>
    <w:rsid w:val="00ED2EC0"/>
    <w:rsid w:val="00ED306F"/>
    <w:rsid w:val="00EE0A95"/>
    <w:rsid w:val="00EE5505"/>
    <w:rsid w:val="00EE5C33"/>
    <w:rsid w:val="00EE656F"/>
    <w:rsid w:val="00EE6CC7"/>
    <w:rsid w:val="00EF1B49"/>
    <w:rsid w:val="00EF4DF9"/>
    <w:rsid w:val="00EF6042"/>
    <w:rsid w:val="00F01E5B"/>
    <w:rsid w:val="00F052FA"/>
    <w:rsid w:val="00F064B6"/>
    <w:rsid w:val="00F10121"/>
    <w:rsid w:val="00F177F0"/>
    <w:rsid w:val="00F17E6B"/>
    <w:rsid w:val="00F204E4"/>
    <w:rsid w:val="00F208B4"/>
    <w:rsid w:val="00F20B20"/>
    <w:rsid w:val="00F22F0B"/>
    <w:rsid w:val="00F26DF0"/>
    <w:rsid w:val="00F315E9"/>
    <w:rsid w:val="00F32FFE"/>
    <w:rsid w:val="00F337A5"/>
    <w:rsid w:val="00F35F73"/>
    <w:rsid w:val="00F36AF4"/>
    <w:rsid w:val="00F36D2A"/>
    <w:rsid w:val="00F4463D"/>
    <w:rsid w:val="00F464BD"/>
    <w:rsid w:val="00F52055"/>
    <w:rsid w:val="00F54077"/>
    <w:rsid w:val="00F5600A"/>
    <w:rsid w:val="00F5750A"/>
    <w:rsid w:val="00F67DD1"/>
    <w:rsid w:val="00F7240B"/>
    <w:rsid w:val="00F73609"/>
    <w:rsid w:val="00F73D96"/>
    <w:rsid w:val="00F73EE7"/>
    <w:rsid w:val="00F755F7"/>
    <w:rsid w:val="00F7633B"/>
    <w:rsid w:val="00F80FC1"/>
    <w:rsid w:val="00F831F9"/>
    <w:rsid w:val="00F83CA7"/>
    <w:rsid w:val="00F85D64"/>
    <w:rsid w:val="00F8675A"/>
    <w:rsid w:val="00F86B1F"/>
    <w:rsid w:val="00F90482"/>
    <w:rsid w:val="00F9102C"/>
    <w:rsid w:val="00F915A5"/>
    <w:rsid w:val="00F92EA0"/>
    <w:rsid w:val="00F9469D"/>
    <w:rsid w:val="00F95606"/>
    <w:rsid w:val="00F96EE4"/>
    <w:rsid w:val="00FA1B96"/>
    <w:rsid w:val="00FA3463"/>
    <w:rsid w:val="00FA48B5"/>
    <w:rsid w:val="00FA6361"/>
    <w:rsid w:val="00FB167F"/>
    <w:rsid w:val="00FB1D2C"/>
    <w:rsid w:val="00FB380A"/>
    <w:rsid w:val="00FB3D0A"/>
    <w:rsid w:val="00FB6004"/>
    <w:rsid w:val="00FC2899"/>
    <w:rsid w:val="00FC3C03"/>
    <w:rsid w:val="00FC419C"/>
    <w:rsid w:val="00FC6451"/>
    <w:rsid w:val="00FC7709"/>
    <w:rsid w:val="00FD3D56"/>
    <w:rsid w:val="00FD5CD8"/>
    <w:rsid w:val="00FD61E6"/>
    <w:rsid w:val="00FD771F"/>
    <w:rsid w:val="00FE0068"/>
    <w:rsid w:val="00FE3636"/>
    <w:rsid w:val="00FE6F0B"/>
    <w:rsid w:val="00FE7B47"/>
    <w:rsid w:val="00FF0AF0"/>
    <w:rsid w:val="00FF3D8B"/>
    <w:rsid w:val="00FF4306"/>
    <w:rsid w:val="00FF4B82"/>
    <w:rsid w:val="00FF4BC8"/>
    <w:rsid w:val="00FF4F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3313"/>
    <o:shapelayout v:ext="edit">
      <o:idmap v:ext="edit" data="1"/>
    </o:shapelayout>
  </w:shapeDefaults>
  <w:decimalSymbol w:val="."/>
  <w:listSeparator w:val=","/>
  <w14:docId w14:val="3BAD1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17B90"/>
    <w:rPr>
      <w:rFonts w:ascii="Palatino" w:hAnsi="Palatino"/>
      <w:sz w:val="26"/>
    </w:rPr>
  </w:style>
  <w:style w:type="paragraph" w:styleId="Heading1">
    <w:name w:val="heading 1"/>
    <w:basedOn w:val="Normal"/>
    <w:next w:val="standard"/>
    <w:link w:val="Heading1Char"/>
    <w:qFormat/>
    <w:pPr>
      <w:keepNext/>
      <w:spacing w:before="120" w:after="240"/>
      <w:outlineLvl w:val="0"/>
    </w:pPr>
    <w:rPr>
      <w:rFonts w:ascii="Helvetica" w:hAnsi="Helvetica"/>
      <w:b/>
      <w:caps/>
      <w:kern w:val="28"/>
      <w:u w:val="single"/>
    </w:rPr>
  </w:style>
  <w:style w:type="paragraph" w:styleId="Heading2">
    <w:name w:val="heading 2"/>
    <w:basedOn w:val="Normal"/>
    <w:next w:val="sub1"/>
    <w:qFormat/>
    <w:pPr>
      <w:keepNext/>
      <w:numPr>
        <w:ilvl w:val="1"/>
        <w:numId w:val="3"/>
      </w:numPr>
      <w:spacing w:before="120" w:after="120"/>
      <w:outlineLvl w:val="1"/>
    </w:pPr>
    <w:rPr>
      <w:rFonts w:ascii="Helvetica" w:hAnsi="Helvetica"/>
      <w:b/>
      <w:i/>
    </w:rPr>
  </w:style>
  <w:style w:type="paragraph" w:styleId="Heading3">
    <w:name w:val="heading 3"/>
    <w:basedOn w:val="Normal"/>
    <w:next w:val="sub2"/>
    <w:qFormat/>
    <w:pPr>
      <w:keepNext/>
      <w:spacing w:before="120" w:after="120"/>
      <w:ind w:firstLine="2160"/>
      <w:outlineLvl w:val="2"/>
    </w:pPr>
    <w:rPr>
      <w:rFonts w:ascii="Helvetica" w:hAnsi="Helvetica"/>
      <w:b/>
    </w:rPr>
  </w:style>
  <w:style w:type="paragraph" w:styleId="Heading4">
    <w:name w:val="heading 4"/>
    <w:basedOn w:val="Normal"/>
    <w:next w:val="sub3"/>
    <w:qFormat/>
    <w:pPr>
      <w:keepNext/>
      <w:spacing w:before="120" w:after="120"/>
      <w:ind w:firstLine="2880"/>
      <w:outlineLvl w:val="3"/>
    </w:pPr>
    <w:rPr>
      <w:rFonts w:ascii="Helvetica" w:hAnsi="Helvetica"/>
      <w:b/>
      <w:i/>
    </w:rPr>
  </w:style>
  <w:style w:type="paragraph" w:styleId="Heading5">
    <w:name w:val="heading 5"/>
    <w:basedOn w:val="Normal"/>
    <w:next w:val="sub4"/>
    <w:qFormat/>
    <w:pPr>
      <w:spacing w:before="120" w:after="120"/>
      <w:ind w:firstLine="3600"/>
      <w:outlineLvl w:val="4"/>
    </w:pPr>
    <w:rPr>
      <w:rFonts w:ascii="Helvetica" w:hAnsi="Helvetica"/>
      <w:b/>
    </w:rPr>
  </w:style>
  <w:style w:type="paragraph" w:styleId="Heading6">
    <w:name w:val="heading 6"/>
    <w:basedOn w:val="Normal"/>
    <w:next w:val="Normal"/>
    <w:qFormat/>
    <w:pPr>
      <w:keepNext/>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1,Footnote Text Char Char,Footnote Text Char1 Char,Footnote Text Char Char Char,Footnote Text Char,Char Char,Footnote Text Char2 Char,Footnote Text Char2 Char Char Char Char,Footnote Text Char1 Char1 Char1 Char Char Char"/>
    <w:basedOn w:val="Normal"/>
    <w:link w:val="FootnoteTextChar2"/>
    <w:rsid w:val="008B086E"/>
    <w:pPr>
      <w:spacing w:after="240"/>
    </w:pPr>
    <w:rPr>
      <w:sz w:val="24"/>
    </w:rPr>
  </w:style>
  <w:style w:type="paragraph" w:styleId="EndnoteText">
    <w:name w:val="endnote text"/>
    <w:basedOn w:val="Normal"/>
    <w:semiHidden/>
    <w:rPr>
      <w:sz w:val="20"/>
    </w:rPr>
  </w:style>
  <w:style w:type="paragraph" w:customStyle="1" w:styleId="standard">
    <w:name w:val="standard"/>
    <w:basedOn w:val="Normal"/>
    <w:pPr>
      <w:spacing w:line="360" w:lineRule="auto"/>
      <w:ind w:firstLine="720"/>
    </w:pPr>
  </w:style>
  <w:style w:type="paragraph" w:styleId="Subtitle">
    <w:name w:val="Subtitle"/>
    <w:basedOn w:val="Normal"/>
    <w:qFormat/>
    <w:pPr>
      <w:spacing w:after="60"/>
      <w:jc w:val="center"/>
    </w:pPr>
    <w:rPr>
      <w:rFonts w:ascii="Arial" w:hAnsi="Arial"/>
    </w:rPr>
  </w:style>
  <w:style w:type="paragraph" w:customStyle="1" w:styleId="Quote1">
    <w:name w:val="Quote1"/>
    <w:basedOn w:val="standard"/>
    <w:next w:val="standard"/>
    <w:pPr>
      <w:spacing w:before="120" w:after="240" w:line="240" w:lineRule="auto"/>
      <w:ind w:left="720" w:right="720" w:firstLine="0"/>
    </w:pPr>
  </w:style>
  <w:style w:type="paragraph" w:customStyle="1" w:styleId="Style1">
    <w:name w:val="Style1"/>
    <w:basedOn w:val="1ListIndent"/>
    <w:pPr>
      <w:numPr>
        <w:numId w:val="0"/>
      </w:numPr>
    </w:pPr>
  </w:style>
  <w:style w:type="paragraph" w:styleId="TOC4">
    <w:name w:val="toc 4"/>
    <w:basedOn w:val="Normal"/>
    <w:next w:val="Normal"/>
    <w:semiHidden/>
    <w:pPr>
      <w:tabs>
        <w:tab w:val="right" w:leader="dot" w:pos="9360"/>
      </w:tabs>
      <w:ind w:left="720"/>
    </w:pPr>
  </w:style>
  <w:style w:type="paragraph" w:customStyle="1" w:styleId="main">
    <w:name w:val="main"/>
    <w:basedOn w:val="Normal"/>
    <w:pPr>
      <w:jc w:val="center"/>
    </w:pPr>
    <w:rPr>
      <w:rFonts w:ascii="Helvetica" w:hAnsi="Helvetica"/>
      <w:b/>
    </w:rPr>
  </w:style>
  <w:style w:type="paragraph" w:customStyle="1" w:styleId="mainex">
    <w:name w:val="mainex"/>
    <w:basedOn w:val="main"/>
    <w:pPr>
      <w:keepNext/>
    </w:pPr>
    <w:rPr>
      <w:spacing w:val="120"/>
    </w:rPr>
  </w:style>
  <w:style w:type="paragraph" w:customStyle="1" w:styleId="num1">
    <w:name w:val="num1"/>
    <w:basedOn w:val="Normal"/>
    <w:pPr>
      <w:tabs>
        <w:tab w:val="left" w:pos="-720"/>
      </w:tabs>
      <w:suppressAutoHyphens/>
      <w:spacing w:after="240"/>
    </w:pPr>
  </w:style>
  <w:style w:type="paragraph" w:styleId="Header">
    <w:name w:val="header"/>
    <w:basedOn w:val="Normal"/>
    <w:pPr>
      <w:widowControl w:val="0"/>
      <w:tabs>
        <w:tab w:val="center" w:pos="4320"/>
        <w:tab w:val="right" w:pos="8640"/>
      </w:tabs>
    </w:pPr>
  </w:style>
  <w:style w:type="paragraph" w:customStyle="1" w:styleId="num2">
    <w:name w:val="num2"/>
    <w:basedOn w:val="num1"/>
    <w:pPr>
      <w:ind w:firstLine="270"/>
    </w:pPr>
  </w:style>
  <w:style w:type="paragraph" w:styleId="Footer">
    <w:name w:val="footer"/>
    <w:basedOn w:val="Normal"/>
    <w:pPr>
      <w:tabs>
        <w:tab w:val="center" w:pos="4320"/>
        <w:tab w:val="right" w:pos="8640"/>
      </w:tabs>
      <w:jc w:val="center"/>
    </w:pPr>
  </w:style>
  <w:style w:type="paragraph" w:customStyle="1" w:styleId="sub1">
    <w:name w:val="sub1"/>
    <w:basedOn w:val="Normal"/>
    <w:pPr>
      <w:spacing w:line="360" w:lineRule="auto"/>
      <w:ind w:firstLine="1440"/>
    </w:pPr>
  </w:style>
  <w:style w:type="paragraph" w:customStyle="1" w:styleId="titlebar">
    <w:name w:val="title bar"/>
    <w:basedOn w:val="main"/>
    <w:pPr>
      <w:keepNext/>
      <w:suppressAutoHyphens/>
    </w:pPr>
  </w:style>
  <w:style w:type="character" w:styleId="PageNumber">
    <w:name w:val="page number"/>
    <w:basedOn w:val="DefaultParagraphFont"/>
  </w:style>
  <w:style w:type="paragraph" w:customStyle="1" w:styleId="sub2">
    <w:name w:val="sub2"/>
    <w:basedOn w:val="Normal"/>
    <w:pPr>
      <w:spacing w:line="360" w:lineRule="auto"/>
      <w:ind w:firstLine="2160"/>
    </w:pPr>
  </w:style>
  <w:style w:type="paragraph" w:customStyle="1" w:styleId="sub3">
    <w:name w:val="sub3"/>
    <w:basedOn w:val="Normal"/>
    <w:pPr>
      <w:spacing w:line="360" w:lineRule="auto"/>
      <w:ind w:firstLine="2880"/>
    </w:pPr>
  </w:style>
  <w:style w:type="paragraph" w:customStyle="1" w:styleId="sub4">
    <w:name w:val="sub4"/>
    <w:basedOn w:val="Normal"/>
    <w:pPr>
      <w:ind w:firstLine="3600"/>
    </w:pPr>
  </w:style>
  <w:style w:type="paragraph" w:customStyle="1" w:styleId="dummy">
    <w:name w:val="dummy"/>
    <w:basedOn w:val="Heading1"/>
    <w:pPr>
      <w:outlineLvl w:val="9"/>
    </w:pPr>
  </w:style>
  <w:style w:type="paragraph" w:customStyle="1" w:styleId="AListIndent">
    <w:name w:val="A. List Indent"/>
    <w:basedOn w:val="1ListIndent"/>
    <w:pPr>
      <w:numPr>
        <w:numId w:val="1"/>
      </w:numPr>
      <w:ind w:left="1440" w:hanging="720"/>
    </w:pPr>
  </w:style>
  <w:style w:type="character" w:styleId="EndnoteReference">
    <w:name w:val="endnote reference"/>
    <w:semiHidden/>
    <w:rPr>
      <w:vertAlign w:val="superscript"/>
    </w:rPr>
  </w:style>
  <w:style w:type="paragraph" w:customStyle="1" w:styleId="1ListIndent">
    <w:name w:val="1. List Indent"/>
    <w:basedOn w:val="num2"/>
    <w:pPr>
      <w:numPr>
        <w:numId w:val="2"/>
      </w:numPr>
      <w:ind w:left="1080"/>
    </w:pPr>
  </w:style>
  <w:style w:type="character" w:styleId="FootnoteReference">
    <w:name w:val="footnote reference"/>
    <w:aliases w:val="o,fr,Style 3,o1,o2,o3,o4,o5,o6,o11,o21,o7,Footnote Reference1"/>
    <w:rPr>
      <w:vertAlign w:val="superscript"/>
    </w:rPr>
  </w:style>
  <w:style w:type="paragraph" w:styleId="List">
    <w:name w:val="List"/>
    <w:basedOn w:val="Normal"/>
    <w:pPr>
      <w:ind w:left="360" w:hanging="360"/>
    </w:pPr>
    <w:rPr>
      <w:rFonts w:ascii="Times New Roman" w:hAnsi="Times New Roman"/>
      <w:sz w:val="24"/>
    </w:rPr>
  </w:style>
  <w:style w:type="paragraph" w:customStyle="1" w:styleId="Res-Caption">
    <w:name w:val="Res-Caption"/>
    <w:basedOn w:val="Normal"/>
    <w:pPr>
      <w:ind w:left="720" w:right="720"/>
    </w:pPr>
  </w:style>
  <w:style w:type="paragraph" w:customStyle="1" w:styleId="Res-TitleResolution">
    <w:name w:val="Res-Title (Resolution)"/>
    <w:basedOn w:val="main"/>
  </w:style>
  <w:style w:type="paragraph" w:customStyle="1" w:styleId="ALs">
    <w:name w:val="ALs"/>
    <w:basedOn w:val="Normal"/>
    <w:rPr>
      <w:rFonts w:ascii="Times New Roman" w:hAnsi="Times New Roman"/>
      <w:sz w:val="24"/>
    </w:rPr>
  </w:style>
  <w:style w:type="table" w:styleId="TableGrid">
    <w:name w:val="Table Grid"/>
    <w:basedOn w:val="TableNormal"/>
    <w:rsid w:val="0042732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2">
    <w:name w:val="Style2"/>
    <w:basedOn w:val="Normal"/>
    <w:rsid w:val="007A6BF1"/>
  </w:style>
  <w:style w:type="paragraph" w:customStyle="1" w:styleId="Style3">
    <w:name w:val="Style3"/>
    <w:basedOn w:val="Normal"/>
    <w:rsid w:val="008B086E"/>
  </w:style>
  <w:style w:type="character" w:customStyle="1" w:styleId="FootnoteTextChar2">
    <w:name w:val="Footnote Text Char2"/>
    <w:aliases w:val="Footnote Text Char1 Char1,Footnote Text Char Char Char1,Footnote Text Char1 Char Char,Footnote Text Char Char Char Char,Footnote Text Char Char1,Char Char Char,Footnote Text Char2 Char Char"/>
    <w:link w:val="FootnoteText"/>
    <w:rsid w:val="00427326"/>
    <w:rPr>
      <w:rFonts w:ascii="Palatino" w:hAnsi="Palatino"/>
      <w:sz w:val="24"/>
      <w:lang w:val="en-US" w:eastAsia="en-US" w:bidi="ar-SA"/>
    </w:rPr>
  </w:style>
  <w:style w:type="paragraph" w:styleId="BodyText">
    <w:name w:val="Body Text"/>
    <w:basedOn w:val="Normal"/>
    <w:link w:val="BodyTextChar"/>
    <w:rsid w:val="00427326"/>
    <w:rPr>
      <w:b/>
    </w:rPr>
  </w:style>
  <w:style w:type="character" w:customStyle="1" w:styleId="BodyTextChar">
    <w:name w:val="Body Text Char"/>
    <w:link w:val="BodyText"/>
    <w:rsid w:val="00427326"/>
    <w:rPr>
      <w:rFonts w:ascii="Palatino" w:hAnsi="Palatino"/>
      <w:b/>
      <w:sz w:val="26"/>
      <w:lang w:val="en-US" w:eastAsia="en-US" w:bidi="ar-SA"/>
    </w:rPr>
  </w:style>
  <w:style w:type="character" w:styleId="Strong">
    <w:name w:val="Strong"/>
    <w:qFormat/>
    <w:rsid w:val="005771F3"/>
    <w:rPr>
      <w:b/>
      <w:bCs/>
    </w:rPr>
  </w:style>
  <w:style w:type="paragraph" w:styleId="BalloonText">
    <w:name w:val="Balloon Text"/>
    <w:basedOn w:val="Normal"/>
    <w:link w:val="BalloonTextChar"/>
    <w:rsid w:val="0035608D"/>
    <w:rPr>
      <w:rFonts w:ascii="Tahoma" w:hAnsi="Tahoma"/>
      <w:sz w:val="16"/>
      <w:szCs w:val="16"/>
      <w:lang w:val="x-none" w:eastAsia="x-none"/>
    </w:rPr>
  </w:style>
  <w:style w:type="character" w:customStyle="1" w:styleId="BalloonTextChar">
    <w:name w:val="Balloon Text Char"/>
    <w:link w:val="BalloonText"/>
    <w:rsid w:val="0035608D"/>
    <w:rPr>
      <w:rFonts w:ascii="Tahoma" w:hAnsi="Tahoma" w:cs="Tahoma"/>
      <w:sz w:val="16"/>
      <w:szCs w:val="16"/>
    </w:rPr>
  </w:style>
  <w:style w:type="character" w:styleId="CommentReference">
    <w:name w:val="annotation reference"/>
    <w:rsid w:val="0035608D"/>
    <w:rPr>
      <w:sz w:val="16"/>
      <w:szCs w:val="16"/>
    </w:rPr>
  </w:style>
  <w:style w:type="paragraph" w:styleId="CommentText">
    <w:name w:val="annotation text"/>
    <w:basedOn w:val="Normal"/>
    <w:link w:val="CommentTextChar"/>
    <w:rsid w:val="0035608D"/>
    <w:rPr>
      <w:sz w:val="20"/>
      <w:lang w:val="x-none" w:eastAsia="x-none"/>
    </w:rPr>
  </w:style>
  <w:style w:type="character" w:customStyle="1" w:styleId="CommentTextChar">
    <w:name w:val="Comment Text Char"/>
    <w:link w:val="CommentText"/>
    <w:rsid w:val="0035608D"/>
    <w:rPr>
      <w:rFonts w:ascii="Palatino" w:hAnsi="Palatino"/>
    </w:rPr>
  </w:style>
  <w:style w:type="paragraph" w:styleId="CommentSubject">
    <w:name w:val="annotation subject"/>
    <w:basedOn w:val="CommentText"/>
    <w:next w:val="CommentText"/>
    <w:link w:val="CommentSubjectChar"/>
    <w:rsid w:val="0035608D"/>
    <w:rPr>
      <w:b/>
      <w:bCs/>
    </w:rPr>
  </w:style>
  <w:style w:type="character" w:customStyle="1" w:styleId="CommentSubjectChar">
    <w:name w:val="Comment Subject Char"/>
    <w:link w:val="CommentSubject"/>
    <w:rsid w:val="0035608D"/>
    <w:rPr>
      <w:rFonts w:ascii="Palatino" w:hAnsi="Palatino"/>
      <w:b/>
      <w:bCs/>
    </w:rPr>
  </w:style>
  <w:style w:type="character" w:styleId="Emphasis">
    <w:name w:val="Emphasis"/>
    <w:qFormat/>
    <w:rsid w:val="007406F9"/>
    <w:rPr>
      <w:i/>
      <w:iCs/>
    </w:rPr>
  </w:style>
  <w:style w:type="paragraph" w:customStyle="1" w:styleId="LightList-Accent31">
    <w:name w:val="Light List - Accent 31"/>
    <w:hidden/>
    <w:uiPriority w:val="99"/>
    <w:semiHidden/>
    <w:rsid w:val="00656BA2"/>
    <w:rPr>
      <w:rFonts w:ascii="Palatino" w:hAnsi="Palatino"/>
      <w:sz w:val="26"/>
    </w:rPr>
  </w:style>
  <w:style w:type="paragraph" w:styleId="PlainText">
    <w:name w:val="Plain Text"/>
    <w:basedOn w:val="Normal"/>
    <w:link w:val="PlainTextChar"/>
    <w:uiPriority w:val="99"/>
    <w:unhideWhenUsed/>
    <w:rsid w:val="00EB366B"/>
    <w:rPr>
      <w:rFonts w:ascii="Calibri" w:eastAsia="Calibri" w:hAnsi="Calibri"/>
      <w:sz w:val="22"/>
      <w:szCs w:val="21"/>
      <w:lang w:val="x-none" w:eastAsia="x-none"/>
    </w:rPr>
  </w:style>
  <w:style w:type="character" w:customStyle="1" w:styleId="PlainTextChar">
    <w:name w:val="Plain Text Char"/>
    <w:link w:val="PlainText"/>
    <w:uiPriority w:val="99"/>
    <w:rsid w:val="00EB366B"/>
    <w:rPr>
      <w:rFonts w:ascii="Calibri" w:eastAsia="Calibri" w:hAnsi="Calibri" w:cs="Consolas"/>
      <w:sz w:val="22"/>
      <w:szCs w:val="21"/>
    </w:rPr>
  </w:style>
  <w:style w:type="paragraph" w:customStyle="1" w:styleId="Default">
    <w:name w:val="Default"/>
    <w:rsid w:val="00836C90"/>
    <w:pPr>
      <w:autoSpaceDE w:val="0"/>
      <w:autoSpaceDN w:val="0"/>
      <w:adjustRightInd w:val="0"/>
    </w:pPr>
    <w:rPr>
      <w:rFonts w:ascii="Book Antiqua" w:hAnsi="Book Antiqua" w:cs="Book Antiqua"/>
      <w:color w:val="000000"/>
      <w:sz w:val="24"/>
      <w:szCs w:val="24"/>
    </w:rPr>
  </w:style>
  <w:style w:type="paragraph" w:styleId="BodyTextFirstIndent">
    <w:name w:val="Body Text First Indent"/>
    <w:basedOn w:val="BodyText"/>
    <w:link w:val="BodyTextFirstIndentChar"/>
    <w:rsid w:val="009F435C"/>
    <w:pPr>
      <w:spacing w:after="120"/>
      <w:ind w:firstLine="210"/>
    </w:pPr>
    <w:rPr>
      <w:b w:val="0"/>
    </w:rPr>
  </w:style>
  <w:style w:type="character" w:customStyle="1" w:styleId="BodyTextFirstIndentChar">
    <w:name w:val="Body Text First Indent Char"/>
    <w:link w:val="BodyTextFirstIndent"/>
    <w:rsid w:val="009F435C"/>
    <w:rPr>
      <w:rFonts w:ascii="Palatino" w:hAnsi="Palatino"/>
      <w:b w:val="0"/>
      <w:sz w:val="26"/>
      <w:lang w:val="en-US" w:eastAsia="en-US" w:bidi="ar-SA"/>
    </w:rPr>
  </w:style>
  <w:style w:type="paragraph" w:customStyle="1" w:styleId="h-1">
    <w:name w:val="h-1"/>
    <w:basedOn w:val="Normal"/>
    <w:rsid w:val="00FA48B5"/>
    <w:pPr>
      <w:numPr>
        <w:numId w:val="5"/>
      </w:numPr>
      <w:spacing w:after="120"/>
    </w:pPr>
    <w:rPr>
      <w:rFonts w:ascii="Palatino Linotype" w:hAnsi="Palatino Linotype"/>
      <w:b/>
      <w:szCs w:val="26"/>
    </w:rPr>
  </w:style>
  <w:style w:type="paragraph" w:customStyle="1" w:styleId="bl">
    <w:name w:val="bl"/>
    <w:basedOn w:val="Normal"/>
    <w:rsid w:val="00FA48B5"/>
    <w:pPr>
      <w:numPr>
        <w:ilvl w:val="3"/>
        <w:numId w:val="5"/>
      </w:numPr>
      <w:tabs>
        <w:tab w:val="clear" w:pos="2880"/>
        <w:tab w:val="num" w:pos="1620"/>
      </w:tabs>
      <w:ind w:left="1710" w:hanging="450"/>
    </w:pPr>
    <w:rPr>
      <w:rFonts w:ascii="Palatino Linotype" w:hAnsi="Palatino Linotype"/>
      <w:szCs w:val="26"/>
    </w:rPr>
  </w:style>
  <w:style w:type="paragraph" w:customStyle="1" w:styleId="noi7">
    <w:name w:val="no.i7"/>
    <w:basedOn w:val="Normal"/>
    <w:rsid w:val="00FA48B5"/>
    <w:pPr>
      <w:numPr>
        <w:ilvl w:val="2"/>
        <w:numId w:val="5"/>
      </w:numPr>
      <w:tabs>
        <w:tab w:val="clear" w:pos="2160"/>
        <w:tab w:val="num" w:pos="1260"/>
      </w:tabs>
      <w:spacing w:after="120"/>
      <w:ind w:left="1268" w:hanging="274"/>
    </w:pPr>
    <w:rPr>
      <w:rFonts w:ascii="Palatino Linotype" w:hAnsi="Palatino Linotype"/>
      <w:szCs w:val="26"/>
    </w:rPr>
  </w:style>
  <w:style w:type="paragraph" w:customStyle="1" w:styleId="noi">
    <w:name w:val="no.i"/>
    <w:basedOn w:val="Normal"/>
    <w:rsid w:val="006E1310"/>
    <w:pPr>
      <w:tabs>
        <w:tab w:val="num" w:pos="2160"/>
      </w:tabs>
      <w:spacing w:after="120"/>
      <w:ind w:left="2160" w:hanging="180"/>
    </w:pPr>
    <w:rPr>
      <w:rFonts w:ascii="Palatino Linotype" w:hAnsi="Palatino Linotype"/>
      <w:szCs w:val="26"/>
    </w:rPr>
  </w:style>
  <w:style w:type="paragraph" w:customStyle="1" w:styleId="hh2">
    <w:name w:val="hh2"/>
    <w:basedOn w:val="Normal"/>
    <w:rsid w:val="006E1310"/>
    <w:pPr>
      <w:tabs>
        <w:tab w:val="num" w:pos="810"/>
      </w:tabs>
      <w:spacing w:after="120"/>
      <w:ind w:left="1080" w:hanging="720"/>
    </w:pPr>
    <w:rPr>
      <w:rFonts w:ascii="Palatino Linotype" w:hAnsi="Palatino Linotype"/>
      <w:b/>
      <w:szCs w:val="26"/>
    </w:rPr>
  </w:style>
  <w:style w:type="paragraph" w:customStyle="1" w:styleId="noa6">
    <w:name w:val="no.a6"/>
    <w:basedOn w:val="Normal"/>
    <w:rsid w:val="006E1310"/>
    <w:pPr>
      <w:tabs>
        <w:tab w:val="num" w:pos="1440"/>
      </w:tabs>
      <w:spacing w:after="120"/>
      <w:ind w:left="1440" w:hanging="360"/>
    </w:pPr>
    <w:rPr>
      <w:rFonts w:ascii="Palatino Linotype" w:hAnsi="Palatino Linotype"/>
      <w:b/>
      <w:szCs w:val="26"/>
    </w:rPr>
  </w:style>
  <w:style w:type="paragraph" w:customStyle="1" w:styleId="noi6">
    <w:name w:val="no.i6"/>
    <w:basedOn w:val="Normal"/>
    <w:rsid w:val="006E1310"/>
    <w:pPr>
      <w:tabs>
        <w:tab w:val="num" w:pos="1260"/>
      </w:tabs>
      <w:spacing w:after="120"/>
      <w:ind w:left="1268" w:hanging="274"/>
    </w:pPr>
    <w:rPr>
      <w:rFonts w:ascii="Palatino Linotype" w:hAnsi="Palatino Linotype"/>
      <w:szCs w:val="26"/>
    </w:rPr>
  </w:style>
  <w:style w:type="paragraph" w:customStyle="1" w:styleId="bullets4">
    <w:name w:val="bullets4"/>
    <w:basedOn w:val="h-1"/>
    <w:rsid w:val="006E1310"/>
    <w:pPr>
      <w:numPr>
        <w:numId w:val="6"/>
      </w:numPr>
      <w:tabs>
        <w:tab w:val="clear" w:pos="1080"/>
        <w:tab w:val="num" w:pos="1440"/>
      </w:tabs>
      <w:spacing w:after="0"/>
      <w:ind w:left="1440"/>
    </w:pPr>
    <w:rPr>
      <w:b w:val="0"/>
    </w:rPr>
  </w:style>
  <w:style w:type="paragraph" w:styleId="Revision">
    <w:name w:val="Revision"/>
    <w:hidden/>
    <w:rsid w:val="006E1310"/>
    <w:rPr>
      <w:rFonts w:ascii="Palatino" w:hAnsi="Palatino"/>
      <w:sz w:val="26"/>
    </w:rPr>
  </w:style>
  <w:style w:type="character" w:styleId="Hyperlink">
    <w:name w:val="Hyperlink"/>
    <w:uiPriority w:val="99"/>
    <w:unhideWhenUsed/>
    <w:rsid w:val="0057254F"/>
    <w:rPr>
      <w:color w:val="0000FF"/>
      <w:u w:val="single"/>
    </w:rPr>
  </w:style>
  <w:style w:type="character" w:customStyle="1" w:styleId="Heading1Char">
    <w:name w:val="Heading 1 Char"/>
    <w:link w:val="Heading1"/>
    <w:rsid w:val="003710BE"/>
    <w:rPr>
      <w:rFonts w:ascii="Helvetica" w:hAnsi="Helvetica"/>
      <w:b/>
      <w:caps/>
      <w:kern w:val="28"/>
      <w:sz w:val="26"/>
      <w:u w:val="single"/>
    </w:rPr>
  </w:style>
  <w:style w:type="paragraph" w:styleId="Caption">
    <w:name w:val="caption"/>
    <w:basedOn w:val="Normal"/>
    <w:next w:val="Normal"/>
    <w:qFormat/>
    <w:rsid w:val="00872C34"/>
    <w:rPr>
      <w:b/>
      <w:bCs/>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046915">
      <w:bodyDiv w:val="1"/>
      <w:marLeft w:val="0"/>
      <w:marRight w:val="0"/>
      <w:marTop w:val="0"/>
      <w:marBottom w:val="0"/>
      <w:divBdr>
        <w:top w:val="none" w:sz="0" w:space="0" w:color="auto"/>
        <w:left w:val="none" w:sz="0" w:space="0" w:color="auto"/>
        <w:bottom w:val="none" w:sz="0" w:space="0" w:color="auto"/>
        <w:right w:val="none" w:sz="0" w:space="0" w:color="auto"/>
      </w:divBdr>
    </w:div>
    <w:div w:id="179977862">
      <w:bodyDiv w:val="1"/>
      <w:marLeft w:val="0"/>
      <w:marRight w:val="0"/>
      <w:marTop w:val="0"/>
      <w:marBottom w:val="0"/>
      <w:divBdr>
        <w:top w:val="none" w:sz="0" w:space="0" w:color="auto"/>
        <w:left w:val="none" w:sz="0" w:space="0" w:color="auto"/>
        <w:bottom w:val="none" w:sz="0" w:space="0" w:color="auto"/>
        <w:right w:val="none" w:sz="0" w:space="0" w:color="auto"/>
      </w:divBdr>
    </w:div>
    <w:div w:id="217984441">
      <w:bodyDiv w:val="1"/>
      <w:marLeft w:val="0"/>
      <w:marRight w:val="0"/>
      <w:marTop w:val="0"/>
      <w:marBottom w:val="0"/>
      <w:divBdr>
        <w:top w:val="none" w:sz="0" w:space="0" w:color="auto"/>
        <w:left w:val="none" w:sz="0" w:space="0" w:color="auto"/>
        <w:bottom w:val="none" w:sz="0" w:space="0" w:color="auto"/>
        <w:right w:val="none" w:sz="0" w:space="0" w:color="auto"/>
      </w:divBdr>
    </w:div>
    <w:div w:id="265578730">
      <w:bodyDiv w:val="1"/>
      <w:marLeft w:val="0"/>
      <w:marRight w:val="0"/>
      <w:marTop w:val="0"/>
      <w:marBottom w:val="0"/>
      <w:divBdr>
        <w:top w:val="none" w:sz="0" w:space="0" w:color="auto"/>
        <w:left w:val="none" w:sz="0" w:space="0" w:color="auto"/>
        <w:bottom w:val="none" w:sz="0" w:space="0" w:color="auto"/>
        <w:right w:val="none" w:sz="0" w:space="0" w:color="auto"/>
      </w:divBdr>
    </w:div>
    <w:div w:id="481702352">
      <w:bodyDiv w:val="1"/>
      <w:marLeft w:val="0"/>
      <w:marRight w:val="0"/>
      <w:marTop w:val="0"/>
      <w:marBottom w:val="0"/>
      <w:divBdr>
        <w:top w:val="none" w:sz="0" w:space="0" w:color="auto"/>
        <w:left w:val="none" w:sz="0" w:space="0" w:color="auto"/>
        <w:bottom w:val="none" w:sz="0" w:space="0" w:color="auto"/>
        <w:right w:val="none" w:sz="0" w:space="0" w:color="auto"/>
      </w:divBdr>
    </w:div>
    <w:div w:id="506675465">
      <w:bodyDiv w:val="1"/>
      <w:marLeft w:val="0"/>
      <w:marRight w:val="0"/>
      <w:marTop w:val="0"/>
      <w:marBottom w:val="0"/>
      <w:divBdr>
        <w:top w:val="none" w:sz="0" w:space="0" w:color="auto"/>
        <w:left w:val="none" w:sz="0" w:space="0" w:color="auto"/>
        <w:bottom w:val="none" w:sz="0" w:space="0" w:color="auto"/>
        <w:right w:val="none" w:sz="0" w:space="0" w:color="auto"/>
      </w:divBdr>
    </w:div>
    <w:div w:id="565145908">
      <w:bodyDiv w:val="1"/>
      <w:marLeft w:val="0"/>
      <w:marRight w:val="0"/>
      <w:marTop w:val="0"/>
      <w:marBottom w:val="0"/>
      <w:divBdr>
        <w:top w:val="none" w:sz="0" w:space="0" w:color="auto"/>
        <w:left w:val="none" w:sz="0" w:space="0" w:color="auto"/>
        <w:bottom w:val="none" w:sz="0" w:space="0" w:color="auto"/>
        <w:right w:val="none" w:sz="0" w:space="0" w:color="auto"/>
      </w:divBdr>
    </w:div>
    <w:div w:id="623462342">
      <w:bodyDiv w:val="1"/>
      <w:marLeft w:val="0"/>
      <w:marRight w:val="0"/>
      <w:marTop w:val="0"/>
      <w:marBottom w:val="0"/>
      <w:divBdr>
        <w:top w:val="none" w:sz="0" w:space="0" w:color="auto"/>
        <w:left w:val="none" w:sz="0" w:space="0" w:color="auto"/>
        <w:bottom w:val="none" w:sz="0" w:space="0" w:color="auto"/>
        <w:right w:val="none" w:sz="0" w:space="0" w:color="auto"/>
      </w:divBdr>
    </w:div>
    <w:div w:id="624433657">
      <w:bodyDiv w:val="1"/>
      <w:marLeft w:val="0"/>
      <w:marRight w:val="0"/>
      <w:marTop w:val="0"/>
      <w:marBottom w:val="0"/>
      <w:divBdr>
        <w:top w:val="none" w:sz="0" w:space="0" w:color="auto"/>
        <w:left w:val="none" w:sz="0" w:space="0" w:color="auto"/>
        <w:bottom w:val="none" w:sz="0" w:space="0" w:color="auto"/>
        <w:right w:val="none" w:sz="0" w:space="0" w:color="auto"/>
      </w:divBdr>
    </w:div>
    <w:div w:id="851997293">
      <w:bodyDiv w:val="1"/>
      <w:marLeft w:val="0"/>
      <w:marRight w:val="0"/>
      <w:marTop w:val="0"/>
      <w:marBottom w:val="0"/>
      <w:divBdr>
        <w:top w:val="none" w:sz="0" w:space="0" w:color="auto"/>
        <w:left w:val="none" w:sz="0" w:space="0" w:color="auto"/>
        <w:bottom w:val="none" w:sz="0" w:space="0" w:color="auto"/>
        <w:right w:val="none" w:sz="0" w:space="0" w:color="auto"/>
      </w:divBdr>
      <w:divsChild>
        <w:div w:id="316962747">
          <w:marLeft w:val="0"/>
          <w:marRight w:val="0"/>
          <w:marTop w:val="0"/>
          <w:marBottom w:val="0"/>
          <w:divBdr>
            <w:top w:val="none" w:sz="0" w:space="0" w:color="auto"/>
            <w:left w:val="none" w:sz="0" w:space="0" w:color="auto"/>
            <w:bottom w:val="none" w:sz="0" w:space="0" w:color="auto"/>
            <w:right w:val="none" w:sz="0" w:space="0" w:color="auto"/>
          </w:divBdr>
        </w:div>
        <w:div w:id="1040593316">
          <w:marLeft w:val="0"/>
          <w:marRight w:val="0"/>
          <w:marTop w:val="0"/>
          <w:marBottom w:val="0"/>
          <w:divBdr>
            <w:top w:val="none" w:sz="0" w:space="0" w:color="auto"/>
            <w:left w:val="none" w:sz="0" w:space="0" w:color="auto"/>
            <w:bottom w:val="none" w:sz="0" w:space="0" w:color="auto"/>
            <w:right w:val="none" w:sz="0" w:space="0" w:color="auto"/>
          </w:divBdr>
        </w:div>
        <w:div w:id="1809087067">
          <w:marLeft w:val="0"/>
          <w:marRight w:val="0"/>
          <w:marTop w:val="0"/>
          <w:marBottom w:val="0"/>
          <w:divBdr>
            <w:top w:val="none" w:sz="0" w:space="0" w:color="auto"/>
            <w:left w:val="none" w:sz="0" w:space="0" w:color="auto"/>
            <w:bottom w:val="none" w:sz="0" w:space="0" w:color="auto"/>
            <w:right w:val="none" w:sz="0" w:space="0" w:color="auto"/>
          </w:divBdr>
        </w:div>
        <w:div w:id="2057045539">
          <w:marLeft w:val="0"/>
          <w:marRight w:val="0"/>
          <w:marTop w:val="0"/>
          <w:marBottom w:val="0"/>
          <w:divBdr>
            <w:top w:val="none" w:sz="0" w:space="0" w:color="auto"/>
            <w:left w:val="none" w:sz="0" w:space="0" w:color="auto"/>
            <w:bottom w:val="none" w:sz="0" w:space="0" w:color="auto"/>
            <w:right w:val="none" w:sz="0" w:space="0" w:color="auto"/>
          </w:divBdr>
        </w:div>
        <w:div w:id="2065135135">
          <w:marLeft w:val="0"/>
          <w:marRight w:val="0"/>
          <w:marTop w:val="0"/>
          <w:marBottom w:val="0"/>
          <w:divBdr>
            <w:top w:val="none" w:sz="0" w:space="0" w:color="auto"/>
            <w:left w:val="none" w:sz="0" w:space="0" w:color="auto"/>
            <w:bottom w:val="none" w:sz="0" w:space="0" w:color="auto"/>
            <w:right w:val="none" w:sz="0" w:space="0" w:color="auto"/>
          </w:divBdr>
          <w:divsChild>
            <w:div w:id="440106113">
              <w:marLeft w:val="0"/>
              <w:marRight w:val="0"/>
              <w:marTop w:val="0"/>
              <w:marBottom w:val="0"/>
              <w:divBdr>
                <w:top w:val="none" w:sz="0" w:space="0" w:color="auto"/>
                <w:left w:val="none" w:sz="0" w:space="0" w:color="auto"/>
                <w:bottom w:val="none" w:sz="0" w:space="0" w:color="auto"/>
                <w:right w:val="none" w:sz="0" w:space="0" w:color="auto"/>
              </w:divBdr>
            </w:div>
          </w:divsChild>
        </w:div>
        <w:div w:id="2122415351">
          <w:marLeft w:val="0"/>
          <w:marRight w:val="0"/>
          <w:marTop w:val="0"/>
          <w:marBottom w:val="0"/>
          <w:divBdr>
            <w:top w:val="none" w:sz="0" w:space="0" w:color="auto"/>
            <w:left w:val="none" w:sz="0" w:space="0" w:color="auto"/>
            <w:bottom w:val="none" w:sz="0" w:space="0" w:color="auto"/>
            <w:right w:val="none" w:sz="0" w:space="0" w:color="auto"/>
          </w:divBdr>
        </w:div>
      </w:divsChild>
    </w:div>
    <w:div w:id="860706818">
      <w:bodyDiv w:val="1"/>
      <w:marLeft w:val="0"/>
      <w:marRight w:val="0"/>
      <w:marTop w:val="0"/>
      <w:marBottom w:val="0"/>
      <w:divBdr>
        <w:top w:val="none" w:sz="0" w:space="0" w:color="auto"/>
        <w:left w:val="none" w:sz="0" w:space="0" w:color="auto"/>
        <w:bottom w:val="none" w:sz="0" w:space="0" w:color="auto"/>
        <w:right w:val="none" w:sz="0" w:space="0" w:color="auto"/>
      </w:divBdr>
    </w:div>
    <w:div w:id="1793404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puc.ca.gov/PUC/energy/Renewables/overview.htm" TargetMode="External"/><Relationship Id="rId13" Type="http://schemas.openxmlformats.org/officeDocument/2006/relationships/footer" Target="foot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cpuc.ca.gov/PUC/energy/Renewables/hot/feedintariffs.htm" TargetMode="External"/><Relationship Id="rId4" Type="http://schemas.openxmlformats.org/officeDocument/2006/relationships/settings" Target="settings.xml"/><Relationship Id="rId9" Type="http://schemas.openxmlformats.org/officeDocument/2006/relationships/hyperlink" Target="http://www.cpuc.ca.gov/PUC/energy/Renewables/decisions.ht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8071</Words>
  <Characters>46007</Characters>
  <Application>Microsoft Office Word</Application>
  <DocSecurity>0</DocSecurity>
  <Lines>383</Lines>
  <Paragraphs>107</Paragraphs>
  <ScaleCrop>false</ScaleCrop>
  <HeadingPairs>
    <vt:vector size="2" baseType="variant">
      <vt:variant>
        <vt:lpstr>Title</vt:lpstr>
      </vt:variant>
      <vt:variant>
        <vt:i4>1</vt:i4>
      </vt:variant>
    </vt:vector>
  </HeadingPairs>
  <TitlesOfParts>
    <vt:vector size="1" baseType="lpstr">
      <vt:lpstr>Resolution Template</vt:lpstr>
    </vt:vector>
  </TitlesOfParts>
  <Manager/>
  <Company/>
  <LinksUpToDate>false</LinksUpToDate>
  <CharactersWithSpaces>53971</CharactersWithSpaces>
  <SharedDoc>false</SharedDoc>
  <HyperlinkBase> </HyperlinkBase>
  <HLinks>
    <vt:vector size="18" baseType="variant">
      <vt:variant>
        <vt:i4>2490409</vt:i4>
      </vt:variant>
      <vt:variant>
        <vt:i4>9</vt:i4>
      </vt:variant>
      <vt:variant>
        <vt:i4>0</vt:i4>
      </vt:variant>
      <vt:variant>
        <vt:i4>5</vt:i4>
      </vt:variant>
      <vt:variant>
        <vt:lpwstr>http://www.cpuc.ca.gov/PUC/energy/Renewables/hot/feedintariffs.htm</vt:lpwstr>
      </vt:variant>
      <vt:variant>
        <vt:lpwstr/>
      </vt:variant>
      <vt:variant>
        <vt:i4>2818147</vt:i4>
      </vt:variant>
      <vt:variant>
        <vt:i4>6</vt:i4>
      </vt:variant>
      <vt:variant>
        <vt:i4>0</vt:i4>
      </vt:variant>
      <vt:variant>
        <vt:i4>5</vt:i4>
      </vt:variant>
      <vt:variant>
        <vt:lpwstr>http://www.cpuc.ca.gov/PUC/energy/Renewables/decisions.htm</vt:lpwstr>
      </vt:variant>
      <vt:variant>
        <vt:lpwstr/>
      </vt:variant>
      <vt:variant>
        <vt:i4>327744</vt:i4>
      </vt:variant>
      <vt:variant>
        <vt:i4>3</vt:i4>
      </vt:variant>
      <vt:variant>
        <vt:i4>0</vt:i4>
      </vt:variant>
      <vt:variant>
        <vt:i4>5</vt:i4>
      </vt:variant>
      <vt:variant>
        <vt:lpwstr>http://www.cpuc.ca.gov/PUC/energy/Renewables/overview.htm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subject>
  <dc:creator/>
  <cp:keywords> </cp:keywords>
  <dc:description> </dc:description>
  <cp:lastModifiedBy/>
  <cp:revision>1</cp:revision>
  <cp:lastPrinted>2013-06-18T23:31:00Z</cp:lastPrinted>
  <dcterms:created xsi:type="dcterms:W3CDTF">2013-06-26T17:59:00Z</dcterms:created>
  <dcterms:modified xsi:type="dcterms:W3CDTF">2013-06-26T18:00:00Z</dcterms:modified>
  <cp:category> </cp:category>
  <cp:contentStatus> </cp:contentStatus>
</cp:coreProperties>
</file>