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Pr="00C91354" w:rsidRDefault="00CF17DE" w:rsidP="00C91354">
      <w:pPr>
        <w:pStyle w:val="FootnoteText"/>
        <w:rPr>
          <w:b/>
          <w:sz w:val="26"/>
          <w:lang w:val="en-US"/>
        </w:rPr>
      </w:pPr>
      <w:bookmarkStart w:id="0" w:name="_GoBack"/>
      <w:bookmarkEnd w:id="0"/>
      <w:r w:rsidRPr="00C91354">
        <w:rPr>
          <w:b/>
          <w:sz w:val="26"/>
          <w:lang w:val="en-US"/>
        </w:rPr>
        <w:t>PUBLIC UTILITIES CO</w:t>
      </w:r>
      <w:r w:rsidR="00DC0CF8" w:rsidRPr="00C91354">
        <w:rPr>
          <w:b/>
          <w:sz w:val="26"/>
          <w:lang w:val="en-US"/>
        </w:rPr>
        <w:t>MM</w:t>
      </w:r>
      <w:r w:rsidRPr="00C91354">
        <w:rPr>
          <w:b/>
          <w:sz w:val="26"/>
          <w:lang w:val="en-US"/>
        </w:rPr>
        <w:t>ISSION OF THE STATE OF CALIFORNIA</w:t>
      </w:r>
    </w:p>
    <w:p w:rsidR="00C91354" w:rsidRPr="00C91354" w:rsidRDefault="00C91354" w:rsidP="00C91354">
      <w:pPr>
        <w:pStyle w:val="FootnoteText"/>
        <w:spacing w:after="0"/>
        <w:rPr>
          <w:b/>
          <w:sz w:val="26"/>
          <w:lang w:val="en-US"/>
        </w:rPr>
      </w:pPr>
      <w:r w:rsidRPr="00C91354">
        <w:rPr>
          <w:sz w:val="26"/>
          <w:lang w:val="en-US"/>
        </w:rPr>
        <w:tab/>
      </w:r>
      <w:r w:rsidRPr="00C91354">
        <w:rPr>
          <w:sz w:val="26"/>
          <w:lang w:val="en-US"/>
        </w:rPr>
        <w:tab/>
      </w:r>
      <w:r w:rsidRPr="00C91354">
        <w:rPr>
          <w:sz w:val="26"/>
          <w:lang w:val="en-US"/>
        </w:rPr>
        <w:tab/>
      </w:r>
      <w:r w:rsidRPr="00C91354">
        <w:rPr>
          <w:sz w:val="26"/>
          <w:lang w:val="en-US"/>
        </w:rPr>
        <w:tab/>
      </w:r>
      <w:r w:rsidRPr="00C91354">
        <w:rPr>
          <w:sz w:val="26"/>
          <w:lang w:val="en-US"/>
        </w:rPr>
        <w:tab/>
      </w:r>
      <w:r w:rsidRPr="00C91354">
        <w:rPr>
          <w:sz w:val="26"/>
          <w:lang w:val="en-US"/>
        </w:rPr>
        <w:tab/>
      </w:r>
      <w:r w:rsidRPr="00C91354">
        <w:rPr>
          <w:sz w:val="26"/>
          <w:lang w:val="en-US"/>
        </w:rPr>
        <w:tab/>
      </w:r>
      <w:r w:rsidRPr="00C91354">
        <w:rPr>
          <w:sz w:val="26"/>
          <w:lang w:val="en-US"/>
        </w:rPr>
        <w:tab/>
      </w:r>
      <w:r>
        <w:rPr>
          <w:b/>
          <w:sz w:val="26"/>
          <w:lang w:val="en-US"/>
        </w:rPr>
        <w:t xml:space="preserve">       </w:t>
      </w:r>
      <w:r w:rsidRPr="00C91354">
        <w:rPr>
          <w:b/>
          <w:sz w:val="26"/>
          <w:lang w:val="en-US"/>
        </w:rPr>
        <w:t xml:space="preserve">                     ITEM 11</w:t>
      </w:r>
    </w:p>
    <w:p w:rsidR="0074406C" w:rsidRPr="00C91354" w:rsidRDefault="00C91354" w:rsidP="00C91354">
      <w:pPr>
        <w:pStyle w:val="FootnoteText"/>
        <w:spacing w:after="0"/>
        <w:ind w:left="5760"/>
        <w:rPr>
          <w:b/>
          <w:sz w:val="26"/>
          <w:lang w:val="en-US"/>
        </w:rPr>
      </w:pPr>
      <w:r>
        <w:rPr>
          <w:b/>
          <w:sz w:val="26"/>
          <w:lang w:val="en-US"/>
        </w:rPr>
        <w:t xml:space="preserve">        </w:t>
      </w:r>
      <w:r w:rsidRPr="00C91354">
        <w:rPr>
          <w:b/>
          <w:sz w:val="26"/>
          <w:lang w:val="en-US"/>
        </w:rPr>
        <w:t>AGENDA ID 12315</w:t>
      </w:r>
    </w:p>
    <w:p w:rsidR="00CF17DE" w:rsidRPr="00C91354" w:rsidRDefault="00C91354" w:rsidP="00C91354">
      <w:pPr>
        <w:pStyle w:val="FootnoteText"/>
        <w:spacing w:after="0"/>
        <w:rPr>
          <w:b/>
          <w:sz w:val="26"/>
          <w:lang w:val="en-US"/>
        </w:rPr>
      </w:pPr>
      <w:r w:rsidRPr="00C91354">
        <w:rPr>
          <w:b/>
          <w:sz w:val="26"/>
          <w:lang w:val="en-US"/>
        </w:rPr>
        <w:t>ENERGY DIVISION</w:t>
      </w:r>
      <w:r w:rsidRPr="00C91354">
        <w:rPr>
          <w:b/>
          <w:sz w:val="26"/>
          <w:lang w:val="en-US"/>
        </w:rPr>
        <w:tab/>
      </w:r>
      <w:r w:rsidRPr="00C91354">
        <w:rPr>
          <w:b/>
          <w:sz w:val="26"/>
          <w:lang w:val="en-US"/>
        </w:rPr>
        <w:tab/>
      </w:r>
      <w:r w:rsidRPr="00C91354">
        <w:rPr>
          <w:b/>
          <w:sz w:val="26"/>
          <w:lang w:val="en-US"/>
        </w:rPr>
        <w:tab/>
      </w:r>
      <w:r w:rsidRPr="00C91354">
        <w:rPr>
          <w:b/>
          <w:sz w:val="26"/>
          <w:lang w:val="en-US"/>
        </w:rPr>
        <w:tab/>
        <w:t xml:space="preserve"> </w:t>
      </w:r>
      <w:r w:rsidR="00CF17DE" w:rsidRPr="00C91354">
        <w:rPr>
          <w:b/>
          <w:sz w:val="26"/>
          <w:lang w:val="en-US"/>
        </w:rPr>
        <w:t xml:space="preserve">RESOLUTION </w:t>
      </w:r>
      <w:r w:rsidR="00970FF3" w:rsidRPr="00C91354">
        <w:rPr>
          <w:b/>
          <w:sz w:val="26"/>
          <w:lang w:val="en-US"/>
        </w:rPr>
        <w:t>E-</w:t>
      </w:r>
      <w:r w:rsidR="00F87171" w:rsidRPr="00C91354">
        <w:rPr>
          <w:b/>
          <w:sz w:val="26"/>
          <w:lang w:val="en-US"/>
        </w:rPr>
        <w:t>4599</w:t>
      </w:r>
      <w:r w:rsidRPr="00C91354">
        <w:rPr>
          <w:b/>
          <w:sz w:val="26"/>
          <w:lang w:val="en-US"/>
        </w:rPr>
        <w:t xml:space="preserve"> (Rev.2)</w:t>
      </w:r>
    </w:p>
    <w:p w:rsidR="00CF17DE" w:rsidRPr="00C91354" w:rsidRDefault="006C2559" w:rsidP="00C91354">
      <w:pPr>
        <w:pStyle w:val="FootnoteText"/>
        <w:rPr>
          <w:b/>
          <w:sz w:val="26"/>
          <w:lang w:val="en-US"/>
        </w:rPr>
      </w:pPr>
      <w:r w:rsidRPr="00C91354">
        <w:rPr>
          <w:b/>
          <w:sz w:val="26"/>
          <w:lang w:val="en-US"/>
        </w:rPr>
        <w:t xml:space="preserve">                                                                       </w:t>
      </w:r>
      <w:r w:rsidR="00D7644D" w:rsidRPr="00C91354">
        <w:rPr>
          <w:b/>
          <w:sz w:val="26"/>
          <w:lang w:val="en-US"/>
        </w:rPr>
        <w:t xml:space="preserve">   </w:t>
      </w:r>
      <w:r w:rsidR="007B6C34" w:rsidRPr="00C91354">
        <w:rPr>
          <w:b/>
          <w:sz w:val="26"/>
          <w:lang w:val="en-US"/>
        </w:rPr>
        <w:t xml:space="preserve">  </w:t>
      </w:r>
      <w:r w:rsidR="00C91354" w:rsidRPr="00C91354">
        <w:rPr>
          <w:b/>
          <w:sz w:val="26"/>
          <w:lang w:val="en-US"/>
        </w:rPr>
        <w:tab/>
        <w:t xml:space="preserve"> </w:t>
      </w:r>
      <w:r w:rsidR="00C91354" w:rsidRPr="00C91354">
        <w:rPr>
          <w:b/>
          <w:sz w:val="26"/>
          <w:lang w:val="en-US"/>
        </w:rPr>
        <w:tab/>
        <w:t xml:space="preserve">         </w:t>
      </w:r>
      <w:r w:rsidR="00676531" w:rsidRPr="00C91354">
        <w:rPr>
          <w:b/>
          <w:sz w:val="26"/>
          <w:lang w:val="en-US"/>
        </w:rPr>
        <w:t xml:space="preserve">September </w:t>
      </w:r>
      <w:r w:rsidR="00360F5D" w:rsidRPr="00C91354">
        <w:rPr>
          <w:b/>
          <w:sz w:val="26"/>
          <w:lang w:val="en-US"/>
        </w:rPr>
        <w:t>19</w:t>
      </w:r>
      <w:r w:rsidR="00676531" w:rsidRPr="00C91354">
        <w:rPr>
          <w:b/>
          <w:sz w:val="26"/>
          <w:lang w:val="en-US"/>
        </w:rPr>
        <w:t xml:space="preserve">, </w:t>
      </w:r>
      <w:r w:rsidRPr="00C91354">
        <w:rPr>
          <w:b/>
          <w:sz w:val="26"/>
          <w:lang w:val="en-US"/>
        </w:rPr>
        <w:t>201</w:t>
      </w:r>
      <w:r w:rsidR="00D7644D" w:rsidRPr="00C91354">
        <w:rPr>
          <w:b/>
          <w:sz w:val="26"/>
          <w:lang w:val="en-US"/>
        </w:rPr>
        <w:t>3</w:t>
      </w:r>
    </w:p>
    <w:p w:rsidR="00CF17DE" w:rsidRPr="007C6954" w:rsidRDefault="00CF17DE">
      <w:pPr>
        <w:tabs>
          <w:tab w:val="right" w:pos="8910"/>
        </w:tabs>
        <w:ind w:left="1440" w:firstLine="720"/>
        <w:rPr>
          <w:rFonts w:ascii="Palatino Linotype" w:hAnsi="Palatino Linotype"/>
          <w:b/>
          <w:sz w:val="24"/>
        </w:rPr>
      </w:pPr>
    </w:p>
    <w:p w:rsidR="00CF17DE" w:rsidRPr="001C1256" w:rsidRDefault="00CF17DE">
      <w:pPr>
        <w:pStyle w:val="mainex"/>
        <w:rPr>
          <w:u w:val="single"/>
        </w:rPr>
      </w:pPr>
      <w:bookmarkStart w:id="1" w:name="_Ref404993683"/>
      <w:r w:rsidRPr="001C1256">
        <w:rPr>
          <w:u w:val="single"/>
        </w:rPr>
        <w:t>RESOLUTION</w:t>
      </w:r>
    </w:p>
    <w:p w:rsidR="00CF17DE" w:rsidRPr="007C6954" w:rsidRDefault="00CF17DE">
      <w:pPr>
        <w:rPr>
          <w:rFonts w:ascii="Palatino Linotype" w:hAnsi="Palatino Linotype"/>
        </w:rPr>
      </w:pPr>
    </w:p>
    <w:p w:rsidR="00CF17DE" w:rsidRPr="00C91354" w:rsidRDefault="00CF17DE" w:rsidP="00C91354">
      <w:pPr>
        <w:pStyle w:val="FootnoteText"/>
        <w:spacing w:after="0"/>
        <w:ind w:left="720" w:right="630"/>
        <w:rPr>
          <w:sz w:val="26"/>
          <w:lang w:val="en-US"/>
        </w:rPr>
      </w:pPr>
      <w:r w:rsidRPr="00C91354">
        <w:rPr>
          <w:sz w:val="26"/>
          <w:lang w:val="en-US"/>
        </w:rPr>
        <w:t xml:space="preserve">Resolution </w:t>
      </w:r>
      <w:r w:rsidR="00970FF3" w:rsidRPr="00C91354">
        <w:rPr>
          <w:sz w:val="26"/>
          <w:lang w:val="en-US"/>
        </w:rPr>
        <w:t>E-</w:t>
      </w:r>
      <w:r w:rsidR="00F87171" w:rsidRPr="00C91354">
        <w:rPr>
          <w:sz w:val="26"/>
          <w:lang w:val="en-US"/>
        </w:rPr>
        <w:t>4599</w:t>
      </w:r>
      <w:r w:rsidR="00970FF3" w:rsidRPr="00C91354">
        <w:rPr>
          <w:sz w:val="26"/>
          <w:lang w:val="en-US"/>
        </w:rPr>
        <w:t xml:space="preserve">. </w:t>
      </w:r>
      <w:r w:rsidR="00A61642" w:rsidRPr="00C91354">
        <w:rPr>
          <w:sz w:val="26"/>
          <w:lang w:val="en-US"/>
        </w:rPr>
        <w:t>San Diego Gas &amp; Electric Co. (SDG&amp;E)</w:t>
      </w:r>
      <w:r w:rsidR="00DB1C5B" w:rsidRPr="00C91354">
        <w:rPr>
          <w:sz w:val="26"/>
          <w:lang w:val="en-US"/>
        </w:rPr>
        <w:t xml:space="preserve">, </w:t>
      </w:r>
      <w:r w:rsidR="00970FF3" w:rsidRPr="00C91354">
        <w:rPr>
          <w:sz w:val="26"/>
          <w:lang w:val="en-US"/>
        </w:rPr>
        <w:t>Southern California Edison</w:t>
      </w:r>
      <w:r w:rsidR="00A61642" w:rsidRPr="00C91354">
        <w:rPr>
          <w:sz w:val="26"/>
          <w:lang w:val="en-US"/>
        </w:rPr>
        <w:t xml:space="preserve"> Co.</w:t>
      </w:r>
      <w:r w:rsidR="006C2559" w:rsidRPr="00C91354">
        <w:rPr>
          <w:sz w:val="26"/>
          <w:lang w:val="en-US"/>
        </w:rPr>
        <w:t xml:space="preserve"> (SCE)</w:t>
      </w:r>
      <w:r w:rsidR="00DB1C5B" w:rsidRPr="00C91354">
        <w:rPr>
          <w:sz w:val="26"/>
          <w:lang w:val="en-US"/>
        </w:rPr>
        <w:t xml:space="preserve">, </w:t>
      </w:r>
      <w:r w:rsidR="001F78E0" w:rsidRPr="00C91354">
        <w:rPr>
          <w:sz w:val="26"/>
          <w:lang w:val="en-US"/>
        </w:rPr>
        <w:t>Southern California Gas Company (SoCal Gas)</w:t>
      </w:r>
      <w:r w:rsidR="00DB1C5B" w:rsidRPr="00C91354">
        <w:rPr>
          <w:sz w:val="26"/>
          <w:lang w:val="en-US"/>
        </w:rPr>
        <w:t xml:space="preserve">, and </w:t>
      </w:r>
      <w:r w:rsidR="00626007" w:rsidRPr="00C91354">
        <w:rPr>
          <w:sz w:val="26"/>
          <w:lang w:val="en-US"/>
        </w:rPr>
        <w:t>Pacific Gas and</w:t>
      </w:r>
      <w:r w:rsidR="00A61642" w:rsidRPr="00C91354">
        <w:rPr>
          <w:sz w:val="26"/>
          <w:lang w:val="en-US"/>
        </w:rPr>
        <w:t xml:space="preserve"> Electric Co. (PG&amp;E)</w:t>
      </w:r>
      <w:r w:rsidR="00DB1C5B" w:rsidRPr="00C91354">
        <w:rPr>
          <w:sz w:val="26"/>
          <w:lang w:val="en-US"/>
        </w:rPr>
        <w:t xml:space="preserve"> seek approval of proposed tariffs to implement privacy and security rules adopted by the CPUC. </w:t>
      </w:r>
    </w:p>
    <w:p w:rsidR="00411524" w:rsidRPr="007C6954" w:rsidRDefault="00411524">
      <w:pPr>
        <w:pStyle w:val="Res-Caption"/>
        <w:rPr>
          <w:rFonts w:ascii="Palatino Linotype" w:hAnsi="Palatino Linotype"/>
        </w:rPr>
      </w:pPr>
    </w:p>
    <w:p w:rsidR="006C590A" w:rsidRDefault="00411524" w:rsidP="00C91354">
      <w:pPr>
        <w:pStyle w:val="FootnoteText"/>
        <w:spacing w:after="0"/>
        <w:ind w:left="720" w:right="630"/>
        <w:rPr>
          <w:sz w:val="26"/>
          <w:lang w:val="en-US"/>
        </w:rPr>
      </w:pPr>
      <w:r w:rsidRPr="00C91354">
        <w:rPr>
          <w:sz w:val="26"/>
          <w:lang w:val="en-US"/>
        </w:rPr>
        <w:t>PROP</w:t>
      </w:r>
      <w:r w:rsidR="00970FF3" w:rsidRPr="00C91354">
        <w:rPr>
          <w:sz w:val="26"/>
          <w:lang w:val="en-US"/>
        </w:rPr>
        <w:t>OSED OUTCO</w:t>
      </w:r>
      <w:r w:rsidR="00DC0CF8" w:rsidRPr="00C91354">
        <w:rPr>
          <w:sz w:val="26"/>
          <w:lang w:val="en-US"/>
        </w:rPr>
        <w:t>M</w:t>
      </w:r>
      <w:r w:rsidR="00357A60" w:rsidRPr="00C91354">
        <w:rPr>
          <w:sz w:val="26"/>
          <w:lang w:val="en-US"/>
        </w:rPr>
        <w:t xml:space="preserve">E:  This Resolution </w:t>
      </w:r>
      <w:r w:rsidR="00D85874" w:rsidRPr="00C91354">
        <w:rPr>
          <w:sz w:val="26"/>
          <w:lang w:val="en-US"/>
        </w:rPr>
        <w:t xml:space="preserve">approves </w:t>
      </w:r>
      <w:r w:rsidR="006713B9" w:rsidRPr="00C91354">
        <w:rPr>
          <w:sz w:val="26"/>
          <w:lang w:val="en-US"/>
        </w:rPr>
        <w:t xml:space="preserve">the </w:t>
      </w:r>
      <w:r w:rsidR="00773300" w:rsidRPr="00C91354">
        <w:rPr>
          <w:sz w:val="26"/>
          <w:lang w:val="en-US"/>
        </w:rPr>
        <w:t xml:space="preserve">Tier 2 </w:t>
      </w:r>
      <w:r w:rsidR="00A61642" w:rsidRPr="00C91354">
        <w:rPr>
          <w:sz w:val="26"/>
          <w:lang w:val="en-US"/>
        </w:rPr>
        <w:t>Advice Letters</w:t>
      </w:r>
      <w:r w:rsidR="006D295E" w:rsidRPr="00C91354">
        <w:rPr>
          <w:sz w:val="26"/>
          <w:lang w:val="en-US"/>
        </w:rPr>
        <w:t xml:space="preserve"> and proposed tariffs</w:t>
      </w:r>
      <w:r w:rsidR="00A61642" w:rsidRPr="00C91354">
        <w:rPr>
          <w:sz w:val="26"/>
          <w:lang w:val="en-US"/>
        </w:rPr>
        <w:t xml:space="preserve"> filed by SDG&amp;E, SCE</w:t>
      </w:r>
      <w:r w:rsidR="006713B9" w:rsidRPr="00C91354">
        <w:rPr>
          <w:sz w:val="26"/>
          <w:lang w:val="en-US"/>
        </w:rPr>
        <w:t>,</w:t>
      </w:r>
      <w:r w:rsidR="001F78E0" w:rsidRPr="00C91354">
        <w:rPr>
          <w:sz w:val="26"/>
          <w:lang w:val="en-US"/>
        </w:rPr>
        <w:t xml:space="preserve"> SoCal Gas,</w:t>
      </w:r>
      <w:r w:rsidR="00703A58" w:rsidRPr="00C91354">
        <w:rPr>
          <w:sz w:val="26"/>
          <w:lang w:val="en-US"/>
        </w:rPr>
        <w:t xml:space="preserve"> and PG&amp;E</w:t>
      </w:r>
      <w:r w:rsidR="006713B9" w:rsidRPr="00C91354">
        <w:rPr>
          <w:sz w:val="26"/>
          <w:lang w:val="en-US"/>
        </w:rPr>
        <w:t xml:space="preserve"> </w:t>
      </w:r>
      <w:r w:rsidR="00887CCC" w:rsidRPr="00C91354">
        <w:rPr>
          <w:sz w:val="26"/>
          <w:lang w:val="en-US"/>
        </w:rPr>
        <w:t>t</w:t>
      </w:r>
      <w:r w:rsidR="006713B9" w:rsidRPr="00C91354">
        <w:rPr>
          <w:sz w:val="26"/>
          <w:lang w:val="en-US"/>
        </w:rPr>
        <w:t xml:space="preserve">o implement the privacy and security rules adopted by </w:t>
      </w:r>
    </w:p>
    <w:p w:rsidR="006713B9" w:rsidRPr="00C91354" w:rsidRDefault="006713B9" w:rsidP="00C91354">
      <w:pPr>
        <w:pStyle w:val="FootnoteText"/>
        <w:spacing w:after="0"/>
        <w:ind w:left="720" w:right="630"/>
        <w:rPr>
          <w:sz w:val="26"/>
          <w:lang w:val="en-US"/>
        </w:rPr>
      </w:pPr>
      <w:r w:rsidRPr="00C91354">
        <w:rPr>
          <w:sz w:val="26"/>
          <w:lang w:val="en-US"/>
        </w:rPr>
        <w:t>D.11-07-056</w:t>
      </w:r>
      <w:r w:rsidR="001F78E0" w:rsidRPr="00C91354">
        <w:rPr>
          <w:sz w:val="26"/>
          <w:lang w:val="en-US"/>
        </w:rPr>
        <w:t xml:space="preserve"> and D.12-08-45</w:t>
      </w:r>
      <w:r w:rsidRPr="00C91354">
        <w:rPr>
          <w:sz w:val="26"/>
          <w:lang w:val="en-US"/>
        </w:rPr>
        <w:t>.</w:t>
      </w:r>
      <w:r w:rsidR="006D295E" w:rsidRPr="00C91354">
        <w:rPr>
          <w:sz w:val="26"/>
          <w:lang w:val="en-US"/>
        </w:rPr>
        <w:t xml:space="preserve">  </w:t>
      </w:r>
    </w:p>
    <w:p w:rsidR="001F78E0" w:rsidRDefault="001F78E0">
      <w:pPr>
        <w:pStyle w:val="Res-Caption"/>
        <w:rPr>
          <w:rFonts w:ascii="Palatino Linotype" w:hAnsi="Palatino Linotype"/>
        </w:rPr>
      </w:pPr>
    </w:p>
    <w:p w:rsidR="0032289E" w:rsidRPr="00C91354" w:rsidRDefault="0032289E" w:rsidP="00C91354">
      <w:pPr>
        <w:pStyle w:val="FootnoteText"/>
        <w:spacing w:after="0"/>
        <w:ind w:left="720" w:right="630"/>
        <w:rPr>
          <w:sz w:val="26"/>
          <w:lang w:val="en-US"/>
        </w:rPr>
      </w:pPr>
      <w:r w:rsidRPr="00C91354">
        <w:rPr>
          <w:sz w:val="26"/>
          <w:lang w:val="en-US"/>
        </w:rPr>
        <w:t xml:space="preserve">SAFETY: </w:t>
      </w:r>
      <w:r w:rsidR="00D85874" w:rsidRPr="00C91354">
        <w:rPr>
          <w:sz w:val="26"/>
          <w:lang w:val="en-US"/>
        </w:rPr>
        <w:t>These tariffs permit the utilities to operate their systems in a safe and re</w:t>
      </w:r>
      <w:r w:rsidR="00C43079" w:rsidRPr="00C91354">
        <w:rPr>
          <w:sz w:val="26"/>
          <w:lang w:val="en-US"/>
        </w:rPr>
        <w:t>liable manner while maintaining</w:t>
      </w:r>
      <w:r w:rsidR="00D85874" w:rsidRPr="00C91354">
        <w:rPr>
          <w:sz w:val="26"/>
          <w:lang w:val="en-US"/>
        </w:rPr>
        <w:t xml:space="preserve"> the </w:t>
      </w:r>
      <w:r w:rsidRPr="00C91354">
        <w:rPr>
          <w:sz w:val="26"/>
          <w:lang w:val="en-US"/>
        </w:rPr>
        <w:t>privacy of customer energy data.</w:t>
      </w:r>
    </w:p>
    <w:p w:rsidR="0032289E" w:rsidRDefault="0032289E">
      <w:pPr>
        <w:pStyle w:val="Res-Caption"/>
        <w:rPr>
          <w:rFonts w:ascii="Palatino Linotype" w:hAnsi="Palatino Linotype"/>
        </w:rPr>
      </w:pPr>
    </w:p>
    <w:p w:rsidR="00411524" w:rsidRPr="00C91354" w:rsidRDefault="00BD69DE" w:rsidP="00C91354">
      <w:pPr>
        <w:pStyle w:val="FootnoteText"/>
        <w:spacing w:after="0"/>
        <w:ind w:left="720" w:right="630"/>
        <w:rPr>
          <w:sz w:val="26"/>
          <w:lang w:val="en-US"/>
        </w:rPr>
      </w:pPr>
      <w:r w:rsidRPr="00C91354">
        <w:rPr>
          <w:sz w:val="26"/>
          <w:lang w:val="en-US"/>
        </w:rPr>
        <w:t>ESTIMATED COST: None</w:t>
      </w:r>
      <w:r w:rsidR="0032289E" w:rsidRPr="00C91354">
        <w:rPr>
          <w:sz w:val="26"/>
          <w:lang w:val="en-US"/>
        </w:rPr>
        <w:t>.</w:t>
      </w:r>
      <w:r w:rsidR="00357A60" w:rsidRPr="00C91354">
        <w:rPr>
          <w:sz w:val="26"/>
          <w:lang w:val="en-US"/>
        </w:rPr>
        <w:t xml:space="preserve"> </w:t>
      </w:r>
    </w:p>
    <w:p w:rsidR="00CF17DE" w:rsidRPr="007C6954" w:rsidRDefault="00CF17DE" w:rsidP="007C6954">
      <w:pPr>
        <w:pStyle w:val="Res-Caption"/>
        <w:ind w:left="0"/>
        <w:rPr>
          <w:rFonts w:ascii="Palatino Linotype" w:hAnsi="Palatino Linotype"/>
        </w:rPr>
      </w:pPr>
    </w:p>
    <w:p w:rsidR="006870AC" w:rsidRPr="00C91354" w:rsidRDefault="00CF17DE" w:rsidP="00C91354">
      <w:pPr>
        <w:pStyle w:val="FootnoteText"/>
        <w:spacing w:after="0"/>
        <w:ind w:left="720" w:right="630"/>
        <w:rPr>
          <w:sz w:val="26"/>
          <w:lang w:val="en-US"/>
        </w:rPr>
      </w:pPr>
      <w:r w:rsidRPr="00C91354">
        <w:rPr>
          <w:sz w:val="26"/>
          <w:lang w:val="en-US"/>
        </w:rPr>
        <w:t xml:space="preserve">By </w:t>
      </w:r>
      <w:r w:rsidR="006870AC" w:rsidRPr="00C91354">
        <w:rPr>
          <w:sz w:val="26"/>
          <w:lang w:val="en-US"/>
        </w:rPr>
        <w:t xml:space="preserve">SDG&amp;E </w:t>
      </w:r>
      <w:r w:rsidRPr="00C91354">
        <w:rPr>
          <w:sz w:val="26"/>
          <w:lang w:val="en-US"/>
        </w:rPr>
        <w:t xml:space="preserve">Advice Letter </w:t>
      </w:r>
      <w:r w:rsidR="001F78E0" w:rsidRPr="00C91354">
        <w:rPr>
          <w:sz w:val="26"/>
          <w:lang w:val="en-US"/>
        </w:rPr>
        <w:t>2428</w:t>
      </w:r>
      <w:r w:rsidR="00970FF3" w:rsidRPr="00C91354">
        <w:rPr>
          <w:sz w:val="26"/>
          <w:lang w:val="en-US"/>
        </w:rPr>
        <w:t>-E</w:t>
      </w:r>
      <w:r w:rsidR="001F78E0" w:rsidRPr="00C91354">
        <w:rPr>
          <w:sz w:val="26"/>
          <w:lang w:val="en-US"/>
        </w:rPr>
        <w:t>/2157-G</w:t>
      </w:r>
      <w:r w:rsidR="00970FF3" w:rsidRPr="00C91354">
        <w:rPr>
          <w:sz w:val="26"/>
          <w:lang w:val="en-US"/>
        </w:rPr>
        <w:t xml:space="preserve"> (U </w:t>
      </w:r>
      <w:r w:rsidR="006870AC" w:rsidRPr="00C91354">
        <w:rPr>
          <w:sz w:val="26"/>
          <w:lang w:val="en-US"/>
        </w:rPr>
        <w:t>902</w:t>
      </w:r>
      <w:r w:rsidR="00970FF3" w:rsidRPr="00C91354">
        <w:rPr>
          <w:sz w:val="26"/>
          <w:lang w:val="en-US"/>
        </w:rPr>
        <w:t>-E).</w:t>
      </w:r>
      <w:r w:rsidRPr="00C91354">
        <w:rPr>
          <w:sz w:val="26"/>
          <w:lang w:val="en-US"/>
        </w:rPr>
        <w:t xml:space="preserve"> Filed on </w:t>
      </w:r>
      <w:r w:rsidR="001F78E0" w:rsidRPr="00C91354">
        <w:rPr>
          <w:sz w:val="26"/>
          <w:lang w:val="en-US"/>
        </w:rPr>
        <w:t>December 5, 2012</w:t>
      </w:r>
      <w:r w:rsidR="00970FF3" w:rsidRPr="00C91354">
        <w:rPr>
          <w:sz w:val="26"/>
          <w:lang w:val="en-US"/>
        </w:rPr>
        <w:t>.</w:t>
      </w:r>
    </w:p>
    <w:p w:rsidR="006870AC" w:rsidRPr="00C91354" w:rsidRDefault="006870AC" w:rsidP="00C91354">
      <w:pPr>
        <w:pStyle w:val="FootnoteText"/>
        <w:spacing w:after="0"/>
        <w:ind w:left="720" w:right="630"/>
        <w:rPr>
          <w:sz w:val="26"/>
          <w:lang w:val="en-US"/>
        </w:rPr>
      </w:pPr>
      <w:r w:rsidRPr="00C91354">
        <w:rPr>
          <w:sz w:val="26"/>
          <w:lang w:val="en-US"/>
        </w:rPr>
        <w:t xml:space="preserve">By SCE Advice Letter </w:t>
      </w:r>
      <w:r w:rsidR="009A7D62" w:rsidRPr="00C91354">
        <w:rPr>
          <w:sz w:val="26"/>
          <w:lang w:val="en-US"/>
        </w:rPr>
        <w:t>2819</w:t>
      </w:r>
      <w:r w:rsidRPr="00C91354">
        <w:rPr>
          <w:sz w:val="26"/>
          <w:lang w:val="en-US"/>
        </w:rPr>
        <w:t xml:space="preserve">-E (U 338-E).  Filed on </w:t>
      </w:r>
      <w:r w:rsidR="009A7D62" w:rsidRPr="00C91354">
        <w:rPr>
          <w:sz w:val="26"/>
          <w:lang w:val="en-US"/>
        </w:rPr>
        <w:t>December 5, 2012</w:t>
      </w:r>
      <w:r w:rsidRPr="00C91354">
        <w:rPr>
          <w:sz w:val="26"/>
          <w:lang w:val="en-US"/>
        </w:rPr>
        <w:t>.</w:t>
      </w:r>
    </w:p>
    <w:p w:rsidR="009A7D62" w:rsidRPr="00C91354" w:rsidRDefault="009A7D62" w:rsidP="00C91354">
      <w:pPr>
        <w:pStyle w:val="FootnoteText"/>
        <w:spacing w:after="0"/>
        <w:ind w:left="720" w:right="630"/>
        <w:rPr>
          <w:sz w:val="26"/>
          <w:lang w:val="en-US"/>
        </w:rPr>
      </w:pPr>
      <w:r w:rsidRPr="00C91354">
        <w:rPr>
          <w:sz w:val="26"/>
          <w:lang w:val="en-US"/>
        </w:rPr>
        <w:t xml:space="preserve">By SoCal Gas Advice Letter 4433-G (U 904-G). Filed on </w:t>
      </w:r>
      <w:r w:rsidR="0029537F" w:rsidRPr="00C91354">
        <w:rPr>
          <w:sz w:val="26"/>
          <w:lang w:val="en-US"/>
        </w:rPr>
        <w:br/>
      </w:r>
      <w:r w:rsidRPr="00C91354">
        <w:rPr>
          <w:sz w:val="26"/>
          <w:lang w:val="en-US"/>
        </w:rPr>
        <w:t>December 5, 2012</w:t>
      </w:r>
      <w:r w:rsidR="00F87171" w:rsidRPr="00C91354">
        <w:rPr>
          <w:sz w:val="26"/>
          <w:lang w:val="en-US"/>
        </w:rPr>
        <w:t>.</w:t>
      </w:r>
    </w:p>
    <w:p w:rsidR="00CF17DE" w:rsidRPr="00C91354" w:rsidRDefault="006870AC" w:rsidP="00C91354">
      <w:pPr>
        <w:pStyle w:val="FootnoteText"/>
        <w:spacing w:after="0"/>
        <w:ind w:left="720" w:right="630"/>
        <w:rPr>
          <w:sz w:val="26"/>
          <w:lang w:val="en-US"/>
        </w:rPr>
      </w:pPr>
      <w:r w:rsidRPr="00C91354">
        <w:rPr>
          <w:sz w:val="26"/>
          <w:lang w:val="en-US"/>
        </w:rPr>
        <w:t xml:space="preserve">By PG&amp;E Advice Letter </w:t>
      </w:r>
      <w:r w:rsidR="006713B9" w:rsidRPr="00C91354">
        <w:rPr>
          <w:sz w:val="26"/>
          <w:lang w:val="en-US"/>
        </w:rPr>
        <w:t>3</w:t>
      </w:r>
      <w:r w:rsidR="009A7D62" w:rsidRPr="00C91354">
        <w:rPr>
          <w:sz w:val="26"/>
          <w:lang w:val="en-US"/>
        </w:rPr>
        <w:t>349</w:t>
      </w:r>
      <w:r w:rsidR="006713B9" w:rsidRPr="00C91354">
        <w:rPr>
          <w:sz w:val="26"/>
          <w:lang w:val="en-US"/>
        </w:rPr>
        <w:t>-G/</w:t>
      </w:r>
      <w:r w:rsidR="009A7D62" w:rsidRPr="00C91354">
        <w:rPr>
          <w:sz w:val="26"/>
          <w:lang w:val="en-US"/>
        </w:rPr>
        <w:t>4158</w:t>
      </w:r>
      <w:r w:rsidRPr="00C91354">
        <w:rPr>
          <w:sz w:val="26"/>
          <w:lang w:val="en-US"/>
        </w:rPr>
        <w:t xml:space="preserve">-E (U 39-E).  Filed on </w:t>
      </w:r>
      <w:r w:rsidR="0029537F" w:rsidRPr="00C91354">
        <w:rPr>
          <w:sz w:val="26"/>
          <w:lang w:val="en-US"/>
        </w:rPr>
        <w:br/>
      </w:r>
      <w:r w:rsidR="009A7D62" w:rsidRPr="00C91354">
        <w:rPr>
          <w:sz w:val="26"/>
          <w:lang w:val="en-US"/>
        </w:rPr>
        <w:t>December 5, 2012</w:t>
      </w:r>
      <w:r w:rsidR="006713B9" w:rsidRPr="00C91354">
        <w:rPr>
          <w:sz w:val="26"/>
          <w:lang w:val="en-US"/>
        </w:rPr>
        <w:t>.</w:t>
      </w:r>
      <w:r w:rsidR="00CF17DE" w:rsidRPr="00C91354">
        <w:rPr>
          <w:sz w:val="26"/>
          <w:lang w:val="en-US"/>
        </w:rPr>
        <w:t xml:space="preserve"> </w:t>
      </w:r>
    </w:p>
    <w:p w:rsidR="00CF17DE" w:rsidRPr="007C6954" w:rsidRDefault="00CF17DE">
      <w:pPr>
        <w:jc w:val="center"/>
        <w:rPr>
          <w:rFonts w:ascii="Palatino Linotype" w:hAnsi="Palatino Linotype"/>
        </w:rPr>
      </w:pPr>
      <w:r w:rsidRPr="007C6954">
        <w:rPr>
          <w:rFonts w:ascii="Palatino Linotype" w:hAnsi="Palatino Linotype"/>
        </w:rPr>
        <w:t>__________________________________________________________</w:t>
      </w:r>
    </w:p>
    <w:p w:rsidR="00CF17DE" w:rsidRPr="007B6C34" w:rsidRDefault="00CF17DE" w:rsidP="007B6C34">
      <w:pPr>
        <w:pStyle w:val="Heading1"/>
        <w:spacing w:before="240" w:after="120"/>
        <w:rPr>
          <w:rFonts w:ascii="Palatino Linotype" w:hAnsi="Palatino Linotype"/>
          <w:bCs/>
        </w:rPr>
      </w:pPr>
      <w:r w:rsidRPr="001C1256">
        <w:t>Su</w:t>
      </w:r>
      <w:r w:rsidR="00DC0CF8" w:rsidRPr="001C1256">
        <w:t>mm</w:t>
      </w:r>
      <w:r w:rsidRPr="001C1256">
        <w:t>ary</w:t>
      </w:r>
      <w:bookmarkEnd w:id="1"/>
    </w:p>
    <w:p w:rsidR="006870AC" w:rsidRPr="00C91354" w:rsidRDefault="00B8475F" w:rsidP="00C91354">
      <w:pPr>
        <w:pStyle w:val="FootnoteText"/>
        <w:spacing w:after="0"/>
        <w:rPr>
          <w:sz w:val="26"/>
          <w:lang w:val="en-US"/>
        </w:rPr>
      </w:pPr>
      <w:r w:rsidRPr="00C91354">
        <w:rPr>
          <w:sz w:val="26"/>
          <w:lang w:val="en-US"/>
        </w:rPr>
        <w:t xml:space="preserve">This Resolution </w:t>
      </w:r>
      <w:r w:rsidR="006C2559" w:rsidRPr="00C91354">
        <w:rPr>
          <w:sz w:val="26"/>
          <w:lang w:val="en-US"/>
        </w:rPr>
        <w:t>addresses</w:t>
      </w:r>
      <w:r w:rsidRPr="00C91354">
        <w:rPr>
          <w:sz w:val="26"/>
          <w:lang w:val="en-US"/>
        </w:rPr>
        <w:t xml:space="preserve"> </w:t>
      </w:r>
      <w:r w:rsidR="006870AC" w:rsidRPr="00C91354">
        <w:rPr>
          <w:sz w:val="26"/>
          <w:lang w:val="en-US"/>
        </w:rPr>
        <w:t>San Diego Gas &amp; Electric Co. (SDG&amp;E) Advice Letter 2</w:t>
      </w:r>
      <w:r w:rsidR="001F78E0" w:rsidRPr="00C91354">
        <w:rPr>
          <w:sz w:val="26"/>
          <w:lang w:val="en-US"/>
        </w:rPr>
        <w:t>428-E/2157-G</w:t>
      </w:r>
      <w:r w:rsidR="006870AC" w:rsidRPr="00C91354">
        <w:rPr>
          <w:sz w:val="26"/>
          <w:lang w:val="en-US"/>
        </w:rPr>
        <w:t>, Southern California Edison Co. (SCE) Advice Letter 2</w:t>
      </w:r>
      <w:r w:rsidR="009A7D62" w:rsidRPr="00C91354">
        <w:rPr>
          <w:sz w:val="26"/>
          <w:lang w:val="en-US"/>
        </w:rPr>
        <w:t>819</w:t>
      </w:r>
      <w:r w:rsidR="006870AC" w:rsidRPr="00C91354">
        <w:rPr>
          <w:sz w:val="26"/>
          <w:lang w:val="en-US"/>
        </w:rPr>
        <w:t xml:space="preserve">, </w:t>
      </w:r>
      <w:r w:rsidR="001F78E0" w:rsidRPr="00C91354">
        <w:rPr>
          <w:sz w:val="26"/>
          <w:lang w:val="en-US"/>
        </w:rPr>
        <w:t xml:space="preserve">Southern California Gas Company (SoCal Gas) Advice Letter </w:t>
      </w:r>
      <w:r w:rsidR="009A7D62" w:rsidRPr="00C91354">
        <w:rPr>
          <w:sz w:val="26"/>
          <w:lang w:val="en-US"/>
        </w:rPr>
        <w:t>4433</w:t>
      </w:r>
      <w:r w:rsidR="001F78E0" w:rsidRPr="00C91354">
        <w:rPr>
          <w:sz w:val="26"/>
          <w:lang w:val="en-US"/>
        </w:rPr>
        <w:t xml:space="preserve">, </w:t>
      </w:r>
      <w:r w:rsidR="006870AC" w:rsidRPr="00C91354">
        <w:rPr>
          <w:sz w:val="26"/>
          <w:lang w:val="en-US"/>
        </w:rPr>
        <w:t xml:space="preserve">and Pacific </w:t>
      </w:r>
      <w:r w:rsidR="006870AC" w:rsidRPr="00C91354">
        <w:rPr>
          <w:sz w:val="26"/>
          <w:lang w:val="en-US"/>
        </w:rPr>
        <w:lastRenderedPageBreak/>
        <w:t xml:space="preserve">Gas and Electric Co. (PG&amp;E) Advice Letter </w:t>
      </w:r>
      <w:r w:rsidR="00703A58" w:rsidRPr="00C91354">
        <w:rPr>
          <w:sz w:val="26"/>
          <w:lang w:val="en-US"/>
        </w:rPr>
        <w:t>3</w:t>
      </w:r>
      <w:r w:rsidR="009A7D62" w:rsidRPr="00C91354">
        <w:rPr>
          <w:sz w:val="26"/>
          <w:lang w:val="en-US"/>
        </w:rPr>
        <w:t>349</w:t>
      </w:r>
      <w:r w:rsidR="00703A58" w:rsidRPr="00C91354">
        <w:rPr>
          <w:sz w:val="26"/>
          <w:lang w:val="en-US"/>
        </w:rPr>
        <w:t>-G/</w:t>
      </w:r>
      <w:r w:rsidR="009A7D62" w:rsidRPr="00C91354">
        <w:rPr>
          <w:sz w:val="26"/>
          <w:lang w:val="en-US"/>
        </w:rPr>
        <w:t>4158</w:t>
      </w:r>
      <w:r w:rsidR="006870AC" w:rsidRPr="00C91354">
        <w:rPr>
          <w:sz w:val="26"/>
          <w:lang w:val="en-US"/>
        </w:rPr>
        <w:t xml:space="preserve">-E seeking approval of actions taken to </w:t>
      </w:r>
      <w:r w:rsidR="00A52ED5" w:rsidRPr="00C91354">
        <w:rPr>
          <w:sz w:val="26"/>
          <w:lang w:val="en-US"/>
        </w:rPr>
        <w:t xml:space="preserve">implement </w:t>
      </w:r>
      <w:r w:rsidR="00703A58" w:rsidRPr="00C91354">
        <w:rPr>
          <w:sz w:val="26"/>
          <w:lang w:val="en-US"/>
        </w:rPr>
        <w:t>Ordering Paragraph 2</w:t>
      </w:r>
      <w:r w:rsidR="006870AC" w:rsidRPr="00C91354">
        <w:rPr>
          <w:sz w:val="26"/>
          <w:lang w:val="en-US"/>
        </w:rPr>
        <w:t xml:space="preserve"> from D.11-07-056</w:t>
      </w:r>
      <w:r w:rsidR="001F78E0" w:rsidRPr="00C91354">
        <w:rPr>
          <w:sz w:val="26"/>
          <w:lang w:val="en-US"/>
        </w:rPr>
        <w:t xml:space="preserve">, Resolution E-4535, and </w:t>
      </w:r>
      <w:r w:rsidR="00305473" w:rsidRPr="00C91354">
        <w:rPr>
          <w:sz w:val="26"/>
          <w:lang w:val="en-US"/>
        </w:rPr>
        <w:t xml:space="preserve">Ordering Paragraph 4 from </w:t>
      </w:r>
      <w:r w:rsidR="001F78E0" w:rsidRPr="00C91354">
        <w:rPr>
          <w:sz w:val="26"/>
          <w:lang w:val="en-US"/>
        </w:rPr>
        <w:t>D.12-08-045</w:t>
      </w:r>
      <w:r w:rsidR="006870AC" w:rsidRPr="00C91354">
        <w:rPr>
          <w:sz w:val="26"/>
          <w:lang w:val="en-US"/>
        </w:rPr>
        <w:t xml:space="preserve">.  </w:t>
      </w:r>
      <w:r w:rsidR="00BD50E3" w:rsidRPr="00C91354">
        <w:rPr>
          <w:sz w:val="26"/>
          <w:lang w:val="en-US"/>
        </w:rPr>
        <w:t xml:space="preserve">This Resolution </w:t>
      </w:r>
      <w:r w:rsidR="001F78E0" w:rsidRPr="00C91354">
        <w:rPr>
          <w:sz w:val="26"/>
          <w:lang w:val="en-US"/>
        </w:rPr>
        <w:t>accepts</w:t>
      </w:r>
      <w:r w:rsidR="00BD50E3" w:rsidRPr="00C91354">
        <w:rPr>
          <w:sz w:val="26"/>
          <w:lang w:val="en-US"/>
        </w:rPr>
        <w:t xml:space="preserve"> SDG&amp;E, SCE</w:t>
      </w:r>
      <w:r w:rsidR="00703A58" w:rsidRPr="00C91354">
        <w:rPr>
          <w:sz w:val="26"/>
          <w:lang w:val="en-US"/>
        </w:rPr>
        <w:t>,</w:t>
      </w:r>
      <w:r w:rsidR="00BD50E3" w:rsidRPr="00C91354">
        <w:rPr>
          <w:sz w:val="26"/>
          <w:lang w:val="en-US"/>
        </w:rPr>
        <w:t xml:space="preserve"> and PG&amp;E’s </w:t>
      </w:r>
      <w:r w:rsidR="00703A58" w:rsidRPr="00C91354">
        <w:rPr>
          <w:sz w:val="26"/>
          <w:lang w:val="en-US"/>
        </w:rPr>
        <w:t>Advice Letters and proposed tariffs filed to comply</w:t>
      </w:r>
      <w:r w:rsidR="00BD50E3" w:rsidRPr="00C91354">
        <w:rPr>
          <w:sz w:val="26"/>
          <w:lang w:val="en-US"/>
        </w:rPr>
        <w:t xml:space="preserve"> with </w:t>
      </w:r>
      <w:r w:rsidR="001F78E0" w:rsidRPr="00C91354">
        <w:rPr>
          <w:sz w:val="26"/>
          <w:lang w:val="en-US"/>
        </w:rPr>
        <w:t>E-4535</w:t>
      </w:r>
      <w:r w:rsidR="00F87171" w:rsidRPr="00C91354">
        <w:rPr>
          <w:sz w:val="26"/>
          <w:lang w:val="en-US"/>
        </w:rPr>
        <w:t xml:space="preserve"> and D.11-07-056</w:t>
      </w:r>
      <w:r w:rsidR="001F78E0" w:rsidRPr="00C91354">
        <w:rPr>
          <w:sz w:val="26"/>
          <w:lang w:val="en-US"/>
        </w:rPr>
        <w:t xml:space="preserve">.  This Resolution accepts SoCal Gas’ Advice Letter and proposed tariff </w:t>
      </w:r>
      <w:r w:rsidR="00703A58" w:rsidRPr="00C91354">
        <w:rPr>
          <w:sz w:val="26"/>
          <w:lang w:val="en-US"/>
        </w:rPr>
        <w:t>file</w:t>
      </w:r>
      <w:r w:rsidR="001F78E0" w:rsidRPr="00C91354">
        <w:rPr>
          <w:sz w:val="26"/>
          <w:lang w:val="en-US"/>
        </w:rPr>
        <w:t xml:space="preserve">d </w:t>
      </w:r>
      <w:r w:rsidR="00703A58" w:rsidRPr="00C91354">
        <w:rPr>
          <w:sz w:val="26"/>
          <w:lang w:val="en-US"/>
        </w:rPr>
        <w:t>to provide privacy and security protections, as adopted by D.1</w:t>
      </w:r>
      <w:r w:rsidR="001F78E0" w:rsidRPr="00C91354">
        <w:rPr>
          <w:sz w:val="26"/>
          <w:lang w:val="en-US"/>
        </w:rPr>
        <w:t>2-08</w:t>
      </w:r>
      <w:r w:rsidR="00703A58" w:rsidRPr="00C91354">
        <w:rPr>
          <w:sz w:val="26"/>
          <w:lang w:val="en-US"/>
        </w:rPr>
        <w:t>-0</w:t>
      </w:r>
      <w:r w:rsidR="001F78E0" w:rsidRPr="00C91354">
        <w:rPr>
          <w:sz w:val="26"/>
          <w:lang w:val="en-US"/>
        </w:rPr>
        <w:t>45</w:t>
      </w:r>
      <w:r w:rsidR="00F87171" w:rsidRPr="00C91354">
        <w:rPr>
          <w:sz w:val="26"/>
          <w:lang w:val="en-US"/>
        </w:rPr>
        <w:t>, and directs SoCal Gas to submit a new customer authorization form to supplement the adopted Advice Letter</w:t>
      </w:r>
      <w:r w:rsidR="00703A58" w:rsidRPr="00C91354">
        <w:rPr>
          <w:sz w:val="26"/>
          <w:lang w:val="en-US"/>
        </w:rPr>
        <w:t xml:space="preserve">.  </w:t>
      </w:r>
    </w:p>
    <w:p w:rsidR="004278C9" w:rsidRPr="007C6954" w:rsidRDefault="004278C9" w:rsidP="009F1E73">
      <w:pPr>
        <w:rPr>
          <w:rFonts w:ascii="Palatino Linotype" w:hAnsi="Palatino Linotype"/>
        </w:rPr>
      </w:pPr>
    </w:p>
    <w:p w:rsidR="00CF17DE" w:rsidRPr="001C1256" w:rsidRDefault="00CF17DE" w:rsidP="001C1256">
      <w:pPr>
        <w:pStyle w:val="Heading1"/>
        <w:spacing w:before="0" w:after="120"/>
      </w:pPr>
      <w:r w:rsidRPr="001C1256">
        <w:t>Background</w:t>
      </w:r>
    </w:p>
    <w:p w:rsidR="00FA5872" w:rsidRPr="00C91354" w:rsidRDefault="00F72FCB" w:rsidP="00C91354">
      <w:pPr>
        <w:pStyle w:val="FootnoteText"/>
        <w:spacing w:after="0"/>
        <w:rPr>
          <w:sz w:val="26"/>
          <w:lang w:val="en-US"/>
        </w:rPr>
      </w:pPr>
      <w:r w:rsidRPr="00C91354">
        <w:rPr>
          <w:sz w:val="26"/>
          <w:lang w:val="en-US"/>
        </w:rPr>
        <w:t>On July 28, 2011, the</w:t>
      </w:r>
      <w:r w:rsidR="00A52ED5" w:rsidRPr="00C91354">
        <w:rPr>
          <w:sz w:val="26"/>
          <w:lang w:val="en-US"/>
        </w:rPr>
        <w:t xml:space="preserve"> California Public Utilities</w:t>
      </w:r>
      <w:r w:rsidRPr="00C91354">
        <w:rPr>
          <w:sz w:val="26"/>
          <w:lang w:val="en-US"/>
        </w:rPr>
        <w:t xml:space="preserve"> Commission</w:t>
      </w:r>
      <w:r w:rsidR="00A52ED5" w:rsidRPr="00C91354">
        <w:rPr>
          <w:sz w:val="26"/>
          <w:lang w:val="en-US"/>
        </w:rPr>
        <w:t xml:space="preserve"> (CPUC)</w:t>
      </w:r>
      <w:r w:rsidRPr="00C91354">
        <w:rPr>
          <w:sz w:val="26"/>
          <w:lang w:val="en-US"/>
        </w:rPr>
        <w:t xml:space="preserve"> issued </w:t>
      </w:r>
      <w:r w:rsidR="00BD1D42" w:rsidRPr="00C91354">
        <w:rPr>
          <w:sz w:val="26"/>
          <w:lang w:val="en-US"/>
        </w:rPr>
        <w:br/>
      </w:r>
      <w:r w:rsidRPr="00C91354">
        <w:rPr>
          <w:sz w:val="26"/>
          <w:lang w:val="en-US"/>
        </w:rPr>
        <w:t xml:space="preserve">D.11-07-056 which adopted rules to protect the privacy and security of customer usage data generated by Advanced Meters for the customers of SDG&amp;E, SCE and PG&amp;E.  </w:t>
      </w:r>
      <w:r w:rsidR="00405811" w:rsidRPr="00C91354">
        <w:rPr>
          <w:sz w:val="26"/>
          <w:lang w:val="en-US"/>
        </w:rPr>
        <w:t xml:space="preserve">As part of that decision, the </w:t>
      </w:r>
      <w:r w:rsidR="00A52ED5" w:rsidRPr="00C91354">
        <w:rPr>
          <w:sz w:val="26"/>
          <w:lang w:val="en-US"/>
        </w:rPr>
        <w:t>CPUC</w:t>
      </w:r>
      <w:r w:rsidR="00405811" w:rsidRPr="00C91354">
        <w:rPr>
          <w:sz w:val="26"/>
          <w:lang w:val="en-US"/>
        </w:rPr>
        <w:t xml:space="preserve"> directed SDG&amp;E, SCE</w:t>
      </w:r>
      <w:r w:rsidR="00B77EC3" w:rsidRPr="00C91354">
        <w:rPr>
          <w:sz w:val="26"/>
          <w:lang w:val="en-US"/>
        </w:rPr>
        <w:t>,</w:t>
      </w:r>
      <w:r w:rsidR="00405811" w:rsidRPr="00C91354">
        <w:rPr>
          <w:sz w:val="26"/>
          <w:lang w:val="en-US"/>
        </w:rPr>
        <w:t xml:space="preserve"> and PG&amp;E to each file</w:t>
      </w:r>
      <w:r w:rsidR="004416AB" w:rsidRPr="00C91354">
        <w:rPr>
          <w:sz w:val="26"/>
          <w:lang w:val="en-US"/>
        </w:rPr>
        <w:t xml:space="preserve"> a Tier 2 Advice Letter within </w:t>
      </w:r>
      <w:r w:rsidR="00B77EC3" w:rsidRPr="00C91354">
        <w:rPr>
          <w:sz w:val="26"/>
          <w:lang w:val="en-US"/>
        </w:rPr>
        <w:t>90 days</w:t>
      </w:r>
      <w:r w:rsidR="00405811" w:rsidRPr="00C91354">
        <w:rPr>
          <w:sz w:val="26"/>
          <w:lang w:val="en-US"/>
        </w:rPr>
        <w:t xml:space="preserve"> detailing</w:t>
      </w:r>
      <w:r w:rsidR="003B2E53" w:rsidRPr="00C91354">
        <w:rPr>
          <w:sz w:val="26"/>
          <w:lang w:val="en-US"/>
        </w:rPr>
        <w:t xml:space="preserve"> “whatever tariff changes are necessary to conform its corporate policies concerning customer usage data to the Rules Regarding Privacy and Security Protections for Energy Usage Data.”</w:t>
      </w:r>
      <w:r w:rsidR="003B2E53" w:rsidRPr="001F252C">
        <w:rPr>
          <w:rStyle w:val="FootnoteReference"/>
          <w:rFonts w:ascii="Palatino Linotype" w:hAnsi="Palatino Linotype"/>
          <w:lang w:val="en-US" w:eastAsia="en-US"/>
        </w:rPr>
        <w:footnoteReference w:id="2"/>
      </w:r>
      <w:r w:rsidR="00405811" w:rsidRPr="001F252C">
        <w:rPr>
          <w:rStyle w:val="FootnoteReference"/>
          <w:rFonts w:ascii="Palatino Linotype" w:hAnsi="Palatino Linotype"/>
          <w:lang w:val="en-US" w:eastAsia="en-US"/>
        </w:rPr>
        <w:t xml:space="preserve"> </w:t>
      </w:r>
      <w:r w:rsidR="00405811" w:rsidRPr="00C91354">
        <w:rPr>
          <w:sz w:val="26"/>
          <w:lang w:val="en-US"/>
        </w:rPr>
        <w:t xml:space="preserve"> </w:t>
      </w:r>
    </w:p>
    <w:p w:rsidR="00FA5872" w:rsidRPr="00C91354" w:rsidRDefault="00FA5872" w:rsidP="00C91354">
      <w:pPr>
        <w:pStyle w:val="FootnoteText"/>
        <w:spacing w:after="0"/>
        <w:rPr>
          <w:sz w:val="26"/>
          <w:lang w:val="en-US"/>
        </w:rPr>
      </w:pPr>
    </w:p>
    <w:p w:rsidR="00877AEA" w:rsidRPr="00C91354" w:rsidRDefault="00877AEA" w:rsidP="00C91354">
      <w:pPr>
        <w:pStyle w:val="FootnoteText"/>
        <w:spacing w:after="0"/>
        <w:rPr>
          <w:sz w:val="26"/>
          <w:lang w:val="en-US"/>
        </w:rPr>
      </w:pPr>
      <w:r w:rsidRPr="00C91354">
        <w:rPr>
          <w:sz w:val="26"/>
          <w:lang w:val="en-US"/>
        </w:rPr>
        <w:t xml:space="preserve">On </w:t>
      </w:r>
      <w:r w:rsidR="00B77EC3" w:rsidRPr="00C91354">
        <w:rPr>
          <w:sz w:val="26"/>
          <w:lang w:val="en-US"/>
        </w:rPr>
        <w:t>October 27, 2011,</w:t>
      </w:r>
      <w:r w:rsidRPr="00C91354">
        <w:rPr>
          <w:sz w:val="26"/>
          <w:lang w:val="en-US"/>
        </w:rPr>
        <w:t xml:space="preserve"> SDG&amp;E, SCE</w:t>
      </w:r>
      <w:r w:rsidR="00B77EC3" w:rsidRPr="00C91354">
        <w:rPr>
          <w:sz w:val="26"/>
          <w:lang w:val="en-US"/>
        </w:rPr>
        <w:t>,</w:t>
      </w:r>
      <w:r w:rsidRPr="00C91354">
        <w:rPr>
          <w:sz w:val="26"/>
          <w:lang w:val="en-US"/>
        </w:rPr>
        <w:t xml:space="preserve"> and PG&amp;E filed their Tier 2 Advice Letters in compliance with Ordering Paragraph</w:t>
      </w:r>
      <w:r w:rsidR="00B77EC3" w:rsidRPr="00C91354">
        <w:rPr>
          <w:sz w:val="26"/>
          <w:lang w:val="en-US"/>
        </w:rPr>
        <w:t xml:space="preserve"> 2</w:t>
      </w:r>
      <w:r w:rsidRPr="00C91354">
        <w:rPr>
          <w:sz w:val="26"/>
          <w:lang w:val="en-US"/>
        </w:rPr>
        <w:t>.</w:t>
      </w:r>
      <w:r w:rsidR="00A86C8F" w:rsidRPr="00C91354">
        <w:rPr>
          <w:sz w:val="26"/>
          <w:lang w:val="en-US"/>
        </w:rPr>
        <w:t xml:space="preserve">  On November 14, 2011, PG&amp;E filed a supplement to their Advice Letter attaching Form 79-1096, which was not attached to their October 27 filing.</w:t>
      </w:r>
      <w:r w:rsidR="0010754C" w:rsidRPr="00C91354">
        <w:rPr>
          <w:sz w:val="26"/>
          <w:lang w:val="en-US"/>
        </w:rPr>
        <w:t xml:space="preserve">  </w:t>
      </w:r>
    </w:p>
    <w:p w:rsidR="0010754C" w:rsidRPr="00C91354" w:rsidRDefault="0010754C" w:rsidP="00C91354">
      <w:pPr>
        <w:pStyle w:val="FootnoteText"/>
        <w:spacing w:after="0"/>
        <w:rPr>
          <w:sz w:val="26"/>
          <w:lang w:val="en-US"/>
        </w:rPr>
      </w:pPr>
    </w:p>
    <w:p w:rsidR="0010754C" w:rsidRPr="00C91354" w:rsidRDefault="0010754C" w:rsidP="00C91354">
      <w:pPr>
        <w:pStyle w:val="FootnoteText"/>
        <w:spacing w:after="0"/>
        <w:rPr>
          <w:sz w:val="26"/>
          <w:lang w:val="en-US"/>
        </w:rPr>
      </w:pPr>
      <w:r w:rsidRPr="00C91354">
        <w:rPr>
          <w:sz w:val="26"/>
          <w:lang w:val="en-US"/>
        </w:rPr>
        <w:t>On August 31</w:t>
      </w:r>
      <w:r w:rsidR="00E118D9" w:rsidRPr="00C91354">
        <w:rPr>
          <w:sz w:val="26"/>
          <w:lang w:val="en-US"/>
        </w:rPr>
        <w:t>,</w:t>
      </w:r>
      <w:r w:rsidRPr="00C91354">
        <w:rPr>
          <w:sz w:val="26"/>
          <w:lang w:val="en-US"/>
        </w:rPr>
        <w:t xml:space="preserve"> 2012, the CPUC issued D.12-08-045 which adopted rules to protect the privacy and security of customer usage data generated by Advanced Meters for the customers of Southern California Gas Company.  That decision directed SoCal </w:t>
      </w:r>
      <w:r w:rsidR="00305473" w:rsidRPr="00C91354">
        <w:rPr>
          <w:sz w:val="26"/>
          <w:lang w:val="en-US"/>
        </w:rPr>
        <w:t>Gas to file a Tier 2</w:t>
      </w:r>
      <w:r w:rsidRPr="00C91354">
        <w:rPr>
          <w:sz w:val="26"/>
          <w:lang w:val="en-US"/>
        </w:rPr>
        <w:t xml:space="preserve"> Advice Letter by November </w:t>
      </w:r>
      <w:r w:rsidR="004D2EA5" w:rsidRPr="00C91354">
        <w:rPr>
          <w:sz w:val="26"/>
          <w:lang w:val="en-US"/>
        </w:rPr>
        <w:t>21</w:t>
      </w:r>
      <w:r w:rsidRPr="00C91354">
        <w:rPr>
          <w:sz w:val="26"/>
          <w:lang w:val="en-US"/>
        </w:rPr>
        <w:t>, 2012 implementing the rules adopted by the decision.</w:t>
      </w:r>
    </w:p>
    <w:p w:rsidR="0010754C" w:rsidRPr="00C91354" w:rsidRDefault="0010754C" w:rsidP="00C91354">
      <w:pPr>
        <w:pStyle w:val="FootnoteText"/>
        <w:spacing w:after="0"/>
        <w:rPr>
          <w:sz w:val="26"/>
          <w:lang w:val="en-US"/>
        </w:rPr>
      </w:pPr>
    </w:p>
    <w:p w:rsidR="0010754C" w:rsidRPr="00C91354" w:rsidRDefault="0010754C" w:rsidP="00C91354">
      <w:pPr>
        <w:pStyle w:val="FootnoteText"/>
        <w:spacing w:after="0"/>
        <w:rPr>
          <w:sz w:val="26"/>
          <w:lang w:val="en-US"/>
        </w:rPr>
      </w:pPr>
      <w:r w:rsidRPr="00C91354">
        <w:rPr>
          <w:sz w:val="26"/>
          <w:lang w:val="en-US"/>
        </w:rPr>
        <w:t>On September 27, 2012, the Commission rejected the October 27, 2011 Advice Letter filings of SDG&amp;E, SCE, and PG&amp;E in Resolution E-4535.  E-4535 directed SDG&amp;E, SCE, and PG&amp;E to</w:t>
      </w:r>
      <w:r w:rsidR="00F87171" w:rsidRPr="00C91354">
        <w:rPr>
          <w:sz w:val="26"/>
          <w:lang w:val="en-US"/>
        </w:rPr>
        <w:t xml:space="preserve"> “coordinate and implement a consistent set of privacy and security rules, and related customer information request forms.”</w:t>
      </w:r>
      <w:r w:rsidR="00F87171" w:rsidRPr="001F252C">
        <w:rPr>
          <w:rStyle w:val="FootnoteReference"/>
          <w:rFonts w:ascii="Palatino Linotype" w:hAnsi="Palatino Linotype"/>
          <w:lang w:val="en-US" w:eastAsia="en-US"/>
        </w:rPr>
        <w:footnoteReference w:id="3"/>
      </w:r>
      <w:r w:rsidR="00F87171" w:rsidRPr="00C91354">
        <w:rPr>
          <w:sz w:val="26"/>
          <w:lang w:val="en-US"/>
        </w:rPr>
        <w:t xml:space="preserve"> Additionally, E-4535 directed SDG&amp;E, SCE, and PG&amp;E to participate in a workshop “to develop a coordinated and consistent implementation of the privacy and security rules</w:t>
      </w:r>
      <w:r w:rsidRPr="00C91354">
        <w:rPr>
          <w:sz w:val="26"/>
          <w:lang w:val="en-US"/>
        </w:rPr>
        <w:t>.</w:t>
      </w:r>
      <w:r w:rsidR="00F87171" w:rsidRPr="001F252C">
        <w:rPr>
          <w:rStyle w:val="FootnoteReference"/>
          <w:rFonts w:ascii="Palatino Linotype" w:hAnsi="Palatino Linotype"/>
          <w:lang w:val="en-US" w:eastAsia="en-US"/>
        </w:rPr>
        <w:footnoteReference w:id="4"/>
      </w:r>
      <w:r w:rsidRPr="001F252C">
        <w:rPr>
          <w:rStyle w:val="FootnoteReference"/>
          <w:rFonts w:ascii="Palatino Linotype" w:hAnsi="Palatino Linotype"/>
          <w:lang w:val="en-US" w:eastAsia="en-US"/>
        </w:rPr>
        <w:t xml:space="preserve"> </w:t>
      </w:r>
      <w:r w:rsidRPr="00C91354">
        <w:rPr>
          <w:sz w:val="26"/>
          <w:lang w:val="en-US"/>
        </w:rPr>
        <w:t xml:space="preserve"> E-4535 directed the utilities to file their revised tariff sheets in conjunction with the Advice Letter</w:t>
      </w:r>
      <w:r w:rsidR="00F87171" w:rsidRPr="00C91354">
        <w:rPr>
          <w:sz w:val="26"/>
          <w:lang w:val="en-US"/>
        </w:rPr>
        <w:t>s</w:t>
      </w:r>
      <w:r w:rsidRPr="00C91354">
        <w:rPr>
          <w:sz w:val="26"/>
          <w:lang w:val="en-US"/>
        </w:rPr>
        <w:t xml:space="preserve"> required in D.12-08-045.</w:t>
      </w:r>
    </w:p>
    <w:p w:rsidR="00F87171" w:rsidRPr="00C91354" w:rsidRDefault="00F87171" w:rsidP="00C91354">
      <w:pPr>
        <w:pStyle w:val="FootnoteText"/>
        <w:spacing w:after="0"/>
        <w:rPr>
          <w:sz w:val="26"/>
          <w:lang w:val="en-US"/>
        </w:rPr>
      </w:pPr>
    </w:p>
    <w:p w:rsidR="00305473" w:rsidRPr="00C91354" w:rsidRDefault="00F87171" w:rsidP="00C91354">
      <w:pPr>
        <w:pStyle w:val="FootnoteText"/>
        <w:spacing w:after="0"/>
        <w:rPr>
          <w:sz w:val="26"/>
          <w:lang w:val="en-US"/>
        </w:rPr>
      </w:pPr>
      <w:r w:rsidRPr="00C91354">
        <w:rPr>
          <w:sz w:val="26"/>
          <w:lang w:val="en-US"/>
        </w:rPr>
        <w:t>On October 11-12, 2012, Commission Staff convened a workshop, as directed by D.12-08-045 and E.4535</w:t>
      </w:r>
      <w:r w:rsidR="009B4290" w:rsidRPr="00C91354">
        <w:rPr>
          <w:sz w:val="26"/>
          <w:lang w:val="en-US"/>
        </w:rPr>
        <w:t>,</w:t>
      </w:r>
      <w:r w:rsidRPr="00C91354">
        <w:rPr>
          <w:sz w:val="26"/>
          <w:lang w:val="en-US"/>
        </w:rPr>
        <w:t xml:space="preserve"> to discuss the development of a consistent implementation of the privacy and security rules.  </w:t>
      </w:r>
    </w:p>
    <w:p w:rsidR="009B4290" w:rsidRPr="00C91354" w:rsidRDefault="009B4290" w:rsidP="00C91354">
      <w:pPr>
        <w:pStyle w:val="FootnoteText"/>
        <w:spacing w:after="0"/>
        <w:rPr>
          <w:sz w:val="26"/>
          <w:lang w:val="en-US"/>
        </w:rPr>
      </w:pPr>
    </w:p>
    <w:p w:rsidR="00305473" w:rsidRPr="00C91354" w:rsidRDefault="00305473" w:rsidP="00C91354">
      <w:pPr>
        <w:pStyle w:val="FootnoteText"/>
        <w:spacing w:after="0"/>
        <w:rPr>
          <w:sz w:val="26"/>
          <w:lang w:val="en-US"/>
        </w:rPr>
      </w:pPr>
      <w:r w:rsidRPr="00C91354">
        <w:rPr>
          <w:sz w:val="26"/>
          <w:lang w:val="en-US"/>
        </w:rPr>
        <w:t xml:space="preserve">On </w:t>
      </w:r>
      <w:r w:rsidR="004D2EA5" w:rsidRPr="00C91354">
        <w:rPr>
          <w:sz w:val="26"/>
          <w:lang w:val="en-US"/>
        </w:rPr>
        <w:t>November 20</w:t>
      </w:r>
      <w:r w:rsidRPr="00C91354">
        <w:rPr>
          <w:sz w:val="26"/>
          <w:lang w:val="en-US"/>
        </w:rPr>
        <w:t>, 2012, the deadline for filing these Advice Letters was extended to December 5, 2012</w:t>
      </w:r>
      <w:r w:rsidR="00D85874" w:rsidRPr="00C91354">
        <w:rPr>
          <w:sz w:val="26"/>
          <w:lang w:val="en-US"/>
        </w:rPr>
        <w:t xml:space="preserve"> via a letter from Commission Executive Director, Paul Clanon</w:t>
      </w:r>
      <w:r w:rsidRPr="00C91354">
        <w:rPr>
          <w:sz w:val="26"/>
          <w:lang w:val="en-US"/>
        </w:rPr>
        <w:t>.</w:t>
      </w:r>
    </w:p>
    <w:p w:rsidR="00A52ED5" w:rsidRPr="00E118D9" w:rsidRDefault="00A52ED5" w:rsidP="00F72FCB">
      <w:pPr>
        <w:pStyle w:val="standard"/>
        <w:spacing w:line="240" w:lineRule="auto"/>
        <w:ind w:firstLine="0"/>
        <w:rPr>
          <w:rFonts w:ascii="Palatino Linotype" w:hAnsi="Palatino Linotype"/>
        </w:rPr>
      </w:pPr>
    </w:p>
    <w:p w:rsidR="00BD3319" w:rsidRPr="00C91354" w:rsidRDefault="00B77EC3" w:rsidP="00C91354">
      <w:pPr>
        <w:pStyle w:val="FootnoteText"/>
        <w:numPr>
          <w:ilvl w:val="0"/>
          <w:numId w:val="12"/>
        </w:numPr>
        <w:spacing w:after="0"/>
        <w:rPr>
          <w:sz w:val="26"/>
          <w:lang w:val="en-US"/>
        </w:rPr>
      </w:pPr>
      <w:r w:rsidRPr="00C91354">
        <w:rPr>
          <w:sz w:val="26"/>
          <w:lang w:val="en-US"/>
        </w:rPr>
        <w:t>SDG&amp;E Advice Letter 2</w:t>
      </w:r>
      <w:r w:rsidR="0010754C" w:rsidRPr="00C91354">
        <w:rPr>
          <w:sz w:val="26"/>
          <w:lang w:val="en-US"/>
        </w:rPr>
        <w:t>428</w:t>
      </w:r>
      <w:r w:rsidR="00BD3319" w:rsidRPr="00C91354">
        <w:rPr>
          <w:sz w:val="26"/>
          <w:lang w:val="en-US"/>
        </w:rPr>
        <w:t>-E</w:t>
      </w:r>
      <w:r w:rsidR="0010754C" w:rsidRPr="00C91354">
        <w:rPr>
          <w:sz w:val="26"/>
          <w:lang w:val="en-US"/>
        </w:rPr>
        <w:t>/2157-G</w:t>
      </w:r>
    </w:p>
    <w:p w:rsidR="00BD3319" w:rsidRPr="00E118D9" w:rsidRDefault="00BD3319" w:rsidP="00BD3319">
      <w:pPr>
        <w:pStyle w:val="standard"/>
        <w:spacing w:line="240" w:lineRule="auto"/>
        <w:ind w:firstLine="0"/>
        <w:rPr>
          <w:rFonts w:ascii="Palatino Linotype" w:hAnsi="Palatino Linotype"/>
        </w:rPr>
      </w:pPr>
    </w:p>
    <w:p w:rsidR="00B53E93" w:rsidRPr="00C91354" w:rsidRDefault="00661E6B" w:rsidP="00C91354">
      <w:pPr>
        <w:pStyle w:val="FootnoteText"/>
        <w:spacing w:after="0"/>
        <w:rPr>
          <w:sz w:val="26"/>
          <w:lang w:val="en-US"/>
        </w:rPr>
      </w:pPr>
      <w:r w:rsidRPr="00C91354">
        <w:rPr>
          <w:sz w:val="26"/>
          <w:lang w:val="en-US"/>
        </w:rPr>
        <w:t xml:space="preserve">SDG&amp;E </w:t>
      </w:r>
      <w:r w:rsidR="00B77EC3" w:rsidRPr="00C91354">
        <w:rPr>
          <w:sz w:val="26"/>
          <w:lang w:val="en-US"/>
        </w:rPr>
        <w:t>proposes to modify their existing Rule 9</w:t>
      </w:r>
      <w:r w:rsidR="002132B8" w:rsidRPr="00C91354">
        <w:rPr>
          <w:sz w:val="26"/>
          <w:lang w:val="en-US"/>
        </w:rPr>
        <w:t>,</w:t>
      </w:r>
      <w:r w:rsidR="00B77EC3" w:rsidRPr="00C91354">
        <w:rPr>
          <w:sz w:val="26"/>
          <w:lang w:val="en-US"/>
        </w:rPr>
        <w:t xml:space="preserve"> proposes a new Rule 33</w:t>
      </w:r>
      <w:r w:rsidR="002132B8" w:rsidRPr="00C91354">
        <w:rPr>
          <w:sz w:val="26"/>
          <w:lang w:val="en-US"/>
        </w:rPr>
        <w:t>, and proposes a new Gas/Electric Form 180-100</w:t>
      </w:r>
      <w:r w:rsidR="00B77EC3" w:rsidRPr="00C91354">
        <w:rPr>
          <w:sz w:val="26"/>
          <w:lang w:val="en-US"/>
        </w:rPr>
        <w:t xml:space="preserve">.  </w:t>
      </w:r>
      <w:r w:rsidR="00B53E93" w:rsidRPr="00C91354">
        <w:rPr>
          <w:sz w:val="26"/>
          <w:lang w:val="en-US"/>
        </w:rPr>
        <w:t xml:space="preserve">SDG&amp;E’s proposed revision to </w:t>
      </w:r>
      <w:r w:rsidR="00BD1D42" w:rsidRPr="00C91354">
        <w:rPr>
          <w:sz w:val="26"/>
          <w:lang w:val="en-US"/>
        </w:rPr>
        <w:br/>
      </w:r>
      <w:r w:rsidR="00B53E93" w:rsidRPr="00C91354">
        <w:rPr>
          <w:sz w:val="26"/>
          <w:lang w:val="en-US"/>
        </w:rPr>
        <w:t>Rule 9 adds a reference to their proposed Rule 33.</w:t>
      </w:r>
      <w:r w:rsidR="00B53E93" w:rsidRPr="001F252C">
        <w:rPr>
          <w:rStyle w:val="FootnoteReference"/>
          <w:rFonts w:ascii="Palatino Linotype" w:hAnsi="Palatino Linotype"/>
          <w:lang w:val="en-US" w:eastAsia="en-US"/>
        </w:rPr>
        <w:footnoteReference w:id="5"/>
      </w:r>
      <w:r w:rsidR="00B53E93" w:rsidRPr="001F252C">
        <w:rPr>
          <w:rStyle w:val="FootnoteReference"/>
          <w:rFonts w:ascii="Palatino Linotype" w:hAnsi="Palatino Linotype"/>
          <w:lang w:val="en-US" w:eastAsia="en-US"/>
        </w:rPr>
        <w:t xml:space="preserve"> </w:t>
      </w:r>
      <w:r w:rsidR="00B53E93" w:rsidRPr="00C91354">
        <w:rPr>
          <w:sz w:val="26"/>
          <w:lang w:val="en-US"/>
        </w:rPr>
        <w:t xml:space="preserve"> </w:t>
      </w:r>
      <w:r w:rsidR="00B77EC3" w:rsidRPr="00C91354">
        <w:rPr>
          <w:sz w:val="26"/>
          <w:lang w:val="en-US"/>
        </w:rPr>
        <w:t>SDG&amp;E</w:t>
      </w:r>
      <w:r w:rsidR="002132B8" w:rsidRPr="00C91354">
        <w:rPr>
          <w:sz w:val="26"/>
          <w:lang w:val="en-US"/>
        </w:rPr>
        <w:t>’s proposed</w:t>
      </w:r>
      <w:r w:rsidR="00B77EC3" w:rsidRPr="00C91354">
        <w:rPr>
          <w:sz w:val="26"/>
          <w:lang w:val="en-US"/>
        </w:rPr>
        <w:t xml:space="preserve"> Rule 33 </w:t>
      </w:r>
      <w:r w:rsidR="002132B8" w:rsidRPr="00C91354">
        <w:rPr>
          <w:sz w:val="26"/>
          <w:lang w:val="en-US"/>
        </w:rPr>
        <w:t xml:space="preserve">is </w:t>
      </w:r>
      <w:r w:rsidR="002F6CBC" w:rsidRPr="00C91354">
        <w:rPr>
          <w:sz w:val="26"/>
          <w:lang w:val="en-US"/>
        </w:rPr>
        <w:t>based on Attachment D of D.11-07</w:t>
      </w:r>
      <w:r w:rsidR="002132B8" w:rsidRPr="00C91354">
        <w:rPr>
          <w:sz w:val="26"/>
          <w:lang w:val="en-US"/>
        </w:rPr>
        <w:t>-056 and Attachment A of D.12-08-045, with some additional language “added for clarification.”</w:t>
      </w:r>
      <w:r w:rsidR="002132B8" w:rsidRPr="001F252C">
        <w:rPr>
          <w:rStyle w:val="FootnoteReference"/>
          <w:rFonts w:ascii="Palatino Linotype" w:hAnsi="Palatino Linotype"/>
          <w:lang w:val="en-US" w:eastAsia="en-US"/>
        </w:rPr>
        <w:footnoteReference w:id="6"/>
      </w:r>
      <w:r w:rsidR="005C03E5" w:rsidRPr="001F252C">
        <w:rPr>
          <w:rStyle w:val="FootnoteReference"/>
          <w:rFonts w:ascii="Palatino Linotype" w:hAnsi="Palatino Linotype"/>
          <w:lang w:val="en-US" w:eastAsia="en-US"/>
        </w:rPr>
        <w:t xml:space="preserve"> </w:t>
      </w:r>
      <w:r w:rsidR="005C03E5" w:rsidRPr="00C91354">
        <w:rPr>
          <w:sz w:val="26"/>
          <w:lang w:val="en-US"/>
        </w:rPr>
        <w:t xml:space="preserve"> </w:t>
      </w:r>
      <w:r w:rsidR="002132B8" w:rsidRPr="00C91354">
        <w:rPr>
          <w:sz w:val="26"/>
          <w:lang w:val="en-US"/>
        </w:rPr>
        <w:t xml:space="preserve">SDG&amp;E’s proposed Form 180-100 </w:t>
      </w:r>
      <w:r w:rsidR="00B53E93" w:rsidRPr="00C91354">
        <w:rPr>
          <w:sz w:val="26"/>
          <w:lang w:val="en-US"/>
        </w:rPr>
        <w:t>allows for a customer to authorize the sharing of their usage information with a third party.  SDG&amp;E states that it attempted to revise their existing form “Authorization to: Receive Customer Information or Act on a Customer’s Behalf,”</w:t>
      </w:r>
      <w:r w:rsidR="002F6CBC" w:rsidRPr="001F252C">
        <w:rPr>
          <w:rStyle w:val="FootnoteReference"/>
          <w:rFonts w:ascii="Palatino Linotype" w:hAnsi="Palatino Linotype"/>
          <w:lang w:val="en-US" w:eastAsia="en-US"/>
        </w:rPr>
        <w:footnoteReference w:id="7"/>
      </w:r>
      <w:r w:rsidR="00B53E93" w:rsidRPr="00C91354">
        <w:rPr>
          <w:sz w:val="26"/>
          <w:lang w:val="en-US"/>
        </w:rPr>
        <w:t xml:space="preserve"> but SDG&amp;E notes that using that existing form for usage authorization was “unworkable.”</w:t>
      </w:r>
      <w:r w:rsidR="00B53E93" w:rsidRPr="001F252C">
        <w:rPr>
          <w:rStyle w:val="FootnoteReference"/>
          <w:rFonts w:ascii="Palatino Linotype" w:hAnsi="Palatino Linotype"/>
          <w:lang w:val="en-US" w:eastAsia="en-US"/>
        </w:rPr>
        <w:footnoteReference w:id="8"/>
      </w:r>
      <w:r w:rsidR="00B53E93" w:rsidRPr="00C91354">
        <w:rPr>
          <w:sz w:val="26"/>
          <w:lang w:val="en-US"/>
        </w:rPr>
        <w:t xml:space="preserve"> </w:t>
      </w:r>
      <w:r w:rsidR="002F6CBC" w:rsidRPr="00C91354">
        <w:rPr>
          <w:sz w:val="26"/>
          <w:lang w:val="en-US"/>
        </w:rPr>
        <w:t xml:space="preserve">For information beyond usage, the customer would also need to complete </w:t>
      </w:r>
      <w:r w:rsidR="004D2EA5" w:rsidRPr="00C91354">
        <w:rPr>
          <w:sz w:val="26"/>
          <w:lang w:val="en-US"/>
        </w:rPr>
        <w:t>the “Authorization to Receive Customer Information or Act on a Customer’s Behalf</w:t>
      </w:r>
      <w:r w:rsidR="002F6CBC" w:rsidRPr="00C91354">
        <w:rPr>
          <w:sz w:val="26"/>
          <w:lang w:val="en-US"/>
        </w:rPr>
        <w:t>,</w:t>
      </w:r>
      <w:r w:rsidR="004D2EA5" w:rsidRPr="00C91354">
        <w:rPr>
          <w:sz w:val="26"/>
          <w:lang w:val="en-US"/>
        </w:rPr>
        <w:t>”</w:t>
      </w:r>
      <w:r w:rsidR="002F6CBC" w:rsidRPr="00C91354">
        <w:rPr>
          <w:sz w:val="26"/>
          <w:lang w:val="en-US"/>
        </w:rPr>
        <w:t xml:space="preserve"> which provides for access to additional customer information such as billing records.</w:t>
      </w:r>
      <w:r w:rsidR="00B53E93" w:rsidRPr="00C91354">
        <w:rPr>
          <w:sz w:val="26"/>
          <w:lang w:val="en-US"/>
        </w:rPr>
        <w:t xml:space="preserve"> SDG&amp;E states the proposed Form 180-100 can be used for both electric and gas customers.</w:t>
      </w:r>
      <w:r w:rsidR="00B53E93" w:rsidRPr="001F252C">
        <w:rPr>
          <w:rStyle w:val="FootnoteReference"/>
          <w:rFonts w:ascii="Palatino Linotype" w:hAnsi="Palatino Linotype"/>
          <w:lang w:val="en-US" w:eastAsia="en-US"/>
        </w:rPr>
        <w:footnoteReference w:id="9"/>
      </w:r>
      <w:r w:rsidR="00E118D9" w:rsidRPr="00C91354">
        <w:rPr>
          <w:sz w:val="26"/>
          <w:lang w:val="en-US"/>
        </w:rPr>
        <w:t xml:space="preserve">  The proposed new Rule 23 and proposed new Form 180-100 would apply to both gas and electric usage data.    </w:t>
      </w:r>
    </w:p>
    <w:p w:rsidR="009731DD" w:rsidRPr="00E118D9" w:rsidRDefault="00B53E93" w:rsidP="00C91354">
      <w:pPr>
        <w:pStyle w:val="FootnoteText"/>
        <w:spacing w:after="0"/>
        <w:rPr>
          <w:rFonts w:ascii="Palatino Linotype" w:hAnsi="Palatino Linotype"/>
        </w:rPr>
      </w:pPr>
      <w:r w:rsidRPr="00E118D9">
        <w:rPr>
          <w:rFonts w:ascii="Palatino Linotype" w:hAnsi="Palatino Linotype"/>
        </w:rPr>
        <w:t xml:space="preserve"> </w:t>
      </w:r>
    </w:p>
    <w:p w:rsidR="009731DD" w:rsidRPr="00E118D9" w:rsidRDefault="009731DD" w:rsidP="00C91354">
      <w:pPr>
        <w:pStyle w:val="FootnoteText"/>
        <w:numPr>
          <w:ilvl w:val="0"/>
          <w:numId w:val="12"/>
        </w:numPr>
        <w:spacing w:after="0"/>
        <w:rPr>
          <w:rFonts w:ascii="Palatino Linotype" w:hAnsi="Palatino Linotype"/>
        </w:rPr>
      </w:pPr>
      <w:r w:rsidRPr="00E118D9">
        <w:rPr>
          <w:rFonts w:ascii="Palatino Linotype" w:hAnsi="Palatino Linotype"/>
        </w:rPr>
        <w:t>SCE Advice Letter 2</w:t>
      </w:r>
      <w:r w:rsidR="002F6CBC" w:rsidRPr="00E118D9">
        <w:rPr>
          <w:rFonts w:ascii="Palatino Linotype" w:hAnsi="Palatino Linotype"/>
        </w:rPr>
        <w:t>819</w:t>
      </w:r>
      <w:r w:rsidRPr="00E118D9">
        <w:rPr>
          <w:rFonts w:ascii="Palatino Linotype" w:hAnsi="Palatino Linotype"/>
        </w:rPr>
        <w:t>-E</w:t>
      </w:r>
    </w:p>
    <w:p w:rsidR="009731DD" w:rsidRPr="00E118D9" w:rsidRDefault="009731DD" w:rsidP="009731DD">
      <w:pPr>
        <w:pStyle w:val="standard"/>
        <w:spacing w:line="240" w:lineRule="auto"/>
        <w:ind w:firstLine="0"/>
        <w:rPr>
          <w:rFonts w:ascii="Palatino Linotype" w:hAnsi="Palatino Linotype"/>
        </w:rPr>
      </w:pPr>
    </w:p>
    <w:p w:rsidR="004D2EA5" w:rsidRPr="00D14B54" w:rsidRDefault="00D80F77" w:rsidP="00D14B54">
      <w:pPr>
        <w:pStyle w:val="FootnoteText"/>
        <w:spacing w:after="0"/>
        <w:rPr>
          <w:sz w:val="26"/>
          <w:lang w:val="en-US"/>
        </w:rPr>
      </w:pPr>
      <w:r w:rsidRPr="00D14B54">
        <w:rPr>
          <w:sz w:val="26"/>
          <w:lang w:val="en-US"/>
        </w:rPr>
        <w:t xml:space="preserve">SCE proposes a new Rule 25 that </w:t>
      </w:r>
      <w:r w:rsidR="002F6CBC" w:rsidRPr="00D14B54">
        <w:rPr>
          <w:sz w:val="26"/>
          <w:lang w:val="en-US"/>
        </w:rPr>
        <w:t>follows Attachment D to D.11-07-056, with several modifications.</w:t>
      </w:r>
      <w:r w:rsidR="002F6CBC" w:rsidRPr="001F252C">
        <w:rPr>
          <w:rStyle w:val="FootnoteReference"/>
          <w:rFonts w:ascii="Palatino Linotype" w:hAnsi="Palatino Linotype"/>
          <w:lang w:val="en-US" w:eastAsia="en-US"/>
        </w:rPr>
        <w:footnoteReference w:id="10"/>
      </w:r>
      <w:r w:rsidR="002F6CBC" w:rsidRPr="001F252C">
        <w:rPr>
          <w:rStyle w:val="FootnoteReference"/>
          <w:rFonts w:ascii="Palatino Linotype" w:hAnsi="Palatino Linotype"/>
          <w:lang w:val="en-US" w:eastAsia="en-US"/>
        </w:rPr>
        <w:t xml:space="preserve"> </w:t>
      </w:r>
      <w:r w:rsidR="002F6CBC" w:rsidRPr="00D14B54">
        <w:rPr>
          <w:sz w:val="26"/>
          <w:lang w:val="en-US"/>
        </w:rPr>
        <w:t xml:space="preserve"> Notably, SCE has included an introductory section “clarifying the origins and need for the development” of the proposed Rule 25, adds a definition of “Usage Information” to section 1.e, expands section 6.c(1) “to note that SCE may disclose covered information without customer consent to a third party” governmental entity if ordered to do so by Commission Resolution, and adds indemnity language to section 9.f.</w:t>
      </w:r>
      <w:r w:rsidR="002F6CBC" w:rsidRPr="001F252C">
        <w:rPr>
          <w:rStyle w:val="FootnoteReference"/>
          <w:rFonts w:ascii="Palatino Linotype" w:hAnsi="Palatino Linotype"/>
          <w:lang w:val="en-US" w:eastAsia="en-US"/>
        </w:rPr>
        <w:footnoteReference w:id="11"/>
      </w:r>
      <w:r w:rsidRPr="001F252C">
        <w:rPr>
          <w:rStyle w:val="FootnoteReference"/>
          <w:rFonts w:ascii="Palatino Linotype" w:hAnsi="Palatino Linotype"/>
          <w:lang w:val="en-US" w:eastAsia="en-US"/>
        </w:rPr>
        <w:t xml:space="preserve"> </w:t>
      </w:r>
      <w:r w:rsidRPr="00D14B54">
        <w:rPr>
          <w:sz w:val="26"/>
          <w:lang w:val="en-US"/>
        </w:rPr>
        <w:t xml:space="preserve"> In addition, SCE proposes a</w:t>
      </w:r>
      <w:r w:rsidR="002F6CBC" w:rsidRPr="00D14B54">
        <w:rPr>
          <w:sz w:val="26"/>
          <w:lang w:val="en-US"/>
        </w:rPr>
        <w:t xml:space="preserve"> new </w:t>
      </w:r>
      <w:r w:rsidRPr="00D14B54">
        <w:rPr>
          <w:sz w:val="26"/>
          <w:lang w:val="en-US"/>
        </w:rPr>
        <w:t>Form 14-</w:t>
      </w:r>
      <w:r w:rsidR="002F6CBC" w:rsidRPr="00D14B54">
        <w:rPr>
          <w:sz w:val="26"/>
          <w:lang w:val="en-US"/>
        </w:rPr>
        <w:t>929</w:t>
      </w:r>
      <w:r w:rsidRPr="00D14B54">
        <w:rPr>
          <w:sz w:val="26"/>
          <w:lang w:val="en-US"/>
        </w:rPr>
        <w:t xml:space="preserve">, “Authorization or Revocation of Authorization to Receive Customer </w:t>
      </w:r>
      <w:r w:rsidR="002F6CBC" w:rsidRPr="00D14B54">
        <w:rPr>
          <w:sz w:val="26"/>
          <w:lang w:val="en-US"/>
        </w:rPr>
        <w:t xml:space="preserve">Interval Usage </w:t>
      </w:r>
      <w:r w:rsidRPr="00D14B54">
        <w:rPr>
          <w:sz w:val="26"/>
          <w:lang w:val="en-US"/>
        </w:rPr>
        <w:t>Information”; Form 14-</w:t>
      </w:r>
      <w:r w:rsidR="002F6CBC" w:rsidRPr="00D14B54">
        <w:rPr>
          <w:sz w:val="26"/>
          <w:lang w:val="en-US"/>
        </w:rPr>
        <w:t>929</w:t>
      </w:r>
      <w:r w:rsidRPr="00D14B54">
        <w:rPr>
          <w:sz w:val="26"/>
          <w:lang w:val="en-US"/>
        </w:rPr>
        <w:t xml:space="preserve"> is the form a customer signs when they authorize a third party to access their usage information.</w:t>
      </w:r>
      <w:r w:rsidR="002F6CBC" w:rsidRPr="00D14B54">
        <w:rPr>
          <w:sz w:val="26"/>
          <w:lang w:val="en-US"/>
        </w:rPr>
        <w:t xml:space="preserve">  For information beyond usage, the customer would also need to complete Form </w:t>
      </w:r>
      <w:r w:rsidR="00BD1D42" w:rsidRPr="00D14B54">
        <w:rPr>
          <w:sz w:val="26"/>
          <w:lang w:val="en-US"/>
        </w:rPr>
        <w:br/>
      </w:r>
      <w:r w:rsidR="002F6CBC" w:rsidRPr="00D14B54">
        <w:rPr>
          <w:sz w:val="26"/>
          <w:lang w:val="en-US"/>
        </w:rPr>
        <w:t>14-796, which provides for access to additional customer information such as billing records.</w:t>
      </w:r>
      <w:r w:rsidRPr="00D14B54">
        <w:rPr>
          <w:sz w:val="26"/>
          <w:lang w:val="en-US"/>
        </w:rPr>
        <w:t xml:space="preserve">  </w:t>
      </w:r>
      <w:r w:rsidR="0083677D" w:rsidRPr="00D14B54">
        <w:rPr>
          <w:sz w:val="26"/>
          <w:lang w:val="en-US"/>
        </w:rPr>
        <w:t xml:space="preserve">Finally, SCE proposes </w:t>
      </w:r>
      <w:r w:rsidR="007617C9" w:rsidRPr="00D14B54">
        <w:rPr>
          <w:sz w:val="26"/>
          <w:lang w:val="en-US"/>
        </w:rPr>
        <w:t>a modification</w:t>
      </w:r>
      <w:r w:rsidR="0083677D" w:rsidRPr="00D14B54">
        <w:rPr>
          <w:sz w:val="26"/>
          <w:lang w:val="en-US"/>
        </w:rPr>
        <w:t xml:space="preserve"> to Rule 9 t</w:t>
      </w:r>
      <w:r w:rsidR="004D2EA5" w:rsidRPr="00D14B54">
        <w:rPr>
          <w:sz w:val="26"/>
          <w:lang w:val="en-US"/>
        </w:rPr>
        <w:t>o add a</w:t>
      </w:r>
      <w:r w:rsidR="0083677D" w:rsidRPr="00D14B54">
        <w:rPr>
          <w:sz w:val="26"/>
          <w:lang w:val="en-US"/>
        </w:rPr>
        <w:t xml:space="preserve"> reference</w:t>
      </w:r>
      <w:r w:rsidR="004D2EA5" w:rsidRPr="00D14B54">
        <w:rPr>
          <w:sz w:val="26"/>
          <w:lang w:val="en-US"/>
        </w:rPr>
        <w:t xml:space="preserve"> to</w:t>
      </w:r>
      <w:r w:rsidR="0083677D" w:rsidRPr="00D14B54">
        <w:rPr>
          <w:sz w:val="26"/>
          <w:lang w:val="en-US"/>
        </w:rPr>
        <w:t xml:space="preserve"> proposed Rule 25.</w:t>
      </w:r>
      <w:r w:rsidR="0083677D" w:rsidRPr="001F252C">
        <w:rPr>
          <w:rStyle w:val="FootnoteReference"/>
          <w:rFonts w:ascii="Palatino Linotype" w:hAnsi="Palatino Linotype"/>
          <w:lang w:val="en-US" w:eastAsia="en-US"/>
        </w:rPr>
        <w:footnoteReference w:id="12"/>
      </w:r>
    </w:p>
    <w:p w:rsidR="00F964B2" w:rsidRPr="00D14B54" w:rsidRDefault="00F964B2" w:rsidP="00D14B54">
      <w:pPr>
        <w:pStyle w:val="FootnoteText"/>
        <w:spacing w:after="0"/>
        <w:rPr>
          <w:sz w:val="26"/>
          <w:lang w:val="en-US"/>
        </w:rPr>
      </w:pPr>
    </w:p>
    <w:p w:rsidR="00F964B2" w:rsidRPr="00D14B54" w:rsidRDefault="004D2EA5" w:rsidP="00D14B54">
      <w:pPr>
        <w:pStyle w:val="FootnoteText"/>
        <w:numPr>
          <w:ilvl w:val="0"/>
          <w:numId w:val="12"/>
        </w:numPr>
        <w:spacing w:after="0"/>
        <w:rPr>
          <w:sz w:val="26"/>
          <w:lang w:val="en-US"/>
        </w:rPr>
      </w:pPr>
      <w:r w:rsidRPr="00D14B54">
        <w:rPr>
          <w:sz w:val="26"/>
          <w:lang w:val="en-US"/>
        </w:rPr>
        <w:t>SoCal Gas</w:t>
      </w:r>
      <w:r w:rsidR="00F964B2" w:rsidRPr="00D14B54">
        <w:rPr>
          <w:sz w:val="26"/>
          <w:lang w:val="en-US"/>
        </w:rPr>
        <w:t xml:space="preserve"> Advice Letter </w:t>
      </w:r>
      <w:r w:rsidRPr="00D14B54">
        <w:rPr>
          <w:sz w:val="26"/>
          <w:lang w:val="en-US"/>
        </w:rPr>
        <w:t>4433-G</w:t>
      </w:r>
    </w:p>
    <w:p w:rsidR="004D2EA5" w:rsidRPr="00E118D9" w:rsidRDefault="004D2EA5" w:rsidP="004D2EA5">
      <w:pPr>
        <w:pStyle w:val="standard"/>
        <w:spacing w:line="240" w:lineRule="auto"/>
        <w:ind w:firstLine="0"/>
        <w:rPr>
          <w:rFonts w:ascii="Palatino Linotype" w:hAnsi="Palatino Linotype"/>
        </w:rPr>
      </w:pPr>
    </w:p>
    <w:p w:rsidR="004D2EA5" w:rsidRPr="004C139F" w:rsidRDefault="00D5153F" w:rsidP="004C139F">
      <w:pPr>
        <w:pStyle w:val="FootnoteText"/>
        <w:spacing w:after="0"/>
        <w:rPr>
          <w:sz w:val="26"/>
          <w:lang w:val="en-US"/>
        </w:rPr>
      </w:pPr>
      <w:r w:rsidRPr="004C139F">
        <w:rPr>
          <w:sz w:val="26"/>
          <w:lang w:val="en-US"/>
        </w:rPr>
        <w:t>SoCal Gas proposes a new Rule 42 based on Attachment A of D.12-08-045.  SoCal Gas states this rule “affirms that SoCal Gas and covered third party entities in possession of private and confidential customer data under contract with SoCal Gas shall keep such covered information and data confidential.”</w:t>
      </w:r>
      <w:r w:rsidRPr="001F252C">
        <w:rPr>
          <w:rStyle w:val="FootnoteReference"/>
          <w:rFonts w:ascii="Palatino Linotype" w:hAnsi="Palatino Linotype"/>
          <w:lang w:val="en-US" w:eastAsia="en-US"/>
        </w:rPr>
        <w:footnoteReference w:id="13"/>
      </w:r>
      <w:r w:rsidRPr="004C139F">
        <w:rPr>
          <w:sz w:val="26"/>
          <w:lang w:val="en-US"/>
        </w:rPr>
        <w:t xml:space="preserve">  </w:t>
      </w:r>
      <w:r w:rsidR="007617C9" w:rsidRPr="004C139F">
        <w:rPr>
          <w:sz w:val="26"/>
          <w:lang w:val="en-US"/>
        </w:rPr>
        <w:t>SoCal Gas also states that it has modified its proposed Rule 42 to address liability issues, as well as edits reflecting the timeframe for the rollout of its Advanced Metering Infrastructure.</w:t>
      </w:r>
      <w:r w:rsidR="007617C9" w:rsidRPr="001F252C">
        <w:rPr>
          <w:rStyle w:val="FootnoteReference"/>
          <w:rFonts w:ascii="Palatino Linotype" w:hAnsi="Palatino Linotype"/>
          <w:lang w:val="en-US" w:eastAsia="en-US"/>
        </w:rPr>
        <w:footnoteReference w:id="14"/>
      </w:r>
      <w:r w:rsidR="007617C9" w:rsidRPr="001F252C">
        <w:rPr>
          <w:rStyle w:val="FootnoteReference"/>
          <w:rFonts w:ascii="Palatino Linotype" w:hAnsi="Palatino Linotype"/>
          <w:lang w:val="en-US" w:eastAsia="en-US"/>
        </w:rPr>
        <w:t xml:space="preserve">  </w:t>
      </w:r>
      <w:r w:rsidR="007617C9" w:rsidRPr="004C139F">
        <w:rPr>
          <w:sz w:val="26"/>
          <w:lang w:val="en-US"/>
        </w:rPr>
        <w:t>Finally, SoCal Gas proposes a modification to Rule 12 to add a reference to proposed Rule 42.</w:t>
      </w:r>
      <w:r w:rsidR="007617C9" w:rsidRPr="001F252C">
        <w:rPr>
          <w:rStyle w:val="FootnoteReference"/>
          <w:rFonts w:ascii="Palatino Linotype" w:hAnsi="Palatino Linotype"/>
          <w:lang w:val="en-US" w:eastAsia="en-US"/>
        </w:rPr>
        <w:footnoteReference w:id="15"/>
      </w:r>
    </w:p>
    <w:p w:rsidR="004D2EA5" w:rsidRPr="004C139F" w:rsidRDefault="004D2EA5" w:rsidP="004C139F">
      <w:pPr>
        <w:pStyle w:val="FootnoteText"/>
        <w:spacing w:after="0"/>
        <w:rPr>
          <w:sz w:val="26"/>
          <w:lang w:val="en-US"/>
        </w:rPr>
      </w:pPr>
    </w:p>
    <w:p w:rsidR="004D2EA5" w:rsidRPr="004C139F" w:rsidRDefault="007617C9" w:rsidP="004C139F">
      <w:pPr>
        <w:pStyle w:val="FootnoteText"/>
        <w:numPr>
          <w:ilvl w:val="0"/>
          <w:numId w:val="12"/>
        </w:numPr>
        <w:spacing w:after="0"/>
        <w:rPr>
          <w:sz w:val="26"/>
          <w:lang w:val="en-US"/>
        </w:rPr>
      </w:pPr>
      <w:r w:rsidRPr="004C139F">
        <w:rPr>
          <w:sz w:val="26"/>
          <w:lang w:val="en-US"/>
        </w:rPr>
        <w:t>PG&amp;E Advice Letter 3349-G/4158-E</w:t>
      </w:r>
    </w:p>
    <w:p w:rsidR="00F964B2" w:rsidRPr="004C139F" w:rsidRDefault="00F964B2" w:rsidP="004C139F">
      <w:pPr>
        <w:pStyle w:val="FootnoteText"/>
        <w:spacing w:after="0"/>
        <w:rPr>
          <w:sz w:val="26"/>
          <w:lang w:val="en-US"/>
        </w:rPr>
      </w:pPr>
    </w:p>
    <w:p w:rsidR="00716AC9" w:rsidRPr="004C139F" w:rsidRDefault="00995BD8" w:rsidP="004C139F">
      <w:pPr>
        <w:pStyle w:val="FootnoteText"/>
        <w:spacing w:after="0"/>
        <w:rPr>
          <w:sz w:val="26"/>
          <w:lang w:val="en-US"/>
        </w:rPr>
      </w:pPr>
      <w:r w:rsidRPr="004C139F">
        <w:rPr>
          <w:sz w:val="26"/>
          <w:lang w:val="en-US"/>
        </w:rPr>
        <w:t xml:space="preserve">PG&amp;E proposes </w:t>
      </w:r>
      <w:r w:rsidR="007617C9" w:rsidRPr="004C139F">
        <w:rPr>
          <w:sz w:val="26"/>
          <w:lang w:val="en-US"/>
        </w:rPr>
        <w:t>a new Rule 27 based on Attachment D of</w:t>
      </w:r>
      <w:r w:rsidRPr="004C139F">
        <w:rPr>
          <w:sz w:val="26"/>
          <w:lang w:val="en-US"/>
        </w:rPr>
        <w:t xml:space="preserve"> D.11-07-056.  In addition, PG&amp;E proposes a </w:t>
      </w:r>
      <w:r w:rsidR="007617C9" w:rsidRPr="004C139F">
        <w:rPr>
          <w:sz w:val="26"/>
          <w:lang w:val="en-US"/>
        </w:rPr>
        <w:t>new</w:t>
      </w:r>
      <w:r w:rsidRPr="004C139F">
        <w:rPr>
          <w:sz w:val="26"/>
          <w:lang w:val="en-US"/>
        </w:rPr>
        <w:t xml:space="preserve"> Form 79-1</w:t>
      </w:r>
      <w:r w:rsidR="007617C9" w:rsidRPr="004C139F">
        <w:rPr>
          <w:sz w:val="26"/>
          <w:lang w:val="en-US"/>
        </w:rPr>
        <w:t>147</w:t>
      </w:r>
      <w:r w:rsidRPr="004C139F">
        <w:rPr>
          <w:sz w:val="26"/>
          <w:lang w:val="en-US"/>
        </w:rPr>
        <w:t xml:space="preserve">, “Authorization </w:t>
      </w:r>
      <w:r w:rsidR="007617C9" w:rsidRPr="004C139F">
        <w:rPr>
          <w:sz w:val="26"/>
          <w:lang w:val="en-US"/>
        </w:rPr>
        <w:t>or Revocation of Authorization to Receive Customer Usage Information</w:t>
      </w:r>
      <w:r w:rsidRPr="004C139F">
        <w:rPr>
          <w:sz w:val="26"/>
          <w:lang w:val="en-US"/>
        </w:rPr>
        <w:t>.</w:t>
      </w:r>
      <w:r w:rsidR="00E118D9" w:rsidRPr="004C139F">
        <w:rPr>
          <w:sz w:val="26"/>
          <w:lang w:val="en-US"/>
        </w:rPr>
        <w:t>”</w:t>
      </w:r>
      <w:r w:rsidR="007617C9" w:rsidRPr="001F252C">
        <w:rPr>
          <w:rStyle w:val="FootnoteReference"/>
          <w:rFonts w:ascii="Palatino Linotype" w:hAnsi="Palatino Linotype"/>
          <w:lang w:val="en-US" w:eastAsia="en-US"/>
        </w:rPr>
        <w:footnoteReference w:id="16"/>
      </w:r>
      <w:r w:rsidR="007617C9" w:rsidRPr="001F252C">
        <w:rPr>
          <w:rStyle w:val="FootnoteReference"/>
          <w:rFonts w:ascii="Palatino Linotype" w:hAnsi="Palatino Linotype"/>
          <w:lang w:val="en-US" w:eastAsia="en-US"/>
        </w:rPr>
        <w:t xml:space="preserve"> </w:t>
      </w:r>
      <w:r w:rsidR="007617C9" w:rsidRPr="004C139F">
        <w:rPr>
          <w:sz w:val="26"/>
          <w:lang w:val="en-US"/>
        </w:rPr>
        <w:t xml:space="preserve"> For information beyond usage, the customer would also need to complete Form 79-1095, which provides for access to additional customer information such as billing records.</w:t>
      </w:r>
      <w:r w:rsidR="00E118D9" w:rsidRPr="004C139F">
        <w:rPr>
          <w:sz w:val="26"/>
          <w:lang w:val="en-US"/>
        </w:rPr>
        <w:t xml:space="preserve">  The proposed new Rule 27 and proposed new Form 79-1147 would apply to both gas and electric usage data.</w:t>
      </w:r>
      <w:r w:rsidRPr="004C139F">
        <w:rPr>
          <w:sz w:val="26"/>
          <w:lang w:val="en-US"/>
        </w:rPr>
        <w:t xml:space="preserve">  </w:t>
      </w:r>
      <w:r w:rsidR="00716AC9" w:rsidRPr="004C139F">
        <w:rPr>
          <w:sz w:val="26"/>
          <w:lang w:val="en-US"/>
        </w:rPr>
        <w:t xml:space="preserve"> </w:t>
      </w:r>
      <w:r w:rsidR="008B6B89" w:rsidRPr="004C139F">
        <w:rPr>
          <w:sz w:val="26"/>
          <w:lang w:val="en-US"/>
        </w:rPr>
        <w:t xml:space="preserve"> </w:t>
      </w:r>
    </w:p>
    <w:p w:rsidR="00716AC9" w:rsidRPr="00F72FCB" w:rsidRDefault="00716AC9" w:rsidP="00F964B2">
      <w:pPr>
        <w:pStyle w:val="standard"/>
        <w:spacing w:line="240" w:lineRule="auto"/>
        <w:ind w:firstLine="0"/>
      </w:pPr>
    </w:p>
    <w:p w:rsidR="00CF17DE" w:rsidRPr="001C1256" w:rsidRDefault="00CF17DE" w:rsidP="001C1256">
      <w:pPr>
        <w:pStyle w:val="Heading1"/>
        <w:spacing w:before="0" w:after="120"/>
      </w:pPr>
      <w:r w:rsidRPr="001C1256">
        <w:t xml:space="preserve">Notice </w:t>
      </w:r>
    </w:p>
    <w:p w:rsidR="00CF17DE" w:rsidRDefault="00CF17DE" w:rsidP="004C139F">
      <w:pPr>
        <w:pStyle w:val="FootnoteText"/>
        <w:spacing w:after="0"/>
        <w:rPr>
          <w:sz w:val="26"/>
          <w:lang w:val="en-US"/>
        </w:rPr>
      </w:pPr>
      <w:r w:rsidRPr="004C139F">
        <w:rPr>
          <w:sz w:val="26"/>
          <w:lang w:val="en-US"/>
        </w:rPr>
        <w:t xml:space="preserve">Notice of </w:t>
      </w:r>
      <w:r w:rsidR="001630DF" w:rsidRPr="004C139F">
        <w:rPr>
          <w:sz w:val="26"/>
          <w:lang w:val="en-US"/>
        </w:rPr>
        <w:t xml:space="preserve">SDG&amp;E </w:t>
      </w:r>
      <w:r w:rsidR="008B6B89" w:rsidRPr="004C139F">
        <w:rPr>
          <w:sz w:val="26"/>
          <w:lang w:val="en-US"/>
        </w:rPr>
        <w:t xml:space="preserve">AL </w:t>
      </w:r>
      <w:r w:rsidR="00C412DE" w:rsidRPr="004C139F">
        <w:rPr>
          <w:sz w:val="26"/>
          <w:lang w:val="en-US"/>
        </w:rPr>
        <w:t>2428</w:t>
      </w:r>
      <w:r w:rsidR="008B6B89" w:rsidRPr="004C139F">
        <w:rPr>
          <w:sz w:val="26"/>
          <w:lang w:val="en-US"/>
        </w:rPr>
        <w:t>-E</w:t>
      </w:r>
      <w:r w:rsidR="00C412DE" w:rsidRPr="004C139F">
        <w:rPr>
          <w:sz w:val="26"/>
          <w:lang w:val="en-US"/>
        </w:rPr>
        <w:t>/2157-G</w:t>
      </w:r>
      <w:r w:rsidR="008B6B89" w:rsidRPr="004C139F">
        <w:rPr>
          <w:sz w:val="26"/>
          <w:lang w:val="en-US"/>
        </w:rPr>
        <w:t xml:space="preserve"> (U 902-E), </w:t>
      </w:r>
      <w:r w:rsidR="001630DF" w:rsidRPr="004C139F">
        <w:rPr>
          <w:sz w:val="26"/>
          <w:lang w:val="en-US"/>
        </w:rPr>
        <w:t xml:space="preserve">SCE </w:t>
      </w:r>
      <w:r w:rsidR="00C412DE" w:rsidRPr="004C139F">
        <w:rPr>
          <w:sz w:val="26"/>
          <w:lang w:val="en-US"/>
        </w:rPr>
        <w:t>AL 2819</w:t>
      </w:r>
      <w:r w:rsidR="008B6B89" w:rsidRPr="004C139F">
        <w:rPr>
          <w:sz w:val="26"/>
          <w:lang w:val="en-US"/>
        </w:rPr>
        <w:t>-E</w:t>
      </w:r>
      <w:r w:rsidR="00C8789E" w:rsidRPr="004C139F">
        <w:rPr>
          <w:sz w:val="26"/>
          <w:lang w:val="en-US"/>
        </w:rPr>
        <w:t xml:space="preserve"> (U 338-E)</w:t>
      </w:r>
      <w:r w:rsidR="008B6B89" w:rsidRPr="004C139F">
        <w:rPr>
          <w:sz w:val="26"/>
          <w:lang w:val="en-US"/>
        </w:rPr>
        <w:t>,</w:t>
      </w:r>
      <w:r w:rsidR="00C412DE" w:rsidRPr="004C139F">
        <w:rPr>
          <w:sz w:val="26"/>
          <w:lang w:val="en-US"/>
        </w:rPr>
        <w:t xml:space="preserve"> SoCal Gas AL 4433-G (U 904 G),</w:t>
      </w:r>
      <w:r w:rsidR="008B6B89" w:rsidRPr="004C139F">
        <w:rPr>
          <w:sz w:val="26"/>
          <w:lang w:val="en-US"/>
        </w:rPr>
        <w:t xml:space="preserve"> and </w:t>
      </w:r>
      <w:r w:rsidR="001630DF" w:rsidRPr="004C139F">
        <w:rPr>
          <w:sz w:val="26"/>
          <w:lang w:val="en-US"/>
        </w:rPr>
        <w:t xml:space="preserve">PG&amp;E </w:t>
      </w:r>
      <w:r w:rsidR="008B6B89" w:rsidRPr="004C139F">
        <w:rPr>
          <w:sz w:val="26"/>
          <w:lang w:val="en-US"/>
        </w:rPr>
        <w:t xml:space="preserve">AL </w:t>
      </w:r>
      <w:r w:rsidR="001630DF" w:rsidRPr="004C139F">
        <w:rPr>
          <w:sz w:val="26"/>
          <w:lang w:val="en-US"/>
        </w:rPr>
        <w:t>3</w:t>
      </w:r>
      <w:r w:rsidR="00C412DE" w:rsidRPr="004C139F">
        <w:rPr>
          <w:sz w:val="26"/>
          <w:lang w:val="en-US"/>
        </w:rPr>
        <w:t>349</w:t>
      </w:r>
      <w:r w:rsidR="001630DF" w:rsidRPr="004C139F">
        <w:rPr>
          <w:sz w:val="26"/>
          <w:lang w:val="en-US"/>
        </w:rPr>
        <w:t>-G/</w:t>
      </w:r>
      <w:r w:rsidR="00C412DE" w:rsidRPr="004C139F">
        <w:rPr>
          <w:sz w:val="26"/>
          <w:lang w:val="en-US"/>
        </w:rPr>
        <w:t>4158</w:t>
      </w:r>
      <w:r w:rsidR="008B6B89" w:rsidRPr="004C139F">
        <w:rPr>
          <w:sz w:val="26"/>
          <w:lang w:val="en-US"/>
        </w:rPr>
        <w:t>-E (U 39-E)</w:t>
      </w:r>
      <w:r w:rsidRPr="004C139F">
        <w:rPr>
          <w:sz w:val="26"/>
          <w:lang w:val="en-US"/>
        </w:rPr>
        <w:t xml:space="preserve"> was </w:t>
      </w:r>
      <w:r w:rsidR="00DC0CF8" w:rsidRPr="004C139F">
        <w:rPr>
          <w:sz w:val="26"/>
          <w:lang w:val="en-US"/>
        </w:rPr>
        <w:t>m</w:t>
      </w:r>
      <w:r w:rsidRPr="004C139F">
        <w:rPr>
          <w:sz w:val="26"/>
          <w:lang w:val="en-US"/>
        </w:rPr>
        <w:t xml:space="preserve">ade by publication in the </w:t>
      </w:r>
      <w:r w:rsidR="00A52ED5" w:rsidRPr="004C139F">
        <w:rPr>
          <w:sz w:val="26"/>
          <w:lang w:val="en-US"/>
        </w:rPr>
        <w:t>CPUC</w:t>
      </w:r>
      <w:r w:rsidRPr="004C139F">
        <w:rPr>
          <w:sz w:val="26"/>
          <w:lang w:val="en-US"/>
        </w:rPr>
        <w:t xml:space="preserve">’s Daily Calendar.  </w:t>
      </w:r>
      <w:r w:rsidR="008B6B89" w:rsidRPr="004C139F">
        <w:rPr>
          <w:sz w:val="26"/>
          <w:lang w:val="en-US"/>
        </w:rPr>
        <w:t xml:space="preserve">SDG&amp;E, </w:t>
      </w:r>
      <w:r w:rsidR="00C8789E" w:rsidRPr="004C139F">
        <w:rPr>
          <w:sz w:val="26"/>
          <w:lang w:val="en-US"/>
        </w:rPr>
        <w:t>SCE</w:t>
      </w:r>
      <w:r w:rsidR="00AA4637" w:rsidRPr="004C139F">
        <w:rPr>
          <w:sz w:val="26"/>
          <w:lang w:val="en-US"/>
        </w:rPr>
        <w:t>,</w:t>
      </w:r>
      <w:r w:rsidR="008B6B89" w:rsidRPr="004C139F">
        <w:rPr>
          <w:sz w:val="26"/>
          <w:lang w:val="en-US"/>
        </w:rPr>
        <w:t xml:space="preserve"> </w:t>
      </w:r>
      <w:r w:rsidR="00C412DE" w:rsidRPr="004C139F">
        <w:rPr>
          <w:sz w:val="26"/>
          <w:lang w:val="en-US"/>
        </w:rPr>
        <w:t xml:space="preserve">SoCal Gas, </w:t>
      </w:r>
      <w:r w:rsidR="008B6B89" w:rsidRPr="004C139F">
        <w:rPr>
          <w:sz w:val="26"/>
          <w:lang w:val="en-US"/>
        </w:rPr>
        <w:t>and PG&amp;E</w:t>
      </w:r>
      <w:r w:rsidRPr="004C139F">
        <w:rPr>
          <w:sz w:val="26"/>
          <w:lang w:val="en-US"/>
        </w:rPr>
        <w:t xml:space="preserve"> state that a copy of the Advice Letter was </w:t>
      </w:r>
      <w:r w:rsidR="00DC0CF8" w:rsidRPr="004C139F">
        <w:rPr>
          <w:sz w:val="26"/>
          <w:lang w:val="en-US"/>
        </w:rPr>
        <w:t>m</w:t>
      </w:r>
      <w:r w:rsidRPr="004C139F">
        <w:rPr>
          <w:sz w:val="26"/>
          <w:lang w:val="en-US"/>
        </w:rPr>
        <w:t xml:space="preserve">ailed and distributed in accordance with Section </w:t>
      </w:r>
      <w:r w:rsidR="008B6B89" w:rsidRPr="004C139F">
        <w:rPr>
          <w:sz w:val="26"/>
          <w:lang w:val="en-US"/>
        </w:rPr>
        <w:t>4</w:t>
      </w:r>
      <w:r w:rsidRPr="004C139F">
        <w:rPr>
          <w:sz w:val="26"/>
          <w:lang w:val="en-US"/>
        </w:rPr>
        <w:t xml:space="preserve"> of General Order 96-</w:t>
      </w:r>
      <w:r w:rsidR="00297BE7" w:rsidRPr="004C139F">
        <w:rPr>
          <w:sz w:val="26"/>
          <w:lang w:val="en-US"/>
        </w:rPr>
        <w:t>B</w:t>
      </w:r>
      <w:r w:rsidRPr="004C139F">
        <w:rPr>
          <w:sz w:val="26"/>
          <w:lang w:val="en-US"/>
        </w:rPr>
        <w:t xml:space="preserve">. </w:t>
      </w:r>
    </w:p>
    <w:p w:rsidR="001C1256" w:rsidRPr="004C139F" w:rsidRDefault="001C1256" w:rsidP="004C139F">
      <w:pPr>
        <w:pStyle w:val="FootnoteText"/>
        <w:spacing w:after="0"/>
        <w:rPr>
          <w:sz w:val="26"/>
          <w:lang w:val="en-US"/>
        </w:rPr>
      </w:pPr>
    </w:p>
    <w:p w:rsidR="001C1256" w:rsidRDefault="001C1256">
      <w:pPr>
        <w:rPr>
          <w:rFonts w:ascii="Helvetica" w:hAnsi="Helvetica"/>
          <w:b/>
          <w:caps/>
          <w:kern w:val="28"/>
          <w:u w:val="single"/>
        </w:rPr>
      </w:pPr>
      <w:r>
        <w:br w:type="page"/>
      </w:r>
    </w:p>
    <w:p w:rsidR="00CF17DE" w:rsidRPr="007B6C34" w:rsidRDefault="00CF17DE" w:rsidP="001C1256">
      <w:pPr>
        <w:pStyle w:val="Heading1"/>
        <w:spacing w:before="0" w:after="120"/>
        <w:rPr>
          <w:rFonts w:ascii="Palatino Linotype" w:hAnsi="Palatino Linotype"/>
          <w:bCs/>
        </w:rPr>
      </w:pPr>
      <w:r w:rsidRPr="001C1256">
        <w:t>Protests</w:t>
      </w:r>
    </w:p>
    <w:p w:rsidR="006F680D" w:rsidRDefault="008B6B89" w:rsidP="004C139F">
      <w:pPr>
        <w:pStyle w:val="FootnoteText"/>
        <w:spacing w:after="0"/>
        <w:rPr>
          <w:sz w:val="26"/>
          <w:lang w:val="en-US"/>
        </w:rPr>
      </w:pPr>
      <w:r w:rsidRPr="004C139F">
        <w:rPr>
          <w:sz w:val="26"/>
          <w:lang w:val="en-US"/>
        </w:rPr>
        <w:t xml:space="preserve">SDG&amp;E AL </w:t>
      </w:r>
      <w:r w:rsidR="00C412DE" w:rsidRPr="004C139F">
        <w:rPr>
          <w:sz w:val="26"/>
          <w:lang w:val="en-US"/>
        </w:rPr>
        <w:t>2428</w:t>
      </w:r>
      <w:r w:rsidRPr="004C139F">
        <w:rPr>
          <w:sz w:val="26"/>
          <w:lang w:val="en-US"/>
        </w:rPr>
        <w:t>-E</w:t>
      </w:r>
      <w:r w:rsidR="00C412DE" w:rsidRPr="004C139F">
        <w:rPr>
          <w:sz w:val="26"/>
          <w:lang w:val="en-US"/>
        </w:rPr>
        <w:t>/2157-G</w:t>
      </w:r>
      <w:r w:rsidRPr="004C139F">
        <w:rPr>
          <w:sz w:val="26"/>
          <w:lang w:val="en-US"/>
        </w:rPr>
        <w:t>, SCE</w:t>
      </w:r>
      <w:r w:rsidR="006F680D" w:rsidRPr="004C139F">
        <w:rPr>
          <w:sz w:val="26"/>
          <w:lang w:val="en-US"/>
        </w:rPr>
        <w:t xml:space="preserve"> AL </w:t>
      </w:r>
      <w:r w:rsidR="006608A0" w:rsidRPr="004C139F">
        <w:rPr>
          <w:sz w:val="26"/>
          <w:lang w:val="en-US"/>
        </w:rPr>
        <w:t>2</w:t>
      </w:r>
      <w:r w:rsidR="00C412DE" w:rsidRPr="004C139F">
        <w:rPr>
          <w:sz w:val="26"/>
          <w:lang w:val="en-US"/>
        </w:rPr>
        <w:t>819</w:t>
      </w:r>
      <w:r w:rsidR="006F680D" w:rsidRPr="004C139F">
        <w:rPr>
          <w:sz w:val="26"/>
          <w:lang w:val="en-US"/>
        </w:rPr>
        <w:t>-E</w:t>
      </w:r>
      <w:r w:rsidR="00C412DE" w:rsidRPr="004C139F">
        <w:rPr>
          <w:sz w:val="26"/>
          <w:lang w:val="en-US"/>
        </w:rPr>
        <w:t>, SoCal Gas AL 4433-G,</w:t>
      </w:r>
      <w:r w:rsidRPr="004C139F">
        <w:rPr>
          <w:sz w:val="26"/>
          <w:lang w:val="en-US"/>
        </w:rPr>
        <w:t xml:space="preserve"> and PG&amp;E </w:t>
      </w:r>
      <w:r w:rsidR="00BD1D42" w:rsidRPr="004C139F">
        <w:rPr>
          <w:sz w:val="26"/>
          <w:lang w:val="en-US"/>
        </w:rPr>
        <w:br/>
      </w:r>
      <w:r w:rsidRPr="004C139F">
        <w:rPr>
          <w:sz w:val="26"/>
          <w:lang w:val="en-US"/>
        </w:rPr>
        <w:t xml:space="preserve">AL </w:t>
      </w:r>
      <w:r w:rsidR="001630DF" w:rsidRPr="004C139F">
        <w:rPr>
          <w:sz w:val="26"/>
          <w:lang w:val="en-US"/>
        </w:rPr>
        <w:t>3</w:t>
      </w:r>
      <w:r w:rsidR="00C412DE" w:rsidRPr="004C139F">
        <w:rPr>
          <w:sz w:val="26"/>
          <w:lang w:val="en-US"/>
        </w:rPr>
        <w:t>349</w:t>
      </w:r>
      <w:r w:rsidR="001630DF" w:rsidRPr="004C139F">
        <w:rPr>
          <w:sz w:val="26"/>
          <w:lang w:val="en-US"/>
        </w:rPr>
        <w:t>-G/</w:t>
      </w:r>
      <w:r w:rsidR="00C412DE" w:rsidRPr="004C139F">
        <w:rPr>
          <w:sz w:val="26"/>
          <w:lang w:val="en-US"/>
        </w:rPr>
        <w:t>4158</w:t>
      </w:r>
      <w:r w:rsidRPr="004C139F">
        <w:rPr>
          <w:sz w:val="26"/>
          <w:lang w:val="en-US"/>
        </w:rPr>
        <w:t>-E</w:t>
      </w:r>
      <w:r w:rsidR="006F680D" w:rsidRPr="004C139F">
        <w:rPr>
          <w:sz w:val="26"/>
          <w:lang w:val="en-US"/>
        </w:rPr>
        <w:t xml:space="preserve"> was ti</w:t>
      </w:r>
      <w:r w:rsidR="00DC0CF8" w:rsidRPr="004C139F">
        <w:rPr>
          <w:sz w:val="26"/>
          <w:lang w:val="en-US"/>
        </w:rPr>
        <w:t>m</w:t>
      </w:r>
      <w:r w:rsidR="006F680D" w:rsidRPr="004C139F">
        <w:rPr>
          <w:sz w:val="26"/>
          <w:lang w:val="en-US"/>
        </w:rPr>
        <w:t xml:space="preserve">ely protested by </w:t>
      </w:r>
      <w:r w:rsidRPr="004C139F">
        <w:rPr>
          <w:sz w:val="26"/>
          <w:lang w:val="en-US"/>
        </w:rPr>
        <w:t>the</w:t>
      </w:r>
      <w:r w:rsidR="00C412DE" w:rsidRPr="004C139F">
        <w:rPr>
          <w:sz w:val="26"/>
          <w:lang w:val="en-US"/>
        </w:rPr>
        <w:t xml:space="preserve"> Alliance for Retail Energy Markets (AReM)</w:t>
      </w:r>
      <w:r w:rsidR="001630DF" w:rsidRPr="004C139F">
        <w:rPr>
          <w:sz w:val="26"/>
          <w:lang w:val="en-US"/>
        </w:rPr>
        <w:t>,</w:t>
      </w:r>
      <w:r w:rsidR="00C412DE" w:rsidRPr="004C139F">
        <w:rPr>
          <w:sz w:val="26"/>
          <w:lang w:val="en-US"/>
        </w:rPr>
        <w:t xml:space="preserve"> Direct Access Customer Coalition (DACC),</w:t>
      </w:r>
      <w:r w:rsidR="001630DF" w:rsidRPr="004C139F">
        <w:rPr>
          <w:sz w:val="26"/>
          <w:lang w:val="en-US"/>
        </w:rPr>
        <w:t xml:space="preserve"> School Project for Utility Rate Reduction (SPURR)</w:t>
      </w:r>
      <w:r w:rsidR="00C412DE" w:rsidRPr="004C139F">
        <w:rPr>
          <w:sz w:val="26"/>
          <w:lang w:val="en-US"/>
        </w:rPr>
        <w:t xml:space="preserve"> (collectively “AReM”)</w:t>
      </w:r>
      <w:r w:rsidR="001630DF" w:rsidRPr="004C139F">
        <w:rPr>
          <w:sz w:val="26"/>
          <w:lang w:val="en-US"/>
        </w:rPr>
        <w:t xml:space="preserve">, and EnerNOC </w:t>
      </w:r>
      <w:r w:rsidRPr="004C139F">
        <w:rPr>
          <w:sz w:val="26"/>
          <w:lang w:val="en-US"/>
        </w:rPr>
        <w:t xml:space="preserve">on </w:t>
      </w:r>
      <w:r w:rsidR="00C412DE" w:rsidRPr="004C139F">
        <w:rPr>
          <w:sz w:val="26"/>
          <w:lang w:val="en-US"/>
        </w:rPr>
        <w:t>December 26, 2012</w:t>
      </w:r>
      <w:r w:rsidR="00BB7522" w:rsidRPr="004C139F">
        <w:rPr>
          <w:sz w:val="26"/>
          <w:lang w:val="en-US"/>
        </w:rPr>
        <w:t>.</w:t>
      </w:r>
      <w:r w:rsidR="006F680D" w:rsidRPr="004C139F">
        <w:rPr>
          <w:sz w:val="26"/>
          <w:lang w:val="en-US"/>
        </w:rPr>
        <w:t xml:space="preserve"> </w:t>
      </w:r>
      <w:r w:rsidR="00C412DE" w:rsidRPr="004C139F">
        <w:rPr>
          <w:sz w:val="26"/>
          <w:lang w:val="en-US"/>
        </w:rPr>
        <w:t xml:space="preserve"> The City and County of San Francisco submitted a timely protest of PG&amp;E AL 3349-G/4158-E on December 26, 2012.</w:t>
      </w:r>
      <w:r w:rsidR="006F680D" w:rsidRPr="004C139F">
        <w:rPr>
          <w:sz w:val="26"/>
          <w:lang w:val="en-US"/>
        </w:rPr>
        <w:t xml:space="preserve"> </w:t>
      </w:r>
      <w:r w:rsidR="00C412DE" w:rsidRPr="004C139F">
        <w:rPr>
          <w:sz w:val="26"/>
          <w:lang w:val="en-US"/>
        </w:rPr>
        <w:t xml:space="preserve"> </w:t>
      </w:r>
      <w:r w:rsidRPr="004C139F">
        <w:rPr>
          <w:sz w:val="26"/>
          <w:lang w:val="en-US"/>
        </w:rPr>
        <w:t xml:space="preserve">SDG&amp;E, </w:t>
      </w:r>
      <w:r w:rsidR="006F680D" w:rsidRPr="004C139F">
        <w:rPr>
          <w:sz w:val="26"/>
          <w:lang w:val="en-US"/>
        </w:rPr>
        <w:t>SCE</w:t>
      </w:r>
      <w:r w:rsidR="00C412DE" w:rsidRPr="004C139F">
        <w:rPr>
          <w:sz w:val="26"/>
          <w:lang w:val="en-US"/>
        </w:rPr>
        <w:t>, SoCal Gas,</w:t>
      </w:r>
      <w:r w:rsidRPr="004C139F">
        <w:rPr>
          <w:sz w:val="26"/>
          <w:lang w:val="en-US"/>
        </w:rPr>
        <w:t xml:space="preserve"> and PG&amp;E</w:t>
      </w:r>
      <w:r w:rsidR="006F680D" w:rsidRPr="004C139F">
        <w:rPr>
          <w:sz w:val="26"/>
          <w:lang w:val="en-US"/>
        </w:rPr>
        <w:t xml:space="preserve"> responded to </w:t>
      </w:r>
      <w:r w:rsidR="001630DF" w:rsidRPr="004C139F">
        <w:rPr>
          <w:sz w:val="26"/>
          <w:lang w:val="en-US"/>
        </w:rPr>
        <w:t>the</w:t>
      </w:r>
      <w:r w:rsidR="006608A0" w:rsidRPr="004C139F">
        <w:rPr>
          <w:sz w:val="26"/>
          <w:lang w:val="en-US"/>
        </w:rPr>
        <w:t xml:space="preserve"> protest</w:t>
      </w:r>
      <w:r w:rsidR="001630DF" w:rsidRPr="004C139F">
        <w:rPr>
          <w:sz w:val="26"/>
          <w:lang w:val="en-US"/>
        </w:rPr>
        <w:t>s</w:t>
      </w:r>
      <w:r w:rsidR="006F680D" w:rsidRPr="004C139F">
        <w:rPr>
          <w:sz w:val="26"/>
          <w:lang w:val="en-US"/>
        </w:rPr>
        <w:t xml:space="preserve"> on </w:t>
      </w:r>
      <w:r w:rsidR="00C412DE" w:rsidRPr="004C139F">
        <w:rPr>
          <w:sz w:val="26"/>
          <w:lang w:val="en-US"/>
        </w:rPr>
        <w:t>January 10, 2013</w:t>
      </w:r>
      <w:r w:rsidR="006F680D" w:rsidRPr="004C139F">
        <w:rPr>
          <w:sz w:val="26"/>
          <w:lang w:val="en-US"/>
        </w:rPr>
        <w:t>.</w:t>
      </w:r>
    </w:p>
    <w:p w:rsidR="001C1256" w:rsidRPr="004C139F" w:rsidRDefault="001C1256" w:rsidP="004C139F">
      <w:pPr>
        <w:pStyle w:val="FootnoteText"/>
        <w:spacing w:after="0"/>
        <w:rPr>
          <w:sz w:val="26"/>
          <w:lang w:val="en-US"/>
        </w:rPr>
      </w:pPr>
    </w:p>
    <w:p w:rsidR="009F41FE" w:rsidRPr="001C1256" w:rsidRDefault="009F41FE" w:rsidP="001C1256">
      <w:pPr>
        <w:pStyle w:val="Heading1"/>
        <w:spacing w:before="0" w:after="120"/>
      </w:pPr>
      <w:r w:rsidRPr="001C1256">
        <w:t>SUMMARY OF Protests</w:t>
      </w:r>
    </w:p>
    <w:p w:rsidR="007549D4" w:rsidRPr="004C139F" w:rsidRDefault="007549D4" w:rsidP="004C139F">
      <w:pPr>
        <w:pStyle w:val="FootnoteText"/>
        <w:spacing w:after="0"/>
        <w:rPr>
          <w:sz w:val="26"/>
          <w:lang w:val="en-US"/>
        </w:rPr>
      </w:pPr>
      <w:r w:rsidRPr="004C139F">
        <w:t xml:space="preserve">AReM </w:t>
      </w:r>
      <w:r w:rsidR="00BA45FC" w:rsidRPr="004C139F">
        <w:t xml:space="preserve">protests </w:t>
      </w:r>
      <w:r w:rsidR="00360F5D" w:rsidRPr="004C139F">
        <w:t xml:space="preserve">both </w:t>
      </w:r>
      <w:r w:rsidR="00BA45FC" w:rsidRPr="004C139F">
        <w:t xml:space="preserve">the </w:t>
      </w:r>
      <w:r w:rsidR="00360F5D" w:rsidRPr="004C139F">
        <w:t xml:space="preserve">subject </w:t>
      </w:r>
      <w:r w:rsidR="00BA45FC" w:rsidRPr="004C139F">
        <w:t xml:space="preserve">filings </w:t>
      </w:r>
      <w:r w:rsidR="00360F5D" w:rsidRPr="004C139F">
        <w:t>and other advice letters filed in response to other orders in D.12-08-45.</w:t>
      </w:r>
      <w:r w:rsidR="00360F5D" w:rsidRPr="001F252C">
        <w:rPr>
          <w:rStyle w:val="FootnoteReference"/>
          <w:rFonts w:ascii="Palatino Linotype" w:hAnsi="Palatino Linotype"/>
          <w:sz w:val="26"/>
          <w:lang w:val="en-US" w:eastAsia="en-US"/>
        </w:rPr>
        <w:footnoteReference w:id="17"/>
      </w:r>
      <w:r w:rsidR="00360F5D" w:rsidRPr="004C139F">
        <w:t xml:space="preserve">  AReM </w:t>
      </w:r>
      <w:r w:rsidR="00BA45FC" w:rsidRPr="004C139F">
        <w:t>argues that the CISR forms proposed by the utilities are inconsistent and creates confusion by requiring the customer to sign two CISR forms: one for usage and one for billing and meter data.</w:t>
      </w:r>
      <w:r w:rsidR="00BA45FC" w:rsidRPr="001F252C">
        <w:rPr>
          <w:rStyle w:val="FootnoteReference"/>
          <w:rFonts w:ascii="Palatino Linotype" w:hAnsi="Palatino Linotype"/>
          <w:sz w:val="26"/>
          <w:lang w:val="en-US" w:eastAsia="en-US"/>
        </w:rPr>
        <w:footnoteReference w:id="18"/>
      </w:r>
      <w:r w:rsidR="00BA45FC" w:rsidRPr="004C139F">
        <w:t xml:space="preserve"> AReM also argues that the CISR forms do not “clearly establish an indefinite term as the default” for the duration of customer consent.</w:t>
      </w:r>
      <w:r w:rsidR="00BA45FC" w:rsidRPr="001F252C">
        <w:rPr>
          <w:rStyle w:val="FootnoteReference"/>
          <w:rFonts w:ascii="Palatino Linotype" w:hAnsi="Palatino Linotype"/>
          <w:sz w:val="26"/>
          <w:lang w:val="en-US" w:eastAsia="en-US"/>
        </w:rPr>
        <w:footnoteReference w:id="19"/>
      </w:r>
      <w:r w:rsidR="00BA45FC" w:rsidRPr="004C139F">
        <w:t xml:space="preserve">  Furthermore, AReM states that the CISR forms are not uniform enough across the three utilities, nor did the utilities provide for one authorization form that would apply across the utilities.</w:t>
      </w:r>
      <w:r w:rsidR="00BA45FC" w:rsidRPr="001F252C">
        <w:rPr>
          <w:rStyle w:val="FootnoteReference"/>
          <w:rFonts w:ascii="Palatino Linotype" w:hAnsi="Palatino Linotype"/>
          <w:sz w:val="26"/>
          <w:lang w:val="en-US" w:eastAsia="en-US"/>
        </w:rPr>
        <w:footnoteReference w:id="20"/>
      </w:r>
      <w:r w:rsidR="00BA45FC" w:rsidRPr="001F252C">
        <w:rPr>
          <w:rStyle w:val="FootnoteReference"/>
          <w:rFonts w:ascii="Palatino Linotype" w:hAnsi="Palatino Linotype"/>
          <w:sz w:val="26"/>
          <w:lang w:val="en-US" w:eastAsia="en-US"/>
        </w:rPr>
        <w:t xml:space="preserve"> </w:t>
      </w:r>
      <w:r w:rsidR="00BA45FC" w:rsidRPr="004C139F">
        <w:t xml:space="preserve"> In addition, AReM notes that SoCal Gas failed to submit a CISR form, so it is unable to determine to what extent SoCal Gas has a CISR form and whether it is consistent with the others.  AReM requests </w:t>
      </w:r>
      <w:r w:rsidR="00360F5D" w:rsidRPr="004C139F">
        <w:t xml:space="preserve">a </w:t>
      </w:r>
      <w:r w:rsidR="00BA45FC" w:rsidRPr="004C139F">
        <w:t>technical change to the proposed Rules</w:t>
      </w:r>
      <w:r w:rsidR="00B50F32" w:rsidRPr="004C139F">
        <w:t>;</w:t>
      </w:r>
      <w:r w:rsidR="00BA45FC" w:rsidRPr="004C139F">
        <w:t xml:space="preserve"> </w:t>
      </w:r>
      <w:r w:rsidR="00B50F32" w:rsidRPr="004C139F">
        <w:t>specifically,</w:t>
      </w:r>
      <w:r w:rsidR="00BA45FC" w:rsidRPr="004C139F">
        <w:t xml:space="preserve"> AReM requests that the rules be modified to explicitly state that the rules are not applicable to </w:t>
      </w:r>
      <w:r w:rsidR="004E123B" w:rsidRPr="004C139F">
        <w:t>Electric Service</w:t>
      </w:r>
      <w:r w:rsidR="004E123B">
        <w:rPr>
          <w:rFonts w:ascii="Palatino Linotype" w:hAnsi="Palatino Linotype"/>
        </w:rPr>
        <w:t xml:space="preserve"> </w:t>
      </w:r>
      <w:r w:rsidR="004E123B" w:rsidRPr="004C139F">
        <w:rPr>
          <w:sz w:val="26"/>
          <w:lang w:val="en-US"/>
        </w:rPr>
        <w:t>Providers (</w:t>
      </w:r>
      <w:r w:rsidR="00BA45FC" w:rsidRPr="004C139F">
        <w:rPr>
          <w:sz w:val="26"/>
          <w:lang w:val="en-US"/>
        </w:rPr>
        <w:t>ESP</w:t>
      </w:r>
      <w:r w:rsidR="004E123B" w:rsidRPr="004C139F">
        <w:rPr>
          <w:sz w:val="26"/>
          <w:lang w:val="en-US"/>
        </w:rPr>
        <w:t>)</w:t>
      </w:r>
      <w:r w:rsidR="00BA45FC" w:rsidRPr="004C139F">
        <w:rPr>
          <w:sz w:val="26"/>
          <w:lang w:val="en-US"/>
        </w:rPr>
        <w:t>.</w:t>
      </w:r>
      <w:r w:rsidR="00BA45FC" w:rsidRPr="001F252C">
        <w:rPr>
          <w:rStyle w:val="FootnoteReference"/>
          <w:rFonts w:ascii="Palatino Linotype" w:hAnsi="Palatino Linotype"/>
          <w:lang w:val="en-US" w:eastAsia="en-US"/>
        </w:rPr>
        <w:footnoteReference w:id="21"/>
      </w:r>
      <w:r w:rsidR="00BA45FC" w:rsidRPr="001F252C">
        <w:rPr>
          <w:rStyle w:val="FootnoteReference"/>
          <w:rFonts w:ascii="Palatino Linotype" w:hAnsi="Palatino Linotype"/>
          <w:lang w:val="en-US" w:eastAsia="en-US"/>
        </w:rPr>
        <w:t xml:space="preserve">  </w:t>
      </w:r>
      <w:r w:rsidR="00BA45FC" w:rsidRPr="004C139F">
        <w:rPr>
          <w:sz w:val="26"/>
          <w:lang w:val="en-US"/>
        </w:rPr>
        <w:t xml:space="preserve">AReM also </w:t>
      </w:r>
      <w:r w:rsidR="00FF336C" w:rsidRPr="004C139F">
        <w:rPr>
          <w:sz w:val="26"/>
          <w:lang w:val="en-US"/>
        </w:rPr>
        <w:t>requests the Commission to “encourage on-line authorization by customers” to release data to authorized third parties.</w:t>
      </w:r>
      <w:r w:rsidR="00FF336C" w:rsidRPr="001F252C">
        <w:rPr>
          <w:rStyle w:val="FootnoteReference"/>
          <w:rFonts w:ascii="Palatino Linotype" w:hAnsi="Palatino Linotype"/>
          <w:lang w:val="en-US" w:eastAsia="en-US"/>
        </w:rPr>
        <w:footnoteReference w:id="22"/>
      </w:r>
      <w:r w:rsidR="00202FCF" w:rsidRPr="001F252C">
        <w:rPr>
          <w:rStyle w:val="FootnoteReference"/>
          <w:rFonts w:ascii="Palatino Linotype" w:hAnsi="Palatino Linotype"/>
          <w:lang w:val="en-US" w:eastAsia="en-US"/>
        </w:rPr>
        <w:t xml:space="preserve"> </w:t>
      </w:r>
      <w:r w:rsidR="00202FCF" w:rsidRPr="004C139F">
        <w:rPr>
          <w:sz w:val="26"/>
          <w:lang w:val="en-US"/>
        </w:rPr>
        <w:t xml:space="preserve"> Finally, AReM requests a revision to the utilities’ ESP rules regarding the definition of “small commercial customers,” although this protest is actually made with respect to other advice letters that are not the subject of this Resolution.</w:t>
      </w:r>
      <w:r w:rsidR="00202FCF" w:rsidRPr="001F252C">
        <w:rPr>
          <w:rStyle w:val="FootnoteReference"/>
          <w:rFonts w:ascii="Palatino Linotype" w:hAnsi="Palatino Linotype"/>
          <w:lang w:val="en-US" w:eastAsia="en-US"/>
        </w:rPr>
        <w:footnoteReference w:id="23"/>
      </w:r>
      <w:r w:rsidR="00202FCF" w:rsidRPr="001F252C">
        <w:rPr>
          <w:rStyle w:val="FootnoteReference"/>
          <w:rFonts w:ascii="Palatino Linotype" w:hAnsi="Palatino Linotype"/>
          <w:lang w:val="en-US" w:eastAsia="en-US"/>
        </w:rPr>
        <w:t xml:space="preserve"> </w:t>
      </w:r>
    </w:p>
    <w:p w:rsidR="007549D4" w:rsidRPr="004C139F" w:rsidRDefault="007549D4" w:rsidP="004C139F">
      <w:pPr>
        <w:pStyle w:val="FootnoteText"/>
        <w:spacing w:after="0"/>
        <w:rPr>
          <w:sz w:val="26"/>
          <w:lang w:val="en-US"/>
        </w:rPr>
      </w:pPr>
    </w:p>
    <w:p w:rsidR="00B50F32" w:rsidRPr="004C139F" w:rsidRDefault="00B50F32" w:rsidP="004C139F">
      <w:pPr>
        <w:pStyle w:val="FootnoteText"/>
        <w:spacing w:after="0"/>
        <w:rPr>
          <w:sz w:val="26"/>
          <w:lang w:val="en-US"/>
        </w:rPr>
      </w:pPr>
      <w:r w:rsidRPr="004C139F">
        <w:rPr>
          <w:sz w:val="26"/>
          <w:lang w:val="en-US"/>
        </w:rPr>
        <w:t>EnerNOC protests the filings and states that the utilities introduced new language regarding “Usage Information” that is not defined in Attachment D or D.11-07-056 or D.12-08-045.</w:t>
      </w:r>
      <w:r w:rsidRPr="001F252C">
        <w:rPr>
          <w:rStyle w:val="FootnoteReference"/>
          <w:rFonts w:ascii="Palatino Linotype" w:hAnsi="Palatino Linotype"/>
          <w:lang w:val="en-US" w:eastAsia="en-US"/>
        </w:rPr>
        <w:footnoteReference w:id="24"/>
      </w:r>
      <w:r w:rsidRPr="004C139F">
        <w:rPr>
          <w:sz w:val="26"/>
          <w:lang w:val="en-US"/>
        </w:rPr>
        <w:t xml:space="preserve">  EnerNOC also protests language in the rules regarding termination of data access as it “does not provide a process by which the customer complain</w:t>
      </w:r>
      <w:r w:rsidR="002F1F3F" w:rsidRPr="004C139F">
        <w:rPr>
          <w:sz w:val="26"/>
          <w:lang w:val="en-US"/>
        </w:rPr>
        <w:t>t</w:t>
      </w:r>
      <w:r w:rsidRPr="004C139F">
        <w:rPr>
          <w:sz w:val="26"/>
          <w:lang w:val="en-US"/>
        </w:rPr>
        <w:t xml:space="preserve"> is received and the customer’s request to rescind data access to the third party is effectuated.”</w:t>
      </w:r>
      <w:r w:rsidRPr="001F252C">
        <w:rPr>
          <w:rStyle w:val="FootnoteReference"/>
          <w:rFonts w:ascii="Palatino Linotype" w:hAnsi="Palatino Linotype"/>
          <w:lang w:val="en-US" w:eastAsia="en-US"/>
        </w:rPr>
        <w:footnoteReference w:id="25"/>
      </w:r>
      <w:r w:rsidRPr="001F252C">
        <w:rPr>
          <w:rStyle w:val="FootnoteReference"/>
          <w:rFonts w:ascii="Palatino Linotype" w:hAnsi="Palatino Linotype"/>
          <w:lang w:val="en-US" w:eastAsia="en-US"/>
        </w:rPr>
        <w:t xml:space="preserve"> </w:t>
      </w:r>
      <w:r w:rsidRPr="004C139F">
        <w:rPr>
          <w:sz w:val="26"/>
          <w:lang w:val="en-US"/>
        </w:rPr>
        <w:t xml:space="preserve"> EnerNOC is concerned that without an identified process, “allegations of wrong doing by an authorized third party can be made without support, without notice and without an opportunity for the third party to respond and address the charge.”</w:t>
      </w:r>
      <w:r w:rsidRPr="001F252C">
        <w:rPr>
          <w:rStyle w:val="FootnoteReference"/>
          <w:rFonts w:ascii="Palatino Linotype" w:hAnsi="Palatino Linotype"/>
          <w:lang w:val="en-US" w:eastAsia="en-US"/>
        </w:rPr>
        <w:footnoteReference w:id="26"/>
      </w:r>
      <w:r w:rsidRPr="004C139F">
        <w:rPr>
          <w:sz w:val="26"/>
          <w:lang w:val="en-US"/>
        </w:rPr>
        <w:t xml:space="preserve">  Finally, EnerNOC also protests the proposed CISR forms as being confusing and inefficient to implement.  EnerNOC argues that having one CISR form for customer usage information and another CISR form for billing information may be “confusing and frustrating for customers.”  EnerNOC, instead, suggests the CISR forms be combined, and the Commission should consider how to encourage the use of electronic access and electronic signatures.</w:t>
      </w:r>
      <w:r w:rsidRPr="001F252C">
        <w:rPr>
          <w:rStyle w:val="FootnoteReference"/>
          <w:rFonts w:ascii="Palatino Linotype" w:hAnsi="Palatino Linotype"/>
          <w:lang w:val="en-US" w:eastAsia="en-US"/>
        </w:rPr>
        <w:footnoteReference w:id="27"/>
      </w:r>
      <w:r w:rsidRPr="001F252C">
        <w:rPr>
          <w:rStyle w:val="FootnoteReference"/>
          <w:rFonts w:ascii="Palatino Linotype" w:hAnsi="Palatino Linotype"/>
          <w:lang w:val="en-US" w:eastAsia="en-US"/>
        </w:rPr>
        <w:t xml:space="preserve"> </w:t>
      </w:r>
    </w:p>
    <w:p w:rsidR="00C52F8E" w:rsidRDefault="00C52F8E" w:rsidP="003C4DC1">
      <w:pPr>
        <w:rPr>
          <w:rFonts w:ascii="Palatino Linotype" w:hAnsi="Palatino Linotype"/>
        </w:rPr>
      </w:pPr>
    </w:p>
    <w:p w:rsidR="00C52F8E" w:rsidRPr="00C91354" w:rsidRDefault="008D4BB4" w:rsidP="004C139F">
      <w:pPr>
        <w:pStyle w:val="FootnoteText"/>
        <w:spacing w:after="0"/>
        <w:rPr>
          <w:sz w:val="26"/>
          <w:lang w:val="en-US"/>
        </w:rPr>
      </w:pPr>
      <w:r w:rsidRPr="00C91354">
        <w:rPr>
          <w:sz w:val="26"/>
          <w:lang w:val="en-US"/>
        </w:rPr>
        <w:t>City of San Francisco protests PG&amp;E’s Advice Letter and argues that PG&amp;E inappropriately expands the proposed rule to limit its liability beyond that expected by the Commission.</w:t>
      </w:r>
      <w:r w:rsidRPr="001F252C">
        <w:rPr>
          <w:rStyle w:val="FootnoteReference"/>
          <w:rFonts w:ascii="Palatino Linotype" w:hAnsi="Palatino Linotype"/>
          <w:lang w:val="en-US" w:eastAsia="en-US"/>
        </w:rPr>
        <w:footnoteReference w:id="28"/>
      </w:r>
      <w:r w:rsidRPr="00C91354">
        <w:rPr>
          <w:sz w:val="26"/>
          <w:lang w:val="en-US"/>
        </w:rPr>
        <w:t xml:space="preserve">  According to the City of San Francisco, PG&amp;E’s revised section 9(f) adds to its liability protection due to “legal process,” which was not included in the Attachment D of D.11-07-056.  In addition, City of San Francisco argues that edits to section 9(f) further protects PG&amp;E from “liability when PG&amp;E is providing energy usage data to third parties in response to legal process or even when PG&amp;E has been grossly negligent.”</w:t>
      </w:r>
      <w:r w:rsidRPr="001F252C">
        <w:rPr>
          <w:rStyle w:val="FootnoteReference"/>
          <w:rFonts w:ascii="Palatino Linotype" w:hAnsi="Palatino Linotype"/>
          <w:lang w:val="en-US" w:eastAsia="en-US"/>
        </w:rPr>
        <w:footnoteReference w:id="29"/>
      </w:r>
      <w:r w:rsidRPr="00C91354">
        <w:rPr>
          <w:sz w:val="26"/>
          <w:lang w:val="en-US"/>
        </w:rPr>
        <w:t xml:space="preserve">  Finally, City of San Francisco states that PG&amp;E’s proposed new Form 79-1147 also provides PG&amp;E extra liability protection that was not authorized by the Commission.</w:t>
      </w:r>
      <w:r w:rsidRPr="001F252C">
        <w:rPr>
          <w:rStyle w:val="FootnoteReference"/>
          <w:rFonts w:ascii="Palatino Linotype" w:hAnsi="Palatino Linotype"/>
          <w:lang w:val="en-US" w:eastAsia="en-US"/>
        </w:rPr>
        <w:footnoteReference w:id="30"/>
      </w:r>
      <w:r w:rsidRPr="00C91354">
        <w:rPr>
          <w:sz w:val="26"/>
          <w:lang w:val="en-US"/>
        </w:rPr>
        <w:t xml:space="preserve"> City of San Francisco argues that “PG&amp;E is attempting to use [Form 79-1147] to require those customers to both release and indemnify PG&amp;E for PG&amp;E’s own wrongful conduct when acting pursuant to that consent or revocation.”</w:t>
      </w:r>
      <w:r w:rsidRPr="001F252C">
        <w:rPr>
          <w:rStyle w:val="FootnoteReference"/>
          <w:rFonts w:ascii="Palatino Linotype" w:hAnsi="Palatino Linotype"/>
          <w:lang w:val="en-US" w:eastAsia="en-US"/>
        </w:rPr>
        <w:footnoteReference w:id="31"/>
      </w:r>
      <w:r w:rsidRPr="00C91354">
        <w:rPr>
          <w:sz w:val="26"/>
          <w:lang w:val="en-US"/>
        </w:rPr>
        <w:t xml:space="preserve">  City of San Francisco requests that the Commission reject PG&amp;E’s Advice Letters or PG&amp;E agrees to remove section 9(f) and related indem</w:t>
      </w:r>
      <w:r w:rsidR="00097F30" w:rsidRPr="00C91354">
        <w:rPr>
          <w:sz w:val="26"/>
          <w:lang w:val="en-US"/>
        </w:rPr>
        <w:t>nification language from its rule and proposed Form 79-1147.</w:t>
      </w:r>
      <w:r w:rsidR="00097F30" w:rsidRPr="001F252C">
        <w:rPr>
          <w:rStyle w:val="FootnoteReference"/>
          <w:rFonts w:ascii="Palatino Linotype" w:hAnsi="Palatino Linotype"/>
          <w:lang w:val="en-US" w:eastAsia="en-US"/>
        </w:rPr>
        <w:footnoteReference w:id="32"/>
      </w:r>
    </w:p>
    <w:p w:rsidR="00B50F32" w:rsidRDefault="00B50F32" w:rsidP="003C4DC1">
      <w:pPr>
        <w:rPr>
          <w:rFonts w:ascii="Palatino Linotype" w:hAnsi="Palatino Linotype"/>
        </w:rPr>
      </w:pPr>
    </w:p>
    <w:p w:rsidR="00962581" w:rsidRPr="001C1256" w:rsidRDefault="00962581" w:rsidP="001C1256">
      <w:pPr>
        <w:pStyle w:val="Heading1"/>
        <w:spacing w:before="0" w:after="120"/>
      </w:pPr>
      <w:r w:rsidRPr="001C1256">
        <w:t>SUMMARY OF UTILITY RESPONSES</w:t>
      </w:r>
    </w:p>
    <w:p w:rsidR="00AB32CD" w:rsidRPr="004C139F" w:rsidRDefault="00014B65" w:rsidP="004C139F">
      <w:pPr>
        <w:pStyle w:val="FootnoteText"/>
        <w:spacing w:after="0"/>
        <w:rPr>
          <w:sz w:val="26"/>
          <w:lang w:val="en-US"/>
        </w:rPr>
      </w:pPr>
      <w:r w:rsidRPr="004C139F">
        <w:rPr>
          <w:sz w:val="26"/>
          <w:lang w:val="en-US"/>
        </w:rPr>
        <w:t>SDG&amp;E’s replies t</w:t>
      </w:r>
      <w:r w:rsidR="00BE7486" w:rsidRPr="004C139F">
        <w:rPr>
          <w:sz w:val="26"/>
          <w:lang w:val="en-US"/>
        </w:rPr>
        <w:t>hat its new Form 180-100 CISR is for instances where the customer merely wants to share usage information, and notes that this form only requires the signature of the customer, whereas the longer CISR form requires signatures from both the customer and third party.</w:t>
      </w:r>
      <w:r w:rsidR="00BE7486" w:rsidRPr="001C1256">
        <w:rPr>
          <w:rStyle w:val="FootnoteReference"/>
          <w:rFonts w:ascii="Palatino Linotype" w:hAnsi="Palatino Linotype"/>
          <w:lang w:val="en-US" w:eastAsia="en-US"/>
        </w:rPr>
        <w:footnoteReference w:id="33"/>
      </w:r>
      <w:r w:rsidR="00BE7486" w:rsidRPr="001C1256">
        <w:rPr>
          <w:rStyle w:val="FootnoteReference"/>
          <w:rFonts w:ascii="Palatino Linotype" w:hAnsi="Palatino Linotype"/>
          <w:lang w:val="en-US" w:eastAsia="en-US"/>
        </w:rPr>
        <w:t xml:space="preserve"> </w:t>
      </w:r>
      <w:r w:rsidR="00BE7486" w:rsidRPr="004C139F">
        <w:rPr>
          <w:sz w:val="26"/>
          <w:lang w:val="en-US"/>
        </w:rPr>
        <w:t xml:space="preserve"> Additionally, the longer CISR form can also be used to authorize the sharing of usage information and billing data; Form 180-100 is for usage only.  SDG&amp;E also states that the duration of consent language was reached as a result of discussions held in an October 2012 workshop, and adequately represents the consensus reached in that workshop.</w:t>
      </w:r>
      <w:r w:rsidR="008134F1" w:rsidRPr="001C1256">
        <w:rPr>
          <w:rStyle w:val="FootnoteReference"/>
          <w:rFonts w:ascii="Palatino Linotype" w:hAnsi="Palatino Linotype"/>
          <w:lang w:val="en-US" w:eastAsia="en-US"/>
        </w:rPr>
        <w:footnoteReference w:id="34"/>
      </w:r>
      <w:r w:rsidR="00BE7486" w:rsidRPr="004C139F">
        <w:rPr>
          <w:sz w:val="26"/>
          <w:lang w:val="en-US"/>
        </w:rPr>
        <w:t xml:space="preserve">  SDG&amp;E further responds that </w:t>
      </w:r>
      <w:r w:rsidR="008134F1" w:rsidRPr="004C139F">
        <w:rPr>
          <w:sz w:val="26"/>
          <w:lang w:val="en-US"/>
        </w:rPr>
        <w:t>its pending application (A.12-03-003) to authorize access to utility backhaul data will address several concerns regarding electronic authorization, termination of third party access, and ability to choose multiple third parties at once.</w:t>
      </w:r>
      <w:r w:rsidR="008134F1" w:rsidRPr="001C1256">
        <w:rPr>
          <w:rStyle w:val="FootnoteReference"/>
          <w:rFonts w:ascii="Palatino Linotype" w:hAnsi="Palatino Linotype"/>
          <w:lang w:val="en-US" w:eastAsia="en-US"/>
        </w:rPr>
        <w:footnoteReference w:id="35"/>
      </w:r>
      <w:r w:rsidR="008134F1" w:rsidRPr="004C139F">
        <w:rPr>
          <w:sz w:val="26"/>
          <w:lang w:val="en-US"/>
        </w:rPr>
        <w:t xml:space="preserve">  SDG&amp;E also responds that its use of “personal information” and “personal electricity usage data” because “these terms add clarity and are required for SDG&amp;E’s overall privacy policies and procedures,” and is “more meaningful to customers.”</w:t>
      </w:r>
      <w:r w:rsidR="008134F1" w:rsidRPr="001C1256">
        <w:rPr>
          <w:rStyle w:val="FootnoteReference"/>
          <w:rFonts w:ascii="Palatino Linotype" w:hAnsi="Palatino Linotype"/>
          <w:lang w:val="en-US" w:eastAsia="en-US"/>
        </w:rPr>
        <w:footnoteReference w:id="36"/>
      </w:r>
      <w:r w:rsidR="008134F1" w:rsidRPr="004C139F">
        <w:rPr>
          <w:sz w:val="26"/>
          <w:lang w:val="en-US"/>
        </w:rPr>
        <w:t xml:space="preserve">  SDG&amp;E notes that </w:t>
      </w:r>
      <w:r w:rsidR="00BD1D42" w:rsidRPr="004C139F">
        <w:rPr>
          <w:sz w:val="26"/>
          <w:lang w:val="en-US"/>
        </w:rPr>
        <w:br/>
      </w:r>
      <w:r w:rsidR="008134F1" w:rsidRPr="004C139F">
        <w:rPr>
          <w:sz w:val="26"/>
          <w:lang w:val="en-US"/>
        </w:rPr>
        <w:t>D.11-07-056 is not the only privacy laws to which it is bound.  Finally, SDG&amp;E notes that D.12-08-045 also applies to ESPs, and it would be “wrong for SDG&amp;E to state in its proposed Rule 33 that ESPs are not covered entities included in the data privacy rules”</w:t>
      </w:r>
      <w:r w:rsidR="008134F1" w:rsidRPr="001C1256">
        <w:rPr>
          <w:rStyle w:val="FootnoteReference"/>
          <w:rFonts w:ascii="Palatino Linotype" w:hAnsi="Palatino Linotype"/>
          <w:lang w:val="en-US" w:eastAsia="en-US"/>
        </w:rPr>
        <w:footnoteReference w:id="37"/>
      </w:r>
      <w:r w:rsidR="008134F1" w:rsidRPr="004C139F">
        <w:rPr>
          <w:sz w:val="26"/>
          <w:lang w:val="en-US"/>
        </w:rPr>
        <w:t>; however, SDG&amp;E does agree to modify its Electric Rule 25 regarding a definition of “Small Commercial Customer” upon Commission adoption of the definition in R.07-05-025.</w:t>
      </w:r>
      <w:r w:rsidR="008134F1" w:rsidRPr="001C1256">
        <w:rPr>
          <w:rStyle w:val="FootnoteReference"/>
          <w:rFonts w:ascii="Palatino Linotype" w:hAnsi="Palatino Linotype"/>
          <w:lang w:val="en-US" w:eastAsia="en-US"/>
        </w:rPr>
        <w:footnoteReference w:id="38"/>
      </w:r>
    </w:p>
    <w:p w:rsidR="00CF211D" w:rsidRPr="004C139F" w:rsidRDefault="00CF211D" w:rsidP="004C139F">
      <w:pPr>
        <w:pStyle w:val="FootnoteText"/>
        <w:spacing w:after="0"/>
        <w:rPr>
          <w:sz w:val="26"/>
          <w:lang w:val="en-US"/>
        </w:rPr>
      </w:pPr>
    </w:p>
    <w:p w:rsidR="00F872AE" w:rsidRPr="004C139F" w:rsidRDefault="00062CC0" w:rsidP="004C139F">
      <w:pPr>
        <w:pStyle w:val="FootnoteText"/>
        <w:spacing w:after="0"/>
        <w:rPr>
          <w:sz w:val="26"/>
          <w:lang w:val="en-US"/>
        </w:rPr>
      </w:pPr>
      <w:r w:rsidRPr="004C139F">
        <w:rPr>
          <w:sz w:val="26"/>
          <w:lang w:val="en-US"/>
        </w:rPr>
        <w:t xml:space="preserve">In its reply, SCE </w:t>
      </w:r>
      <w:r w:rsidR="00994F27" w:rsidRPr="004C139F">
        <w:rPr>
          <w:sz w:val="26"/>
          <w:lang w:val="en-US"/>
        </w:rPr>
        <w:t>also states that the new Form 14-929 is for instances where the customer authorizes access only to usage information; should the customer authorize access to usage and other information, such as billing data, the customer can authorize the existing CISR Form 14-796.</w:t>
      </w:r>
      <w:r w:rsidR="00994F27" w:rsidRPr="001C1256">
        <w:rPr>
          <w:rStyle w:val="FootnoteReference"/>
          <w:rFonts w:ascii="Palatino Linotype" w:hAnsi="Palatino Linotype"/>
          <w:lang w:val="en-US" w:eastAsia="en-US"/>
        </w:rPr>
        <w:footnoteReference w:id="39"/>
      </w:r>
      <w:r w:rsidR="00994F27" w:rsidRPr="001C1256">
        <w:rPr>
          <w:rStyle w:val="FootnoteReference"/>
          <w:rFonts w:ascii="Palatino Linotype" w:hAnsi="Palatino Linotype"/>
          <w:lang w:val="en-US" w:eastAsia="en-US"/>
        </w:rPr>
        <w:t xml:space="preserve"> </w:t>
      </w:r>
      <w:r w:rsidR="00994F27" w:rsidRPr="004C139F">
        <w:rPr>
          <w:sz w:val="26"/>
          <w:lang w:val="en-US"/>
        </w:rPr>
        <w:t xml:space="preserve"> Regarding the duration of authorization, SCE notes that its language is consistent with the consensus reached in the October 2012 workshop and that customers should retain the option for either a specific authorization period or an indefinite authorization period.</w:t>
      </w:r>
      <w:r w:rsidR="00994F27" w:rsidRPr="001C1256">
        <w:rPr>
          <w:rStyle w:val="FootnoteReference"/>
          <w:rFonts w:ascii="Palatino Linotype" w:hAnsi="Palatino Linotype"/>
          <w:lang w:val="en-US" w:eastAsia="en-US"/>
        </w:rPr>
        <w:footnoteReference w:id="40"/>
      </w:r>
      <w:r w:rsidR="00F31E30" w:rsidRPr="004C139F">
        <w:rPr>
          <w:sz w:val="26"/>
          <w:lang w:val="en-US"/>
        </w:rPr>
        <w:t xml:space="preserve">  SCE disagrees with AReM that its rules should not identify ESPs as being covered under the privacy rules as inconsistent with D.12-08-045.</w:t>
      </w:r>
      <w:r w:rsidR="00F31E30" w:rsidRPr="001C1256">
        <w:rPr>
          <w:rStyle w:val="FootnoteReference"/>
          <w:rFonts w:ascii="Palatino Linotype" w:hAnsi="Palatino Linotype"/>
          <w:lang w:val="en-US" w:eastAsia="en-US"/>
        </w:rPr>
        <w:footnoteReference w:id="41"/>
      </w:r>
      <w:r w:rsidR="00F31E30" w:rsidRPr="004C139F">
        <w:rPr>
          <w:sz w:val="26"/>
          <w:lang w:val="en-US"/>
        </w:rPr>
        <w:t xml:space="preserve">  SCE defends the use of the terms “Usage Information,” “Personal Information,” and “Personal Electricity Usage Data” as more appropriate terms considering the other </w:t>
      </w:r>
      <w:r w:rsidR="00BC6BB4" w:rsidRPr="004C139F">
        <w:rPr>
          <w:sz w:val="26"/>
          <w:lang w:val="en-US"/>
        </w:rPr>
        <w:t>rules in place regarding data and data privacy, and the historical use of terms in existing Forms and rules.</w:t>
      </w:r>
      <w:r w:rsidR="00BC6BB4" w:rsidRPr="001C1256">
        <w:rPr>
          <w:rStyle w:val="FootnoteReference"/>
          <w:rFonts w:ascii="Palatino Linotype" w:hAnsi="Palatino Linotype"/>
          <w:lang w:val="en-US" w:eastAsia="en-US"/>
        </w:rPr>
        <w:footnoteReference w:id="42"/>
      </w:r>
      <w:r w:rsidR="00BC6BB4" w:rsidRPr="001C1256">
        <w:rPr>
          <w:rStyle w:val="FootnoteReference"/>
          <w:rFonts w:ascii="Palatino Linotype" w:hAnsi="Palatino Linotype"/>
          <w:lang w:val="en-US" w:eastAsia="en-US"/>
        </w:rPr>
        <w:t xml:space="preserve"> </w:t>
      </w:r>
      <w:r w:rsidR="00BC6BB4" w:rsidRPr="004C139F">
        <w:rPr>
          <w:sz w:val="26"/>
          <w:lang w:val="en-US"/>
        </w:rPr>
        <w:t xml:space="preserve"> Additionally, SCE argues that its clarification will “be more meaningful to most customers” rather that the use of other technical terms.</w:t>
      </w:r>
      <w:r w:rsidR="00BC6BB4" w:rsidRPr="001C1256">
        <w:rPr>
          <w:rStyle w:val="FootnoteReference"/>
          <w:rFonts w:ascii="Palatino Linotype" w:hAnsi="Palatino Linotype"/>
          <w:lang w:val="en-US" w:eastAsia="en-US"/>
        </w:rPr>
        <w:footnoteReference w:id="43"/>
      </w:r>
      <w:r w:rsidR="00BC6BB4" w:rsidRPr="001C1256">
        <w:rPr>
          <w:rStyle w:val="FootnoteReference"/>
          <w:rFonts w:ascii="Palatino Linotype" w:hAnsi="Palatino Linotype"/>
          <w:lang w:val="en-US" w:eastAsia="en-US"/>
        </w:rPr>
        <w:t xml:space="preserve"> </w:t>
      </w:r>
      <w:r w:rsidR="00BC6BB4" w:rsidRPr="004C139F">
        <w:rPr>
          <w:sz w:val="26"/>
          <w:lang w:val="en-US"/>
        </w:rPr>
        <w:t xml:space="preserve"> Finally, SCE agrees with EnerNOC that a third party would want to be aware of allegations of misuse, but it is not appropriate to include such mechanisms in Rule 25; rather, SCE notes that similar discussions are underway in the backhaul data applications proceeding (A.12-03-002, et al.) and proposes that a separate workshop on revocation of access could be useful in developing a common protocol for revocation of third party access.</w:t>
      </w:r>
      <w:r w:rsidR="00BC6BB4" w:rsidRPr="001C1256">
        <w:rPr>
          <w:rStyle w:val="FootnoteReference"/>
          <w:rFonts w:ascii="Palatino Linotype" w:hAnsi="Palatino Linotype"/>
          <w:lang w:val="en-US" w:eastAsia="en-US"/>
        </w:rPr>
        <w:footnoteReference w:id="44"/>
      </w:r>
    </w:p>
    <w:p w:rsidR="006A0814" w:rsidRPr="004C139F" w:rsidRDefault="006A0814" w:rsidP="004C139F">
      <w:pPr>
        <w:pStyle w:val="FootnoteText"/>
        <w:spacing w:after="0"/>
        <w:rPr>
          <w:sz w:val="26"/>
          <w:lang w:val="en-US"/>
        </w:rPr>
      </w:pPr>
    </w:p>
    <w:p w:rsidR="006A0814" w:rsidRPr="004C139F" w:rsidRDefault="006A0814" w:rsidP="004C139F">
      <w:pPr>
        <w:pStyle w:val="FootnoteText"/>
        <w:spacing w:after="0"/>
        <w:rPr>
          <w:sz w:val="26"/>
          <w:lang w:val="en-US"/>
        </w:rPr>
      </w:pPr>
      <w:r w:rsidRPr="004C139F">
        <w:rPr>
          <w:sz w:val="26"/>
          <w:lang w:val="en-US"/>
        </w:rPr>
        <w:t xml:space="preserve">In its </w:t>
      </w:r>
      <w:r w:rsidR="00202FCF" w:rsidRPr="004C139F">
        <w:rPr>
          <w:sz w:val="26"/>
          <w:lang w:val="en-US"/>
        </w:rPr>
        <w:t>r</w:t>
      </w:r>
      <w:r w:rsidRPr="004C139F">
        <w:rPr>
          <w:sz w:val="26"/>
          <w:lang w:val="en-US"/>
        </w:rPr>
        <w:t>eply, SoCal Gas states that it does not believe it was required to submit a CISR for usage data access.</w:t>
      </w:r>
      <w:r w:rsidR="00660453" w:rsidRPr="001C1256">
        <w:rPr>
          <w:rStyle w:val="FootnoteReference"/>
          <w:rFonts w:ascii="Palatino Linotype" w:hAnsi="Palatino Linotype"/>
          <w:lang w:val="en-US" w:eastAsia="en-US"/>
        </w:rPr>
        <w:footnoteReference w:id="45"/>
      </w:r>
      <w:r w:rsidRPr="004C139F">
        <w:rPr>
          <w:sz w:val="26"/>
          <w:lang w:val="en-US"/>
        </w:rPr>
        <w:t xml:space="preserve">  SoCal Gas argues that since its Advanced Metering Infrastructure rollout is yet to be deployed it would be premature to submit a modified CISR form.  Nevertheless, SoCal Gas agrees that a modified CISR form, consistent with others, would be beneficial and states that it “will work to make any necessary modifications to its CISR form once interval data from AMI becomes widely available.</w:t>
      </w:r>
      <w:r w:rsidRPr="001C1256">
        <w:rPr>
          <w:rStyle w:val="FootnoteReference"/>
          <w:rFonts w:ascii="Palatino Linotype" w:hAnsi="Palatino Linotype"/>
          <w:lang w:val="en-US" w:eastAsia="en-US"/>
        </w:rPr>
        <w:footnoteReference w:id="46"/>
      </w:r>
      <w:r w:rsidR="00660453" w:rsidRPr="001C1256">
        <w:rPr>
          <w:rStyle w:val="FootnoteReference"/>
          <w:rFonts w:ascii="Palatino Linotype" w:hAnsi="Palatino Linotype"/>
          <w:lang w:val="en-US" w:eastAsia="en-US"/>
        </w:rPr>
        <w:t xml:space="preserve"> </w:t>
      </w:r>
      <w:r w:rsidR="00660453" w:rsidRPr="004C139F">
        <w:rPr>
          <w:sz w:val="26"/>
          <w:lang w:val="en-US"/>
        </w:rPr>
        <w:t xml:space="preserve"> SoCal Gas also disagrees with the request of AReM to notice that ESPs are exempt from its Rule 42.  SoCal Gas notes that its Rule 42 applies only to gas operations, and AReM’s protest is related to electric tariffs, not gas.</w:t>
      </w:r>
      <w:r w:rsidR="00660453" w:rsidRPr="001C1256">
        <w:rPr>
          <w:rStyle w:val="FootnoteReference"/>
          <w:rFonts w:ascii="Palatino Linotype" w:hAnsi="Palatino Linotype"/>
          <w:lang w:val="en-US" w:eastAsia="en-US"/>
        </w:rPr>
        <w:footnoteReference w:id="47"/>
      </w:r>
      <w:r w:rsidR="00660453" w:rsidRPr="004C139F">
        <w:rPr>
          <w:sz w:val="26"/>
          <w:lang w:val="en-US"/>
        </w:rPr>
        <w:t xml:space="preserve">  In addition, SoCal Gas opposes AReM’s request to add a definition of “Small Commercial Customer” to its Rule 42 as that is also related to electric utility tariffs, not gas.</w:t>
      </w:r>
      <w:r w:rsidR="00660453" w:rsidRPr="001C1256">
        <w:rPr>
          <w:rStyle w:val="FootnoteReference"/>
          <w:rFonts w:ascii="Palatino Linotype" w:hAnsi="Palatino Linotype"/>
          <w:lang w:val="en-US" w:eastAsia="en-US"/>
        </w:rPr>
        <w:footnoteReference w:id="48"/>
      </w:r>
    </w:p>
    <w:p w:rsidR="005A5823" w:rsidRPr="004C139F" w:rsidRDefault="005A5823" w:rsidP="004C139F">
      <w:pPr>
        <w:pStyle w:val="FootnoteText"/>
        <w:spacing w:after="0"/>
        <w:rPr>
          <w:sz w:val="26"/>
          <w:lang w:val="en-US"/>
        </w:rPr>
      </w:pPr>
    </w:p>
    <w:p w:rsidR="00C67F94" w:rsidRPr="004C139F" w:rsidRDefault="0091174A" w:rsidP="004C139F">
      <w:pPr>
        <w:pStyle w:val="FootnoteText"/>
        <w:spacing w:after="0"/>
        <w:rPr>
          <w:sz w:val="26"/>
          <w:lang w:val="en-US"/>
        </w:rPr>
      </w:pPr>
      <w:r w:rsidRPr="004C139F">
        <w:rPr>
          <w:sz w:val="26"/>
          <w:lang w:val="en-US"/>
        </w:rPr>
        <w:t>In its Response, PG&amp;E disagrees with City of San Francisco’s concerns.  Specifically, PG&amp;E notes that the rules already provide PG&amp;E with liability protection when approved by the customer, or as directed by the Commission.</w:t>
      </w:r>
      <w:r w:rsidRPr="001C1256">
        <w:rPr>
          <w:rStyle w:val="FootnoteReference"/>
          <w:rFonts w:ascii="Palatino Linotype" w:hAnsi="Palatino Linotype"/>
          <w:lang w:val="en-US" w:eastAsia="en-US"/>
        </w:rPr>
        <w:footnoteReference w:id="49"/>
      </w:r>
      <w:r w:rsidRPr="004C139F">
        <w:rPr>
          <w:sz w:val="26"/>
          <w:lang w:val="en-US"/>
        </w:rPr>
        <w:t xml:space="preserve">  PG&amp;E argues that the added language does not provide PG&amp;E with any additional liability protections, but addresses the conduct of the customer and third parties receiving data from PG&amp;E.</w:t>
      </w:r>
      <w:r w:rsidRPr="001C1256">
        <w:rPr>
          <w:rStyle w:val="FootnoteReference"/>
          <w:rFonts w:ascii="Palatino Linotype" w:hAnsi="Palatino Linotype"/>
          <w:lang w:val="en-US" w:eastAsia="en-US"/>
        </w:rPr>
        <w:footnoteReference w:id="50"/>
      </w:r>
      <w:r w:rsidRPr="001C1256">
        <w:rPr>
          <w:rStyle w:val="FootnoteReference"/>
          <w:rFonts w:ascii="Palatino Linotype" w:hAnsi="Palatino Linotype"/>
          <w:lang w:val="en-US" w:eastAsia="en-US"/>
        </w:rPr>
        <w:t xml:space="preserve"> </w:t>
      </w:r>
      <w:r w:rsidRPr="004C139F">
        <w:rPr>
          <w:sz w:val="26"/>
          <w:lang w:val="en-US"/>
        </w:rPr>
        <w:t xml:space="preserve"> In responding to EnerNOC, PG&amp;E states that there is no need for a “paper trail” or formal process to determine revocation of access; PG&amp;E notes that the customer has the means by which to revoke access, pursuant to the process in CISR Form 79-1147.</w:t>
      </w:r>
      <w:r w:rsidRPr="001C1256">
        <w:rPr>
          <w:rStyle w:val="FootnoteReference"/>
          <w:rFonts w:ascii="Palatino Linotype" w:hAnsi="Palatino Linotype"/>
          <w:lang w:val="en-US" w:eastAsia="en-US"/>
        </w:rPr>
        <w:footnoteReference w:id="51"/>
      </w:r>
      <w:r w:rsidRPr="001C1256">
        <w:rPr>
          <w:rStyle w:val="FootnoteReference"/>
          <w:rFonts w:ascii="Palatino Linotype" w:hAnsi="Palatino Linotype"/>
          <w:lang w:val="en-US" w:eastAsia="en-US"/>
        </w:rPr>
        <w:t xml:space="preserve"> </w:t>
      </w:r>
      <w:r w:rsidRPr="004C139F">
        <w:rPr>
          <w:sz w:val="26"/>
          <w:lang w:val="en-US"/>
        </w:rPr>
        <w:t xml:space="preserve"> Additionally, </w:t>
      </w:r>
      <w:r w:rsidR="002370FA" w:rsidRPr="004C139F">
        <w:rPr>
          <w:sz w:val="26"/>
          <w:lang w:val="en-US"/>
        </w:rPr>
        <w:t xml:space="preserve">responding to concerns of both EnerNOC and AReM regarding multiple authorization forms, PG&amp;E notes that </w:t>
      </w:r>
      <w:r w:rsidRPr="004C139F">
        <w:rPr>
          <w:sz w:val="26"/>
          <w:lang w:val="en-US"/>
        </w:rPr>
        <w:t>CISR Form 79-1147 applies only to usage data, and does not apply to other data such as billing</w:t>
      </w:r>
      <w:r w:rsidR="002370FA" w:rsidRPr="004C139F">
        <w:rPr>
          <w:sz w:val="26"/>
          <w:lang w:val="en-US"/>
        </w:rPr>
        <w:t>.</w:t>
      </w:r>
      <w:r w:rsidR="002370FA" w:rsidRPr="001C1256">
        <w:rPr>
          <w:rStyle w:val="FootnoteReference"/>
          <w:rFonts w:ascii="Palatino Linotype" w:hAnsi="Palatino Linotype"/>
          <w:lang w:val="en-US" w:eastAsia="en-US"/>
        </w:rPr>
        <w:footnoteReference w:id="52"/>
      </w:r>
      <w:r w:rsidR="002370FA" w:rsidRPr="004C139F">
        <w:rPr>
          <w:sz w:val="26"/>
          <w:lang w:val="en-US"/>
        </w:rPr>
        <w:t xml:space="preserve">  PG&amp;E also expresses support for a more automated and electronic authorization process, but is unsure of the costs necessary to implement such a system.</w:t>
      </w:r>
      <w:r w:rsidR="002370FA" w:rsidRPr="001C1256">
        <w:rPr>
          <w:rStyle w:val="FootnoteReference"/>
          <w:rFonts w:ascii="Palatino Linotype" w:hAnsi="Palatino Linotype"/>
          <w:lang w:val="en-US" w:eastAsia="en-US"/>
        </w:rPr>
        <w:footnoteReference w:id="53"/>
      </w:r>
      <w:r w:rsidR="002370FA" w:rsidRPr="004C139F">
        <w:rPr>
          <w:sz w:val="26"/>
          <w:lang w:val="en-US"/>
        </w:rPr>
        <w:t xml:space="preserve">  PG&amp;E disagrees with AReM’s request to revise the authorization duration language as “contrary to the rights of customers and the need for customer flexibility in controlling access to their customer data.”</w:t>
      </w:r>
      <w:r w:rsidR="002370FA" w:rsidRPr="001C1256">
        <w:rPr>
          <w:rStyle w:val="FootnoteReference"/>
          <w:rFonts w:ascii="Palatino Linotype" w:hAnsi="Palatino Linotype"/>
          <w:lang w:val="en-US" w:eastAsia="en-US"/>
        </w:rPr>
        <w:footnoteReference w:id="54"/>
      </w:r>
      <w:r w:rsidR="002370FA" w:rsidRPr="004C139F">
        <w:rPr>
          <w:sz w:val="26"/>
          <w:lang w:val="en-US"/>
        </w:rPr>
        <w:t xml:space="preserve">  In addition, PG&amp;E notes that the authorization duration language is consistent with the Privacy Rules in allowing the customer to set its own authorization.</w:t>
      </w:r>
      <w:r w:rsidR="002370FA" w:rsidRPr="001C1256">
        <w:rPr>
          <w:rStyle w:val="FootnoteReference"/>
          <w:rFonts w:ascii="Palatino Linotype" w:hAnsi="Palatino Linotype"/>
          <w:lang w:val="en-US" w:eastAsia="en-US"/>
        </w:rPr>
        <w:footnoteReference w:id="55"/>
      </w:r>
      <w:r w:rsidR="002370FA" w:rsidRPr="001C1256">
        <w:rPr>
          <w:rStyle w:val="FootnoteReference"/>
          <w:rFonts w:ascii="Palatino Linotype" w:hAnsi="Palatino Linotype"/>
          <w:lang w:val="en-US" w:eastAsia="en-US"/>
        </w:rPr>
        <w:t xml:space="preserve"> </w:t>
      </w:r>
      <w:r w:rsidR="002370FA" w:rsidRPr="004C139F">
        <w:rPr>
          <w:sz w:val="26"/>
          <w:lang w:val="en-US"/>
        </w:rPr>
        <w:t xml:space="preserve"> Finally, PG&amp;E argues that AReM’s requests to add clarifying language regarding the applicability of its Rule 27 and to make associated edits to its ESP rules as beyond the scope of the privacy tariffs should be rejected.</w:t>
      </w:r>
      <w:r w:rsidR="002370FA" w:rsidRPr="001C1256">
        <w:rPr>
          <w:rStyle w:val="FootnoteReference"/>
          <w:rFonts w:ascii="Palatino Linotype" w:hAnsi="Palatino Linotype"/>
          <w:sz w:val="26"/>
          <w:lang w:val="en-US" w:eastAsia="en-US"/>
        </w:rPr>
        <w:footnoteReference w:id="56"/>
      </w:r>
    </w:p>
    <w:p w:rsidR="00CF17DE" w:rsidRPr="001C1256" w:rsidRDefault="00CF17DE" w:rsidP="001C1256">
      <w:pPr>
        <w:pStyle w:val="Heading1"/>
        <w:spacing w:before="0" w:after="120"/>
      </w:pPr>
      <w:r w:rsidRPr="001C1256">
        <w:t>Discussion</w:t>
      </w:r>
    </w:p>
    <w:p w:rsidR="00202FCF" w:rsidRPr="004C139F" w:rsidRDefault="00202FCF" w:rsidP="004C139F">
      <w:pPr>
        <w:pStyle w:val="FootnoteText"/>
        <w:spacing w:after="0"/>
        <w:rPr>
          <w:sz w:val="26"/>
          <w:lang w:val="en-US"/>
        </w:rPr>
      </w:pPr>
      <w:r w:rsidRPr="004C139F">
        <w:rPr>
          <w:sz w:val="26"/>
          <w:lang w:val="en-US"/>
        </w:rPr>
        <w:t xml:space="preserve">This Resolution accepts the Advice Letters, proposed tariff changes, and proposed CISR forms of SDG&amp;E, SCE, and PG&amp;E.  This Resolution also accepts the Advice Letter and proposed tariff changes of SoCal Gas.  With one exception, this resolution rejects the protests of AReM, City of San Francisco, and EnerNOC, as explained below.  </w:t>
      </w:r>
    </w:p>
    <w:p w:rsidR="00202FCF" w:rsidRPr="00202FCF" w:rsidRDefault="00202FCF" w:rsidP="00202FCF">
      <w:pPr>
        <w:pStyle w:val="standard"/>
        <w:spacing w:line="240" w:lineRule="auto"/>
        <w:ind w:firstLine="0"/>
        <w:rPr>
          <w:rFonts w:ascii="Palatino Linotype" w:hAnsi="Palatino Linotype"/>
        </w:rPr>
      </w:pPr>
    </w:p>
    <w:p w:rsidR="00E03561" w:rsidRDefault="005A0E26" w:rsidP="004C139F">
      <w:pPr>
        <w:pStyle w:val="FootnoteText"/>
        <w:numPr>
          <w:ilvl w:val="0"/>
          <w:numId w:val="13"/>
        </w:numPr>
        <w:spacing w:after="0"/>
        <w:rPr>
          <w:sz w:val="26"/>
          <w:lang w:val="en-US"/>
        </w:rPr>
      </w:pPr>
      <w:r w:rsidRPr="004C139F">
        <w:rPr>
          <w:sz w:val="26"/>
          <w:lang w:val="en-US"/>
        </w:rPr>
        <w:t>Utility</w:t>
      </w:r>
      <w:r w:rsidR="007E2C00" w:rsidRPr="004C139F">
        <w:rPr>
          <w:sz w:val="26"/>
          <w:lang w:val="en-US"/>
        </w:rPr>
        <w:t xml:space="preserve"> Tariffs</w:t>
      </w:r>
    </w:p>
    <w:p w:rsidR="004C139F" w:rsidRPr="004C139F" w:rsidRDefault="004C139F" w:rsidP="004C139F">
      <w:pPr>
        <w:pStyle w:val="FootnoteText"/>
        <w:spacing w:after="0"/>
        <w:ind w:left="1080"/>
        <w:rPr>
          <w:sz w:val="26"/>
          <w:lang w:val="en-US"/>
        </w:rPr>
      </w:pPr>
    </w:p>
    <w:p w:rsidR="001F5347" w:rsidRPr="004C139F" w:rsidRDefault="00F305C1" w:rsidP="004C139F">
      <w:pPr>
        <w:pStyle w:val="FootnoteText"/>
        <w:spacing w:after="0"/>
        <w:rPr>
          <w:sz w:val="26"/>
          <w:lang w:val="en-US"/>
        </w:rPr>
      </w:pPr>
      <w:r w:rsidRPr="004C139F">
        <w:rPr>
          <w:sz w:val="26"/>
          <w:lang w:val="en-US"/>
        </w:rPr>
        <w:t>As stated in E-4545, “</w:t>
      </w:r>
      <w:r w:rsidR="001F5347" w:rsidRPr="004C139F">
        <w:rPr>
          <w:sz w:val="26"/>
          <w:lang w:val="en-US"/>
        </w:rPr>
        <w:t>The need for a consistent implementation of these privacy rules is important to ensure that these rules are applied as uniformly as possible across the utility service territories.</w:t>
      </w:r>
      <w:r w:rsidRPr="004C139F">
        <w:rPr>
          <w:sz w:val="26"/>
          <w:lang w:val="en-US"/>
        </w:rPr>
        <w:t>”</w:t>
      </w:r>
      <w:r w:rsidR="001F5347" w:rsidRPr="004C139F">
        <w:rPr>
          <w:sz w:val="26"/>
          <w:lang w:val="en-US"/>
        </w:rPr>
        <w:t xml:space="preserve">  </w:t>
      </w:r>
      <w:r w:rsidRPr="004C139F">
        <w:rPr>
          <w:sz w:val="26"/>
          <w:lang w:val="en-US"/>
        </w:rPr>
        <w:t>As demonstrated in their Advice Letter filings, the utilities submitted their new rules in a consistent manner, mostly by adopting, on a word-for-word basis the adopted Privacy Rules.  It is important to note, in response to the protests, that consistent does not mean identical, and the modifications to the adopted Privacy Rules provide useful and clarifying edits to the adopted Privacy Rules.  These new</w:t>
      </w:r>
      <w:r w:rsidR="005A0E26" w:rsidRPr="004C139F">
        <w:rPr>
          <w:sz w:val="26"/>
          <w:lang w:val="en-US"/>
        </w:rPr>
        <w:t>ly</w:t>
      </w:r>
      <w:r w:rsidRPr="004C139F">
        <w:rPr>
          <w:sz w:val="26"/>
          <w:lang w:val="en-US"/>
        </w:rPr>
        <w:t xml:space="preserve"> adopted utility Rules still do not limit the effectiveness or applicability of the Commissions</w:t>
      </w:r>
      <w:r w:rsidR="005A0E26" w:rsidRPr="004C139F">
        <w:rPr>
          <w:sz w:val="26"/>
          <w:lang w:val="en-US"/>
        </w:rPr>
        <w:t>’</w:t>
      </w:r>
      <w:r w:rsidRPr="004C139F">
        <w:rPr>
          <w:sz w:val="26"/>
          <w:lang w:val="en-US"/>
        </w:rPr>
        <w:t xml:space="preserve"> adopted Privacy Rule</w:t>
      </w:r>
      <w:r w:rsidR="009B4290" w:rsidRPr="004C139F">
        <w:rPr>
          <w:sz w:val="26"/>
          <w:lang w:val="en-US"/>
        </w:rPr>
        <w:t>s</w:t>
      </w:r>
      <w:r w:rsidRPr="004C139F">
        <w:rPr>
          <w:sz w:val="26"/>
          <w:lang w:val="en-US"/>
        </w:rPr>
        <w:t xml:space="preserve">; rather, the adopted utility Rules allow for an appropriate level of implementation and guidance for parties subject to the tariffs.  As such, the protests of AReM and EnerNOC regarding the </w:t>
      </w:r>
      <w:r w:rsidR="007E2C00" w:rsidRPr="004C139F">
        <w:rPr>
          <w:sz w:val="26"/>
          <w:lang w:val="en-US"/>
        </w:rPr>
        <w:t>modifications</w:t>
      </w:r>
      <w:r w:rsidRPr="004C139F">
        <w:rPr>
          <w:sz w:val="26"/>
          <w:lang w:val="en-US"/>
        </w:rPr>
        <w:t xml:space="preserve"> of the utility rules are rejected.</w:t>
      </w:r>
    </w:p>
    <w:p w:rsidR="007E2C00" w:rsidRPr="004C139F" w:rsidRDefault="007E2C00" w:rsidP="004C139F">
      <w:pPr>
        <w:pStyle w:val="FootnoteText"/>
        <w:spacing w:after="0"/>
        <w:rPr>
          <w:sz w:val="26"/>
          <w:lang w:val="en-US"/>
        </w:rPr>
      </w:pPr>
    </w:p>
    <w:p w:rsidR="00167689" w:rsidRPr="004C139F" w:rsidRDefault="007E2C00" w:rsidP="004C139F">
      <w:pPr>
        <w:pStyle w:val="FootnoteText"/>
        <w:spacing w:after="0"/>
        <w:rPr>
          <w:sz w:val="26"/>
          <w:lang w:val="en-US"/>
        </w:rPr>
      </w:pPr>
      <w:r w:rsidRPr="004C139F">
        <w:rPr>
          <w:sz w:val="26"/>
          <w:lang w:val="en-US"/>
        </w:rPr>
        <w:t>This Resolution rejects the request of AReM to modify the utility tariffs to clarify the relationship of ESPs</w:t>
      </w:r>
      <w:r w:rsidR="004067B8" w:rsidRPr="004C139F">
        <w:rPr>
          <w:sz w:val="26"/>
          <w:lang w:val="en-US"/>
        </w:rPr>
        <w:t xml:space="preserve"> as it applies to the utility Rules.  This Resolution </w:t>
      </w:r>
      <w:r w:rsidR="00167689" w:rsidRPr="004C139F">
        <w:rPr>
          <w:sz w:val="26"/>
          <w:lang w:val="en-US"/>
        </w:rPr>
        <w:t xml:space="preserve">finds </w:t>
      </w:r>
      <w:r w:rsidR="004067B8" w:rsidRPr="004C139F">
        <w:rPr>
          <w:sz w:val="26"/>
          <w:lang w:val="en-US"/>
        </w:rPr>
        <w:t xml:space="preserve">that </w:t>
      </w:r>
      <w:r w:rsidR="007C73BD" w:rsidRPr="004C139F">
        <w:rPr>
          <w:sz w:val="26"/>
          <w:lang w:val="en-US"/>
        </w:rPr>
        <w:t xml:space="preserve">the proposed tariff language is consistent with Attachment </w:t>
      </w:r>
      <w:r w:rsidR="00167689" w:rsidRPr="004C139F">
        <w:rPr>
          <w:sz w:val="26"/>
          <w:lang w:val="en-US"/>
        </w:rPr>
        <w:t>D</w:t>
      </w:r>
      <w:r w:rsidR="007C73BD" w:rsidRPr="004C139F">
        <w:rPr>
          <w:sz w:val="26"/>
          <w:lang w:val="en-US"/>
        </w:rPr>
        <w:t xml:space="preserve"> of D.11-07-056 and </w:t>
      </w:r>
      <w:r w:rsidR="00167689" w:rsidRPr="004C139F">
        <w:rPr>
          <w:sz w:val="26"/>
          <w:lang w:val="en-US"/>
        </w:rPr>
        <w:t xml:space="preserve">Attachment A of </w:t>
      </w:r>
      <w:r w:rsidR="007C73BD" w:rsidRPr="004C139F">
        <w:rPr>
          <w:sz w:val="26"/>
          <w:lang w:val="en-US"/>
        </w:rPr>
        <w:t>D.12-08-045, as specifically required by those Decisions</w:t>
      </w:r>
      <w:r w:rsidR="004067B8" w:rsidRPr="004C139F">
        <w:rPr>
          <w:sz w:val="26"/>
          <w:lang w:val="en-US"/>
        </w:rPr>
        <w:t xml:space="preserve">.  </w:t>
      </w:r>
      <w:r w:rsidR="00167689" w:rsidRPr="004C139F">
        <w:rPr>
          <w:sz w:val="26"/>
          <w:lang w:val="en-US"/>
        </w:rPr>
        <w:t xml:space="preserve"> It is noted that the utilities replies in the context of the subject advice letters related to the “small commercial customer” issue raised by AReM are out of scope; as already observed, AReM raised this issue in connection with other advice letters that are not the subject of this Resolution.</w:t>
      </w:r>
      <w:r w:rsidR="00167689" w:rsidRPr="001F252C">
        <w:rPr>
          <w:rStyle w:val="FootnoteReference"/>
          <w:rFonts w:ascii="Palatino Linotype" w:hAnsi="Palatino Linotype"/>
          <w:lang w:val="en-US" w:eastAsia="en-US"/>
        </w:rPr>
        <w:footnoteReference w:id="57"/>
      </w:r>
    </w:p>
    <w:p w:rsidR="004067B8" w:rsidRPr="004C139F" w:rsidRDefault="004067B8" w:rsidP="004C139F">
      <w:pPr>
        <w:pStyle w:val="FootnoteText"/>
        <w:spacing w:after="0"/>
        <w:rPr>
          <w:sz w:val="26"/>
          <w:lang w:val="en-US"/>
        </w:rPr>
      </w:pPr>
    </w:p>
    <w:p w:rsidR="004067B8" w:rsidRPr="004C139F" w:rsidRDefault="004067B8" w:rsidP="004C139F">
      <w:pPr>
        <w:pStyle w:val="FootnoteText"/>
        <w:spacing w:after="0"/>
        <w:rPr>
          <w:sz w:val="26"/>
          <w:lang w:val="en-US"/>
        </w:rPr>
      </w:pPr>
      <w:r w:rsidRPr="004C139F">
        <w:rPr>
          <w:sz w:val="26"/>
          <w:lang w:val="en-US"/>
        </w:rPr>
        <w:t>This Resolution rejects the requests of City of San Francisco regarding PG&amp;E’s indemnification languag</w:t>
      </w:r>
      <w:r w:rsidR="00035224" w:rsidRPr="004C139F">
        <w:rPr>
          <w:sz w:val="26"/>
          <w:lang w:val="en-US"/>
        </w:rPr>
        <w:t>e.  This Resolution agrees with PG&amp;E that the Commission’s Privacy Rules provide for the requisite protection regarding utility liability.  As PG&amp;E notes, the adopted Privacy Rules already provide PG&amp;E with a measure of liability protection from misuse of data by third parties (be they authorized by the customer or directed by the Commission), unless the utility acts “recklessly.”</w:t>
      </w:r>
      <w:r w:rsidR="00035224" w:rsidRPr="001F252C">
        <w:rPr>
          <w:rStyle w:val="FootnoteReference"/>
          <w:rFonts w:ascii="Palatino Linotype" w:hAnsi="Palatino Linotype"/>
          <w:lang w:val="en-US" w:eastAsia="en-US"/>
        </w:rPr>
        <w:footnoteReference w:id="58"/>
      </w:r>
      <w:r w:rsidR="009B4290" w:rsidRPr="001F252C">
        <w:rPr>
          <w:rStyle w:val="FootnoteReference"/>
          <w:rFonts w:ascii="Palatino Linotype" w:hAnsi="Palatino Linotype"/>
          <w:lang w:val="en-US" w:eastAsia="en-US"/>
        </w:rPr>
        <w:t xml:space="preserve"> </w:t>
      </w:r>
      <w:r w:rsidR="009B4290" w:rsidRPr="004C139F">
        <w:rPr>
          <w:sz w:val="26"/>
          <w:lang w:val="en-US"/>
        </w:rPr>
        <w:t xml:space="preserve"> PG&amp;E section 9(f) of</w:t>
      </w:r>
      <w:r w:rsidR="00035224" w:rsidRPr="004C139F">
        <w:rPr>
          <w:sz w:val="26"/>
          <w:lang w:val="en-US"/>
        </w:rPr>
        <w:t xml:space="preserve"> their Rule 27 does not change PG&amp;E’s requirement to abide by the Privacy Rules; rather, 9(f) provides for clarifying language where a third party misuses customer usage information, and that third party obtained information pursuant to customer direction or at the direction of the Commission.</w:t>
      </w:r>
    </w:p>
    <w:p w:rsidR="007E2C00" w:rsidRDefault="007E2C00" w:rsidP="008D2EB9">
      <w:pPr>
        <w:pStyle w:val="standard"/>
        <w:spacing w:line="240" w:lineRule="auto"/>
        <w:ind w:firstLine="0"/>
        <w:rPr>
          <w:rFonts w:ascii="Palatino Linotype" w:hAnsi="Palatino Linotype"/>
        </w:rPr>
      </w:pPr>
    </w:p>
    <w:p w:rsidR="007E2C00" w:rsidRPr="004C139F" w:rsidRDefault="007E2C00" w:rsidP="004C139F">
      <w:pPr>
        <w:pStyle w:val="FootnoteText"/>
        <w:spacing w:after="0"/>
        <w:rPr>
          <w:sz w:val="26"/>
          <w:lang w:val="en-US"/>
        </w:rPr>
      </w:pPr>
      <w:r>
        <w:rPr>
          <w:rFonts w:ascii="Palatino Linotype" w:hAnsi="Palatino Linotype"/>
        </w:rPr>
        <w:t>B)</w:t>
      </w:r>
      <w:r>
        <w:rPr>
          <w:rFonts w:ascii="Palatino Linotype" w:hAnsi="Palatino Linotype"/>
        </w:rPr>
        <w:tab/>
      </w:r>
      <w:r w:rsidRPr="004C139F">
        <w:rPr>
          <w:sz w:val="26"/>
          <w:lang w:val="en-US"/>
        </w:rPr>
        <w:t>CISR Forms</w:t>
      </w:r>
    </w:p>
    <w:p w:rsidR="007E2C00" w:rsidRPr="004C139F" w:rsidRDefault="007E2C00" w:rsidP="004C139F">
      <w:pPr>
        <w:pStyle w:val="FootnoteText"/>
        <w:spacing w:after="0"/>
        <w:rPr>
          <w:sz w:val="26"/>
          <w:lang w:val="en-US"/>
        </w:rPr>
      </w:pPr>
    </w:p>
    <w:p w:rsidR="00F305C1" w:rsidRPr="004C139F" w:rsidRDefault="00F305C1" w:rsidP="004C139F">
      <w:pPr>
        <w:pStyle w:val="FootnoteText"/>
        <w:spacing w:after="0"/>
        <w:rPr>
          <w:sz w:val="26"/>
          <w:lang w:val="en-US"/>
        </w:rPr>
      </w:pPr>
      <w:r w:rsidRPr="004C139F">
        <w:rPr>
          <w:sz w:val="26"/>
          <w:lang w:val="en-US"/>
        </w:rPr>
        <w:t xml:space="preserve">This Resolution finds as persuasive the arguments of the utilities as to the purpose of these adopted CISR forms.  The utilities adequately explain that the adopted </w:t>
      </w:r>
      <w:r w:rsidR="007C2FBE" w:rsidRPr="004C139F">
        <w:rPr>
          <w:sz w:val="26"/>
          <w:lang w:val="en-US"/>
        </w:rPr>
        <w:t xml:space="preserve">usage only </w:t>
      </w:r>
      <w:r w:rsidRPr="004C139F">
        <w:rPr>
          <w:sz w:val="26"/>
          <w:lang w:val="en-US"/>
        </w:rPr>
        <w:t>CISR forms apply in the instance of customer authorization the sharing of their usage data only; in the event the customer chooses to authorize</w:t>
      </w:r>
      <w:r w:rsidR="00D133EE" w:rsidRPr="004C139F">
        <w:rPr>
          <w:sz w:val="26"/>
          <w:lang w:val="en-US"/>
        </w:rPr>
        <w:t xml:space="preserve"> billing </w:t>
      </w:r>
      <w:r w:rsidRPr="004C139F">
        <w:rPr>
          <w:sz w:val="26"/>
          <w:lang w:val="en-US"/>
        </w:rPr>
        <w:t xml:space="preserve">data in addition to usage, the applicable </w:t>
      </w:r>
      <w:r w:rsidR="007C2FBE" w:rsidRPr="004C139F">
        <w:rPr>
          <w:sz w:val="26"/>
          <w:lang w:val="en-US"/>
        </w:rPr>
        <w:t xml:space="preserve">separate and longer </w:t>
      </w:r>
      <w:r w:rsidRPr="004C139F">
        <w:rPr>
          <w:sz w:val="26"/>
          <w:lang w:val="en-US"/>
        </w:rPr>
        <w:t xml:space="preserve">CISR forms are </w:t>
      </w:r>
      <w:r w:rsidR="00D133EE" w:rsidRPr="004C139F">
        <w:rPr>
          <w:sz w:val="26"/>
          <w:lang w:val="en-US"/>
        </w:rPr>
        <w:t>already</w:t>
      </w:r>
      <w:r w:rsidR="007C2FBE" w:rsidRPr="004C139F">
        <w:rPr>
          <w:sz w:val="26"/>
          <w:lang w:val="en-US"/>
        </w:rPr>
        <w:t xml:space="preserve"> and will remain</w:t>
      </w:r>
      <w:r w:rsidR="00D133EE" w:rsidRPr="004C139F">
        <w:rPr>
          <w:sz w:val="26"/>
          <w:lang w:val="en-US"/>
        </w:rPr>
        <w:t xml:space="preserve"> </w:t>
      </w:r>
      <w:r w:rsidRPr="004C139F">
        <w:rPr>
          <w:sz w:val="26"/>
          <w:lang w:val="en-US"/>
        </w:rPr>
        <w:t>in effect.  Additionally, the adopted</w:t>
      </w:r>
      <w:r>
        <w:rPr>
          <w:rFonts w:ascii="Palatino Linotype" w:hAnsi="Palatino Linotype"/>
        </w:rPr>
        <w:t xml:space="preserve"> </w:t>
      </w:r>
      <w:r w:rsidR="007C2FBE" w:rsidRPr="004C139F">
        <w:rPr>
          <w:sz w:val="26"/>
          <w:lang w:val="en-US"/>
        </w:rPr>
        <w:t xml:space="preserve">usage only </w:t>
      </w:r>
      <w:r w:rsidRPr="004C139F">
        <w:rPr>
          <w:sz w:val="26"/>
          <w:lang w:val="en-US"/>
        </w:rPr>
        <w:t xml:space="preserve">CISR forms place a lower burden on both the customer and third party </w:t>
      </w:r>
      <w:r w:rsidR="009E6844" w:rsidRPr="004C139F">
        <w:rPr>
          <w:sz w:val="26"/>
          <w:lang w:val="en-US"/>
        </w:rPr>
        <w:t xml:space="preserve">relative to </w:t>
      </w:r>
      <w:r w:rsidR="001422BD" w:rsidRPr="004C139F">
        <w:rPr>
          <w:sz w:val="26"/>
          <w:lang w:val="en-US"/>
        </w:rPr>
        <w:t xml:space="preserve">the </w:t>
      </w:r>
      <w:r w:rsidR="009E6844" w:rsidRPr="004C139F">
        <w:rPr>
          <w:sz w:val="26"/>
          <w:lang w:val="en-US"/>
        </w:rPr>
        <w:t xml:space="preserve">requirements </w:t>
      </w:r>
      <w:r w:rsidR="00932728" w:rsidRPr="004C139F">
        <w:rPr>
          <w:sz w:val="26"/>
          <w:lang w:val="en-US"/>
        </w:rPr>
        <w:t>of</w:t>
      </w:r>
      <w:r w:rsidR="009E6844" w:rsidRPr="004C139F">
        <w:rPr>
          <w:sz w:val="26"/>
          <w:lang w:val="en-US"/>
        </w:rPr>
        <w:t xml:space="preserve"> the longer form </w:t>
      </w:r>
      <w:r w:rsidRPr="004C139F">
        <w:rPr>
          <w:sz w:val="26"/>
          <w:lang w:val="en-US"/>
        </w:rPr>
        <w:t>since only the customer’s authorization is required</w:t>
      </w:r>
      <w:r w:rsidR="007C2FBE" w:rsidRPr="004C139F">
        <w:rPr>
          <w:sz w:val="26"/>
          <w:lang w:val="en-US"/>
        </w:rPr>
        <w:t xml:space="preserve"> </w:t>
      </w:r>
      <w:r w:rsidR="009E6844" w:rsidRPr="004C139F">
        <w:rPr>
          <w:sz w:val="26"/>
          <w:lang w:val="en-US"/>
        </w:rPr>
        <w:t>to release the usage data</w:t>
      </w:r>
      <w:r w:rsidRPr="004C139F">
        <w:rPr>
          <w:sz w:val="26"/>
          <w:lang w:val="en-US"/>
        </w:rPr>
        <w:t>; this should suffice for the outlined purposes of sharing customer usage information.  Therefore, the protests of AReM and EnerNOC regarding the use of multiple CISR forms are rejected.</w:t>
      </w:r>
    </w:p>
    <w:p w:rsidR="00F305C1" w:rsidRPr="004C139F" w:rsidRDefault="00F305C1" w:rsidP="004C139F">
      <w:pPr>
        <w:pStyle w:val="FootnoteText"/>
        <w:spacing w:after="0"/>
        <w:rPr>
          <w:sz w:val="26"/>
          <w:lang w:val="en-US"/>
        </w:rPr>
      </w:pPr>
    </w:p>
    <w:p w:rsidR="006C590A" w:rsidRDefault="00406E10" w:rsidP="004C139F">
      <w:pPr>
        <w:pStyle w:val="FootnoteText"/>
        <w:spacing w:after="0"/>
        <w:rPr>
          <w:sz w:val="26"/>
          <w:lang w:val="en-US"/>
        </w:rPr>
      </w:pPr>
      <w:r w:rsidRPr="004C139F">
        <w:rPr>
          <w:sz w:val="26"/>
          <w:lang w:val="en-US"/>
        </w:rPr>
        <w:t xml:space="preserve">This Resolution also rejects the argument of EnerNOC that a “paper trail” is needed to follow the authorization process.  As the utilities all note, the tariff itself provides for the rights granted to the customer regarding his/her ability to revoke </w:t>
      </w:r>
      <w:r w:rsidR="00EC572C" w:rsidRPr="004C139F">
        <w:rPr>
          <w:sz w:val="26"/>
          <w:lang w:val="en-US"/>
        </w:rPr>
        <w:t xml:space="preserve">authorization for transmitting usage data to </w:t>
      </w:r>
      <w:r w:rsidRPr="004C139F">
        <w:rPr>
          <w:sz w:val="26"/>
          <w:lang w:val="en-US"/>
        </w:rPr>
        <w:t xml:space="preserve">a third party.  In addition, the on-going proceeding regarding third party access to backhaul data is addressing </w:t>
      </w:r>
      <w:r w:rsidR="00DE6A4A" w:rsidRPr="004C139F">
        <w:rPr>
          <w:sz w:val="26"/>
          <w:lang w:val="en-US"/>
        </w:rPr>
        <w:t xml:space="preserve">the </w:t>
      </w:r>
      <w:r w:rsidRPr="004C139F">
        <w:rPr>
          <w:sz w:val="26"/>
          <w:lang w:val="en-US"/>
        </w:rPr>
        <w:t>issue of proce</w:t>
      </w:r>
      <w:r w:rsidR="00D133EE" w:rsidRPr="004C139F">
        <w:rPr>
          <w:sz w:val="26"/>
          <w:lang w:val="en-US"/>
        </w:rPr>
        <w:t>ss</w:t>
      </w:r>
      <w:r w:rsidR="00DE6A4A" w:rsidRPr="004C139F">
        <w:rPr>
          <w:sz w:val="26"/>
          <w:lang w:val="en-US"/>
        </w:rPr>
        <w:t xml:space="preserve"> for handling complaints or privacy violations</w:t>
      </w:r>
      <w:r w:rsidR="00D133EE" w:rsidRPr="001F252C">
        <w:rPr>
          <w:rStyle w:val="FootnoteReference"/>
          <w:rFonts w:ascii="Palatino Linotype" w:hAnsi="Palatino Linotype"/>
          <w:lang w:val="en-US" w:eastAsia="en-US"/>
        </w:rPr>
        <w:footnoteReference w:id="59"/>
      </w:r>
      <w:r w:rsidR="00D133EE" w:rsidRPr="004C139F">
        <w:rPr>
          <w:sz w:val="26"/>
          <w:lang w:val="en-US"/>
        </w:rPr>
        <w:t>; as stated in the Joint IOU</w:t>
      </w:r>
      <w:r w:rsidRPr="004C139F">
        <w:rPr>
          <w:sz w:val="26"/>
          <w:lang w:val="en-US"/>
        </w:rPr>
        <w:t xml:space="preserve"> report in that proceeding, the parties proposed several options for notification and process regarding the revocation of third party access.</w:t>
      </w:r>
      <w:r w:rsidR="005A0E26" w:rsidRPr="001F252C">
        <w:rPr>
          <w:rStyle w:val="FootnoteReference"/>
          <w:rFonts w:ascii="Palatino Linotype" w:hAnsi="Palatino Linotype"/>
          <w:lang w:val="en-US" w:eastAsia="en-US"/>
        </w:rPr>
        <w:footnoteReference w:id="60"/>
      </w:r>
      <w:r w:rsidRPr="001F252C">
        <w:rPr>
          <w:rStyle w:val="FootnoteReference"/>
          <w:rFonts w:ascii="Palatino Linotype" w:hAnsi="Palatino Linotype"/>
          <w:lang w:val="en-US" w:eastAsia="en-US"/>
        </w:rPr>
        <w:t xml:space="preserve"> </w:t>
      </w:r>
      <w:r w:rsidRPr="004C139F">
        <w:rPr>
          <w:sz w:val="26"/>
          <w:lang w:val="en-US"/>
        </w:rPr>
        <w:t xml:space="preserve"> This Resolution finds that the request of EnerNOC to provide for a process </w:t>
      </w:r>
      <w:r w:rsidR="00EC572C" w:rsidRPr="004C139F">
        <w:rPr>
          <w:sz w:val="26"/>
          <w:lang w:val="en-US"/>
        </w:rPr>
        <w:t xml:space="preserve">here </w:t>
      </w:r>
      <w:r w:rsidRPr="004C139F">
        <w:rPr>
          <w:sz w:val="26"/>
          <w:lang w:val="en-US"/>
        </w:rPr>
        <w:t xml:space="preserve">is outside the scope of this proceeding, and more appropriately addressed in the backhaul data access proceeding </w:t>
      </w:r>
    </w:p>
    <w:p w:rsidR="00F305C1" w:rsidRPr="004C139F" w:rsidRDefault="00406E10" w:rsidP="004C139F">
      <w:pPr>
        <w:pStyle w:val="FootnoteText"/>
        <w:spacing w:after="0"/>
        <w:rPr>
          <w:sz w:val="26"/>
          <w:lang w:val="en-US"/>
        </w:rPr>
      </w:pPr>
      <w:r w:rsidRPr="004C139F">
        <w:rPr>
          <w:sz w:val="26"/>
          <w:lang w:val="en-US"/>
        </w:rPr>
        <w:t>(A.12-03-002</w:t>
      </w:r>
      <w:r w:rsidR="00D133EE" w:rsidRPr="004C139F">
        <w:rPr>
          <w:sz w:val="26"/>
          <w:lang w:val="en-US"/>
        </w:rPr>
        <w:t xml:space="preserve">, et </w:t>
      </w:r>
      <w:r w:rsidR="004E123B" w:rsidRPr="004C139F">
        <w:rPr>
          <w:sz w:val="26"/>
          <w:lang w:val="en-US"/>
        </w:rPr>
        <w:t>al</w:t>
      </w:r>
      <w:r w:rsidR="00D133EE" w:rsidRPr="004C139F">
        <w:rPr>
          <w:sz w:val="26"/>
          <w:lang w:val="en-US"/>
        </w:rPr>
        <w:t>.</w:t>
      </w:r>
      <w:r w:rsidRPr="004C139F">
        <w:rPr>
          <w:sz w:val="26"/>
          <w:lang w:val="en-US"/>
        </w:rPr>
        <w:t xml:space="preserve">).   </w:t>
      </w:r>
    </w:p>
    <w:p w:rsidR="00406E10" w:rsidRPr="004C139F" w:rsidRDefault="00406E10" w:rsidP="004C139F">
      <w:pPr>
        <w:pStyle w:val="FootnoteText"/>
        <w:spacing w:after="0"/>
        <w:rPr>
          <w:sz w:val="26"/>
          <w:lang w:val="en-US"/>
        </w:rPr>
      </w:pPr>
    </w:p>
    <w:p w:rsidR="00406E10" w:rsidRPr="004C139F" w:rsidRDefault="00406E10" w:rsidP="004C139F">
      <w:pPr>
        <w:pStyle w:val="FootnoteText"/>
        <w:spacing w:after="0"/>
        <w:rPr>
          <w:sz w:val="26"/>
          <w:lang w:val="en-US"/>
        </w:rPr>
      </w:pPr>
      <w:r w:rsidRPr="004C139F">
        <w:rPr>
          <w:sz w:val="26"/>
          <w:lang w:val="en-US"/>
        </w:rPr>
        <w:t xml:space="preserve">This Resolution rejects the request of AReM to modify the authorization duration language of the new CISR forms.  The forms adopted in this Resolution appropriately capture the options available to customers of either an indefinite time period or a pre-determined time-period as decided by the customer.  However, this Resolution does determine that if a customer declines to identify a time period or declines to check the indefinite option, the utility should assume an indefinite </w:t>
      </w:r>
      <w:r w:rsidR="007E2C00" w:rsidRPr="004C139F">
        <w:rPr>
          <w:sz w:val="26"/>
          <w:lang w:val="en-US"/>
        </w:rPr>
        <w:t>duration for third party access.</w:t>
      </w:r>
      <w:r w:rsidR="007E2C00" w:rsidRPr="001F252C">
        <w:rPr>
          <w:rStyle w:val="FootnoteReference"/>
          <w:rFonts w:ascii="Palatino Linotype" w:hAnsi="Palatino Linotype"/>
          <w:lang w:val="en-US" w:eastAsia="en-US"/>
        </w:rPr>
        <w:footnoteReference w:id="61"/>
      </w:r>
    </w:p>
    <w:p w:rsidR="00035224" w:rsidRPr="004C139F" w:rsidRDefault="00035224" w:rsidP="004C139F">
      <w:pPr>
        <w:pStyle w:val="FootnoteText"/>
        <w:spacing w:after="0"/>
        <w:rPr>
          <w:sz w:val="26"/>
          <w:lang w:val="en-US"/>
        </w:rPr>
      </w:pPr>
    </w:p>
    <w:p w:rsidR="00035224" w:rsidRPr="004C139F" w:rsidRDefault="00035224" w:rsidP="004C139F">
      <w:pPr>
        <w:pStyle w:val="FootnoteText"/>
        <w:spacing w:after="0"/>
        <w:rPr>
          <w:sz w:val="26"/>
          <w:lang w:val="en-US"/>
        </w:rPr>
      </w:pPr>
      <w:r w:rsidRPr="004C139F">
        <w:rPr>
          <w:sz w:val="26"/>
          <w:lang w:val="en-US"/>
        </w:rPr>
        <w:t xml:space="preserve">This Resolution rejects the request of the City of San Francisco to reject the indemnification language found in </w:t>
      </w:r>
      <w:r w:rsidR="00D133EE" w:rsidRPr="004C139F">
        <w:rPr>
          <w:sz w:val="26"/>
          <w:lang w:val="en-US"/>
        </w:rPr>
        <w:t xml:space="preserve">PG&amp;E’s </w:t>
      </w:r>
      <w:r w:rsidRPr="004C139F">
        <w:rPr>
          <w:sz w:val="26"/>
          <w:lang w:val="en-US"/>
        </w:rPr>
        <w:t xml:space="preserve">Form 79-1147.  As noted above, this Resolution agrees with PG&amp;E’s arguments that the indemnification language provides additional protection from third party misuse of data when access is authorized by a customer or directed by the Commission.  </w:t>
      </w:r>
    </w:p>
    <w:p w:rsidR="00035224" w:rsidRPr="004C139F" w:rsidRDefault="00035224" w:rsidP="004C139F">
      <w:pPr>
        <w:pStyle w:val="FootnoteText"/>
        <w:spacing w:after="0"/>
        <w:rPr>
          <w:sz w:val="26"/>
          <w:lang w:val="en-US"/>
        </w:rPr>
      </w:pPr>
    </w:p>
    <w:p w:rsidR="00035224" w:rsidRPr="004C139F" w:rsidRDefault="00035224" w:rsidP="004C139F">
      <w:pPr>
        <w:pStyle w:val="FootnoteText"/>
        <w:spacing w:after="0"/>
        <w:rPr>
          <w:sz w:val="26"/>
          <w:lang w:val="en-US"/>
        </w:rPr>
      </w:pPr>
      <w:r w:rsidRPr="004C139F">
        <w:rPr>
          <w:sz w:val="26"/>
          <w:lang w:val="en-US"/>
        </w:rPr>
        <w:t>C)</w:t>
      </w:r>
      <w:r w:rsidRPr="004C139F">
        <w:rPr>
          <w:sz w:val="26"/>
          <w:lang w:val="en-US"/>
        </w:rPr>
        <w:tab/>
        <w:t>SoCal Gas</w:t>
      </w:r>
    </w:p>
    <w:p w:rsidR="00035224" w:rsidRPr="004C139F" w:rsidRDefault="00035224" w:rsidP="004C139F">
      <w:pPr>
        <w:pStyle w:val="FootnoteText"/>
        <w:spacing w:after="0"/>
        <w:rPr>
          <w:sz w:val="26"/>
          <w:lang w:val="en-US"/>
        </w:rPr>
      </w:pPr>
    </w:p>
    <w:p w:rsidR="00035224" w:rsidRPr="004C139F" w:rsidRDefault="00035224" w:rsidP="004C139F">
      <w:pPr>
        <w:pStyle w:val="FootnoteText"/>
        <w:spacing w:after="0"/>
        <w:rPr>
          <w:sz w:val="26"/>
          <w:lang w:val="en-US"/>
        </w:rPr>
      </w:pPr>
      <w:r w:rsidRPr="004C139F">
        <w:rPr>
          <w:sz w:val="26"/>
          <w:lang w:val="en-US"/>
        </w:rPr>
        <w:t xml:space="preserve">This Resolution accepts SoCal Gas’ Advice Letter </w:t>
      </w:r>
      <w:r w:rsidR="00652B3A" w:rsidRPr="004C139F">
        <w:rPr>
          <w:sz w:val="26"/>
          <w:lang w:val="en-US"/>
        </w:rPr>
        <w:t xml:space="preserve">and Rule 42.  The Resolution also rejects the requests of AReM regarding the applicability of SoCal Gas’ Rule 42 to ESPs.  This Resolution agrees with SoCal Gas that the changes requested by AReM impact electricity matters and not gas matters.  </w:t>
      </w:r>
    </w:p>
    <w:p w:rsidR="00652B3A" w:rsidRPr="004C139F" w:rsidRDefault="00652B3A" w:rsidP="004C139F">
      <w:pPr>
        <w:pStyle w:val="FootnoteText"/>
        <w:spacing w:after="0"/>
        <w:rPr>
          <w:sz w:val="26"/>
          <w:lang w:val="en-US"/>
        </w:rPr>
      </w:pPr>
    </w:p>
    <w:p w:rsidR="00CD4933" w:rsidRPr="004C139F" w:rsidRDefault="00652B3A" w:rsidP="004C139F">
      <w:pPr>
        <w:pStyle w:val="FootnoteText"/>
        <w:spacing w:after="0"/>
        <w:rPr>
          <w:sz w:val="26"/>
          <w:lang w:val="en-US"/>
        </w:rPr>
      </w:pPr>
      <w:r w:rsidRPr="004C139F">
        <w:rPr>
          <w:sz w:val="26"/>
          <w:lang w:val="en-US"/>
        </w:rPr>
        <w:t>This Resolution agrees with AReM</w:t>
      </w:r>
      <w:r w:rsidR="005A0E26" w:rsidRPr="004C139F">
        <w:rPr>
          <w:sz w:val="26"/>
          <w:lang w:val="en-US"/>
        </w:rPr>
        <w:t>, however,</w:t>
      </w:r>
      <w:r w:rsidRPr="004C139F">
        <w:rPr>
          <w:sz w:val="26"/>
          <w:lang w:val="en-US"/>
        </w:rPr>
        <w:t xml:space="preserve"> that </w:t>
      </w:r>
      <w:r w:rsidR="005A0E26" w:rsidRPr="004C139F">
        <w:rPr>
          <w:sz w:val="26"/>
          <w:lang w:val="en-US"/>
        </w:rPr>
        <w:t xml:space="preserve">SoCal Gas should submit a </w:t>
      </w:r>
      <w:r w:rsidRPr="004C139F">
        <w:rPr>
          <w:sz w:val="26"/>
          <w:lang w:val="en-US"/>
        </w:rPr>
        <w:t>CISR form</w:t>
      </w:r>
      <w:r w:rsidR="005A0E26" w:rsidRPr="004C139F">
        <w:rPr>
          <w:sz w:val="26"/>
          <w:lang w:val="en-US"/>
        </w:rPr>
        <w:t xml:space="preserve"> to allow for third party access to customer usage information</w:t>
      </w:r>
      <w:r w:rsidRPr="004C139F">
        <w:rPr>
          <w:sz w:val="26"/>
          <w:lang w:val="en-US"/>
        </w:rPr>
        <w:t>, consistent with the forms submitted by SDG&amp;E, SCE, and PG&amp;E</w:t>
      </w:r>
      <w:r w:rsidR="005A0E26" w:rsidRPr="004C139F">
        <w:rPr>
          <w:sz w:val="26"/>
          <w:lang w:val="en-US"/>
        </w:rPr>
        <w:t>, and adopted in this Resolution</w:t>
      </w:r>
      <w:r w:rsidRPr="004C139F">
        <w:rPr>
          <w:sz w:val="26"/>
          <w:lang w:val="en-US"/>
        </w:rPr>
        <w:t xml:space="preserve">.  SoCal Gas’ arguments against this request are not persuasive.  Upon reviewing both D.10-04-027 and D.12-08-045, it is clear that the Commission </w:t>
      </w:r>
      <w:r w:rsidR="00327C4A" w:rsidRPr="004C139F">
        <w:rPr>
          <w:sz w:val="26"/>
          <w:lang w:val="en-US"/>
        </w:rPr>
        <w:t xml:space="preserve">directed SoCal Gas to allow customers to authorize a third party to access their usage information.  D.10-04-027 directed SoCal Gas to make access to customer usage information available to authorized third parties “concurrently with meter installation,” but also to “utilize any resulting direction [from </w:t>
      </w:r>
      <w:r w:rsidR="00BD1D42" w:rsidRPr="004C139F">
        <w:rPr>
          <w:sz w:val="26"/>
          <w:lang w:val="en-US"/>
        </w:rPr>
        <w:br/>
      </w:r>
      <w:r w:rsidR="00327C4A" w:rsidRPr="004C139F">
        <w:rPr>
          <w:sz w:val="26"/>
          <w:lang w:val="en-US"/>
        </w:rPr>
        <w:t>R.08-12-009] to meet the target we set here to ensure meter data can be made available to authorized third parties as meters are installed”</w:t>
      </w:r>
      <w:r w:rsidR="00327C4A" w:rsidRPr="001F252C">
        <w:rPr>
          <w:rStyle w:val="FootnoteReference"/>
          <w:rFonts w:ascii="Palatino Linotype" w:hAnsi="Palatino Linotype"/>
          <w:lang w:val="en-US" w:eastAsia="en-US"/>
        </w:rPr>
        <w:footnoteReference w:id="62"/>
      </w:r>
      <w:r w:rsidR="00327C4A" w:rsidRPr="001F252C">
        <w:rPr>
          <w:rStyle w:val="FootnoteReference"/>
          <w:rFonts w:ascii="Palatino Linotype" w:hAnsi="Palatino Linotype"/>
          <w:lang w:val="en-US" w:eastAsia="en-US"/>
        </w:rPr>
        <w:t xml:space="preserve"> </w:t>
      </w:r>
      <w:r w:rsidR="00327C4A" w:rsidRPr="004C139F">
        <w:rPr>
          <w:sz w:val="26"/>
          <w:lang w:val="en-US"/>
        </w:rPr>
        <w:t>(italics added)</w:t>
      </w:r>
      <w:r w:rsidR="00D133EE" w:rsidRPr="004C139F">
        <w:rPr>
          <w:sz w:val="26"/>
          <w:lang w:val="en-US"/>
        </w:rPr>
        <w:t>.</w:t>
      </w:r>
      <w:r w:rsidR="00327C4A" w:rsidRPr="004C139F">
        <w:rPr>
          <w:sz w:val="26"/>
          <w:lang w:val="en-US"/>
        </w:rPr>
        <w:t xml:space="preserve"> </w:t>
      </w:r>
      <w:r w:rsidR="00BD1D42" w:rsidRPr="004C139F">
        <w:rPr>
          <w:sz w:val="26"/>
          <w:lang w:val="en-US"/>
        </w:rPr>
        <w:br/>
      </w:r>
      <w:r w:rsidR="00327C4A" w:rsidRPr="004C139F">
        <w:rPr>
          <w:sz w:val="26"/>
          <w:lang w:val="en-US"/>
        </w:rPr>
        <w:t>D.12-08-045 did not alter the time frame for making third party access available, and SoCal Gas’ Advice Letter filing made no showing or argument for not including a CISR form</w:t>
      </w:r>
      <w:r w:rsidR="005A0E26" w:rsidRPr="004C139F">
        <w:rPr>
          <w:sz w:val="26"/>
          <w:lang w:val="en-US"/>
        </w:rPr>
        <w:t xml:space="preserve"> for third party access to customer usage information</w:t>
      </w:r>
      <w:r w:rsidR="00327C4A" w:rsidRPr="004C139F">
        <w:rPr>
          <w:sz w:val="26"/>
          <w:lang w:val="en-US"/>
        </w:rPr>
        <w:t>.  SoCal Gas’ defense in their Reply is not persuasive; as D.10-04-027 states, third party access to data should be done concurrently with AMI installation, not upon full deployment.  This Resolution directs SoCal Gas to file a Tier 1 advice letter within 15 days of approval of th</w:t>
      </w:r>
      <w:r w:rsidR="005A0E26" w:rsidRPr="004C139F">
        <w:rPr>
          <w:sz w:val="26"/>
          <w:lang w:val="en-US"/>
        </w:rPr>
        <w:t xml:space="preserve">is Resolution submitting a </w:t>
      </w:r>
      <w:r w:rsidR="00327C4A" w:rsidRPr="004C139F">
        <w:rPr>
          <w:sz w:val="26"/>
          <w:lang w:val="en-US"/>
        </w:rPr>
        <w:t>CISR form</w:t>
      </w:r>
      <w:r w:rsidR="005A0E26" w:rsidRPr="004C139F">
        <w:rPr>
          <w:sz w:val="26"/>
          <w:lang w:val="en-US"/>
        </w:rPr>
        <w:t xml:space="preserve"> allowing third party access to customer usage information</w:t>
      </w:r>
      <w:r w:rsidR="00327C4A" w:rsidRPr="004C139F">
        <w:rPr>
          <w:sz w:val="26"/>
          <w:lang w:val="en-US"/>
        </w:rPr>
        <w:t>, consistent with the CISR forms approved in this Resolution.</w:t>
      </w:r>
    </w:p>
    <w:p w:rsidR="00D133EE" w:rsidRPr="004C139F" w:rsidRDefault="00D133EE" w:rsidP="004C139F">
      <w:pPr>
        <w:pStyle w:val="FootnoteText"/>
        <w:spacing w:after="0"/>
        <w:rPr>
          <w:sz w:val="26"/>
          <w:lang w:val="en-US"/>
        </w:rPr>
      </w:pPr>
    </w:p>
    <w:p w:rsidR="00CF17DE" w:rsidRPr="001C1256" w:rsidRDefault="00CF17DE" w:rsidP="001C1256">
      <w:pPr>
        <w:pStyle w:val="Heading1"/>
        <w:spacing w:before="0" w:after="120"/>
      </w:pPr>
      <w:r w:rsidRPr="001C1256">
        <w:t>Co</w:t>
      </w:r>
      <w:r w:rsidR="00DC0CF8" w:rsidRPr="001C1256">
        <w:t>mm</w:t>
      </w:r>
      <w:r w:rsidRPr="001C1256">
        <w:t>ents</w:t>
      </w:r>
    </w:p>
    <w:p w:rsidR="00CF17DE" w:rsidRPr="004C139F" w:rsidRDefault="00CF17DE" w:rsidP="004C139F">
      <w:pPr>
        <w:pStyle w:val="FootnoteText"/>
        <w:spacing w:after="0"/>
        <w:rPr>
          <w:sz w:val="26"/>
          <w:lang w:val="en-US"/>
        </w:rPr>
      </w:pPr>
      <w:r w:rsidRPr="004C139F">
        <w:rPr>
          <w:sz w:val="26"/>
          <w:lang w:val="en-US"/>
        </w:rPr>
        <w:t xml:space="preserve">Public Utilities Code section 311(g)(1) provides that this resolution </w:t>
      </w:r>
      <w:r w:rsidR="00DC0CF8" w:rsidRPr="004C139F">
        <w:rPr>
          <w:sz w:val="26"/>
          <w:lang w:val="en-US"/>
        </w:rPr>
        <w:t>m</w:t>
      </w:r>
      <w:r w:rsidRPr="004C139F">
        <w:rPr>
          <w:sz w:val="26"/>
          <w:lang w:val="en-US"/>
        </w:rPr>
        <w:t>ust be served on all parties and subject to at least 30 days public review and co</w:t>
      </w:r>
      <w:r w:rsidR="00DC0CF8" w:rsidRPr="004C139F">
        <w:rPr>
          <w:sz w:val="26"/>
          <w:lang w:val="en-US"/>
        </w:rPr>
        <w:t>mm</w:t>
      </w:r>
      <w:r w:rsidRPr="004C139F">
        <w:rPr>
          <w:sz w:val="26"/>
          <w:lang w:val="en-US"/>
        </w:rPr>
        <w:t xml:space="preserve">ent prior to a vote of the </w:t>
      </w:r>
      <w:r w:rsidR="00A52ED5" w:rsidRPr="004C139F">
        <w:rPr>
          <w:sz w:val="26"/>
          <w:lang w:val="en-US"/>
        </w:rPr>
        <w:t>CPUC</w:t>
      </w:r>
      <w:r w:rsidRPr="004C139F">
        <w:rPr>
          <w:sz w:val="26"/>
          <w:lang w:val="en-US"/>
        </w:rPr>
        <w:t xml:space="preserve">.  Section 311(g)(2) provides that this 30-day period </w:t>
      </w:r>
      <w:r w:rsidR="00DC0CF8" w:rsidRPr="004C139F">
        <w:rPr>
          <w:sz w:val="26"/>
          <w:lang w:val="en-US"/>
        </w:rPr>
        <w:t>m</w:t>
      </w:r>
      <w:r w:rsidRPr="004C139F">
        <w:rPr>
          <w:sz w:val="26"/>
          <w:lang w:val="en-US"/>
        </w:rPr>
        <w:t xml:space="preserve">ay be reduced or waived upon the stipulation of all parties in the proceeding.  </w:t>
      </w:r>
    </w:p>
    <w:p w:rsidR="008C4AFB" w:rsidRPr="004C139F" w:rsidRDefault="008C4AFB" w:rsidP="004C139F">
      <w:pPr>
        <w:pStyle w:val="FootnoteText"/>
        <w:spacing w:after="0"/>
        <w:rPr>
          <w:sz w:val="26"/>
          <w:lang w:val="en-US"/>
        </w:rPr>
      </w:pPr>
    </w:p>
    <w:p w:rsidR="0024781D" w:rsidRPr="004C139F" w:rsidRDefault="00CF17DE" w:rsidP="004C139F">
      <w:pPr>
        <w:pStyle w:val="FootnoteText"/>
        <w:spacing w:after="0"/>
        <w:rPr>
          <w:sz w:val="26"/>
          <w:lang w:val="en-US"/>
        </w:rPr>
      </w:pPr>
      <w:r w:rsidRPr="004C139F">
        <w:rPr>
          <w:sz w:val="26"/>
          <w:lang w:val="en-US"/>
        </w:rPr>
        <w:t>The 30-day co</w:t>
      </w:r>
      <w:r w:rsidR="00DC0CF8" w:rsidRPr="004C139F">
        <w:rPr>
          <w:sz w:val="26"/>
          <w:lang w:val="en-US"/>
        </w:rPr>
        <w:t>mm</w:t>
      </w:r>
      <w:r w:rsidRPr="004C139F">
        <w:rPr>
          <w:sz w:val="26"/>
          <w:lang w:val="en-US"/>
        </w:rPr>
        <w:t xml:space="preserve">ent period for the draft of this resolution was neither waived </w:t>
      </w:r>
      <w:r w:rsidR="00E75DBF" w:rsidRPr="004C139F">
        <w:rPr>
          <w:sz w:val="26"/>
          <w:lang w:val="en-US"/>
        </w:rPr>
        <w:t>n</w:t>
      </w:r>
      <w:r w:rsidRPr="004C139F">
        <w:rPr>
          <w:sz w:val="26"/>
          <w:lang w:val="en-US"/>
        </w:rPr>
        <w:t xml:space="preserve">or reduced.  Accordingly, this draft resolution was </w:t>
      </w:r>
      <w:r w:rsidR="00DC0CF8" w:rsidRPr="004C139F">
        <w:rPr>
          <w:sz w:val="26"/>
          <w:lang w:val="en-US"/>
        </w:rPr>
        <w:t>m</w:t>
      </w:r>
      <w:r w:rsidRPr="004C139F">
        <w:rPr>
          <w:sz w:val="26"/>
          <w:lang w:val="en-US"/>
        </w:rPr>
        <w:t>ailed to parties for co</w:t>
      </w:r>
      <w:r w:rsidR="00DC0CF8" w:rsidRPr="004C139F">
        <w:rPr>
          <w:sz w:val="26"/>
          <w:lang w:val="en-US"/>
        </w:rPr>
        <w:t>mm</w:t>
      </w:r>
      <w:r w:rsidRPr="004C139F">
        <w:rPr>
          <w:sz w:val="26"/>
          <w:lang w:val="en-US"/>
        </w:rPr>
        <w:t>ents</w:t>
      </w:r>
      <w:r w:rsidR="0024781D" w:rsidRPr="004C139F">
        <w:rPr>
          <w:sz w:val="26"/>
          <w:lang w:val="en-US"/>
        </w:rPr>
        <w:t xml:space="preserve"> on August 6</w:t>
      </w:r>
      <w:r w:rsidRPr="004C139F">
        <w:rPr>
          <w:sz w:val="26"/>
          <w:lang w:val="en-US"/>
        </w:rPr>
        <w:t xml:space="preserve">, </w:t>
      </w:r>
      <w:r w:rsidR="003170FD" w:rsidRPr="004C139F">
        <w:rPr>
          <w:sz w:val="26"/>
          <w:lang w:val="en-US"/>
        </w:rPr>
        <w:t xml:space="preserve">2013, </w:t>
      </w:r>
      <w:r w:rsidRPr="004C139F">
        <w:rPr>
          <w:sz w:val="26"/>
          <w:lang w:val="en-US"/>
        </w:rPr>
        <w:t xml:space="preserve">and </w:t>
      </w:r>
      <w:r w:rsidR="0024781D" w:rsidRPr="004C139F">
        <w:rPr>
          <w:sz w:val="26"/>
          <w:lang w:val="en-US"/>
        </w:rPr>
        <w:t xml:space="preserve">was </w:t>
      </w:r>
      <w:r w:rsidRPr="004C139F">
        <w:rPr>
          <w:sz w:val="26"/>
          <w:lang w:val="en-US"/>
        </w:rPr>
        <w:t xml:space="preserve">placed on the </w:t>
      </w:r>
      <w:r w:rsidR="00A52ED5" w:rsidRPr="004C139F">
        <w:rPr>
          <w:sz w:val="26"/>
          <w:lang w:val="en-US"/>
        </w:rPr>
        <w:t>CPUC</w:t>
      </w:r>
      <w:r w:rsidRPr="004C139F">
        <w:rPr>
          <w:sz w:val="26"/>
          <w:lang w:val="en-US"/>
        </w:rPr>
        <w:t>'s agenda no earlier than 30 days fro</w:t>
      </w:r>
      <w:r w:rsidR="00DC0CF8" w:rsidRPr="004C139F">
        <w:rPr>
          <w:sz w:val="26"/>
          <w:lang w:val="en-US"/>
        </w:rPr>
        <w:t>m</w:t>
      </w:r>
      <w:r w:rsidRPr="004C139F">
        <w:rPr>
          <w:sz w:val="26"/>
          <w:lang w:val="en-US"/>
        </w:rPr>
        <w:t xml:space="preserve"> </w:t>
      </w:r>
      <w:r w:rsidR="0024781D" w:rsidRPr="004C139F">
        <w:rPr>
          <w:sz w:val="26"/>
          <w:lang w:val="en-US"/>
        </w:rPr>
        <w:t>the mail date</w:t>
      </w:r>
      <w:r w:rsidRPr="004C139F">
        <w:rPr>
          <w:sz w:val="26"/>
          <w:lang w:val="en-US"/>
        </w:rPr>
        <w:t>.</w:t>
      </w:r>
    </w:p>
    <w:p w:rsidR="0024781D" w:rsidRPr="004C139F" w:rsidRDefault="0024781D" w:rsidP="004C139F">
      <w:pPr>
        <w:pStyle w:val="FootnoteText"/>
        <w:spacing w:after="0"/>
        <w:rPr>
          <w:sz w:val="26"/>
          <w:lang w:val="en-US"/>
        </w:rPr>
      </w:pPr>
    </w:p>
    <w:p w:rsidR="003170FD" w:rsidRPr="004C139F" w:rsidRDefault="0024781D" w:rsidP="004C139F">
      <w:pPr>
        <w:pStyle w:val="FootnoteText"/>
        <w:spacing w:after="0"/>
        <w:rPr>
          <w:sz w:val="26"/>
          <w:lang w:val="en-US"/>
        </w:rPr>
      </w:pPr>
      <w:r w:rsidRPr="004C139F">
        <w:rPr>
          <w:sz w:val="26"/>
          <w:lang w:val="en-US"/>
        </w:rPr>
        <w:t>Co</w:t>
      </w:r>
      <w:r w:rsidR="00064F35" w:rsidRPr="004C139F">
        <w:rPr>
          <w:sz w:val="26"/>
          <w:lang w:val="en-US"/>
        </w:rPr>
        <w:t xml:space="preserve">mments on the Draft Resolution </w:t>
      </w:r>
      <w:r w:rsidRPr="004C139F">
        <w:rPr>
          <w:sz w:val="26"/>
          <w:lang w:val="en-US"/>
        </w:rPr>
        <w:t xml:space="preserve">were filed by SCE, </w:t>
      </w:r>
      <w:r w:rsidR="003170FD" w:rsidRPr="004C139F">
        <w:rPr>
          <w:sz w:val="26"/>
          <w:lang w:val="en-US"/>
        </w:rPr>
        <w:t xml:space="preserve">SCG, </w:t>
      </w:r>
      <w:r w:rsidRPr="004C139F">
        <w:rPr>
          <w:sz w:val="26"/>
          <w:lang w:val="en-US"/>
        </w:rPr>
        <w:t xml:space="preserve">PG&amp;E, </w:t>
      </w:r>
      <w:r w:rsidR="003170FD" w:rsidRPr="004C139F">
        <w:rPr>
          <w:sz w:val="26"/>
          <w:lang w:val="en-US"/>
        </w:rPr>
        <w:t>AReM/DACC/SPURR, Marin Energy Authority (MEA)</w:t>
      </w:r>
      <w:r w:rsidRPr="004C139F">
        <w:rPr>
          <w:sz w:val="26"/>
          <w:lang w:val="en-US"/>
        </w:rPr>
        <w:t xml:space="preserve">, </w:t>
      </w:r>
      <w:r w:rsidR="003170FD" w:rsidRPr="004C139F">
        <w:rPr>
          <w:sz w:val="26"/>
          <w:lang w:val="en-US"/>
        </w:rPr>
        <w:t>and EnerNOC</w:t>
      </w:r>
      <w:r w:rsidR="0027402D" w:rsidRPr="004C139F">
        <w:rPr>
          <w:sz w:val="26"/>
          <w:lang w:val="en-US"/>
        </w:rPr>
        <w:t xml:space="preserve"> on August 26, 2013</w:t>
      </w:r>
      <w:r w:rsidR="003170FD" w:rsidRPr="004C139F">
        <w:rPr>
          <w:sz w:val="26"/>
          <w:lang w:val="en-US"/>
        </w:rPr>
        <w:t>.</w:t>
      </w:r>
    </w:p>
    <w:p w:rsidR="0024781D" w:rsidRPr="004C139F" w:rsidRDefault="0024781D" w:rsidP="004C139F">
      <w:pPr>
        <w:pStyle w:val="FootnoteText"/>
        <w:spacing w:after="0"/>
        <w:rPr>
          <w:sz w:val="26"/>
          <w:lang w:val="en-US"/>
        </w:rPr>
      </w:pPr>
    </w:p>
    <w:p w:rsidR="0024781D" w:rsidRPr="004C139F" w:rsidRDefault="0027402D" w:rsidP="004C139F">
      <w:pPr>
        <w:pStyle w:val="FootnoteText"/>
        <w:spacing w:after="0"/>
        <w:rPr>
          <w:sz w:val="26"/>
          <w:lang w:val="en-US"/>
        </w:rPr>
      </w:pPr>
      <w:r w:rsidRPr="004C139F">
        <w:rPr>
          <w:sz w:val="26"/>
          <w:lang w:val="en-US"/>
        </w:rPr>
        <w:t>One r</w:t>
      </w:r>
      <w:r w:rsidR="0024781D" w:rsidRPr="004C139F">
        <w:rPr>
          <w:sz w:val="26"/>
          <w:lang w:val="en-US"/>
        </w:rPr>
        <w:t xml:space="preserve">eply comments </w:t>
      </w:r>
      <w:r w:rsidRPr="004C139F">
        <w:rPr>
          <w:sz w:val="26"/>
          <w:lang w:val="en-US"/>
        </w:rPr>
        <w:t xml:space="preserve">was </w:t>
      </w:r>
      <w:r w:rsidR="0024781D" w:rsidRPr="004C139F">
        <w:rPr>
          <w:sz w:val="26"/>
          <w:lang w:val="en-US"/>
        </w:rPr>
        <w:t xml:space="preserve">received from </w:t>
      </w:r>
      <w:r w:rsidR="007C73BD" w:rsidRPr="004C139F">
        <w:rPr>
          <w:sz w:val="26"/>
          <w:lang w:val="en-US"/>
        </w:rPr>
        <w:t>SCG</w:t>
      </w:r>
      <w:r w:rsidR="0024781D" w:rsidRPr="004C139F">
        <w:rPr>
          <w:sz w:val="26"/>
          <w:lang w:val="en-US"/>
        </w:rPr>
        <w:t xml:space="preserve"> on </w:t>
      </w:r>
      <w:r w:rsidR="003170FD" w:rsidRPr="004C139F">
        <w:rPr>
          <w:sz w:val="26"/>
          <w:lang w:val="en-US"/>
        </w:rPr>
        <w:t>August 30</w:t>
      </w:r>
      <w:r w:rsidR="0024781D" w:rsidRPr="004C139F">
        <w:rPr>
          <w:sz w:val="26"/>
          <w:lang w:val="en-US"/>
        </w:rPr>
        <w:t>, 201</w:t>
      </w:r>
      <w:r w:rsidR="003170FD" w:rsidRPr="004C139F">
        <w:rPr>
          <w:sz w:val="26"/>
          <w:lang w:val="en-US"/>
        </w:rPr>
        <w:t>3</w:t>
      </w:r>
      <w:r w:rsidR="0024781D" w:rsidRPr="004C139F">
        <w:rPr>
          <w:sz w:val="26"/>
          <w:lang w:val="en-US"/>
        </w:rPr>
        <w:t>.</w:t>
      </w:r>
    </w:p>
    <w:p w:rsidR="0024781D" w:rsidRPr="004C139F" w:rsidRDefault="0024781D" w:rsidP="004C139F">
      <w:pPr>
        <w:pStyle w:val="FootnoteText"/>
        <w:spacing w:after="0"/>
        <w:rPr>
          <w:sz w:val="26"/>
          <w:lang w:val="en-US"/>
        </w:rPr>
      </w:pPr>
    </w:p>
    <w:p w:rsidR="0024781D" w:rsidRPr="004C139F" w:rsidRDefault="0024781D" w:rsidP="004C139F">
      <w:pPr>
        <w:pStyle w:val="FootnoteText"/>
        <w:spacing w:after="0"/>
        <w:rPr>
          <w:sz w:val="26"/>
          <w:lang w:val="en-US"/>
        </w:rPr>
      </w:pPr>
      <w:r w:rsidRPr="004C139F">
        <w:rPr>
          <w:sz w:val="26"/>
          <w:lang w:val="en-US"/>
        </w:rPr>
        <w:t>A summary of the comments submitted by the parties and this Resolution’s response is provided below</w:t>
      </w:r>
      <w:r w:rsidR="0021672F" w:rsidRPr="004C139F">
        <w:rPr>
          <w:sz w:val="26"/>
          <w:lang w:val="en-US"/>
        </w:rPr>
        <w:t>.</w:t>
      </w:r>
      <w:r w:rsidRPr="004C139F">
        <w:rPr>
          <w:sz w:val="26"/>
          <w:lang w:val="en-US"/>
        </w:rPr>
        <w:t xml:space="preserve"> </w:t>
      </w:r>
    </w:p>
    <w:p w:rsidR="0024781D" w:rsidRPr="004C139F" w:rsidRDefault="0024781D" w:rsidP="004C139F">
      <w:pPr>
        <w:pStyle w:val="FootnoteText"/>
        <w:spacing w:after="0"/>
        <w:rPr>
          <w:sz w:val="26"/>
          <w:lang w:val="en-US"/>
        </w:rPr>
      </w:pPr>
    </w:p>
    <w:p w:rsidR="003170FD" w:rsidRPr="004C139F" w:rsidRDefault="0001653D" w:rsidP="004C139F">
      <w:pPr>
        <w:pStyle w:val="FootnoteText"/>
        <w:spacing w:after="0"/>
        <w:rPr>
          <w:sz w:val="26"/>
          <w:lang w:val="en-US"/>
        </w:rPr>
      </w:pPr>
      <w:r w:rsidRPr="004C139F">
        <w:rPr>
          <w:sz w:val="26"/>
          <w:lang w:val="en-US"/>
        </w:rPr>
        <w:t xml:space="preserve">SCE agrees </w:t>
      </w:r>
      <w:r w:rsidR="00EF1E86" w:rsidRPr="004C139F">
        <w:rPr>
          <w:sz w:val="26"/>
          <w:lang w:val="en-US"/>
        </w:rPr>
        <w:t xml:space="preserve">the </w:t>
      </w:r>
      <w:r w:rsidR="00064F35" w:rsidRPr="004C139F">
        <w:rPr>
          <w:sz w:val="26"/>
          <w:lang w:val="en-US"/>
        </w:rPr>
        <w:t xml:space="preserve">Resolution </w:t>
      </w:r>
      <w:r w:rsidRPr="004C139F">
        <w:rPr>
          <w:sz w:val="26"/>
          <w:lang w:val="en-US"/>
        </w:rPr>
        <w:t xml:space="preserve">appropriately 1) finds that the utilities submitted their tariffs in a consistent manner, and 2) rejects parties’ protests seeking modifications </w:t>
      </w:r>
      <w:r w:rsidR="00EF1E86" w:rsidRPr="004C139F">
        <w:rPr>
          <w:sz w:val="26"/>
          <w:lang w:val="en-US"/>
        </w:rPr>
        <w:t xml:space="preserve">to the </w:t>
      </w:r>
      <w:r w:rsidRPr="004C139F">
        <w:rPr>
          <w:sz w:val="26"/>
          <w:lang w:val="en-US"/>
        </w:rPr>
        <w:t>tariff rule and CISR form.</w:t>
      </w:r>
    </w:p>
    <w:p w:rsidR="0001653D" w:rsidRPr="004C139F" w:rsidRDefault="0001653D" w:rsidP="004C139F">
      <w:pPr>
        <w:pStyle w:val="FootnoteText"/>
        <w:spacing w:after="0"/>
        <w:rPr>
          <w:sz w:val="26"/>
          <w:lang w:val="en-US"/>
        </w:rPr>
      </w:pPr>
    </w:p>
    <w:p w:rsidR="0001653D" w:rsidRPr="004C139F" w:rsidRDefault="0001653D" w:rsidP="004C139F">
      <w:pPr>
        <w:pStyle w:val="FootnoteText"/>
        <w:spacing w:after="0"/>
        <w:rPr>
          <w:sz w:val="26"/>
          <w:lang w:val="en-US"/>
        </w:rPr>
      </w:pPr>
      <w:r w:rsidRPr="004C139F">
        <w:rPr>
          <w:sz w:val="26"/>
          <w:lang w:val="en-US"/>
        </w:rPr>
        <w:t xml:space="preserve">PG&amp;E supports </w:t>
      </w:r>
      <w:r w:rsidR="00EF1E86" w:rsidRPr="004C139F">
        <w:rPr>
          <w:sz w:val="26"/>
          <w:lang w:val="en-US"/>
        </w:rPr>
        <w:t xml:space="preserve">the </w:t>
      </w:r>
      <w:r w:rsidR="00064F35" w:rsidRPr="004C139F">
        <w:rPr>
          <w:sz w:val="26"/>
          <w:lang w:val="en-US"/>
        </w:rPr>
        <w:t>Resolution</w:t>
      </w:r>
      <w:r w:rsidRPr="004C139F">
        <w:rPr>
          <w:sz w:val="26"/>
          <w:lang w:val="en-US"/>
        </w:rPr>
        <w:t>’s acceptance of the proposed tariff and CISR form.</w:t>
      </w:r>
    </w:p>
    <w:p w:rsidR="0001653D" w:rsidRPr="004C139F" w:rsidRDefault="0001653D" w:rsidP="004C139F">
      <w:pPr>
        <w:pStyle w:val="FootnoteText"/>
        <w:spacing w:after="0"/>
        <w:rPr>
          <w:sz w:val="26"/>
          <w:lang w:val="en-US"/>
        </w:rPr>
      </w:pPr>
    </w:p>
    <w:p w:rsidR="00AD0E62" w:rsidRPr="004C139F" w:rsidRDefault="00BC3487" w:rsidP="004C139F">
      <w:pPr>
        <w:pStyle w:val="FootnoteText"/>
        <w:spacing w:after="0"/>
        <w:rPr>
          <w:sz w:val="26"/>
          <w:lang w:val="en-US"/>
        </w:rPr>
      </w:pPr>
      <w:r w:rsidRPr="004C139F">
        <w:rPr>
          <w:sz w:val="26"/>
          <w:lang w:val="en-US"/>
        </w:rPr>
        <w:t xml:space="preserve">SCG supports </w:t>
      </w:r>
      <w:r w:rsidR="00EF1E86" w:rsidRPr="004C139F">
        <w:rPr>
          <w:sz w:val="26"/>
          <w:lang w:val="en-US"/>
        </w:rPr>
        <w:t xml:space="preserve">the </w:t>
      </w:r>
      <w:r w:rsidR="00064F35" w:rsidRPr="004C139F">
        <w:rPr>
          <w:sz w:val="26"/>
          <w:lang w:val="en-US"/>
        </w:rPr>
        <w:t>Resolution</w:t>
      </w:r>
      <w:r w:rsidRPr="004C139F">
        <w:rPr>
          <w:sz w:val="26"/>
          <w:lang w:val="en-US"/>
        </w:rPr>
        <w:t xml:space="preserve"> and</w:t>
      </w:r>
      <w:r w:rsidR="0001653D" w:rsidRPr="004C139F">
        <w:rPr>
          <w:sz w:val="26"/>
          <w:lang w:val="en-US"/>
        </w:rPr>
        <w:t xml:space="preserve"> requests </w:t>
      </w:r>
      <w:r w:rsidR="0002799E" w:rsidRPr="004C139F">
        <w:rPr>
          <w:sz w:val="26"/>
          <w:lang w:val="en-US"/>
        </w:rPr>
        <w:t xml:space="preserve">one </w:t>
      </w:r>
      <w:r w:rsidR="0001653D" w:rsidRPr="004C139F">
        <w:rPr>
          <w:sz w:val="26"/>
          <w:lang w:val="en-US"/>
        </w:rPr>
        <w:t xml:space="preserve">modification </w:t>
      </w:r>
      <w:r w:rsidR="0002799E" w:rsidRPr="004C139F">
        <w:rPr>
          <w:sz w:val="26"/>
          <w:lang w:val="en-US"/>
        </w:rPr>
        <w:t xml:space="preserve">to the second ordering paragraph </w:t>
      </w:r>
      <w:r w:rsidR="0001653D" w:rsidRPr="004C139F">
        <w:rPr>
          <w:sz w:val="26"/>
          <w:lang w:val="en-US"/>
        </w:rPr>
        <w:t xml:space="preserve">to </w:t>
      </w:r>
      <w:r w:rsidR="0002799E" w:rsidRPr="004C139F">
        <w:rPr>
          <w:sz w:val="26"/>
          <w:lang w:val="en-US"/>
        </w:rPr>
        <w:t xml:space="preserve">additionally </w:t>
      </w:r>
      <w:r w:rsidR="00E81AA7" w:rsidRPr="004C139F">
        <w:rPr>
          <w:sz w:val="26"/>
          <w:lang w:val="en-US"/>
        </w:rPr>
        <w:t xml:space="preserve">update </w:t>
      </w:r>
      <w:r w:rsidR="0001653D" w:rsidRPr="004C139F">
        <w:rPr>
          <w:sz w:val="26"/>
          <w:lang w:val="en-US"/>
        </w:rPr>
        <w:t xml:space="preserve">certain </w:t>
      </w:r>
      <w:r w:rsidR="00E81AA7" w:rsidRPr="004C139F">
        <w:rPr>
          <w:sz w:val="26"/>
          <w:lang w:val="en-US"/>
        </w:rPr>
        <w:t xml:space="preserve">other </w:t>
      </w:r>
      <w:r w:rsidR="0001653D" w:rsidRPr="004C139F">
        <w:rPr>
          <w:sz w:val="26"/>
          <w:lang w:val="en-US"/>
        </w:rPr>
        <w:t xml:space="preserve">existing </w:t>
      </w:r>
      <w:r w:rsidR="00E81AA7" w:rsidRPr="004C139F">
        <w:rPr>
          <w:sz w:val="26"/>
          <w:lang w:val="en-US"/>
        </w:rPr>
        <w:t xml:space="preserve">CISR </w:t>
      </w:r>
      <w:r w:rsidR="0001653D" w:rsidRPr="004C139F">
        <w:rPr>
          <w:sz w:val="26"/>
          <w:lang w:val="en-US"/>
        </w:rPr>
        <w:t xml:space="preserve">forms </w:t>
      </w:r>
      <w:r w:rsidR="0002799E" w:rsidRPr="004C139F">
        <w:rPr>
          <w:sz w:val="26"/>
          <w:lang w:val="en-US"/>
        </w:rPr>
        <w:t xml:space="preserve">with a form also consistent with other utilities.  Having received no objection to the proposed modification, the </w:t>
      </w:r>
      <w:r w:rsidR="00AD0E62" w:rsidRPr="004C139F">
        <w:rPr>
          <w:sz w:val="26"/>
          <w:lang w:val="en-US"/>
        </w:rPr>
        <w:t>change is accepted by this Resolution.</w:t>
      </w:r>
    </w:p>
    <w:p w:rsidR="0001653D" w:rsidRPr="004C139F" w:rsidRDefault="0001653D" w:rsidP="004C139F">
      <w:pPr>
        <w:pStyle w:val="FootnoteText"/>
        <w:spacing w:after="0"/>
        <w:rPr>
          <w:sz w:val="26"/>
          <w:lang w:val="en-US"/>
        </w:rPr>
      </w:pPr>
    </w:p>
    <w:p w:rsidR="00EF1037" w:rsidRPr="004C139F" w:rsidRDefault="00DA51E6" w:rsidP="004C139F">
      <w:pPr>
        <w:pStyle w:val="FootnoteText"/>
        <w:spacing w:after="0"/>
        <w:rPr>
          <w:sz w:val="26"/>
          <w:lang w:val="en-US"/>
        </w:rPr>
      </w:pPr>
      <w:r w:rsidRPr="004C139F">
        <w:rPr>
          <w:sz w:val="26"/>
          <w:lang w:val="en-US"/>
        </w:rPr>
        <w:t xml:space="preserve">AReM/DACC/SPURR (AReM) assert that </w:t>
      </w:r>
      <w:r w:rsidR="00201C47" w:rsidRPr="004C139F">
        <w:rPr>
          <w:sz w:val="26"/>
          <w:lang w:val="en-US"/>
        </w:rPr>
        <w:t xml:space="preserve">the </w:t>
      </w:r>
      <w:r w:rsidR="00C376DA" w:rsidRPr="004C139F">
        <w:rPr>
          <w:sz w:val="26"/>
          <w:lang w:val="en-US"/>
        </w:rPr>
        <w:t xml:space="preserve">Draft </w:t>
      </w:r>
      <w:r w:rsidR="00064F35" w:rsidRPr="004C139F">
        <w:rPr>
          <w:sz w:val="26"/>
          <w:lang w:val="en-US"/>
        </w:rPr>
        <w:t>Resolution</w:t>
      </w:r>
      <w:r w:rsidRPr="004C139F">
        <w:rPr>
          <w:sz w:val="26"/>
          <w:lang w:val="en-US"/>
        </w:rPr>
        <w:t xml:space="preserve"> errs in rejecting its request </w:t>
      </w:r>
      <w:r w:rsidR="00EF1E86" w:rsidRPr="004C139F">
        <w:rPr>
          <w:sz w:val="26"/>
          <w:lang w:val="en-US"/>
        </w:rPr>
        <w:t>for</w:t>
      </w:r>
      <w:r w:rsidRPr="004C139F">
        <w:rPr>
          <w:sz w:val="26"/>
          <w:lang w:val="en-US"/>
        </w:rPr>
        <w:t xml:space="preserve"> modification </w:t>
      </w:r>
      <w:r w:rsidR="005317B3" w:rsidRPr="004C139F">
        <w:rPr>
          <w:sz w:val="26"/>
          <w:lang w:val="en-US"/>
        </w:rPr>
        <w:t xml:space="preserve">in the proposed tariff language </w:t>
      </w:r>
      <w:r w:rsidRPr="004C139F">
        <w:rPr>
          <w:sz w:val="26"/>
          <w:lang w:val="en-US"/>
        </w:rPr>
        <w:t>to clarify that ESPs “are not ‘covered entities’” under the proposed tariff, arguing that D.12-08-045 “implemented separate privacy”</w:t>
      </w:r>
      <w:r w:rsidR="00EF1037" w:rsidRPr="004C139F">
        <w:rPr>
          <w:sz w:val="26"/>
          <w:lang w:val="en-US"/>
        </w:rPr>
        <w:t xml:space="preserve"> rules for ESPs.  </w:t>
      </w:r>
      <w:r w:rsidR="005317B3" w:rsidRPr="004C139F">
        <w:rPr>
          <w:sz w:val="26"/>
          <w:lang w:val="en-US"/>
        </w:rPr>
        <w:t xml:space="preserve">The </w:t>
      </w:r>
      <w:r w:rsidR="00EF1037" w:rsidRPr="004C139F">
        <w:rPr>
          <w:sz w:val="26"/>
          <w:lang w:val="en-US"/>
        </w:rPr>
        <w:t>p</w:t>
      </w:r>
      <w:r w:rsidR="005317B3" w:rsidRPr="004C139F">
        <w:rPr>
          <w:sz w:val="26"/>
          <w:lang w:val="en-US"/>
        </w:rPr>
        <w:t>rotest</w:t>
      </w:r>
      <w:r w:rsidR="00EF1037" w:rsidRPr="004C139F">
        <w:rPr>
          <w:sz w:val="26"/>
          <w:lang w:val="en-US"/>
        </w:rPr>
        <w:t xml:space="preserve"> </w:t>
      </w:r>
      <w:r w:rsidR="005317B3" w:rsidRPr="004C139F">
        <w:rPr>
          <w:sz w:val="26"/>
          <w:lang w:val="en-US"/>
        </w:rPr>
        <w:t xml:space="preserve">is </w:t>
      </w:r>
      <w:r w:rsidR="00EF1037" w:rsidRPr="004C139F">
        <w:rPr>
          <w:sz w:val="26"/>
          <w:lang w:val="en-US"/>
        </w:rPr>
        <w:t xml:space="preserve">based on references to </w:t>
      </w:r>
      <w:r w:rsidR="00410683" w:rsidRPr="004C139F">
        <w:rPr>
          <w:sz w:val="26"/>
          <w:lang w:val="en-US"/>
        </w:rPr>
        <w:t xml:space="preserve">Attachment B of </w:t>
      </w:r>
      <w:r w:rsidR="00EF1037" w:rsidRPr="004C139F">
        <w:rPr>
          <w:sz w:val="26"/>
          <w:lang w:val="en-US"/>
        </w:rPr>
        <w:t>D.12-08-</w:t>
      </w:r>
      <w:r w:rsidR="00EF1E86" w:rsidRPr="004C139F">
        <w:rPr>
          <w:sz w:val="26"/>
          <w:lang w:val="en-US"/>
        </w:rPr>
        <w:t>0</w:t>
      </w:r>
      <w:r w:rsidR="00EF1037" w:rsidRPr="004C139F">
        <w:rPr>
          <w:sz w:val="26"/>
          <w:lang w:val="en-US"/>
        </w:rPr>
        <w:t xml:space="preserve">45 </w:t>
      </w:r>
      <w:r w:rsidR="005317B3" w:rsidRPr="004C139F">
        <w:rPr>
          <w:sz w:val="26"/>
          <w:lang w:val="en-US"/>
        </w:rPr>
        <w:t xml:space="preserve">that describes privacy rules applicable to ESPs &amp; CCAs </w:t>
      </w:r>
      <w:r w:rsidR="00410683" w:rsidRPr="004C139F">
        <w:rPr>
          <w:sz w:val="26"/>
          <w:lang w:val="en-US"/>
        </w:rPr>
        <w:t xml:space="preserve">and </w:t>
      </w:r>
      <w:r w:rsidR="005317B3" w:rsidRPr="004C139F">
        <w:rPr>
          <w:sz w:val="26"/>
          <w:lang w:val="en-US"/>
        </w:rPr>
        <w:t xml:space="preserve">is thus </w:t>
      </w:r>
      <w:r w:rsidR="00EF1037" w:rsidRPr="004C139F">
        <w:rPr>
          <w:sz w:val="26"/>
          <w:lang w:val="en-US"/>
        </w:rPr>
        <w:t>rejected as out of scope by this Resolution</w:t>
      </w:r>
      <w:r w:rsidR="005317B3" w:rsidRPr="004C139F">
        <w:rPr>
          <w:sz w:val="26"/>
          <w:lang w:val="en-US"/>
        </w:rPr>
        <w:t xml:space="preserve">.  The Resolution is </w:t>
      </w:r>
      <w:r w:rsidR="00EF1037" w:rsidRPr="004C139F">
        <w:rPr>
          <w:sz w:val="26"/>
          <w:lang w:val="en-US"/>
        </w:rPr>
        <w:t>focused on reviewing tariffs filed pursu</w:t>
      </w:r>
      <w:r w:rsidR="007C2FBE" w:rsidRPr="004C139F">
        <w:rPr>
          <w:sz w:val="26"/>
          <w:lang w:val="en-US"/>
        </w:rPr>
        <w:t xml:space="preserve">ant to Commission </w:t>
      </w:r>
      <w:r w:rsidR="00EF1037" w:rsidRPr="004C139F">
        <w:rPr>
          <w:sz w:val="26"/>
          <w:lang w:val="en-US"/>
        </w:rPr>
        <w:t>order</w:t>
      </w:r>
      <w:r w:rsidR="00410683" w:rsidRPr="004C139F">
        <w:rPr>
          <w:sz w:val="26"/>
          <w:lang w:val="en-US"/>
        </w:rPr>
        <w:t>s</w:t>
      </w:r>
      <w:r w:rsidR="00EF1037" w:rsidRPr="004C139F">
        <w:rPr>
          <w:sz w:val="26"/>
          <w:lang w:val="en-US"/>
        </w:rPr>
        <w:t xml:space="preserve"> in D.11-07-056</w:t>
      </w:r>
      <w:r w:rsidR="00410683" w:rsidRPr="004C139F">
        <w:rPr>
          <w:sz w:val="26"/>
          <w:lang w:val="en-US"/>
        </w:rPr>
        <w:t xml:space="preserve"> (OP #2) and D.12-08-045 (OP</w:t>
      </w:r>
      <w:r w:rsidR="005317B3" w:rsidRPr="004C139F">
        <w:rPr>
          <w:sz w:val="26"/>
          <w:lang w:val="en-US"/>
        </w:rPr>
        <w:t xml:space="preserve"> </w:t>
      </w:r>
      <w:r w:rsidR="00410683" w:rsidRPr="004C139F">
        <w:rPr>
          <w:sz w:val="26"/>
          <w:lang w:val="en-US"/>
        </w:rPr>
        <w:t>#1, 4, &amp; 6)</w:t>
      </w:r>
      <w:r w:rsidR="00EF1037" w:rsidRPr="004C139F">
        <w:rPr>
          <w:sz w:val="26"/>
          <w:lang w:val="en-US"/>
        </w:rPr>
        <w:t xml:space="preserve">, </w:t>
      </w:r>
      <w:r w:rsidR="00410683" w:rsidRPr="004C139F">
        <w:rPr>
          <w:sz w:val="26"/>
          <w:lang w:val="en-US"/>
        </w:rPr>
        <w:t xml:space="preserve">which </w:t>
      </w:r>
      <w:r w:rsidR="005317B3" w:rsidRPr="004C139F">
        <w:rPr>
          <w:sz w:val="26"/>
          <w:lang w:val="en-US"/>
        </w:rPr>
        <w:t xml:space="preserve">explicitly </w:t>
      </w:r>
      <w:r w:rsidR="00410683" w:rsidRPr="004C139F">
        <w:rPr>
          <w:sz w:val="26"/>
          <w:lang w:val="en-US"/>
        </w:rPr>
        <w:t xml:space="preserve">direct the utilities to file tariffs to implement privacy rules </w:t>
      </w:r>
      <w:r w:rsidR="005317B3" w:rsidRPr="004C139F">
        <w:rPr>
          <w:sz w:val="26"/>
          <w:lang w:val="en-US"/>
        </w:rPr>
        <w:t xml:space="preserve">applicable to the electric and gas utilities </w:t>
      </w:r>
      <w:r w:rsidR="00410683" w:rsidRPr="004C139F">
        <w:rPr>
          <w:sz w:val="26"/>
          <w:lang w:val="en-US"/>
        </w:rPr>
        <w:t xml:space="preserve">in Attachment </w:t>
      </w:r>
      <w:r w:rsidR="005317B3" w:rsidRPr="004C139F">
        <w:rPr>
          <w:sz w:val="26"/>
          <w:lang w:val="en-US"/>
        </w:rPr>
        <w:t>D</w:t>
      </w:r>
      <w:r w:rsidR="007C73BD" w:rsidRPr="004C139F">
        <w:rPr>
          <w:sz w:val="26"/>
          <w:lang w:val="en-US"/>
        </w:rPr>
        <w:t xml:space="preserve"> </w:t>
      </w:r>
      <w:r w:rsidR="00410683" w:rsidRPr="004C139F">
        <w:rPr>
          <w:sz w:val="26"/>
          <w:lang w:val="en-US"/>
        </w:rPr>
        <w:t xml:space="preserve">of </w:t>
      </w:r>
      <w:r w:rsidR="005317B3" w:rsidRPr="004C139F">
        <w:rPr>
          <w:sz w:val="26"/>
          <w:lang w:val="en-US"/>
        </w:rPr>
        <w:t>D.11-07-056 and Attachment A of D.12-08-045</w:t>
      </w:r>
      <w:r w:rsidR="00F66D62" w:rsidRPr="004C139F">
        <w:rPr>
          <w:sz w:val="26"/>
          <w:lang w:val="en-US"/>
        </w:rPr>
        <w:t xml:space="preserve"> and make no allowance for modifying the specified language in these Attachments to include an exception based on a reference to Attachment B of D.12-08-045 as proposed by AReM</w:t>
      </w:r>
      <w:r w:rsidR="00EF1037" w:rsidRPr="004C139F">
        <w:rPr>
          <w:sz w:val="26"/>
          <w:lang w:val="en-US"/>
        </w:rPr>
        <w:t>.</w:t>
      </w:r>
      <w:r w:rsidR="00EF1E86" w:rsidRPr="001F252C">
        <w:rPr>
          <w:rStyle w:val="FootnoteReference"/>
          <w:rFonts w:ascii="Palatino Linotype" w:hAnsi="Palatino Linotype"/>
          <w:lang w:val="en-US" w:eastAsia="en-US"/>
        </w:rPr>
        <w:footnoteReference w:id="63"/>
      </w:r>
      <w:r w:rsidR="00EF1E86" w:rsidRPr="001F252C">
        <w:rPr>
          <w:rStyle w:val="FootnoteReference"/>
          <w:rFonts w:ascii="Palatino Linotype" w:hAnsi="Palatino Linotype"/>
          <w:lang w:val="en-US" w:eastAsia="en-US"/>
        </w:rPr>
        <w:t xml:space="preserve">  </w:t>
      </w:r>
    </w:p>
    <w:p w:rsidR="00E81AA7" w:rsidRPr="004C139F" w:rsidRDefault="00E81AA7" w:rsidP="004C139F">
      <w:pPr>
        <w:pStyle w:val="FootnoteText"/>
        <w:spacing w:after="0"/>
        <w:rPr>
          <w:sz w:val="26"/>
          <w:lang w:val="en-US"/>
        </w:rPr>
      </w:pPr>
    </w:p>
    <w:p w:rsidR="00EB42E4" w:rsidRPr="004C139F" w:rsidRDefault="00EB42E4" w:rsidP="004C139F">
      <w:pPr>
        <w:pStyle w:val="FootnoteText"/>
        <w:spacing w:after="0"/>
        <w:rPr>
          <w:sz w:val="26"/>
          <w:lang w:val="en-US"/>
        </w:rPr>
      </w:pPr>
      <w:r w:rsidRPr="004C139F">
        <w:rPr>
          <w:sz w:val="26"/>
          <w:lang w:val="en-US"/>
        </w:rPr>
        <w:t>MEA’s protest is similar to the point raised by AReM above and is rejected for the same reason discussed above.</w:t>
      </w:r>
    </w:p>
    <w:p w:rsidR="00EB42E4" w:rsidRPr="004C139F" w:rsidRDefault="00EB42E4" w:rsidP="004C139F">
      <w:pPr>
        <w:pStyle w:val="FootnoteText"/>
        <w:spacing w:after="0"/>
        <w:rPr>
          <w:sz w:val="26"/>
          <w:lang w:val="en-US"/>
        </w:rPr>
      </w:pPr>
    </w:p>
    <w:p w:rsidR="00C13B4A" w:rsidRPr="004C139F" w:rsidRDefault="00C13B4A" w:rsidP="004C139F">
      <w:pPr>
        <w:pStyle w:val="FootnoteText"/>
        <w:spacing w:after="0"/>
        <w:rPr>
          <w:sz w:val="26"/>
          <w:lang w:val="en-US"/>
        </w:rPr>
      </w:pPr>
      <w:r w:rsidRPr="004C139F">
        <w:rPr>
          <w:sz w:val="26"/>
          <w:lang w:val="en-US"/>
        </w:rPr>
        <w:t>This Resolution rejects concerns raised by AReM</w:t>
      </w:r>
      <w:r w:rsidR="00201C47" w:rsidRPr="004C139F">
        <w:rPr>
          <w:sz w:val="26"/>
          <w:lang w:val="en-US"/>
        </w:rPr>
        <w:t xml:space="preserve"> </w:t>
      </w:r>
      <w:r w:rsidRPr="004C139F">
        <w:rPr>
          <w:sz w:val="26"/>
          <w:lang w:val="en-US"/>
        </w:rPr>
        <w:t xml:space="preserve">about the </w:t>
      </w:r>
      <w:r w:rsidR="00064F35" w:rsidRPr="004C139F">
        <w:rPr>
          <w:sz w:val="26"/>
          <w:lang w:val="en-US"/>
        </w:rPr>
        <w:t>Resolution</w:t>
      </w:r>
      <w:r w:rsidRPr="004C139F">
        <w:rPr>
          <w:sz w:val="26"/>
          <w:lang w:val="en-US"/>
        </w:rPr>
        <w:t xml:space="preserve"> being untimely and the adopted CISR form “impeding” work related to demand response proceeding.  </w:t>
      </w:r>
      <w:r w:rsidR="00201C47" w:rsidRPr="004C139F">
        <w:rPr>
          <w:sz w:val="26"/>
          <w:lang w:val="en-US"/>
        </w:rPr>
        <w:t>Th</w:t>
      </w:r>
      <w:r w:rsidR="005140C1" w:rsidRPr="004C139F">
        <w:rPr>
          <w:sz w:val="26"/>
          <w:lang w:val="en-US"/>
        </w:rPr>
        <w:t>e</w:t>
      </w:r>
      <w:r w:rsidR="00201C47" w:rsidRPr="004C139F">
        <w:rPr>
          <w:sz w:val="26"/>
          <w:lang w:val="en-US"/>
        </w:rPr>
        <w:t xml:space="preserve"> Resolution merely adopts the CISR</w:t>
      </w:r>
      <w:r w:rsidR="005140C1" w:rsidRPr="004C139F">
        <w:rPr>
          <w:sz w:val="26"/>
          <w:lang w:val="en-US"/>
        </w:rPr>
        <w:t xml:space="preserve"> forms</w:t>
      </w:r>
      <w:r w:rsidR="00201C47" w:rsidRPr="004C139F">
        <w:rPr>
          <w:sz w:val="26"/>
          <w:lang w:val="en-US"/>
        </w:rPr>
        <w:t xml:space="preserve"> proposed in the</w:t>
      </w:r>
      <w:r w:rsidR="005140C1" w:rsidRPr="004C139F">
        <w:rPr>
          <w:sz w:val="26"/>
          <w:lang w:val="en-US"/>
        </w:rPr>
        <w:t xml:space="preserve"> subject </w:t>
      </w:r>
      <w:r w:rsidR="00201C47" w:rsidRPr="004C139F">
        <w:rPr>
          <w:sz w:val="26"/>
          <w:lang w:val="en-US"/>
        </w:rPr>
        <w:t xml:space="preserve">Advice Letters, </w:t>
      </w:r>
      <w:r w:rsidR="00FB5348" w:rsidRPr="004C139F">
        <w:rPr>
          <w:sz w:val="26"/>
          <w:lang w:val="en-US"/>
        </w:rPr>
        <w:t xml:space="preserve">submitted by the utilities to comply with a direct order in D.11-07-056; </w:t>
      </w:r>
      <w:r w:rsidR="00064F35" w:rsidRPr="004C139F">
        <w:rPr>
          <w:sz w:val="26"/>
          <w:lang w:val="en-US"/>
        </w:rPr>
        <w:t xml:space="preserve">in fact, adoption of the CISR form will facilitate work in other areas as </w:t>
      </w:r>
      <w:r w:rsidR="00201C47" w:rsidRPr="004C139F">
        <w:rPr>
          <w:sz w:val="26"/>
          <w:lang w:val="en-US"/>
        </w:rPr>
        <w:t xml:space="preserve">the CPUC </w:t>
      </w:r>
      <w:r w:rsidRPr="004C139F">
        <w:rPr>
          <w:sz w:val="26"/>
          <w:lang w:val="en-US"/>
        </w:rPr>
        <w:t>can modif</w:t>
      </w:r>
      <w:r w:rsidR="00201C47" w:rsidRPr="004C139F">
        <w:rPr>
          <w:sz w:val="26"/>
          <w:lang w:val="en-US"/>
        </w:rPr>
        <w:t>y these, or any other</w:t>
      </w:r>
      <w:r w:rsidR="00E81AA7" w:rsidRPr="004C139F">
        <w:rPr>
          <w:sz w:val="26"/>
          <w:lang w:val="en-US"/>
        </w:rPr>
        <w:t>,</w:t>
      </w:r>
      <w:r w:rsidR="00201C47" w:rsidRPr="004C139F">
        <w:rPr>
          <w:sz w:val="26"/>
          <w:lang w:val="en-US"/>
        </w:rPr>
        <w:t xml:space="preserve"> CISR forms</w:t>
      </w:r>
      <w:r w:rsidR="00E81AA7" w:rsidRPr="004C139F">
        <w:rPr>
          <w:sz w:val="26"/>
          <w:lang w:val="en-US"/>
        </w:rPr>
        <w:t xml:space="preserve"> </w:t>
      </w:r>
      <w:r w:rsidRPr="004C139F">
        <w:rPr>
          <w:sz w:val="26"/>
          <w:lang w:val="en-US"/>
        </w:rPr>
        <w:t xml:space="preserve">at any time </w:t>
      </w:r>
      <w:r w:rsidR="00E81AA7" w:rsidRPr="004C139F">
        <w:rPr>
          <w:sz w:val="26"/>
          <w:lang w:val="en-US"/>
        </w:rPr>
        <w:t xml:space="preserve">in </w:t>
      </w:r>
      <w:r w:rsidRPr="004C139F">
        <w:rPr>
          <w:sz w:val="26"/>
          <w:lang w:val="en-US"/>
        </w:rPr>
        <w:t>other proceedings as needed.</w:t>
      </w:r>
      <w:r w:rsidR="00217830" w:rsidRPr="004C139F">
        <w:rPr>
          <w:sz w:val="26"/>
          <w:lang w:val="en-US"/>
        </w:rPr>
        <w:t xml:space="preserve">  </w:t>
      </w:r>
    </w:p>
    <w:p w:rsidR="00C13B4A" w:rsidRPr="004C139F" w:rsidRDefault="00C13B4A" w:rsidP="004C139F">
      <w:pPr>
        <w:pStyle w:val="FootnoteText"/>
        <w:spacing w:after="0"/>
        <w:rPr>
          <w:sz w:val="26"/>
          <w:lang w:val="en-US"/>
        </w:rPr>
      </w:pPr>
    </w:p>
    <w:p w:rsidR="00064F35" w:rsidRPr="004C139F" w:rsidRDefault="00064F35" w:rsidP="004C139F">
      <w:pPr>
        <w:pStyle w:val="FootnoteText"/>
        <w:spacing w:after="0"/>
        <w:rPr>
          <w:sz w:val="26"/>
          <w:lang w:val="en-US"/>
        </w:rPr>
      </w:pPr>
      <w:r w:rsidRPr="004C139F">
        <w:rPr>
          <w:sz w:val="26"/>
          <w:lang w:val="en-US"/>
        </w:rPr>
        <w:t>The requests to modify the adopted CISR form or consolidate multiple CISR forms by AReM and EnerNOC are rejected as the issues raised by them have already been addressed in the Resolution.</w:t>
      </w:r>
      <w:r w:rsidRPr="001F252C">
        <w:rPr>
          <w:rStyle w:val="FootnoteReference"/>
          <w:rFonts w:ascii="Palatino Linotype" w:hAnsi="Palatino Linotype"/>
          <w:lang w:val="en-US" w:eastAsia="en-US"/>
        </w:rPr>
        <w:footnoteReference w:id="64"/>
      </w:r>
      <w:r w:rsidRPr="004C139F">
        <w:rPr>
          <w:sz w:val="26"/>
          <w:lang w:val="en-US"/>
        </w:rPr>
        <w:t xml:space="preserve"> </w:t>
      </w:r>
      <w:r w:rsidR="00AD0E62" w:rsidRPr="004C139F">
        <w:rPr>
          <w:sz w:val="26"/>
          <w:lang w:val="en-US"/>
        </w:rPr>
        <w:t>EnerNOC</w:t>
      </w:r>
      <w:r w:rsidR="00625634" w:rsidRPr="004C139F">
        <w:rPr>
          <w:sz w:val="26"/>
          <w:lang w:val="en-US"/>
        </w:rPr>
        <w:t>’s protest</w:t>
      </w:r>
      <w:r w:rsidR="00EC572C" w:rsidRPr="004C139F">
        <w:rPr>
          <w:sz w:val="26"/>
          <w:lang w:val="en-US"/>
        </w:rPr>
        <w:t xml:space="preserve"> regarding the </w:t>
      </w:r>
      <w:r w:rsidR="005140C1" w:rsidRPr="004C139F">
        <w:rPr>
          <w:sz w:val="26"/>
          <w:lang w:val="en-US"/>
        </w:rPr>
        <w:t xml:space="preserve">need for </w:t>
      </w:r>
      <w:r w:rsidR="00DE6A4A" w:rsidRPr="004C139F">
        <w:rPr>
          <w:sz w:val="26"/>
          <w:lang w:val="en-US"/>
        </w:rPr>
        <w:t xml:space="preserve">revocation process </w:t>
      </w:r>
      <w:r w:rsidR="00425A35" w:rsidRPr="004C139F">
        <w:rPr>
          <w:sz w:val="26"/>
          <w:lang w:val="en-US"/>
        </w:rPr>
        <w:t xml:space="preserve">is </w:t>
      </w:r>
      <w:r w:rsidR="00625634" w:rsidRPr="004C139F">
        <w:rPr>
          <w:sz w:val="26"/>
          <w:lang w:val="en-US"/>
        </w:rPr>
        <w:t xml:space="preserve">rejected </w:t>
      </w:r>
      <w:r w:rsidRPr="004C139F">
        <w:rPr>
          <w:sz w:val="26"/>
          <w:lang w:val="en-US"/>
        </w:rPr>
        <w:t>for the same reason; as noted before, the process issue is appropriately addressed in the backhaul data access proceeding (A.12-03-002, et al.</w:t>
      </w:r>
      <w:r w:rsidR="004D25D4" w:rsidRPr="004C139F">
        <w:rPr>
          <w:sz w:val="26"/>
          <w:lang w:val="en-US"/>
        </w:rPr>
        <w:t>, which also references the privacy tariffs approved in this Resolution</w:t>
      </w:r>
      <w:r w:rsidRPr="004C139F">
        <w:rPr>
          <w:sz w:val="26"/>
          <w:lang w:val="en-US"/>
        </w:rPr>
        <w:t>).</w:t>
      </w:r>
    </w:p>
    <w:p w:rsidR="00064F35" w:rsidRDefault="00064F35" w:rsidP="00AD0E62">
      <w:pPr>
        <w:rPr>
          <w:rFonts w:ascii="Palatino Linotype" w:hAnsi="Palatino Linotype"/>
        </w:rPr>
      </w:pPr>
    </w:p>
    <w:p w:rsidR="00CF17DE" w:rsidRPr="001C1256" w:rsidRDefault="00CF17DE" w:rsidP="001C1256">
      <w:pPr>
        <w:pStyle w:val="Heading1"/>
        <w:spacing w:before="0" w:after="120"/>
      </w:pPr>
      <w:r w:rsidRPr="001C1256">
        <w:t>Findings</w:t>
      </w:r>
      <w:r w:rsidR="00411524" w:rsidRPr="001C1256">
        <w:t xml:space="preserve"> AND CONCLUSIONS</w:t>
      </w:r>
    </w:p>
    <w:p w:rsidR="00BF0C61" w:rsidRPr="004C139F" w:rsidRDefault="00BF0C61" w:rsidP="004C139F">
      <w:pPr>
        <w:pStyle w:val="FootnoteText"/>
        <w:numPr>
          <w:ilvl w:val="0"/>
          <w:numId w:val="14"/>
        </w:numPr>
        <w:spacing w:after="0"/>
        <w:rPr>
          <w:sz w:val="26"/>
          <w:lang w:val="en-US"/>
        </w:rPr>
      </w:pPr>
      <w:r w:rsidRPr="004C139F">
        <w:rPr>
          <w:sz w:val="26"/>
          <w:lang w:val="en-US"/>
        </w:rPr>
        <w:t xml:space="preserve">This Resolution </w:t>
      </w:r>
      <w:r w:rsidR="00934E67" w:rsidRPr="004C139F">
        <w:rPr>
          <w:sz w:val="26"/>
          <w:lang w:val="en-US"/>
        </w:rPr>
        <w:t xml:space="preserve">approves </w:t>
      </w:r>
      <w:r w:rsidR="009F3934" w:rsidRPr="004C139F">
        <w:rPr>
          <w:sz w:val="26"/>
          <w:lang w:val="en-US"/>
        </w:rPr>
        <w:t xml:space="preserve">the Advice Letters and tariffs of </w:t>
      </w:r>
      <w:r w:rsidR="00651937" w:rsidRPr="004C139F">
        <w:rPr>
          <w:sz w:val="26"/>
          <w:lang w:val="en-US"/>
        </w:rPr>
        <w:t xml:space="preserve">SDG&amp;E, </w:t>
      </w:r>
      <w:r w:rsidRPr="004C139F">
        <w:rPr>
          <w:sz w:val="26"/>
          <w:lang w:val="en-US"/>
        </w:rPr>
        <w:t>PG&amp;E</w:t>
      </w:r>
      <w:r w:rsidR="00234814" w:rsidRPr="004C139F">
        <w:rPr>
          <w:sz w:val="26"/>
          <w:lang w:val="en-US"/>
        </w:rPr>
        <w:t>,</w:t>
      </w:r>
      <w:r w:rsidRPr="004C139F">
        <w:rPr>
          <w:sz w:val="26"/>
          <w:lang w:val="en-US"/>
        </w:rPr>
        <w:t xml:space="preserve"> and SCE, as explained in the Resolution.</w:t>
      </w:r>
    </w:p>
    <w:p w:rsidR="009F3934" w:rsidRPr="004C139F" w:rsidRDefault="009F3934" w:rsidP="004C139F">
      <w:pPr>
        <w:pStyle w:val="FootnoteText"/>
        <w:numPr>
          <w:ilvl w:val="0"/>
          <w:numId w:val="14"/>
        </w:numPr>
        <w:spacing w:after="0"/>
        <w:rPr>
          <w:sz w:val="26"/>
          <w:lang w:val="en-US"/>
        </w:rPr>
      </w:pPr>
      <w:r w:rsidRPr="004C139F">
        <w:rPr>
          <w:sz w:val="26"/>
          <w:lang w:val="en-US"/>
        </w:rPr>
        <w:t>This Resolution accepts the Advice Letter and tariff of SoCal Gas.</w:t>
      </w:r>
    </w:p>
    <w:p w:rsidR="00651937" w:rsidRPr="004C139F" w:rsidRDefault="009F3934" w:rsidP="004C139F">
      <w:pPr>
        <w:pStyle w:val="FootnoteText"/>
        <w:numPr>
          <w:ilvl w:val="0"/>
          <w:numId w:val="14"/>
        </w:numPr>
        <w:spacing w:after="0"/>
        <w:rPr>
          <w:sz w:val="26"/>
          <w:lang w:val="en-US"/>
        </w:rPr>
      </w:pPr>
      <w:r w:rsidRPr="004C139F">
        <w:rPr>
          <w:sz w:val="26"/>
          <w:lang w:val="en-US"/>
        </w:rPr>
        <w:t>The tariffs submitted by SDG&amp;E, SCE, SoCal Gas, and PG&amp;E are consistent</w:t>
      </w:r>
      <w:r w:rsidR="00934E67" w:rsidRPr="004C139F">
        <w:rPr>
          <w:sz w:val="26"/>
          <w:lang w:val="en-US"/>
        </w:rPr>
        <w:t>, but not necessarily identical</w:t>
      </w:r>
      <w:r w:rsidR="00651937" w:rsidRPr="004C139F">
        <w:rPr>
          <w:sz w:val="26"/>
          <w:lang w:val="en-US"/>
        </w:rPr>
        <w:t>.</w:t>
      </w:r>
    </w:p>
    <w:p w:rsidR="008D406B" w:rsidRPr="004C139F" w:rsidRDefault="009F3934" w:rsidP="004C139F">
      <w:pPr>
        <w:pStyle w:val="FootnoteText"/>
        <w:numPr>
          <w:ilvl w:val="0"/>
          <w:numId w:val="14"/>
        </w:numPr>
        <w:spacing w:after="0"/>
        <w:rPr>
          <w:sz w:val="26"/>
          <w:lang w:val="en-US"/>
        </w:rPr>
      </w:pPr>
      <w:r w:rsidRPr="004C139F">
        <w:rPr>
          <w:sz w:val="26"/>
          <w:lang w:val="en-US"/>
        </w:rPr>
        <w:t xml:space="preserve">The </w:t>
      </w:r>
      <w:r w:rsidR="00651937" w:rsidRPr="004C139F">
        <w:rPr>
          <w:sz w:val="26"/>
          <w:lang w:val="en-US"/>
        </w:rPr>
        <w:t xml:space="preserve">Utility Customer Information Service Request </w:t>
      </w:r>
      <w:r w:rsidR="004E123B" w:rsidRPr="004C139F">
        <w:rPr>
          <w:sz w:val="26"/>
          <w:lang w:val="en-US"/>
        </w:rPr>
        <w:t xml:space="preserve">(CISR) </w:t>
      </w:r>
      <w:r w:rsidR="00651937" w:rsidRPr="004C139F">
        <w:rPr>
          <w:sz w:val="26"/>
          <w:lang w:val="en-US"/>
        </w:rPr>
        <w:t xml:space="preserve">forms </w:t>
      </w:r>
      <w:r w:rsidRPr="004C139F">
        <w:rPr>
          <w:sz w:val="26"/>
          <w:lang w:val="en-US"/>
        </w:rPr>
        <w:t>are consistent</w:t>
      </w:r>
      <w:r w:rsidR="00651937" w:rsidRPr="004C139F">
        <w:rPr>
          <w:sz w:val="26"/>
          <w:lang w:val="en-US"/>
        </w:rPr>
        <w:t xml:space="preserve"> across the utilities.</w:t>
      </w:r>
    </w:p>
    <w:p w:rsidR="009F3934" w:rsidRPr="004C139F" w:rsidRDefault="009F3934" w:rsidP="004C139F">
      <w:pPr>
        <w:pStyle w:val="FootnoteText"/>
        <w:numPr>
          <w:ilvl w:val="0"/>
          <w:numId w:val="14"/>
        </w:numPr>
        <w:spacing w:after="0"/>
        <w:rPr>
          <w:sz w:val="26"/>
          <w:lang w:val="en-US"/>
        </w:rPr>
      </w:pPr>
      <w:r w:rsidRPr="004C139F">
        <w:rPr>
          <w:sz w:val="26"/>
          <w:lang w:val="en-US"/>
        </w:rPr>
        <w:t>The protests of AReM, EnerNOC, and City of San Francisco are rejected, except as noted below.</w:t>
      </w:r>
    </w:p>
    <w:p w:rsidR="009F3934" w:rsidRPr="004C139F" w:rsidRDefault="009F3934" w:rsidP="004C139F">
      <w:pPr>
        <w:pStyle w:val="FootnoteText"/>
        <w:numPr>
          <w:ilvl w:val="0"/>
          <w:numId w:val="14"/>
        </w:numPr>
        <w:spacing w:after="0"/>
        <w:rPr>
          <w:sz w:val="26"/>
          <w:lang w:val="en-US"/>
        </w:rPr>
      </w:pPr>
      <w:r w:rsidRPr="004C139F">
        <w:rPr>
          <w:sz w:val="26"/>
          <w:lang w:val="en-US"/>
        </w:rPr>
        <w:t>This Resolution agrees with AReM and finds that SoCal Gas should file a Customer Information Services Request form to allow third party access to customer usage information, consistent with SDG&amp;E, SCE, and PG&amp;E.</w:t>
      </w:r>
    </w:p>
    <w:p w:rsidR="004C139F" w:rsidRDefault="004C139F">
      <w:pPr>
        <w:rPr>
          <w:rFonts w:ascii="Palatino Linotype" w:hAnsi="Palatino Linotype"/>
          <w:b/>
          <w:bCs/>
          <w:caps/>
          <w:kern w:val="28"/>
          <w:u w:val="single"/>
        </w:rPr>
      </w:pPr>
      <w:r>
        <w:rPr>
          <w:rFonts w:ascii="Palatino Linotype" w:hAnsi="Palatino Linotype"/>
          <w:bCs/>
        </w:rPr>
        <w:br w:type="page"/>
      </w:r>
    </w:p>
    <w:p w:rsidR="00CF17DE" w:rsidRPr="001C1256" w:rsidRDefault="00CF17DE" w:rsidP="001C1256">
      <w:pPr>
        <w:pStyle w:val="Heading1"/>
        <w:spacing w:before="0" w:after="120"/>
      </w:pPr>
      <w:r w:rsidRPr="001C1256">
        <w:t>Therefore it is ordered that:</w:t>
      </w:r>
    </w:p>
    <w:p w:rsidR="006C590A" w:rsidRDefault="00E577AD" w:rsidP="004C139F">
      <w:pPr>
        <w:pStyle w:val="FootnoteText"/>
        <w:numPr>
          <w:ilvl w:val="0"/>
          <w:numId w:val="15"/>
        </w:numPr>
        <w:spacing w:after="0"/>
        <w:rPr>
          <w:sz w:val="26"/>
          <w:lang w:val="en-US"/>
        </w:rPr>
      </w:pPr>
      <w:r w:rsidRPr="004C139F">
        <w:rPr>
          <w:sz w:val="26"/>
          <w:lang w:val="en-US"/>
        </w:rPr>
        <w:t xml:space="preserve">San Diego Gas &amp; Electric Advice Letter </w:t>
      </w:r>
      <w:r w:rsidR="009F3934" w:rsidRPr="004C139F">
        <w:rPr>
          <w:sz w:val="26"/>
          <w:lang w:val="en-US"/>
        </w:rPr>
        <w:t>2428-</w:t>
      </w:r>
      <w:r w:rsidRPr="004C139F">
        <w:rPr>
          <w:sz w:val="26"/>
          <w:lang w:val="en-US"/>
        </w:rPr>
        <w:t>E</w:t>
      </w:r>
      <w:r w:rsidR="009F3934" w:rsidRPr="004C139F">
        <w:rPr>
          <w:sz w:val="26"/>
          <w:lang w:val="en-US"/>
        </w:rPr>
        <w:t>/2157-G</w:t>
      </w:r>
      <w:r w:rsidRPr="004C139F">
        <w:rPr>
          <w:sz w:val="26"/>
          <w:lang w:val="en-US"/>
        </w:rPr>
        <w:t xml:space="preserve">, </w:t>
      </w:r>
      <w:r w:rsidR="00FB7CFD" w:rsidRPr="004C139F">
        <w:rPr>
          <w:sz w:val="26"/>
          <w:lang w:val="en-US"/>
        </w:rPr>
        <w:t xml:space="preserve">Southern California Edison </w:t>
      </w:r>
      <w:r w:rsidRPr="004C139F">
        <w:rPr>
          <w:sz w:val="26"/>
          <w:lang w:val="en-US"/>
        </w:rPr>
        <w:t>Advice Letter 2</w:t>
      </w:r>
      <w:r w:rsidR="009F3934" w:rsidRPr="004C139F">
        <w:rPr>
          <w:sz w:val="26"/>
          <w:lang w:val="en-US"/>
        </w:rPr>
        <w:t>819</w:t>
      </w:r>
      <w:r w:rsidR="00A83797" w:rsidRPr="004C139F">
        <w:rPr>
          <w:sz w:val="26"/>
          <w:lang w:val="en-US"/>
        </w:rPr>
        <w:t>-E</w:t>
      </w:r>
      <w:r w:rsidR="009F3934" w:rsidRPr="004C139F">
        <w:rPr>
          <w:sz w:val="26"/>
          <w:lang w:val="en-US"/>
        </w:rPr>
        <w:t>, Southern California Gas Company Advice Letter 4433-G,</w:t>
      </w:r>
      <w:r w:rsidR="00A83797" w:rsidRPr="004C139F">
        <w:rPr>
          <w:sz w:val="26"/>
          <w:lang w:val="en-US"/>
        </w:rPr>
        <w:t xml:space="preserve"> </w:t>
      </w:r>
      <w:r w:rsidRPr="004C139F">
        <w:rPr>
          <w:sz w:val="26"/>
          <w:lang w:val="en-US"/>
        </w:rPr>
        <w:t xml:space="preserve">and Pacific Gas </w:t>
      </w:r>
      <w:r w:rsidR="00962581" w:rsidRPr="004C139F">
        <w:rPr>
          <w:sz w:val="26"/>
          <w:lang w:val="en-US"/>
        </w:rPr>
        <w:t>and</w:t>
      </w:r>
      <w:r w:rsidRPr="004C139F">
        <w:rPr>
          <w:sz w:val="26"/>
          <w:lang w:val="en-US"/>
        </w:rPr>
        <w:t xml:space="preserve"> Electric </w:t>
      </w:r>
    </w:p>
    <w:p w:rsidR="00BF0C61" w:rsidRPr="004C139F" w:rsidRDefault="00E577AD" w:rsidP="006C590A">
      <w:pPr>
        <w:pStyle w:val="FootnoteText"/>
        <w:spacing w:after="0"/>
        <w:ind w:left="720"/>
        <w:rPr>
          <w:sz w:val="26"/>
          <w:lang w:val="en-US"/>
        </w:rPr>
      </w:pPr>
      <w:r w:rsidRPr="004C139F">
        <w:rPr>
          <w:sz w:val="26"/>
          <w:lang w:val="en-US"/>
        </w:rPr>
        <w:t xml:space="preserve">Advice Letter </w:t>
      </w:r>
      <w:r w:rsidR="00651937" w:rsidRPr="004C139F">
        <w:rPr>
          <w:sz w:val="26"/>
          <w:lang w:val="en-US"/>
        </w:rPr>
        <w:t>3</w:t>
      </w:r>
      <w:r w:rsidR="009F3934" w:rsidRPr="004C139F">
        <w:rPr>
          <w:sz w:val="26"/>
          <w:lang w:val="en-US"/>
        </w:rPr>
        <w:t>349</w:t>
      </w:r>
      <w:r w:rsidR="00651937" w:rsidRPr="004C139F">
        <w:rPr>
          <w:sz w:val="26"/>
          <w:lang w:val="en-US"/>
        </w:rPr>
        <w:t>-G/</w:t>
      </w:r>
      <w:r w:rsidR="009F3934" w:rsidRPr="004C139F">
        <w:rPr>
          <w:sz w:val="26"/>
          <w:lang w:val="en-US"/>
        </w:rPr>
        <w:t>4158-E</w:t>
      </w:r>
      <w:r w:rsidRPr="004C139F">
        <w:rPr>
          <w:sz w:val="26"/>
          <w:lang w:val="en-US"/>
        </w:rPr>
        <w:t xml:space="preserve"> are</w:t>
      </w:r>
      <w:r w:rsidR="00A83797" w:rsidRPr="004C139F">
        <w:rPr>
          <w:sz w:val="26"/>
          <w:lang w:val="en-US"/>
        </w:rPr>
        <w:t xml:space="preserve"> </w:t>
      </w:r>
      <w:r w:rsidR="00934E67" w:rsidRPr="004C139F">
        <w:rPr>
          <w:sz w:val="26"/>
          <w:lang w:val="en-US"/>
        </w:rPr>
        <w:t>approved</w:t>
      </w:r>
      <w:r w:rsidR="00A83797" w:rsidRPr="004C139F">
        <w:rPr>
          <w:sz w:val="26"/>
          <w:lang w:val="en-US"/>
        </w:rPr>
        <w:t xml:space="preserve">.  </w:t>
      </w:r>
    </w:p>
    <w:p w:rsidR="00FC2056" w:rsidRPr="004C139F" w:rsidRDefault="009F3934" w:rsidP="004C139F">
      <w:pPr>
        <w:pStyle w:val="FootnoteText"/>
        <w:numPr>
          <w:ilvl w:val="0"/>
          <w:numId w:val="15"/>
        </w:numPr>
        <w:spacing w:after="0"/>
        <w:rPr>
          <w:sz w:val="26"/>
          <w:lang w:val="en-US"/>
        </w:rPr>
      </w:pPr>
      <w:r w:rsidRPr="004C139F">
        <w:rPr>
          <w:sz w:val="26"/>
          <w:lang w:val="en-US"/>
        </w:rPr>
        <w:t xml:space="preserve">Southern California Gas Company </w:t>
      </w:r>
      <w:r w:rsidR="00425A35" w:rsidRPr="004C139F">
        <w:rPr>
          <w:sz w:val="26"/>
          <w:lang w:val="en-US"/>
        </w:rPr>
        <w:t xml:space="preserve">(SCG) </w:t>
      </w:r>
      <w:r w:rsidRPr="004C139F">
        <w:rPr>
          <w:sz w:val="26"/>
          <w:lang w:val="en-US"/>
        </w:rPr>
        <w:t>is directed to submit</w:t>
      </w:r>
      <w:r w:rsidR="007F4385" w:rsidRPr="004C139F">
        <w:rPr>
          <w:sz w:val="26"/>
          <w:lang w:val="en-US"/>
        </w:rPr>
        <w:t>,</w:t>
      </w:r>
      <w:r w:rsidRPr="004C139F">
        <w:rPr>
          <w:sz w:val="26"/>
          <w:lang w:val="en-US"/>
        </w:rPr>
        <w:t xml:space="preserve"> via </w:t>
      </w:r>
      <w:r w:rsidR="007F4385" w:rsidRPr="004C139F">
        <w:rPr>
          <w:sz w:val="26"/>
          <w:lang w:val="en-US"/>
        </w:rPr>
        <w:t xml:space="preserve">a </w:t>
      </w:r>
      <w:r w:rsidRPr="004C139F">
        <w:rPr>
          <w:sz w:val="26"/>
          <w:lang w:val="en-US"/>
        </w:rPr>
        <w:t xml:space="preserve">Tier 1 Advice Letter filing, a Customer Information Service Request </w:t>
      </w:r>
      <w:r w:rsidR="00425A35" w:rsidRPr="004C139F">
        <w:rPr>
          <w:sz w:val="26"/>
          <w:lang w:val="en-US"/>
        </w:rPr>
        <w:t xml:space="preserve">(CISR) </w:t>
      </w:r>
      <w:r w:rsidRPr="004C139F">
        <w:rPr>
          <w:sz w:val="26"/>
          <w:lang w:val="en-US"/>
        </w:rPr>
        <w:t>form, consistent with the forms of the other utilities, for third party access to customer usage within 15 days of approval of this Resolution</w:t>
      </w:r>
      <w:r w:rsidR="00E577AD" w:rsidRPr="004C139F">
        <w:rPr>
          <w:sz w:val="26"/>
          <w:lang w:val="en-US"/>
        </w:rPr>
        <w:t>.</w:t>
      </w:r>
      <w:r w:rsidRPr="004C139F">
        <w:rPr>
          <w:sz w:val="26"/>
          <w:lang w:val="en-US"/>
        </w:rPr>
        <w:t xml:space="preserve">  </w:t>
      </w:r>
      <w:r w:rsidR="00425A35" w:rsidRPr="004C139F">
        <w:rPr>
          <w:sz w:val="26"/>
          <w:lang w:val="en-US"/>
        </w:rPr>
        <w:t xml:space="preserve">Additionally, in the same filing, </w:t>
      </w:r>
      <w:r w:rsidR="00E81AA7" w:rsidRPr="004C139F">
        <w:rPr>
          <w:sz w:val="26"/>
          <w:lang w:val="en-US"/>
        </w:rPr>
        <w:t xml:space="preserve">SCG </w:t>
      </w:r>
      <w:r w:rsidR="007F4385" w:rsidRPr="004C139F">
        <w:rPr>
          <w:sz w:val="26"/>
          <w:lang w:val="en-US"/>
        </w:rPr>
        <w:t xml:space="preserve">shall </w:t>
      </w:r>
      <w:r w:rsidR="00E81AA7" w:rsidRPr="004C139F">
        <w:rPr>
          <w:sz w:val="26"/>
          <w:lang w:val="en-US"/>
        </w:rPr>
        <w:t xml:space="preserve">replace </w:t>
      </w:r>
      <w:r w:rsidR="00425A35" w:rsidRPr="004C139F">
        <w:rPr>
          <w:sz w:val="26"/>
          <w:lang w:val="en-US"/>
        </w:rPr>
        <w:t>other existing CISR forms (Forms No. CIA-1A and CIA-1B) with a CISR form that is consistent with the forms of the other utilities.</w:t>
      </w:r>
    </w:p>
    <w:p w:rsidR="002410D6" w:rsidRPr="007C6954" w:rsidRDefault="002410D6">
      <w:pPr>
        <w:tabs>
          <w:tab w:val="left" w:pos="720"/>
          <w:tab w:val="left" w:pos="1296"/>
          <w:tab w:val="left" w:pos="2016"/>
          <w:tab w:val="left" w:pos="2736"/>
          <w:tab w:val="left" w:pos="3456"/>
          <w:tab w:val="left" w:pos="4176"/>
          <w:tab w:val="left" w:pos="5760"/>
        </w:tabs>
        <w:rPr>
          <w:rFonts w:ascii="Palatino Linotype" w:hAnsi="Palatino Linotype"/>
        </w:rPr>
      </w:pPr>
    </w:p>
    <w:p w:rsidR="00CF17DE" w:rsidRPr="004C139F" w:rsidRDefault="00CF17DE" w:rsidP="004C139F">
      <w:pPr>
        <w:pStyle w:val="FootnoteText"/>
        <w:spacing w:after="0"/>
        <w:rPr>
          <w:sz w:val="26"/>
          <w:lang w:val="en-US"/>
        </w:rPr>
      </w:pPr>
      <w:r w:rsidRPr="004C139F">
        <w:rPr>
          <w:sz w:val="26"/>
          <w:lang w:val="en-US"/>
        </w:rPr>
        <w:t>This Resolution is effective today.</w:t>
      </w:r>
    </w:p>
    <w:p w:rsidR="00CF17DE" w:rsidRPr="004C139F" w:rsidRDefault="00CF17DE" w:rsidP="004C139F">
      <w:pPr>
        <w:pStyle w:val="FootnoteText"/>
        <w:spacing w:after="0"/>
        <w:rPr>
          <w:sz w:val="26"/>
          <w:lang w:val="en-US"/>
        </w:rPr>
      </w:pPr>
    </w:p>
    <w:p w:rsidR="00CF17DE" w:rsidRPr="004C139F" w:rsidRDefault="00CF17DE" w:rsidP="004C139F">
      <w:pPr>
        <w:pStyle w:val="FootnoteText"/>
        <w:spacing w:after="0"/>
        <w:rPr>
          <w:sz w:val="26"/>
          <w:lang w:val="en-US"/>
        </w:rPr>
      </w:pPr>
      <w:r w:rsidRPr="004C139F">
        <w:rPr>
          <w:sz w:val="26"/>
          <w:lang w:val="en-US"/>
        </w:rPr>
        <w:t>I certify that the foregoing resolution was duly introduced, passed and adopted at a conference of the Public Utilities Co</w:t>
      </w:r>
      <w:r w:rsidR="00DC0CF8" w:rsidRPr="004C139F">
        <w:rPr>
          <w:sz w:val="26"/>
          <w:lang w:val="en-US"/>
        </w:rPr>
        <w:t>mm</w:t>
      </w:r>
      <w:r w:rsidRPr="004C139F">
        <w:rPr>
          <w:sz w:val="26"/>
          <w:lang w:val="en-US"/>
        </w:rPr>
        <w:t xml:space="preserve">ission of the State of California held on </w:t>
      </w:r>
      <w:r w:rsidR="006C590A">
        <w:rPr>
          <w:sz w:val="26"/>
          <w:lang w:val="en-US"/>
        </w:rPr>
        <w:t>September 19</w:t>
      </w:r>
      <w:r w:rsidR="00DD2403" w:rsidRPr="004C139F">
        <w:rPr>
          <w:sz w:val="26"/>
          <w:lang w:val="en-US"/>
        </w:rPr>
        <w:t>, 20</w:t>
      </w:r>
      <w:r w:rsidR="009F3934" w:rsidRPr="004C139F">
        <w:rPr>
          <w:sz w:val="26"/>
          <w:lang w:val="en-US"/>
        </w:rPr>
        <w:t>13</w:t>
      </w:r>
      <w:r w:rsidRPr="004C139F">
        <w:rPr>
          <w:sz w:val="26"/>
          <w:lang w:val="en-US"/>
        </w:rPr>
        <w:t>; the following Co</w:t>
      </w:r>
      <w:r w:rsidR="00DC0CF8" w:rsidRPr="004C139F">
        <w:rPr>
          <w:sz w:val="26"/>
          <w:lang w:val="en-US"/>
        </w:rPr>
        <w:t>mm</w:t>
      </w:r>
      <w:r w:rsidRPr="004C139F">
        <w:rPr>
          <w:sz w:val="26"/>
          <w:lang w:val="en-US"/>
        </w:rPr>
        <w:t>issioners voting favorably thereon:</w:t>
      </w:r>
    </w:p>
    <w:p w:rsidR="00CF17DE" w:rsidRPr="007C6954" w:rsidRDefault="00CF17DE">
      <w:pPr>
        <w:tabs>
          <w:tab w:val="left" w:pos="720"/>
          <w:tab w:val="left" w:pos="1152"/>
          <w:tab w:val="left" w:pos="1728"/>
          <w:tab w:val="left" w:pos="3168"/>
          <w:tab w:val="left" w:pos="5040"/>
        </w:tabs>
        <w:ind w:right="144"/>
        <w:rPr>
          <w:rFonts w:ascii="Palatino Linotype" w:hAnsi="Palatino Linotype"/>
        </w:rPr>
      </w:pPr>
    </w:p>
    <w:p w:rsidR="00CF17DE" w:rsidRPr="007C6954" w:rsidRDefault="00CF17DE" w:rsidP="004C139F">
      <w:pPr>
        <w:pStyle w:val="FootnoteText"/>
        <w:spacing w:after="0"/>
        <w:rPr>
          <w:rFonts w:ascii="Palatino Linotype" w:hAnsi="Palatino Linotype"/>
        </w:rPr>
      </w:pPr>
    </w:p>
    <w:p w:rsidR="00CF17DE" w:rsidRPr="007C6954" w:rsidRDefault="00CF17DE">
      <w:pPr>
        <w:tabs>
          <w:tab w:val="left" w:pos="720"/>
          <w:tab w:val="left" w:pos="1152"/>
          <w:tab w:val="left" w:pos="1728"/>
          <w:tab w:val="left" w:pos="3168"/>
          <w:tab w:val="left" w:pos="5040"/>
        </w:tabs>
        <w:ind w:right="144"/>
        <w:rPr>
          <w:rFonts w:ascii="Palatino Linotype" w:hAnsi="Palatino Linotype"/>
        </w:rPr>
      </w:pPr>
    </w:p>
    <w:p w:rsidR="00CF17DE" w:rsidRPr="007C6954" w:rsidRDefault="00CF17DE">
      <w:pPr>
        <w:tabs>
          <w:tab w:val="left" w:pos="720"/>
          <w:tab w:val="left" w:pos="1152"/>
          <w:tab w:val="left" w:pos="1728"/>
          <w:tab w:val="left" w:pos="3168"/>
          <w:tab w:val="left" w:pos="5040"/>
        </w:tabs>
        <w:ind w:right="144"/>
        <w:rPr>
          <w:rFonts w:ascii="Palatino Linotype" w:hAnsi="Palatino Linotype"/>
        </w:rPr>
      </w:pPr>
    </w:p>
    <w:p w:rsidR="00315C90" w:rsidRDefault="00CF17DE" w:rsidP="00315C90">
      <w:pPr>
        <w:rPr>
          <w:rFonts w:ascii="Palatino Linotype" w:hAnsi="Palatino Linotype"/>
        </w:rPr>
      </w:pPr>
      <w:r w:rsidRPr="007C6954">
        <w:rPr>
          <w:rFonts w:ascii="Palatino Linotype" w:hAnsi="Palatino Linotype"/>
        </w:rPr>
        <w:tab/>
      </w:r>
      <w:r w:rsidRPr="007C6954">
        <w:rPr>
          <w:rFonts w:ascii="Palatino Linotype" w:hAnsi="Palatino Linotype"/>
        </w:rPr>
        <w:tab/>
      </w:r>
      <w:r w:rsidRPr="007C6954">
        <w:rPr>
          <w:rFonts w:ascii="Palatino Linotype" w:hAnsi="Palatino Linotype"/>
        </w:rPr>
        <w:tab/>
      </w:r>
      <w:r w:rsidRPr="007C6954">
        <w:rPr>
          <w:rFonts w:ascii="Palatino Linotype" w:hAnsi="Palatino Linotype"/>
        </w:rPr>
        <w:tab/>
      </w:r>
      <w:r w:rsidRPr="007C6954">
        <w:rPr>
          <w:rFonts w:ascii="Palatino Linotype" w:hAnsi="Palatino Linotype"/>
        </w:rPr>
        <w:tab/>
      </w:r>
      <w:r w:rsidR="00315C90">
        <w:rPr>
          <w:rFonts w:ascii="Palatino Linotype" w:hAnsi="Palatino Linotype"/>
        </w:rPr>
        <w:t xml:space="preserve">             </w:t>
      </w:r>
    </w:p>
    <w:p w:rsidR="00315C90" w:rsidRDefault="00315C90" w:rsidP="00DD2403">
      <w:pPr>
        <w:tabs>
          <w:tab w:val="left" w:pos="5092"/>
        </w:tabs>
        <w:ind w:left="3600" w:firstLine="720"/>
      </w:pPr>
      <w:r>
        <w:rPr>
          <w:rFonts w:ascii="Palatino Linotype" w:hAnsi="Palatino Linotype"/>
        </w:rPr>
        <w:t xml:space="preserve">   </w:t>
      </w:r>
      <w:r w:rsidR="00DD2403">
        <w:rPr>
          <w:rFonts w:ascii="Palatino Linotype" w:hAnsi="Palatino Linotype"/>
        </w:rPr>
        <w:tab/>
      </w:r>
      <w:r w:rsidR="00DD2403">
        <w:rPr>
          <w:rFonts w:ascii="Palatino Linotype" w:hAnsi="Palatino Linotype"/>
        </w:rPr>
        <w:softHyphen/>
      </w:r>
      <w:r w:rsidR="00DD2403">
        <w:rPr>
          <w:rFonts w:ascii="Palatino Linotype" w:hAnsi="Palatino Linotype"/>
        </w:rPr>
        <w:softHyphen/>
      </w:r>
      <w:r w:rsidR="00DD2403">
        <w:rPr>
          <w:rFonts w:ascii="Palatino Linotype" w:hAnsi="Palatino Linotype"/>
        </w:rPr>
        <w:softHyphen/>
        <w:t>________________</w:t>
      </w:r>
    </w:p>
    <w:p w:rsidR="00CF17DE" w:rsidRPr="007C6954" w:rsidRDefault="00F14CC4" w:rsidP="001C1256">
      <w:pPr>
        <w:pStyle w:val="FootnoteText"/>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586566" w:rsidRPr="001C1256">
        <w:rPr>
          <w:sz w:val="26"/>
          <w:lang w:val="en-US"/>
        </w:rPr>
        <w:t>P</w:t>
      </w:r>
      <w:r w:rsidR="009F1E73" w:rsidRPr="001C1256">
        <w:rPr>
          <w:sz w:val="26"/>
          <w:lang w:val="en-US"/>
        </w:rPr>
        <w:t>AUL CLANON</w:t>
      </w:r>
    </w:p>
    <w:p w:rsidR="00CF17DE" w:rsidRDefault="00F14CC4" w:rsidP="001C1256">
      <w:pPr>
        <w:pStyle w:val="FootnoteText"/>
        <w:spacing w:after="0"/>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Pr>
          <w:rFonts w:ascii="Palatino Linotype" w:hAnsi="Palatino Linotype"/>
        </w:rPr>
        <w:tab/>
      </w:r>
      <w:r w:rsidR="00CF17DE" w:rsidRPr="001C1256">
        <w:rPr>
          <w:sz w:val="26"/>
          <w:lang w:val="en-US"/>
        </w:rPr>
        <w:t>Executive Director</w:t>
      </w:r>
    </w:p>
    <w:p w:rsidR="00F14CC4" w:rsidRDefault="00F14CC4"/>
    <w:p w:rsidR="00FC2056" w:rsidRDefault="00FC2056"/>
    <w:sectPr w:rsidR="00FC20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2C" w:rsidRDefault="00B7152C">
      <w:r>
        <w:separator/>
      </w:r>
    </w:p>
  </w:endnote>
  <w:endnote w:type="continuationSeparator" w:id="0">
    <w:p w:rsidR="00B7152C" w:rsidRDefault="00B7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4D" w:rsidRDefault="00071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34" w:rsidRDefault="009F3934">
    <w:pPr>
      <w:pStyle w:val="Footer"/>
    </w:pPr>
    <w:r>
      <w:rPr>
        <w:rStyle w:val="PageNumber"/>
      </w:rPr>
      <w:fldChar w:fldCharType="begin"/>
    </w:r>
    <w:r>
      <w:rPr>
        <w:rStyle w:val="PageNumber"/>
      </w:rPr>
      <w:instrText xml:space="preserve"> PAGE </w:instrText>
    </w:r>
    <w:r>
      <w:rPr>
        <w:rStyle w:val="PageNumber"/>
      </w:rPr>
      <w:fldChar w:fldCharType="separate"/>
    </w:r>
    <w:r w:rsidR="00071C4D">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34" w:rsidRDefault="009F3934" w:rsidP="003B4A24">
    <w:pPr>
      <w:pStyle w:val="Footer"/>
      <w:tabs>
        <w:tab w:val="clear" w:pos="4320"/>
        <w:tab w:val="center" w:pos="4680"/>
      </w:tabs>
      <w:jc w:val="left"/>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3736A">
      <w:rPr>
        <w:rStyle w:val="PageNumber"/>
        <w:noProof/>
      </w:rPr>
      <w:t>1</w:t>
    </w:r>
    <w:r>
      <w:rPr>
        <w:rStyle w:val="PageNumber"/>
      </w:rPr>
      <w:fldChar w:fldCharType="end"/>
    </w:r>
  </w:p>
  <w:p w:rsidR="00F12999" w:rsidRDefault="008E410F" w:rsidP="003B4A24">
    <w:pPr>
      <w:pStyle w:val="Footer"/>
      <w:tabs>
        <w:tab w:val="clear" w:pos="4320"/>
        <w:tab w:val="center" w:pos="4680"/>
      </w:tabs>
      <w:jc w:val="left"/>
    </w:pPr>
    <w:r w:rsidRPr="008E410F">
      <w:rPr>
        <w:rFonts w:ascii="Tahoma" w:hAnsi="Tahoma" w:cs="Tahoma"/>
        <w:sz w:val="16"/>
        <w:szCs w:val="17"/>
      </w:rPr>
      <w:t>77114926</w:t>
    </w:r>
    <w:r w:rsidR="00F12999" w:rsidRPr="008E410F">
      <w:rPr>
        <w:rFonts w:ascii="Tahoma" w:hAnsi="Tahoma" w:cs="Tahoma"/>
        <w:sz w:val="16"/>
        <w:szCs w:val="17"/>
      </w:rPr>
      <w:t xml:space="preserve"> </w:t>
    </w:r>
    <w:r w:rsidR="00F12999">
      <w:rPr>
        <w:rFonts w:ascii="Tahoma" w:hAnsi="Tahoma" w:cs="Tahoma"/>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2C" w:rsidRDefault="00B7152C">
      <w:r>
        <w:separator/>
      </w:r>
    </w:p>
  </w:footnote>
  <w:footnote w:type="continuationSeparator" w:id="0">
    <w:p w:rsidR="00B7152C" w:rsidRDefault="00B7152C">
      <w:r>
        <w:continuationSeparator/>
      </w:r>
    </w:p>
  </w:footnote>
  <w:footnote w:type="continuationNotice" w:id="1">
    <w:p w:rsidR="00B7152C" w:rsidRDefault="00B7152C">
      <w:pPr>
        <w:rPr>
          <w:sz w:val="22"/>
        </w:rPr>
      </w:pPr>
    </w:p>
    <w:p w:rsidR="00B7152C" w:rsidRDefault="00B7152C">
      <w:pPr>
        <w:jc w:val="right"/>
        <w:rPr>
          <w:sz w:val="22"/>
        </w:rPr>
      </w:pPr>
      <w:r>
        <w:rPr>
          <w:i/>
          <w:sz w:val="22"/>
        </w:rPr>
        <w:t>Footnote continued on next page</w:t>
      </w:r>
    </w:p>
  </w:footnote>
  <w:footnote w:id="2">
    <w:p w:rsidR="009F3934" w:rsidRPr="003B2E53" w:rsidRDefault="009F3934">
      <w:pPr>
        <w:pStyle w:val="FootnoteText"/>
        <w:rPr>
          <w:lang w:val="en-US"/>
        </w:rPr>
      </w:pPr>
      <w:r>
        <w:rPr>
          <w:rStyle w:val="FootnoteReference"/>
        </w:rPr>
        <w:footnoteRef/>
      </w:r>
      <w:r>
        <w:t xml:space="preserve"> </w:t>
      </w:r>
      <w:r w:rsidRPr="001C1256">
        <w:rPr>
          <w:sz w:val="22"/>
          <w:lang w:val="en-US"/>
        </w:rPr>
        <w:t>D.11-07-056 at Ordering Paragraph 2.</w:t>
      </w:r>
    </w:p>
  </w:footnote>
  <w:footnote w:id="3">
    <w:p w:rsidR="00F87171" w:rsidRPr="00F87171" w:rsidRDefault="00F87171">
      <w:pPr>
        <w:pStyle w:val="FootnoteText"/>
        <w:rPr>
          <w:lang w:val="en-US"/>
        </w:rPr>
      </w:pPr>
      <w:r>
        <w:rPr>
          <w:rStyle w:val="FootnoteReference"/>
        </w:rPr>
        <w:footnoteRef/>
      </w:r>
      <w:r>
        <w:t xml:space="preserve"> </w:t>
      </w:r>
      <w:r w:rsidRPr="001C1256">
        <w:rPr>
          <w:sz w:val="22"/>
          <w:lang w:val="en-US"/>
        </w:rPr>
        <w:t>E-4535 at 2.</w:t>
      </w:r>
    </w:p>
  </w:footnote>
  <w:footnote w:id="4">
    <w:p w:rsidR="00F87171" w:rsidRPr="00F87171" w:rsidRDefault="00F87171">
      <w:pPr>
        <w:pStyle w:val="FootnoteText"/>
        <w:rPr>
          <w:lang w:val="en-US"/>
        </w:rPr>
      </w:pPr>
      <w:r>
        <w:rPr>
          <w:rStyle w:val="FootnoteReference"/>
        </w:rPr>
        <w:footnoteRef/>
      </w:r>
      <w:r>
        <w:t xml:space="preserve"> </w:t>
      </w:r>
      <w:r w:rsidRPr="001C1256">
        <w:rPr>
          <w:i/>
          <w:sz w:val="22"/>
          <w:lang w:val="en-US"/>
        </w:rPr>
        <w:t>Id</w:t>
      </w:r>
      <w:r w:rsidRPr="001C1256">
        <w:rPr>
          <w:sz w:val="22"/>
          <w:lang w:val="en-US"/>
        </w:rPr>
        <w:t>.  This workshop was scheduled pursuant to D.12-08-045.</w:t>
      </w:r>
    </w:p>
  </w:footnote>
  <w:footnote w:id="5">
    <w:p w:rsidR="009F3934" w:rsidRPr="00E118D9" w:rsidRDefault="009F3934">
      <w:pPr>
        <w:pStyle w:val="FootnoteText"/>
        <w:rPr>
          <w:rFonts w:ascii="Palatino Linotype" w:hAnsi="Palatino Linotype"/>
          <w:lang w:val="en-US"/>
        </w:rPr>
      </w:pPr>
      <w:r>
        <w:rPr>
          <w:rStyle w:val="FootnoteReference"/>
        </w:rPr>
        <w:footnoteRef/>
      </w:r>
      <w:r>
        <w:t xml:space="preserve"> </w:t>
      </w:r>
      <w:r w:rsidRPr="001C1256">
        <w:rPr>
          <w:sz w:val="22"/>
          <w:lang w:val="en-US"/>
        </w:rPr>
        <w:t>SDG&amp;E AL 2428-E/2157-G at 3.</w:t>
      </w:r>
    </w:p>
  </w:footnote>
  <w:footnote w:id="6">
    <w:p w:rsidR="009F3934" w:rsidRPr="00E118D9" w:rsidRDefault="009F3934">
      <w:pPr>
        <w:pStyle w:val="FootnoteText"/>
        <w:rPr>
          <w:rFonts w:ascii="Palatino Linotype" w:hAnsi="Palatino Linotype"/>
          <w:lang w:val="en-US"/>
        </w:rPr>
      </w:pPr>
      <w:r w:rsidRPr="00E118D9">
        <w:rPr>
          <w:rStyle w:val="FootnoteReference"/>
          <w:rFonts w:ascii="Palatino Linotype" w:hAnsi="Palatino Linotype"/>
        </w:rPr>
        <w:footnoteRef/>
      </w:r>
      <w:r w:rsidRPr="00E118D9">
        <w:rPr>
          <w:rFonts w:ascii="Palatino Linotype" w:hAnsi="Palatino Linotype"/>
        </w:rPr>
        <w:t xml:space="preserve"> </w:t>
      </w:r>
      <w:r w:rsidRPr="001C1256">
        <w:rPr>
          <w:sz w:val="22"/>
          <w:lang w:val="en-US"/>
        </w:rPr>
        <w:t>Id.</w:t>
      </w:r>
    </w:p>
  </w:footnote>
  <w:footnote w:id="7">
    <w:p w:rsidR="009F3934" w:rsidRPr="00E118D9" w:rsidRDefault="009F3934">
      <w:pPr>
        <w:pStyle w:val="FootnoteText"/>
        <w:rPr>
          <w:rFonts w:ascii="Palatino Linotype" w:hAnsi="Palatino Linotype"/>
          <w:lang w:val="en-US"/>
        </w:rPr>
      </w:pPr>
      <w:r w:rsidRPr="00E118D9">
        <w:rPr>
          <w:rStyle w:val="FootnoteReference"/>
          <w:rFonts w:ascii="Palatino Linotype" w:hAnsi="Palatino Linotype"/>
        </w:rPr>
        <w:footnoteRef/>
      </w:r>
      <w:r w:rsidRPr="00E118D9">
        <w:rPr>
          <w:rFonts w:ascii="Palatino Linotype" w:hAnsi="Palatino Linotype"/>
        </w:rPr>
        <w:t xml:space="preserve"> </w:t>
      </w:r>
      <w:r w:rsidRPr="001C1256">
        <w:rPr>
          <w:sz w:val="22"/>
          <w:lang w:val="en-US"/>
        </w:rPr>
        <w:t>All three electric utilities have a similar Customer Information Standardized Request (CISR) authorization form.  For ease of reference, these forms are collectively referred to as “CISR.”</w:t>
      </w:r>
    </w:p>
  </w:footnote>
  <w:footnote w:id="8">
    <w:p w:rsidR="009F3934" w:rsidRPr="00E118D9" w:rsidRDefault="009F3934">
      <w:pPr>
        <w:pStyle w:val="FootnoteText"/>
        <w:rPr>
          <w:rFonts w:ascii="Palatino Linotype" w:hAnsi="Palatino Linotype"/>
          <w:lang w:val="en-US"/>
        </w:rPr>
      </w:pPr>
      <w:r w:rsidRPr="00E118D9">
        <w:rPr>
          <w:rStyle w:val="FootnoteReference"/>
          <w:rFonts w:ascii="Palatino Linotype" w:hAnsi="Palatino Linotype"/>
        </w:rPr>
        <w:footnoteRef/>
      </w:r>
      <w:r w:rsidRPr="00E118D9">
        <w:rPr>
          <w:rFonts w:ascii="Palatino Linotype" w:hAnsi="Palatino Linotype"/>
        </w:rPr>
        <w:t xml:space="preserve"> </w:t>
      </w:r>
      <w:r w:rsidRPr="001C1256">
        <w:rPr>
          <w:rFonts w:ascii="Palatino Linotype" w:hAnsi="Palatino Linotype"/>
          <w:i/>
          <w:sz w:val="22"/>
          <w:lang w:val="en-US"/>
        </w:rPr>
        <w:t>Id.</w:t>
      </w:r>
      <w:r w:rsidRPr="001C1256">
        <w:rPr>
          <w:rFonts w:ascii="Palatino Linotype" w:hAnsi="Palatino Linotype"/>
          <w:sz w:val="22"/>
          <w:lang w:val="en-US"/>
        </w:rPr>
        <w:t xml:space="preserve"> at 4.</w:t>
      </w:r>
    </w:p>
  </w:footnote>
  <w:footnote w:id="9">
    <w:p w:rsidR="009F3934" w:rsidRPr="00E118D9" w:rsidRDefault="009F3934">
      <w:pPr>
        <w:pStyle w:val="FootnoteText"/>
        <w:rPr>
          <w:rFonts w:ascii="Palatino Linotype" w:hAnsi="Palatino Linotype"/>
          <w:lang w:val="en-US"/>
        </w:rPr>
      </w:pPr>
      <w:r w:rsidRPr="00E118D9">
        <w:rPr>
          <w:rStyle w:val="FootnoteReference"/>
          <w:rFonts w:ascii="Palatino Linotype" w:hAnsi="Palatino Linotype"/>
        </w:rPr>
        <w:footnoteRef/>
      </w:r>
      <w:r w:rsidRPr="00E118D9">
        <w:rPr>
          <w:rFonts w:ascii="Palatino Linotype" w:hAnsi="Palatino Linotype"/>
        </w:rPr>
        <w:t xml:space="preserve"> </w:t>
      </w:r>
      <w:r w:rsidRPr="001C1256">
        <w:rPr>
          <w:rFonts w:ascii="Palatino Linotype" w:hAnsi="Palatino Linotype"/>
          <w:i/>
          <w:sz w:val="22"/>
          <w:lang w:val="en-US"/>
        </w:rPr>
        <w:t>Id.</w:t>
      </w:r>
    </w:p>
  </w:footnote>
  <w:footnote w:id="10">
    <w:p w:rsidR="009F3934" w:rsidRPr="002F6CBC" w:rsidRDefault="009F3934">
      <w:pPr>
        <w:pStyle w:val="FootnoteText"/>
        <w:rPr>
          <w:lang w:val="en-US"/>
        </w:rPr>
      </w:pPr>
      <w:r>
        <w:rPr>
          <w:rStyle w:val="FootnoteReference"/>
        </w:rPr>
        <w:footnoteRef/>
      </w:r>
      <w:r>
        <w:t xml:space="preserve"> </w:t>
      </w:r>
      <w:r w:rsidRPr="001C1256">
        <w:rPr>
          <w:rFonts w:ascii="Palatino Linotype" w:hAnsi="Palatino Linotype"/>
          <w:i/>
          <w:sz w:val="22"/>
          <w:lang w:val="en-US"/>
        </w:rPr>
        <w:t>SCE AL 2819-E at 3.</w:t>
      </w:r>
    </w:p>
  </w:footnote>
  <w:footnote w:id="11">
    <w:p w:rsidR="009F3934" w:rsidRPr="002F6CBC" w:rsidRDefault="009F3934">
      <w:pPr>
        <w:pStyle w:val="FootnoteText"/>
        <w:rPr>
          <w:lang w:val="en-US"/>
        </w:rPr>
      </w:pPr>
      <w:r>
        <w:rPr>
          <w:rStyle w:val="FootnoteReference"/>
        </w:rPr>
        <w:footnoteRef/>
      </w:r>
      <w:r>
        <w:t xml:space="preserve"> </w:t>
      </w:r>
      <w:r w:rsidRPr="001C1256">
        <w:rPr>
          <w:rFonts w:ascii="Palatino Linotype" w:hAnsi="Palatino Linotype"/>
          <w:i/>
          <w:sz w:val="22"/>
          <w:lang w:val="en-US"/>
        </w:rPr>
        <w:t>Id.</w:t>
      </w:r>
    </w:p>
  </w:footnote>
  <w:footnote w:id="12">
    <w:p w:rsidR="009F3934" w:rsidRPr="0083677D" w:rsidRDefault="009F3934">
      <w:pPr>
        <w:pStyle w:val="FootnoteText"/>
        <w:rPr>
          <w:lang w:val="en-US"/>
        </w:rPr>
      </w:pPr>
      <w:r>
        <w:rPr>
          <w:rStyle w:val="FootnoteReference"/>
        </w:rPr>
        <w:footnoteRef/>
      </w:r>
      <w:r>
        <w:t xml:space="preserve"> </w:t>
      </w:r>
      <w:r w:rsidRPr="001C1256">
        <w:rPr>
          <w:rFonts w:ascii="Palatino Linotype" w:hAnsi="Palatino Linotype"/>
          <w:i/>
          <w:sz w:val="22"/>
          <w:lang w:val="en-US"/>
        </w:rPr>
        <w:t>Id.</w:t>
      </w:r>
    </w:p>
  </w:footnote>
  <w:footnote w:id="13">
    <w:p w:rsidR="009F3934" w:rsidRPr="00D5153F" w:rsidRDefault="009F3934">
      <w:pPr>
        <w:pStyle w:val="FootnoteText"/>
        <w:rPr>
          <w:lang w:val="en-US"/>
        </w:rPr>
      </w:pPr>
      <w:r>
        <w:rPr>
          <w:rStyle w:val="FootnoteReference"/>
        </w:rPr>
        <w:footnoteRef/>
      </w:r>
      <w:r>
        <w:t xml:space="preserve"> </w:t>
      </w:r>
      <w:r w:rsidRPr="001C1256">
        <w:rPr>
          <w:sz w:val="22"/>
          <w:lang w:val="en-US"/>
        </w:rPr>
        <w:t>SoCal Gas AL 4433-G at 2.</w:t>
      </w:r>
    </w:p>
  </w:footnote>
  <w:footnote w:id="14">
    <w:p w:rsidR="009F3934" w:rsidRPr="007617C9" w:rsidRDefault="009F3934">
      <w:pPr>
        <w:pStyle w:val="FootnoteText"/>
        <w:rPr>
          <w:lang w:val="en-US"/>
        </w:rPr>
      </w:pPr>
      <w:r>
        <w:rPr>
          <w:rStyle w:val="FootnoteReference"/>
        </w:rPr>
        <w:footnoteRef/>
      </w:r>
      <w:r>
        <w:t xml:space="preserve"> </w:t>
      </w:r>
      <w:r w:rsidRPr="001C1256">
        <w:rPr>
          <w:sz w:val="22"/>
          <w:lang w:val="en-US"/>
        </w:rPr>
        <w:t>Id.</w:t>
      </w:r>
    </w:p>
  </w:footnote>
  <w:footnote w:id="15">
    <w:p w:rsidR="009F3934" w:rsidRPr="007617C9" w:rsidRDefault="009F3934">
      <w:pPr>
        <w:pStyle w:val="FootnoteText"/>
        <w:rPr>
          <w:lang w:val="en-US"/>
        </w:rPr>
      </w:pPr>
      <w:r>
        <w:rPr>
          <w:rStyle w:val="FootnoteReference"/>
        </w:rPr>
        <w:footnoteRef/>
      </w:r>
      <w:r>
        <w:t xml:space="preserve"> </w:t>
      </w:r>
      <w:r w:rsidRPr="001C1256">
        <w:rPr>
          <w:sz w:val="22"/>
          <w:lang w:val="en-US"/>
        </w:rPr>
        <w:t>Id.</w:t>
      </w:r>
    </w:p>
  </w:footnote>
  <w:footnote w:id="16">
    <w:p w:rsidR="009F3934" w:rsidRPr="007617C9" w:rsidRDefault="009F3934">
      <w:pPr>
        <w:pStyle w:val="FootnoteText"/>
        <w:rPr>
          <w:lang w:val="en-US"/>
        </w:rPr>
      </w:pPr>
      <w:r>
        <w:rPr>
          <w:rStyle w:val="FootnoteReference"/>
        </w:rPr>
        <w:footnoteRef/>
      </w:r>
      <w:r>
        <w:t xml:space="preserve"> </w:t>
      </w:r>
      <w:r w:rsidRPr="001C1256">
        <w:rPr>
          <w:sz w:val="22"/>
          <w:lang w:val="en-US"/>
        </w:rPr>
        <w:t>PG&amp;E AL 3349-G/4158-E at 2.</w:t>
      </w:r>
      <w:r>
        <w:rPr>
          <w:lang w:val="en-US"/>
        </w:rPr>
        <w:t xml:space="preserve">  </w:t>
      </w:r>
    </w:p>
  </w:footnote>
  <w:footnote w:id="17">
    <w:p w:rsidR="001C1256" w:rsidRDefault="00360F5D" w:rsidP="001C1256">
      <w:pPr>
        <w:pStyle w:val="FootnoteText"/>
        <w:spacing w:after="0"/>
        <w:rPr>
          <w:sz w:val="22"/>
          <w:szCs w:val="22"/>
          <w:lang w:val="en-US"/>
        </w:rPr>
      </w:pPr>
      <w:r>
        <w:rPr>
          <w:rStyle w:val="FootnoteReference"/>
        </w:rPr>
        <w:footnoteRef/>
      </w:r>
      <w:r>
        <w:t xml:space="preserve"> </w:t>
      </w:r>
      <w:r w:rsidRPr="001631CF">
        <w:rPr>
          <w:sz w:val="22"/>
          <w:szCs w:val="22"/>
          <w:lang w:val="en-US"/>
        </w:rPr>
        <w:t xml:space="preserve">In parallel to the subject advice letters, the utilities filed another set of advice letters </w:t>
      </w:r>
      <w:r>
        <w:rPr>
          <w:sz w:val="22"/>
          <w:szCs w:val="22"/>
          <w:lang w:val="en-US"/>
        </w:rPr>
        <w:t>(</w:t>
      </w:r>
      <w:r w:rsidRPr="001631CF">
        <w:rPr>
          <w:sz w:val="22"/>
          <w:szCs w:val="22"/>
          <w:lang w:val="en-US"/>
        </w:rPr>
        <w:t xml:space="preserve">specifically, </w:t>
      </w:r>
      <w:r w:rsidRPr="001631CF">
        <w:rPr>
          <w:rFonts w:ascii="Palatino Linotype" w:hAnsi="Palatino Linotype" w:cs="Tahoma"/>
          <w:color w:val="000000"/>
          <w:sz w:val="22"/>
          <w:szCs w:val="22"/>
        </w:rPr>
        <w:t>SDG&amp;E 2434-E, SCE 2830-E and PG&amp;E 4170-E</w:t>
      </w:r>
      <w:r>
        <w:rPr>
          <w:rFonts w:ascii="Palatino Linotype" w:hAnsi="Palatino Linotype" w:cs="Tahoma"/>
          <w:color w:val="000000"/>
          <w:sz w:val="22"/>
          <w:szCs w:val="22"/>
          <w:lang w:val="en-US"/>
        </w:rPr>
        <w:t xml:space="preserve">) </w:t>
      </w:r>
      <w:r w:rsidRPr="001631CF">
        <w:rPr>
          <w:sz w:val="22"/>
          <w:szCs w:val="22"/>
          <w:lang w:val="en-US"/>
        </w:rPr>
        <w:t xml:space="preserve">to address other parts of </w:t>
      </w:r>
    </w:p>
    <w:p w:rsidR="00360F5D" w:rsidRPr="001631CF" w:rsidRDefault="00360F5D" w:rsidP="00360F5D">
      <w:pPr>
        <w:pStyle w:val="FootnoteText"/>
        <w:rPr>
          <w:sz w:val="22"/>
          <w:szCs w:val="22"/>
          <w:lang w:val="en-US"/>
        </w:rPr>
      </w:pPr>
      <w:r w:rsidRPr="001631CF">
        <w:rPr>
          <w:sz w:val="22"/>
          <w:szCs w:val="22"/>
          <w:lang w:val="en-US"/>
        </w:rPr>
        <w:t>D.12-08-04</w:t>
      </w:r>
      <w:r>
        <w:rPr>
          <w:sz w:val="22"/>
          <w:szCs w:val="22"/>
          <w:lang w:val="en-US"/>
        </w:rPr>
        <w:t>5</w:t>
      </w:r>
      <w:r>
        <w:rPr>
          <w:rFonts w:ascii="Palatino Linotype" w:hAnsi="Palatino Linotype" w:cs="Tahoma"/>
          <w:color w:val="000000"/>
          <w:sz w:val="22"/>
          <w:szCs w:val="22"/>
          <w:lang w:val="en-US"/>
        </w:rPr>
        <w:t>.</w:t>
      </w:r>
      <w:r w:rsidRPr="001631CF">
        <w:rPr>
          <w:sz w:val="22"/>
          <w:szCs w:val="22"/>
          <w:lang w:val="en-US"/>
        </w:rPr>
        <w:t xml:space="preserve"> </w:t>
      </w:r>
    </w:p>
  </w:footnote>
  <w:footnote w:id="18">
    <w:p w:rsidR="009F3934" w:rsidRPr="00BA45FC" w:rsidRDefault="009F3934">
      <w:pPr>
        <w:pStyle w:val="FootnoteText"/>
        <w:rPr>
          <w:lang w:val="en-US"/>
        </w:rPr>
      </w:pPr>
      <w:r>
        <w:rPr>
          <w:rStyle w:val="FootnoteReference"/>
        </w:rPr>
        <w:footnoteRef/>
      </w:r>
      <w:r>
        <w:t xml:space="preserve"> </w:t>
      </w:r>
      <w:r w:rsidRPr="001C1256">
        <w:rPr>
          <w:sz w:val="22"/>
          <w:szCs w:val="22"/>
          <w:lang w:val="en-US"/>
        </w:rPr>
        <w:t>Protest of Alliance for Retail Energy Markets, Direct Access Customer Coalition and School Project for Utility Rate Reduction to Utility Advice Letters Implementing Smart Grid Privacy Rules at 2.</w:t>
      </w:r>
    </w:p>
  </w:footnote>
  <w:footnote w:id="19">
    <w:p w:rsidR="009F3934" w:rsidRPr="00BA45FC" w:rsidRDefault="009F3934">
      <w:pPr>
        <w:pStyle w:val="FootnoteText"/>
        <w:rPr>
          <w:lang w:val="en-US"/>
        </w:rPr>
      </w:pPr>
      <w:r>
        <w:rPr>
          <w:rStyle w:val="FootnoteReference"/>
        </w:rPr>
        <w:footnoteRef/>
      </w:r>
      <w:r>
        <w:t xml:space="preserve"> </w:t>
      </w:r>
      <w:r w:rsidRPr="001C1256">
        <w:rPr>
          <w:sz w:val="22"/>
          <w:szCs w:val="22"/>
          <w:lang w:val="en-US"/>
        </w:rPr>
        <w:t>Id. at 3.</w:t>
      </w:r>
    </w:p>
  </w:footnote>
  <w:footnote w:id="20">
    <w:p w:rsidR="009F3934" w:rsidRPr="00BA45FC" w:rsidRDefault="009F3934">
      <w:pPr>
        <w:pStyle w:val="FootnoteText"/>
        <w:rPr>
          <w:lang w:val="en-US"/>
        </w:rPr>
      </w:pPr>
      <w:r>
        <w:rPr>
          <w:rStyle w:val="FootnoteReference"/>
        </w:rPr>
        <w:footnoteRef/>
      </w:r>
      <w:r>
        <w:t xml:space="preserve"> </w:t>
      </w:r>
      <w:r w:rsidRPr="001C1256">
        <w:rPr>
          <w:sz w:val="22"/>
          <w:szCs w:val="22"/>
          <w:lang w:val="en-US"/>
        </w:rPr>
        <w:t>Id.</w:t>
      </w:r>
    </w:p>
  </w:footnote>
  <w:footnote w:id="21">
    <w:p w:rsidR="009F3934" w:rsidRPr="00BA45FC" w:rsidRDefault="009F3934">
      <w:pPr>
        <w:pStyle w:val="FootnoteText"/>
        <w:rPr>
          <w:lang w:val="en-US"/>
        </w:rPr>
      </w:pPr>
      <w:r>
        <w:rPr>
          <w:rStyle w:val="FootnoteReference"/>
        </w:rPr>
        <w:footnoteRef/>
      </w:r>
      <w:r>
        <w:t xml:space="preserve"> </w:t>
      </w:r>
      <w:r w:rsidRPr="001C1256">
        <w:rPr>
          <w:sz w:val="22"/>
          <w:szCs w:val="22"/>
          <w:lang w:val="en-US"/>
        </w:rPr>
        <w:t>Id. at 4-5.</w:t>
      </w:r>
    </w:p>
  </w:footnote>
  <w:footnote w:id="22">
    <w:p w:rsidR="009F3934" w:rsidRPr="00FF336C" w:rsidRDefault="009F3934">
      <w:pPr>
        <w:pStyle w:val="FootnoteText"/>
        <w:rPr>
          <w:lang w:val="en-US"/>
        </w:rPr>
      </w:pPr>
      <w:r>
        <w:rPr>
          <w:rStyle w:val="FootnoteReference"/>
        </w:rPr>
        <w:footnoteRef/>
      </w:r>
      <w:r>
        <w:t xml:space="preserve"> </w:t>
      </w:r>
      <w:r w:rsidRPr="001C1256">
        <w:rPr>
          <w:i/>
          <w:sz w:val="22"/>
          <w:lang w:val="en-US"/>
        </w:rPr>
        <w:t>Id.</w:t>
      </w:r>
      <w:r w:rsidRPr="001C1256">
        <w:rPr>
          <w:sz w:val="22"/>
          <w:lang w:val="en-US"/>
        </w:rPr>
        <w:t xml:space="preserve"> at 5.</w:t>
      </w:r>
    </w:p>
  </w:footnote>
  <w:footnote w:id="23">
    <w:p w:rsidR="00202FCF" w:rsidRPr="00945C91" w:rsidRDefault="00202FCF" w:rsidP="00202FCF">
      <w:pPr>
        <w:pStyle w:val="FootnoteText"/>
        <w:rPr>
          <w:lang w:val="en-US"/>
        </w:rPr>
      </w:pPr>
      <w:r>
        <w:rPr>
          <w:rStyle w:val="FootnoteReference"/>
        </w:rPr>
        <w:footnoteRef/>
      </w:r>
      <w:r>
        <w:t xml:space="preserve"> </w:t>
      </w:r>
      <w:r w:rsidRPr="001C1256">
        <w:rPr>
          <w:i/>
          <w:sz w:val="22"/>
          <w:lang w:val="en-US"/>
        </w:rPr>
        <w:t>See supra footnote 16.</w:t>
      </w:r>
    </w:p>
  </w:footnote>
  <w:footnote w:id="24">
    <w:p w:rsidR="009F3934" w:rsidRPr="00B50F32" w:rsidRDefault="009F3934">
      <w:pPr>
        <w:pStyle w:val="FootnoteText"/>
        <w:rPr>
          <w:lang w:val="en-US"/>
        </w:rPr>
      </w:pPr>
      <w:r>
        <w:rPr>
          <w:rStyle w:val="FootnoteReference"/>
        </w:rPr>
        <w:footnoteRef/>
      </w:r>
      <w:r>
        <w:t xml:space="preserve"> </w:t>
      </w:r>
      <w:r w:rsidRPr="001C1256">
        <w:rPr>
          <w:i/>
          <w:sz w:val="22"/>
          <w:lang w:val="en-US"/>
        </w:rPr>
        <w:t>Protest of EnerNOC at 2.</w:t>
      </w:r>
    </w:p>
  </w:footnote>
  <w:footnote w:id="25">
    <w:p w:rsidR="009F3934" w:rsidRPr="00B50F32" w:rsidRDefault="009F3934">
      <w:pPr>
        <w:pStyle w:val="FootnoteText"/>
        <w:rPr>
          <w:lang w:val="en-US"/>
        </w:rPr>
      </w:pPr>
      <w:r>
        <w:rPr>
          <w:rStyle w:val="FootnoteReference"/>
        </w:rPr>
        <w:footnoteRef/>
      </w:r>
      <w:r>
        <w:t xml:space="preserve"> </w:t>
      </w:r>
      <w:r w:rsidRPr="001C1256">
        <w:rPr>
          <w:i/>
          <w:sz w:val="22"/>
          <w:lang w:val="en-US"/>
        </w:rPr>
        <w:t>Id. at 3.</w:t>
      </w:r>
    </w:p>
  </w:footnote>
  <w:footnote w:id="26">
    <w:p w:rsidR="009F3934" w:rsidRPr="00B50F32" w:rsidRDefault="009F3934">
      <w:pPr>
        <w:pStyle w:val="FootnoteText"/>
        <w:rPr>
          <w:lang w:val="en-US"/>
        </w:rPr>
      </w:pPr>
      <w:r>
        <w:rPr>
          <w:rStyle w:val="FootnoteReference"/>
        </w:rPr>
        <w:footnoteRef/>
      </w:r>
      <w:r>
        <w:t xml:space="preserve"> </w:t>
      </w:r>
      <w:r w:rsidRPr="001C1256">
        <w:rPr>
          <w:i/>
          <w:sz w:val="22"/>
          <w:lang w:val="en-US"/>
        </w:rPr>
        <w:t>Id.</w:t>
      </w:r>
    </w:p>
  </w:footnote>
  <w:footnote w:id="27">
    <w:p w:rsidR="009F3934" w:rsidRPr="00B50F32" w:rsidRDefault="009F3934">
      <w:pPr>
        <w:pStyle w:val="FootnoteText"/>
        <w:rPr>
          <w:lang w:val="en-US"/>
        </w:rPr>
      </w:pPr>
      <w:r>
        <w:rPr>
          <w:rStyle w:val="FootnoteReference"/>
        </w:rPr>
        <w:footnoteRef/>
      </w:r>
      <w:r>
        <w:t xml:space="preserve"> </w:t>
      </w:r>
      <w:r w:rsidRPr="001C1256">
        <w:rPr>
          <w:i/>
          <w:sz w:val="22"/>
          <w:lang w:val="en-US"/>
        </w:rPr>
        <w:t>Id. at 4.</w:t>
      </w:r>
    </w:p>
  </w:footnote>
  <w:footnote w:id="28">
    <w:p w:rsidR="009F3934" w:rsidRPr="008D4BB4" w:rsidRDefault="009F3934">
      <w:pPr>
        <w:pStyle w:val="FootnoteText"/>
        <w:rPr>
          <w:lang w:val="en-US"/>
        </w:rPr>
      </w:pPr>
      <w:r>
        <w:rPr>
          <w:rStyle w:val="FootnoteReference"/>
        </w:rPr>
        <w:footnoteRef/>
      </w:r>
      <w:r>
        <w:t xml:space="preserve"> </w:t>
      </w:r>
      <w:r w:rsidRPr="001C1256">
        <w:rPr>
          <w:i/>
          <w:sz w:val="22"/>
          <w:lang w:val="en-US"/>
        </w:rPr>
        <w:t>Protest of the City and County of San Francisco at 3.</w:t>
      </w:r>
    </w:p>
  </w:footnote>
  <w:footnote w:id="29">
    <w:p w:rsidR="009F3934" w:rsidRPr="008D4BB4" w:rsidRDefault="009F3934">
      <w:pPr>
        <w:pStyle w:val="FootnoteText"/>
        <w:rPr>
          <w:lang w:val="en-US"/>
        </w:rPr>
      </w:pPr>
      <w:r>
        <w:rPr>
          <w:rStyle w:val="FootnoteReference"/>
        </w:rPr>
        <w:footnoteRef/>
      </w:r>
      <w:r>
        <w:t xml:space="preserve"> </w:t>
      </w:r>
      <w:r w:rsidRPr="001C1256">
        <w:rPr>
          <w:i/>
          <w:sz w:val="22"/>
          <w:lang w:val="en-US"/>
        </w:rPr>
        <w:t>Id.</w:t>
      </w:r>
    </w:p>
  </w:footnote>
  <w:footnote w:id="30">
    <w:p w:rsidR="009F3934" w:rsidRPr="008D4BB4" w:rsidRDefault="009F3934">
      <w:pPr>
        <w:pStyle w:val="FootnoteText"/>
        <w:rPr>
          <w:lang w:val="en-US"/>
        </w:rPr>
      </w:pPr>
      <w:r>
        <w:rPr>
          <w:rStyle w:val="FootnoteReference"/>
        </w:rPr>
        <w:footnoteRef/>
      </w:r>
      <w:r>
        <w:t xml:space="preserve"> </w:t>
      </w:r>
      <w:r w:rsidRPr="001C1256">
        <w:rPr>
          <w:i/>
          <w:sz w:val="22"/>
          <w:lang w:val="en-US"/>
        </w:rPr>
        <w:t>Id. at 4.</w:t>
      </w:r>
    </w:p>
  </w:footnote>
  <w:footnote w:id="31">
    <w:p w:rsidR="009F3934" w:rsidRPr="008D4BB4" w:rsidRDefault="009F3934">
      <w:pPr>
        <w:pStyle w:val="FootnoteText"/>
        <w:rPr>
          <w:lang w:val="en-US"/>
        </w:rPr>
      </w:pPr>
      <w:r>
        <w:rPr>
          <w:rStyle w:val="FootnoteReference"/>
        </w:rPr>
        <w:footnoteRef/>
      </w:r>
      <w:r>
        <w:t xml:space="preserve"> </w:t>
      </w:r>
      <w:r w:rsidRPr="001C1256">
        <w:rPr>
          <w:i/>
          <w:sz w:val="22"/>
          <w:lang w:val="en-US"/>
        </w:rPr>
        <w:t>Id.</w:t>
      </w:r>
    </w:p>
  </w:footnote>
  <w:footnote w:id="32">
    <w:p w:rsidR="009F3934" w:rsidRPr="00097F30" w:rsidRDefault="009F3934">
      <w:pPr>
        <w:pStyle w:val="FootnoteText"/>
        <w:rPr>
          <w:lang w:val="en-US"/>
        </w:rPr>
      </w:pPr>
      <w:r>
        <w:rPr>
          <w:rStyle w:val="FootnoteReference"/>
        </w:rPr>
        <w:footnoteRef/>
      </w:r>
      <w:r>
        <w:t xml:space="preserve"> </w:t>
      </w:r>
      <w:r w:rsidRPr="001C1256">
        <w:rPr>
          <w:i/>
          <w:sz w:val="22"/>
          <w:lang w:val="en-US"/>
        </w:rPr>
        <w:t>Id.</w:t>
      </w:r>
    </w:p>
  </w:footnote>
  <w:footnote w:id="33">
    <w:p w:rsidR="009F3934" w:rsidRPr="00BE7486" w:rsidRDefault="009F3934">
      <w:pPr>
        <w:pStyle w:val="FootnoteText"/>
        <w:rPr>
          <w:lang w:val="en-US"/>
        </w:rPr>
      </w:pPr>
      <w:r>
        <w:rPr>
          <w:rStyle w:val="FootnoteReference"/>
        </w:rPr>
        <w:footnoteRef/>
      </w:r>
      <w:r>
        <w:t xml:space="preserve"> </w:t>
      </w:r>
      <w:r w:rsidRPr="001C1256">
        <w:rPr>
          <w:i/>
          <w:sz w:val="22"/>
          <w:lang w:val="en-US"/>
        </w:rPr>
        <w:t xml:space="preserve">Reply of San Diego Gas &amp; Electric to the Protests of Advice Letters 2428-E/2157-G </w:t>
      </w:r>
      <w:r w:rsidR="00BD1D42" w:rsidRPr="001C1256">
        <w:rPr>
          <w:i/>
          <w:sz w:val="22"/>
          <w:lang w:val="en-US"/>
        </w:rPr>
        <w:br/>
      </w:r>
      <w:r w:rsidRPr="001C1256">
        <w:rPr>
          <w:i/>
          <w:sz w:val="22"/>
          <w:lang w:val="en-US"/>
        </w:rPr>
        <w:t>at 1, 3-4.</w:t>
      </w:r>
    </w:p>
  </w:footnote>
  <w:footnote w:id="34">
    <w:p w:rsidR="009F3934" w:rsidRPr="008134F1" w:rsidRDefault="009F3934">
      <w:pPr>
        <w:pStyle w:val="FootnoteText"/>
        <w:rPr>
          <w:lang w:val="en-US"/>
        </w:rPr>
      </w:pPr>
      <w:r>
        <w:rPr>
          <w:rStyle w:val="FootnoteReference"/>
        </w:rPr>
        <w:footnoteRef/>
      </w:r>
      <w:r>
        <w:t xml:space="preserve"> </w:t>
      </w:r>
      <w:r w:rsidRPr="001C1256">
        <w:rPr>
          <w:i/>
          <w:sz w:val="22"/>
          <w:lang w:val="en-US"/>
        </w:rPr>
        <w:t>Id. at 2.</w:t>
      </w:r>
    </w:p>
  </w:footnote>
  <w:footnote w:id="35">
    <w:p w:rsidR="009F3934" w:rsidRPr="008134F1" w:rsidRDefault="009F3934">
      <w:pPr>
        <w:pStyle w:val="FootnoteText"/>
        <w:rPr>
          <w:lang w:val="en-US"/>
        </w:rPr>
      </w:pPr>
      <w:r>
        <w:rPr>
          <w:rStyle w:val="FootnoteReference"/>
        </w:rPr>
        <w:footnoteRef/>
      </w:r>
      <w:r>
        <w:t xml:space="preserve"> </w:t>
      </w:r>
      <w:r w:rsidRPr="001C1256">
        <w:rPr>
          <w:i/>
          <w:sz w:val="22"/>
          <w:lang w:val="en-US"/>
        </w:rPr>
        <w:t>Id</w:t>
      </w:r>
      <w:r w:rsidRPr="001C1256">
        <w:rPr>
          <w:sz w:val="22"/>
          <w:lang w:val="en-US"/>
        </w:rPr>
        <w:t>. at 3-5.</w:t>
      </w:r>
    </w:p>
  </w:footnote>
  <w:footnote w:id="36">
    <w:p w:rsidR="009F3934" w:rsidRPr="008134F1" w:rsidRDefault="009F3934">
      <w:pPr>
        <w:pStyle w:val="FootnoteText"/>
        <w:rPr>
          <w:lang w:val="en-US"/>
        </w:rPr>
      </w:pPr>
      <w:r>
        <w:rPr>
          <w:rStyle w:val="FootnoteReference"/>
        </w:rPr>
        <w:footnoteRef/>
      </w:r>
      <w:r>
        <w:t xml:space="preserve"> </w:t>
      </w:r>
      <w:r w:rsidRPr="001C1256">
        <w:rPr>
          <w:i/>
          <w:sz w:val="22"/>
          <w:lang w:val="en-US"/>
        </w:rPr>
        <w:t>Id. at 4.</w:t>
      </w:r>
    </w:p>
  </w:footnote>
  <w:footnote w:id="37">
    <w:p w:rsidR="009F3934" w:rsidRPr="008134F1" w:rsidRDefault="009F3934">
      <w:pPr>
        <w:pStyle w:val="FootnoteText"/>
        <w:rPr>
          <w:lang w:val="en-US"/>
        </w:rPr>
      </w:pPr>
      <w:r>
        <w:rPr>
          <w:rStyle w:val="FootnoteReference"/>
        </w:rPr>
        <w:footnoteRef/>
      </w:r>
      <w:r>
        <w:t xml:space="preserve"> </w:t>
      </w:r>
      <w:r w:rsidRPr="001C1256">
        <w:rPr>
          <w:i/>
          <w:sz w:val="22"/>
          <w:lang w:val="en-US"/>
        </w:rPr>
        <w:t>Id. at 5.</w:t>
      </w:r>
    </w:p>
  </w:footnote>
  <w:footnote w:id="38">
    <w:p w:rsidR="009F3934" w:rsidRPr="008134F1" w:rsidRDefault="009F3934">
      <w:pPr>
        <w:pStyle w:val="FootnoteText"/>
        <w:rPr>
          <w:lang w:val="en-US"/>
        </w:rPr>
      </w:pPr>
      <w:r>
        <w:rPr>
          <w:rStyle w:val="FootnoteReference"/>
        </w:rPr>
        <w:footnoteRef/>
      </w:r>
      <w:r>
        <w:t xml:space="preserve"> </w:t>
      </w:r>
      <w:r w:rsidRPr="001C1256">
        <w:rPr>
          <w:i/>
          <w:sz w:val="22"/>
          <w:lang w:val="en-US"/>
        </w:rPr>
        <w:t>Id.</w:t>
      </w:r>
    </w:p>
  </w:footnote>
  <w:footnote w:id="39">
    <w:p w:rsidR="009F3934" w:rsidRPr="00994F27" w:rsidRDefault="009F3934">
      <w:pPr>
        <w:pStyle w:val="FootnoteText"/>
        <w:rPr>
          <w:lang w:val="en-US"/>
        </w:rPr>
      </w:pPr>
      <w:r>
        <w:rPr>
          <w:rStyle w:val="FootnoteReference"/>
        </w:rPr>
        <w:footnoteRef/>
      </w:r>
      <w:r>
        <w:t xml:space="preserve"> </w:t>
      </w:r>
      <w:r w:rsidRPr="001C1256">
        <w:rPr>
          <w:i/>
          <w:sz w:val="22"/>
          <w:lang w:val="en-US"/>
        </w:rPr>
        <w:t>Reply of Southern California Edison Company to Protests at 2.</w:t>
      </w:r>
    </w:p>
  </w:footnote>
  <w:footnote w:id="40">
    <w:p w:rsidR="009F3934" w:rsidRPr="00994F27" w:rsidRDefault="009F3934">
      <w:pPr>
        <w:pStyle w:val="FootnoteText"/>
        <w:rPr>
          <w:lang w:val="en-US"/>
        </w:rPr>
      </w:pPr>
      <w:r>
        <w:rPr>
          <w:rStyle w:val="FootnoteReference"/>
        </w:rPr>
        <w:footnoteRef/>
      </w:r>
      <w:r>
        <w:t xml:space="preserve"> </w:t>
      </w:r>
      <w:r w:rsidRPr="001C1256">
        <w:rPr>
          <w:i/>
          <w:sz w:val="22"/>
          <w:lang w:val="en-US"/>
        </w:rPr>
        <w:t>Id.</w:t>
      </w:r>
    </w:p>
  </w:footnote>
  <w:footnote w:id="41">
    <w:p w:rsidR="009F3934" w:rsidRPr="00F31E30" w:rsidRDefault="009F3934">
      <w:pPr>
        <w:pStyle w:val="FootnoteText"/>
        <w:rPr>
          <w:lang w:val="en-US"/>
        </w:rPr>
      </w:pPr>
      <w:r>
        <w:rPr>
          <w:rStyle w:val="FootnoteReference"/>
        </w:rPr>
        <w:footnoteRef/>
      </w:r>
      <w:r>
        <w:t xml:space="preserve"> </w:t>
      </w:r>
      <w:r w:rsidRPr="001C1256">
        <w:rPr>
          <w:i/>
          <w:sz w:val="22"/>
          <w:lang w:val="en-US"/>
        </w:rPr>
        <w:t>Id. at 3.</w:t>
      </w:r>
    </w:p>
  </w:footnote>
  <w:footnote w:id="42">
    <w:p w:rsidR="009F3934" w:rsidRPr="00BC6BB4" w:rsidRDefault="009F3934">
      <w:pPr>
        <w:pStyle w:val="FootnoteText"/>
        <w:rPr>
          <w:lang w:val="en-US"/>
        </w:rPr>
      </w:pPr>
      <w:r>
        <w:rPr>
          <w:rStyle w:val="FootnoteReference"/>
        </w:rPr>
        <w:footnoteRef/>
      </w:r>
      <w:r>
        <w:t xml:space="preserve"> </w:t>
      </w:r>
      <w:r w:rsidRPr="001C1256">
        <w:rPr>
          <w:i/>
          <w:sz w:val="22"/>
          <w:lang w:val="en-US"/>
        </w:rPr>
        <w:t>Id. at 4-5.</w:t>
      </w:r>
    </w:p>
  </w:footnote>
  <w:footnote w:id="43">
    <w:p w:rsidR="009F3934" w:rsidRPr="00BC6BB4" w:rsidRDefault="009F3934">
      <w:pPr>
        <w:pStyle w:val="FootnoteText"/>
        <w:rPr>
          <w:lang w:val="en-US"/>
        </w:rPr>
      </w:pPr>
      <w:r>
        <w:rPr>
          <w:rStyle w:val="FootnoteReference"/>
        </w:rPr>
        <w:footnoteRef/>
      </w:r>
      <w:r>
        <w:t xml:space="preserve"> </w:t>
      </w:r>
      <w:r w:rsidRPr="001C1256">
        <w:rPr>
          <w:i/>
          <w:sz w:val="22"/>
          <w:lang w:val="en-US"/>
        </w:rPr>
        <w:t>Id. at 5.</w:t>
      </w:r>
    </w:p>
  </w:footnote>
  <w:footnote w:id="44">
    <w:p w:rsidR="009F3934" w:rsidRPr="00BC6BB4" w:rsidRDefault="009F3934">
      <w:pPr>
        <w:pStyle w:val="FootnoteText"/>
        <w:rPr>
          <w:lang w:val="en-US"/>
        </w:rPr>
      </w:pPr>
      <w:r>
        <w:rPr>
          <w:rStyle w:val="FootnoteReference"/>
        </w:rPr>
        <w:footnoteRef/>
      </w:r>
      <w:r>
        <w:t xml:space="preserve"> </w:t>
      </w:r>
      <w:r w:rsidRPr="001C1256">
        <w:rPr>
          <w:i/>
          <w:sz w:val="22"/>
          <w:lang w:val="en-US"/>
        </w:rPr>
        <w:t>Id. at 6.</w:t>
      </w:r>
    </w:p>
  </w:footnote>
  <w:footnote w:id="45">
    <w:p w:rsidR="009F3934" w:rsidRPr="00660453" w:rsidRDefault="009F3934">
      <w:pPr>
        <w:pStyle w:val="FootnoteText"/>
        <w:rPr>
          <w:lang w:val="en-US"/>
        </w:rPr>
      </w:pPr>
      <w:r>
        <w:rPr>
          <w:rStyle w:val="FootnoteReference"/>
        </w:rPr>
        <w:footnoteRef/>
      </w:r>
      <w:r>
        <w:t xml:space="preserve"> </w:t>
      </w:r>
      <w:r w:rsidRPr="001C1256">
        <w:rPr>
          <w:i/>
          <w:sz w:val="22"/>
          <w:lang w:val="en-US"/>
        </w:rPr>
        <w:t>Reply to Protest of SoCal Gas at 2.</w:t>
      </w:r>
    </w:p>
  </w:footnote>
  <w:footnote w:id="46">
    <w:p w:rsidR="009F3934" w:rsidRPr="00660453" w:rsidRDefault="009F3934">
      <w:pPr>
        <w:pStyle w:val="FootnoteText"/>
        <w:rPr>
          <w:lang w:val="en-US"/>
        </w:rPr>
      </w:pPr>
      <w:r>
        <w:rPr>
          <w:rStyle w:val="FootnoteReference"/>
        </w:rPr>
        <w:footnoteRef/>
      </w:r>
      <w:r>
        <w:t xml:space="preserve"> </w:t>
      </w:r>
      <w:r w:rsidRPr="001C1256">
        <w:rPr>
          <w:i/>
          <w:sz w:val="22"/>
          <w:lang w:val="en-US"/>
        </w:rPr>
        <w:t>Id.</w:t>
      </w:r>
    </w:p>
  </w:footnote>
  <w:footnote w:id="47">
    <w:p w:rsidR="009F3934" w:rsidRPr="00660453" w:rsidRDefault="009F3934">
      <w:pPr>
        <w:pStyle w:val="FootnoteText"/>
        <w:rPr>
          <w:lang w:val="en-US"/>
        </w:rPr>
      </w:pPr>
      <w:r>
        <w:rPr>
          <w:rStyle w:val="FootnoteReference"/>
        </w:rPr>
        <w:footnoteRef/>
      </w:r>
      <w:r>
        <w:t xml:space="preserve"> </w:t>
      </w:r>
      <w:r w:rsidRPr="001C1256">
        <w:rPr>
          <w:i/>
          <w:sz w:val="22"/>
          <w:lang w:val="en-US"/>
        </w:rPr>
        <w:t>Id.</w:t>
      </w:r>
    </w:p>
  </w:footnote>
  <w:footnote w:id="48">
    <w:p w:rsidR="009F3934" w:rsidRPr="00660453" w:rsidRDefault="009F3934">
      <w:pPr>
        <w:pStyle w:val="FootnoteText"/>
        <w:rPr>
          <w:lang w:val="en-US"/>
        </w:rPr>
      </w:pPr>
      <w:r>
        <w:rPr>
          <w:rStyle w:val="FootnoteReference"/>
        </w:rPr>
        <w:footnoteRef/>
      </w:r>
      <w:r>
        <w:t xml:space="preserve"> </w:t>
      </w:r>
      <w:r w:rsidRPr="001C1256">
        <w:rPr>
          <w:i/>
          <w:sz w:val="22"/>
          <w:lang w:val="en-US"/>
        </w:rPr>
        <w:t>Id. at 3.</w:t>
      </w:r>
    </w:p>
  </w:footnote>
  <w:footnote w:id="49">
    <w:p w:rsidR="009F3934" w:rsidRPr="0091174A" w:rsidRDefault="009F3934">
      <w:pPr>
        <w:pStyle w:val="FootnoteText"/>
        <w:rPr>
          <w:lang w:val="en-US"/>
        </w:rPr>
      </w:pPr>
      <w:r>
        <w:rPr>
          <w:rStyle w:val="FootnoteReference"/>
        </w:rPr>
        <w:footnoteRef/>
      </w:r>
      <w:r>
        <w:t xml:space="preserve"> </w:t>
      </w:r>
      <w:r w:rsidRPr="001C1256">
        <w:rPr>
          <w:i/>
          <w:sz w:val="22"/>
          <w:lang w:val="en-US"/>
        </w:rPr>
        <w:t>Pacific Gas and Electric Company’s Response to Protests of Advice Letters 3349-G/4158-E at 2.</w:t>
      </w:r>
    </w:p>
  </w:footnote>
  <w:footnote w:id="50">
    <w:p w:rsidR="009F3934" w:rsidRPr="0091174A" w:rsidRDefault="009F3934">
      <w:pPr>
        <w:pStyle w:val="FootnoteText"/>
        <w:rPr>
          <w:lang w:val="en-US"/>
        </w:rPr>
      </w:pPr>
      <w:r>
        <w:rPr>
          <w:rStyle w:val="FootnoteReference"/>
        </w:rPr>
        <w:footnoteRef/>
      </w:r>
      <w:r>
        <w:t xml:space="preserve"> </w:t>
      </w:r>
      <w:r w:rsidRPr="001C1256">
        <w:rPr>
          <w:i/>
          <w:sz w:val="22"/>
          <w:lang w:val="en-US"/>
        </w:rPr>
        <w:t>Id.</w:t>
      </w:r>
    </w:p>
  </w:footnote>
  <w:footnote w:id="51">
    <w:p w:rsidR="009F3934" w:rsidRPr="0091174A" w:rsidRDefault="009F3934">
      <w:pPr>
        <w:pStyle w:val="FootnoteText"/>
        <w:rPr>
          <w:lang w:val="en-US"/>
        </w:rPr>
      </w:pPr>
      <w:r>
        <w:rPr>
          <w:rStyle w:val="FootnoteReference"/>
        </w:rPr>
        <w:footnoteRef/>
      </w:r>
      <w:r>
        <w:t xml:space="preserve"> </w:t>
      </w:r>
      <w:r w:rsidRPr="001C1256">
        <w:rPr>
          <w:i/>
          <w:sz w:val="22"/>
          <w:lang w:val="en-US"/>
        </w:rPr>
        <w:t>Id. at 3.</w:t>
      </w:r>
    </w:p>
  </w:footnote>
  <w:footnote w:id="52">
    <w:p w:rsidR="009F3934" w:rsidRPr="002370FA" w:rsidRDefault="009F3934">
      <w:pPr>
        <w:pStyle w:val="FootnoteText"/>
        <w:rPr>
          <w:lang w:val="en-US"/>
        </w:rPr>
      </w:pPr>
      <w:r>
        <w:rPr>
          <w:rStyle w:val="FootnoteReference"/>
        </w:rPr>
        <w:footnoteRef/>
      </w:r>
      <w:r>
        <w:t xml:space="preserve"> </w:t>
      </w:r>
      <w:r w:rsidRPr="001C1256">
        <w:rPr>
          <w:i/>
          <w:sz w:val="22"/>
          <w:lang w:val="en-US"/>
        </w:rPr>
        <w:t>Id.</w:t>
      </w:r>
    </w:p>
  </w:footnote>
  <w:footnote w:id="53">
    <w:p w:rsidR="009F3934" w:rsidRPr="002370FA" w:rsidRDefault="009F3934">
      <w:pPr>
        <w:pStyle w:val="FootnoteText"/>
        <w:rPr>
          <w:lang w:val="en-US"/>
        </w:rPr>
      </w:pPr>
      <w:r>
        <w:rPr>
          <w:rStyle w:val="FootnoteReference"/>
        </w:rPr>
        <w:footnoteRef/>
      </w:r>
      <w:r>
        <w:t xml:space="preserve"> </w:t>
      </w:r>
      <w:r w:rsidRPr="001C1256">
        <w:rPr>
          <w:i/>
          <w:sz w:val="22"/>
          <w:lang w:val="en-US"/>
        </w:rPr>
        <w:t>Id.</w:t>
      </w:r>
    </w:p>
  </w:footnote>
  <w:footnote w:id="54">
    <w:p w:rsidR="009F3934" w:rsidRPr="002370FA" w:rsidRDefault="009F3934">
      <w:pPr>
        <w:pStyle w:val="FootnoteText"/>
        <w:rPr>
          <w:lang w:val="en-US"/>
        </w:rPr>
      </w:pPr>
      <w:r>
        <w:rPr>
          <w:rStyle w:val="FootnoteReference"/>
        </w:rPr>
        <w:footnoteRef/>
      </w:r>
      <w:r>
        <w:t xml:space="preserve"> </w:t>
      </w:r>
      <w:r w:rsidRPr="001C1256">
        <w:rPr>
          <w:i/>
          <w:sz w:val="22"/>
          <w:lang w:val="en-US"/>
        </w:rPr>
        <w:t>Id. at 4.</w:t>
      </w:r>
    </w:p>
  </w:footnote>
  <w:footnote w:id="55">
    <w:p w:rsidR="009F3934" w:rsidRPr="002370FA" w:rsidRDefault="009F3934">
      <w:pPr>
        <w:pStyle w:val="FootnoteText"/>
        <w:rPr>
          <w:lang w:val="en-US"/>
        </w:rPr>
      </w:pPr>
      <w:r>
        <w:rPr>
          <w:rStyle w:val="FootnoteReference"/>
        </w:rPr>
        <w:footnoteRef/>
      </w:r>
      <w:r>
        <w:t xml:space="preserve"> </w:t>
      </w:r>
      <w:r w:rsidRPr="001C1256">
        <w:rPr>
          <w:i/>
          <w:sz w:val="22"/>
          <w:lang w:val="en-US"/>
        </w:rPr>
        <w:t>Id.</w:t>
      </w:r>
    </w:p>
  </w:footnote>
  <w:footnote w:id="56">
    <w:p w:rsidR="009F3934" w:rsidRPr="002370FA" w:rsidRDefault="009F3934">
      <w:pPr>
        <w:pStyle w:val="FootnoteText"/>
        <w:rPr>
          <w:lang w:val="en-US"/>
        </w:rPr>
      </w:pPr>
      <w:r>
        <w:rPr>
          <w:rStyle w:val="FootnoteReference"/>
        </w:rPr>
        <w:footnoteRef/>
      </w:r>
      <w:r>
        <w:t xml:space="preserve"> </w:t>
      </w:r>
      <w:r w:rsidRPr="001C1256">
        <w:rPr>
          <w:i/>
          <w:sz w:val="22"/>
          <w:lang w:val="en-US"/>
        </w:rPr>
        <w:t>Id.</w:t>
      </w:r>
    </w:p>
  </w:footnote>
  <w:footnote w:id="57">
    <w:p w:rsidR="00167689" w:rsidRPr="00167689" w:rsidRDefault="00167689">
      <w:pPr>
        <w:pStyle w:val="FootnoteText"/>
        <w:rPr>
          <w:lang w:val="en-US"/>
        </w:rPr>
      </w:pPr>
      <w:r>
        <w:rPr>
          <w:rStyle w:val="FootnoteReference"/>
        </w:rPr>
        <w:footnoteRef/>
      </w:r>
      <w:r>
        <w:t xml:space="preserve"> </w:t>
      </w:r>
      <w:r w:rsidRPr="006C590A">
        <w:rPr>
          <w:rFonts w:ascii="Palatino Linotype" w:hAnsi="Palatino Linotype"/>
          <w:sz w:val="22"/>
        </w:rPr>
        <w:t>See supra footnote 16.</w:t>
      </w:r>
    </w:p>
  </w:footnote>
  <w:footnote w:id="58">
    <w:p w:rsidR="009F3934" w:rsidRPr="00035224" w:rsidRDefault="009F3934">
      <w:pPr>
        <w:pStyle w:val="FootnoteText"/>
        <w:rPr>
          <w:lang w:val="en-US"/>
        </w:rPr>
      </w:pPr>
      <w:r>
        <w:rPr>
          <w:rStyle w:val="FootnoteReference"/>
        </w:rPr>
        <w:footnoteRef/>
      </w:r>
      <w:r>
        <w:t xml:space="preserve"> </w:t>
      </w:r>
      <w:r w:rsidRPr="006C590A">
        <w:rPr>
          <w:rFonts w:ascii="Palatino Linotype" w:hAnsi="Palatino Linotype"/>
          <w:sz w:val="22"/>
        </w:rPr>
        <w:t>See Privacy Rules Section 6(c)(4).</w:t>
      </w:r>
    </w:p>
  </w:footnote>
  <w:footnote w:id="59">
    <w:p w:rsidR="00D133EE" w:rsidRPr="00D133EE" w:rsidRDefault="00D133EE">
      <w:pPr>
        <w:pStyle w:val="FootnoteText"/>
        <w:rPr>
          <w:lang w:val="en-US"/>
        </w:rPr>
      </w:pPr>
      <w:r>
        <w:rPr>
          <w:rStyle w:val="FootnoteReference"/>
        </w:rPr>
        <w:footnoteRef/>
      </w:r>
      <w:r>
        <w:t xml:space="preserve"> </w:t>
      </w:r>
      <w:r w:rsidRPr="006C590A">
        <w:rPr>
          <w:rFonts w:ascii="Palatino Linotype" w:hAnsi="Palatino Linotype"/>
          <w:sz w:val="22"/>
        </w:rPr>
        <w:t xml:space="preserve">A.12-03-002, et </w:t>
      </w:r>
      <w:r w:rsidR="004E123B" w:rsidRPr="006C590A">
        <w:rPr>
          <w:rFonts w:ascii="Palatino Linotype" w:hAnsi="Palatino Linotype"/>
          <w:sz w:val="22"/>
        </w:rPr>
        <w:t>al</w:t>
      </w:r>
      <w:r w:rsidRPr="006C590A">
        <w:rPr>
          <w:rFonts w:ascii="Palatino Linotype" w:hAnsi="Palatino Linotype"/>
          <w:sz w:val="22"/>
        </w:rPr>
        <w:t>.</w:t>
      </w:r>
    </w:p>
  </w:footnote>
  <w:footnote w:id="60">
    <w:p w:rsidR="005A0E26" w:rsidRPr="005A0E26" w:rsidRDefault="005A0E26">
      <w:pPr>
        <w:pStyle w:val="FootnoteText"/>
        <w:rPr>
          <w:lang w:val="en-US"/>
        </w:rPr>
      </w:pPr>
      <w:r>
        <w:rPr>
          <w:rStyle w:val="FootnoteReference"/>
        </w:rPr>
        <w:footnoteRef/>
      </w:r>
      <w:r>
        <w:t xml:space="preserve"> </w:t>
      </w:r>
      <w:r w:rsidR="00D133EE" w:rsidRPr="006C590A">
        <w:rPr>
          <w:rFonts w:ascii="Palatino Linotype" w:hAnsi="Palatino Linotype"/>
          <w:sz w:val="22"/>
        </w:rPr>
        <w:t xml:space="preserve">See “Joint IOU Report on the Informal All-Party Discussions Regarding the Issues Identified in the Assigned Commissioner’s Ruling and Scoping Memo,” A.12-03-002, et </w:t>
      </w:r>
      <w:r w:rsidR="004E123B" w:rsidRPr="006C590A">
        <w:rPr>
          <w:rFonts w:ascii="Palatino Linotype" w:hAnsi="Palatino Linotype"/>
          <w:sz w:val="22"/>
        </w:rPr>
        <w:t>al</w:t>
      </w:r>
      <w:r w:rsidR="00D133EE" w:rsidRPr="006C590A">
        <w:rPr>
          <w:rFonts w:ascii="Palatino Linotype" w:hAnsi="Palatino Linotype"/>
          <w:sz w:val="22"/>
        </w:rPr>
        <w:t>. at 21-22 (filed July 30, 2012)</w:t>
      </w:r>
      <w:r w:rsidRPr="006C590A">
        <w:rPr>
          <w:rFonts w:ascii="Palatino Linotype" w:hAnsi="Palatino Linotype"/>
          <w:sz w:val="22"/>
        </w:rPr>
        <w:t>.</w:t>
      </w:r>
    </w:p>
  </w:footnote>
  <w:footnote w:id="61">
    <w:p w:rsidR="009F3934" w:rsidRPr="007E2C00" w:rsidRDefault="009F3934">
      <w:pPr>
        <w:pStyle w:val="FootnoteText"/>
        <w:rPr>
          <w:lang w:val="en-US"/>
        </w:rPr>
      </w:pPr>
      <w:r>
        <w:rPr>
          <w:rStyle w:val="FootnoteReference"/>
        </w:rPr>
        <w:footnoteRef/>
      </w:r>
      <w:r>
        <w:t xml:space="preserve"> </w:t>
      </w:r>
      <w:r w:rsidRPr="006C590A">
        <w:rPr>
          <w:rFonts w:ascii="Palatino Linotype" w:hAnsi="Palatino Linotype"/>
          <w:sz w:val="22"/>
        </w:rPr>
        <w:t>As AReM notes, D.11-07-056 envisions that the customer controls the duration of access; absent a pro-active determination by the customer, the utility should assume an indefinite authorization.</w:t>
      </w:r>
    </w:p>
  </w:footnote>
  <w:footnote w:id="62">
    <w:p w:rsidR="009F3934" w:rsidRPr="00327C4A" w:rsidRDefault="009F3934">
      <w:pPr>
        <w:pStyle w:val="FootnoteText"/>
        <w:rPr>
          <w:lang w:val="en-US"/>
        </w:rPr>
      </w:pPr>
      <w:r>
        <w:rPr>
          <w:rStyle w:val="FootnoteReference"/>
        </w:rPr>
        <w:footnoteRef/>
      </w:r>
      <w:r>
        <w:t xml:space="preserve"> </w:t>
      </w:r>
      <w:r w:rsidRPr="006C590A">
        <w:rPr>
          <w:rFonts w:ascii="Palatino Linotype" w:hAnsi="Palatino Linotype"/>
          <w:sz w:val="22"/>
        </w:rPr>
        <w:t>D.10-04-027 at 43-44.</w:t>
      </w:r>
    </w:p>
  </w:footnote>
  <w:footnote w:id="63">
    <w:p w:rsidR="00EF1E86" w:rsidRPr="00042CE8" w:rsidRDefault="00EF1E86">
      <w:pPr>
        <w:pStyle w:val="FootnoteText"/>
        <w:rPr>
          <w:szCs w:val="24"/>
          <w:lang w:val="en-US"/>
        </w:rPr>
      </w:pPr>
      <w:r>
        <w:rPr>
          <w:rStyle w:val="FootnoteReference"/>
        </w:rPr>
        <w:footnoteRef/>
      </w:r>
      <w:r>
        <w:t xml:space="preserve"> </w:t>
      </w:r>
      <w:r w:rsidRPr="006C590A">
        <w:rPr>
          <w:rFonts w:ascii="Palatino Linotype" w:hAnsi="Palatino Linotype"/>
          <w:sz w:val="22"/>
        </w:rPr>
        <w:t xml:space="preserve">The privacy rules adopted in </w:t>
      </w:r>
      <w:r w:rsidR="00410683" w:rsidRPr="006C590A">
        <w:rPr>
          <w:rFonts w:ascii="Palatino Linotype" w:hAnsi="Palatino Linotype"/>
          <w:sz w:val="22"/>
        </w:rPr>
        <w:t xml:space="preserve">Attachment B of </w:t>
      </w:r>
      <w:r w:rsidRPr="006C590A">
        <w:rPr>
          <w:rFonts w:ascii="Palatino Linotype" w:hAnsi="Palatino Linotype"/>
          <w:sz w:val="22"/>
        </w:rPr>
        <w:t xml:space="preserve">D.12-08-045 </w:t>
      </w:r>
      <w:r w:rsidR="00D37F44" w:rsidRPr="006C590A">
        <w:rPr>
          <w:rFonts w:ascii="Palatino Linotype" w:hAnsi="Palatino Linotype"/>
          <w:sz w:val="22"/>
        </w:rPr>
        <w:t xml:space="preserve">apply to </w:t>
      </w:r>
      <w:r w:rsidR="00E81AA7" w:rsidRPr="006C590A">
        <w:rPr>
          <w:rFonts w:ascii="Palatino Linotype" w:hAnsi="Palatino Linotype"/>
          <w:sz w:val="22"/>
        </w:rPr>
        <w:t xml:space="preserve">smart meter </w:t>
      </w:r>
      <w:r w:rsidRPr="006C590A">
        <w:rPr>
          <w:rFonts w:ascii="Palatino Linotype" w:hAnsi="Palatino Linotype"/>
          <w:sz w:val="22"/>
        </w:rPr>
        <w:t xml:space="preserve">usage information of the customers of CCAs and small commercial and residential customers of ESPs. </w:t>
      </w:r>
      <w:r w:rsidR="00042CE8" w:rsidRPr="006C590A">
        <w:rPr>
          <w:rFonts w:ascii="Palatino Linotype" w:hAnsi="Palatino Linotype"/>
          <w:sz w:val="22"/>
        </w:rPr>
        <w:t>Energy Division is currently working with the utilities and parties to complete the disposition of advice letters (SDG&amp;E 2434-E, SCE 2830-E and PG&amp;E 4170-E) filed pursuant to D.12-08-045</w:t>
      </w:r>
      <w:r w:rsidR="007F4385" w:rsidRPr="006C590A">
        <w:rPr>
          <w:rFonts w:ascii="Palatino Linotype" w:hAnsi="Palatino Linotype"/>
          <w:sz w:val="22"/>
        </w:rPr>
        <w:t xml:space="preserve"> to implement Attachment B privacy rules</w:t>
      </w:r>
      <w:r w:rsidR="00042CE8" w:rsidRPr="006C590A">
        <w:rPr>
          <w:rFonts w:ascii="Palatino Linotype" w:hAnsi="Palatino Linotype"/>
          <w:sz w:val="22"/>
        </w:rPr>
        <w:t>.</w:t>
      </w:r>
    </w:p>
  </w:footnote>
  <w:footnote w:id="64">
    <w:p w:rsidR="00064F35" w:rsidRPr="00D37F44" w:rsidRDefault="00064F35" w:rsidP="00064F35">
      <w:pPr>
        <w:pStyle w:val="FootnoteText"/>
        <w:rPr>
          <w:lang w:val="en-US"/>
        </w:rPr>
      </w:pPr>
      <w:r>
        <w:rPr>
          <w:rStyle w:val="FootnoteReference"/>
        </w:rPr>
        <w:footnoteRef/>
      </w:r>
      <w:r>
        <w:t xml:space="preserve"> </w:t>
      </w:r>
      <w:r w:rsidRPr="006C590A">
        <w:rPr>
          <w:rFonts w:ascii="Palatino Linotype" w:hAnsi="Palatino Linotype"/>
          <w:sz w:val="22"/>
        </w:rPr>
        <w:t xml:space="preserve">The customer has two options for authorizing access to data: the CISR form adopted by this Resolution which covers usage only information, or the longer CISR form which covers </w:t>
      </w:r>
      <w:r w:rsidRPr="006C590A">
        <w:rPr>
          <w:rFonts w:ascii="Palatino Linotype" w:hAnsi="Palatino Linotype"/>
          <w:sz w:val="22"/>
          <w:lang w:val="en-US"/>
        </w:rPr>
        <w:t xml:space="preserve">additional </w:t>
      </w:r>
      <w:r w:rsidRPr="006C590A">
        <w:rPr>
          <w:rFonts w:ascii="Palatino Linotype" w:hAnsi="Palatino Linotype"/>
          <w:sz w:val="22"/>
        </w:rPr>
        <w:t xml:space="preserve">information including usage.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4D" w:rsidRDefault="00071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34" w:rsidRPr="00970FF3" w:rsidRDefault="009F3934">
    <w:pPr>
      <w:pStyle w:val="Header"/>
      <w:tabs>
        <w:tab w:val="clear" w:pos="4320"/>
        <w:tab w:val="clear" w:pos="8640"/>
        <w:tab w:val="center" w:pos="4680"/>
        <w:tab w:val="right" w:pos="9180"/>
      </w:tabs>
      <w:rPr>
        <w:rFonts w:ascii="Palatino Linotype" w:hAnsi="Palatino Linotype"/>
      </w:rPr>
    </w:pPr>
    <w:r w:rsidRPr="00970FF3">
      <w:rPr>
        <w:rFonts w:ascii="Palatino Linotype" w:hAnsi="Palatino Linotype"/>
      </w:rPr>
      <w:t>Resolution E-</w:t>
    </w:r>
    <w:r w:rsidR="009B4290">
      <w:rPr>
        <w:rFonts w:ascii="Palatino Linotype" w:hAnsi="Palatino Linotype"/>
      </w:rPr>
      <w:t>4599</w:t>
    </w:r>
    <w:r w:rsidRPr="00970FF3">
      <w:rPr>
        <w:rFonts w:ascii="Palatino Linotype" w:hAnsi="Palatino Linotype"/>
      </w:rPr>
      <w:tab/>
    </w:r>
    <w:r w:rsidR="006C590A">
      <w:rPr>
        <w:rFonts w:ascii="Palatino Linotype" w:hAnsi="Palatino Linotype"/>
      </w:rPr>
      <w:t>DRAFT</w:t>
    </w:r>
    <w:r w:rsidRPr="00970FF3">
      <w:rPr>
        <w:rFonts w:ascii="Palatino Linotype" w:hAnsi="Palatino Linotype"/>
      </w:rPr>
      <w:tab/>
    </w:r>
    <w:r w:rsidR="00676531">
      <w:rPr>
        <w:rFonts w:ascii="Palatino Linotype" w:hAnsi="Palatino Linotype"/>
      </w:rPr>
      <w:t xml:space="preserve">September </w:t>
    </w:r>
    <w:r w:rsidR="0041768D">
      <w:rPr>
        <w:rFonts w:ascii="Palatino Linotype" w:hAnsi="Palatino Linotype"/>
      </w:rPr>
      <w:t>19</w:t>
    </w:r>
    <w:r>
      <w:rPr>
        <w:rFonts w:ascii="Palatino Linotype" w:hAnsi="Palatino Linotype"/>
      </w:rPr>
      <w:t>, 2013</w:t>
    </w:r>
  </w:p>
  <w:p w:rsidR="009F3934" w:rsidRPr="00970FF3" w:rsidRDefault="009F3934">
    <w:pPr>
      <w:pStyle w:val="Header"/>
      <w:tabs>
        <w:tab w:val="clear" w:pos="4320"/>
        <w:tab w:val="clear" w:pos="8640"/>
        <w:tab w:val="center" w:pos="4680"/>
        <w:tab w:val="right" w:pos="9180"/>
      </w:tabs>
      <w:rPr>
        <w:rFonts w:ascii="Palatino Linotype" w:hAnsi="Palatino Linotype"/>
      </w:rPr>
    </w:pPr>
    <w:r>
      <w:rPr>
        <w:rFonts w:ascii="Palatino Linotype" w:hAnsi="Palatino Linotype"/>
      </w:rPr>
      <w:t>SDG&amp;E</w:t>
    </w:r>
    <w:r w:rsidRPr="00970FF3">
      <w:rPr>
        <w:rFonts w:ascii="Palatino Linotype" w:hAnsi="Palatino Linotype"/>
      </w:rPr>
      <w:t xml:space="preserve"> AL </w:t>
    </w:r>
    <w:r w:rsidR="009B4290">
      <w:rPr>
        <w:rFonts w:ascii="Palatino Linotype" w:hAnsi="Palatino Linotype"/>
      </w:rPr>
      <w:t>2428</w:t>
    </w:r>
    <w:r w:rsidRPr="00970FF3">
      <w:rPr>
        <w:rFonts w:ascii="Palatino Linotype" w:hAnsi="Palatino Linotype"/>
      </w:rPr>
      <w:t>-E</w:t>
    </w:r>
    <w:r w:rsidR="009B4290">
      <w:rPr>
        <w:rFonts w:ascii="Palatino Linotype" w:hAnsi="Palatino Linotype"/>
      </w:rPr>
      <w:t>/2157-G</w:t>
    </w:r>
    <w:r>
      <w:rPr>
        <w:rFonts w:ascii="Palatino Linotype" w:hAnsi="Palatino Linotype"/>
      </w:rPr>
      <w:t xml:space="preserve">, </w:t>
    </w:r>
    <w:r w:rsidRPr="00385099">
      <w:rPr>
        <w:rFonts w:ascii="Palatino Linotype" w:hAnsi="Palatino Linotype"/>
        <w:i/>
      </w:rPr>
      <w:t>et al.</w:t>
    </w:r>
    <w:r w:rsidRPr="00970FF3">
      <w:rPr>
        <w:rFonts w:ascii="Palatino Linotype" w:hAnsi="Palatino Linotype"/>
      </w:rPr>
      <w:t>/</w:t>
    </w:r>
    <w:r>
      <w:rPr>
        <w:rFonts w:ascii="Palatino Linotype" w:hAnsi="Palatino Linotype"/>
      </w:rPr>
      <w:t>CRV</w:t>
    </w:r>
    <w:r w:rsidR="00676531">
      <w:rPr>
        <w:rFonts w:ascii="Palatino Linotype" w:hAnsi="Palatino Linotype"/>
      </w:rPr>
      <w:t>&amp;AG2</w:t>
    </w:r>
  </w:p>
  <w:p w:rsidR="009F3934" w:rsidRDefault="009F3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34" w:rsidRDefault="009F3934" w:rsidP="00F14CC4">
    <w:pPr>
      <w:pStyle w:val="Header"/>
      <w:jc w:val="right"/>
      <w:rPr>
        <w:rFonts w:ascii="Helvetica" w:hAnsi="Helvetica"/>
        <w:b/>
        <w:sz w:val="28"/>
      </w:rPr>
    </w:pPr>
    <w:r>
      <w:tab/>
    </w:r>
    <w:r w:rsidR="00DD2403">
      <w:t>DRAFT</w:t>
    </w:r>
    <w:r>
      <w:tab/>
    </w:r>
    <w: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55D"/>
    <w:multiLevelType w:val="hybridMultilevel"/>
    <w:tmpl w:val="4DC869A0"/>
    <w:lvl w:ilvl="0" w:tplc="0E122B56">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119839CD"/>
    <w:multiLevelType w:val="multilevel"/>
    <w:tmpl w:val="874C14C0"/>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FBB02EE"/>
    <w:multiLevelType w:val="hybridMultilevel"/>
    <w:tmpl w:val="0558716E"/>
    <w:lvl w:ilvl="0" w:tplc="54EA2BC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24743C30"/>
    <w:multiLevelType w:val="hybridMultilevel"/>
    <w:tmpl w:val="FEB89434"/>
    <w:lvl w:ilvl="0" w:tplc="EA6CD5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0C5D26"/>
    <w:multiLevelType w:val="hybridMultilevel"/>
    <w:tmpl w:val="E2324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F">
      <w:start w:val="1"/>
      <w:numFmt w:val="decimal"/>
      <w:lvlText w:val="%3."/>
      <w:lvlJc w:val="left"/>
      <w:pPr>
        <w:ind w:left="1800" w:hanging="360"/>
      </w:pPr>
      <w:rPr>
        <w:rFonts w:cs="Times New Roman"/>
      </w:rPr>
    </w:lvl>
    <w:lvl w:ilvl="3" w:tplc="04090001">
      <w:start w:val="1"/>
      <w:numFmt w:val="bullet"/>
      <w:lvlText w:val=""/>
      <w:lvlJc w:val="left"/>
      <w:pPr>
        <w:ind w:left="2520" w:hanging="360"/>
      </w:pPr>
      <w:rPr>
        <w:rFonts w:ascii="Symbol" w:hAnsi="Symbol" w:hint="default"/>
      </w:rPr>
    </w:lvl>
    <w:lvl w:ilvl="4" w:tplc="C90EA546">
      <w:start w:val="1"/>
      <w:numFmt w:val="upperLetter"/>
      <w:lvlText w:val="%5."/>
      <w:lvlJc w:val="left"/>
      <w:pPr>
        <w:ind w:left="3240" w:hanging="360"/>
      </w:p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4D3A65D8"/>
    <w:multiLevelType w:val="hybridMultilevel"/>
    <w:tmpl w:val="92EA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nsid w:val="6F0F541D"/>
    <w:multiLevelType w:val="hybridMultilevel"/>
    <w:tmpl w:val="65F84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760FF3"/>
    <w:multiLevelType w:val="hybridMultilevel"/>
    <w:tmpl w:val="874C14C0"/>
    <w:lvl w:ilvl="0" w:tplc="458A544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D5C0379"/>
    <w:multiLevelType w:val="hybridMultilevel"/>
    <w:tmpl w:val="EF288C36"/>
    <w:lvl w:ilvl="0" w:tplc="EA6CD5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5"/>
  </w:num>
  <w:num w:numId="4">
    <w:abstractNumId w:val="10"/>
  </w:num>
  <w:num w:numId="5">
    <w:abstractNumId w:val="2"/>
  </w:num>
  <w:num w:numId="6">
    <w:abstractNumId w:val="6"/>
  </w:num>
  <w:num w:numId="7">
    <w:abstractNumId w:val="12"/>
  </w:num>
  <w:num w:numId="8">
    <w:abstractNumId w:val="3"/>
  </w:num>
  <w:num w:numId="9">
    <w:abstractNumId w:val="4"/>
  </w:num>
  <w:num w:numId="10">
    <w:abstractNumId w:val="7"/>
    <w:lvlOverride w:ilvl="0"/>
    <w:lvlOverride w:ilvl="1"/>
    <w:lvlOverride w:ilvl="2">
      <w:startOverride w:val="1"/>
    </w:lvlOverride>
    <w:lvlOverride w:ilvl="3"/>
    <w:lvlOverride w:ilvl="4">
      <w:startOverride w:val="1"/>
    </w:lvlOverride>
    <w:lvlOverride w:ilvl="5"/>
    <w:lvlOverride w:ilvl="6"/>
    <w:lvlOverride w:ilvl="7"/>
    <w:lvlOverride w:ilvl="8"/>
  </w:num>
  <w:num w:numId="11">
    <w:abstractNumId w:val="7"/>
  </w:num>
  <w:num w:numId="12">
    <w:abstractNumId w:val="13"/>
  </w:num>
  <w:num w:numId="13">
    <w:abstractNumId w:val="0"/>
  </w:num>
  <w:num w:numId="14">
    <w:abstractNumId w:val="11"/>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3A"/>
    <w:rsid w:val="00006F47"/>
    <w:rsid w:val="00007EEF"/>
    <w:rsid w:val="0001201C"/>
    <w:rsid w:val="00012122"/>
    <w:rsid w:val="00014B65"/>
    <w:rsid w:val="00015816"/>
    <w:rsid w:val="0001653D"/>
    <w:rsid w:val="000268CC"/>
    <w:rsid w:val="0002799E"/>
    <w:rsid w:val="0003051F"/>
    <w:rsid w:val="000316DB"/>
    <w:rsid w:val="00033F5F"/>
    <w:rsid w:val="00035224"/>
    <w:rsid w:val="00042CE8"/>
    <w:rsid w:val="00044A18"/>
    <w:rsid w:val="0004676A"/>
    <w:rsid w:val="00052E5A"/>
    <w:rsid w:val="000545BE"/>
    <w:rsid w:val="0006233A"/>
    <w:rsid w:val="00062CC0"/>
    <w:rsid w:val="00064F35"/>
    <w:rsid w:val="00071C4D"/>
    <w:rsid w:val="0007263B"/>
    <w:rsid w:val="00076936"/>
    <w:rsid w:val="00094BF0"/>
    <w:rsid w:val="00097F30"/>
    <w:rsid w:val="000B5CA9"/>
    <w:rsid w:val="000B5D11"/>
    <w:rsid w:val="000B716A"/>
    <w:rsid w:val="000C5478"/>
    <w:rsid w:val="000C550E"/>
    <w:rsid w:val="000E3096"/>
    <w:rsid w:val="000E3259"/>
    <w:rsid w:val="000E765A"/>
    <w:rsid w:val="00102392"/>
    <w:rsid w:val="001045EF"/>
    <w:rsid w:val="0010754C"/>
    <w:rsid w:val="0011085B"/>
    <w:rsid w:val="001160E5"/>
    <w:rsid w:val="00116A8A"/>
    <w:rsid w:val="00124EF3"/>
    <w:rsid w:val="001422BD"/>
    <w:rsid w:val="0014476E"/>
    <w:rsid w:val="0015034A"/>
    <w:rsid w:val="001622B2"/>
    <w:rsid w:val="001630DF"/>
    <w:rsid w:val="00167689"/>
    <w:rsid w:val="001735EA"/>
    <w:rsid w:val="00175A14"/>
    <w:rsid w:val="0018013A"/>
    <w:rsid w:val="00186075"/>
    <w:rsid w:val="001A0E44"/>
    <w:rsid w:val="001A17FF"/>
    <w:rsid w:val="001B5244"/>
    <w:rsid w:val="001B7CCF"/>
    <w:rsid w:val="001C1256"/>
    <w:rsid w:val="001E76EE"/>
    <w:rsid w:val="001F0279"/>
    <w:rsid w:val="001F252C"/>
    <w:rsid w:val="001F4A4E"/>
    <w:rsid w:val="001F5347"/>
    <w:rsid w:val="001F6303"/>
    <w:rsid w:val="001F78E0"/>
    <w:rsid w:val="002011EB"/>
    <w:rsid w:val="00201C47"/>
    <w:rsid w:val="00202A9F"/>
    <w:rsid w:val="00202FCF"/>
    <w:rsid w:val="002132B8"/>
    <w:rsid w:val="00214A26"/>
    <w:rsid w:val="002157CC"/>
    <w:rsid w:val="0021672F"/>
    <w:rsid w:val="0021768A"/>
    <w:rsid w:val="00217830"/>
    <w:rsid w:val="002232A6"/>
    <w:rsid w:val="00234814"/>
    <w:rsid w:val="00236DD6"/>
    <w:rsid w:val="002370FA"/>
    <w:rsid w:val="0023736A"/>
    <w:rsid w:val="00237EC9"/>
    <w:rsid w:val="002410D6"/>
    <w:rsid w:val="002418EE"/>
    <w:rsid w:val="002428B5"/>
    <w:rsid w:val="0024781D"/>
    <w:rsid w:val="002505A4"/>
    <w:rsid w:val="00257AFC"/>
    <w:rsid w:val="00264EDF"/>
    <w:rsid w:val="00266347"/>
    <w:rsid w:val="0027402D"/>
    <w:rsid w:val="00277549"/>
    <w:rsid w:val="00282578"/>
    <w:rsid w:val="0028372D"/>
    <w:rsid w:val="00284B42"/>
    <w:rsid w:val="00290A77"/>
    <w:rsid w:val="0029490A"/>
    <w:rsid w:val="0029513D"/>
    <w:rsid w:val="0029537F"/>
    <w:rsid w:val="00297BE7"/>
    <w:rsid w:val="002B6527"/>
    <w:rsid w:val="002C262C"/>
    <w:rsid w:val="002F1F3F"/>
    <w:rsid w:val="002F4A44"/>
    <w:rsid w:val="002F6CBC"/>
    <w:rsid w:val="002F7C68"/>
    <w:rsid w:val="00300BB4"/>
    <w:rsid w:val="00300D25"/>
    <w:rsid w:val="00301C14"/>
    <w:rsid w:val="00305473"/>
    <w:rsid w:val="003132A2"/>
    <w:rsid w:val="00314AEF"/>
    <w:rsid w:val="003158D4"/>
    <w:rsid w:val="00315C90"/>
    <w:rsid w:val="003170FD"/>
    <w:rsid w:val="0032289E"/>
    <w:rsid w:val="00327C4A"/>
    <w:rsid w:val="0033269C"/>
    <w:rsid w:val="0034494A"/>
    <w:rsid w:val="003511CF"/>
    <w:rsid w:val="00351F2F"/>
    <w:rsid w:val="00357A60"/>
    <w:rsid w:val="00360F5D"/>
    <w:rsid w:val="00370B7D"/>
    <w:rsid w:val="0037142F"/>
    <w:rsid w:val="00374F9E"/>
    <w:rsid w:val="00375693"/>
    <w:rsid w:val="00375BC9"/>
    <w:rsid w:val="00381FE2"/>
    <w:rsid w:val="00385099"/>
    <w:rsid w:val="00395508"/>
    <w:rsid w:val="003B1E6E"/>
    <w:rsid w:val="003B2E53"/>
    <w:rsid w:val="003B4A24"/>
    <w:rsid w:val="003B579C"/>
    <w:rsid w:val="003C0551"/>
    <w:rsid w:val="003C18B5"/>
    <w:rsid w:val="003C4DC1"/>
    <w:rsid w:val="003D4F99"/>
    <w:rsid w:val="003E6486"/>
    <w:rsid w:val="003F4F9A"/>
    <w:rsid w:val="004007AF"/>
    <w:rsid w:val="00403906"/>
    <w:rsid w:val="00404047"/>
    <w:rsid w:val="00405811"/>
    <w:rsid w:val="004067B8"/>
    <w:rsid w:val="00406E10"/>
    <w:rsid w:val="00410683"/>
    <w:rsid w:val="00410747"/>
    <w:rsid w:val="00411524"/>
    <w:rsid w:val="00414A8D"/>
    <w:rsid w:val="0041768D"/>
    <w:rsid w:val="00417887"/>
    <w:rsid w:val="00425A35"/>
    <w:rsid w:val="004278C9"/>
    <w:rsid w:val="004312F4"/>
    <w:rsid w:val="00440AB7"/>
    <w:rsid w:val="004416AB"/>
    <w:rsid w:val="004427B6"/>
    <w:rsid w:val="00444FFB"/>
    <w:rsid w:val="00445BB0"/>
    <w:rsid w:val="00451E42"/>
    <w:rsid w:val="00464586"/>
    <w:rsid w:val="00481F6A"/>
    <w:rsid w:val="00483431"/>
    <w:rsid w:val="00483488"/>
    <w:rsid w:val="00485306"/>
    <w:rsid w:val="00486C89"/>
    <w:rsid w:val="004905D3"/>
    <w:rsid w:val="00494229"/>
    <w:rsid w:val="004B3DBF"/>
    <w:rsid w:val="004C139F"/>
    <w:rsid w:val="004C2C3F"/>
    <w:rsid w:val="004C65C2"/>
    <w:rsid w:val="004D24E1"/>
    <w:rsid w:val="004D25D4"/>
    <w:rsid w:val="004D2EA5"/>
    <w:rsid w:val="004D6B6F"/>
    <w:rsid w:val="004E123B"/>
    <w:rsid w:val="004E1796"/>
    <w:rsid w:val="004F3F3A"/>
    <w:rsid w:val="004F4260"/>
    <w:rsid w:val="004F76E2"/>
    <w:rsid w:val="005002C6"/>
    <w:rsid w:val="00503B88"/>
    <w:rsid w:val="0050449C"/>
    <w:rsid w:val="00505E58"/>
    <w:rsid w:val="0051034A"/>
    <w:rsid w:val="005140C1"/>
    <w:rsid w:val="005269D1"/>
    <w:rsid w:val="005317B3"/>
    <w:rsid w:val="00532E8A"/>
    <w:rsid w:val="00540C80"/>
    <w:rsid w:val="005421C9"/>
    <w:rsid w:val="00574E40"/>
    <w:rsid w:val="005848CD"/>
    <w:rsid w:val="00584D1C"/>
    <w:rsid w:val="00585AC2"/>
    <w:rsid w:val="00586566"/>
    <w:rsid w:val="00593807"/>
    <w:rsid w:val="005A0D62"/>
    <w:rsid w:val="005A0E26"/>
    <w:rsid w:val="005A52A3"/>
    <w:rsid w:val="005A5823"/>
    <w:rsid w:val="005B10E4"/>
    <w:rsid w:val="005B178D"/>
    <w:rsid w:val="005B7ACE"/>
    <w:rsid w:val="005B7F0E"/>
    <w:rsid w:val="005C03E5"/>
    <w:rsid w:val="005D10CD"/>
    <w:rsid w:val="005D41C9"/>
    <w:rsid w:val="005E54D7"/>
    <w:rsid w:val="005E5977"/>
    <w:rsid w:val="005E6625"/>
    <w:rsid w:val="005F079F"/>
    <w:rsid w:val="005F5A3E"/>
    <w:rsid w:val="005F5A56"/>
    <w:rsid w:val="0061287F"/>
    <w:rsid w:val="00617406"/>
    <w:rsid w:val="00625634"/>
    <w:rsid w:val="00625BAD"/>
    <w:rsid w:val="00626007"/>
    <w:rsid w:val="00626F92"/>
    <w:rsid w:val="00636D59"/>
    <w:rsid w:val="00640A57"/>
    <w:rsid w:val="0065064C"/>
    <w:rsid w:val="00651937"/>
    <w:rsid w:val="00652B3A"/>
    <w:rsid w:val="00660453"/>
    <w:rsid w:val="006608A0"/>
    <w:rsid w:val="00661E6B"/>
    <w:rsid w:val="006713B9"/>
    <w:rsid w:val="00673E8C"/>
    <w:rsid w:val="0067607A"/>
    <w:rsid w:val="00676531"/>
    <w:rsid w:val="006831C2"/>
    <w:rsid w:val="00685B67"/>
    <w:rsid w:val="006870AC"/>
    <w:rsid w:val="00691E86"/>
    <w:rsid w:val="006A0008"/>
    <w:rsid w:val="006A0814"/>
    <w:rsid w:val="006A2A8C"/>
    <w:rsid w:val="006B0CA2"/>
    <w:rsid w:val="006B497B"/>
    <w:rsid w:val="006C091A"/>
    <w:rsid w:val="006C2559"/>
    <w:rsid w:val="006C3FC1"/>
    <w:rsid w:val="006C590A"/>
    <w:rsid w:val="006C6092"/>
    <w:rsid w:val="006C6439"/>
    <w:rsid w:val="006C68CD"/>
    <w:rsid w:val="006D295E"/>
    <w:rsid w:val="006D4BE1"/>
    <w:rsid w:val="006D5256"/>
    <w:rsid w:val="006D5C02"/>
    <w:rsid w:val="006D5C65"/>
    <w:rsid w:val="006D649C"/>
    <w:rsid w:val="006D659F"/>
    <w:rsid w:val="006F0979"/>
    <w:rsid w:val="006F1CAA"/>
    <w:rsid w:val="006F67C1"/>
    <w:rsid w:val="006F680D"/>
    <w:rsid w:val="006F734C"/>
    <w:rsid w:val="006F7C57"/>
    <w:rsid w:val="0070106B"/>
    <w:rsid w:val="00703A58"/>
    <w:rsid w:val="0070439E"/>
    <w:rsid w:val="00710807"/>
    <w:rsid w:val="00711924"/>
    <w:rsid w:val="00716AC9"/>
    <w:rsid w:val="00720B17"/>
    <w:rsid w:val="007246E9"/>
    <w:rsid w:val="00730F99"/>
    <w:rsid w:val="00731F3E"/>
    <w:rsid w:val="00734A34"/>
    <w:rsid w:val="00735DF1"/>
    <w:rsid w:val="0074406C"/>
    <w:rsid w:val="007549D4"/>
    <w:rsid w:val="00757157"/>
    <w:rsid w:val="007617C9"/>
    <w:rsid w:val="00761952"/>
    <w:rsid w:val="00762AA8"/>
    <w:rsid w:val="00773300"/>
    <w:rsid w:val="00777BB5"/>
    <w:rsid w:val="00781011"/>
    <w:rsid w:val="00781E82"/>
    <w:rsid w:val="00790FF3"/>
    <w:rsid w:val="00792223"/>
    <w:rsid w:val="007937A6"/>
    <w:rsid w:val="007A281A"/>
    <w:rsid w:val="007A6BF1"/>
    <w:rsid w:val="007A7C9A"/>
    <w:rsid w:val="007B0411"/>
    <w:rsid w:val="007B3F1B"/>
    <w:rsid w:val="007B5460"/>
    <w:rsid w:val="007B6C34"/>
    <w:rsid w:val="007B7432"/>
    <w:rsid w:val="007C10F8"/>
    <w:rsid w:val="007C2FBE"/>
    <w:rsid w:val="007C3FE9"/>
    <w:rsid w:val="007C6954"/>
    <w:rsid w:val="007C73BD"/>
    <w:rsid w:val="007E2C00"/>
    <w:rsid w:val="007E3879"/>
    <w:rsid w:val="007F4385"/>
    <w:rsid w:val="007F4A63"/>
    <w:rsid w:val="008016B0"/>
    <w:rsid w:val="008074AD"/>
    <w:rsid w:val="00810051"/>
    <w:rsid w:val="008134F1"/>
    <w:rsid w:val="00830538"/>
    <w:rsid w:val="00832E6B"/>
    <w:rsid w:val="0083677D"/>
    <w:rsid w:val="008425FE"/>
    <w:rsid w:val="0084633F"/>
    <w:rsid w:val="008670E6"/>
    <w:rsid w:val="00870A13"/>
    <w:rsid w:val="00877AEA"/>
    <w:rsid w:val="00887CCC"/>
    <w:rsid w:val="00897CCC"/>
    <w:rsid w:val="008A5512"/>
    <w:rsid w:val="008B086E"/>
    <w:rsid w:val="008B3B80"/>
    <w:rsid w:val="008B6B89"/>
    <w:rsid w:val="008C4AFB"/>
    <w:rsid w:val="008D003B"/>
    <w:rsid w:val="008D1A27"/>
    <w:rsid w:val="008D1EFE"/>
    <w:rsid w:val="008D2EB9"/>
    <w:rsid w:val="008D406B"/>
    <w:rsid w:val="008D4BB4"/>
    <w:rsid w:val="008D7677"/>
    <w:rsid w:val="008E410F"/>
    <w:rsid w:val="008E6FBA"/>
    <w:rsid w:val="008F2591"/>
    <w:rsid w:val="00907DC7"/>
    <w:rsid w:val="00910E77"/>
    <w:rsid w:val="0091174A"/>
    <w:rsid w:val="0091365C"/>
    <w:rsid w:val="009158FB"/>
    <w:rsid w:val="00926D2E"/>
    <w:rsid w:val="0092719C"/>
    <w:rsid w:val="00927F7F"/>
    <w:rsid w:val="00932728"/>
    <w:rsid w:val="00932C57"/>
    <w:rsid w:val="00934E67"/>
    <w:rsid w:val="009411B9"/>
    <w:rsid w:val="009422AD"/>
    <w:rsid w:val="00944147"/>
    <w:rsid w:val="00945A6E"/>
    <w:rsid w:val="00955DAF"/>
    <w:rsid w:val="00960BA0"/>
    <w:rsid w:val="00961784"/>
    <w:rsid w:val="00962581"/>
    <w:rsid w:val="009708A3"/>
    <w:rsid w:val="00970FF3"/>
    <w:rsid w:val="009731DD"/>
    <w:rsid w:val="00975A09"/>
    <w:rsid w:val="009779AD"/>
    <w:rsid w:val="00982E6D"/>
    <w:rsid w:val="009871DD"/>
    <w:rsid w:val="00994F27"/>
    <w:rsid w:val="00995BD8"/>
    <w:rsid w:val="009962B9"/>
    <w:rsid w:val="009A7D62"/>
    <w:rsid w:val="009A7F3D"/>
    <w:rsid w:val="009B4290"/>
    <w:rsid w:val="009C5DAF"/>
    <w:rsid w:val="009C7045"/>
    <w:rsid w:val="009E12A4"/>
    <w:rsid w:val="009E3AA2"/>
    <w:rsid w:val="009E3B32"/>
    <w:rsid w:val="009E4419"/>
    <w:rsid w:val="009E6844"/>
    <w:rsid w:val="009E6D24"/>
    <w:rsid w:val="009F1E73"/>
    <w:rsid w:val="009F2BB9"/>
    <w:rsid w:val="009F3934"/>
    <w:rsid w:val="009F41FE"/>
    <w:rsid w:val="00A0558C"/>
    <w:rsid w:val="00A1306B"/>
    <w:rsid w:val="00A218B6"/>
    <w:rsid w:val="00A267DD"/>
    <w:rsid w:val="00A27CB2"/>
    <w:rsid w:val="00A42224"/>
    <w:rsid w:val="00A43CE1"/>
    <w:rsid w:val="00A45392"/>
    <w:rsid w:val="00A51E17"/>
    <w:rsid w:val="00A52ED5"/>
    <w:rsid w:val="00A56E7E"/>
    <w:rsid w:val="00A57248"/>
    <w:rsid w:val="00A572D4"/>
    <w:rsid w:val="00A61642"/>
    <w:rsid w:val="00A75CC7"/>
    <w:rsid w:val="00A76403"/>
    <w:rsid w:val="00A81E1F"/>
    <w:rsid w:val="00A83797"/>
    <w:rsid w:val="00A86C8F"/>
    <w:rsid w:val="00AA068B"/>
    <w:rsid w:val="00AA4637"/>
    <w:rsid w:val="00AA56DB"/>
    <w:rsid w:val="00AB32CD"/>
    <w:rsid w:val="00AD0E62"/>
    <w:rsid w:val="00AD34F8"/>
    <w:rsid w:val="00AD3793"/>
    <w:rsid w:val="00AD7A9D"/>
    <w:rsid w:val="00AE49F8"/>
    <w:rsid w:val="00AE7D3B"/>
    <w:rsid w:val="00B05C21"/>
    <w:rsid w:val="00B1149B"/>
    <w:rsid w:val="00B1717C"/>
    <w:rsid w:val="00B17FC3"/>
    <w:rsid w:val="00B23BA0"/>
    <w:rsid w:val="00B261B0"/>
    <w:rsid w:val="00B265C6"/>
    <w:rsid w:val="00B423FD"/>
    <w:rsid w:val="00B43C5C"/>
    <w:rsid w:val="00B50F32"/>
    <w:rsid w:val="00B5116A"/>
    <w:rsid w:val="00B52FFC"/>
    <w:rsid w:val="00B53E93"/>
    <w:rsid w:val="00B60FEC"/>
    <w:rsid w:val="00B70026"/>
    <w:rsid w:val="00B70597"/>
    <w:rsid w:val="00B7152C"/>
    <w:rsid w:val="00B72030"/>
    <w:rsid w:val="00B73650"/>
    <w:rsid w:val="00B74A90"/>
    <w:rsid w:val="00B75CED"/>
    <w:rsid w:val="00B77C43"/>
    <w:rsid w:val="00B77EC3"/>
    <w:rsid w:val="00B8475F"/>
    <w:rsid w:val="00B876C2"/>
    <w:rsid w:val="00BA0B37"/>
    <w:rsid w:val="00BA1237"/>
    <w:rsid w:val="00BA15C7"/>
    <w:rsid w:val="00BA45FC"/>
    <w:rsid w:val="00BB592B"/>
    <w:rsid w:val="00BB7522"/>
    <w:rsid w:val="00BC111E"/>
    <w:rsid w:val="00BC1328"/>
    <w:rsid w:val="00BC2E68"/>
    <w:rsid w:val="00BC3487"/>
    <w:rsid w:val="00BC3A8A"/>
    <w:rsid w:val="00BC41A7"/>
    <w:rsid w:val="00BC6BB4"/>
    <w:rsid w:val="00BD19A4"/>
    <w:rsid w:val="00BD1D42"/>
    <w:rsid w:val="00BD3319"/>
    <w:rsid w:val="00BD4B1E"/>
    <w:rsid w:val="00BD50E3"/>
    <w:rsid w:val="00BD69DE"/>
    <w:rsid w:val="00BE104C"/>
    <w:rsid w:val="00BE2A31"/>
    <w:rsid w:val="00BE326E"/>
    <w:rsid w:val="00BE64EF"/>
    <w:rsid w:val="00BE7486"/>
    <w:rsid w:val="00BF0C61"/>
    <w:rsid w:val="00BF62D2"/>
    <w:rsid w:val="00C13B4A"/>
    <w:rsid w:val="00C17E39"/>
    <w:rsid w:val="00C20E6D"/>
    <w:rsid w:val="00C26207"/>
    <w:rsid w:val="00C26DF4"/>
    <w:rsid w:val="00C30B9D"/>
    <w:rsid w:val="00C376DA"/>
    <w:rsid w:val="00C4043B"/>
    <w:rsid w:val="00C412DE"/>
    <w:rsid w:val="00C43079"/>
    <w:rsid w:val="00C52F8E"/>
    <w:rsid w:val="00C57768"/>
    <w:rsid w:val="00C61E80"/>
    <w:rsid w:val="00C67F94"/>
    <w:rsid w:val="00C76A76"/>
    <w:rsid w:val="00C8417F"/>
    <w:rsid w:val="00C84822"/>
    <w:rsid w:val="00C8789E"/>
    <w:rsid w:val="00C91354"/>
    <w:rsid w:val="00C95BF4"/>
    <w:rsid w:val="00CA4E46"/>
    <w:rsid w:val="00CA58BE"/>
    <w:rsid w:val="00CC5B2C"/>
    <w:rsid w:val="00CD25EE"/>
    <w:rsid w:val="00CD2B5A"/>
    <w:rsid w:val="00CD4933"/>
    <w:rsid w:val="00CE4E4F"/>
    <w:rsid w:val="00CE6941"/>
    <w:rsid w:val="00CE7973"/>
    <w:rsid w:val="00CF0B64"/>
    <w:rsid w:val="00CF17DE"/>
    <w:rsid w:val="00CF211D"/>
    <w:rsid w:val="00CF30C2"/>
    <w:rsid w:val="00CF45C6"/>
    <w:rsid w:val="00D048EE"/>
    <w:rsid w:val="00D133EE"/>
    <w:rsid w:val="00D14B54"/>
    <w:rsid w:val="00D258C1"/>
    <w:rsid w:val="00D32F0E"/>
    <w:rsid w:val="00D37F44"/>
    <w:rsid w:val="00D45BB7"/>
    <w:rsid w:val="00D460C9"/>
    <w:rsid w:val="00D5153F"/>
    <w:rsid w:val="00D56053"/>
    <w:rsid w:val="00D63F7E"/>
    <w:rsid w:val="00D6535F"/>
    <w:rsid w:val="00D6551A"/>
    <w:rsid w:val="00D7644D"/>
    <w:rsid w:val="00D806FB"/>
    <w:rsid w:val="00D80F77"/>
    <w:rsid w:val="00D822E9"/>
    <w:rsid w:val="00D82495"/>
    <w:rsid w:val="00D85874"/>
    <w:rsid w:val="00D90CA1"/>
    <w:rsid w:val="00D91651"/>
    <w:rsid w:val="00D91FDA"/>
    <w:rsid w:val="00D94B77"/>
    <w:rsid w:val="00D94E02"/>
    <w:rsid w:val="00D96084"/>
    <w:rsid w:val="00DA1037"/>
    <w:rsid w:val="00DA2A81"/>
    <w:rsid w:val="00DA4CB0"/>
    <w:rsid w:val="00DA51E6"/>
    <w:rsid w:val="00DA5D7A"/>
    <w:rsid w:val="00DA643A"/>
    <w:rsid w:val="00DB1C5B"/>
    <w:rsid w:val="00DB6F2C"/>
    <w:rsid w:val="00DB74DB"/>
    <w:rsid w:val="00DC0CF8"/>
    <w:rsid w:val="00DD00A3"/>
    <w:rsid w:val="00DD20DC"/>
    <w:rsid w:val="00DD2403"/>
    <w:rsid w:val="00DD3306"/>
    <w:rsid w:val="00DD354E"/>
    <w:rsid w:val="00DD3856"/>
    <w:rsid w:val="00DD6D14"/>
    <w:rsid w:val="00DE087C"/>
    <w:rsid w:val="00DE43DC"/>
    <w:rsid w:val="00DE4683"/>
    <w:rsid w:val="00DE6A4A"/>
    <w:rsid w:val="00DF452C"/>
    <w:rsid w:val="00E03561"/>
    <w:rsid w:val="00E118D9"/>
    <w:rsid w:val="00E2500E"/>
    <w:rsid w:val="00E27AA3"/>
    <w:rsid w:val="00E46BAC"/>
    <w:rsid w:val="00E5382C"/>
    <w:rsid w:val="00E5704D"/>
    <w:rsid w:val="00E577AD"/>
    <w:rsid w:val="00E67C22"/>
    <w:rsid w:val="00E7154F"/>
    <w:rsid w:val="00E72C9C"/>
    <w:rsid w:val="00E7511A"/>
    <w:rsid w:val="00E75DBF"/>
    <w:rsid w:val="00E81AA7"/>
    <w:rsid w:val="00E83E96"/>
    <w:rsid w:val="00E847E3"/>
    <w:rsid w:val="00E94891"/>
    <w:rsid w:val="00E96B87"/>
    <w:rsid w:val="00EA752C"/>
    <w:rsid w:val="00EB42E4"/>
    <w:rsid w:val="00EC572C"/>
    <w:rsid w:val="00ED4216"/>
    <w:rsid w:val="00ED45C6"/>
    <w:rsid w:val="00ED754F"/>
    <w:rsid w:val="00EE6F33"/>
    <w:rsid w:val="00EF1037"/>
    <w:rsid w:val="00EF1E86"/>
    <w:rsid w:val="00EF4FA2"/>
    <w:rsid w:val="00F03B9F"/>
    <w:rsid w:val="00F12999"/>
    <w:rsid w:val="00F14CC4"/>
    <w:rsid w:val="00F1528F"/>
    <w:rsid w:val="00F20BDE"/>
    <w:rsid w:val="00F22866"/>
    <w:rsid w:val="00F305C1"/>
    <w:rsid w:val="00F31E30"/>
    <w:rsid w:val="00F4108C"/>
    <w:rsid w:val="00F46895"/>
    <w:rsid w:val="00F52918"/>
    <w:rsid w:val="00F53325"/>
    <w:rsid w:val="00F56952"/>
    <w:rsid w:val="00F652E0"/>
    <w:rsid w:val="00F667D3"/>
    <w:rsid w:val="00F66D62"/>
    <w:rsid w:val="00F72FCB"/>
    <w:rsid w:val="00F75EDC"/>
    <w:rsid w:val="00F812E8"/>
    <w:rsid w:val="00F850FD"/>
    <w:rsid w:val="00F87171"/>
    <w:rsid w:val="00F872AE"/>
    <w:rsid w:val="00F964B2"/>
    <w:rsid w:val="00F9734A"/>
    <w:rsid w:val="00FA5734"/>
    <w:rsid w:val="00FA5872"/>
    <w:rsid w:val="00FB0025"/>
    <w:rsid w:val="00FB0BD4"/>
    <w:rsid w:val="00FB0C8C"/>
    <w:rsid w:val="00FB3838"/>
    <w:rsid w:val="00FB5348"/>
    <w:rsid w:val="00FB7CFD"/>
    <w:rsid w:val="00FC00AD"/>
    <w:rsid w:val="00FC2056"/>
    <w:rsid w:val="00FE6801"/>
    <w:rsid w:val="00FF336C"/>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ACE"/>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B086E"/>
    <w:pPr>
      <w:spacing w:after="240"/>
    </w:pPr>
    <w:rPr>
      <w:sz w:val="24"/>
      <w:lang w:val="x-none" w:eastAsia="x-none"/>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rsid w:val="00673E8C"/>
    <w:rPr>
      <w:sz w:val="16"/>
      <w:szCs w:val="16"/>
    </w:rPr>
  </w:style>
  <w:style w:type="paragraph" w:customStyle="1" w:styleId="Style2">
    <w:name w:val="Style2"/>
    <w:basedOn w:val="Normal"/>
    <w:rsid w:val="007A6BF1"/>
  </w:style>
  <w:style w:type="paragraph" w:customStyle="1" w:styleId="Style3">
    <w:name w:val="Style3"/>
    <w:basedOn w:val="Normal"/>
    <w:rsid w:val="008B086E"/>
  </w:style>
  <w:style w:type="paragraph" w:styleId="CommentText">
    <w:name w:val="annotation text"/>
    <w:basedOn w:val="Normal"/>
    <w:link w:val="CommentTextChar"/>
    <w:rsid w:val="00673E8C"/>
    <w:rPr>
      <w:sz w:val="20"/>
      <w:lang w:val="x-none" w:eastAsia="x-none"/>
    </w:rPr>
  </w:style>
  <w:style w:type="character" w:customStyle="1" w:styleId="CommentTextChar">
    <w:name w:val="Comment Text Char"/>
    <w:link w:val="CommentText"/>
    <w:rsid w:val="00673E8C"/>
    <w:rPr>
      <w:rFonts w:ascii="Palatino" w:hAnsi="Palatino"/>
    </w:rPr>
  </w:style>
  <w:style w:type="paragraph" w:styleId="CommentSubject">
    <w:name w:val="annotation subject"/>
    <w:basedOn w:val="CommentText"/>
    <w:next w:val="CommentText"/>
    <w:link w:val="CommentSubjectChar"/>
    <w:rsid w:val="00673E8C"/>
    <w:rPr>
      <w:b/>
      <w:bCs/>
    </w:rPr>
  </w:style>
  <w:style w:type="character" w:customStyle="1" w:styleId="CommentSubjectChar">
    <w:name w:val="Comment Subject Char"/>
    <w:link w:val="CommentSubject"/>
    <w:rsid w:val="00673E8C"/>
    <w:rPr>
      <w:rFonts w:ascii="Palatino" w:hAnsi="Palatino"/>
      <w:b/>
      <w:bCs/>
    </w:rPr>
  </w:style>
  <w:style w:type="paragraph" w:styleId="BalloonText">
    <w:name w:val="Balloon Text"/>
    <w:basedOn w:val="Normal"/>
    <w:link w:val="BalloonTextChar"/>
    <w:rsid w:val="00673E8C"/>
    <w:rPr>
      <w:rFonts w:ascii="Tahoma" w:hAnsi="Tahoma"/>
      <w:sz w:val="16"/>
      <w:szCs w:val="16"/>
      <w:lang w:val="x-none" w:eastAsia="x-none"/>
    </w:rPr>
  </w:style>
  <w:style w:type="character" w:customStyle="1" w:styleId="BalloonTextChar">
    <w:name w:val="Balloon Text Char"/>
    <w:link w:val="BalloonText"/>
    <w:rsid w:val="00673E8C"/>
    <w:rPr>
      <w:rFonts w:ascii="Tahoma" w:hAnsi="Tahoma" w:cs="Tahoma"/>
      <w:sz w:val="16"/>
      <w:szCs w:val="16"/>
    </w:rPr>
  </w:style>
  <w:style w:type="paragraph" w:customStyle="1" w:styleId="ColorfulList-Accent11">
    <w:name w:val="Colorful List - Accent 11"/>
    <w:basedOn w:val="Normal"/>
    <w:qFormat/>
    <w:rsid w:val="00F53325"/>
    <w:pPr>
      <w:spacing w:line="276" w:lineRule="auto"/>
      <w:ind w:left="720"/>
      <w:contextualSpacing/>
    </w:pPr>
    <w:rPr>
      <w:rFonts w:ascii="Calibri" w:hAnsi="Calibri"/>
      <w:sz w:val="22"/>
      <w:szCs w:val="22"/>
    </w:rPr>
  </w:style>
  <w:style w:type="table" w:styleId="TableGrid">
    <w:name w:val="Table Grid"/>
    <w:basedOn w:val="TableNormal"/>
    <w:rsid w:val="000E7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7549"/>
    <w:pPr>
      <w:spacing w:before="100" w:beforeAutospacing="1" w:after="100" w:afterAutospacing="1"/>
    </w:pPr>
    <w:rPr>
      <w:rFonts w:ascii="Times New Roman" w:eastAsia="Calibri" w:hAnsi="Times New Roman"/>
      <w:sz w:val="24"/>
      <w:szCs w:val="24"/>
    </w:rPr>
  </w:style>
  <w:style w:type="character" w:customStyle="1" w:styleId="FootnoteTextChar">
    <w:name w:val="Footnote Text Char"/>
    <w:link w:val="FootnoteText"/>
    <w:semiHidden/>
    <w:rsid w:val="00B5116A"/>
    <w:rPr>
      <w:rFonts w:ascii="Palatino" w:hAnsi="Palatino"/>
      <w:sz w:val="24"/>
    </w:rPr>
  </w:style>
  <w:style w:type="character" w:styleId="Hyperlink">
    <w:name w:val="Hyperlink"/>
    <w:rsid w:val="00E96B87"/>
    <w:rPr>
      <w:color w:val="0000FF"/>
      <w:u w:val="single"/>
    </w:rPr>
  </w:style>
  <w:style w:type="paragraph" w:styleId="ListParagraph">
    <w:name w:val="List Paragraph"/>
    <w:basedOn w:val="Normal"/>
    <w:uiPriority w:val="34"/>
    <w:qFormat/>
    <w:rsid w:val="001045EF"/>
    <w:pPr>
      <w:ind w:left="720"/>
    </w:pPr>
    <w:rPr>
      <w:rFonts w:ascii="Times New Roman" w:hAnsi="Times New Roman"/>
      <w:sz w:val="24"/>
      <w:szCs w:val="24"/>
    </w:rPr>
  </w:style>
  <w:style w:type="paragraph" w:styleId="Revision">
    <w:name w:val="Revision"/>
    <w:hidden/>
    <w:uiPriority w:val="99"/>
    <w:semiHidden/>
    <w:rsid w:val="009C7045"/>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ACE"/>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B086E"/>
    <w:pPr>
      <w:spacing w:after="240"/>
    </w:pPr>
    <w:rPr>
      <w:sz w:val="24"/>
      <w:lang w:val="x-none" w:eastAsia="x-none"/>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CommentReference">
    <w:name w:val="annotation reference"/>
    <w:rsid w:val="00673E8C"/>
    <w:rPr>
      <w:sz w:val="16"/>
      <w:szCs w:val="16"/>
    </w:rPr>
  </w:style>
  <w:style w:type="paragraph" w:customStyle="1" w:styleId="Style2">
    <w:name w:val="Style2"/>
    <w:basedOn w:val="Normal"/>
    <w:rsid w:val="007A6BF1"/>
  </w:style>
  <w:style w:type="paragraph" w:customStyle="1" w:styleId="Style3">
    <w:name w:val="Style3"/>
    <w:basedOn w:val="Normal"/>
    <w:rsid w:val="008B086E"/>
  </w:style>
  <w:style w:type="paragraph" w:styleId="CommentText">
    <w:name w:val="annotation text"/>
    <w:basedOn w:val="Normal"/>
    <w:link w:val="CommentTextChar"/>
    <w:rsid w:val="00673E8C"/>
    <w:rPr>
      <w:sz w:val="20"/>
      <w:lang w:val="x-none" w:eastAsia="x-none"/>
    </w:rPr>
  </w:style>
  <w:style w:type="character" w:customStyle="1" w:styleId="CommentTextChar">
    <w:name w:val="Comment Text Char"/>
    <w:link w:val="CommentText"/>
    <w:rsid w:val="00673E8C"/>
    <w:rPr>
      <w:rFonts w:ascii="Palatino" w:hAnsi="Palatino"/>
    </w:rPr>
  </w:style>
  <w:style w:type="paragraph" w:styleId="CommentSubject">
    <w:name w:val="annotation subject"/>
    <w:basedOn w:val="CommentText"/>
    <w:next w:val="CommentText"/>
    <w:link w:val="CommentSubjectChar"/>
    <w:rsid w:val="00673E8C"/>
    <w:rPr>
      <w:b/>
      <w:bCs/>
    </w:rPr>
  </w:style>
  <w:style w:type="character" w:customStyle="1" w:styleId="CommentSubjectChar">
    <w:name w:val="Comment Subject Char"/>
    <w:link w:val="CommentSubject"/>
    <w:rsid w:val="00673E8C"/>
    <w:rPr>
      <w:rFonts w:ascii="Palatino" w:hAnsi="Palatino"/>
      <w:b/>
      <w:bCs/>
    </w:rPr>
  </w:style>
  <w:style w:type="paragraph" w:styleId="BalloonText">
    <w:name w:val="Balloon Text"/>
    <w:basedOn w:val="Normal"/>
    <w:link w:val="BalloonTextChar"/>
    <w:rsid w:val="00673E8C"/>
    <w:rPr>
      <w:rFonts w:ascii="Tahoma" w:hAnsi="Tahoma"/>
      <w:sz w:val="16"/>
      <w:szCs w:val="16"/>
      <w:lang w:val="x-none" w:eastAsia="x-none"/>
    </w:rPr>
  </w:style>
  <w:style w:type="character" w:customStyle="1" w:styleId="BalloonTextChar">
    <w:name w:val="Balloon Text Char"/>
    <w:link w:val="BalloonText"/>
    <w:rsid w:val="00673E8C"/>
    <w:rPr>
      <w:rFonts w:ascii="Tahoma" w:hAnsi="Tahoma" w:cs="Tahoma"/>
      <w:sz w:val="16"/>
      <w:szCs w:val="16"/>
    </w:rPr>
  </w:style>
  <w:style w:type="paragraph" w:customStyle="1" w:styleId="ColorfulList-Accent11">
    <w:name w:val="Colorful List - Accent 11"/>
    <w:basedOn w:val="Normal"/>
    <w:qFormat/>
    <w:rsid w:val="00F53325"/>
    <w:pPr>
      <w:spacing w:line="276" w:lineRule="auto"/>
      <w:ind w:left="720"/>
      <w:contextualSpacing/>
    </w:pPr>
    <w:rPr>
      <w:rFonts w:ascii="Calibri" w:hAnsi="Calibri"/>
      <w:sz w:val="22"/>
      <w:szCs w:val="22"/>
    </w:rPr>
  </w:style>
  <w:style w:type="table" w:styleId="TableGrid">
    <w:name w:val="Table Grid"/>
    <w:basedOn w:val="TableNormal"/>
    <w:rsid w:val="000E7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7549"/>
    <w:pPr>
      <w:spacing w:before="100" w:beforeAutospacing="1" w:after="100" w:afterAutospacing="1"/>
    </w:pPr>
    <w:rPr>
      <w:rFonts w:ascii="Times New Roman" w:eastAsia="Calibri" w:hAnsi="Times New Roman"/>
      <w:sz w:val="24"/>
      <w:szCs w:val="24"/>
    </w:rPr>
  </w:style>
  <w:style w:type="character" w:customStyle="1" w:styleId="FootnoteTextChar">
    <w:name w:val="Footnote Text Char"/>
    <w:link w:val="FootnoteText"/>
    <w:semiHidden/>
    <w:rsid w:val="00B5116A"/>
    <w:rPr>
      <w:rFonts w:ascii="Palatino" w:hAnsi="Palatino"/>
      <w:sz w:val="24"/>
    </w:rPr>
  </w:style>
  <w:style w:type="character" w:styleId="Hyperlink">
    <w:name w:val="Hyperlink"/>
    <w:rsid w:val="00E96B87"/>
    <w:rPr>
      <w:color w:val="0000FF"/>
      <w:u w:val="single"/>
    </w:rPr>
  </w:style>
  <w:style w:type="paragraph" w:styleId="ListParagraph">
    <w:name w:val="List Paragraph"/>
    <w:basedOn w:val="Normal"/>
    <w:uiPriority w:val="34"/>
    <w:qFormat/>
    <w:rsid w:val="001045EF"/>
    <w:pPr>
      <w:ind w:left="720"/>
    </w:pPr>
    <w:rPr>
      <w:rFonts w:ascii="Times New Roman" w:hAnsi="Times New Roman"/>
      <w:sz w:val="24"/>
      <w:szCs w:val="24"/>
    </w:rPr>
  </w:style>
  <w:style w:type="paragraph" w:styleId="Revision">
    <w:name w:val="Revision"/>
    <w:hidden/>
    <w:uiPriority w:val="99"/>
    <w:semiHidden/>
    <w:rsid w:val="009C7045"/>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7394">
      <w:bodyDiv w:val="1"/>
      <w:marLeft w:val="0"/>
      <w:marRight w:val="0"/>
      <w:marTop w:val="0"/>
      <w:marBottom w:val="0"/>
      <w:divBdr>
        <w:top w:val="none" w:sz="0" w:space="0" w:color="auto"/>
        <w:left w:val="none" w:sz="0" w:space="0" w:color="auto"/>
        <w:bottom w:val="none" w:sz="0" w:space="0" w:color="auto"/>
        <w:right w:val="none" w:sz="0" w:space="0" w:color="auto"/>
      </w:divBdr>
    </w:div>
    <w:div w:id="139158449">
      <w:bodyDiv w:val="1"/>
      <w:marLeft w:val="0"/>
      <w:marRight w:val="0"/>
      <w:marTop w:val="0"/>
      <w:marBottom w:val="0"/>
      <w:divBdr>
        <w:top w:val="none" w:sz="0" w:space="0" w:color="auto"/>
        <w:left w:val="none" w:sz="0" w:space="0" w:color="auto"/>
        <w:bottom w:val="none" w:sz="0" w:space="0" w:color="auto"/>
        <w:right w:val="none" w:sz="0" w:space="0" w:color="auto"/>
      </w:divBdr>
    </w:div>
    <w:div w:id="212040593">
      <w:bodyDiv w:val="1"/>
      <w:marLeft w:val="0"/>
      <w:marRight w:val="0"/>
      <w:marTop w:val="0"/>
      <w:marBottom w:val="0"/>
      <w:divBdr>
        <w:top w:val="none" w:sz="0" w:space="0" w:color="auto"/>
        <w:left w:val="none" w:sz="0" w:space="0" w:color="auto"/>
        <w:bottom w:val="none" w:sz="0" w:space="0" w:color="auto"/>
        <w:right w:val="none" w:sz="0" w:space="0" w:color="auto"/>
      </w:divBdr>
    </w:div>
    <w:div w:id="219290060">
      <w:bodyDiv w:val="1"/>
      <w:marLeft w:val="0"/>
      <w:marRight w:val="0"/>
      <w:marTop w:val="0"/>
      <w:marBottom w:val="0"/>
      <w:divBdr>
        <w:top w:val="none" w:sz="0" w:space="0" w:color="auto"/>
        <w:left w:val="none" w:sz="0" w:space="0" w:color="auto"/>
        <w:bottom w:val="none" w:sz="0" w:space="0" w:color="auto"/>
        <w:right w:val="none" w:sz="0" w:space="0" w:color="auto"/>
      </w:divBdr>
    </w:div>
    <w:div w:id="331295250">
      <w:bodyDiv w:val="1"/>
      <w:marLeft w:val="0"/>
      <w:marRight w:val="0"/>
      <w:marTop w:val="0"/>
      <w:marBottom w:val="0"/>
      <w:divBdr>
        <w:top w:val="none" w:sz="0" w:space="0" w:color="auto"/>
        <w:left w:val="none" w:sz="0" w:space="0" w:color="auto"/>
        <w:bottom w:val="none" w:sz="0" w:space="0" w:color="auto"/>
        <w:right w:val="none" w:sz="0" w:space="0" w:color="auto"/>
      </w:divBdr>
    </w:div>
    <w:div w:id="692458043">
      <w:bodyDiv w:val="1"/>
      <w:marLeft w:val="0"/>
      <w:marRight w:val="0"/>
      <w:marTop w:val="0"/>
      <w:marBottom w:val="0"/>
      <w:divBdr>
        <w:top w:val="none" w:sz="0" w:space="0" w:color="auto"/>
        <w:left w:val="none" w:sz="0" w:space="0" w:color="auto"/>
        <w:bottom w:val="none" w:sz="0" w:space="0" w:color="auto"/>
        <w:right w:val="none" w:sz="0" w:space="0" w:color="auto"/>
      </w:divBdr>
    </w:div>
    <w:div w:id="754937492">
      <w:bodyDiv w:val="1"/>
      <w:marLeft w:val="0"/>
      <w:marRight w:val="0"/>
      <w:marTop w:val="0"/>
      <w:marBottom w:val="0"/>
      <w:divBdr>
        <w:top w:val="none" w:sz="0" w:space="0" w:color="auto"/>
        <w:left w:val="none" w:sz="0" w:space="0" w:color="auto"/>
        <w:bottom w:val="none" w:sz="0" w:space="0" w:color="auto"/>
        <w:right w:val="none" w:sz="0" w:space="0" w:color="auto"/>
      </w:divBdr>
    </w:div>
    <w:div w:id="961225853">
      <w:bodyDiv w:val="1"/>
      <w:marLeft w:val="0"/>
      <w:marRight w:val="0"/>
      <w:marTop w:val="0"/>
      <w:marBottom w:val="0"/>
      <w:divBdr>
        <w:top w:val="none" w:sz="0" w:space="0" w:color="auto"/>
        <w:left w:val="none" w:sz="0" w:space="0" w:color="auto"/>
        <w:bottom w:val="none" w:sz="0" w:space="0" w:color="auto"/>
        <w:right w:val="none" w:sz="0" w:space="0" w:color="auto"/>
      </w:divBdr>
    </w:div>
    <w:div w:id="1121650636">
      <w:bodyDiv w:val="1"/>
      <w:marLeft w:val="0"/>
      <w:marRight w:val="0"/>
      <w:marTop w:val="0"/>
      <w:marBottom w:val="0"/>
      <w:divBdr>
        <w:top w:val="none" w:sz="0" w:space="0" w:color="auto"/>
        <w:left w:val="none" w:sz="0" w:space="0" w:color="auto"/>
        <w:bottom w:val="none" w:sz="0" w:space="0" w:color="auto"/>
        <w:right w:val="none" w:sz="0" w:space="0" w:color="auto"/>
      </w:divBdr>
    </w:div>
    <w:div w:id="1553031748">
      <w:bodyDiv w:val="1"/>
      <w:marLeft w:val="0"/>
      <w:marRight w:val="0"/>
      <w:marTop w:val="0"/>
      <w:marBottom w:val="0"/>
      <w:divBdr>
        <w:top w:val="none" w:sz="0" w:space="0" w:color="auto"/>
        <w:left w:val="none" w:sz="0" w:space="0" w:color="auto"/>
        <w:bottom w:val="none" w:sz="0" w:space="0" w:color="auto"/>
        <w:right w:val="none" w:sz="0" w:space="0" w:color="auto"/>
      </w:divBdr>
    </w:div>
    <w:div w:id="1800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4750</Words>
  <Characters>25448</Characters>
  <Application>Microsoft Office Word</Application>
  <DocSecurity>0</DocSecurity>
  <Lines>508</Lines>
  <Paragraphs>90</Paragraphs>
  <ScaleCrop>false</ScaleCrop>
  <HeadingPairs>
    <vt:vector size="2" baseType="variant">
      <vt:variant>
        <vt:lpstr>Title</vt:lpstr>
      </vt:variant>
      <vt:variant>
        <vt:i4>1</vt:i4>
      </vt:variant>
    </vt:vector>
  </HeadingPairs>
  <TitlesOfParts>
    <vt:vector size="1" baseType="lpstr">
      <vt:lpstr>Resolution Template</vt:lpstr>
    </vt:vector>
  </TitlesOfParts>
  <Manager/>
  <Company/>
  <LinksUpToDate>false</LinksUpToDate>
  <CharactersWithSpaces>30437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2013-08-30T16:41:00Z</cp:lastPrinted>
  <dcterms:created xsi:type="dcterms:W3CDTF">2013-09-18T19:53:00Z</dcterms:created>
  <dcterms:modified xsi:type="dcterms:W3CDTF">2013-09-18T19:53:00Z</dcterms:modified>
  <cp:category> </cp:category>
  <cp:contentStatus> </cp:contentStatus>
</cp:coreProperties>
</file>