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A6" w:rsidRPr="000E665E" w:rsidRDefault="00F054A6" w:rsidP="0093501B">
      <w:pPr>
        <w:pStyle w:val="Header"/>
        <w:tabs>
          <w:tab w:val="clear" w:pos="4320"/>
          <w:tab w:val="clear" w:pos="8640"/>
          <w:tab w:val="center" w:pos="4680"/>
          <w:tab w:val="right" w:pos="9360"/>
        </w:tabs>
        <w:rPr>
          <w:sz w:val="25"/>
          <w:szCs w:val="25"/>
        </w:rPr>
      </w:pPr>
      <w:bookmarkStart w:id="0" w:name="_GoBack"/>
      <w:bookmarkEnd w:id="0"/>
      <w:r>
        <w:rPr>
          <w:sz w:val="25"/>
          <w:szCs w:val="25"/>
        </w:rPr>
        <w:t xml:space="preserve">A.09-09-020  </w:t>
      </w:r>
      <w:r w:rsidR="000E665E">
        <w:rPr>
          <w:sz w:val="25"/>
          <w:szCs w:val="25"/>
        </w:rPr>
        <w:t>ALJ/</w:t>
      </w:r>
      <w:r>
        <w:rPr>
          <w:sz w:val="25"/>
          <w:szCs w:val="25"/>
        </w:rPr>
        <w:t>RS1/</w:t>
      </w:r>
      <w:r w:rsidR="000E665E">
        <w:rPr>
          <w:sz w:val="25"/>
          <w:szCs w:val="25"/>
        </w:rPr>
        <w:t>jt2</w:t>
      </w:r>
      <w:r w:rsidR="000E665E">
        <w:rPr>
          <w:sz w:val="25"/>
          <w:szCs w:val="25"/>
        </w:rPr>
        <w:tab/>
      </w:r>
      <w:r w:rsidR="000F4701">
        <w:rPr>
          <w:sz w:val="25"/>
          <w:szCs w:val="25"/>
        </w:rPr>
        <w:tab/>
      </w:r>
      <w:r w:rsidR="000F4701">
        <w:rPr>
          <w:rFonts w:ascii="Helvetica" w:hAnsi="Helvetica"/>
          <w:b/>
        </w:rPr>
        <w:t>Date of Issuance  11/</w:t>
      </w:r>
      <w:r w:rsidR="0095056A">
        <w:rPr>
          <w:rFonts w:ascii="Helvetica" w:hAnsi="Helvetica"/>
          <w:b/>
        </w:rPr>
        <w:t>22</w:t>
      </w:r>
      <w:r w:rsidR="000F4701">
        <w:rPr>
          <w:rFonts w:ascii="Helvetica" w:hAnsi="Helvetica"/>
          <w:b/>
        </w:rPr>
        <w:t>/2013</w:t>
      </w:r>
    </w:p>
    <w:p w:rsidR="007B4DBD" w:rsidRPr="007B4DBD" w:rsidRDefault="007B4DBD" w:rsidP="00A50D51">
      <w:pPr>
        <w:tabs>
          <w:tab w:val="center" w:pos="4680"/>
          <w:tab w:val="right" w:pos="9360"/>
        </w:tabs>
      </w:pPr>
    </w:p>
    <w:p w:rsidR="007B4DBD" w:rsidRPr="000E665E" w:rsidRDefault="007B4DBD" w:rsidP="00A50D51">
      <w:pPr>
        <w:tabs>
          <w:tab w:val="center" w:pos="4680"/>
          <w:tab w:val="right" w:pos="9360"/>
        </w:tabs>
        <w:rPr>
          <w:sz w:val="25"/>
          <w:szCs w:val="25"/>
        </w:rPr>
      </w:pPr>
    </w:p>
    <w:p w:rsidR="007B4DBD" w:rsidRPr="00837F9F" w:rsidRDefault="00837F9F" w:rsidP="000E665E">
      <w:pPr>
        <w:pStyle w:val="Header"/>
        <w:tabs>
          <w:tab w:val="clear" w:pos="4320"/>
          <w:tab w:val="clear" w:pos="8640"/>
          <w:tab w:val="center" w:pos="4680"/>
          <w:tab w:val="right" w:pos="9360"/>
        </w:tabs>
        <w:rPr>
          <w:b/>
          <w:sz w:val="25"/>
          <w:szCs w:val="25"/>
        </w:rPr>
      </w:pPr>
      <w:r>
        <w:rPr>
          <w:sz w:val="25"/>
          <w:szCs w:val="25"/>
        </w:rPr>
        <w:t>Decisi</w:t>
      </w:r>
      <w:r w:rsidR="000F4701">
        <w:rPr>
          <w:sz w:val="25"/>
          <w:szCs w:val="25"/>
        </w:rPr>
        <w:t>on 13-11-023  November 14, 2013</w:t>
      </w:r>
    </w:p>
    <w:p w:rsidR="000E665E" w:rsidRPr="000E665E" w:rsidRDefault="000E665E" w:rsidP="000E665E">
      <w:pPr>
        <w:pStyle w:val="Header"/>
        <w:tabs>
          <w:tab w:val="clear" w:pos="4320"/>
          <w:tab w:val="clear" w:pos="8640"/>
          <w:tab w:val="center" w:pos="4680"/>
          <w:tab w:val="right" w:pos="9360"/>
        </w:tabs>
        <w:rPr>
          <w:sz w:val="25"/>
          <w:szCs w:val="25"/>
        </w:rPr>
      </w:pPr>
    </w:p>
    <w:p w:rsidR="00F76AB0" w:rsidRPr="00F14A4C" w:rsidRDefault="00F76AB0" w:rsidP="00F14A4C">
      <w:pPr>
        <w:jc w:val="center"/>
        <w:rPr>
          <w:rFonts w:ascii="Helvetica" w:hAnsi="Helvetica"/>
          <w:b/>
          <w:sz w:val="24"/>
        </w:rPr>
      </w:pPr>
      <w:r w:rsidRPr="00F14A4C">
        <w:rPr>
          <w:rFonts w:ascii="Helvetica" w:hAnsi="Helvetica"/>
          <w:b/>
          <w:sz w:val="24"/>
        </w:rPr>
        <w:t>BEFORE THE PUBLIC UTILITIES COMMISSION OF THE STATE OF CALIFORNIA</w:t>
      </w:r>
    </w:p>
    <w:p w:rsidR="00F76AB0" w:rsidRDefault="00F76AB0" w:rsidP="00F76AB0">
      <w:pPr>
        <w:suppressAutoHyphens/>
      </w:pPr>
    </w:p>
    <w:tbl>
      <w:tblPr>
        <w:tblW w:w="0" w:type="auto"/>
        <w:tblLayout w:type="fixed"/>
        <w:tblLook w:val="0000" w:firstRow="0" w:lastRow="0" w:firstColumn="0" w:lastColumn="0" w:noHBand="0" w:noVBand="0"/>
      </w:tblPr>
      <w:tblGrid>
        <w:gridCol w:w="5958"/>
        <w:gridCol w:w="3600"/>
      </w:tblGrid>
      <w:tr w:rsidR="00F76AB0" w:rsidTr="00757FE2">
        <w:tc>
          <w:tcPr>
            <w:tcW w:w="5958" w:type="dxa"/>
            <w:tcBorders>
              <w:bottom w:val="single" w:sz="6" w:space="0" w:color="auto"/>
              <w:right w:val="single" w:sz="6" w:space="0" w:color="auto"/>
            </w:tcBorders>
          </w:tcPr>
          <w:p w:rsidR="00F76AB0" w:rsidRDefault="00F76AB0" w:rsidP="00F76AB0">
            <w:pPr>
              <w:rPr>
                <w:shd w:val="clear" w:color="auto" w:fill="FFFFFF"/>
              </w:rPr>
            </w:pPr>
            <w:r>
              <w:rPr>
                <w:shd w:val="clear" w:color="auto" w:fill="FFFFFF"/>
              </w:rPr>
              <w:t xml:space="preserve">Application of Southern California Gas Company (U904G) to Amend its Certificate of Public Convenience and Necessity for the </w:t>
            </w:r>
            <w:r w:rsidRPr="008802F8">
              <w:rPr>
                <w:shd w:val="clear" w:color="auto" w:fill="FFFFFF"/>
              </w:rPr>
              <w:t>Aliso Canyon</w:t>
            </w:r>
            <w:r>
              <w:rPr>
                <w:shd w:val="clear" w:color="auto" w:fill="FFFFFF"/>
              </w:rPr>
              <w:t xml:space="preserve"> Gas Storage Facility</w:t>
            </w:r>
            <w:r w:rsidRPr="008802F8">
              <w:rPr>
                <w:shd w:val="clear" w:color="auto" w:fill="FFFFFF"/>
              </w:rPr>
              <w:t>.</w:t>
            </w:r>
          </w:p>
          <w:p w:rsidR="00F76AB0" w:rsidRPr="00683ABF" w:rsidRDefault="00F76AB0" w:rsidP="00F76AB0"/>
        </w:tc>
        <w:tc>
          <w:tcPr>
            <w:tcW w:w="3600" w:type="dxa"/>
            <w:tcBorders>
              <w:left w:val="nil"/>
            </w:tcBorders>
          </w:tcPr>
          <w:p w:rsidR="00F76AB0" w:rsidRDefault="00F76AB0" w:rsidP="000E665E">
            <w:pPr>
              <w:jc w:val="center"/>
            </w:pPr>
          </w:p>
          <w:p w:rsidR="00F76AB0" w:rsidRPr="00370FDF" w:rsidRDefault="00F76AB0" w:rsidP="000E665E">
            <w:pPr>
              <w:autoSpaceDE w:val="0"/>
              <w:autoSpaceDN w:val="0"/>
              <w:adjustRightInd w:val="0"/>
              <w:jc w:val="center"/>
            </w:pPr>
            <w:r>
              <w:t>Application 09-09-020</w:t>
            </w:r>
          </w:p>
          <w:p w:rsidR="00F76AB0" w:rsidRDefault="00F76AB0" w:rsidP="000E665E">
            <w:pPr>
              <w:jc w:val="center"/>
            </w:pPr>
            <w:r>
              <w:t>(Filed September 30</w:t>
            </w:r>
            <w:r w:rsidRPr="00370FDF">
              <w:t>, 200</w:t>
            </w:r>
            <w:r>
              <w:t>9)</w:t>
            </w:r>
          </w:p>
          <w:p w:rsidR="00F76AB0" w:rsidRDefault="00F76AB0" w:rsidP="000E665E">
            <w:pPr>
              <w:jc w:val="center"/>
            </w:pPr>
          </w:p>
        </w:tc>
      </w:tr>
    </w:tbl>
    <w:p w:rsidR="00F76AB0" w:rsidRDefault="00F76AB0" w:rsidP="00F76AB0"/>
    <w:p w:rsidR="003E1480" w:rsidRDefault="003E1480"/>
    <w:p w:rsidR="00F76AB0" w:rsidRDefault="000E665E" w:rsidP="000E665E">
      <w:pPr>
        <w:pStyle w:val="main"/>
        <w:spacing w:after="240"/>
        <w:ind w:left="90"/>
        <w:rPr>
          <w:shd w:val="clear" w:color="auto" w:fill="FFFFFF"/>
        </w:rPr>
      </w:pPr>
      <w:bookmarkStart w:id="1" w:name="_Toc369507300"/>
      <w:r>
        <w:t xml:space="preserve">DECISION ADDRESSING </w:t>
      </w:r>
      <w:r>
        <w:rPr>
          <w:shd w:val="clear" w:color="auto" w:fill="FFFFFF"/>
        </w:rPr>
        <w:t xml:space="preserve">APPLICATION OF SOUTHERN CALIFORNIA GAS COMPANY TO AMEND ITS CERTIFICATE OF PUBLIC CONVENIENCE AND NECESSITY FOR THE </w:t>
      </w:r>
      <w:r w:rsidRPr="008802F8">
        <w:rPr>
          <w:shd w:val="clear" w:color="auto" w:fill="FFFFFF"/>
        </w:rPr>
        <w:t>ALISO CANYON</w:t>
      </w:r>
      <w:r>
        <w:rPr>
          <w:shd w:val="clear" w:color="auto" w:fill="FFFFFF"/>
        </w:rPr>
        <w:t xml:space="preserve"> GAS STORAGE FACILITY</w:t>
      </w:r>
      <w:bookmarkEnd w:id="1"/>
    </w:p>
    <w:p w:rsidR="000E665E" w:rsidRDefault="000E665E" w:rsidP="000E665E">
      <w:pPr>
        <w:pStyle w:val="main"/>
        <w:spacing w:after="240"/>
        <w:ind w:left="90"/>
        <w:rPr>
          <w:shd w:val="clear" w:color="auto" w:fill="FFFFFF"/>
        </w:rPr>
      </w:pPr>
    </w:p>
    <w:p w:rsidR="000E665E" w:rsidRDefault="000E665E" w:rsidP="000E665E">
      <w:pPr>
        <w:pStyle w:val="main"/>
        <w:spacing w:after="240"/>
        <w:ind w:left="90"/>
        <w:sectPr w:rsidR="000E665E" w:rsidSect="000E665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p>
    <w:p w:rsidR="00A50D51" w:rsidRPr="00657777" w:rsidRDefault="00A50D51" w:rsidP="00A50D51">
      <w:pPr>
        <w:jc w:val="center"/>
        <w:rPr>
          <w:b/>
        </w:rPr>
      </w:pPr>
      <w:r w:rsidRPr="00657777">
        <w:rPr>
          <w:b/>
        </w:rPr>
        <w:lastRenderedPageBreak/>
        <w:t>Table of Contents</w:t>
      </w:r>
    </w:p>
    <w:p w:rsidR="00A50D51" w:rsidRPr="00657777" w:rsidRDefault="00A50D51" w:rsidP="00A50D51">
      <w:pPr>
        <w:rPr>
          <w:b/>
        </w:rPr>
      </w:pPr>
    </w:p>
    <w:p w:rsidR="00A50D51" w:rsidRDefault="00A50D51" w:rsidP="00A50D51">
      <w:pPr>
        <w:tabs>
          <w:tab w:val="right" w:pos="9360"/>
        </w:tabs>
        <w:rPr>
          <w:b/>
        </w:rPr>
      </w:pPr>
      <w:r w:rsidRPr="00657777">
        <w:rPr>
          <w:b/>
        </w:rPr>
        <w:t>Title</w:t>
      </w:r>
      <w:r w:rsidRPr="00657777">
        <w:rPr>
          <w:b/>
        </w:rPr>
        <w:tab/>
        <w:t>Page</w:t>
      </w:r>
    </w:p>
    <w:p w:rsidR="00EF68D0" w:rsidRPr="00657777" w:rsidRDefault="00EF68D0" w:rsidP="00A50D51">
      <w:pPr>
        <w:tabs>
          <w:tab w:val="right" w:pos="9360"/>
        </w:tabs>
        <w:rPr>
          <w:b/>
        </w:rPr>
      </w:pPr>
    </w:p>
    <w:p w:rsidR="00001CDF" w:rsidRDefault="00271E1C">
      <w:pPr>
        <w:pStyle w:val="TOC1"/>
        <w:tabs>
          <w:tab w:val="right" w:leader="dot" w:pos="9350"/>
        </w:tabs>
        <w:rPr>
          <w:rFonts w:asciiTheme="minorHAnsi" w:eastAsiaTheme="minorEastAsia" w:hAnsiTheme="minorHAnsi" w:cstheme="minorBidi"/>
          <w:noProof/>
          <w:sz w:val="22"/>
          <w:szCs w:val="22"/>
        </w:rPr>
      </w:pPr>
      <w:r>
        <w:rPr>
          <w:b/>
        </w:rPr>
        <w:fldChar w:fldCharType="begin"/>
      </w:r>
      <w:r>
        <w:rPr>
          <w:b/>
        </w:rPr>
        <w:instrText xml:space="preserve"> TOC \o "1-5" \h \z \t "main,1,dummy,1,mainex,1" </w:instrText>
      </w:r>
      <w:r>
        <w:rPr>
          <w:b/>
        </w:rPr>
        <w:fldChar w:fldCharType="separate"/>
      </w:r>
      <w:hyperlink w:anchor="_Toc369507300" w:history="1">
        <w:r w:rsidR="00001CDF" w:rsidRPr="0067272C">
          <w:rPr>
            <w:rStyle w:val="Hyperlink"/>
            <w:noProof/>
          </w:rPr>
          <w:t xml:space="preserve">DECISION ADDRESSING </w:t>
        </w:r>
        <w:r w:rsidR="00001CDF" w:rsidRPr="0067272C">
          <w:rPr>
            <w:rStyle w:val="Hyperlink"/>
            <w:noProof/>
            <w:shd w:val="clear" w:color="auto" w:fill="FFFFFF"/>
          </w:rPr>
          <w:t>APPLICA</w:t>
        </w:r>
        <w:r w:rsidR="0056464A">
          <w:rPr>
            <w:rStyle w:val="Hyperlink"/>
            <w:noProof/>
            <w:shd w:val="clear" w:color="auto" w:fill="FFFFFF"/>
          </w:rPr>
          <w:t>TION OF SOUTHERN CALIFORNIA GAS </w:t>
        </w:r>
        <w:r w:rsidR="00001CDF" w:rsidRPr="0067272C">
          <w:rPr>
            <w:rStyle w:val="Hyperlink"/>
            <w:noProof/>
            <w:shd w:val="clear" w:color="auto" w:fill="FFFFFF"/>
          </w:rPr>
          <w:t xml:space="preserve">COMPANY TO AMEND ITS CERTIFICATE OF </w:t>
        </w:r>
        <w:r w:rsidR="0056464A">
          <w:rPr>
            <w:rStyle w:val="Hyperlink"/>
            <w:noProof/>
            <w:shd w:val="clear" w:color="auto" w:fill="FFFFFF"/>
          </w:rPr>
          <w:t>PUBLIC CONVENIENCE </w:t>
        </w:r>
        <w:r w:rsidR="00001CDF" w:rsidRPr="0067272C">
          <w:rPr>
            <w:rStyle w:val="Hyperlink"/>
            <w:noProof/>
            <w:shd w:val="clear" w:color="auto" w:fill="FFFFFF"/>
          </w:rPr>
          <w:t>AND NECESSITY F</w:t>
        </w:r>
        <w:r w:rsidR="0056464A">
          <w:rPr>
            <w:rStyle w:val="Hyperlink"/>
            <w:noProof/>
            <w:shd w:val="clear" w:color="auto" w:fill="FFFFFF"/>
          </w:rPr>
          <w:t>OR THE ALISO CANYON GAS STORAGE </w:t>
        </w:r>
        <w:r w:rsidR="00001CDF" w:rsidRPr="0067272C">
          <w:rPr>
            <w:rStyle w:val="Hyperlink"/>
            <w:noProof/>
            <w:shd w:val="clear" w:color="auto" w:fill="FFFFFF"/>
          </w:rPr>
          <w:t>FACILITY</w:t>
        </w:r>
        <w:r w:rsidR="00001CDF">
          <w:rPr>
            <w:noProof/>
            <w:webHidden/>
          </w:rPr>
          <w:tab/>
        </w:r>
        <w:r w:rsidR="00001CDF">
          <w:rPr>
            <w:noProof/>
            <w:webHidden/>
          </w:rPr>
          <w:fldChar w:fldCharType="begin"/>
        </w:r>
        <w:r w:rsidR="00001CDF">
          <w:rPr>
            <w:noProof/>
            <w:webHidden/>
          </w:rPr>
          <w:instrText xml:space="preserve"> PAGEREF _Toc369507300 \h </w:instrText>
        </w:r>
        <w:r w:rsidR="00001CDF">
          <w:rPr>
            <w:noProof/>
            <w:webHidden/>
          </w:rPr>
        </w:r>
        <w:r w:rsidR="00001CDF">
          <w:rPr>
            <w:noProof/>
            <w:webHidden/>
          </w:rPr>
          <w:fldChar w:fldCharType="separate"/>
        </w:r>
        <w:r w:rsidR="001E7425">
          <w:rPr>
            <w:noProof/>
            <w:webHidden/>
          </w:rPr>
          <w:t>1</w:t>
        </w:r>
        <w:r w:rsidR="00001CDF">
          <w:rPr>
            <w:noProof/>
            <w:webHidden/>
          </w:rPr>
          <w:fldChar w:fldCharType="end"/>
        </w:r>
      </w:hyperlink>
    </w:p>
    <w:p w:rsidR="00001CDF" w:rsidRDefault="00BE6DF7">
      <w:pPr>
        <w:pStyle w:val="TOC1"/>
        <w:tabs>
          <w:tab w:val="right" w:leader="dot" w:pos="9350"/>
        </w:tabs>
        <w:rPr>
          <w:rFonts w:asciiTheme="minorHAnsi" w:eastAsiaTheme="minorEastAsia" w:hAnsiTheme="minorHAnsi" w:cstheme="minorBidi"/>
          <w:noProof/>
          <w:sz w:val="22"/>
          <w:szCs w:val="22"/>
        </w:rPr>
      </w:pPr>
      <w:hyperlink w:anchor="_Toc369507301" w:history="1">
        <w:r w:rsidR="00001CDF" w:rsidRPr="0067272C">
          <w:rPr>
            <w:rStyle w:val="Hyperlink"/>
            <w:noProof/>
          </w:rPr>
          <w:t>Summary</w:t>
        </w:r>
        <w:r w:rsidR="00001CDF">
          <w:rPr>
            <w:noProof/>
            <w:webHidden/>
          </w:rPr>
          <w:tab/>
        </w:r>
        <w:r w:rsidR="00001CDF">
          <w:rPr>
            <w:noProof/>
            <w:webHidden/>
          </w:rPr>
          <w:fldChar w:fldCharType="begin"/>
        </w:r>
        <w:r w:rsidR="00001CDF">
          <w:rPr>
            <w:noProof/>
            <w:webHidden/>
          </w:rPr>
          <w:instrText xml:space="preserve"> PAGEREF _Toc369507301 \h </w:instrText>
        </w:r>
        <w:r w:rsidR="00001CDF">
          <w:rPr>
            <w:noProof/>
            <w:webHidden/>
          </w:rPr>
        </w:r>
        <w:r w:rsidR="00001CDF">
          <w:rPr>
            <w:noProof/>
            <w:webHidden/>
          </w:rPr>
          <w:fldChar w:fldCharType="separate"/>
        </w:r>
        <w:r w:rsidR="001E7425">
          <w:rPr>
            <w:noProof/>
            <w:webHidden/>
          </w:rPr>
          <w:t>2</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02" w:history="1">
        <w:r w:rsidR="00001CDF" w:rsidRPr="0067272C">
          <w:rPr>
            <w:rStyle w:val="Hyperlink"/>
            <w:noProof/>
          </w:rPr>
          <w:t>1.</w:t>
        </w:r>
        <w:r w:rsidR="00001CDF">
          <w:rPr>
            <w:rFonts w:asciiTheme="minorHAnsi" w:eastAsiaTheme="minorEastAsia" w:hAnsiTheme="minorHAnsi" w:cstheme="minorBidi"/>
            <w:noProof/>
            <w:sz w:val="22"/>
            <w:szCs w:val="22"/>
          </w:rPr>
          <w:tab/>
        </w:r>
        <w:r w:rsidR="00001CDF" w:rsidRPr="0067272C">
          <w:rPr>
            <w:rStyle w:val="Hyperlink"/>
            <w:noProof/>
          </w:rPr>
          <w:t>The Project</w:t>
        </w:r>
        <w:r w:rsidR="00001CDF">
          <w:rPr>
            <w:noProof/>
            <w:webHidden/>
          </w:rPr>
          <w:tab/>
        </w:r>
        <w:r w:rsidR="00001CDF">
          <w:rPr>
            <w:noProof/>
            <w:webHidden/>
          </w:rPr>
          <w:fldChar w:fldCharType="begin"/>
        </w:r>
        <w:r w:rsidR="00001CDF">
          <w:rPr>
            <w:noProof/>
            <w:webHidden/>
          </w:rPr>
          <w:instrText xml:space="preserve"> PAGEREF _Toc369507302 \h </w:instrText>
        </w:r>
        <w:r w:rsidR="00001CDF">
          <w:rPr>
            <w:noProof/>
            <w:webHidden/>
          </w:rPr>
        </w:r>
        <w:r w:rsidR="00001CDF">
          <w:rPr>
            <w:noProof/>
            <w:webHidden/>
          </w:rPr>
          <w:fldChar w:fldCharType="separate"/>
        </w:r>
        <w:r w:rsidR="001E7425">
          <w:rPr>
            <w:noProof/>
            <w:webHidden/>
          </w:rPr>
          <w:t>3</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03" w:history="1">
        <w:r w:rsidR="00001CDF" w:rsidRPr="0067272C">
          <w:rPr>
            <w:rStyle w:val="Hyperlink"/>
            <w:noProof/>
          </w:rPr>
          <w:t>2.</w:t>
        </w:r>
        <w:r w:rsidR="00001CDF">
          <w:rPr>
            <w:rFonts w:asciiTheme="minorHAnsi" w:eastAsiaTheme="minorEastAsia" w:hAnsiTheme="minorHAnsi" w:cstheme="minorBidi"/>
            <w:noProof/>
            <w:sz w:val="22"/>
            <w:szCs w:val="22"/>
          </w:rPr>
          <w:tab/>
        </w:r>
        <w:r w:rsidR="00001CDF" w:rsidRPr="0067272C">
          <w:rPr>
            <w:rStyle w:val="Hyperlink"/>
            <w:noProof/>
          </w:rPr>
          <w:t>Standard of Review and Governing Law</w:t>
        </w:r>
        <w:r w:rsidR="00001CDF">
          <w:rPr>
            <w:noProof/>
            <w:webHidden/>
          </w:rPr>
          <w:tab/>
        </w:r>
        <w:r w:rsidR="00001CDF">
          <w:rPr>
            <w:noProof/>
            <w:webHidden/>
          </w:rPr>
          <w:fldChar w:fldCharType="begin"/>
        </w:r>
        <w:r w:rsidR="00001CDF">
          <w:rPr>
            <w:noProof/>
            <w:webHidden/>
          </w:rPr>
          <w:instrText xml:space="preserve"> PAGEREF _Toc369507303 \h </w:instrText>
        </w:r>
        <w:r w:rsidR="00001CDF">
          <w:rPr>
            <w:noProof/>
            <w:webHidden/>
          </w:rPr>
        </w:r>
        <w:r w:rsidR="00001CDF">
          <w:rPr>
            <w:noProof/>
            <w:webHidden/>
          </w:rPr>
          <w:fldChar w:fldCharType="separate"/>
        </w:r>
        <w:r w:rsidR="001E7425">
          <w:rPr>
            <w:noProof/>
            <w:webHidden/>
          </w:rPr>
          <w:t>5</w:t>
        </w:r>
        <w:r w:rsidR="00001CDF">
          <w:rPr>
            <w:noProof/>
            <w:webHidden/>
          </w:rPr>
          <w:fldChar w:fldCharType="end"/>
        </w:r>
      </w:hyperlink>
    </w:p>
    <w:p w:rsidR="00001CDF" w:rsidRPr="00CA0E11" w:rsidRDefault="00BE6DF7" w:rsidP="00CA0E11">
      <w:pPr>
        <w:pStyle w:val="TOC1"/>
        <w:tabs>
          <w:tab w:val="right" w:leader="dot" w:pos="9350"/>
        </w:tabs>
        <w:ind w:left="1350" w:hanging="810"/>
        <w:rPr>
          <w:rStyle w:val="Hyperlink"/>
          <w:noProof/>
        </w:rPr>
      </w:pPr>
      <w:hyperlink w:anchor="_Toc369507304" w:history="1">
        <w:r w:rsidR="00001CDF" w:rsidRPr="0067272C">
          <w:rPr>
            <w:rStyle w:val="Hyperlink"/>
            <w:noProof/>
          </w:rPr>
          <w:t>2.1.</w:t>
        </w:r>
        <w:r w:rsidR="00001CDF" w:rsidRPr="00CA0E11">
          <w:rPr>
            <w:rStyle w:val="Hyperlink"/>
            <w:noProof/>
          </w:rPr>
          <w:tab/>
        </w:r>
        <w:r w:rsidR="00001CDF" w:rsidRPr="0067272C">
          <w:rPr>
            <w:rStyle w:val="Hyperlink"/>
            <w:noProof/>
          </w:rPr>
          <w:t>Burden of Proof</w:t>
        </w:r>
        <w:r w:rsidR="00001CDF" w:rsidRPr="00CA0E11">
          <w:rPr>
            <w:rStyle w:val="Hyperlink"/>
            <w:noProof/>
            <w:webHidden/>
          </w:rPr>
          <w:tab/>
        </w:r>
        <w:r w:rsidR="00001CDF" w:rsidRPr="00CA0E11">
          <w:rPr>
            <w:rStyle w:val="Hyperlink"/>
            <w:noProof/>
            <w:webHidden/>
          </w:rPr>
          <w:fldChar w:fldCharType="begin"/>
        </w:r>
        <w:r w:rsidR="00001CDF" w:rsidRPr="00CA0E11">
          <w:rPr>
            <w:rStyle w:val="Hyperlink"/>
            <w:noProof/>
            <w:webHidden/>
          </w:rPr>
          <w:instrText xml:space="preserve"> PAGEREF _Toc369507304 \h </w:instrText>
        </w:r>
        <w:r w:rsidR="00001CDF" w:rsidRPr="00CA0E11">
          <w:rPr>
            <w:rStyle w:val="Hyperlink"/>
            <w:noProof/>
            <w:webHidden/>
          </w:rPr>
        </w:r>
        <w:r w:rsidR="00001CDF" w:rsidRPr="00CA0E11">
          <w:rPr>
            <w:rStyle w:val="Hyperlink"/>
            <w:noProof/>
            <w:webHidden/>
          </w:rPr>
          <w:fldChar w:fldCharType="separate"/>
        </w:r>
        <w:r w:rsidR="001E7425">
          <w:rPr>
            <w:rStyle w:val="Hyperlink"/>
            <w:noProof/>
            <w:webHidden/>
          </w:rPr>
          <w:t>5</w:t>
        </w:r>
        <w:r w:rsidR="00001CDF" w:rsidRPr="00CA0E11">
          <w:rPr>
            <w:rStyle w:val="Hyperlink"/>
            <w:noProof/>
            <w:webHidden/>
          </w:rPr>
          <w:fldChar w:fldCharType="end"/>
        </w:r>
      </w:hyperlink>
    </w:p>
    <w:p w:rsidR="00001CDF" w:rsidRPr="00CA0E11" w:rsidRDefault="00BE6DF7" w:rsidP="00CA0E11">
      <w:pPr>
        <w:pStyle w:val="TOC1"/>
        <w:tabs>
          <w:tab w:val="right" w:leader="dot" w:pos="9350"/>
        </w:tabs>
        <w:ind w:left="1350" w:hanging="810"/>
        <w:rPr>
          <w:rStyle w:val="Hyperlink"/>
          <w:noProof/>
        </w:rPr>
      </w:pPr>
      <w:hyperlink w:anchor="_Toc369507305" w:history="1">
        <w:r w:rsidR="00001CDF" w:rsidRPr="0067272C">
          <w:rPr>
            <w:rStyle w:val="Hyperlink"/>
            <w:noProof/>
          </w:rPr>
          <w:t>2.2.</w:t>
        </w:r>
        <w:r w:rsidR="00001CDF" w:rsidRPr="00CA0E11">
          <w:rPr>
            <w:rStyle w:val="Hyperlink"/>
            <w:noProof/>
          </w:rPr>
          <w:tab/>
        </w:r>
        <w:r w:rsidR="00001CDF" w:rsidRPr="0067272C">
          <w:rPr>
            <w:rStyle w:val="Hyperlink"/>
            <w:noProof/>
          </w:rPr>
          <w:t>Settlements</w:t>
        </w:r>
        <w:r w:rsidR="00001CDF" w:rsidRPr="00CA0E11">
          <w:rPr>
            <w:rStyle w:val="Hyperlink"/>
            <w:noProof/>
            <w:webHidden/>
          </w:rPr>
          <w:tab/>
        </w:r>
        <w:r w:rsidR="00001CDF" w:rsidRPr="00CA0E11">
          <w:rPr>
            <w:rStyle w:val="Hyperlink"/>
            <w:noProof/>
            <w:webHidden/>
          </w:rPr>
          <w:fldChar w:fldCharType="begin"/>
        </w:r>
        <w:r w:rsidR="00001CDF" w:rsidRPr="00CA0E11">
          <w:rPr>
            <w:rStyle w:val="Hyperlink"/>
            <w:noProof/>
            <w:webHidden/>
          </w:rPr>
          <w:instrText xml:space="preserve"> PAGEREF _Toc369507305 \h </w:instrText>
        </w:r>
        <w:r w:rsidR="00001CDF" w:rsidRPr="00CA0E11">
          <w:rPr>
            <w:rStyle w:val="Hyperlink"/>
            <w:noProof/>
            <w:webHidden/>
          </w:rPr>
        </w:r>
        <w:r w:rsidR="00001CDF" w:rsidRPr="00CA0E11">
          <w:rPr>
            <w:rStyle w:val="Hyperlink"/>
            <w:noProof/>
            <w:webHidden/>
          </w:rPr>
          <w:fldChar w:fldCharType="separate"/>
        </w:r>
        <w:r w:rsidR="001E7425">
          <w:rPr>
            <w:rStyle w:val="Hyperlink"/>
            <w:noProof/>
            <w:webHidden/>
          </w:rPr>
          <w:t>6</w:t>
        </w:r>
        <w:r w:rsidR="00001CDF" w:rsidRPr="00CA0E11">
          <w:rPr>
            <w:rStyle w:val="Hyperlink"/>
            <w:noProof/>
            <w:webHidden/>
          </w:rPr>
          <w:fldChar w:fldCharType="end"/>
        </w:r>
      </w:hyperlink>
    </w:p>
    <w:p w:rsidR="00001CDF" w:rsidRPr="00CA0E11" w:rsidRDefault="00BE6DF7" w:rsidP="00CA0E11">
      <w:pPr>
        <w:pStyle w:val="TOC1"/>
        <w:tabs>
          <w:tab w:val="right" w:leader="dot" w:pos="9350"/>
        </w:tabs>
        <w:ind w:left="1350" w:hanging="810"/>
        <w:rPr>
          <w:rStyle w:val="Hyperlink"/>
          <w:noProof/>
        </w:rPr>
      </w:pPr>
      <w:hyperlink w:anchor="_Toc369507306" w:history="1">
        <w:r w:rsidR="00001CDF" w:rsidRPr="0067272C">
          <w:rPr>
            <w:rStyle w:val="Hyperlink"/>
            <w:noProof/>
          </w:rPr>
          <w:t>2.3.</w:t>
        </w:r>
        <w:r w:rsidR="00001CDF" w:rsidRPr="00CA0E11">
          <w:rPr>
            <w:rStyle w:val="Hyperlink"/>
            <w:noProof/>
          </w:rPr>
          <w:tab/>
        </w:r>
        <w:r w:rsidR="00001CDF" w:rsidRPr="0067272C">
          <w:rPr>
            <w:rStyle w:val="Hyperlink"/>
            <w:noProof/>
          </w:rPr>
          <w:t>The CPCN and the CEQA Processes</w:t>
        </w:r>
        <w:r w:rsidR="00001CDF" w:rsidRPr="00CA0E11">
          <w:rPr>
            <w:rStyle w:val="Hyperlink"/>
            <w:noProof/>
            <w:webHidden/>
          </w:rPr>
          <w:tab/>
        </w:r>
        <w:r w:rsidR="00001CDF" w:rsidRPr="00CA0E11">
          <w:rPr>
            <w:rStyle w:val="Hyperlink"/>
            <w:noProof/>
            <w:webHidden/>
          </w:rPr>
          <w:fldChar w:fldCharType="begin"/>
        </w:r>
        <w:r w:rsidR="00001CDF" w:rsidRPr="00CA0E11">
          <w:rPr>
            <w:rStyle w:val="Hyperlink"/>
            <w:noProof/>
            <w:webHidden/>
          </w:rPr>
          <w:instrText xml:space="preserve"> PAGEREF _Toc369507306 \h </w:instrText>
        </w:r>
        <w:r w:rsidR="00001CDF" w:rsidRPr="00CA0E11">
          <w:rPr>
            <w:rStyle w:val="Hyperlink"/>
            <w:noProof/>
            <w:webHidden/>
          </w:rPr>
        </w:r>
        <w:r w:rsidR="00001CDF" w:rsidRPr="00CA0E11">
          <w:rPr>
            <w:rStyle w:val="Hyperlink"/>
            <w:noProof/>
            <w:webHidden/>
          </w:rPr>
          <w:fldChar w:fldCharType="separate"/>
        </w:r>
        <w:r w:rsidR="001E7425">
          <w:rPr>
            <w:rStyle w:val="Hyperlink"/>
            <w:noProof/>
            <w:webHidden/>
          </w:rPr>
          <w:t>6</w:t>
        </w:r>
        <w:r w:rsidR="00001CDF" w:rsidRPr="00CA0E11">
          <w:rPr>
            <w:rStyle w:val="Hyperlink"/>
            <w:noProof/>
            <w:webHidden/>
          </w:rPr>
          <w:fldChar w:fldCharType="end"/>
        </w:r>
      </w:hyperlink>
    </w:p>
    <w:p w:rsidR="00001CDF" w:rsidRDefault="00BE6DF7" w:rsidP="00CA0E11">
      <w:pPr>
        <w:pStyle w:val="TOC1"/>
        <w:tabs>
          <w:tab w:val="left" w:pos="880"/>
          <w:tab w:val="right" w:leader="dot" w:pos="9350"/>
        </w:tabs>
        <w:ind w:left="2340" w:hanging="990"/>
        <w:rPr>
          <w:rFonts w:asciiTheme="minorHAnsi" w:eastAsiaTheme="minorEastAsia" w:hAnsiTheme="minorHAnsi" w:cstheme="minorBidi"/>
          <w:noProof/>
          <w:sz w:val="22"/>
          <w:szCs w:val="22"/>
        </w:rPr>
      </w:pPr>
      <w:hyperlink w:anchor="_Toc369507307" w:history="1">
        <w:r w:rsidR="00001CDF" w:rsidRPr="0067272C">
          <w:rPr>
            <w:rStyle w:val="Hyperlink"/>
            <w:noProof/>
          </w:rPr>
          <w:t>2.3.1.</w:t>
        </w:r>
        <w:r w:rsidR="00001CDF">
          <w:rPr>
            <w:rFonts w:asciiTheme="minorHAnsi" w:eastAsiaTheme="minorEastAsia" w:hAnsiTheme="minorHAnsi" w:cstheme="minorBidi"/>
            <w:noProof/>
            <w:sz w:val="22"/>
            <w:szCs w:val="22"/>
          </w:rPr>
          <w:tab/>
        </w:r>
        <w:r w:rsidR="00001CDF" w:rsidRPr="0067272C">
          <w:rPr>
            <w:rStyle w:val="Hyperlink"/>
            <w:noProof/>
          </w:rPr>
          <w:t xml:space="preserve">Section 1001 </w:t>
        </w:r>
        <w:r w:rsidR="00001CDF" w:rsidRPr="0067272C">
          <w:rPr>
            <w:rStyle w:val="Hyperlink"/>
            <w:i/>
            <w:noProof/>
          </w:rPr>
          <w:t>et seq.</w:t>
        </w:r>
        <w:r w:rsidR="00001CDF">
          <w:rPr>
            <w:noProof/>
            <w:webHidden/>
          </w:rPr>
          <w:tab/>
        </w:r>
        <w:r w:rsidR="00001CDF">
          <w:rPr>
            <w:noProof/>
            <w:webHidden/>
          </w:rPr>
          <w:fldChar w:fldCharType="begin"/>
        </w:r>
        <w:r w:rsidR="00001CDF">
          <w:rPr>
            <w:noProof/>
            <w:webHidden/>
          </w:rPr>
          <w:instrText xml:space="preserve"> PAGEREF _Toc369507307 \h </w:instrText>
        </w:r>
        <w:r w:rsidR="00001CDF">
          <w:rPr>
            <w:noProof/>
            <w:webHidden/>
          </w:rPr>
        </w:r>
        <w:r w:rsidR="00001CDF">
          <w:rPr>
            <w:noProof/>
            <w:webHidden/>
          </w:rPr>
          <w:fldChar w:fldCharType="separate"/>
        </w:r>
        <w:r w:rsidR="001E7425">
          <w:rPr>
            <w:noProof/>
            <w:webHidden/>
          </w:rPr>
          <w:t>7</w:t>
        </w:r>
        <w:r w:rsidR="00001CDF">
          <w:rPr>
            <w:noProof/>
            <w:webHidden/>
          </w:rPr>
          <w:fldChar w:fldCharType="end"/>
        </w:r>
      </w:hyperlink>
    </w:p>
    <w:p w:rsidR="00001CDF" w:rsidRDefault="00BE6DF7" w:rsidP="00CA0E11">
      <w:pPr>
        <w:pStyle w:val="TOC1"/>
        <w:tabs>
          <w:tab w:val="left" w:pos="880"/>
          <w:tab w:val="right" w:leader="dot" w:pos="9350"/>
        </w:tabs>
        <w:ind w:left="2340" w:hanging="990"/>
        <w:rPr>
          <w:rFonts w:asciiTheme="minorHAnsi" w:eastAsiaTheme="minorEastAsia" w:hAnsiTheme="minorHAnsi" w:cstheme="minorBidi"/>
          <w:noProof/>
          <w:sz w:val="22"/>
          <w:szCs w:val="22"/>
        </w:rPr>
      </w:pPr>
      <w:hyperlink w:anchor="_Toc369507308" w:history="1">
        <w:r w:rsidR="00001CDF" w:rsidRPr="0067272C">
          <w:rPr>
            <w:rStyle w:val="Hyperlink"/>
            <w:noProof/>
          </w:rPr>
          <w:t>2.3.2.</w:t>
        </w:r>
        <w:r w:rsidR="00001CDF">
          <w:rPr>
            <w:rFonts w:asciiTheme="minorHAnsi" w:eastAsiaTheme="minorEastAsia" w:hAnsiTheme="minorHAnsi" w:cstheme="minorBidi"/>
            <w:noProof/>
            <w:sz w:val="22"/>
            <w:szCs w:val="22"/>
          </w:rPr>
          <w:tab/>
        </w:r>
        <w:r w:rsidR="00001CDF" w:rsidRPr="0067272C">
          <w:rPr>
            <w:rStyle w:val="Hyperlink"/>
            <w:noProof/>
          </w:rPr>
          <w:t>CEQA</w:t>
        </w:r>
        <w:r w:rsidR="00001CDF">
          <w:rPr>
            <w:noProof/>
            <w:webHidden/>
          </w:rPr>
          <w:tab/>
        </w:r>
        <w:r w:rsidR="00001CDF">
          <w:rPr>
            <w:noProof/>
            <w:webHidden/>
          </w:rPr>
          <w:fldChar w:fldCharType="begin"/>
        </w:r>
        <w:r w:rsidR="00001CDF">
          <w:rPr>
            <w:noProof/>
            <w:webHidden/>
          </w:rPr>
          <w:instrText xml:space="preserve"> PAGEREF _Toc369507308 \h </w:instrText>
        </w:r>
        <w:r w:rsidR="00001CDF">
          <w:rPr>
            <w:noProof/>
            <w:webHidden/>
          </w:rPr>
        </w:r>
        <w:r w:rsidR="00001CDF">
          <w:rPr>
            <w:noProof/>
            <w:webHidden/>
          </w:rPr>
          <w:fldChar w:fldCharType="separate"/>
        </w:r>
        <w:r w:rsidR="001E7425">
          <w:rPr>
            <w:noProof/>
            <w:webHidden/>
          </w:rPr>
          <w:t>8</w:t>
        </w:r>
        <w:r w:rsidR="00001CDF">
          <w:rPr>
            <w:noProof/>
            <w:webHidden/>
          </w:rPr>
          <w:fldChar w:fldCharType="end"/>
        </w:r>
      </w:hyperlink>
    </w:p>
    <w:p w:rsidR="00001CDF" w:rsidRDefault="00BE6DF7" w:rsidP="00CA0E11">
      <w:pPr>
        <w:pStyle w:val="TOC1"/>
        <w:tabs>
          <w:tab w:val="left" w:pos="880"/>
          <w:tab w:val="right" w:leader="dot" w:pos="9350"/>
        </w:tabs>
        <w:ind w:left="2340" w:hanging="990"/>
        <w:rPr>
          <w:rFonts w:asciiTheme="minorHAnsi" w:eastAsiaTheme="minorEastAsia" w:hAnsiTheme="minorHAnsi" w:cstheme="minorBidi"/>
          <w:noProof/>
          <w:sz w:val="22"/>
          <w:szCs w:val="22"/>
        </w:rPr>
      </w:pPr>
      <w:hyperlink w:anchor="_Toc369507309" w:history="1">
        <w:r w:rsidR="00001CDF" w:rsidRPr="0067272C">
          <w:rPr>
            <w:rStyle w:val="Hyperlink"/>
            <w:noProof/>
          </w:rPr>
          <w:t>2.3.3.</w:t>
        </w:r>
        <w:r w:rsidR="00001CDF">
          <w:rPr>
            <w:rFonts w:asciiTheme="minorHAnsi" w:eastAsiaTheme="minorEastAsia" w:hAnsiTheme="minorHAnsi" w:cstheme="minorBidi"/>
            <w:noProof/>
            <w:sz w:val="22"/>
            <w:szCs w:val="22"/>
          </w:rPr>
          <w:tab/>
        </w:r>
        <w:r w:rsidR="00001CDF" w:rsidRPr="0067272C">
          <w:rPr>
            <w:rStyle w:val="Hyperlink"/>
            <w:noProof/>
          </w:rPr>
          <w:t>Section 963(b)(3)</w:t>
        </w:r>
        <w:r w:rsidR="00001CDF">
          <w:rPr>
            <w:noProof/>
            <w:webHidden/>
          </w:rPr>
          <w:tab/>
        </w:r>
        <w:r w:rsidR="00001CDF">
          <w:rPr>
            <w:noProof/>
            <w:webHidden/>
          </w:rPr>
          <w:fldChar w:fldCharType="begin"/>
        </w:r>
        <w:r w:rsidR="00001CDF">
          <w:rPr>
            <w:noProof/>
            <w:webHidden/>
          </w:rPr>
          <w:instrText xml:space="preserve"> PAGEREF _Toc369507309 \h </w:instrText>
        </w:r>
        <w:r w:rsidR="00001CDF">
          <w:rPr>
            <w:noProof/>
            <w:webHidden/>
          </w:rPr>
        </w:r>
        <w:r w:rsidR="00001CDF">
          <w:rPr>
            <w:noProof/>
            <w:webHidden/>
          </w:rPr>
          <w:fldChar w:fldCharType="separate"/>
        </w:r>
        <w:r w:rsidR="001E7425">
          <w:rPr>
            <w:noProof/>
            <w:webHidden/>
          </w:rPr>
          <w:t>9</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10" w:history="1">
        <w:r w:rsidR="00001CDF" w:rsidRPr="0067272C">
          <w:rPr>
            <w:rStyle w:val="Hyperlink"/>
            <w:noProof/>
          </w:rPr>
          <w:t>3.</w:t>
        </w:r>
        <w:r w:rsidR="00001CDF">
          <w:rPr>
            <w:rFonts w:asciiTheme="minorHAnsi" w:eastAsiaTheme="minorEastAsia" w:hAnsiTheme="minorHAnsi" w:cstheme="minorBidi"/>
            <w:noProof/>
            <w:sz w:val="22"/>
            <w:szCs w:val="22"/>
          </w:rPr>
          <w:tab/>
        </w:r>
        <w:r w:rsidR="00001CDF" w:rsidRPr="0067272C">
          <w:rPr>
            <w:rStyle w:val="Hyperlink"/>
            <w:noProof/>
          </w:rPr>
          <w:t>Parties’ Positions</w:t>
        </w:r>
        <w:r w:rsidR="00001CDF">
          <w:rPr>
            <w:noProof/>
            <w:webHidden/>
          </w:rPr>
          <w:tab/>
        </w:r>
        <w:r w:rsidR="00001CDF">
          <w:rPr>
            <w:noProof/>
            <w:webHidden/>
          </w:rPr>
          <w:fldChar w:fldCharType="begin"/>
        </w:r>
        <w:r w:rsidR="00001CDF">
          <w:rPr>
            <w:noProof/>
            <w:webHidden/>
          </w:rPr>
          <w:instrText xml:space="preserve"> PAGEREF _Toc369507310 \h </w:instrText>
        </w:r>
        <w:r w:rsidR="00001CDF">
          <w:rPr>
            <w:noProof/>
            <w:webHidden/>
          </w:rPr>
        </w:r>
        <w:r w:rsidR="00001CDF">
          <w:rPr>
            <w:noProof/>
            <w:webHidden/>
          </w:rPr>
          <w:fldChar w:fldCharType="separate"/>
        </w:r>
        <w:r w:rsidR="001E7425">
          <w:rPr>
            <w:noProof/>
            <w:webHidden/>
          </w:rPr>
          <w:t>10</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11" w:history="1">
        <w:r w:rsidR="00001CDF" w:rsidRPr="0067272C">
          <w:rPr>
            <w:rStyle w:val="Hyperlink"/>
            <w:noProof/>
          </w:rPr>
          <w:t>4.</w:t>
        </w:r>
        <w:r w:rsidR="00001CDF">
          <w:rPr>
            <w:rFonts w:asciiTheme="minorHAnsi" w:eastAsiaTheme="minorEastAsia" w:hAnsiTheme="minorHAnsi" w:cstheme="minorBidi"/>
            <w:noProof/>
            <w:sz w:val="22"/>
            <w:szCs w:val="22"/>
          </w:rPr>
          <w:tab/>
        </w:r>
        <w:r w:rsidR="00001CDF" w:rsidRPr="0067272C">
          <w:rPr>
            <w:rStyle w:val="Hyperlink"/>
            <w:noProof/>
          </w:rPr>
          <w:t>Procedural History</w:t>
        </w:r>
        <w:r w:rsidR="00001CDF">
          <w:rPr>
            <w:noProof/>
            <w:webHidden/>
          </w:rPr>
          <w:tab/>
        </w:r>
        <w:r w:rsidR="00001CDF">
          <w:rPr>
            <w:noProof/>
            <w:webHidden/>
          </w:rPr>
          <w:fldChar w:fldCharType="begin"/>
        </w:r>
        <w:r w:rsidR="00001CDF">
          <w:rPr>
            <w:noProof/>
            <w:webHidden/>
          </w:rPr>
          <w:instrText xml:space="preserve"> PAGEREF _Toc369507311 \h </w:instrText>
        </w:r>
        <w:r w:rsidR="00001CDF">
          <w:rPr>
            <w:noProof/>
            <w:webHidden/>
          </w:rPr>
        </w:r>
        <w:r w:rsidR="00001CDF">
          <w:rPr>
            <w:noProof/>
            <w:webHidden/>
          </w:rPr>
          <w:fldChar w:fldCharType="separate"/>
        </w:r>
        <w:r w:rsidR="001E7425">
          <w:rPr>
            <w:noProof/>
            <w:webHidden/>
          </w:rPr>
          <w:t>12</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12" w:history="1">
        <w:r w:rsidR="00001CDF" w:rsidRPr="0067272C">
          <w:rPr>
            <w:rStyle w:val="Hyperlink"/>
            <w:noProof/>
          </w:rPr>
          <w:t>5.</w:t>
        </w:r>
        <w:r w:rsidR="00001CDF">
          <w:rPr>
            <w:rFonts w:asciiTheme="minorHAnsi" w:eastAsiaTheme="minorEastAsia" w:hAnsiTheme="minorHAnsi" w:cstheme="minorBidi"/>
            <w:noProof/>
            <w:sz w:val="22"/>
            <w:szCs w:val="22"/>
          </w:rPr>
          <w:tab/>
        </w:r>
        <w:r w:rsidR="00001CDF" w:rsidRPr="0067272C">
          <w:rPr>
            <w:rStyle w:val="Hyperlink"/>
            <w:noProof/>
          </w:rPr>
          <w:t>Consideration of § 1001 Factors</w:t>
        </w:r>
        <w:r w:rsidR="00001CDF">
          <w:rPr>
            <w:noProof/>
            <w:webHidden/>
          </w:rPr>
          <w:tab/>
        </w:r>
        <w:r w:rsidR="00001CDF">
          <w:rPr>
            <w:noProof/>
            <w:webHidden/>
          </w:rPr>
          <w:fldChar w:fldCharType="begin"/>
        </w:r>
        <w:r w:rsidR="00001CDF">
          <w:rPr>
            <w:noProof/>
            <w:webHidden/>
          </w:rPr>
          <w:instrText xml:space="preserve"> PAGEREF _Toc369507312 \h </w:instrText>
        </w:r>
        <w:r w:rsidR="00001CDF">
          <w:rPr>
            <w:noProof/>
            <w:webHidden/>
          </w:rPr>
        </w:r>
        <w:r w:rsidR="00001CDF">
          <w:rPr>
            <w:noProof/>
            <w:webHidden/>
          </w:rPr>
          <w:fldChar w:fldCharType="separate"/>
        </w:r>
        <w:r w:rsidR="001E7425">
          <w:rPr>
            <w:noProof/>
            <w:webHidden/>
          </w:rPr>
          <w:t>15</w:t>
        </w:r>
        <w:r w:rsidR="00001CDF">
          <w:rPr>
            <w:noProof/>
            <w:webHidden/>
          </w:rPr>
          <w:fldChar w:fldCharType="end"/>
        </w:r>
      </w:hyperlink>
    </w:p>
    <w:p w:rsidR="00001CDF" w:rsidRPr="00CA0E11" w:rsidRDefault="00BE6DF7" w:rsidP="00CA0E11">
      <w:pPr>
        <w:pStyle w:val="TOC1"/>
        <w:tabs>
          <w:tab w:val="right" w:leader="dot" w:pos="9350"/>
        </w:tabs>
        <w:ind w:left="1350" w:hanging="810"/>
        <w:rPr>
          <w:rStyle w:val="Hyperlink"/>
          <w:noProof/>
        </w:rPr>
      </w:pPr>
      <w:hyperlink w:anchor="_Toc369507313" w:history="1">
        <w:r w:rsidR="00001CDF" w:rsidRPr="0067272C">
          <w:rPr>
            <w:rStyle w:val="Hyperlink"/>
            <w:noProof/>
          </w:rPr>
          <w:t>5.1.</w:t>
        </w:r>
        <w:r w:rsidR="00001CDF" w:rsidRPr="00CA0E11">
          <w:rPr>
            <w:rStyle w:val="Hyperlink"/>
            <w:noProof/>
          </w:rPr>
          <w:tab/>
        </w:r>
        <w:r w:rsidR="00001CDF" w:rsidRPr="0067272C">
          <w:rPr>
            <w:rStyle w:val="Hyperlink"/>
            <w:noProof/>
          </w:rPr>
          <w:t>Need for Project</w:t>
        </w:r>
        <w:r w:rsidR="00001CDF" w:rsidRPr="00CA0E11">
          <w:rPr>
            <w:rStyle w:val="Hyperlink"/>
            <w:noProof/>
            <w:webHidden/>
          </w:rPr>
          <w:tab/>
        </w:r>
        <w:r w:rsidR="00001CDF" w:rsidRPr="00CA0E11">
          <w:rPr>
            <w:rStyle w:val="Hyperlink"/>
            <w:noProof/>
            <w:webHidden/>
          </w:rPr>
          <w:fldChar w:fldCharType="begin"/>
        </w:r>
        <w:r w:rsidR="00001CDF" w:rsidRPr="00CA0E11">
          <w:rPr>
            <w:rStyle w:val="Hyperlink"/>
            <w:noProof/>
            <w:webHidden/>
          </w:rPr>
          <w:instrText xml:space="preserve"> PAGEREF _Toc369507313 \h </w:instrText>
        </w:r>
        <w:r w:rsidR="00001CDF" w:rsidRPr="00CA0E11">
          <w:rPr>
            <w:rStyle w:val="Hyperlink"/>
            <w:noProof/>
            <w:webHidden/>
          </w:rPr>
        </w:r>
        <w:r w:rsidR="00001CDF" w:rsidRPr="00CA0E11">
          <w:rPr>
            <w:rStyle w:val="Hyperlink"/>
            <w:noProof/>
            <w:webHidden/>
          </w:rPr>
          <w:fldChar w:fldCharType="separate"/>
        </w:r>
        <w:r w:rsidR="001E7425">
          <w:rPr>
            <w:rStyle w:val="Hyperlink"/>
            <w:noProof/>
            <w:webHidden/>
          </w:rPr>
          <w:t>15</w:t>
        </w:r>
        <w:r w:rsidR="00001CDF" w:rsidRPr="00CA0E11">
          <w:rPr>
            <w:rStyle w:val="Hyperlink"/>
            <w:noProof/>
            <w:webHidden/>
          </w:rPr>
          <w:fldChar w:fldCharType="end"/>
        </w:r>
      </w:hyperlink>
    </w:p>
    <w:p w:rsidR="00001CDF" w:rsidRPr="00CA0E11" w:rsidRDefault="00BE6DF7" w:rsidP="00CA0E11">
      <w:pPr>
        <w:pStyle w:val="TOC1"/>
        <w:tabs>
          <w:tab w:val="right" w:leader="dot" w:pos="9350"/>
        </w:tabs>
        <w:ind w:left="1350" w:hanging="810"/>
        <w:rPr>
          <w:rStyle w:val="Hyperlink"/>
          <w:noProof/>
        </w:rPr>
      </w:pPr>
      <w:hyperlink w:anchor="_Toc369507314" w:history="1">
        <w:r w:rsidR="00001CDF" w:rsidRPr="0067272C">
          <w:rPr>
            <w:rStyle w:val="Hyperlink"/>
            <w:noProof/>
          </w:rPr>
          <w:t>5.2.</w:t>
        </w:r>
        <w:r w:rsidR="00001CDF" w:rsidRPr="00CA0E11">
          <w:rPr>
            <w:rStyle w:val="Hyperlink"/>
            <w:noProof/>
          </w:rPr>
          <w:tab/>
        </w:r>
        <w:r w:rsidR="00001CDF" w:rsidRPr="0067272C">
          <w:rPr>
            <w:rStyle w:val="Hyperlink"/>
            <w:noProof/>
          </w:rPr>
          <w:t>Financial and Technical Qualifications of Applicant</w:t>
        </w:r>
        <w:r w:rsidR="00001CDF" w:rsidRPr="00CA0E11">
          <w:rPr>
            <w:rStyle w:val="Hyperlink"/>
            <w:noProof/>
            <w:webHidden/>
          </w:rPr>
          <w:tab/>
        </w:r>
        <w:r w:rsidR="00001CDF" w:rsidRPr="00CA0E11">
          <w:rPr>
            <w:rStyle w:val="Hyperlink"/>
            <w:noProof/>
            <w:webHidden/>
          </w:rPr>
          <w:fldChar w:fldCharType="begin"/>
        </w:r>
        <w:r w:rsidR="00001CDF" w:rsidRPr="00CA0E11">
          <w:rPr>
            <w:rStyle w:val="Hyperlink"/>
            <w:noProof/>
            <w:webHidden/>
          </w:rPr>
          <w:instrText xml:space="preserve"> PAGEREF _Toc369507314 \h </w:instrText>
        </w:r>
        <w:r w:rsidR="00001CDF" w:rsidRPr="00CA0E11">
          <w:rPr>
            <w:rStyle w:val="Hyperlink"/>
            <w:noProof/>
            <w:webHidden/>
          </w:rPr>
        </w:r>
        <w:r w:rsidR="00001CDF" w:rsidRPr="00CA0E11">
          <w:rPr>
            <w:rStyle w:val="Hyperlink"/>
            <w:noProof/>
            <w:webHidden/>
          </w:rPr>
          <w:fldChar w:fldCharType="separate"/>
        </w:r>
        <w:r w:rsidR="001E7425">
          <w:rPr>
            <w:rStyle w:val="Hyperlink"/>
            <w:noProof/>
            <w:webHidden/>
          </w:rPr>
          <w:t>17</w:t>
        </w:r>
        <w:r w:rsidR="00001CDF" w:rsidRPr="00CA0E11">
          <w:rPr>
            <w:rStyle w:val="Hyperlink"/>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15" w:history="1">
        <w:r w:rsidR="00001CDF" w:rsidRPr="0067272C">
          <w:rPr>
            <w:rStyle w:val="Hyperlink"/>
            <w:noProof/>
          </w:rPr>
          <w:t>6.</w:t>
        </w:r>
        <w:r w:rsidR="00001CDF">
          <w:rPr>
            <w:rFonts w:asciiTheme="minorHAnsi" w:eastAsiaTheme="minorEastAsia" w:hAnsiTheme="minorHAnsi" w:cstheme="minorBidi"/>
            <w:noProof/>
            <w:sz w:val="22"/>
            <w:szCs w:val="22"/>
          </w:rPr>
          <w:tab/>
        </w:r>
        <w:r w:rsidR="00001CDF" w:rsidRPr="0067272C">
          <w:rPr>
            <w:rStyle w:val="Hyperlink"/>
            <w:noProof/>
          </w:rPr>
          <w:t>Consideration of § 1002 Factors</w:t>
        </w:r>
        <w:r w:rsidR="00001CDF">
          <w:rPr>
            <w:noProof/>
            <w:webHidden/>
          </w:rPr>
          <w:tab/>
        </w:r>
        <w:r w:rsidR="00001CDF">
          <w:rPr>
            <w:noProof/>
            <w:webHidden/>
          </w:rPr>
          <w:fldChar w:fldCharType="begin"/>
        </w:r>
        <w:r w:rsidR="00001CDF">
          <w:rPr>
            <w:noProof/>
            <w:webHidden/>
          </w:rPr>
          <w:instrText xml:space="preserve"> PAGEREF _Toc369507315 \h </w:instrText>
        </w:r>
        <w:r w:rsidR="00001CDF">
          <w:rPr>
            <w:noProof/>
            <w:webHidden/>
          </w:rPr>
        </w:r>
        <w:r w:rsidR="00001CDF">
          <w:rPr>
            <w:noProof/>
            <w:webHidden/>
          </w:rPr>
          <w:fldChar w:fldCharType="separate"/>
        </w:r>
        <w:r w:rsidR="001E7425">
          <w:rPr>
            <w:noProof/>
            <w:webHidden/>
          </w:rPr>
          <w:t>18</w:t>
        </w:r>
        <w:r w:rsidR="00001CDF">
          <w:rPr>
            <w:noProof/>
            <w:webHidden/>
          </w:rPr>
          <w:fldChar w:fldCharType="end"/>
        </w:r>
      </w:hyperlink>
    </w:p>
    <w:p w:rsidR="00001CDF" w:rsidRPr="00CA0E11" w:rsidRDefault="00BE6DF7" w:rsidP="00CA0E11">
      <w:pPr>
        <w:pStyle w:val="TOC1"/>
        <w:tabs>
          <w:tab w:val="right" w:leader="dot" w:pos="9350"/>
        </w:tabs>
        <w:ind w:left="1350" w:hanging="810"/>
        <w:rPr>
          <w:rStyle w:val="Hyperlink"/>
          <w:noProof/>
        </w:rPr>
      </w:pPr>
      <w:hyperlink w:anchor="_Toc369507316" w:history="1">
        <w:r w:rsidR="00001CDF" w:rsidRPr="0067272C">
          <w:rPr>
            <w:rStyle w:val="Hyperlink"/>
            <w:noProof/>
          </w:rPr>
          <w:t>6.1.</w:t>
        </w:r>
        <w:r w:rsidR="00001CDF" w:rsidRPr="00CA0E11">
          <w:rPr>
            <w:rStyle w:val="Hyperlink"/>
            <w:noProof/>
          </w:rPr>
          <w:tab/>
        </w:r>
        <w:r w:rsidR="00001CDF" w:rsidRPr="0067272C">
          <w:rPr>
            <w:rStyle w:val="Hyperlink"/>
            <w:noProof/>
          </w:rPr>
          <w:t>Consistency with Community Values</w:t>
        </w:r>
        <w:r w:rsidR="00001CDF" w:rsidRPr="00CA0E11">
          <w:rPr>
            <w:rStyle w:val="Hyperlink"/>
            <w:noProof/>
            <w:webHidden/>
          </w:rPr>
          <w:tab/>
        </w:r>
        <w:r w:rsidR="00001CDF" w:rsidRPr="00CA0E11">
          <w:rPr>
            <w:rStyle w:val="Hyperlink"/>
            <w:noProof/>
            <w:webHidden/>
          </w:rPr>
          <w:fldChar w:fldCharType="begin"/>
        </w:r>
        <w:r w:rsidR="00001CDF" w:rsidRPr="00CA0E11">
          <w:rPr>
            <w:rStyle w:val="Hyperlink"/>
            <w:noProof/>
            <w:webHidden/>
          </w:rPr>
          <w:instrText xml:space="preserve"> PAGEREF _Toc369507316 \h </w:instrText>
        </w:r>
        <w:r w:rsidR="00001CDF" w:rsidRPr="00CA0E11">
          <w:rPr>
            <w:rStyle w:val="Hyperlink"/>
            <w:noProof/>
            <w:webHidden/>
          </w:rPr>
        </w:r>
        <w:r w:rsidR="00001CDF" w:rsidRPr="00CA0E11">
          <w:rPr>
            <w:rStyle w:val="Hyperlink"/>
            <w:noProof/>
            <w:webHidden/>
          </w:rPr>
          <w:fldChar w:fldCharType="separate"/>
        </w:r>
        <w:r w:rsidR="001E7425">
          <w:rPr>
            <w:rStyle w:val="Hyperlink"/>
            <w:noProof/>
            <w:webHidden/>
          </w:rPr>
          <w:t>18</w:t>
        </w:r>
        <w:r w:rsidR="00001CDF" w:rsidRPr="00CA0E11">
          <w:rPr>
            <w:rStyle w:val="Hyperlink"/>
            <w:noProof/>
            <w:webHidden/>
          </w:rPr>
          <w:fldChar w:fldCharType="end"/>
        </w:r>
      </w:hyperlink>
    </w:p>
    <w:p w:rsidR="00001CDF" w:rsidRPr="00CA0E11" w:rsidRDefault="00BE6DF7" w:rsidP="00CA0E11">
      <w:pPr>
        <w:pStyle w:val="TOC1"/>
        <w:tabs>
          <w:tab w:val="right" w:leader="dot" w:pos="9350"/>
        </w:tabs>
        <w:ind w:left="1350" w:hanging="810"/>
        <w:rPr>
          <w:rStyle w:val="Hyperlink"/>
          <w:noProof/>
        </w:rPr>
      </w:pPr>
      <w:hyperlink w:anchor="_Toc369507317" w:history="1">
        <w:r w:rsidR="00001CDF" w:rsidRPr="0067272C">
          <w:rPr>
            <w:rStyle w:val="Hyperlink"/>
            <w:noProof/>
          </w:rPr>
          <w:t>6.2.</w:t>
        </w:r>
        <w:r w:rsidR="00001CDF" w:rsidRPr="00CA0E11">
          <w:rPr>
            <w:rStyle w:val="Hyperlink"/>
            <w:noProof/>
          </w:rPr>
          <w:tab/>
        </w:r>
        <w:r w:rsidR="00001CDF" w:rsidRPr="0067272C">
          <w:rPr>
            <w:rStyle w:val="Hyperlink"/>
            <w:noProof/>
          </w:rPr>
          <w:t>Recreational and Park Areas</w:t>
        </w:r>
        <w:r w:rsidR="00001CDF" w:rsidRPr="00CA0E11">
          <w:rPr>
            <w:rStyle w:val="Hyperlink"/>
            <w:noProof/>
            <w:webHidden/>
          </w:rPr>
          <w:tab/>
        </w:r>
        <w:r w:rsidR="00001CDF" w:rsidRPr="00CA0E11">
          <w:rPr>
            <w:rStyle w:val="Hyperlink"/>
            <w:noProof/>
            <w:webHidden/>
          </w:rPr>
          <w:fldChar w:fldCharType="begin"/>
        </w:r>
        <w:r w:rsidR="00001CDF" w:rsidRPr="00CA0E11">
          <w:rPr>
            <w:rStyle w:val="Hyperlink"/>
            <w:noProof/>
            <w:webHidden/>
          </w:rPr>
          <w:instrText xml:space="preserve"> PAGEREF _Toc369507317 \h </w:instrText>
        </w:r>
        <w:r w:rsidR="00001CDF" w:rsidRPr="00CA0E11">
          <w:rPr>
            <w:rStyle w:val="Hyperlink"/>
            <w:noProof/>
            <w:webHidden/>
          </w:rPr>
        </w:r>
        <w:r w:rsidR="00001CDF" w:rsidRPr="00CA0E11">
          <w:rPr>
            <w:rStyle w:val="Hyperlink"/>
            <w:noProof/>
            <w:webHidden/>
          </w:rPr>
          <w:fldChar w:fldCharType="separate"/>
        </w:r>
        <w:r w:rsidR="001E7425">
          <w:rPr>
            <w:rStyle w:val="Hyperlink"/>
            <w:noProof/>
            <w:webHidden/>
          </w:rPr>
          <w:t>20</w:t>
        </w:r>
        <w:r w:rsidR="00001CDF" w:rsidRPr="00CA0E11">
          <w:rPr>
            <w:rStyle w:val="Hyperlink"/>
            <w:noProof/>
            <w:webHidden/>
          </w:rPr>
          <w:fldChar w:fldCharType="end"/>
        </w:r>
      </w:hyperlink>
    </w:p>
    <w:p w:rsidR="00001CDF" w:rsidRPr="00CA0E11" w:rsidRDefault="00BE6DF7" w:rsidP="00CA0E11">
      <w:pPr>
        <w:pStyle w:val="TOC1"/>
        <w:tabs>
          <w:tab w:val="right" w:leader="dot" w:pos="9350"/>
        </w:tabs>
        <w:ind w:left="1350" w:hanging="810"/>
        <w:rPr>
          <w:rStyle w:val="Hyperlink"/>
          <w:noProof/>
        </w:rPr>
      </w:pPr>
      <w:hyperlink w:anchor="_Toc369507318" w:history="1">
        <w:r w:rsidR="00001CDF" w:rsidRPr="0067272C">
          <w:rPr>
            <w:rStyle w:val="Hyperlink"/>
            <w:noProof/>
          </w:rPr>
          <w:t>6.3.</w:t>
        </w:r>
        <w:r w:rsidR="00001CDF" w:rsidRPr="00CA0E11">
          <w:rPr>
            <w:rStyle w:val="Hyperlink"/>
            <w:noProof/>
          </w:rPr>
          <w:tab/>
        </w:r>
        <w:r w:rsidR="00001CDF" w:rsidRPr="0067272C">
          <w:rPr>
            <w:rStyle w:val="Hyperlink"/>
            <w:noProof/>
          </w:rPr>
          <w:t>Historical and Aesthetic Values</w:t>
        </w:r>
        <w:r w:rsidR="00001CDF" w:rsidRPr="00CA0E11">
          <w:rPr>
            <w:rStyle w:val="Hyperlink"/>
            <w:noProof/>
            <w:webHidden/>
          </w:rPr>
          <w:tab/>
        </w:r>
        <w:r w:rsidR="00001CDF" w:rsidRPr="00CA0E11">
          <w:rPr>
            <w:rStyle w:val="Hyperlink"/>
            <w:noProof/>
            <w:webHidden/>
          </w:rPr>
          <w:fldChar w:fldCharType="begin"/>
        </w:r>
        <w:r w:rsidR="00001CDF" w:rsidRPr="00CA0E11">
          <w:rPr>
            <w:rStyle w:val="Hyperlink"/>
            <w:noProof/>
            <w:webHidden/>
          </w:rPr>
          <w:instrText xml:space="preserve"> PAGEREF _Toc369507318 \h </w:instrText>
        </w:r>
        <w:r w:rsidR="00001CDF" w:rsidRPr="00CA0E11">
          <w:rPr>
            <w:rStyle w:val="Hyperlink"/>
            <w:noProof/>
            <w:webHidden/>
          </w:rPr>
        </w:r>
        <w:r w:rsidR="00001CDF" w:rsidRPr="00CA0E11">
          <w:rPr>
            <w:rStyle w:val="Hyperlink"/>
            <w:noProof/>
            <w:webHidden/>
          </w:rPr>
          <w:fldChar w:fldCharType="separate"/>
        </w:r>
        <w:r w:rsidR="001E7425">
          <w:rPr>
            <w:rStyle w:val="Hyperlink"/>
            <w:noProof/>
            <w:webHidden/>
          </w:rPr>
          <w:t>21</w:t>
        </w:r>
        <w:r w:rsidR="00001CDF" w:rsidRPr="00CA0E11">
          <w:rPr>
            <w:rStyle w:val="Hyperlink"/>
            <w:noProof/>
            <w:webHidden/>
          </w:rPr>
          <w:fldChar w:fldCharType="end"/>
        </w:r>
      </w:hyperlink>
    </w:p>
    <w:p w:rsidR="00001CDF" w:rsidRPr="00CA0E11" w:rsidRDefault="00BE6DF7" w:rsidP="00CA0E11">
      <w:pPr>
        <w:pStyle w:val="TOC1"/>
        <w:tabs>
          <w:tab w:val="right" w:leader="dot" w:pos="9350"/>
        </w:tabs>
        <w:ind w:left="1350" w:hanging="810"/>
        <w:rPr>
          <w:rStyle w:val="Hyperlink"/>
          <w:noProof/>
        </w:rPr>
      </w:pPr>
      <w:hyperlink w:anchor="_Toc369507319" w:history="1">
        <w:r w:rsidR="00001CDF" w:rsidRPr="0067272C">
          <w:rPr>
            <w:rStyle w:val="Hyperlink"/>
            <w:noProof/>
          </w:rPr>
          <w:t>6.4.</w:t>
        </w:r>
        <w:r w:rsidR="00001CDF" w:rsidRPr="00CA0E11">
          <w:rPr>
            <w:rStyle w:val="Hyperlink"/>
            <w:noProof/>
          </w:rPr>
          <w:tab/>
        </w:r>
        <w:r w:rsidR="00001CDF" w:rsidRPr="0067272C">
          <w:rPr>
            <w:rStyle w:val="Hyperlink"/>
            <w:noProof/>
          </w:rPr>
          <w:t>Influence on the Environment</w:t>
        </w:r>
        <w:r w:rsidR="00001CDF" w:rsidRPr="00CA0E11">
          <w:rPr>
            <w:rStyle w:val="Hyperlink"/>
            <w:noProof/>
            <w:webHidden/>
          </w:rPr>
          <w:tab/>
        </w:r>
        <w:r w:rsidR="00001CDF" w:rsidRPr="00CA0E11">
          <w:rPr>
            <w:rStyle w:val="Hyperlink"/>
            <w:noProof/>
            <w:webHidden/>
          </w:rPr>
          <w:fldChar w:fldCharType="begin"/>
        </w:r>
        <w:r w:rsidR="00001CDF" w:rsidRPr="00CA0E11">
          <w:rPr>
            <w:rStyle w:val="Hyperlink"/>
            <w:noProof/>
            <w:webHidden/>
          </w:rPr>
          <w:instrText xml:space="preserve"> PAGEREF _Toc369507319 \h </w:instrText>
        </w:r>
        <w:r w:rsidR="00001CDF" w:rsidRPr="00CA0E11">
          <w:rPr>
            <w:rStyle w:val="Hyperlink"/>
            <w:noProof/>
            <w:webHidden/>
          </w:rPr>
        </w:r>
        <w:r w:rsidR="00001CDF" w:rsidRPr="00CA0E11">
          <w:rPr>
            <w:rStyle w:val="Hyperlink"/>
            <w:noProof/>
            <w:webHidden/>
          </w:rPr>
          <w:fldChar w:fldCharType="separate"/>
        </w:r>
        <w:r w:rsidR="001E7425">
          <w:rPr>
            <w:rStyle w:val="Hyperlink"/>
            <w:noProof/>
            <w:webHidden/>
          </w:rPr>
          <w:t>22</w:t>
        </w:r>
        <w:r w:rsidR="00001CDF" w:rsidRPr="00CA0E11">
          <w:rPr>
            <w:rStyle w:val="Hyperlink"/>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20" w:history="1">
        <w:r w:rsidR="00001CDF" w:rsidRPr="0067272C">
          <w:rPr>
            <w:rStyle w:val="Hyperlink"/>
            <w:noProof/>
          </w:rPr>
          <w:t>7.</w:t>
        </w:r>
        <w:r w:rsidR="00001CDF">
          <w:rPr>
            <w:rFonts w:asciiTheme="minorHAnsi" w:eastAsiaTheme="minorEastAsia" w:hAnsiTheme="minorHAnsi" w:cstheme="minorBidi"/>
            <w:noProof/>
            <w:sz w:val="22"/>
            <w:szCs w:val="22"/>
          </w:rPr>
          <w:tab/>
        </w:r>
        <w:r w:rsidR="00001CDF" w:rsidRPr="0067272C">
          <w:rPr>
            <w:rStyle w:val="Hyperlink"/>
            <w:noProof/>
          </w:rPr>
          <w:t>The Environmental Review Process</w:t>
        </w:r>
        <w:r w:rsidR="00001CDF">
          <w:rPr>
            <w:noProof/>
            <w:webHidden/>
          </w:rPr>
          <w:tab/>
        </w:r>
        <w:r w:rsidR="00001CDF">
          <w:rPr>
            <w:noProof/>
            <w:webHidden/>
          </w:rPr>
          <w:fldChar w:fldCharType="begin"/>
        </w:r>
        <w:r w:rsidR="00001CDF">
          <w:rPr>
            <w:noProof/>
            <w:webHidden/>
          </w:rPr>
          <w:instrText xml:space="preserve"> PAGEREF _Toc369507320 \h </w:instrText>
        </w:r>
        <w:r w:rsidR="00001CDF">
          <w:rPr>
            <w:noProof/>
            <w:webHidden/>
          </w:rPr>
        </w:r>
        <w:r w:rsidR="00001CDF">
          <w:rPr>
            <w:noProof/>
            <w:webHidden/>
          </w:rPr>
          <w:fldChar w:fldCharType="separate"/>
        </w:r>
        <w:r w:rsidR="001E7425">
          <w:rPr>
            <w:noProof/>
            <w:webHidden/>
          </w:rPr>
          <w:t>22</w:t>
        </w:r>
        <w:r w:rsidR="00001CDF">
          <w:rPr>
            <w:noProof/>
            <w:webHidden/>
          </w:rPr>
          <w:fldChar w:fldCharType="end"/>
        </w:r>
      </w:hyperlink>
    </w:p>
    <w:p w:rsidR="00001CDF" w:rsidRPr="00001CDF" w:rsidRDefault="00BE6DF7" w:rsidP="00001CDF">
      <w:pPr>
        <w:pStyle w:val="TOC1"/>
        <w:tabs>
          <w:tab w:val="right" w:leader="dot" w:pos="9350"/>
        </w:tabs>
        <w:ind w:left="1350" w:hanging="810"/>
        <w:rPr>
          <w:rStyle w:val="Hyperlink"/>
          <w:noProof/>
        </w:rPr>
      </w:pPr>
      <w:hyperlink w:anchor="_Toc369507321" w:history="1">
        <w:r w:rsidR="00001CDF" w:rsidRPr="0067272C">
          <w:rPr>
            <w:rStyle w:val="Hyperlink"/>
            <w:noProof/>
          </w:rPr>
          <w:t>7.1.</w:t>
        </w:r>
        <w:r w:rsidR="00001CDF" w:rsidRPr="00001CDF">
          <w:rPr>
            <w:rStyle w:val="Hyperlink"/>
            <w:noProof/>
          </w:rPr>
          <w:tab/>
        </w:r>
        <w:r w:rsidR="00001CDF" w:rsidRPr="0067272C">
          <w:rPr>
            <w:rStyle w:val="Hyperlink"/>
            <w:noProof/>
          </w:rPr>
          <w:t>The EIR</w:t>
        </w:r>
        <w:r w:rsidR="00001CDF" w:rsidRPr="00001CDF">
          <w:rPr>
            <w:rStyle w:val="Hyperlink"/>
            <w:noProof/>
            <w:webHidden/>
          </w:rPr>
          <w:tab/>
        </w:r>
        <w:r w:rsidR="00001CDF" w:rsidRPr="00001CDF">
          <w:rPr>
            <w:rStyle w:val="Hyperlink"/>
            <w:noProof/>
            <w:webHidden/>
          </w:rPr>
          <w:fldChar w:fldCharType="begin"/>
        </w:r>
        <w:r w:rsidR="00001CDF" w:rsidRPr="00001CDF">
          <w:rPr>
            <w:rStyle w:val="Hyperlink"/>
            <w:noProof/>
            <w:webHidden/>
          </w:rPr>
          <w:instrText xml:space="preserve"> PAGEREF _Toc369507321 \h </w:instrText>
        </w:r>
        <w:r w:rsidR="00001CDF" w:rsidRPr="00001CDF">
          <w:rPr>
            <w:rStyle w:val="Hyperlink"/>
            <w:noProof/>
            <w:webHidden/>
          </w:rPr>
        </w:r>
        <w:r w:rsidR="00001CDF" w:rsidRPr="00001CDF">
          <w:rPr>
            <w:rStyle w:val="Hyperlink"/>
            <w:noProof/>
            <w:webHidden/>
          </w:rPr>
          <w:fldChar w:fldCharType="separate"/>
        </w:r>
        <w:r w:rsidR="001E7425">
          <w:rPr>
            <w:rStyle w:val="Hyperlink"/>
            <w:noProof/>
            <w:webHidden/>
          </w:rPr>
          <w:t>24</w:t>
        </w:r>
        <w:r w:rsidR="00001CDF" w:rsidRPr="00001CDF">
          <w:rPr>
            <w:rStyle w:val="Hyperlink"/>
            <w:noProof/>
            <w:webHidden/>
          </w:rPr>
          <w:fldChar w:fldCharType="end"/>
        </w:r>
      </w:hyperlink>
    </w:p>
    <w:p w:rsidR="00001CDF" w:rsidRPr="00001CDF" w:rsidRDefault="00BE6DF7" w:rsidP="00001CDF">
      <w:pPr>
        <w:pStyle w:val="TOC1"/>
        <w:tabs>
          <w:tab w:val="right" w:leader="dot" w:pos="9350"/>
        </w:tabs>
        <w:ind w:left="1350" w:hanging="810"/>
        <w:rPr>
          <w:rStyle w:val="Hyperlink"/>
          <w:noProof/>
        </w:rPr>
      </w:pPr>
      <w:hyperlink w:anchor="_Toc369507322" w:history="1">
        <w:r w:rsidR="00001CDF" w:rsidRPr="0067272C">
          <w:rPr>
            <w:rStyle w:val="Hyperlink"/>
            <w:noProof/>
          </w:rPr>
          <w:t>7.2.</w:t>
        </w:r>
        <w:r w:rsidR="00001CDF" w:rsidRPr="00001CDF">
          <w:rPr>
            <w:rStyle w:val="Hyperlink"/>
            <w:noProof/>
          </w:rPr>
          <w:tab/>
        </w:r>
        <w:r w:rsidR="00001CDF" w:rsidRPr="0067272C">
          <w:rPr>
            <w:rStyle w:val="Hyperlink"/>
            <w:noProof/>
          </w:rPr>
          <w:t>Environmentally Superior Alternative</w:t>
        </w:r>
        <w:r w:rsidR="00001CDF" w:rsidRPr="00001CDF">
          <w:rPr>
            <w:rStyle w:val="Hyperlink"/>
            <w:noProof/>
            <w:webHidden/>
          </w:rPr>
          <w:tab/>
        </w:r>
        <w:r w:rsidR="00001CDF" w:rsidRPr="00001CDF">
          <w:rPr>
            <w:rStyle w:val="Hyperlink"/>
            <w:noProof/>
            <w:webHidden/>
          </w:rPr>
          <w:fldChar w:fldCharType="begin"/>
        </w:r>
        <w:r w:rsidR="00001CDF" w:rsidRPr="00001CDF">
          <w:rPr>
            <w:rStyle w:val="Hyperlink"/>
            <w:noProof/>
            <w:webHidden/>
          </w:rPr>
          <w:instrText xml:space="preserve"> PAGEREF _Toc369507322 \h </w:instrText>
        </w:r>
        <w:r w:rsidR="00001CDF" w:rsidRPr="00001CDF">
          <w:rPr>
            <w:rStyle w:val="Hyperlink"/>
            <w:noProof/>
            <w:webHidden/>
          </w:rPr>
        </w:r>
        <w:r w:rsidR="00001CDF" w:rsidRPr="00001CDF">
          <w:rPr>
            <w:rStyle w:val="Hyperlink"/>
            <w:noProof/>
            <w:webHidden/>
          </w:rPr>
          <w:fldChar w:fldCharType="separate"/>
        </w:r>
        <w:r w:rsidR="001E7425">
          <w:rPr>
            <w:rStyle w:val="Hyperlink"/>
            <w:noProof/>
            <w:webHidden/>
          </w:rPr>
          <w:t>25</w:t>
        </w:r>
        <w:r w:rsidR="00001CDF" w:rsidRPr="00001CDF">
          <w:rPr>
            <w:rStyle w:val="Hyperlink"/>
            <w:noProof/>
            <w:webHidden/>
          </w:rPr>
          <w:fldChar w:fldCharType="end"/>
        </w:r>
      </w:hyperlink>
    </w:p>
    <w:p w:rsidR="00001CDF" w:rsidRPr="00001CDF" w:rsidRDefault="00BE6DF7" w:rsidP="00001CDF">
      <w:pPr>
        <w:pStyle w:val="TOC1"/>
        <w:tabs>
          <w:tab w:val="right" w:leader="dot" w:pos="9350"/>
        </w:tabs>
        <w:ind w:left="1350" w:hanging="810"/>
        <w:rPr>
          <w:rStyle w:val="Hyperlink"/>
          <w:noProof/>
        </w:rPr>
      </w:pPr>
      <w:hyperlink w:anchor="_Toc369507323" w:history="1">
        <w:r w:rsidR="00001CDF" w:rsidRPr="0067272C">
          <w:rPr>
            <w:rStyle w:val="Hyperlink"/>
            <w:noProof/>
          </w:rPr>
          <w:t>7.3.</w:t>
        </w:r>
        <w:r w:rsidR="00001CDF" w:rsidRPr="00001CDF">
          <w:rPr>
            <w:rStyle w:val="Hyperlink"/>
            <w:noProof/>
          </w:rPr>
          <w:tab/>
        </w:r>
        <w:r w:rsidR="00001CDF" w:rsidRPr="0067272C">
          <w:rPr>
            <w:rStyle w:val="Hyperlink"/>
            <w:noProof/>
          </w:rPr>
          <w:t>Environmental Impacts of the Project</w:t>
        </w:r>
        <w:r w:rsidR="00001CDF" w:rsidRPr="00001CDF">
          <w:rPr>
            <w:rStyle w:val="Hyperlink"/>
            <w:noProof/>
            <w:webHidden/>
          </w:rPr>
          <w:tab/>
        </w:r>
        <w:r w:rsidR="00001CDF" w:rsidRPr="00001CDF">
          <w:rPr>
            <w:rStyle w:val="Hyperlink"/>
            <w:noProof/>
            <w:webHidden/>
          </w:rPr>
          <w:fldChar w:fldCharType="begin"/>
        </w:r>
        <w:r w:rsidR="00001CDF" w:rsidRPr="00001CDF">
          <w:rPr>
            <w:rStyle w:val="Hyperlink"/>
            <w:noProof/>
            <w:webHidden/>
          </w:rPr>
          <w:instrText xml:space="preserve"> PAGEREF _Toc369507323 \h </w:instrText>
        </w:r>
        <w:r w:rsidR="00001CDF" w:rsidRPr="00001CDF">
          <w:rPr>
            <w:rStyle w:val="Hyperlink"/>
            <w:noProof/>
            <w:webHidden/>
          </w:rPr>
        </w:r>
        <w:r w:rsidR="00001CDF" w:rsidRPr="00001CDF">
          <w:rPr>
            <w:rStyle w:val="Hyperlink"/>
            <w:noProof/>
            <w:webHidden/>
          </w:rPr>
          <w:fldChar w:fldCharType="separate"/>
        </w:r>
        <w:r w:rsidR="001E7425">
          <w:rPr>
            <w:rStyle w:val="Hyperlink"/>
            <w:noProof/>
            <w:webHidden/>
          </w:rPr>
          <w:t>27</w:t>
        </w:r>
        <w:r w:rsidR="00001CDF" w:rsidRPr="00001CDF">
          <w:rPr>
            <w:rStyle w:val="Hyperlink"/>
            <w:noProof/>
            <w:webHidden/>
          </w:rPr>
          <w:fldChar w:fldCharType="end"/>
        </w:r>
      </w:hyperlink>
    </w:p>
    <w:p w:rsidR="00001CDF" w:rsidRPr="00001CDF" w:rsidRDefault="00BE6DF7" w:rsidP="00001CDF">
      <w:pPr>
        <w:pStyle w:val="TOC1"/>
        <w:tabs>
          <w:tab w:val="right" w:leader="dot" w:pos="9350"/>
        </w:tabs>
        <w:ind w:left="1350" w:hanging="810"/>
        <w:rPr>
          <w:rStyle w:val="Hyperlink"/>
          <w:noProof/>
        </w:rPr>
      </w:pPr>
      <w:hyperlink w:anchor="_Toc369507324" w:history="1">
        <w:r w:rsidR="00001CDF" w:rsidRPr="0067272C">
          <w:rPr>
            <w:rStyle w:val="Hyperlink"/>
            <w:noProof/>
          </w:rPr>
          <w:t>7.4.</w:t>
        </w:r>
        <w:r w:rsidR="00001CDF" w:rsidRPr="00001CDF">
          <w:rPr>
            <w:rStyle w:val="Hyperlink"/>
            <w:noProof/>
          </w:rPr>
          <w:tab/>
        </w:r>
        <w:r w:rsidR="00001CDF" w:rsidRPr="0067272C">
          <w:rPr>
            <w:rStyle w:val="Hyperlink"/>
            <w:noProof/>
          </w:rPr>
          <w:t>The EIR Was Completed in Compliance with CEQA</w:t>
        </w:r>
        <w:r w:rsidR="00001CDF" w:rsidRPr="00001CDF">
          <w:rPr>
            <w:rStyle w:val="Hyperlink"/>
            <w:noProof/>
            <w:webHidden/>
          </w:rPr>
          <w:tab/>
        </w:r>
        <w:r w:rsidR="00001CDF" w:rsidRPr="00001CDF">
          <w:rPr>
            <w:rStyle w:val="Hyperlink"/>
            <w:noProof/>
            <w:webHidden/>
          </w:rPr>
          <w:fldChar w:fldCharType="begin"/>
        </w:r>
        <w:r w:rsidR="00001CDF" w:rsidRPr="00001CDF">
          <w:rPr>
            <w:rStyle w:val="Hyperlink"/>
            <w:noProof/>
            <w:webHidden/>
          </w:rPr>
          <w:instrText xml:space="preserve"> PAGEREF _Toc369507324 \h </w:instrText>
        </w:r>
        <w:r w:rsidR="00001CDF" w:rsidRPr="00001CDF">
          <w:rPr>
            <w:rStyle w:val="Hyperlink"/>
            <w:noProof/>
            <w:webHidden/>
          </w:rPr>
        </w:r>
        <w:r w:rsidR="00001CDF" w:rsidRPr="00001CDF">
          <w:rPr>
            <w:rStyle w:val="Hyperlink"/>
            <w:noProof/>
            <w:webHidden/>
          </w:rPr>
          <w:fldChar w:fldCharType="separate"/>
        </w:r>
        <w:r w:rsidR="001E7425">
          <w:rPr>
            <w:rStyle w:val="Hyperlink"/>
            <w:noProof/>
            <w:webHidden/>
          </w:rPr>
          <w:t>28</w:t>
        </w:r>
        <w:r w:rsidR="00001CDF" w:rsidRPr="00001CDF">
          <w:rPr>
            <w:rStyle w:val="Hyperlink"/>
            <w:noProof/>
            <w:webHidden/>
          </w:rPr>
          <w:fldChar w:fldCharType="end"/>
        </w:r>
      </w:hyperlink>
    </w:p>
    <w:p w:rsidR="00001CDF" w:rsidRDefault="00BE6DF7" w:rsidP="00001CDF">
      <w:pPr>
        <w:pStyle w:val="TOC1"/>
        <w:tabs>
          <w:tab w:val="right" w:leader="dot" w:pos="9350"/>
        </w:tabs>
        <w:ind w:left="1350" w:hanging="810"/>
        <w:rPr>
          <w:rFonts w:asciiTheme="minorHAnsi" w:eastAsiaTheme="minorEastAsia" w:hAnsiTheme="minorHAnsi" w:cstheme="minorBidi"/>
          <w:noProof/>
          <w:sz w:val="22"/>
          <w:szCs w:val="22"/>
        </w:rPr>
      </w:pPr>
      <w:hyperlink w:anchor="_Toc369507325" w:history="1">
        <w:r w:rsidR="00001CDF" w:rsidRPr="0067272C">
          <w:rPr>
            <w:rStyle w:val="Hyperlink"/>
            <w:noProof/>
          </w:rPr>
          <w:t>7.5.</w:t>
        </w:r>
        <w:r w:rsidR="00001CDF">
          <w:rPr>
            <w:rFonts w:asciiTheme="minorHAnsi" w:eastAsiaTheme="minorEastAsia" w:hAnsiTheme="minorHAnsi" w:cstheme="minorBidi"/>
            <w:noProof/>
            <w:sz w:val="22"/>
            <w:szCs w:val="22"/>
          </w:rPr>
          <w:tab/>
        </w:r>
        <w:r w:rsidR="00001CDF" w:rsidRPr="0067272C">
          <w:rPr>
            <w:rStyle w:val="Hyperlink"/>
            <w:noProof/>
          </w:rPr>
          <w:t>Mitigation Monitoring, Compliance and Reporting Program</w:t>
        </w:r>
        <w:r w:rsidR="00001CDF">
          <w:rPr>
            <w:noProof/>
            <w:webHidden/>
          </w:rPr>
          <w:tab/>
        </w:r>
        <w:r w:rsidR="00001CDF">
          <w:rPr>
            <w:noProof/>
            <w:webHidden/>
          </w:rPr>
          <w:fldChar w:fldCharType="begin"/>
        </w:r>
        <w:r w:rsidR="00001CDF">
          <w:rPr>
            <w:noProof/>
            <w:webHidden/>
          </w:rPr>
          <w:instrText xml:space="preserve"> PAGEREF _Toc369507325 \h </w:instrText>
        </w:r>
        <w:r w:rsidR="00001CDF">
          <w:rPr>
            <w:noProof/>
            <w:webHidden/>
          </w:rPr>
        </w:r>
        <w:r w:rsidR="00001CDF">
          <w:rPr>
            <w:noProof/>
            <w:webHidden/>
          </w:rPr>
          <w:fldChar w:fldCharType="separate"/>
        </w:r>
        <w:r w:rsidR="001E7425">
          <w:rPr>
            <w:noProof/>
            <w:webHidden/>
          </w:rPr>
          <w:t>28</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26" w:history="1">
        <w:r w:rsidR="00001CDF" w:rsidRPr="0067272C">
          <w:rPr>
            <w:rStyle w:val="Hyperlink"/>
            <w:noProof/>
          </w:rPr>
          <w:t>8.</w:t>
        </w:r>
        <w:r w:rsidR="00001CDF">
          <w:rPr>
            <w:rFonts w:asciiTheme="minorHAnsi" w:eastAsiaTheme="minorEastAsia" w:hAnsiTheme="minorHAnsi" w:cstheme="minorBidi"/>
            <w:noProof/>
            <w:sz w:val="22"/>
            <w:szCs w:val="22"/>
          </w:rPr>
          <w:tab/>
        </w:r>
        <w:r w:rsidR="00001CDF" w:rsidRPr="0067272C">
          <w:rPr>
            <w:rStyle w:val="Hyperlink"/>
            <w:noProof/>
          </w:rPr>
          <w:t>Certification of the EIR and CEQA Findings</w:t>
        </w:r>
        <w:r w:rsidR="00001CDF">
          <w:rPr>
            <w:noProof/>
            <w:webHidden/>
          </w:rPr>
          <w:tab/>
        </w:r>
        <w:r w:rsidR="00001CDF">
          <w:rPr>
            <w:noProof/>
            <w:webHidden/>
          </w:rPr>
          <w:fldChar w:fldCharType="begin"/>
        </w:r>
        <w:r w:rsidR="00001CDF">
          <w:rPr>
            <w:noProof/>
            <w:webHidden/>
          </w:rPr>
          <w:instrText xml:space="preserve"> PAGEREF _Toc369507326 \h </w:instrText>
        </w:r>
        <w:r w:rsidR="00001CDF">
          <w:rPr>
            <w:noProof/>
            <w:webHidden/>
          </w:rPr>
        </w:r>
        <w:r w:rsidR="00001CDF">
          <w:rPr>
            <w:noProof/>
            <w:webHidden/>
          </w:rPr>
          <w:fldChar w:fldCharType="separate"/>
        </w:r>
        <w:r w:rsidR="001E7425">
          <w:rPr>
            <w:noProof/>
            <w:webHidden/>
          </w:rPr>
          <w:t>30</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27" w:history="1">
        <w:r w:rsidR="00001CDF" w:rsidRPr="0067272C">
          <w:rPr>
            <w:rStyle w:val="Hyperlink"/>
            <w:noProof/>
          </w:rPr>
          <w:t>9.</w:t>
        </w:r>
        <w:r w:rsidR="00001CDF">
          <w:rPr>
            <w:rFonts w:asciiTheme="minorHAnsi" w:eastAsiaTheme="minorEastAsia" w:hAnsiTheme="minorHAnsi" w:cstheme="minorBidi"/>
            <w:noProof/>
            <w:sz w:val="22"/>
            <w:szCs w:val="22"/>
          </w:rPr>
          <w:tab/>
        </w:r>
        <w:r w:rsidR="00001CDF" w:rsidRPr="0067272C">
          <w:rPr>
            <w:rStyle w:val="Hyperlink"/>
            <w:noProof/>
          </w:rPr>
          <w:t>Project Authorization</w:t>
        </w:r>
        <w:r w:rsidR="00001CDF">
          <w:rPr>
            <w:noProof/>
            <w:webHidden/>
          </w:rPr>
          <w:tab/>
        </w:r>
        <w:r w:rsidR="00001CDF">
          <w:rPr>
            <w:noProof/>
            <w:webHidden/>
          </w:rPr>
          <w:fldChar w:fldCharType="begin"/>
        </w:r>
        <w:r w:rsidR="00001CDF">
          <w:rPr>
            <w:noProof/>
            <w:webHidden/>
          </w:rPr>
          <w:instrText xml:space="preserve"> PAGEREF _Toc369507327 \h </w:instrText>
        </w:r>
        <w:r w:rsidR="00001CDF">
          <w:rPr>
            <w:noProof/>
            <w:webHidden/>
          </w:rPr>
        </w:r>
        <w:r w:rsidR="00001CDF">
          <w:rPr>
            <w:noProof/>
            <w:webHidden/>
          </w:rPr>
          <w:fldChar w:fldCharType="separate"/>
        </w:r>
        <w:r w:rsidR="001E7425">
          <w:rPr>
            <w:noProof/>
            <w:webHidden/>
          </w:rPr>
          <w:t>32</w:t>
        </w:r>
        <w:r w:rsidR="00001CDF">
          <w:rPr>
            <w:noProof/>
            <w:webHidden/>
          </w:rPr>
          <w:fldChar w:fldCharType="end"/>
        </w:r>
      </w:hyperlink>
    </w:p>
    <w:p w:rsidR="00001CDF" w:rsidRPr="00001CDF" w:rsidRDefault="00BE6DF7" w:rsidP="00001CDF">
      <w:pPr>
        <w:pStyle w:val="TOC1"/>
        <w:tabs>
          <w:tab w:val="left" w:pos="540"/>
          <w:tab w:val="right" w:leader="dot" w:pos="9350"/>
        </w:tabs>
        <w:ind w:left="540" w:hanging="540"/>
        <w:rPr>
          <w:rStyle w:val="Hyperlink"/>
          <w:noProof/>
        </w:rPr>
      </w:pPr>
      <w:hyperlink w:anchor="_Toc369507328" w:history="1">
        <w:r w:rsidR="00001CDF" w:rsidRPr="0067272C">
          <w:rPr>
            <w:rStyle w:val="Hyperlink"/>
            <w:noProof/>
          </w:rPr>
          <w:t>10.</w:t>
        </w:r>
        <w:r w:rsidR="00001CDF" w:rsidRPr="00001CDF">
          <w:rPr>
            <w:rStyle w:val="Hyperlink"/>
            <w:noProof/>
          </w:rPr>
          <w:tab/>
        </w:r>
        <w:r w:rsidR="00001CDF" w:rsidRPr="0067272C">
          <w:rPr>
            <w:rStyle w:val="Hyperlink"/>
            <w:noProof/>
          </w:rPr>
          <w:t>Maximum Reasonable Costs</w:t>
        </w:r>
        <w:r w:rsidR="00001CDF" w:rsidRPr="00001CDF">
          <w:rPr>
            <w:rStyle w:val="Hyperlink"/>
            <w:noProof/>
            <w:webHidden/>
          </w:rPr>
          <w:tab/>
        </w:r>
        <w:r w:rsidR="00001CDF" w:rsidRPr="00001CDF">
          <w:rPr>
            <w:rStyle w:val="Hyperlink"/>
            <w:noProof/>
            <w:webHidden/>
          </w:rPr>
          <w:fldChar w:fldCharType="begin"/>
        </w:r>
        <w:r w:rsidR="00001CDF" w:rsidRPr="00001CDF">
          <w:rPr>
            <w:rStyle w:val="Hyperlink"/>
            <w:noProof/>
            <w:webHidden/>
          </w:rPr>
          <w:instrText xml:space="preserve"> PAGEREF _Toc369507328 \h </w:instrText>
        </w:r>
        <w:r w:rsidR="00001CDF" w:rsidRPr="00001CDF">
          <w:rPr>
            <w:rStyle w:val="Hyperlink"/>
            <w:noProof/>
            <w:webHidden/>
          </w:rPr>
        </w:r>
        <w:r w:rsidR="00001CDF" w:rsidRPr="00001CDF">
          <w:rPr>
            <w:rStyle w:val="Hyperlink"/>
            <w:noProof/>
            <w:webHidden/>
          </w:rPr>
          <w:fldChar w:fldCharType="separate"/>
        </w:r>
        <w:r w:rsidR="001E7425">
          <w:rPr>
            <w:rStyle w:val="Hyperlink"/>
            <w:noProof/>
            <w:webHidden/>
          </w:rPr>
          <w:t>32</w:t>
        </w:r>
        <w:r w:rsidR="00001CDF" w:rsidRPr="00001CDF">
          <w:rPr>
            <w:rStyle w:val="Hyperlink"/>
            <w:noProof/>
            <w:webHidden/>
          </w:rPr>
          <w:fldChar w:fldCharType="end"/>
        </w:r>
      </w:hyperlink>
    </w:p>
    <w:p w:rsidR="00001CDF" w:rsidRPr="00001CDF" w:rsidRDefault="00BE6DF7" w:rsidP="00001CDF">
      <w:pPr>
        <w:pStyle w:val="TOC1"/>
        <w:tabs>
          <w:tab w:val="left" w:pos="540"/>
          <w:tab w:val="right" w:leader="dot" w:pos="9350"/>
        </w:tabs>
        <w:ind w:left="540" w:hanging="540"/>
        <w:rPr>
          <w:rStyle w:val="Hyperlink"/>
          <w:noProof/>
        </w:rPr>
      </w:pPr>
      <w:hyperlink w:anchor="_Toc369507329" w:history="1">
        <w:r w:rsidR="00001CDF" w:rsidRPr="0067272C">
          <w:rPr>
            <w:rStyle w:val="Hyperlink"/>
            <w:noProof/>
          </w:rPr>
          <w:t>11.</w:t>
        </w:r>
        <w:r w:rsidR="00001CDF" w:rsidRPr="00001CDF">
          <w:rPr>
            <w:rStyle w:val="Hyperlink"/>
            <w:noProof/>
          </w:rPr>
          <w:tab/>
        </w:r>
        <w:r w:rsidR="00001CDF" w:rsidRPr="0067272C">
          <w:rPr>
            <w:rStyle w:val="Hyperlink"/>
            <w:noProof/>
          </w:rPr>
          <w:t>The Porter Ranch Settlement Agreement</w:t>
        </w:r>
        <w:r w:rsidR="00001CDF" w:rsidRPr="00001CDF">
          <w:rPr>
            <w:rStyle w:val="Hyperlink"/>
            <w:noProof/>
            <w:webHidden/>
          </w:rPr>
          <w:tab/>
        </w:r>
        <w:r w:rsidR="00001CDF" w:rsidRPr="00001CDF">
          <w:rPr>
            <w:rStyle w:val="Hyperlink"/>
            <w:noProof/>
            <w:webHidden/>
          </w:rPr>
          <w:fldChar w:fldCharType="begin"/>
        </w:r>
        <w:r w:rsidR="00001CDF" w:rsidRPr="00001CDF">
          <w:rPr>
            <w:rStyle w:val="Hyperlink"/>
            <w:noProof/>
            <w:webHidden/>
          </w:rPr>
          <w:instrText xml:space="preserve"> PAGEREF _Toc369507329 \h </w:instrText>
        </w:r>
        <w:r w:rsidR="00001CDF" w:rsidRPr="00001CDF">
          <w:rPr>
            <w:rStyle w:val="Hyperlink"/>
            <w:noProof/>
            <w:webHidden/>
          </w:rPr>
        </w:r>
        <w:r w:rsidR="00001CDF" w:rsidRPr="00001CDF">
          <w:rPr>
            <w:rStyle w:val="Hyperlink"/>
            <w:noProof/>
            <w:webHidden/>
          </w:rPr>
          <w:fldChar w:fldCharType="separate"/>
        </w:r>
        <w:r w:rsidR="001E7425">
          <w:rPr>
            <w:rStyle w:val="Hyperlink"/>
            <w:noProof/>
            <w:webHidden/>
          </w:rPr>
          <w:t>33</w:t>
        </w:r>
        <w:r w:rsidR="00001CDF" w:rsidRPr="00001CDF">
          <w:rPr>
            <w:rStyle w:val="Hyperlink"/>
            <w:noProof/>
            <w:webHidden/>
          </w:rPr>
          <w:fldChar w:fldCharType="end"/>
        </w:r>
      </w:hyperlink>
    </w:p>
    <w:p w:rsidR="00001CDF" w:rsidRDefault="00BE6DF7" w:rsidP="00001CDF">
      <w:pPr>
        <w:pStyle w:val="TOC1"/>
        <w:tabs>
          <w:tab w:val="right" w:leader="dot" w:pos="9350"/>
        </w:tabs>
        <w:ind w:left="1350" w:hanging="810"/>
        <w:rPr>
          <w:rFonts w:asciiTheme="minorHAnsi" w:eastAsiaTheme="minorEastAsia" w:hAnsiTheme="minorHAnsi" w:cstheme="minorBidi"/>
          <w:noProof/>
          <w:sz w:val="22"/>
          <w:szCs w:val="22"/>
        </w:rPr>
      </w:pPr>
      <w:hyperlink w:anchor="_Toc369507330" w:history="1">
        <w:r w:rsidR="00001CDF" w:rsidRPr="0067272C">
          <w:rPr>
            <w:rStyle w:val="Hyperlink"/>
            <w:noProof/>
          </w:rPr>
          <w:t>11.1.</w:t>
        </w:r>
        <w:r w:rsidR="00001CDF">
          <w:rPr>
            <w:rFonts w:asciiTheme="minorHAnsi" w:eastAsiaTheme="minorEastAsia" w:hAnsiTheme="minorHAnsi" w:cstheme="minorBidi"/>
            <w:noProof/>
            <w:sz w:val="22"/>
            <w:szCs w:val="22"/>
          </w:rPr>
          <w:tab/>
        </w:r>
        <w:r w:rsidR="00001CDF" w:rsidRPr="0067272C">
          <w:rPr>
            <w:rStyle w:val="Hyperlink"/>
            <w:noProof/>
          </w:rPr>
          <w:t>Community Involvement</w:t>
        </w:r>
        <w:r w:rsidR="00001CDF">
          <w:rPr>
            <w:noProof/>
            <w:webHidden/>
          </w:rPr>
          <w:tab/>
        </w:r>
        <w:r w:rsidR="00001CDF">
          <w:rPr>
            <w:noProof/>
            <w:webHidden/>
          </w:rPr>
          <w:fldChar w:fldCharType="begin"/>
        </w:r>
        <w:r w:rsidR="00001CDF">
          <w:rPr>
            <w:noProof/>
            <w:webHidden/>
          </w:rPr>
          <w:instrText xml:space="preserve"> PAGEREF _Toc369507330 \h </w:instrText>
        </w:r>
        <w:r w:rsidR="00001CDF">
          <w:rPr>
            <w:noProof/>
            <w:webHidden/>
          </w:rPr>
        </w:r>
        <w:r w:rsidR="00001CDF">
          <w:rPr>
            <w:noProof/>
            <w:webHidden/>
          </w:rPr>
          <w:fldChar w:fldCharType="separate"/>
        </w:r>
        <w:r w:rsidR="001E7425">
          <w:rPr>
            <w:noProof/>
            <w:webHidden/>
          </w:rPr>
          <w:t>34</w:t>
        </w:r>
        <w:r w:rsidR="00001CDF">
          <w:rPr>
            <w:noProof/>
            <w:webHidden/>
          </w:rPr>
          <w:fldChar w:fldCharType="end"/>
        </w:r>
      </w:hyperlink>
    </w:p>
    <w:p w:rsidR="00001CDF" w:rsidRDefault="00BE6DF7" w:rsidP="00001CDF">
      <w:pPr>
        <w:pStyle w:val="TOC1"/>
        <w:tabs>
          <w:tab w:val="right" w:leader="dot" w:pos="9350"/>
        </w:tabs>
        <w:ind w:left="1350" w:hanging="810"/>
        <w:rPr>
          <w:rFonts w:asciiTheme="minorHAnsi" w:eastAsiaTheme="minorEastAsia" w:hAnsiTheme="minorHAnsi" w:cstheme="minorBidi"/>
          <w:noProof/>
          <w:sz w:val="22"/>
          <w:szCs w:val="22"/>
        </w:rPr>
      </w:pPr>
      <w:hyperlink w:anchor="_Toc369507331" w:history="1">
        <w:r w:rsidR="00001CDF" w:rsidRPr="0067272C">
          <w:rPr>
            <w:rStyle w:val="Hyperlink"/>
            <w:noProof/>
          </w:rPr>
          <w:t>11.2.</w:t>
        </w:r>
        <w:r w:rsidR="00001CDF">
          <w:rPr>
            <w:rFonts w:asciiTheme="minorHAnsi" w:eastAsiaTheme="minorEastAsia" w:hAnsiTheme="minorHAnsi" w:cstheme="minorBidi"/>
            <w:noProof/>
            <w:sz w:val="22"/>
            <w:szCs w:val="22"/>
          </w:rPr>
          <w:tab/>
        </w:r>
        <w:r w:rsidR="00001CDF" w:rsidRPr="0067272C">
          <w:rPr>
            <w:rStyle w:val="Hyperlink"/>
            <w:noProof/>
          </w:rPr>
          <w:t>Aliso Canyon Safety Plan</w:t>
        </w:r>
        <w:r w:rsidR="00001CDF">
          <w:rPr>
            <w:noProof/>
            <w:webHidden/>
          </w:rPr>
          <w:tab/>
        </w:r>
        <w:r w:rsidR="00001CDF">
          <w:rPr>
            <w:noProof/>
            <w:webHidden/>
          </w:rPr>
          <w:fldChar w:fldCharType="begin"/>
        </w:r>
        <w:r w:rsidR="00001CDF">
          <w:rPr>
            <w:noProof/>
            <w:webHidden/>
          </w:rPr>
          <w:instrText xml:space="preserve"> PAGEREF _Toc369507331 \h </w:instrText>
        </w:r>
        <w:r w:rsidR="00001CDF">
          <w:rPr>
            <w:noProof/>
            <w:webHidden/>
          </w:rPr>
        </w:r>
        <w:r w:rsidR="00001CDF">
          <w:rPr>
            <w:noProof/>
            <w:webHidden/>
          </w:rPr>
          <w:fldChar w:fldCharType="separate"/>
        </w:r>
        <w:r w:rsidR="001E7425">
          <w:rPr>
            <w:noProof/>
            <w:webHidden/>
          </w:rPr>
          <w:t>34</w:t>
        </w:r>
        <w:r w:rsidR="00001CDF">
          <w:rPr>
            <w:noProof/>
            <w:webHidden/>
          </w:rPr>
          <w:fldChar w:fldCharType="end"/>
        </w:r>
      </w:hyperlink>
    </w:p>
    <w:p w:rsidR="00001CDF" w:rsidRDefault="00BE6DF7" w:rsidP="00001CDF">
      <w:pPr>
        <w:pStyle w:val="TOC1"/>
        <w:tabs>
          <w:tab w:val="right" w:leader="dot" w:pos="9350"/>
        </w:tabs>
        <w:ind w:left="1350" w:hanging="810"/>
        <w:rPr>
          <w:rFonts w:asciiTheme="minorHAnsi" w:eastAsiaTheme="minorEastAsia" w:hAnsiTheme="minorHAnsi" w:cstheme="minorBidi"/>
          <w:noProof/>
          <w:sz w:val="22"/>
          <w:szCs w:val="22"/>
        </w:rPr>
      </w:pPr>
      <w:hyperlink w:anchor="_Toc369507332" w:history="1">
        <w:r w:rsidR="00001CDF" w:rsidRPr="0067272C">
          <w:rPr>
            <w:rStyle w:val="Hyperlink"/>
            <w:noProof/>
          </w:rPr>
          <w:t>11.3.</w:t>
        </w:r>
        <w:r w:rsidR="00001CDF">
          <w:rPr>
            <w:rFonts w:asciiTheme="minorHAnsi" w:eastAsiaTheme="minorEastAsia" w:hAnsiTheme="minorHAnsi" w:cstheme="minorBidi"/>
            <w:noProof/>
            <w:sz w:val="22"/>
            <w:szCs w:val="22"/>
          </w:rPr>
          <w:tab/>
        </w:r>
        <w:r w:rsidR="00001CDF" w:rsidRPr="0067272C">
          <w:rPr>
            <w:rStyle w:val="Hyperlink"/>
            <w:noProof/>
          </w:rPr>
          <w:t>Facility Electrical Professional</w:t>
        </w:r>
        <w:r w:rsidR="00001CDF">
          <w:rPr>
            <w:noProof/>
            <w:webHidden/>
          </w:rPr>
          <w:tab/>
        </w:r>
        <w:r w:rsidR="00001CDF">
          <w:rPr>
            <w:noProof/>
            <w:webHidden/>
          </w:rPr>
          <w:fldChar w:fldCharType="begin"/>
        </w:r>
        <w:r w:rsidR="00001CDF">
          <w:rPr>
            <w:noProof/>
            <w:webHidden/>
          </w:rPr>
          <w:instrText xml:space="preserve"> PAGEREF _Toc369507332 \h </w:instrText>
        </w:r>
        <w:r w:rsidR="00001CDF">
          <w:rPr>
            <w:noProof/>
            <w:webHidden/>
          </w:rPr>
        </w:r>
        <w:r w:rsidR="00001CDF">
          <w:rPr>
            <w:noProof/>
            <w:webHidden/>
          </w:rPr>
          <w:fldChar w:fldCharType="separate"/>
        </w:r>
        <w:r w:rsidR="001E7425">
          <w:rPr>
            <w:noProof/>
            <w:webHidden/>
          </w:rPr>
          <w:t>35</w:t>
        </w:r>
        <w:r w:rsidR="00001CDF">
          <w:rPr>
            <w:noProof/>
            <w:webHidden/>
          </w:rPr>
          <w:fldChar w:fldCharType="end"/>
        </w:r>
      </w:hyperlink>
    </w:p>
    <w:p w:rsidR="00001CDF" w:rsidRDefault="00BE6DF7" w:rsidP="00001CDF">
      <w:pPr>
        <w:pStyle w:val="TOC1"/>
        <w:tabs>
          <w:tab w:val="right" w:leader="dot" w:pos="9350"/>
        </w:tabs>
        <w:ind w:left="1350" w:hanging="810"/>
        <w:rPr>
          <w:rFonts w:asciiTheme="minorHAnsi" w:eastAsiaTheme="minorEastAsia" w:hAnsiTheme="minorHAnsi" w:cstheme="minorBidi"/>
          <w:noProof/>
          <w:sz w:val="22"/>
          <w:szCs w:val="22"/>
        </w:rPr>
      </w:pPr>
      <w:hyperlink w:anchor="_Toc369507333" w:history="1">
        <w:r w:rsidR="00001CDF" w:rsidRPr="0067272C">
          <w:rPr>
            <w:rStyle w:val="Hyperlink"/>
            <w:noProof/>
          </w:rPr>
          <w:t>11.4.</w:t>
        </w:r>
        <w:r w:rsidR="00001CDF">
          <w:rPr>
            <w:rFonts w:asciiTheme="minorHAnsi" w:eastAsiaTheme="minorEastAsia" w:hAnsiTheme="minorHAnsi" w:cstheme="minorBidi"/>
            <w:noProof/>
            <w:sz w:val="22"/>
            <w:szCs w:val="22"/>
          </w:rPr>
          <w:tab/>
        </w:r>
        <w:r w:rsidR="00001CDF" w:rsidRPr="0067272C">
          <w:rPr>
            <w:rStyle w:val="Hyperlink"/>
            <w:noProof/>
          </w:rPr>
          <w:t>Employee Safety Committee</w:t>
        </w:r>
        <w:r w:rsidR="00001CDF">
          <w:rPr>
            <w:noProof/>
            <w:webHidden/>
          </w:rPr>
          <w:tab/>
        </w:r>
        <w:r w:rsidR="00001CDF">
          <w:rPr>
            <w:noProof/>
            <w:webHidden/>
          </w:rPr>
          <w:fldChar w:fldCharType="begin"/>
        </w:r>
        <w:r w:rsidR="00001CDF">
          <w:rPr>
            <w:noProof/>
            <w:webHidden/>
          </w:rPr>
          <w:instrText xml:space="preserve"> PAGEREF _Toc369507333 \h </w:instrText>
        </w:r>
        <w:r w:rsidR="00001CDF">
          <w:rPr>
            <w:noProof/>
            <w:webHidden/>
          </w:rPr>
        </w:r>
        <w:r w:rsidR="00001CDF">
          <w:rPr>
            <w:noProof/>
            <w:webHidden/>
          </w:rPr>
          <w:fldChar w:fldCharType="separate"/>
        </w:r>
        <w:r w:rsidR="001E7425">
          <w:rPr>
            <w:noProof/>
            <w:webHidden/>
          </w:rPr>
          <w:t>36</w:t>
        </w:r>
        <w:r w:rsidR="00001CDF">
          <w:rPr>
            <w:noProof/>
            <w:webHidden/>
          </w:rPr>
          <w:fldChar w:fldCharType="end"/>
        </w:r>
      </w:hyperlink>
    </w:p>
    <w:p w:rsidR="00001CDF" w:rsidRDefault="00BE6DF7" w:rsidP="00001CDF">
      <w:pPr>
        <w:pStyle w:val="TOC1"/>
        <w:tabs>
          <w:tab w:val="right" w:leader="dot" w:pos="9350"/>
        </w:tabs>
        <w:ind w:left="1350" w:hanging="810"/>
        <w:rPr>
          <w:rFonts w:asciiTheme="minorHAnsi" w:eastAsiaTheme="minorEastAsia" w:hAnsiTheme="minorHAnsi" w:cstheme="minorBidi"/>
          <w:noProof/>
          <w:sz w:val="22"/>
          <w:szCs w:val="22"/>
        </w:rPr>
      </w:pPr>
      <w:hyperlink w:anchor="_Toc369507334" w:history="1">
        <w:r w:rsidR="00001CDF" w:rsidRPr="0067272C">
          <w:rPr>
            <w:rStyle w:val="Hyperlink"/>
            <w:noProof/>
          </w:rPr>
          <w:t>11.5.</w:t>
        </w:r>
        <w:r w:rsidR="00001CDF">
          <w:rPr>
            <w:rFonts w:asciiTheme="minorHAnsi" w:eastAsiaTheme="minorEastAsia" w:hAnsiTheme="minorHAnsi" w:cstheme="minorBidi"/>
            <w:noProof/>
            <w:sz w:val="22"/>
            <w:szCs w:val="22"/>
          </w:rPr>
          <w:tab/>
        </w:r>
        <w:r w:rsidR="00001CDF" w:rsidRPr="0067272C">
          <w:rPr>
            <w:rStyle w:val="Hyperlink"/>
            <w:noProof/>
          </w:rPr>
          <w:t>Facility Information Website</w:t>
        </w:r>
        <w:r w:rsidR="00001CDF">
          <w:rPr>
            <w:noProof/>
            <w:webHidden/>
          </w:rPr>
          <w:tab/>
        </w:r>
        <w:r w:rsidR="00001CDF">
          <w:rPr>
            <w:noProof/>
            <w:webHidden/>
          </w:rPr>
          <w:fldChar w:fldCharType="begin"/>
        </w:r>
        <w:r w:rsidR="00001CDF">
          <w:rPr>
            <w:noProof/>
            <w:webHidden/>
          </w:rPr>
          <w:instrText xml:space="preserve"> PAGEREF _Toc369507334 \h </w:instrText>
        </w:r>
        <w:r w:rsidR="00001CDF">
          <w:rPr>
            <w:noProof/>
            <w:webHidden/>
          </w:rPr>
        </w:r>
        <w:r w:rsidR="00001CDF">
          <w:rPr>
            <w:noProof/>
            <w:webHidden/>
          </w:rPr>
          <w:fldChar w:fldCharType="separate"/>
        </w:r>
        <w:r w:rsidR="001E7425">
          <w:rPr>
            <w:noProof/>
            <w:webHidden/>
          </w:rPr>
          <w:t>36</w:t>
        </w:r>
        <w:r w:rsidR="00001CDF">
          <w:rPr>
            <w:noProof/>
            <w:webHidden/>
          </w:rPr>
          <w:fldChar w:fldCharType="end"/>
        </w:r>
      </w:hyperlink>
    </w:p>
    <w:p w:rsidR="00001CDF" w:rsidRPr="00001CDF" w:rsidRDefault="00BE6DF7" w:rsidP="00001CDF">
      <w:pPr>
        <w:pStyle w:val="TOC1"/>
        <w:tabs>
          <w:tab w:val="left" w:pos="540"/>
          <w:tab w:val="right" w:leader="dot" w:pos="9350"/>
        </w:tabs>
        <w:ind w:left="540" w:hanging="540"/>
        <w:rPr>
          <w:rStyle w:val="Hyperlink"/>
          <w:noProof/>
        </w:rPr>
      </w:pPr>
      <w:hyperlink w:anchor="_Toc369507335" w:history="1">
        <w:r w:rsidR="00001CDF" w:rsidRPr="0067272C">
          <w:rPr>
            <w:rStyle w:val="Hyperlink"/>
            <w:noProof/>
          </w:rPr>
          <w:t>12.</w:t>
        </w:r>
        <w:r w:rsidR="00001CDF" w:rsidRPr="00001CDF">
          <w:rPr>
            <w:rStyle w:val="Hyperlink"/>
            <w:noProof/>
          </w:rPr>
          <w:tab/>
        </w:r>
        <w:r w:rsidR="00001CDF" w:rsidRPr="0067272C">
          <w:rPr>
            <w:rStyle w:val="Hyperlink"/>
            <w:noProof/>
          </w:rPr>
          <w:t>Adoption of the Porter Ranch Settlement Agreement</w:t>
        </w:r>
        <w:r w:rsidR="00001CDF" w:rsidRPr="00001CDF">
          <w:rPr>
            <w:rStyle w:val="Hyperlink"/>
            <w:noProof/>
            <w:webHidden/>
          </w:rPr>
          <w:tab/>
        </w:r>
        <w:r w:rsidR="00001CDF" w:rsidRPr="00001CDF">
          <w:rPr>
            <w:rStyle w:val="Hyperlink"/>
            <w:noProof/>
            <w:webHidden/>
          </w:rPr>
          <w:fldChar w:fldCharType="begin"/>
        </w:r>
        <w:r w:rsidR="00001CDF" w:rsidRPr="00001CDF">
          <w:rPr>
            <w:rStyle w:val="Hyperlink"/>
            <w:noProof/>
            <w:webHidden/>
          </w:rPr>
          <w:instrText xml:space="preserve"> PAGEREF _Toc369507335 \h </w:instrText>
        </w:r>
        <w:r w:rsidR="00001CDF" w:rsidRPr="00001CDF">
          <w:rPr>
            <w:rStyle w:val="Hyperlink"/>
            <w:noProof/>
            <w:webHidden/>
          </w:rPr>
        </w:r>
        <w:r w:rsidR="00001CDF" w:rsidRPr="00001CDF">
          <w:rPr>
            <w:rStyle w:val="Hyperlink"/>
            <w:noProof/>
            <w:webHidden/>
          </w:rPr>
          <w:fldChar w:fldCharType="separate"/>
        </w:r>
        <w:r w:rsidR="001E7425">
          <w:rPr>
            <w:rStyle w:val="Hyperlink"/>
            <w:noProof/>
            <w:webHidden/>
          </w:rPr>
          <w:t>36</w:t>
        </w:r>
        <w:r w:rsidR="00001CDF" w:rsidRPr="00001CDF">
          <w:rPr>
            <w:rStyle w:val="Hyperlink"/>
            <w:noProof/>
            <w:webHidden/>
          </w:rPr>
          <w:fldChar w:fldCharType="end"/>
        </w:r>
      </w:hyperlink>
    </w:p>
    <w:p w:rsidR="00001CDF" w:rsidRPr="00001CDF" w:rsidRDefault="00BE6DF7" w:rsidP="00001CDF">
      <w:pPr>
        <w:pStyle w:val="TOC1"/>
        <w:tabs>
          <w:tab w:val="left" w:pos="540"/>
          <w:tab w:val="right" w:leader="dot" w:pos="9350"/>
        </w:tabs>
        <w:ind w:left="540" w:hanging="540"/>
        <w:rPr>
          <w:rStyle w:val="Hyperlink"/>
          <w:noProof/>
        </w:rPr>
      </w:pPr>
      <w:hyperlink w:anchor="_Toc369507336" w:history="1">
        <w:r w:rsidR="00001CDF" w:rsidRPr="0067272C">
          <w:rPr>
            <w:rStyle w:val="Hyperlink"/>
            <w:noProof/>
          </w:rPr>
          <w:t>13.</w:t>
        </w:r>
        <w:r w:rsidR="00001CDF" w:rsidRPr="00001CDF">
          <w:rPr>
            <w:rStyle w:val="Hyperlink"/>
            <w:noProof/>
          </w:rPr>
          <w:tab/>
        </w:r>
        <w:r w:rsidR="00001CDF" w:rsidRPr="0067272C">
          <w:rPr>
            <w:rStyle w:val="Hyperlink"/>
            <w:noProof/>
          </w:rPr>
          <w:t>The Rules Adopted in R.08</w:t>
        </w:r>
        <w:r w:rsidR="00001CDF" w:rsidRPr="0067272C">
          <w:rPr>
            <w:rStyle w:val="Hyperlink"/>
            <w:noProof/>
          </w:rPr>
          <w:noBreakHyphen/>
          <w:t>11</w:t>
        </w:r>
        <w:r w:rsidR="00001CDF" w:rsidRPr="0067272C">
          <w:rPr>
            <w:rStyle w:val="Hyperlink"/>
            <w:noProof/>
          </w:rPr>
          <w:noBreakHyphen/>
          <w:t>005 Will Reduce the Risk of Fire Hazards</w:t>
        </w:r>
        <w:r w:rsidR="00001CDF" w:rsidRPr="00001CDF">
          <w:rPr>
            <w:rStyle w:val="Hyperlink"/>
            <w:noProof/>
            <w:webHidden/>
          </w:rPr>
          <w:tab/>
        </w:r>
        <w:r w:rsidR="00001CDF" w:rsidRPr="00001CDF">
          <w:rPr>
            <w:rStyle w:val="Hyperlink"/>
            <w:noProof/>
            <w:webHidden/>
          </w:rPr>
          <w:fldChar w:fldCharType="begin"/>
        </w:r>
        <w:r w:rsidR="00001CDF" w:rsidRPr="00001CDF">
          <w:rPr>
            <w:rStyle w:val="Hyperlink"/>
            <w:noProof/>
            <w:webHidden/>
          </w:rPr>
          <w:instrText xml:space="preserve"> PAGEREF _Toc369507336 \h </w:instrText>
        </w:r>
        <w:r w:rsidR="00001CDF" w:rsidRPr="00001CDF">
          <w:rPr>
            <w:rStyle w:val="Hyperlink"/>
            <w:noProof/>
            <w:webHidden/>
          </w:rPr>
        </w:r>
        <w:r w:rsidR="00001CDF" w:rsidRPr="00001CDF">
          <w:rPr>
            <w:rStyle w:val="Hyperlink"/>
            <w:noProof/>
            <w:webHidden/>
          </w:rPr>
          <w:fldChar w:fldCharType="separate"/>
        </w:r>
        <w:r w:rsidR="001E7425">
          <w:rPr>
            <w:rStyle w:val="Hyperlink"/>
            <w:noProof/>
            <w:webHidden/>
          </w:rPr>
          <w:t>40</w:t>
        </w:r>
        <w:r w:rsidR="00001CDF" w:rsidRPr="00001CDF">
          <w:rPr>
            <w:rStyle w:val="Hyperlink"/>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37" w:history="1">
        <w:r w:rsidR="00001CDF" w:rsidRPr="0067272C">
          <w:rPr>
            <w:rStyle w:val="Hyperlink"/>
            <w:noProof/>
          </w:rPr>
          <w:t>14.</w:t>
        </w:r>
        <w:r w:rsidR="00001CDF">
          <w:rPr>
            <w:rFonts w:asciiTheme="minorHAnsi" w:eastAsiaTheme="minorEastAsia" w:hAnsiTheme="minorHAnsi" w:cstheme="minorBidi"/>
            <w:noProof/>
            <w:sz w:val="22"/>
            <w:szCs w:val="22"/>
          </w:rPr>
          <w:tab/>
        </w:r>
        <w:r w:rsidR="00001CDF" w:rsidRPr="0067272C">
          <w:rPr>
            <w:rStyle w:val="Hyperlink"/>
            <w:noProof/>
          </w:rPr>
          <w:t>Revenue Requirement, Rate Treatment, an</w:t>
        </w:r>
        <w:r w:rsidR="0056464A">
          <w:rPr>
            <w:rStyle w:val="Hyperlink"/>
            <w:noProof/>
          </w:rPr>
          <w:t>d Regulatory Accounting for the </w:t>
        </w:r>
        <w:r w:rsidR="00001CDF" w:rsidRPr="0067272C">
          <w:rPr>
            <w:rStyle w:val="Hyperlink"/>
            <w:noProof/>
          </w:rPr>
          <w:t>Project</w:t>
        </w:r>
        <w:r w:rsidR="00001CDF">
          <w:rPr>
            <w:noProof/>
            <w:webHidden/>
          </w:rPr>
          <w:tab/>
        </w:r>
        <w:r w:rsidR="00001CDF">
          <w:rPr>
            <w:noProof/>
            <w:webHidden/>
          </w:rPr>
          <w:fldChar w:fldCharType="begin"/>
        </w:r>
        <w:r w:rsidR="00001CDF">
          <w:rPr>
            <w:noProof/>
            <w:webHidden/>
          </w:rPr>
          <w:instrText xml:space="preserve"> PAGEREF _Toc369507337 \h </w:instrText>
        </w:r>
        <w:r w:rsidR="00001CDF">
          <w:rPr>
            <w:noProof/>
            <w:webHidden/>
          </w:rPr>
        </w:r>
        <w:r w:rsidR="00001CDF">
          <w:rPr>
            <w:noProof/>
            <w:webHidden/>
          </w:rPr>
          <w:fldChar w:fldCharType="separate"/>
        </w:r>
        <w:r w:rsidR="001E7425">
          <w:rPr>
            <w:noProof/>
            <w:webHidden/>
          </w:rPr>
          <w:t>43</w:t>
        </w:r>
        <w:r w:rsidR="00001CDF">
          <w:rPr>
            <w:noProof/>
            <w:webHidden/>
          </w:rPr>
          <w:fldChar w:fldCharType="end"/>
        </w:r>
      </w:hyperlink>
    </w:p>
    <w:p w:rsidR="00001CDF" w:rsidRDefault="00BE6DF7" w:rsidP="00001CDF">
      <w:pPr>
        <w:pStyle w:val="TOC1"/>
        <w:tabs>
          <w:tab w:val="right" w:leader="dot" w:pos="9350"/>
        </w:tabs>
        <w:ind w:left="1350" w:hanging="810"/>
        <w:rPr>
          <w:rFonts w:asciiTheme="minorHAnsi" w:eastAsiaTheme="minorEastAsia" w:hAnsiTheme="minorHAnsi" w:cstheme="minorBidi"/>
          <w:noProof/>
          <w:sz w:val="22"/>
          <w:szCs w:val="22"/>
        </w:rPr>
      </w:pPr>
      <w:hyperlink w:anchor="_Toc369507338" w:history="1">
        <w:r w:rsidR="00001CDF" w:rsidRPr="0067272C">
          <w:rPr>
            <w:rStyle w:val="Hyperlink"/>
            <w:noProof/>
          </w:rPr>
          <w:t>14.1.</w:t>
        </w:r>
        <w:r w:rsidR="00001CDF">
          <w:rPr>
            <w:rFonts w:asciiTheme="minorHAnsi" w:eastAsiaTheme="minorEastAsia" w:hAnsiTheme="minorHAnsi" w:cstheme="minorBidi"/>
            <w:noProof/>
            <w:sz w:val="22"/>
            <w:szCs w:val="22"/>
          </w:rPr>
          <w:tab/>
        </w:r>
        <w:r w:rsidR="00001CDF" w:rsidRPr="0067272C">
          <w:rPr>
            <w:rStyle w:val="Hyperlink"/>
            <w:noProof/>
          </w:rPr>
          <w:t>Revenue Requirement, Memora</w:t>
        </w:r>
        <w:r w:rsidR="0056464A">
          <w:rPr>
            <w:rStyle w:val="Hyperlink"/>
            <w:noProof/>
          </w:rPr>
          <w:t>ndum Account</w:t>
        </w:r>
        <w:r w:rsidR="00536D30">
          <w:rPr>
            <w:rStyle w:val="Hyperlink"/>
            <w:noProof/>
          </w:rPr>
          <w:t>,</w:t>
        </w:r>
        <w:r w:rsidR="0056464A">
          <w:rPr>
            <w:rStyle w:val="Hyperlink"/>
            <w:noProof/>
          </w:rPr>
          <w:t xml:space="preserve"> and Reasonableness </w:t>
        </w:r>
        <w:r w:rsidR="00001CDF" w:rsidRPr="0067272C">
          <w:rPr>
            <w:rStyle w:val="Hyperlink"/>
            <w:noProof/>
          </w:rPr>
          <w:t>Review</w:t>
        </w:r>
        <w:r w:rsidR="00001CDF">
          <w:rPr>
            <w:noProof/>
            <w:webHidden/>
          </w:rPr>
          <w:tab/>
        </w:r>
        <w:r w:rsidR="00001CDF">
          <w:rPr>
            <w:noProof/>
            <w:webHidden/>
          </w:rPr>
          <w:fldChar w:fldCharType="begin"/>
        </w:r>
        <w:r w:rsidR="00001CDF">
          <w:rPr>
            <w:noProof/>
            <w:webHidden/>
          </w:rPr>
          <w:instrText xml:space="preserve"> PAGEREF _Toc369507338 \h </w:instrText>
        </w:r>
        <w:r w:rsidR="00001CDF">
          <w:rPr>
            <w:noProof/>
            <w:webHidden/>
          </w:rPr>
        </w:r>
        <w:r w:rsidR="00001CDF">
          <w:rPr>
            <w:noProof/>
            <w:webHidden/>
          </w:rPr>
          <w:fldChar w:fldCharType="separate"/>
        </w:r>
        <w:r w:rsidR="001E7425">
          <w:rPr>
            <w:noProof/>
            <w:webHidden/>
          </w:rPr>
          <w:t>44</w:t>
        </w:r>
        <w:r w:rsidR="00001CDF">
          <w:rPr>
            <w:noProof/>
            <w:webHidden/>
          </w:rPr>
          <w:fldChar w:fldCharType="end"/>
        </w:r>
      </w:hyperlink>
    </w:p>
    <w:p w:rsidR="00001CDF" w:rsidRDefault="00BE6DF7" w:rsidP="00001CDF">
      <w:pPr>
        <w:pStyle w:val="TOC1"/>
        <w:tabs>
          <w:tab w:val="right" w:leader="dot" w:pos="9350"/>
        </w:tabs>
        <w:ind w:left="1350" w:hanging="810"/>
        <w:rPr>
          <w:rFonts w:asciiTheme="minorHAnsi" w:eastAsiaTheme="minorEastAsia" w:hAnsiTheme="minorHAnsi" w:cstheme="minorBidi"/>
          <w:noProof/>
          <w:sz w:val="22"/>
          <w:szCs w:val="22"/>
        </w:rPr>
      </w:pPr>
      <w:hyperlink w:anchor="_Toc369507339" w:history="1">
        <w:r w:rsidR="00001CDF" w:rsidRPr="0067272C">
          <w:rPr>
            <w:rStyle w:val="Hyperlink"/>
            <w:noProof/>
          </w:rPr>
          <w:t>14.2.</w:t>
        </w:r>
        <w:r w:rsidR="00001CDF">
          <w:rPr>
            <w:rFonts w:asciiTheme="minorHAnsi" w:eastAsiaTheme="minorEastAsia" w:hAnsiTheme="minorHAnsi" w:cstheme="minorBidi"/>
            <w:noProof/>
            <w:sz w:val="22"/>
            <w:szCs w:val="22"/>
          </w:rPr>
          <w:tab/>
        </w:r>
        <w:r w:rsidR="00001CDF" w:rsidRPr="0067272C">
          <w:rPr>
            <w:rStyle w:val="Hyperlink"/>
            <w:noProof/>
          </w:rPr>
          <w:t>Rate Treatment</w:t>
        </w:r>
        <w:r w:rsidR="00001CDF">
          <w:rPr>
            <w:noProof/>
            <w:webHidden/>
          </w:rPr>
          <w:tab/>
        </w:r>
        <w:r w:rsidR="00001CDF">
          <w:rPr>
            <w:noProof/>
            <w:webHidden/>
          </w:rPr>
          <w:fldChar w:fldCharType="begin"/>
        </w:r>
        <w:r w:rsidR="00001CDF">
          <w:rPr>
            <w:noProof/>
            <w:webHidden/>
          </w:rPr>
          <w:instrText xml:space="preserve"> PAGEREF _Toc369507339 \h </w:instrText>
        </w:r>
        <w:r w:rsidR="00001CDF">
          <w:rPr>
            <w:noProof/>
            <w:webHidden/>
          </w:rPr>
        </w:r>
        <w:r w:rsidR="00001CDF">
          <w:rPr>
            <w:noProof/>
            <w:webHidden/>
          </w:rPr>
          <w:fldChar w:fldCharType="separate"/>
        </w:r>
        <w:r w:rsidR="001E7425">
          <w:rPr>
            <w:noProof/>
            <w:webHidden/>
          </w:rPr>
          <w:t>48</w:t>
        </w:r>
        <w:r w:rsidR="00001CDF">
          <w:rPr>
            <w:noProof/>
            <w:webHidden/>
          </w:rPr>
          <w:fldChar w:fldCharType="end"/>
        </w:r>
      </w:hyperlink>
    </w:p>
    <w:p w:rsidR="00001CDF" w:rsidRDefault="00BE6DF7" w:rsidP="00001CDF">
      <w:pPr>
        <w:pStyle w:val="TOC1"/>
        <w:tabs>
          <w:tab w:val="right" w:leader="dot" w:pos="9350"/>
        </w:tabs>
        <w:ind w:left="1350" w:hanging="810"/>
        <w:rPr>
          <w:rFonts w:asciiTheme="minorHAnsi" w:eastAsiaTheme="minorEastAsia" w:hAnsiTheme="minorHAnsi" w:cstheme="minorBidi"/>
          <w:noProof/>
          <w:sz w:val="22"/>
          <w:szCs w:val="22"/>
        </w:rPr>
      </w:pPr>
      <w:hyperlink w:anchor="_Toc369507340" w:history="1">
        <w:r w:rsidR="00001CDF" w:rsidRPr="0067272C">
          <w:rPr>
            <w:rStyle w:val="Hyperlink"/>
            <w:noProof/>
          </w:rPr>
          <w:t>14.3.</w:t>
        </w:r>
        <w:r w:rsidR="00001CDF">
          <w:rPr>
            <w:rFonts w:asciiTheme="minorHAnsi" w:eastAsiaTheme="minorEastAsia" w:hAnsiTheme="minorHAnsi" w:cstheme="minorBidi"/>
            <w:noProof/>
            <w:sz w:val="22"/>
            <w:szCs w:val="22"/>
          </w:rPr>
          <w:tab/>
        </w:r>
        <w:r w:rsidR="00001CDF" w:rsidRPr="0067272C">
          <w:rPr>
            <w:rStyle w:val="Hyperlink"/>
            <w:noProof/>
          </w:rPr>
          <w:t>Regulatory Accounting Treatment – Regional Clean Air Incentives Market (RECLAIM) Trading Credits and O&amp;M/Capital Benefits</w:t>
        </w:r>
        <w:r w:rsidR="00001CDF">
          <w:rPr>
            <w:noProof/>
            <w:webHidden/>
          </w:rPr>
          <w:tab/>
        </w:r>
        <w:r w:rsidR="00001CDF">
          <w:rPr>
            <w:noProof/>
            <w:webHidden/>
          </w:rPr>
          <w:fldChar w:fldCharType="begin"/>
        </w:r>
        <w:r w:rsidR="00001CDF">
          <w:rPr>
            <w:noProof/>
            <w:webHidden/>
          </w:rPr>
          <w:instrText xml:space="preserve"> PAGEREF _Toc369507340 \h </w:instrText>
        </w:r>
        <w:r w:rsidR="00001CDF">
          <w:rPr>
            <w:noProof/>
            <w:webHidden/>
          </w:rPr>
        </w:r>
        <w:r w:rsidR="00001CDF">
          <w:rPr>
            <w:noProof/>
            <w:webHidden/>
          </w:rPr>
          <w:fldChar w:fldCharType="separate"/>
        </w:r>
        <w:r w:rsidR="001E7425">
          <w:rPr>
            <w:noProof/>
            <w:webHidden/>
          </w:rPr>
          <w:t>50</w:t>
        </w:r>
        <w:r w:rsidR="00001CDF">
          <w:rPr>
            <w:noProof/>
            <w:webHidden/>
          </w:rPr>
          <w:fldChar w:fldCharType="end"/>
        </w:r>
      </w:hyperlink>
    </w:p>
    <w:p w:rsidR="00001CDF" w:rsidRDefault="00BE6DF7" w:rsidP="00001CDF">
      <w:pPr>
        <w:pStyle w:val="TOC1"/>
        <w:tabs>
          <w:tab w:val="right" w:leader="dot" w:pos="9350"/>
        </w:tabs>
        <w:ind w:left="1350" w:hanging="810"/>
        <w:rPr>
          <w:rFonts w:asciiTheme="minorHAnsi" w:eastAsiaTheme="minorEastAsia" w:hAnsiTheme="minorHAnsi" w:cstheme="minorBidi"/>
          <w:noProof/>
          <w:sz w:val="22"/>
          <w:szCs w:val="22"/>
        </w:rPr>
      </w:pPr>
      <w:hyperlink w:anchor="_Toc369507341" w:history="1">
        <w:r w:rsidR="00001CDF" w:rsidRPr="0067272C">
          <w:rPr>
            <w:rStyle w:val="Hyperlink"/>
            <w:noProof/>
          </w:rPr>
          <w:t>14.4.</w:t>
        </w:r>
        <w:r w:rsidR="00001CDF">
          <w:rPr>
            <w:rFonts w:asciiTheme="minorHAnsi" w:eastAsiaTheme="minorEastAsia" w:hAnsiTheme="minorHAnsi" w:cstheme="minorBidi"/>
            <w:noProof/>
            <w:sz w:val="22"/>
            <w:szCs w:val="22"/>
          </w:rPr>
          <w:tab/>
        </w:r>
        <w:r w:rsidR="00001CDF" w:rsidRPr="0067272C">
          <w:rPr>
            <w:rStyle w:val="Hyperlink"/>
            <w:noProof/>
          </w:rPr>
          <w:t>Electric Compressor Costs</w:t>
        </w:r>
        <w:r w:rsidR="00001CDF">
          <w:rPr>
            <w:noProof/>
            <w:webHidden/>
          </w:rPr>
          <w:tab/>
        </w:r>
        <w:r w:rsidR="00001CDF">
          <w:rPr>
            <w:noProof/>
            <w:webHidden/>
          </w:rPr>
          <w:fldChar w:fldCharType="begin"/>
        </w:r>
        <w:r w:rsidR="00001CDF">
          <w:rPr>
            <w:noProof/>
            <w:webHidden/>
          </w:rPr>
          <w:instrText xml:space="preserve"> PAGEREF _Toc369507341 \h </w:instrText>
        </w:r>
        <w:r w:rsidR="00001CDF">
          <w:rPr>
            <w:noProof/>
            <w:webHidden/>
          </w:rPr>
        </w:r>
        <w:r w:rsidR="00001CDF">
          <w:rPr>
            <w:noProof/>
            <w:webHidden/>
          </w:rPr>
          <w:fldChar w:fldCharType="separate"/>
        </w:r>
        <w:r w:rsidR="001E7425">
          <w:rPr>
            <w:noProof/>
            <w:webHidden/>
          </w:rPr>
          <w:t>52</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42" w:history="1">
        <w:r w:rsidR="00001CDF" w:rsidRPr="0067272C">
          <w:rPr>
            <w:rStyle w:val="Hyperlink"/>
            <w:noProof/>
          </w:rPr>
          <w:t>15.</w:t>
        </w:r>
        <w:r w:rsidR="00001CDF">
          <w:rPr>
            <w:rFonts w:asciiTheme="minorHAnsi" w:eastAsiaTheme="minorEastAsia" w:hAnsiTheme="minorHAnsi" w:cstheme="minorBidi"/>
            <w:noProof/>
            <w:sz w:val="22"/>
            <w:szCs w:val="22"/>
          </w:rPr>
          <w:tab/>
        </w:r>
        <w:r w:rsidR="00001CDF" w:rsidRPr="0067272C">
          <w:rPr>
            <w:rStyle w:val="Hyperlink"/>
            <w:noProof/>
          </w:rPr>
          <w:t xml:space="preserve">Approval of the Expansion of an Easement </w:t>
        </w:r>
        <w:r w:rsidR="0056464A">
          <w:rPr>
            <w:rStyle w:val="Hyperlink"/>
            <w:noProof/>
          </w:rPr>
          <w:t>Necessary for Completion of the </w:t>
        </w:r>
        <w:r w:rsidR="00001CDF" w:rsidRPr="0067272C">
          <w:rPr>
            <w:rStyle w:val="Hyperlink"/>
            <w:noProof/>
          </w:rPr>
          <w:t>Project</w:t>
        </w:r>
        <w:r w:rsidR="00001CDF">
          <w:rPr>
            <w:noProof/>
            <w:webHidden/>
          </w:rPr>
          <w:tab/>
        </w:r>
        <w:r w:rsidR="00001CDF">
          <w:rPr>
            <w:noProof/>
            <w:webHidden/>
          </w:rPr>
          <w:fldChar w:fldCharType="begin"/>
        </w:r>
        <w:r w:rsidR="00001CDF">
          <w:rPr>
            <w:noProof/>
            <w:webHidden/>
          </w:rPr>
          <w:instrText xml:space="preserve"> PAGEREF _Toc369507342 \h </w:instrText>
        </w:r>
        <w:r w:rsidR="00001CDF">
          <w:rPr>
            <w:noProof/>
            <w:webHidden/>
          </w:rPr>
        </w:r>
        <w:r w:rsidR="00001CDF">
          <w:rPr>
            <w:noProof/>
            <w:webHidden/>
          </w:rPr>
          <w:fldChar w:fldCharType="separate"/>
        </w:r>
        <w:r w:rsidR="001E7425">
          <w:rPr>
            <w:noProof/>
            <w:webHidden/>
          </w:rPr>
          <w:t>53</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43" w:history="1">
        <w:r w:rsidR="00001CDF" w:rsidRPr="0067272C">
          <w:rPr>
            <w:rStyle w:val="Hyperlink"/>
            <w:noProof/>
          </w:rPr>
          <w:t>16.</w:t>
        </w:r>
        <w:r w:rsidR="00001CDF">
          <w:rPr>
            <w:rFonts w:asciiTheme="minorHAnsi" w:eastAsiaTheme="minorEastAsia" w:hAnsiTheme="minorHAnsi" w:cstheme="minorBidi"/>
            <w:noProof/>
            <w:sz w:val="22"/>
            <w:szCs w:val="22"/>
          </w:rPr>
          <w:tab/>
        </w:r>
        <w:r w:rsidR="00001CDF" w:rsidRPr="0067272C">
          <w:rPr>
            <w:rStyle w:val="Hyperlink"/>
            <w:noProof/>
          </w:rPr>
          <w:t xml:space="preserve">The Commission has </w:t>
        </w:r>
        <w:r w:rsidR="00CA0851">
          <w:rPr>
            <w:rStyle w:val="Hyperlink"/>
            <w:noProof/>
          </w:rPr>
          <w:t>P</w:t>
        </w:r>
        <w:r w:rsidR="00001CDF" w:rsidRPr="0067272C">
          <w:rPr>
            <w:rStyle w:val="Hyperlink"/>
            <w:noProof/>
          </w:rPr>
          <w:t xml:space="preserve">reemptory </w:t>
        </w:r>
        <w:r w:rsidR="00CA0851">
          <w:rPr>
            <w:rStyle w:val="Hyperlink"/>
            <w:noProof/>
          </w:rPr>
          <w:t>A</w:t>
        </w:r>
        <w:r w:rsidR="00001CDF" w:rsidRPr="0067272C">
          <w:rPr>
            <w:rStyle w:val="Hyperlink"/>
            <w:noProof/>
          </w:rPr>
          <w:t>uthority o</w:t>
        </w:r>
        <w:r w:rsidR="0056464A">
          <w:rPr>
            <w:rStyle w:val="Hyperlink"/>
            <w:noProof/>
          </w:rPr>
          <w:t xml:space="preserve">ver </w:t>
        </w:r>
        <w:r w:rsidR="00CA0851">
          <w:rPr>
            <w:rStyle w:val="Hyperlink"/>
            <w:noProof/>
          </w:rPr>
          <w:t>C</w:t>
        </w:r>
        <w:r w:rsidR="0056464A">
          <w:rPr>
            <w:rStyle w:val="Hyperlink"/>
            <w:noProof/>
          </w:rPr>
          <w:t xml:space="preserve">onflicting </w:t>
        </w:r>
        <w:r w:rsidR="00CA0851">
          <w:rPr>
            <w:rStyle w:val="Hyperlink"/>
            <w:noProof/>
          </w:rPr>
          <w:t>C</w:t>
        </w:r>
        <w:r w:rsidR="0056464A">
          <w:rPr>
            <w:rStyle w:val="Hyperlink"/>
            <w:noProof/>
          </w:rPr>
          <w:t xml:space="preserve">ity and </w:t>
        </w:r>
        <w:r w:rsidR="00CA0851">
          <w:rPr>
            <w:rStyle w:val="Hyperlink"/>
            <w:noProof/>
          </w:rPr>
          <w:t>C</w:t>
        </w:r>
        <w:r w:rsidR="0056464A">
          <w:rPr>
            <w:rStyle w:val="Hyperlink"/>
            <w:noProof/>
          </w:rPr>
          <w:t>ounty </w:t>
        </w:r>
        <w:r w:rsidR="00CA0851">
          <w:rPr>
            <w:rStyle w:val="Hyperlink"/>
            <w:noProof/>
          </w:rPr>
          <w:t>Z</w:t>
        </w:r>
        <w:r w:rsidR="00001CDF" w:rsidRPr="0067272C">
          <w:rPr>
            <w:rStyle w:val="Hyperlink"/>
            <w:noProof/>
          </w:rPr>
          <w:t xml:space="preserve">oning </w:t>
        </w:r>
        <w:r w:rsidR="00CA0851">
          <w:rPr>
            <w:rStyle w:val="Hyperlink"/>
            <w:noProof/>
          </w:rPr>
          <w:t>R</w:t>
        </w:r>
        <w:r w:rsidR="00001CDF" w:rsidRPr="0067272C">
          <w:rPr>
            <w:rStyle w:val="Hyperlink"/>
            <w:noProof/>
          </w:rPr>
          <w:t xml:space="preserve">egulations, </w:t>
        </w:r>
        <w:r w:rsidR="00CA0851">
          <w:rPr>
            <w:rStyle w:val="Hyperlink"/>
            <w:noProof/>
          </w:rPr>
          <w:t>O</w:t>
        </w:r>
        <w:r w:rsidR="00001CDF" w:rsidRPr="0067272C">
          <w:rPr>
            <w:rStyle w:val="Hyperlink"/>
            <w:noProof/>
          </w:rPr>
          <w:t xml:space="preserve">rdinances, </w:t>
        </w:r>
        <w:r w:rsidR="00CA0851">
          <w:rPr>
            <w:rStyle w:val="Hyperlink"/>
            <w:noProof/>
          </w:rPr>
          <w:t>C</w:t>
        </w:r>
        <w:r w:rsidR="00001CDF" w:rsidRPr="0067272C">
          <w:rPr>
            <w:rStyle w:val="Hyperlink"/>
            <w:noProof/>
          </w:rPr>
          <w:t xml:space="preserve">odes, or </w:t>
        </w:r>
        <w:r w:rsidR="00CA0851">
          <w:rPr>
            <w:rStyle w:val="Hyperlink"/>
            <w:noProof/>
          </w:rPr>
          <w:t>R</w:t>
        </w:r>
        <w:r w:rsidR="00001CDF" w:rsidRPr="0067272C">
          <w:rPr>
            <w:rStyle w:val="Hyperlink"/>
            <w:noProof/>
          </w:rPr>
          <w:t>equirements</w:t>
        </w:r>
        <w:r w:rsidR="00001CDF">
          <w:rPr>
            <w:noProof/>
            <w:webHidden/>
          </w:rPr>
          <w:tab/>
        </w:r>
        <w:r w:rsidR="00001CDF">
          <w:rPr>
            <w:noProof/>
            <w:webHidden/>
          </w:rPr>
          <w:fldChar w:fldCharType="begin"/>
        </w:r>
        <w:r w:rsidR="00001CDF">
          <w:rPr>
            <w:noProof/>
            <w:webHidden/>
          </w:rPr>
          <w:instrText xml:space="preserve"> PAGEREF _Toc369507343 \h </w:instrText>
        </w:r>
        <w:r w:rsidR="00001CDF">
          <w:rPr>
            <w:noProof/>
            <w:webHidden/>
          </w:rPr>
        </w:r>
        <w:r w:rsidR="00001CDF">
          <w:rPr>
            <w:noProof/>
            <w:webHidden/>
          </w:rPr>
          <w:fldChar w:fldCharType="separate"/>
        </w:r>
        <w:r w:rsidR="001E7425">
          <w:rPr>
            <w:noProof/>
            <w:webHidden/>
          </w:rPr>
          <w:t>53</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44" w:history="1">
        <w:r w:rsidR="00001CDF" w:rsidRPr="0067272C">
          <w:rPr>
            <w:rStyle w:val="Hyperlink"/>
            <w:noProof/>
          </w:rPr>
          <w:t>17.</w:t>
        </w:r>
        <w:r w:rsidR="00001CDF">
          <w:rPr>
            <w:rFonts w:asciiTheme="minorHAnsi" w:eastAsiaTheme="minorEastAsia" w:hAnsiTheme="minorHAnsi" w:cstheme="minorBidi"/>
            <w:noProof/>
            <w:sz w:val="22"/>
            <w:szCs w:val="22"/>
          </w:rPr>
          <w:tab/>
        </w:r>
        <w:r w:rsidR="00001CDF" w:rsidRPr="0067272C">
          <w:rPr>
            <w:rStyle w:val="Hyperlink"/>
            <w:noProof/>
          </w:rPr>
          <w:t>Categorization and Need for Hearing</w:t>
        </w:r>
        <w:r w:rsidR="00001CDF">
          <w:rPr>
            <w:noProof/>
            <w:webHidden/>
          </w:rPr>
          <w:tab/>
        </w:r>
        <w:r w:rsidR="00001CDF">
          <w:rPr>
            <w:noProof/>
            <w:webHidden/>
          </w:rPr>
          <w:fldChar w:fldCharType="begin"/>
        </w:r>
        <w:r w:rsidR="00001CDF">
          <w:rPr>
            <w:noProof/>
            <w:webHidden/>
          </w:rPr>
          <w:instrText xml:space="preserve"> PAGEREF _Toc369507344 \h </w:instrText>
        </w:r>
        <w:r w:rsidR="00001CDF">
          <w:rPr>
            <w:noProof/>
            <w:webHidden/>
          </w:rPr>
        </w:r>
        <w:r w:rsidR="00001CDF">
          <w:rPr>
            <w:noProof/>
            <w:webHidden/>
          </w:rPr>
          <w:fldChar w:fldCharType="separate"/>
        </w:r>
        <w:r w:rsidR="001E7425">
          <w:rPr>
            <w:noProof/>
            <w:webHidden/>
          </w:rPr>
          <w:t>56</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45" w:history="1">
        <w:r w:rsidR="00001CDF" w:rsidRPr="0067272C">
          <w:rPr>
            <w:rStyle w:val="Hyperlink"/>
            <w:noProof/>
          </w:rPr>
          <w:t>18.</w:t>
        </w:r>
        <w:r w:rsidR="00001CDF">
          <w:rPr>
            <w:rFonts w:asciiTheme="minorHAnsi" w:eastAsiaTheme="minorEastAsia" w:hAnsiTheme="minorHAnsi" w:cstheme="minorBidi"/>
            <w:noProof/>
            <w:sz w:val="22"/>
            <w:szCs w:val="22"/>
          </w:rPr>
          <w:tab/>
        </w:r>
        <w:r w:rsidR="00F87997">
          <w:rPr>
            <w:rStyle w:val="Hyperlink"/>
            <w:noProof/>
          </w:rPr>
          <w:t>Reduced C</w:t>
        </w:r>
        <w:r w:rsidR="00001CDF" w:rsidRPr="0067272C">
          <w:rPr>
            <w:rStyle w:val="Hyperlink"/>
            <w:noProof/>
          </w:rPr>
          <w:t>omment</w:t>
        </w:r>
        <w:r w:rsidR="000D2610">
          <w:rPr>
            <w:rStyle w:val="Hyperlink"/>
            <w:noProof/>
          </w:rPr>
          <w:t xml:space="preserve"> </w:t>
        </w:r>
        <w:r w:rsidR="00F87997">
          <w:rPr>
            <w:rStyle w:val="Hyperlink"/>
            <w:noProof/>
          </w:rPr>
          <w:t>Period</w:t>
        </w:r>
        <w:r w:rsidR="00001CDF">
          <w:rPr>
            <w:noProof/>
            <w:webHidden/>
          </w:rPr>
          <w:tab/>
        </w:r>
        <w:r w:rsidR="00001CDF">
          <w:rPr>
            <w:noProof/>
            <w:webHidden/>
          </w:rPr>
          <w:fldChar w:fldCharType="begin"/>
        </w:r>
        <w:r w:rsidR="00001CDF">
          <w:rPr>
            <w:noProof/>
            <w:webHidden/>
          </w:rPr>
          <w:instrText xml:space="preserve"> PAGEREF _Toc369507345 \h </w:instrText>
        </w:r>
        <w:r w:rsidR="00001CDF">
          <w:rPr>
            <w:noProof/>
            <w:webHidden/>
          </w:rPr>
        </w:r>
        <w:r w:rsidR="00001CDF">
          <w:rPr>
            <w:noProof/>
            <w:webHidden/>
          </w:rPr>
          <w:fldChar w:fldCharType="separate"/>
        </w:r>
        <w:r w:rsidR="001E7425">
          <w:rPr>
            <w:noProof/>
            <w:webHidden/>
          </w:rPr>
          <w:t>56</w:t>
        </w:r>
        <w:r w:rsidR="00001CDF">
          <w:rPr>
            <w:noProof/>
            <w:webHidden/>
          </w:rPr>
          <w:fldChar w:fldCharType="end"/>
        </w:r>
      </w:hyperlink>
    </w:p>
    <w:p w:rsidR="00001CDF" w:rsidRDefault="00BE6DF7" w:rsidP="00001CDF">
      <w:pPr>
        <w:pStyle w:val="TOC1"/>
        <w:tabs>
          <w:tab w:val="left" w:pos="540"/>
          <w:tab w:val="right" w:leader="dot" w:pos="9350"/>
        </w:tabs>
        <w:ind w:left="540" w:hanging="540"/>
        <w:rPr>
          <w:rFonts w:asciiTheme="minorHAnsi" w:eastAsiaTheme="minorEastAsia" w:hAnsiTheme="minorHAnsi" w:cstheme="minorBidi"/>
          <w:noProof/>
          <w:sz w:val="22"/>
          <w:szCs w:val="22"/>
        </w:rPr>
      </w:pPr>
      <w:hyperlink w:anchor="_Toc369507346" w:history="1">
        <w:r w:rsidR="00001CDF" w:rsidRPr="0067272C">
          <w:rPr>
            <w:rStyle w:val="Hyperlink"/>
            <w:noProof/>
          </w:rPr>
          <w:t>19.</w:t>
        </w:r>
        <w:r w:rsidR="00001CDF">
          <w:rPr>
            <w:rFonts w:asciiTheme="minorHAnsi" w:eastAsiaTheme="minorEastAsia" w:hAnsiTheme="minorHAnsi" w:cstheme="minorBidi"/>
            <w:noProof/>
            <w:sz w:val="22"/>
            <w:szCs w:val="22"/>
          </w:rPr>
          <w:tab/>
        </w:r>
        <w:r w:rsidR="00001CDF" w:rsidRPr="0067272C">
          <w:rPr>
            <w:rStyle w:val="Hyperlink"/>
            <w:noProof/>
          </w:rPr>
          <w:t>Assignment of Proceeding</w:t>
        </w:r>
        <w:r w:rsidR="00001CDF">
          <w:rPr>
            <w:noProof/>
            <w:webHidden/>
          </w:rPr>
          <w:tab/>
        </w:r>
        <w:r w:rsidR="00001CDF">
          <w:rPr>
            <w:noProof/>
            <w:webHidden/>
          </w:rPr>
          <w:fldChar w:fldCharType="begin"/>
        </w:r>
        <w:r w:rsidR="00001CDF">
          <w:rPr>
            <w:noProof/>
            <w:webHidden/>
          </w:rPr>
          <w:instrText xml:space="preserve"> PAGEREF _Toc369507346 \h </w:instrText>
        </w:r>
        <w:r w:rsidR="00001CDF">
          <w:rPr>
            <w:noProof/>
            <w:webHidden/>
          </w:rPr>
        </w:r>
        <w:r w:rsidR="00001CDF">
          <w:rPr>
            <w:noProof/>
            <w:webHidden/>
          </w:rPr>
          <w:fldChar w:fldCharType="separate"/>
        </w:r>
        <w:r w:rsidR="001E7425">
          <w:rPr>
            <w:noProof/>
            <w:webHidden/>
          </w:rPr>
          <w:t>56</w:t>
        </w:r>
        <w:r w:rsidR="00001CDF">
          <w:rPr>
            <w:noProof/>
            <w:webHidden/>
          </w:rPr>
          <w:fldChar w:fldCharType="end"/>
        </w:r>
      </w:hyperlink>
    </w:p>
    <w:p w:rsidR="00001CDF" w:rsidRDefault="00BE6DF7">
      <w:pPr>
        <w:pStyle w:val="TOC1"/>
        <w:tabs>
          <w:tab w:val="right" w:leader="dot" w:pos="9350"/>
        </w:tabs>
        <w:rPr>
          <w:rFonts w:asciiTheme="minorHAnsi" w:eastAsiaTheme="minorEastAsia" w:hAnsiTheme="minorHAnsi" w:cstheme="minorBidi"/>
          <w:noProof/>
          <w:sz w:val="22"/>
          <w:szCs w:val="22"/>
        </w:rPr>
      </w:pPr>
      <w:hyperlink w:anchor="_Toc369507347" w:history="1">
        <w:r w:rsidR="00001CDF" w:rsidRPr="0067272C">
          <w:rPr>
            <w:rStyle w:val="Hyperlink"/>
            <w:noProof/>
          </w:rPr>
          <w:t>Findings of Fact</w:t>
        </w:r>
        <w:r w:rsidR="00001CDF">
          <w:rPr>
            <w:noProof/>
            <w:webHidden/>
          </w:rPr>
          <w:tab/>
        </w:r>
        <w:r w:rsidR="00001CDF">
          <w:rPr>
            <w:noProof/>
            <w:webHidden/>
          </w:rPr>
          <w:fldChar w:fldCharType="begin"/>
        </w:r>
        <w:r w:rsidR="00001CDF">
          <w:rPr>
            <w:noProof/>
            <w:webHidden/>
          </w:rPr>
          <w:instrText xml:space="preserve"> PAGEREF _Toc369507347 \h </w:instrText>
        </w:r>
        <w:r w:rsidR="00001CDF">
          <w:rPr>
            <w:noProof/>
            <w:webHidden/>
          </w:rPr>
        </w:r>
        <w:r w:rsidR="00001CDF">
          <w:rPr>
            <w:noProof/>
            <w:webHidden/>
          </w:rPr>
          <w:fldChar w:fldCharType="separate"/>
        </w:r>
        <w:r w:rsidR="001E7425">
          <w:rPr>
            <w:noProof/>
            <w:webHidden/>
          </w:rPr>
          <w:t>57</w:t>
        </w:r>
        <w:r w:rsidR="00001CDF">
          <w:rPr>
            <w:noProof/>
            <w:webHidden/>
          </w:rPr>
          <w:fldChar w:fldCharType="end"/>
        </w:r>
      </w:hyperlink>
    </w:p>
    <w:p w:rsidR="00001CDF" w:rsidRDefault="00BE6DF7">
      <w:pPr>
        <w:pStyle w:val="TOC1"/>
        <w:tabs>
          <w:tab w:val="right" w:leader="dot" w:pos="9350"/>
        </w:tabs>
        <w:rPr>
          <w:rFonts w:asciiTheme="minorHAnsi" w:eastAsiaTheme="minorEastAsia" w:hAnsiTheme="minorHAnsi" w:cstheme="minorBidi"/>
          <w:noProof/>
          <w:sz w:val="22"/>
          <w:szCs w:val="22"/>
        </w:rPr>
      </w:pPr>
      <w:hyperlink w:anchor="_Toc369507348" w:history="1">
        <w:r w:rsidR="00001CDF" w:rsidRPr="0067272C">
          <w:rPr>
            <w:rStyle w:val="Hyperlink"/>
            <w:noProof/>
          </w:rPr>
          <w:t>Conclusions of Law</w:t>
        </w:r>
        <w:r w:rsidR="00001CDF">
          <w:rPr>
            <w:noProof/>
            <w:webHidden/>
          </w:rPr>
          <w:tab/>
        </w:r>
        <w:r w:rsidR="00001CDF">
          <w:rPr>
            <w:noProof/>
            <w:webHidden/>
          </w:rPr>
          <w:fldChar w:fldCharType="begin"/>
        </w:r>
        <w:r w:rsidR="00001CDF">
          <w:rPr>
            <w:noProof/>
            <w:webHidden/>
          </w:rPr>
          <w:instrText xml:space="preserve"> PAGEREF _Toc369507348 \h </w:instrText>
        </w:r>
        <w:r w:rsidR="00001CDF">
          <w:rPr>
            <w:noProof/>
            <w:webHidden/>
          </w:rPr>
        </w:r>
        <w:r w:rsidR="00001CDF">
          <w:rPr>
            <w:noProof/>
            <w:webHidden/>
          </w:rPr>
          <w:fldChar w:fldCharType="separate"/>
        </w:r>
        <w:r w:rsidR="001E7425">
          <w:rPr>
            <w:noProof/>
            <w:webHidden/>
          </w:rPr>
          <w:t>61</w:t>
        </w:r>
        <w:r w:rsidR="00001CDF">
          <w:rPr>
            <w:noProof/>
            <w:webHidden/>
          </w:rPr>
          <w:fldChar w:fldCharType="end"/>
        </w:r>
      </w:hyperlink>
    </w:p>
    <w:p w:rsidR="00001CDF" w:rsidRDefault="00BE6DF7">
      <w:pPr>
        <w:pStyle w:val="TOC1"/>
        <w:tabs>
          <w:tab w:val="right" w:leader="dot" w:pos="9350"/>
        </w:tabs>
        <w:rPr>
          <w:rFonts w:asciiTheme="minorHAnsi" w:eastAsiaTheme="minorEastAsia" w:hAnsiTheme="minorHAnsi" w:cstheme="minorBidi"/>
          <w:noProof/>
          <w:sz w:val="22"/>
          <w:szCs w:val="22"/>
        </w:rPr>
      </w:pPr>
      <w:hyperlink w:anchor="_Toc369507349" w:history="1">
        <w:r w:rsidR="00001CDF" w:rsidRPr="0067272C">
          <w:rPr>
            <w:rStyle w:val="Hyperlink"/>
            <w:noProof/>
          </w:rPr>
          <w:t>ORDER</w:t>
        </w:r>
        <w:r w:rsidR="00001CDF">
          <w:rPr>
            <w:noProof/>
            <w:webHidden/>
          </w:rPr>
          <w:tab/>
        </w:r>
        <w:r w:rsidR="00001CDF">
          <w:rPr>
            <w:noProof/>
            <w:webHidden/>
          </w:rPr>
          <w:fldChar w:fldCharType="begin"/>
        </w:r>
        <w:r w:rsidR="00001CDF">
          <w:rPr>
            <w:noProof/>
            <w:webHidden/>
          </w:rPr>
          <w:instrText xml:space="preserve"> PAGEREF _Toc369507349 \h </w:instrText>
        </w:r>
        <w:r w:rsidR="00001CDF">
          <w:rPr>
            <w:noProof/>
            <w:webHidden/>
          </w:rPr>
        </w:r>
        <w:r w:rsidR="00001CDF">
          <w:rPr>
            <w:noProof/>
            <w:webHidden/>
          </w:rPr>
          <w:fldChar w:fldCharType="separate"/>
        </w:r>
        <w:r w:rsidR="001E7425">
          <w:rPr>
            <w:noProof/>
            <w:webHidden/>
          </w:rPr>
          <w:t>69</w:t>
        </w:r>
        <w:r w:rsidR="00001CDF">
          <w:rPr>
            <w:noProof/>
            <w:webHidden/>
          </w:rPr>
          <w:fldChar w:fldCharType="end"/>
        </w:r>
      </w:hyperlink>
    </w:p>
    <w:p w:rsidR="0000067A" w:rsidRDefault="00271E1C" w:rsidP="00A50D51">
      <w:pPr>
        <w:pStyle w:val="main"/>
        <w:spacing w:after="240"/>
        <w:ind w:left="90"/>
        <w:jc w:val="left"/>
        <w:rPr>
          <w:rFonts w:ascii="Palatino" w:hAnsi="Palatino"/>
          <w:b w:val="0"/>
        </w:rPr>
      </w:pPr>
      <w:r>
        <w:rPr>
          <w:rFonts w:ascii="Palatino" w:hAnsi="Palatino"/>
          <w:b w:val="0"/>
        </w:rPr>
        <w:fldChar w:fldCharType="end"/>
      </w:r>
    </w:p>
    <w:p w:rsidR="000E665E" w:rsidRDefault="0000067A" w:rsidP="00BC38FF">
      <w:r>
        <w:t xml:space="preserve">Attachment A - </w:t>
      </w:r>
      <w:r w:rsidRPr="0000067A">
        <w:t>Porter Ranch Settlement Agreement</w:t>
      </w:r>
    </w:p>
    <w:p w:rsidR="00075B00" w:rsidRDefault="00075B00" w:rsidP="00BC38FF">
      <w:pPr>
        <w:sectPr w:rsidR="00075B00" w:rsidSect="00244C35">
          <w:headerReference w:type="default" r:id="rId14"/>
          <w:headerReference w:type="first" r:id="rId15"/>
          <w:footerReference w:type="first" r:id="rId16"/>
          <w:pgSz w:w="12240" w:h="15840" w:code="1"/>
          <w:pgMar w:top="1440" w:right="1440" w:bottom="1440" w:left="1440" w:header="720" w:footer="720" w:gutter="0"/>
          <w:pgNumType w:fmt="lowerRoman" w:start="1"/>
          <w:cols w:space="720"/>
          <w:titlePg/>
          <w:docGrid w:linePitch="360"/>
        </w:sectPr>
      </w:pPr>
    </w:p>
    <w:p w:rsidR="00075B00" w:rsidRPr="00A50D51" w:rsidRDefault="00075B00" w:rsidP="00BC38FF"/>
    <w:p w:rsidR="00A50D51" w:rsidRPr="00A50D51" w:rsidRDefault="00A50D51" w:rsidP="00A50D51">
      <w:pPr>
        <w:pStyle w:val="main"/>
        <w:spacing w:after="240"/>
        <w:ind w:left="90"/>
        <w:jc w:val="left"/>
        <w:rPr>
          <w:b w:val="0"/>
        </w:rPr>
      </w:pPr>
    </w:p>
    <w:p w:rsidR="00A50D51" w:rsidRPr="00A50D51" w:rsidRDefault="00A50D51" w:rsidP="00A50D51">
      <w:pPr>
        <w:pStyle w:val="main"/>
        <w:spacing w:after="240"/>
        <w:ind w:left="90"/>
        <w:jc w:val="left"/>
        <w:rPr>
          <w:b w:val="0"/>
        </w:rPr>
        <w:sectPr w:rsidR="00A50D51" w:rsidRPr="00A50D51" w:rsidSect="00075B00">
          <w:type w:val="continuous"/>
          <w:pgSz w:w="12240" w:h="15840" w:code="1"/>
          <w:pgMar w:top="1440" w:right="1440" w:bottom="1440" w:left="1440" w:header="720" w:footer="720" w:gutter="0"/>
          <w:pgNumType w:fmt="lowerRoman" w:start="1"/>
          <w:cols w:space="720"/>
          <w:titlePg/>
          <w:docGrid w:linePitch="360"/>
        </w:sectPr>
      </w:pPr>
    </w:p>
    <w:p w:rsidR="000E665E" w:rsidRPr="00220B4E" w:rsidRDefault="00220B4E" w:rsidP="00D15C61">
      <w:pPr>
        <w:jc w:val="center"/>
      </w:pPr>
      <w:bookmarkStart w:id="2" w:name="_Toc369083425"/>
      <w:r w:rsidRPr="00D15C61">
        <w:rPr>
          <w:rFonts w:ascii="Helvetica" w:hAnsi="Helvetica"/>
          <w:b/>
        </w:rPr>
        <w:t>DECISION ADDRESSING APPLICATION OF SOUTHERN CALIFORNIA GAS COMPANY TO AMEND ITS CERTIFICATE OF PUBLIC CONVENIENCE AND NECESSITY FOR THE ALISO CANYON GAS STORAGE FACILITY</w:t>
      </w:r>
      <w:bookmarkEnd w:id="2"/>
    </w:p>
    <w:p w:rsidR="00220B4E" w:rsidRDefault="00220B4E" w:rsidP="000E665E">
      <w:pPr>
        <w:pStyle w:val="main"/>
        <w:spacing w:after="240"/>
        <w:ind w:left="90"/>
      </w:pPr>
    </w:p>
    <w:p w:rsidR="00581BD3" w:rsidRDefault="00581BD3" w:rsidP="00B167B2">
      <w:pPr>
        <w:pStyle w:val="Heading1"/>
        <w:ind w:firstLine="0"/>
      </w:pPr>
      <w:bookmarkStart w:id="3" w:name="_Toc369507301"/>
      <w:bookmarkStart w:id="4" w:name="_Toc192036457"/>
      <w:bookmarkStart w:id="5" w:name="_Toc238970024"/>
      <w:r>
        <w:t>Summary</w:t>
      </w:r>
      <w:bookmarkEnd w:id="3"/>
    </w:p>
    <w:p w:rsidR="00BB3462" w:rsidRDefault="00581BD3" w:rsidP="00E03286">
      <w:pPr>
        <w:pStyle w:val="standard"/>
      </w:pPr>
      <w:r w:rsidRPr="0021493F">
        <w:t xml:space="preserve">This </w:t>
      </w:r>
      <w:r w:rsidR="00586D59">
        <w:t xml:space="preserve">decision </w:t>
      </w:r>
      <w:r w:rsidR="00586D59" w:rsidRPr="00E03286">
        <w:t>grants</w:t>
      </w:r>
      <w:r w:rsidR="00586D59">
        <w:t xml:space="preserve"> </w:t>
      </w:r>
      <w:r w:rsidR="00586D59">
        <w:rPr>
          <w:shd w:val="clear" w:color="auto" w:fill="FFFFFF"/>
        </w:rPr>
        <w:t xml:space="preserve">Southern California Gas Company’s </w:t>
      </w:r>
      <w:r w:rsidR="00E03286">
        <w:rPr>
          <w:shd w:val="clear" w:color="auto" w:fill="FFFFFF"/>
        </w:rPr>
        <w:t>(</w:t>
      </w:r>
      <w:r w:rsidR="00E03286" w:rsidRPr="00FC54C0">
        <w:t>SoCalGas</w:t>
      </w:r>
      <w:r w:rsidR="00E03286">
        <w:t xml:space="preserve">’s) </w:t>
      </w:r>
      <w:r w:rsidR="00586D59">
        <w:rPr>
          <w:shd w:val="clear" w:color="auto" w:fill="FFFFFF"/>
        </w:rPr>
        <w:t xml:space="preserve">request to amend its Certificate of Public Convenience and Necessity for </w:t>
      </w:r>
      <w:r w:rsidR="001D5317">
        <w:rPr>
          <w:shd w:val="clear" w:color="auto" w:fill="FFFFFF"/>
        </w:rPr>
        <w:t xml:space="preserve">construction and operation of </w:t>
      </w:r>
      <w:r w:rsidR="00586D59">
        <w:rPr>
          <w:shd w:val="clear" w:color="auto" w:fill="FFFFFF"/>
        </w:rPr>
        <w:t xml:space="preserve">the </w:t>
      </w:r>
      <w:r w:rsidR="001D5317">
        <w:rPr>
          <w:shd w:val="clear" w:color="auto" w:fill="FFFFFF"/>
        </w:rPr>
        <w:t xml:space="preserve">turbine replacement project </w:t>
      </w:r>
      <w:r w:rsidR="00300017">
        <w:rPr>
          <w:shd w:val="clear" w:color="auto" w:fill="FFFFFF"/>
        </w:rPr>
        <w:t xml:space="preserve">(Project) </w:t>
      </w:r>
      <w:r w:rsidR="001D5317">
        <w:rPr>
          <w:shd w:val="clear" w:color="auto" w:fill="FFFFFF"/>
        </w:rPr>
        <w:t xml:space="preserve">at the </w:t>
      </w:r>
      <w:r w:rsidR="00586D59" w:rsidRPr="008802F8">
        <w:rPr>
          <w:shd w:val="clear" w:color="auto" w:fill="FFFFFF"/>
        </w:rPr>
        <w:t>Aliso Canyon</w:t>
      </w:r>
      <w:r w:rsidR="00586D59">
        <w:rPr>
          <w:shd w:val="clear" w:color="auto" w:fill="FFFFFF"/>
        </w:rPr>
        <w:t xml:space="preserve"> Gas Storage Facility</w:t>
      </w:r>
      <w:r w:rsidR="00300017">
        <w:rPr>
          <w:shd w:val="clear" w:color="auto" w:fill="FFFFFF"/>
        </w:rPr>
        <w:t xml:space="preserve"> </w:t>
      </w:r>
      <w:r w:rsidR="00300017">
        <w:t>(Facility)</w:t>
      </w:r>
      <w:r w:rsidR="00966776" w:rsidRPr="0021493F">
        <w:t>.</w:t>
      </w:r>
      <w:r w:rsidR="00E03286">
        <w:t xml:space="preserve">  </w:t>
      </w:r>
      <w:r w:rsidR="00BB3462">
        <w:t xml:space="preserve">Approval of the </w:t>
      </w:r>
      <w:r w:rsidR="0038391A">
        <w:t>application</w:t>
      </w:r>
      <w:r w:rsidR="00BB3462">
        <w:t xml:space="preserve"> </w:t>
      </w:r>
      <w:r w:rsidR="00174F3E">
        <w:t>will allow</w:t>
      </w:r>
      <w:r w:rsidR="00BB3462">
        <w:t xml:space="preserve"> SoCalGas </w:t>
      </w:r>
      <w:r w:rsidR="00BB3462" w:rsidRPr="00BB3462">
        <w:t xml:space="preserve">to </w:t>
      </w:r>
      <w:r w:rsidR="00174F3E">
        <w:t>fulfill</w:t>
      </w:r>
      <w:r w:rsidR="00BB3462" w:rsidRPr="00BB3462">
        <w:t xml:space="preserve"> terms of the </w:t>
      </w:r>
      <w:r w:rsidR="00BB3462">
        <w:t>settlement a</w:t>
      </w:r>
      <w:r w:rsidR="00BB3462" w:rsidRPr="00BB3462">
        <w:t xml:space="preserve">greement approved by </w:t>
      </w:r>
      <w:r w:rsidR="00BB3462">
        <w:t xml:space="preserve">Decision </w:t>
      </w:r>
      <w:r w:rsidR="00BB3462" w:rsidRPr="00F9637E">
        <w:t>08-12-020</w:t>
      </w:r>
      <w:r w:rsidR="00300017">
        <w:t>, which, among other things,</w:t>
      </w:r>
      <w:r w:rsidR="00300017" w:rsidRPr="00643F92">
        <w:t xml:space="preserve"> </w:t>
      </w:r>
      <w:r w:rsidR="00300017">
        <w:t xml:space="preserve">requires </w:t>
      </w:r>
      <w:r w:rsidR="00300017" w:rsidRPr="00643F92">
        <w:t xml:space="preserve">SoCalGas </w:t>
      </w:r>
      <w:r w:rsidR="00300017">
        <w:t>to</w:t>
      </w:r>
      <w:r w:rsidR="00300017" w:rsidRPr="00643F92">
        <w:t xml:space="preserve"> make commercially reasonable efforts to replace obsolete </w:t>
      </w:r>
      <w:r w:rsidR="0038391A">
        <w:t xml:space="preserve">gas </w:t>
      </w:r>
      <w:r w:rsidR="00300017" w:rsidRPr="00643F92">
        <w:t>turbine</w:t>
      </w:r>
      <w:r w:rsidR="0038391A">
        <w:t xml:space="preserve"> compressor</w:t>
      </w:r>
      <w:r w:rsidR="00300017" w:rsidRPr="00643F92">
        <w:t xml:space="preserve">s </w:t>
      </w:r>
      <w:r w:rsidR="00300017">
        <w:t xml:space="preserve">in order to expand </w:t>
      </w:r>
      <w:r w:rsidR="00300017" w:rsidRPr="006C753B">
        <w:t xml:space="preserve">natural gas injection capacity </w:t>
      </w:r>
      <w:r w:rsidR="00300017" w:rsidRPr="00643F92">
        <w:t xml:space="preserve">at </w:t>
      </w:r>
      <w:r w:rsidR="00300017">
        <w:t>the Facility.</w:t>
      </w:r>
    </w:p>
    <w:p w:rsidR="00A6329D" w:rsidRDefault="00BB3462" w:rsidP="00A6329D">
      <w:pPr>
        <w:pStyle w:val="standard"/>
      </w:pPr>
      <w:r>
        <w:t>T</w:t>
      </w:r>
      <w:r w:rsidR="00E03286">
        <w:t xml:space="preserve">his decision </w:t>
      </w:r>
      <w:r w:rsidR="001D5317">
        <w:t xml:space="preserve">also </w:t>
      </w:r>
      <w:r w:rsidR="00A6329D">
        <w:t xml:space="preserve">adopts the settlement agreement between SoCalGas and neighboring </w:t>
      </w:r>
      <w:r w:rsidR="00A6329D" w:rsidRPr="00950FF7">
        <w:t>Porter Ranch resident</w:t>
      </w:r>
      <w:r w:rsidR="00A6329D">
        <w:t>s addressing</w:t>
      </w:r>
      <w:r w:rsidR="00A6329D" w:rsidRPr="0038391A">
        <w:t xml:space="preserve"> </w:t>
      </w:r>
      <w:r w:rsidR="00A6329D">
        <w:t>the safe operation of the Facility in a high fire risk area</w:t>
      </w:r>
      <w:r w:rsidR="00A6329D" w:rsidRPr="00FC54C0">
        <w:t>.</w:t>
      </w:r>
    </w:p>
    <w:p w:rsidR="00A6329D" w:rsidRDefault="00A6329D" w:rsidP="00A6329D">
      <w:pPr>
        <w:pStyle w:val="standard"/>
      </w:pPr>
      <w:r>
        <w:t>This decision</w:t>
      </w:r>
      <w:r w:rsidRPr="00CD09D7">
        <w:t xml:space="preserve"> adopt</w:t>
      </w:r>
      <w:r>
        <w:t>s</w:t>
      </w:r>
      <w:r w:rsidRPr="00CD09D7">
        <w:t xml:space="preserve"> </w:t>
      </w:r>
      <w:r>
        <w:t xml:space="preserve">the environmental impact report prepared for </w:t>
      </w:r>
      <w:r w:rsidRPr="00CD09D7">
        <w:t xml:space="preserve">the </w:t>
      </w:r>
      <w:r w:rsidRPr="008802F8">
        <w:t>Project</w:t>
      </w:r>
      <w:r w:rsidRPr="00CD09D7">
        <w:t xml:space="preserve"> pursuant to </w:t>
      </w:r>
      <w:r>
        <w:t xml:space="preserve">the California Environmental Quality Act and </w:t>
      </w:r>
      <w:r w:rsidRPr="00FD7CF1">
        <w:t>require</w:t>
      </w:r>
      <w:r>
        <w:t>s SoCalGas to</w:t>
      </w:r>
      <w:r w:rsidRPr="00FD7CF1">
        <w:t xml:space="preserve"> incorporate into the </w:t>
      </w:r>
      <w:r>
        <w:t>P</w:t>
      </w:r>
      <w:r w:rsidRPr="00FD7CF1">
        <w:t xml:space="preserve">roject </w:t>
      </w:r>
      <w:r>
        <w:t xml:space="preserve">measures to </w:t>
      </w:r>
      <w:r w:rsidRPr="00FD7CF1">
        <w:t>mitigate or avoid the significant effects on the environment</w:t>
      </w:r>
      <w:r w:rsidR="00AF7333">
        <w:t xml:space="preserve">. </w:t>
      </w:r>
    </w:p>
    <w:p w:rsidR="001D5317" w:rsidRDefault="00A6329D" w:rsidP="00E03286">
      <w:pPr>
        <w:pStyle w:val="standard"/>
      </w:pPr>
      <w:r>
        <w:t>This decision</w:t>
      </w:r>
      <w:r w:rsidRPr="00FC54C0">
        <w:t xml:space="preserve"> </w:t>
      </w:r>
      <w:r w:rsidR="00E03286" w:rsidRPr="00FC54C0">
        <w:t>approve</w:t>
      </w:r>
      <w:r w:rsidR="00E03286">
        <w:t>s</w:t>
      </w:r>
      <w:r w:rsidR="00E03286" w:rsidRPr="00FC54C0">
        <w:t xml:space="preserve"> SoCalGas</w:t>
      </w:r>
      <w:r w:rsidR="00E03286">
        <w:t>’s proposed</w:t>
      </w:r>
      <w:r w:rsidR="00E03286" w:rsidRPr="00FC54C0">
        <w:t xml:space="preserve"> reve</w:t>
      </w:r>
      <w:r w:rsidR="00092F85">
        <w:t>nue requirement (</w:t>
      </w:r>
      <w:r w:rsidR="005345C5">
        <w:t>subject to a maximum cost of $200.9 million</w:t>
      </w:r>
      <w:r w:rsidR="00092F85">
        <w:t>)</w:t>
      </w:r>
      <w:r w:rsidR="005345C5">
        <w:t xml:space="preserve"> </w:t>
      </w:r>
      <w:r w:rsidR="00713F1E">
        <w:t>rate treatment</w:t>
      </w:r>
      <w:r w:rsidR="00E03286" w:rsidRPr="00FC54C0">
        <w:t xml:space="preserve"> and regulatory accounting for the </w:t>
      </w:r>
      <w:r w:rsidR="001D5317">
        <w:rPr>
          <w:shd w:val="clear" w:color="auto" w:fill="FFFFFF"/>
        </w:rPr>
        <w:t>Project</w:t>
      </w:r>
      <w:r w:rsidR="00E03286" w:rsidRPr="00FC54C0">
        <w:t xml:space="preserve">; </w:t>
      </w:r>
      <w:r w:rsidR="00E03286" w:rsidRPr="00CD09D7">
        <w:t>approv</w:t>
      </w:r>
      <w:r w:rsidR="00E03286">
        <w:t>es</w:t>
      </w:r>
      <w:r w:rsidR="00E03286" w:rsidRPr="00CD09D7">
        <w:t xml:space="preserve"> expansion of an easement necessary for completion of the </w:t>
      </w:r>
      <w:r w:rsidR="00E03286" w:rsidRPr="008802F8">
        <w:t>Project</w:t>
      </w:r>
      <w:r w:rsidR="001D5317">
        <w:t>;</w:t>
      </w:r>
      <w:r w:rsidR="001D5317" w:rsidRPr="00CD09D7">
        <w:t xml:space="preserve"> </w:t>
      </w:r>
      <w:r w:rsidR="001D5317">
        <w:t xml:space="preserve">and </w:t>
      </w:r>
      <w:r w:rsidR="001D5317" w:rsidRPr="00FC54C0">
        <w:t>confirm</w:t>
      </w:r>
      <w:r w:rsidR="001D5317">
        <w:t>s</w:t>
      </w:r>
      <w:r w:rsidR="001D5317" w:rsidRPr="00FC54C0">
        <w:t xml:space="preserve"> the Commission</w:t>
      </w:r>
      <w:r w:rsidR="001D5317">
        <w:t>’s</w:t>
      </w:r>
      <w:r w:rsidR="001D5317" w:rsidRPr="00FC54C0">
        <w:t xml:space="preserve"> preemptory authority over conflicting </w:t>
      </w:r>
      <w:r w:rsidR="001D5317">
        <w:t>city and county</w:t>
      </w:r>
      <w:r w:rsidR="001D5317" w:rsidRPr="00FC54C0">
        <w:t xml:space="preserve"> zoning regulations, ordinances, codes, or requirements</w:t>
      </w:r>
      <w:r w:rsidR="00AF7333">
        <w:t>.</w:t>
      </w:r>
    </w:p>
    <w:p w:rsidR="00B233AC" w:rsidRPr="00147944" w:rsidRDefault="00B233AC" w:rsidP="005556A8">
      <w:pPr>
        <w:pStyle w:val="Heading1"/>
        <w:numPr>
          <w:ilvl w:val="0"/>
          <w:numId w:val="37"/>
        </w:numPr>
        <w:ind w:left="720" w:hanging="720"/>
      </w:pPr>
      <w:bookmarkStart w:id="6" w:name="_Toc319053294"/>
      <w:bookmarkStart w:id="7" w:name="_Toc369507302"/>
      <w:bookmarkStart w:id="8" w:name="_Toc319053296"/>
      <w:bookmarkEnd w:id="4"/>
      <w:bookmarkEnd w:id="5"/>
      <w:r>
        <w:t>T</w:t>
      </w:r>
      <w:r w:rsidRPr="00147944">
        <w:t xml:space="preserve">he </w:t>
      </w:r>
      <w:r w:rsidR="00EF44B5">
        <w:t>Project</w:t>
      </w:r>
      <w:bookmarkEnd w:id="6"/>
      <w:bookmarkEnd w:id="7"/>
    </w:p>
    <w:p w:rsidR="00B233AC" w:rsidRPr="00643F92" w:rsidRDefault="003A79AA" w:rsidP="00B233AC">
      <w:pPr>
        <w:pStyle w:val="standard"/>
      </w:pPr>
      <w:r>
        <w:rPr>
          <w:shd w:val="clear" w:color="auto" w:fill="FFFFFF"/>
        </w:rPr>
        <w:t>Southern California Gas Company</w:t>
      </w:r>
      <w:r w:rsidRPr="00643F92">
        <w:t xml:space="preserve"> </w:t>
      </w:r>
      <w:r>
        <w:t>(</w:t>
      </w:r>
      <w:r w:rsidRPr="00643F92">
        <w:t>SoCalGas</w:t>
      </w:r>
      <w:r>
        <w:t xml:space="preserve">) </w:t>
      </w:r>
      <w:r w:rsidR="00B233AC" w:rsidRPr="00643F92">
        <w:t xml:space="preserve">provides natural gas to approximately six million customers in </w:t>
      </w:r>
      <w:r w:rsidR="00515CE4">
        <w:t>s</w:t>
      </w:r>
      <w:r w:rsidR="00B233AC" w:rsidRPr="00643F92">
        <w:t xml:space="preserve">outhern California. </w:t>
      </w:r>
      <w:r w:rsidR="00AF7333">
        <w:t xml:space="preserve"> </w:t>
      </w:r>
      <w:r w:rsidR="001807AB">
        <w:t>T</w:t>
      </w:r>
      <w:r w:rsidR="00B233AC" w:rsidRPr="00643F92">
        <w:t xml:space="preserve">his service includes operation of four underground natural gas storage facilities to help meet peak hourly, daily, and seasonal </w:t>
      </w:r>
      <w:r w:rsidR="00AF7333">
        <w:t>demands for all its customers.</w:t>
      </w:r>
    </w:p>
    <w:p w:rsidR="00B233AC" w:rsidRDefault="00B233AC" w:rsidP="00B233AC">
      <w:pPr>
        <w:pStyle w:val="standard"/>
      </w:pPr>
      <w:r>
        <w:t>T</w:t>
      </w:r>
      <w:r w:rsidRPr="00643F92">
        <w:t xml:space="preserve">he </w:t>
      </w:r>
      <w:r>
        <w:t xml:space="preserve">Aliso Canyon </w:t>
      </w:r>
      <w:r w:rsidRPr="00643F92">
        <w:t xml:space="preserve">Storage Field </w:t>
      </w:r>
      <w:r>
        <w:t>(</w:t>
      </w:r>
      <w:r w:rsidRPr="00643F92">
        <w:t>Storage Field</w:t>
      </w:r>
      <w:r>
        <w:t>)</w:t>
      </w:r>
      <w:r w:rsidRPr="00643F92">
        <w:t xml:space="preserve"> is SoCalGas’</w:t>
      </w:r>
      <w:r>
        <w:t>s</w:t>
      </w:r>
      <w:r w:rsidRPr="00643F92">
        <w:t xml:space="preserve"> largest underground natural gas storage field and one of the largest in the United States. The Storage Field is located </w:t>
      </w:r>
      <w:r w:rsidR="00D92B4B" w:rsidRPr="00D92B4B">
        <w:t>in an unincorporated area of Los Angeles County, an unincorporated area of Ventura County, and northern Los Angeles</w:t>
      </w:r>
      <w:r w:rsidR="00D92B4B" w:rsidRPr="00643F92">
        <w:t xml:space="preserve"> </w:t>
      </w:r>
      <w:r w:rsidR="00D92B4B">
        <w:t xml:space="preserve">near </w:t>
      </w:r>
      <w:r w:rsidRPr="00643F92">
        <w:t>Northridge, and encompasses a surface ar</w:t>
      </w:r>
      <w:r w:rsidR="00AF7333">
        <w:t>ea of approximately 3,600 acres.</w:t>
      </w:r>
    </w:p>
    <w:p w:rsidR="00B233AC" w:rsidRPr="00643F92" w:rsidRDefault="00B233AC" w:rsidP="00B233AC">
      <w:pPr>
        <w:pStyle w:val="standard"/>
      </w:pPr>
      <w:r w:rsidRPr="00643F92">
        <w:t xml:space="preserve">Prior to its use as storage for natural gas, the Storage Field was owned and operated as an oil field. </w:t>
      </w:r>
      <w:r>
        <w:t xml:space="preserve"> </w:t>
      </w:r>
      <w:r w:rsidRPr="00643F92">
        <w:t xml:space="preserve">In the early 1970s, after the majority of its oil reserves were depleted, the Storage Field was acquired by a former affiliate of SoCalGas from various oil companies, including the Getty Oil Company and Standard Oil Company, and converted to a natural gas storage facility upon the granting of a </w:t>
      </w:r>
      <w:r>
        <w:rPr>
          <w:shd w:val="clear" w:color="auto" w:fill="FFFFFF"/>
        </w:rPr>
        <w:t>Certificate of Public Convenience and Necessity (</w:t>
      </w:r>
      <w:r w:rsidRPr="00643F92">
        <w:t>CPCN</w:t>
      </w:r>
      <w:r>
        <w:t>)</w:t>
      </w:r>
      <w:r w:rsidRPr="00643F92">
        <w:t xml:space="preserve"> in 1972.</w:t>
      </w:r>
      <w:r>
        <w:t xml:space="preserve"> </w:t>
      </w:r>
      <w:r w:rsidRPr="00643F92">
        <w:t xml:space="preserve"> Currently, the Storage Field is directly owned and operated by SoCalGas.</w:t>
      </w:r>
    </w:p>
    <w:p w:rsidR="00B233AC" w:rsidRPr="00643F92" w:rsidRDefault="00B233AC" w:rsidP="00B233AC">
      <w:pPr>
        <w:pStyle w:val="standard"/>
      </w:pPr>
      <w:r w:rsidRPr="00992D24">
        <w:t>The Storage Field contains 84 billion cubic feet (Bcf) of working storage inventory, 1.875 billion cubic feet per day (Bcfd) of withdrawal capacity, and a current end-of-cycle injection capacity of 300 million cubic feet per day (MMcfd). Approximately 45% of SoCalGas’</w:t>
      </w:r>
      <w:r w:rsidR="00AF0EA4">
        <w:t>s</w:t>
      </w:r>
      <w:r w:rsidRPr="00992D24">
        <w:t xml:space="preserve"> total firm injection capacity is located at the Storage Field. </w:t>
      </w:r>
      <w:r w:rsidR="00AF7333">
        <w:t xml:space="preserve"> </w:t>
      </w:r>
      <w:r w:rsidRPr="00992D24">
        <w:t xml:space="preserve">The majority of the injection capacity at the Storage Field is provided by three obsolete gas turbine driven centrifugal compressors </w:t>
      </w:r>
      <w:r w:rsidR="00C80073">
        <w:t>(TDCs)</w:t>
      </w:r>
      <w:r w:rsidR="005B542B">
        <w:t xml:space="preserve"> </w:t>
      </w:r>
      <w:r w:rsidRPr="00992D24">
        <w:t>providing 15,000 International Organization for S</w:t>
      </w:r>
      <w:r w:rsidR="00AF7333">
        <w:t>tandardization horsepower each.</w:t>
      </w:r>
    </w:p>
    <w:p w:rsidR="00B233AC" w:rsidRDefault="00AF7333" w:rsidP="00B233AC">
      <w:pPr>
        <w:pStyle w:val="standard"/>
      </w:pPr>
      <w:r>
        <w:t>Decision (D</w:t>
      </w:r>
      <w:r w:rsidR="00B233AC" w:rsidRPr="00F9637E">
        <w:t>.</w:t>
      </w:r>
      <w:r>
        <w:t xml:space="preserve">) </w:t>
      </w:r>
      <w:r w:rsidR="00B233AC" w:rsidRPr="00F9637E">
        <w:t>08-12-020</w:t>
      </w:r>
      <w:r w:rsidR="00B233AC">
        <w:t xml:space="preserve"> </w:t>
      </w:r>
      <w:r w:rsidR="00B233AC" w:rsidRPr="008D4C06">
        <w:t xml:space="preserve">in </w:t>
      </w:r>
      <w:r>
        <w:t>Application (A</w:t>
      </w:r>
      <w:r w:rsidR="00B233AC" w:rsidRPr="008D4C06">
        <w:t>.</w:t>
      </w:r>
      <w:r>
        <w:t xml:space="preserve">) </w:t>
      </w:r>
      <w:r w:rsidR="00B233AC" w:rsidRPr="008D4C06">
        <w:t>08-02-001</w:t>
      </w:r>
      <w:r w:rsidR="00B233AC" w:rsidRPr="00F9637E">
        <w:t xml:space="preserve"> </w:t>
      </w:r>
      <w:r w:rsidR="00B233AC">
        <w:t xml:space="preserve">adopted the </w:t>
      </w:r>
      <w:r w:rsidR="00B233AC" w:rsidRPr="008D4C06">
        <w:t>settlement agreement</w:t>
      </w:r>
      <w:r w:rsidR="00B233AC" w:rsidRPr="00643F92">
        <w:t xml:space="preserve"> </w:t>
      </w:r>
      <w:r w:rsidR="00B233AC">
        <w:t>between</w:t>
      </w:r>
      <w:r w:rsidR="00B233AC" w:rsidRPr="00643F92">
        <w:t xml:space="preserve"> SoCalGas </w:t>
      </w:r>
      <w:r w:rsidR="00B233AC">
        <w:t xml:space="preserve">and </w:t>
      </w:r>
      <w:r w:rsidR="00B233AC" w:rsidRPr="00643F92">
        <w:t xml:space="preserve">all of the parties </w:t>
      </w:r>
      <w:r w:rsidR="00B233AC" w:rsidRPr="008D4C06">
        <w:t>in Phase I of its 2009 Biennial</w:t>
      </w:r>
      <w:r w:rsidR="00B233AC">
        <w:t xml:space="preserve"> </w:t>
      </w:r>
      <w:r w:rsidR="00B233AC" w:rsidRPr="008D4C06">
        <w:t>Cost Allocation Proceeding (</w:t>
      </w:r>
      <w:r w:rsidR="00247B88" w:rsidRPr="00FF09F3">
        <w:t xml:space="preserve">BCAP Phase 1 </w:t>
      </w:r>
      <w:r w:rsidR="00247B88" w:rsidRPr="008167C5">
        <w:t>Settlement</w:t>
      </w:r>
      <w:r w:rsidR="00B233AC" w:rsidRPr="008D4C06">
        <w:t>)</w:t>
      </w:r>
      <w:r w:rsidR="005556A8">
        <w:t xml:space="preserve">.  </w:t>
      </w:r>
      <w:r w:rsidR="00B233AC" w:rsidRPr="00643F92">
        <w:t xml:space="preserve">The </w:t>
      </w:r>
      <w:r w:rsidR="00247B88" w:rsidRPr="00FF09F3">
        <w:t xml:space="preserve">BCAP Phase 1 </w:t>
      </w:r>
      <w:r w:rsidR="00B233AC">
        <w:t>Settlement, among other things,</w:t>
      </w:r>
      <w:r w:rsidR="00B233AC" w:rsidRPr="00643F92">
        <w:t xml:space="preserve"> </w:t>
      </w:r>
      <w:r w:rsidR="00B233AC">
        <w:t xml:space="preserve">requires </w:t>
      </w:r>
      <w:r w:rsidR="00B233AC" w:rsidRPr="00643F92">
        <w:t xml:space="preserve">SoCalGas </w:t>
      </w:r>
      <w:r w:rsidR="00B233AC">
        <w:t>to</w:t>
      </w:r>
      <w:r w:rsidR="00B233AC" w:rsidRPr="00643F92">
        <w:t xml:space="preserve"> make commercially reasonable efforts to replace the existing three obsolete LM-1500 turbines used to compress up to 300 MMcf</w:t>
      </w:r>
      <w:r w:rsidR="005556A8">
        <w:t>d</w:t>
      </w:r>
      <w:r w:rsidR="00B233AC" w:rsidRPr="00643F92">
        <w:t xml:space="preserve"> of natural gas for injection into storage at </w:t>
      </w:r>
      <w:r w:rsidR="00247B88">
        <w:t xml:space="preserve">the </w:t>
      </w:r>
      <w:r w:rsidR="00300017" w:rsidRPr="00643F92">
        <w:t>Facility</w:t>
      </w:r>
      <w:r w:rsidR="00B233AC" w:rsidRPr="00643F92">
        <w:t xml:space="preserve">. </w:t>
      </w:r>
    </w:p>
    <w:p w:rsidR="006C753B" w:rsidRDefault="006C753B" w:rsidP="006C753B">
      <w:pPr>
        <w:pStyle w:val="standard"/>
      </w:pPr>
      <w:r>
        <w:t xml:space="preserve">The construction of the </w:t>
      </w:r>
      <w:r w:rsidR="00EF44B5">
        <w:t>Project</w:t>
      </w:r>
      <w:r>
        <w:t xml:space="preserve"> will expand the </w:t>
      </w:r>
      <w:r w:rsidRPr="00643F92">
        <w:t>Storage Field</w:t>
      </w:r>
      <w:r w:rsidRPr="006C753B">
        <w:t>’</w:t>
      </w:r>
      <w:r>
        <w:t>s</w:t>
      </w:r>
      <w:r w:rsidRPr="006C753B">
        <w:t xml:space="preserve"> natural gas injection capacity from approximately 300 </w:t>
      </w:r>
      <w:r w:rsidR="00E14B2C" w:rsidRPr="00643F92">
        <w:t>MMcf</w:t>
      </w:r>
      <w:r w:rsidR="005556A8">
        <w:t>d</w:t>
      </w:r>
      <w:r w:rsidRPr="006C753B">
        <w:t xml:space="preserve"> to approximately 450 </w:t>
      </w:r>
      <w:r w:rsidR="00E14B2C" w:rsidRPr="00643F92">
        <w:t>MMcf</w:t>
      </w:r>
      <w:r w:rsidR="005556A8">
        <w:t>d</w:t>
      </w:r>
      <w:r w:rsidRPr="006C753B">
        <w:t xml:space="preserve">. </w:t>
      </w:r>
      <w:r w:rsidR="00687D1B">
        <w:t>T</w:t>
      </w:r>
      <w:r>
        <w:t xml:space="preserve">he following components at the </w:t>
      </w:r>
      <w:r w:rsidR="00687D1B">
        <w:t>Storage Field are included in the construction</w:t>
      </w:r>
      <w:r w:rsidR="00687D1B" w:rsidRPr="009011C7">
        <w:t xml:space="preserve"> </w:t>
      </w:r>
      <w:r w:rsidR="00687D1B">
        <w:t xml:space="preserve">and operation of the </w:t>
      </w:r>
      <w:r w:rsidR="00EF44B5">
        <w:t>Project</w:t>
      </w:r>
      <w:r>
        <w:t>:</w:t>
      </w:r>
    </w:p>
    <w:p w:rsidR="006C753B" w:rsidRPr="003E0EDC" w:rsidRDefault="006C753B" w:rsidP="005556A8">
      <w:pPr>
        <w:numPr>
          <w:ilvl w:val="0"/>
          <w:numId w:val="38"/>
        </w:numPr>
        <w:spacing w:after="120"/>
        <w:ind w:left="1080" w:right="720"/>
      </w:pPr>
      <w:r>
        <w:t>Central Compressor Station with three new electric-driven, variable-speed compressors and pipelines to connect the station to existing facilities</w:t>
      </w:r>
      <w:r w:rsidRPr="00236389">
        <w:t>;</w:t>
      </w:r>
    </w:p>
    <w:p w:rsidR="006C753B" w:rsidRPr="00236389" w:rsidRDefault="006C753B" w:rsidP="005556A8">
      <w:pPr>
        <w:numPr>
          <w:ilvl w:val="0"/>
          <w:numId w:val="38"/>
        </w:numPr>
        <w:spacing w:after="120"/>
        <w:ind w:left="1080" w:right="720"/>
      </w:pPr>
      <w:r>
        <w:t>12-kilovolt (</w:t>
      </w:r>
      <w:r w:rsidRPr="00236389">
        <w:t xml:space="preserve">kV) Plant Power Line to supply the Central Compressor Station with power; </w:t>
      </w:r>
    </w:p>
    <w:p w:rsidR="006C753B" w:rsidRPr="00236389" w:rsidRDefault="006C753B" w:rsidP="005556A8">
      <w:pPr>
        <w:numPr>
          <w:ilvl w:val="0"/>
          <w:numId w:val="38"/>
        </w:numPr>
        <w:spacing w:after="120"/>
        <w:ind w:left="1080" w:right="720"/>
      </w:pPr>
      <w:r>
        <w:t>O</w:t>
      </w:r>
      <w:r w:rsidRPr="00236389">
        <w:t xml:space="preserve">ffice </w:t>
      </w:r>
      <w:r>
        <w:t>and crew-shift buildings</w:t>
      </w:r>
      <w:r w:rsidRPr="00236389">
        <w:t>; and</w:t>
      </w:r>
    </w:p>
    <w:p w:rsidR="006C753B" w:rsidRDefault="006C753B" w:rsidP="005556A8">
      <w:pPr>
        <w:numPr>
          <w:ilvl w:val="0"/>
          <w:numId w:val="38"/>
        </w:numPr>
        <w:ind w:left="1080" w:right="720"/>
      </w:pPr>
      <w:r w:rsidRPr="00236389">
        <w:t>Guardhouse on a widened</w:t>
      </w:r>
      <w:r>
        <w:t xml:space="preserve"> segment of the existing entry road into the storage field</w:t>
      </w:r>
      <w:r w:rsidRPr="003E0EDC">
        <w:t>.</w:t>
      </w:r>
    </w:p>
    <w:p w:rsidR="006C753B" w:rsidRDefault="006C753B" w:rsidP="00687D1B">
      <w:pPr>
        <w:ind w:left="1080"/>
      </w:pPr>
    </w:p>
    <w:p w:rsidR="006C753B" w:rsidRDefault="00687D1B" w:rsidP="00687D1B">
      <w:pPr>
        <w:pStyle w:val="standard"/>
      </w:pPr>
      <w:r>
        <w:t>In addition, the e</w:t>
      </w:r>
      <w:r w:rsidR="006C753B">
        <w:t xml:space="preserve">xisting compressor station and its three </w:t>
      </w:r>
      <w:r w:rsidR="006C753B" w:rsidRPr="00AC32BA">
        <w:t>g</w:t>
      </w:r>
      <w:r w:rsidR="006C753B">
        <w:t xml:space="preserve">as </w:t>
      </w:r>
      <w:r w:rsidR="006C753B" w:rsidRPr="00AC32BA">
        <w:t>turbi</w:t>
      </w:r>
      <w:r w:rsidR="006C753B">
        <w:t>ne–</w:t>
      </w:r>
      <w:r w:rsidR="006C753B" w:rsidRPr="00AC32BA">
        <w:t>driven compressors</w:t>
      </w:r>
      <w:r>
        <w:t>,</w:t>
      </w:r>
      <w:r w:rsidR="006C753B">
        <w:t xml:space="preserve"> and</w:t>
      </w:r>
      <w:r>
        <w:t xml:space="preserve"> the e</w:t>
      </w:r>
      <w:r w:rsidR="006C753B">
        <w:t xml:space="preserve">xisting main </w:t>
      </w:r>
      <w:r w:rsidR="006C753B" w:rsidRPr="00AC32BA">
        <w:t xml:space="preserve">office </w:t>
      </w:r>
      <w:r w:rsidR="006C753B">
        <w:t>and crew-shift buildings</w:t>
      </w:r>
      <w:r>
        <w:t xml:space="preserve"> will be </w:t>
      </w:r>
      <w:r w:rsidRPr="00ED78F1">
        <w:t>decommission</w:t>
      </w:r>
      <w:r>
        <w:t>ed and removed</w:t>
      </w:r>
      <w:r w:rsidR="006C753B">
        <w:t>.</w:t>
      </w:r>
    </w:p>
    <w:p w:rsidR="00E14B2C" w:rsidRDefault="00E14B2C" w:rsidP="00E14B2C">
      <w:pPr>
        <w:pStyle w:val="standard"/>
      </w:pPr>
      <w:r>
        <w:t>N</w:t>
      </w:r>
      <w:r w:rsidRPr="00C014A5">
        <w:t xml:space="preserve">ew and modified </w:t>
      </w:r>
      <w:r w:rsidR="00191A19" w:rsidRPr="00C014A5">
        <w:t xml:space="preserve">Southern California Edison </w:t>
      </w:r>
      <w:r w:rsidR="00536D30">
        <w:t xml:space="preserve"> Company </w:t>
      </w:r>
      <w:r w:rsidR="00191A19" w:rsidRPr="00C014A5">
        <w:t>(SCE)</w:t>
      </w:r>
      <w:r w:rsidR="00191A19">
        <w:t xml:space="preserve"> </w:t>
      </w:r>
      <w:r>
        <w:t xml:space="preserve">electric service </w:t>
      </w:r>
      <w:r w:rsidRPr="00C014A5">
        <w:t xml:space="preserve">facilities </w:t>
      </w:r>
      <w:r>
        <w:t>are required</w:t>
      </w:r>
      <w:r w:rsidRPr="00C014A5">
        <w:t xml:space="preserve"> </w:t>
      </w:r>
      <w:r>
        <w:t xml:space="preserve">to provide power for the </w:t>
      </w:r>
      <w:r w:rsidR="00EF44B5">
        <w:t>Project</w:t>
      </w:r>
      <w:r>
        <w:t xml:space="preserve">.  </w:t>
      </w:r>
      <w:r w:rsidR="006C753B">
        <w:t xml:space="preserve">To provide power to the electric-driven, variable-speed compressors, SCE </w:t>
      </w:r>
      <w:r w:rsidR="00687D1B">
        <w:t>will c</w:t>
      </w:r>
      <w:r w:rsidR="005556A8">
        <w:t>onstruct and operate a 56</w:t>
      </w:r>
      <w:r w:rsidR="005556A8">
        <w:noBreakHyphen/>
      </w:r>
      <w:r w:rsidR="006C753B">
        <w:t xml:space="preserve">megavolt-ampere, 66/12-kV substation (the Natural </w:t>
      </w:r>
      <w:r w:rsidR="006C753B" w:rsidRPr="00236389">
        <w:t>Substation)</w:t>
      </w:r>
      <w:r w:rsidR="006C753B">
        <w:t xml:space="preserve"> on the </w:t>
      </w:r>
      <w:r w:rsidR="0038391A">
        <w:t xml:space="preserve">Storage Field </w:t>
      </w:r>
      <w:r w:rsidR="006C753B">
        <w:t>site; and</w:t>
      </w:r>
      <w:r w:rsidR="00687D1B">
        <w:t xml:space="preserve"> </w:t>
      </w:r>
      <w:bookmarkStart w:id="9" w:name="OLE_LINK3"/>
      <w:bookmarkStart w:id="10" w:name="OLE_LINK4"/>
      <w:r w:rsidR="00687D1B">
        <w:t>r</w:t>
      </w:r>
      <w:r w:rsidR="006C753B">
        <w:t>econductor</w:t>
      </w:r>
      <w:r w:rsidR="006C753B" w:rsidRPr="001670CC">
        <w:t xml:space="preserve"> </w:t>
      </w:r>
      <w:r w:rsidR="006C753B">
        <w:t xml:space="preserve">and replace </w:t>
      </w:r>
      <w:r w:rsidR="006C753B" w:rsidRPr="00ED78F1">
        <w:t xml:space="preserve">towers and </w:t>
      </w:r>
      <w:r w:rsidR="006C753B" w:rsidRPr="007B595E">
        <w:t>poles</w:t>
      </w:r>
      <w:r w:rsidR="006C753B" w:rsidRPr="001670CC">
        <w:t xml:space="preserve"> </w:t>
      </w:r>
      <w:r w:rsidR="006C753B">
        <w:t xml:space="preserve">along segments of SCE’s </w:t>
      </w:r>
      <w:r w:rsidR="006C753B" w:rsidRPr="00070467">
        <w:t>Chatsworth–MacNeil–Newhall–San Fernando</w:t>
      </w:r>
      <w:r w:rsidR="00687D1B">
        <w:t xml:space="preserve"> 66-kV </w:t>
      </w:r>
      <w:r w:rsidR="006C753B" w:rsidRPr="001670CC">
        <w:t>Subtransmission Line</w:t>
      </w:r>
      <w:r w:rsidR="006C753B">
        <w:t xml:space="preserve"> </w:t>
      </w:r>
      <w:r w:rsidR="006C753B" w:rsidRPr="001670CC">
        <w:t xml:space="preserve">and </w:t>
      </w:r>
      <w:r w:rsidR="006C753B" w:rsidRPr="00070467">
        <w:t>MacNeil–Newhall–San Fernando</w:t>
      </w:r>
      <w:r w:rsidR="006C753B">
        <w:t xml:space="preserve"> </w:t>
      </w:r>
      <w:r w:rsidR="006C753B" w:rsidRPr="001670CC">
        <w:t>66</w:t>
      </w:r>
      <w:r w:rsidR="006C753B">
        <w:noBreakHyphen/>
      </w:r>
      <w:r w:rsidR="006C753B" w:rsidRPr="001670CC">
        <w:t>kV Subtransmission Line</w:t>
      </w:r>
      <w:r w:rsidR="006C753B">
        <w:t xml:space="preserve"> </w:t>
      </w:r>
      <w:r w:rsidR="006C753B" w:rsidRPr="00ED78F1">
        <w:t xml:space="preserve">in the </w:t>
      </w:r>
      <w:r w:rsidR="00EF44B5">
        <w:t>Project</w:t>
      </w:r>
      <w:r w:rsidR="00687D1B" w:rsidRPr="00ED78F1">
        <w:t xml:space="preserve"> </w:t>
      </w:r>
      <w:r w:rsidR="006C753B" w:rsidRPr="00ED78F1">
        <w:t>area</w:t>
      </w:r>
      <w:bookmarkEnd w:id="9"/>
      <w:bookmarkEnd w:id="10"/>
      <w:r w:rsidR="006C753B">
        <w:t>.</w:t>
      </w:r>
      <w:r w:rsidR="00687D1B">
        <w:t xml:space="preserve">  In addition, </w:t>
      </w:r>
      <w:r>
        <w:t>SCE will i</w:t>
      </w:r>
      <w:r w:rsidR="00687D1B">
        <w:t>nstall equipment at SCE’s Newhall, Chatsworth, and San Fernando Substations; and</w:t>
      </w:r>
      <w:r>
        <w:t xml:space="preserve"> i</w:t>
      </w:r>
      <w:r w:rsidR="00687D1B" w:rsidRPr="00210F4A">
        <w:t xml:space="preserve">nstall new </w:t>
      </w:r>
      <w:r w:rsidR="00687D1B">
        <w:t>fiber optic telecommunications</w:t>
      </w:r>
      <w:r w:rsidR="00687D1B" w:rsidRPr="00210F4A">
        <w:t xml:space="preserve"> </w:t>
      </w:r>
      <w:r w:rsidR="00687D1B">
        <w:t xml:space="preserve">cable </w:t>
      </w:r>
      <w:r>
        <w:t xml:space="preserve">in order to </w:t>
      </w:r>
      <w:r w:rsidRPr="006077F4">
        <w:t xml:space="preserve">allow for remote monitoring and operation of </w:t>
      </w:r>
      <w:r>
        <w:t>the electrical facilities.  T</w:t>
      </w:r>
      <w:r w:rsidRPr="009621AE">
        <w:t>he</w:t>
      </w:r>
      <w:r>
        <w:t>se</w:t>
      </w:r>
      <w:r w:rsidRPr="009621AE">
        <w:t xml:space="preserve"> improvements are considered </w:t>
      </w:r>
      <w:r>
        <w:t xml:space="preserve">part of the </w:t>
      </w:r>
      <w:r w:rsidR="00EF44B5">
        <w:t>Project</w:t>
      </w:r>
      <w:r w:rsidRPr="009621AE">
        <w:t xml:space="preserve"> </w:t>
      </w:r>
      <w:r w:rsidR="00247B88">
        <w:t>for purposes of</w:t>
      </w:r>
      <w:r>
        <w:t xml:space="preserve"> the environmental</w:t>
      </w:r>
      <w:r w:rsidRPr="009621AE">
        <w:t xml:space="preserve"> review of the </w:t>
      </w:r>
      <w:r w:rsidR="00EF44B5">
        <w:t>Project</w:t>
      </w:r>
      <w:r w:rsidR="00191A19">
        <w:t xml:space="preserve"> required by the </w:t>
      </w:r>
      <w:r w:rsidR="00191A19" w:rsidRPr="00147944">
        <w:t>California Environmental Quality Act (CEQA)</w:t>
      </w:r>
      <w:r w:rsidRPr="009621AE">
        <w:t>.</w:t>
      </w:r>
      <w:r>
        <w:t xml:space="preserve"> </w:t>
      </w:r>
    </w:p>
    <w:p w:rsidR="00B233AC" w:rsidRDefault="00A853A2" w:rsidP="00B233AC">
      <w:pPr>
        <w:pStyle w:val="standard"/>
      </w:pPr>
      <w:r>
        <w:t>T</w:t>
      </w:r>
      <w:r w:rsidR="00B233AC" w:rsidRPr="0049144E">
        <w:t xml:space="preserve">he total capital cost of the </w:t>
      </w:r>
      <w:r w:rsidR="00EF44B5">
        <w:t>Project</w:t>
      </w:r>
      <w:r w:rsidR="00B233AC" w:rsidRPr="0049144E">
        <w:t xml:space="preserve"> </w:t>
      </w:r>
      <w:r>
        <w:t xml:space="preserve">is estimated </w:t>
      </w:r>
      <w:r w:rsidR="00B233AC" w:rsidRPr="0049144E">
        <w:t>to be $200.9 million</w:t>
      </w:r>
      <w:r w:rsidR="00B233AC">
        <w:t xml:space="preserve">, and </w:t>
      </w:r>
      <w:r>
        <w:t xml:space="preserve">SoCalGas </w:t>
      </w:r>
      <w:r w:rsidR="00B233AC" w:rsidRPr="0049144E">
        <w:t>include</w:t>
      </w:r>
      <w:r w:rsidR="00B233AC">
        <w:t>s</w:t>
      </w:r>
      <w:r w:rsidR="00B233AC" w:rsidRPr="0049144E">
        <w:t xml:space="preserve"> this cost</w:t>
      </w:r>
      <w:r w:rsidR="00B233AC">
        <w:t xml:space="preserve"> estimate </w:t>
      </w:r>
      <w:r w:rsidR="00B233AC" w:rsidRPr="0049144E">
        <w:t xml:space="preserve">in support of its revenue requirement </w:t>
      </w:r>
      <w:r w:rsidR="00B233AC">
        <w:t>estimate</w:t>
      </w:r>
      <w:r w:rsidR="00B233AC" w:rsidRPr="0049144E">
        <w:t>.</w:t>
      </w:r>
    </w:p>
    <w:p w:rsidR="004F5979" w:rsidRDefault="004F5979" w:rsidP="005556A8">
      <w:pPr>
        <w:pStyle w:val="Heading1"/>
        <w:numPr>
          <w:ilvl w:val="0"/>
          <w:numId w:val="37"/>
        </w:numPr>
        <w:ind w:left="720" w:hanging="720"/>
      </w:pPr>
      <w:bookmarkStart w:id="11" w:name="_Toc369507303"/>
      <w:r>
        <w:t>Standard of Review and Governing Law</w:t>
      </w:r>
      <w:bookmarkEnd w:id="8"/>
      <w:bookmarkEnd w:id="11"/>
    </w:p>
    <w:p w:rsidR="004F5979" w:rsidRPr="00147944" w:rsidRDefault="004F5979" w:rsidP="005556A8">
      <w:pPr>
        <w:pStyle w:val="Heading1"/>
        <w:numPr>
          <w:ilvl w:val="1"/>
          <w:numId w:val="37"/>
        </w:numPr>
        <w:ind w:left="1440" w:hanging="720"/>
      </w:pPr>
      <w:bookmarkStart w:id="12" w:name="_Toc319053297"/>
      <w:bookmarkStart w:id="13" w:name="_Toc369507304"/>
      <w:r w:rsidRPr="00147944">
        <w:t>Burden of Proof</w:t>
      </w:r>
      <w:bookmarkEnd w:id="12"/>
      <w:bookmarkEnd w:id="13"/>
    </w:p>
    <w:p w:rsidR="004F5979" w:rsidRDefault="004F5979" w:rsidP="004F5979">
      <w:pPr>
        <w:pStyle w:val="standard"/>
      </w:pPr>
      <w:r>
        <w:t xml:space="preserve">As the Applicant, SoCalGas must demonstrate a need for the </w:t>
      </w:r>
      <w:r w:rsidR="00EF44B5">
        <w:t>Project</w:t>
      </w:r>
      <w:r w:rsidRPr="00941074">
        <w:t xml:space="preserve"> </w:t>
      </w:r>
      <w:r>
        <w:t>for the Commission to issue the CPCN.</w:t>
      </w:r>
      <w:r>
        <w:rPr>
          <w:rStyle w:val="FootnoteReference"/>
        </w:rPr>
        <w:footnoteReference w:id="1"/>
      </w:r>
      <w:r>
        <w:t xml:space="preserve">  The applicant has the burden of affirmatively establishing the reasonableness of all aspects of its application.  (D.06-05-016 at 7.)</w:t>
      </w:r>
    </w:p>
    <w:p w:rsidR="004F5979" w:rsidRDefault="004F5979" w:rsidP="004F5979">
      <w:pPr>
        <w:pStyle w:val="standard"/>
      </w:pPr>
      <w:r>
        <w:t xml:space="preserve">Evidence Code </w:t>
      </w:r>
      <w:r w:rsidR="00B21E1C">
        <w:t>Section</w:t>
      </w:r>
      <w:r>
        <w:t xml:space="preserve"> 115 defines burden of proof as follows:</w:t>
      </w:r>
    </w:p>
    <w:p w:rsidR="004F5979" w:rsidRDefault="004F5979" w:rsidP="004F5979">
      <w:pPr>
        <w:pStyle w:val="Quote1"/>
        <w:spacing w:before="0" w:after="120"/>
      </w:pPr>
      <w:r>
        <w:t xml:space="preserve">“Burden of proof” means the obligation of a party to establish by evidence a requisite degree of belief concerning a fact in </w:t>
      </w:r>
      <w:r w:rsidR="00DD59B9">
        <w:t>the mind of the trier of fact …</w:t>
      </w:r>
      <w:r w:rsidR="00CC0673">
        <w:t xml:space="preserve">. </w:t>
      </w:r>
      <w:r>
        <w:t xml:space="preserve">The burden of proof may require a party to raise a reasonable doubt concerning the existence or nonexistence of a fact or that he establish the existence or nonexistence of a fact by a preponderance of the evidence, by clear and convincing </w:t>
      </w:r>
      <w:r w:rsidR="00CC0673">
        <w:t>proof</w:t>
      </w:r>
      <w:r>
        <w:t>, or by proof beyond a reasonable doubt.</w:t>
      </w:r>
    </w:p>
    <w:p w:rsidR="004F5979" w:rsidRDefault="004F5979" w:rsidP="004F5979">
      <w:pPr>
        <w:pStyle w:val="Quote1"/>
      </w:pPr>
      <w:r>
        <w:t>Except as otherwise provided by law, the burden of proof requires proof by a preponderance of the evidence.</w:t>
      </w:r>
    </w:p>
    <w:p w:rsidR="0066355B" w:rsidRDefault="004F5979" w:rsidP="0066355B">
      <w:pPr>
        <w:pStyle w:val="standard"/>
      </w:pPr>
      <w:r>
        <w:t xml:space="preserve">The preponderance of the evidence is generally the default standard in civil and administrative law cases and we apply that standard in this decision.  </w:t>
      </w:r>
      <w:r w:rsidR="00174F3E">
        <w:t>(</w:t>
      </w:r>
      <w:r>
        <w:t>California Administrative Hearing Practice, 2d Edition (2005) at 365.</w:t>
      </w:r>
      <w:r w:rsidR="00174F3E">
        <w:t>)</w:t>
      </w:r>
    </w:p>
    <w:p w:rsidR="00A853A2" w:rsidRPr="00147944" w:rsidRDefault="00A853A2" w:rsidP="005556A8">
      <w:pPr>
        <w:pStyle w:val="Heading1"/>
        <w:numPr>
          <w:ilvl w:val="1"/>
          <w:numId w:val="37"/>
        </w:numPr>
        <w:ind w:left="1440" w:hanging="720"/>
      </w:pPr>
      <w:bookmarkStart w:id="14" w:name="_Toc369507305"/>
      <w:r>
        <w:t>Settlements</w:t>
      </w:r>
      <w:bookmarkEnd w:id="14"/>
    </w:p>
    <w:p w:rsidR="00191A19" w:rsidRDefault="00A729FB" w:rsidP="00191A19">
      <w:pPr>
        <w:pStyle w:val="standard"/>
      </w:pPr>
      <w:r>
        <w:t xml:space="preserve">The </w:t>
      </w:r>
      <w:r w:rsidR="008A035D">
        <w:t xml:space="preserve">Porter Ranch </w:t>
      </w:r>
      <w:r w:rsidR="008A035D" w:rsidRPr="0015735B">
        <w:t>Settlement</w:t>
      </w:r>
      <w:r w:rsidR="008A035D">
        <w:t xml:space="preserve"> </w:t>
      </w:r>
      <w:r w:rsidR="0066355B">
        <w:t>filed in this proceeding</w:t>
      </w:r>
      <w:r w:rsidRPr="00A729FB">
        <w:t xml:space="preserve"> </w:t>
      </w:r>
      <w:r>
        <w:t xml:space="preserve">addresses the </w:t>
      </w:r>
      <w:r w:rsidR="001973FD">
        <w:t xml:space="preserve">concerns of residents in the vicinity of the Facility about </w:t>
      </w:r>
      <w:r>
        <w:t xml:space="preserve">the </w:t>
      </w:r>
      <w:r w:rsidR="001973FD">
        <w:t xml:space="preserve">safe operation of the </w:t>
      </w:r>
      <w:r>
        <w:t>Facility</w:t>
      </w:r>
      <w:r w:rsidR="001973FD">
        <w:t xml:space="preserve"> in a high fire risk area</w:t>
      </w:r>
      <w:r w:rsidR="0066355B">
        <w:t xml:space="preserve">.  In order for the Commission to consider any possible proposed settlement as being in the public interest, the Commission must be convinced that the parties have a sound and thorough understanding of the </w:t>
      </w:r>
      <w:r>
        <w:t>issues</w:t>
      </w:r>
      <w:r w:rsidR="0066355B">
        <w:t xml:space="preserve"> and </w:t>
      </w:r>
      <w:r w:rsidR="007C239A" w:rsidRPr="00B50F12">
        <w:t>information</w:t>
      </w:r>
      <w:r w:rsidR="0066355B">
        <w:t xml:space="preserve"> included in the record.  This level of understanding of the </w:t>
      </w:r>
      <w:r>
        <w:t xml:space="preserve">issues </w:t>
      </w:r>
      <w:r w:rsidR="0066355B">
        <w:t xml:space="preserve">and development of an adequate record is necessary to meet our requirements for considering any settlement. </w:t>
      </w:r>
      <w:r w:rsidR="00547FF0">
        <w:t xml:space="preserve"> </w:t>
      </w:r>
      <w:r w:rsidR="00191A19" w:rsidRPr="00191A19">
        <w:t>The Commission will not approve settlements, whether contested or uncontested, unless the settlement is reasonable in light of the whole record, consistent with law, and in the public interest.</w:t>
      </w:r>
      <w:r w:rsidR="00191A19">
        <w:rPr>
          <w:rStyle w:val="FootnoteReference"/>
        </w:rPr>
        <w:footnoteReference w:id="2"/>
      </w:r>
    </w:p>
    <w:p w:rsidR="004F5979" w:rsidRPr="00147944" w:rsidRDefault="004F5979" w:rsidP="005556A8">
      <w:pPr>
        <w:pStyle w:val="Heading1"/>
        <w:numPr>
          <w:ilvl w:val="1"/>
          <w:numId w:val="37"/>
        </w:numPr>
        <w:ind w:left="1440" w:hanging="720"/>
      </w:pPr>
      <w:bookmarkStart w:id="15" w:name="_Toc319053298"/>
      <w:bookmarkStart w:id="16" w:name="_Toc369507306"/>
      <w:r w:rsidRPr="00147944">
        <w:t>The CPCN and the CEQA Processes</w:t>
      </w:r>
      <w:bookmarkEnd w:id="15"/>
      <w:bookmarkEnd w:id="16"/>
    </w:p>
    <w:p w:rsidR="004F5979" w:rsidRDefault="004F5979" w:rsidP="004F5979">
      <w:pPr>
        <w:pStyle w:val="sub1"/>
      </w:pPr>
      <w:r>
        <w:t xml:space="preserve">Two different regulatory schemes define this Commission’s responsibilities in reviewing </w:t>
      </w:r>
      <w:r w:rsidR="0011772F" w:rsidRPr="00FC54C0">
        <w:t>SoCalGas’</w:t>
      </w:r>
      <w:r w:rsidR="0011772F">
        <w:t>s</w:t>
      </w:r>
      <w:r w:rsidR="0011772F" w:rsidRPr="00FC54C0">
        <w:t xml:space="preserve"> </w:t>
      </w:r>
      <w:r>
        <w:t xml:space="preserve">request for the approval of </w:t>
      </w:r>
      <w:r w:rsidR="003A79AA">
        <w:t>A.09</w:t>
      </w:r>
      <w:r w:rsidR="003A79AA">
        <w:noBreakHyphen/>
        <w:t>09</w:t>
      </w:r>
      <w:r w:rsidR="003A79AA">
        <w:noBreakHyphen/>
        <w:t>020 (A</w:t>
      </w:r>
      <w:r w:rsidR="003A79AA" w:rsidRPr="00FC54C0">
        <w:t>pplication</w:t>
      </w:r>
      <w:r w:rsidR="003A79AA">
        <w:t>)</w:t>
      </w:r>
      <w:r>
        <w:t xml:space="preserve">.  First, </w:t>
      </w:r>
      <w:r w:rsidR="000F1E16" w:rsidRPr="00CD09D7">
        <w:t>P</w:t>
      </w:r>
      <w:r w:rsidR="000F1E16">
        <w:t xml:space="preserve">ublic </w:t>
      </w:r>
      <w:r w:rsidR="000F1E16" w:rsidRPr="00CD09D7">
        <w:t>U</w:t>
      </w:r>
      <w:r w:rsidR="000F1E16">
        <w:t>tilities</w:t>
      </w:r>
      <w:r w:rsidR="000F1E16" w:rsidRPr="00CD09D7">
        <w:t xml:space="preserve"> </w:t>
      </w:r>
      <w:r w:rsidR="000F1E16">
        <w:t xml:space="preserve">Code </w:t>
      </w:r>
      <w:r w:rsidR="00B21E1C">
        <w:t xml:space="preserve">Section </w:t>
      </w:r>
      <w:r>
        <w:t>1001</w:t>
      </w:r>
      <w:r w:rsidR="005556A8">
        <w:t xml:space="preserve"> </w:t>
      </w:r>
      <w:r w:rsidRPr="00191A19">
        <w:rPr>
          <w:i/>
        </w:rPr>
        <w:t>et seq.</w:t>
      </w:r>
      <w:r w:rsidRPr="00A97DCB">
        <w:t>,</w:t>
      </w:r>
      <w:r>
        <w:t xml:space="preserve"> require that before </w:t>
      </w:r>
      <w:r w:rsidR="0011772F">
        <w:t>SoCalGas</w:t>
      </w:r>
      <w:r w:rsidR="0011772F" w:rsidRPr="00FC54C0">
        <w:t xml:space="preserve"> </w:t>
      </w:r>
      <w:r>
        <w:t xml:space="preserve">can construct the </w:t>
      </w:r>
      <w:r w:rsidR="00EF44B5">
        <w:t>Project</w:t>
      </w:r>
      <w:r>
        <w:t xml:space="preserve">, the Commission must grant a CPCN on the grounds that the present or future public convenience and necessity require or will require construction of the </w:t>
      </w:r>
      <w:r w:rsidR="00EF44B5">
        <w:t>Project</w:t>
      </w:r>
      <w:r>
        <w:t>.</w:t>
      </w:r>
      <w:r w:rsidR="000F1E16">
        <w:rPr>
          <w:vertAlign w:val="superscript"/>
        </w:rPr>
        <w:footnoteReference w:id="3"/>
      </w:r>
      <w:r>
        <w:t xml:space="preserve">  Second, Public Resources Code </w:t>
      </w:r>
      <w:r w:rsidR="00B21E1C">
        <w:t>Section</w:t>
      </w:r>
      <w:r>
        <w:t> 21000</w:t>
      </w:r>
      <w:r w:rsidR="005556A8">
        <w:t> </w:t>
      </w:r>
      <w:r w:rsidRPr="00547FF0">
        <w:rPr>
          <w:i/>
        </w:rPr>
        <w:t>et seq</w:t>
      </w:r>
      <w:r w:rsidRPr="007173D0">
        <w:rPr>
          <w:i/>
        </w:rPr>
        <w:t>.</w:t>
      </w:r>
      <w:r>
        <w:t xml:space="preserve">, require that the Commission, as lead agency for the </w:t>
      </w:r>
      <w:r w:rsidR="00EF44B5">
        <w:t>Project</w:t>
      </w:r>
      <w:r>
        <w:t xml:space="preserve">, prepare an </w:t>
      </w:r>
      <w:r w:rsidR="0011772F">
        <w:t>environmental impact report (</w:t>
      </w:r>
      <w:r>
        <w:t>EIR</w:t>
      </w:r>
      <w:r w:rsidR="0011772F">
        <w:t>)</w:t>
      </w:r>
      <w:r>
        <w:t xml:space="preserve"> assessing the environmental effects of the </w:t>
      </w:r>
      <w:r w:rsidR="00EF44B5">
        <w:t>Project</w:t>
      </w:r>
      <w:r>
        <w:t xml:space="preserve"> for the Commission’s use in considering the request for a CPCN.</w:t>
      </w:r>
      <w:r w:rsidR="00110655">
        <w:rPr>
          <w:rStyle w:val="FootnoteReference"/>
        </w:rPr>
        <w:footnoteReference w:id="4"/>
      </w:r>
      <w:r>
        <w:t xml:space="preserve">  </w:t>
      </w:r>
      <w:r w:rsidR="00174F3E">
        <w:t>(</w:t>
      </w:r>
      <w:r>
        <w:t>D.90</w:t>
      </w:r>
      <w:r>
        <w:noBreakHyphen/>
        <w:t>09</w:t>
      </w:r>
      <w:r>
        <w:noBreakHyphen/>
        <w:t>059, 37 CPUC</w:t>
      </w:r>
      <w:r w:rsidR="00174F3E">
        <w:t xml:space="preserve"> </w:t>
      </w:r>
      <w:r>
        <w:t>2d 413, 421.</w:t>
      </w:r>
      <w:r w:rsidR="00174F3E">
        <w:t>)</w:t>
      </w:r>
    </w:p>
    <w:p w:rsidR="004F5979" w:rsidRDefault="004F5979" w:rsidP="004F5979">
      <w:pPr>
        <w:pStyle w:val="sub1"/>
      </w:pPr>
      <w:r>
        <w:t>To</w:t>
      </w:r>
      <w:r>
        <w:rPr>
          <w:rStyle w:val="standardChar"/>
        </w:rPr>
        <w:t xml:space="preserve"> </w:t>
      </w:r>
      <w:r>
        <w:rPr>
          <w:rStyle w:val="standardChar"/>
          <w:szCs w:val="26"/>
        </w:rPr>
        <w:t>administer the Commission</w:t>
      </w:r>
      <w:r>
        <w:rPr>
          <w:rStyle w:val="standardChar"/>
          <w:rFonts w:hint="eastAsia"/>
          <w:szCs w:val="26"/>
        </w:rPr>
        <w:t>’</w:t>
      </w:r>
      <w:r>
        <w:rPr>
          <w:rStyle w:val="standardChar"/>
          <w:szCs w:val="26"/>
        </w:rPr>
        <w:t xml:space="preserve">s dual </w:t>
      </w:r>
      <w:r>
        <w:t>responsibilities under the Public Utilities Code and Public Resources Code</w:t>
      </w:r>
      <w:r>
        <w:rPr>
          <w:rStyle w:val="standardChar"/>
          <w:szCs w:val="26"/>
        </w:rPr>
        <w:t>, the proceeding was bifurcated into</w:t>
      </w:r>
      <w:r>
        <w:rPr>
          <w:rStyle w:val="standardChar"/>
        </w:rPr>
        <w:t xml:space="preserve"> a review of non</w:t>
      </w:r>
      <w:r>
        <w:rPr>
          <w:rStyle w:val="standardChar"/>
        </w:rPr>
        <w:noBreakHyphen/>
        <w:t xml:space="preserve">environmental/CPCN issues and an environmental review pursuant to </w:t>
      </w:r>
      <w:r>
        <w:rPr>
          <w:bCs/>
        </w:rPr>
        <w:t>CEQA</w:t>
      </w:r>
      <w:r>
        <w:rPr>
          <w:rStyle w:val="standardChar"/>
        </w:rPr>
        <w:t xml:space="preserve">.  </w:t>
      </w:r>
      <w:r>
        <w:t>This was done to avoid confusion and unnecessary duplication of efforts while ensuring a complete record on all issues germane to the Application.</w:t>
      </w:r>
    </w:p>
    <w:p w:rsidR="004F5979" w:rsidRDefault="004F5979" w:rsidP="004F5979">
      <w:pPr>
        <w:pStyle w:val="sub1"/>
      </w:pPr>
      <w:r>
        <w:t>The environmental and non</w:t>
      </w:r>
      <w:r>
        <w:noBreakHyphen/>
        <w:t xml:space="preserve">environmental parts of the proceeding converged when the </w:t>
      </w:r>
      <w:r w:rsidR="00983993">
        <w:t xml:space="preserve">final </w:t>
      </w:r>
      <w:r w:rsidR="00983993" w:rsidRPr="00A95ED1">
        <w:t>EIR</w:t>
      </w:r>
      <w:r w:rsidR="0011772F">
        <w:t xml:space="preserve"> </w:t>
      </w:r>
      <w:r>
        <w:t xml:space="preserve">was </w:t>
      </w:r>
      <w:r>
        <w:rPr>
          <w:rFonts w:hint="eastAsia"/>
        </w:rPr>
        <w:t>submitted</w:t>
      </w:r>
      <w:r>
        <w:t xml:space="preserve"> for certification by the Commission, and, at that time, became part of the proceeding record.  </w:t>
      </w:r>
    </w:p>
    <w:p w:rsidR="004F5979" w:rsidRDefault="005556A8" w:rsidP="005556A8">
      <w:pPr>
        <w:pStyle w:val="Heading1"/>
        <w:numPr>
          <w:ilvl w:val="2"/>
          <w:numId w:val="37"/>
        </w:numPr>
        <w:ind w:left="1800" w:hanging="1080"/>
      </w:pPr>
      <w:bookmarkStart w:id="17" w:name="_Toc319053299"/>
      <w:bookmarkStart w:id="18" w:name="_Toc369507307"/>
      <w:r>
        <w:t>Section 1001</w:t>
      </w:r>
      <w:r w:rsidR="004F5979">
        <w:t xml:space="preserve"> </w:t>
      </w:r>
      <w:r w:rsidR="004F5979" w:rsidRPr="00547FF0">
        <w:rPr>
          <w:i/>
        </w:rPr>
        <w:t>et seq.</w:t>
      </w:r>
      <w:bookmarkEnd w:id="17"/>
      <w:bookmarkEnd w:id="18"/>
    </w:p>
    <w:p w:rsidR="004F5979" w:rsidRDefault="004F5979" w:rsidP="004F5979">
      <w:pPr>
        <w:pStyle w:val="sub1"/>
      </w:pPr>
      <w:r>
        <w:t>The Public Utilities Code requires the Commission to determine that a project is necessary before granting a CPCN.  Also, before granting a CPCN, the Commission considers the financial impacts of a project on the utility’s ratepayers and shareholders.  The Commission reviews the expected project costs, and for those projects estimated to cost more than $50 million the Commission sets the maximum amount that can be spent by the utility on a project without seeking further Commission approval.</w:t>
      </w:r>
    </w:p>
    <w:p w:rsidR="004F5979" w:rsidRDefault="004F5979" w:rsidP="004F5979">
      <w:pPr>
        <w:pStyle w:val="sub1"/>
      </w:pPr>
      <w:r>
        <w:t>In addition, § 1002 requires the Commission to consider the following factors in determining whether or not to grant a CPCN:  (1) community values; (2) recreational and park areas; (3) historical and aesthetic values, and (4) influence on the environment.</w:t>
      </w:r>
    </w:p>
    <w:p w:rsidR="004F5979" w:rsidRDefault="004F5979" w:rsidP="00E76E65">
      <w:pPr>
        <w:pStyle w:val="Heading1"/>
        <w:numPr>
          <w:ilvl w:val="2"/>
          <w:numId w:val="37"/>
        </w:numPr>
        <w:ind w:left="1800" w:hanging="1080"/>
      </w:pPr>
      <w:bookmarkStart w:id="19" w:name="_Toc319053300"/>
      <w:bookmarkStart w:id="20" w:name="_Toc369507308"/>
      <w:r>
        <w:t>CEQA</w:t>
      </w:r>
      <w:bookmarkEnd w:id="19"/>
      <w:bookmarkEnd w:id="20"/>
    </w:p>
    <w:p w:rsidR="004F5979" w:rsidRDefault="004F5979" w:rsidP="004F5979">
      <w:pPr>
        <w:pStyle w:val="sub1"/>
      </w:pPr>
      <w:r>
        <w:t>CEQA requires the lead agency to prepare an EIR when there is substantial evidence that a project may have a significant effect on the environment.  The lead agency is the governmental body with primary authority over a pr</w:t>
      </w:r>
      <w:r w:rsidR="00A853A2">
        <w:t>oposed project which, for this a</w:t>
      </w:r>
      <w:r>
        <w:t>pplication, is this Commission.  The lead agency determines whether or not to prepare an EIR, and, as appropriate, prepares and certifies the EIR.</w:t>
      </w:r>
    </w:p>
    <w:p w:rsidR="004F5979" w:rsidRDefault="004F5979" w:rsidP="004F5979">
      <w:pPr>
        <w:pStyle w:val="sub1"/>
      </w:pPr>
      <w:r>
        <w:t xml:space="preserve">In preparing the EIR, the lead agency must consider alternatives to </w:t>
      </w:r>
      <w:r w:rsidR="00547FF0">
        <w:t>a</w:t>
      </w:r>
      <w:r>
        <w:t xml:space="preserve"> project, including the alternative of no project at all (“no project” alternative).  The lead agency must identify all significant and potentially significant impacts of </w:t>
      </w:r>
      <w:r w:rsidR="00547FF0">
        <w:t>a</w:t>
      </w:r>
      <w:r>
        <w:t xml:space="preserve"> project, must identify the mitigation measures available to lessen those impacts, and must determine whether those mitigation measures would reduce the impacts to less than significant levels.  The lead agency cannot approve </w:t>
      </w:r>
      <w:r w:rsidR="00547FF0">
        <w:t>a</w:t>
      </w:r>
      <w:r>
        <w:t xml:space="preserve"> project </w:t>
      </w:r>
      <w:r w:rsidR="00547FF0">
        <w:t xml:space="preserve">requiring an EIR </w:t>
      </w:r>
      <w:r>
        <w:t xml:space="preserve">until it has certified that the </w:t>
      </w:r>
      <w:r>
        <w:rPr>
          <w:szCs w:val="26"/>
        </w:rPr>
        <w:t>EIR</w:t>
      </w:r>
      <w:r w:rsidDel="007C17B8">
        <w:t xml:space="preserve"> </w:t>
      </w:r>
      <w:r>
        <w:t>is complete.</w:t>
      </w:r>
    </w:p>
    <w:p w:rsidR="004F5979" w:rsidRDefault="004F5979" w:rsidP="004F5979">
      <w:pPr>
        <w:pStyle w:val="sub1"/>
      </w:pPr>
      <w:r>
        <w:t>If the EIR concludes that a project will have a significant impact on the environment even after all reasonable mitigation measures are applied, any CPCN that is granted must be accompanied by a statement of overriding considerations explaining why the project should still be approved.  The authorization that is finally issued must be conditioned on completion of any adopted mitigation measures.</w:t>
      </w:r>
    </w:p>
    <w:p w:rsidR="00675213" w:rsidRDefault="00675213" w:rsidP="00E76E65">
      <w:pPr>
        <w:pStyle w:val="Heading1"/>
        <w:numPr>
          <w:ilvl w:val="2"/>
          <w:numId w:val="37"/>
        </w:numPr>
        <w:ind w:left="1800" w:hanging="1080"/>
      </w:pPr>
      <w:bookmarkStart w:id="21" w:name="_Toc369507309"/>
      <w:r>
        <w:t>Section 963(b)(3)</w:t>
      </w:r>
      <w:bookmarkEnd w:id="21"/>
    </w:p>
    <w:p w:rsidR="00955927" w:rsidRDefault="00955927" w:rsidP="003226F7">
      <w:pPr>
        <w:pStyle w:val="standard"/>
      </w:pPr>
      <w:r>
        <w:t>Section 963(b)(3) requires the Commission and each gas corporation to make the safety of the public and gas corporation employees their top priority.</w:t>
      </w:r>
      <w:r w:rsidRPr="00D42B74">
        <w:rPr>
          <w:rStyle w:val="FootnoteReference"/>
        </w:rPr>
        <w:footnoteReference w:id="5"/>
      </w:r>
    </w:p>
    <w:p w:rsidR="003226F7" w:rsidRDefault="00955927" w:rsidP="003226F7">
      <w:pPr>
        <w:pStyle w:val="standard"/>
      </w:pPr>
      <w:r w:rsidRPr="00ED7C32">
        <w:t xml:space="preserve">In October 2008, </w:t>
      </w:r>
      <w:r>
        <w:t>a</w:t>
      </w:r>
      <w:r w:rsidRPr="00ED7C32">
        <w:t xml:space="preserve"> fire caused wide-ranging damage in the Porter Ranch, Twin Lakes, and Indian Hills communities, and burned portions of the </w:t>
      </w:r>
      <w:r w:rsidRPr="00643F92">
        <w:t>Storage Field</w:t>
      </w:r>
      <w:r w:rsidRPr="00ED7C32">
        <w:t xml:space="preserve"> property</w:t>
      </w:r>
      <w:r>
        <w:t xml:space="preserve"> (</w:t>
      </w:r>
      <w:r w:rsidRPr="00ED7C32">
        <w:t xml:space="preserve">the Sesnon </w:t>
      </w:r>
      <w:r>
        <w:t>F</w:t>
      </w:r>
      <w:r w:rsidRPr="00ED7C32">
        <w:t>ire</w:t>
      </w:r>
      <w:r>
        <w:t>)</w:t>
      </w:r>
      <w:r w:rsidRPr="00ED7C32">
        <w:t xml:space="preserve">.  From October 13 to October 18, the Sesnon </w:t>
      </w:r>
      <w:r>
        <w:t>F</w:t>
      </w:r>
      <w:r w:rsidRPr="00ED7C32">
        <w:t xml:space="preserve">ire burned more than 14,000 acres, resulting in large-scale evacuations in the area. </w:t>
      </w:r>
      <w:r>
        <w:t xml:space="preserve"> M</w:t>
      </w:r>
      <w:r w:rsidRPr="00ED7C32">
        <w:t>any structures were damaged, and 15 residences were destroyed. The cause of the fire was attributed to a downed electrical distribution line</w:t>
      </w:r>
      <w:r>
        <w:t xml:space="preserve"> at the Facility</w:t>
      </w:r>
      <w:r w:rsidRPr="00ED7C32">
        <w:t xml:space="preserve"> that sparked dry brush.</w:t>
      </w:r>
      <w:r w:rsidRPr="004D6EEA">
        <w:rPr>
          <w:rStyle w:val="FootnoteReference"/>
        </w:rPr>
        <w:footnoteReference w:id="6"/>
      </w:r>
      <w:r>
        <w:t xml:space="preserve">  </w:t>
      </w:r>
      <w:r w:rsidR="003A79AA">
        <w:t xml:space="preserve">As discussed below, the protests to the Application filed by </w:t>
      </w:r>
      <w:r w:rsidR="003A79AA" w:rsidRPr="00950FF7">
        <w:t>Porter Ranch resident</w:t>
      </w:r>
      <w:r w:rsidR="003A79AA">
        <w:t>s</w:t>
      </w:r>
      <w:r w:rsidR="003A79AA" w:rsidRPr="00950FF7">
        <w:t xml:space="preserve"> Wesley G. Rogers</w:t>
      </w:r>
      <w:r w:rsidR="003A79AA">
        <w:t xml:space="preserve"> (</w:t>
      </w:r>
      <w:r w:rsidR="003A79AA" w:rsidRPr="00950FF7">
        <w:t>Rogers</w:t>
      </w:r>
      <w:r w:rsidR="003A79AA">
        <w:t>) and Marc Herman</w:t>
      </w:r>
      <w:r w:rsidR="003A79AA" w:rsidRPr="00D42B74">
        <w:t xml:space="preserve"> </w:t>
      </w:r>
      <w:r w:rsidR="003A79AA">
        <w:t>(</w:t>
      </w:r>
      <w:r w:rsidR="003A79AA" w:rsidRPr="00D42B74">
        <w:t>Herman</w:t>
      </w:r>
      <w:r w:rsidR="003A79AA">
        <w:t>)</w:t>
      </w:r>
      <w:r w:rsidR="00547FF0">
        <w:t>, and community member comments at the public participation hearing (PPH) held in this proceeding,</w:t>
      </w:r>
      <w:r w:rsidR="003A79AA">
        <w:t xml:space="preserve"> raised concerns about fire risks and t</w:t>
      </w:r>
      <w:r w:rsidR="00E76E65">
        <w:t>he safety of the Facility.</w:t>
      </w:r>
    </w:p>
    <w:p w:rsidR="003226F7" w:rsidRDefault="003226F7" w:rsidP="003226F7">
      <w:pPr>
        <w:pStyle w:val="standard"/>
      </w:pPr>
      <w:r>
        <w:t>The environmental review undertaken in this proceeding</w:t>
      </w:r>
      <w:r w:rsidRPr="004D6EEA">
        <w:t xml:space="preserve"> </w:t>
      </w:r>
      <w:r w:rsidR="00955927">
        <w:t>is limited to</w:t>
      </w:r>
      <w:r>
        <w:t xml:space="preserve"> the impacts created by the </w:t>
      </w:r>
      <w:r w:rsidR="00EF44B5">
        <w:t>Project</w:t>
      </w:r>
      <w:r>
        <w:t>, and treats existing conditions as the “baseline” for measuring those impacts.</w:t>
      </w:r>
      <w:r>
        <w:rPr>
          <w:rStyle w:val="FootnoteReference"/>
        </w:rPr>
        <w:footnoteReference w:id="7"/>
      </w:r>
      <w:r>
        <w:t xml:space="preserve">  The EIR </w:t>
      </w:r>
      <w:r w:rsidR="00955927">
        <w:t xml:space="preserve">for the Project </w:t>
      </w:r>
      <w:r>
        <w:t xml:space="preserve">does not evaluate ongoing (baseline) risks associated with the existing Facility that do not result from the </w:t>
      </w:r>
      <w:r w:rsidR="00EF44B5">
        <w:t>Project</w:t>
      </w:r>
      <w:r>
        <w:t xml:space="preserve"> or make recommendations to mitigate those risks.</w:t>
      </w:r>
      <w:r>
        <w:rPr>
          <w:rStyle w:val="FootnoteReference"/>
        </w:rPr>
        <w:footnoteReference w:id="8"/>
      </w:r>
      <w:r>
        <w:t xml:space="preserve">  Because the existing fire risks and operational safety concerns raised by Rogers and Herman are not addressed in the </w:t>
      </w:r>
      <w:r w:rsidR="00955927">
        <w:t>EIR</w:t>
      </w:r>
      <w:r>
        <w:t xml:space="preserve">, these issues were considered in the </w:t>
      </w:r>
      <w:r>
        <w:rPr>
          <w:szCs w:val="26"/>
        </w:rPr>
        <w:t>CPCN</w:t>
      </w:r>
      <w:r>
        <w:t xml:space="preserve"> portion of this proceeding.</w:t>
      </w:r>
    </w:p>
    <w:p w:rsidR="004F5979" w:rsidRDefault="004E2515" w:rsidP="004E2515">
      <w:pPr>
        <w:pStyle w:val="standard"/>
      </w:pPr>
      <w:r>
        <w:t>In particular, this proceeding consider</w:t>
      </w:r>
      <w:r w:rsidR="00675213">
        <w:t>ed</w:t>
      </w:r>
      <w:r>
        <w:t xml:space="preserve"> whether rules adopted in R</w:t>
      </w:r>
      <w:r w:rsidR="00E76E65">
        <w:t>ulemaking (R</w:t>
      </w:r>
      <w:r>
        <w:t>.</w:t>
      </w:r>
      <w:r w:rsidR="00E76E65">
        <w:t xml:space="preserve">) </w:t>
      </w:r>
      <w:r w:rsidRPr="004054BB">
        <w:t>08-11-005</w:t>
      </w:r>
      <w:r>
        <w:t xml:space="preserve"> are adequate to ensure the safe operation of the Facility that is located in a </w:t>
      </w:r>
      <w:r w:rsidRPr="007403A9">
        <w:t>Very High fire hazard severity zone</w:t>
      </w:r>
      <w:r>
        <w:t>, and whether any requirements</w:t>
      </w:r>
      <w:r w:rsidRPr="002D3527">
        <w:t xml:space="preserve"> </w:t>
      </w:r>
      <w:r>
        <w:t xml:space="preserve">(in addition to any mitigation measures that may be recommended in the EIR) should </w:t>
      </w:r>
      <w:r w:rsidRPr="00FB5474">
        <w:t>be imposed</w:t>
      </w:r>
      <w:r>
        <w:t xml:space="preserve"> in order </w:t>
      </w:r>
      <w:r w:rsidRPr="00FB5474">
        <w:t xml:space="preserve">to improve </w:t>
      </w:r>
      <w:r>
        <w:t xml:space="preserve">the </w:t>
      </w:r>
      <w:r w:rsidRPr="00FB5474">
        <w:t xml:space="preserve">safety </w:t>
      </w:r>
      <w:r>
        <w:t xml:space="preserve">of the Facility’s operations </w:t>
      </w:r>
      <w:r w:rsidRPr="00FB5474">
        <w:t xml:space="preserve">and </w:t>
      </w:r>
      <w:r>
        <w:t xml:space="preserve">to </w:t>
      </w:r>
      <w:r w:rsidRPr="00FB5474">
        <w:t xml:space="preserve">reduce </w:t>
      </w:r>
      <w:r>
        <w:t xml:space="preserve">existing </w:t>
      </w:r>
      <w:r w:rsidRPr="00FB5474">
        <w:t>fire risks</w:t>
      </w:r>
      <w:r w:rsidR="006445A4">
        <w:t>.</w:t>
      </w:r>
    </w:p>
    <w:p w:rsidR="00433564" w:rsidRDefault="00433564" w:rsidP="00613990">
      <w:pPr>
        <w:pStyle w:val="Heading1"/>
        <w:numPr>
          <w:ilvl w:val="0"/>
          <w:numId w:val="37"/>
        </w:numPr>
        <w:ind w:left="720" w:hanging="720"/>
      </w:pPr>
      <w:bookmarkStart w:id="22" w:name="_Toc319053301"/>
      <w:bookmarkStart w:id="23" w:name="_Toc369507310"/>
      <w:r>
        <w:t>Parties’ Positions</w:t>
      </w:r>
      <w:bookmarkEnd w:id="22"/>
      <w:bookmarkEnd w:id="23"/>
    </w:p>
    <w:p w:rsidR="00DD2018" w:rsidRDefault="00DD2018" w:rsidP="00DD2018">
      <w:pPr>
        <w:pStyle w:val="standard"/>
      </w:pPr>
      <w:r>
        <w:t xml:space="preserve">The </w:t>
      </w:r>
      <w:r w:rsidRPr="00FF09F3">
        <w:t xml:space="preserve">BCAP Phase 1 </w:t>
      </w:r>
      <w:r w:rsidRPr="008167C5">
        <w:t>Settlement Parties</w:t>
      </w:r>
      <w:r w:rsidR="0069383E">
        <w:rPr>
          <w:rStyle w:val="FootnoteReference"/>
        </w:rPr>
        <w:footnoteReference w:id="9"/>
      </w:r>
      <w:r w:rsidR="000F1E16">
        <w:t xml:space="preserve"> filed a joint response</w:t>
      </w:r>
      <w:r>
        <w:t xml:space="preserve"> recommend</w:t>
      </w:r>
      <w:r w:rsidR="000F1E16">
        <w:t>ing</w:t>
      </w:r>
      <w:r>
        <w:t xml:space="preserve"> expeditious approval of the Application because, according to the</w:t>
      </w:r>
      <w:r w:rsidR="0069383E">
        <w:t>m</w:t>
      </w:r>
      <w:r>
        <w:t>, replacing the Aliso Canyon compressor station and adding storage injection capacity to meet increased demand during peak periods is consistent with SoCalGas</w:t>
      </w:r>
      <w:r>
        <w:rPr>
          <w:rFonts w:hint="eastAsia"/>
        </w:rPr>
        <w:t>’</w:t>
      </w:r>
      <w:r w:rsidR="00AF0EA4">
        <w:t>s</w:t>
      </w:r>
      <w:r>
        <w:t xml:space="preserve"> obligation to serve its customers, increases reliability of the SoCalGas transportation system, and helps to reduce natural gas commodity cost volatility.</w:t>
      </w:r>
    </w:p>
    <w:p w:rsidR="008A7C5B" w:rsidRDefault="00F7251C" w:rsidP="00615BCD">
      <w:pPr>
        <w:pStyle w:val="standard"/>
      </w:pPr>
      <w:r w:rsidRPr="004D6EEA">
        <w:t>The Rogers and Herman protests poin</w:t>
      </w:r>
      <w:r w:rsidR="00DD2018">
        <w:t xml:space="preserve">t to the Facility as the source </w:t>
      </w:r>
      <w:r w:rsidR="008E7975">
        <w:t>of the 2008 Sesnon F</w:t>
      </w:r>
      <w:r w:rsidRPr="004D6EEA">
        <w:t>ire and request, among other things, that conditions be imposed on SoCalGas’s operation of the Facility to improve</w:t>
      </w:r>
      <w:r w:rsidR="008A7C5B">
        <w:t xml:space="preserve"> safety and reduce fire risks.</w:t>
      </w:r>
      <w:r w:rsidRPr="00CE07B8">
        <w:t xml:space="preserve">  </w:t>
      </w:r>
      <w:r w:rsidR="00B46EBD">
        <w:t>Rogers recommends that a third-</w:t>
      </w:r>
      <w:r>
        <w:t xml:space="preserve">party expert be retained to determine the appropriate safety protocols that should be implemented by SoCalGas prior to construction of the </w:t>
      </w:r>
      <w:r w:rsidR="00EF44B5">
        <w:t>Project</w:t>
      </w:r>
      <w:r>
        <w:t xml:space="preserve"> and during the subsequent operation of the Facility</w:t>
      </w:r>
      <w:r w:rsidR="00615BCD">
        <w:t xml:space="preserve">, and that SoCalGas be required to implement a vegetation clearance program consistent with Los Angeles Fire Department </w:t>
      </w:r>
      <w:r w:rsidR="00615BCD" w:rsidRPr="00615BCD">
        <w:t>regulation</w:t>
      </w:r>
      <w:r w:rsidR="00615BCD">
        <w:t>s</w:t>
      </w:r>
      <w:r w:rsidR="00615BCD" w:rsidRPr="00615BCD">
        <w:t xml:space="preserve"> for transmission and distribution </w:t>
      </w:r>
      <w:r w:rsidR="008E7975">
        <w:t xml:space="preserve">lines serving </w:t>
      </w:r>
      <w:r w:rsidR="00615BCD">
        <w:t>the Facility</w:t>
      </w:r>
      <w:r w:rsidRPr="000F5CDC">
        <w:t>.</w:t>
      </w:r>
      <w:r w:rsidR="0069383E">
        <w:rPr>
          <w:rStyle w:val="FootnoteReference"/>
        </w:rPr>
        <w:footnoteReference w:id="10"/>
      </w:r>
    </w:p>
    <w:p w:rsidR="00F7251C" w:rsidRPr="000F5CDC" w:rsidRDefault="00F7251C" w:rsidP="00F7251C">
      <w:pPr>
        <w:pStyle w:val="standard"/>
      </w:pPr>
      <w:r>
        <w:t xml:space="preserve">In </w:t>
      </w:r>
      <w:r w:rsidR="00714AA2">
        <w:t>a</w:t>
      </w:r>
      <w:r>
        <w:t xml:space="preserve">ddition, Rogers recommends that SoCalGas, in conjunction with the neighborhood councils of the </w:t>
      </w:r>
      <w:r w:rsidR="008E7975">
        <w:t xml:space="preserve">Chatsworth, Granada Hills, and Porter Ranch </w:t>
      </w:r>
      <w:r>
        <w:t>communities adjacent to the Facility arrange for public oversight of the safety program for the Facility, including disclosure of SoCalGas’</w:t>
      </w:r>
      <w:r w:rsidR="008E7975">
        <w:t>s</w:t>
      </w:r>
      <w:r>
        <w:t xml:space="preserve"> annual safety and management budget for the Facility, the Facility’s safety and maintenance plan, and all ongoing safety audits, inspections, and maintenance activity logs.</w:t>
      </w:r>
    </w:p>
    <w:p w:rsidR="00F7251C" w:rsidRDefault="00F7251C" w:rsidP="00F7251C">
      <w:pPr>
        <w:pStyle w:val="standard"/>
      </w:pPr>
      <w:r w:rsidRPr="002245B1">
        <w:t xml:space="preserve">SoCalGas </w:t>
      </w:r>
      <w:r w:rsidR="00571065">
        <w:t>responds</w:t>
      </w:r>
      <w:r w:rsidRPr="002245B1">
        <w:t xml:space="preserve"> that </w:t>
      </w:r>
      <w:r>
        <w:t xml:space="preserve">the Facility already has adequate fire safety measures in place, pursuant to the requirements </w:t>
      </w:r>
      <w:r w:rsidRPr="002245B1">
        <w:t>adopted</w:t>
      </w:r>
      <w:r>
        <w:t xml:space="preserve"> in </w:t>
      </w:r>
      <w:r w:rsidR="00975DBA">
        <w:t>R.</w:t>
      </w:r>
      <w:r>
        <w:t>08-11-00</w:t>
      </w:r>
      <w:r w:rsidRPr="002245B1">
        <w:t>5</w:t>
      </w:r>
      <w:r>
        <w:t xml:space="preserve">.  According to </w:t>
      </w:r>
      <w:r w:rsidRPr="002245B1">
        <w:t>SoCalGas</w:t>
      </w:r>
      <w:r>
        <w:t>,</w:t>
      </w:r>
      <w:r w:rsidRPr="002245B1">
        <w:t xml:space="preserve"> </w:t>
      </w:r>
      <w:r>
        <w:t xml:space="preserve">these recently adopted requirements and those in General Orders (GOs) 95 and 165 are </w:t>
      </w:r>
      <w:r w:rsidRPr="00D671EE">
        <w:t>sufficient to ensure the safety</w:t>
      </w:r>
      <w:r>
        <w:t xml:space="preserve"> of the F</w:t>
      </w:r>
      <w:r w:rsidRPr="00D671EE">
        <w:t>acility</w:t>
      </w:r>
      <w:r w:rsidR="00613990">
        <w:t>.</w:t>
      </w:r>
    </w:p>
    <w:p w:rsidR="00EF44B5" w:rsidRDefault="000F1E16" w:rsidP="00EF44B5">
      <w:pPr>
        <w:pStyle w:val="Heading1"/>
        <w:numPr>
          <w:ilvl w:val="0"/>
          <w:numId w:val="37"/>
        </w:numPr>
      </w:pPr>
      <w:bookmarkStart w:id="24" w:name="_Toc369507311"/>
      <w:bookmarkStart w:id="25" w:name="_Toc319053307"/>
      <w:r>
        <w:t>Proce</w:t>
      </w:r>
      <w:r w:rsidR="00677BC6">
        <w:t>d</w:t>
      </w:r>
      <w:r>
        <w:t>ural History</w:t>
      </w:r>
      <w:bookmarkEnd w:id="24"/>
    </w:p>
    <w:p w:rsidR="00EF44B5" w:rsidRDefault="00EF44B5" w:rsidP="00EF44B5">
      <w:pPr>
        <w:pStyle w:val="standard"/>
      </w:pPr>
      <w:r>
        <w:t xml:space="preserve">On September 30, 2009, </w:t>
      </w:r>
      <w:r w:rsidRPr="00643F92">
        <w:t xml:space="preserve">SoCalGas </w:t>
      </w:r>
      <w:r w:rsidRPr="00FC54C0">
        <w:t>file</w:t>
      </w:r>
      <w:r>
        <w:t>d</w:t>
      </w:r>
      <w:r w:rsidRPr="00FC54C0">
        <w:t xml:space="preserve"> </w:t>
      </w:r>
      <w:r w:rsidR="003A79AA">
        <w:t xml:space="preserve">the </w:t>
      </w:r>
      <w:r>
        <w:t>A</w:t>
      </w:r>
      <w:r w:rsidRPr="00FC54C0">
        <w:t>pplication requesting that the</w:t>
      </w:r>
      <w:r>
        <w:t xml:space="preserve"> </w:t>
      </w:r>
      <w:r w:rsidRPr="00FC54C0">
        <w:t>Commission</w:t>
      </w:r>
      <w:r>
        <w:t xml:space="preserve"> </w:t>
      </w:r>
      <w:r w:rsidRPr="00FC54C0">
        <w:t xml:space="preserve">amend </w:t>
      </w:r>
      <w:r>
        <w:t>its</w:t>
      </w:r>
      <w:r w:rsidRPr="00FC54C0">
        <w:t xml:space="preserve"> </w:t>
      </w:r>
      <w:r w:rsidR="003A79AA" w:rsidRPr="00FC54C0">
        <w:t>CPCN</w:t>
      </w:r>
      <w:r w:rsidRPr="00FC54C0">
        <w:t xml:space="preserve"> </w:t>
      </w:r>
      <w:r w:rsidRPr="008802F8">
        <w:t>in order to authorize replacement of three obsolete</w:t>
      </w:r>
      <w:r w:rsidR="00C80073">
        <w:t xml:space="preserve"> TDCs</w:t>
      </w:r>
      <w:r w:rsidRPr="008802F8">
        <w:t xml:space="preserve"> and associated equipment with a new electric compressor station and construction of </w:t>
      </w:r>
      <w:r w:rsidR="00505016">
        <w:t>other improvements at the Aliso </w:t>
      </w:r>
      <w:r w:rsidRPr="008802F8">
        <w:t>Canyon Storage Field</w:t>
      </w:r>
      <w:r>
        <w:t>.</w:t>
      </w:r>
      <w:r>
        <w:rPr>
          <w:rStyle w:val="FootnoteReference"/>
        </w:rPr>
        <w:footnoteReference w:id="11"/>
      </w:r>
    </w:p>
    <w:p w:rsidR="00EF44B5" w:rsidRDefault="00EF44B5" w:rsidP="00EF44B5">
      <w:pPr>
        <w:pStyle w:val="standard"/>
      </w:pPr>
      <w:r w:rsidRPr="00FC54C0">
        <w:t>SoCalGas</w:t>
      </w:r>
      <w:r>
        <w:t xml:space="preserve"> also requests </w:t>
      </w:r>
      <w:r w:rsidRPr="00FC54C0">
        <w:t>approv</w:t>
      </w:r>
      <w:r>
        <w:t>al of</w:t>
      </w:r>
      <w:r w:rsidRPr="00FC54C0">
        <w:t xml:space="preserve"> </w:t>
      </w:r>
      <w:r>
        <w:t>its proposed</w:t>
      </w:r>
      <w:r w:rsidRPr="00FC54C0">
        <w:t xml:space="preserve"> revenue requirement, rate treatment, and regulatory accounting for the </w:t>
      </w:r>
      <w:r>
        <w:t>Project</w:t>
      </w:r>
      <w:r w:rsidRPr="00FC54C0">
        <w:t xml:space="preserve">; </w:t>
      </w:r>
      <w:r w:rsidRPr="00CD09D7">
        <w:t xml:space="preserve">grant approval related to the expansion of an easement necessary for completion of the </w:t>
      </w:r>
      <w:r>
        <w:t>Project pursuant to § </w:t>
      </w:r>
      <w:r w:rsidRPr="00CD09D7">
        <w:t>851;</w:t>
      </w:r>
      <w:r>
        <w:t xml:space="preserve"> </w:t>
      </w:r>
      <w:r w:rsidRPr="00CD09D7">
        <w:t xml:space="preserve">adopt a Mitigated Negative Declaration and issue a Notice of Determination pursuant to </w:t>
      </w:r>
      <w:r w:rsidR="000F1E16" w:rsidRPr="00CD09D7">
        <w:t>CEQA</w:t>
      </w:r>
      <w:r>
        <w:rPr>
          <w:rStyle w:val="FootnoteReference"/>
        </w:rPr>
        <w:footnoteReference w:id="12"/>
      </w:r>
      <w:r w:rsidRPr="00CD09D7">
        <w:t>; and</w:t>
      </w:r>
      <w:r>
        <w:t xml:space="preserve"> </w:t>
      </w:r>
      <w:r w:rsidRPr="00FC54C0">
        <w:t xml:space="preserve">confirm that the Commission has preemptory authority over conflicting </w:t>
      </w:r>
      <w:r>
        <w:t>city and county</w:t>
      </w:r>
      <w:r w:rsidRPr="00FC54C0">
        <w:t xml:space="preserve"> zoning regulations, ordinances, codes, or requirements.</w:t>
      </w:r>
    </w:p>
    <w:p w:rsidR="0055603B" w:rsidRDefault="00EF44B5" w:rsidP="00EF44B5">
      <w:pPr>
        <w:pStyle w:val="standard"/>
      </w:pPr>
      <w:r w:rsidRPr="00B140F5">
        <w:t xml:space="preserve">Notice of the </w:t>
      </w:r>
      <w:r>
        <w:t>Application</w:t>
      </w:r>
      <w:r w:rsidRPr="00B140F5">
        <w:t xml:space="preserve"> appeared in the Commission’s </w:t>
      </w:r>
      <w:r>
        <w:t>October 1</w:t>
      </w:r>
      <w:r w:rsidRPr="00B140F5">
        <w:t>, 200</w:t>
      </w:r>
      <w:r>
        <w:t>9</w:t>
      </w:r>
      <w:r w:rsidRPr="00B140F5">
        <w:t xml:space="preserve"> </w:t>
      </w:r>
      <w:r w:rsidRPr="00DE05F5">
        <w:t>Daily Calendar</w:t>
      </w:r>
      <w:r w:rsidR="00505016">
        <w:t>.</w:t>
      </w:r>
    </w:p>
    <w:p w:rsidR="00EF44B5" w:rsidRDefault="00EF44B5" w:rsidP="00EF44B5">
      <w:pPr>
        <w:pStyle w:val="standard"/>
      </w:pPr>
      <w:r>
        <w:t xml:space="preserve">Protests to the Application were filed by </w:t>
      </w:r>
      <w:r w:rsidRPr="00950FF7">
        <w:t>Porter Ranch resident</w:t>
      </w:r>
      <w:r>
        <w:t>s</w:t>
      </w:r>
      <w:r w:rsidRPr="00950FF7">
        <w:t xml:space="preserve"> Rogers</w:t>
      </w:r>
      <w:r>
        <w:t xml:space="preserve"> and Herman</w:t>
      </w:r>
      <w:r w:rsidR="0055603B">
        <w:t xml:space="preserve"> on </w:t>
      </w:r>
      <w:r w:rsidRPr="0005686D">
        <w:t xml:space="preserve">October 28, </w:t>
      </w:r>
      <w:r w:rsidR="0055603B">
        <w:t>and</w:t>
      </w:r>
      <w:r>
        <w:t xml:space="preserve"> </w:t>
      </w:r>
      <w:r w:rsidRPr="0005686D">
        <w:t>October 2</w:t>
      </w:r>
      <w:r>
        <w:t>9</w:t>
      </w:r>
      <w:r w:rsidRPr="0005686D">
        <w:t>, 2009</w:t>
      </w:r>
      <w:r>
        <w:t>, respectively</w:t>
      </w:r>
      <w:r w:rsidRPr="009D09F9">
        <w:t>.</w:t>
      </w:r>
      <w:r>
        <w:rPr>
          <w:rStyle w:val="FootnoteReference"/>
        </w:rPr>
        <w:footnoteReference w:id="13"/>
      </w:r>
      <w:r>
        <w:t xml:space="preserve">  </w:t>
      </w:r>
      <w:r w:rsidR="0055603B">
        <w:t xml:space="preserve">The Utility Reform Network </w:t>
      </w:r>
      <w:r w:rsidR="0055603B" w:rsidRPr="00803582">
        <w:t>(</w:t>
      </w:r>
      <w:r w:rsidR="0055603B">
        <w:t>TURN</w:t>
      </w:r>
      <w:r w:rsidR="0055603B" w:rsidRPr="00803582">
        <w:t>)</w:t>
      </w:r>
      <w:r w:rsidR="0055603B">
        <w:t xml:space="preserve"> protested the Application on November 3, 2009</w:t>
      </w:r>
      <w:r w:rsidR="0055603B" w:rsidRPr="005D2669">
        <w:t xml:space="preserve"> but subsequently informed the Commission that it would not actively participate in the proceeding</w:t>
      </w:r>
      <w:r w:rsidR="0055603B">
        <w:t>, effectively withdrawing its protest</w:t>
      </w:r>
      <w:r w:rsidR="0055603B" w:rsidRPr="005D2669">
        <w:t>.</w:t>
      </w:r>
      <w:r w:rsidR="0055603B">
        <w:rPr>
          <w:rStyle w:val="FootnoteReference"/>
        </w:rPr>
        <w:footnoteReference w:id="14"/>
      </w:r>
      <w:r w:rsidR="0055603B">
        <w:t xml:space="preserve">  </w:t>
      </w:r>
      <w:r w:rsidRPr="00950FF7">
        <w:t xml:space="preserve">On </w:t>
      </w:r>
      <w:r>
        <w:t>November 2</w:t>
      </w:r>
      <w:r w:rsidRPr="00950FF7">
        <w:t xml:space="preserve">, 2009, </w:t>
      </w:r>
      <w:r w:rsidR="0069383E">
        <w:t xml:space="preserve">the </w:t>
      </w:r>
      <w:r w:rsidR="0069383E" w:rsidRPr="00FF09F3">
        <w:t xml:space="preserve">BCAP Phase 1 </w:t>
      </w:r>
      <w:r w:rsidR="0069383E" w:rsidRPr="008167C5">
        <w:t>Settlement</w:t>
      </w:r>
      <w:r w:rsidR="0069383E">
        <w:t xml:space="preserve"> filed</w:t>
      </w:r>
      <w:r w:rsidR="0069383E" w:rsidRPr="008167C5">
        <w:t xml:space="preserve"> </w:t>
      </w:r>
      <w:r w:rsidR="0069383E" w:rsidRPr="00950FF7">
        <w:t>a joint response in support of the Application</w:t>
      </w:r>
      <w:r w:rsidR="0069383E">
        <w:t xml:space="preserve">. </w:t>
      </w:r>
      <w:r w:rsidR="0069383E" w:rsidRPr="00950FF7">
        <w:t xml:space="preserve"> </w:t>
      </w:r>
      <w:r w:rsidRPr="004C2ABD">
        <w:t>On November 12, 2009, SoCalGas filed its reply to the protests of TURN and Rogers.</w:t>
      </w:r>
      <w:r w:rsidRPr="004C2ABD">
        <w:rPr>
          <w:rStyle w:val="FootnoteReference"/>
        </w:rPr>
        <w:footnoteReference w:id="15"/>
      </w:r>
    </w:p>
    <w:p w:rsidR="00EF44B5" w:rsidRDefault="0055603B" w:rsidP="00EF44B5">
      <w:pPr>
        <w:pStyle w:val="standard"/>
      </w:pPr>
      <w:r>
        <w:t>P</w:t>
      </w:r>
      <w:r w:rsidR="00EF44B5">
        <w:t xml:space="preserve">rehearing conference (PHC) statements were filed and served by </w:t>
      </w:r>
      <w:r w:rsidR="00EF44B5" w:rsidRPr="004C2ABD">
        <w:t>SoCalGas and Rogers</w:t>
      </w:r>
      <w:r>
        <w:t>, pursuant to the March 19, 2010 Administrative Law Judge (ALJ) ruling</w:t>
      </w:r>
      <w:r w:rsidR="00EF44B5">
        <w:t xml:space="preserve">.  The April 27, 2010 ALJ ruling delayed the PHC until after the issuance of the draft EIR for the Project, at which time it would be known if the draft EIR addressed the fire safety concerns raised by Rogers and Herman.  </w:t>
      </w:r>
      <w:r w:rsidR="00EF44B5" w:rsidRPr="009C40D5">
        <w:rPr>
          <w:szCs w:val="24"/>
        </w:rPr>
        <w:t>The draft EIR</w:t>
      </w:r>
      <w:r w:rsidR="00EF44B5">
        <w:rPr>
          <w:szCs w:val="24"/>
        </w:rPr>
        <w:t xml:space="preserve"> was published on April 4, 2012</w:t>
      </w:r>
      <w:r w:rsidR="00EF44B5">
        <w:t>.</w:t>
      </w:r>
      <w:r w:rsidR="00EF44B5">
        <w:rPr>
          <w:rStyle w:val="FootnoteReference"/>
        </w:rPr>
        <w:footnoteReference w:id="16"/>
      </w:r>
    </w:p>
    <w:p w:rsidR="00EF44B5" w:rsidRDefault="00EF44B5" w:rsidP="00EF44B5">
      <w:pPr>
        <w:pStyle w:val="standard"/>
      </w:pPr>
      <w:r>
        <w:t xml:space="preserve">A PHC was held in Northridge on </w:t>
      </w:r>
      <w:r w:rsidRPr="00751417">
        <w:t>August 14, 2012</w:t>
      </w:r>
      <w:r>
        <w:t>, in the vicinity of the Project</w:t>
      </w:r>
      <w:r w:rsidRPr="005D55FC">
        <w:rPr>
          <w:szCs w:val="24"/>
        </w:rPr>
        <w:t xml:space="preserve">, where </w:t>
      </w:r>
      <w:r w:rsidRPr="007D7FC2">
        <w:t>Rogers</w:t>
      </w:r>
      <w:r>
        <w:t>,</w:t>
      </w:r>
      <w:r w:rsidRPr="007D7FC2">
        <w:t xml:space="preserve"> Herman</w:t>
      </w:r>
      <w:r>
        <w:rPr>
          <w:szCs w:val="24"/>
        </w:rPr>
        <w:t xml:space="preserve">, and </w:t>
      </w:r>
      <w:r w:rsidRPr="005D55FC">
        <w:rPr>
          <w:szCs w:val="24"/>
        </w:rPr>
        <w:t xml:space="preserve">representatives of </w:t>
      </w:r>
      <w:r>
        <w:t xml:space="preserve">SoCalGas, </w:t>
      </w:r>
      <w:r w:rsidR="00191A19">
        <w:t>SCE</w:t>
      </w:r>
      <w:r>
        <w:rPr>
          <w:szCs w:val="24"/>
        </w:rPr>
        <w:t xml:space="preserve">, and Southern California Generation Coalition </w:t>
      </w:r>
      <w:r w:rsidRPr="005D55FC">
        <w:rPr>
          <w:szCs w:val="24"/>
        </w:rPr>
        <w:t>were in attendance.</w:t>
      </w:r>
      <w:r>
        <w:t xml:space="preserve">  In addition, a PPH was held in Northridge on </w:t>
      </w:r>
      <w:r w:rsidRPr="00751417">
        <w:t>August 14, 2012</w:t>
      </w:r>
      <w:r>
        <w:t>, in the vicinity of the Project, where approximately 30 members of the public were in attendance</w:t>
      </w:r>
      <w:r w:rsidRPr="007D7FC2">
        <w:t>.</w:t>
      </w:r>
    </w:p>
    <w:p w:rsidR="00EF44B5" w:rsidRDefault="00EF44B5" w:rsidP="00EF44B5">
      <w:pPr>
        <w:pStyle w:val="standard"/>
      </w:pPr>
      <w:r>
        <w:t xml:space="preserve">On </w:t>
      </w:r>
      <w:r w:rsidRPr="00A52BEE">
        <w:t>October 16</w:t>
      </w:r>
      <w:r>
        <w:t>,</w:t>
      </w:r>
      <w:r w:rsidRPr="00A52BEE">
        <w:t xml:space="preserve"> 2012</w:t>
      </w:r>
      <w:r>
        <w:t xml:space="preserve">, the </w:t>
      </w:r>
      <w:r w:rsidR="00156246">
        <w:t>S</w:t>
      </w:r>
      <w:r>
        <w:t xml:space="preserve">coping </w:t>
      </w:r>
      <w:r w:rsidR="00156246">
        <w:t>M</w:t>
      </w:r>
      <w:r>
        <w:t xml:space="preserve">emo and </w:t>
      </w:r>
      <w:r w:rsidR="00156246">
        <w:t>R</w:t>
      </w:r>
      <w:r>
        <w:t>uling of Assigned Commissioner and ALJ (Scoping Memo) was issued.  The Scoping Memo confirmed</w:t>
      </w:r>
      <w:r w:rsidRPr="001A34BE">
        <w:t xml:space="preserve"> </w:t>
      </w:r>
      <w:r>
        <w:t>the Commission’s preliminary finding in Resolution ALJ 176</w:t>
      </w:r>
      <w:r>
        <w:noBreakHyphen/>
        <w:t>3242, issued on October 15, 2009, that the category for this proceeding is ratesetting, and that evidentiary hearings (EHs) we</w:t>
      </w:r>
      <w:r w:rsidRPr="001A34BE">
        <w:t>re necessary</w:t>
      </w:r>
      <w:r>
        <w:t xml:space="preserve">.  The scoping memo determined that EHs were needed on whether the rules adopted in </w:t>
      </w:r>
      <w:r w:rsidRPr="002245B1">
        <w:t>R.</w:t>
      </w:r>
      <w:r w:rsidRPr="004054BB">
        <w:t>08-11-005</w:t>
      </w:r>
      <w:r>
        <w:rPr>
          <w:rStyle w:val="FootnoteReference"/>
        </w:rPr>
        <w:footnoteReference w:id="17"/>
      </w:r>
      <w:r>
        <w:t xml:space="preserve"> are adequate to ensure the safe operation of </w:t>
      </w:r>
      <w:r>
        <w:rPr>
          <w:shd w:val="clear" w:color="auto" w:fill="FFFFFF"/>
        </w:rPr>
        <w:t>the Facility</w:t>
      </w:r>
      <w:r>
        <w:t>, and if requirements</w:t>
      </w:r>
      <w:r w:rsidRPr="002D3527">
        <w:t xml:space="preserve"> </w:t>
      </w:r>
      <w:r>
        <w:t xml:space="preserve">(in addition to any mitigation measures recommended in the EIR) should </w:t>
      </w:r>
      <w:r w:rsidRPr="00FB5474">
        <w:t>be imposed</w:t>
      </w:r>
      <w:r>
        <w:t xml:space="preserve"> on any CPCN that may be granted in order </w:t>
      </w:r>
      <w:r w:rsidRPr="00FB5474">
        <w:t xml:space="preserve">to improve </w:t>
      </w:r>
      <w:r>
        <w:t xml:space="preserve">the </w:t>
      </w:r>
      <w:r w:rsidRPr="00FB5474">
        <w:t xml:space="preserve">safety </w:t>
      </w:r>
      <w:r>
        <w:t xml:space="preserve">of the Facility’s operations </w:t>
      </w:r>
      <w:r w:rsidRPr="00FB5474">
        <w:t xml:space="preserve">and </w:t>
      </w:r>
      <w:r>
        <w:t xml:space="preserve">to </w:t>
      </w:r>
      <w:r w:rsidRPr="00FB5474">
        <w:t xml:space="preserve">reduce </w:t>
      </w:r>
      <w:r>
        <w:t>existing fire risks.</w:t>
      </w:r>
    </w:p>
    <w:p w:rsidR="00EF44B5" w:rsidRDefault="00EF44B5" w:rsidP="00EF44B5">
      <w:pPr>
        <w:pStyle w:val="standard"/>
      </w:pPr>
      <w:r>
        <w:t xml:space="preserve">The scoping Memo scheduled EHs to begin on </w:t>
      </w:r>
      <w:r w:rsidRPr="00A853A2">
        <w:t>December 19, 2012</w:t>
      </w:r>
      <w:r w:rsidR="007C1100">
        <w:t>, and t</w:t>
      </w:r>
      <w:r>
        <w:t>he November 2, 2012 ALJ ruling denied Rogers’ and Herman’s request for a delay in EHs.</w:t>
      </w:r>
      <w:r>
        <w:rPr>
          <w:rStyle w:val="FootnoteReference"/>
        </w:rPr>
        <w:footnoteReference w:id="18"/>
      </w:r>
      <w:r w:rsidR="007C1100">
        <w:t xml:space="preserve">  </w:t>
      </w:r>
      <w:r>
        <w:t>On November 16, 2012, SoCalGas served its direct testimony.  No other party served direct testimony and no party served reply testimony.</w:t>
      </w:r>
    </w:p>
    <w:p w:rsidR="00EF44B5" w:rsidRDefault="00EF44B5" w:rsidP="00EF44B5">
      <w:pPr>
        <w:pStyle w:val="standard"/>
      </w:pPr>
      <w:r>
        <w:t>On November 27, 2012, SoCalGas, Rogers, and Herman filed and served a motion for adoption of settlement agreement and suspension of hearing a</w:t>
      </w:r>
      <w:r w:rsidRPr="00D411C6">
        <w:t>nd briefing schedule</w:t>
      </w:r>
      <w:r>
        <w:t xml:space="preserve">.  </w:t>
      </w:r>
      <w:r w:rsidRPr="00D57EBC">
        <w:t xml:space="preserve">The </w:t>
      </w:r>
      <w:r>
        <w:t xml:space="preserve">November 29, 2012 </w:t>
      </w:r>
      <w:r w:rsidRPr="00D57EBC">
        <w:t xml:space="preserve">ALJ ruling amended the proceeding schedule to </w:t>
      </w:r>
      <w:r>
        <w:t>suspend EHs and post-hea</w:t>
      </w:r>
      <w:r w:rsidR="00156246">
        <w:t>ring briefs.</w:t>
      </w:r>
    </w:p>
    <w:p w:rsidR="00EF44B5" w:rsidRDefault="00EF44B5" w:rsidP="00EF44B5">
      <w:pPr>
        <w:pStyle w:val="standard"/>
      </w:pPr>
      <w:r>
        <w:t xml:space="preserve">No comments </w:t>
      </w:r>
      <w:r w:rsidR="007C1100">
        <w:t>were filed</w:t>
      </w:r>
      <w:r w:rsidR="007C1100" w:rsidRPr="0015735B">
        <w:t xml:space="preserve"> </w:t>
      </w:r>
      <w:r w:rsidRPr="0015735B">
        <w:t xml:space="preserve">on the proposed settlement </w:t>
      </w:r>
      <w:r>
        <w:t xml:space="preserve">between </w:t>
      </w:r>
      <w:r w:rsidRPr="0015735B">
        <w:t xml:space="preserve">SoCalGas </w:t>
      </w:r>
      <w:r>
        <w:t xml:space="preserve">and Porter Ranch residents </w:t>
      </w:r>
      <w:r w:rsidRPr="0015735B">
        <w:t>(</w:t>
      </w:r>
      <w:r w:rsidR="007C1100">
        <w:t>Porter Ranch Settlement Agreement Agreement</w:t>
      </w:r>
      <w:r>
        <w:t xml:space="preserve">).  </w:t>
      </w:r>
      <w:r w:rsidRPr="0015735B">
        <w:t xml:space="preserve">The </w:t>
      </w:r>
      <w:r>
        <w:t>January 3</w:t>
      </w:r>
      <w:r w:rsidRPr="0015735B">
        <w:t xml:space="preserve">, 2013 ALJ ruling directed SoCalGas, Rogers, and Herman to clarify portions of the </w:t>
      </w:r>
      <w:r w:rsidR="007C1100">
        <w:t>Porter Ranch Settlement Agreement</w:t>
      </w:r>
      <w:r>
        <w:t xml:space="preserve">, and on January 14, 2013, </w:t>
      </w:r>
      <w:r w:rsidRPr="0015735B">
        <w:t>SoCalGas, Rogers, and Herman</w:t>
      </w:r>
      <w:r>
        <w:t xml:space="preserve"> filed a response.</w:t>
      </w:r>
    </w:p>
    <w:p w:rsidR="00EF44B5" w:rsidRDefault="00EF44B5" w:rsidP="00EF44B5">
      <w:pPr>
        <w:pStyle w:val="standard"/>
      </w:pPr>
      <w:r>
        <w:t xml:space="preserve">On July 22, 2013, the Energy Division published notice of availability of the final </w:t>
      </w:r>
      <w:r w:rsidRPr="00A95ED1">
        <w:t>EIR</w:t>
      </w:r>
      <w:r>
        <w:t xml:space="preserve">.  The July 24, 2013 ALJ ruling admitted the final </w:t>
      </w:r>
      <w:r w:rsidRPr="00A95ED1">
        <w:t>EIR</w:t>
      </w:r>
      <w:r>
        <w:t xml:space="preserve"> into the record as Reference Exhibit A.  In addition, the July 24 Ruling canceled EHs, established the schedule for the filing of briefs and reply briefs, and provided the schedule for receiving objections to or admittance of the </w:t>
      </w:r>
      <w:r w:rsidRPr="00250DBB">
        <w:t>prepared testimony of Rodger Schwecke</w:t>
      </w:r>
      <w:r w:rsidR="00204F74">
        <w:t xml:space="preserve"> into the record.</w:t>
      </w:r>
    </w:p>
    <w:p w:rsidR="00EF44B5" w:rsidRDefault="00EF44B5" w:rsidP="00EF44B5">
      <w:pPr>
        <w:pStyle w:val="standard"/>
      </w:pPr>
      <w:r w:rsidRPr="0015735B">
        <w:t>SoCalGas</w:t>
      </w:r>
      <w:r>
        <w:t>’s</w:t>
      </w:r>
      <w:r w:rsidRPr="0015735B">
        <w:t xml:space="preserve"> </w:t>
      </w:r>
      <w:r w:rsidRPr="00250DBB">
        <w:t>prepared testimony of Rodger Schwecke</w:t>
      </w:r>
      <w:r>
        <w:t xml:space="preserve"> was admitted into the record</w:t>
      </w:r>
      <w:r w:rsidRPr="00A359DA">
        <w:t xml:space="preserve"> </w:t>
      </w:r>
      <w:r>
        <w:t xml:space="preserve">on </w:t>
      </w:r>
      <w:r w:rsidRPr="00832258">
        <w:t xml:space="preserve">August </w:t>
      </w:r>
      <w:r>
        <w:t>5</w:t>
      </w:r>
      <w:r w:rsidRPr="00832258">
        <w:t>, 2013</w:t>
      </w:r>
      <w:r>
        <w:t>, without objection.  No party filed opening briefs or reply briefs</w:t>
      </w:r>
      <w:r w:rsidR="007C1100">
        <w:t>,</w:t>
      </w:r>
      <w:r>
        <w:t xml:space="preserve"> and this proceeding was </w:t>
      </w:r>
      <w:r w:rsidRPr="00D57EBC">
        <w:t>submitted for decision by the Commission</w:t>
      </w:r>
      <w:r w:rsidRPr="0099627C">
        <w:t xml:space="preserve"> </w:t>
      </w:r>
      <w:r>
        <w:t xml:space="preserve">on </w:t>
      </w:r>
      <w:r w:rsidRPr="00832258">
        <w:t xml:space="preserve">August </w:t>
      </w:r>
      <w:r>
        <w:t>19</w:t>
      </w:r>
      <w:r w:rsidRPr="00832258">
        <w:t>, 2013</w:t>
      </w:r>
      <w:r w:rsidRPr="00D57EBC">
        <w:t>.</w:t>
      </w:r>
    </w:p>
    <w:p w:rsidR="00433564" w:rsidRDefault="00433564" w:rsidP="00204F74">
      <w:pPr>
        <w:pStyle w:val="Heading1"/>
        <w:numPr>
          <w:ilvl w:val="0"/>
          <w:numId w:val="37"/>
        </w:numPr>
        <w:ind w:left="720" w:hanging="720"/>
      </w:pPr>
      <w:bookmarkStart w:id="26" w:name="_Toc369507312"/>
      <w:r>
        <w:t xml:space="preserve">Consideration of </w:t>
      </w:r>
      <w:r w:rsidRPr="00AE7558">
        <w:t>§ 1001</w:t>
      </w:r>
      <w:r>
        <w:t xml:space="preserve"> Factors</w:t>
      </w:r>
      <w:bookmarkEnd w:id="25"/>
      <w:bookmarkEnd w:id="26"/>
    </w:p>
    <w:p w:rsidR="00433564" w:rsidRDefault="00433564" w:rsidP="00433564">
      <w:pPr>
        <w:pStyle w:val="standard"/>
      </w:pPr>
      <w:r w:rsidRPr="00C86B3C">
        <w:t xml:space="preserve">Pursuant to § 1001, </w:t>
      </w:r>
      <w:r>
        <w:t xml:space="preserve">a </w:t>
      </w:r>
      <w:r w:rsidRPr="00C86B3C">
        <w:t xml:space="preserve">CPCN applicant must demonstrate that the present or future public convenience and necessity require or will require construction and operation of </w:t>
      </w:r>
      <w:r>
        <w:t>a</w:t>
      </w:r>
      <w:r w:rsidRPr="00C86B3C">
        <w:t xml:space="preserve"> </w:t>
      </w:r>
      <w:r>
        <w:t>p</w:t>
      </w:r>
      <w:r w:rsidRPr="00C86B3C">
        <w:t xml:space="preserve">roposed </w:t>
      </w:r>
      <w:r>
        <w:t>p</w:t>
      </w:r>
      <w:r w:rsidRPr="00C86B3C">
        <w:t>roject.  To decide if public convenience and necessity require the construction of th</w:t>
      </w:r>
      <w:r>
        <w:t>is</w:t>
      </w:r>
      <w:r w:rsidRPr="00C86B3C">
        <w:t xml:space="preserve"> </w:t>
      </w:r>
      <w:r w:rsidR="00EF44B5">
        <w:t>Project</w:t>
      </w:r>
      <w:r w:rsidRPr="00C86B3C">
        <w:t>, the Commission assesses the need for gas storage facilities</w:t>
      </w:r>
      <w:r>
        <w:t>, considers if SoCalGas</w:t>
      </w:r>
      <w:r w:rsidRPr="00C86B3C">
        <w:t xml:space="preserve"> has the financial resources and technical expertise to construct and operate a gas storage facility, and considers if the </w:t>
      </w:r>
      <w:r w:rsidR="00EF44B5">
        <w:t>Project</w:t>
      </w:r>
      <w:r w:rsidRPr="00C86B3C">
        <w:t xml:space="preserve"> will be constructed and operated in a way that protects the safety of workers</w:t>
      </w:r>
      <w:r>
        <w:t>,</w:t>
      </w:r>
      <w:r w:rsidRPr="00C86B3C">
        <w:t xml:space="preserve"> the public</w:t>
      </w:r>
      <w:r>
        <w:t>, and the environment</w:t>
      </w:r>
      <w:r w:rsidRPr="00C86B3C">
        <w:t xml:space="preserve">.  We first consider need for the </w:t>
      </w:r>
      <w:r w:rsidR="00EF44B5">
        <w:t>Project</w:t>
      </w:r>
      <w:r>
        <w:t>.</w:t>
      </w:r>
    </w:p>
    <w:p w:rsidR="00433564" w:rsidRPr="0072087F" w:rsidRDefault="00433564" w:rsidP="00204F74">
      <w:pPr>
        <w:pStyle w:val="Heading1"/>
        <w:numPr>
          <w:ilvl w:val="1"/>
          <w:numId w:val="37"/>
        </w:numPr>
        <w:ind w:left="1440" w:hanging="720"/>
      </w:pPr>
      <w:bookmarkStart w:id="27" w:name="_Toc319053308"/>
      <w:bookmarkStart w:id="28" w:name="_Toc369507313"/>
      <w:r w:rsidRPr="0072087F">
        <w:t xml:space="preserve">Need for </w:t>
      </w:r>
      <w:r w:rsidR="00EF44B5">
        <w:t>Project</w:t>
      </w:r>
      <w:bookmarkEnd w:id="27"/>
      <w:bookmarkEnd w:id="28"/>
    </w:p>
    <w:p w:rsidR="00433564" w:rsidRDefault="00433564" w:rsidP="00433564">
      <w:pPr>
        <w:pStyle w:val="standard"/>
      </w:pPr>
      <w:r>
        <w:t>As discussed below, t</w:t>
      </w:r>
      <w:r w:rsidRPr="00A11EED">
        <w:t>he</w:t>
      </w:r>
      <w:r>
        <w:t xml:space="preserve"> </w:t>
      </w:r>
      <w:r w:rsidR="00EF44B5">
        <w:t>Project</w:t>
      </w:r>
      <w:r>
        <w:t xml:space="preserve"> </w:t>
      </w:r>
      <w:r w:rsidRPr="00A11EED">
        <w:t>is need</w:t>
      </w:r>
      <w:r>
        <w:t xml:space="preserve">ed to </w:t>
      </w:r>
      <w:r w:rsidR="00411C91" w:rsidRPr="00643F92">
        <w:t xml:space="preserve">expand overall injection capacity at </w:t>
      </w:r>
      <w:r w:rsidR="00411C91">
        <w:t>the Facility</w:t>
      </w:r>
      <w:r w:rsidR="00411C91" w:rsidRPr="00643F92">
        <w:t xml:space="preserve"> to the extent feasible by approximately 145 MMcfd</w:t>
      </w:r>
      <w:r w:rsidR="00411C91">
        <w:t xml:space="preserve"> </w:t>
      </w:r>
      <w:r w:rsidR="00571065">
        <w:t>to</w:t>
      </w:r>
      <w:r w:rsidR="00411C91">
        <w:t xml:space="preserve"> fulfill the terms of the </w:t>
      </w:r>
      <w:r w:rsidR="00247B88" w:rsidRPr="00FF09F3">
        <w:t xml:space="preserve">BCAP Phase 1 </w:t>
      </w:r>
      <w:r w:rsidR="00247B88" w:rsidRPr="008167C5">
        <w:t>Settlement</w:t>
      </w:r>
      <w:r w:rsidR="00411C91">
        <w:t xml:space="preserve"> adopted by D.08-12-020, to improve the </w:t>
      </w:r>
      <w:r w:rsidR="00411C91" w:rsidRPr="00643F92">
        <w:t>reliability and affordability of natural gas supply</w:t>
      </w:r>
      <w:r w:rsidR="00411C91">
        <w:t>, and to gain</w:t>
      </w:r>
      <w:r w:rsidR="00411C91" w:rsidRPr="00411C91">
        <w:t xml:space="preserve"> </w:t>
      </w:r>
      <w:r w:rsidR="00411C91" w:rsidRPr="00643F92">
        <w:t>efficiencies that benefit SoCalGas’</w:t>
      </w:r>
      <w:r w:rsidR="00AF0EA4">
        <w:t>s</w:t>
      </w:r>
      <w:r w:rsidR="00411C91" w:rsidRPr="00643F92">
        <w:t xml:space="preserve"> overall gas storage system</w:t>
      </w:r>
      <w:r w:rsidR="00411C91">
        <w:t xml:space="preserve"> to</w:t>
      </w:r>
      <w:r w:rsidR="00411C91" w:rsidRPr="00643F92">
        <w:t xml:space="preserve"> help keep rates affordable and protect ratepayers from price spikes.</w:t>
      </w:r>
      <w:r w:rsidR="00FC44EE">
        <w:t xml:space="preserve">  Need for t</w:t>
      </w:r>
      <w:r w:rsidR="00FC44EE" w:rsidRPr="00A11EED">
        <w:t>he</w:t>
      </w:r>
      <w:r w:rsidR="00FC44EE">
        <w:t xml:space="preserve"> </w:t>
      </w:r>
      <w:r w:rsidR="00EF44B5">
        <w:t>Project</w:t>
      </w:r>
      <w:r w:rsidR="00FC44EE">
        <w:t xml:space="preserve"> is uncontested.</w:t>
      </w:r>
    </w:p>
    <w:p w:rsidR="00411C91" w:rsidRDefault="007A6F44" w:rsidP="007A6F44">
      <w:pPr>
        <w:pStyle w:val="standard"/>
      </w:pPr>
      <w:r w:rsidRPr="00643F92">
        <w:t>The</w:t>
      </w:r>
      <w:r w:rsidR="00411C91">
        <w:t xml:space="preserve"> Aliso Canyon S</w:t>
      </w:r>
      <w:r w:rsidRPr="00643F92">
        <w:t xml:space="preserve">torage </w:t>
      </w:r>
      <w:r w:rsidR="00411C91">
        <w:t>Facility</w:t>
      </w:r>
      <w:r w:rsidRPr="00643F92">
        <w:t xml:space="preserve"> play</w:t>
      </w:r>
      <w:r w:rsidR="00411C91">
        <w:t>s</w:t>
      </w:r>
      <w:r w:rsidRPr="00643F92">
        <w:t xml:space="preserve"> a critical role in SoCalGas’</w:t>
      </w:r>
      <w:r w:rsidR="00AF0EA4">
        <w:t>s</w:t>
      </w:r>
      <w:r w:rsidRPr="00643F92">
        <w:t xml:space="preserve"> gas storage and distribution system, which generally withdraws gas from storage during the winter months (when prices are typically higher) and injects gas into storage during the spring and summer months (when prices are typically lower).</w:t>
      </w:r>
      <w:r w:rsidR="00411C91">
        <w:t xml:space="preserve">  </w:t>
      </w:r>
      <w:r w:rsidRPr="00643F92">
        <w:t>Approximately 45% of SoCalGas’</w:t>
      </w:r>
      <w:r w:rsidR="00AF0EA4">
        <w:t>s</w:t>
      </w:r>
      <w:r w:rsidRPr="00643F92">
        <w:t xml:space="preserve"> total firm injection capacity i</w:t>
      </w:r>
      <w:r w:rsidR="00156246">
        <w:t>s located at the Storage Field.</w:t>
      </w:r>
    </w:p>
    <w:p w:rsidR="00411C91" w:rsidRDefault="007A6F44" w:rsidP="007A6F44">
      <w:pPr>
        <w:pStyle w:val="standard"/>
      </w:pPr>
      <w:r w:rsidRPr="00643F92">
        <w:t>The majority of the injection capacity at the Storage Field is provided by three obsolete</w:t>
      </w:r>
      <w:r w:rsidR="00C80073" w:rsidRPr="00C80073">
        <w:t xml:space="preserve"> </w:t>
      </w:r>
      <w:r w:rsidR="00C80073">
        <w:t>TDCs</w:t>
      </w:r>
      <w:r w:rsidRPr="00643F92">
        <w:t xml:space="preserve"> </w:t>
      </w:r>
      <w:r>
        <w:t xml:space="preserve"> </w:t>
      </w:r>
      <w:r w:rsidRPr="00643F92">
        <w:t>providing 15,000 International Or</w:t>
      </w:r>
      <w:r w:rsidR="00474E7E">
        <w:t xml:space="preserve">ganization for Standardization </w:t>
      </w:r>
      <w:r w:rsidRPr="00643F92">
        <w:t>horsepower each.</w:t>
      </w:r>
      <w:r w:rsidR="003616E9">
        <w:t xml:space="preserve"> </w:t>
      </w:r>
      <w:r w:rsidRPr="00643F92">
        <w:t xml:space="preserve"> These units were developed in the late 1960s as a derivative of aircraft turbines. </w:t>
      </w:r>
      <w:r w:rsidR="003616E9">
        <w:t xml:space="preserve"> </w:t>
      </w:r>
      <w:r w:rsidRPr="00643F92">
        <w:t xml:space="preserve">The industrial version (LM 1500) is not completely interchangeable with the aircraft </w:t>
      </w:r>
      <w:r w:rsidR="00411C91">
        <w:t xml:space="preserve">turbine </w:t>
      </w:r>
      <w:r w:rsidRPr="00643F92">
        <w:t>versions and less than 20</w:t>
      </w:r>
      <w:r w:rsidR="00156246">
        <w:t> </w:t>
      </w:r>
      <w:r w:rsidRPr="00643F92">
        <w:t>LM 1500s ex</w:t>
      </w:r>
      <w:r w:rsidR="00156246">
        <w:t>ist in the United States today.</w:t>
      </w:r>
    </w:p>
    <w:p w:rsidR="007A6F44" w:rsidRPr="00643F92" w:rsidRDefault="007A6F44" w:rsidP="007A6F44">
      <w:pPr>
        <w:pStyle w:val="standard"/>
      </w:pPr>
      <w:r w:rsidRPr="00643F92">
        <w:t>Since several parts are not interchangeable with the aircraft engines and there are few in existence, Original Equipment Manufacturer (OEM) parts are not produced.</w:t>
      </w:r>
      <w:r w:rsidR="003616E9">
        <w:t xml:space="preserve"> </w:t>
      </w:r>
      <w:r w:rsidRPr="00643F92">
        <w:t xml:space="preserve"> Parts must either be reworked or custom-built per OEM specifications. </w:t>
      </w:r>
      <w:r w:rsidR="003616E9">
        <w:t xml:space="preserve"> </w:t>
      </w:r>
      <w:r w:rsidRPr="00643F92">
        <w:t xml:space="preserve">The only OEM repair facility is in Fort St. John, Canada. </w:t>
      </w:r>
      <w:r w:rsidR="003616E9">
        <w:t xml:space="preserve"> </w:t>
      </w:r>
      <w:r>
        <w:t>T</w:t>
      </w:r>
      <w:r w:rsidRPr="00643F92">
        <w:t>he scarcity of parts is making repairs more costly and time consuming.</w:t>
      </w:r>
    </w:p>
    <w:p w:rsidR="007A6F44" w:rsidRPr="00643F92" w:rsidRDefault="007A6F44" w:rsidP="007A6F44">
      <w:pPr>
        <w:pStyle w:val="standard"/>
      </w:pPr>
      <w:r w:rsidRPr="00643F92">
        <w:t xml:space="preserve">Continued use of the obsolete TDCs is inconsistent with </w:t>
      </w:r>
      <w:r w:rsidR="00515CE4">
        <w:t>s</w:t>
      </w:r>
      <w:r w:rsidRPr="00643F92">
        <w:t xml:space="preserve">outhern California’s need for a reliable and efficient natural gas supply to support power generation and serve heating, cooking, and other energy needs of residential, commercial, and industrial users. </w:t>
      </w:r>
      <w:r w:rsidR="003616E9">
        <w:t xml:space="preserve"> </w:t>
      </w:r>
      <w:r w:rsidRPr="00643F92">
        <w:t>The reliability and affordability of natural gas supply are directly related to the ability to purchase gas supplies during periods of low cost/low demand and to store it for withdrawal during high demand/high cost periods.</w:t>
      </w:r>
      <w:r w:rsidR="003616E9">
        <w:t xml:space="preserve"> </w:t>
      </w:r>
      <w:r w:rsidRPr="00643F92">
        <w:t xml:space="preserve"> This allows gas suppliers and customers to avoid having to make market purchases at typically higher prices and to ensure gas is available at times of </w:t>
      </w:r>
      <w:r w:rsidR="00156246">
        <w:t>peak demand.</w:t>
      </w:r>
    </w:p>
    <w:p w:rsidR="001A298B" w:rsidRDefault="007A6F44" w:rsidP="007A6F44">
      <w:pPr>
        <w:pStyle w:val="standard"/>
      </w:pPr>
      <w:r>
        <w:t xml:space="preserve">The </w:t>
      </w:r>
      <w:r w:rsidR="00FC44EE" w:rsidRPr="00FF09F3">
        <w:t xml:space="preserve">BCAP Phase 1 </w:t>
      </w:r>
      <w:r w:rsidR="00FC44EE" w:rsidRPr="008167C5">
        <w:t xml:space="preserve">Settlement </w:t>
      </w:r>
      <w:r>
        <w:t xml:space="preserve">provides that </w:t>
      </w:r>
      <w:r w:rsidRPr="00643F92">
        <w:t xml:space="preserve">SoCalGas </w:t>
      </w:r>
      <w:r>
        <w:t>must</w:t>
      </w:r>
      <w:r w:rsidRPr="00643F92">
        <w:t xml:space="preserve">, during the replacement of the existing turbines, expand overall injection capacity at </w:t>
      </w:r>
      <w:r>
        <w:t>the Facility</w:t>
      </w:r>
      <w:r w:rsidRPr="00643F92">
        <w:t xml:space="preserve"> to the extent feasible by approximately 145 MMcfd</w:t>
      </w:r>
      <w:r>
        <w:t>, and that t</w:t>
      </w:r>
      <w:r w:rsidRPr="00643F92">
        <w:t xml:space="preserve">he replacement of turbines and expansion of injection capacity at </w:t>
      </w:r>
      <w:r>
        <w:t>the Facility</w:t>
      </w:r>
      <w:r w:rsidRPr="00643F92">
        <w:t xml:space="preserve"> </w:t>
      </w:r>
      <w:r>
        <w:t xml:space="preserve">must </w:t>
      </w:r>
      <w:r w:rsidRPr="00643F92">
        <w:t>be undertaken as soon as possible.</w:t>
      </w:r>
      <w:r w:rsidR="00FC44EE">
        <w:t xml:space="preserve">  </w:t>
      </w:r>
      <w:r w:rsidR="001A298B">
        <w:t xml:space="preserve">D.08-12-020 found that </w:t>
      </w:r>
      <w:r w:rsidR="007949F8">
        <w:t xml:space="preserve">the </w:t>
      </w:r>
      <w:r w:rsidR="007949F8" w:rsidRPr="00FF09F3">
        <w:t xml:space="preserve">BCAP Phase 1 </w:t>
      </w:r>
      <w:r w:rsidR="007949F8" w:rsidRPr="008167C5">
        <w:t xml:space="preserve">Settlement </w:t>
      </w:r>
      <w:r w:rsidR="007949F8">
        <w:t>was reasonable, in the public interest, and consistent with the law.</w:t>
      </w:r>
      <w:r w:rsidR="007949F8">
        <w:rPr>
          <w:rStyle w:val="FootnoteReference"/>
        </w:rPr>
        <w:footnoteReference w:id="19"/>
      </w:r>
    </w:p>
    <w:p w:rsidR="007A6F44" w:rsidRPr="00586D59" w:rsidRDefault="007A6F44" w:rsidP="007A6F44">
      <w:pPr>
        <w:pStyle w:val="standard"/>
      </w:pPr>
      <w:r>
        <w:t>A</w:t>
      </w:r>
      <w:r w:rsidRPr="00643F92">
        <w:t>pprov</w:t>
      </w:r>
      <w:r>
        <w:t>al of</w:t>
      </w:r>
      <w:r w:rsidRPr="00643F92">
        <w:t xml:space="preserve"> th</w:t>
      </w:r>
      <w:r>
        <w:t>e</w:t>
      </w:r>
      <w:r w:rsidRPr="00643F92">
        <w:t xml:space="preserve"> Application provide</w:t>
      </w:r>
      <w:r>
        <w:t>s</w:t>
      </w:r>
      <w:r w:rsidRPr="00643F92">
        <w:t xml:space="preserve"> SoCalGas with the authority it needs to meet its obligations under the </w:t>
      </w:r>
      <w:r w:rsidR="007949F8" w:rsidRPr="00FF09F3">
        <w:t xml:space="preserve">BCAP Phase 1 </w:t>
      </w:r>
      <w:r w:rsidR="007949F8" w:rsidRPr="008167C5">
        <w:t xml:space="preserve">Settlement </w:t>
      </w:r>
      <w:r w:rsidRPr="00643F92">
        <w:t>by installing a new, more dependable, and cleaner compress</w:t>
      </w:r>
      <w:r w:rsidR="00820BCC">
        <w:t>or</w:t>
      </w:r>
      <w:r w:rsidRPr="00643F92">
        <w:t xml:space="preserve"> system at a reasonable cost and with mitigable impacts on the environment. </w:t>
      </w:r>
      <w:r w:rsidR="006F1515">
        <w:t xml:space="preserve"> </w:t>
      </w:r>
      <w:r w:rsidRPr="00643F92">
        <w:t>Avoiding potential interruptions in the ability to inject purchased gas (e.g., due to breakdowns of equipment such as the obsolete TDC units) and increasing the ability to rapidly inject purchased gas (e.g., through increasing the injection capacity) represent efficiencies that provide significant benefits to SoCalGas’</w:t>
      </w:r>
      <w:r w:rsidR="00AF0EA4">
        <w:t>s</w:t>
      </w:r>
      <w:r w:rsidRPr="00643F92">
        <w:t xml:space="preserve"> overall gas storage system, which in turn help keep rates affordable and protect ratepayers from price spikes.</w:t>
      </w:r>
      <w:r w:rsidR="007C1100">
        <w:t xml:space="preserve">  The Project is necessary to promote the safety, health, comfort, and convenience of the public.</w:t>
      </w:r>
    </w:p>
    <w:p w:rsidR="00433564" w:rsidRPr="0072087F" w:rsidRDefault="00433564" w:rsidP="006F1515">
      <w:pPr>
        <w:pStyle w:val="Heading1"/>
        <w:numPr>
          <w:ilvl w:val="1"/>
          <w:numId w:val="37"/>
        </w:numPr>
        <w:ind w:left="1440" w:right="1440" w:hanging="720"/>
      </w:pPr>
      <w:bookmarkStart w:id="29" w:name="_Toc319053312"/>
      <w:bookmarkStart w:id="30" w:name="_Toc369507314"/>
      <w:r w:rsidRPr="0072087F">
        <w:t>Financial and Technical Qualifications of Applicant</w:t>
      </w:r>
      <w:bookmarkEnd w:id="29"/>
      <w:bookmarkEnd w:id="30"/>
    </w:p>
    <w:p w:rsidR="001A298B" w:rsidRDefault="00433564" w:rsidP="001A298B">
      <w:pPr>
        <w:pStyle w:val="standard"/>
      </w:pPr>
      <w:r w:rsidRPr="00AE7558">
        <w:t xml:space="preserve">We also consider whether an applicant </w:t>
      </w:r>
      <w:r w:rsidR="002D2ED7">
        <w:t xml:space="preserve">for a CPCN </w:t>
      </w:r>
      <w:r w:rsidRPr="00AE7558">
        <w:t xml:space="preserve">has the financial resources and technical expertise to construct and operate a gas storage facility, and conclude that </w:t>
      </w:r>
      <w:r>
        <w:t>SoCalGas</w:t>
      </w:r>
      <w:r w:rsidR="006F1515">
        <w:t xml:space="preserve"> does.</w:t>
      </w:r>
    </w:p>
    <w:p w:rsidR="00DD2018" w:rsidRDefault="0059361A" w:rsidP="001A298B">
      <w:pPr>
        <w:pStyle w:val="standard"/>
      </w:pPr>
      <w:r>
        <w:t xml:space="preserve">SoCalGas </w:t>
      </w:r>
      <w:r w:rsidR="001A298B">
        <w:t xml:space="preserve">is </w:t>
      </w:r>
      <w:r w:rsidR="001A298B" w:rsidRPr="001A298B">
        <w:t>a public utility corporation organized and existing under the laws of the State of California,</w:t>
      </w:r>
      <w:r w:rsidR="001A298B">
        <w:t xml:space="preserve"> and </w:t>
      </w:r>
      <w:r>
        <w:t>is presently certificated by the Commission to provide natural gas services</w:t>
      </w:r>
      <w:r w:rsidR="001A298B">
        <w:t xml:space="preserve">.  </w:t>
      </w:r>
      <w:r w:rsidRPr="0059361A">
        <w:t>SoCalGas currently serves 20 million end-use customers and transports natural gas to approximately 1,300 noncore customers</w:t>
      </w:r>
      <w:r>
        <w:t xml:space="preserve"> in the state</w:t>
      </w:r>
      <w:r w:rsidRPr="0059361A">
        <w:t>.</w:t>
      </w:r>
    </w:p>
    <w:p w:rsidR="001A298B" w:rsidRDefault="001A298B" w:rsidP="001A298B">
      <w:pPr>
        <w:pStyle w:val="standard"/>
      </w:pPr>
      <w:r w:rsidRPr="0059361A">
        <w:t xml:space="preserve">SoCalGas </w:t>
      </w:r>
      <w:r>
        <w:t xml:space="preserve">has the </w:t>
      </w:r>
      <w:r w:rsidRPr="00AE7558">
        <w:t>technical expertise to construct and operate a gas storage facility</w:t>
      </w:r>
      <w:r>
        <w:t xml:space="preserve">.  In addition, SoCalGas’s financial statement demonstrates that it has </w:t>
      </w:r>
      <w:r w:rsidRPr="00AE7558">
        <w:t>the financial resources to construct and operate a gas storage facility</w:t>
      </w:r>
      <w:r>
        <w:t>.</w:t>
      </w:r>
      <w:r>
        <w:rPr>
          <w:rStyle w:val="FootnoteReference"/>
        </w:rPr>
        <w:footnoteReference w:id="20"/>
      </w:r>
    </w:p>
    <w:p w:rsidR="00433564" w:rsidRDefault="00433564" w:rsidP="006F1515">
      <w:pPr>
        <w:pStyle w:val="Heading1"/>
        <w:numPr>
          <w:ilvl w:val="0"/>
          <w:numId w:val="37"/>
        </w:numPr>
        <w:ind w:left="720" w:hanging="720"/>
      </w:pPr>
      <w:bookmarkStart w:id="31" w:name="_Toc319053313"/>
      <w:bookmarkStart w:id="32" w:name="_Toc369507315"/>
      <w:r w:rsidRPr="00D240F0">
        <w:t>Consideration of § 1002 Factors</w:t>
      </w:r>
      <w:bookmarkEnd w:id="31"/>
      <w:bookmarkEnd w:id="32"/>
    </w:p>
    <w:p w:rsidR="00433564" w:rsidRDefault="00433564" w:rsidP="00433564">
      <w:pPr>
        <w:pStyle w:val="standard"/>
      </w:pPr>
      <w:r>
        <w:t>As stated above, § 1002 requires the Commission to consider the following factors in determining whether to grant a CPCN:</w:t>
      </w:r>
    </w:p>
    <w:p w:rsidR="00433564" w:rsidRDefault="00433564" w:rsidP="00433564">
      <w:pPr>
        <w:pStyle w:val="standard"/>
        <w:numPr>
          <w:ilvl w:val="0"/>
          <w:numId w:val="18"/>
        </w:numPr>
        <w:ind w:left="1267" w:hanging="547"/>
      </w:pPr>
      <w:r>
        <w:t>Community values;</w:t>
      </w:r>
    </w:p>
    <w:p w:rsidR="00433564" w:rsidRDefault="00433564" w:rsidP="00433564">
      <w:pPr>
        <w:pStyle w:val="standard"/>
        <w:numPr>
          <w:ilvl w:val="0"/>
          <w:numId w:val="18"/>
        </w:numPr>
      </w:pPr>
      <w:r>
        <w:t>Recreational and park areas;</w:t>
      </w:r>
    </w:p>
    <w:p w:rsidR="00433564" w:rsidRDefault="00433564" w:rsidP="00433564">
      <w:pPr>
        <w:pStyle w:val="standard"/>
        <w:numPr>
          <w:ilvl w:val="0"/>
          <w:numId w:val="18"/>
        </w:numPr>
      </w:pPr>
      <w:r>
        <w:t>Historical and aesthetic values; and</w:t>
      </w:r>
    </w:p>
    <w:p w:rsidR="00433564" w:rsidRDefault="00433564" w:rsidP="00433564">
      <w:pPr>
        <w:pStyle w:val="standard"/>
        <w:numPr>
          <w:ilvl w:val="0"/>
          <w:numId w:val="18"/>
        </w:numPr>
      </w:pPr>
      <w:r>
        <w:t>Influence on the environment.</w:t>
      </w:r>
    </w:p>
    <w:p w:rsidR="00B4033F" w:rsidRDefault="00B4033F" w:rsidP="006F1515">
      <w:pPr>
        <w:pStyle w:val="Heading1"/>
        <w:numPr>
          <w:ilvl w:val="1"/>
          <w:numId w:val="37"/>
        </w:numPr>
        <w:ind w:left="1440" w:hanging="720"/>
      </w:pPr>
      <w:bookmarkStart w:id="33" w:name="_Toc319053314"/>
      <w:bookmarkStart w:id="34" w:name="_Toc369507316"/>
      <w:r w:rsidRPr="00D240F0">
        <w:t>Consistency with Community Values</w:t>
      </w:r>
      <w:bookmarkEnd w:id="33"/>
      <w:bookmarkEnd w:id="34"/>
    </w:p>
    <w:p w:rsidR="008153FD" w:rsidRDefault="00B4033F" w:rsidP="003A1FD4">
      <w:pPr>
        <w:pStyle w:val="standard"/>
      </w:pPr>
      <w:r w:rsidRPr="00FB2F15">
        <w:t xml:space="preserve">We give considerable weight to the views of the local community when assessing whether </w:t>
      </w:r>
      <w:r w:rsidR="009B66BB">
        <w:t>a p</w:t>
      </w:r>
      <w:r w:rsidR="00EF44B5">
        <w:t>roject</w:t>
      </w:r>
      <w:r w:rsidRPr="00FB2F15">
        <w:t xml:space="preserve"> is compatible with community values.  </w:t>
      </w:r>
      <w:r w:rsidR="009B66BB">
        <w:t>E</w:t>
      </w:r>
      <w:r w:rsidR="00372E48">
        <w:t xml:space="preserve">ach </w:t>
      </w:r>
      <w:r w:rsidR="008153FD">
        <w:t>community member</w:t>
      </w:r>
      <w:r w:rsidR="00372E48">
        <w:t xml:space="preserve"> that spoke</w:t>
      </w:r>
      <w:r w:rsidR="008153FD">
        <w:t xml:space="preserve"> at the </w:t>
      </w:r>
      <w:r w:rsidR="008153FD" w:rsidRPr="00751417">
        <w:t>August 14, 2012</w:t>
      </w:r>
      <w:r w:rsidR="008153FD">
        <w:t xml:space="preserve"> PPH</w:t>
      </w:r>
      <w:r w:rsidR="009B66BB">
        <w:t xml:space="preserve"> expressed concerns about the safe operation of the Facility in a high fire risk area, similar to concerns raised in the Rogers and Herman protests</w:t>
      </w:r>
      <w:r w:rsidR="008153FD">
        <w:t>.</w:t>
      </w:r>
      <w:r w:rsidR="00D42467">
        <w:rPr>
          <w:rStyle w:val="FootnoteReference"/>
        </w:rPr>
        <w:footnoteReference w:id="21"/>
      </w:r>
      <w:r w:rsidR="009B66BB">
        <w:t xml:space="preserve">  </w:t>
      </w:r>
      <w:r w:rsidR="00372E48">
        <w:t xml:space="preserve">In </w:t>
      </w:r>
      <w:r w:rsidR="00D42467">
        <w:t xml:space="preserve">addition, in </w:t>
      </w:r>
      <w:r w:rsidR="00E408D0">
        <w:t xml:space="preserve">their </w:t>
      </w:r>
      <w:r w:rsidR="00372E48">
        <w:t>comments on the d</w:t>
      </w:r>
      <w:r w:rsidR="008153FD">
        <w:t>raft EIR, the Chatsworth Neighborhood Council (Chatsworth) recommend</w:t>
      </w:r>
      <w:r w:rsidR="00E408D0">
        <w:t>ed</w:t>
      </w:r>
      <w:r w:rsidR="008153FD">
        <w:t xml:space="preserve"> that the City and/or County of Los Angeles Fire Departments regularly inspect the Facility and power lines for hazardous conditions.  The County of Los Angeles and the Santa Susana M</w:t>
      </w:r>
      <w:r w:rsidR="006F1515">
        <w:t>ountain Park Association (Santa </w:t>
      </w:r>
      <w:r w:rsidR="008153FD">
        <w:t>Susana) also recommend</w:t>
      </w:r>
      <w:r w:rsidR="00E408D0">
        <w:t>ed</w:t>
      </w:r>
      <w:r w:rsidR="008153FD">
        <w:t xml:space="preserve"> an inspection and brush clearance program.  Chatsworth and Santa Susana recommend</w:t>
      </w:r>
      <w:r w:rsidR="00E408D0">
        <w:t>ed</w:t>
      </w:r>
      <w:r w:rsidR="008153FD">
        <w:t xml:space="preserve"> the creation of a fire safety officer to ensure fire prevention practices are followed.</w:t>
      </w:r>
    </w:p>
    <w:p w:rsidR="00FC6E48" w:rsidRPr="00FC6E48" w:rsidRDefault="008F4AAE" w:rsidP="003A1FD4">
      <w:pPr>
        <w:pStyle w:val="standard"/>
      </w:pPr>
      <w:r>
        <w:t>T</w:t>
      </w:r>
      <w:r w:rsidR="00571065">
        <w:t xml:space="preserve">he </w:t>
      </w:r>
      <w:r w:rsidR="007C1100">
        <w:t>Porter Ranch Settlement Agreement</w:t>
      </w:r>
      <w:r w:rsidR="00571065">
        <w:t xml:space="preserve"> adopted in this </w:t>
      </w:r>
      <w:r w:rsidR="00E408D0">
        <w:t xml:space="preserve">proceeding </w:t>
      </w:r>
      <w:r w:rsidR="009C5E37">
        <w:t>and the rules adopted in R.</w:t>
      </w:r>
      <w:r w:rsidR="009C5E37" w:rsidRPr="004054BB">
        <w:t>08-11-005</w:t>
      </w:r>
      <w:r w:rsidR="009C5E37">
        <w:t xml:space="preserve"> address the local community’s fire safety concerns</w:t>
      </w:r>
      <w:r w:rsidR="00571065">
        <w:t xml:space="preserve"> </w:t>
      </w:r>
      <w:r>
        <w:t xml:space="preserve">and </w:t>
      </w:r>
      <w:r w:rsidR="00571065">
        <w:t xml:space="preserve">will ensure that the </w:t>
      </w:r>
      <w:r w:rsidR="00EF44B5">
        <w:t>Project</w:t>
      </w:r>
      <w:r w:rsidR="00571065" w:rsidRPr="00FB2F15">
        <w:t xml:space="preserve"> </w:t>
      </w:r>
      <w:r w:rsidR="00571065" w:rsidRPr="00D240F0">
        <w:t xml:space="preserve">is consistent with </w:t>
      </w:r>
      <w:r w:rsidR="00571065" w:rsidRPr="003A1FD4">
        <w:t>community values.</w:t>
      </w:r>
      <w:r w:rsidR="00E408D0">
        <w:t xml:space="preserve">  </w:t>
      </w:r>
      <w:r w:rsidR="002C7E3A">
        <w:t xml:space="preserve">As discussed below, the </w:t>
      </w:r>
      <w:r w:rsidR="007C1100">
        <w:t>Porter Ranch Settlement Agreement</w:t>
      </w:r>
      <w:r w:rsidR="002C7E3A">
        <w:t xml:space="preserve"> requires SoCalGas </w:t>
      </w:r>
      <w:r w:rsidR="00FC6E48">
        <w:t xml:space="preserve">to </w:t>
      </w:r>
      <w:r w:rsidR="002C7E3A">
        <w:t xml:space="preserve">involve the local community through </w:t>
      </w:r>
      <w:r w:rsidR="002C7E3A" w:rsidRPr="00FC6E48">
        <w:t xml:space="preserve">quarterly community meetings and an annual community informational event to discuss activities at the Facility and answer questions from the community.  </w:t>
      </w:r>
      <w:r w:rsidR="00FC6E48" w:rsidRPr="00FC6E48">
        <w:t>P</w:t>
      </w:r>
      <w:r w:rsidR="002C7E3A" w:rsidRPr="00FC6E48">
        <w:t xml:space="preserve">ursuant to the </w:t>
      </w:r>
      <w:r w:rsidR="007C1100">
        <w:t>Porter Ranch Settlement Agreement</w:t>
      </w:r>
      <w:r w:rsidR="002C7E3A" w:rsidRPr="00FC6E48">
        <w:t xml:space="preserve">, </w:t>
      </w:r>
      <w:r w:rsidR="002C7E3A">
        <w:t>SoCalGas</w:t>
      </w:r>
      <w:r w:rsidR="002C7E3A" w:rsidRPr="00FC6E48">
        <w:t xml:space="preserve"> will </w:t>
      </w:r>
      <w:r w:rsidR="00FC6E48">
        <w:t xml:space="preserve">also </w:t>
      </w:r>
      <w:r w:rsidR="002C7E3A" w:rsidRPr="00FC6E48">
        <w:t>employ a fulltime electrical professional at the Facility to oversee Facility safety and regulatory compliance for the Aliso Canyon electric systems</w:t>
      </w:r>
      <w:r w:rsidR="00FC6E48" w:rsidRPr="00FC6E48">
        <w:t>, and e</w:t>
      </w:r>
      <w:r w:rsidR="002C7E3A" w:rsidRPr="00FC6E48">
        <w:t>stablish the Aliso Canyon Employee Safety Committee</w:t>
      </w:r>
      <w:r w:rsidR="00FC6E48" w:rsidRPr="00FC6E48">
        <w:t xml:space="preserve"> and a site-specific safety plan.  In addition, SoCalGas will develop and maintain a publically accessible website page dedicated to Facility operations, and include the Aliso Canyon Safety Plan, brush clearing schedule, project updates, annual GO 95 and GO 165 reports to the Commission, Safety Audit Reports, notices of overhead electrical distribution facility shut-downs and related information, links to SoCalGas’</w:t>
      </w:r>
      <w:r w:rsidR="00AF0EA4">
        <w:t>s</w:t>
      </w:r>
      <w:r w:rsidR="00FC6E48" w:rsidRPr="00FC6E48">
        <w:t xml:space="preserve"> safety website, and safety audits and inspections status conducted by public agencies or management personnel within 30 days of inspection.</w:t>
      </w:r>
    </w:p>
    <w:p w:rsidR="006C54D1" w:rsidRPr="003A1FD4" w:rsidRDefault="008F4AAE" w:rsidP="006C54D1">
      <w:pPr>
        <w:pStyle w:val="standard"/>
      </w:pPr>
      <w:r>
        <w:t>T</w:t>
      </w:r>
      <w:r w:rsidR="006C54D1" w:rsidRPr="003A1FD4">
        <w:t xml:space="preserve">he </w:t>
      </w:r>
      <w:r w:rsidR="00EF44B5">
        <w:t>Project</w:t>
      </w:r>
      <w:r w:rsidR="006C54D1" w:rsidRPr="00FB2F15">
        <w:t xml:space="preserve"> </w:t>
      </w:r>
      <w:r w:rsidR="006C54D1" w:rsidRPr="003A1FD4">
        <w:t xml:space="preserve">will have a favorable socio-economic impact on </w:t>
      </w:r>
      <w:r w:rsidR="006C54D1">
        <w:t xml:space="preserve">the </w:t>
      </w:r>
      <w:r w:rsidR="00E408D0">
        <w:t>broader</w:t>
      </w:r>
      <w:r w:rsidR="006C54D1">
        <w:t xml:space="preserve"> community, including </w:t>
      </w:r>
      <w:r w:rsidR="006C54D1" w:rsidRPr="003A1FD4">
        <w:t>the City of Los Angeles, City of Santa Clarita, community of Newhall and Los Angeles County</w:t>
      </w:r>
      <w:r w:rsidR="006C54D1">
        <w:t>, by creating</w:t>
      </w:r>
      <w:r w:rsidR="006C54D1" w:rsidRPr="003A1FD4">
        <w:t xml:space="preserve"> temporary construction-related jobs over a 30-month period. </w:t>
      </w:r>
      <w:r w:rsidR="00156246">
        <w:t xml:space="preserve"> </w:t>
      </w:r>
      <w:r w:rsidR="006C54D1">
        <w:t>D</w:t>
      </w:r>
      <w:r w:rsidR="006C54D1" w:rsidRPr="003A1FD4">
        <w:t xml:space="preserve">uring the construction </w:t>
      </w:r>
      <w:r w:rsidR="006C54D1">
        <w:t xml:space="preserve">of the </w:t>
      </w:r>
      <w:r w:rsidR="00EF44B5">
        <w:t>Project</w:t>
      </w:r>
      <w:r w:rsidR="006C54D1" w:rsidRPr="003A1FD4">
        <w:t xml:space="preserve">, the local economy will </w:t>
      </w:r>
      <w:r w:rsidR="006C54D1">
        <w:t xml:space="preserve">likely </w:t>
      </w:r>
      <w:r w:rsidR="006C54D1" w:rsidRPr="003A1FD4">
        <w:t>experience a</w:t>
      </w:r>
      <w:r w:rsidR="006C54D1">
        <w:t>n</w:t>
      </w:r>
      <w:r w:rsidR="006C54D1" w:rsidRPr="003A1FD4">
        <w:t xml:space="preserve"> increase in retail and sales tax revenue </w:t>
      </w:r>
      <w:r w:rsidR="006C54D1">
        <w:t>from</w:t>
      </w:r>
      <w:r w:rsidR="006C54D1" w:rsidRPr="003A1FD4">
        <w:t xml:space="preserve"> the workforce employed during the construction period.</w:t>
      </w:r>
    </w:p>
    <w:p w:rsidR="009B66BB" w:rsidRPr="003A1FD4" w:rsidRDefault="00E408D0" w:rsidP="003A1FD4">
      <w:pPr>
        <w:pStyle w:val="standard"/>
      </w:pPr>
      <w:r>
        <w:t>T</w:t>
      </w:r>
      <w:r w:rsidR="003A1FD4" w:rsidRPr="003A1FD4">
        <w:t xml:space="preserve">he </w:t>
      </w:r>
      <w:r w:rsidR="00EF44B5">
        <w:t>Project</w:t>
      </w:r>
      <w:r w:rsidR="003A1FD4" w:rsidRPr="00FB2F15">
        <w:t xml:space="preserve"> </w:t>
      </w:r>
      <w:r w:rsidR="003A1FD4" w:rsidRPr="003A1FD4">
        <w:t xml:space="preserve">will </w:t>
      </w:r>
      <w:r>
        <w:t xml:space="preserve">also </w:t>
      </w:r>
      <w:r w:rsidR="003A1FD4" w:rsidRPr="003A1FD4">
        <w:t>reduce the potential for na</w:t>
      </w:r>
      <w:r>
        <w:t>tural gas service interruptions and</w:t>
      </w:r>
      <w:r w:rsidR="003A1FD4" w:rsidRPr="003A1FD4">
        <w:t xml:space="preserve"> improve service reliability, and help protect </w:t>
      </w:r>
      <w:r>
        <w:t>ratepayers from price spikes</w:t>
      </w:r>
      <w:r w:rsidR="003A1FD4" w:rsidRPr="003A1FD4">
        <w:t xml:space="preserve">.  </w:t>
      </w:r>
      <w:r w:rsidR="009B66BB">
        <w:t>As conditioned by this decision, the Project is consistent with community values.</w:t>
      </w:r>
    </w:p>
    <w:p w:rsidR="00B4033F" w:rsidRDefault="00B4033F" w:rsidP="006F1515">
      <w:pPr>
        <w:pStyle w:val="Heading1"/>
        <w:numPr>
          <w:ilvl w:val="1"/>
          <w:numId w:val="37"/>
        </w:numPr>
        <w:ind w:left="1440" w:hanging="720"/>
      </w:pPr>
      <w:bookmarkStart w:id="35" w:name="_Toc319053322"/>
      <w:bookmarkStart w:id="36" w:name="_Toc369507317"/>
      <w:r>
        <w:t>Recreational and Park Areas</w:t>
      </w:r>
      <w:bookmarkEnd w:id="35"/>
      <w:bookmarkEnd w:id="36"/>
    </w:p>
    <w:p w:rsidR="00C5196D" w:rsidRDefault="00C5196D" w:rsidP="00C5196D">
      <w:pPr>
        <w:pStyle w:val="standard"/>
      </w:pPr>
      <w:r w:rsidRPr="008E557D">
        <w:t xml:space="preserve">The </w:t>
      </w:r>
      <w:r w:rsidR="00EF44B5">
        <w:t>Project</w:t>
      </w:r>
      <w:r w:rsidRPr="008E557D">
        <w:t xml:space="preserve"> is consistent with recreational and park </w:t>
      </w:r>
      <w:r>
        <w:t xml:space="preserve">uses.  </w:t>
      </w:r>
      <w:r w:rsidRPr="00EB4B2F">
        <w:t xml:space="preserve">The </w:t>
      </w:r>
      <w:r>
        <w:t xml:space="preserve">EIR determined that construction and operation of the </w:t>
      </w:r>
      <w:r w:rsidR="00EF44B5">
        <w:t>Project</w:t>
      </w:r>
      <w:r w:rsidRPr="00EB4B2F">
        <w:t xml:space="preserve"> will </w:t>
      </w:r>
      <w:r>
        <w:t>result in less than significant impact on recreation resources</w:t>
      </w:r>
      <w:r w:rsidR="003C78BD">
        <w:t xml:space="preserve"> </w:t>
      </w:r>
      <w:r w:rsidR="00B4033F" w:rsidRPr="008E557D">
        <w:t>because</w:t>
      </w:r>
      <w:r w:rsidR="00B4033F">
        <w:t xml:space="preserve"> </w:t>
      </w:r>
      <w:r w:rsidR="00EB4B2F" w:rsidRPr="00EB4B2F">
        <w:t xml:space="preserve">the </w:t>
      </w:r>
      <w:r w:rsidR="00EF44B5">
        <w:t>Project</w:t>
      </w:r>
      <w:r w:rsidR="00EB4B2F" w:rsidRPr="00EB4B2F">
        <w:t xml:space="preserve"> </w:t>
      </w:r>
      <w:r w:rsidR="003C78BD">
        <w:rPr>
          <w:szCs w:val="22"/>
        </w:rPr>
        <w:t>will</w:t>
      </w:r>
      <w:r w:rsidR="003C78BD" w:rsidRPr="00FA5E32">
        <w:rPr>
          <w:szCs w:val="22"/>
        </w:rPr>
        <w:t xml:space="preserve"> not pose a substantial demand on existing recreat</w:t>
      </w:r>
      <w:r w:rsidR="003C78BD">
        <w:rPr>
          <w:szCs w:val="22"/>
        </w:rPr>
        <w:t>ional facilities</w:t>
      </w:r>
      <w:r w:rsidR="006E104F">
        <w:rPr>
          <w:szCs w:val="22"/>
        </w:rPr>
        <w:t xml:space="preserve"> and </w:t>
      </w:r>
      <w:r w:rsidR="006E104F" w:rsidRPr="00EB4B2F">
        <w:t xml:space="preserve">will not </w:t>
      </w:r>
      <w:r w:rsidR="006E104F" w:rsidRPr="00FA5E32">
        <w:rPr>
          <w:szCs w:val="22"/>
        </w:rPr>
        <w:t>involve the construction or expansion of re</w:t>
      </w:r>
      <w:r w:rsidR="006E104F">
        <w:rPr>
          <w:szCs w:val="22"/>
        </w:rPr>
        <w:t>creational facilities</w:t>
      </w:r>
      <w:r w:rsidR="003C78BD">
        <w:t>.</w:t>
      </w:r>
      <w:r w:rsidR="006E104F">
        <w:rPr>
          <w:rStyle w:val="FootnoteReference"/>
        </w:rPr>
        <w:footnoteReference w:id="22"/>
      </w:r>
    </w:p>
    <w:p w:rsidR="006E104F" w:rsidRDefault="003C78BD" w:rsidP="003C78BD">
      <w:pPr>
        <w:pStyle w:val="standard"/>
      </w:pPr>
      <w:r w:rsidRPr="003C78BD">
        <w:t xml:space="preserve">Construction of the </w:t>
      </w:r>
      <w:r w:rsidR="00EF44B5">
        <w:t>Project</w:t>
      </w:r>
      <w:r w:rsidRPr="00EB4B2F">
        <w:t xml:space="preserve"> </w:t>
      </w:r>
      <w:r w:rsidRPr="003C78BD">
        <w:t xml:space="preserve">components </w:t>
      </w:r>
      <w:r w:rsidR="00B77ECA">
        <w:t>will</w:t>
      </w:r>
      <w:r w:rsidRPr="003C78BD">
        <w:t xml:space="preserve"> occur in incorporated and unincorporated areas of Los Angeles </w:t>
      </w:r>
      <w:r w:rsidR="006E104F" w:rsidRPr="003C78BD">
        <w:t xml:space="preserve">County </w:t>
      </w:r>
      <w:r w:rsidRPr="003C78BD">
        <w:t>and Ventura</w:t>
      </w:r>
      <w:r w:rsidR="006E104F">
        <w:t xml:space="preserve"> </w:t>
      </w:r>
      <w:r w:rsidR="006E104F" w:rsidRPr="003C78BD">
        <w:t>County</w:t>
      </w:r>
      <w:r w:rsidR="006F1515">
        <w:t>.  The Santa </w:t>
      </w:r>
      <w:r w:rsidRPr="003C78BD">
        <w:t xml:space="preserve">Susana Mountains </w:t>
      </w:r>
      <w:r>
        <w:t>surround the</w:t>
      </w:r>
      <w:r w:rsidRPr="003C78BD">
        <w:t xml:space="preserve"> Storage Field, </w:t>
      </w:r>
      <w:r w:rsidR="00820216">
        <w:t xml:space="preserve">and </w:t>
      </w:r>
      <w:r w:rsidRPr="003C78BD">
        <w:t xml:space="preserve">include many open space and recreation areas in close proximity to the </w:t>
      </w:r>
      <w:r w:rsidR="00820216" w:rsidRPr="003C78BD">
        <w:t>Storage Field</w:t>
      </w:r>
      <w:r w:rsidRPr="003C78BD">
        <w:t xml:space="preserve">. </w:t>
      </w:r>
      <w:r w:rsidR="00B77ECA">
        <w:t xml:space="preserve"> </w:t>
      </w:r>
      <w:r w:rsidR="00820216">
        <w:t>In particular, t</w:t>
      </w:r>
      <w:r w:rsidRPr="003C78BD">
        <w:t xml:space="preserve">he northeastern side of the </w:t>
      </w:r>
      <w:r w:rsidR="00820216" w:rsidRPr="003C78BD">
        <w:t xml:space="preserve">Storage Field </w:t>
      </w:r>
      <w:r w:rsidRPr="003C78BD">
        <w:t>overlaps a small portion of the 480-acre Michael D. Antonovich Open Space Preserve</w:t>
      </w:r>
      <w:r w:rsidR="00820216">
        <w:t>, t</w:t>
      </w:r>
      <w:r w:rsidRPr="003C78BD">
        <w:t xml:space="preserve">he western side of the </w:t>
      </w:r>
      <w:r w:rsidR="00820216" w:rsidRPr="003C78BD">
        <w:t>Storage Field</w:t>
      </w:r>
      <w:r w:rsidRPr="003C78BD">
        <w:t xml:space="preserve"> is in close proximity to the 2,326-acre Michael D. Antonovich Regional Park at Joughin Ranch</w:t>
      </w:r>
      <w:r w:rsidR="00820216">
        <w:t xml:space="preserve">, the </w:t>
      </w:r>
      <w:r w:rsidRPr="003C78BD">
        <w:t>eastern side</w:t>
      </w:r>
      <w:r w:rsidR="00820216">
        <w:t xml:space="preserve"> of</w:t>
      </w:r>
      <w:r w:rsidRPr="003C78BD">
        <w:t xml:space="preserve"> the </w:t>
      </w:r>
      <w:r w:rsidR="00820216" w:rsidRPr="003C78BD">
        <w:t xml:space="preserve">Storage Field </w:t>
      </w:r>
      <w:r w:rsidRPr="003C78BD">
        <w:t>borders the 672-acre O’Melveny Park</w:t>
      </w:r>
      <w:r w:rsidR="00820216">
        <w:t xml:space="preserve">, and </w:t>
      </w:r>
      <w:r w:rsidR="00820216" w:rsidRPr="003C78BD">
        <w:t>several</w:t>
      </w:r>
      <w:r w:rsidR="00820216">
        <w:t xml:space="preserve"> </w:t>
      </w:r>
      <w:r w:rsidRPr="003C78BD">
        <w:t xml:space="preserve">City of Los Angeles community parks </w:t>
      </w:r>
      <w:r w:rsidR="00820216">
        <w:t xml:space="preserve">are located </w:t>
      </w:r>
      <w:r w:rsidRPr="003C78BD">
        <w:t xml:space="preserve">on the southern edge of the </w:t>
      </w:r>
      <w:r w:rsidR="00820216" w:rsidRPr="003C78BD">
        <w:t>Storage Field</w:t>
      </w:r>
      <w:r w:rsidRPr="003C78BD">
        <w:t>.</w:t>
      </w:r>
      <w:r w:rsidR="00820216">
        <w:t xml:space="preserve">  </w:t>
      </w:r>
      <w:r w:rsidR="006E104F">
        <w:t>However, n</w:t>
      </w:r>
      <w:r w:rsidR="006E104F" w:rsidRPr="00EB4B2F">
        <w:t>o recreational or park land will be disturbed or otherwise affected</w:t>
      </w:r>
      <w:r w:rsidR="006E104F">
        <w:t xml:space="preserve"> by the </w:t>
      </w:r>
      <w:r w:rsidR="00EF44B5">
        <w:t>Project</w:t>
      </w:r>
      <w:r w:rsidR="006E104F" w:rsidRPr="00EB4B2F">
        <w:t>.</w:t>
      </w:r>
    </w:p>
    <w:p w:rsidR="006E104F" w:rsidRDefault="00820216" w:rsidP="003C78BD">
      <w:pPr>
        <w:pStyle w:val="standard"/>
      </w:pPr>
      <w:r>
        <w:t>In addition, th</w:t>
      </w:r>
      <w:r w:rsidR="003C78BD" w:rsidRPr="003C78BD">
        <w:t xml:space="preserve">e Chatsworth Substation </w:t>
      </w:r>
      <w:r>
        <w:t xml:space="preserve">and portions of the subtransmission and </w:t>
      </w:r>
      <w:r w:rsidRPr="003C78BD">
        <w:t>telecommunications routes</w:t>
      </w:r>
      <w:r>
        <w:t xml:space="preserve"> are in proximity to parks </w:t>
      </w:r>
      <w:r w:rsidRPr="003C78BD">
        <w:t>and recreation areas</w:t>
      </w:r>
      <w:r>
        <w:t>.</w:t>
      </w:r>
      <w:r w:rsidR="006E104F">
        <w:t xml:space="preserve">  According to the EIR, t</w:t>
      </w:r>
      <w:r w:rsidR="003C78BD" w:rsidRPr="003C78BD">
        <w:t xml:space="preserve">he telecommunications routes would be located within </w:t>
      </w:r>
      <w:r w:rsidR="006F1515">
        <w:t>one</w:t>
      </w:r>
      <w:r w:rsidR="003C78BD" w:rsidRPr="003C78BD">
        <w:t xml:space="preserve"> mile of approximately 30 recreation areas and would traverse several parks.</w:t>
      </w:r>
      <w:r w:rsidR="008F4AAE">
        <w:rPr>
          <w:rStyle w:val="FootnoteReference"/>
        </w:rPr>
        <w:footnoteReference w:id="23"/>
      </w:r>
    </w:p>
    <w:p w:rsidR="00B4033F" w:rsidRDefault="00B4033F" w:rsidP="006F1515">
      <w:pPr>
        <w:pStyle w:val="Heading1"/>
        <w:numPr>
          <w:ilvl w:val="1"/>
          <w:numId w:val="37"/>
        </w:numPr>
        <w:ind w:left="1440" w:hanging="720"/>
      </w:pPr>
      <w:bookmarkStart w:id="37" w:name="_Toc319053323"/>
      <w:bookmarkStart w:id="38" w:name="_Toc369507318"/>
      <w:r>
        <w:t>Historical and Aesthetic Values</w:t>
      </w:r>
      <w:bookmarkEnd w:id="37"/>
      <w:bookmarkEnd w:id="38"/>
    </w:p>
    <w:p w:rsidR="00B37036" w:rsidRPr="00694E33" w:rsidRDefault="00B4033F" w:rsidP="00A94467">
      <w:pPr>
        <w:pStyle w:val="standard"/>
      </w:pPr>
      <w:r w:rsidRPr="00383859">
        <w:t xml:space="preserve">The </w:t>
      </w:r>
      <w:r w:rsidR="00EF44B5">
        <w:t>Project</w:t>
      </w:r>
      <w:r w:rsidRPr="00383859">
        <w:t xml:space="preserve"> is consistent with the historical and aesthetic values of the area. </w:t>
      </w:r>
      <w:r w:rsidR="00383859" w:rsidRPr="00383859">
        <w:t xml:space="preserve"> </w:t>
      </w:r>
      <w:r w:rsidR="00CD03C4" w:rsidRPr="00383859">
        <w:t xml:space="preserve">The Facility has </w:t>
      </w:r>
      <w:r w:rsidR="00454C2A" w:rsidRPr="00383859">
        <w:t xml:space="preserve">been used to store natural gas </w:t>
      </w:r>
      <w:r w:rsidR="00CD03C4" w:rsidRPr="00383859">
        <w:t xml:space="preserve">since the early 1970’s.  </w:t>
      </w:r>
      <w:r w:rsidR="00A94467" w:rsidRPr="00383859">
        <w:t xml:space="preserve">Prior to its use as </w:t>
      </w:r>
      <w:r w:rsidR="00454C2A" w:rsidRPr="00383859">
        <w:t xml:space="preserve">a </w:t>
      </w:r>
      <w:r w:rsidR="00A94467" w:rsidRPr="00383859">
        <w:t>natural gas</w:t>
      </w:r>
      <w:r w:rsidR="00454C2A" w:rsidRPr="00383859">
        <w:t xml:space="preserve"> storage facility</w:t>
      </w:r>
      <w:r w:rsidR="00A94467" w:rsidRPr="00383859">
        <w:t xml:space="preserve">, </w:t>
      </w:r>
      <w:r w:rsidR="00454C2A" w:rsidRPr="00383859">
        <w:t>it</w:t>
      </w:r>
      <w:r w:rsidR="00A94467" w:rsidRPr="00383859">
        <w:t xml:space="preserve"> was owned and operated as an oil field. </w:t>
      </w:r>
      <w:r w:rsidR="00694E33" w:rsidRPr="00383859">
        <w:t>A</w:t>
      </w:r>
      <w:r w:rsidR="00A94467" w:rsidRPr="00383859">
        <w:t xml:space="preserve">fter the oil reserves were depleted, the </w:t>
      </w:r>
      <w:r w:rsidR="00454C2A" w:rsidRPr="00383859">
        <w:t xml:space="preserve">storage field </w:t>
      </w:r>
      <w:r w:rsidR="00A94467" w:rsidRPr="00383859">
        <w:t>was acquired by a former affiliate of SoCalGas from various oil companies, including the Getty Oil Company and Standard Oil Company, and converted to a natural gas storage facility upon the granting of a CPCN by the Commission in 1972.</w:t>
      </w:r>
      <w:r w:rsidR="00CD03C4" w:rsidRPr="00383859">
        <w:rPr>
          <w:rStyle w:val="FootnoteReference"/>
        </w:rPr>
        <w:footnoteReference w:id="24"/>
      </w:r>
    </w:p>
    <w:p w:rsidR="00B37036" w:rsidRDefault="00694E33" w:rsidP="00454C2A">
      <w:pPr>
        <w:pStyle w:val="standard"/>
      </w:pPr>
      <w:r w:rsidRPr="00694E33">
        <w:t xml:space="preserve">The EIR </w:t>
      </w:r>
      <w:r w:rsidR="00372344">
        <w:t>states</w:t>
      </w:r>
      <w:r w:rsidRPr="00694E33">
        <w:t xml:space="preserve"> that impacts on visual resources associated with construction </w:t>
      </w:r>
      <w:r w:rsidR="00B77ECA">
        <w:t>will</w:t>
      </w:r>
      <w:r w:rsidRPr="00694E33">
        <w:t xml:space="preserve"> be temporary, </w:t>
      </w:r>
      <w:r>
        <w:t>and</w:t>
      </w:r>
      <w:r w:rsidRPr="00694E33">
        <w:t xml:space="preserve"> </w:t>
      </w:r>
      <w:r w:rsidR="00B77ECA">
        <w:t>will</w:t>
      </w:r>
      <w:r w:rsidRPr="00694E33">
        <w:t xml:space="preserve"> be</w:t>
      </w:r>
      <w:r w:rsidR="0093519E">
        <w:t xml:space="preserve"> less than</w:t>
      </w:r>
      <w:r w:rsidRPr="00694E33">
        <w:t xml:space="preserve"> significant.</w:t>
      </w:r>
      <w:r>
        <w:rPr>
          <w:rStyle w:val="FootnoteReference"/>
        </w:rPr>
        <w:footnoteReference w:id="25"/>
      </w:r>
      <w:r w:rsidR="00497A52">
        <w:t xml:space="preserve">  C</w:t>
      </w:r>
      <w:r w:rsidR="00497A52" w:rsidRPr="00497A52">
        <w:t xml:space="preserve">omponents </w:t>
      </w:r>
      <w:r w:rsidR="00497A52">
        <w:t>of t</w:t>
      </w:r>
      <w:r w:rsidR="00497A52" w:rsidRPr="00694E33">
        <w:t xml:space="preserve">he </w:t>
      </w:r>
      <w:r w:rsidR="00EF44B5">
        <w:t>Project</w:t>
      </w:r>
      <w:r w:rsidR="00497A52" w:rsidRPr="00497A52">
        <w:t xml:space="preserve"> </w:t>
      </w:r>
      <w:r w:rsidR="00B77ECA">
        <w:t>will</w:t>
      </w:r>
      <w:r w:rsidR="00497A52" w:rsidRPr="00497A52">
        <w:t xml:space="preserve"> permanent</w:t>
      </w:r>
      <w:r w:rsidR="00497A52">
        <w:t>ly</w:t>
      </w:r>
      <w:r w:rsidR="00497A52" w:rsidRPr="00497A52">
        <w:t xml:space="preserve"> change </w:t>
      </w:r>
      <w:r w:rsidR="00497A52">
        <w:t xml:space="preserve">existing visual characteristics but </w:t>
      </w:r>
      <w:r w:rsidR="00B77ECA">
        <w:t>will</w:t>
      </w:r>
      <w:r w:rsidR="00497A52" w:rsidRPr="00497A52">
        <w:t xml:space="preserve"> not significant</w:t>
      </w:r>
      <w:r w:rsidR="00497A52">
        <w:t>ly</w:t>
      </w:r>
      <w:r w:rsidR="00497A52" w:rsidRPr="00497A52">
        <w:t xml:space="preserve"> impact scenic vistas</w:t>
      </w:r>
      <w:r w:rsidR="00C229F8">
        <w:t xml:space="preserve">.  This is </w:t>
      </w:r>
      <w:r w:rsidR="00497A52">
        <w:t xml:space="preserve">because many of these components are </w:t>
      </w:r>
      <w:r w:rsidR="00497A52" w:rsidRPr="00497A52">
        <w:t>obscured from view by topography, vegetation, and development</w:t>
      </w:r>
      <w:r w:rsidR="00C229F8">
        <w:t xml:space="preserve"> or are located in areas that are not </w:t>
      </w:r>
      <w:r w:rsidR="00C229F8" w:rsidRPr="00C229F8">
        <w:t>considered scenic</w:t>
      </w:r>
      <w:r w:rsidR="00497A52">
        <w:t>.</w:t>
      </w:r>
      <w:r w:rsidR="00C229F8">
        <w:rPr>
          <w:rStyle w:val="FootnoteReference"/>
        </w:rPr>
        <w:footnoteReference w:id="26"/>
      </w:r>
      <w:r w:rsidR="00454C2A">
        <w:t xml:space="preserve">  </w:t>
      </w:r>
      <w:r w:rsidR="00454C2A" w:rsidRPr="00A95ED1">
        <w:t xml:space="preserve">The </w:t>
      </w:r>
      <w:r w:rsidR="00EF44B5">
        <w:t>Project</w:t>
      </w:r>
      <w:r w:rsidR="00454C2A" w:rsidRPr="00A95ED1">
        <w:t xml:space="preserve"> is consistent with the </w:t>
      </w:r>
      <w:r w:rsidR="00454C2A">
        <w:t>aesthetic values of the area.</w:t>
      </w:r>
    </w:p>
    <w:p w:rsidR="00B4033F" w:rsidRDefault="00B4033F" w:rsidP="006F1515">
      <w:pPr>
        <w:pStyle w:val="Heading1"/>
        <w:numPr>
          <w:ilvl w:val="1"/>
          <w:numId w:val="37"/>
        </w:numPr>
        <w:ind w:left="1440" w:hanging="720"/>
      </w:pPr>
      <w:bookmarkStart w:id="39" w:name="_Toc319053324"/>
      <w:bookmarkStart w:id="40" w:name="_Toc369507319"/>
      <w:r>
        <w:t>Influence on the Environment</w:t>
      </w:r>
      <w:bookmarkEnd w:id="39"/>
      <w:bookmarkEnd w:id="40"/>
    </w:p>
    <w:p w:rsidR="0066355B" w:rsidRDefault="00B4033F" w:rsidP="008F4AAE">
      <w:pPr>
        <w:pStyle w:val="standard"/>
      </w:pPr>
      <w:r>
        <w:t xml:space="preserve">In addition to its CEQA obligations, </w:t>
      </w:r>
      <w:r>
        <w:rPr>
          <w:rFonts w:hint="eastAsia"/>
        </w:rPr>
        <w:t>pursuant</w:t>
      </w:r>
      <w:r>
        <w:t xml:space="preserve"> to § 1002, the Commission has a responsibility independent of CEQA to include, among other things, “influence on the environment</w:t>
      </w:r>
      <w:r>
        <w:rPr>
          <w:rFonts w:hint="eastAsia"/>
        </w:rPr>
        <w:t>”</w:t>
      </w:r>
      <w:r>
        <w:t xml:space="preserve"> in our consideration of a request for a CPCN.  (D.90-09-059, 37 CPUC 2d at 453.)  Influence on the environment is a factor under § 1002 but is primarily considered in the EIR process, so that the parties would not duplicate their efforts on this Public Utilities Code requirement that overlaps with CEQA requirements.</w:t>
      </w:r>
      <w:r w:rsidR="00110655">
        <w:t xml:space="preserve">  </w:t>
      </w:r>
      <w:r w:rsidR="008F4AAE">
        <w:t>Following is a summary of the</w:t>
      </w:r>
      <w:r w:rsidR="008F4AAE" w:rsidRPr="00961996">
        <w:t xml:space="preserve"> environmental</w:t>
      </w:r>
      <w:r w:rsidR="008F4AAE">
        <w:t xml:space="preserve"> review of the </w:t>
      </w:r>
      <w:r w:rsidR="00EF44B5">
        <w:t>Project</w:t>
      </w:r>
      <w:r w:rsidR="008F4AAE">
        <w:t xml:space="preserve"> that was conducted</w:t>
      </w:r>
      <w:r w:rsidR="008F4AAE" w:rsidRPr="00961996">
        <w:t xml:space="preserve"> in accordance with </w:t>
      </w:r>
      <w:r w:rsidR="008F4AAE">
        <w:t>GO</w:t>
      </w:r>
      <w:r w:rsidR="008F4AAE" w:rsidRPr="00961996">
        <w:t xml:space="preserve"> 131</w:t>
      </w:r>
      <w:r w:rsidR="008F4AAE">
        <w:noBreakHyphen/>
      </w:r>
      <w:r w:rsidR="008F4AAE" w:rsidRPr="00961996">
        <w:t>D and CEQA.</w:t>
      </w:r>
      <w:r w:rsidR="0066355B">
        <w:t xml:space="preserve"> </w:t>
      </w:r>
    </w:p>
    <w:p w:rsidR="00B4033F" w:rsidRDefault="00B4033F" w:rsidP="006F1515">
      <w:pPr>
        <w:pStyle w:val="Heading1"/>
        <w:numPr>
          <w:ilvl w:val="0"/>
          <w:numId w:val="37"/>
        </w:numPr>
        <w:ind w:left="720" w:hanging="720"/>
      </w:pPr>
      <w:bookmarkStart w:id="41" w:name="_Toc319053325"/>
      <w:bookmarkStart w:id="42" w:name="_Toc369507320"/>
      <w:r>
        <w:t>The Environmental Review Process</w:t>
      </w:r>
      <w:bookmarkEnd w:id="41"/>
      <w:bookmarkEnd w:id="42"/>
    </w:p>
    <w:p w:rsidR="00B4033F" w:rsidRDefault="00B4033F" w:rsidP="00B4033F">
      <w:pPr>
        <w:pStyle w:val="standard"/>
      </w:pPr>
      <w:r w:rsidRPr="00A95ED1">
        <w:rPr>
          <w:rStyle w:val="standardChar"/>
        </w:rPr>
        <w:t>Pursuant to GO 131</w:t>
      </w:r>
      <w:r w:rsidRPr="00A95ED1">
        <w:rPr>
          <w:rStyle w:val="standardChar"/>
        </w:rPr>
        <w:noBreakHyphen/>
        <w:t xml:space="preserve">D, </w:t>
      </w:r>
      <w:r w:rsidR="00B40B3C">
        <w:t>SoCalGas</w:t>
      </w:r>
      <w:r w:rsidRPr="00A95ED1">
        <w:t xml:space="preserve"> </w:t>
      </w:r>
      <w:r w:rsidRPr="00A95ED1">
        <w:rPr>
          <w:rStyle w:val="standardChar"/>
        </w:rPr>
        <w:t xml:space="preserve">included </w:t>
      </w:r>
      <w:r w:rsidR="00B40B3C">
        <w:rPr>
          <w:rStyle w:val="standardChar"/>
        </w:rPr>
        <w:t>the</w:t>
      </w:r>
      <w:r w:rsidRPr="00A95ED1">
        <w:rPr>
          <w:rStyle w:val="standardChar"/>
        </w:rPr>
        <w:t xml:space="preserve"> </w:t>
      </w:r>
      <w:r w:rsidR="00B40B3C">
        <w:t xml:space="preserve">Proponent’s Environmental Assessment (PEA) </w:t>
      </w:r>
      <w:r w:rsidRPr="00A95ED1">
        <w:rPr>
          <w:rStyle w:val="standardChar"/>
        </w:rPr>
        <w:t>with the Application.</w:t>
      </w:r>
      <w:r w:rsidRPr="00A95ED1">
        <w:t xml:space="preserve">  The Energy Division </w:t>
      </w:r>
      <w:r>
        <w:t xml:space="preserve">and its consultants </w:t>
      </w:r>
      <w:r w:rsidRPr="00A95ED1">
        <w:t xml:space="preserve">reviewed the PEA, and, in </w:t>
      </w:r>
      <w:r w:rsidR="00B40B3C">
        <w:t>March 2010</w:t>
      </w:r>
      <w:r w:rsidRPr="00A95ED1">
        <w:t>, determin</w:t>
      </w:r>
      <w:r>
        <w:t>ed that the Application required</w:t>
      </w:r>
      <w:r w:rsidRPr="00A95ED1">
        <w:t xml:space="preserve"> an EIR.  As a result, the Energy Division initiated an EIR scoping process</w:t>
      </w:r>
      <w:r>
        <w:t xml:space="preserve">.  The </w:t>
      </w:r>
      <w:r w:rsidRPr="00EE37ED">
        <w:t>scoping process for the EIR includ</w:t>
      </w:r>
      <w:r>
        <w:t>ed</w:t>
      </w:r>
      <w:r w:rsidRPr="00EE37ED">
        <w:t xml:space="preserve"> (1) publication of </w:t>
      </w:r>
      <w:r>
        <w:t>a</w:t>
      </w:r>
      <w:r w:rsidRPr="00F1376A">
        <w:t xml:space="preserve"> </w:t>
      </w:r>
      <w:r w:rsidRPr="00EE37ED">
        <w:t xml:space="preserve">Notice of Preparation (NOP) and Notice of Public Scoping Meetings, </w:t>
      </w:r>
      <w:r>
        <w:t>(2) p</w:t>
      </w:r>
      <w:r w:rsidRPr="00EE37ED">
        <w:t xml:space="preserve">ublic scoping meetings and meetings with agencies to solicit comments from affected public agencies and members of the public, and (3) </w:t>
      </w:r>
      <w:r>
        <w:t xml:space="preserve">preparation of </w:t>
      </w:r>
      <w:r w:rsidRPr="00EE37ED">
        <w:t>a Scoping Report to summarize scoping comments.</w:t>
      </w:r>
    </w:p>
    <w:p w:rsidR="00B4033F" w:rsidRDefault="00B4033F" w:rsidP="00B4033F">
      <w:pPr>
        <w:pStyle w:val="standard"/>
      </w:pPr>
      <w:r w:rsidRPr="00F1376A">
        <w:t xml:space="preserve">On </w:t>
      </w:r>
      <w:r w:rsidR="00B40B3C" w:rsidRPr="00B40B3C">
        <w:t>October 21, 2010</w:t>
      </w:r>
      <w:r w:rsidRPr="00F1376A">
        <w:t>, the Commission published the NOP</w:t>
      </w:r>
      <w:r>
        <w:t xml:space="preserve"> </w:t>
      </w:r>
      <w:r w:rsidRPr="00F1376A">
        <w:t>for the EIR for a 30</w:t>
      </w:r>
      <w:r>
        <w:noBreakHyphen/>
      </w:r>
      <w:r w:rsidRPr="00F1376A">
        <w:t>day review period.</w:t>
      </w:r>
      <w:r>
        <w:rPr>
          <w:rStyle w:val="FootnoteReference"/>
        </w:rPr>
        <w:footnoteReference w:id="27"/>
      </w:r>
      <w:r w:rsidRPr="00F1376A">
        <w:t xml:space="preserve">  </w:t>
      </w:r>
      <w:r>
        <w:t xml:space="preserve"> </w:t>
      </w:r>
      <w:r w:rsidRPr="00B54D89">
        <w:t xml:space="preserve">Public notification </w:t>
      </w:r>
      <w:r>
        <w:t xml:space="preserve">of the NOP </w:t>
      </w:r>
      <w:r w:rsidRPr="00B54D89">
        <w:t xml:space="preserve">for the </w:t>
      </w:r>
      <w:r w:rsidR="00EF44B5">
        <w:t>Project</w:t>
      </w:r>
      <w:r w:rsidRPr="00B54D89">
        <w:t xml:space="preserve"> and scoping meetings </w:t>
      </w:r>
      <w:r>
        <w:t xml:space="preserve">included </w:t>
      </w:r>
      <w:r w:rsidRPr="00B54D89">
        <w:t>a newspaper announcement</w:t>
      </w:r>
      <w:r>
        <w:rPr>
          <w:rStyle w:val="FootnoteReference"/>
        </w:rPr>
        <w:footnoteReference w:id="28"/>
      </w:r>
      <w:r w:rsidRPr="00B54D89">
        <w:t xml:space="preserve"> and the mailing of the NOP and public notices. </w:t>
      </w:r>
      <w:r>
        <w:t xml:space="preserve"> </w:t>
      </w:r>
      <w:r w:rsidRPr="0093519E">
        <w:t xml:space="preserve">The distribution and contents of the NOP are detailed in Section </w:t>
      </w:r>
      <w:r w:rsidR="0093519E" w:rsidRPr="0093519E">
        <w:t>2</w:t>
      </w:r>
      <w:r w:rsidRPr="0093519E">
        <w:t xml:space="preserve"> of the EIR.</w:t>
      </w:r>
    </w:p>
    <w:p w:rsidR="00B4033F" w:rsidRDefault="00B4033F" w:rsidP="00B4033F">
      <w:pPr>
        <w:pStyle w:val="standard"/>
      </w:pPr>
      <w:r w:rsidRPr="00F1376A">
        <w:t>The content of th</w:t>
      </w:r>
      <w:r>
        <w:t>e</w:t>
      </w:r>
      <w:r w:rsidRPr="00F1376A">
        <w:t xml:space="preserve"> EIR reflects input by government officials, agencies, non</w:t>
      </w:r>
      <w:r>
        <w:noBreakHyphen/>
      </w:r>
      <w:r w:rsidRPr="00F1376A">
        <w:t xml:space="preserve">governmental organizations, and concerned members of the public during the EIR scoping period following the </w:t>
      </w:r>
      <w:r>
        <w:t>Commission’s</w:t>
      </w:r>
      <w:r w:rsidRPr="00F1376A">
        <w:t xml:space="preserve"> publication of </w:t>
      </w:r>
      <w:r>
        <w:t>the NOP</w:t>
      </w:r>
      <w:r w:rsidRPr="00F1376A">
        <w:t xml:space="preserve">. </w:t>
      </w:r>
      <w:r>
        <w:t xml:space="preserve"> </w:t>
      </w:r>
      <w:r w:rsidRPr="00F1376A">
        <w:t xml:space="preserve">Responses from these agencies </w:t>
      </w:r>
      <w:r>
        <w:t xml:space="preserve">and individuals </w:t>
      </w:r>
      <w:r w:rsidRPr="00F1376A">
        <w:t xml:space="preserve">helped to determine relevant environmental issues associated with the </w:t>
      </w:r>
      <w:r w:rsidR="00EF44B5">
        <w:t>Project</w:t>
      </w:r>
      <w:r w:rsidRPr="00F1376A">
        <w:t xml:space="preserve">. </w:t>
      </w:r>
      <w:r>
        <w:t xml:space="preserve"> </w:t>
      </w:r>
      <w:r w:rsidRPr="0093519E">
        <w:t xml:space="preserve">Section </w:t>
      </w:r>
      <w:r w:rsidR="0093519E" w:rsidRPr="0093519E">
        <w:t>2.2</w:t>
      </w:r>
      <w:r w:rsidRPr="0093519E">
        <w:t xml:space="preserve"> of the EIR</w:t>
      </w:r>
      <w:r>
        <w:t xml:space="preserve"> summarizes the activities occurring during the public review process.</w:t>
      </w:r>
    </w:p>
    <w:p w:rsidR="00B4033F" w:rsidRPr="00A95ED1" w:rsidRDefault="00B4033F" w:rsidP="008F4AAE">
      <w:pPr>
        <w:pStyle w:val="standard"/>
      </w:pPr>
      <w:r w:rsidRPr="00A95ED1">
        <w:t xml:space="preserve">On </w:t>
      </w:r>
      <w:r w:rsidR="00802BB5" w:rsidRPr="00802BB5">
        <w:t>April 4, 2012</w:t>
      </w:r>
      <w:r w:rsidRPr="00A95ED1">
        <w:t xml:space="preserve">, the </w:t>
      </w:r>
      <w:r w:rsidRPr="00067502">
        <w:t>Energy Division</w:t>
      </w:r>
      <w:r w:rsidRPr="00F1376A">
        <w:t xml:space="preserve"> </w:t>
      </w:r>
      <w:r w:rsidR="00802BB5">
        <w:t xml:space="preserve">released the draft </w:t>
      </w:r>
      <w:r w:rsidRPr="00A95ED1">
        <w:t>EIR and Notice of Availability</w:t>
      </w:r>
      <w:r>
        <w:t xml:space="preserve">. </w:t>
      </w:r>
      <w:r w:rsidRPr="00A95ED1">
        <w:t xml:space="preserve"> The </w:t>
      </w:r>
      <w:r w:rsidRPr="00067502">
        <w:t>Energy Division</w:t>
      </w:r>
      <w:r w:rsidRPr="00F1376A">
        <w:t xml:space="preserve"> </w:t>
      </w:r>
      <w:r w:rsidRPr="00A95ED1">
        <w:t xml:space="preserve">accepted written comments on the </w:t>
      </w:r>
      <w:r w:rsidR="00983993">
        <w:t xml:space="preserve">draft </w:t>
      </w:r>
      <w:r w:rsidR="00983993" w:rsidRPr="00A95ED1">
        <w:t xml:space="preserve">EIR </w:t>
      </w:r>
      <w:r w:rsidRPr="00A95ED1">
        <w:t xml:space="preserve">through </w:t>
      </w:r>
      <w:r w:rsidR="00802BB5" w:rsidRPr="00802BB5">
        <w:t>May 22, 2012</w:t>
      </w:r>
      <w:r w:rsidRPr="00A95ED1">
        <w:t>.</w:t>
      </w:r>
      <w:r w:rsidRPr="00802BB5">
        <w:t xml:space="preserve"> </w:t>
      </w:r>
      <w:r w:rsidR="008F4AAE">
        <w:t xml:space="preserve"> </w:t>
      </w:r>
      <w:r w:rsidRPr="00EF09E2">
        <w:t xml:space="preserve">Comment letters on the </w:t>
      </w:r>
      <w:r w:rsidR="00EF09E2">
        <w:t>d</w:t>
      </w:r>
      <w:r w:rsidR="00802BB5" w:rsidRPr="00EF09E2">
        <w:t xml:space="preserve">raft EIR </w:t>
      </w:r>
      <w:r w:rsidRPr="00EF09E2">
        <w:t xml:space="preserve">were received from </w:t>
      </w:r>
      <w:r w:rsidR="00EF09E2" w:rsidRPr="00EF09E2">
        <w:t>seven</w:t>
      </w:r>
      <w:r w:rsidRPr="00EF09E2">
        <w:t xml:space="preserve"> public agencies and officials; </w:t>
      </w:r>
      <w:r w:rsidR="00EF09E2" w:rsidRPr="00EF09E2">
        <w:t>three</w:t>
      </w:r>
      <w:r w:rsidRPr="00EF09E2">
        <w:t xml:space="preserve"> community groups, non</w:t>
      </w:r>
      <w:r w:rsidRPr="00EF09E2">
        <w:noBreakHyphen/>
        <w:t xml:space="preserve">profit organizations, and private organizations; </w:t>
      </w:r>
      <w:r w:rsidR="00EF09E2" w:rsidRPr="00EF09E2">
        <w:t>five</w:t>
      </w:r>
      <w:r w:rsidRPr="00EF09E2">
        <w:t xml:space="preserve"> individuals; </w:t>
      </w:r>
      <w:r w:rsidR="00EF09E2" w:rsidRPr="00EF09E2">
        <w:t xml:space="preserve">SCE </w:t>
      </w:r>
      <w:r w:rsidRPr="00EF09E2">
        <w:t xml:space="preserve">and </w:t>
      </w:r>
      <w:r w:rsidR="00802BB5" w:rsidRPr="00EF09E2">
        <w:t>SoCalGas</w:t>
      </w:r>
      <w:r w:rsidR="0064333F">
        <w:t xml:space="preserve">.  </w:t>
      </w:r>
      <w:r w:rsidR="00EF09E2" w:rsidRPr="00EF09E2">
        <w:t>C</w:t>
      </w:r>
      <w:r w:rsidRPr="00EF09E2">
        <w:t xml:space="preserve">omments and the responses to those comments are contained in </w:t>
      </w:r>
      <w:r w:rsidR="00110655">
        <w:t>Reference Exhibit</w:t>
      </w:r>
      <w:r w:rsidR="00110655" w:rsidRPr="00A95ED1">
        <w:t xml:space="preserve"> A</w:t>
      </w:r>
      <w:r w:rsidRPr="00EF09E2">
        <w:t xml:space="preserve">, </w:t>
      </w:r>
      <w:r w:rsidR="00EF09E2" w:rsidRPr="00EF09E2">
        <w:t>Section 3</w:t>
      </w:r>
      <w:r w:rsidRPr="00EF09E2">
        <w:t>.</w:t>
      </w:r>
    </w:p>
    <w:p w:rsidR="00B4033F" w:rsidRPr="00A95ED1" w:rsidRDefault="00B4033F" w:rsidP="00B4033F">
      <w:pPr>
        <w:pStyle w:val="sub1"/>
      </w:pPr>
      <w:r w:rsidRPr="00A95ED1">
        <w:t xml:space="preserve">On </w:t>
      </w:r>
      <w:r w:rsidR="00C44C8C">
        <w:t>May 2 and 3, 2012</w:t>
      </w:r>
      <w:r w:rsidRPr="00A95ED1">
        <w:t>, the Energy Division held public meeting</w:t>
      </w:r>
      <w:r w:rsidR="00C44C8C">
        <w:t>s</w:t>
      </w:r>
      <w:r w:rsidRPr="00A95ED1">
        <w:t xml:space="preserve"> on the </w:t>
      </w:r>
      <w:r w:rsidR="00C44C8C">
        <w:t xml:space="preserve">draft </w:t>
      </w:r>
      <w:r w:rsidR="00C44C8C" w:rsidRPr="00A95ED1">
        <w:t xml:space="preserve">EIR </w:t>
      </w:r>
      <w:r w:rsidRPr="00A95ED1">
        <w:t xml:space="preserve">to (1) provide individuals an opportunity to learn about the </w:t>
      </w:r>
      <w:r w:rsidR="00C44C8C">
        <w:t xml:space="preserve">draft </w:t>
      </w:r>
      <w:r w:rsidR="00C44C8C" w:rsidRPr="00A95ED1">
        <w:t xml:space="preserve">EIR </w:t>
      </w:r>
      <w:r w:rsidRPr="00A95ED1">
        <w:t xml:space="preserve">and the status of the </w:t>
      </w:r>
      <w:r w:rsidR="00EF44B5">
        <w:t>Project</w:t>
      </w:r>
      <w:r w:rsidRPr="00A95ED1">
        <w:t xml:space="preserve">, (2) make Energy Division staff available to answer questions prior to the close of the </w:t>
      </w:r>
      <w:r w:rsidR="00C44C8C">
        <w:t xml:space="preserve">draft </w:t>
      </w:r>
      <w:r w:rsidR="00C44C8C" w:rsidRPr="00A95ED1">
        <w:t xml:space="preserve">EIR </w:t>
      </w:r>
      <w:r w:rsidRPr="00A95ED1">
        <w:t xml:space="preserve">comment period, and (3) permit the public to comment on the </w:t>
      </w:r>
      <w:r w:rsidR="00C44C8C">
        <w:t xml:space="preserve">draft </w:t>
      </w:r>
      <w:r w:rsidR="00C44C8C" w:rsidRPr="00A95ED1">
        <w:t xml:space="preserve">EIR </w:t>
      </w:r>
      <w:r w:rsidRPr="00A95ED1">
        <w:t>in lieu o</w:t>
      </w:r>
      <w:r w:rsidR="00156246">
        <w:t>f submitting written comments.</w:t>
      </w:r>
    </w:p>
    <w:p w:rsidR="00B4033F" w:rsidRDefault="00B4033F" w:rsidP="00B4033F">
      <w:pPr>
        <w:pStyle w:val="standard"/>
      </w:pPr>
      <w:r w:rsidRPr="00A95ED1">
        <w:t xml:space="preserve">On </w:t>
      </w:r>
      <w:r w:rsidR="00983993">
        <w:t>July 22, 2013</w:t>
      </w:r>
      <w:r w:rsidRPr="00A95ED1">
        <w:t>, the Energy</w:t>
      </w:r>
      <w:r w:rsidR="00C44C8C">
        <w:t xml:space="preserve"> Division </w:t>
      </w:r>
      <w:r w:rsidR="00983993">
        <w:t xml:space="preserve">mailed a </w:t>
      </w:r>
      <w:r w:rsidR="00983993" w:rsidRPr="00983993">
        <w:t xml:space="preserve">Notice of Availability </w:t>
      </w:r>
      <w:r w:rsidR="00983993">
        <w:t>of</w:t>
      </w:r>
      <w:r w:rsidR="00C44C8C">
        <w:t xml:space="preserve"> the </w:t>
      </w:r>
      <w:r w:rsidR="00983993">
        <w:t>f</w:t>
      </w:r>
      <w:r w:rsidR="00C44C8C">
        <w:t xml:space="preserve">inal </w:t>
      </w:r>
      <w:r w:rsidRPr="00A95ED1">
        <w:t>EIR</w:t>
      </w:r>
      <w:r>
        <w:t xml:space="preserve">.  </w:t>
      </w:r>
      <w:r w:rsidR="00EF09E2">
        <w:t xml:space="preserve">The </w:t>
      </w:r>
      <w:r w:rsidR="00983993">
        <w:t xml:space="preserve">final </w:t>
      </w:r>
      <w:r w:rsidR="00983993" w:rsidRPr="00A95ED1">
        <w:t>EIR</w:t>
      </w:r>
      <w:r w:rsidR="00EF09E2">
        <w:t xml:space="preserve"> is comprised of an introduction; summary of public participation; responses to comments on the draft EIR; project overview and environmental impacts; the Mitigation, Monitoring, Compliance, and Reporting Program (MMCRP), and Appendices A through E.  Appendix A contains the d</w:t>
      </w:r>
      <w:r w:rsidR="00EF09E2" w:rsidRPr="0093519E">
        <w:t>raft EIR</w:t>
      </w:r>
      <w:r w:rsidR="00EF09E2">
        <w:t xml:space="preserve"> as revised in response to comments.  </w:t>
      </w:r>
      <w:r>
        <w:t>O</w:t>
      </w:r>
      <w:r w:rsidRPr="00A95ED1">
        <w:t xml:space="preserve">n </w:t>
      </w:r>
      <w:r w:rsidR="00983993">
        <w:t>July 24, 2013</w:t>
      </w:r>
      <w:r w:rsidRPr="00A95ED1">
        <w:t xml:space="preserve">, the </w:t>
      </w:r>
      <w:r w:rsidR="00C44C8C">
        <w:t xml:space="preserve">final </w:t>
      </w:r>
      <w:r w:rsidR="00C44C8C" w:rsidRPr="00A95ED1">
        <w:t xml:space="preserve">EIR </w:t>
      </w:r>
      <w:r w:rsidR="00EF09E2">
        <w:t>was</w:t>
      </w:r>
      <w:r w:rsidRPr="00A95ED1">
        <w:t xml:space="preserve"> </w:t>
      </w:r>
      <w:r>
        <w:t>received</w:t>
      </w:r>
      <w:r w:rsidRPr="00A95ED1">
        <w:t xml:space="preserve"> into </w:t>
      </w:r>
      <w:r w:rsidR="00EF09E2">
        <w:t>the record as Reference Exhibit</w:t>
      </w:r>
      <w:r w:rsidRPr="00A95ED1">
        <w:t xml:space="preserve"> A</w:t>
      </w:r>
      <w:r w:rsidR="00EF09E2">
        <w:t xml:space="preserve"> (Ref. Exh. A)</w:t>
      </w:r>
      <w:r w:rsidRPr="00A95ED1">
        <w:t>.</w:t>
      </w:r>
      <w:r w:rsidRPr="00A95ED1">
        <w:rPr>
          <w:rStyle w:val="FootnoteReference"/>
        </w:rPr>
        <w:footnoteReference w:id="29"/>
      </w:r>
    </w:p>
    <w:p w:rsidR="00B4033F" w:rsidRDefault="00B4033F" w:rsidP="0064333F">
      <w:pPr>
        <w:pStyle w:val="Heading1"/>
        <w:numPr>
          <w:ilvl w:val="1"/>
          <w:numId w:val="37"/>
        </w:numPr>
        <w:ind w:left="1440" w:hanging="720"/>
      </w:pPr>
      <w:bookmarkStart w:id="43" w:name="_Toc319053326"/>
      <w:bookmarkStart w:id="44" w:name="_Toc369507321"/>
      <w:r>
        <w:t>The EIR</w:t>
      </w:r>
      <w:bookmarkEnd w:id="43"/>
      <w:bookmarkEnd w:id="44"/>
    </w:p>
    <w:p w:rsidR="00B4033F" w:rsidRDefault="00B4033F" w:rsidP="00B4033F">
      <w:pPr>
        <w:pStyle w:val="standard"/>
      </w:pPr>
      <w:r>
        <w:t xml:space="preserve">The </w:t>
      </w:r>
      <w:r w:rsidRPr="009003AC">
        <w:t>EIR inform</w:t>
      </w:r>
      <w:r>
        <w:t>s</w:t>
      </w:r>
      <w:r w:rsidRPr="009003AC">
        <w:t xml:space="preserve"> the Commission and the public</w:t>
      </w:r>
      <w:r w:rsidR="00831C2F">
        <w:t>,</w:t>
      </w:r>
      <w:r w:rsidRPr="009003AC">
        <w:t xml:space="preserve"> in general, of the environmental impacts of the </w:t>
      </w:r>
      <w:r w:rsidR="00EF44B5">
        <w:t>Project</w:t>
      </w:r>
      <w:r w:rsidRPr="009003AC">
        <w:t xml:space="preserve"> and alternatives</w:t>
      </w:r>
      <w:r>
        <w:t>.</w:t>
      </w:r>
      <w:r>
        <w:rPr>
          <w:rStyle w:val="FootnoteReference"/>
        </w:rPr>
        <w:footnoteReference w:id="30"/>
      </w:r>
      <w:r>
        <w:t xml:space="preserve">  </w:t>
      </w:r>
      <w:r w:rsidRPr="005B6D12">
        <w:t>The EIR evaluate</w:t>
      </w:r>
      <w:r>
        <w:t>s</w:t>
      </w:r>
      <w:r w:rsidRPr="005B6D12">
        <w:t xml:space="preserve"> the environmental impacts that would be expected to result from the construction and operation of </w:t>
      </w:r>
      <w:r>
        <w:t xml:space="preserve">the </w:t>
      </w:r>
      <w:r w:rsidR="00EF44B5">
        <w:t>Project</w:t>
      </w:r>
      <w:r>
        <w:t>,</w:t>
      </w:r>
      <w:r w:rsidRPr="005B6D12">
        <w:t xml:space="preserve"> and provide</w:t>
      </w:r>
      <w:r>
        <w:t>s</w:t>
      </w:r>
      <w:r w:rsidRPr="005B6D12">
        <w:t xml:space="preserve"> recommended mitigation measures that, if adopted, would avoid or minimize the identified significant environmental impacts. </w:t>
      </w:r>
      <w:r>
        <w:t xml:space="preserve"> The </w:t>
      </w:r>
      <w:r w:rsidRPr="005B6D12">
        <w:t xml:space="preserve">EIR </w:t>
      </w:r>
      <w:r>
        <w:t xml:space="preserve">also </w:t>
      </w:r>
      <w:r w:rsidRPr="005B6D12">
        <w:t xml:space="preserve">identifies alternatives to the </w:t>
      </w:r>
      <w:r w:rsidR="00EF44B5">
        <w:t>Project</w:t>
      </w:r>
      <w:r w:rsidRPr="005B6D12">
        <w:t xml:space="preserve"> that could avoid or minimize significant environmental impacts associated with the </w:t>
      </w:r>
      <w:r w:rsidR="00EF44B5">
        <w:t>Project</w:t>
      </w:r>
      <w:r>
        <w:t xml:space="preserve">, </w:t>
      </w:r>
      <w:r w:rsidRPr="005B6D12">
        <w:t xml:space="preserve">including the </w:t>
      </w:r>
      <w:r>
        <w:t>“n</w:t>
      </w:r>
      <w:r w:rsidRPr="005B6D12">
        <w:t xml:space="preserve">o </w:t>
      </w:r>
      <w:r>
        <w:t>p</w:t>
      </w:r>
      <w:r w:rsidRPr="005B6D12">
        <w:t>roject</w:t>
      </w:r>
      <w:r>
        <w:t>” al</w:t>
      </w:r>
      <w:r w:rsidRPr="005B6D12">
        <w:t>ternative, evaluates the environmental impacts associated with these alternatives</w:t>
      </w:r>
      <w:r>
        <w:t xml:space="preserve">, and </w:t>
      </w:r>
      <w:r w:rsidRPr="005B6D12">
        <w:t>determines the envir</w:t>
      </w:r>
      <w:r>
        <w:t>onmentally superior alternative</w:t>
      </w:r>
      <w:r w:rsidRPr="009003AC">
        <w:t>.</w:t>
      </w:r>
    </w:p>
    <w:p w:rsidR="00846409" w:rsidRDefault="00B4033F" w:rsidP="00846409">
      <w:pPr>
        <w:pStyle w:val="standard"/>
      </w:pPr>
      <w:r w:rsidRPr="009003AC">
        <w:t xml:space="preserve">CEQA requires that, prior to approving </w:t>
      </w:r>
      <w:r>
        <w:t>a</w:t>
      </w:r>
      <w:r w:rsidRPr="009003AC">
        <w:t xml:space="preserve"> project or a project alternative, the lead agency certify that</w:t>
      </w:r>
      <w:r>
        <w:t xml:space="preserve"> (1) </w:t>
      </w:r>
      <w:r w:rsidRPr="009003AC">
        <w:t>the EIR was co</w:t>
      </w:r>
      <w:r>
        <w:t>mpleted in compliance with CEQA;</w:t>
      </w:r>
      <w:r w:rsidRPr="009003AC">
        <w:t xml:space="preserve"> </w:t>
      </w:r>
      <w:r>
        <w:t xml:space="preserve">(2) </w:t>
      </w:r>
      <w:r w:rsidRPr="009003AC">
        <w:t>the lead agency reviewed and considered the EIR prior to approving the p</w:t>
      </w:r>
      <w:r>
        <w:t>roject or a project alternative;</w:t>
      </w:r>
      <w:r w:rsidRPr="009003AC">
        <w:t xml:space="preserve"> and </w:t>
      </w:r>
      <w:r>
        <w:t xml:space="preserve">(3) </w:t>
      </w:r>
      <w:r w:rsidRPr="009003AC">
        <w:t>the EIR ref</w:t>
      </w:r>
      <w:r>
        <w:t xml:space="preserve">lects </w:t>
      </w:r>
      <w:r w:rsidRPr="009003AC">
        <w:t>the lead agency</w:t>
      </w:r>
      <w:r>
        <w:t>’s independent judgment.</w:t>
      </w:r>
      <w:r w:rsidR="00846409">
        <w:t xml:space="preserve"> </w:t>
      </w:r>
    </w:p>
    <w:p w:rsidR="002C2884" w:rsidRDefault="002C2884" w:rsidP="002C2884">
      <w:pPr>
        <w:pStyle w:val="standard"/>
      </w:pPr>
      <w:r>
        <w:t>As discussed below, t</w:t>
      </w:r>
      <w:r w:rsidRPr="00CC3CC6">
        <w:t>he EIR</w:t>
      </w:r>
      <w:r>
        <w:t xml:space="preserve"> does not identify any significant </w:t>
      </w:r>
      <w:r w:rsidR="008F4AAE">
        <w:t>unmitigable or</w:t>
      </w:r>
      <w:r>
        <w:t xml:space="preserve"> unavoidable environmental impacts that would result from the construction or operation of </w:t>
      </w:r>
      <w:r w:rsidRPr="00CC3CC6">
        <w:t xml:space="preserve">the </w:t>
      </w:r>
      <w:r w:rsidR="00EF44B5">
        <w:t>Project</w:t>
      </w:r>
      <w:r w:rsidR="00156246">
        <w:t xml:space="preserve">, and does not identify </w:t>
      </w:r>
      <w:r>
        <w:t>any</w:t>
      </w:r>
      <w:r w:rsidRPr="00CB6955">
        <w:t xml:space="preserve"> mitigation measures or project alternatives</w:t>
      </w:r>
      <w:r w:rsidR="0064333F">
        <w:t xml:space="preserve"> that are infeasible.</w:t>
      </w:r>
      <w:r w:rsidR="00D63904">
        <w:rPr>
          <w:rStyle w:val="FootnoteReference"/>
        </w:rPr>
        <w:footnoteReference w:id="31"/>
      </w:r>
    </w:p>
    <w:p w:rsidR="002C2884" w:rsidRPr="0072087F" w:rsidRDefault="002C2884" w:rsidP="0064333F">
      <w:pPr>
        <w:pStyle w:val="Heading1"/>
        <w:numPr>
          <w:ilvl w:val="1"/>
          <w:numId w:val="37"/>
        </w:numPr>
        <w:ind w:left="1440" w:hanging="720"/>
      </w:pPr>
      <w:bookmarkStart w:id="45" w:name="_Toc369507322"/>
      <w:r w:rsidRPr="0072087F">
        <w:t>Environmentally Superior Alternative</w:t>
      </w:r>
      <w:bookmarkEnd w:id="45"/>
    </w:p>
    <w:p w:rsidR="00B94B55" w:rsidRDefault="002C2884" w:rsidP="002C2884">
      <w:pPr>
        <w:pStyle w:val="standard"/>
      </w:pPr>
      <w:r>
        <w:t>Eleven</w:t>
      </w:r>
      <w:r w:rsidRPr="00831C2F">
        <w:t xml:space="preserve"> alternatives were identified, and </w:t>
      </w:r>
      <w:r>
        <w:t>three</w:t>
      </w:r>
      <w:r w:rsidRPr="00831C2F">
        <w:t xml:space="preserve"> alternatives</w:t>
      </w:r>
      <w:r>
        <w:t xml:space="preserve"> were evaluated: </w:t>
      </w:r>
      <w:r w:rsidR="00B94B55">
        <w:t xml:space="preserve">the No Project Alternative, </w:t>
      </w:r>
      <w:r>
        <w:t xml:space="preserve">the Design Alternative, </w:t>
      </w:r>
      <w:r w:rsidR="00B94B55">
        <w:t>and Routing Alternative A</w:t>
      </w:r>
      <w:r>
        <w:t xml:space="preserve">.  </w:t>
      </w:r>
      <w:r w:rsidR="00BD3328">
        <w:t>However, Routing Alternative A was eliminated from consideration in the final EIR.</w:t>
      </w:r>
      <w:r w:rsidR="00BD3328">
        <w:rPr>
          <w:rStyle w:val="FootnoteReference"/>
        </w:rPr>
        <w:footnoteReference w:id="32"/>
      </w:r>
    </w:p>
    <w:p w:rsidR="007E502F" w:rsidRPr="00831C2F" w:rsidRDefault="007C695C" w:rsidP="007E502F">
      <w:pPr>
        <w:pStyle w:val="standard"/>
      </w:pPr>
      <w:r w:rsidRPr="007E502F">
        <w:t xml:space="preserve">Under the No Project Alternative, </w:t>
      </w:r>
      <w:r w:rsidR="007E502F" w:rsidRPr="007E502F">
        <w:t>t</w:t>
      </w:r>
      <w:r w:rsidRPr="007E502F">
        <w:t xml:space="preserve">he existing </w:t>
      </w:r>
      <w:r w:rsidR="00C80073">
        <w:t>TDCs</w:t>
      </w:r>
      <w:r w:rsidRPr="007E502F">
        <w:t xml:space="preserve"> would not be replaced</w:t>
      </w:r>
      <w:r w:rsidR="007E502F" w:rsidRPr="007E502F">
        <w:t xml:space="preserve"> and the basic objectives of the </w:t>
      </w:r>
      <w:r w:rsidR="00EF44B5">
        <w:t>Project</w:t>
      </w:r>
      <w:r w:rsidR="007E502F" w:rsidRPr="007E502F">
        <w:t xml:space="preserve"> would</w:t>
      </w:r>
      <w:r w:rsidR="000347FA">
        <w:t xml:space="preserve"> not</w:t>
      </w:r>
      <w:r w:rsidR="007E502F" w:rsidRPr="007E502F">
        <w:t xml:space="preserve"> be achieved</w:t>
      </w:r>
      <w:r w:rsidRPr="007E502F">
        <w:t xml:space="preserve">. </w:t>
      </w:r>
      <w:r w:rsidR="007E502F" w:rsidRPr="007E502F">
        <w:t>In particular</w:t>
      </w:r>
      <w:r w:rsidRPr="007E502F">
        <w:t>,</w:t>
      </w:r>
      <w:r w:rsidR="007E502F" w:rsidRPr="007E502F">
        <w:t xml:space="preserve"> the Storage Field’s injection capacity would not be increased and, as a result,</w:t>
      </w:r>
      <w:r w:rsidRPr="007E502F">
        <w:t xml:space="preserve"> the terms of the </w:t>
      </w:r>
      <w:r w:rsidR="008A035D" w:rsidRPr="00FF09F3">
        <w:t xml:space="preserve">BCAP Phase 1 </w:t>
      </w:r>
      <w:r w:rsidR="008A035D" w:rsidRPr="008167C5">
        <w:t>Settlement</w:t>
      </w:r>
      <w:r w:rsidR="008A035D">
        <w:t xml:space="preserve"> </w:t>
      </w:r>
      <w:r w:rsidR="000347FA">
        <w:t xml:space="preserve">adopted by D.08-12-020 </w:t>
      </w:r>
      <w:r w:rsidR="003D21B1">
        <w:t xml:space="preserve">could not be met (Objective No. </w:t>
      </w:r>
      <w:r w:rsidRPr="007E502F">
        <w:t xml:space="preserve">1).  In addition, replacement parts </w:t>
      </w:r>
      <w:r w:rsidR="007E502F" w:rsidRPr="007E502F">
        <w:t xml:space="preserve">for the existing gas turbine–driven compressors </w:t>
      </w:r>
      <w:r w:rsidRPr="007E502F">
        <w:t>are extremely limited because production of the gas turbines was halted by the ma</w:t>
      </w:r>
      <w:r w:rsidR="0088129A">
        <w:t xml:space="preserve">nufacturer in the late 1970s.  </w:t>
      </w:r>
      <w:r w:rsidRPr="007E502F">
        <w:t>As a result, the reliability and efficiency of storage facility operations would not be mai</w:t>
      </w:r>
      <w:r w:rsidR="003D21B1">
        <w:t>nta</w:t>
      </w:r>
      <w:r w:rsidR="00F3319A">
        <w:t>ined or improved (Objective No. </w:t>
      </w:r>
      <w:r w:rsidRPr="007E502F">
        <w:t>2) because maintenance requiring compressor replacement parts would take longer to address and the current level of compressor reliability experienced at the storage field would decrease.</w:t>
      </w:r>
      <w:r w:rsidR="0088129A">
        <w:t xml:space="preserve"> </w:t>
      </w:r>
      <w:r w:rsidRPr="007E502F">
        <w:t xml:space="preserve"> </w:t>
      </w:r>
      <w:r w:rsidR="007E502F">
        <w:t xml:space="preserve">Therefore, the </w:t>
      </w:r>
      <w:r w:rsidR="007E502F" w:rsidRPr="007E502F">
        <w:t>No Project Alternative</w:t>
      </w:r>
      <w:r w:rsidR="007E502F">
        <w:t xml:space="preserve"> is rejected.</w:t>
      </w:r>
    </w:p>
    <w:p w:rsidR="002C2884" w:rsidRPr="00831C2F" w:rsidRDefault="002C2884" w:rsidP="00F120AD">
      <w:pPr>
        <w:pStyle w:val="standard"/>
      </w:pPr>
      <w:r>
        <w:t xml:space="preserve">The Design Alternative would replace the existing </w:t>
      </w:r>
      <w:r w:rsidRPr="00A20661">
        <w:t xml:space="preserve">obsolete </w:t>
      </w:r>
      <w:r>
        <w:t>gas</w:t>
      </w:r>
      <w:r>
        <w:noBreakHyphen/>
      </w:r>
      <w:r w:rsidRPr="00831C2F">
        <w:t>driven turbine compressors</w:t>
      </w:r>
      <w:r>
        <w:t xml:space="preserve"> with new gas</w:t>
      </w:r>
      <w:r>
        <w:noBreakHyphen/>
        <w:t>driven turbine compressors.  This alternative e</w:t>
      </w:r>
      <w:r w:rsidRPr="00831C2F">
        <w:t xml:space="preserve">liminates </w:t>
      </w:r>
      <w:r>
        <w:t xml:space="preserve">the </w:t>
      </w:r>
      <w:r w:rsidRPr="00831C2F">
        <w:t xml:space="preserve">need for </w:t>
      </w:r>
      <w:r>
        <w:t xml:space="preserve">the new proposed </w:t>
      </w:r>
      <w:r w:rsidR="007E502F">
        <w:t>substation, line reconductoring</w:t>
      </w:r>
      <w:r w:rsidRPr="00831C2F">
        <w:t xml:space="preserve"> and telecommunications line installations, and avoids or reduces long-term impacts on certain biological resources and some construction impacts.  However, </w:t>
      </w:r>
      <w:r w:rsidR="001E1559">
        <w:rPr>
          <w:rFonts w:ascii="Palatino Linotype" w:hAnsi="Palatino Linotype"/>
          <w:szCs w:val="26"/>
        </w:rPr>
        <w:t xml:space="preserve">negative </w:t>
      </w:r>
      <w:r w:rsidRPr="00831C2F">
        <w:t xml:space="preserve">air quality and greenhouse gas </w:t>
      </w:r>
      <w:r w:rsidR="005C71B9">
        <w:t xml:space="preserve">(GHG) </w:t>
      </w:r>
      <w:r w:rsidR="00392035">
        <w:t>emission impacts would be long</w:t>
      </w:r>
      <w:r w:rsidR="00392035">
        <w:noBreakHyphen/>
      </w:r>
      <w:r w:rsidRPr="00831C2F">
        <w:t xml:space="preserve">term and widespread. </w:t>
      </w:r>
      <w:r w:rsidR="00392035">
        <w:t xml:space="preserve"> </w:t>
      </w:r>
      <w:r>
        <w:t>This alternative is not adopted.</w:t>
      </w:r>
    </w:p>
    <w:p w:rsidR="002C2884" w:rsidRDefault="00BD3328" w:rsidP="002C2884">
      <w:pPr>
        <w:pStyle w:val="standard"/>
      </w:pPr>
      <w:r>
        <w:t>According to the EIR</w:t>
      </w:r>
      <w:r w:rsidR="00F120AD">
        <w:t>, l</w:t>
      </w:r>
      <w:r w:rsidR="00F120AD" w:rsidRPr="00F120AD">
        <w:t xml:space="preserve">ong-term impacts on coastal California gnatcatcher habitat and other biological resources would be avoided under the Design Alternative, and </w:t>
      </w:r>
      <w:r>
        <w:t>some</w:t>
      </w:r>
      <w:r w:rsidR="00F120AD" w:rsidRPr="00F120AD">
        <w:t xml:space="preserve"> short-term construction impacts would be avoided or reduced but the alternative’s air quality and GHG emissions impacts would be both long-term and widespread, impacting resources in addition to those located in proximity to the components of the Design Alternative.</w:t>
      </w:r>
      <w:r w:rsidR="00F3319A">
        <w:t xml:space="preserve"> </w:t>
      </w:r>
      <w:r w:rsidR="00F120AD" w:rsidRPr="00F120AD">
        <w:t xml:space="preserve"> </w:t>
      </w:r>
      <w:r>
        <w:t>W</w:t>
      </w:r>
      <w:r w:rsidR="00F120AD" w:rsidRPr="00F120AD">
        <w:t>hile offsets can be purchased for air quality impacts, and offsets may be negotiated for GHG impacts, mitigation through the purchase of offsets is indirect. Direct mitigation for air pollutant and GHG emissions can be difficult to implement and, in some cases, cannot sufficiently reduce impacts.</w:t>
      </w:r>
      <w:r w:rsidR="00356905">
        <w:t xml:space="preserve"> </w:t>
      </w:r>
      <w:r w:rsidR="00F120AD" w:rsidRPr="00F120AD">
        <w:t xml:space="preserve"> Therefore, because the </w:t>
      </w:r>
      <w:r w:rsidR="00EF44B5">
        <w:t>Project</w:t>
      </w:r>
      <w:r w:rsidR="00F120AD" w:rsidRPr="00F120AD">
        <w:t xml:space="preserve">, during operations, would avoid or reduce long-term impacts from air pollutant emissions and result in a net reduction of GHG emissions in comparison to the Design Alternative, the </w:t>
      </w:r>
      <w:r w:rsidR="00EF44B5">
        <w:t>Project</w:t>
      </w:r>
      <w:r w:rsidRPr="00F120AD">
        <w:t xml:space="preserve"> </w:t>
      </w:r>
      <w:r>
        <w:t>is</w:t>
      </w:r>
      <w:r w:rsidR="00F120AD" w:rsidRPr="00F120AD">
        <w:t xml:space="preserve"> the </w:t>
      </w:r>
      <w:r w:rsidR="008F4AAE" w:rsidRPr="00F120AD">
        <w:t>environmentally superior alternative</w:t>
      </w:r>
      <w:r w:rsidR="00F120AD" w:rsidRPr="00F120AD">
        <w:t>.</w:t>
      </w:r>
    </w:p>
    <w:p w:rsidR="00C249F3" w:rsidRPr="0072087F" w:rsidRDefault="001B6DA8" w:rsidP="00356905">
      <w:pPr>
        <w:pStyle w:val="Heading1"/>
        <w:numPr>
          <w:ilvl w:val="1"/>
          <w:numId w:val="37"/>
        </w:numPr>
        <w:ind w:left="1440" w:hanging="720"/>
      </w:pPr>
      <w:bookmarkStart w:id="46" w:name="_Toc369507323"/>
      <w:r w:rsidRPr="0072087F">
        <w:t xml:space="preserve">Environmental Impacts </w:t>
      </w:r>
      <w:r w:rsidR="00C249F3" w:rsidRPr="0072087F">
        <w:t xml:space="preserve">of the </w:t>
      </w:r>
      <w:r w:rsidR="00EF44B5">
        <w:t>Project</w:t>
      </w:r>
      <w:bookmarkEnd w:id="46"/>
    </w:p>
    <w:p w:rsidR="008834D5" w:rsidRPr="008834D5" w:rsidRDefault="008834D5" w:rsidP="008834D5">
      <w:pPr>
        <w:pStyle w:val="standard"/>
      </w:pPr>
      <w:r w:rsidRPr="008834D5">
        <w:t xml:space="preserve">No significant </w:t>
      </w:r>
      <w:r w:rsidR="000651FB">
        <w:t xml:space="preserve">unmitigable or </w:t>
      </w:r>
      <w:r w:rsidRPr="008834D5">
        <w:t>unavoidable adverse environmental impacts have been identified that would result from construction or operation of the proposed project. All of the impacts identified are either less than significant or, with mitigation, would be reduced to less than significant levels.</w:t>
      </w:r>
    </w:p>
    <w:p w:rsidR="009A1E68" w:rsidRDefault="001B6DA8" w:rsidP="001B6DA8">
      <w:pPr>
        <w:pStyle w:val="standard"/>
      </w:pPr>
      <w:r w:rsidRPr="00C95E6F">
        <w:t xml:space="preserve">The EIR states that </w:t>
      </w:r>
      <w:r w:rsidR="00C95E6F" w:rsidRPr="00C95E6F">
        <w:t xml:space="preserve">construction and operation of </w:t>
      </w:r>
      <w:r w:rsidRPr="00C95E6F">
        <w:t xml:space="preserve">the </w:t>
      </w:r>
      <w:r w:rsidR="00EF44B5">
        <w:t>Project</w:t>
      </w:r>
      <w:r w:rsidRPr="00C95E6F">
        <w:t xml:space="preserve"> will have no significant environmental impact in the areas of agricultur</w:t>
      </w:r>
      <w:r w:rsidR="00C95E6F" w:rsidRPr="00C95E6F">
        <w:t xml:space="preserve">e and forestry </w:t>
      </w:r>
      <w:r w:rsidRPr="00C95E6F">
        <w:t xml:space="preserve">resources, </w:t>
      </w:r>
      <w:r w:rsidR="00643DE6">
        <w:t xml:space="preserve">land use and planning, </w:t>
      </w:r>
      <w:r w:rsidR="009652F5" w:rsidRPr="009652F5">
        <w:t xml:space="preserve">population and </w:t>
      </w:r>
      <w:r w:rsidR="009652F5" w:rsidRPr="00643DE6">
        <w:t>housing</w:t>
      </w:r>
      <w:r w:rsidR="00643DE6" w:rsidRPr="00643DE6">
        <w:t xml:space="preserve">, and </w:t>
      </w:r>
      <w:r w:rsidR="009652F5" w:rsidRPr="00643DE6">
        <w:t>recreation</w:t>
      </w:r>
      <w:r w:rsidRPr="00643DE6">
        <w:t>.</w:t>
      </w:r>
      <w:r w:rsidR="009A1E68">
        <w:rPr>
          <w:rStyle w:val="FootnoteReference"/>
        </w:rPr>
        <w:footnoteReference w:id="33"/>
      </w:r>
      <w:r w:rsidRPr="00643DE6">
        <w:t xml:space="preserve">  </w:t>
      </w:r>
      <w:r w:rsidR="009A1E68">
        <w:t xml:space="preserve">In addition, the EIR identifies no </w:t>
      </w:r>
      <w:r w:rsidR="000651FB">
        <w:t xml:space="preserve">significant </w:t>
      </w:r>
      <w:r w:rsidR="009A1E68">
        <w:t>cumulative impacts and other CEQA considerations.</w:t>
      </w:r>
      <w:r w:rsidR="009A1E68">
        <w:rPr>
          <w:rStyle w:val="FootnoteReference"/>
        </w:rPr>
        <w:footnoteReference w:id="34"/>
      </w:r>
    </w:p>
    <w:p w:rsidR="001B6DA8" w:rsidRDefault="001B6DA8" w:rsidP="001B6DA8">
      <w:pPr>
        <w:pStyle w:val="standard"/>
      </w:pPr>
      <w:r w:rsidRPr="00643DE6">
        <w:t xml:space="preserve">The EIR </w:t>
      </w:r>
      <w:r w:rsidR="00C95E6F" w:rsidRPr="00643DE6">
        <w:t>further states</w:t>
      </w:r>
      <w:r w:rsidRPr="00643DE6">
        <w:t xml:space="preserve"> that, with mitigation</w:t>
      </w:r>
      <w:r w:rsidRPr="00C95E6F">
        <w:t xml:space="preserve"> incorporated, </w:t>
      </w:r>
      <w:r w:rsidR="00C95E6F" w:rsidRPr="00C95E6F">
        <w:t xml:space="preserve">construction and operation of the </w:t>
      </w:r>
      <w:r w:rsidR="00EF44B5">
        <w:t>Project</w:t>
      </w:r>
      <w:r w:rsidRPr="00C95E6F">
        <w:t xml:space="preserve"> will result in less than significant impacts in the areas of aesthetics</w:t>
      </w:r>
      <w:r w:rsidR="009652F5">
        <w:t>;</w:t>
      </w:r>
      <w:r w:rsidRPr="00C95E6F">
        <w:t xml:space="preserve"> air quality</w:t>
      </w:r>
      <w:r w:rsidR="009652F5">
        <w:t>;</w:t>
      </w:r>
      <w:r w:rsidRPr="00C95E6F">
        <w:t xml:space="preserve"> biological resources</w:t>
      </w:r>
      <w:r w:rsidR="009652F5">
        <w:t>;</w:t>
      </w:r>
      <w:r w:rsidRPr="00C95E6F">
        <w:t xml:space="preserve"> </w:t>
      </w:r>
      <w:r w:rsidRPr="009652F5">
        <w:t>cultural resources</w:t>
      </w:r>
      <w:r w:rsidR="009652F5">
        <w:t>;</w:t>
      </w:r>
      <w:r w:rsidRPr="009652F5">
        <w:t xml:space="preserve"> geology</w:t>
      </w:r>
      <w:r w:rsidR="009652F5" w:rsidRPr="009652F5">
        <w:t>,</w:t>
      </w:r>
      <w:r w:rsidRPr="009652F5">
        <w:t xml:space="preserve"> soils</w:t>
      </w:r>
      <w:r w:rsidR="009652F5" w:rsidRPr="009652F5">
        <w:t xml:space="preserve"> and mineral resources;</w:t>
      </w:r>
      <w:r w:rsidRPr="009652F5">
        <w:t xml:space="preserve"> </w:t>
      </w:r>
      <w:r w:rsidR="009652F5">
        <w:t>hazards and hazardous materials;</w:t>
      </w:r>
      <w:r w:rsidRPr="009652F5">
        <w:t xml:space="preserve"> hy</w:t>
      </w:r>
      <w:r w:rsidR="009652F5">
        <w:t>drology and water quality</w:t>
      </w:r>
      <w:r w:rsidR="009652F5" w:rsidRPr="009652F5">
        <w:t>;</w:t>
      </w:r>
      <w:r w:rsidR="009652F5">
        <w:t xml:space="preserve"> </w:t>
      </w:r>
      <w:r w:rsidR="00643DE6" w:rsidRPr="00643DE6">
        <w:t>noise</w:t>
      </w:r>
      <w:r w:rsidR="009652F5" w:rsidRPr="00643DE6">
        <w:t xml:space="preserve">; public services and utilities; </w:t>
      </w:r>
      <w:r w:rsidRPr="00643DE6">
        <w:t>and transportation and traffic.</w:t>
      </w:r>
      <w:r w:rsidR="009A1E68">
        <w:rPr>
          <w:rStyle w:val="FootnoteReference"/>
        </w:rPr>
        <w:footnoteReference w:id="35"/>
      </w:r>
    </w:p>
    <w:p w:rsidR="00C249F3" w:rsidRDefault="002F5E2A" w:rsidP="00356905">
      <w:pPr>
        <w:pStyle w:val="Heading1"/>
        <w:numPr>
          <w:ilvl w:val="1"/>
          <w:numId w:val="37"/>
        </w:numPr>
        <w:ind w:left="1440" w:right="1440" w:hanging="720"/>
      </w:pPr>
      <w:bookmarkStart w:id="47" w:name="_Toc369507324"/>
      <w:r>
        <w:t>T</w:t>
      </w:r>
      <w:r w:rsidR="00C249F3" w:rsidRPr="0072087F">
        <w:t xml:space="preserve">he EIR </w:t>
      </w:r>
      <w:r>
        <w:t xml:space="preserve">Was </w:t>
      </w:r>
      <w:r w:rsidR="00624E1F">
        <w:t>Completed in C</w:t>
      </w:r>
      <w:r w:rsidR="00C249F3" w:rsidRPr="0072087F">
        <w:t>ompliance with CEQA</w:t>
      </w:r>
      <w:bookmarkEnd w:id="47"/>
      <w:r w:rsidR="00C249F3" w:rsidRPr="0072087F">
        <w:t xml:space="preserve"> </w:t>
      </w:r>
    </w:p>
    <w:p w:rsidR="00624E1F" w:rsidRDefault="00624E1F" w:rsidP="00624E1F">
      <w:pPr>
        <w:pStyle w:val="standard"/>
      </w:pPr>
      <w:r>
        <w:rPr>
          <w:sz w:val="25"/>
          <w:szCs w:val="25"/>
        </w:rPr>
        <w:t>Pur</w:t>
      </w:r>
      <w:r w:rsidR="00781F2C">
        <w:rPr>
          <w:sz w:val="25"/>
          <w:szCs w:val="25"/>
        </w:rPr>
        <w:t>suant to the Scoping Memo, the July 24, 2013</w:t>
      </w:r>
      <w:r>
        <w:rPr>
          <w:sz w:val="25"/>
          <w:szCs w:val="25"/>
        </w:rPr>
        <w:t xml:space="preserve"> ALJ ruling, among other things, </w:t>
      </w:r>
      <w:r w:rsidR="0099627C">
        <w:rPr>
          <w:sz w:val="25"/>
          <w:szCs w:val="25"/>
        </w:rPr>
        <w:t xml:space="preserve">permitted </w:t>
      </w:r>
      <w:r>
        <w:t xml:space="preserve">parties </w:t>
      </w:r>
      <w:r w:rsidR="0099627C">
        <w:t>to file</w:t>
      </w:r>
      <w:r w:rsidRPr="00663368">
        <w:t xml:space="preserve"> briefs</w:t>
      </w:r>
      <w:r>
        <w:t xml:space="preserve"> </w:t>
      </w:r>
      <w:r w:rsidR="0099627C">
        <w:t>on</w:t>
      </w:r>
      <w:r>
        <w:t xml:space="preserve"> issues that are within the scope of this proceeding, including, challenges to</w:t>
      </w:r>
      <w:r w:rsidRPr="00663368">
        <w:t xml:space="preserve"> the conduct of the CEQA process and the completion of the EIR in compliance with </w:t>
      </w:r>
      <w:r>
        <w:t>it.</w:t>
      </w:r>
      <w:r w:rsidR="00781F2C">
        <w:t xml:space="preserve">  No party filed briefs and no party challenges </w:t>
      </w:r>
      <w:r w:rsidR="00781F2C" w:rsidRPr="00663368">
        <w:t xml:space="preserve">the conduct of the CEQA process </w:t>
      </w:r>
      <w:r w:rsidR="00781F2C">
        <w:t>or</w:t>
      </w:r>
      <w:r w:rsidR="00781F2C" w:rsidRPr="00663368">
        <w:t xml:space="preserve"> the completion of the EIR in compliance with </w:t>
      </w:r>
      <w:r w:rsidR="00781F2C">
        <w:t>it.</w:t>
      </w:r>
    </w:p>
    <w:p w:rsidR="003D21B1" w:rsidRDefault="003D21B1" w:rsidP="00356905">
      <w:pPr>
        <w:pStyle w:val="Heading1"/>
        <w:numPr>
          <w:ilvl w:val="1"/>
          <w:numId w:val="37"/>
        </w:numPr>
        <w:ind w:left="1440" w:right="1440" w:hanging="720"/>
      </w:pPr>
      <w:bookmarkStart w:id="48" w:name="_Toc369507325"/>
      <w:r>
        <w:t>Mitigation Monitoring, Compliance and Reporting Program</w:t>
      </w:r>
      <w:bookmarkEnd w:id="48"/>
    </w:p>
    <w:p w:rsidR="003D21B1" w:rsidRPr="008F4AAE" w:rsidRDefault="003D21B1" w:rsidP="003D21B1">
      <w:pPr>
        <w:pStyle w:val="standard"/>
        <w:rPr>
          <w:sz w:val="25"/>
          <w:szCs w:val="25"/>
        </w:rPr>
      </w:pPr>
      <w:r w:rsidRPr="008F4AAE">
        <w:rPr>
          <w:sz w:val="25"/>
          <w:szCs w:val="25"/>
        </w:rPr>
        <w:t xml:space="preserve">Public Resources Code </w:t>
      </w:r>
      <w:r w:rsidR="00B21E1C">
        <w:rPr>
          <w:sz w:val="25"/>
          <w:szCs w:val="25"/>
        </w:rPr>
        <w:t>Section</w:t>
      </w:r>
      <w:r w:rsidRPr="008F4AAE">
        <w:rPr>
          <w:sz w:val="25"/>
          <w:szCs w:val="25"/>
        </w:rPr>
        <w:t xml:space="preserve"> 21081(a)(1) requires the Commission as Lead Agency under CEQA to find, among things, that the “changes or alterations … which mitigate or avoid the [Project’s] significant effects on the environment” are required or incorporated into the EIR.  Public Resources Code </w:t>
      </w:r>
      <w:r w:rsidR="00B21E1C">
        <w:rPr>
          <w:sz w:val="25"/>
          <w:szCs w:val="25"/>
        </w:rPr>
        <w:t>Section</w:t>
      </w:r>
      <w:r w:rsidRPr="008F4AAE">
        <w:rPr>
          <w:sz w:val="25"/>
          <w:szCs w:val="25"/>
        </w:rPr>
        <w:t xml:space="preserve"> 21081.6(b) further requires that avoidance and mitigation measures “are fully enforceable through permit conditions, agreements, or other measures.”  Accordingly, the Commission requires that all avoidance and mitigation measures identified in the EIR are complied with, whether the activities and impacts are caused by SoCalGas, SCE, or their agents.  SoCalGas and SCE shall be responsible for avoiding or mitigating the impacts caused by their respective actions, or by agreement, determine which party is responsible for fulfilling the required mitigation measures.  SoCal Gas is the applicant and project proponent, and ultimately, where SCE or its agents do not cause an impact or undertake the required mitigation, SoCalGas is responsible for mitigating the </w:t>
      </w:r>
      <w:r w:rsidR="00356905">
        <w:rPr>
          <w:sz w:val="25"/>
          <w:szCs w:val="25"/>
        </w:rPr>
        <w:t>impacts caused by the Project.</w:t>
      </w:r>
    </w:p>
    <w:p w:rsidR="003D21B1" w:rsidRDefault="003D21B1" w:rsidP="003D21B1">
      <w:pPr>
        <w:pStyle w:val="standard"/>
      </w:pPr>
      <w:r>
        <w:t>As required by CEQA, t</w:t>
      </w:r>
      <w:r w:rsidRPr="0092371D">
        <w:t xml:space="preserve">he Commission adopts the MMCRP included as </w:t>
      </w:r>
      <w:r w:rsidRPr="00831DC2">
        <w:t xml:space="preserve">Section 5 of </w:t>
      </w:r>
      <w:r>
        <w:t>the EIR</w:t>
      </w:r>
      <w:r w:rsidRPr="00831DC2">
        <w:t>.  The MMCRP</w:t>
      </w:r>
      <w:r w:rsidRPr="00551945">
        <w:t xml:space="preserve"> describes the </w:t>
      </w:r>
      <w:r>
        <w:t xml:space="preserve">required </w:t>
      </w:r>
      <w:r w:rsidRPr="00551945">
        <w:t xml:space="preserve">mitigation measures, specifically details how each mitigation measure will be implemented, and includes information on the timing of implementation and monitoring requirements. </w:t>
      </w:r>
      <w:r>
        <w:t xml:space="preserve"> </w:t>
      </w:r>
      <w:r w:rsidRPr="00551945">
        <w:t xml:space="preserve">The Commission uses the MMCRP as a guide and record of monitoring the utility’s compliance with its provisions.  </w:t>
      </w:r>
      <w:r>
        <w:t>SoCalGas</w:t>
      </w:r>
      <w:r w:rsidRPr="0092371D">
        <w:t xml:space="preserve"> </w:t>
      </w:r>
      <w:r>
        <w:t xml:space="preserve">and SCE </w:t>
      </w:r>
      <w:r w:rsidRPr="0092371D">
        <w:t>ha</w:t>
      </w:r>
      <w:r>
        <w:t>ve</w:t>
      </w:r>
      <w:r w:rsidRPr="0092371D">
        <w:t xml:space="preserve"> agreed to and must comply with each measure and provision of the MMCRP.</w:t>
      </w:r>
    </w:p>
    <w:p w:rsidR="003D21B1" w:rsidRDefault="003D21B1" w:rsidP="003D21B1">
      <w:pPr>
        <w:pStyle w:val="standard"/>
      </w:pPr>
      <w:r w:rsidRPr="00C61FED">
        <w:t xml:space="preserve">The Energy Division </w:t>
      </w:r>
      <w:r>
        <w:t>must</w:t>
      </w:r>
      <w:r w:rsidRPr="00C61FED">
        <w:t xml:space="preserve"> supervise and oversee the construction of the </w:t>
      </w:r>
      <w:r>
        <w:t>Project</w:t>
      </w:r>
      <w:r w:rsidRPr="00C61FED">
        <w:t xml:space="preserve"> insofar as it relates to monitoring and enforcement of the mitigation measures described in the </w:t>
      </w:r>
      <w:r>
        <w:t>EIR</w:t>
      </w:r>
      <w:r w:rsidRPr="00C61FED">
        <w:t xml:space="preserve">. </w:t>
      </w:r>
      <w:r>
        <w:t xml:space="preserve"> </w:t>
      </w:r>
      <w:r w:rsidRPr="00C61FED">
        <w:t>The Energy Division may designate outside staff to perform on-site monitoring tasks</w:t>
      </w:r>
      <w:r>
        <w:t>, with all associated costs to be paid by SoCalGas</w:t>
      </w:r>
      <w:r w:rsidRPr="00C61FED">
        <w:t xml:space="preserve">. </w:t>
      </w:r>
      <w:r>
        <w:t xml:space="preserve"> Upon review of SoCalGas’s and SCE’s compliance with the MMRCP, the Energy Division will provide SoCalGas and SCE with Notices to Proceed with Construction during various phases of the project as applicable under the MMCRP.</w:t>
      </w:r>
    </w:p>
    <w:p w:rsidR="003D21B1" w:rsidRPr="00E23F54" w:rsidRDefault="003D21B1" w:rsidP="003D21B1">
      <w:pPr>
        <w:pStyle w:val="standard"/>
      </w:pPr>
      <w:r w:rsidRPr="00C61FED">
        <w:t xml:space="preserve">The Commission project manager (Energy Division, Environmental Projects Unit) </w:t>
      </w:r>
      <w:r>
        <w:t>will</w:t>
      </w:r>
      <w:r w:rsidRPr="00C61FED">
        <w:t xml:space="preserve"> have the authority to issue a Stop Work Order on the entire project, or portions thereof, for the purpose of ensuring compliance with the mitigation measures described in the</w:t>
      </w:r>
      <w:r>
        <w:t xml:space="preserve"> EIR</w:t>
      </w:r>
      <w:r w:rsidRPr="00C61FED">
        <w:t xml:space="preserve">. </w:t>
      </w:r>
      <w:r>
        <w:t xml:space="preserve"> </w:t>
      </w:r>
      <w:r w:rsidRPr="00C61FED">
        <w:t xml:space="preserve">Construction </w:t>
      </w:r>
      <w:r>
        <w:t>must</w:t>
      </w:r>
      <w:r w:rsidRPr="00C61FED">
        <w:t xml:space="preserve"> not resume </w:t>
      </w:r>
      <w:r w:rsidRPr="00E23F54">
        <w:t xml:space="preserve">without a </w:t>
      </w:r>
      <w:r w:rsidRPr="00E23F54">
        <w:rPr>
          <w:rStyle w:val="term1"/>
          <w:b w:val="0"/>
        </w:rPr>
        <w:t>Notice to Proceed</w:t>
      </w:r>
      <w:r w:rsidRPr="00E23F54">
        <w:t xml:space="preserve"> issued by the Energy Division.</w:t>
      </w:r>
    </w:p>
    <w:p w:rsidR="00846409" w:rsidRDefault="00846409" w:rsidP="00356905">
      <w:pPr>
        <w:pStyle w:val="Heading1"/>
        <w:numPr>
          <w:ilvl w:val="0"/>
          <w:numId w:val="37"/>
        </w:numPr>
        <w:ind w:left="720" w:hanging="720"/>
      </w:pPr>
      <w:bookmarkStart w:id="49" w:name="_Toc319053373"/>
      <w:bookmarkStart w:id="50" w:name="_Toc369507326"/>
      <w:r>
        <w:t>Certification of the EIR and CEQA Findings</w:t>
      </w:r>
      <w:bookmarkEnd w:id="49"/>
      <w:bookmarkEnd w:id="50"/>
    </w:p>
    <w:p w:rsidR="00B4033F" w:rsidRDefault="00846409" w:rsidP="00846409">
      <w:pPr>
        <w:pStyle w:val="standard"/>
      </w:pPr>
      <w:r w:rsidRPr="0092371D">
        <w:t xml:space="preserve">The Commission hereby certifies the </w:t>
      </w:r>
      <w:r>
        <w:rPr>
          <w:shd w:val="clear" w:color="auto" w:fill="FFFFFF"/>
        </w:rPr>
        <w:t xml:space="preserve">Southern California Gas Company </w:t>
      </w:r>
      <w:r w:rsidR="009C6BC6" w:rsidRPr="008802F8">
        <w:rPr>
          <w:shd w:val="clear" w:color="auto" w:fill="FFFFFF"/>
        </w:rPr>
        <w:t>Aliso Canyon</w:t>
      </w:r>
      <w:r w:rsidR="009C6BC6">
        <w:rPr>
          <w:shd w:val="clear" w:color="auto" w:fill="FFFFFF"/>
        </w:rPr>
        <w:t xml:space="preserve"> Turbine Replacement </w:t>
      </w:r>
      <w:r w:rsidR="009C6BC6" w:rsidRPr="00A013BE">
        <w:t>Project</w:t>
      </w:r>
      <w:r w:rsidR="009C6BC6" w:rsidRPr="0092371D">
        <w:t xml:space="preserve"> </w:t>
      </w:r>
      <w:r w:rsidR="00356905">
        <w:t>EIR, State Clearinghouse No. </w:t>
      </w:r>
      <w:r w:rsidRPr="0092371D">
        <w:t>20</w:t>
      </w:r>
      <w:r>
        <w:t>10101075.</w:t>
      </w:r>
      <w:r>
        <w:rPr>
          <w:rStyle w:val="FootnoteReference"/>
        </w:rPr>
        <w:footnoteReference w:id="36"/>
      </w:r>
    </w:p>
    <w:p w:rsidR="00846409" w:rsidRDefault="00846409" w:rsidP="00846409">
      <w:pPr>
        <w:pStyle w:val="standard"/>
      </w:pPr>
      <w:r>
        <w:t>CEQA Guidelines § 15120 through § 15132</w:t>
      </w:r>
      <w:r w:rsidRPr="00A62931">
        <w:t xml:space="preserve"> </w:t>
      </w:r>
      <w:r>
        <w:t>require the EIR to contain specific information.  The various elements of the EIR satisfy these CEQA requirements.</w:t>
      </w:r>
    </w:p>
    <w:p w:rsidR="00846409" w:rsidRDefault="00846409" w:rsidP="00846409">
      <w:pPr>
        <w:pStyle w:val="standard"/>
      </w:pPr>
      <w:r w:rsidRPr="00190AD0">
        <w:t>Volume 1 of the EIR contains the comments and recommendations received on the draft EIR, individual responses to these comments, and a list of persons, organizations, and public agencies commenting on the draft EIR.  Volume 2 of the EIR consists of the draft EIR, revised in response to comments a</w:t>
      </w:r>
      <w:r w:rsidR="00EC3240" w:rsidRPr="00190AD0">
        <w:t>nd other information received</w:t>
      </w:r>
      <w:r w:rsidRPr="00190AD0">
        <w:t>.</w:t>
      </w:r>
    </w:p>
    <w:p w:rsidR="00846409" w:rsidRPr="0092371D" w:rsidRDefault="00846409" w:rsidP="00846409">
      <w:pPr>
        <w:pStyle w:val="standard"/>
      </w:pPr>
      <w:r w:rsidRPr="0092371D">
        <w:t xml:space="preserve">In accordance with CEQA Guidelines § 15090, the Commission, as </w:t>
      </w:r>
      <w:r>
        <w:t>lead agency</w:t>
      </w:r>
      <w:r w:rsidRPr="0092371D">
        <w:t xml:space="preserve"> for the </w:t>
      </w:r>
      <w:r w:rsidR="00EF44B5">
        <w:t>Project</w:t>
      </w:r>
      <w:r w:rsidRPr="0092371D">
        <w:t>, certifies that:</w:t>
      </w:r>
    </w:p>
    <w:p w:rsidR="00846409" w:rsidRPr="0092371D" w:rsidRDefault="00846409" w:rsidP="00846409">
      <w:pPr>
        <w:pStyle w:val="standard"/>
        <w:tabs>
          <w:tab w:val="left" w:pos="1260"/>
        </w:tabs>
        <w:spacing w:after="160" w:line="240" w:lineRule="auto"/>
        <w:ind w:left="1260" w:right="720" w:hanging="540"/>
      </w:pPr>
      <w:r>
        <w:t>(1)</w:t>
      </w:r>
      <w:r>
        <w:tab/>
        <w:t xml:space="preserve">The </w:t>
      </w:r>
      <w:r w:rsidRPr="0092371D">
        <w:t>EIR has been completed in compliance with CEQA;</w:t>
      </w:r>
    </w:p>
    <w:p w:rsidR="00846409" w:rsidRPr="0092371D" w:rsidRDefault="00846409" w:rsidP="00846409">
      <w:pPr>
        <w:pStyle w:val="standard"/>
        <w:tabs>
          <w:tab w:val="left" w:pos="1260"/>
        </w:tabs>
        <w:spacing w:after="160" w:line="240" w:lineRule="auto"/>
        <w:ind w:left="1260" w:right="720" w:hanging="540"/>
      </w:pPr>
      <w:r w:rsidRPr="0092371D">
        <w:t>(2)</w:t>
      </w:r>
      <w:r w:rsidRPr="0092371D">
        <w:tab/>
        <w:t xml:space="preserve">The EIR was presented to the Commission, and the Commission has received, reviewed, and considered the information contained in the EIR and hearing documents prior to approving the </w:t>
      </w:r>
      <w:r w:rsidR="00EF44B5">
        <w:t>Project</w:t>
      </w:r>
      <w:r w:rsidRPr="0092371D">
        <w:t>; and</w:t>
      </w:r>
    </w:p>
    <w:p w:rsidR="00846409" w:rsidRPr="0092371D" w:rsidRDefault="00846409" w:rsidP="00846409">
      <w:pPr>
        <w:pStyle w:val="standard"/>
        <w:tabs>
          <w:tab w:val="left" w:pos="1260"/>
        </w:tabs>
        <w:spacing w:after="160" w:line="240" w:lineRule="auto"/>
        <w:ind w:left="1267" w:right="720" w:hanging="547"/>
      </w:pPr>
      <w:r w:rsidRPr="0092371D">
        <w:t>(3)</w:t>
      </w:r>
      <w:r w:rsidRPr="0092371D">
        <w:tab/>
        <w:t>The EIR reflects the Commission’s independent judgment and analysis.</w:t>
      </w:r>
    </w:p>
    <w:p w:rsidR="00846409" w:rsidRDefault="00564CE0" w:rsidP="00846409">
      <w:pPr>
        <w:pStyle w:val="standard"/>
      </w:pPr>
      <w:r>
        <w:t>The Commission</w:t>
      </w:r>
      <w:r w:rsidRPr="0092371D">
        <w:t xml:space="preserve"> </w:t>
      </w:r>
      <w:r w:rsidR="00846409" w:rsidRPr="0092371D">
        <w:t>find</w:t>
      </w:r>
      <w:r>
        <w:t>s</w:t>
      </w:r>
      <w:r w:rsidR="00846409" w:rsidRPr="0092371D">
        <w:t xml:space="preserve"> that the EIR</w:t>
      </w:r>
      <w:r w:rsidR="00846409">
        <w:t xml:space="preserve"> </w:t>
      </w:r>
      <w:r w:rsidR="00846409" w:rsidRPr="0092371D">
        <w:t xml:space="preserve">is a comprehensive, detailed, and complete document that discusses clearly the advantages and disadvantages of the environmentally superior alternatives, the </w:t>
      </w:r>
      <w:r w:rsidR="00EF44B5">
        <w:t>Project</w:t>
      </w:r>
      <w:r w:rsidR="00846409">
        <w:t>, and other alternatives.</w:t>
      </w:r>
      <w:r w:rsidR="00B54AE2">
        <w:t xml:space="preserve">  </w:t>
      </w:r>
      <w:r>
        <w:t>The Commission</w:t>
      </w:r>
      <w:r w:rsidRPr="0092371D">
        <w:t xml:space="preserve"> </w:t>
      </w:r>
      <w:r w:rsidR="00846409" w:rsidRPr="0092371D">
        <w:t>find</w:t>
      </w:r>
      <w:r>
        <w:t>s</w:t>
      </w:r>
      <w:r w:rsidR="00846409" w:rsidRPr="0092371D">
        <w:t xml:space="preserve"> that the EIR</w:t>
      </w:r>
      <w:r w:rsidR="00846409">
        <w:t xml:space="preserve"> </w:t>
      </w:r>
      <w:r w:rsidR="00846409" w:rsidRPr="0092371D">
        <w:t xml:space="preserve">is a competent and comprehensive informational tool, as CEQA requires it to be.  The quality of the information in the EIR is such that </w:t>
      </w:r>
      <w:r w:rsidR="00E32BB8">
        <w:t>the Commission is</w:t>
      </w:r>
      <w:r w:rsidR="00846409" w:rsidRPr="0092371D">
        <w:t xml:space="preserve"> confident of its accuracy.  </w:t>
      </w:r>
      <w:r>
        <w:t>The Commission has</w:t>
      </w:r>
      <w:r w:rsidR="00846409" w:rsidRPr="0092371D">
        <w:t xml:space="preserve"> considered the information in the EIR</w:t>
      </w:r>
      <w:r w:rsidR="00846409">
        <w:t xml:space="preserve"> </w:t>
      </w:r>
      <w:r w:rsidR="00846409" w:rsidRPr="0092371D">
        <w:t>in a</w:t>
      </w:r>
      <w:r w:rsidR="00846409">
        <w:t xml:space="preserve">pproving the </w:t>
      </w:r>
      <w:r w:rsidR="00EF44B5">
        <w:t>Project</w:t>
      </w:r>
      <w:r w:rsidR="00846409">
        <w:t>.</w:t>
      </w:r>
      <w:r w:rsidR="00B54AE2">
        <w:t xml:space="preserve">  </w:t>
      </w:r>
      <w:r w:rsidR="00846409" w:rsidRPr="0092371D">
        <w:t xml:space="preserve">Accordingly, </w:t>
      </w:r>
      <w:r>
        <w:t>the Commission</w:t>
      </w:r>
      <w:r w:rsidRPr="0092371D">
        <w:t xml:space="preserve"> </w:t>
      </w:r>
      <w:r w:rsidR="00846409" w:rsidRPr="0092371D">
        <w:t>certif</w:t>
      </w:r>
      <w:r>
        <w:t>ies</w:t>
      </w:r>
      <w:r w:rsidR="00846409" w:rsidRPr="0092371D">
        <w:t xml:space="preserve"> and adopt</w:t>
      </w:r>
      <w:r>
        <w:t>s</w:t>
      </w:r>
      <w:r w:rsidR="00846409" w:rsidRPr="0092371D">
        <w:t xml:space="preserve"> the EIR it in its entirety, and incorporate it </w:t>
      </w:r>
      <w:r w:rsidR="00846409">
        <w:t>by reference in this decision.</w:t>
      </w:r>
    </w:p>
    <w:p w:rsidR="00400A83" w:rsidRDefault="00400A83" w:rsidP="00400A83">
      <w:pPr>
        <w:pStyle w:val="standard"/>
      </w:pPr>
      <w:r w:rsidRPr="0092371D">
        <w:t xml:space="preserve">For the reasons discussed in </w:t>
      </w:r>
      <w:r w:rsidRPr="00EC3240">
        <w:t>Section 5</w:t>
      </w:r>
      <w:r w:rsidRPr="0092371D">
        <w:t xml:space="preserve"> </w:t>
      </w:r>
      <w:r>
        <w:t>above</w:t>
      </w:r>
      <w:r w:rsidRPr="0092371D">
        <w:t xml:space="preserve">, the </w:t>
      </w:r>
      <w:r w:rsidR="00EF44B5">
        <w:t>Project</w:t>
      </w:r>
      <w:r w:rsidRPr="0092371D">
        <w:t xml:space="preserve"> is necessary to promote the safety, health, comfort, and convenience of the public.  In granting the Application, the Commission recognizes that significant impacts will result from implementation of the </w:t>
      </w:r>
      <w:r w:rsidR="00EF44B5">
        <w:t>Project</w:t>
      </w:r>
      <w:r>
        <w:t xml:space="preserve"> but finds that these impacts are less than significant with the adopted mitigation measures</w:t>
      </w:r>
      <w:r w:rsidRPr="0092371D">
        <w:t>.</w:t>
      </w:r>
    </w:p>
    <w:p w:rsidR="00400A83" w:rsidRDefault="00400A83" w:rsidP="00400A83">
      <w:pPr>
        <w:pStyle w:val="standard"/>
      </w:pPr>
      <w:r>
        <w:t xml:space="preserve">Pursuant to Public Resources Code </w:t>
      </w:r>
      <w:r w:rsidR="00B21E1C">
        <w:t>Section</w:t>
      </w:r>
      <w:r>
        <w:t xml:space="preserve"> 21080 and CEQA Guidelines § 15091(a), </w:t>
      </w:r>
      <w:r w:rsidR="00564CE0">
        <w:t xml:space="preserve">the Commission </w:t>
      </w:r>
      <w:r>
        <w:t xml:space="preserve">may not approve or carry out a project for which an EIR has been certified which identifies one or more significant effects on the environment that would occur if the project is approved or carried out unless </w:t>
      </w:r>
      <w:r w:rsidR="00E32BB8">
        <w:t xml:space="preserve">the Commission </w:t>
      </w:r>
      <w:r>
        <w:t>make</w:t>
      </w:r>
      <w:r w:rsidR="00E32BB8">
        <w:t>s</w:t>
      </w:r>
      <w:r>
        <w:t xml:space="preserve"> one or more of the following findings with respect to each significant effect:</w:t>
      </w:r>
    </w:p>
    <w:p w:rsidR="00400A83" w:rsidRDefault="00400A83" w:rsidP="00400A83">
      <w:pPr>
        <w:pStyle w:val="sub1"/>
        <w:numPr>
          <w:ilvl w:val="3"/>
          <w:numId w:val="23"/>
        </w:numPr>
        <w:tabs>
          <w:tab w:val="clear" w:pos="2880"/>
          <w:tab w:val="left" w:pos="1260"/>
        </w:tabs>
        <w:spacing w:after="160" w:line="240" w:lineRule="auto"/>
        <w:ind w:left="1260" w:right="720" w:hanging="540"/>
      </w:pPr>
      <w:r w:rsidRPr="00FD7CF1">
        <w:t>Changes or alterations have been required in, or incorporated into, the project which mitigate or avoid the significant effects on the environment;</w:t>
      </w:r>
    </w:p>
    <w:p w:rsidR="00400A83" w:rsidRDefault="00400A83" w:rsidP="00400A83">
      <w:pPr>
        <w:pStyle w:val="sub1"/>
        <w:numPr>
          <w:ilvl w:val="3"/>
          <w:numId w:val="23"/>
        </w:numPr>
        <w:tabs>
          <w:tab w:val="clear" w:pos="2880"/>
          <w:tab w:val="left" w:pos="1260"/>
        </w:tabs>
        <w:spacing w:after="160" w:line="240" w:lineRule="auto"/>
        <w:ind w:left="1260" w:right="720" w:hanging="540"/>
      </w:pPr>
      <w:r>
        <w:t>Those changes or alterations are within the responsibility and jurisdiction of another public agency and have been, or can and should be, adopted by that other agency; or</w:t>
      </w:r>
    </w:p>
    <w:p w:rsidR="00400A83" w:rsidRDefault="00400A83" w:rsidP="00400A83">
      <w:pPr>
        <w:pStyle w:val="sub1"/>
        <w:numPr>
          <w:ilvl w:val="3"/>
          <w:numId w:val="23"/>
        </w:numPr>
        <w:tabs>
          <w:tab w:val="clear" w:pos="2880"/>
          <w:tab w:val="left" w:pos="1260"/>
        </w:tabs>
        <w:spacing w:after="160" w:line="240" w:lineRule="auto"/>
        <w:ind w:left="1260" w:right="720" w:hanging="540"/>
      </w:pPr>
      <w:r>
        <w:t>Specific economic, legal, social, technological, or other considerations, including co</w:t>
      </w:r>
      <w:r>
        <w:rPr>
          <w:rStyle w:val="bulletsChar"/>
        </w:rPr>
        <w:t>n</w:t>
      </w:r>
      <w:r>
        <w:t>siderations for the provision of employment opportunities for highly trained workers, make infeasible the mitigation measures or alternatives identified in the environmental impact report.</w:t>
      </w:r>
    </w:p>
    <w:p w:rsidR="00400A83" w:rsidRDefault="00400A83" w:rsidP="00400A83">
      <w:pPr>
        <w:pStyle w:val="standard"/>
      </w:pPr>
      <w:r>
        <w:t>W</w:t>
      </w:r>
      <w:r w:rsidRPr="001166AF">
        <w:t>ith respect to each significant effect identified in the EIR</w:t>
      </w:r>
      <w:r>
        <w:t>, the c</w:t>
      </w:r>
      <w:r w:rsidRPr="00FD7CF1">
        <w:t xml:space="preserve">hanges </w:t>
      </w:r>
      <w:r>
        <w:t>and</w:t>
      </w:r>
      <w:r w:rsidRPr="00FD7CF1">
        <w:t xml:space="preserve"> alterations </w:t>
      </w:r>
      <w:r>
        <w:t xml:space="preserve">identified in the MMCRP that </w:t>
      </w:r>
      <w:r w:rsidR="00E32BB8">
        <w:t>the Commission</w:t>
      </w:r>
      <w:r w:rsidR="00E32BB8" w:rsidRPr="00FD7CF1">
        <w:t xml:space="preserve"> </w:t>
      </w:r>
      <w:r w:rsidRPr="00FD7CF1">
        <w:t>require</w:t>
      </w:r>
      <w:r w:rsidR="00E32BB8">
        <w:t>s</w:t>
      </w:r>
      <w:r w:rsidRPr="00FD7CF1">
        <w:t xml:space="preserve"> </w:t>
      </w:r>
      <w:r>
        <w:t xml:space="preserve">be </w:t>
      </w:r>
      <w:r w:rsidRPr="00FD7CF1">
        <w:t>incorporate</w:t>
      </w:r>
      <w:r w:rsidR="00713F1E">
        <w:t>d</w:t>
      </w:r>
      <w:r w:rsidRPr="00FD7CF1">
        <w:t xml:space="preserve"> into the </w:t>
      </w:r>
      <w:r w:rsidR="00EF44B5">
        <w:t>Project</w:t>
      </w:r>
      <w:r w:rsidRPr="00FD7CF1">
        <w:t xml:space="preserve"> </w:t>
      </w:r>
      <w:r>
        <w:t xml:space="preserve">will </w:t>
      </w:r>
      <w:r w:rsidRPr="00FD7CF1">
        <w:t>mitigate or avoid the significant effects on the environment</w:t>
      </w:r>
      <w:r>
        <w:t>.</w:t>
      </w:r>
    </w:p>
    <w:p w:rsidR="00AC5A25" w:rsidRDefault="00AC5A25" w:rsidP="00356905">
      <w:pPr>
        <w:pStyle w:val="Heading1"/>
        <w:numPr>
          <w:ilvl w:val="0"/>
          <w:numId w:val="37"/>
        </w:numPr>
        <w:ind w:left="720" w:hanging="720"/>
      </w:pPr>
      <w:bookmarkStart w:id="51" w:name="_Toc369507327"/>
      <w:bookmarkStart w:id="52" w:name="_Toc319053372"/>
      <w:bookmarkStart w:id="53" w:name="_Toc341759888"/>
      <w:bookmarkStart w:id="54" w:name="_Toc319053380"/>
      <w:r>
        <w:t>Project Authorization</w:t>
      </w:r>
      <w:bookmarkEnd w:id="51"/>
      <w:r>
        <w:t xml:space="preserve"> </w:t>
      </w:r>
    </w:p>
    <w:p w:rsidR="00AC5A25" w:rsidRDefault="00AC5A25" w:rsidP="00AC5A25">
      <w:pPr>
        <w:pStyle w:val="standard"/>
      </w:pPr>
      <w:r>
        <w:t>T</w:t>
      </w:r>
      <w:r w:rsidRPr="0092371D">
        <w:t xml:space="preserve">he </w:t>
      </w:r>
      <w:r>
        <w:t>Project</w:t>
      </w:r>
      <w:r w:rsidRPr="0092371D">
        <w:t xml:space="preserve"> is necessary to promote the safety, health, comfort, and convenience of the public.  For the reasons discussed </w:t>
      </w:r>
      <w:r w:rsidRPr="00677BC6">
        <w:t>in Section 5</w:t>
      </w:r>
      <w:r w:rsidRPr="0092371D">
        <w:t xml:space="preserve"> </w:t>
      </w:r>
      <w:r>
        <w:t>above</w:t>
      </w:r>
      <w:r w:rsidRPr="0092371D">
        <w:t xml:space="preserve">, </w:t>
      </w:r>
      <w:r>
        <w:t xml:space="preserve">granting the CPCN is in the public interest and SoCalGas’s request for a CPCN should be approved.  After considering the need for and the benefits of the Project pursuant to § 1001, the criteria set forth in § 1002, and the outcome of the EIR, we approve SoCalGas’s Application for a CPCN as further defined and conditioned in this decision.  Our order today adopts the final </w:t>
      </w:r>
      <w:r w:rsidRPr="00A95ED1">
        <w:t>EIR</w:t>
      </w:r>
      <w:r>
        <w:t xml:space="preserve"> (which incorporates the draft EIR), subject to the conditions therein, and authorizes work to begin.</w:t>
      </w:r>
    </w:p>
    <w:p w:rsidR="00AC5A25" w:rsidRPr="00492A9D" w:rsidRDefault="00AC5A25" w:rsidP="00AC5A25">
      <w:pPr>
        <w:pStyle w:val="standard"/>
      </w:pPr>
      <w:r w:rsidRPr="0092371D">
        <w:t xml:space="preserve">The conditions we impose on the CPCN, including compliance with the MMCRP we adopt as part of our approval of the </w:t>
      </w:r>
      <w:r>
        <w:t>Project and the terms of the uncontested Porter Ranch Settlement Agreement approved by this decision</w:t>
      </w:r>
      <w:r w:rsidRPr="0092371D">
        <w:t xml:space="preserve">, will ensure that the </w:t>
      </w:r>
      <w:r>
        <w:t>Project</w:t>
      </w:r>
      <w:r w:rsidRPr="0092371D">
        <w:t xml:space="preserve"> can be constructed and operated in a way that protects the safety of workers and the general public.  </w:t>
      </w:r>
      <w:r>
        <w:t>In addition, SoCalGas</w:t>
      </w:r>
      <w:r w:rsidRPr="0092371D">
        <w:t xml:space="preserve"> </w:t>
      </w:r>
      <w:r>
        <w:t>must comply with GO 112-E</w:t>
      </w:r>
      <w:r w:rsidR="00536D30">
        <w:t>,</w:t>
      </w:r>
      <w:r>
        <w:rPr>
          <w:rStyle w:val="FootnoteReference"/>
        </w:rPr>
        <w:footnoteReference w:id="37"/>
      </w:r>
      <w:r>
        <w:t xml:space="preserve"> and SoCalGas</w:t>
      </w:r>
      <w:r w:rsidRPr="0092371D">
        <w:t xml:space="preserve"> </w:t>
      </w:r>
      <w:r>
        <w:t>is subject to any applicable rules that issue from R.11-02-019 addressing safety regulations for gas transmission and distribution.</w:t>
      </w:r>
    </w:p>
    <w:p w:rsidR="00AC5A25" w:rsidRDefault="00AC5A25" w:rsidP="00356905">
      <w:pPr>
        <w:pStyle w:val="Heading1"/>
        <w:numPr>
          <w:ilvl w:val="0"/>
          <w:numId w:val="37"/>
        </w:numPr>
        <w:ind w:left="720" w:hanging="720"/>
      </w:pPr>
      <w:bookmarkStart w:id="55" w:name="_Toc369507328"/>
      <w:r>
        <w:t>Maximum Reasonable Costs</w:t>
      </w:r>
      <w:bookmarkEnd w:id="55"/>
    </w:p>
    <w:p w:rsidR="00903C57" w:rsidRDefault="00903C57" w:rsidP="00903C57">
      <w:pPr>
        <w:pStyle w:val="standard"/>
      </w:pPr>
      <w:r w:rsidRPr="00903C57">
        <w:t xml:space="preserve"> </w:t>
      </w:r>
      <w:r>
        <w:t>Section 1005.5 requires the Commission to specify a maximum cost deemed to be reasonable and prudent for projects whose estimated costs are over $50 million.</w:t>
      </w:r>
      <w:r>
        <w:rPr>
          <w:rStyle w:val="FootnoteReference"/>
        </w:rPr>
        <w:footnoteReference w:id="38"/>
      </w:r>
      <w:r>
        <w:t xml:space="preserve">  The purpose of § 1005.5 is to limit cost recovery from ratepayers under a cost-of-se</w:t>
      </w:r>
      <w:r w:rsidR="00BC50C0">
        <w:t>rvice rate-of-return ratemaking.</w:t>
      </w:r>
    </w:p>
    <w:p w:rsidR="00AC5A25" w:rsidRDefault="00903C57" w:rsidP="00903C57">
      <w:pPr>
        <w:pStyle w:val="standard"/>
      </w:pPr>
      <w:r>
        <w:t>We adopt a maximum cost of $200.9 million for the Project, SoCalGas’s estimated total capital costs.</w:t>
      </w:r>
      <w:r w:rsidR="00BC50C0">
        <w:rPr>
          <w:rStyle w:val="FootnoteReference"/>
        </w:rPr>
        <w:footnoteReference w:id="39"/>
      </w:r>
      <w:r>
        <w:t xml:space="preserve">  SoCalGas is authorized </w:t>
      </w:r>
      <w:r w:rsidR="008A277E">
        <w:t xml:space="preserve">cost recovery of the Project’s </w:t>
      </w:r>
      <w:r>
        <w:t xml:space="preserve">actual costs up to $200.9 million beginning when the assets are placed in service.  Costs exceeding this amount </w:t>
      </w:r>
      <w:r w:rsidR="00AC1D14">
        <w:t xml:space="preserve">that SoCalGas seeks to recover </w:t>
      </w:r>
      <w:r>
        <w:t xml:space="preserve">must be recorded in a memorandum account.  </w:t>
      </w:r>
      <w:r w:rsidR="007A4D89">
        <w:t>If Project costs exceed $200.9 million, a</w:t>
      </w:r>
      <w:r>
        <w:t xml:space="preserve"> review of the reasonableness of all costs and consideration of increasing the maximum reasonable cost of the Project will be conducted in SoCalGas’ </w:t>
      </w:r>
      <w:r w:rsidR="00514B64">
        <w:t xml:space="preserve">general rate case (GRC) </w:t>
      </w:r>
      <w:r>
        <w:t>following project completion.</w:t>
      </w:r>
      <w:r>
        <w:rPr>
          <w:rStyle w:val="FootnoteReference"/>
        </w:rPr>
        <w:footnoteReference w:id="40"/>
      </w:r>
    </w:p>
    <w:p w:rsidR="00831C2F" w:rsidRDefault="00B54AE2" w:rsidP="00F37F09">
      <w:pPr>
        <w:pStyle w:val="Heading1"/>
        <w:numPr>
          <w:ilvl w:val="0"/>
          <w:numId w:val="37"/>
        </w:numPr>
        <w:ind w:left="720" w:hanging="720"/>
      </w:pPr>
      <w:bookmarkStart w:id="56" w:name="_Toc369507329"/>
      <w:bookmarkEnd w:id="52"/>
      <w:r>
        <w:t>The</w:t>
      </w:r>
      <w:r w:rsidR="00831C2F">
        <w:t xml:space="preserve"> </w:t>
      </w:r>
      <w:bookmarkEnd w:id="53"/>
      <w:r w:rsidR="007C1100">
        <w:t>Porter Ranch Settlement Agreement</w:t>
      </w:r>
      <w:bookmarkEnd w:id="56"/>
    </w:p>
    <w:p w:rsidR="00312CE7" w:rsidRDefault="00312CE7" w:rsidP="00312CE7">
      <w:pPr>
        <w:pStyle w:val="standard"/>
      </w:pPr>
      <w:r w:rsidRPr="00312CE7">
        <w:t xml:space="preserve">On November 27, 2012, SoCalGas, Rogers, and Herman </w:t>
      </w:r>
      <w:r w:rsidR="00883308">
        <w:t>(Settling Parties)</w:t>
      </w:r>
      <w:r w:rsidR="00883308" w:rsidRPr="00312CE7">
        <w:t xml:space="preserve"> </w:t>
      </w:r>
      <w:r w:rsidRPr="00312CE7">
        <w:t xml:space="preserve">filed and served a motion for adoption of settlement agreement </w:t>
      </w:r>
      <w:r w:rsidR="003F30C3">
        <w:t>(</w:t>
      </w:r>
      <w:r w:rsidR="007C1100">
        <w:t>Porter Ranch Settlement Agreement</w:t>
      </w:r>
      <w:r w:rsidR="003F30C3">
        <w:t xml:space="preserve">) </w:t>
      </w:r>
      <w:r w:rsidRPr="00312CE7">
        <w:t>and suspension of hearing and briefing schedule.  No party filed comments on the Settlement.</w:t>
      </w:r>
    </w:p>
    <w:p w:rsidR="00525462" w:rsidRDefault="008F4AAE" w:rsidP="00525462">
      <w:pPr>
        <w:pStyle w:val="standard"/>
      </w:pPr>
      <w:r>
        <w:t>In</w:t>
      </w:r>
      <w:r w:rsidR="00883308">
        <w:t xml:space="preserve"> response to the January 3, 2013 ALJ ruling directing the Settling Parties to clarify the </w:t>
      </w:r>
      <w:r w:rsidR="007C1100">
        <w:t>Porter Ranch Settlement Agreement</w:t>
      </w:r>
      <w:r>
        <w:t xml:space="preserve">, the </w:t>
      </w:r>
      <w:r w:rsidR="00525462">
        <w:t xml:space="preserve">Settling Parties state that, </w:t>
      </w:r>
      <w:r w:rsidR="00525462" w:rsidRPr="00525462">
        <w:t>if the Commission approve</w:t>
      </w:r>
      <w:r w:rsidR="00525462">
        <w:t>s</w:t>
      </w:r>
      <w:r w:rsidR="00525462" w:rsidRPr="00525462">
        <w:t xml:space="preserve"> the </w:t>
      </w:r>
      <w:r w:rsidR="007C1100">
        <w:t>Porter Ranch Settlement Agreement</w:t>
      </w:r>
      <w:r w:rsidR="00525462" w:rsidRPr="00525462">
        <w:t xml:space="preserve">, and if the Settling Parties should subsequently make any material change to the </w:t>
      </w:r>
      <w:r w:rsidR="007C1100">
        <w:t>Porter Ranch Settlement Agreement</w:t>
      </w:r>
      <w:r w:rsidR="00525462" w:rsidRPr="00525462">
        <w:t xml:space="preserve">, the Settling Parties </w:t>
      </w:r>
      <w:r w:rsidR="00525462">
        <w:t>will</w:t>
      </w:r>
      <w:r w:rsidR="00525462" w:rsidRPr="00525462">
        <w:t xml:space="preserve"> seek to modify the </w:t>
      </w:r>
      <w:r w:rsidR="007C1100">
        <w:t>Porter Ranch Settlement Agreement</w:t>
      </w:r>
      <w:r w:rsidR="00525462" w:rsidRPr="00525462">
        <w:t xml:space="preserve"> by filing a petition for modification of the decision approving the </w:t>
      </w:r>
      <w:r w:rsidR="007C1100">
        <w:t>Porter Ranch Settlement Agreement</w:t>
      </w:r>
      <w:r w:rsidR="00525462" w:rsidRPr="00525462">
        <w:t>.</w:t>
      </w:r>
      <w:r w:rsidR="00525462">
        <w:t xml:space="preserve">  In addition, t</w:t>
      </w:r>
      <w:r w:rsidR="00525462" w:rsidRPr="00525462">
        <w:t xml:space="preserve">he Settling Parties state that they will consult with the Presiding ALJ and/or the Commission’s Energy Division to resolve any disputes arising in connection with the </w:t>
      </w:r>
      <w:r w:rsidR="007C1100">
        <w:t>Porter Ranch Settlement Agreement</w:t>
      </w:r>
      <w:r w:rsidR="00525462" w:rsidRPr="00525462">
        <w:t xml:space="preserve"> that cannot be </w:t>
      </w:r>
      <w:r w:rsidR="00EC3240">
        <w:t>resolved</w:t>
      </w:r>
      <w:r w:rsidR="00525462" w:rsidRPr="00525462">
        <w:t xml:space="preserve"> by the Settling Parties.</w:t>
      </w:r>
    </w:p>
    <w:p w:rsidR="00925220" w:rsidRDefault="00831C2F" w:rsidP="00925220">
      <w:pPr>
        <w:pStyle w:val="standard"/>
      </w:pPr>
      <w:r>
        <w:t xml:space="preserve">The </w:t>
      </w:r>
      <w:r w:rsidR="007C1100">
        <w:t>Porter Ranch Settlement Agreement</w:t>
      </w:r>
      <w:r>
        <w:t xml:space="preserve"> </w:t>
      </w:r>
      <w:r w:rsidRPr="00113A26">
        <w:t>provides that SoCalGas will accept the following conditions on its CPCN and Rogers</w:t>
      </w:r>
      <w:r w:rsidR="008F4AAE">
        <w:t xml:space="preserve"> and </w:t>
      </w:r>
      <w:r w:rsidRPr="00113A26">
        <w:t>Herman will withdraw their protests</w:t>
      </w:r>
      <w:r w:rsidR="003F30C3">
        <w:t xml:space="preserve">.  </w:t>
      </w:r>
      <w:r w:rsidR="00925220">
        <w:t xml:space="preserve">The </w:t>
      </w:r>
      <w:r w:rsidR="007C1100">
        <w:t>Porter Ranch Settlement Agreement</w:t>
      </w:r>
      <w:r w:rsidR="00925220">
        <w:t xml:space="preserve"> addresses and resolves the only contested issue in this proceeding and, as a result of the settlement, the Application is uncontested.</w:t>
      </w:r>
    </w:p>
    <w:p w:rsidR="00D53554" w:rsidRPr="00D53554" w:rsidRDefault="00831C2F" w:rsidP="00F37F09">
      <w:pPr>
        <w:pStyle w:val="Heading1"/>
        <w:numPr>
          <w:ilvl w:val="1"/>
          <w:numId w:val="37"/>
        </w:numPr>
        <w:ind w:left="1440" w:hanging="720"/>
      </w:pPr>
      <w:bookmarkStart w:id="57" w:name="_Toc369507330"/>
      <w:r w:rsidRPr="00D53554">
        <w:t>Community Involvement</w:t>
      </w:r>
      <w:bookmarkEnd w:id="57"/>
    </w:p>
    <w:p w:rsidR="00831C2F" w:rsidRDefault="00D53554" w:rsidP="00831C2F">
      <w:pPr>
        <w:pStyle w:val="standard"/>
      </w:pPr>
      <w:r w:rsidRPr="00D53554">
        <w:t xml:space="preserve">Beginning six months after a final decision in this proceeding, </w:t>
      </w:r>
      <w:r w:rsidR="00831C2F" w:rsidRPr="00D53554">
        <w:t xml:space="preserve">SoCalGas will host quarterly community meetings to brief local residents on the </w:t>
      </w:r>
      <w:r w:rsidR="00AC5A25">
        <w:t>P</w:t>
      </w:r>
      <w:r w:rsidR="00831C2F" w:rsidRPr="00D53554">
        <w:t xml:space="preserve">roject’s </w:t>
      </w:r>
      <w:r w:rsidRPr="00D53554">
        <w:t xml:space="preserve">developments and key milestones.  </w:t>
      </w:r>
      <w:r w:rsidR="00831C2F" w:rsidRPr="00D53554">
        <w:t>Beginning in 2013, SoCalGas will host an annual community informational event to discuss activities at the field and answer questions from the community</w:t>
      </w:r>
      <w:r w:rsidRPr="00D53554">
        <w:t>.</w:t>
      </w:r>
    </w:p>
    <w:p w:rsidR="00D53554" w:rsidRDefault="00D53554" w:rsidP="00F37F09">
      <w:pPr>
        <w:pStyle w:val="Heading1"/>
        <w:numPr>
          <w:ilvl w:val="1"/>
          <w:numId w:val="37"/>
        </w:numPr>
        <w:ind w:left="1440" w:hanging="720"/>
      </w:pPr>
      <w:bookmarkStart w:id="58" w:name="_Toc369507331"/>
      <w:r w:rsidRPr="00D53554">
        <w:t>Aliso Canyon Safety Plan</w:t>
      </w:r>
      <w:bookmarkEnd w:id="58"/>
    </w:p>
    <w:p w:rsidR="00D53554" w:rsidRDefault="00D53554" w:rsidP="00D53554">
      <w:pPr>
        <w:pStyle w:val="standard"/>
      </w:pPr>
      <w:r>
        <w:t xml:space="preserve">Three </w:t>
      </w:r>
      <w:r w:rsidR="005317E3" w:rsidRPr="00D53554">
        <w:t>months after a final decision in this proceeding, SoCalGas will</w:t>
      </w:r>
      <w:r w:rsidR="005317E3">
        <w:t xml:space="preserve"> e</w:t>
      </w:r>
      <w:r w:rsidRPr="005317E3">
        <w:t xml:space="preserve">stablish a site-specific safety plan </w:t>
      </w:r>
      <w:r w:rsidR="005317E3">
        <w:t>that will d</w:t>
      </w:r>
      <w:r w:rsidRPr="005317E3">
        <w:t>etail each of the safety-related regulatory requirements, and the general actions and activities that SoCalGas undertakes to meet the requirements consistent with SoCalGas’</w:t>
      </w:r>
      <w:r w:rsidR="00AF0EA4">
        <w:t>s</w:t>
      </w:r>
      <w:r w:rsidRPr="005317E3">
        <w:t xml:space="preserve"> overall Safety Plan</w:t>
      </w:r>
      <w:r w:rsidR="005317E3">
        <w:t xml:space="preserve">.  The </w:t>
      </w:r>
      <w:r w:rsidR="00AC5A25" w:rsidRPr="005317E3">
        <w:t xml:space="preserve">site-specific </w:t>
      </w:r>
      <w:r w:rsidR="005317E3">
        <w:t>safety plan will also s</w:t>
      </w:r>
      <w:r w:rsidRPr="005317E3">
        <w:t>pecify Facility safety, management commitment and responsibilities, regulatory requirements, compliance and recordkeeping requirements, employee education and training overviews, inspections/audits/corrective actions procedures, and manage</w:t>
      </w:r>
      <w:r w:rsidR="00F37F09">
        <w:t>ment as they pertain to safety.</w:t>
      </w:r>
    </w:p>
    <w:p w:rsidR="00402F35" w:rsidRPr="00402F35" w:rsidRDefault="00402F35" w:rsidP="00402F35">
      <w:pPr>
        <w:pStyle w:val="standard"/>
      </w:pPr>
      <w:r>
        <w:t xml:space="preserve">The Settling Parties state that </w:t>
      </w:r>
      <w:r w:rsidRPr="00402F35">
        <w:t>Rogers</w:t>
      </w:r>
      <w:r>
        <w:t xml:space="preserve"> and </w:t>
      </w:r>
      <w:r w:rsidRPr="00402F35">
        <w:t xml:space="preserve">Herman will have an opportunity to review the </w:t>
      </w:r>
      <w:r>
        <w:t xml:space="preserve">safety plan </w:t>
      </w:r>
      <w:r w:rsidRPr="00402F35">
        <w:t xml:space="preserve">prior to it being finalized. </w:t>
      </w:r>
    </w:p>
    <w:p w:rsidR="00831C2F" w:rsidRPr="005317E3" w:rsidRDefault="00831C2F" w:rsidP="00F37F09">
      <w:pPr>
        <w:pStyle w:val="Heading1"/>
        <w:numPr>
          <w:ilvl w:val="1"/>
          <w:numId w:val="37"/>
        </w:numPr>
        <w:ind w:left="1440" w:hanging="720"/>
      </w:pPr>
      <w:bookmarkStart w:id="59" w:name="_Toc369507332"/>
      <w:r w:rsidRPr="005317E3">
        <w:t>Facility Electrical Professional</w:t>
      </w:r>
      <w:bookmarkEnd w:id="59"/>
      <w:r w:rsidRPr="005317E3">
        <w:t xml:space="preserve"> </w:t>
      </w:r>
    </w:p>
    <w:p w:rsidR="00BA034D" w:rsidRPr="00BA034D" w:rsidRDefault="005317E3" w:rsidP="00BA034D">
      <w:pPr>
        <w:pStyle w:val="standard"/>
      </w:pPr>
      <w:r>
        <w:t xml:space="preserve">Three </w:t>
      </w:r>
      <w:r w:rsidRPr="00D53554">
        <w:t>months after a final decision in this proceeding, SoCalGas will</w:t>
      </w:r>
      <w:r>
        <w:t xml:space="preserve"> </w:t>
      </w:r>
      <w:r w:rsidR="00831C2F" w:rsidRPr="005317E3">
        <w:t>employ a full</w:t>
      </w:r>
      <w:r w:rsidR="00AC5A25">
        <w:t>-</w:t>
      </w:r>
      <w:r w:rsidR="00831C2F" w:rsidRPr="005317E3">
        <w:t xml:space="preserve">time </w:t>
      </w:r>
      <w:r w:rsidRPr="005317E3">
        <w:t xml:space="preserve">electrical professional </w:t>
      </w:r>
      <w:r w:rsidR="00831C2F" w:rsidRPr="005317E3">
        <w:t xml:space="preserve">at the Facility </w:t>
      </w:r>
      <w:r>
        <w:t>to</w:t>
      </w:r>
      <w:r w:rsidR="00831C2F" w:rsidRPr="005317E3">
        <w:t xml:space="preserve"> oversee Facility safety and regulatory compliance for the </w:t>
      </w:r>
      <w:r w:rsidR="00AC5A25" w:rsidRPr="005317E3">
        <w:t>Facility</w:t>
      </w:r>
      <w:r w:rsidR="00AC5A25">
        <w:t>’s</w:t>
      </w:r>
      <w:r w:rsidR="00AC5A25" w:rsidRPr="005317E3">
        <w:t xml:space="preserve"> </w:t>
      </w:r>
      <w:r w:rsidR="00831C2F" w:rsidRPr="005317E3">
        <w:t>electric systems.</w:t>
      </w:r>
      <w:r w:rsidR="009A404D">
        <w:rPr>
          <w:rStyle w:val="FootnoteReference"/>
        </w:rPr>
        <w:footnoteReference w:id="41"/>
      </w:r>
      <w:r w:rsidR="00831C2F" w:rsidRPr="005317E3">
        <w:t xml:space="preserve"> </w:t>
      </w:r>
      <w:r w:rsidR="00F37F09">
        <w:t xml:space="preserve"> </w:t>
      </w:r>
      <w:r w:rsidR="00BA034D">
        <w:t xml:space="preserve">At a minimum, the </w:t>
      </w:r>
      <w:r w:rsidR="00BA034D" w:rsidRPr="005317E3">
        <w:t>electrical professional</w:t>
      </w:r>
      <w:r w:rsidR="00BA034D">
        <w:t xml:space="preserve"> will possess a </w:t>
      </w:r>
      <w:r w:rsidR="00BA034D" w:rsidRPr="00BA034D">
        <w:t>Bachelor of Science degree in electrical engineering</w:t>
      </w:r>
      <w:r w:rsidR="00BA034D">
        <w:t xml:space="preserve">, have at least </w:t>
      </w:r>
      <w:r w:rsidR="00BA034D" w:rsidRPr="00BA034D">
        <w:t xml:space="preserve">five years of electrical experience, </w:t>
      </w:r>
      <w:r w:rsidR="00BA034D">
        <w:t>be r</w:t>
      </w:r>
      <w:r w:rsidR="00BA034D" w:rsidRPr="00BA034D">
        <w:t>egist</w:t>
      </w:r>
      <w:r w:rsidR="00BA034D">
        <w:t>ered</w:t>
      </w:r>
      <w:r w:rsidR="00BA034D" w:rsidRPr="00BA034D">
        <w:t xml:space="preserve"> in the State of California as a Professional Engineer in Electrical Engineering (or significant</w:t>
      </w:r>
      <w:r w:rsidR="00BA034D">
        <w:t xml:space="preserve"> p</w:t>
      </w:r>
      <w:r w:rsidR="003F30C3">
        <w:t>rogress towards registration)</w:t>
      </w:r>
      <w:r w:rsidR="00BA034D">
        <w:t xml:space="preserve">, </w:t>
      </w:r>
      <w:r w:rsidR="003F30C3">
        <w:t xml:space="preserve">and </w:t>
      </w:r>
      <w:r w:rsidR="00BA034D">
        <w:t xml:space="preserve">have a </w:t>
      </w:r>
      <w:r w:rsidR="00BA034D" w:rsidRPr="00BA034D">
        <w:t xml:space="preserve">good working knowledge of </w:t>
      </w:r>
      <w:r w:rsidR="00BA034D">
        <w:t>GOs</w:t>
      </w:r>
      <w:r w:rsidR="00BA034D" w:rsidRPr="00BA034D">
        <w:t xml:space="preserve"> 95, 128, and 165.</w:t>
      </w:r>
    </w:p>
    <w:p w:rsidR="00BA034D" w:rsidRPr="00BA034D" w:rsidRDefault="00C92966" w:rsidP="00C92966">
      <w:pPr>
        <w:pStyle w:val="standard"/>
      </w:pPr>
      <w:r w:rsidRPr="00C92966">
        <w:t xml:space="preserve">The </w:t>
      </w:r>
      <w:r w:rsidRPr="005317E3">
        <w:t>electrical professional</w:t>
      </w:r>
      <w:r>
        <w:t xml:space="preserve"> </w:t>
      </w:r>
      <w:r w:rsidRPr="00C92966">
        <w:t>will manage the implementation of the Aliso Canyon Safety Plan related to the overhead, underground, and plant electrical systems</w:t>
      </w:r>
      <w:r>
        <w:t xml:space="preserve">; </w:t>
      </w:r>
      <w:r w:rsidR="00BA034D">
        <w:t>ensure compliance with c</w:t>
      </w:r>
      <w:r w:rsidR="00BA034D" w:rsidRPr="00BA034D">
        <w:t>ompany standards, codes, and regulations</w:t>
      </w:r>
      <w:r>
        <w:t xml:space="preserve">; and </w:t>
      </w:r>
      <w:r w:rsidRPr="00C92966">
        <w:t xml:space="preserve">maintain documentation </w:t>
      </w:r>
      <w:r w:rsidR="00402F35">
        <w:t>concerning the F</w:t>
      </w:r>
      <w:r w:rsidRPr="00C92966">
        <w:t xml:space="preserve">acility’s compliance with the Aliso Canyon Safety Plan and </w:t>
      </w:r>
      <w:r>
        <w:t>GOs 95, 128, and 165</w:t>
      </w:r>
      <w:r w:rsidRPr="00C92966">
        <w:t xml:space="preserve">. </w:t>
      </w:r>
      <w:r>
        <w:t xml:space="preserve"> </w:t>
      </w:r>
      <w:r w:rsidRPr="00BA034D">
        <w:t xml:space="preserve">The </w:t>
      </w:r>
      <w:r w:rsidRPr="005317E3">
        <w:t>electrical professional</w:t>
      </w:r>
      <w:r w:rsidRPr="00C92966">
        <w:t xml:space="preserve"> will plan the work, hire electrical maintenance and/or construction contractors, and</w:t>
      </w:r>
      <w:r w:rsidR="00BA034D">
        <w:t xml:space="preserve"> </w:t>
      </w:r>
      <w:r w:rsidR="00BA034D" w:rsidRPr="00BA034D">
        <w:t xml:space="preserve">will be responsible for </w:t>
      </w:r>
      <w:r w:rsidR="00BA034D">
        <w:t xml:space="preserve">the </w:t>
      </w:r>
      <w:r w:rsidR="00BA034D" w:rsidRPr="00BA034D">
        <w:t xml:space="preserve">inspection, maintenance, and modifications of the electrical systems at </w:t>
      </w:r>
      <w:r w:rsidR="00BA034D">
        <w:t>the Facility</w:t>
      </w:r>
      <w:r w:rsidR="00BA034D" w:rsidRPr="00BA034D">
        <w:t xml:space="preserve">. </w:t>
      </w:r>
      <w:r w:rsidR="00F37F09">
        <w:t xml:space="preserve"> </w:t>
      </w:r>
      <w:r w:rsidR="001856F3">
        <w:t xml:space="preserve">Among other things, the </w:t>
      </w:r>
      <w:r w:rsidR="001856F3" w:rsidRPr="005317E3">
        <w:t>electrical professional</w:t>
      </w:r>
      <w:r w:rsidR="001856F3">
        <w:t xml:space="preserve"> </w:t>
      </w:r>
      <w:r w:rsidR="00BA034D" w:rsidRPr="00BA034D">
        <w:t xml:space="preserve">will coordinate and </w:t>
      </w:r>
      <w:r w:rsidR="001856F3">
        <w:t xml:space="preserve">direct small </w:t>
      </w:r>
      <w:r w:rsidR="00BA034D" w:rsidRPr="00BA034D">
        <w:t>projects, including develop</w:t>
      </w:r>
      <w:r w:rsidR="001856F3">
        <w:t>ing</w:t>
      </w:r>
      <w:r w:rsidR="00BA034D" w:rsidRPr="00BA034D">
        <w:t xml:space="preserve"> work scope, budget, and schedule</w:t>
      </w:r>
      <w:r w:rsidR="001856F3">
        <w:t xml:space="preserve">; and </w:t>
      </w:r>
      <w:r w:rsidR="00BA034D" w:rsidRPr="00BA034D">
        <w:t>will direct and assist other employees and outside contractors in completi</w:t>
      </w:r>
      <w:r w:rsidR="001856F3">
        <w:t>ng their work</w:t>
      </w:r>
      <w:r w:rsidR="00BA034D" w:rsidRPr="00BA034D">
        <w:t>.</w:t>
      </w:r>
    </w:p>
    <w:p w:rsidR="00402F35" w:rsidRPr="00D53554" w:rsidRDefault="00402F35" w:rsidP="00F37F09">
      <w:pPr>
        <w:pStyle w:val="Heading1"/>
        <w:numPr>
          <w:ilvl w:val="1"/>
          <w:numId w:val="37"/>
        </w:numPr>
        <w:ind w:left="1440" w:hanging="720"/>
      </w:pPr>
      <w:bookmarkStart w:id="60" w:name="_Toc369507333"/>
      <w:r w:rsidRPr="00D53554">
        <w:t>Employee Safety Committee</w:t>
      </w:r>
      <w:bookmarkEnd w:id="60"/>
      <w:r w:rsidRPr="00D53554">
        <w:t xml:space="preserve"> </w:t>
      </w:r>
    </w:p>
    <w:p w:rsidR="00402F35" w:rsidRPr="00D53554" w:rsidRDefault="00402F35" w:rsidP="00402F35">
      <w:pPr>
        <w:pStyle w:val="standard"/>
      </w:pPr>
      <w:r w:rsidRPr="00D53554">
        <w:t>Beginning one month after a final decision in this proceeding, SoCalGas will establish the Aliso Canyon Employee Safety Committee</w:t>
      </w:r>
      <w:r>
        <w:t xml:space="preserve"> (</w:t>
      </w:r>
      <w:r w:rsidRPr="00D53554">
        <w:t>Safety Committee</w:t>
      </w:r>
      <w:r>
        <w:t>)</w:t>
      </w:r>
      <w:r w:rsidRPr="00D53554">
        <w:t>.</w:t>
      </w:r>
      <w:r>
        <w:rPr>
          <w:rStyle w:val="FootnoteReference"/>
        </w:rPr>
        <w:footnoteReference w:id="42"/>
      </w:r>
      <w:r>
        <w:t xml:space="preserve">  The </w:t>
      </w:r>
      <w:r w:rsidRPr="00D53554">
        <w:t>Safety Committee</w:t>
      </w:r>
      <w:r>
        <w:t xml:space="preserve"> will be comprised of employees performing s</w:t>
      </w:r>
      <w:r w:rsidRPr="00C92966">
        <w:t xml:space="preserve">afety, </w:t>
      </w:r>
      <w:r>
        <w:t>e</w:t>
      </w:r>
      <w:r w:rsidRPr="00C92966">
        <w:t xml:space="preserve">nvironmental, </w:t>
      </w:r>
      <w:r>
        <w:t>o</w:t>
      </w:r>
      <w:r w:rsidRPr="00C92966">
        <w:t xml:space="preserve">perations, </w:t>
      </w:r>
      <w:r>
        <w:t>m</w:t>
      </w:r>
      <w:r w:rsidRPr="00C92966">
        <w:t xml:space="preserve">aintenance, </w:t>
      </w:r>
      <w:r>
        <w:t>e</w:t>
      </w:r>
      <w:r w:rsidRPr="00C92966">
        <w:t>ngineering</w:t>
      </w:r>
      <w:r>
        <w:t xml:space="preserve"> functions, and </w:t>
      </w:r>
      <w:r w:rsidRPr="00C92966">
        <w:t xml:space="preserve">an </w:t>
      </w:r>
      <w:r>
        <w:t>o</w:t>
      </w:r>
      <w:r w:rsidRPr="00C92966">
        <w:t xml:space="preserve">ffice </w:t>
      </w:r>
      <w:r>
        <w:t>r</w:t>
      </w:r>
      <w:r w:rsidRPr="00C92966">
        <w:t>epresentative</w:t>
      </w:r>
      <w:r>
        <w:t xml:space="preserve">.  The </w:t>
      </w:r>
      <w:r w:rsidRPr="005317E3">
        <w:t>electrical professional</w:t>
      </w:r>
      <w:r>
        <w:t xml:space="preserve"> </w:t>
      </w:r>
      <w:r w:rsidRPr="00C92966">
        <w:t>will be th</w:t>
      </w:r>
      <w:r>
        <w:t>e e</w:t>
      </w:r>
      <w:r w:rsidRPr="00C92966">
        <w:t xml:space="preserve">ngineering representative on the </w:t>
      </w:r>
      <w:r w:rsidRPr="00D53554">
        <w:t>Safety Committee</w:t>
      </w:r>
      <w:r>
        <w:t>.</w:t>
      </w:r>
    </w:p>
    <w:p w:rsidR="00831C2F" w:rsidRPr="005317E3" w:rsidRDefault="00831C2F" w:rsidP="00F37F09">
      <w:pPr>
        <w:pStyle w:val="Heading1"/>
        <w:numPr>
          <w:ilvl w:val="1"/>
          <w:numId w:val="37"/>
        </w:numPr>
        <w:ind w:left="1440" w:hanging="720"/>
      </w:pPr>
      <w:bookmarkStart w:id="61" w:name="_Toc369507334"/>
      <w:r w:rsidRPr="005317E3">
        <w:t>Facility Informat</w:t>
      </w:r>
      <w:r w:rsidR="005317E3">
        <w:t>ion Website</w:t>
      </w:r>
      <w:bookmarkEnd w:id="61"/>
    </w:p>
    <w:p w:rsidR="00831C2F" w:rsidRDefault="005317E3" w:rsidP="00831C2F">
      <w:pPr>
        <w:pStyle w:val="standard"/>
      </w:pPr>
      <w:r>
        <w:t xml:space="preserve">Three </w:t>
      </w:r>
      <w:r w:rsidRPr="00D53554">
        <w:t>months after a final decision in this proceeding, SoCalGas will</w:t>
      </w:r>
      <w:r>
        <w:t xml:space="preserve"> </w:t>
      </w:r>
      <w:r w:rsidR="00831C2F" w:rsidRPr="005317E3">
        <w:t>develop and maintain a publicly accessible website page dedicated to Facility operations, and include the Aliso Canyon Safety Plan, brush clearing schedule, project updates, annual GO 95 and GO 165 reports to the Commission, Safety Audit Reports, notices of overhead electrical distribution facility shut-downs and related information, links to SoCalGas’</w:t>
      </w:r>
      <w:r w:rsidR="00AF0EA4">
        <w:t>s</w:t>
      </w:r>
      <w:r w:rsidR="00831C2F" w:rsidRPr="005317E3">
        <w:t xml:space="preserve"> safety website, and safety audits and inspections status conducted by public agencies or management personnel within 30 days of inspection.</w:t>
      </w:r>
    </w:p>
    <w:p w:rsidR="00831C2F" w:rsidRPr="00D368FE" w:rsidRDefault="00831C2F" w:rsidP="00B54AE2">
      <w:pPr>
        <w:pStyle w:val="Heading1"/>
        <w:numPr>
          <w:ilvl w:val="0"/>
          <w:numId w:val="37"/>
        </w:numPr>
      </w:pPr>
      <w:bookmarkStart w:id="62" w:name="_Toc341759924"/>
      <w:bookmarkStart w:id="63" w:name="_Toc369507335"/>
      <w:r w:rsidRPr="00D368FE">
        <w:t xml:space="preserve">Adoption of </w:t>
      </w:r>
      <w:bookmarkEnd w:id="62"/>
      <w:r w:rsidR="00B54AE2">
        <w:t xml:space="preserve">the </w:t>
      </w:r>
      <w:r w:rsidR="007C1100">
        <w:t>Porter Ranch Settlement Agreement</w:t>
      </w:r>
      <w:bookmarkEnd w:id="63"/>
    </w:p>
    <w:p w:rsidR="00831C2F" w:rsidRPr="00113A26" w:rsidRDefault="00831C2F" w:rsidP="00831C2F">
      <w:pPr>
        <w:pStyle w:val="standard"/>
      </w:pPr>
      <w:r w:rsidRPr="00113A26">
        <w:t xml:space="preserve">The Commission has specific tests for granting a motion for approval of a settlement.  In particular, Rule 12.1(d) provides that the Commission will not approve a settlement, whether contested or uncontested, unless it is reasonable in light of the whole record, consistent with law, and in the public interest.  As discussed below, the </w:t>
      </w:r>
      <w:r w:rsidR="007C1100">
        <w:t>Porter Ranch Settlement Agreement</w:t>
      </w:r>
      <w:r w:rsidRPr="00113A26">
        <w:t xml:space="preserve"> satisfies Rule 12.1(d) and the Commission’s other requirements specified in Rule 12.1 for approval of formal settlements.</w:t>
      </w:r>
    </w:p>
    <w:p w:rsidR="00831C2F" w:rsidRPr="00113A26" w:rsidRDefault="00831C2F" w:rsidP="00831C2F">
      <w:pPr>
        <w:pStyle w:val="standard"/>
      </w:pPr>
      <w:r w:rsidRPr="000176F7">
        <w:t>Prior to adopting a settlement, the Commission must be satisfied that the parties have a sound and thorough understanding of the issues and information included in the record.  This level of understanding of the application and development of an adequate record is necessary to consider a settlement as required by Article 12 of the Commission’s Rules.</w:t>
      </w:r>
    </w:p>
    <w:p w:rsidR="00831C2F" w:rsidRPr="007C239A" w:rsidRDefault="00831C2F" w:rsidP="00831C2F">
      <w:pPr>
        <w:pStyle w:val="standard"/>
      </w:pPr>
      <w:r w:rsidRPr="00FE0CC2">
        <w:t xml:space="preserve">The </w:t>
      </w:r>
      <w:r w:rsidR="007C1100">
        <w:t>Porter Ranch Settlement Agreement</w:t>
      </w:r>
      <w:r w:rsidRPr="00FE0CC2">
        <w:t xml:space="preserve"> </w:t>
      </w:r>
      <w:r w:rsidR="00FE0CC2">
        <w:t>explains</w:t>
      </w:r>
      <w:r w:rsidRPr="00FE0CC2">
        <w:t xml:space="preserve"> the differences in final litigation positions of the parties and the agreed</w:t>
      </w:r>
      <w:r w:rsidRPr="00FE0CC2">
        <w:noBreakHyphen/>
        <w:t>upon compromises.</w:t>
      </w:r>
      <w:r w:rsidR="00F37F09">
        <w:t xml:space="preserve"> </w:t>
      </w:r>
      <w:r w:rsidRPr="00FE0CC2">
        <w:t xml:space="preserve"> The </w:t>
      </w:r>
      <w:r w:rsidR="007C1100">
        <w:t>Porter Ranch Settlement Agreement</w:t>
      </w:r>
      <w:r w:rsidRPr="00FE0CC2">
        <w:t xml:space="preserve"> includes sufficient information to determine what SoCalGas is obliged to do.</w:t>
      </w:r>
      <w:r w:rsidR="00B54AE2">
        <w:t xml:space="preserve">  </w:t>
      </w:r>
      <w:r w:rsidRPr="007C239A">
        <w:t xml:space="preserve">As discussed below, the </w:t>
      </w:r>
      <w:r w:rsidR="007C1100">
        <w:t>Porter Ranch Settlement Agreement</w:t>
      </w:r>
      <w:r w:rsidRPr="007C239A">
        <w:t xml:space="preserve"> meets the tests for Commission adoption because </w:t>
      </w:r>
      <w:r w:rsidR="00B54AE2">
        <w:t xml:space="preserve">it </w:t>
      </w:r>
      <w:r w:rsidRPr="007C239A">
        <w:t>does not contravene or compromise any statutory provision or prior Commission decision and is consistent with the law, is reasonable, and in the public interest.</w:t>
      </w:r>
    </w:p>
    <w:p w:rsidR="00831C2F" w:rsidRPr="002D7BF7" w:rsidRDefault="00831C2F" w:rsidP="00831C2F">
      <w:pPr>
        <w:pStyle w:val="standard"/>
      </w:pPr>
      <w:r w:rsidRPr="008E0982">
        <w:t xml:space="preserve">The protests, </w:t>
      </w:r>
      <w:r w:rsidR="00536D30">
        <w:t>PHC</w:t>
      </w:r>
      <w:r w:rsidRPr="008E0982">
        <w:t xml:space="preserve"> statements, and PHC transcript explain in detail Rogers’ and Herman’s position concerning fire risks and their concerns about the safety of the Facility</w:t>
      </w:r>
      <w:r w:rsidR="00FE0CC2">
        <w:t xml:space="preserve"> operating in a high fire risk area</w:t>
      </w:r>
      <w:r w:rsidRPr="008E0982">
        <w:t xml:space="preserve">.  </w:t>
      </w:r>
      <w:r w:rsidRPr="007C239A">
        <w:t xml:space="preserve">The Scoping Memo </w:t>
      </w:r>
      <w:r w:rsidR="00FE0CC2">
        <w:t xml:space="preserve">scheduled </w:t>
      </w:r>
      <w:r w:rsidR="00A853A2">
        <w:t xml:space="preserve">EHs </w:t>
      </w:r>
      <w:r w:rsidR="00FE0CC2">
        <w:t xml:space="preserve">on </w:t>
      </w:r>
      <w:r w:rsidRPr="007C239A">
        <w:t xml:space="preserve">whether any requirements should be imposed on </w:t>
      </w:r>
      <w:r w:rsidRPr="00954CCB">
        <w:t>the amended CPCN</w:t>
      </w:r>
      <w:r>
        <w:t xml:space="preserve">, </w:t>
      </w:r>
      <w:r w:rsidRPr="007C239A">
        <w:t xml:space="preserve">in addition to any mitigation measures adopted </w:t>
      </w:r>
      <w:r>
        <w:t xml:space="preserve">through the CEQA process, </w:t>
      </w:r>
      <w:r w:rsidRPr="007C239A">
        <w:t xml:space="preserve">to improve safety at the </w:t>
      </w:r>
      <w:r>
        <w:t>F</w:t>
      </w:r>
      <w:r w:rsidRPr="007C239A">
        <w:t xml:space="preserve">acility. </w:t>
      </w:r>
      <w:r w:rsidR="00B54AE2">
        <w:t xml:space="preserve"> </w:t>
      </w:r>
      <w:r w:rsidRPr="002D7BF7">
        <w:t xml:space="preserve">SoCalGas </w:t>
      </w:r>
      <w:r w:rsidR="00C679A9">
        <w:t>served</w:t>
      </w:r>
      <w:r w:rsidR="00C679A9" w:rsidRPr="002D7BF7">
        <w:t xml:space="preserve"> </w:t>
      </w:r>
      <w:r w:rsidRPr="002D7BF7">
        <w:t xml:space="preserve">testimony explaining in detail its position concerning the adequacy of the rules established in R.08-11-005, and other requirements that help to </w:t>
      </w:r>
      <w:r>
        <w:t>reduce the risk of fire at</w:t>
      </w:r>
      <w:r w:rsidRPr="002D7BF7">
        <w:t xml:space="preserve"> the Facility.  SoCalGas</w:t>
      </w:r>
      <w:r>
        <w:t>’s</w:t>
      </w:r>
      <w:r w:rsidRPr="002D7BF7">
        <w:t xml:space="preserve"> </w:t>
      </w:r>
      <w:r>
        <w:t xml:space="preserve">testimony also described </w:t>
      </w:r>
      <w:r w:rsidRPr="002D7BF7">
        <w:t xml:space="preserve">additional measures </w:t>
      </w:r>
      <w:r>
        <w:t xml:space="preserve">in place </w:t>
      </w:r>
      <w:r w:rsidRPr="002D7BF7">
        <w:t xml:space="preserve">at the Facility </w:t>
      </w:r>
      <w:r w:rsidR="00DD2018">
        <w:t xml:space="preserve">to </w:t>
      </w:r>
      <w:r>
        <w:t xml:space="preserve">reduce the risk of fire </w:t>
      </w:r>
      <w:r w:rsidRPr="002D7BF7">
        <w:t>that are not required by the State, the Commission or local requirements</w:t>
      </w:r>
      <w:r>
        <w:t>.</w:t>
      </w:r>
    </w:p>
    <w:p w:rsidR="00831C2F" w:rsidRPr="002D7BF7" w:rsidRDefault="00831C2F" w:rsidP="00831C2F">
      <w:pPr>
        <w:pStyle w:val="standard"/>
      </w:pPr>
      <w:r w:rsidRPr="002D7BF7">
        <w:t xml:space="preserve">Based upon our review of the </w:t>
      </w:r>
      <w:r>
        <w:t xml:space="preserve">protests, prehearing conference statements, PHC transcript, and </w:t>
      </w:r>
      <w:r w:rsidRPr="002D7BF7">
        <w:t xml:space="preserve">prepared testimony, the Settling Parties demonstrate a thorough understanding of the issues and information contained in the record.  Therefore, the proposals resolving the </w:t>
      </w:r>
      <w:r>
        <w:t xml:space="preserve">disputed </w:t>
      </w:r>
      <w:r w:rsidRPr="002D7BF7">
        <w:t>issues in this proceeding are offered by competent parties that are able and well-prepared to make informed choi</w:t>
      </w:r>
      <w:r w:rsidR="00F37F09">
        <w:t>ces in the settlement process.</w:t>
      </w:r>
    </w:p>
    <w:p w:rsidR="00831C2F" w:rsidRPr="00837674" w:rsidRDefault="00831C2F" w:rsidP="00831C2F">
      <w:pPr>
        <w:pStyle w:val="standard"/>
      </w:pPr>
      <w:r w:rsidRPr="00837674">
        <w:t>The Settling Parties have complied with Rule 12.1(a) by making the appropriate filings and noticing a settlement conference.</w:t>
      </w:r>
      <w:r w:rsidR="00312CE7" w:rsidRPr="00312CE7">
        <w:rPr>
          <w:rStyle w:val="FootnoteReference"/>
        </w:rPr>
        <w:footnoteReference w:id="43"/>
      </w:r>
      <w:r w:rsidRPr="00837674">
        <w:t xml:space="preserve">  The Motion and </w:t>
      </w:r>
      <w:r w:rsidR="007C1100">
        <w:t>Porter Ranch Settlement Agreement</w:t>
      </w:r>
      <w:r w:rsidRPr="00837674">
        <w:t xml:space="preserve"> contain a statement of the factual and legal considerations adequate to advise the Commission of the scope of the </w:t>
      </w:r>
      <w:r w:rsidR="00F37F09">
        <w:t>Porter </w:t>
      </w:r>
      <w:r w:rsidR="007C1100">
        <w:t>Ranch Settlement Agreement</w:t>
      </w:r>
      <w:r w:rsidRPr="00837674">
        <w:t xml:space="preserve"> and of the grounds for its adoption</w:t>
      </w:r>
      <w:r>
        <w:t xml:space="preserve">, and </w:t>
      </w:r>
      <w:r w:rsidRPr="00837674">
        <w:t xml:space="preserve">is limited to </w:t>
      </w:r>
      <w:r w:rsidR="00F37F09">
        <w:t>the issues in this proceeding.</w:t>
      </w:r>
    </w:p>
    <w:p w:rsidR="00831C2F" w:rsidRPr="00837674" w:rsidRDefault="00831C2F" w:rsidP="00831C2F">
      <w:pPr>
        <w:pStyle w:val="standard"/>
      </w:pPr>
      <w:r w:rsidRPr="00D368FE">
        <w:t xml:space="preserve">The issue resolved by the </w:t>
      </w:r>
      <w:r w:rsidR="007C1100">
        <w:t>Porter Ranch Settlement Agreement</w:t>
      </w:r>
      <w:r w:rsidRPr="00D368FE">
        <w:t xml:space="preserve"> was addressed by evidence of record.  The Settling Parties have balanced a variety of issues important to them and have agreed to the proposals put forth in the </w:t>
      </w:r>
      <w:r w:rsidR="00F37F09">
        <w:t>Porter </w:t>
      </w:r>
      <w:r w:rsidR="007C1100">
        <w:t>Ranch Settlement Agreement</w:t>
      </w:r>
      <w:r w:rsidRPr="00D368FE">
        <w:t xml:space="preserve"> as a reasonable means by which to finally resolve the disputed issue in this proceeding.  The proposal put forth in the </w:t>
      </w:r>
      <w:r w:rsidR="007C1100">
        <w:t>Porter Ranch Settlement Agreement</w:t>
      </w:r>
      <w:r w:rsidRPr="00D368FE">
        <w:t xml:space="preserve"> reflect</w:t>
      </w:r>
      <w:r w:rsidR="000F211E">
        <w:t>s</w:t>
      </w:r>
      <w:r w:rsidRPr="00D368FE">
        <w:t xml:space="preserve"> compromises made by the Settling Parties from their competing litigation positions, is the result of arms-length negotiations, and is uncontested.</w:t>
      </w:r>
    </w:p>
    <w:p w:rsidR="00831C2F" w:rsidRPr="00837674" w:rsidRDefault="00831C2F" w:rsidP="00831C2F">
      <w:pPr>
        <w:pStyle w:val="standard"/>
      </w:pPr>
      <w:r w:rsidRPr="00837674">
        <w:t xml:space="preserve">The </w:t>
      </w:r>
      <w:r w:rsidR="007C1100">
        <w:t>Porter Ranch Settlement Agreement</w:t>
      </w:r>
      <w:r w:rsidRPr="00837674">
        <w:t xml:space="preserve"> is reasonable in light of the whole record, because the Settling Parties fairly reflect the affected interests, these parties actively participated in this proceeding, and the proposals put forth in the </w:t>
      </w:r>
      <w:r w:rsidR="007C1100">
        <w:t>Porter Ranch Settlement Agreement</w:t>
      </w:r>
      <w:r w:rsidRPr="00837674">
        <w:t xml:space="preserve"> fairly and reasonably resolve the issues raised by</w:t>
      </w:r>
      <w:r w:rsidR="00C82EDA">
        <w:t xml:space="preserve"> the parties.</w:t>
      </w:r>
    </w:p>
    <w:p w:rsidR="00831C2F" w:rsidRPr="00D368FE" w:rsidRDefault="00831C2F" w:rsidP="00831C2F">
      <w:pPr>
        <w:pStyle w:val="standard"/>
      </w:pPr>
      <w:r w:rsidRPr="00837674">
        <w:t xml:space="preserve">The Commission could have resolved the issues in this proceeding in favor of any of the parties.  Accordingly, the Settling Parties have balanced a variety of issues of importance to them and have agreed to the proposal put forth in the </w:t>
      </w:r>
      <w:r w:rsidR="007C1100">
        <w:t>Porter Ranch Settlement Agreement</w:t>
      </w:r>
      <w:r w:rsidRPr="00837674">
        <w:t xml:space="preserve"> as a reasonable means by which to resolve the disputed issue.</w:t>
      </w:r>
      <w:r w:rsidR="00F60BF5">
        <w:t xml:space="preserve">  </w:t>
      </w:r>
      <w:r w:rsidRPr="008E0982">
        <w:t xml:space="preserve">The active parties in this proceeding support or do not oppose the proposals presented in the </w:t>
      </w:r>
      <w:r w:rsidR="007C1100">
        <w:t>Porter Ranch Settlement Agreement</w:t>
      </w:r>
      <w:r w:rsidRPr="008E0982">
        <w:t xml:space="preserve">.  </w:t>
      </w:r>
      <w:r w:rsidRPr="00D368FE">
        <w:t xml:space="preserve">Thus, for the reasons discussed above, and taken as a whole, the </w:t>
      </w:r>
      <w:r w:rsidR="007C1100">
        <w:t>Porter Ranch Settlement Agreement</w:t>
      </w:r>
      <w:r w:rsidRPr="00D368FE">
        <w:t xml:space="preserve"> is reasonable in light of the whole record.</w:t>
      </w:r>
    </w:p>
    <w:p w:rsidR="00831C2F" w:rsidRPr="00D368FE" w:rsidRDefault="00831C2F" w:rsidP="00831C2F">
      <w:pPr>
        <w:pStyle w:val="standard"/>
      </w:pPr>
      <w:r w:rsidRPr="00D368FE">
        <w:rPr>
          <w:szCs w:val="24"/>
        </w:rPr>
        <w:t xml:space="preserve">The </w:t>
      </w:r>
      <w:r w:rsidRPr="00D368FE">
        <w:t xml:space="preserve">Settling Parties dispute factual and legal issues, but set aside their disputes and propose to resolve issues that they contend are within the Commission’s jurisdiction and which do not contravene or compromise any statutory provision or prior Commission decision.  The </w:t>
      </w:r>
      <w:r w:rsidR="007C1100">
        <w:t>Porter Ranch Settlement Agreement</w:t>
      </w:r>
      <w:r w:rsidRPr="00D368FE">
        <w:t xml:space="preserve"> does not contravene or compromise any statutory provision or prior Commission decision.</w:t>
      </w:r>
    </w:p>
    <w:p w:rsidR="00831C2F" w:rsidRPr="00D368FE" w:rsidRDefault="00831C2F" w:rsidP="00831C2F">
      <w:pPr>
        <w:pStyle w:val="standard"/>
      </w:pPr>
      <w:r w:rsidRPr="00D368FE">
        <w:t>There is a public policy favoring the settlement of disputes to avoid costly and protracted litigation.</w:t>
      </w:r>
      <w:r w:rsidRPr="00D368FE">
        <w:rPr>
          <w:rStyle w:val="FootnoteReference"/>
        </w:rPr>
        <w:footnoteReference w:id="44"/>
      </w:r>
      <w:r w:rsidRPr="00D368FE">
        <w:t xml:space="preserve">  The </w:t>
      </w:r>
      <w:r w:rsidR="007C1100">
        <w:t>Porter Ranch Settlement Agreement</w:t>
      </w:r>
      <w:r w:rsidRPr="00D368FE">
        <w:t xml:space="preserve"> satisfies this public policy preference for the following reasons.  The sponsors of the </w:t>
      </w:r>
      <w:r w:rsidR="00F37F09">
        <w:t>Porter </w:t>
      </w:r>
      <w:r w:rsidR="007C1100">
        <w:t>Ranch Settlement Agreement</w:t>
      </w:r>
      <w:r w:rsidRPr="00D368FE">
        <w:t xml:space="preserve"> represent the interests of the Applicant and the residents living in proximity to the Facility.  The proposals put forth in the </w:t>
      </w:r>
      <w:r w:rsidR="007C1100">
        <w:t>Porter Ranch Settlement Agreement</w:t>
      </w:r>
      <w:r w:rsidRPr="00D368FE">
        <w:t xml:space="preserve"> serve the public interest by resolving competing concerns in a collaborative and cooperative manner.  By reaching agreement, the parties avoid the costs of further litigation in this proceeding, and eliminate the possible litigation costs for rehearing and appeal.</w:t>
      </w:r>
    </w:p>
    <w:p w:rsidR="00831C2F" w:rsidRPr="00D368FE" w:rsidRDefault="00831C2F" w:rsidP="00831C2F">
      <w:pPr>
        <w:pStyle w:val="standard"/>
      </w:pPr>
      <w:r w:rsidRPr="00D368FE">
        <w:t xml:space="preserve">Approval of the </w:t>
      </w:r>
      <w:r w:rsidR="007C1100">
        <w:t>Porter Ranch Settlement Agreement</w:t>
      </w:r>
      <w:r w:rsidRPr="00D368FE">
        <w:t xml:space="preserve"> provides speedy and complete resolution of </w:t>
      </w:r>
      <w:r w:rsidR="00925220">
        <w:t>the contested issue</w:t>
      </w:r>
      <w:r w:rsidRPr="00D368FE">
        <w:t xml:space="preserve"> between the parties and facilitates prompt approval of the Application.  Thus, the </w:t>
      </w:r>
      <w:r w:rsidR="007C1100">
        <w:t>Porter Ranch Settlement Agreement</w:t>
      </w:r>
      <w:r w:rsidRPr="00D368FE">
        <w:t xml:space="preserve"> meets the applicable settlement standards of Rule 12.1(d) and therefore should be accorded the same deference the Commission accords settlements generally.  Because the proposals put forth in the </w:t>
      </w:r>
      <w:r w:rsidR="007C1100">
        <w:t>Porter Ranch Settlement Agreement</w:t>
      </w:r>
      <w:r w:rsidRPr="00D368FE">
        <w:t xml:space="preserve"> are presented as an integrated package of revenue requirement and rate recommendations, all of the proposals put forth in the </w:t>
      </w:r>
      <w:r w:rsidR="007C1100">
        <w:t>Porter Ranch Settlement Agreement</w:t>
      </w:r>
      <w:r w:rsidRPr="00D368FE">
        <w:t xml:space="preserve"> should be approved.</w:t>
      </w:r>
    </w:p>
    <w:p w:rsidR="00831C2F" w:rsidRDefault="00831C2F" w:rsidP="00831C2F">
      <w:pPr>
        <w:pStyle w:val="standard"/>
      </w:pPr>
      <w:r w:rsidRPr="00D368FE">
        <w:t xml:space="preserve">Adoption of the </w:t>
      </w:r>
      <w:r w:rsidR="007C1100">
        <w:t>Porter Ranch Settlement Agreement</w:t>
      </w:r>
      <w:r w:rsidRPr="00D368FE">
        <w:t xml:space="preserve"> is binding on all parties to the proceeding.  However, pursuant to Rule 12.5, the </w:t>
      </w:r>
      <w:r w:rsidR="007C1100">
        <w:t>Porter Ranch Settlement Agreement</w:t>
      </w:r>
      <w:r w:rsidR="008A035D" w:rsidRPr="00D368FE">
        <w:t xml:space="preserve"> </w:t>
      </w:r>
      <w:r w:rsidRPr="00D368FE">
        <w:t xml:space="preserve">does not bind or otherwise impose a precedent in </w:t>
      </w:r>
      <w:r w:rsidR="004B7146">
        <w:t>this or any future proceeding.</w:t>
      </w:r>
    </w:p>
    <w:p w:rsidR="00291777" w:rsidRDefault="00831C2F" w:rsidP="007632EC">
      <w:pPr>
        <w:pStyle w:val="Heading1"/>
        <w:numPr>
          <w:ilvl w:val="0"/>
          <w:numId w:val="37"/>
        </w:numPr>
        <w:ind w:left="720" w:right="1440" w:hanging="720"/>
      </w:pPr>
      <w:bookmarkStart w:id="64" w:name="_Toc369507336"/>
      <w:r>
        <w:t xml:space="preserve">The </w:t>
      </w:r>
      <w:r w:rsidR="00925220">
        <w:t>Rules Adopted</w:t>
      </w:r>
      <w:r>
        <w:t xml:space="preserve"> in R.08</w:t>
      </w:r>
      <w:r>
        <w:noBreakHyphen/>
        <w:t>11</w:t>
      </w:r>
      <w:r>
        <w:noBreakHyphen/>
      </w:r>
      <w:r w:rsidRPr="004054BB">
        <w:t>005</w:t>
      </w:r>
      <w:r>
        <w:t xml:space="preserve"> </w:t>
      </w:r>
      <w:r w:rsidR="00B54AE2">
        <w:t>Will Reduce the Risk of Fire H</w:t>
      </w:r>
      <w:r w:rsidR="00B54AE2" w:rsidRPr="00291777">
        <w:t>azards</w:t>
      </w:r>
      <w:bookmarkEnd w:id="64"/>
    </w:p>
    <w:p w:rsidR="00960A6E" w:rsidRDefault="00CE04C8" w:rsidP="00291777">
      <w:pPr>
        <w:pStyle w:val="standard"/>
      </w:pPr>
      <w:r>
        <w:t>R.08</w:t>
      </w:r>
      <w:r>
        <w:noBreakHyphen/>
        <w:t>11</w:t>
      </w:r>
      <w:r>
        <w:noBreakHyphen/>
      </w:r>
      <w:r w:rsidRPr="004054BB">
        <w:t>005</w:t>
      </w:r>
      <w:r>
        <w:t xml:space="preserve"> was initiated to consider r</w:t>
      </w:r>
      <w:r w:rsidRPr="00CE04C8">
        <w:t>evising and clarifying the Commission’s regulations designed to protect the public from potential hazards, including fires, from electric utility transmission or distribution lines or communications infrastructure providers’ facilities in proximity to the electric overhead transmission or distribution lines.</w:t>
      </w:r>
      <w:r>
        <w:t xml:space="preserve">  </w:t>
      </w:r>
      <w:r w:rsidR="00291777">
        <w:t>In particular, R.08</w:t>
      </w:r>
      <w:r w:rsidR="00291777">
        <w:noBreakHyphen/>
        <w:t>11</w:t>
      </w:r>
      <w:r w:rsidR="00291777">
        <w:noBreakHyphen/>
      </w:r>
      <w:r w:rsidR="00291777" w:rsidRPr="004054BB">
        <w:t>005</w:t>
      </w:r>
      <w:r w:rsidR="00291777">
        <w:t xml:space="preserve"> sought</w:t>
      </w:r>
      <w:r w:rsidR="00291777" w:rsidRPr="00291777">
        <w:t xml:space="preserve"> to identify potential problems involving the practices and facilities of electric utilities or Communications Infrastructure Providers and to adopt additional requirements and clarifications in order to further reduce the risk of hazards, including fires.</w:t>
      </w:r>
    </w:p>
    <w:p w:rsidR="007A2B56" w:rsidRPr="007A2B56" w:rsidRDefault="00291777" w:rsidP="007A2B56">
      <w:pPr>
        <w:pStyle w:val="standard"/>
      </w:pPr>
      <w:r w:rsidRPr="00954CCB">
        <w:t>At the time that R.08</w:t>
      </w:r>
      <w:r w:rsidRPr="00954CCB">
        <w:noBreakHyphen/>
        <w:t>11</w:t>
      </w:r>
      <w:r w:rsidRPr="00954CCB">
        <w:noBreakHyphen/>
        <w:t>005 was initiated, the Commission's GOs 95, 128, and 165 were already designed to promote the safe operation of electric utility and communications infrastructure facilities, and provided minimum safety requirements.</w:t>
      </w:r>
      <w:r w:rsidR="00960A6E" w:rsidRPr="00954CCB">
        <w:t xml:space="preserve">  However, GOs 95, 128, and 165 did not at that time apply to gas utilities such as SoCalGas.</w:t>
      </w:r>
      <w:r w:rsidR="0003324D">
        <w:t xml:space="preserve">  </w:t>
      </w:r>
      <w:r w:rsidRPr="007A2B56">
        <w:t>D.09-08-029, issued in Phase 1 of R.08</w:t>
      </w:r>
      <w:r w:rsidRPr="007A2B56">
        <w:noBreakHyphen/>
        <w:t>11</w:t>
      </w:r>
      <w:r w:rsidRPr="007A2B56">
        <w:noBreakHyphen/>
        <w:t xml:space="preserve">005, </w:t>
      </w:r>
      <w:r w:rsidR="00831C2F" w:rsidRPr="007A2B56">
        <w:t>implemented several measures intended to reduce</w:t>
      </w:r>
      <w:r w:rsidRPr="007A2B56">
        <w:t xml:space="preserve"> fire hazards </w:t>
      </w:r>
      <w:r w:rsidR="007A2B56">
        <w:t>from</w:t>
      </w:r>
      <w:r w:rsidRPr="007A2B56">
        <w:t xml:space="preserve"> electric lines.  Importantly</w:t>
      </w:r>
      <w:r w:rsidR="0015253B" w:rsidRPr="007A2B56">
        <w:t>, for the first time</w:t>
      </w:r>
      <w:r w:rsidRPr="007A2B56">
        <w:t xml:space="preserve">, D.09-08-029 </w:t>
      </w:r>
      <w:r w:rsidR="007632EC">
        <w:t>made the requirements of GO </w:t>
      </w:r>
      <w:r w:rsidR="007A2B56" w:rsidRPr="007A2B56">
        <w:t xml:space="preserve">95 applicable to non-electric utilities, including </w:t>
      </w:r>
      <w:r w:rsidR="00831C2F" w:rsidRPr="007A2B56">
        <w:t>SoCalGas</w:t>
      </w:r>
      <w:r w:rsidR="007A2B56" w:rsidRPr="007A2B56">
        <w:t>.</w:t>
      </w:r>
      <w:r w:rsidR="00CB54D4">
        <w:rPr>
          <w:rStyle w:val="FootnoteReference"/>
        </w:rPr>
        <w:footnoteReference w:id="45"/>
      </w:r>
      <w:r w:rsidR="007A2B56" w:rsidRPr="007A2B56">
        <w:t xml:space="preserve">  </w:t>
      </w:r>
      <w:r w:rsidR="00971F75">
        <w:t>At the time of the Sesnon Fire</w:t>
      </w:r>
      <w:r w:rsidR="0003324D">
        <w:t xml:space="preserve"> in 2008</w:t>
      </w:r>
      <w:r w:rsidR="00971F75">
        <w:t>, GO 95 did not apply to gas utilities such as SoCalGas.</w:t>
      </w:r>
    </w:p>
    <w:p w:rsidR="007A2B56" w:rsidRPr="0015253B" w:rsidRDefault="007A2B56" w:rsidP="007A2B56">
      <w:pPr>
        <w:pStyle w:val="standard"/>
      </w:pPr>
      <w:r w:rsidRPr="007A2B56">
        <w:t>GO 95</w:t>
      </w:r>
      <w:r w:rsidR="00831C2F" w:rsidRPr="007A2B56">
        <w:t xml:space="preserve"> sets forth requirements for the construction of electric lines, together with maintenance and vegetation management requirements</w:t>
      </w:r>
      <w:r w:rsidRPr="007A2B56">
        <w:t xml:space="preserve">.  </w:t>
      </w:r>
      <w:r w:rsidR="00831C2F" w:rsidRPr="007A2B56">
        <w:t xml:space="preserve">Among other things, GO 95 sets forth </w:t>
      </w:r>
      <w:r w:rsidR="0015253B" w:rsidRPr="007A2B56">
        <w:t>specific requirements for the construction of electric lines</w:t>
      </w:r>
      <w:r w:rsidR="0015253B">
        <w:t>,</w:t>
      </w:r>
      <w:r w:rsidR="0015253B" w:rsidRPr="007A2B56">
        <w:t xml:space="preserve"> </w:t>
      </w:r>
      <w:r w:rsidR="00831C2F" w:rsidRPr="007A2B56">
        <w:t xml:space="preserve">vegetation management around electric poles, </w:t>
      </w:r>
      <w:r w:rsidR="0015253B">
        <w:t>and</w:t>
      </w:r>
      <w:r w:rsidR="00831C2F" w:rsidRPr="007A2B56">
        <w:t xml:space="preserve"> minimum clearance</w:t>
      </w:r>
      <w:r w:rsidR="0015253B">
        <w:t>s</w:t>
      </w:r>
      <w:r w:rsidR="00831C2F" w:rsidRPr="007A2B56">
        <w:t xml:space="preserve"> between electric wires and trees. </w:t>
      </w:r>
      <w:r w:rsidR="0003324D">
        <w:t xml:space="preserve"> </w:t>
      </w:r>
      <w:r w:rsidR="00831C2F" w:rsidRPr="0015253B">
        <w:t>Further, GO 95 requires electric lines to be constructed in a manner that takes into account forces placed on the poles and lines by wind in order to ensure the safe operation of electric lines in places subject to high winds from time to time, such as Aliso Canyon.</w:t>
      </w:r>
      <w:r w:rsidR="0015253B" w:rsidRPr="0015253B">
        <w:t xml:space="preserve">  </w:t>
      </w:r>
      <w:r w:rsidRPr="0015253B">
        <w:t xml:space="preserve">These requirements currently apply to the </w:t>
      </w:r>
      <w:r w:rsidR="00925220">
        <w:t>Facility’s</w:t>
      </w:r>
      <w:r w:rsidRPr="0015253B">
        <w:t xml:space="preserve"> overhead electric distribution system</w:t>
      </w:r>
      <w:r w:rsidR="0015253B" w:rsidRPr="0015253B">
        <w:t xml:space="preserve"> and will to apply to the construction and operation of the </w:t>
      </w:r>
      <w:r w:rsidR="00EF44B5">
        <w:t>Project</w:t>
      </w:r>
      <w:r w:rsidR="00700BD9">
        <w:t xml:space="preserve">, including the portions of the </w:t>
      </w:r>
      <w:r w:rsidR="00EF44B5">
        <w:t>Project</w:t>
      </w:r>
      <w:r w:rsidR="00700BD9">
        <w:t xml:space="preserve"> to be constructed by SCE</w:t>
      </w:r>
      <w:r w:rsidR="0022071C">
        <w:t>.</w:t>
      </w:r>
    </w:p>
    <w:p w:rsidR="00224852" w:rsidRDefault="00224852" w:rsidP="00224852">
      <w:pPr>
        <w:pStyle w:val="standard"/>
      </w:pPr>
      <w:r w:rsidRPr="007A2B56">
        <w:t>D.09-08-029</w:t>
      </w:r>
      <w:r>
        <w:t xml:space="preserve"> modified GO 95 and established other regulations </w:t>
      </w:r>
      <w:r w:rsidRPr="00224852">
        <w:t>to reduce fire hazards in California</w:t>
      </w:r>
      <w:r>
        <w:t xml:space="preserve">, including specific measures </w:t>
      </w:r>
      <w:r w:rsidRPr="0015253B">
        <w:t>appl</w:t>
      </w:r>
      <w:r>
        <w:t xml:space="preserve">icable </w:t>
      </w:r>
      <w:r w:rsidRPr="0015253B">
        <w:t xml:space="preserve">to those geographic areas in </w:t>
      </w:r>
      <w:r w:rsidR="00515CE4">
        <w:t>s</w:t>
      </w:r>
      <w:r w:rsidRPr="0015253B">
        <w:t>outhern California defined as “Extreme and Very High Fire Threat Zones</w:t>
      </w:r>
      <w:r>
        <w:t xml:space="preserve">.” </w:t>
      </w:r>
      <w:r w:rsidR="0022071C">
        <w:t xml:space="preserve"> </w:t>
      </w:r>
      <w:r w:rsidRPr="0015253B">
        <w:t>Extreme and Very High Fire Threat Zones</w:t>
      </w:r>
      <w:r>
        <w:t xml:space="preserve"> include Los Angeles County where the Facility is located and Ventura County where parts of the </w:t>
      </w:r>
      <w:r w:rsidR="00EF44B5">
        <w:t>Project</w:t>
      </w:r>
      <w:r>
        <w:t xml:space="preserve"> will be constructed.</w:t>
      </w:r>
      <w:r w:rsidR="0003324D">
        <w:t xml:space="preserve">  </w:t>
      </w:r>
      <w:r w:rsidR="00971F75">
        <w:t>Specific</w:t>
      </w:r>
      <w:r>
        <w:t xml:space="preserve"> measures adopted by </w:t>
      </w:r>
      <w:r w:rsidRPr="007A2B56">
        <w:t>D.09-08-029</w:t>
      </w:r>
      <w:r>
        <w:t xml:space="preserve"> </w:t>
      </w:r>
      <w:r w:rsidR="00C11711">
        <w:t xml:space="preserve">that are relevant to </w:t>
      </w:r>
      <w:r w:rsidR="00A36F7C">
        <w:t xml:space="preserve">the safety concerns raised </w:t>
      </w:r>
      <w:r w:rsidR="00C11711">
        <w:t xml:space="preserve">this proceeding </w:t>
      </w:r>
      <w:r>
        <w:t>include:</w:t>
      </w:r>
    </w:p>
    <w:p w:rsidR="00224852" w:rsidRDefault="00C11711" w:rsidP="007632EC">
      <w:pPr>
        <w:pStyle w:val="standard"/>
        <w:numPr>
          <w:ilvl w:val="0"/>
          <w:numId w:val="32"/>
        </w:numPr>
        <w:spacing w:after="120" w:line="240" w:lineRule="auto"/>
        <w:ind w:left="1080" w:right="720"/>
      </w:pPr>
      <w:r>
        <w:t>R</w:t>
      </w:r>
      <w:r w:rsidR="00224852">
        <w:t>equir</w:t>
      </w:r>
      <w:r>
        <w:t>ing</w:t>
      </w:r>
      <w:r w:rsidR="00224852">
        <w:t xml:space="preserve"> utilities </w:t>
      </w:r>
      <w:r w:rsidR="00224852" w:rsidRPr="00224852">
        <w:t xml:space="preserve">to establish an </w:t>
      </w:r>
      <w:r w:rsidR="00CC5BB9" w:rsidRPr="00CC5BB9">
        <w:t>auditable maintenance program, provide a framework for notification of safety hazards involving equipment owned by one company and discovered by another company, and prioritize corrective actions for GO 95 violations</w:t>
      </w:r>
      <w:r w:rsidR="00A36F7C">
        <w:t>.</w:t>
      </w:r>
      <w:r w:rsidR="00960A6E">
        <w:rPr>
          <w:rStyle w:val="FootnoteReference"/>
        </w:rPr>
        <w:footnoteReference w:id="46"/>
      </w:r>
      <w:r w:rsidR="00A36F7C">
        <w:t xml:space="preserve">  Utilities must give </w:t>
      </w:r>
      <w:r w:rsidR="00A36F7C" w:rsidRPr="00A36F7C">
        <w:t>priorit</w:t>
      </w:r>
      <w:r w:rsidR="00A36F7C">
        <w:t>y to implementing the</w:t>
      </w:r>
      <w:r w:rsidR="00A36F7C" w:rsidRPr="00A36F7C">
        <w:t xml:space="preserve"> maintenance plan within the Extreme and Very High Fire Threat Zones </w:t>
      </w:r>
      <w:r w:rsidR="00566032">
        <w:t>in</w:t>
      </w:r>
      <w:r w:rsidR="00A36F7C" w:rsidRPr="00A36F7C">
        <w:t xml:space="preserve"> Southern California</w:t>
      </w:r>
      <w:r w:rsidR="00224852" w:rsidRPr="00224852">
        <w:t>.</w:t>
      </w:r>
    </w:p>
    <w:p w:rsidR="00C11711" w:rsidRPr="00224852" w:rsidRDefault="00C11711" w:rsidP="007632EC">
      <w:pPr>
        <w:pStyle w:val="standard"/>
        <w:numPr>
          <w:ilvl w:val="0"/>
          <w:numId w:val="32"/>
        </w:numPr>
        <w:spacing w:after="120" w:line="240" w:lineRule="auto"/>
        <w:ind w:left="1080" w:right="720"/>
      </w:pPr>
      <w:r>
        <w:t>I</w:t>
      </w:r>
      <w:r w:rsidRPr="00C11711">
        <w:t>ncreas</w:t>
      </w:r>
      <w:r>
        <w:t>ing</w:t>
      </w:r>
      <w:r w:rsidRPr="00C11711">
        <w:t xml:space="preserve"> the minimum vegetation clearance</w:t>
      </w:r>
      <w:r>
        <w:t>s</w:t>
      </w:r>
      <w:r w:rsidRPr="00C11711">
        <w:t xml:space="preserve"> </w:t>
      </w:r>
      <w:r w:rsidR="00566032" w:rsidRPr="00A36F7C">
        <w:t xml:space="preserve">within the </w:t>
      </w:r>
      <w:r w:rsidRPr="00C11711">
        <w:t xml:space="preserve">Extreme </w:t>
      </w:r>
      <w:r w:rsidR="00566032">
        <w:t>and Very High Fire Threat Zones</w:t>
      </w:r>
      <w:r w:rsidRPr="00C11711">
        <w:t xml:space="preserve"> in </w:t>
      </w:r>
      <w:r w:rsidR="00515CE4">
        <w:t>s</w:t>
      </w:r>
      <w:r w:rsidRPr="00C11711">
        <w:t>outhern California</w:t>
      </w:r>
      <w:r w:rsidR="0064100C">
        <w:t xml:space="preserve"> to reduce risks of fires</w:t>
      </w:r>
      <w:r w:rsidRPr="00C11711">
        <w:t>.</w:t>
      </w:r>
      <w:r>
        <w:rPr>
          <w:rStyle w:val="FootnoteReference"/>
        </w:rPr>
        <w:footnoteReference w:id="47"/>
      </w:r>
    </w:p>
    <w:p w:rsidR="00224852" w:rsidRDefault="00C11711" w:rsidP="007632EC">
      <w:pPr>
        <w:pStyle w:val="standard"/>
        <w:numPr>
          <w:ilvl w:val="0"/>
          <w:numId w:val="32"/>
        </w:numPr>
        <w:spacing w:after="120" w:line="240" w:lineRule="auto"/>
        <w:ind w:left="1080" w:right="720"/>
      </w:pPr>
      <w:r w:rsidRPr="00C11711">
        <w:t>Clarify</w:t>
      </w:r>
      <w:r w:rsidR="00925220">
        <w:t>ing</w:t>
      </w:r>
      <w:r w:rsidRPr="00C11711">
        <w:t xml:space="preserve"> </w:t>
      </w:r>
      <w:r>
        <w:t xml:space="preserve">existing requirements </w:t>
      </w:r>
      <w:r w:rsidR="00971F75">
        <w:t xml:space="preserve">for </w:t>
      </w:r>
      <w:r w:rsidR="00971F75" w:rsidRPr="00C11711">
        <w:t>conductor separation</w:t>
      </w:r>
      <w:r w:rsidRPr="00C11711">
        <w:t xml:space="preserve"> when designing, construc</w:t>
      </w:r>
      <w:r>
        <w:t>ting, and maintaining facilities</w:t>
      </w:r>
      <w:r w:rsidRPr="00C11711">
        <w:t xml:space="preserve"> in areas subject to high winds.</w:t>
      </w:r>
      <w:r w:rsidR="00971F75">
        <w:rPr>
          <w:rStyle w:val="FootnoteReference"/>
        </w:rPr>
        <w:footnoteReference w:id="48"/>
      </w:r>
    </w:p>
    <w:p w:rsidR="0064100C" w:rsidRDefault="00971F75" w:rsidP="007632EC">
      <w:pPr>
        <w:pStyle w:val="standard"/>
        <w:numPr>
          <w:ilvl w:val="0"/>
          <w:numId w:val="32"/>
        </w:numPr>
        <w:spacing w:after="120" w:line="240" w:lineRule="auto"/>
        <w:ind w:left="1080" w:right="720"/>
      </w:pPr>
      <w:r>
        <w:t>Establishing a n</w:t>
      </w:r>
      <w:r w:rsidRPr="00971F75">
        <w:t>ew rule to address public safety issues related to pole overloading</w:t>
      </w:r>
      <w:r w:rsidR="00960A6E">
        <w:t>.</w:t>
      </w:r>
      <w:r w:rsidR="00960A6E">
        <w:rPr>
          <w:rStyle w:val="FootnoteReference"/>
        </w:rPr>
        <w:footnoteReference w:id="49"/>
      </w:r>
    </w:p>
    <w:p w:rsidR="00971F75" w:rsidRDefault="00971F75" w:rsidP="007632EC">
      <w:pPr>
        <w:pStyle w:val="standard"/>
        <w:numPr>
          <w:ilvl w:val="0"/>
          <w:numId w:val="32"/>
        </w:numPr>
        <w:spacing w:after="120" w:line="240" w:lineRule="auto"/>
        <w:ind w:left="1080" w:right="720"/>
      </w:pPr>
      <w:r>
        <w:t>I</w:t>
      </w:r>
      <w:r w:rsidRPr="00C11711">
        <w:t>ncreas</w:t>
      </w:r>
      <w:r>
        <w:t>ing</w:t>
      </w:r>
      <w:r w:rsidRPr="00C11711">
        <w:t xml:space="preserve"> </w:t>
      </w:r>
      <w:r w:rsidRPr="00971F75">
        <w:t>the frequency of patrol inspections in rural areas within Extreme and Very High Fire Threat Zones.</w:t>
      </w:r>
      <w:r>
        <w:rPr>
          <w:rStyle w:val="FootnoteReference"/>
        </w:rPr>
        <w:footnoteReference w:id="50"/>
      </w:r>
      <w:r w:rsidR="00B53319">
        <w:t xml:space="preserve"> </w:t>
      </w:r>
    </w:p>
    <w:p w:rsidR="00B53319" w:rsidRDefault="00B53319" w:rsidP="00291777">
      <w:pPr>
        <w:pStyle w:val="standard"/>
      </w:pPr>
      <w:r>
        <w:t>Pursuant to D.09-08-029, t</w:t>
      </w:r>
      <w:r w:rsidR="00291777">
        <w:t xml:space="preserve">hese rules </w:t>
      </w:r>
      <w:r>
        <w:t xml:space="preserve">currently </w:t>
      </w:r>
      <w:r w:rsidR="00960A6E">
        <w:t>apply to</w:t>
      </w:r>
      <w:r w:rsidR="00291777">
        <w:t xml:space="preserve"> SoCalGas </w:t>
      </w:r>
      <w:r w:rsidR="00960A6E">
        <w:t xml:space="preserve">and address </w:t>
      </w:r>
      <w:r w:rsidR="00615BCD">
        <w:t>some of Rogers’</w:t>
      </w:r>
      <w:r w:rsidR="00925220">
        <w:t>,</w:t>
      </w:r>
      <w:r w:rsidR="00615BCD">
        <w:t xml:space="preserve"> Herman’s</w:t>
      </w:r>
      <w:r w:rsidR="00536D30">
        <w:t>,</w:t>
      </w:r>
      <w:r w:rsidR="00615BCD">
        <w:t xml:space="preserve"> </w:t>
      </w:r>
      <w:r w:rsidR="00925220">
        <w:t>and the neighboring communities’ concerns</w:t>
      </w:r>
      <w:r w:rsidR="00615BCD">
        <w:t>.  In particular, because D.09-08-029 makes non-electric utilities</w:t>
      </w:r>
      <w:r>
        <w:t xml:space="preserve"> subject to GO </w:t>
      </w:r>
      <w:r w:rsidR="00615BCD">
        <w:t xml:space="preserve">95, </w:t>
      </w:r>
      <w:r>
        <w:t xml:space="preserve">SoCalGas must comply with </w:t>
      </w:r>
      <w:r w:rsidR="00615BCD">
        <w:t xml:space="preserve">the </w:t>
      </w:r>
      <w:r w:rsidR="00700BD9">
        <w:t xml:space="preserve">pole loading, </w:t>
      </w:r>
      <w:r w:rsidR="00615BCD">
        <w:t xml:space="preserve">vegetation management </w:t>
      </w:r>
      <w:r w:rsidR="00700BD9">
        <w:t xml:space="preserve">and other </w:t>
      </w:r>
      <w:r w:rsidR="009E5BE8">
        <w:t>requirements of GO 95.</w:t>
      </w:r>
    </w:p>
    <w:p w:rsidR="00291777" w:rsidRDefault="00615BCD" w:rsidP="00291777">
      <w:pPr>
        <w:pStyle w:val="standard"/>
      </w:pPr>
      <w:r>
        <w:t xml:space="preserve">In addition, the requirement for utilities </w:t>
      </w:r>
      <w:r w:rsidRPr="00224852">
        <w:t xml:space="preserve">to establish an </w:t>
      </w:r>
      <w:r w:rsidRPr="00CC5BB9">
        <w:t>auditable maintenance program</w:t>
      </w:r>
      <w:r>
        <w:t xml:space="preserve"> addresses</w:t>
      </w:r>
      <w:r w:rsidRPr="00CC5BB9">
        <w:t>,</w:t>
      </w:r>
      <w:r>
        <w:t xml:space="preserve"> in part, Rogers’ recommendation </w:t>
      </w:r>
      <w:r w:rsidR="00AA7EA7">
        <w:t>that the Facilit</w:t>
      </w:r>
      <w:r w:rsidR="00B53319">
        <w:t>y’s safety and maintenance plan</w:t>
      </w:r>
      <w:r w:rsidR="00AA7EA7">
        <w:t xml:space="preserve"> and all ongoing safety audits, inspections, and maintenance activity logs</w:t>
      </w:r>
      <w:r>
        <w:t xml:space="preserve"> </w:t>
      </w:r>
      <w:r w:rsidR="00AA7EA7">
        <w:t xml:space="preserve">be publicly available.  Although D.09-08-029 does not explicitly require information concerning the </w:t>
      </w:r>
      <w:r w:rsidR="00AA7EA7" w:rsidRPr="00CC5BB9">
        <w:t>auditable maintenance program</w:t>
      </w:r>
      <w:r w:rsidR="00AA7EA7">
        <w:t xml:space="preserve"> to be publicly disclosed, such information in the Commission’s possession may b</w:t>
      </w:r>
      <w:r w:rsidR="007632EC">
        <w:t>e obtained pursuant to GO 66-C.</w:t>
      </w:r>
    </w:p>
    <w:p w:rsidR="00291777" w:rsidRDefault="00B53319" w:rsidP="00960A6E">
      <w:pPr>
        <w:pStyle w:val="standard"/>
      </w:pPr>
      <w:r>
        <w:t>D.09</w:t>
      </w:r>
      <w:r>
        <w:noBreakHyphen/>
        <w:t>08</w:t>
      </w:r>
      <w:r>
        <w:noBreakHyphen/>
      </w:r>
      <w:r w:rsidRPr="007A2B56">
        <w:t>029</w:t>
      </w:r>
      <w:r>
        <w:t xml:space="preserve"> found that (1) requiring an </w:t>
      </w:r>
      <w:r w:rsidRPr="00CC5BB9">
        <w:t>auditable maintenance program</w:t>
      </w:r>
      <w:r>
        <w:t xml:space="preserve"> would provide </w:t>
      </w:r>
      <w:r w:rsidRPr="0064100C">
        <w:t>critical evidence to ensure safety hazards are promptly corrected</w:t>
      </w:r>
      <w:r>
        <w:t xml:space="preserve"> and would </w:t>
      </w:r>
      <w:r w:rsidRPr="0064100C">
        <w:t>improv</w:t>
      </w:r>
      <w:r>
        <w:t>e</w:t>
      </w:r>
      <w:r w:rsidRPr="0064100C">
        <w:t xml:space="preserve"> fire safety in California</w:t>
      </w:r>
      <w:r>
        <w:t>; (2) the n</w:t>
      </w:r>
      <w:r w:rsidRPr="00971F75">
        <w:t xml:space="preserve">ew rule </w:t>
      </w:r>
      <w:r>
        <w:t xml:space="preserve">concerning </w:t>
      </w:r>
      <w:r w:rsidRPr="00971F75">
        <w:t>pole loading</w:t>
      </w:r>
      <w:r>
        <w:t xml:space="preserve"> would help to reduce</w:t>
      </w:r>
      <w:r w:rsidRPr="00960A6E">
        <w:t xml:space="preserve"> fire </w:t>
      </w:r>
      <w:r>
        <w:t xml:space="preserve">hazards; and (3) </w:t>
      </w:r>
      <w:r w:rsidRPr="00960A6E">
        <w:t>increasing the current frequency of patrol inspections in rural areas th</w:t>
      </w:r>
      <w:r>
        <w:t xml:space="preserve">at lie within </w:t>
      </w:r>
      <w:r w:rsidRPr="00960A6E">
        <w:t xml:space="preserve">Extreme and Very High Fire </w:t>
      </w:r>
      <w:r>
        <w:t>Threat Zones</w:t>
      </w:r>
      <w:r w:rsidRPr="00960A6E">
        <w:t xml:space="preserve"> in </w:t>
      </w:r>
      <w:r w:rsidR="00515CE4">
        <w:t>s</w:t>
      </w:r>
      <w:r w:rsidRPr="00960A6E">
        <w:t>outhern California</w:t>
      </w:r>
      <w:r>
        <w:t xml:space="preserve"> would reduce f</w:t>
      </w:r>
      <w:r w:rsidRPr="00960A6E">
        <w:t>ire hazards</w:t>
      </w:r>
      <w:r>
        <w:t>.</w:t>
      </w:r>
    </w:p>
    <w:p w:rsidR="00831C2F" w:rsidRDefault="00380327" w:rsidP="00831C2F">
      <w:pPr>
        <w:pStyle w:val="standard"/>
      </w:pPr>
      <w:r>
        <w:t>T</w:t>
      </w:r>
      <w:r w:rsidR="00831C2F">
        <w:t>he rules adopted in R.08</w:t>
      </w:r>
      <w:r w:rsidR="00831C2F">
        <w:noBreakHyphen/>
        <w:t>11</w:t>
      </w:r>
      <w:r w:rsidR="00831C2F">
        <w:noBreakHyphen/>
      </w:r>
      <w:r w:rsidR="00831C2F" w:rsidRPr="004054BB">
        <w:t>005</w:t>
      </w:r>
      <w:r w:rsidR="00831C2F">
        <w:t xml:space="preserve"> </w:t>
      </w:r>
      <w:r w:rsidR="0036700A">
        <w:t>will help</w:t>
      </w:r>
      <w:r w:rsidR="00831C2F">
        <w:t xml:space="preserve"> to ensure the safe operation of the Facility</w:t>
      </w:r>
      <w:r>
        <w:t>.  However</w:t>
      </w:r>
      <w:r w:rsidR="00831C2F">
        <w:t xml:space="preserve">, </w:t>
      </w:r>
      <w:r>
        <w:t xml:space="preserve">the </w:t>
      </w:r>
      <w:r w:rsidR="00831C2F">
        <w:t xml:space="preserve">additional requirements </w:t>
      </w:r>
      <w:r>
        <w:t>of</w:t>
      </w:r>
      <w:r w:rsidR="00831C2F">
        <w:t xml:space="preserve"> the </w:t>
      </w:r>
      <w:r w:rsidR="007C1100">
        <w:t>Porter Ranch Settlement Agreement</w:t>
      </w:r>
      <w:r w:rsidR="00831C2F">
        <w:t xml:space="preserve"> provide the communities adjacent to the Facility further assur</w:t>
      </w:r>
      <w:r w:rsidR="00D6707E">
        <w:t>anc</w:t>
      </w:r>
      <w:r w:rsidR="00831C2F">
        <w:t xml:space="preserve">e that the Facility will be operated </w:t>
      </w:r>
      <w:r w:rsidR="00C77C07">
        <w:t>safel</w:t>
      </w:r>
      <w:r w:rsidR="00831C2F" w:rsidRPr="00FB5474">
        <w:t>y</w:t>
      </w:r>
      <w:r w:rsidR="00831C2F">
        <w:t>.</w:t>
      </w:r>
    </w:p>
    <w:p w:rsidR="00A758D2" w:rsidRDefault="00B54AE2" w:rsidP="007632EC">
      <w:pPr>
        <w:pStyle w:val="Heading1"/>
        <w:numPr>
          <w:ilvl w:val="0"/>
          <w:numId w:val="37"/>
        </w:numPr>
        <w:ind w:left="720" w:right="1440" w:hanging="720"/>
      </w:pPr>
      <w:bookmarkStart w:id="65" w:name="_Toc369507337"/>
      <w:r w:rsidRPr="00FC54C0">
        <w:t>Revenue Requirement, Rate Treatmen</w:t>
      </w:r>
      <w:r>
        <w:t>t, a</w:t>
      </w:r>
      <w:r w:rsidRPr="00FC54C0">
        <w:t>nd Regulatory Accounting</w:t>
      </w:r>
      <w:r w:rsidR="00A758D2" w:rsidRPr="00FC54C0">
        <w:t xml:space="preserve"> for the </w:t>
      </w:r>
      <w:r w:rsidR="00EF44B5">
        <w:t>Project</w:t>
      </w:r>
      <w:bookmarkEnd w:id="65"/>
      <w:r>
        <w:t xml:space="preserve"> </w:t>
      </w:r>
    </w:p>
    <w:p w:rsidR="00A758D2" w:rsidRDefault="00A758D2" w:rsidP="00A758D2">
      <w:pPr>
        <w:pStyle w:val="standard"/>
      </w:pPr>
      <w:r>
        <w:t xml:space="preserve">This proceeding considered </w:t>
      </w:r>
      <w:r w:rsidRPr="00FC54C0">
        <w:t>SoCalGas</w:t>
      </w:r>
      <w:r>
        <w:t>’s proposed</w:t>
      </w:r>
      <w:r w:rsidRPr="00FC54C0">
        <w:t xml:space="preserve"> revenue requirement, rate treatment, and regulatory accounting for the </w:t>
      </w:r>
      <w:r w:rsidR="00EF44B5">
        <w:t>Project</w:t>
      </w:r>
      <w:r>
        <w:t>.  No party contest</w:t>
      </w:r>
      <w:r w:rsidR="00573A67">
        <w:t>s</w:t>
      </w:r>
      <w:r>
        <w:t xml:space="preserve"> </w:t>
      </w:r>
      <w:r w:rsidR="00C77C07" w:rsidRPr="00FC54C0">
        <w:t>SoCalGas</w:t>
      </w:r>
      <w:r w:rsidR="00C77C07">
        <w:t>’s proposal</w:t>
      </w:r>
      <w:r w:rsidR="00380327">
        <w:t>s</w:t>
      </w:r>
      <w:r>
        <w:t xml:space="preserve">.  </w:t>
      </w:r>
      <w:r w:rsidR="001C496C">
        <w:t xml:space="preserve">We adopt </w:t>
      </w:r>
      <w:r w:rsidR="001C496C" w:rsidRPr="00FC54C0">
        <w:t>SoCalGas</w:t>
      </w:r>
      <w:r w:rsidR="001C496C">
        <w:t>’ proposed</w:t>
      </w:r>
      <w:r w:rsidR="001C496C" w:rsidRPr="00FC54C0">
        <w:t xml:space="preserve"> revenue requirement</w:t>
      </w:r>
      <w:r w:rsidR="001C496C">
        <w:t xml:space="preserve"> subject to the maximum reasonable cost cap of $200.9 million</w:t>
      </w:r>
      <w:r w:rsidR="006402D2">
        <w:t xml:space="preserve">, and </w:t>
      </w:r>
      <w:r w:rsidR="001C496C">
        <w:t xml:space="preserve">have modified SoCalGas’ proposed </w:t>
      </w:r>
      <w:r w:rsidR="001C496C" w:rsidRPr="00FC54C0">
        <w:t xml:space="preserve">rate treatment, and regulatory accounting for the </w:t>
      </w:r>
      <w:r w:rsidR="001C496C" w:rsidRPr="008802F8">
        <w:t>Project</w:t>
      </w:r>
      <w:r w:rsidR="006402D2">
        <w:t>,</w:t>
      </w:r>
      <w:r w:rsidR="001C496C">
        <w:t xml:space="preserve"> accordingly.</w:t>
      </w:r>
    </w:p>
    <w:p w:rsidR="00A758D2" w:rsidRPr="00147944" w:rsidRDefault="00A758D2" w:rsidP="007632EC">
      <w:pPr>
        <w:pStyle w:val="Heading1"/>
        <w:numPr>
          <w:ilvl w:val="1"/>
          <w:numId w:val="37"/>
        </w:numPr>
        <w:ind w:left="1440" w:right="1440" w:hanging="720"/>
      </w:pPr>
      <w:bookmarkStart w:id="66" w:name="_Toc369507338"/>
      <w:r w:rsidRPr="009E5BE8">
        <w:t>Revenue Requirement</w:t>
      </w:r>
      <w:r w:rsidR="006402D2" w:rsidRPr="009E5BE8">
        <w:t>, Memorandum Account</w:t>
      </w:r>
      <w:r w:rsidR="00536D30">
        <w:t>,</w:t>
      </w:r>
      <w:r w:rsidR="006402D2" w:rsidRPr="009E5BE8">
        <w:t xml:space="preserve"> </w:t>
      </w:r>
      <w:r w:rsidRPr="009E5BE8">
        <w:t>and</w:t>
      </w:r>
      <w:r>
        <w:t xml:space="preserve"> Reasonableness Review</w:t>
      </w:r>
      <w:bookmarkEnd w:id="66"/>
    </w:p>
    <w:p w:rsidR="006402D2" w:rsidRDefault="009E5BE8" w:rsidP="006402D2">
      <w:pPr>
        <w:pStyle w:val="standard"/>
      </w:pPr>
      <w:r>
        <w:t>T</w:t>
      </w:r>
      <w:r w:rsidR="006402D2">
        <w:t>he revenue requirement associated with the Project will be incorporated into rates when it is completed and placed in service.</w:t>
      </w:r>
      <w:r>
        <w:t xml:space="preserve"> </w:t>
      </w:r>
      <w:r w:rsidR="006402D2">
        <w:t xml:space="preserve"> The revenue requirement for the subsequent years will be included in rates in connection with SoCalGas’ Consolidated Rate Filing, as described below. </w:t>
      </w:r>
      <w:r>
        <w:t xml:space="preserve"> </w:t>
      </w:r>
      <w:r w:rsidR="006402D2">
        <w:t xml:space="preserve">This process will continue until addressed in SoCalGas’ next GRC or other applicable proceeding.  </w:t>
      </w:r>
      <w:r w:rsidR="007A4D89">
        <w:t>If Project costs exceed $200.9 million, a</w:t>
      </w:r>
      <w:r w:rsidR="006402D2">
        <w:t xml:space="preserve"> review of the reasonableness of all costs will be conducted in the GRC following project completion.</w:t>
      </w:r>
    </w:p>
    <w:p w:rsidR="006402D2" w:rsidRDefault="006402D2" w:rsidP="006402D2">
      <w:pPr>
        <w:pStyle w:val="standard"/>
      </w:pPr>
      <w:r>
        <w:t>SoCalGas based t</w:t>
      </w:r>
      <w:r w:rsidRPr="00EE3518">
        <w:t xml:space="preserve">he revenue requirement associated with the Project on the </w:t>
      </w:r>
      <w:r>
        <w:t xml:space="preserve">estimated </w:t>
      </w:r>
      <w:r w:rsidRPr="00EE3518">
        <w:t xml:space="preserve">capitalized costs of the new electric compressor station, other related facilities, and estimates for capital benefits related to the replacement of the old gas compressor station.  </w:t>
      </w:r>
      <w:r>
        <w:t xml:space="preserve">These estimated costs total $200.9 million, which is the amount of the maximum reasonable cost cap adopted in this decision.  </w:t>
      </w:r>
      <w:r w:rsidRPr="00EE3518">
        <w:t>The revenue requirement includes cost savings associated with eliminating capitalized maintenance costs related to the old gas compressors, and reflects operations and maintenance (O&amp;M) costs and benefits associated with increased charges from third parties, reduction in internal labor costs, and other associated fees, including net savings to ratepayers of $443 thousand per year.</w:t>
      </w:r>
    </w:p>
    <w:p w:rsidR="006402D2" w:rsidRPr="007A6116" w:rsidRDefault="006402D2" w:rsidP="006402D2">
      <w:pPr>
        <w:pStyle w:val="standard"/>
        <w:rPr>
          <w:highlight w:val="yellow"/>
        </w:rPr>
      </w:pPr>
      <w:r>
        <w:t xml:space="preserve">The estimated revenue requirement separated the capitalized compressor station costs into two specific cost categories that correspond to specific Federal Energy Regulatory Commission property accounts, book depreciable lives, and negative salvage components. </w:t>
      </w:r>
      <w:r w:rsidR="009E5BE8">
        <w:t xml:space="preserve"> </w:t>
      </w:r>
      <w:r>
        <w:t>The accounts include Compressor Station Equipment (Account 354) with a depreciable life of 40 years and negative salvage component of 5%, and Structures and Improvements for Underground Storage (Account. 351) with a depreciable life of 37 years and negative salvage component of 30%.</w:t>
      </w:r>
      <w:r w:rsidR="009E5BE8">
        <w:t xml:space="preserve"> </w:t>
      </w:r>
      <w:r>
        <w:t xml:space="preserve"> The component for negative salvage represents additional costs included in the revenue requirement associated with future decommissioning, cost of removal and abandonment. </w:t>
      </w:r>
      <w:r w:rsidR="009E5BE8">
        <w:t xml:space="preserve"> </w:t>
      </w:r>
      <w:r>
        <w:t>The depreciation lives and negative salvage components used in the revenue requirement reflect the rates authorized by the Commission in D.08-07-046 (SoCalGas’ GRC decision).</w:t>
      </w:r>
    </w:p>
    <w:p w:rsidR="006402D2" w:rsidRDefault="006402D2" w:rsidP="006402D2">
      <w:pPr>
        <w:pStyle w:val="standard"/>
      </w:pPr>
      <w:r>
        <w:t>SoCalGas will retire and recover the undepreciated remaining book value of the old compressors consistent with current ratemaking treatment adopted by the Commission, using the normal straight-line remaining life depreciation method.</w:t>
      </w:r>
      <w:r w:rsidR="009E5BE8">
        <w:t xml:space="preserve"> </w:t>
      </w:r>
      <w:r>
        <w:t xml:space="preserve"> In addition, the revenue requirement prepared in this Application uses the weighted average cost of capital structure authorized by D.08-07-046, which includes a rate of return (ROR) of 8.68% and an authorized return on equity (ROE) of 10.82%. </w:t>
      </w:r>
      <w:r w:rsidR="009E5BE8">
        <w:t xml:space="preserve"> </w:t>
      </w:r>
      <w:r>
        <w:t xml:space="preserve">After the Application was filed, D.12-12-034 was issued changing SoCalGas’ authorized ROR to 8.2% and ROE to 10.10%.  </w:t>
      </w:r>
    </w:p>
    <w:p w:rsidR="006402D2" w:rsidRDefault="006402D2" w:rsidP="006402D2">
      <w:pPr>
        <w:pStyle w:val="standard"/>
      </w:pPr>
      <w:r>
        <w:t xml:space="preserve">The revenue requirement associated with the new electric compressor will be reduced by the revenue requirement of annual capitalized maintenance costs of $0.5 million related to the old gas compressor. </w:t>
      </w:r>
      <w:r w:rsidR="009E5BE8">
        <w:t xml:space="preserve"> </w:t>
      </w:r>
      <w:r>
        <w:t>SoCalGas should reduce the revenue requirement for the Project accordingly, until the reduction in capital maintenance costs are incorporated in SoCalGas’ next GRC.</w:t>
      </w:r>
    </w:p>
    <w:p w:rsidR="006402D2" w:rsidRDefault="006402D2" w:rsidP="006402D2">
      <w:pPr>
        <w:pStyle w:val="standard"/>
      </w:pPr>
      <w:r>
        <w:t xml:space="preserve">SoCalGas estimates a net O&amp;M savings of approximately $0.4 million per year, based on the cost of added facilities charges that are offset by reduced third-party labor costs, reduced internal labor costs, and zero emission fees associated with the use of electric-driven compressors. </w:t>
      </w:r>
      <w:r w:rsidR="0022071C">
        <w:t xml:space="preserve"> </w:t>
      </w:r>
      <w:r>
        <w:t>SoCalGas should reduce the revenue requirement for the Project accordingly, until the O&amp;M savings are incorporated in SoCalGas’ next GRC.</w:t>
      </w:r>
    </w:p>
    <w:p w:rsidR="006402D2" w:rsidRDefault="006402D2" w:rsidP="009E5BE8">
      <w:pPr>
        <w:pStyle w:val="standard"/>
        <w:spacing w:after="120"/>
      </w:pPr>
      <w:r>
        <w:t>Estimated O&amp;M costs and savings are summarized in Table 1 of the Application, and reproduced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080"/>
        <w:gridCol w:w="900"/>
        <w:gridCol w:w="990"/>
        <w:gridCol w:w="990"/>
        <w:gridCol w:w="1008"/>
      </w:tblGrid>
      <w:tr w:rsidR="006402D2" w:rsidTr="009E5BE8">
        <w:trPr>
          <w:jc w:val="center"/>
        </w:trPr>
        <w:tc>
          <w:tcPr>
            <w:tcW w:w="8856" w:type="dxa"/>
            <w:gridSpan w:val="6"/>
            <w:tcBorders>
              <w:bottom w:val="single" w:sz="4" w:space="0" w:color="auto"/>
            </w:tcBorders>
            <w:shd w:val="clear" w:color="auto" w:fill="auto"/>
            <w:vAlign w:val="center"/>
          </w:tcPr>
          <w:p w:rsidR="006402D2" w:rsidRPr="000C5F4E" w:rsidRDefault="006402D2" w:rsidP="009E5BE8">
            <w:pPr>
              <w:keepNext/>
              <w:keepLines/>
              <w:autoSpaceDE w:val="0"/>
              <w:autoSpaceDN w:val="0"/>
              <w:adjustRightInd w:val="0"/>
              <w:jc w:val="center"/>
              <w:rPr>
                <w:rFonts w:ascii="TimesNewRomanPS-BoldMT" w:hAnsi="TimesNewRomanPS-BoldMT" w:cs="TimesNewRomanPS-BoldMT"/>
                <w:b/>
                <w:bCs/>
                <w:sz w:val="21"/>
                <w:szCs w:val="21"/>
              </w:rPr>
            </w:pPr>
            <w:r w:rsidRPr="000C5F4E">
              <w:rPr>
                <w:rFonts w:ascii="TimesNewRomanPS-BoldMT" w:hAnsi="TimesNewRomanPS-BoldMT" w:cs="TimesNewRomanPS-BoldMT"/>
                <w:b/>
                <w:bCs/>
                <w:sz w:val="21"/>
                <w:szCs w:val="21"/>
              </w:rPr>
              <w:t>TABLE 1</w:t>
            </w:r>
          </w:p>
          <w:p w:rsidR="006402D2" w:rsidRDefault="006402D2" w:rsidP="009E5BE8">
            <w:pPr>
              <w:pStyle w:val="standard"/>
              <w:keepNext/>
              <w:keepLines/>
              <w:ind w:firstLine="0"/>
              <w:jc w:val="center"/>
            </w:pPr>
            <w:r w:rsidRPr="000C5F4E">
              <w:rPr>
                <w:rFonts w:ascii="TimesNewRomanPS-BoldMT" w:hAnsi="TimesNewRomanPS-BoldMT" w:cs="TimesNewRomanPS-BoldMT"/>
                <w:b/>
                <w:bCs/>
                <w:sz w:val="21"/>
                <w:szCs w:val="21"/>
              </w:rPr>
              <w:t>Summary of O&amp;M Costs/(Savings) - $ thousands</w:t>
            </w:r>
          </w:p>
        </w:tc>
      </w:tr>
      <w:tr w:rsidR="006402D2" w:rsidTr="009E5BE8">
        <w:trPr>
          <w:jc w:val="center"/>
        </w:trPr>
        <w:tc>
          <w:tcPr>
            <w:tcW w:w="3888" w:type="dxa"/>
            <w:tcBorders>
              <w:top w:val="single" w:sz="4" w:space="0" w:color="auto"/>
              <w:left w:val="single" w:sz="4" w:space="0" w:color="auto"/>
              <w:bottom w:val="nil"/>
              <w:right w:val="nil"/>
            </w:tcBorders>
            <w:shd w:val="clear" w:color="auto" w:fill="auto"/>
          </w:tcPr>
          <w:p w:rsidR="006402D2" w:rsidRDefault="006402D2" w:rsidP="00CC72E1">
            <w:pPr>
              <w:pStyle w:val="standard"/>
              <w:ind w:firstLine="0"/>
            </w:pPr>
          </w:p>
        </w:tc>
        <w:tc>
          <w:tcPr>
            <w:tcW w:w="1080" w:type="dxa"/>
            <w:tcBorders>
              <w:top w:val="single" w:sz="4" w:space="0" w:color="auto"/>
              <w:left w:val="nil"/>
              <w:bottom w:val="nil"/>
              <w:right w:val="nil"/>
            </w:tcBorders>
            <w:shd w:val="clear" w:color="auto" w:fill="auto"/>
            <w:vAlign w:val="center"/>
          </w:tcPr>
          <w:p w:rsidR="006402D2" w:rsidRPr="000C5F4E" w:rsidRDefault="006402D2" w:rsidP="00CC72E1">
            <w:pPr>
              <w:pStyle w:val="standard"/>
              <w:ind w:firstLine="0"/>
              <w:jc w:val="center"/>
              <w:rPr>
                <w:rFonts w:ascii="TimesNewRomanPS-BoldMT" w:hAnsi="TimesNewRomanPS-BoldMT" w:cs="TimesNewRomanPS-BoldMT"/>
                <w:b/>
                <w:bCs/>
                <w:sz w:val="21"/>
                <w:szCs w:val="21"/>
              </w:rPr>
            </w:pPr>
            <w:r w:rsidRPr="000C5F4E">
              <w:rPr>
                <w:rFonts w:ascii="TimesNewRomanPS-BoldMT" w:hAnsi="TimesNewRomanPS-BoldMT" w:cs="TimesNewRomanPS-BoldMT"/>
                <w:b/>
                <w:bCs/>
                <w:sz w:val="21"/>
                <w:szCs w:val="21"/>
              </w:rPr>
              <w:t>2013</w:t>
            </w:r>
          </w:p>
        </w:tc>
        <w:tc>
          <w:tcPr>
            <w:tcW w:w="900" w:type="dxa"/>
            <w:tcBorders>
              <w:top w:val="single" w:sz="4" w:space="0" w:color="auto"/>
              <w:left w:val="nil"/>
              <w:bottom w:val="nil"/>
              <w:right w:val="nil"/>
            </w:tcBorders>
            <w:shd w:val="clear" w:color="auto" w:fill="auto"/>
            <w:vAlign w:val="center"/>
          </w:tcPr>
          <w:p w:rsidR="006402D2" w:rsidRPr="000C5F4E" w:rsidRDefault="006402D2" w:rsidP="00CC72E1">
            <w:pPr>
              <w:pStyle w:val="standard"/>
              <w:ind w:firstLine="0"/>
              <w:jc w:val="center"/>
              <w:rPr>
                <w:rFonts w:ascii="TimesNewRomanPS-BoldMT" w:hAnsi="TimesNewRomanPS-BoldMT" w:cs="TimesNewRomanPS-BoldMT"/>
                <w:b/>
                <w:bCs/>
                <w:sz w:val="21"/>
                <w:szCs w:val="21"/>
              </w:rPr>
            </w:pPr>
            <w:r w:rsidRPr="000C5F4E">
              <w:rPr>
                <w:rFonts w:ascii="TimesNewRomanPS-BoldMT" w:hAnsi="TimesNewRomanPS-BoldMT" w:cs="TimesNewRomanPS-BoldMT"/>
                <w:b/>
                <w:bCs/>
                <w:sz w:val="21"/>
                <w:szCs w:val="21"/>
              </w:rPr>
              <w:t>2014</w:t>
            </w:r>
          </w:p>
        </w:tc>
        <w:tc>
          <w:tcPr>
            <w:tcW w:w="990" w:type="dxa"/>
            <w:tcBorders>
              <w:top w:val="single" w:sz="4" w:space="0" w:color="auto"/>
              <w:left w:val="nil"/>
              <w:bottom w:val="nil"/>
              <w:right w:val="nil"/>
            </w:tcBorders>
            <w:shd w:val="clear" w:color="auto" w:fill="auto"/>
            <w:vAlign w:val="center"/>
          </w:tcPr>
          <w:p w:rsidR="006402D2" w:rsidRPr="000C5F4E" w:rsidRDefault="006402D2" w:rsidP="00CC72E1">
            <w:pPr>
              <w:pStyle w:val="standard"/>
              <w:ind w:firstLine="0"/>
              <w:jc w:val="center"/>
              <w:rPr>
                <w:rFonts w:ascii="TimesNewRomanPS-BoldMT" w:hAnsi="TimesNewRomanPS-BoldMT" w:cs="TimesNewRomanPS-BoldMT"/>
                <w:b/>
                <w:bCs/>
                <w:sz w:val="21"/>
                <w:szCs w:val="21"/>
              </w:rPr>
            </w:pPr>
            <w:r w:rsidRPr="000C5F4E">
              <w:rPr>
                <w:rFonts w:ascii="TimesNewRomanPS-BoldMT" w:hAnsi="TimesNewRomanPS-BoldMT" w:cs="TimesNewRomanPS-BoldMT"/>
                <w:b/>
                <w:bCs/>
                <w:sz w:val="21"/>
                <w:szCs w:val="21"/>
              </w:rPr>
              <w:t>2015</w:t>
            </w:r>
          </w:p>
        </w:tc>
        <w:tc>
          <w:tcPr>
            <w:tcW w:w="990" w:type="dxa"/>
            <w:tcBorders>
              <w:top w:val="single" w:sz="4" w:space="0" w:color="auto"/>
              <w:left w:val="nil"/>
              <w:bottom w:val="nil"/>
              <w:right w:val="nil"/>
            </w:tcBorders>
            <w:shd w:val="clear" w:color="auto" w:fill="auto"/>
            <w:vAlign w:val="center"/>
          </w:tcPr>
          <w:p w:rsidR="006402D2" w:rsidRPr="000C5F4E" w:rsidRDefault="006402D2" w:rsidP="00CC72E1">
            <w:pPr>
              <w:pStyle w:val="standard"/>
              <w:ind w:firstLine="0"/>
              <w:jc w:val="center"/>
              <w:rPr>
                <w:rFonts w:ascii="TimesNewRomanPS-BoldMT" w:hAnsi="TimesNewRomanPS-BoldMT" w:cs="TimesNewRomanPS-BoldMT"/>
                <w:b/>
                <w:bCs/>
                <w:sz w:val="21"/>
                <w:szCs w:val="21"/>
              </w:rPr>
            </w:pPr>
            <w:r w:rsidRPr="000C5F4E">
              <w:rPr>
                <w:rFonts w:ascii="TimesNewRomanPS-BoldMT" w:hAnsi="TimesNewRomanPS-BoldMT" w:cs="TimesNewRomanPS-BoldMT"/>
                <w:b/>
                <w:bCs/>
                <w:sz w:val="21"/>
                <w:szCs w:val="21"/>
              </w:rPr>
              <w:t>2016</w:t>
            </w:r>
          </w:p>
        </w:tc>
        <w:tc>
          <w:tcPr>
            <w:tcW w:w="1008" w:type="dxa"/>
            <w:tcBorders>
              <w:top w:val="single" w:sz="4" w:space="0" w:color="auto"/>
              <w:left w:val="nil"/>
              <w:bottom w:val="nil"/>
              <w:right w:val="single" w:sz="4" w:space="0" w:color="auto"/>
            </w:tcBorders>
            <w:shd w:val="clear" w:color="auto" w:fill="auto"/>
            <w:vAlign w:val="center"/>
          </w:tcPr>
          <w:p w:rsidR="006402D2" w:rsidRPr="000C5F4E" w:rsidRDefault="006402D2" w:rsidP="00CC72E1">
            <w:pPr>
              <w:pStyle w:val="standard"/>
              <w:ind w:firstLine="0"/>
              <w:jc w:val="center"/>
              <w:rPr>
                <w:rFonts w:ascii="TimesNewRomanPS-BoldMT" w:hAnsi="TimesNewRomanPS-BoldMT" w:cs="TimesNewRomanPS-BoldMT"/>
                <w:b/>
                <w:bCs/>
                <w:sz w:val="21"/>
                <w:szCs w:val="21"/>
              </w:rPr>
            </w:pPr>
            <w:r w:rsidRPr="000C5F4E">
              <w:rPr>
                <w:rFonts w:ascii="TimesNewRomanPS-BoldMT" w:hAnsi="TimesNewRomanPS-BoldMT" w:cs="TimesNewRomanPS-BoldMT"/>
                <w:b/>
                <w:bCs/>
                <w:sz w:val="21"/>
                <w:szCs w:val="21"/>
              </w:rPr>
              <w:t>2017</w:t>
            </w:r>
          </w:p>
        </w:tc>
      </w:tr>
      <w:tr w:rsidR="006402D2" w:rsidTr="009E5BE8">
        <w:trPr>
          <w:trHeight w:hRule="exact" w:val="288"/>
          <w:jc w:val="center"/>
        </w:trPr>
        <w:tc>
          <w:tcPr>
            <w:tcW w:w="3888" w:type="dxa"/>
            <w:tcBorders>
              <w:top w:val="nil"/>
              <w:bottom w:val="nil"/>
              <w:right w:val="nil"/>
            </w:tcBorders>
            <w:shd w:val="clear" w:color="auto" w:fill="auto"/>
            <w:vAlign w:val="center"/>
          </w:tcPr>
          <w:p w:rsidR="006402D2" w:rsidRDefault="006402D2" w:rsidP="00CC72E1">
            <w:pPr>
              <w:pStyle w:val="standard"/>
              <w:ind w:firstLine="0"/>
            </w:pPr>
            <w:r w:rsidRPr="000C5F4E">
              <w:rPr>
                <w:rFonts w:ascii="TimesNewRomanPS-BoldMT" w:hAnsi="TimesNewRomanPS-BoldMT" w:cs="TimesNewRomanPS-BoldMT"/>
                <w:b/>
                <w:bCs/>
                <w:sz w:val="19"/>
                <w:szCs w:val="19"/>
              </w:rPr>
              <w:t>3rd Party Labor Savings</w:t>
            </w:r>
          </w:p>
        </w:tc>
        <w:tc>
          <w:tcPr>
            <w:tcW w:w="4968" w:type="dxa"/>
            <w:gridSpan w:val="5"/>
            <w:tcBorders>
              <w:top w:val="nil"/>
              <w:left w:val="nil"/>
              <w:bottom w:val="nil"/>
            </w:tcBorders>
            <w:shd w:val="clear" w:color="auto" w:fill="auto"/>
            <w:vAlign w:val="center"/>
          </w:tcPr>
          <w:p w:rsidR="006402D2" w:rsidRDefault="006402D2" w:rsidP="00CC72E1">
            <w:pPr>
              <w:pStyle w:val="standard"/>
              <w:ind w:firstLine="0"/>
            </w:pPr>
          </w:p>
        </w:tc>
      </w:tr>
      <w:tr w:rsidR="006402D2" w:rsidTr="009E5BE8">
        <w:trPr>
          <w:jc w:val="center"/>
        </w:trPr>
        <w:tc>
          <w:tcPr>
            <w:tcW w:w="3888" w:type="dxa"/>
            <w:tcBorders>
              <w:top w:val="nil"/>
              <w:left w:val="single" w:sz="4" w:space="0" w:color="auto"/>
              <w:bottom w:val="nil"/>
              <w:right w:val="nil"/>
            </w:tcBorders>
            <w:shd w:val="clear" w:color="auto" w:fill="auto"/>
          </w:tcPr>
          <w:p w:rsidR="006402D2" w:rsidRPr="000C5F4E" w:rsidRDefault="006402D2" w:rsidP="00CC72E1">
            <w:pPr>
              <w:pStyle w:val="standard"/>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Old Compressor - 3rd Party Charges</w:t>
            </w:r>
          </w:p>
        </w:tc>
        <w:tc>
          <w:tcPr>
            <w:tcW w:w="1080" w:type="dxa"/>
            <w:tcBorders>
              <w:top w:val="nil"/>
              <w:left w:val="nil"/>
              <w:bottom w:val="nil"/>
              <w:right w:val="nil"/>
            </w:tcBorders>
            <w:shd w:val="clear" w:color="auto" w:fill="auto"/>
            <w:vAlign w:val="center"/>
          </w:tcPr>
          <w:p w:rsidR="006402D2" w:rsidRDefault="006402D2" w:rsidP="00CC72E1">
            <w:pPr>
              <w:pStyle w:val="standard"/>
              <w:spacing w:before="40" w:line="240" w:lineRule="auto"/>
              <w:ind w:firstLine="0"/>
              <w:jc w:val="center"/>
            </w:pPr>
            <w:r w:rsidRPr="000C5F4E">
              <w:rPr>
                <w:rFonts w:ascii="TimesNewRomanPSMT" w:hAnsi="TimesNewRomanPSMT" w:cs="TimesNewRomanPSMT"/>
                <w:sz w:val="19"/>
                <w:szCs w:val="19"/>
              </w:rPr>
              <w:t>575</w:t>
            </w:r>
          </w:p>
        </w:tc>
        <w:tc>
          <w:tcPr>
            <w:tcW w:w="900" w:type="dxa"/>
            <w:tcBorders>
              <w:top w:val="nil"/>
              <w:left w:val="nil"/>
              <w:bottom w:val="nil"/>
              <w:right w:val="nil"/>
            </w:tcBorders>
            <w:shd w:val="clear" w:color="auto" w:fill="auto"/>
            <w:vAlign w:val="center"/>
          </w:tcPr>
          <w:p w:rsidR="006402D2" w:rsidRDefault="006402D2" w:rsidP="00CC72E1">
            <w:pPr>
              <w:pStyle w:val="standard"/>
              <w:spacing w:before="40" w:line="240" w:lineRule="auto"/>
              <w:ind w:firstLine="0"/>
              <w:jc w:val="center"/>
            </w:pPr>
            <w:r w:rsidRPr="000C5F4E">
              <w:rPr>
                <w:rFonts w:ascii="TimesNewRomanPSMT" w:hAnsi="TimesNewRomanPSMT" w:cs="TimesNewRomanPSMT"/>
                <w:sz w:val="19"/>
                <w:szCs w:val="19"/>
              </w:rPr>
              <w:t>575</w:t>
            </w:r>
          </w:p>
        </w:tc>
        <w:tc>
          <w:tcPr>
            <w:tcW w:w="990" w:type="dxa"/>
            <w:tcBorders>
              <w:top w:val="nil"/>
              <w:left w:val="nil"/>
              <w:bottom w:val="nil"/>
              <w:right w:val="nil"/>
            </w:tcBorders>
            <w:shd w:val="clear" w:color="auto" w:fill="auto"/>
            <w:vAlign w:val="center"/>
          </w:tcPr>
          <w:p w:rsidR="006402D2" w:rsidRDefault="006402D2" w:rsidP="00CC72E1">
            <w:pPr>
              <w:pStyle w:val="standard"/>
              <w:spacing w:before="40" w:line="240" w:lineRule="auto"/>
              <w:ind w:firstLine="0"/>
              <w:jc w:val="center"/>
            </w:pPr>
            <w:r w:rsidRPr="000C5F4E">
              <w:rPr>
                <w:rFonts w:ascii="TimesNewRomanPSMT" w:hAnsi="TimesNewRomanPSMT" w:cs="TimesNewRomanPSMT"/>
                <w:sz w:val="19"/>
                <w:szCs w:val="19"/>
              </w:rPr>
              <w:t>575</w:t>
            </w:r>
          </w:p>
        </w:tc>
        <w:tc>
          <w:tcPr>
            <w:tcW w:w="990" w:type="dxa"/>
            <w:tcBorders>
              <w:top w:val="nil"/>
              <w:left w:val="nil"/>
              <w:bottom w:val="nil"/>
              <w:right w:val="nil"/>
            </w:tcBorders>
            <w:shd w:val="clear" w:color="auto" w:fill="auto"/>
            <w:vAlign w:val="center"/>
          </w:tcPr>
          <w:p w:rsidR="006402D2" w:rsidRDefault="006402D2" w:rsidP="00CC72E1">
            <w:pPr>
              <w:pStyle w:val="standard"/>
              <w:spacing w:before="40" w:line="240" w:lineRule="auto"/>
              <w:ind w:firstLine="0"/>
              <w:jc w:val="center"/>
            </w:pPr>
            <w:r w:rsidRPr="000C5F4E">
              <w:rPr>
                <w:rFonts w:ascii="TimesNewRomanPSMT" w:hAnsi="TimesNewRomanPSMT" w:cs="TimesNewRomanPSMT"/>
                <w:sz w:val="19"/>
                <w:szCs w:val="19"/>
              </w:rPr>
              <w:t>575</w:t>
            </w:r>
          </w:p>
        </w:tc>
        <w:tc>
          <w:tcPr>
            <w:tcW w:w="1008" w:type="dxa"/>
            <w:tcBorders>
              <w:top w:val="nil"/>
              <w:left w:val="nil"/>
              <w:bottom w:val="nil"/>
              <w:right w:val="single" w:sz="4" w:space="0" w:color="auto"/>
            </w:tcBorders>
            <w:shd w:val="clear" w:color="auto" w:fill="auto"/>
            <w:vAlign w:val="center"/>
          </w:tcPr>
          <w:p w:rsidR="006402D2" w:rsidRDefault="006402D2" w:rsidP="00CC72E1">
            <w:pPr>
              <w:pStyle w:val="standard"/>
              <w:spacing w:before="40" w:line="240" w:lineRule="auto"/>
              <w:ind w:firstLine="0"/>
              <w:jc w:val="center"/>
            </w:pPr>
            <w:r w:rsidRPr="000C5F4E">
              <w:rPr>
                <w:rFonts w:ascii="TimesNewRomanPSMT" w:hAnsi="TimesNewRomanPSMT" w:cs="TimesNewRomanPSMT"/>
                <w:sz w:val="19"/>
                <w:szCs w:val="19"/>
              </w:rPr>
              <w:t>575</w:t>
            </w:r>
          </w:p>
        </w:tc>
      </w:tr>
      <w:tr w:rsidR="006402D2" w:rsidTr="009E5BE8">
        <w:trPr>
          <w:jc w:val="center"/>
        </w:trPr>
        <w:tc>
          <w:tcPr>
            <w:tcW w:w="3888" w:type="dxa"/>
            <w:tcBorders>
              <w:top w:val="nil"/>
              <w:left w:val="single" w:sz="4" w:space="0" w:color="auto"/>
              <w:bottom w:val="nil"/>
              <w:right w:val="nil"/>
            </w:tcBorders>
            <w:shd w:val="clear" w:color="auto" w:fill="auto"/>
          </w:tcPr>
          <w:p w:rsidR="006402D2" w:rsidRPr="000C5F4E" w:rsidRDefault="006402D2" w:rsidP="00CC72E1">
            <w:pPr>
              <w:pStyle w:val="standard"/>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New Compressor - 3rd Party Charges</w:t>
            </w:r>
          </w:p>
        </w:tc>
        <w:tc>
          <w:tcPr>
            <w:tcW w:w="1080" w:type="dxa"/>
            <w:tcBorders>
              <w:top w:val="nil"/>
              <w:left w:val="nil"/>
              <w:bottom w:val="single" w:sz="4" w:space="0" w:color="auto"/>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200</w:t>
            </w:r>
          </w:p>
        </w:tc>
        <w:tc>
          <w:tcPr>
            <w:tcW w:w="900" w:type="dxa"/>
            <w:tcBorders>
              <w:top w:val="nil"/>
              <w:left w:val="nil"/>
              <w:bottom w:val="single" w:sz="4" w:space="0" w:color="auto"/>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200</w:t>
            </w:r>
          </w:p>
        </w:tc>
        <w:tc>
          <w:tcPr>
            <w:tcW w:w="990" w:type="dxa"/>
            <w:tcBorders>
              <w:top w:val="nil"/>
              <w:left w:val="nil"/>
              <w:bottom w:val="single" w:sz="4" w:space="0" w:color="auto"/>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200</w:t>
            </w:r>
          </w:p>
        </w:tc>
        <w:tc>
          <w:tcPr>
            <w:tcW w:w="990" w:type="dxa"/>
            <w:tcBorders>
              <w:top w:val="nil"/>
              <w:left w:val="nil"/>
              <w:bottom w:val="single" w:sz="4" w:space="0" w:color="auto"/>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200</w:t>
            </w:r>
          </w:p>
        </w:tc>
        <w:tc>
          <w:tcPr>
            <w:tcW w:w="1008" w:type="dxa"/>
            <w:tcBorders>
              <w:top w:val="nil"/>
              <w:left w:val="nil"/>
              <w:bottom w:val="single" w:sz="4" w:space="0" w:color="auto"/>
              <w:right w:val="single" w:sz="4" w:space="0" w:color="auto"/>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200</w:t>
            </w:r>
          </w:p>
        </w:tc>
      </w:tr>
      <w:tr w:rsidR="006402D2" w:rsidTr="009E5BE8">
        <w:trPr>
          <w:jc w:val="center"/>
        </w:trPr>
        <w:tc>
          <w:tcPr>
            <w:tcW w:w="3888" w:type="dxa"/>
            <w:tcBorders>
              <w:top w:val="nil"/>
              <w:left w:val="single" w:sz="4" w:space="0" w:color="auto"/>
              <w:bottom w:val="nil"/>
              <w:right w:val="nil"/>
            </w:tcBorders>
            <w:shd w:val="clear" w:color="auto" w:fill="auto"/>
          </w:tcPr>
          <w:p w:rsidR="006402D2" w:rsidRDefault="006402D2" w:rsidP="00CC72E1">
            <w:pPr>
              <w:pStyle w:val="standard"/>
              <w:spacing w:before="40" w:line="240" w:lineRule="auto"/>
              <w:ind w:firstLine="0"/>
            </w:pPr>
            <w:r w:rsidRPr="000C5F4E">
              <w:rPr>
                <w:rFonts w:ascii="TimesNewRomanPSMT" w:hAnsi="TimesNewRomanPSMT" w:cs="TimesNewRomanPSMT"/>
                <w:sz w:val="22"/>
                <w:szCs w:val="22"/>
              </w:rPr>
              <w:t>Labor Savings - 3rd Party Charges</w:t>
            </w:r>
          </w:p>
        </w:tc>
        <w:tc>
          <w:tcPr>
            <w:tcW w:w="1080" w:type="dxa"/>
            <w:tcBorders>
              <w:top w:val="single" w:sz="4" w:space="0" w:color="auto"/>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(375)</w:t>
            </w:r>
          </w:p>
        </w:tc>
        <w:tc>
          <w:tcPr>
            <w:tcW w:w="900" w:type="dxa"/>
            <w:tcBorders>
              <w:top w:val="single" w:sz="4" w:space="0" w:color="auto"/>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(375)</w:t>
            </w:r>
          </w:p>
        </w:tc>
        <w:tc>
          <w:tcPr>
            <w:tcW w:w="990" w:type="dxa"/>
            <w:tcBorders>
              <w:top w:val="single" w:sz="4" w:space="0" w:color="auto"/>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(375)</w:t>
            </w:r>
          </w:p>
        </w:tc>
        <w:tc>
          <w:tcPr>
            <w:tcW w:w="990" w:type="dxa"/>
            <w:tcBorders>
              <w:top w:val="single" w:sz="4" w:space="0" w:color="auto"/>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(375)</w:t>
            </w:r>
          </w:p>
        </w:tc>
        <w:tc>
          <w:tcPr>
            <w:tcW w:w="1008" w:type="dxa"/>
            <w:tcBorders>
              <w:top w:val="single" w:sz="4" w:space="0" w:color="auto"/>
              <w:left w:val="nil"/>
              <w:bottom w:val="nil"/>
              <w:right w:val="single" w:sz="4" w:space="0" w:color="auto"/>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(375)</w:t>
            </w:r>
          </w:p>
        </w:tc>
      </w:tr>
      <w:tr w:rsidR="006402D2" w:rsidTr="009E5BE8">
        <w:trPr>
          <w:trHeight w:hRule="exact" w:val="144"/>
          <w:jc w:val="center"/>
        </w:trPr>
        <w:tc>
          <w:tcPr>
            <w:tcW w:w="8856" w:type="dxa"/>
            <w:gridSpan w:val="6"/>
            <w:tcBorders>
              <w:top w:val="nil"/>
              <w:bottom w:val="nil"/>
            </w:tcBorders>
            <w:shd w:val="clear" w:color="auto" w:fill="auto"/>
          </w:tcPr>
          <w:p w:rsidR="006402D2" w:rsidRDefault="006402D2" w:rsidP="00CC72E1">
            <w:pPr>
              <w:pStyle w:val="standard"/>
              <w:ind w:firstLine="0"/>
            </w:pP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vAlign w:val="center"/>
          </w:tcPr>
          <w:p w:rsidR="006402D2" w:rsidRPr="000C5F4E" w:rsidRDefault="006402D2" w:rsidP="00CC72E1">
            <w:pPr>
              <w:pStyle w:val="standard"/>
              <w:spacing w:before="60" w:line="240" w:lineRule="auto"/>
              <w:ind w:firstLine="0"/>
              <w:rPr>
                <w:rFonts w:ascii="TimesNewRomanPS-BoldMT" w:hAnsi="TimesNewRomanPS-BoldMT" w:cs="TimesNewRomanPS-BoldMT"/>
                <w:b/>
                <w:bCs/>
                <w:sz w:val="19"/>
                <w:szCs w:val="19"/>
              </w:rPr>
            </w:pPr>
            <w:r w:rsidRPr="000C5F4E">
              <w:rPr>
                <w:rFonts w:ascii="TimesNewRomanPS-BoldMT" w:hAnsi="TimesNewRomanPS-BoldMT" w:cs="TimesNewRomanPS-BoldMT"/>
                <w:b/>
                <w:bCs/>
                <w:sz w:val="19"/>
                <w:szCs w:val="19"/>
              </w:rPr>
              <w:t>Internal Labor Savings</w:t>
            </w:r>
          </w:p>
        </w:tc>
        <w:tc>
          <w:tcPr>
            <w:tcW w:w="4968" w:type="dxa"/>
            <w:gridSpan w:val="5"/>
            <w:tcBorders>
              <w:top w:val="nil"/>
              <w:left w:val="nil"/>
              <w:bottom w:val="nil"/>
              <w:right w:val="single" w:sz="4" w:space="0" w:color="auto"/>
            </w:tcBorders>
            <w:shd w:val="clear" w:color="auto" w:fill="auto"/>
          </w:tcPr>
          <w:p w:rsidR="006402D2" w:rsidRDefault="006402D2" w:rsidP="00CC72E1">
            <w:pPr>
              <w:pStyle w:val="standard"/>
              <w:ind w:firstLine="0"/>
            </w:pPr>
          </w:p>
        </w:tc>
      </w:tr>
      <w:tr w:rsidR="006402D2" w:rsidTr="009E5BE8">
        <w:trPr>
          <w:jc w:val="center"/>
        </w:trPr>
        <w:tc>
          <w:tcPr>
            <w:tcW w:w="3888" w:type="dxa"/>
            <w:tcBorders>
              <w:top w:val="nil"/>
              <w:left w:val="single" w:sz="4" w:space="0" w:color="auto"/>
              <w:bottom w:val="nil"/>
              <w:right w:val="nil"/>
            </w:tcBorders>
            <w:shd w:val="clear" w:color="auto" w:fill="auto"/>
          </w:tcPr>
          <w:p w:rsidR="006402D2" w:rsidRDefault="006402D2" w:rsidP="00CC72E1">
            <w:pPr>
              <w:pStyle w:val="standard"/>
              <w:spacing w:before="40" w:line="240" w:lineRule="auto"/>
              <w:ind w:firstLine="0"/>
            </w:pPr>
            <w:r w:rsidRPr="000C5F4E">
              <w:rPr>
                <w:rFonts w:ascii="TimesNewRomanPSMT" w:hAnsi="TimesNewRomanPSMT" w:cs="TimesNewRomanPSMT"/>
                <w:sz w:val="22"/>
                <w:szCs w:val="22"/>
              </w:rPr>
              <w:t>FTE reduction related to New Compressor</w:t>
            </w:r>
          </w:p>
        </w:tc>
        <w:tc>
          <w:tcPr>
            <w:tcW w:w="1080" w:type="dxa"/>
            <w:tcBorders>
              <w:top w:val="nil"/>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(220)</w:t>
            </w:r>
          </w:p>
        </w:tc>
        <w:tc>
          <w:tcPr>
            <w:tcW w:w="900" w:type="dxa"/>
            <w:tcBorders>
              <w:top w:val="nil"/>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(220)</w:t>
            </w:r>
          </w:p>
        </w:tc>
        <w:tc>
          <w:tcPr>
            <w:tcW w:w="990" w:type="dxa"/>
            <w:tcBorders>
              <w:top w:val="nil"/>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(220)</w:t>
            </w:r>
          </w:p>
        </w:tc>
        <w:tc>
          <w:tcPr>
            <w:tcW w:w="990" w:type="dxa"/>
            <w:tcBorders>
              <w:top w:val="nil"/>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(220)</w:t>
            </w:r>
          </w:p>
        </w:tc>
        <w:tc>
          <w:tcPr>
            <w:tcW w:w="1008" w:type="dxa"/>
            <w:tcBorders>
              <w:top w:val="nil"/>
              <w:left w:val="nil"/>
              <w:bottom w:val="nil"/>
              <w:right w:val="single" w:sz="4" w:space="0" w:color="auto"/>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(220)</w:t>
            </w:r>
          </w:p>
        </w:tc>
      </w:tr>
      <w:tr w:rsidR="006402D2" w:rsidTr="009E5BE8">
        <w:trPr>
          <w:trHeight w:hRule="exact" w:val="187"/>
          <w:jc w:val="center"/>
        </w:trPr>
        <w:tc>
          <w:tcPr>
            <w:tcW w:w="8856" w:type="dxa"/>
            <w:gridSpan w:val="6"/>
            <w:tcBorders>
              <w:top w:val="nil"/>
              <w:bottom w:val="nil"/>
            </w:tcBorders>
            <w:shd w:val="clear" w:color="auto" w:fill="auto"/>
          </w:tcPr>
          <w:p w:rsidR="006402D2" w:rsidRDefault="006402D2" w:rsidP="00CC72E1">
            <w:pPr>
              <w:pStyle w:val="standard"/>
              <w:ind w:firstLine="0"/>
            </w:pP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tcPr>
          <w:p w:rsidR="006402D2" w:rsidRDefault="006402D2" w:rsidP="00CC72E1">
            <w:pPr>
              <w:pStyle w:val="standard"/>
              <w:spacing w:before="60" w:line="240" w:lineRule="auto"/>
              <w:ind w:firstLine="0"/>
            </w:pPr>
            <w:r w:rsidRPr="000C5F4E">
              <w:rPr>
                <w:rFonts w:ascii="TimesNewRomanPS-BoldMT" w:hAnsi="TimesNewRomanPS-BoldMT" w:cs="TimesNewRomanPS-BoldMT"/>
                <w:b/>
                <w:bCs/>
                <w:sz w:val="19"/>
                <w:szCs w:val="19"/>
              </w:rPr>
              <w:t>Emission Fees Savings</w:t>
            </w:r>
          </w:p>
        </w:tc>
        <w:tc>
          <w:tcPr>
            <w:tcW w:w="4968" w:type="dxa"/>
            <w:gridSpan w:val="5"/>
            <w:tcBorders>
              <w:top w:val="nil"/>
              <w:left w:val="nil"/>
              <w:bottom w:val="nil"/>
              <w:right w:val="single" w:sz="4" w:space="0" w:color="auto"/>
            </w:tcBorders>
            <w:shd w:val="clear" w:color="auto" w:fill="auto"/>
          </w:tcPr>
          <w:p w:rsidR="006402D2" w:rsidRDefault="006402D2" w:rsidP="00CC72E1">
            <w:pPr>
              <w:pStyle w:val="standard"/>
              <w:ind w:firstLine="0"/>
            </w:pPr>
          </w:p>
        </w:tc>
      </w:tr>
      <w:tr w:rsidR="006402D2" w:rsidTr="009E5BE8">
        <w:trPr>
          <w:jc w:val="center"/>
        </w:trPr>
        <w:tc>
          <w:tcPr>
            <w:tcW w:w="3888" w:type="dxa"/>
            <w:tcBorders>
              <w:top w:val="nil"/>
              <w:left w:val="single" w:sz="4" w:space="0" w:color="auto"/>
              <w:bottom w:val="nil"/>
              <w:right w:val="nil"/>
            </w:tcBorders>
            <w:shd w:val="clear" w:color="auto" w:fill="auto"/>
          </w:tcPr>
          <w:p w:rsidR="006402D2" w:rsidRDefault="006402D2" w:rsidP="00CC72E1">
            <w:pPr>
              <w:pStyle w:val="standard"/>
              <w:spacing w:before="40" w:line="240" w:lineRule="auto"/>
              <w:ind w:firstLine="0"/>
            </w:pPr>
            <w:r w:rsidRPr="000C5F4E">
              <w:rPr>
                <w:rFonts w:ascii="TimesNewRomanPSMT" w:hAnsi="TimesNewRomanPSMT" w:cs="TimesNewRomanPSMT"/>
                <w:sz w:val="22"/>
                <w:szCs w:val="22"/>
              </w:rPr>
              <w:t>Reduction in Emission Fees</w:t>
            </w:r>
          </w:p>
        </w:tc>
        <w:tc>
          <w:tcPr>
            <w:tcW w:w="1080" w:type="dxa"/>
            <w:tcBorders>
              <w:top w:val="nil"/>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(114)</w:t>
            </w:r>
          </w:p>
        </w:tc>
        <w:tc>
          <w:tcPr>
            <w:tcW w:w="900" w:type="dxa"/>
            <w:tcBorders>
              <w:top w:val="nil"/>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(114)</w:t>
            </w:r>
          </w:p>
        </w:tc>
        <w:tc>
          <w:tcPr>
            <w:tcW w:w="990" w:type="dxa"/>
            <w:tcBorders>
              <w:top w:val="nil"/>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(114)</w:t>
            </w:r>
          </w:p>
        </w:tc>
        <w:tc>
          <w:tcPr>
            <w:tcW w:w="990" w:type="dxa"/>
            <w:tcBorders>
              <w:top w:val="nil"/>
              <w:left w:val="nil"/>
              <w:bottom w:val="nil"/>
              <w:right w:val="nil"/>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(114)</w:t>
            </w:r>
          </w:p>
        </w:tc>
        <w:tc>
          <w:tcPr>
            <w:tcW w:w="1008" w:type="dxa"/>
            <w:tcBorders>
              <w:top w:val="nil"/>
              <w:left w:val="nil"/>
              <w:bottom w:val="nil"/>
              <w:right w:val="single" w:sz="4" w:space="0" w:color="auto"/>
            </w:tcBorders>
            <w:shd w:val="clear" w:color="auto" w:fill="auto"/>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(114)</w:t>
            </w:r>
          </w:p>
        </w:tc>
      </w:tr>
      <w:tr w:rsidR="006402D2" w:rsidTr="009E5BE8">
        <w:trPr>
          <w:trHeight w:hRule="exact" w:val="144"/>
          <w:jc w:val="center"/>
        </w:trPr>
        <w:tc>
          <w:tcPr>
            <w:tcW w:w="8856" w:type="dxa"/>
            <w:gridSpan w:val="6"/>
            <w:tcBorders>
              <w:top w:val="nil"/>
              <w:left w:val="single" w:sz="4" w:space="0" w:color="auto"/>
              <w:bottom w:val="nil"/>
              <w:right w:val="single" w:sz="4" w:space="0" w:color="auto"/>
            </w:tcBorders>
            <w:shd w:val="clear" w:color="auto" w:fill="auto"/>
          </w:tcPr>
          <w:p w:rsidR="006402D2" w:rsidRDefault="006402D2" w:rsidP="00CC72E1">
            <w:pPr>
              <w:pStyle w:val="standard"/>
              <w:ind w:firstLine="0"/>
            </w:pP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tcPr>
          <w:p w:rsidR="006402D2" w:rsidRDefault="006402D2" w:rsidP="00CC72E1">
            <w:pPr>
              <w:pStyle w:val="standard"/>
              <w:spacing w:before="40" w:line="240" w:lineRule="auto"/>
              <w:ind w:firstLine="0"/>
            </w:pPr>
            <w:r w:rsidRPr="000C5F4E">
              <w:rPr>
                <w:rFonts w:ascii="TimesNewRomanPS-BoldMT" w:hAnsi="TimesNewRomanPS-BoldMT" w:cs="TimesNewRomanPS-BoldMT"/>
                <w:b/>
                <w:bCs/>
                <w:sz w:val="19"/>
                <w:szCs w:val="19"/>
              </w:rPr>
              <w:t>New Facility Charges</w:t>
            </w:r>
          </w:p>
        </w:tc>
        <w:tc>
          <w:tcPr>
            <w:tcW w:w="4968" w:type="dxa"/>
            <w:gridSpan w:val="5"/>
            <w:tcBorders>
              <w:top w:val="nil"/>
              <w:left w:val="nil"/>
              <w:bottom w:val="nil"/>
              <w:right w:val="single" w:sz="4" w:space="0" w:color="auto"/>
            </w:tcBorders>
            <w:shd w:val="clear" w:color="auto" w:fill="auto"/>
          </w:tcPr>
          <w:p w:rsidR="006402D2" w:rsidRDefault="006402D2" w:rsidP="00CC72E1">
            <w:pPr>
              <w:pStyle w:val="standard"/>
              <w:ind w:firstLine="0"/>
            </w:pPr>
          </w:p>
        </w:tc>
      </w:tr>
      <w:tr w:rsidR="006402D2" w:rsidTr="009E5BE8">
        <w:trPr>
          <w:jc w:val="center"/>
        </w:trPr>
        <w:tc>
          <w:tcPr>
            <w:tcW w:w="3888" w:type="dxa"/>
            <w:tcBorders>
              <w:top w:val="nil"/>
              <w:left w:val="single" w:sz="4" w:space="0" w:color="auto"/>
              <w:bottom w:val="nil"/>
              <w:right w:val="nil"/>
            </w:tcBorders>
            <w:shd w:val="clear" w:color="auto" w:fill="auto"/>
          </w:tcPr>
          <w:p w:rsidR="006402D2" w:rsidRPr="000C5F4E" w:rsidRDefault="006402D2" w:rsidP="00CC72E1">
            <w:pPr>
              <w:pStyle w:val="standard"/>
              <w:spacing w:before="40" w:line="240" w:lineRule="auto"/>
              <w:ind w:firstLine="0"/>
              <w:rPr>
                <w:rFonts w:ascii="TimesNewRomanPSMT" w:hAnsi="TimesNewRomanPSMT" w:cs="TimesNewRomanPSMT"/>
                <w:sz w:val="19"/>
                <w:szCs w:val="19"/>
              </w:rPr>
            </w:pPr>
            <w:r w:rsidRPr="000C5F4E">
              <w:rPr>
                <w:rFonts w:ascii="TimesNewRomanPSMT" w:hAnsi="TimesNewRomanPSMT" w:cs="TimesNewRomanPSMT"/>
                <w:sz w:val="22"/>
                <w:szCs w:val="22"/>
              </w:rPr>
              <w:t>SCE Charges for New Facilities</w:t>
            </w:r>
          </w:p>
        </w:tc>
        <w:tc>
          <w:tcPr>
            <w:tcW w:w="1080" w:type="dxa"/>
            <w:tcBorders>
              <w:top w:val="nil"/>
              <w:left w:val="nil"/>
              <w:bottom w:val="single" w:sz="4" w:space="0" w:color="auto"/>
              <w:right w:val="nil"/>
            </w:tcBorders>
            <w:shd w:val="clear" w:color="auto" w:fill="auto"/>
            <w:vAlign w:val="center"/>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266</w:t>
            </w:r>
          </w:p>
        </w:tc>
        <w:tc>
          <w:tcPr>
            <w:tcW w:w="900" w:type="dxa"/>
            <w:tcBorders>
              <w:top w:val="nil"/>
              <w:left w:val="nil"/>
              <w:bottom w:val="single" w:sz="4" w:space="0" w:color="auto"/>
              <w:right w:val="nil"/>
            </w:tcBorders>
            <w:shd w:val="clear" w:color="auto" w:fill="auto"/>
            <w:vAlign w:val="center"/>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u w:val="single"/>
              </w:rPr>
            </w:pPr>
            <w:r w:rsidRPr="000C5F4E">
              <w:rPr>
                <w:rFonts w:ascii="TimesNewRomanPSMT" w:hAnsi="TimesNewRomanPSMT" w:cs="TimesNewRomanPSMT"/>
                <w:sz w:val="19"/>
                <w:szCs w:val="19"/>
                <w:u w:val="single"/>
              </w:rPr>
              <w:t>266</w:t>
            </w:r>
          </w:p>
        </w:tc>
        <w:tc>
          <w:tcPr>
            <w:tcW w:w="990" w:type="dxa"/>
            <w:tcBorders>
              <w:top w:val="nil"/>
              <w:left w:val="nil"/>
              <w:bottom w:val="single" w:sz="4" w:space="0" w:color="auto"/>
              <w:right w:val="nil"/>
            </w:tcBorders>
            <w:shd w:val="clear" w:color="auto" w:fill="auto"/>
            <w:vAlign w:val="center"/>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u w:val="single"/>
              </w:rPr>
            </w:pPr>
            <w:r w:rsidRPr="000C5F4E">
              <w:rPr>
                <w:rFonts w:ascii="TimesNewRomanPSMT" w:hAnsi="TimesNewRomanPSMT" w:cs="TimesNewRomanPSMT"/>
                <w:sz w:val="19"/>
                <w:szCs w:val="19"/>
                <w:u w:val="single"/>
              </w:rPr>
              <w:t>266</w:t>
            </w:r>
          </w:p>
        </w:tc>
        <w:tc>
          <w:tcPr>
            <w:tcW w:w="990" w:type="dxa"/>
            <w:tcBorders>
              <w:top w:val="nil"/>
              <w:left w:val="nil"/>
              <w:bottom w:val="single" w:sz="4" w:space="0" w:color="auto"/>
              <w:right w:val="nil"/>
            </w:tcBorders>
            <w:shd w:val="clear" w:color="auto" w:fill="auto"/>
            <w:vAlign w:val="center"/>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u w:val="single"/>
              </w:rPr>
            </w:pPr>
            <w:r w:rsidRPr="000C5F4E">
              <w:rPr>
                <w:rFonts w:ascii="TimesNewRomanPSMT" w:hAnsi="TimesNewRomanPSMT" w:cs="TimesNewRomanPSMT"/>
                <w:sz w:val="19"/>
                <w:szCs w:val="19"/>
                <w:u w:val="single"/>
              </w:rPr>
              <w:t>266</w:t>
            </w:r>
          </w:p>
        </w:tc>
        <w:tc>
          <w:tcPr>
            <w:tcW w:w="1008" w:type="dxa"/>
            <w:tcBorders>
              <w:top w:val="nil"/>
              <w:left w:val="nil"/>
              <w:bottom w:val="single" w:sz="4" w:space="0" w:color="auto"/>
              <w:right w:val="single" w:sz="4" w:space="0" w:color="auto"/>
            </w:tcBorders>
            <w:shd w:val="clear" w:color="auto" w:fill="auto"/>
            <w:vAlign w:val="center"/>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u w:val="single"/>
              </w:rPr>
            </w:pPr>
            <w:r w:rsidRPr="000C5F4E">
              <w:rPr>
                <w:rFonts w:ascii="TimesNewRomanPSMT" w:hAnsi="TimesNewRomanPSMT" w:cs="TimesNewRomanPSMT"/>
                <w:sz w:val="19"/>
                <w:szCs w:val="19"/>
                <w:u w:val="single"/>
              </w:rPr>
              <w:t>266</w:t>
            </w:r>
          </w:p>
        </w:tc>
      </w:tr>
      <w:tr w:rsidR="006402D2" w:rsidTr="009E5BE8">
        <w:trPr>
          <w:trHeight w:hRule="exact" w:val="288"/>
          <w:jc w:val="center"/>
        </w:trPr>
        <w:tc>
          <w:tcPr>
            <w:tcW w:w="8856" w:type="dxa"/>
            <w:gridSpan w:val="6"/>
            <w:tcBorders>
              <w:top w:val="nil"/>
              <w:bottom w:val="nil"/>
            </w:tcBorders>
            <w:shd w:val="clear" w:color="auto" w:fill="auto"/>
          </w:tcPr>
          <w:p w:rsidR="006402D2" w:rsidRDefault="006402D2" w:rsidP="00CC72E1">
            <w:pPr>
              <w:pStyle w:val="standard"/>
              <w:ind w:firstLine="0"/>
            </w:pPr>
          </w:p>
        </w:tc>
      </w:tr>
      <w:tr w:rsidR="006402D2" w:rsidTr="009E5BE8">
        <w:trPr>
          <w:jc w:val="center"/>
        </w:trPr>
        <w:tc>
          <w:tcPr>
            <w:tcW w:w="3888" w:type="dxa"/>
            <w:tcBorders>
              <w:top w:val="nil"/>
              <w:right w:val="nil"/>
            </w:tcBorders>
            <w:shd w:val="clear" w:color="auto" w:fill="auto"/>
          </w:tcPr>
          <w:p w:rsidR="006402D2" w:rsidRDefault="006402D2" w:rsidP="00CC72E1">
            <w:pPr>
              <w:pStyle w:val="standard"/>
              <w:spacing w:before="40" w:line="240" w:lineRule="auto"/>
              <w:ind w:firstLine="0"/>
            </w:pPr>
            <w:r w:rsidRPr="000C5F4E">
              <w:rPr>
                <w:rFonts w:ascii="TimesNewRomanPSMT" w:hAnsi="TimesNewRomanPSMT" w:cs="TimesNewRomanPSMT"/>
                <w:sz w:val="22"/>
                <w:szCs w:val="22"/>
              </w:rPr>
              <w:t>Total Net O&amp;M Costs/(Savings)</w:t>
            </w:r>
          </w:p>
        </w:tc>
        <w:tc>
          <w:tcPr>
            <w:tcW w:w="1080" w:type="dxa"/>
            <w:tcBorders>
              <w:top w:val="nil"/>
              <w:left w:val="nil"/>
              <w:bottom w:val="single" w:sz="4" w:space="0" w:color="auto"/>
              <w:right w:val="nil"/>
            </w:tcBorders>
            <w:shd w:val="clear" w:color="auto" w:fill="auto"/>
            <w:vAlign w:val="center"/>
          </w:tcPr>
          <w:p w:rsidR="006402D2" w:rsidRPr="000C5F4E" w:rsidRDefault="006402D2" w:rsidP="00CC72E1">
            <w:pPr>
              <w:pStyle w:val="standard"/>
              <w:spacing w:before="40" w:line="240" w:lineRule="auto"/>
              <w:ind w:firstLine="0"/>
              <w:jc w:val="center"/>
              <w:rPr>
                <w:rFonts w:ascii="TimesNewRomanPSMT" w:hAnsi="TimesNewRomanPSMT" w:cs="TimesNewRomanPSMT"/>
                <w:sz w:val="19"/>
                <w:szCs w:val="19"/>
              </w:rPr>
            </w:pPr>
            <w:r w:rsidRPr="000C5F4E">
              <w:rPr>
                <w:rFonts w:ascii="TimesNewRomanPSMT" w:hAnsi="TimesNewRomanPSMT" w:cs="TimesNewRomanPSMT"/>
                <w:sz w:val="19"/>
                <w:szCs w:val="19"/>
              </w:rPr>
              <w:t>(443)</w:t>
            </w:r>
          </w:p>
        </w:tc>
        <w:tc>
          <w:tcPr>
            <w:tcW w:w="900" w:type="dxa"/>
            <w:tcBorders>
              <w:top w:val="nil"/>
              <w:left w:val="nil"/>
              <w:bottom w:val="single" w:sz="4" w:space="0" w:color="auto"/>
              <w:right w:val="nil"/>
            </w:tcBorders>
            <w:shd w:val="clear" w:color="auto" w:fill="auto"/>
            <w:vAlign w:val="center"/>
          </w:tcPr>
          <w:p w:rsidR="006402D2" w:rsidRDefault="006402D2" w:rsidP="00CC72E1">
            <w:pPr>
              <w:jc w:val="center"/>
            </w:pPr>
            <w:r w:rsidRPr="000C5F4E">
              <w:rPr>
                <w:rFonts w:ascii="TimesNewRomanPSMT" w:hAnsi="TimesNewRomanPSMT" w:cs="TimesNewRomanPSMT"/>
                <w:sz w:val="19"/>
                <w:szCs w:val="19"/>
              </w:rPr>
              <w:t>(443)</w:t>
            </w:r>
          </w:p>
        </w:tc>
        <w:tc>
          <w:tcPr>
            <w:tcW w:w="990" w:type="dxa"/>
            <w:tcBorders>
              <w:top w:val="nil"/>
              <w:left w:val="nil"/>
              <w:bottom w:val="single" w:sz="4" w:space="0" w:color="auto"/>
              <w:right w:val="nil"/>
            </w:tcBorders>
            <w:shd w:val="clear" w:color="auto" w:fill="auto"/>
            <w:vAlign w:val="center"/>
          </w:tcPr>
          <w:p w:rsidR="006402D2" w:rsidRDefault="006402D2" w:rsidP="00CC72E1">
            <w:pPr>
              <w:jc w:val="center"/>
            </w:pPr>
            <w:r w:rsidRPr="000C5F4E">
              <w:rPr>
                <w:rFonts w:ascii="TimesNewRomanPSMT" w:hAnsi="TimesNewRomanPSMT" w:cs="TimesNewRomanPSMT"/>
                <w:sz w:val="19"/>
                <w:szCs w:val="19"/>
              </w:rPr>
              <w:t>(443)</w:t>
            </w:r>
          </w:p>
        </w:tc>
        <w:tc>
          <w:tcPr>
            <w:tcW w:w="990" w:type="dxa"/>
            <w:tcBorders>
              <w:top w:val="nil"/>
              <w:left w:val="nil"/>
              <w:bottom w:val="single" w:sz="4" w:space="0" w:color="auto"/>
              <w:right w:val="nil"/>
            </w:tcBorders>
            <w:shd w:val="clear" w:color="auto" w:fill="auto"/>
            <w:vAlign w:val="center"/>
          </w:tcPr>
          <w:p w:rsidR="006402D2" w:rsidRDefault="006402D2" w:rsidP="00CC72E1">
            <w:pPr>
              <w:jc w:val="center"/>
            </w:pPr>
            <w:r w:rsidRPr="000C5F4E">
              <w:rPr>
                <w:rFonts w:ascii="TimesNewRomanPSMT" w:hAnsi="TimesNewRomanPSMT" w:cs="TimesNewRomanPSMT"/>
                <w:sz w:val="19"/>
                <w:szCs w:val="19"/>
              </w:rPr>
              <w:t>(443)</w:t>
            </w:r>
          </w:p>
        </w:tc>
        <w:tc>
          <w:tcPr>
            <w:tcW w:w="1008" w:type="dxa"/>
            <w:tcBorders>
              <w:top w:val="nil"/>
              <w:left w:val="nil"/>
              <w:bottom w:val="single" w:sz="4" w:space="0" w:color="auto"/>
              <w:right w:val="single" w:sz="4" w:space="0" w:color="auto"/>
            </w:tcBorders>
            <w:shd w:val="clear" w:color="auto" w:fill="auto"/>
            <w:vAlign w:val="center"/>
          </w:tcPr>
          <w:p w:rsidR="006402D2" w:rsidRDefault="006402D2" w:rsidP="00CC72E1">
            <w:pPr>
              <w:jc w:val="center"/>
            </w:pPr>
            <w:r w:rsidRPr="000C5F4E">
              <w:rPr>
                <w:rFonts w:ascii="TimesNewRomanPSMT" w:hAnsi="TimesNewRomanPSMT" w:cs="TimesNewRomanPSMT"/>
                <w:sz w:val="19"/>
                <w:szCs w:val="19"/>
              </w:rPr>
              <w:t>(443)</w:t>
            </w:r>
          </w:p>
        </w:tc>
      </w:tr>
    </w:tbl>
    <w:p w:rsidR="006402D2" w:rsidRPr="009E5BE8" w:rsidRDefault="006402D2" w:rsidP="006402D2">
      <w:pPr>
        <w:pStyle w:val="standard"/>
        <w:rPr>
          <w:sz w:val="16"/>
        </w:rPr>
      </w:pPr>
    </w:p>
    <w:p w:rsidR="006402D2" w:rsidRDefault="006402D2" w:rsidP="009E5BE8">
      <w:pPr>
        <w:pStyle w:val="standard"/>
        <w:spacing w:after="120"/>
      </w:pPr>
      <w:r>
        <w:t>The revenue requirements associated with the estimated capitalized compressor station and related facilities costs are shown in</w:t>
      </w:r>
      <w:r w:rsidR="004516CE">
        <w:t xml:space="preserve"> Table 2 of the Application</w:t>
      </w:r>
      <w:r>
        <w:t xml:space="preserve"> and reproduced below.</w:t>
      </w:r>
      <w:r w:rsidR="009E5BE8">
        <w:t xml:space="preserve"> </w:t>
      </w:r>
      <w:r>
        <w:t xml:space="preserve"> The revenue requirements reflect reductions for the estimated O&amp;M savings and capital benefits.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080"/>
        <w:gridCol w:w="900"/>
        <w:gridCol w:w="7"/>
        <w:gridCol w:w="983"/>
        <w:gridCol w:w="990"/>
        <w:gridCol w:w="1008"/>
      </w:tblGrid>
      <w:tr w:rsidR="006402D2" w:rsidTr="009E5BE8">
        <w:trPr>
          <w:jc w:val="center"/>
        </w:trPr>
        <w:tc>
          <w:tcPr>
            <w:tcW w:w="8856" w:type="dxa"/>
            <w:gridSpan w:val="7"/>
            <w:tcBorders>
              <w:bottom w:val="single" w:sz="4" w:space="0" w:color="auto"/>
            </w:tcBorders>
            <w:shd w:val="clear" w:color="auto" w:fill="auto"/>
            <w:vAlign w:val="center"/>
          </w:tcPr>
          <w:p w:rsidR="006402D2" w:rsidRPr="000C5F4E" w:rsidRDefault="006402D2" w:rsidP="000A049C">
            <w:pPr>
              <w:keepNext/>
              <w:keepLines/>
              <w:autoSpaceDE w:val="0"/>
              <w:autoSpaceDN w:val="0"/>
              <w:adjustRightInd w:val="0"/>
              <w:jc w:val="center"/>
              <w:rPr>
                <w:rFonts w:ascii="TimesNewRomanPS-BoldMT" w:hAnsi="TimesNewRomanPS-BoldMT" w:cs="TimesNewRomanPS-BoldMT"/>
                <w:b/>
                <w:bCs/>
                <w:sz w:val="21"/>
                <w:szCs w:val="21"/>
              </w:rPr>
            </w:pPr>
            <w:r w:rsidRPr="000C5F4E">
              <w:rPr>
                <w:rFonts w:ascii="TimesNewRomanPS-BoldMT" w:hAnsi="TimesNewRomanPS-BoldMT" w:cs="TimesNewRomanPS-BoldMT"/>
                <w:b/>
                <w:bCs/>
                <w:sz w:val="21"/>
                <w:szCs w:val="21"/>
              </w:rPr>
              <w:t>TABLE 2</w:t>
            </w:r>
          </w:p>
          <w:p w:rsidR="006402D2" w:rsidRPr="000C5F4E" w:rsidRDefault="006402D2" w:rsidP="000A049C">
            <w:pPr>
              <w:keepNext/>
              <w:keepLines/>
              <w:autoSpaceDE w:val="0"/>
              <w:autoSpaceDN w:val="0"/>
              <w:adjustRightInd w:val="0"/>
              <w:jc w:val="center"/>
              <w:rPr>
                <w:rFonts w:ascii="TimesNewRomanPS-BoldMT" w:hAnsi="TimesNewRomanPS-BoldMT" w:cs="TimesNewRomanPS-BoldMT"/>
                <w:b/>
                <w:bCs/>
                <w:sz w:val="21"/>
                <w:szCs w:val="21"/>
              </w:rPr>
            </w:pPr>
            <w:r w:rsidRPr="000C5F4E">
              <w:rPr>
                <w:rFonts w:ascii="TimesNewRomanPS-BoldMT" w:hAnsi="TimesNewRomanPS-BoldMT" w:cs="TimesNewRomanPS-BoldMT"/>
                <w:b/>
                <w:bCs/>
                <w:sz w:val="21"/>
                <w:szCs w:val="21"/>
              </w:rPr>
              <w:t>Revenue Requirement ($ thousands)</w:t>
            </w:r>
          </w:p>
        </w:tc>
      </w:tr>
      <w:tr w:rsidR="006402D2" w:rsidRPr="007D7366" w:rsidTr="009E5BE8">
        <w:trPr>
          <w:jc w:val="center"/>
        </w:trPr>
        <w:tc>
          <w:tcPr>
            <w:tcW w:w="3888" w:type="dxa"/>
            <w:tcBorders>
              <w:top w:val="single" w:sz="4" w:space="0" w:color="auto"/>
              <w:left w:val="single" w:sz="4" w:space="0" w:color="auto"/>
              <w:bottom w:val="nil"/>
              <w:right w:val="nil"/>
            </w:tcBorders>
            <w:shd w:val="clear" w:color="auto" w:fill="auto"/>
          </w:tcPr>
          <w:p w:rsidR="006402D2" w:rsidRPr="007D7366" w:rsidRDefault="006402D2" w:rsidP="000A049C">
            <w:pPr>
              <w:pStyle w:val="standard"/>
              <w:keepNext/>
              <w:keepLines/>
              <w:spacing w:line="240" w:lineRule="auto"/>
              <w:ind w:firstLine="0"/>
              <w:rPr>
                <w:sz w:val="20"/>
              </w:rPr>
            </w:pPr>
          </w:p>
        </w:tc>
        <w:tc>
          <w:tcPr>
            <w:tcW w:w="1080" w:type="dxa"/>
            <w:tcBorders>
              <w:top w:val="single" w:sz="4" w:space="0" w:color="auto"/>
              <w:left w:val="nil"/>
              <w:bottom w:val="nil"/>
              <w:right w:val="nil"/>
            </w:tcBorders>
            <w:shd w:val="clear" w:color="auto" w:fill="auto"/>
            <w:vAlign w:val="center"/>
          </w:tcPr>
          <w:p w:rsidR="006402D2" w:rsidRPr="007D7366" w:rsidRDefault="006402D2" w:rsidP="000A049C">
            <w:pPr>
              <w:pStyle w:val="standard"/>
              <w:keepNext/>
              <w:keepLines/>
              <w:spacing w:line="240" w:lineRule="auto"/>
              <w:ind w:firstLine="0"/>
              <w:jc w:val="right"/>
              <w:rPr>
                <w:rFonts w:ascii="TimesNewRomanPS-BoldMT" w:hAnsi="TimesNewRomanPS-BoldMT" w:cs="TimesNewRomanPS-BoldMT"/>
                <w:b/>
                <w:bCs/>
                <w:sz w:val="20"/>
              </w:rPr>
            </w:pPr>
            <w:r w:rsidRPr="007D7366">
              <w:rPr>
                <w:rFonts w:ascii="TimesNewRomanPS-BoldMT" w:hAnsi="TimesNewRomanPS-BoldMT" w:cs="TimesNewRomanPS-BoldMT"/>
                <w:b/>
                <w:bCs/>
                <w:sz w:val="20"/>
              </w:rPr>
              <w:t>2013</w:t>
            </w:r>
          </w:p>
        </w:tc>
        <w:tc>
          <w:tcPr>
            <w:tcW w:w="900" w:type="dxa"/>
            <w:tcBorders>
              <w:top w:val="single" w:sz="4" w:space="0" w:color="auto"/>
              <w:left w:val="nil"/>
              <w:bottom w:val="nil"/>
              <w:right w:val="nil"/>
            </w:tcBorders>
            <w:shd w:val="clear" w:color="auto" w:fill="auto"/>
            <w:vAlign w:val="center"/>
          </w:tcPr>
          <w:p w:rsidR="006402D2" w:rsidRPr="007D7366" w:rsidRDefault="006402D2" w:rsidP="000A049C">
            <w:pPr>
              <w:pStyle w:val="standard"/>
              <w:keepNext/>
              <w:keepLines/>
              <w:spacing w:line="240" w:lineRule="auto"/>
              <w:ind w:firstLine="0"/>
              <w:jc w:val="right"/>
              <w:rPr>
                <w:rFonts w:ascii="TimesNewRomanPS-BoldMT" w:hAnsi="TimesNewRomanPS-BoldMT" w:cs="TimesNewRomanPS-BoldMT"/>
                <w:b/>
                <w:bCs/>
                <w:sz w:val="20"/>
              </w:rPr>
            </w:pPr>
            <w:r w:rsidRPr="007D7366">
              <w:rPr>
                <w:rFonts w:ascii="TimesNewRomanPS-BoldMT" w:hAnsi="TimesNewRomanPS-BoldMT" w:cs="TimesNewRomanPS-BoldMT"/>
                <w:b/>
                <w:bCs/>
                <w:sz w:val="20"/>
              </w:rPr>
              <w:t>2014</w:t>
            </w:r>
          </w:p>
        </w:tc>
        <w:tc>
          <w:tcPr>
            <w:tcW w:w="990" w:type="dxa"/>
            <w:gridSpan w:val="2"/>
            <w:tcBorders>
              <w:top w:val="single" w:sz="4" w:space="0" w:color="auto"/>
              <w:left w:val="nil"/>
              <w:bottom w:val="nil"/>
              <w:right w:val="nil"/>
            </w:tcBorders>
            <w:shd w:val="clear" w:color="auto" w:fill="auto"/>
            <w:vAlign w:val="center"/>
          </w:tcPr>
          <w:p w:rsidR="006402D2" w:rsidRPr="007D7366" w:rsidRDefault="006402D2" w:rsidP="000A049C">
            <w:pPr>
              <w:pStyle w:val="standard"/>
              <w:keepNext/>
              <w:keepLines/>
              <w:spacing w:line="240" w:lineRule="auto"/>
              <w:ind w:firstLine="0"/>
              <w:jc w:val="right"/>
              <w:rPr>
                <w:rFonts w:ascii="TimesNewRomanPS-BoldMT" w:hAnsi="TimesNewRomanPS-BoldMT" w:cs="TimesNewRomanPS-BoldMT"/>
                <w:b/>
                <w:bCs/>
                <w:sz w:val="20"/>
              </w:rPr>
            </w:pPr>
            <w:r w:rsidRPr="007D7366">
              <w:rPr>
                <w:rFonts w:ascii="TimesNewRomanPS-BoldMT" w:hAnsi="TimesNewRomanPS-BoldMT" w:cs="TimesNewRomanPS-BoldMT"/>
                <w:b/>
                <w:bCs/>
                <w:sz w:val="20"/>
              </w:rPr>
              <w:t>2015</w:t>
            </w:r>
          </w:p>
        </w:tc>
        <w:tc>
          <w:tcPr>
            <w:tcW w:w="990" w:type="dxa"/>
            <w:tcBorders>
              <w:top w:val="single" w:sz="4" w:space="0" w:color="auto"/>
              <w:left w:val="nil"/>
              <w:bottom w:val="nil"/>
              <w:right w:val="nil"/>
            </w:tcBorders>
            <w:shd w:val="clear" w:color="auto" w:fill="auto"/>
            <w:vAlign w:val="center"/>
          </w:tcPr>
          <w:p w:rsidR="006402D2" w:rsidRPr="007D7366" w:rsidRDefault="006402D2" w:rsidP="000A049C">
            <w:pPr>
              <w:pStyle w:val="standard"/>
              <w:keepNext/>
              <w:keepLines/>
              <w:spacing w:line="240" w:lineRule="auto"/>
              <w:ind w:firstLine="0"/>
              <w:jc w:val="right"/>
              <w:rPr>
                <w:rFonts w:ascii="TimesNewRomanPS-BoldMT" w:hAnsi="TimesNewRomanPS-BoldMT" w:cs="TimesNewRomanPS-BoldMT"/>
                <w:b/>
                <w:bCs/>
                <w:sz w:val="20"/>
              </w:rPr>
            </w:pPr>
            <w:r w:rsidRPr="007D7366">
              <w:rPr>
                <w:rFonts w:ascii="TimesNewRomanPS-BoldMT" w:hAnsi="TimesNewRomanPS-BoldMT" w:cs="TimesNewRomanPS-BoldMT"/>
                <w:b/>
                <w:bCs/>
                <w:sz w:val="20"/>
              </w:rPr>
              <w:t>2016</w:t>
            </w:r>
          </w:p>
        </w:tc>
        <w:tc>
          <w:tcPr>
            <w:tcW w:w="1008" w:type="dxa"/>
            <w:tcBorders>
              <w:top w:val="single" w:sz="4" w:space="0" w:color="auto"/>
              <w:left w:val="nil"/>
              <w:bottom w:val="nil"/>
              <w:right w:val="single" w:sz="4" w:space="0" w:color="auto"/>
            </w:tcBorders>
            <w:shd w:val="clear" w:color="auto" w:fill="auto"/>
            <w:vAlign w:val="center"/>
          </w:tcPr>
          <w:p w:rsidR="006402D2" w:rsidRPr="007D7366" w:rsidRDefault="006402D2" w:rsidP="000A049C">
            <w:pPr>
              <w:pStyle w:val="standard"/>
              <w:keepNext/>
              <w:keepLines/>
              <w:spacing w:line="240" w:lineRule="auto"/>
              <w:ind w:firstLine="0"/>
              <w:jc w:val="right"/>
              <w:rPr>
                <w:rFonts w:ascii="TimesNewRomanPS-BoldMT" w:hAnsi="TimesNewRomanPS-BoldMT" w:cs="TimesNewRomanPS-BoldMT"/>
                <w:b/>
                <w:bCs/>
                <w:sz w:val="20"/>
              </w:rPr>
            </w:pPr>
            <w:r w:rsidRPr="007D7366">
              <w:rPr>
                <w:rFonts w:ascii="TimesNewRomanPS-BoldMT" w:hAnsi="TimesNewRomanPS-BoldMT" w:cs="TimesNewRomanPS-BoldMT"/>
                <w:b/>
                <w:bCs/>
                <w:sz w:val="20"/>
              </w:rPr>
              <w:t>2017</w:t>
            </w: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tcPr>
          <w:p w:rsidR="006402D2" w:rsidRPr="000C5F4E" w:rsidRDefault="006402D2" w:rsidP="000A049C">
            <w:pPr>
              <w:pStyle w:val="standard"/>
              <w:keepNext/>
              <w:keepLines/>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Capital benefits - net</w:t>
            </w:r>
          </w:p>
        </w:tc>
        <w:tc>
          <w:tcPr>
            <w:tcW w:w="1080" w:type="dxa"/>
            <w:tcBorders>
              <w:top w:val="nil"/>
              <w:left w:val="nil"/>
              <w:bottom w:val="nil"/>
              <w:right w:val="nil"/>
            </w:tcBorders>
            <w:shd w:val="clear" w:color="auto" w:fill="auto"/>
            <w:vAlign w:val="center"/>
          </w:tcPr>
          <w:p w:rsidR="006402D2" w:rsidRDefault="006402D2" w:rsidP="000A049C">
            <w:pPr>
              <w:keepNext/>
              <w:keepLines/>
              <w:ind w:right="-18"/>
              <w:jc w:val="right"/>
            </w:pPr>
            <w:r w:rsidRPr="000C5F4E">
              <w:rPr>
                <w:rFonts w:ascii="TimesNewRomanPSMT" w:hAnsi="TimesNewRomanPSMT" w:cs="TimesNewRomanPSMT"/>
                <w:sz w:val="19"/>
                <w:szCs w:val="19"/>
              </w:rPr>
              <w:t>(59)</w:t>
            </w:r>
          </w:p>
        </w:tc>
        <w:tc>
          <w:tcPr>
            <w:tcW w:w="90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(156)</w:t>
            </w:r>
          </w:p>
        </w:tc>
        <w:tc>
          <w:tcPr>
            <w:tcW w:w="990" w:type="dxa"/>
            <w:gridSpan w:val="2"/>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(299)</w:t>
            </w:r>
          </w:p>
        </w:tc>
        <w:tc>
          <w:tcPr>
            <w:tcW w:w="99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(299)</w:t>
            </w:r>
          </w:p>
        </w:tc>
        <w:tc>
          <w:tcPr>
            <w:tcW w:w="1008" w:type="dxa"/>
            <w:tcBorders>
              <w:top w:val="nil"/>
              <w:left w:val="nil"/>
              <w:bottom w:val="nil"/>
              <w:right w:val="single" w:sz="4" w:space="0" w:color="auto"/>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(367)</w:t>
            </w: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tcPr>
          <w:p w:rsidR="006402D2" w:rsidRPr="000C5F4E" w:rsidRDefault="006402D2" w:rsidP="000A049C">
            <w:pPr>
              <w:pStyle w:val="standard"/>
              <w:keepNext/>
              <w:keepLines/>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O&amp;M benefits - net</w:t>
            </w:r>
          </w:p>
        </w:tc>
        <w:tc>
          <w:tcPr>
            <w:tcW w:w="108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(443)</w:t>
            </w:r>
          </w:p>
        </w:tc>
        <w:tc>
          <w:tcPr>
            <w:tcW w:w="90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(443)</w:t>
            </w:r>
          </w:p>
        </w:tc>
        <w:tc>
          <w:tcPr>
            <w:tcW w:w="990" w:type="dxa"/>
            <w:gridSpan w:val="2"/>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(443)</w:t>
            </w:r>
          </w:p>
        </w:tc>
        <w:tc>
          <w:tcPr>
            <w:tcW w:w="99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(443)</w:t>
            </w:r>
          </w:p>
        </w:tc>
        <w:tc>
          <w:tcPr>
            <w:tcW w:w="1008" w:type="dxa"/>
            <w:tcBorders>
              <w:top w:val="nil"/>
              <w:left w:val="nil"/>
              <w:bottom w:val="nil"/>
              <w:right w:val="single" w:sz="4" w:space="0" w:color="auto"/>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(443)</w:t>
            </w: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tcPr>
          <w:p w:rsidR="006402D2" w:rsidRPr="000C5F4E" w:rsidRDefault="006402D2" w:rsidP="000A049C">
            <w:pPr>
              <w:pStyle w:val="standard"/>
              <w:keepNext/>
              <w:keepLines/>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Property Taxes</w:t>
            </w:r>
          </w:p>
        </w:tc>
        <w:tc>
          <w:tcPr>
            <w:tcW w:w="108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1,695</w:t>
            </w:r>
          </w:p>
        </w:tc>
        <w:tc>
          <w:tcPr>
            <w:tcW w:w="90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2,300</w:t>
            </w:r>
          </w:p>
        </w:tc>
        <w:tc>
          <w:tcPr>
            <w:tcW w:w="990" w:type="dxa"/>
            <w:gridSpan w:val="2"/>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2,185</w:t>
            </w:r>
          </w:p>
        </w:tc>
        <w:tc>
          <w:tcPr>
            <w:tcW w:w="99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2,077</w:t>
            </w:r>
          </w:p>
        </w:tc>
        <w:tc>
          <w:tcPr>
            <w:tcW w:w="1008" w:type="dxa"/>
            <w:tcBorders>
              <w:top w:val="nil"/>
              <w:left w:val="nil"/>
              <w:bottom w:val="nil"/>
              <w:right w:val="single" w:sz="4" w:space="0" w:color="auto"/>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1,976</w:t>
            </w: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vAlign w:val="center"/>
          </w:tcPr>
          <w:p w:rsidR="006402D2" w:rsidRPr="000C5F4E" w:rsidRDefault="006402D2" w:rsidP="000A049C">
            <w:pPr>
              <w:pStyle w:val="standard"/>
              <w:keepNext/>
              <w:keepLines/>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Preferred Equity Interest</w:t>
            </w:r>
          </w:p>
        </w:tc>
        <w:tc>
          <w:tcPr>
            <w:tcW w:w="108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432</w:t>
            </w:r>
          </w:p>
        </w:tc>
        <w:tc>
          <w:tcPr>
            <w:tcW w:w="907" w:type="dxa"/>
            <w:gridSpan w:val="2"/>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587</w:t>
            </w:r>
          </w:p>
        </w:tc>
        <w:tc>
          <w:tcPr>
            <w:tcW w:w="983"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557</w:t>
            </w:r>
          </w:p>
        </w:tc>
        <w:tc>
          <w:tcPr>
            <w:tcW w:w="99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530</w:t>
            </w:r>
          </w:p>
        </w:tc>
        <w:tc>
          <w:tcPr>
            <w:tcW w:w="1008" w:type="dxa"/>
            <w:tcBorders>
              <w:top w:val="nil"/>
              <w:left w:val="nil"/>
              <w:bottom w:val="nil"/>
              <w:right w:val="single" w:sz="4" w:space="0" w:color="auto"/>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504</w:t>
            </w: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tcPr>
          <w:p w:rsidR="006402D2" w:rsidRPr="000C5F4E" w:rsidRDefault="006402D2" w:rsidP="000A049C">
            <w:pPr>
              <w:pStyle w:val="standard"/>
              <w:keepNext/>
              <w:keepLines/>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Interest Expense</w:t>
            </w:r>
          </w:p>
        </w:tc>
        <w:tc>
          <w:tcPr>
            <w:tcW w:w="108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4,447</w:t>
            </w:r>
          </w:p>
        </w:tc>
        <w:tc>
          <w:tcPr>
            <w:tcW w:w="90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6,033</w:t>
            </w:r>
          </w:p>
        </w:tc>
        <w:tc>
          <w:tcPr>
            <w:tcW w:w="990" w:type="dxa"/>
            <w:gridSpan w:val="2"/>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5,732</w:t>
            </w:r>
          </w:p>
        </w:tc>
        <w:tc>
          <w:tcPr>
            <w:tcW w:w="99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5,450</w:t>
            </w:r>
          </w:p>
        </w:tc>
        <w:tc>
          <w:tcPr>
            <w:tcW w:w="1008" w:type="dxa"/>
            <w:tcBorders>
              <w:top w:val="nil"/>
              <w:left w:val="nil"/>
              <w:bottom w:val="nil"/>
              <w:right w:val="single" w:sz="4" w:space="0" w:color="auto"/>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5,185</w:t>
            </w: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tcPr>
          <w:p w:rsidR="006402D2" w:rsidRPr="000C5F4E" w:rsidRDefault="006402D2" w:rsidP="000A049C">
            <w:pPr>
              <w:pStyle w:val="standard"/>
              <w:keepNext/>
              <w:keepLines/>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Depreciation Expense</w:t>
            </w:r>
          </w:p>
        </w:tc>
        <w:tc>
          <w:tcPr>
            <w:tcW w:w="108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3,978</w:t>
            </w:r>
          </w:p>
        </w:tc>
        <w:tc>
          <w:tcPr>
            <w:tcW w:w="907" w:type="dxa"/>
            <w:gridSpan w:val="2"/>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5,304</w:t>
            </w:r>
          </w:p>
        </w:tc>
        <w:tc>
          <w:tcPr>
            <w:tcW w:w="983" w:type="dxa"/>
            <w:tcBorders>
              <w:top w:val="nil"/>
              <w:left w:val="nil"/>
              <w:bottom w:val="nil"/>
              <w:right w:val="nil"/>
            </w:tcBorders>
            <w:shd w:val="clear" w:color="auto" w:fill="auto"/>
            <w:vAlign w:val="center"/>
          </w:tcPr>
          <w:p w:rsidR="006402D2" w:rsidRPr="000C5F4E" w:rsidRDefault="006402D2" w:rsidP="000A049C">
            <w:pPr>
              <w:keepNext/>
              <w:keepLines/>
              <w:jc w:val="right"/>
              <w:rPr>
                <w:rFonts w:ascii="TimesNewRomanPSMT" w:hAnsi="TimesNewRomanPSMT" w:cs="TimesNewRomanPSMT"/>
                <w:sz w:val="19"/>
                <w:szCs w:val="19"/>
              </w:rPr>
            </w:pPr>
            <w:r w:rsidRPr="000C5F4E">
              <w:rPr>
                <w:rFonts w:ascii="TimesNewRomanPSMT" w:hAnsi="TimesNewRomanPSMT" w:cs="TimesNewRomanPSMT"/>
                <w:sz w:val="19"/>
                <w:szCs w:val="19"/>
              </w:rPr>
              <w:t>5,304</w:t>
            </w:r>
          </w:p>
        </w:tc>
        <w:tc>
          <w:tcPr>
            <w:tcW w:w="990" w:type="dxa"/>
            <w:tcBorders>
              <w:top w:val="nil"/>
              <w:left w:val="nil"/>
              <w:bottom w:val="nil"/>
              <w:right w:val="nil"/>
            </w:tcBorders>
            <w:shd w:val="clear" w:color="auto" w:fill="auto"/>
            <w:vAlign w:val="center"/>
          </w:tcPr>
          <w:p w:rsidR="006402D2" w:rsidRPr="000C5F4E" w:rsidRDefault="006402D2" w:rsidP="000A049C">
            <w:pPr>
              <w:keepNext/>
              <w:keepLines/>
              <w:jc w:val="right"/>
              <w:rPr>
                <w:rFonts w:ascii="TimesNewRomanPSMT" w:hAnsi="TimesNewRomanPSMT" w:cs="TimesNewRomanPSMT"/>
                <w:sz w:val="19"/>
                <w:szCs w:val="19"/>
              </w:rPr>
            </w:pPr>
            <w:r w:rsidRPr="000C5F4E">
              <w:rPr>
                <w:rFonts w:ascii="TimesNewRomanPSMT" w:hAnsi="TimesNewRomanPSMT" w:cs="TimesNewRomanPSMT"/>
                <w:sz w:val="19"/>
                <w:szCs w:val="19"/>
              </w:rPr>
              <w:t>5,304</w:t>
            </w:r>
          </w:p>
        </w:tc>
        <w:tc>
          <w:tcPr>
            <w:tcW w:w="1008" w:type="dxa"/>
            <w:tcBorders>
              <w:top w:val="nil"/>
              <w:left w:val="nil"/>
              <w:bottom w:val="nil"/>
              <w:right w:val="single" w:sz="4" w:space="0" w:color="auto"/>
            </w:tcBorders>
            <w:shd w:val="clear" w:color="auto" w:fill="auto"/>
            <w:vAlign w:val="center"/>
          </w:tcPr>
          <w:p w:rsidR="006402D2" w:rsidRPr="000C5F4E" w:rsidRDefault="006402D2" w:rsidP="000A049C">
            <w:pPr>
              <w:keepNext/>
              <w:keepLines/>
              <w:jc w:val="right"/>
              <w:rPr>
                <w:rFonts w:ascii="TimesNewRomanPSMT" w:hAnsi="TimesNewRomanPSMT" w:cs="TimesNewRomanPSMT"/>
                <w:sz w:val="19"/>
                <w:szCs w:val="19"/>
              </w:rPr>
            </w:pPr>
            <w:r w:rsidRPr="000C5F4E">
              <w:rPr>
                <w:rFonts w:ascii="TimesNewRomanPSMT" w:hAnsi="TimesNewRomanPSMT" w:cs="TimesNewRomanPSMT"/>
                <w:sz w:val="19"/>
                <w:szCs w:val="19"/>
              </w:rPr>
              <w:t>5,304</w:t>
            </w: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tcPr>
          <w:p w:rsidR="006402D2" w:rsidRPr="000C5F4E" w:rsidRDefault="006402D2" w:rsidP="000A049C">
            <w:pPr>
              <w:pStyle w:val="standard"/>
              <w:keepNext/>
              <w:keepLines/>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Federal Tax Expense</w:t>
            </w:r>
          </w:p>
        </w:tc>
        <w:tc>
          <w:tcPr>
            <w:tcW w:w="108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4,674</w:t>
            </w:r>
          </w:p>
        </w:tc>
        <w:tc>
          <w:tcPr>
            <w:tcW w:w="90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5,642</w:t>
            </w:r>
          </w:p>
        </w:tc>
        <w:tc>
          <w:tcPr>
            <w:tcW w:w="990" w:type="dxa"/>
            <w:gridSpan w:val="2"/>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5,549</w:t>
            </w:r>
          </w:p>
        </w:tc>
        <w:tc>
          <w:tcPr>
            <w:tcW w:w="99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5,271</w:t>
            </w:r>
          </w:p>
        </w:tc>
        <w:tc>
          <w:tcPr>
            <w:tcW w:w="1008" w:type="dxa"/>
            <w:tcBorders>
              <w:top w:val="nil"/>
              <w:left w:val="nil"/>
              <w:bottom w:val="nil"/>
              <w:right w:val="single" w:sz="4" w:space="0" w:color="auto"/>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5,020</w:t>
            </w: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tcPr>
          <w:p w:rsidR="006402D2" w:rsidRPr="000C5F4E" w:rsidRDefault="006402D2" w:rsidP="000A049C">
            <w:pPr>
              <w:pStyle w:val="standard"/>
              <w:keepNext/>
              <w:keepLines/>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State Tax Expense</w:t>
            </w:r>
          </w:p>
        </w:tc>
        <w:tc>
          <w:tcPr>
            <w:tcW w:w="108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757</w:t>
            </w:r>
          </w:p>
        </w:tc>
        <w:tc>
          <w:tcPr>
            <w:tcW w:w="907" w:type="dxa"/>
            <w:gridSpan w:val="2"/>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493</w:t>
            </w:r>
          </w:p>
        </w:tc>
        <w:tc>
          <w:tcPr>
            <w:tcW w:w="983"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576</w:t>
            </w:r>
          </w:p>
        </w:tc>
        <w:tc>
          <w:tcPr>
            <w:tcW w:w="990" w:type="dxa"/>
            <w:tcBorders>
              <w:top w:val="nil"/>
              <w:left w:val="nil"/>
              <w:bottom w:val="nil"/>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632</w:t>
            </w:r>
          </w:p>
        </w:tc>
        <w:tc>
          <w:tcPr>
            <w:tcW w:w="1008" w:type="dxa"/>
            <w:tcBorders>
              <w:top w:val="nil"/>
              <w:left w:val="nil"/>
              <w:bottom w:val="nil"/>
              <w:right w:val="single" w:sz="4" w:space="0" w:color="auto"/>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682</w:t>
            </w:r>
          </w:p>
        </w:tc>
      </w:tr>
      <w:tr w:rsidR="006402D2" w:rsidTr="009E5BE8">
        <w:trPr>
          <w:trHeight w:hRule="exact" w:val="288"/>
          <w:jc w:val="center"/>
        </w:trPr>
        <w:tc>
          <w:tcPr>
            <w:tcW w:w="3888" w:type="dxa"/>
            <w:tcBorders>
              <w:top w:val="nil"/>
              <w:left w:val="single" w:sz="4" w:space="0" w:color="auto"/>
              <w:bottom w:val="nil"/>
              <w:right w:val="nil"/>
            </w:tcBorders>
            <w:shd w:val="clear" w:color="auto" w:fill="auto"/>
          </w:tcPr>
          <w:p w:rsidR="006402D2" w:rsidRPr="000C5F4E" w:rsidRDefault="006402D2" w:rsidP="000A049C">
            <w:pPr>
              <w:pStyle w:val="standard"/>
              <w:keepNext/>
              <w:keepLines/>
              <w:spacing w:before="40" w:line="240" w:lineRule="auto"/>
              <w:ind w:firstLine="0"/>
              <w:rPr>
                <w:rFonts w:ascii="TimesNewRomanPSMT" w:hAnsi="TimesNewRomanPSMT" w:cs="TimesNewRomanPSMT"/>
                <w:sz w:val="22"/>
                <w:szCs w:val="22"/>
              </w:rPr>
            </w:pPr>
            <w:r w:rsidRPr="000C5F4E">
              <w:rPr>
                <w:rFonts w:ascii="TimesNewRomanPSMT" w:hAnsi="TimesNewRomanPSMT" w:cs="TimesNewRomanPSMT"/>
                <w:sz w:val="22"/>
                <w:szCs w:val="22"/>
              </w:rPr>
              <w:t>Return on Equity</w:t>
            </w:r>
          </w:p>
        </w:tc>
        <w:tc>
          <w:tcPr>
            <w:tcW w:w="1080" w:type="dxa"/>
            <w:tcBorders>
              <w:top w:val="nil"/>
              <w:left w:val="nil"/>
              <w:bottom w:val="single" w:sz="4" w:space="0" w:color="auto"/>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7,275</w:t>
            </w:r>
          </w:p>
        </w:tc>
        <w:tc>
          <w:tcPr>
            <w:tcW w:w="900" w:type="dxa"/>
            <w:tcBorders>
              <w:top w:val="nil"/>
              <w:left w:val="nil"/>
              <w:bottom w:val="single" w:sz="4" w:space="0" w:color="auto"/>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9,871</w:t>
            </w:r>
          </w:p>
        </w:tc>
        <w:tc>
          <w:tcPr>
            <w:tcW w:w="990" w:type="dxa"/>
            <w:gridSpan w:val="2"/>
            <w:tcBorders>
              <w:top w:val="nil"/>
              <w:left w:val="nil"/>
              <w:bottom w:val="single" w:sz="4" w:space="0" w:color="auto"/>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9,379</w:t>
            </w:r>
          </w:p>
        </w:tc>
        <w:tc>
          <w:tcPr>
            <w:tcW w:w="990" w:type="dxa"/>
            <w:tcBorders>
              <w:top w:val="nil"/>
              <w:left w:val="nil"/>
              <w:bottom w:val="single" w:sz="4" w:space="0" w:color="auto"/>
              <w:right w:val="nil"/>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8,917</w:t>
            </w:r>
          </w:p>
        </w:tc>
        <w:tc>
          <w:tcPr>
            <w:tcW w:w="1008" w:type="dxa"/>
            <w:tcBorders>
              <w:top w:val="nil"/>
              <w:left w:val="nil"/>
              <w:bottom w:val="single" w:sz="4" w:space="0" w:color="auto"/>
              <w:right w:val="single" w:sz="4" w:space="0" w:color="auto"/>
            </w:tcBorders>
            <w:shd w:val="clear" w:color="auto" w:fill="auto"/>
            <w:vAlign w:val="center"/>
          </w:tcPr>
          <w:p w:rsidR="006402D2" w:rsidRPr="000C5F4E" w:rsidRDefault="006402D2" w:rsidP="000A049C">
            <w:pPr>
              <w:keepNext/>
              <w:keepLines/>
              <w:ind w:right="-18"/>
              <w:jc w:val="right"/>
              <w:rPr>
                <w:rFonts w:ascii="TimesNewRomanPSMT" w:hAnsi="TimesNewRomanPSMT" w:cs="TimesNewRomanPSMT"/>
                <w:sz w:val="19"/>
                <w:szCs w:val="19"/>
              </w:rPr>
            </w:pPr>
            <w:r w:rsidRPr="000C5F4E">
              <w:rPr>
                <w:rFonts w:ascii="TimesNewRomanPSMT" w:hAnsi="TimesNewRomanPSMT" w:cs="TimesNewRomanPSMT"/>
                <w:sz w:val="19"/>
                <w:szCs w:val="19"/>
              </w:rPr>
              <w:t>8,483</w:t>
            </w:r>
          </w:p>
        </w:tc>
      </w:tr>
      <w:tr w:rsidR="006402D2" w:rsidTr="009E5BE8">
        <w:trPr>
          <w:trHeight w:hRule="exact" w:val="352"/>
          <w:jc w:val="center"/>
        </w:trPr>
        <w:tc>
          <w:tcPr>
            <w:tcW w:w="3888" w:type="dxa"/>
            <w:tcBorders>
              <w:top w:val="nil"/>
              <w:left w:val="single" w:sz="4" w:space="0" w:color="auto"/>
              <w:bottom w:val="single" w:sz="4" w:space="0" w:color="auto"/>
              <w:right w:val="nil"/>
            </w:tcBorders>
            <w:shd w:val="clear" w:color="auto" w:fill="auto"/>
          </w:tcPr>
          <w:p w:rsidR="006402D2" w:rsidRPr="000C5F4E" w:rsidRDefault="006402D2" w:rsidP="00CC72E1">
            <w:pPr>
              <w:pStyle w:val="standard"/>
              <w:spacing w:before="40" w:line="240" w:lineRule="auto"/>
              <w:ind w:firstLine="0"/>
              <w:rPr>
                <w:rFonts w:ascii="TimesNewRomanPSMT" w:hAnsi="TimesNewRomanPSMT" w:cs="TimesNewRomanPSMT"/>
                <w:b/>
                <w:sz w:val="22"/>
                <w:szCs w:val="22"/>
              </w:rPr>
            </w:pPr>
            <w:r w:rsidRPr="000C5F4E">
              <w:rPr>
                <w:rFonts w:ascii="TimesNewRomanPSMT" w:hAnsi="TimesNewRomanPSMT" w:cs="TimesNewRomanPSMT"/>
                <w:b/>
                <w:sz w:val="22"/>
                <w:szCs w:val="22"/>
              </w:rPr>
              <w:t>Revenue Requirement</w:t>
            </w:r>
          </w:p>
        </w:tc>
        <w:tc>
          <w:tcPr>
            <w:tcW w:w="1080" w:type="dxa"/>
            <w:tcBorders>
              <w:top w:val="nil"/>
              <w:left w:val="nil"/>
              <w:bottom w:val="single" w:sz="4" w:space="0" w:color="auto"/>
              <w:right w:val="nil"/>
            </w:tcBorders>
            <w:shd w:val="clear" w:color="auto" w:fill="auto"/>
            <w:vAlign w:val="center"/>
          </w:tcPr>
          <w:p w:rsidR="006402D2" w:rsidRPr="000C5F4E" w:rsidRDefault="006402D2" w:rsidP="00CC72E1">
            <w:pPr>
              <w:ind w:right="-18"/>
              <w:jc w:val="right"/>
              <w:rPr>
                <w:rFonts w:ascii="TimesNewRomanPSMT" w:hAnsi="TimesNewRomanPSMT" w:cs="TimesNewRomanPSMT"/>
                <w:sz w:val="19"/>
                <w:szCs w:val="19"/>
              </w:rPr>
            </w:pPr>
            <w:r w:rsidRPr="000C5F4E">
              <w:rPr>
                <w:rFonts w:ascii="TimesNewRomanPSMT" w:hAnsi="TimesNewRomanPSMT" w:cs="TimesNewRomanPSMT"/>
                <w:sz w:val="19"/>
                <w:szCs w:val="19"/>
              </w:rPr>
              <w:t>22,756</w:t>
            </w:r>
          </w:p>
        </w:tc>
        <w:tc>
          <w:tcPr>
            <w:tcW w:w="900" w:type="dxa"/>
            <w:tcBorders>
              <w:top w:val="nil"/>
              <w:left w:val="nil"/>
              <w:bottom w:val="single" w:sz="4" w:space="0" w:color="auto"/>
              <w:right w:val="nil"/>
            </w:tcBorders>
            <w:shd w:val="clear" w:color="auto" w:fill="auto"/>
            <w:vAlign w:val="center"/>
          </w:tcPr>
          <w:p w:rsidR="006402D2" w:rsidRPr="000C5F4E" w:rsidRDefault="006402D2" w:rsidP="00CC72E1">
            <w:pPr>
              <w:ind w:right="-18"/>
              <w:jc w:val="right"/>
              <w:rPr>
                <w:rFonts w:ascii="TimesNewRomanPSMT" w:hAnsi="TimesNewRomanPSMT" w:cs="TimesNewRomanPSMT"/>
                <w:sz w:val="19"/>
                <w:szCs w:val="19"/>
              </w:rPr>
            </w:pPr>
            <w:r w:rsidRPr="000C5F4E">
              <w:rPr>
                <w:rFonts w:ascii="TimesNewRomanPSMT" w:hAnsi="TimesNewRomanPSMT" w:cs="TimesNewRomanPSMT"/>
                <w:sz w:val="19"/>
                <w:szCs w:val="19"/>
              </w:rPr>
              <w:t>29,630</w:t>
            </w:r>
          </w:p>
        </w:tc>
        <w:tc>
          <w:tcPr>
            <w:tcW w:w="990" w:type="dxa"/>
            <w:gridSpan w:val="2"/>
            <w:tcBorders>
              <w:top w:val="nil"/>
              <w:left w:val="nil"/>
              <w:bottom w:val="single" w:sz="4" w:space="0" w:color="auto"/>
              <w:right w:val="nil"/>
            </w:tcBorders>
            <w:shd w:val="clear" w:color="auto" w:fill="auto"/>
            <w:vAlign w:val="center"/>
          </w:tcPr>
          <w:p w:rsidR="006402D2" w:rsidRPr="000C5F4E" w:rsidRDefault="006402D2" w:rsidP="009E5BE8">
            <w:pPr>
              <w:ind w:right="-18"/>
              <w:jc w:val="right"/>
              <w:rPr>
                <w:rFonts w:ascii="TimesNewRomanPSMT" w:hAnsi="TimesNewRomanPSMT" w:cs="TimesNewRomanPSMT"/>
                <w:sz w:val="19"/>
                <w:szCs w:val="19"/>
              </w:rPr>
            </w:pPr>
            <w:r w:rsidRPr="000C5F4E">
              <w:rPr>
                <w:rFonts w:ascii="TimesNewRomanPSMT" w:hAnsi="TimesNewRomanPSMT" w:cs="TimesNewRomanPSMT"/>
                <w:sz w:val="19"/>
                <w:szCs w:val="19"/>
              </w:rPr>
              <w:t>28,611</w:t>
            </w:r>
          </w:p>
        </w:tc>
        <w:tc>
          <w:tcPr>
            <w:tcW w:w="990" w:type="dxa"/>
            <w:tcBorders>
              <w:top w:val="nil"/>
              <w:left w:val="nil"/>
              <w:bottom w:val="single" w:sz="4" w:space="0" w:color="auto"/>
              <w:right w:val="nil"/>
            </w:tcBorders>
            <w:shd w:val="clear" w:color="auto" w:fill="auto"/>
            <w:vAlign w:val="center"/>
          </w:tcPr>
          <w:p w:rsidR="006402D2" w:rsidRPr="000C5F4E" w:rsidRDefault="006402D2" w:rsidP="00CC72E1">
            <w:pPr>
              <w:ind w:right="-18"/>
              <w:jc w:val="right"/>
              <w:rPr>
                <w:rFonts w:ascii="TimesNewRomanPSMT" w:hAnsi="TimesNewRomanPSMT" w:cs="TimesNewRomanPSMT"/>
                <w:sz w:val="19"/>
                <w:szCs w:val="19"/>
              </w:rPr>
            </w:pPr>
            <w:r w:rsidRPr="000C5F4E">
              <w:rPr>
                <w:rFonts w:ascii="TimesNewRomanPSMT" w:hAnsi="TimesNewRomanPSMT" w:cs="TimesNewRomanPSMT"/>
                <w:sz w:val="19"/>
                <w:szCs w:val="19"/>
              </w:rPr>
              <w:t>27,439</w:t>
            </w:r>
          </w:p>
        </w:tc>
        <w:tc>
          <w:tcPr>
            <w:tcW w:w="1008" w:type="dxa"/>
            <w:tcBorders>
              <w:top w:val="nil"/>
              <w:left w:val="nil"/>
              <w:bottom w:val="single" w:sz="4" w:space="0" w:color="auto"/>
              <w:right w:val="single" w:sz="4" w:space="0" w:color="auto"/>
            </w:tcBorders>
            <w:shd w:val="clear" w:color="auto" w:fill="auto"/>
            <w:vAlign w:val="center"/>
          </w:tcPr>
          <w:p w:rsidR="006402D2" w:rsidRPr="000C5F4E" w:rsidRDefault="006402D2" w:rsidP="00CC72E1">
            <w:pPr>
              <w:ind w:right="-18"/>
              <w:jc w:val="right"/>
              <w:rPr>
                <w:rFonts w:ascii="TimesNewRomanPSMT" w:hAnsi="TimesNewRomanPSMT" w:cs="TimesNewRomanPSMT"/>
                <w:sz w:val="19"/>
                <w:szCs w:val="19"/>
              </w:rPr>
            </w:pPr>
            <w:r w:rsidRPr="000C5F4E">
              <w:rPr>
                <w:rFonts w:ascii="TimesNewRomanPSMT" w:hAnsi="TimesNewRomanPSMT" w:cs="TimesNewRomanPSMT"/>
                <w:sz w:val="19"/>
                <w:szCs w:val="19"/>
              </w:rPr>
              <w:t>26,344</w:t>
            </w:r>
          </w:p>
        </w:tc>
      </w:tr>
    </w:tbl>
    <w:p w:rsidR="006402D2" w:rsidRPr="007D7366" w:rsidRDefault="006402D2" w:rsidP="006402D2">
      <w:pPr>
        <w:pStyle w:val="standard"/>
        <w:rPr>
          <w:rFonts w:ascii="TimesNewRomanPSMT" w:hAnsi="TimesNewRomanPSMT" w:cs="TimesNewRomanPSMT"/>
          <w:sz w:val="20"/>
          <w:szCs w:val="24"/>
          <w:highlight w:val="yellow"/>
        </w:rPr>
      </w:pPr>
    </w:p>
    <w:p w:rsidR="006402D2" w:rsidRPr="009E5BE8" w:rsidRDefault="006402D2" w:rsidP="006402D2">
      <w:pPr>
        <w:pStyle w:val="standard"/>
      </w:pPr>
      <w:r w:rsidRPr="009E5BE8">
        <w:t xml:space="preserve">SoCalGas seeks to place its proposed revenue requirement into rates after the Project is in service.  However, we must consider that SoCalGas based its proposed revenue requirement on estimated </w:t>
      </w:r>
      <w:r w:rsidR="00D74C0A">
        <w:t>P</w:t>
      </w:r>
      <w:r w:rsidRPr="009E5BE8">
        <w:t xml:space="preserve">roject costs and that we adopted a maximum reasonable cost cap of $200.9 million.  When the Project is completed and in service, SoCalGas will know the total costs it incurred in comparison to the maximum reasonable cost cap of $200.9 million.  On this basis, SoCalGas shall observe the following criteria for incorporating the Project’s revenue requirement </w:t>
      </w:r>
      <w:r w:rsidR="005345C5">
        <w:t>into rates.  In the event that P</w:t>
      </w:r>
      <w:r w:rsidRPr="009E5BE8">
        <w:t xml:space="preserve">roject </w:t>
      </w:r>
      <w:r w:rsidR="005345C5">
        <w:t xml:space="preserve">costs </w:t>
      </w:r>
      <w:r w:rsidRPr="009E5BE8">
        <w:t>are below $200.9</w:t>
      </w:r>
      <w:r w:rsidR="009E5BE8" w:rsidRPr="009E5BE8">
        <w:t> </w:t>
      </w:r>
      <w:r w:rsidRPr="009E5BE8">
        <w:t xml:space="preserve">million, </w:t>
      </w:r>
      <w:r w:rsidR="005345C5">
        <w:t>SoCalGas must</w:t>
      </w:r>
      <w:r w:rsidRPr="009E5BE8">
        <w:t xml:space="preserve"> use actual </w:t>
      </w:r>
      <w:r w:rsidR="005345C5">
        <w:t>P</w:t>
      </w:r>
      <w:r w:rsidRPr="009E5BE8">
        <w:t>roject costs for the revenue requirement.  If actual Project costs excee</w:t>
      </w:r>
      <w:r w:rsidR="005345C5">
        <w:t>d $200.9 million, SoCalGas must</w:t>
      </w:r>
      <w:r w:rsidRPr="009E5BE8">
        <w:t xml:space="preserve"> use the</w:t>
      </w:r>
      <w:r w:rsidR="009E5BE8" w:rsidRPr="009E5BE8">
        <w:t> </w:t>
      </w:r>
      <w:r w:rsidRPr="009E5BE8">
        <w:t>revenue requirement associated with $200.9 million and not the full cost to complete the Project.  SoCalGas must use the ROE and ROR authorized in D.12</w:t>
      </w:r>
      <w:r w:rsidR="009E5BE8" w:rsidRPr="009E5BE8">
        <w:noBreakHyphen/>
      </w:r>
      <w:r w:rsidRPr="009E5BE8">
        <w:t>12-034 and current Commission depreciation policies for SoCalGas adopted in D.13-05-010 for the revenue requirement it seeks to place into rates.  Furthermore, the O&amp;M savings and capital benefits summarized above must be reflected in the revenue requirement</w:t>
      </w:r>
      <w:r w:rsidR="00D74C0A">
        <w:t>, subject to the balancing account treatment discussed below</w:t>
      </w:r>
      <w:r w:rsidRPr="009E5BE8">
        <w:t>.</w:t>
      </w:r>
    </w:p>
    <w:p w:rsidR="00A758D2" w:rsidRDefault="006402D2" w:rsidP="006402D2">
      <w:pPr>
        <w:pStyle w:val="standard"/>
      </w:pPr>
      <w:r w:rsidRPr="009E5BE8">
        <w:t>Under P</w:t>
      </w:r>
      <w:r w:rsidR="00FF3AEA">
        <w:t xml:space="preserve">ublic </w:t>
      </w:r>
      <w:r w:rsidRPr="009E5BE8">
        <w:t>U</w:t>
      </w:r>
      <w:r w:rsidR="00FF3AEA">
        <w:t>tilities</w:t>
      </w:r>
      <w:r w:rsidRPr="009E5BE8">
        <w:t xml:space="preserve"> Code </w:t>
      </w:r>
      <w:r w:rsidR="000A049C">
        <w:t>S</w:t>
      </w:r>
      <w:r w:rsidRPr="009E5BE8">
        <w:t xml:space="preserve">ection 1005.5(b), the Commission may increase the maximum reasonable cost threshold for a project if the present or future public convenience and necessity require construction of the project at the increased cost.  If SoCalGas incurs costs above $200.9 million to complete the Project for which it seeks recovery, </w:t>
      </w:r>
      <w:r w:rsidR="00A019A7" w:rsidRPr="009E5BE8">
        <w:t>SoCalGas</w:t>
      </w:r>
      <w:r w:rsidR="00A019A7" w:rsidRPr="009E5BE8" w:rsidDel="00A019A7">
        <w:t xml:space="preserve"> </w:t>
      </w:r>
      <w:r w:rsidR="00A019A7">
        <w:t xml:space="preserve">must </w:t>
      </w:r>
      <w:r w:rsidRPr="009E5BE8">
        <w:t>record the</w:t>
      </w:r>
      <w:r w:rsidR="00D74C0A">
        <w:t xml:space="preserve"> excess</w:t>
      </w:r>
      <w:r w:rsidRPr="009E5BE8">
        <w:t xml:space="preserve"> costs to a memorandum account.  We will consider increasing the maximum reasonable cost threshold upon a review of all </w:t>
      </w:r>
      <w:r w:rsidR="00630761">
        <w:t>P</w:t>
      </w:r>
      <w:r w:rsidRPr="009E5BE8">
        <w:t>roject costs, including those recorded in the memorandum account, in SoCalGas’ next GRC.  Because the cost savings SoCalGas asserted ratepayers will realize from the new electric compressors were an important factor in approving the Project, we will also review SoCalGas’ efforts to maximize these cost savings in this reasonableness review.  SoCalGas bears the burden to show that the project costs and cost savings are reasonable.</w:t>
      </w:r>
      <w:r w:rsidRPr="00ED187B">
        <w:t xml:space="preserve"> </w:t>
      </w:r>
      <w:r>
        <w:t xml:space="preserve"> SoCalGas may file its request to establish a memorandum account through a Tier</w:t>
      </w:r>
      <w:r w:rsidR="00FF3AEA">
        <w:t> </w:t>
      </w:r>
      <w:r>
        <w:t>2 advice letter</w:t>
      </w:r>
      <w:r w:rsidR="00630761">
        <w:t xml:space="preserve"> no later than 30 days from </w:t>
      </w:r>
      <w:r w:rsidR="00E05200">
        <w:t>the effective date of this decision</w:t>
      </w:r>
      <w:r>
        <w:t>.</w:t>
      </w:r>
    </w:p>
    <w:p w:rsidR="00A758D2" w:rsidRPr="00700CF6" w:rsidRDefault="00A758D2" w:rsidP="00917988">
      <w:pPr>
        <w:pStyle w:val="Heading1"/>
        <w:numPr>
          <w:ilvl w:val="1"/>
          <w:numId w:val="37"/>
        </w:numPr>
        <w:ind w:left="1440" w:hanging="720"/>
      </w:pPr>
      <w:bookmarkStart w:id="67" w:name="_Toc369507339"/>
      <w:r w:rsidRPr="00700CF6">
        <w:t>Rate Treatment</w:t>
      </w:r>
      <w:bookmarkEnd w:id="67"/>
    </w:p>
    <w:p w:rsidR="009D1BC1" w:rsidRDefault="009D1BC1" w:rsidP="009D1BC1">
      <w:pPr>
        <w:pStyle w:val="standard"/>
      </w:pPr>
      <w:r>
        <w:t xml:space="preserve">SoCalGas </w:t>
      </w:r>
      <w:r w:rsidR="004516CE">
        <w:t>must</w:t>
      </w:r>
      <w:r>
        <w:t xml:space="preserve"> file a Tier 2 advice letter within 60 days after the </w:t>
      </w:r>
      <w:r w:rsidR="004516CE">
        <w:t xml:space="preserve">Project </w:t>
      </w:r>
      <w:r>
        <w:t xml:space="preserve">assets are placed in service to incorporate the revenue requirements in rates on the first day of the next month following advice letter approval. </w:t>
      </w:r>
      <w:r w:rsidR="00207803">
        <w:t xml:space="preserve"> </w:t>
      </w:r>
      <w:r>
        <w:t>The revenue requirement must be updated in subsequent years in connection with SoCalGas’ Consolidated Rate Filing for rates effective January 1st of the following year.</w:t>
      </w:r>
      <w:r w:rsidR="004516CE">
        <w:rPr>
          <w:rStyle w:val="FootnoteReference"/>
        </w:rPr>
        <w:footnoteReference w:id="51"/>
      </w:r>
      <w:r>
        <w:t xml:space="preserve">  The revenue requirement associated with the Project </w:t>
      </w:r>
      <w:r w:rsidR="004516CE">
        <w:t>must</w:t>
      </w:r>
      <w:r>
        <w:t xml:space="preserve"> be allocated to: </w:t>
      </w:r>
      <w:r w:rsidR="00FF3AEA">
        <w:t xml:space="preserve"> </w:t>
      </w:r>
      <w:r>
        <w:t>(1) the Combined SoCalGas &amp; SDG&amp;E Core Storage, (2) Balancing, and (3) Unbundled Storage based on the total injection capacity after the Project has been completed.</w:t>
      </w:r>
    </w:p>
    <w:p w:rsidR="004516CE" w:rsidRDefault="009D1BC1" w:rsidP="00FF3AEA">
      <w:pPr>
        <w:pStyle w:val="standard"/>
        <w:spacing w:after="120"/>
      </w:pPr>
      <w:r>
        <w:t>The “post-replacement” injection capacities are show</w:t>
      </w:r>
      <w:r w:rsidR="00207803">
        <w:t>n in Table 3 of the Application</w:t>
      </w:r>
      <w:r>
        <w:t xml:space="preserve"> and reproduced below.</w:t>
      </w:r>
    </w:p>
    <w:tbl>
      <w:tblPr>
        <w:tblW w:w="0" w:type="auto"/>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080"/>
        <w:gridCol w:w="1260"/>
        <w:gridCol w:w="1260"/>
        <w:gridCol w:w="2250"/>
        <w:gridCol w:w="1858"/>
      </w:tblGrid>
      <w:tr w:rsidR="00207803" w:rsidTr="00541F23">
        <w:trPr>
          <w:jc w:val="center"/>
        </w:trPr>
        <w:tc>
          <w:tcPr>
            <w:tcW w:w="9297" w:type="dxa"/>
            <w:gridSpan w:val="6"/>
            <w:shd w:val="clear" w:color="auto" w:fill="auto"/>
            <w:vAlign w:val="bottom"/>
          </w:tcPr>
          <w:p w:rsidR="00207803" w:rsidRPr="008352BD" w:rsidRDefault="00207803" w:rsidP="00541F23">
            <w:pPr>
              <w:keepNext/>
              <w:keepLines/>
              <w:autoSpaceDE w:val="0"/>
              <w:autoSpaceDN w:val="0"/>
              <w:adjustRightInd w:val="0"/>
              <w:jc w:val="center"/>
              <w:rPr>
                <w:b/>
                <w:sz w:val="22"/>
                <w:szCs w:val="24"/>
              </w:rPr>
            </w:pPr>
            <w:r w:rsidRPr="008352BD">
              <w:rPr>
                <w:b/>
                <w:sz w:val="22"/>
                <w:szCs w:val="24"/>
              </w:rPr>
              <w:t>TABLE 3</w:t>
            </w:r>
          </w:p>
          <w:p w:rsidR="00207803" w:rsidRDefault="00207803" w:rsidP="00541F23">
            <w:pPr>
              <w:pStyle w:val="standard"/>
              <w:keepNext/>
              <w:keepLines/>
              <w:spacing w:line="240" w:lineRule="auto"/>
              <w:ind w:firstLine="0"/>
              <w:jc w:val="center"/>
            </w:pPr>
            <w:r w:rsidRPr="008352BD">
              <w:rPr>
                <w:b/>
                <w:sz w:val="22"/>
                <w:szCs w:val="24"/>
              </w:rPr>
              <w:t>Storage Injection Capacity (MMcfd)</w:t>
            </w:r>
          </w:p>
        </w:tc>
      </w:tr>
      <w:tr w:rsidR="00207803" w:rsidTr="00541F23">
        <w:trPr>
          <w:jc w:val="center"/>
        </w:trPr>
        <w:tc>
          <w:tcPr>
            <w:tcW w:w="1589" w:type="dxa"/>
            <w:shd w:val="clear" w:color="auto" w:fill="auto"/>
            <w:vAlign w:val="bottom"/>
          </w:tcPr>
          <w:p w:rsidR="00207803" w:rsidRDefault="00207803" w:rsidP="00541F23">
            <w:pPr>
              <w:pStyle w:val="standard"/>
              <w:keepNext/>
              <w:keepLines/>
              <w:ind w:firstLine="0"/>
              <w:jc w:val="center"/>
            </w:pPr>
          </w:p>
        </w:tc>
        <w:tc>
          <w:tcPr>
            <w:tcW w:w="1080" w:type="dxa"/>
            <w:shd w:val="clear" w:color="auto" w:fill="auto"/>
            <w:vAlign w:val="bottom"/>
          </w:tcPr>
          <w:p w:rsidR="00207803" w:rsidRPr="008352BD" w:rsidRDefault="00207803" w:rsidP="00541F23">
            <w:pPr>
              <w:pStyle w:val="standard"/>
              <w:keepNext/>
              <w:keepLines/>
              <w:spacing w:line="240" w:lineRule="auto"/>
              <w:ind w:firstLine="0"/>
              <w:jc w:val="center"/>
              <w:rPr>
                <w:b/>
                <w:sz w:val="22"/>
                <w:szCs w:val="24"/>
              </w:rPr>
            </w:pPr>
            <w:r w:rsidRPr="008352BD">
              <w:rPr>
                <w:b/>
                <w:sz w:val="22"/>
                <w:szCs w:val="24"/>
              </w:rPr>
              <w:t>Current</w:t>
            </w:r>
          </w:p>
          <w:p w:rsidR="00207803" w:rsidRPr="008352BD" w:rsidRDefault="00207803" w:rsidP="00541F23">
            <w:pPr>
              <w:pStyle w:val="standard"/>
              <w:keepNext/>
              <w:keepLines/>
              <w:spacing w:line="240" w:lineRule="auto"/>
              <w:ind w:firstLine="0"/>
              <w:jc w:val="center"/>
              <w:rPr>
                <w:b/>
                <w:sz w:val="22"/>
                <w:szCs w:val="24"/>
              </w:rPr>
            </w:pPr>
            <w:r w:rsidRPr="008352BD">
              <w:rPr>
                <w:b/>
                <w:sz w:val="22"/>
                <w:szCs w:val="24"/>
              </w:rPr>
              <w:t>MMcfd</w:t>
            </w:r>
          </w:p>
        </w:tc>
        <w:tc>
          <w:tcPr>
            <w:tcW w:w="1260" w:type="dxa"/>
            <w:shd w:val="clear" w:color="auto" w:fill="auto"/>
            <w:vAlign w:val="bottom"/>
          </w:tcPr>
          <w:p w:rsidR="00207803" w:rsidRPr="008352BD" w:rsidRDefault="00207803" w:rsidP="00541F23">
            <w:pPr>
              <w:pStyle w:val="standard"/>
              <w:keepNext/>
              <w:keepLines/>
              <w:spacing w:line="240" w:lineRule="auto"/>
              <w:ind w:firstLine="0"/>
              <w:jc w:val="center"/>
              <w:rPr>
                <w:b/>
                <w:sz w:val="22"/>
                <w:szCs w:val="24"/>
              </w:rPr>
            </w:pPr>
            <w:r w:rsidRPr="008352BD">
              <w:rPr>
                <w:b/>
                <w:sz w:val="22"/>
                <w:szCs w:val="24"/>
              </w:rPr>
              <w:t>Current %</w:t>
            </w:r>
          </w:p>
        </w:tc>
        <w:tc>
          <w:tcPr>
            <w:tcW w:w="1260" w:type="dxa"/>
            <w:shd w:val="clear" w:color="auto" w:fill="auto"/>
            <w:vAlign w:val="bottom"/>
          </w:tcPr>
          <w:p w:rsidR="00207803" w:rsidRPr="008352BD" w:rsidRDefault="00207803" w:rsidP="00541F23">
            <w:pPr>
              <w:pStyle w:val="standard"/>
              <w:keepNext/>
              <w:keepLines/>
              <w:spacing w:line="240" w:lineRule="auto"/>
              <w:ind w:firstLine="0"/>
              <w:jc w:val="center"/>
              <w:rPr>
                <w:b/>
                <w:sz w:val="22"/>
                <w:szCs w:val="24"/>
              </w:rPr>
            </w:pPr>
            <w:r w:rsidRPr="008352BD">
              <w:rPr>
                <w:b/>
                <w:sz w:val="22"/>
                <w:szCs w:val="24"/>
              </w:rPr>
              <w:t>Proposed</w:t>
            </w:r>
            <w:r w:rsidR="00541F23">
              <w:rPr>
                <w:b/>
                <w:sz w:val="22"/>
                <w:szCs w:val="24"/>
              </w:rPr>
              <w:t xml:space="preserve"> </w:t>
            </w:r>
            <w:r w:rsidRPr="008352BD">
              <w:rPr>
                <w:b/>
                <w:sz w:val="22"/>
                <w:szCs w:val="24"/>
              </w:rPr>
              <w:t>MMcfd*</w:t>
            </w:r>
          </w:p>
        </w:tc>
        <w:tc>
          <w:tcPr>
            <w:tcW w:w="2250" w:type="dxa"/>
            <w:shd w:val="clear" w:color="auto" w:fill="auto"/>
            <w:vAlign w:val="bottom"/>
          </w:tcPr>
          <w:p w:rsidR="00207803" w:rsidRPr="008352BD" w:rsidRDefault="00207803" w:rsidP="00541F23">
            <w:pPr>
              <w:pStyle w:val="standard"/>
              <w:keepNext/>
              <w:keepLines/>
              <w:spacing w:line="240" w:lineRule="auto"/>
              <w:ind w:firstLine="0"/>
              <w:jc w:val="center"/>
              <w:rPr>
                <w:b/>
                <w:sz w:val="22"/>
                <w:szCs w:val="24"/>
              </w:rPr>
            </w:pPr>
            <w:r w:rsidRPr="008352BD">
              <w:rPr>
                <w:b/>
                <w:sz w:val="22"/>
                <w:szCs w:val="24"/>
              </w:rPr>
              <w:t>Post</w:t>
            </w:r>
            <w:r w:rsidR="00541F23">
              <w:rPr>
                <w:b/>
                <w:sz w:val="22"/>
                <w:szCs w:val="24"/>
              </w:rPr>
              <w:t xml:space="preserve"> </w:t>
            </w:r>
            <w:r w:rsidRPr="008352BD">
              <w:rPr>
                <w:b/>
                <w:sz w:val="22"/>
                <w:szCs w:val="24"/>
              </w:rPr>
              <w:t>Replacement</w:t>
            </w:r>
            <w:r w:rsidR="00541F23">
              <w:rPr>
                <w:b/>
                <w:sz w:val="22"/>
                <w:szCs w:val="24"/>
              </w:rPr>
              <w:t xml:space="preserve"> </w:t>
            </w:r>
            <w:r w:rsidRPr="008352BD">
              <w:rPr>
                <w:b/>
                <w:sz w:val="22"/>
                <w:szCs w:val="24"/>
              </w:rPr>
              <w:t>MMcfd</w:t>
            </w:r>
          </w:p>
        </w:tc>
        <w:tc>
          <w:tcPr>
            <w:tcW w:w="1858" w:type="dxa"/>
            <w:shd w:val="clear" w:color="auto" w:fill="auto"/>
            <w:vAlign w:val="bottom"/>
          </w:tcPr>
          <w:p w:rsidR="00207803" w:rsidRPr="008352BD" w:rsidRDefault="00207803" w:rsidP="00541F23">
            <w:pPr>
              <w:pStyle w:val="standard"/>
              <w:keepNext/>
              <w:keepLines/>
              <w:spacing w:line="240" w:lineRule="auto"/>
              <w:ind w:firstLine="0"/>
              <w:jc w:val="center"/>
              <w:rPr>
                <w:b/>
                <w:sz w:val="22"/>
                <w:szCs w:val="24"/>
              </w:rPr>
            </w:pPr>
            <w:r w:rsidRPr="008352BD">
              <w:rPr>
                <w:b/>
                <w:sz w:val="22"/>
                <w:szCs w:val="24"/>
              </w:rPr>
              <w:t>Post</w:t>
            </w:r>
            <w:r w:rsidR="00541F23">
              <w:rPr>
                <w:b/>
                <w:sz w:val="22"/>
                <w:szCs w:val="24"/>
              </w:rPr>
              <w:t xml:space="preserve"> </w:t>
            </w:r>
            <w:r w:rsidRPr="008352BD">
              <w:rPr>
                <w:b/>
                <w:sz w:val="22"/>
                <w:szCs w:val="24"/>
              </w:rPr>
              <w:t>Replacement</w:t>
            </w:r>
            <w:r w:rsidR="00541F23">
              <w:rPr>
                <w:b/>
                <w:sz w:val="22"/>
                <w:szCs w:val="24"/>
              </w:rPr>
              <w:t xml:space="preserve"> </w:t>
            </w:r>
            <w:r w:rsidRPr="008352BD">
              <w:rPr>
                <w:b/>
                <w:sz w:val="22"/>
                <w:szCs w:val="24"/>
              </w:rPr>
              <w:t>%</w:t>
            </w:r>
          </w:p>
        </w:tc>
      </w:tr>
      <w:tr w:rsidR="00207803" w:rsidTr="00541F23">
        <w:trPr>
          <w:jc w:val="center"/>
        </w:trPr>
        <w:tc>
          <w:tcPr>
            <w:tcW w:w="1589" w:type="dxa"/>
            <w:shd w:val="clear" w:color="auto" w:fill="auto"/>
            <w:vAlign w:val="bottom"/>
          </w:tcPr>
          <w:p w:rsidR="00207803" w:rsidRPr="008352BD" w:rsidRDefault="00207803" w:rsidP="00541F23">
            <w:pPr>
              <w:pStyle w:val="standard"/>
              <w:keepNext/>
              <w:keepLines/>
              <w:spacing w:line="240" w:lineRule="auto"/>
              <w:ind w:firstLine="0"/>
              <w:rPr>
                <w:b/>
                <w:sz w:val="22"/>
                <w:szCs w:val="24"/>
              </w:rPr>
            </w:pPr>
            <w:r w:rsidRPr="008352BD">
              <w:rPr>
                <w:b/>
                <w:sz w:val="22"/>
                <w:szCs w:val="24"/>
              </w:rPr>
              <w:t>Core Storage</w:t>
            </w:r>
          </w:p>
        </w:tc>
        <w:tc>
          <w:tcPr>
            <w:tcW w:w="108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369</w:t>
            </w:r>
          </w:p>
        </w:tc>
        <w:tc>
          <w:tcPr>
            <w:tcW w:w="126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43.4%</w:t>
            </w:r>
          </w:p>
        </w:tc>
        <w:tc>
          <w:tcPr>
            <w:tcW w:w="126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19</w:t>
            </w:r>
          </w:p>
        </w:tc>
        <w:tc>
          <w:tcPr>
            <w:tcW w:w="225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388</w:t>
            </w:r>
          </w:p>
        </w:tc>
        <w:tc>
          <w:tcPr>
            <w:tcW w:w="1858"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39.0%</w:t>
            </w:r>
          </w:p>
        </w:tc>
      </w:tr>
      <w:tr w:rsidR="00207803" w:rsidTr="00541F23">
        <w:trPr>
          <w:jc w:val="center"/>
        </w:trPr>
        <w:tc>
          <w:tcPr>
            <w:tcW w:w="1589" w:type="dxa"/>
            <w:shd w:val="clear" w:color="auto" w:fill="auto"/>
            <w:vAlign w:val="bottom"/>
          </w:tcPr>
          <w:p w:rsidR="00207803" w:rsidRPr="008352BD" w:rsidRDefault="00207803" w:rsidP="00541F23">
            <w:pPr>
              <w:pStyle w:val="standard"/>
              <w:keepNext/>
              <w:keepLines/>
              <w:spacing w:line="240" w:lineRule="auto"/>
              <w:ind w:firstLine="0"/>
              <w:rPr>
                <w:b/>
                <w:sz w:val="22"/>
                <w:szCs w:val="24"/>
              </w:rPr>
            </w:pPr>
            <w:r w:rsidRPr="008352BD">
              <w:rPr>
                <w:b/>
                <w:sz w:val="22"/>
                <w:szCs w:val="24"/>
              </w:rPr>
              <w:t>Balancing</w:t>
            </w:r>
          </w:p>
        </w:tc>
        <w:tc>
          <w:tcPr>
            <w:tcW w:w="108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200</w:t>
            </w:r>
          </w:p>
        </w:tc>
        <w:tc>
          <w:tcPr>
            <w:tcW w:w="126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23.5%</w:t>
            </w:r>
          </w:p>
        </w:tc>
        <w:tc>
          <w:tcPr>
            <w:tcW w:w="126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0</w:t>
            </w:r>
          </w:p>
        </w:tc>
        <w:tc>
          <w:tcPr>
            <w:tcW w:w="225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200</w:t>
            </w:r>
          </w:p>
        </w:tc>
        <w:tc>
          <w:tcPr>
            <w:tcW w:w="1858"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20.1%</w:t>
            </w:r>
          </w:p>
        </w:tc>
      </w:tr>
      <w:tr w:rsidR="00207803" w:rsidTr="00541F23">
        <w:trPr>
          <w:jc w:val="center"/>
        </w:trPr>
        <w:tc>
          <w:tcPr>
            <w:tcW w:w="1589" w:type="dxa"/>
            <w:shd w:val="clear" w:color="auto" w:fill="auto"/>
            <w:vAlign w:val="bottom"/>
          </w:tcPr>
          <w:p w:rsidR="00207803" w:rsidRPr="008352BD" w:rsidRDefault="00207803" w:rsidP="00541F23">
            <w:pPr>
              <w:pStyle w:val="standard"/>
              <w:keepNext/>
              <w:keepLines/>
              <w:spacing w:line="240" w:lineRule="auto"/>
              <w:ind w:firstLine="0"/>
              <w:rPr>
                <w:b/>
                <w:sz w:val="22"/>
                <w:szCs w:val="24"/>
              </w:rPr>
            </w:pPr>
            <w:r w:rsidRPr="008352BD">
              <w:rPr>
                <w:b/>
                <w:sz w:val="22"/>
                <w:szCs w:val="24"/>
              </w:rPr>
              <w:t>Unbundled</w:t>
            </w:r>
          </w:p>
          <w:p w:rsidR="00207803" w:rsidRPr="008352BD" w:rsidRDefault="00207803" w:rsidP="00541F23">
            <w:pPr>
              <w:pStyle w:val="standard"/>
              <w:keepNext/>
              <w:keepLines/>
              <w:spacing w:line="240" w:lineRule="auto"/>
              <w:ind w:firstLine="0"/>
              <w:rPr>
                <w:b/>
                <w:sz w:val="22"/>
                <w:szCs w:val="24"/>
              </w:rPr>
            </w:pPr>
            <w:r w:rsidRPr="008352BD">
              <w:rPr>
                <w:b/>
                <w:sz w:val="22"/>
                <w:szCs w:val="24"/>
              </w:rPr>
              <w:t>Storage</w:t>
            </w:r>
          </w:p>
        </w:tc>
        <w:tc>
          <w:tcPr>
            <w:tcW w:w="108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281</w:t>
            </w:r>
          </w:p>
        </w:tc>
        <w:tc>
          <w:tcPr>
            <w:tcW w:w="126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33.1%</w:t>
            </w:r>
          </w:p>
        </w:tc>
        <w:tc>
          <w:tcPr>
            <w:tcW w:w="126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126</w:t>
            </w:r>
          </w:p>
        </w:tc>
        <w:tc>
          <w:tcPr>
            <w:tcW w:w="225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407</w:t>
            </w:r>
          </w:p>
        </w:tc>
        <w:tc>
          <w:tcPr>
            <w:tcW w:w="1858"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40.9%</w:t>
            </w:r>
          </w:p>
        </w:tc>
      </w:tr>
      <w:tr w:rsidR="00207803" w:rsidTr="00541F23">
        <w:trPr>
          <w:jc w:val="center"/>
        </w:trPr>
        <w:tc>
          <w:tcPr>
            <w:tcW w:w="1589" w:type="dxa"/>
            <w:shd w:val="clear" w:color="auto" w:fill="auto"/>
            <w:vAlign w:val="bottom"/>
          </w:tcPr>
          <w:p w:rsidR="00207803" w:rsidRPr="008352BD" w:rsidRDefault="00207803" w:rsidP="00541F23">
            <w:pPr>
              <w:pStyle w:val="standard"/>
              <w:keepNext/>
              <w:keepLines/>
              <w:spacing w:line="240" w:lineRule="auto"/>
              <w:ind w:firstLine="0"/>
              <w:rPr>
                <w:b/>
                <w:sz w:val="22"/>
                <w:szCs w:val="24"/>
              </w:rPr>
            </w:pPr>
            <w:r w:rsidRPr="008352BD">
              <w:rPr>
                <w:b/>
                <w:sz w:val="22"/>
                <w:szCs w:val="24"/>
              </w:rPr>
              <w:t>Total</w:t>
            </w:r>
          </w:p>
        </w:tc>
        <w:tc>
          <w:tcPr>
            <w:tcW w:w="108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850</w:t>
            </w:r>
          </w:p>
        </w:tc>
        <w:tc>
          <w:tcPr>
            <w:tcW w:w="126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100.0%</w:t>
            </w:r>
          </w:p>
        </w:tc>
        <w:tc>
          <w:tcPr>
            <w:tcW w:w="126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145</w:t>
            </w:r>
          </w:p>
        </w:tc>
        <w:tc>
          <w:tcPr>
            <w:tcW w:w="2250"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995</w:t>
            </w:r>
          </w:p>
        </w:tc>
        <w:tc>
          <w:tcPr>
            <w:tcW w:w="1858" w:type="dxa"/>
            <w:shd w:val="clear" w:color="auto" w:fill="auto"/>
            <w:vAlign w:val="bottom"/>
          </w:tcPr>
          <w:p w:rsidR="00207803" w:rsidRPr="008352BD" w:rsidRDefault="00207803" w:rsidP="00541F23">
            <w:pPr>
              <w:pStyle w:val="standard"/>
              <w:keepNext/>
              <w:keepLines/>
              <w:spacing w:line="240" w:lineRule="auto"/>
              <w:ind w:firstLine="0"/>
              <w:jc w:val="center"/>
              <w:rPr>
                <w:sz w:val="22"/>
                <w:szCs w:val="22"/>
              </w:rPr>
            </w:pPr>
            <w:r w:rsidRPr="008352BD">
              <w:rPr>
                <w:sz w:val="22"/>
                <w:szCs w:val="22"/>
              </w:rPr>
              <w:t>100.0%</w:t>
            </w:r>
          </w:p>
        </w:tc>
      </w:tr>
      <w:tr w:rsidR="00207803" w:rsidTr="00541F23">
        <w:trPr>
          <w:jc w:val="center"/>
        </w:trPr>
        <w:tc>
          <w:tcPr>
            <w:tcW w:w="9297" w:type="dxa"/>
            <w:gridSpan w:val="6"/>
            <w:shd w:val="clear" w:color="auto" w:fill="auto"/>
            <w:vAlign w:val="bottom"/>
          </w:tcPr>
          <w:p w:rsidR="00207803" w:rsidRDefault="00207803" w:rsidP="00541F23">
            <w:pPr>
              <w:autoSpaceDE w:val="0"/>
              <w:autoSpaceDN w:val="0"/>
              <w:adjustRightInd w:val="0"/>
              <w:spacing w:before="60" w:after="60"/>
            </w:pPr>
            <w:r w:rsidRPr="008352BD">
              <w:rPr>
                <w:sz w:val="20"/>
              </w:rPr>
              <w:t>* Per D.08-12-020, core will be allocated an additional 4 Bcf of inventory capacity which is an increase of approximately 5%; and 5% of the core’s current injection capacity is 19 MMcfd.</w:t>
            </w:r>
          </w:p>
        </w:tc>
      </w:tr>
    </w:tbl>
    <w:p w:rsidR="004516CE" w:rsidRPr="00917988" w:rsidRDefault="004516CE" w:rsidP="004516CE">
      <w:pPr>
        <w:pStyle w:val="standard"/>
        <w:rPr>
          <w:sz w:val="16"/>
        </w:rPr>
      </w:pPr>
    </w:p>
    <w:p w:rsidR="009D1BC1" w:rsidRDefault="009D1BC1" w:rsidP="009D1BC1">
      <w:pPr>
        <w:pStyle w:val="standard"/>
      </w:pPr>
      <w:r>
        <w:t xml:space="preserve">Pursuant to D.08-12-020 (the 2009 BCAP Phase 1 decision), incremental storage injection capacity must be allocated to core customers of SoCalGas and SDG&amp;E proportionally to match the growth in core inventory capacity; the balancing function </w:t>
      </w:r>
      <w:r w:rsidR="004516CE">
        <w:t xml:space="preserve">must </w:t>
      </w:r>
      <w:r>
        <w:t xml:space="preserve">remain at its current injection capacity; and remaining injection capacity </w:t>
      </w:r>
      <w:r w:rsidR="004516CE">
        <w:t xml:space="preserve">must </w:t>
      </w:r>
      <w:r>
        <w:t xml:space="preserve">be allocated to the unbundled storage program. </w:t>
      </w:r>
      <w:r w:rsidR="00541F23">
        <w:t xml:space="preserve"> </w:t>
      </w:r>
      <w:r>
        <w:t>Table 3 shows the allocation of injection capacity.</w:t>
      </w:r>
    </w:p>
    <w:p w:rsidR="007B1707" w:rsidRDefault="009D1BC1" w:rsidP="00903F85">
      <w:pPr>
        <w:pStyle w:val="standard"/>
        <w:spacing w:after="120"/>
      </w:pPr>
      <w:r>
        <w:t>Applying the allocation of post-replacement injection capacities from Table</w:t>
      </w:r>
      <w:r w:rsidR="00541F23">
        <w:t> </w:t>
      </w:r>
      <w:r>
        <w:t>3 to the post-replacement storage injection revenue requirement (which includes the amounts from Table 2 as well as existing injection costs) results in the cost increases to Core Storage, Balancing, and Unbundled Storage</w:t>
      </w:r>
      <w:r w:rsidR="00207803">
        <w:t>.  T</w:t>
      </w:r>
      <w:r>
        <w:t xml:space="preserve">he resulting rate impacts </w:t>
      </w:r>
      <w:r w:rsidR="000A0281">
        <w:t xml:space="preserve">reflecting </w:t>
      </w:r>
      <w:r w:rsidR="00630761">
        <w:t xml:space="preserve">SoCalGas’ proposed revenue requirement </w:t>
      </w:r>
      <w:r w:rsidR="00207803">
        <w:t xml:space="preserve">are </w:t>
      </w:r>
      <w:r>
        <w:t>show</w:t>
      </w:r>
      <w:r w:rsidR="00207803">
        <w:t>n in Table 4 of the Application</w:t>
      </w:r>
      <w:r>
        <w:t xml:space="preserve"> and reproduced below.</w:t>
      </w:r>
    </w:p>
    <w:tbl>
      <w:tblPr>
        <w:tblStyle w:val="TableGrid"/>
        <w:tblW w:w="0" w:type="auto"/>
        <w:tblLook w:val="04A0" w:firstRow="1" w:lastRow="0" w:firstColumn="1" w:lastColumn="0" w:noHBand="0" w:noVBand="1"/>
      </w:tblPr>
      <w:tblGrid>
        <w:gridCol w:w="828"/>
        <w:gridCol w:w="1536"/>
        <w:gridCol w:w="984"/>
        <w:gridCol w:w="1260"/>
        <w:gridCol w:w="1377"/>
        <w:gridCol w:w="1413"/>
        <w:gridCol w:w="2178"/>
      </w:tblGrid>
      <w:tr w:rsidR="00143E2D" w:rsidTr="00CC72E1">
        <w:tc>
          <w:tcPr>
            <w:tcW w:w="9576" w:type="dxa"/>
            <w:gridSpan w:val="7"/>
            <w:vAlign w:val="center"/>
          </w:tcPr>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TABLE 4</w:t>
            </w:r>
          </w:p>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Allocation of Revenue Requirement and Rate Impact</w:t>
            </w:r>
          </w:p>
          <w:p w:rsidR="00143E2D" w:rsidRPr="008352BD" w:rsidRDefault="00143E2D" w:rsidP="000A049C">
            <w:pPr>
              <w:pStyle w:val="standard"/>
              <w:keepNext/>
              <w:keepLines/>
              <w:spacing w:line="240" w:lineRule="auto"/>
              <w:ind w:firstLine="0"/>
              <w:jc w:val="center"/>
              <w:rPr>
                <w:sz w:val="20"/>
              </w:rPr>
            </w:pPr>
            <w:r w:rsidRPr="008352BD">
              <w:rPr>
                <w:sz w:val="20"/>
              </w:rPr>
              <w:t>$millions and $/therm</w:t>
            </w:r>
          </w:p>
          <w:p w:rsidR="00143E2D" w:rsidRDefault="00143E2D" w:rsidP="000A049C">
            <w:pPr>
              <w:pStyle w:val="standard"/>
              <w:keepNext/>
              <w:keepLines/>
              <w:spacing w:line="240" w:lineRule="auto"/>
              <w:ind w:firstLine="0"/>
              <w:jc w:val="center"/>
            </w:pPr>
            <w:r w:rsidRPr="008352BD">
              <w:rPr>
                <w:sz w:val="20"/>
              </w:rPr>
              <w:t>Rate Impact is in comparison to current rates</w:t>
            </w:r>
          </w:p>
        </w:tc>
      </w:tr>
      <w:tr w:rsidR="00143E2D" w:rsidRPr="008352BD" w:rsidTr="00CC72E1">
        <w:tc>
          <w:tcPr>
            <w:tcW w:w="828" w:type="dxa"/>
            <w:vAlign w:val="bottom"/>
          </w:tcPr>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Year</w:t>
            </w:r>
          </w:p>
        </w:tc>
        <w:tc>
          <w:tcPr>
            <w:tcW w:w="1536" w:type="dxa"/>
            <w:vAlign w:val="bottom"/>
          </w:tcPr>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Revenue</w:t>
            </w:r>
          </w:p>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Requirement</w:t>
            </w:r>
          </w:p>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(a)</w:t>
            </w:r>
          </w:p>
        </w:tc>
        <w:tc>
          <w:tcPr>
            <w:tcW w:w="984" w:type="dxa"/>
            <w:vAlign w:val="bottom"/>
          </w:tcPr>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Core</w:t>
            </w:r>
          </w:p>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Storage</w:t>
            </w:r>
          </w:p>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(b)</w:t>
            </w:r>
          </w:p>
        </w:tc>
        <w:tc>
          <w:tcPr>
            <w:tcW w:w="1260" w:type="dxa"/>
            <w:vAlign w:val="bottom"/>
          </w:tcPr>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Load</w:t>
            </w:r>
          </w:p>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Balancing</w:t>
            </w:r>
          </w:p>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(b)</w:t>
            </w:r>
          </w:p>
        </w:tc>
        <w:tc>
          <w:tcPr>
            <w:tcW w:w="1377" w:type="dxa"/>
            <w:vAlign w:val="bottom"/>
          </w:tcPr>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Unbundled</w:t>
            </w:r>
          </w:p>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Storage</w:t>
            </w:r>
          </w:p>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(b)</w:t>
            </w:r>
          </w:p>
        </w:tc>
        <w:tc>
          <w:tcPr>
            <w:tcW w:w="1413" w:type="dxa"/>
            <w:vAlign w:val="bottom"/>
          </w:tcPr>
          <w:p w:rsidR="004A74E0" w:rsidRPr="008352BD" w:rsidRDefault="004A74E0" w:rsidP="000A049C">
            <w:pPr>
              <w:pStyle w:val="standard"/>
              <w:keepNext/>
              <w:keepLines/>
              <w:spacing w:line="240" w:lineRule="auto"/>
              <w:ind w:firstLine="0"/>
              <w:jc w:val="center"/>
              <w:rPr>
                <w:b/>
                <w:sz w:val="22"/>
                <w:szCs w:val="24"/>
              </w:rPr>
            </w:pPr>
            <w:r w:rsidRPr="008352BD">
              <w:rPr>
                <w:b/>
                <w:sz w:val="22"/>
                <w:szCs w:val="24"/>
              </w:rPr>
              <w:t>Core</w:t>
            </w:r>
            <w:r>
              <w:rPr>
                <w:b/>
                <w:sz w:val="22"/>
                <w:szCs w:val="24"/>
              </w:rPr>
              <w:t xml:space="preserve"> </w:t>
            </w:r>
            <w:r w:rsidRPr="008352BD">
              <w:rPr>
                <w:b/>
                <w:sz w:val="22"/>
                <w:szCs w:val="24"/>
              </w:rPr>
              <w:t>Rate Impact</w:t>
            </w:r>
            <w:r>
              <w:rPr>
                <w:b/>
                <w:sz w:val="22"/>
                <w:szCs w:val="24"/>
              </w:rPr>
              <w:t xml:space="preserve"> </w:t>
            </w:r>
          </w:p>
          <w:p w:rsidR="00143E2D" w:rsidRPr="008352BD" w:rsidRDefault="004A74E0" w:rsidP="000A049C">
            <w:pPr>
              <w:pStyle w:val="standard"/>
              <w:keepNext/>
              <w:keepLines/>
              <w:spacing w:line="240" w:lineRule="auto"/>
              <w:ind w:firstLine="0"/>
              <w:jc w:val="center"/>
              <w:rPr>
                <w:b/>
                <w:sz w:val="22"/>
                <w:szCs w:val="24"/>
              </w:rPr>
            </w:pPr>
            <w:r w:rsidRPr="008352BD">
              <w:rPr>
                <w:b/>
                <w:sz w:val="22"/>
                <w:szCs w:val="24"/>
              </w:rPr>
              <w:t xml:space="preserve"> ( c)</w:t>
            </w:r>
          </w:p>
        </w:tc>
        <w:tc>
          <w:tcPr>
            <w:tcW w:w="2178" w:type="dxa"/>
            <w:vAlign w:val="bottom"/>
          </w:tcPr>
          <w:p w:rsidR="004A74E0" w:rsidRDefault="00143E2D" w:rsidP="000A049C">
            <w:pPr>
              <w:pStyle w:val="standard"/>
              <w:keepNext/>
              <w:keepLines/>
              <w:spacing w:line="240" w:lineRule="auto"/>
              <w:ind w:firstLine="0"/>
              <w:jc w:val="center"/>
              <w:rPr>
                <w:b/>
                <w:sz w:val="22"/>
                <w:szCs w:val="24"/>
              </w:rPr>
            </w:pPr>
            <w:r w:rsidRPr="008352BD">
              <w:rPr>
                <w:b/>
                <w:sz w:val="22"/>
                <w:szCs w:val="24"/>
              </w:rPr>
              <w:t>NonCore</w:t>
            </w:r>
            <w:r w:rsidR="00541F23">
              <w:rPr>
                <w:b/>
                <w:sz w:val="22"/>
                <w:szCs w:val="24"/>
              </w:rPr>
              <w:t xml:space="preserve"> </w:t>
            </w:r>
          </w:p>
          <w:p w:rsidR="004A74E0" w:rsidRDefault="00143E2D" w:rsidP="000A049C">
            <w:pPr>
              <w:pStyle w:val="standard"/>
              <w:keepNext/>
              <w:keepLines/>
              <w:spacing w:line="240" w:lineRule="auto"/>
              <w:ind w:firstLine="0"/>
              <w:jc w:val="center"/>
              <w:rPr>
                <w:b/>
                <w:sz w:val="22"/>
                <w:szCs w:val="24"/>
              </w:rPr>
            </w:pPr>
            <w:r w:rsidRPr="008352BD">
              <w:rPr>
                <w:b/>
                <w:sz w:val="22"/>
                <w:szCs w:val="24"/>
              </w:rPr>
              <w:t>Rate Impact</w:t>
            </w:r>
            <w:r w:rsidR="00541F23">
              <w:rPr>
                <w:b/>
                <w:sz w:val="22"/>
                <w:szCs w:val="24"/>
              </w:rPr>
              <w:t xml:space="preserve"> </w:t>
            </w:r>
          </w:p>
          <w:p w:rsidR="00143E2D" w:rsidRPr="008352BD" w:rsidRDefault="00143E2D" w:rsidP="000A049C">
            <w:pPr>
              <w:pStyle w:val="standard"/>
              <w:keepNext/>
              <w:keepLines/>
              <w:spacing w:line="240" w:lineRule="auto"/>
              <w:ind w:firstLine="0"/>
              <w:jc w:val="center"/>
              <w:rPr>
                <w:b/>
                <w:sz w:val="22"/>
                <w:szCs w:val="24"/>
              </w:rPr>
            </w:pPr>
            <w:r w:rsidRPr="008352BD">
              <w:rPr>
                <w:b/>
                <w:sz w:val="22"/>
                <w:szCs w:val="24"/>
              </w:rPr>
              <w:t>( c)</w:t>
            </w:r>
          </w:p>
        </w:tc>
      </w:tr>
      <w:tr w:rsidR="00143E2D" w:rsidTr="00CC72E1">
        <w:tc>
          <w:tcPr>
            <w:tcW w:w="828"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2013</w:t>
            </w:r>
          </w:p>
        </w:tc>
        <w:tc>
          <w:tcPr>
            <w:tcW w:w="1536"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$22.8</w:t>
            </w:r>
          </w:p>
        </w:tc>
        <w:tc>
          <w:tcPr>
            <w:tcW w:w="984"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$7.8</w:t>
            </w:r>
          </w:p>
        </w:tc>
        <w:tc>
          <w:tcPr>
            <w:tcW w:w="1260"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$3.8</w:t>
            </w:r>
          </w:p>
        </w:tc>
        <w:tc>
          <w:tcPr>
            <w:tcW w:w="1377"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$11.2</w:t>
            </w:r>
          </w:p>
        </w:tc>
        <w:tc>
          <w:tcPr>
            <w:tcW w:w="1413"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$0.00328</w:t>
            </w:r>
          </w:p>
        </w:tc>
        <w:tc>
          <w:tcPr>
            <w:tcW w:w="2178"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$0.00051</w:t>
            </w:r>
          </w:p>
        </w:tc>
      </w:tr>
      <w:tr w:rsidR="00143E2D" w:rsidTr="00CC72E1">
        <w:tc>
          <w:tcPr>
            <w:tcW w:w="828"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2014</w:t>
            </w:r>
          </w:p>
        </w:tc>
        <w:tc>
          <w:tcPr>
            <w:tcW w:w="1536"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$29.6</w:t>
            </w:r>
          </w:p>
        </w:tc>
        <w:tc>
          <w:tcPr>
            <w:tcW w:w="984"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$10.5</w:t>
            </w:r>
          </w:p>
        </w:tc>
        <w:tc>
          <w:tcPr>
            <w:tcW w:w="1260"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$5.1</w:t>
            </w:r>
          </w:p>
        </w:tc>
        <w:tc>
          <w:tcPr>
            <w:tcW w:w="1377"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$14.0</w:t>
            </w:r>
          </w:p>
        </w:tc>
        <w:tc>
          <w:tcPr>
            <w:tcW w:w="1413"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$0.00331</w:t>
            </w:r>
          </w:p>
        </w:tc>
        <w:tc>
          <w:tcPr>
            <w:tcW w:w="2178"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$0.00052</w:t>
            </w:r>
          </w:p>
        </w:tc>
      </w:tr>
      <w:tr w:rsidR="00143E2D" w:rsidTr="00CC72E1">
        <w:tc>
          <w:tcPr>
            <w:tcW w:w="828"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2015</w:t>
            </w:r>
          </w:p>
        </w:tc>
        <w:tc>
          <w:tcPr>
            <w:tcW w:w="1536"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$28.6</w:t>
            </w:r>
          </w:p>
        </w:tc>
        <w:tc>
          <w:tcPr>
            <w:tcW w:w="984"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$10.1</w:t>
            </w:r>
          </w:p>
        </w:tc>
        <w:tc>
          <w:tcPr>
            <w:tcW w:w="1260"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$4.9</w:t>
            </w:r>
          </w:p>
        </w:tc>
        <w:tc>
          <w:tcPr>
            <w:tcW w:w="1377"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$13.6</w:t>
            </w:r>
          </w:p>
        </w:tc>
        <w:tc>
          <w:tcPr>
            <w:tcW w:w="1413"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$0.00319</w:t>
            </w:r>
          </w:p>
        </w:tc>
        <w:tc>
          <w:tcPr>
            <w:tcW w:w="2178"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$0.00050</w:t>
            </w:r>
          </w:p>
        </w:tc>
      </w:tr>
      <w:tr w:rsidR="00143E2D" w:rsidTr="00CC72E1">
        <w:tc>
          <w:tcPr>
            <w:tcW w:w="828"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2016</w:t>
            </w:r>
          </w:p>
        </w:tc>
        <w:tc>
          <w:tcPr>
            <w:tcW w:w="1536"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$27.4</w:t>
            </w:r>
          </w:p>
        </w:tc>
        <w:tc>
          <w:tcPr>
            <w:tcW w:w="984"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$9.7</w:t>
            </w:r>
          </w:p>
        </w:tc>
        <w:tc>
          <w:tcPr>
            <w:tcW w:w="1260"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$4.7</w:t>
            </w:r>
          </w:p>
        </w:tc>
        <w:tc>
          <w:tcPr>
            <w:tcW w:w="1377"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$13.1</w:t>
            </w:r>
          </w:p>
        </w:tc>
        <w:tc>
          <w:tcPr>
            <w:tcW w:w="1413"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$0.00304</w:t>
            </w:r>
          </w:p>
        </w:tc>
        <w:tc>
          <w:tcPr>
            <w:tcW w:w="2178" w:type="dxa"/>
            <w:vAlign w:val="center"/>
          </w:tcPr>
          <w:p w:rsidR="00143E2D" w:rsidRPr="008352BD" w:rsidRDefault="00143E2D" w:rsidP="000A049C">
            <w:pPr>
              <w:pStyle w:val="standard"/>
              <w:keepNext/>
              <w:keepLines/>
              <w:spacing w:line="240" w:lineRule="auto"/>
              <w:ind w:firstLine="0"/>
              <w:jc w:val="center"/>
              <w:rPr>
                <w:sz w:val="22"/>
                <w:szCs w:val="22"/>
              </w:rPr>
            </w:pPr>
            <w:r w:rsidRPr="008352BD">
              <w:rPr>
                <w:sz w:val="22"/>
                <w:szCs w:val="22"/>
              </w:rPr>
              <w:t>$0.00048</w:t>
            </w:r>
          </w:p>
        </w:tc>
      </w:tr>
      <w:tr w:rsidR="00143E2D" w:rsidTr="00CC72E1">
        <w:tc>
          <w:tcPr>
            <w:tcW w:w="828" w:type="dxa"/>
            <w:vAlign w:val="center"/>
          </w:tcPr>
          <w:p w:rsidR="00143E2D" w:rsidRPr="008352BD" w:rsidRDefault="00143E2D" w:rsidP="00CC72E1">
            <w:pPr>
              <w:pStyle w:val="standard"/>
              <w:spacing w:line="240" w:lineRule="auto"/>
              <w:ind w:firstLine="0"/>
              <w:jc w:val="center"/>
              <w:rPr>
                <w:sz w:val="22"/>
                <w:szCs w:val="22"/>
              </w:rPr>
            </w:pPr>
            <w:r w:rsidRPr="008352BD">
              <w:rPr>
                <w:sz w:val="22"/>
                <w:szCs w:val="22"/>
              </w:rPr>
              <w:t>2017</w:t>
            </w:r>
          </w:p>
        </w:tc>
        <w:tc>
          <w:tcPr>
            <w:tcW w:w="1536" w:type="dxa"/>
            <w:vAlign w:val="center"/>
          </w:tcPr>
          <w:p w:rsidR="00143E2D" w:rsidRPr="008352BD" w:rsidRDefault="00143E2D" w:rsidP="00CC72E1">
            <w:pPr>
              <w:pStyle w:val="standard"/>
              <w:spacing w:line="240" w:lineRule="auto"/>
              <w:ind w:firstLine="0"/>
              <w:jc w:val="center"/>
              <w:rPr>
                <w:sz w:val="22"/>
                <w:szCs w:val="22"/>
              </w:rPr>
            </w:pPr>
            <w:r w:rsidRPr="008352BD">
              <w:rPr>
                <w:sz w:val="22"/>
                <w:szCs w:val="22"/>
              </w:rPr>
              <w:t>$26.3</w:t>
            </w:r>
          </w:p>
        </w:tc>
        <w:tc>
          <w:tcPr>
            <w:tcW w:w="984" w:type="dxa"/>
            <w:vAlign w:val="center"/>
          </w:tcPr>
          <w:p w:rsidR="00143E2D" w:rsidRPr="008352BD" w:rsidRDefault="00143E2D" w:rsidP="00CC72E1">
            <w:pPr>
              <w:pStyle w:val="standard"/>
              <w:spacing w:line="240" w:lineRule="auto"/>
              <w:ind w:firstLine="0"/>
              <w:jc w:val="center"/>
              <w:rPr>
                <w:sz w:val="22"/>
                <w:szCs w:val="22"/>
              </w:rPr>
            </w:pPr>
            <w:r w:rsidRPr="008352BD">
              <w:rPr>
                <w:sz w:val="22"/>
                <w:szCs w:val="22"/>
              </w:rPr>
              <w:t>$9.2</w:t>
            </w:r>
          </w:p>
        </w:tc>
        <w:tc>
          <w:tcPr>
            <w:tcW w:w="1260" w:type="dxa"/>
            <w:vAlign w:val="center"/>
          </w:tcPr>
          <w:p w:rsidR="00143E2D" w:rsidRPr="008352BD" w:rsidRDefault="00143E2D" w:rsidP="00CC72E1">
            <w:pPr>
              <w:pStyle w:val="standard"/>
              <w:spacing w:line="240" w:lineRule="auto"/>
              <w:ind w:firstLine="0"/>
              <w:jc w:val="center"/>
              <w:rPr>
                <w:sz w:val="22"/>
                <w:szCs w:val="22"/>
              </w:rPr>
            </w:pPr>
            <w:r w:rsidRPr="008352BD">
              <w:rPr>
                <w:sz w:val="22"/>
                <w:szCs w:val="22"/>
              </w:rPr>
              <w:t>$4.5</w:t>
            </w:r>
          </w:p>
        </w:tc>
        <w:tc>
          <w:tcPr>
            <w:tcW w:w="1377" w:type="dxa"/>
            <w:vAlign w:val="center"/>
          </w:tcPr>
          <w:p w:rsidR="00143E2D" w:rsidRPr="008352BD" w:rsidRDefault="00143E2D" w:rsidP="00CC72E1">
            <w:pPr>
              <w:pStyle w:val="standard"/>
              <w:spacing w:line="240" w:lineRule="auto"/>
              <w:ind w:firstLine="0"/>
              <w:jc w:val="center"/>
              <w:rPr>
                <w:sz w:val="22"/>
                <w:szCs w:val="22"/>
              </w:rPr>
            </w:pPr>
            <w:r w:rsidRPr="008352BD">
              <w:rPr>
                <w:sz w:val="22"/>
                <w:szCs w:val="22"/>
              </w:rPr>
              <w:t>$12.6</w:t>
            </w:r>
          </w:p>
        </w:tc>
        <w:tc>
          <w:tcPr>
            <w:tcW w:w="1413" w:type="dxa"/>
            <w:vAlign w:val="center"/>
          </w:tcPr>
          <w:p w:rsidR="00143E2D" w:rsidRPr="008352BD" w:rsidRDefault="00143E2D" w:rsidP="00CC72E1">
            <w:pPr>
              <w:pStyle w:val="standard"/>
              <w:spacing w:line="240" w:lineRule="auto"/>
              <w:ind w:firstLine="0"/>
              <w:jc w:val="center"/>
              <w:rPr>
                <w:sz w:val="22"/>
                <w:szCs w:val="22"/>
              </w:rPr>
            </w:pPr>
            <w:r w:rsidRPr="008352BD">
              <w:rPr>
                <w:sz w:val="22"/>
                <w:szCs w:val="22"/>
              </w:rPr>
              <w:t>$0.00291</w:t>
            </w:r>
          </w:p>
        </w:tc>
        <w:tc>
          <w:tcPr>
            <w:tcW w:w="2178" w:type="dxa"/>
            <w:vAlign w:val="center"/>
          </w:tcPr>
          <w:p w:rsidR="00143E2D" w:rsidRPr="008352BD" w:rsidRDefault="00143E2D" w:rsidP="00CC72E1">
            <w:pPr>
              <w:pStyle w:val="standard"/>
              <w:spacing w:line="240" w:lineRule="auto"/>
              <w:ind w:firstLine="0"/>
              <w:jc w:val="center"/>
              <w:rPr>
                <w:sz w:val="22"/>
                <w:szCs w:val="22"/>
              </w:rPr>
            </w:pPr>
            <w:r w:rsidRPr="008352BD">
              <w:rPr>
                <w:sz w:val="22"/>
                <w:szCs w:val="22"/>
              </w:rPr>
              <w:t>$0.00046</w:t>
            </w:r>
          </w:p>
        </w:tc>
      </w:tr>
      <w:tr w:rsidR="00143E2D" w:rsidTr="00CC72E1">
        <w:trPr>
          <w:trHeight w:val="979"/>
        </w:trPr>
        <w:tc>
          <w:tcPr>
            <w:tcW w:w="9576" w:type="dxa"/>
            <w:gridSpan w:val="7"/>
            <w:vAlign w:val="bottom"/>
          </w:tcPr>
          <w:p w:rsidR="00143E2D" w:rsidRPr="008352BD" w:rsidRDefault="00143E2D" w:rsidP="00CC72E1">
            <w:pPr>
              <w:autoSpaceDE w:val="0"/>
              <w:autoSpaceDN w:val="0"/>
              <w:adjustRightInd w:val="0"/>
              <w:spacing w:before="120" w:after="120"/>
              <w:rPr>
                <w:sz w:val="20"/>
              </w:rPr>
            </w:pPr>
            <w:r w:rsidRPr="008352BD">
              <w:rPr>
                <w:sz w:val="20"/>
              </w:rPr>
              <w:t>(a) Amounts shown exclude FF&amp;U.</w:t>
            </w:r>
          </w:p>
          <w:p w:rsidR="00143E2D" w:rsidRPr="008352BD" w:rsidRDefault="00143E2D" w:rsidP="00CC72E1">
            <w:pPr>
              <w:autoSpaceDE w:val="0"/>
              <w:autoSpaceDN w:val="0"/>
              <w:adjustRightInd w:val="0"/>
              <w:spacing w:after="120"/>
              <w:rPr>
                <w:sz w:val="20"/>
              </w:rPr>
            </w:pPr>
            <w:r w:rsidRPr="008352BD">
              <w:rPr>
                <w:sz w:val="20"/>
              </w:rPr>
              <w:t>(b) Allocation to storage functions based on “post-replacement capacity allocations” from Table 3 applied to the “total post-replacement storage costs.” Amounts shown exclude FF&amp;U.</w:t>
            </w:r>
          </w:p>
          <w:p w:rsidR="00143E2D" w:rsidRPr="008352BD" w:rsidRDefault="001B3158" w:rsidP="00CC72E1">
            <w:pPr>
              <w:autoSpaceDE w:val="0"/>
              <w:autoSpaceDN w:val="0"/>
              <w:adjustRightInd w:val="0"/>
              <w:spacing w:after="120"/>
              <w:rPr>
                <w:sz w:val="20"/>
              </w:rPr>
            </w:pPr>
            <w:r>
              <w:rPr>
                <w:sz w:val="20"/>
              </w:rPr>
              <w:t>(</w:t>
            </w:r>
            <w:r w:rsidR="00143E2D" w:rsidRPr="008352BD">
              <w:rPr>
                <w:sz w:val="20"/>
              </w:rPr>
              <w:t>c) Amounts shown include FF&amp;U; also, Year 1 Revenue Requirement is adjusted to reflect recovery over 9 months due to estimated in-service date of April 1, 2013.</w:t>
            </w:r>
          </w:p>
        </w:tc>
      </w:tr>
    </w:tbl>
    <w:p w:rsidR="009D1BC1" w:rsidRDefault="00A5721B" w:rsidP="00903F85">
      <w:pPr>
        <w:pStyle w:val="standard"/>
        <w:spacing w:before="160"/>
      </w:pPr>
      <w:r>
        <w:t xml:space="preserve">The costs and rates that SoCalGas </w:t>
      </w:r>
      <w:r w:rsidR="00A019A7">
        <w:t>must</w:t>
      </w:r>
      <w:r w:rsidR="00C655A3">
        <w:t xml:space="preserve"> </w:t>
      </w:r>
      <w:r>
        <w:t>include in its advice letter</w:t>
      </w:r>
      <w:r w:rsidR="00C655A3">
        <w:t xml:space="preserve"> and updates </w:t>
      </w:r>
      <w:r w:rsidR="00A019A7">
        <w:t xml:space="preserve">to those costs and rates </w:t>
      </w:r>
      <w:r>
        <w:t xml:space="preserve">must be based on the maximum reasonable cost </w:t>
      </w:r>
      <w:r w:rsidR="006A65CB">
        <w:t>adopted in this decision</w:t>
      </w:r>
      <w:r>
        <w:t xml:space="preserve">.  </w:t>
      </w:r>
      <w:r w:rsidR="009D1BC1">
        <w:t xml:space="preserve">The Core Storage costs must be allocated among SoCalGas’ and SDG&amp;E’s core customer classes based upon the allocation of Core Storage injection capacity that was approved in D.08-12-020. </w:t>
      </w:r>
      <w:r w:rsidR="00541F23">
        <w:t xml:space="preserve"> </w:t>
      </w:r>
      <w:r w:rsidR="009D1BC1">
        <w:t xml:space="preserve">The Balancing costs must be allocated among all customer classes using the Equal Cents per Therm method adopted by D.08-12-020. </w:t>
      </w:r>
      <w:r w:rsidR="001D1835">
        <w:t xml:space="preserve"> </w:t>
      </w:r>
      <w:r w:rsidR="009D1BC1">
        <w:t>The Unbundled Storage cost must be increased to reflect higher costs, which, in turn, must be reflected in the storage incentive mechanism approved in D.08-12-020.</w:t>
      </w:r>
      <w:r w:rsidR="00C50B11">
        <w:t xml:space="preserve">  </w:t>
      </w:r>
      <w:r w:rsidR="00FD28C9">
        <w:t xml:space="preserve">If D.08-12-020 is superseded at the time of the advice letter filings, SoCalGas </w:t>
      </w:r>
      <w:r w:rsidR="00A019A7">
        <w:t>must</w:t>
      </w:r>
      <w:r w:rsidR="00FD28C9">
        <w:t xml:space="preserve"> use the then</w:t>
      </w:r>
      <w:r w:rsidR="00E05200">
        <w:t>-</w:t>
      </w:r>
      <w:r w:rsidR="00FD28C9">
        <w:t xml:space="preserve">current decision for the cost allocation and rates.  </w:t>
      </w:r>
      <w:r w:rsidR="00C50B11">
        <w:t>SoCalGas must file the advice letter with the revenue requirement, cost allocation and rates as a Tier 2 advice letter within 60 days after the Project is completed and in service.</w:t>
      </w:r>
    </w:p>
    <w:p w:rsidR="00A758D2" w:rsidRPr="00700CF6" w:rsidRDefault="00A758D2" w:rsidP="00917988">
      <w:pPr>
        <w:pStyle w:val="Heading1"/>
        <w:numPr>
          <w:ilvl w:val="1"/>
          <w:numId w:val="37"/>
        </w:numPr>
        <w:ind w:left="1440" w:right="1530" w:hanging="720"/>
      </w:pPr>
      <w:bookmarkStart w:id="68" w:name="_Toc369507340"/>
      <w:r w:rsidRPr="00700CF6">
        <w:t xml:space="preserve">Regulatory Accounting Treatment – </w:t>
      </w:r>
      <w:r w:rsidRPr="00C87A10">
        <w:t>R</w:t>
      </w:r>
      <w:r w:rsidR="00C87A10">
        <w:t xml:space="preserve">egional </w:t>
      </w:r>
      <w:r w:rsidRPr="00C87A10">
        <w:t>C</w:t>
      </w:r>
      <w:r w:rsidR="00C87A10">
        <w:t xml:space="preserve">lean </w:t>
      </w:r>
      <w:r w:rsidRPr="00C87A10">
        <w:t>A</w:t>
      </w:r>
      <w:r w:rsidR="00C87A10">
        <w:t xml:space="preserve">ir </w:t>
      </w:r>
      <w:r w:rsidRPr="00C87A10">
        <w:t>I</w:t>
      </w:r>
      <w:r w:rsidR="00C87A10">
        <w:t xml:space="preserve">ncentives </w:t>
      </w:r>
      <w:r w:rsidRPr="00C87A10">
        <w:t>M</w:t>
      </w:r>
      <w:r w:rsidR="00C87A10">
        <w:t>arket (RECLAIM)</w:t>
      </w:r>
      <w:r w:rsidRPr="00700CF6">
        <w:t xml:space="preserve"> Trading Credits and O&amp;M/Capital Benefits</w:t>
      </w:r>
      <w:bookmarkEnd w:id="68"/>
    </w:p>
    <w:p w:rsidR="00B36154" w:rsidRPr="00B36154" w:rsidRDefault="00B36154" w:rsidP="00B36154">
      <w:pPr>
        <w:pStyle w:val="standard"/>
      </w:pPr>
      <w:r>
        <w:t>SoCalGas’s proposed regulatory accounting treatment is reasonable an</w:t>
      </w:r>
      <w:r w:rsidR="00917988">
        <w:t>d consistent with D.08-12-020.</w:t>
      </w:r>
    </w:p>
    <w:p w:rsidR="00A758D2" w:rsidRPr="007A6116" w:rsidRDefault="00A758D2" w:rsidP="00A758D2">
      <w:pPr>
        <w:pStyle w:val="standard"/>
        <w:rPr>
          <w:highlight w:val="yellow"/>
        </w:rPr>
      </w:pPr>
      <w:r>
        <w:t xml:space="preserve">The </w:t>
      </w:r>
      <w:r w:rsidR="00EF44B5">
        <w:t>Project</w:t>
      </w:r>
      <w:r>
        <w:t xml:space="preserve"> will reduce SoCalGas’</w:t>
      </w:r>
      <w:r w:rsidR="004B17FF">
        <w:t>s</w:t>
      </w:r>
      <w:r>
        <w:t xml:space="preserve"> demand for </w:t>
      </w:r>
      <w:r w:rsidR="00C87A10">
        <w:t>RECLAIM</w:t>
      </w:r>
      <w:r>
        <w:t xml:space="preserve"> Trading Credits (RTCs) to offset the emission of oxides of nitrog</w:t>
      </w:r>
      <w:r w:rsidR="000A049C">
        <w:t>en (NOx) by approximately 200 </w:t>
      </w:r>
      <w:r>
        <w:t>tons per year.</w:t>
      </w:r>
      <w:r w:rsidR="003F0CF3">
        <w:t xml:space="preserve"> </w:t>
      </w:r>
      <w:r>
        <w:t xml:space="preserve"> The resulting benefits to storage customers depends on the market value of the RTCs, which is heavily driven by the South Coast Air</w:t>
      </w:r>
      <w:r w:rsidR="00C77C07">
        <w:t xml:space="preserve"> Quality Management District’s </w:t>
      </w:r>
      <w:r>
        <w:t>decisions on reducing the total pool of RTCs in existence.</w:t>
      </w:r>
      <w:r w:rsidR="003F0CF3">
        <w:t xml:space="preserve"> </w:t>
      </w:r>
      <w:r>
        <w:t xml:space="preserve"> Therefore, the benefits to SoCalGas’</w:t>
      </w:r>
      <w:r w:rsidR="00AF0EA4">
        <w:t>s</w:t>
      </w:r>
      <w:r>
        <w:t xml:space="preserve"> storage customers resulting from the turbine replacement would be based on </w:t>
      </w:r>
      <w:r w:rsidR="004068FD">
        <w:t xml:space="preserve">approximately </w:t>
      </w:r>
      <w:r>
        <w:t>200 tons per year reduction in RTC demand times the market value of RTCs.</w:t>
      </w:r>
    </w:p>
    <w:p w:rsidR="00B36154" w:rsidRPr="00B36154" w:rsidRDefault="00A758D2" w:rsidP="00B36154">
      <w:pPr>
        <w:pStyle w:val="standard"/>
      </w:pPr>
      <w:r>
        <w:t xml:space="preserve">The value of the RTCs is difficult to forecast and SoCalGas has not included a forecast of these benefits in </w:t>
      </w:r>
      <w:r w:rsidR="004B17FF">
        <w:t>its</w:t>
      </w:r>
      <w:r>
        <w:t xml:space="preserve"> </w:t>
      </w:r>
      <w:r w:rsidR="004B17FF">
        <w:t>estimated revenue requirement</w:t>
      </w:r>
      <w:r>
        <w:t xml:space="preserve">. In order to flow these RTC benefits through to customers, SoCalGas </w:t>
      </w:r>
      <w:r w:rsidR="003143FD">
        <w:t>must</w:t>
      </w:r>
      <w:r w:rsidR="004B17FF">
        <w:t xml:space="preserve"> </w:t>
      </w:r>
      <w:r>
        <w:t xml:space="preserve">establish the Aliso Canyon True-up Tracking Account (ACTTA). </w:t>
      </w:r>
      <w:r w:rsidR="003F0CF3">
        <w:t xml:space="preserve"> </w:t>
      </w:r>
      <w:r w:rsidR="00B36154">
        <w:t>SoCalGas must file a Tier 2 advice letter within 30 days of the effective date of this decision</w:t>
      </w:r>
      <w:r w:rsidR="00B36154" w:rsidRPr="00B36154">
        <w:t xml:space="preserve"> </w:t>
      </w:r>
      <w:r w:rsidR="00B36154">
        <w:t xml:space="preserve">to establish the ACTTA.  </w:t>
      </w:r>
      <w:r>
        <w:t xml:space="preserve">The ACTTA </w:t>
      </w:r>
      <w:r w:rsidR="00C77C07">
        <w:t>will</w:t>
      </w:r>
      <w:r>
        <w:t xml:space="preserve"> consist of two subaccounts:</w:t>
      </w:r>
      <w:r w:rsidR="003F0CF3">
        <w:t xml:space="preserve"> </w:t>
      </w:r>
      <w:r>
        <w:t xml:space="preserve"> the RTC </w:t>
      </w:r>
      <w:r w:rsidR="009D0870">
        <w:t>s</w:t>
      </w:r>
      <w:r>
        <w:t>ubaccoun</w:t>
      </w:r>
      <w:r w:rsidR="009D0870">
        <w:t>t and the O&amp;M/Capital Benefits s</w:t>
      </w:r>
      <w:r>
        <w:t>ubaccount.</w:t>
      </w:r>
    </w:p>
    <w:p w:rsidR="00A758D2" w:rsidRPr="007A6116" w:rsidRDefault="009D0870" w:rsidP="00A758D2">
      <w:pPr>
        <w:pStyle w:val="standard"/>
        <w:rPr>
          <w:highlight w:val="yellow"/>
        </w:rPr>
      </w:pPr>
      <w:r>
        <w:t>The RTC s</w:t>
      </w:r>
      <w:r w:rsidR="00A758D2">
        <w:t xml:space="preserve">ubaccount </w:t>
      </w:r>
      <w:r>
        <w:t>will</w:t>
      </w:r>
      <w:r w:rsidR="00A758D2">
        <w:t xml:space="preserve"> record the benefits from the RTCs generated by the </w:t>
      </w:r>
      <w:r w:rsidR="00EF44B5">
        <w:t>Project</w:t>
      </w:r>
      <w:r w:rsidR="00A758D2">
        <w:t xml:space="preserve">. The benefits are the projected RTCs generated by the </w:t>
      </w:r>
      <w:r w:rsidR="00EF44B5">
        <w:t>Project</w:t>
      </w:r>
      <w:r w:rsidR="001D1835">
        <w:t xml:space="preserve"> (200 </w:t>
      </w:r>
      <w:r w:rsidR="00A758D2">
        <w:t xml:space="preserve">tons/year) times a market value of the RTCs. The market value of the RTCs should be determined based on the average price per ton of RTCs that SoCalGas has either bought or sold in the marketplace during the year. </w:t>
      </w:r>
      <w:r w:rsidR="003143FD">
        <w:t xml:space="preserve"> </w:t>
      </w:r>
      <w:r w:rsidR="00A758D2">
        <w:t xml:space="preserve">Based on historical prices for RTCs bought or sold by SoCalGas over several years, SoCalGas estimates the value of the RTCs recorded to the RTC </w:t>
      </w:r>
      <w:r>
        <w:t>s</w:t>
      </w:r>
      <w:r w:rsidR="00A758D2">
        <w:t>ubaccount could range from $0.4 million to $0.9 million per year, assuming a low market value of $1,924/per ton and a high market value of $4,472/per ton, respectively.</w:t>
      </w:r>
    </w:p>
    <w:p w:rsidR="00A758D2" w:rsidRDefault="009D0870" w:rsidP="00A758D2">
      <w:pPr>
        <w:pStyle w:val="standard"/>
      </w:pPr>
      <w:r>
        <w:t>The O&amp;M/Capital Benefits s</w:t>
      </w:r>
      <w:r w:rsidR="00A758D2">
        <w:t xml:space="preserve">ubaccount </w:t>
      </w:r>
      <w:r>
        <w:t>will</w:t>
      </w:r>
      <w:r w:rsidR="00A758D2">
        <w:t xml:space="preserve"> record the difference between the estimated benefits included in the </w:t>
      </w:r>
      <w:r w:rsidR="00EF44B5">
        <w:t>Project</w:t>
      </w:r>
      <w:r w:rsidR="00A758D2">
        <w:t xml:space="preserve"> revenue requirement and actual O&amp;M and capital benefits realized.</w:t>
      </w:r>
      <w:r w:rsidR="003F0CF3">
        <w:t xml:space="preserve"> </w:t>
      </w:r>
      <w:r w:rsidR="00A758D2">
        <w:t xml:space="preserve"> The combined balance in the ACTTA </w:t>
      </w:r>
      <w:r>
        <w:t>will</w:t>
      </w:r>
      <w:r w:rsidR="00A758D2">
        <w:t xml:space="preserve"> be allocated to Core Storage, Load Balancing and Unbundled</w:t>
      </w:r>
      <w:r w:rsidR="00B36154">
        <w:t xml:space="preserve"> Storage, consistent with the “post r</w:t>
      </w:r>
      <w:r w:rsidR="00A758D2">
        <w:t xml:space="preserve">eplacement” injection capacity percentages </w:t>
      </w:r>
      <w:r>
        <w:t>shown</w:t>
      </w:r>
      <w:r w:rsidR="00A758D2">
        <w:t xml:space="preserve"> in Table 3, above. </w:t>
      </w:r>
      <w:r>
        <w:t xml:space="preserve"> </w:t>
      </w:r>
      <w:r w:rsidR="00A758D2">
        <w:t xml:space="preserve">The portion allocated to the Unbundled Storage Program </w:t>
      </w:r>
      <w:r w:rsidR="00B36154">
        <w:t>must</w:t>
      </w:r>
      <w:r w:rsidR="00A758D2">
        <w:t xml:space="preserve"> be transferred to the Noncore Storage Balancing Account and used to determine the allocation of storage earnings between ratepayers and shareholders for the applicable year under the Commission-adopted revenue-sharing mechanism. </w:t>
      </w:r>
      <w:r w:rsidR="003F0CF3">
        <w:t xml:space="preserve"> </w:t>
      </w:r>
      <w:r w:rsidR="00A758D2">
        <w:t xml:space="preserve">The remaining balance in the ACTTA </w:t>
      </w:r>
      <w:r w:rsidR="00B36154">
        <w:t>must</w:t>
      </w:r>
      <w:r w:rsidR="00A758D2">
        <w:t xml:space="preserve"> be amortized in the following year’s transportation rates in connection with SoCalGas’</w:t>
      </w:r>
      <w:r w:rsidR="00AF0EA4">
        <w:t>s</w:t>
      </w:r>
      <w:r w:rsidR="00A758D2">
        <w:t xml:space="preserve"> annual regulatory account balance update filing, similar to the disposition of other regulatory account balances. </w:t>
      </w:r>
      <w:r w:rsidR="003F0CF3">
        <w:t xml:space="preserve"> </w:t>
      </w:r>
      <w:r w:rsidR="00A758D2">
        <w:t xml:space="preserve">This ACTTA mechanism </w:t>
      </w:r>
      <w:r w:rsidR="00B36154">
        <w:t>must</w:t>
      </w:r>
      <w:r w:rsidR="00A758D2">
        <w:t xml:space="preserve"> continue until the RTC and O&amp;M/capital benefits are addressed in SoCalGas’</w:t>
      </w:r>
      <w:r w:rsidR="00AF0EA4">
        <w:t>s</w:t>
      </w:r>
      <w:r w:rsidR="00A758D2">
        <w:t xml:space="preserve"> next GRC</w:t>
      </w:r>
      <w:r w:rsidR="003F0CF3">
        <w:t xml:space="preserve"> or other applicable proceeding.</w:t>
      </w:r>
      <w:r w:rsidR="00C50B11">
        <w:t xml:space="preserve">  SoCalGas must file a Tier 2 advice letter with the ACTTA tariffs within 30 days of the effective date of this decision.</w:t>
      </w:r>
    </w:p>
    <w:p w:rsidR="00A758D2" w:rsidRPr="00700CF6" w:rsidRDefault="00A758D2" w:rsidP="003F0CF3">
      <w:pPr>
        <w:pStyle w:val="Heading1"/>
        <w:numPr>
          <w:ilvl w:val="1"/>
          <w:numId w:val="37"/>
        </w:numPr>
        <w:ind w:left="1440" w:hanging="720"/>
      </w:pPr>
      <w:bookmarkStart w:id="69" w:name="_Toc369507341"/>
      <w:r w:rsidRPr="00700CF6">
        <w:t>Electric Compressor Costs</w:t>
      </w:r>
      <w:bookmarkEnd w:id="69"/>
    </w:p>
    <w:p w:rsidR="00A758D2" w:rsidRDefault="00757946" w:rsidP="00A758D2">
      <w:pPr>
        <w:pStyle w:val="standard"/>
      </w:pPr>
      <w:r>
        <w:t>Pursuant to</w:t>
      </w:r>
      <w:r w:rsidR="00D30373">
        <w:t xml:space="preserve"> D.09-11-006, both core and non</w:t>
      </w:r>
      <w:r w:rsidR="00A758D2">
        <w:t xml:space="preserve">core customers are subject to an in-kind fuel charge </w:t>
      </w:r>
      <w:r w:rsidR="009D0870">
        <w:t>designed to</w:t>
      </w:r>
      <w:r w:rsidR="00A758D2">
        <w:t xml:space="preserve"> recover storage compressor fuel costs. </w:t>
      </w:r>
      <w:r w:rsidR="003F0CF3">
        <w:t xml:space="preserve"> </w:t>
      </w:r>
      <w:r w:rsidR="00A758D2">
        <w:t xml:space="preserve">With the installation of the electric-driven compressors, the gas-driven storage compressor fuel costs will be replaced with electricity costs. </w:t>
      </w:r>
      <w:r w:rsidR="003F0CF3">
        <w:t xml:space="preserve"> </w:t>
      </w:r>
      <w:r w:rsidR="00A758D2">
        <w:t xml:space="preserve">For purposes of calculating the in-kind fuel rate charged to customers using storage injection, electricity costs must be converted to gas equivalents to determine the overall in-kind fuel rate after the electric motors are put in place. </w:t>
      </w:r>
      <w:r w:rsidR="003F0CF3">
        <w:t xml:space="preserve"> </w:t>
      </w:r>
      <w:r w:rsidR="00A758D2">
        <w:t>To determine the in-kind fuel rate, equivalent gas compressor fuel volumes</w:t>
      </w:r>
      <w:r w:rsidR="009D0870">
        <w:rPr>
          <w:rStyle w:val="FootnoteReference"/>
        </w:rPr>
        <w:footnoteReference w:id="52"/>
      </w:r>
      <w:r w:rsidR="00A758D2">
        <w:t xml:space="preserve"> must be added to actual gas compressor fuel used by SoCalGas’</w:t>
      </w:r>
      <w:r w:rsidR="005605D0">
        <w:t>s</w:t>
      </w:r>
      <w:r w:rsidR="00A758D2">
        <w:t xml:space="preserve"> other compressors to develop the annually-adjusted total in-kind storage fuel factor.  SoCalGas’</w:t>
      </w:r>
      <w:r w:rsidR="005605D0">
        <w:t>s</w:t>
      </w:r>
      <w:r w:rsidR="00A758D2">
        <w:t xml:space="preserve"> system operator must sell this “equivalent gas” volume in the marketplace to pay for the electricity costs of the electric motors. </w:t>
      </w:r>
      <w:r w:rsidR="007243D1">
        <w:t xml:space="preserve"> </w:t>
      </w:r>
      <w:r w:rsidR="00A758D2">
        <w:t xml:space="preserve">The total storage fuel in-kind factor averaged 2.4% from 2005-2007. </w:t>
      </w:r>
      <w:r w:rsidR="007243D1">
        <w:t xml:space="preserve"> </w:t>
      </w:r>
      <w:r w:rsidR="00A758D2">
        <w:t xml:space="preserve"> SoCalGas included an example of this procedure in the App</w:t>
      </w:r>
      <w:r w:rsidR="007243D1">
        <w:t>lication assuming 9.2 cents/kwh</w:t>
      </w:r>
      <w:r w:rsidR="00A758D2">
        <w:t xml:space="preserve"> electricity costs and $6/decatherm natural gas prices at the California border, the in-kind fuel factor would increase slightly (3%) to an estimated 2.48% when the current gas turbine units are replaced with the electric motors.  We note that the example was based on gas prices that were higher than today’s gas prices.  In its filings setting new in-kind fuel charges after the </w:t>
      </w:r>
      <w:r w:rsidR="00EF44B5">
        <w:t>Project</w:t>
      </w:r>
      <w:r w:rsidR="00A758D2">
        <w:t xml:space="preserve"> is completed and in service, SoCalGas </w:t>
      </w:r>
      <w:r w:rsidR="005605D0">
        <w:t>must</w:t>
      </w:r>
      <w:r w:rsidR="00A758D2">
        <w:t xml:space="preserve"> provide</w:t>
      </w:r>
      <w:r w:rsidR="005605D0">
        <w:t>:</w:t>
      </w:r>
      <w:r w:rsidR="00A758D2">
        <w:t xml:space="preserve"> </w:t>
      </w:r>
      <w:r w:rsidR="001D1835">
        <w:t xml:space="preserve"> </w:t>
      </w:r>
      <w:r w:rsidR="005605D0">
        <w:t>1) its</w:t>
      </w:r>
      <w:r w:rsidR="00A758D2">
        <w:t xml:space="preserve"> calculations of the equivalent gas volumes, 2) </w:t>
      </w:r>
      <w:r w:rsidR="005605D0">
        <w:t xml:space="preserve">the amount of </w:t>
      </w:r>
      <w:r w:rsidR="00A758D2">
        <w:t>revenues it received from the gas sales and, 3) electricity costs incurred operating the new compressors.</w:t>
      </w:r>
    </w:p>
    <w:p w:rsidR="00831C2F" w:rsidRDefault="008E28D6" w:rsidP="007243D1">
      <w:pPr>
        <w:pStyle w:val="Heading1"/>
        <w:numPr>
          <w:ilvl w:val="0"/>
          <w:numId w:val="37"/>
        </w:numPr>
        <w:ind w:left="720" w:right="1440" w:hanging="720"/>
      </w:pPr>
      <w:bookmarkStart w:id="70" w:name="_Toc369507342"/>
      <w:r>
        <w:t>A</w:t>
      </w:r>
      <w:r w:rsidR="00831C2F" w:rsidRPr="00FC54C0">
        <w:t>p</w:t>
      </w:r>
      <w:r>
        <w:t>proval of the E</w:t>
      </w:r>
      <w:r w:rsidR="00831C2F" w:rsidRPr="00CD09D7">
        <w:t xml:space="preserve">xpansion of an </w:t>
      </w:r>
      <w:r>
        <w:t>Easement Necessary for C</w:t>
      </w:r>
      <w:r w:rsidR="00831C2F" w:rsidRPr="00CD09D7">
        <w:t xml:space="preserve">ompletion of the </w:t>
      </w:r>
      <w:r w:rsidR="00EF44B5">
        <w:t>Project</w:t>
      </w:r>
      <w:bookmarkEnd w:id="70"/>
    </w:p>
    <w:p w:rsidR="00831C2F" w:rsidRDefault="00353A15" w:rsidP="00831C2F">
      <w:pPr>
        <w:pStyle w:val="standard"/>
      </w:pPr>
      <w:r>
        <w:rPr>
          <w:color w:val="000000"/>
        </w:rPr>
        <w:t xml:space="preserve">SoCalGas is authorized to expand </w:t>
      </w:r>
      <w:r w:rsidR="00343C62">
        <w:rPr>
          <w:color w:val="000000"/>
        </w:rPr>
        <w:t xml:space="preserve">the </w:t>
      </w:r>
      <w:r>
        <w:rPr>
          <w:color w:val="000000"/>
        </w:rPr>
        <w:t xml:space="preserve">easement </w:t>
      </w:r>
      <w:r w:rsidR="00343C62">
        <w:rPr>
          <w:color w:val="000000"/>
        </w:rPr>
        <w:t xml:space="preserve">between SoCalGas and SCE </w:t>
      </w:r>
      <w:r>
        <w:rPr>
          <w:color w:val="000000"/>
        </w:rPr>
        <w:t xml:space="preserve">necessary for completion of the </w:t>
      </w:r>
      <w:r w:rsidR="00EF44B5">
        <w:rPr>
          <w:color w:val="000000"/>
        </w:rPr>
        <w:t>Project</w:t>
      </w:r>
      <w:r>
        <w:rPr>
          <w:color w:val="000000"/>
        </w:rPr>
        <w:t>.  No party contests this issue.</w:t>
      </w:r>
    </w:p>
    <w:p w:rsidR="00831C2F" w:rsidRDefault="00353A15" w:rsidP="00831C2F">
      <w:pPr>
        <w:pStyle w:val="standard"/>
      </w:pPr>
      <w:r>
        <w:rPr>
          <w:color w:val="000000"/>
        </w:rPr>
        <w:t>The location of the proposed SCE Natural Substation is on SoCalGas property and adjacent to the site proposed for the new central compressor station.</w:t>
      </w:r>
      <w:r w:rsidR="007243D1">
        <w:rPr>
          <w:color w:val="000000"/>
        </w:rPr>
        <w:t xml:space="preserve"> </w:t>
      </w:r>
      <w:r>
        <w:rPr>
          <w:color w:val="000000"/>
        </w:rPr>
        <w:t xml:space="preserve"> In order to allow SCE to build and operate the proposed SCE Natural Substation equipment, the existing easement between SoCalGas and SCE must be widened from 50 feet to approximately 150 feet for approximately 300 feet in length, and the expansion of an existing easement requires Commission approval, pursuant to § 851.  Approval of expansion of the easement is in the public interest as a means to facilitating the construction of a substation necessary to complete the replacement of the old gas compressors with new, more efficient electrical compressors.</w:t>
      </w:r>
    </w:p>
    <w:p w:rsidR="00831C2F" w:rsidRDefault="00757946" w:rsidP="007243D1">
      <w:pPr>
        <w:pStyle w:val="Heading1"/>
        <w:numPr>
          <w:ilvl w:val="0"/>
          <w:numId w:val="37"/>
        </w:numPr>
        <w:ind w:left="720" w:right="1440" w:hanging="720"/>
      </w:pPr>
      <w:bookmarkStart w:id="71" w:name="_Toc369507343"/>
      <w:r>
        <w:t>T</w:t>
      </w:r>
      <w:r w:rsidR="00831C2F" w:rsidRPr="00FC54C0">
        <w:t xml:space="preserve">he Commission has </w:t>
      </w:r>
      <w:r w:rsidR="006F2ECF">
        <w:t>P</w:t>
      </w:r>
      <w:r w:rsidR="00831C2F" w:rsidRPr="00FC54C0">
        <w:t xml:space="preserve">reemptory </w:t>
      </w:r>
      <w:r w:rsidR="006F2ECF">
        <w:t>A</w:t>
      </w:r>
      <w:r w:rsidR="00831C2F" w:rsidRPr="00FC54C0">
        <w:t xml:space="preserve">uthority over </w:t>
      </w:r>
      <w:r w:rsidR="006F2ECF">
        <w:t>C</w:t>
      </w:r>
      <w:r w:rsidR="00831C2F" w:rsidRPr="00FC54C0">
        <w:t xml:space="preserve">onflicting </w:t>
      </w:r>
      <w:r w:rsidR="006F2ECF">
        <w:t>C</w:t>
      </w:r>
      <w:r w:rsidR="00831C2F">
        <w:t xml:space="preserve">ity and </w:t>
      </w:r>
      <w:r w:rsidR="006F2ECF">
        <w:t>C</w:t>
      </w:r>
      <w:r w:rsidR="00831C2F">
        <w:t>ounty</w:t>
      </w:r>
      <w:r w:rsidR="00831C2F" w:rsidRPr="00FC54C0">
        <w:t xml:space="preserve"> </w:t>
      </w:r>
      <w:r w:rsidR="006F2ECF">
        <w:t>Z</w:t>
      </w:r>
      <w:r w:rsidR="00831C2F" w:rsidRPr="00FC54C0">
        <w:t xml:space="preserve">oning </w:t>
      </w:r>
      <w:r w:rsidR="006F2ECF">
        <w:t>R</w:t>
      </w:r>
      <w:r w:rsidR="00831C2F" w:rsidRPr="00FC54C0">
        <w:t xml:space="preserve">egulations, </w:t>
      </w:r>
      <w:r w:rsidR="006F2ECF">
        <w:t>O</w:t>
      </w:r>
      <w:r w:rsidR="00831C2F" w:rsidRPr="00FC54C0">
        <w:t xml:space="preserve">rdinances, </w:t>
      </w:r>
      <w:r w:rsidR="006F2ECF">
        <w:t>C</w:t>
      </w:r>
      <w:r w:rsidR="00831C2F" w:rsidRPr="00FC54C0">
        <w:t xml:space="preserve">odes, or </w:t>
      </w:r>
      <w:r w:rsidR="006F2ECF">
        <w:t>R</w:t>
      </w:r>
      <w:r w:rsidR="00831C2F" w:rsidRPr="00FC54C0">
        <w:t>equirements</w:t>
      </w:r>
      <w:bookmarkEnd w:id="71"/>
    </w:p>
    <w:p w:rsidR="008E28D6" w:rsidRDefault="008E28D6" w:rsidP="008E28D6">
      <w:pPr>
        <w:pStyle w:val="standard"/>
        <w:rPr>
          <w:color w:val="000000"/>
        </w:rPr>
      </w:pPr>
      <w:r>
        <w:rPr>
          <w:color w:val="000000"/>
        </w:rPr>
        <w:t xml:space="preserve">SoCalGas states that it will obtain the necessary ministerial permits to construct and operate the </w:t>
      </w:r>
      <w:r w:rsidR="00EF44B5">
        <w:rPr>
          <w:color w:val="000000"/>
        </w:rPr>
        <w:t>Project</w:t>
      </w:r>
      <w:r>
        <w:rPr>
          <w:color w:val="000000"/>
        </w:rPr>
        <w:t xml:space="preserve"> (</w:t>
      </w:r>
      <w:r>
        <w:rPr>
          <w:i/>
          <w:color w:val="000000"/>
        </w:rPr>
        <w:t>e.g.</w:t>
      </w:r>
      <w:r>
        <w:rPr>
          <w:color w:val="000000"/>
        </w:rPr>
        <w:t xml:space="preserve">, any applicable ministerial grading or building permits) but requests that the Commission preempt any discretionary grading or oak tree permits that may be required to implement the </w:t>
      </w:r>
      <w:r w:rsidR="00EF44B5">
        <w:rPr>
          <w:color w:val="000000"/>
        </w:rPr>
        <w:t>Project</w:t>
      </w:r>
      <w:r>
        <w:rPr>
          <w:color w:val="000000"/>
        </w:rPr>
        <w:t>.  No party contests this issue.</w:t>
      </w:r>
    </w:p>
    <w:p w:rsidR="008E28D6" w:rsidRDefault="008E28D6" w:rsidP="008E28D6">
      <w:pPr>
        <w:pStyle w:val="standard"/>
        <w:rPr>
          <w:color w:val="000000"/>
        </w:rPr>
      </w:pPr>
      <w:r>
        <w:rPr>
          <w:color w:val="000000"/>
        </w:rPr>
        <w:t>SoCalGas is a public utility subject to the Commission’s jurisdiction, pursuant to § 216 and § 222, and the Aliso Canyon Facility is a gas plant facility regulated by the Commission, pursuant to § 221.  We have previously determined, and the California Supreme Court has confirmed, that the Commission has authority over construction for utility purposes carried out by public utilities subject to its jurisdiction.</w:t>
      </w:r>
      <w:r w:rsidRPr="00BD2609">
        <w:rPr>
          <w:color w:val="000000"/>
          <w:vertAlign w:val="superscript"/>
        </w:rPr>
        <w:footnoteReference w:id="53"/>
      </w:r>
    </w:p>
    <w:p w:rsidR="008E28D6" w:rsidRDefault="008E28D6" w:rsidP="008E28D6">
      <w:pPr>
        <w:pStyle w:val="standard"/>
        <w:rPr>
          <w:color w:val="000000"/>
        </w:rPr>
      </w:pPr>
      <w:r>
        <w:rPr>
          <w:color w:val="000000"/>
        </w:rPr>
        <w:t>Article XII, § 5 of the California Constitution gives the state Legislature plenary power to confer authority and jurisdiction upon the Commission, and the state Legislature, in turn, has granted broad authority to the Commission to regulate utilities.  The Commission is authorized by statute to “do all things . . . which are necessary and convenient in the exercise” of its power.</w:t>
      </w:r>
      <w:r w:rsidRPr="00BD2609">
        <w:rPr>
          <w:color w:val="000000"/>
          <w:vertAlign w:val="superscript"/>
        </w:rPr>
        <w:footnoteReference w:id="54"/>
      </w:r>
      <w:r>
        <w:rPr>
          <w:color w:val="000000"/>
        </w:rPr>
        <w:t xml:space="preserve">  In particular, the Commission can make orders governing the services, equipment, physical property, and safety devices used by public utilities.</w:t>
      </w:r>
      <w:r w:rsidRPr="00BD2609">
        <w:rPr>
          <w:color w:val="000000"/>
          <w:vertAlign w:val="superscript"/>
        </w:rPr>
        <w:footnoteReference w:id="55"/>
      </w:r>
      <w:r w:rsidR="000F3F13">
        <w:rPr>
          <w:color w:val="000000"/>
        </w:rPr>
        <w:t xml:space="preserve">  </w:t>
      </w:r>
      <w:r>
        <w:rPr>
          <w:color w:val="000000"/>
        </w:rPr>
        <w:t>Title XII, § 8 of the California Constitution, and §§ 701, 761, 762, and 768, establish the Commission’s preemptory authority over city, county, or other public bodies over matters which the Legislature has granted regulatory power to the Commission, including the construction, maintenance, and operation of utility property.</w:t>
      </w:r>
    </w:p>
    <w:p w:rsidR="008E28D6" w:rsidRDefault="008E28D6" w:rsidP="008E28D6">
      <w:pPr>
        <w:pStyle w:val="standard"/>
        <w:rPr>
          <w:color w:val="000000"/>
        </w:rPr>
      </w:pPr>
      <w:r>
        <w:rPr>
          <w:color w:val="000000"/>
        </w:rPr>
        <w:t xml:space="preserve">Because D.08-12-020 found that the </w:t>
      </w:r>
      <w:r w:rsidR="00EF44B5">
        <w:rPr>
          <w:color w:val="000000"/>
        </w:rPr>
        <w:t>Project</w:t>
      </w:r>
      <w:r>
        <w:rPr>
          <w:color w:val="000000"/>
        </w:rPr>
        <w:t xml:space="preserve"> will ensure that core and noncore customers in southern California will have sufficient storage services, the Aliso Canyon Facility and the Aliso Canyon Turbine Replacement Project are matters of statewide concern.  We also find that action requested in this Application is a matter of statewide concern for the same reasons.  </w:t>
      </w:r>
      <w:r w:rsidR="00BC4BA7">
        <w:rPr>
          <w:color w:val="000000"/>
        </w:rPr>
        <w:t xml:space="preserve">As noted above, the Aliso Canyon Storage </w:t>
      </w:r>
      <w:r w:rsidR="000F3F13">
        <w:rPr>
          <w:color w:val="000000"/>
        </w:rPr>
        <w:t>Facility</w:t>
      </w:r>
      <w:r w:rsidR="00BC4BA7">
        <w:rPr>
          <w:color w:val="000000"/>
        </w:rPr>
        <w:t xml:space="preserve"> plays a critical role in SoCalGas’</w:t>
      </w:r>
      <w:r w:rsidR="00AF0EA4">
        <w:rPr>
          <w:color w:val="000000"/>
        </w:rPr>
        <w:t>s</w:t>
      </w:r>
      <w:r w:rsidR="00BC4BA7">
        <w:rPr>
          <w:color w:val="000000"/>
        </w:rPr>
        <w:t xml:space="preserve"> ability to reliably serve approximately six million residential, commercial, and industrial customers in </w:t>
      </w:r>
      <w:r w:rsidR="00515CE4">
        <w:rPr>
          <w:color w:val="000000"/>
        </w:rPr>
        <w:t>s</w:t>
      </w:r>
      <w:r w:rsidR="00BC4BA7">
        <w:rPr>
          <w:color w:val="000000"/>
        </w:rPr>
        <w:t xml:space="preserve">outhern California.  The </w:t>
      </w:r>
      <w:r w:rsidR="000F3F13">
        <w:rPr>
          <w:color w:val="000000"/>
        </w:rPr>
        <w:t xml:space="preserve">Facility </w:t>
      </w:r>
      <w:r w:rsidR="00BC4BA7">
        <w:rPr>
          <w:color w:val="000000"/>
        </w:rPr>
        <w:t xml:space="preserve">is central to </w:t>
      </w:r>
      <w:r w:rsidR="00BC4BA7" w:rsidRPr="008A0BED">
        <w:rPr>
          <w:color w:val="000000"/>
        </w:rPr>
        <w:t>SoCalGas’</w:t>
      </w:r>
      <w:r w:rsidR="00AF0EA4">
        <w:rPr>
          <w:color w:val="000000"/>
        </w:rPr>
        <w:t>s</w:t>
      </w:r>
      <w:r w:rsidR="00BC4BA7" w:rsidRPr="008A0BED">
        <w:rPr>
          <w:color w:val="000000"/>
        </w:rPr>
        <w:t xml:space="preserve"> gas storage and distribution system, which</w:t>
      </w:r>
      <w:r w:rsidR="00BC4BA7">
        <w:rPr>
          <w:color w:val="000000"/>
        </w:rPr>
        <w:t xml:space="preserve"> </w:t>
      </w:r>
      <w:r w:rsidR="00BC4BA7" w:rsidRPr="008A0BED">
        <w:rPr>
          <w:color w:val="000000"/>
        </w:rPr>
        <w:t>generally withdraws gas from storage during the winter months (when prices are typically</w:t>
      </w:r>
      <w:r w:rsidR="00BC4BA7">
        <w:rPr>
          <w:color w:val="000000"/>
        </w:rPr>
        <w:t xml:space="preserve"> </w:t>
      </w:r>
      <w:r w:rsidR="00BC4BA7" w:rsidRPr="008A0BED">
        <w:rPr>
          <w:color w:val="000000"/>
        </w:rPr>
        <w:t>higher) and injects gas into storage during the spring and summer months (when prices are</w:t>
      </w:r>
      <w:r w:rsidR="00BC4BA7">
        <w:rPr>
          <w:color w:val="000000"/>
        </w:rPr>
        <w:t xml:space="preserve"> </w:t>
      </w:r>
      <w:r w:rsidR="00BC4BA7" w:rsidRPr="008A0BED">
        <w:rPr>
          <w:color w:val="000000"/>
        </w:rPr>
        <w:t>typically lower</w:t>
      </w:r>
      <w:r w:rsidR="00BC4BA7">
        <w:rPr>
          <w:color w:val="000000"/>
        </w:rPr>
        <w:t xml:space="preserve">).  </w:t>
      </w:r>
      <w:r w:rsidR="000F3F13">
        <w:rPr>
          <w:color w:val="000000"/>
        </w:rPr>
        <w:t>As discussed above, t</w:t>
      </w:r>
      <w:r w:rsidR="00BC4BA7">
        <w:rPr>
          <w:color w:val="000000"/>
        </w:rPr>
        <w:t xml:space="preserve">he </w:t>
      </w:r>
      <w:r w:rsidR="00EF44B5">
        <w:rPr>
          <w:color w:val="000000"/>
        </w:rPr>
        <w:t>Project</w:t>
      </w:r>
      <w:r w:rsidR="00BC4BA7">
        <w:rPr>
          <w:color w:val="000000"/>
        </w:rPr>
        <w:t xml:space="preserve"> </w:t>
      </w:r>
      <w:r w:rsidR="000F3F13">
        <w:rPr>
          <w:color w:val="000000"/>
        </w:rPr>
        <w:t>is</w:t>
      </w:r>
      <w:r w:rsidR="00BC4BA7">
        <w:rPr>
          <w:color w:val="000000"/>
        </w:rPr>
        <w:t xml:space="preserve"> necessary to ensure a </w:t>
      </w:r>
      <w:r w:rsidR="00BC4BA7" w:rsidRPr="008F62EB">
        <w:rPr>
          <w:color w:val="000000"/>
        </w:rPr>
        <w:t>reliable</w:t>
      </w:r>
      <w:r w:rsidR="00BC4BA7">
        <w:rPr>
          <w:color w:val="000000"/>
        </w:rPr>
        <w:t xml:space="preserve">, </w:t>
      </w:r>
      <w:r w:rsidR="00BC4BA7" w:rsidRPr="008F62EB">
        <w:rPr>
          <w:color w:val="000000"/>
        </w:rPr>
        <w:t>efficient</w:t>
      </w:r>
      <w:r w:rsidR="00BC4BA7">
        <w:rPr>
          <w:color w:val="000000"/>
        </w:rPr>
        <w:t xml:space="preserve">.  </w:t>
      </w:r>
      <w:r>
        <w:rPr>
          <w:color w:val="000000"/>
        </w:rPr>
        <w:t>Thus, the Aliso Canyon Turbine Replacement Project serves a statewide public interest, and the Commission has preemptory authority over conflicting local zoning regulations, ordinances, codes, or requirements.</w:t>
      </w:r>
    </w:p>
    <w:p w:rsidR="008E28D6" w:rsidRDefault="000F3F13" w:rsidP="008E28D6">
      <w:pPr>
        <w:pStyle w:val="standard"/>
        <w:rPr>
          <w:color w:val="000000"/>
        </w:rPr>
      </w:pPr>
      <w:r>
        <w:rPr>
          <w:color w:val="000000"/>
        </w:rPr>
        <w:t>T</w:t>
      </w:r>
      <w:r w:rsidR="008E28D6">
        <w:rPr>
          <w:color w:val="000000"/>
        </w:rPr>
        <w:t xml:space="preserve">he Commission confirms its authority to preempt local regulation of the Storage Field facilities and operations authorized by the CPCN </w:t>
      </w:r>
      <w:r w:rsidR="00BC4BA7">
        <w:rPr>
          <w:color w:val="000000"/>
        </w:rPr>
        <w:t xml:space="preserve">to the extent such local regulations either conflict or interfere with the Commission’s plenary jurisdiction to regulate public utilities, or else interfere with a regulated public utilities’ ability to comply with a Commission order.  In </w:t>
      </w:r>
      <w:r w:rsidR="008E28D6">
        <w:rPr>
          <w:color w:val="000000"/>
        </w:rPr>
        <w:t xml:space="preserve">particular, any discretionary </w:t>
      </w:r>
      <w:r w:rsidR="00BC4BA7">
        <w:rPr>
          <w:color w:val="000000"/>
        </w:rPr>
        <w:t xml:space="preserve">local </w:t>
      </w:r>
      <w:r w:rsidR="008E28D6">
        <w:rPr>
          <w:color w:val="000000"/>
        </w:rPr>
        <w:t>grading or oak tree permits that may be required to implement the project</w:t>
      </w:r>
      <w:r w:rsidR="00BC4BA7" w:rsidRPr="00BC4BA7">
        <w:rPr>
          <w:color w:val="000000"/>
        </w:rPr>
        <w:t xml:space="preserve"> </w:t>
      </w:r>
      <w:r w:rsidR="00BC4BA7">
        <w:rPr>
          <w:color w:val="000000"/>
        </w:rPr>
        <w:t>is hereb</w:t>
      </w:r>
      <w:r>
        <w:rPr>
          <w:color w:val="000000"/>
        </w:rPr>
        <w:t>y preempted by this Commission O</w:t>
      </w:r>
      <w:r w:rsidR="00BC4BA7">
        <w:rPr>
          <w:color w:val="000000"/>
        </w:rPr>
        <w:t>rder</w:t>
      </w:r>
      <w:r w:rsidR="008E28D6">
        <w:rPr>
          <w:color w:val="000000"/>
        </w:rPr>
        <w:t>.  However, SoCalGas must obtain all necessary non-preempted ministerial permits, easement rights, or other applicable legal authority to construct and operate the Aliso Canyon Turbine Replacement Project site prior to commencing c</w:t>
      </w:r>
      <w:r w:rsidR="007243D1">
        <w:rPr>
          <w:color w:val="000000"/>
        </w:rPr>
        <w:t>onstruction.</w:t>
      </w:r>
    </w:p>
    <w:p w:rsidR="00CB74DC" w:rsidRDefault="00CB74DC" w:rsidP="00CB74DC">
      <w:pPr>
        <w:pStyle w:val="standard"/>
        <w:rPr>
          <w:color w:val="000000"/>
        </w:rPr>
      </w:pPr>
      <w:r>
        <w:rPr>
          <w:color w:val="000000"/>
        </w:rPr>
        <w:t xml:space="preserve">SoCalGas’s </w:t>
      </w:r>
      <w:r w:rsidRPr="00CB74DC">
        <w:rPr>
          <w:color w:val="000000"/>
        </w:rPr>
        <w:t>Applicant Proposed Measure BR-8</w:t>
      </w:r>
      <w:r w:rsidR="000F3F13">
        <w:rPr>
          <w:color w:val="000000"/>
        </w:rPr>
        <w:t xml:space="preserve"> (one of the mitigation measures adopted by this decision)</w:t>
      </w:r>
      <w:r w:rsidRPr="00CB74DC">
        <w:rPr>
          <w:color w:val="000000"/>
        </w:rPr>
        <w:t xml:space="preserve"> provides that, in accordance with City of Santa Clarita/Los Angeles County </w:t>
      </w:r>
      <w:r w:rsidR="00B32890">
        <w:rPr>
          <w:color w:val="000000"/>
        </w:rPr>
        <w:t>oak tree</w:t>
      </w:r>
      <w:r w:rsidR="00B32890" w:rsidRPr="00CB74DC">
        <w:rPr>
          <w:color w:val="000000"/>
        </w:rPr>
        <w:t xml:space="preserve"> </w:t>
      </w:r>
      <w:r w:rsidRPr="00CB74DC">
        <w:rPr>
          <w:color w:val="000000"/>
        </w:rPr>
        <w:t xml:space="preserve">ordinance and policy guidelines, </w:t>
      </w:r>
      <w:r>
        <w:rPr>
          <w:color w:val="000000"/>
        </w:rPr>
        <w:t>SoCalGas</w:t>
      </w:r>
      <w:r w:rsidRPr="00CB74DC">
        <w:rPr>
          <w:color w:val="000000"/>
        </w:rPr>
        <w:t xml:space="preserve"> and SCE will ensure that loss or impacts to all native oak trees via trimming or ground disturbance within the drip</w:t>
      </w:r>
      <w:r>
        <w:rPr>
          <w:color w:val="000000"/>
        </w:rPr>
        <w:t xml:space="preserve"> </w:t>
      </w:r>
      <w:r w:rsidRPr="00CB74DC">
        <w:rPr>
          <w:color w:val="000000"/>
        </w:rPr>
        <w:t>line (i.e., the outermost extent of the canopy) will be avoided using specific measures and/or agency guidance.</w:t>
      </w:r>
      <w:r w:rsidR="007243D1">
        <w:rPr>
          <w:color w:val="000000"/>
        </w:rPr>
        <w:t xml:space="preserve"> </w:t>
      </w:r>
      <w:r w:rsidRPr="00CB74DC">
        <w:rPr>
          <w:color w:val="000000"/>
        </w:rPr>
        <w:t xml:space="preserve"> If impacts cannot be avoided, the </w:t>
      </w:r>
      <w:r>
        <w:rPr>
          <w:color w:val="000000"/>
        </w:rPr>
        <w:t xml:space="preserve">SoCalGas </w:t>
      </w:r>
      <w:r w:rsidRPr="00CB74DC">
        <w:rPr>
          <w:color w:val="000000"/>
        </w:rPr>
        <w:t>or SCE will submit an Oak Tree Permit Application (including an Oak Tree Report) to Los Angeles County and obtain an Oak Tree Permit prior to construction.</w:t>
      </w:r>
    </w:p>
    <w:p w:rsidR="00001CDF" w:rsidRDefault="00001CDF" w:rsidP="00001CDF">
      <w:pPr>
        <w:pStyle w:val="Heading1"/>
        <w:numPr>
          <w:ilvl w:val="0"/>
          <w:numId w:val="37"/>
        </w:numPr>
      </w:pPr>
      <w:bookmarkStart w:id="72" w:name="_Toc369507344"/>
      <w:r>
        <w:t>Categorization and Need for Hearing</w:t>
      </w:r>
      <w:bookmarkEnd w:id="72"/>
    </w:p>
    <w:p w:rsidR="00001CDF" w:rsidRPr="009E4DAD" w:rsidRDefault="00001CDF" w:rsidP="00001CDF">
      <w:pPr>
        <w:pStyle w:val="standard"/>
      </w:pPr>
      <w:r w:rsidRPr="00625F20">
        <w:t>Resolution ALJ 176-3242, issued on October 15, 2009, preliminar</w:t>
      </w:r>
      <w:r>
        <w:t>il</w:t>
      </w:r>
      <w:r w:rsidRPr="00625F20">
        <w:t xml:space="preserve">y </w:t>
      </w:r>
      <w:r>
        <w:t xml:space="preserve">determined </w:t>
      </w:r>
      <w:r w:rsidRPr="00625F20">
        <w:t>that evidentiary hearings are necessary.</w:t>
      </w:r>
      <w:r>
        <w:t xml:space="preserve">  The Application is uncontested.  Given this circumstance, this decision revises the Commission’s preliminary determination on the need for hearings.  Evidentiary hearings are not needed in this proceeding.</w:t>
      </w:r>
    </w:p>
    <w:p w:rsidR="00373EBE" w:rsidRPr="00903F85" w:rsidRDefault="00F87997" w:rsidP="00700CF6">
      <w:pPr>
        <w:pStyle w:val="Heading1"/>
        <w:numPr>
          <w:ilvl w:val="0"/>
          <w:numId w:val="37"/>
        </w:numPr>
      </w:pPr>
      <w:bookmarkStart w:id="73" w:name="_Toc319053388"/>
      <w:bookmarkStart w:id="74" w:name="_Toc369507345"/>
      <w:bookmarkEnd w:id="54"/>
      <w:r>
        <w:t>Reduced C</w:t>
      </w:r>
      <w:r w:rsidR="0025126A" w:rsidRPr="00903F85">
        <w:t>omment</w:t>
      </w:r>
      <w:bookmarkEnd w:id="73"/>
      <w:r>
        <w:t xml:space="preserve"> Period</w:t>
      </w:r>
      <w:bookmarkEnd w:id="74"/>
    </w:p>
    <w:p w:rsidR="00373EBE" w:rsidRDefault="00F87997" w:rsidP="000D70EA">
      <w:pPr>
        <w:pStyle w:val="standard"/>
      </w:pPr>
      <w:r>
        <w:t xml:space="preserve">The proposed decision of ALJ Smith in this matter was mailed to the parties in accordance with Section 311 of the Public Utilities Code.  This is an uncontested matter in which the decision grants the relief requested.  Accordingly, pursuant to Section 311(g)(2) of the Public Utilities Code, and Rule 14.6(c)(2) of the Commission’s Rules of Practice and Procedure, the otherwise applicable 30-day period for public review and comment is reduced.  Comments were filed by </w:t>
      </w:r>
      <w:r w:rsidR="009E5DD5">
        <w:t xml:space="preserve">SoCalGas </w:t>
      </w:r>
      <w:r w:rsidR="00127C13">
        <w:t>on November 1, 2013</w:t>
      </w:r>
      <w:r w:rsidR="00EB1F59">
        <w:t>, and</w:t>
      </w:r>
      <w:r w:rsidR="00127C13">
        <w:t xml:space="preserve"> by SCE on November 5, 2013.  No </w:t>
      </w:r>
      <w:r>
        <w:t>reply comments were filed.</w:t>
      </w:r>
      <w:r w:rsidR="00127C13">
        <w:t xml:space="preserve">  </w:t>
      </w:r>
      <w:r w:rsidR="00127C13">
        <w:rPr>
          <w:szCs w:val="26"/>
        </w:rPr>
        <w:t>The comments have been considered and appropriate changes have been made.</w:t>
      </w:r>
    </w:p>
    <w:p w:rsidR="00373EBE" w:rsidRDefault="00373EBE" w:rsidP="00700CF6">
      <w:pPr>
        <w:pStyle w:val="Heading1"/>
        <w:numPr>
          <w:ilvl w:val="0"/>
          <w:numId w:val="37"/>
        </w:numPr>
      </w:pPr>
      <w:bookmarkStart w:id="75" w:name="_Toc319053389"/>
      <w:bookmarkStart w:id="76" w:name="_Toc369507346"/>
      <w:r>
        <w:t>Assignment of Proceeding</w:t>
      </w:r>
      <w:bookmarkEnd w:id="75"/>
      <w:bookmarkEnd w:id="76"/>
    </w:p>
    <w:p w:rsidR="00373EBE" w:rsidRDefault="00F7251C" w:rsidP="00373EBE">
      <w:pPr>
        <w:pStyle w:val="standard"/>
      </w:pPr>
      <w:r w:rsidRPr="00F7251C">
        <w:t xml:space="preserve">Mark J. Ferron </w:t>
      </w:r>
      <w:r w:rsidR="00373EBE">
        <w:t>is the assigned Commissioner and Richard Smith is the assigned ALJ in this proceeding.</w:t>
      </w:r>
      <w:r w:rsidR="00373EBE" w:rsidRPr="00F7251C">
        <w:t xml:space="preserve"> </w:t>
      </w:r>
    </w:p>
    <w:p w:rsidR="00373EBE" w:rsidRDefault="00373EBE" w:rsidP="00F7251C">
      <w:pPr>
        <w:pStyle w:val="Heading1"/>
        <w:ind w:firstLine="0"/>
      </w:pPr>
      <w:bookmarkStart w:id="77" w:name="_Toc450990219"/>
      <w:bookmarkStart w:id="78" w:name="_Toc451151266"/>
      <w:bookmarkStart w:id="79" w:name="_Toc319053390"/>
      <w:bookmarkStart w:id="80" w:name="_Toc369507347"/>
      <w:r>
        <w:t>Findings of Fact</w:t>
      </w:r>
      <w:bookmarkEnd w:id="77"/>
      <w:bookmarkEnd w:id="78"/>
      <w:bookmarkEnd w:id="79"/>
      <w:bookmarkEnd w:id="80"/>
    </w:p>
    <w:p w:rsidR="00305235" w:rsidRPr="0025126A" w:rsidRDefault="00EB4BE4" w:rsidP="00AD4826">
      <w:pPr>
        <w:pStyle w:val="standard"/>
        <w:numPr>
          <w:ilvl w:val="0"/>
          <w:numId w:val="42"/>
        </w:numPr>
        <w:ind w:left="0" w:firstLine="360"/>
      </w:pPr>
      <w:r w:rsidRPr="0025126A">
        <w:t xml:space="preserve">SoCalGas </w:t>
      </w:r>
      <w:r>
        <w:t>filed A</w:t>
      </w:r>
      <w:r w:rsidR="001061C6">
        <w:t>.</w:t>
      </w:r>
      <w:r>
        <w:t>09-09-020 for a certificate of public convenience and necessity to construct and operate t</w:t>
      </w:r>
      <w:r w:rsidR="00305235">
        <w:t xml:space="preserve">he </w:t>
      </w:r>
      <w:r w:rsidR="000F3F13" w:rsidRPr="0025126A">
        <w:t xml:space="preserve">Aliso Canyon Turbine Replacement </w:t>
      </w:r>
      <w:r w:rsidR="00305235">
        <w:t xml:space="preserve">Project, including </w:t>
      </w:r>
      <w:r w:rsidR="00305235" w:rsidRPr="0025126A">
        <w:t xml:space="preserve">replacement of three obsolete </w:t>
      </w:r>
      <w:r w:rsidR="00C80073">
        <w:t>TDCs</w:t>
      </w:r>
      <w:r w:rsidR="00305235" w:rsidRPr="0025126A">
        <w:t xml:space="preserve"> and associated equipment with a new electric compressor station and construction of other improvements at the Aliso Canyon Storage F</w:t>
      </w:r>
      <w:r w:rsidR="0025126A">
        <w:t>ield (Project).</w:t>
      </w:r>
    </w:p>
    <w:p w:rsidR="00EB4BE4" w:rsidRPr="0025126A" w:rsidRDefault="00EB4BE4" w:rsidP="00AD4826">
      <w:pPr>
        <w:pStyle w:val="standard"/>
        <w:numPr>
          <w:ilvl w:val="0"/>
          <w:numId w:val="42"/>
        </w:numPr>
        <w:ind w:left="0" w:firstLine="360"/>
      </w:pPr>
      <w:r w:rsidRPr="00B140F5">
        <w:t xml:space="preserve">Notice of the </w:t>
      </w:r>
      <w:r>
        <w:t>Application</w:t>
      </w:r>
      <w:r w:rsidRPr="00B140F5">
        <w:t xml:space="preserve"> appeared in the Commission’s </w:t>
      </w:r>
      <w:r>
        <w:t>October 1</w:t>
      </w:r>
      <w:r w:rsidRPr="00B140F5">
        <w:t>, 200</w:t>
      </w:r>
      <w:r>
        <w:t>9 Daily Calendar.</w:t>
      </w:r>
    </w:p>
    <w:p w:rsidR="00B91F39" w:rsidRPr="0025126A" w:rsidRDefault="00190E3B" w:rsidP="00190E3B">
      <w:pPr>
        <w:pStyle w:val="standard"/>
        <w:numPr>
          <w:ilvl w:val="0"/>
          <w:numId w:val="42"/>
        </w:numPr>
        <w:ind w:left="0" w:firstLine="360"/>
      </w:pPr>
      <w:r w:rsidRPr="0025126A">
        <w:t xml:space="preserve">The TURN </w:t>
      </w:r>
      <w:r w:rsidR="00B91F39" w:rsidRPr="0025126A">
        <w:t>filed a timely protest to SoCalGas’</w:t>
      </w:r>
      <w:r w:rsidR="00AF0EA4" w:rsidRPr="0025126A">
        <w:t>s</w:t>
      </w:r>
      <w:r w:rsidR="00B91F39" w:rsidRPr="0025126A">
        <w:t xml:space="preserve"> Application but subsequently withdrew its protest.</w:t>
      </w:r>
    </w:p>
    <w:p w:rsidR="00190E3B" w:rsidRPr="0025126A" w:rsidRDefault="00190E3B" w:rsidP="00190E3B">
      <w:pPr>
        <w:pStyle w:val="standard"/>
        <w:numPr>
          <w:ilvl w:val="0"/>
          <w:numId w:val="42"/>
        </w:numPr>
        <w:ind w:left="0" w:firstLine="360"/>
      </w:pPr>
      <w:r w:rsidRPr="0025126A">
        <w:t>Porter Ranch residents Wesley G. Rogers and Marc Herman filed timely protests to SoCalGas’</w:t>
      </w:r>
      <w:r w:rsidR="00AF0EA4" w:rsidRPr="0025126A">
        <w:t>s</w:t>
      </w:r>
      <w:r w:rsidRPr="0025126A">
        <w:t xml:space="preserve"> Application</w:t>
      </w:r>
      <w:r w:rsidR="00B91F39" w:rsidRPr="0025126A">
        <w:t xml:space="preserve"> but subsequently withdrew their protests as a part of the settlement reached with SoCalGas</w:t>
      </w:r>
      <w:r w:rsidRPr="0025126A">
        <w:t xml:space="preserve">. </w:t>
      </w:r>
    </w:p>
    <w:p w:rsidR="00571065" w:rsidRPr="0025126A" w:rsidRDefault="00571065" w:rsidP="00190E3B">
      <w:pPr>
        <w:pStyle w:val="standard"/>
        <w:numPr>
          <w:ilvl w:val="0"/>
          <w:numId w:val="42"/>
        </w:numPr>
        <w:ind w:left="0" w:firstLine="360"/>
      </w:pPr>
      <w:r>
        <w:t>Concerns about the safe operation of the Facility in a high fire risk area were raised by each community member that spoke at the August 14, 2012 PPH.</w:t>
      </w:r>
    </w:p>
    <w:p w:rsidR="00190E3B" w:rsidRPr="0025126A" w:rsidRDefault="00190E3B" w:rsidP="00190E3B">
      <w:pPr>
        <w:pStyle w:val="standard"/>
        <w:numPr>
          <w:ilvl w:val="0"/>
          <w:numId w:val="42"/>
        </w:numPr>
        <w:ind w:left="0" w:firstLine="360"/>
      </w:pPr>
      <w:r w:rsidRPr="0025126A">
        <w:t>A joint response in support of the Application was filed by SDG&amp;E, SoCalGas, DRA, SCE, the Indicated Producers, Southern California Generation Coalition, the City of Long Beach, Southwest Gas Corporation, Watson Cogeneration Company, California Cogeneration Council, and the California Manufacturers and Technology Association.</w:t>
      </w:r>
    </w:p>
    <w:p w:rsidR="006C0FD4" w:rsidRPr="0025126A" w:rsidRDefault="00611259" w:rsidP="00AD4826">
      <w:pPr>
        <w:pStyle w:val="standard"/>
        <w:numPr>
          <w:ilvl w:val="0"/>
          <w:numId w:val="42"/>
        </w:numPr>
        <w:ind w:left="0" w:firstLine="360"/>
      </w:pPr>
      <w:r w:rsidRPr="0025126A">
        <w:t>SoCalGas is a public utility corporation organized and existing under the laws of the State of California and is presently certificated by the Commission to</w:t>
      </w:r>
      <w:r w:rsidR="002E1E3A">
        <w:t xml:space="preserve"> provide natural gas services.</w:t>
      </w:r>
    </w:p>
    <w:p w:rsidR="00611259" w:rsidRPr="0025126A" w:rsidRDefault="00611259" w:rsidP="00AD4826">
      <w:pPr>
        <w:pStyle w:val="standard"/>
        <w:numPr>
          <w:ilvl w:val="0"/>
          <w:numId w:val="42"/>
        </w:numPr>
        <w:ind w:left="0" w:firstLine="360"/>
      </w:pPr>
      <w:r w:rsidRPr="0025126A">
        <w:t xml:space="preserve">The </w:t>
      </w:r>
      <w:r w:rsidR="00E0028D" w:rsidRPr="0025126A">
        <w:t xml:space="preserve">Aliso Canyon Storage Facility </w:t>
      </w:r>
      <w:r w:rsidRPr="0025126A">
        <w:t>was previously owned and operated as an oil field and has been used to store natur</w:t>
      </w:r>
      <w:r w:rsidR="001D1835">
        <w:t>al gas since the early 1970’s.</w:t>
      </w:r>
    </w:p>
    <w:p w:rsidR="00611259" w:rsidRPr="0025126A" w:rsidRDefault="00611259" w:rsidP="00AD4826">
      <w:pPr>
        <w:pStyle w:val="standard"/>
        <w:numPr>
          <w:ilvl w:val="0"/>
          <w:numId w:val="42"/>
        </w:numPr>
        <w:ind w:left="0" w:firstLine="360"/>
      </w:pPr>
      <w:r w:rsidRPr="0025126A">
        <w:t xml:space="preserve"> The </w:t>
      </w:r>
      <w:r w:rsidR="00E0028D">
        <w:t xml:space="preserve">Aliso Canyon </w:t>
      </w:r>
      <w:r w:rsidR="00E0028D" w:rsidRPr="00643F92">
        <w:t xml:space="preserve">Storage Field </w:t>
      </w:r>
      <w:r w:rsidRPr="0025126A">
        <w:t xml:space="preserve">contains 84 Bcf of working storage inventory, 1.875 Bcfd of withdrawal capacity, and a current end-of-cycle injection capacity of 300 MMcfd. </w:t>
      </w:r>
    </w:p>
    <w:p w:rsidR="00E0028D" w:rsidRPr="0025126A" w:rsidRDefault="00E0028D" w:rsidP="002E1E3A">
      <w:pPr>
        <w:pStyle w:val="standard"/>
        <w:numPr>
          <w:ilvl w:val="0"/>
          <w:numId w:val="42"/>
        </w:numPr>
        <w:ind w:left="0" w:firstLine="274"/>
      </w:pPr>
      <w:r>
        <w:t>T</w:t>
      </w:r>
      <w:r w:rsidRPr="00643F92">
        <w:t xml:space="preserve">he </w:t>
      </w:r>
      <w:r>
        <w:t xml:space="preserve">Aliso Canyon </w:t>
      </w:r>
      <w:r w:rsidRPr="00643F92">
        <w:t>Storage Field is SoCalGas’</w:t>
      </w:r>
      <w:r>
        <w:t>s</w:t>
      </w:r>
      <w:r w:rsidRPr="00643F92">
        <w:t xml:space="preserve"> largest underground natural gas storage field and one of the largest in the United States.</w:t>
      </w:r>
    </w:p>
    <w:p w:rsidR="00E0028D" w:rsidRPr="0025126A" w:rsidRDefault="00611259" w:rsidP="002E1E3A">
      <w:pPr>
        <w:pStyle w:val="standard"/>
        <w:numPr>
          <w:ilvl w:val="0"/>
          <w:numId w:val="42"/>
        </w:numPr>
        <w:ind w:left="0" w:firstLine="274"/>
      </w:pPr>
      <w:r w:rsidRPr="0025126A">
        <w:t xml:space="preserve"> Approximately 45% of SoCalGas’</w:t>
      </w:r>
      <w:r w:rsidR="00AF0EA4" w:rsidRPr="0025126A">
        <w:t>s</w:t>
      </w:r>
      <w:r w:rsidRPr="0025126A">
        <w:t xml:space="preserve"> total firm injection capacity is located at the Storage Field. </w:t>
      </w:r>
    </w:p>
    <w:p w:rsidR="00611259" w:rsidRPr="0025126A" w:rsidRDefault="00611259" w:rsidP="002E1E3A">
      <w:pPr>
        <w:pStyle w:val="standard"/>
        <w:numPr>
          <w:ilvl w:val="0"/>
          <w:numId w:val="42"/>
        </w:numPr>
        <w:ind w:left="0" w:firstLine="274"/>
      </w:pPr>
      <w:r w:rsidRPr="0025126A">
        <w:t xml:space="preserve">The majority of the injection capacity at the </w:t>
      </w:r>
      <w:r w:rsidR="00E0028D">
        <w:t xml:space="preserve">Aliso Canyon </w:t>
      </w:r>
      <w:r w:rsidR="00E0028D" w:rsidRPr="00643F92">
        <w:t xml:space="preserve">Storage Field </w:t>
      </w:r>
      <w:r w:rsidRPr="0025126A">
        <w:t xml:space="preserve">is provided by three obsolete </w:t>
      </w:r>
      <w:r w:rsidR="006C0FD4" w:rsidRPr="0025126A">
        <w:t xml:space="preserve">TDCs, which </w:t>
      </w:r>
      <w:r w:rsidRPr="0025126A">
        <w:t xml:space="preserve">were developed in the late 1960s as a derivative of aircraft turbines. </w:t>
      </w:r>
      <w:r w:rsidR="002E1E3A">
        <w:t xml:space="preserve"> </w:t>
      </w:r>
      <w:r w:rsidRPr="0025126A">
        <w:t>The industrial version (LM 1500) is not completely interchangeable with the aircraft turbine versions and less than 20 LM 1500s exist in the United States today.</w:t>
      </w:r>
    </w:p>
    <w:p w:rsidR="006C0FD4" w:rsidRPr="0025126A" w:rsidRDefault="006C0FD4" w:rsidP="002E1E3A">
      <w:pPr>
        <w:pStyle w:val="standard"/>
        <w:numPr>
          <w:ilvl w:val="0"/>
          <w:numId w:val="42"/>
        </w:numPr>
        <w:ind w:left="0" w:firstLine="274"/>
      </w:pPr>
      <w:r w:rsidRPr="0025126A">
        <w:t>Replacement parts for the existing TDCs</w:t>
      </w:r>
      <w:r w:rsidR="00DB377E" w:rsidRPr="0025126A">
        <w:t xml:space="preserve"> </w:t>
      </w:r>
      <w:r w:rsidRPr="0025126A">
        <w:t>are extremely limited because production of the gas turbines was halted by the manufacturer in the late 1970s.</w:t>
      </w:r>
    </w:p>
    <w:p w:rsidR="00E2101E" w:rsidRPr="0025126A" w:rsidRDefault="00E2101E" w:rsidP="002E1E3A">
      <w:pPr>
        <w:pStyle w:val="standard"/>
        <w:numPr>
          <w:ilvl w:val="0"/>
          <w:numId w:val="42"/>
        </w:numPr>
        <w:ind w:left="0" w:firstLine="274"/>
      </w:pPr>
      <w:r>
        <w:t>Need for t</w:t>
      </w:r>
      <w:r w:rsidRPr="00A11EED">
        <w:t>he</w:t>
      </w:r>
      <w:r>
        <w:t xml:space="preserve"> </w:t>
      </w:r>
      <w:r w:rsidR="00EF44B5">
        <w:t>Project</w:t>
      </w:r>
      <w:r>
        <w:t xml:space="preserve"> is uncontested.</w:t>
      </w:r>
    </w:p>
    <w:p w:rsidR="0035783C" w:rsidRPr="0025126A" w:rsidRDefault="0035783C" w:rsidP="002E1E3A">
      <w:pPr>
        <w:pStyle w:val="standard"/>
        <w:numPr>
          <w:ilvl w:val="0"/>
          <w:numId w:val="42"/>
        </w:numPr>
        <w:ind w:left="0" w:firstLine="274"/>
      </w:pPr>
      <w:r>
        <w:t>The</w:t>
      </w:r>
      <w:r w:rsidRPr="0049144E">
        <w:t xml:space="preserve"> estimate</w:t>
      </w:r>
      <w:r>
        <w:t>d</w:t>
      </w:r>
      <w:r w:rsidRPr="0049144E">
        <w:t xml:space="preserve"> total capital cost of the Project </w:t>
      </w:r>
      <w:r>
        <w:t>is</w:t>
      </w:r>
      <w:r w:rsidRPr="0049144E">
        <w:t xml:space="preserve"> $200.9 million</w:t>
      </w:r>
      <w:r w:rsidR="004A74E0" w:rsidRPr="004A74E0">
        <w:t xml:space="preserve"> </w:t>
      </w:r>
      <w:r w:rsidR="004A74E0">
        <w:t>in nominal dollars using a base year of 2009</w:t>
      </w:r>
      <w:r>
        <w:t>.</w:t>
      </w:r>
    </w:p>
    <w:p w:rsidR="00611259" w:rsidRPr="0025126A" w:rsidRDefault="007B0EA8" w:rsidP="002E1E3A">
      <w:pPr>
        <w:pStyle w:val="standard"/>
        <w:numPr>
          <w:ilvl w:val="0"/>
          <w:numId w:val="42"/>
        </w:numPr>
        <w:ind w:left="0" w:firstLine="274"/>
      </w:pPr>
      <w:r w:rsidRPr="0025126A">
        <w:t xml:space="preserve">On November 27, 2012, </w:t>
      </w:r>
      <w:r w:rsidR="00611259" w:rsidRPr="0025126A">
        <w:t xml:space="preserve">SoCalGas, Rogers, and Herman </w:t>
      </w:r>
      <w:r w:rsidRPr="00312CE7">
        <w:t xml:space="preserve">filed </w:t>
      </w:r>
      <w:r w:rsidRPr="0025126A">
        <w:t xml:space="preserve">the </w:t>
      </w:r>
      <w:r w:rsidR="007C1100">
        <w:t>Porter Ranch Settlement Agreement</w:t>
      </w:r>
      <w:r w:rsidR="00611259" w:rsidRPr="0025126A">
        <w:t xml:space="preserve"> </w:t>
      </w:r>
      <w:r w:rsidRPr="0025126A">
        <w:t xml:space="preserve">resolving </w:t>
      </w:r>
      <w:r w:rsidR="006A3B15" w:rsidRPr="0025126A">
        <w:t>Rogers’</w:t>
      </w:r>
      <w:r w:rsidRPr="0025126A">
        <w:t xml:space="preserve"> and Herman</w:t>
      </w:r>
      <w:r w:rsidR="006A3B15" w:rsidRPr="0025126A">
        <w:t>’s</w:t>
      </w:r>
      <w:r w:rsidRPr="0025126A">
        <w:t xml:space="preserve"> </w:t>
      </w:r>
      <w:r>
        <w:t>protests</w:t>
      </w:r>
      <w:r w:rsidR="00611259" w:rsidRPr="0025126A">
        <w:t xml:space="preserve"> to the Application.</w:t>
      </w:r>
      <w:r w:rsidRPr="0025126A">
        <w:t xml:space="preserve">  </w:t>
      </w:r>
      <w:r w:rsidRPr="00312CE7">
        <w:t>N</w:t>
      </w:r>
      <w:r w:rsidR="00B91F39">
        <w:t>o party filed comments on the s</w:t>
      </w:r>
      <w:r w:rsidRPr="00312CE7">
        <w:t>ettlement</w:t>
      </w:r>
      <w:r>
        <w:t>.</w:t>
      </w:r>
    </w:p>
    <w:p w:rsidR="00611259" w:rsidRPr="0025126A" w:rsidRDefault="00611259" w:rsidP="002E1E3A">
      <w:pPr>
        <w:pStyle w:val="standard"/>
        <w:numPr>
          <w:ilvl w:val="0"/>
          <w:numId w:val="42"/>
        </w:numPr>
        <w:ind w:left="0" w:firstLine="274"/>
      </w:pPr>
      <w:r w:rsidRPr="0025126A">
        <w:t xml:space="preserve">The Energy Division and its consultants determined that </w:t>
      </w:r>
      <w:r w:rsidR="00744FCA" w:rsidRPr="0025126A">
        <w:t>the</w:t>
      </w:r>
      <w:r w:rsidRPr="0025126A">
        <w:t xml:space="preserve"> Application required an EIR.</w:t>
      </w:r>
    </w:p>
    <w:p w:rsidR="00611259" w:rsidRPr="0025126A" w:rsidRDefault="004B6B39" w:rsidP="002E1E3A">
      <w:pPr>
        <w:pStyle w:val="standard"/>
        <w:numPr>
          <w:ilvl w:val="0"/>
          <w:numId w:val="42"/>
        </w:numPr>
        <w:ind w:left="0" w:firstLine="274"/>
      </w:pPr>
      <w:r w:rsidRPr="0025126A">
        <w:t xml:space="preserve"> </w:t>
      </w:r>
      <w:r w:rsidR="00744FCA" w:rsidRPr="0025126A">
        <w:t>T</w:t>
      </w:r>
      <w:r w:rsidR="00611259" w:rsidRPr="0025126A">
        <w:t>he Energy Division released the draft EIR and Notice of Availability</w:t>
      </w:r>
      <w:r w:rsidR="00744FCA" w:rsidRPr="0025126A">
        <w:t xml:space="preserve"> on April 4, 2012</w:t>
      </w:r>
      <w:r w:rsidR="00A51611" w:rsidRPr="0025126A">
        <w:t>, and o</w:t>
      </w:r>
      <w:r w:rsidR="001807AB">
        <w:t xml:space="preserve">n July 22, 2013, the Energy Division published notice of availability of the </w:t>
      </w:r>
      <w:r w:rsidR="00983993">
        <w:t xml:space="preserve">final </w:t>
      </w:r>
      <w:r w:rsidR="00983993" w:rsidRPr="00A95ED1">
        <w:t>EIR</w:t>
      </w:r>
      <w:r w:rsidR="00611259" w:rsidRPr="0025126A">
        <w:t>.</w:t>
      </w:r>
    </w:p>
    <w:p w:rsidR="00E63B2A" w:rsidRPr="0025126A" w:rsidRDefault="00E63B2A" w:rsidP="002E1E3A">
      <w:pPr>
        <w:pStyle w:val="standard"/>
        <w:numPr>
          <w:ilvl w:val="0"/>
          <w:numId w:val="42"/>
        </w:numPr>
        <w:ind w:left="0" w:firstLine="274"/>
      </w:pPr>
      <w:r w:rsidRPr="0025126A">
        <w:t>The content of the EIR reflects input by government officials, agencies, non</w:t>
      </w:r>
      <w:r w:rsidRPr="0025126A">
        <w:noBreakHyphen/>
        <w:t>governmental organizations, and concerned members of the public during the EIR scoping period following the Commis</w:t>
      </w:r>
      <w:r w:rsidR="002E1E3A">
        <w:t>sion’s publication of the NOP.</w:t>
      </w:r>
    </w:p>
    <w:p w:rsidR="00190AD0" w:rsidRPr="0025126A" w:rsidRDefault="00190AD0" w:rsidP="002E1E3A">
      <w:pPr>
        <w:pStyle w:val="standard"/>
        <w:numPr>
          <w:ilvl w:val="0"/>
          <w:numId w:val="42"/>
        </w:numPr>
        <w:ind w:left="0" w:firstLine="274"/>
      </w:pPr>
      <w:r w:rsidRPr="0025126A">
        <w:t xml:space="preserve">The EIR is a comprehensive, detailed, and complete document that discusses clearly the advantages and disadvantages of the environmentally superior alternatives, the </w:t>
      </w:r>
      <w:r w:rsidR="00EF44B5" w:rsidRPr="0025126A">
        <w:t>Project</w:t>
      </w:r>
      <w:r w:rsidRPr="0025126A">
        <w:t>, and other alternatives.</w:t>
      </w:r>
    </w:p>
    <w:p w:rsidR="00611259" w:rsidRPr="0025126A" w:rsidRDefault="00611259" w:rsidP="002E1E3A">
      <w:pPr>
        <w:pStyle w:val="standard"/>
        <w:numPr>
          <w:ilvl w:val="0"/>
          <w:numId w:val="42"/>
        </w:numPr>
        <w:ind w:left="0" w:firstLine="274"/>
      </w:pPr>
      <w:r w:rsidRPr="0025126A">
        <w:t xml:space="preserve">Under the </w:t>
      </w:r>
      <w:r w:rsidR="002F5E2A" w:rsidRPr="0025126A">
        <w:t>“</w:t>
      </w:r>
      <w:r w:rsidRPr="0025126A">
        <w:t>No Project</w:t>
      </w:r>
      <w:r w:rsidR="002F5E2A" w:rsidRPr="0025126A">
        <w:t>” a</w:t>
      </w:r>
      <w:r w:rsidRPr="0025126A">
        <w:t xml:space="preserve">lternative, the existing </w:t>
      </w:r>
      <w:r w:rsidR="00C80073">
        <w:t>TDCs</w:t>
      </w:r>
      <w:r w:rsidRPr="0025126A">
        <w:t xml:space="preserve"> would not be replaced and the basic objectives of the </w:t>
      </w:r>
      <w:r w:rsidR="00EF44B5" w:rsidRPr="0025126A">
        <w:t>Project</w:t>
      </w:r>
      <w:r w:rsidRPr="0025126A">
        <w:t xml:space="preserve"> would not be achieved.</w:t>
      </w:r>
    </w:p>
    <w:p w:rsidR="00611259" w:rsidRPr="0025126A" w:rsidRDefault="00611259" w:rsidP="002E1E3A">
      <w:pPr>
        <w:pStyle w:val="standard"/>
        <w:numPr>
          <w:ilvl w:val="0"/>
          <w:numId w:val="42"/>
        </w:numPr>
        <w:ind w:left="0" w:firstLine="274"/>
      </w:pPr>
      <w:r w:rsidRPr="0025126A">
        <w:t xml:space="preserve">The Design Alternative would replace the existing obsolete </w:t>
      </w:r>
      <w:r w:rsidR="00C80073">
        <w:t>TDCs</w:t>
      </w:r>
      <w:r w:rsidRPr="0025126A">
        <w:t xml:space="preserve"> with new gas</w:t>
      </w:r>
      <w:r w:rsidRPr="0025126A">
        <w:noBreakHyphen/>
        <w:t xml:space="preserve">driven turbine compressors.  This </w:t>
      </w:r>
      <w:r w:rsidR="00A51611" w:rsidRPr="0025126A">
        <w:t>would eliminate</w:t>
      </w:r>
      <w:r w:rsidRPr="0025126A">
        <w:t xml:space="preserve"> the need for the new proposed substation, line reconductoring and telecommunications line installations, and avoids or reduces long-term impacts on certain biological resources and some construction impacts</w:t>
      </w:r>
      <w:r w:rsidR="001E1559" w:rsidRPr="0025126A">
        <w:t xml:space="preserve"> but would result in long-term and wide-spread negative impacts to air quality and greenhouse gas emissions</w:t>
      </w:r>
      <w:r w:rsidR="000A049C">
        <w:t>.</w:t>
      </w:r>
    </w:p>
    <w:p w:rsidR="002F5E2A" w:rsidRPr="0025126A" w:rsidRDefault="00F674D4" w:rsidP="002E1E3A">
      <w:pPr>
        <w:pStyle w:val="standard"/>
        <w:numPr>
          <w:ilvl w:val="0"/>
          <w:numId w:val="42"/>
        </w:numPr>
        <w:ind w:left="0" w:firstLine="274"/>
      </w:pPr>
      <w:r>
        <w:t xml:space="preserve">Based on the analysis of the EIR, and the mitigation measures identified therein and incorporated into the </w:t>
      </w:r>
      <w:r w:rsidR="00EF44B5">
        <w:t>Project</w:t>
      </w:r>
      <w:r>
        <w:t xml:space="preserve">, </w:t>
      </w:r>
      <w:r w:rsidR="002F5E2A" w:rsidRPr="0025126A">
        <w:t>n</w:t>
      </w:r>
      <w:r w:rsidR="004B6B39" w:rsidRPr="0025126A">
        <w:t>o</w:t>
      </w:r>
      <w:r w:rsidR="00611259" w:rsidRPr="0025126A">
        <w:t xml:space="preserve"> significant </w:t>
      </w:r>
      <w:r w:rsidR="004B6B39" w:rsidRPr="0025126A">
        <w:t>or</w:t>
      </w:r>
      <w:r w:rsidR="00611259" w:rsidRPr="0025126A">
        <w:t xml:space="preserve"> unavoidable environmental impacts </w:t>
      </w:r>
      <w:r w:rsidR="004B6B39" w:rsidRPr="0025126A">
        <w:t>will</w:t>
      </w:r>
      <w:r w:rsidR="00611259" w:rsidRPr="0025126A">
        <w:t xml:space="preserve"> result from the construction or operation of the </w:t>
      </w:r>
      <w:r w:rsidR="00EF44B5" w:rsidRPr="0025126A">
        <w:t>Project</w:t>
      </w:r>
      <w:r w:rsidR="002F5E2A" w:rsidRPr="0025126A">
        <w:t>.</w:t>
      </w:r>
    </w:p>
    <w:p w:rsidR="00611259" w:rsidRPr="0025126A" w:rsidRDefault="002F5E2A" w:rsidP="002E1E3A">
      <w:pPr>
        <w:pStyle w:val="standard"/>
        <w:numPr>
          <w:ilvl w:val="0"/>
          <w:numId w:val="42"/>
        </w:numPr>
        <w:ind w:left="0" w:firstLine="274"/>
      </w:pPr>
      <w:r w:rsidRPr="0025126A">
        <w:t>No</w:t>
      </w:r>
      <w:r w:rsidR="00611259" w:rsidRPr="0025126A">
        <w:t xml:space="preserve"> mitigation measures or project alternatives </w:t>
      </w:r>
      <w:r w:rsidR="004B6B39" w:rsidRPr="0025126A">
        <w:t xml:space="preserve">identified in the EIR </w:t>
      </w:r>
      <w:r w:rsidRPr="0025126A">
        <w:t xml:space="preserve">are </w:t>
      </w:r>
      <w:r w:rsidR="00611259" w:rsidRPr="0025126A">
        <w:t>infeasible.</w:t>
      </w:r>
    </w:p>
    <w:p w:rsidR="00831DC2" w:rsidRPr="0025126A" w:rsidRDefault="00831DC2" w:rsidP="002E1E3A">
      <w:pPr>
        <w:pStyle w:val="standard"/>
        <w:numPr>
          <w:ilvl w:val="0"/>
          <w:numId w:val="42"/>
        </w:numPr>
        <w:ind w:left="0" w:firstLine="274"/>
      </w:pPr>
      <w:r>
        <w:t>SoCalGas</w:t>
      </w:r>
      <w:r w:rsidRPr="0092371D">
        <w:t xml:space="preserve"> </w:t>
      </w:r>
      <w:r>
        <w:t xml:space="preserve">and SCE </w:t>
      </w:r>
      <w:r w:rsidRPr="0092371D">
        <w:t>ha</w:t>
      </w:r>
      <w:r>
        <w:t>ve</w:t>
      </w:r>
      <w:r w:rsidRPr="0092371D">
        <w:t xml:space="preserve"> agreed to comply with each measure and provision of the MMCRP</w:t>
      </w:r>
      <w:r w:rsidRPr="00831DC2">
        <w:t xml:space="preserve"> </w:t>
      </w:r>
      <w:r w:rsidRPr="0092371D">
        <w:t xml:space="preserve">included as </w:t>
      </w:r>
      <w:r w:rsidRPr="00831DC2">
        <w:t xml:space="preserve">Section 5 of </w:t>
      </w:r>
      <w:r>
        <w:t>the EIR</w:t>
      </w:r>
      <w:r w:rsidRPr="0092371D">
        <w:t>.</w:t>
      </w:r>
    </w:p>
    <w:p w:rsidR="00611259" w:rsidRPr="0025126A" w:rsidRDefault="004B6B39" w:rsidP="002E1E3A">
      <w:pPr>
        <w:pStyle w:val="standard"/>
        <w:numPr>
          <w:ilvl w:val="0"/>
          <w:numId w:val="42"/>
        </w:numPr>
        <w:ind w:left="0" w:firstLine="274"/>
      </w:pPr>
      <w:r w:rsidRPr="0025126A">
        <w:t>C</w:t>
      </w:r>
      <w:r w:rsidR="00611259" w:rsidRPr="0025126A">
        <w:t xml:space="preserve">onstruction and operation of the </w:t>
      </w:r>
      <w:r w:rsidR="00EF44B5" w:rsidRPr="0025126A">
        <w:t>Project</w:t>
      </w:r>
      <w:r w:rsidR="00611259" w:rsidRPr="0025126A">
        <w:t xml:space="preserve"> will result in </w:t>
      </w:r>
      <w:r w:rsidRPr="0025126A">
        <w:t xml:space="preserve">a </w:t>
      </w:r>
      <w:r w:rsidR="00611259" w:rsidRPr="0025126A">
        <w:t>less than significant impact on recreation resources.</w:t>
      </w:r>
    </w:p>
    <w:p w:rsidR="00611259" w:rsidRPr="0025126A" w:rsidRDefault="004B6B39" w:rsidP="002E1E3A">
      <w:pPr>
        <w:pStyle w:val="standard"/>
        <w:numPr>
          <w:ilvl w:val="0"/>
          <w:numId w:val="42"/>
        </w:numPr>
        <w:ind w:left="0" w:firstLine="274"/>
      </w:pPr>
      <w:r w:rsidRPr="0025126A">
        <w:t>I</w:t>
      </w:r>
      <w:r w:rsidR="00611259" w:rsidRPr="0025126A">
        <w:t xml:space="preserve">mpacts on visual resources associated with construction </w:t>
      </w:r>
      <w:r w:rsidRPr="0025126A">
        <w:t>will</w:t>
      </w:r>
      <w:r w:rsidR="00611259" w:rsidRPr="0025126A">
        <w:t xml:space="preserve"> be temporary and less than significant.</w:t>
      </w:r>
    </w:p>
    <w:p w:rsidR="00611259" w:rsidRPr="0025126A" w:rsidRDefault="00611259" w:rsidP="002E1E3A">
      <w:pPr>
        <w:pStyle w:val="standard"/>
        <w:numPr>
          <w:ilvl w:val="0"/>
          <w:numId w:val="42"/>
        </w:numPr>
        <w:ind w:left="0" w:firstLine="274"/>
      </w:pPr>
      <w:r w:rsidRPr="0025126A">
        <w:t xml:space="preserve">No recreational or park land will be disturbed or otherwise affected by the </w:t>
      </w:r>
      <w:r w:rsidR="00EF44B5" w:rsidRPr="0025126A">
        <w:t>Project</w:t>
      </w:r>
      <w:r w:rsidRPr="0025126A">
        <w:t>.</w:t>
      </w:r>
    </w:p>
    <w:p w:rsidR="00925220" w:rsidRPr="0025126A" w:rsidRDefault="00925220" w:rsidP="002E1E3A">
      <w:pPr>
        <w:pStyle w:val="standard"/>
        <w:numPr>
          <w:ilvl w:val="0"/>
          <w:numId w:val="42"/>
        </w:numPr>
        <w:ind w:left="0" w:firstLine="274"/>
      </w:pPr>
      <w:r w:rsidRPr="0025126A">
        <w:t>At the time of the Sesnon Fire in 2008, GO 95 did not apply to gas utilities such as SoCalGas.</w:t>
      </w:r>
    </w:p>
    <w:p w:rsidR="000B69DB" w:rsidRPr="0025126A" w:rsidRDefault="000B69DB" w:rsidP="002E1E3A">
      <w:pPr>
        <w:pStyle w:val="standard"/>
        <w:numPr>
          <w:ilvl w:val="0"/>
          <w:numId w:val="42"/>
        </w:numPr>
        <w:ind w:left="0" w:firstLine="274"/>
      </w:pPr>
      <w:r w:rsidRPr="0025126A">
        <w:t xml:space="preserve">GO 95 sets forth specific requirements for the construction of electric lines, vegetation management around electric poles, and minimum clearances between electric wires and trees. </w:t>
      </w:r>
      <w:r w:rsidR="002E1E3A">
        <w:t xml:space="preserve"> </w:t>
      </w:r>
      <w:r w:rsidRPr="0025126A">
        <w:t xml:space="preserve">GO 95 requires electric lines to be constructed in a manner that takes into account forces placed on the poles and lines by wind in order to ensure the safe operation of electric lines in places subject to high winds from time to time, such as Aliso Canyon.  These </w:t>
      </w:r>
      <w:r w:rsidR="002E1E3A">
        <w:t>requirements apply to the Aliso </w:t>
      </w:r>
      <w:r w:rsidRPr="0025126A">
        <w:t xml:space="preserve">Canyon overhead electric distribution system, and will to apply to the construction and operation of the </w:t>
      </w:r>
      <w:r w:rsidR="00EF44B5" w:rsidRPr="0025126A">
        <w:t>Project</w:t>
      </w:r>
      <w:r w:rsidRPr="0025126A">
        <w:t xml:space="preserve">, including the portions of the </w:t>
      </w:r>
      <w:r w:rsidR="00EF44B5" w:rsidRPr="0025126A">
        <w:t>Project</w:t>
      </w:r>
      <w:r w:rsidR="002E1E3A">
        <w:t xml:space="preserve"> to </w:t>
      </w:r>
      <w:r w:rsidRPr="0025126A">
        <w:t>be constructed by SCE.</w:t>
      </w:r>
    </w:p>
    <w:p w:rsidR="00E87676" w:rsidRPr="0025126A" w:rsidRDefault="00E87676" w:rsidP="002E1E3A">
      <w:pPr>
        <w:pStyle w:val="standard"/>
        <w:numPr>
          <w:ilvl w:val="0"/>
          <w:numId w:val="42"/>
        </w:numPr>
        <w:ind w:left="0" w:firstLine="274"/>
      </w:pPr>
      <w:r>
        <w:t xml:space="preserve">The </w:t>
      </w:r>
      <w:r w:rsidR="00EF44B5">
        <w:t>Project</w:t>
      </w:r>
      <w:r>
        <w:t xml:space="preserve"> will reduce SoCalGas’s demand for </w:t>
      </w:r>
      <w:r w:rsidR="002E1E3A" w:rsidRPr="00001CDF">
        <w:t>RTCs</w:t>
      </w:r>
      <w:r w:rsidR="002E1E3A">
        <w:t xml:space="preserve"> </w:t>
      </w:r>
      <w:r>
        <w:t xml:space="preserve">to offset the emission of oxides of nitrogen by approximately 200 tons per year. </w:t>
      </w:r>
    </w:p>
    <w:p w:rsidR="00757946" w:rsidRDefault="00757946" w:rsidP="002E1E3A">
      <w:pPr>
        <w:pStyle w:val="standard"/>
        <w:numPr>
          <w:ilvl w:val="0"/>
          <w:numId w:val="42"/>
        </w:numPr>
        <w:ind w:left="0" w:firstLine="274"/>
      </w:pPr>
      <w:r>
        <w:t>With the installation of the electric-driven compressors, the gas-driven storage compressor fuel costs will be replaced with electricity costs.  For purposes of calculating the in-kind fuel rate charged to customers using storage injection, electricity costs must be converted to gas equivalents to determine the overall in-kind fuel rate after the electric motors are put in place.</w:t>
      </w:r>
    </w:p>
    <w:p w:rsidR="00757946" w:rsidRDefault="00757946" w:rsidP="002E1E3A">
      <w:pPr>
        <w:pStyle w:val="standard"/>
        <w:numPr>
          <w:ilvl w:val="0"/>
          <w:numId w:val="42"/>
        </w:numPr>
        <w:ind w:left="0" w:firstLine="274"/>
      </w:pPr>
      <w:r w:rsidRPr="00757946">
        <w:t>In order to allow SCE to build and operate the proposed SCE Natural Substation equipment, the existing easement between SoCalGas and SCE must be widene</w:t>
      </w:r>
      <w:r w:rsidR="000A049C">
        <w:t xml:space="preserve">d from 50 feet to approximately </w:t>
      </w:r>
      <w:r w:rsidRPr="00757946">
        <w:t>150 feet for approximately 300 feet in length.</w:t>
      </w:r>
    </w:p>
    <w:p w:rsidR="00EB4BE4" w:rsidRDefault="00EB4BE4" w:rsidP="00EB4BE4">
      <w:pPr>
        <w:pStyle w:val="Heading1"/>
        <w:ind w:firstLine="0"/>
      </w:pPr>
      <w:bookmarkStart w:id="81" w:name="_Toc369507348"/>
      <w:r>
        <w:t>Conclusions of Law</w:t>
      </w:r>
      <w:bookmarkEnd w:id="81"/>
    </w:p>
    <w:p w:rsidR="00B91F39" w:rsidRPr="002E1E3A" w:rsidRDefault="00B91F39" w:rsidP="002E1E3A">
      <w:pPr>
        <w:pStyle w:val="standard"/>
        <w:numPr>
          <w:ilvl w:val="0"/>
          <w:numId w:val="44"/>
        </w:numPr>
        <w:ind w:left="0" w:firstLine="360"/>
        <w:rPr>
          <w:color w:val="000000"/>
        </w:rPr>
      </w:pPr>
      <w:r w:rsidRPr="002E1E3A">
        <w:rPr>
          <w:color w:val="000000"/>
        </w:rPr>
        <w:t>SoCalGas has the technical expertise and the financial resources to construct and o</w:t>
      </w:r>
      <w:r w:rsidR="003E6049">
        <w:rPr>
          <w:color w:val="000000"/>
        </w:rPr>
        <w:t>perate a gas storage facility.</w:t>
      </w:r>
    </w:p>
    <w:p w:rsidR="00A8570B" w:rsidRPr="002E1E3A" w:rsidRDefault="00A8570B" w:rsidP="00AD4826">
      <w:pPr>
        <w:numPr>
          <w:ilvl w:val="0"/>
          <w:numId w:val="44"/>
        </w:numPr>
        <w:spacing w:line="360" w:lineRule="auto"/>
        <w:ind w:left="0" w:firstLine="360"/>
        <w:rPr>
          <w:color w:val="000000"/>
        </w:rPr>
      </w:pPr>
      <w:r w:rsidRPr="002E1E3A">
        <w:rPr>
          <w:color w:val="000000"/>
        </w:rPr>
        <w:t>Pursuant to § 1001</w:t>
      </w:r>
      <w:r w:rsidR="00A51611" w:rsidRPr="002E1E3A">
        <w:rPr>
          <w:color w:val="000000"/>
        </w:rPr>
        <w:t>,</w:t>
      </w:r>
      <w:r w:rsidRPr="002E1E3A">
        <w:rPr>
          <w:color w:val="000000"/>
        </w:rPr>
        <w:t xml:space="preserve"> et seq., before SoCalGas can construct the </w:t>
      </w:r>
      <w:r w:rsidR="00EF44B5" w:rsidRPr="002E1E3A">
        <w:rPr>
          <w:color w:val="000000"/>
        </w:rPr>
        <w:t>Project</w:t>
      </w:r>
      <w:r w:rsidRPr="002E1E3A">
        <w:rPr>
          <w:color w:val="000000"/>
        </w:rPr>
        <w:t xml:space="preserve">, the Commission must grant a CPCN on the grounds that the present or future public convenience and necessity require or will require construction of the </w:t>
      </w:r>
      <w:r w:rsidR="00EF44B5" w:rsidRPr="002E1E3A">
        <w:rPr>
          <w:color w:val="000000"/>
        </w:rPr>
        <w:t>Project</w:t>
      </w:r>
      <w:r w:rsidR="002E1E3A">
        <w:rPr>
          <w:color w:val="000000"/>
        </w:rPr>
        <w:t>.</w:t>
      </w:r>
    </w:p>
    <w:p w:rsidR="007B43D5" w:rsidRPr="002E1E3A" w:rsidRDefault="007B43D5" w:rsidP="007B43D5">
      <w:pPr>
        <w:numPr>
          <w:ilvl w:val="0"/>
          <w:numId w:val="44"/>
        </w:numPr>
        <w:spacing w:line="360" w:lineRule="auto"/>
        <w:ind w:left="0" w:firstLine="360"/>
        <w:rPr>
          <w:color w:val="000000"/>
        </w:rPr>
      </w:pPr>
      <w:r w:rsidRPr="002E1E3A">
        <w:rPr>
          <w:color w:val="000000"/>
        </w:rPr>
        <w:t>The Aliso Canyon Storage Facility plays a critical role in SoCalGas’</w:t>
      </w:r>
      <w:r w:rsidR="00AF0EA4" w:rsidRPr="002E1E3A">
        <w:rPr>
          <w:color w:val="000000"/>
        </w:rPr>
        <w:t>s</w:t>
      </w:r>
      <w:r w:rsidRPr="002E1E3A">
        <w:rPr>
          <w:color w:val="000000"/>
        </w:rPr>
        <w:t xml:space="preserve"> gas storage and distribution system because approximately 45% of SoCalGas’</w:t>
      </w:r>
      <w:r w:rsidR="00AF0EA4" w:rsidRPr="002E1E3A">
        <w:rPr>
          <w:color w:val="000000"/>
        </w:rPr>
        <w:t>s</w:t>
      </w:r>
      <w:r w:rsidRPr="002E1E3A">
        <w:rPr>
          <w:color w:val="000000"/>
        </w:rPr>
        <w:t xml:space="preserve"> total firm injection capacity is located at the Storage Field.</w:t>
      </w:r>
    </w:p>
    <w:p w:rsidR="00A8570B" w:rsidRPr="002E1E3A" w:rsidRDefault="0035783C" w:rsidP="00AD4826">
      <w:pPr>
        <w:numPr>
          <w:ilvl w:val="0"/>
          <w:numId w:val="44"/>
        </w:numPr>
        <w:spacing w:line="360" w:lineRule="auto"/>
        <w:ind w:left="0" w:firstLine="360"/>
        <w:rPr>
          <w:color w:val="000000"/>
        </w:rPr>
      </w:pPr>
      <w:r w:rsidRPr="002E1E3A">
        <w:rPr>
          <w:color w:val="000000"/>
        </w:rPr>
        <w:t>T</w:t>
      </w:r>
      <w:r w:rsidR="00A8570B" w:rsidRPr="002E1E3A">
        <w:rPr>
          <w:color w:val="000000"/>
        </w:rPr>
        <w:t xml:space="preserve">he </w:t>
      </w:r>
      <w:r w:rsidR="00886F76" w:rsidRPr="002E1E3A">
        <w:rPr>
          <w:color w:val="000000"/>
        </w:rPr>
        <w:t xml:space="preserve">BCAP Phase 1 Settlement </w:t>
      </w:r>
      <w:r w:rsidR="00A8570B" w:rsidRPr="002E1E3A">
        <w:rPr>
          <w:color w:val="000000"/>
        </w:rPr>
        <w:t>adopted by D.08-12-020</w:t>
      </w:r>
      <w:r w:rsidRPr="002E1E3A">
        <w:rPr>
          <w:color w:val="000000"/>
        </w:rPr>
        <w:t xml:space="preserve"> requires</w:t>
      </w:r>
      <w:r w:rsidR="00A8570B" w:rsidRPr="002E1E3A">
        <w:rPr>
          <w:color w:val="000000"/>
        </w:rPr>
        <w:t xml:space="preserve"> SoCalGas </w:t>
      </w:r>
      <w:r w:rsidRPr="002E1E3A">
        <w:rPr>
          <w:color w:val="000000"/>
        </w:rPr>
        <w:t xml:space="preserve">to </w:t>
      </w:r>
      <w:r w:rsidR="00A8570B" w:rsidRPr="002E1E3A">
        <w:rPr>
          <w:color w:val="000000"/>
        </w:rPr>
        <w:t xml:space="preserve">expand overall injection capacity at the Facility to the extent feasible by approximately </w:t>
      </w:r>
      <w:r w:rsidR="00B21E1C">
        <w:rPr>
          <w:color w:val="000000"/>
        </w:rPr>
        <w:t>145 MMcfd as soon as possible.</w:t>
      </w:r>
    </w:p>
    <w:p w:rsidR="003D6D65" w:rsidRPr="002E1E3A" w:rsidRDefault="003D6D65" w:rsidP="003D6D65">
      <w:pPr>
        <w:numPr>
          <w:ilvl w:val="0"/>
          <w:numId w:val="44"/>
        </w:numPr>
        <w:spacing w:line="360" w:lineRule="auto"/>
        <w:ind w:left="0" w:firstLine="360"/>
        <w:rPr>
          <w:color w:val="000000"/>
        </w:rPr>
      </w:pPr>
      <w:r w:rsidRPr="002E1E3A">
        <w:rPr>
          <w:color w:val="000000"/>
        </w:rPr>
        <w:t xml:space="preserve">Continued use of the obsolete TDCs is inconsistent with </w:t>
      </w:r>
      <w:r w:rsidR="002E1E3A">
        <w:rPr>
          <w:color w:val="000000"/>
        </w:rPr>
        <w:t>s</w:t>
      </w:r>
      <w:r w:rsidRPr="002E1E3A">
        <w:rPr>
          <w:color w:val="000000"/>
        </w:rPr>
        <w:t>outhern California’s need for a reliable and efficient natural gas supply to support power generation and serve heating, cooking, and other energy needs of residential, commercial, and industrial users.</w:t>
      </w:r>
    </w:p>
    <w:p w:rsidR="00A4017C" w:rsidRPr="002E1E3A" w:rsidRDefault="00A8570B" w:rsidP="00A4017C">
      <w:pPr>
        <w:numPr>
          <w:ilvl w:val="0"/>
          <w:numId w:val="44"/>
        </w:numPr>
        <w:spacing w:line="360" w:lineRule="auto"/>
        <w:ind w:left="0" w:firstLine="360"/>
        <w:rPr>
          <w:color w:val="000000"/>
        </w:rPr>
      </w:pPr>
      <w:r w:rsidRPr="002E1E3A">
        <w:rPr>
          <w:color w:val="000000"/>
        </w:rPr>
        <w:t>The Project is needed to expand overall injection capacity at the Facility to the extent feasible by approximately 145 MMcfd</w:t>
      </w:r>
      <w:r w:rsidR="000E263D" w:rsidRPr="002E1E3A">
        <w:rPr>
          <w:color w:val="000000"/>
        </w:rPr>
        <w:t xml:space="preserve">, </w:t>
      </w:r>
      <w:r w:rsidR="00A4017C" w:rsidRPr="002E1E3A">
        <w:rPr>
          <w:color w:val="000000"/>
        </w:rPr>
        <w:t>pursuant to</w:t>
      </w:r>
      <w:r w:rsidRPr="002E1E3A">
        <w:rPr>
          <w:color w:val="000000"/>
        </w:rPr>
        <w:t xml:space="preserve"> the terms of the </w:t>
      </w:r>
      <w:r w:rsidR="00886F76" w:rsidRPr="002E1E3A">
        <w:rPr>
          <w:color w:val="000000"/>
        </w:rPr>
        <w:t xml:space="preserve">BCAP Phase 1 Settlement </w:t>
      </w:r>
      <w:r w:rsidRPr="002E1E3A">
        <w:rPr>
          <w:color w:val="000000"/>
        </w:rPr>
        <w:t>adopted by D.08-12-020</w:t>
      </w:r>
      <w:r w:rsidR="00A4017C" w:rsidRPr="002E1E3A">
        <w:rPr>
          <w:color w:val="000000"/>
        </w:rPr>
        <w:t>, and approval of the Application provides SoCalGas with the authority it needs to meet its obligations under the BCAP Phase 1 Settlement.</w:t>
      </w:r>
    </w:p>
    <w:p w:rsidR="00A4017C" w:rsidRPr="002E1E3A" w:rsidRDefault="00A4017C" w:rsidP="00A4017C">
      <w:pPr>
        <w:numPr>
          <w:ilvl w:val="0"/>
          <w:numId w:val="44"/>
        </w:numPr>
        <w:spacing w:line="360" w:lineRule="auto"/>
        <w:ind w:left="0" w:firstLine="360"/>
        <w:rPr>
          <w:color w:val="000000"/>
        </w:rPr>
      </w:pPr>
      <w:r w:rsidRPr="002E1E3A">
        <w:rPr>
          <w:color w:val="000000"/>
        </w:rPr>
        <w:t xml:space="preserve">The </w:t>
      </w:r>
      <w:r w:rsidR="00EF44B5" w:rsidRPr="002E1E3A">
        <w:rPr>
          <w:color w:val="000000"/>
        </w:rPr>
        <w:t>Project</w:t>
      </w:r>
      <w:r w:rsidRPr="002E1E3A">
        <w:rPr>
          <w:color w:val="000000"/>
        </w:rPr>
        <w:t xml:space="preserve"> will reduce the potential for natural gas service interruptions, improve service reliability, and help protect ratepayers from price spikes.</w:t>
      </w:r>
    </w:p>
    <w:p w:rsidR="00A4017C" w:rsidRPr="002E1E3A" w:rsidRDefault="00A4017C" w:rsidP="00A4017C">
      <w:pPr>
        <w:numPr>
          <w:ilvl w:val="0"/>
          <w:numId w:val="44"/>
        </w:numPr>
        <w:spacing w:line="360" w:lineRule="auto"/>
        <w:ind w:left="0" w:firstLine="360"/>
        <w:rPr>
          <w:color w:val="000000"/>
        </w:rPr>
      </w:pPr>
      <w:r w:rsidRPr="002E1E3A">
        <w:rPr>
          <w:color w:val="000000"/>
        </w:rPr>
        <w:t xml:space="preserve">The </w:t>
      </w:r>
      <w:r w:rsidR="00EF44B5" w:rsidRPr="002E1E3A">
        <w:rPr>
          <w:color w:val="000000"/>
        </w:rPr>
        <w:t>Project</w:t>
      </w:r>
      <w:r w:rsidRPr="002E1E3A">
        <w:rPr>
          <w:color w:val="000000"/>
        </w:rPr>
        <w:t xml:space="preserve"> is necessary to promote the safety, health, comfort, and convenience of the public.</w:t>
      </w:r>
    </w:p>
    <w:p w:rsidR="00A51611" w:rsidRPr="002E1E3A" w:rsidRDefault="00A51611" w:rsidP="00A51611">
      <w:pPr>
        <w:numPr>
          <w:ilvl w:val="0"/>
          <w:numId w:val="44"/>
        </w:numPr>
        <w:spacing w:line="360" w:lineRule="auto"/>
        <w:ind w:left="0" w:firstLine="360"/>
        <w:rPr>
          <w:color w:val="000000"/>
        </w:rPr>
      </w:pPr>
      <w:r w:rsidRPr="002E1E3A">
        <w:rPr>
          <w:color w:val="000000"/>
        </w:rPr>
        <w:t>Section 963(b)(3) requires the Commission and each gas corporation to place a top priority on the safety of the public and gas corporation employees.</w:t>
      </w:r>
    </w:p>
    <w:p w:rsidR="00A4017C" w:rsidRPr="002E1E3A" w:rsidRDefault="00A4017C" w:rsidP="00515CE4">
      <w:pPr>
        <w:numPr>
          <w:ilvl w:val="0"/>
          <w:numId w:val="44"/>
        </w:numPr>
        <w:spacing w:line="360" w:lineRule="auto"/>
        <w:ind w:left="0" w:firstLine="274"/>
        <w:rPr>
          <w:color w:val="000000"/>
        </w:rPr>
      </w:pPr>
      <w:r w:rsidRPr="002E1E3A">
        <w:rPr>
          <w:color w:val="000000"/>
        </w:rPr>
        <w:t>GO 95 sets forth specific requirements for the construction of electric lines, vegetation management around electric poles, and minimum clearances be</w:t>
      </w:r>
      <w:r w:rsidR="00515CE4">
        <w:rPr>
          <w:color w:val="000000"/>
        </w:rPr>
        <w:t>tween electric wires and trees.</w:t>
      </w:r>
    </w:p>
    <w:p w:rsidR="00A4017C" w:rsidRPr="002E1E3A" w:rsidRDefault="00A4017C" w:rsidP="00515CE4">
      <w:pPr>
        <w:numPr>
          <w:ilvl w:val="0"/>
          <w:numId w:val="44"/>
        </w:numPr>
        <w:spacing w:line="360" w:lineRule="auto"/>
        <w:ind w:left="0" w:firstLine="274"/>
        <w:rPr>
          <w:color w:val="000000"/>
        </w:rPr>
      </w:pPr>
      <w:r w:rsidRPr="002E1E3A">
        <w:rPr>
          <w:color w:val="000000"/>
        </w:rPr>
        <w:t xml:space="preserve"> GO 95 requires electric lines to be constructed in a manner that takes into account forces placed on the poles and lines by wind in order to ensure the safe operation of electric lines in places subject to high winds.  These requirements currently apply to the Aliso Canyon overhead electric distribution system, and will apply to the construction and operation of the </w:t>
      </w:r>
      <w:r w:rsidR="00EF44B5" w:rsidRPr="002E1E3A">
        <w:rPr>
          <w:color w:val="000000"/>
        </w:rPr>
        <w:t>Project</w:t>
      </w:r>
      <w:r w:rsidRPr="002E1E3A">
        <w:rPr>
          <w:color w:val="000000"/>
        </w:rPr>
        <w:t xml:space="preserve">, including the portions of the </w:t>
      </w:r>
      <w:r w:rsidR="00EF44B5" w:rsidRPr="002E1E3A">
        <w:rPr>
          <w:color w:val="000000"/>
        </w:rPr>
        <w:t>Project</w:t>
      </w:r>
      <w:r w:rsidRPr="002E1E3A">
        <w:rPr>
          <w:color w:val="000000"/>
        </w:rPr>
        <w:t xml:space="preserve"> to be constructed by SCE.</w:t>
      </w:r>
    </w:p>
    <w:p w:rsidR="00672C1D" w:rsidRPr="002E1E3A" w:rsidRDefault="00672C1D" w:rsidP="00515CE4">
      <w:pPr>
        <w:numPr>
          <w:ilvl w:val="0"/>
          <w:numId w:val="44"/>
        </w:numPr>
        <w:spacing w:line="360" w:lineRule="auto"/>
        <w:ind w:left="0" w:firstLine="274"/>
        <w:rPr>
          <w:color w:val="000000"/>
        </w:rPr>
      </w:pPr>
      <w:r w:rsidRPr="002E1E3A">
        <w:rPr>
          <w:color w:val="000000"/>
        </w:rPr>
        <w:t>D.09-08-029 implemented several measures intended to reduce fire hazards from electric lines and makes the requirements of GO 95 applicable to SoCalGas and other non-electric utilities, including requiring SoCalGas to comply with the pole loading, vegetation management an</w:t>
      </w:r>
      <w:r w:rsidR="00515CE4">
        <w:rPr>
          <w:color w:val="000000"/>
        </w:rPr>
        <w:t>d other requirements of GO 95.</w:t>
      </w:r>
    </w:p>
    <w:p w:rsidR="00A4017C" w:rsidRPr="002E1E3A" w:rsidRDefault="00A4017C" w:rsidP="00515CE4">
      <w:pPr>
        <w:numPr>
          <w:ilvl w:val="0"/>
          <w:numId w:val="44"/>
        </w:numPr>
        <w:spacing w:line="360" w:lineRule="auto"/>
        <w:ind w:left="0" w:firstLine="274"/>
        <w:rPr>
          <w:color w:val="000000"/>
        </w:rPr>
      </w:pPr>
      <w:r w:rsidRPr="002E1E3A">
        <w:rPr>
          <w:color w:val="000000"/>
        </w:rPr>
        <w:t xml:space="preserve">The </w:t>
      </w:r>
      <w:r w:rsidR="007C1100" w:rsidRPr="002E1E3A">
        <w:rPr>
          <w:color w:val="000000"/>
        </w:rPr>
        <w:t>Porter Ranch Settlement Agreement</w:t>
      </w:r>
      <w:r w:rsidRPr="002E1E3A">
        <w:rPr>
          <w:color w:val="000000"/>
        </w:rPr>
        <w:t xml:space="preserve"> addresses and resolves the only contested issue in this proceeding.  As a result, the Application is uncontested.</w:t>
      </w:r>
    </w:p>
    <w:p w:rsidR="00A8570B" w:rsidRPr="002E1E3A" w:rsidRDefault="00A4017C" w:rsidP="00515CE4">
      <w:pPr>
        <w:numPr>
          <w:ilvl w:val="0"/>
          <w:numId w:val="44"/>
        </w:numPr>
        <w:spacing w:line="360" w:lineRule="auto"/>
        <w:ind w:left="0" w:firstLine="274"/>
        <w:rPr>
          <w:color w:val="000000"/>
        </w:rPr>
      </w:pPr>
      <w:r w:rsidRPr="002E1E3A">
        <w:rPr>
          <w:color w:val="000000"/>
        </w:rPr>
        <w:t>The Settling Parties</w:t>
      </w:r>
      <w:r w:rsidR="00A8570B" w:rsidRPr="002E1E3A">
        <w:rPr>
          <w:color w:val="000000"/>
        </w:rPr>
        <w:t xml:space="preserve"> possess a thorough understanding of the issues and information contained in the record, and are competent, able, and well-prepared to make informed choices in the settlement process.</w:t>
      </w:r>
    </w:p>
    <w:p w:rsidR="00D616FD" w:rsidRPr="002E1E3A" w:rsidRDefault="004E3C72" w:rsidP="00515CE4">
      <w:pPr>
        <w:numPr>
          <w:ilvl w:val="0"/>
          <w:numId w:val="44"/>
        </w:numPr>
        <w:spacing w:line="360" w:lineRule="auto"/>
        <w:ind w:left="0" w:firstLine="274"/>
        <w:rPr>
          <w:color w:val="000000"/>
        </w:rPr>
      </w:pPr>
      <w:r w:rsidRPr="002E1E3A">
        <w:rPr>
          <w:color w:val="000000"/>
        </w:rPr>
        <w:t xml:space="preserve">The </w:t>
      </w:r>
      <w:r w:rsidR="007C1100" w:rsidRPr="002E1E3A">
        <w:rPr>
          <w:color w:val="000000"/>
        </w:rPr>
        <w:t>Porter Ranch Settlement Agreement</w:t>
      </w:r>
      <w:r w:rsidRPr="002E1E3A">
        <w:rPr>
          <w:color w:val="000000"/>
        </w:rPr>
        <w:t xml:space="preserve"> and t</w:t>
      </w:r>
      <w:r w:rsidR="00E27EED" w:rsidRPr="002E1E3A">
        <w:rPr>
          <w:color w:val="000000"/>
        </w:rPr>
        <w:t xml:space="preserve">he rules adopted </w:t>
      </w:r>
      <w:r w:rsidR="00D616FD" w:rsidRPr="002E1E3A">
        <w:rPr>
          <w:color w:val="000000"/>
        </w:rPr>
        <w:t xml:space="preserve">by </w:t>
      </w:r>
      <w:r w:rsidR="00515CE4">
        <w:rPr>
          <w:color w:val="000000"/>
        </w:rPr>
        <w:t>D.09</w:t>
      </w:r>
      <w:r w:rsidR="00515CE4">
        <w:rPr>
          <w:color w:val="000000"/>
        </w:rPr>
        <w:noBreakHyphen/>
        <w:t>08</w:t>
      </w:r>
      <w:r w:rsidR="00515CE4">
        <w:rPr>
          <w:color w:val="000000"/>
        </w:rPr>
        <w:noBreakHyphen/>
      </w:r>
      <w:r w:rsidR="00D616FD" w:rsidRPr="002E1E3A">
        <w:rPr>
          <w:color w:val="000000"/>
        </w:rPr>
        <w:t xml:space="preserve">029 </w:t>
      </w:r>
      <w:r w:rsidRPr="002E1E3A">
        <w:rPr>
          <w:color w:val="000000"/>
        </w:rPr>
        <w:t xml:space="preserve">address the local community’s fire safety concerns. </w:t>
      </w:r>
      <w:r w:rsidR="00D616FD" w:rsidRPr="002E1E3A">
        <w:rPr>
          <w:color w:val="000000"/>
        </w:rPr>
        <w:t xml:space="preserve"> The rules adopted by D.09-08-029 will help to ensure the safe operation of the Facility and the </w:t>
      </w:r>
      <w:r w:rsidR="007C1100" w:rsidRPr="002E1E3A">
        <w:rPr>
          <w:color w:val="000000"/>
        </w:rPr>
        <w:t>Porter Ranch Settlement Agreement</w:t>
      </w:r>
      <w:r w:rsidR="00D616FD" w:rsidRPr="002E1E3A">
        <w:rPr>
          <w:color w:val="000000"/>
        </w:rPr>
        <w:t xml:space="preserve"> provides the communities adjacent to the Facility further assurance that the Facility will be operated in a manner t</w:t>
      </w:r>
      <w:r w:rsidR="00515CE4">
        <w:rPr>
          <w:color w:val="000000"/>
        </w:rPr>
        <w:t>hat reduces the risks of fire.</w:t>
      </w:r>
    </w:p>
    <w:p w:rsidR="00A8570B" w:rsidRPr="002E1E3A" w:rsidRDefault="00A8570B" w:rsidP="00515CE4">
      <w:pPr>
        <w:numPr>
          <w:ilvl w:val="0"/>
          <w:numId w:val="44"/>
        </w:numPr>
        <w:spacing w:line="360" w:lineRule="auto"/>
        <w:ind w:left="0" w:firstLine="274"/>
        <w:rPr>
          <w:color w:val="000000"/>
        </w:rPr>
      </w:pPr>
      <w:r w:rsidRPr="002E1E3A">
        <w:rPr>
          <w:color w:val="000000"/>
        </w:rPr>
        <w:t xml:space="preserve">The </w:t>
      </w:r>
      <w:r w:rsidR="007C1100" w:rsidRPr="002E1E3A">
        <w:rPr>
          <w:color w:val="000000"/>
        </w:rPr>
        <w:t>Porter Ranch Settlement Agreement</w:t>
      </w:r>
      <w:r w:rsidRPr="002E1E3A">
        <w:rPr>
          <w:color w:val="000000"/>
        </w:rPr>
        <w:t xml:space="preserve"> is reasonable in light of the whole record because it fairly reflects affected interests, </w:t>
      </w:r>
      <w:r w:rsidR="00D616FD" w:rsidRPr="002E1E3A">
        <w:rPr>
          <w:color w:val="000000"/>
        </w:rPr>
        <w:t xml:space="preserve">the </w:t>
      </w:r>
      <w:r w:rsidRPr="002E1E3A">
        <w:rPr>
          <w:color w:val="000000"/>
        </w:rPr>
        <w:t>parties actively participated in the proceeding, and the proposals put forth fairly and reasonably resolve the issues raised by the parties.</w:t>
      </w:r>
    </w:p>
    <w:p w:rsidR="00A8570B" w:rsidRPr="002E1E3A" w:rsidRDefault="00A8570B" w:rsidP="00515CE4">
      <w:pPr>
        <w:numPr>
          <w:ilvl w:val="0"/>
          <w:numId w:val="44"/>
        </w:numPr>
        <w:spacing w:line="360" w:lineRule="auto"/>
        <w:ind w:left="0" w:firstLine="274"/>
        <w:rPr>
          <w:color w:val="000000"/>
        </w:rPr>
      </w:pPr>
      <w:r w:rsidRPr="002E1E3A">
        <w:rPr>
          <w:color w:val="000000"/>
        </w:rPr>
        <w:t xml:space="preserve">The </w:t>
      </w:r>
      <w:r w:rsidR="007C1100" w:rsidRPr="002E1E3A">
        <w:rPr>
          <w:color w:val="000000"/>
        </w:rPr>
        <w:t>Porter Ranch Settlement Agreement</w:t>
      </w:r>
      <w:r w:rsidRPr="002E1E3A">
        <w:rPr>
          <w:color w:val="000000"/>
        </w:rPr>
        <w:t xml:space="preserve"> does not contravene or compromise any statutory provision or prior Commission decision.</w:t>
      </w:r>
    </w:p>
    <w:p w:rsidR="00A8570B" w:rsidRPr="002E1E3A" w:rsidRDefault="00A8570B" w:rsidP="00515CE4">
      <w:pPr>
        <w:numPr>
          <w:ilvl w:val="0"/>
          <w:numId w:val="44"/>
        </w:numPr>
        <w:spacing w:line="360" w:lineRule="auto"/>
        <w:ind w:left="0" w:firstLine="274"/>
        <w:rPr>
          <w:color w:val="000000"/>
        </w:rPr>
      </w:pPr>
      <w:r w:rsidRPr="002E1E3A">
        <w:rPr>
          <w:color w:val="000000"/>
        </w:rPr>
        <w:t xml:space="preserve">The </w:t>
      </w:r>
      <w:r w:rsidR="007C1100" w:rsidRPr="002E1E3A">
        <w:rPr>
          <w:color w:val="000000"/>
        </w:rPr>
        <w:t>Porter Ranch Settlement Agreement</w:t>
      </w:r>
      <w:r w:rsidRPr="002E1E3A">
        <w:rPr>
          <w:color w:val="000000"/>
        </w:rPr>
        <w:t xml:space="preserve"> meets the applicable settlement standards of Rule 12.1(d) and should be accorded the same deference the Commission </w:t>
      </w:r>
      <w:r w:rsidR="00B21E1C">
        <w:rPr>
          <w:color w:val="000000"/>
        </w:rPr>
        <w:t>accords settlements generally.</w:t>
      </w:r>
    </w:p>
    <w:p w:rsidR="00B23EBA" w:rsidRPr="002E1E3A" w:rsidRDefault="00B23EBA" w:rsidP="00515CE4">
      <w:pPr>
        <w:numPr>
          <w:ilvl w:val="0"/>
          <w:numId w:val="44"/>
        </w:numPr>
        <w:spacing w:line="360" w:lineRule="auto"/>
        <w:ind w:left="0" w:firstLine="274"/>
        <w:rPr>
          <w:color w:val="000000"/>
        </w:rPr>
      </w:pPr>
      <w:r w:rsidRPr="002E1E3A">
        <w:rPr>
          <w:color w:val="000000"/>
        </w:rPr>
        <w:t xml:space="preserve">The </w:t>
      </w:r>
      <w:r w:rsidR="007C1100" w:rsidRPr="002E1E3A">
        <w:rPr>
          <w:color w:val="000000"/>
        </w:rPr>
        <w:t>Porter Ranch Settlement Agreement</w:t>
      </w:r>
      <w:r w:rsidRPr="002E1E3A">
        <w:rPr>
          <w:color w:val="000000"/>
        </w:rPr>
        <w:t xml:space="preserve"> should be adopted.</w:t>
      </w:r>
    </w:p>
    <w:p w:rsidR="00A8570B" w:rsidRPr="002E1E3A" w:rsidRDefault="00A8570B" w:rsidP="00515CE4">
      <w:pPr>
        <w:numPr>
          <w:ilvl w:val="0"/>
          <w:numId w:val="44"/>
        </w:numPr>
        <w:tabs>
          <w:tab w:val="left" w:pos="0"/>
        </w:tabs>
        <w:spacing w:line="360" w:lineRule="auto"/>
        <w:ind w:left="0" w:firstLine="274"/>
        <w:rPr>
          <w:color w:val="000000"/>
        </w:rPr>
      </w:pPr>
      <w:r w:rsidRPr="002E1E3A">
        <w:rPr>
          <w:color w:val="000000"/>
        </w:rPr>
        <w:t xml:space="preserve">Adoption of the </w:t>
      </w:r>
      <w:r w:rsidR="007C1100" w:rsidRPr="002E1E3A">
        <w:rPr>
          <w:color w:val="000000"/>
        </w:rPr>
        <w:t>Porter Ranch Settlement Agreement</w:t>
      </w:r>
      <w:r w:rsidRPr="002E1E3A">
        <w:rPr>
          <w:color w:val="000000"/>
        </w:rPr>
        <w:t xml:space="preserve"> </w:t>
      </w:r>
      <w:r w:rsidR="00B23EBA" w:rsidRPr="002E1E3A">
        <w:rPr>
          <w:color w:val="000000"/>
        </w:rPr>
        <w:t xml:space="preserve">should be </w:t>
      </w:r>
      <w:r w:rsidRPr="002E1E3A">
        <w:rPr>
          <w:color w:val="000000"/>
        </w:rPr>
        <w:t>binding on all</w:t>
      </w:r>
      <w:r w:rsidR="000E263D" w:rsidRPr="002E1E3A">
        <w:rPr>
          <w:color w:val="000000"/>
        </w:rPr>
        <w:t xml:space="preserve"> parties to the proceeding but </w:t>
      </w:r>
      <w:r w:rsidR="00B23EBA" w:rsidRPr="002E1E3A">
        <w:rPr>
          <w:color w:val="000000"/>
        </w:rPr>
        <w:t xml:space="preserve">should </w:t>
      </w:r>
      <w:r w:rsidRPr="002E1E3A">
        <w:rPr>
          <w:color w:val="000000"/>
        </w:rPr>
        <w:t>not bind or otherwise impose a precedent in th</w:t>
      </w:r>
      <w:r w:rsidR="00B21E1C">
        <w:rPr>
          <w:color w:val="000000"/>
        </w:rPr>
        <w:t>is or any future proceeding.</w:t>
      </w:r>
    </w:p>
    <w:p w:rsidR="009B66BB" w:rsidRPr="002E1E3A" w:rsidRDefault="009B66BB" w:rsidP="00515CE4">
      <w:pPr>
        <w:numPr>
          <w:ilvl w:val="0"/>
          <w:numId w:val="44"/>
        </w:numPr>
        <w:spacing w:line="360" w:lineRule="auto"/>
        <w:ind w:left="0" w:firstLine="274"/>
        <w:rPr>
          <w:color w:val="000000"/>
        </w:rPr>
      </w:pPr>
      <w:r w:rsidRPr="002E1E3A">
        <w:rPr>
          <w:color w:val="000000"/>
        </w:rPr>
        <w:t>As conditioned by this decision, the Project is consistent with community values</w:t>
      </w:r>
      <w:r w:rsidR="00B21E1C">
        <w:rPr>
          <w:color w:val="000000"/>
        </w:rPr>
        <w:t>.</w:t>
      </w:r>
    </w:p>
    <w:p w:rsidR="00A51611" w:rsidRPr="002E1E3A" w:rsidRDefault="00A51611" w:rsidP="00515CE4">
      <w:pPr>
        <w:numPr>
          <w:ilvl w:val="0"/>
          <w:numId w:val="44"/>
        </w:numPr>
        <w:spacing w:line="360" w:lineRule="auto"/>
        <w:ind w:left="0" w:firstLine="274"/>
        <w:rPr>
          <w:color w:val="000000"/>
        </w:rPr>
      </w:pPr>
      <w:r w:rsidRPr="002E1E3A">
        <w:rPr>
          <w:color w:val="000000"/>
        </w:rPr>
        <w:t xml:space="preserve">The </w:t>
      </w:r>
      <w:r w:rsidR="00EF44B5" w:rsidRPr="002E1E3A">
        <w:rPr>
          <w:color w:val="000000"/>
        </w:rPr>
        <w:t>Project</w:t>
      </w:r>
      <w:r w:rsidRPr="002E1E3A">
        <w:rPr>
          <w:color w:val="000000"/>
        </w:rPr>
        <w:t xml:space="preserve"> is consistent with recreational and park uses.</w:t>
      </w:r>
    </w:p>
    <w:p w:rsidR="00A51611" w:rsidRPr="002E1E3A" w:rsidRDefault="00A51611" w:rsidP="00515CE4">
      <w:pPr>
        <w:numPr>
          <w:ilvl w:val="0"/>
          <w:numId w:val="44"/>
        </w:numPr>
        <w:spacing w:line="360" w:lineRule="auto"/>
        <w:ind w:left="0" w:firstLine="274"/>
        <w:rPr>
          <w:color w:val="000000"/>
        </w:rPr>
      </w:pPr>
      <w:r w:rsidRPr="002E1E3A">
        <w:rPr>
          <w:color w:val="000000"/>
        </w:rPr>
        <w:t xml:space="preserve">The </w:t>
      </w:r>
      <w:r w:rsidR="00EF44B5" w:rsidRPr="002E1E3A">
        <w:rPr>
          <w:color w:val="000000"/>
        </w:rPr>
        <w:t>Project</w:t>
      </w:r>
      <w:r w:rsidRPr="002E1E3A">
        <w:rPr>
          <w:color w:val="000000"/>
        </w:rPr>
        <w:t xml:space="preserve"> is consistent with the historical and aesthetic values of the area.</w:t>
      </w:r>
    </w:p>
    <w:p w:rsidR="00A8570B" w:rsidRPr="002E1E3A" w:rsidRDefault="00A8570B" w:rsidP="00515CE4">
      <w:pPr>
        <w:numPr>
          <w:ilvl w:val="0"/>
          <w:numId w:val="44"/>
        </w:numPr>
        <w:spacing w:line="360" w:lineRule="auto"/>
        <w:ind w:left="0" w:firstLine="274"/>
        <w:rPr>
          <w:color w:val="000000"/>
        </w:rPr>
      </w:pPr>
      <w:r w:rsidRPr="002E1E3A">
        <w:rPr>
          <w:color w:val="000000"/>
        </w:rPr>
        <w:t xml:space="preserve">Pursuant to Public Resources Code </w:t>
      </w:r>
      <w:r w:rsidR="00B21E1C">
        <w:rPr>
          <w:color w:val="000000"/>
        </w:rPr>
        <w:t>Sections</w:t>
      </w:r>
      <w:r w:rsidRPr="002E1E3A">
        <w:rPr>
          <w:color w:val="000000"/>
        </w:rPr>
        <w:t xml:space="preserve"> 21000 et seq., the Commission, as lead agency for the </w:t>
      </w:r>
      <w:r w:rsidR="00EF44B5" w:rsidRPr="002E1E3A">
        <w:rPr>
          <w:color w:val="000000"/>
        </w:rPr>
        <w:t>Project</w:t>
      </w:r>
      <w:r w:rsidRPr="002E1E3A">
        <w:rPr>
          <w:color w:val="000000"/>
        </w:rPr>
        <w:t xml:space="preserve">, must prepare an EIR assessing the environmental effects of the </w:t>
      </w:r>
      <w:r w:rsidR="00EF44B5" w:rsidRPr="002E1E3A">
        <w:rPr>
          <w:color w:val="000000"/>
        </w:rPr>
        <w:t>Project</w:t>
      </w:r>
      <w:r w:rsidRPr="002E1E3A">
        <w:rPr>
          <w:color w:val="000000"/>
        </w:rPr>
        <w:t xml:space="preserve"> for the Commission’s use in considering the request for a CPCN.</w:t>
      </w:r>
    </w:p>
    <w:p w:rsidR="00A8570B" w:rsidRPr="002E1E3A" w:rsidRDefault="00A8570B" w:rsidP="00515CE4">
      <w:pPr>
        <w:numPr>
          <w:ilvl w:val="0"/>
          <w:numId w:val="44"/>
        </w:numPr>
        <w:spacing w:line="360" w:lineRule="auto"/>
        <w:ind w:left="0" w:firstLine="274"/>
        <w:rPr>
          <w:color w:val="000000"/>
        </w:rPr>
      </w:pPr>
      <w:r w:rsidRPr="002E1E3A">
        <w:rPr>
          <w:color w:val="000000"/>
        </w:rPr>
        <w:t xml:space="preserve">The No Project Alternative identified for consideration in the final EIR </w:t>
      </w:r>
      <w:r w:rsidR="00013320" w:rsidRPr="002E1E3A">
        <w:rPr>
          <w:color w:val="000000"/>
        </w:rPr>
        <w:t>should be</w:t>
      </w:r>
      <w:r w:rsidRPr="002E1E3A">
        <w:rPr>
          <w:color w:val="000000"/>
        </w:rPr>
        <w:t xml:space="preserve"> rejected.</w:t>
      </w:r>
    </w:p>
    <w:p w:rsidR="00A8570B" w:rsidRPr="002E1E3A" w:rsidRDefault="00A8570B" w:rsidP="00515CE4">
      <w:pPr>
        <w:numPr>
          <w:ilvl w:val="0"/>
          <w:numId w:val="44"/>
        </w:numPr>
        <w:spacing w:line="360" w:lineRule="auto"/>
        <w:ind w:left="0" w:firstLine="274"/>
        <w:rPr>
          <w:color w:val="000000"/>
        </w:rPr>
      </w:pPr>
      <w:r w:rsidRPr="002E1E3A">
        <w:rPr>
          <w:color w:val="000000"/>
        </w:rPr>
        <w:t xml:space="preserve">The Design Alternative identified for consideration in the final EIR </w:t>
      </w:r>
      <w:r w:rsidR="00013320" w:rsidRPr="002E1E3A">
        <w:rPr>
          <w:color w:val="000000"/>
        </w:rPr>
        <w:t xml:space="preserve">should </w:t>
      </w:r>
      <w:r w:rsidRPr="002E1E3A">
        <w:rPr>
          <w:color w:val="000000"/>
        </w:rPr>
        <w:t xml:space="preserve">not </w:t>
      </w:r>
      <w:r w:rsidR="00013320" w:rsidRPr="002E1E3A">
        <w:rPr>
          <w:color w:val="000000"/>
        </w:rPr>
        <w:t xml:space="preserve">be </w:t>
      </w:r>
      <w:r w:rsidRPr="002E1E3A">
        <w:rPr>
          <w:color w:val="000000"/>
        </w:rPr>
        <w:t xml:space="preserve">adopted because it would result in long-term and wide-spread </w:t>
      </w:r>
      <w:r w:rsidR="001E1559" w:rsidRPr="002E1E3A">
        <w:rPr>
          <w:color w:val="000000"/>
        </w:rPr>
        <w:t xml:space="preserve">negative </w:t>
      </w:r>
      <w:r w:rsidRPr="002E1E3A">
        <w:rPr>
          <w:color w:val="000000"/>
        </w:rPr>
        <w:t xml:space="preserve">impacts </w:t>
      </w:r>
      <w:r w:rsidR="001E1559" w:rsidRPr="002E1E3A">
        <w:rPr>
          <w:color w:val="000000"/>
        </w:rPr>
        <w:t>to</w:t>
      </w:r>
      <w:r w:rsidRPr="002E1E3A">
        <w:rPr>
          <w:color w:val="000000"/>
        </w:rPr>
        <w:t xml:space="preserve"> air quality and greenhouse gas emission</w:t>
      </w:r>
      <w:r w:rsidR="00013320" w:rsidRPr="002E1E3A">
        <w:rPr>
          <w:color w:val="000000"/>
        </w:rPr>
        <w:t>s</w:t>
      </w:r>
      <w:r w:rsidR="00B21E1C">
        <w:rPr>
          <w:color w:val="000000"/>
        </w:rPr>
        <w:t>.</w:t>
      </w:r>
    </w:p>
    <w:p w:rsidR="00A8570B" w:rsidRPr="002E1E3A" w:rsidRDefault="00A8570B" w:rsidP="00515CE4">
      <w:pPr>
        <w:numPr>
          <w:ilvl w:val="0"/>
          <w:numId w:val="44"/>
        </w:numPr>
        <w:spacing w:line="360" w:lineRule="auto"/>
        <w:ind w:left="0" w:firstLine="274"/>
        <w:rPr>
          <w:color w:val="000000"/>
        </w:rPr>
      </w:pPr>
      <w:r w:rsidRPr="002E1E3A">
        <w:rPr>
          <w:color w:val="000000"/>
        </w:rPr>
        <w:t xml:space="preserve">The </w:t>
      </w:r>
      <w:r w:rsidR="00EF44B5" w:rsidRPr="002E1E3A">
        <w:rPr>
          <w:color w:val="000000"/>
        </w:rPr>
        <w:t>Project</w:t>
      </w:r>
      <w:r w:rsidRPr="002E1E3A">
        <w:rPr>
          <w:color w:val="000000"/>
        </w:rPr>
        <w:t xml:space="preserve"> is an environmentally superior alternative to the Design Alternative because the </w:t>
      </w:r>
      <w:r w:rsidR="00EF44B5" w:rsidRPr="002E1E3A">
        <w:rPr>
          <w:color w:val="000000"/>
        </w:rPr>
        <w:t>Project</w:t>
      </w:r>
      <w:r w:rsidRPr="002E1E3A">
        <w:rPr>
          <w:color w:val="000000"/>
        </w:rPr>
        <w:t>, during operati</w:t>
      </w:r>
      <w:r w:rsidR="003E6049">
        <w:rPr>
          <w:color w:val="000000"/>
        </w:rPr>
        <w:t>ons, would avoid or reduce long</w:t>
      </w:r>
      <w:r w:rsidR="003E6049">
        <w:rPr>
          <w:color w:val="000000"/>
        </w:rPr>
        <w:noBreakHyphen/>
      </w:r>
      <w:r w:rsidRPr="002E1E3A">
        <w:rPr>
          <w:color w:val="000000"/>
        </w:rPr>
        <w:t>term impacts from air pollutant emissions and result in a net reduction of GHG emissions in compar</w:t>
      </w:r>
      <w:r w:rsidR="00B21E1C">
        <w:rPr>
          <w:color w:val="000000"/>
        </w:rPr>
        <w:t>ison to the Design Alternative.</w:t>
      </w:r>
    </w:p>
    <w:p w:rsidR="00A51611" w:rsidRPr="002E1E3A" w:rsidRDefault="00A51611" w:rsidP="00515CE4">
      <w:pPr>
        <w:numPr>
          <w:ilvl w:val="0"/>
          <w:numId w:val="44"/>
        </w:numPr>
        <w:spacing w:line="360" w:lineRule="auto"/>
        <w:ind w:left="0" w:firstLine="274"/>
        <w:rPr>
          <w:color w:val="000000"/>
        </w:rPr>
      </w:pPr>
      <w:r w:rsidRPr="002E1E3A">
        <w:rPr>
          <w:color w:val="000000"/>
        </w:rPr>
        <w:t>The EIR is a competent and comprehensive informational tool, and the quality of the information in the EIR is such that the Commission is confident of its accuracy.</w:t>
      </w:r>
    </w:p>
    <w:p w:rsidR="002F5E2A" w:rsidRPr="002E1E3A" w:rsidRDefault="001E1559" w:rsidP="00515CE4">
      <w:pPr>
        <w:numPr>
          <w:ilvl w:val="0"/>
          <w:numId w:val="44"/>
        </w:numPr>
        <w:spacing w:line="360" w:lineRule="auto"/>
        <w:ind w:left="0" w:firstLine="274"/>
        <w:rPr>
          <w:color w:val="000000"/>
        </w:rPr>
      </w:pPr>
      <w:r w:rsidRPr="002E1E3A">
        <w:rPr>
          <w:color w:val="000000"/>
        </w:rPr>
        <w:t>T</w:t>
      </w:r>
      <w:r w:rsidR="000E263D" w:rsidRPr="002E1E3A">
        <w:rPr>
          <w:color w:val="000000"/>
        </w:rPr>
        <w:t>he EIR was completed in compliance with CEQA</w:t>
      </w:r>
      <w:r w:rsidRPr="002E1E3A">
        <w:rPr>
          <w:color w:val="000000"/>
        </w:rPr>
        <w:t>, the Commission has</w:t>
      </w:r>
      <w:r w:rsidR="000E263D" w:rsidRPr="002E1E3A">
        <w:rPr>
          <w:color w:val="000000"/>
        </w:rPr>
        <w:t xml:space="preserve"> </w:t>
      </w:r>
      <w:r w:rsidRPr="002E1E3A">
        <w:rPr>
          <w:color w:val="000000"/>
        </w:rPr>
        <w:t xml:space="preserve">reviewed and considered the EIR, </w:t>
      </w:r>
      <w:r w:rsidR="000E263D" w:rsidRPr="002E1E3A">
        <w:rPr>
          <w:color w:val="000000"/>
        </w:rPr>
        <w:t xml:space="preserve">and the EIR reflects </w:t>
      </w:r>
      <w:r w:rsidRPr="002E1E3A">
        <w:rPr>
          <w:color w:val="000000"/>
        </w:rPr>
        <w:t>the Commission</w:t>
      </w:r>
      <w:r w:rsidR="000E263D" w:rsidRPr="002E1E3A">
        <w:rPr>
          <w:color w:val="000000"/>
        </w:rPr>
        <w:t>’s independent judgment.</w:t>
      </w:r>
      <w:r w:rsidR="00D616FD" w:rsidRPr="002E1E3A">
        <w:rPr>
          <w:color w:val="000000"/>
        </w:rPr>
        <w:t xml:space="preserve">  </w:t>
      </w:r>
      <w:r w:rsidR="000E263D" w:rsidRPr="002E1E3A">
        <w:rPr>
          <w:color w:val="000000"/>
        </w:rPr>
        <w:t xml:space="preserve">The Commission </w:t>
      </w:r>
      <w:r w:rsidRPr="002E1E3A">
        <w:rPr>
          <w:color w:val="000000"/>
        </w:rPr>
        <w:t xml:space="preserve">should </w:t>
      </w:r>
      <w:r w:rsidR="000E263D" w:rsidRPr="002E1E3A">
        <w:rPr>
          <w:color w:val="000000"/>
        </w:rPr>
        <w:t>certif</w:t>
      </w:r>
      <w:r w:rsidRPr="002E1E3A">
        <w:rPr>
          <w:color w:val="000000"/>
        </w:rPr>
        <w:t>y</w:t>
      </w:r>
      <w:r w:rsidR="000E263D" w:rsidRPr="002E1E3A">
        <w:rPr>
          <w:color w:val="000000"/>
        </w:rPr>
        <w:t xml:space="preserve"> the EIR</w:t>
      </w:r>
      <w:r w:rsidR="002F5E2A" w:rsidRPr="002E1E3A">
        <w:rPr>
          <w:color w:val="000000"/>
        </w:rPr>
        <w:t>.</w:t>
      </w:r>
    </w:p>
    <w:p w:rsidR="002F5E2A" w:rsidRPr="002E1E3A" w:rsidRDefault="002C169B" w:rsidP="00515CE4">
      <w:pPr>
        <w:numPr>
          <w:ilvl w:val="0"/>
          <w:numId w:val="44"/>
        </w:numPr>
        <w:spacing w:line="360" w:lineRule="auto"/>
        <w:ind w:left="0" w:firstLine="274"/>
        <w:rPr>
          <w:color w:val="000000"/>
        </w:rPr>
      </w:pPr>
      <w:r w:rsidRPr="002E1E3A">
        <w:rPr>
          <w:color w:val="000000"/>
        </w:rPr>
        <w:t xml:space="preserve">Pursuant to </w:t>
      </w:r>
      <w:r w:rsidR="002F5E2A" w:rsidRPr="002E1E3A">
        <w:rPr>
          <w:color w:val="000000"/>
        </w:rPr>
        <w:t xml:space="preserve">Public Resources Code </w:t>
      </w:r>
      <w:r w:rsidR="00B21E1C">
        <w:rPr>
          <w:color w:val="000000"/>
        </w:rPr>
        <w:t>Section</w:t>
      </w:r>
      <w:r w:rsidR="002F5E2A" w:rsidRPr="002E1E3A">
        <w:rPr>
          <w:color w:val="000000"/>
        </w:rPr>
        <w:t xml:space="preserve"> 21081.6(b)</w:t>
      </w:r>
      <w:r w:rsidRPr="002E1E3A">
        <w:rPr>
          <w:color w:val="000000"/>
        </w:rPr>
        <w:t>,</w:t>
      </w:r>
      <w:r w:rsidR="002F5E2A" w:rsidRPr="002E1E3A">
        <w:rPr>
          <w:color w:val="000000"/>
        </w:rPr>
        <w:t xml:space="preserve"> avo</w:t>
      </w:r>
      <w:r w:rsidRPr="002E1E3A">
        <w:rPr>
          <w:color w:val="000000"/>
        </w:rPr>
        <w:t xml:space="preserve">idance and mitigation measures </w:t>
      </w:r>
      <w:r w:rsidR="002F5E2A" w:rsidRPr="002E1E3A">
        <w:rPr>
          <w:color w:val="000000"/>
        </w:rPr>
        <w:t xml:space="preserve">are fully enforceable through permit conditions, </w:t>
      </w:r>
      <w:r w:rsidR="00B21E1C">
        <w:rPr>
          <w:color w:val="000000"/>
        </w:rPr>
        <w:t>agreements, or other measures.</w:t>
      </w:r>
    </w:p>
    <w:p w:rsidR="00995CDC" w:rsidRPr="002E1E3A" w:rsidRDefault="00D616FD" w:rsidP="00515CE4">
      <w:pPr>
        <w:numPr>
          <w:ilvl w:val="0"/>
          <w:numId w:val="44"/>
        </w:numPr>
        <w:spacing w:line="360" w:lineRule="auto"/>
        <w:ind w:left="0" w:firstLine="274"/>
        <w:rPr>
          <w:color w:val="000000"/>
        </w:rPr>
      </w:pPr>
      <w:r w:rsidRPr="002E1E3A">
        <w:rPr>
          <w:color w:val="000000"/>
        </w:rPr>
        <w:t xml:space="preserve">Significant effects identified in the EIR will be mitigated or avoided as a result of the changes and alterations identified in the MMCRP that the Commission incorporates into the </w:t>
      </w:r>
      <w:r w:rsidR="00EF44B5" w:rsidRPr="002E1E3A">
        <w:rPr>
          <w:color w:val="000000"/>
        </w:rPr>
        <w:t>Project</w:t>
      </w:r>
      <w:r w:rsidRPr="002E1E3A">
        <w:rPr>
          <w:color w:val="000000"/>
        </w:rPr>
        <w:t xml:space="preserve">.  </w:t>
      </w:r>
      <w:r w:rsidR="00995CDC" w:rsidRPr="002E1E3A">
        <w:rPr>
          <w:color w:val="000000"/>
        </w:rPr>
        <w:t>The Commission should adopt the MMCRP, and SoCalGas, SCE and their agents should be required to comply with each measu</w:t>
      </w:r>
      <w:r w:rsidR="00B21E1C">
        <w:rPr>
          <w:color w:val="000000"/>
        </w:rPr>
        <w:t>re and provision of the MMCRP.</w:t>
      </w:r>
    </w:p>
    <w:p w:rsidR="0060685B" w:rsidRPr="002E1E3A" w:rsidRDefault="00A8570B" w:rsidP="00515CE4">
      <w:pPr>
        <w:numPr>
          <w:ilvl w:val="0"/>
          <w:numId w:val="44"/>
        </w:numPr>
        <w:spacing w:line="360" w:lineRule="auto"/>
        <w:ind w:left="0" w:firstLine="274"/>
        <w:rPr>
          <w:color w:val="000000"/>
        </w:rPr>
      </w:pPr>
      <w:r w:rsidRPr="002E1E3A">
        <w:rPr>
          <w:color w:val="000000"/>
        </w:rPr>
        <w:t xml:space="preserve">The Energy Division </w:t>
      </w:r>
      <w:r w:rsidR="0060685B" w:rsidRPr="002E1E3A">
        <w:rPr>
          <w:color w:val="000000"/>
        </w:rPr>
        <w:t>should</w:t>
      </w:r>
      <w:r w:rsidRPr="002E1E3A">
        <w:rPr>
          <w:color w:val="000000"/>
        </w:rPr>
        <w:t xml:space="preserve"> supervis</w:t>
      </w:r>
      <w:r w:rsidR="0060685B" w:rsidRPr="002E1E3A">
        <w:rPr>
          <w:color w:val="000000"/>
        </w:rPr>
        <w:t>e</w:t>
      </w:r>
      <w:r w:rsidRPr="002E1E3A">
        <w:rPr>
          <w:color w:val="000000"/>
        </w:rPr>
        <w:t xml:space="preserve"> and oversee the construction of the </w:t>
      </w:r>
      <w:r w:rsidR="00EF44B5" w:rsidRPr="002E1E3A">
        <w:rPr>
          <w:color w:val="000000"/>
        </w:rPr>
        <w:t>Project</w:t>
      </w:r>
      <w:r w:rsidRPr="002E1E3A">
        <w:rPr>
          <w:color w:val="000000"/>
        </w:rPr>
        <w:t xml:space="preserve"> as it relates to monitoring and enforcement of the mitigation measures described in the EIR.  </w:t>
      </w:r>
      <w:r w:rsidR="0060685B" w:rsidRPr="002E1E3A">
        <w:rPr>
          <w:color w:val="000000"/>
        </w:rPr>
        <w:t xml:space="preserve">Upon review of SoCalGas’s and SCE’s compliance with the MMRCP, the Energy Division should provide SoCalGas and SCE with Notices to Proceed with Construction during various phases of the </w:t>
      </w:r>
      <w:r w:rsidR="00C50B11">
        <w:rPr>
          <w:color w:val="000000"/>
        </w:rPr>
        <w:t>P</w:t>
      </w:r>
      <w:r w:rsidR="0060685B" w:rsidRPr="002E1E3A">
        <w:rPr>
          <w:color w:val="000000"/>
        </w:rPr>
        <w:t>roject as applicable under the MMCRP.</w:t>
      </w:r>
    </w:p>
    <w:p w:rsidR="0060685B" w:rsidRPr="002E1E3A" w:rsidRDefault="0060685B" w:rsidP="00515CE4">
      <w:pPr>
        <w:numPr>
          <w:ilvl w:val="0"/>
          <w:numId w:val="44"/>
        </w:numPr>
        <w:spacing w:line="360" w:lineRule="auto"/>
        <w:ind w:left="0" w:firstLine="274"/>
        <w:rPr>
          <w:color w:val="000000"/>
        </w:rPr>
      </w:pPr>
      <w:r w:rsidRPr="002E1E3A">
        <w:rPr>
          <w:color w:val="000000"/>
        </w:rPr>
        <w:t xml:space="preserve">The Commission’s project manager (Energy Division, Environmental Projects Unit) should have the authority to issue a Stop Work Order on the entire </w:t>
      </w:r>
      <w:r w:rsidR="00C50B11">
        <w:rPr>
          <w:color w:val="000000"/>
        </w:rPr>
        <w:t>P</w:t>
      </w:r>
      <w:r w:rsidRPr="002E1E3A">
        <w:rPr>
          <w:color w:val="000000"/>
        </w:rPr>
        <w:t xml:space="preserve">roject, or portions thereof, for the purpose of ensuring compliance with the mitigation measures described in the EIR.  Construction should not resume without a </w:t>
      </w:r>
      <w:r w:rsidRPr="002E1E3A">
        <w:rPr>
          <w:bCs/>
          <w:color w:val="000000"/>
        </w:rPr>
        <w:t>Notice to Proceed</w:t>
      </w:r>
      <w:r w:rsidRPr="002E1E3A">
        <w:rPr>
          <w:color w:val="000000"/>
        </w:rPr>
        <w:t xml:space="preserve"> issued by the Energy Division.</w:t>
      </w:r>
    </w:p>
    <w:p w:rsidR="00A8570B" w:rsidRPr="002E1E3A" w:rsidRDefault="0060685B" w:rsidP="00515CE4">
      <w:pPr>
        <w:numPr>
          <w:ilvl w:val="0"/>
          <w:numId w:val="44"/>
        </w:numPr>
        <w:spacing w:line="360" w:lineRule="auto"/>
        <w:ind w:left="0" w:firstLine="274"/>
        <w:rPr>
          <w:color w:val="000000"/>
        </w:rPr>
      </w:pPr>
      <w:r w:rsidRPr="002E1E3A">
        <w:rPr>
          <w:color w:val="000000"/>
        </w:rPr>
        <w:t>SoCalGas should be required to pay all associated costs for outside staff designated by the Energy Division to perform on-site monitoring tasks.</w:t>
      </w:r>
    </w:p>
    <w:p w:rsidR="00F674D4" w:rsidRPr="002E1E3A" w:rsidRDefault="00F674D4" w:rsidP="00515CE4">
      <w:pPr>
        <w:numPr>
          <w:ilvl w:val="0"/>
          <w:numId w:val="44"/>
        </w:numPr>
        <w:spacing w:line="360" w:lineRule="auto"/>
        <w:ind w:left="0" w:firstLine="274"/>
        <w:rPr>
          <w:color w:val="000000"/>
        </w:rPr>
      </w:pPr>
      <w:r w:rsidRPr="002E1E3A">
        <w:rPr>
          <w:color w:val="000000"/>
        </w:rPr>
        <w:t xml:space="preserve">The conditions imposed on the CPCN should ensure that the </w:t>
      </w:r>
      <w:r w:rsidR="00EF44B5" w:rsidRPr="002E1E3A">
        <w:rPr>
          <w:color w:val="000000"/>
        </w:rPr>
        <w:t>Project</w:t>
      </w:r>
      <w:r w:rsidRPr="002E1E3A">
        <w:rPr>
          <w:color w:val="000000"/>
        </w:rPr>
        <w:t xml:space="preserve"> can be constructed and operated in a way that protects the safety of workers and the general public.</w:t>
      </w:r>
    </w:p>
    <w:p w:rsidR="00E95B5A" w:rsidRPr="002E1E3A" w:rsidRDefault="00FE428D" w:rsidP="00515CE4">
      <w:pPr>
        <w:numPr>
          <w:ilvl w:val="0"/>
          <w:numId w:val="44"/>
        </w:numPr>
        <w:spacing w:line="360" w:lineRule="auto"/>
        <w:ind w:left="0" w:firstLine="274"/>
        <w:rPr>
          <w:color w:val="000000"/>
        </w:rPr>
      </w:pPr>
      <w:r>
        <w:t xml:space="preserve">A maximum total cost of $200.9 million for the Project should be adopted.  SoCalGas should be authorized cost recovery of this amount if the actual cost of the </w:t>
      </w:r>
      <w:r w:rsidR="00C50B11">
        <w:t>P</w:t>
      </w:r>
      <w:r>
        <w:t>roject exceeds $200.9 million beginning when the assets are placed in service.  Costs exceeding this amount should be recorded in a memorandum account for possible recovery after a reasonableness review.  If SoCalGas’s costs to complete the Project are below $200.9 million, SoCalGas should only recover actual Project costs.</w:t>
      </w:r>
    </w:p>
    <w:p w:rsidR="00A8570B" w:rsidRPr="002E1E3A" w:rsidRDefault="00FE428D" w:rsidP="00515CE4">
      <w:pPr>
        <w:numPr>
          <w:ilvl w:val="0"/>
          <w:numId w:val="44"/>
        </w:numPr>
        <w:spacing w:line="360" w:lineRule="auto"/>
        <w:ind w:left="0" w:firstLine="274"/>
        <w:rPr>
          <w:color w:val="000000"/>
        </w:rPr>
      </w:pPr>
      <w:r>
        <w:t>Consistent with § 1005.5(b), a review of the reasonableness of all Project costs should be conducted in SoCalGas’ GRC following project completion if Project costs exceed $200.9 million.  SoCalGas’s efforts to maximize the O&amp;M cost savings and capital benefits should be included in this review.  SoCalGas should bear the burden to show that all project costs are reasonable.</w:t>
      </w:r>
    </w:p>
    <w:p w:rsidR="00972BC0" w:rsidRPr="002E1E3A" w:rsidRDefault="00FE428D" w:rsidP="00515CE4">
      <w:pPr>
        <w:numPr>
          <w:ilvl w:val="0"/>
          <w:numId w:val="44"/>
        </w:numPr>
        <w:spacing w:line="360" w:lineRule="auto"/>
        <w:ind w:left="0" w:firstLine="274"/>
        <w:rPr>
          <w:color w:val="000000"/>
        </w:rPr>
      </w:pPr>
      <w:r>
        <w:t>After the Project is completed and becomes operational, SoCalGas should request to incorporate the associated revenue requirement into rates by an advice letter, as follows.  SoCalGas’s revenue requirement m</w:t>
      </w:r>
      <w:r w:rsidR="00EF38CC">
        <w:t xml:space="preserve">ust be based on Project costs </w:t>
      </w:r>
      <w:r>
        <w:t>not exceed</w:t>
      </w:r>
      <w:r w:rsidR="0085464B">
        <w:t xml:space="preserve">ing </w:t>
      </w:r>
      <w:r>
        <w:t>$20</w:t>
      </w:r>
      <w:r w:rsidR="00C50B11">
        <w:t>0.9 </w:t>
      </w:r>
      <w:r>
        <w:t xml:space="preserve">million unless the maximum reasonable cost cap is increased.  If SoCalGas incurs costs less than $200.9 million, the utility must use actual </w:t>
      </w:r>
      <w:r w:rsidR="00C50B11">
        <w:t>P</w:t>
      </w:r>
      <w:r>
        <w:t xml:space="preserve">roject costs for the revenue requirement.   SoCalGas’s O&amp;M savings and capital benefits should be included in the revenue requirement, which should be subject to balancing account treatment.  SoCalGas should </w:t>
      </w:r>
      <w:r w:rsidRPr="000B7FAE">
        <w:t xml:space="preserve">use </w:t>
      </w:r>
      <w:r>
        <w:t>its prevailing authorized ROE and ROR and current Commission depreciation policies for developing the revenue requirement.</w:t>
      </w:r>
      <w:r w:rsidR="00972BC0" w:rsidRPr="002E1E3A">
        <w:rPr>
          <w:color w:val="000000"/>
        </w:rPr>
        <w:t xml:space="preserve"> </w:t>
      </w:r>
    </w:p>
    <w:p w:rsidR="00123D7F" w:rsidRPr="002E1E3A" w:rsidRDefault="00123D7F" w:rsidP="00515CE4">
      <w:pPr>
        <w:numPr>
          <w:ilvl w:val="0"/>
          <w:numId w:val="44"/>
        </w:numPr>
        <w:spacing w:line="360" w:lineRule="auto"/>
        <w:ind w:left="0" w:firstLine="274"/>
        <w:rPr>
          <w:color w:val="000000"/>
        </w:rPr>
      </w:pPr>
      <w:r w:rsidRPr="002E1E3A">
        <w:rPr>
          <w:color w:val="000000"/>
        </w:rPr>
        <w:t xml:space="preserve">SoCalGas’s proposed rate treatment is reasonable and consistent with D.08-12-020.  If D.08-12-020 is superseded at the time of the advice letter filing, SoCalGas </w:t>
      </w:r>
      <w:r w:rsidR="00E87676" w:rsidRPr="002E1E3A">
        <w:rPr>
          <w:color w:val="000000"/>
        </w:rPr>
        <w:t>should</w:t>
      </w:r>
      <w:r w:rsidRPr="002E1E3A">
        <w:rPr>
          <w:color w:val="000000"/>
        </w:rPr>
        <w:t xml:space="preserve"> use the then-current decision for t</w:t>
      </w:r>
      <w:r w:rsidR="00B21E1C">
        <w:rPr>
          <w:color w:val="000000"/>
        </w:rPr>
        <w:t xml:space="preserve">he cost allocation and rates.  </w:t>
      </w:r>
      <w:r w:rsidRPr="002E1E3A">
        <w:rPr>
          <w:color w:val="000000"/>
        </w:rPr>
        <w:t xml:space="preserve">SoCalGas </w:t>
      </w:r>
      <w:r w:rsidR="00E95B5A" w:rsidRPr="002E1E3A">
        <w:rPr>
          <w:color w:val="000000"/>
        </w:rPr>
        <w:t>should</w:t>
      </w:r>
      <w:r w:rsidRPr="002E1E3A">
        <w:rPr>
          <w:color w:val="000000"/>
        </w:rPr>
        <w:t xml:space="preserve"> file a Tier 2 advice letter detailing the revenue requirement, cost allocation and rates within 60 days after the </w:t>
      </w:r>
      <w:r w:rsidR="00C50B11">
        <w:rPr>
          <w:color w:val="000000"/>
        </w:rPr>
        <w:t>P</w:t>
      </w:r>
      <w:r w:rsidRPr="002E1E3A">
        <w:rPr>
          <w:color w:val="000000"/>
        </w:rPr>
        <w:t>roject is com</w:t>
      </w:r>
      <w:r w:rsidR="001D1835">
        <w:rPr>
          <w:color w:val="000000"/>
        </w:rPr>
        <w:t>pleted and placed in service.</w:t>
      </w:r>
    </w:p>
    <w:p w:rsidR="004068FD" w:rsidRPr="002E1E3A" w:rsidRDefault="004068FD" w:rsidP="00515CE4">
      <w:pPr>
        <w:numPr>
          <w:ilvl w:val="0"/>
          <w:numId w:val="44"/>
        </w:numPr>
        <w:spacing w:line="360" w:lineRule="auto"/>
        <w:ind w:left="0" w:firstLine="274"/>
        <w:rPr>
          <w:color w:val="000000"/>
        </w:rPr>
      </w:pPr>
      <w:r w:rsidRPr="002E1E3A">
        <w:rPr>
          <w:color w:val="000000"/>
        </w:rPr>
        <w:t>I</w:t>
      </w:r>
      <w:r w:rsidR="00555C05" w:rsidRPr="002E1E3A">
        <w:rPr>
          <w:color w:val="000000"/>
        </w:rPr>
        <w:t>n order to flow the</w:t>
      </w:r>
      <w:r w:rsidRPr="002E1E3A">
        <w:rPr>
          <w:color w:val="000000"/>
        </w:rPr>
        <w:t xml:space="preserve"> RTC benefits through to customers, SoCalGas should establish the </w:t>
      </w:r>
      <w:r w:rsidR="00B21E1C">
        <w:rPr>
          <w:color w:val="000000"/>
        </w:rPr>
        <w:t>ACTTA</w:t>
      </w:r>
      <w:r w:rsidRPr="002E1E3A">
        <w:rPr>
          <w:color w:val="000000"/>
        </w:rPr>
        <w:t>.</w:t>
      </w:r>
      <w:r w:rsidR="00B21E1C">
        <w:rPr>
          <w:color w:val="000000"/>
        </w:rPr>
        <w:t xml:space="preserve"> </w:t>
      </w:r>
      <w:r w:rsidRPr="002E1E3A">
        <w:rPr>
          <w:color w:val="000000"/>
        </w:rPr>
        <w:t xml:space="preserve"> The ACTTA should consist of two subaccounts: the RTC subaccount and the O&amp;M/Capital Benefits subaccount.</w:t>
      </w:r>
    </w:p>
    <w:p w:rsidR="00C77C07" w:rsidRPr="002E1E3A" w:rsidRDefault="00C77C07" w:rsidP="00515CE4">
      <w:pPr>
        <w:numPr>
          <w:ilvl w:val="0"/>
          <w:numId w:val="44"/>
        </w:numPr>
        <w:spacing w:line="360" w:lineRule="auto"/>
        <w:ind w:left="0" w:firstLine="274"/>
        <w:rPr>
          <w:color w:val="000000"/>
        </w:rPr>
      </w:pPr>
      <w:r w:rsidRPr="002E1E3A">
        <w:rPr>
          <w:color w:val="000000"/>
        </w:rPr>
        <w:t>SoCalGas’s proposed regulatory accounting treatment is reasonable and consistent with D.08-12-020.</w:t>
      </w:r>
    </w:p>
    <w:p w:rsidR="00C77C07" w:rsidRPr="002E1E3A" w:rsidRDefault="00C77C07" w:rsidP="00515CE4">
      <w:pPr>
        <w:numPr>
          <w:ilvl w:val="0"/>
          <w:numId w:val="44"/>
        </w:numPr>
        <w:spacing w:line="360" w:lineRule="auto"/>
        <w:ind w:left="0" w:firstLine="274"/>
        <w:rPr>
          <w:color w:val="000000"/>
        </w:rPr>
      </w:pPr>
      <w:r w:rsidRPr="002E1E3A">
        <w:rPr>
          <w:color w:val="000000"/>
        </w:rPr>
        <w:t xml:space="preserve">The RTC subaccount should record the benefits from the RTCs generated by the </w:t>
      </w:r>
      <w:r w:rsidR="00EF44B5" w:rsidRPr="002E1E3A">
        <w:rPr>
          <w:color w:val="000000"/>
        </w:rPr>
        <w:t>Project</w:t>
      </w:r>
      <w:r w:rsidRPr="002E1E3A">
        <w:rPr>
          <w:color w:val="000000"/>
        </w:rPr>
        <w:t xml:space="preserve">. </w:t>
      </w:r>
      <w:r w:rsidR="00B21E1C">
        <w:rPr>
          <w:color w:val="000000"/>
        </w:rPr>
        <w:t xml:space="preserve"> </w:t>
      </w:r>
      <w:r w:rsidRPr="002E1E3A">
        <w:rPr>
          <w:color w:val="000000"/>
        </w:rPr>
        <w:t xml:space="preserve">The benefits are the projected RTCs generated by the </w:t>
      </w:r>
      <w:r w:rsidR="00EF44B5" w:rsidRPr="002E1E3A">
        <w:rPr>
          <w:color w:val="000000"/>
        </w:rPr>
        <w:t>Project</w:t>
      </w:r>
      <w:r w:rsidR="00B21E1C">
        <w:rPr>
          <w:color w:val="000000"/>
        </w:rPr>
        <w:t xml:space="preserve"> (</w:t>
      </w:r>
      <w:r w:rsidR="00B21E1C" w:rsidRPr="00B21E1C">
        <w:t>200</w:t>
      </w:r>
      <w:r w:rsidR="00B21E1C">
        <w:t> </w:t>
      </w:r>
      <w:r w:rsidRPr="00B21E1C">
        <w:t>tons</w:t>
      </w:r>
      <w:r w:rsidRPr="002E1E3A">
        <w:rPr>
          <w:color w:val="000000"/>
        </w:rPr>
        <w:t>/year) times a market value of the RTCs.</w:t>
      </w:r>
      <w:r w:rsidR="00B21E1C">
        <w:rPr>
          <w:color w:val="000000"/>
        </w:rPr>
        <w:t xml:space="preserve"> </w:t>
      </w:r>
      <w:r w:rsidRPr="002E1E3A">
        <w:rPr>
          <w:color w:val="000000"/>
        </w:rPr>
        <w:t xml:space="preserve"> The market value of the RTCs should be determined based on the average price per ton of RTCs that SoCalGas has either bought or sold in the marketplace during the year. </w:t>
      </w:r>
      <w:r w:rsidR="00B21E1C">
        <w:rPr>
          <w:color w:val="000000"/>
        </w:rPr>
        <w:t xml:space="preserve"> </w:t>
      </w:r>
      <w:r w:rsidRPr="002E1E3A">
        <w:rPr>
          <w:color w:val="000000"/>
        </w:rPr>
        <w:t xml:space="preserve">The O&amp;M/Capital Benefits subaccount should record the difference between the estimated benefits included in the </w:t>
      </w:r>
      <w:r w:rsidR="00EF44B5" w:rsidRPr="002E1E3A">
        <w:rPr>
          <w:color w:val="000000"/>
        </w:rPr>
        <w:t>Project</w:t>
      </w:r>
      <w:r w:rsidRPr="002E1E3A">
        <w:rPr>
          <w:color w:val="000000"/>
        </w:rPr>
        <w:t xml:space="preserve"> revenue requirement and actual O&amp;M and capital benefits realized. </w:t>
      </w:r>
      <w:r w:rsidR="00B21E1C">
        <w:rPr>
          <w:color w:val="000000"/>
        </w:rPr>
        <w:t xml:space="preserve"> </w:t>
      </w:r>
      <w:r w:rsidRPr="002E1E3A">
        <w:rPr>
          <w:color w:val="000000"/>
        </w:rPr>
        <w:t>The combined balance in the ACTTA should be allocated to Core Storage, Load Balancing and Unbundled Storage, consistent with the “Post Replacement” injection capacity percentages shown in Table 3 of this decision</w:t>
      </w:r>
      <w:r w:rsidR="00B21E1C">
        <w:rPr>
          <w:color w:val="000000"/>
        </w:rPr>
        <w:t xml:space="preserve">.  </w:t>
      </w:r>
      <w:r w:rsidRPr="002E1E3A">
        <w:rPr>
          <w:color w:val="000000"/>
        </w:rPr>
        <w:t xml:space="preserve">The portion allocated to the Unbundled Storage Program should be transferred to the Noncore </w:t>
      </w:r>
      <w:r w:rsidR="00B21E1C">
        <w:rPr>
          <w:color w:val="000000"/>
        </w:rPr>
        <w:t xml:space="preserve">Storage Balancing Account </w:t>
      </w:r>
      <w:r w:rsidRPr="002E1E3A">
        <w:rPr>
          <w:color w:val="000000"/>
        </w:rPr>
        <w:t xml:space="preserve"> and used to determine the allocation of storage earnings between ratepayers and shareholders for the applicable year under the Commission-adopted revenue-sharing mechanism.</w:t>
      </w:r>
      <w:r w:rsidR="00B21E1C">
        <w:rPr>
          <w:color w:val="000000"/>
        </w:rPr>
        <w:t xml:space="preserve"> </w:t>
      </w:r>
      <w:r w:rsidRPr="002E1E3A">
        <w:rPr>
          <w:color w:val="000000"/>
        </w:rPr>
        <w:t xml:space="preserve"> The remaining balance in the ACTTA should be amortized in the following year’s transportation rates in connection with SoCalGas’</w:t>
      </w:r>
      <w:r w:rsidR="00AF0EA4" w:rsidRPr="002E1E3A">
        <w:rPr>
          <w:color w:val="000000"/>
        </w:rPr>
        <w:t>s</w:t>
      </w:r>
      <w:r w:rsidRPr="002E1E3A">
        <w:rPr>
          <w:color w:val="000000"/>
        </w:rPr>
        <w:t xml:space="preserve"> annual regulatory account balance update filing, similar to the disposition of other regulatory account balances.</w:t>
      </w:r>
      <w:r w:rsidR="00B21E1C">
        <w:rPr>
          <w:color w:val="000000"/>
        </w:rPr>
        <w:t xml:space="preserve"> </w:t>
      </w:r>
      <w:r w:rsidRPr="002E1E3A">
        <w:rPr>
          <w:color w:val="000000"/>
        </w:rPr>
        <w:t xml:space="preserve"> This ACTTA mechanism should continue until the RTC and O&amp;M/capital benefits are addressed in SoCalGas’</w:t>
      </w:r>
      <w:r w:rsidR="00AF0EA4" w:rsidRPr="002E1E3A">
        <w:rPr>
          <w:color w:val="000000"/>
        </w:rPr>
        <w:t>s</w:t>
      </w:r>
      <w:r w:rsidRPr="002E1E3A">
        <w:rPr>
          <w:color w:val="000000"/>
        </w:rPr>
        <w:t xml:space="preserve"> next GRC or other applicable proceeding.  SoCalGas should file a Tier 2 advice letter with the ACTTA tariffs within 30 days of the effective date of this decision.</w:t>
      </w:r>
    </w:p>
    <w:p w:rsidR="00C77C07" w:rsidRPr="002E1E3A" w:rsidRDefault="00C77C07" w:rsidP="00515CE4">
      <w:pPr>
        <w:numPr>
          <w:ilvl w:val="0"/>
          <w:numId w:val="44"/>
        </w:numPr>
        <w:spacing w:line="360" w:lineRule="auto"/>
        <w:ind w:left="0" w:firstLine="274"/>
        <w:rPr>
          <w:color w:val="000000"/>
        </w:rPr>
      </w:pPr>
      <w:r w:rsidRPr="002E1E3A">
        <w:rPr>
          <w:color w:val="000000"/>
        </w:rPr>
        <w:t>Pursuant to</w:t>
      </w:r>
      <w:r w:rsidR="00D30373">
        <w:rPr>
          <w:color w:val="000000"/>
        </w:rPr>
        <w:t xml:space="preserve"> D.09-11-006, both core and non</w:t>
      </w:r>
      <w:r w:rsidRPr="002E1E3A">
        <w:rPr>
          <w:color w:val="000000"/>
        </w:rPr>
        <w:t>core customers are subject to an in-kind fuel charge designed to recover storage compressor fuel costs.</w:t>
      </w:r>
    </w:p>
    <w:p w:rsidR="00C77C07" w:rsidRPr="002E1E3A" w:rsidRDefault="00C77C07" w:rsidP="00515CE4">
      <w:pPr>
        <w:numPr>
          <w:ilvl w:val="0"/>
          <w:numId w:val="44"/>
        </w:numPr>
        <w:spacing w:line="360" w:lineRule="auto"/>
        <w:ind w:left="0" w:firstLine="274"/>
        <w:rPr>
          <w:color w:val="000000"/>
        </w:rPr>
      </w:pPr>
      <w:r w:rsidRPr="002E1E3A">
        <w:rPr>
          <w:color w:val="000000"/>
        </w:rPr>
        <w:t xml:space="preserve">In its filings setting new in-kind fuel charges after the </w:t>
      </w:r>
      <w:r w:rsidR="00EF44B5" w:rsidRPr="002E1E3A">
        <w:rPr>
          <w:color w:val="000000"/>
        </w:rPr>
        <w:t>Project</w:t>
      </w:r>
      <w:r w:rsidRPr="002E1E3A">
        <w:rPr>
          <w:color w:val="000000"/>
        </w:rPr>
        <w:t xml:space="preserve"> is completed and in ser</w:t>
      </w:r>
      <w:r w:rsidR="00E95B5A" w:rsidRPr="002E1E3A">
        <w:rPr>
          <w:color w:val="000000"/>
        </w:rPr>
        <w:t xml:space="preserve">vice, SoCalGas should provide: </w:t>
      </w:r>
      <w:r w:rsidR="003E6049">
        <w:rPr>
          <w:color w:val="000000"/>
        </w:rPr>
        <w:t xml:space="preserve"> </w:t>
      </w:r>
      <w:r w:rsidR="00E95B5A" w:rsidRPr="002E1E3A">
        <w:rPr>
          <w:color w:val="000000"/>
        </w:rPr>
        <w:t>a</w:t>
      </w:r>
      <w:r w:rsidRPr="002E1E3A">
        <w:rPr>
          <w:color w:val="000000"/>
        </w:rPr>
        <w:t xml:space="preserve">) its calculations </w:t>
      </w:r>
      <w:r w:rsidR="00E95B5A" w:rsidRPr="002E1E3A">
        <w:rPr>
          <w:color w:val="000000"/>
        </w:rPr>
        <w:t>of the equivalent gas volumes, b</w:t>
      </w:r>
      <w:r w:rsidRPr="002E1E3A">
        <w:rPr>
          <w:color w:val="000000"/>
        </w:rPr>
        <w:t>) the amount of revenues it re</w:t>
      </w:r>
      <w:r w:rsidR="00E95B5A" w:rsidRPr="002E1E3A">
        <w:rPr>
          <w:color w:val="000000"/>
        </w:rPr>
        <w:t>ceived from the gas sales and, c</w:t>
      </w:r>
      <w:r w:rsidR="00D30373">
        <w:rPr>
          <w:color w:val="000000"/>
        </w:rPr>
        <w:t>) </w:t>
      </w:r>
      <w:r w:rsidRPr="002E1E3A">
        <w:rPr>
          <w:color w:val="000000"/>
        </w:rPr>
        <w:t xml:space="preserve">electricity costs incurred operating the new compressors. </w:t>
      </w:r>
    </w:p>
    <w:p w:rsidR="00757946" w:rsidRPr="002E1E3A" w:rsidRDefault="00C77C07" w:rsidP="00515CE4">
      <w:pPr>
        <w:numPr>
          <w:ilvl w:val="0"/>
          <w:numId w:val="44"/>
        </w:numPr>
        <w:spacing w:line="360" w:lineRule="auto"/>
        <w:ind w:left="0" w:firstLine="274"/>
        <w:rPr>
          <w:color w:val="000000"/>
        </w:rPr>
      </w:pPr>
      <w:r w:rsidRPr="002E1E3A">
        <w:rPr>
          <w:color w:val="000000"/>
        </w:rPr>
        <w:t>The expansion of an existing easement to allow SCE to build and operate the proposed SCE Natural Substation equipment requires Commission approval, pursuant to § 851.  Approval of expansion of the easement is in the public interest as a means to facilitating the construction of a substation necessary to complete the replacement of the old gas compressors with new, more efficient electrical compressors.</w:t>
      </w:r>
      <w:r w:rsidR="00757946" w:rsidRPr="002E1E3A">
        <w:rPr>
          <w:color w:val="000000"/>
        </w:rPr>
        <w:t xml:space="preserve">  SoCalGas should be authorized to expand the easement between SoCalGas and SCE necessary for completion of the </w:t>
      </w:r>
      <w:r w:rsidR="00EF44B5" w:rsidRPr="002E1E3A">
        <w:rPr>
          <w:color w:val="000000"/>
        </w:rPr>
        <w:t>Project</w:t>
      </w:r>
      <w:r w:rsidR="003E6049">
        <w:rPr>
          <w:color w:val="000000"/>
        </w:rPr>
        <w:t>.</w:t>
      </w:r>
    </w:p>
    <w:p w:rsidR="001061C6" w:rsidRPr="001061C6" w:rsidRDefault="001061C6" w:rsidP="00515CE4">
      <w:pPr>
        <w:numPr>
          <w:ilvl w:val="0"/>
          <w:numId w:val="44"/>
        </w:numPr>
        <w:spacing w:line="360" w:lineRule="auto"/>
        <w:ind w:left="0" w:firstLine="274"/>
      </w:pPr>
      <w:r>
        <w:rPr>
          <w:color w:val="000000"/>
        </w:rPr>
        <w:t>SoCalGas is a public utility subject to the Commission’s jurisdiction, pursuant to § 216 and § 222, and the Aliso Canyon Facility is a gas plant facility regulated by the Commission, pursuant to § 221.  We have previously determined, and the California Supreme Court has confirmed, that the Commission has authority over construction for utility purposes carried out by public utilities subject to its jurisdiction.</w:t>
      </w:r>
    </w:p>
    <w:p w:rsidR="00C77C07" w:rsidRPr="00C77C07" w:rsidRDefault="00C77C07" w:rsidP="00515CE4">
      <w:pPr>
        <w:numPr>
          <w:ilvl w:val="0"/>
          <w:numId w:val="44"/>
        </w:numPr>
        <w:spacing w:line="360" w:lineRule="auto"/>
        <w:ind w:left="0" w:firstLine="274"/>
      </w:pPr>
      <w:r w:rsidRPr="00C77C07">
        <w:t>Title XII, § 8 of the California Constitution, and §§ 701, 761, 762, and 768, establish the Commission’s preemptory authority over city, county, or other public bodies over matters which the Legislature has granted regulatory power to the Commission, including the construction, maintenance, and operation of utility property.</w:t>
      </w:r>
    </w:p>
    <w:p w:rsidR="00C77C07" w:rsidRPr="00C77C07" w:rsidRDefault="00C77C07" w:rsidP="00515CE4">
      <w:pPr>
        <w:numPr>
          <w:ilvl w:val="0"/>
          <w:numId w:val="44"/>
        </w:numPr>
        <w:spacing w:line="360" w:lineRule="auto"/>
        <w:ind w:left="0" w:firstLine="274"/>
      </w:pPr>
      <w:r w:rsidRPr="00C77C07">
        <w:t xml:space="preserve">Because D.08-12-020 found that the </w:t>
      </w:r>
      <w:r w:rsidR="00EF44B5">
        <w:t>Project</w:t>
      </w:r>
      <w:r w:rsidRPr="00C77C07">
        <w:t xml:space="preserve"> will ensure that core and noncore customers in southern California will have sufficient storage services, the Aliso Canyon Facility and the Aliso Canyon Turbine Replacement Project are matters of statewide concern, and the action requested in this Application is a matter of statewide concern for the same reasons.</w:t>
      </w:r>
    </w:p>
    <w:p w:rsidR="00C77C07" w:rsidRPr="00C77C07" w:rsidRDefault="00C77C07" w:rsidP="00515CE4">
      <w:pPr>
        <w:numPr>
          <w:ilvl w:val="0"/>
          <w:numId w:val="44"/>
        </w:numPr>
        <w:spacing w:line="360" w:lineRule="auto"/>
        <w:ind w:left="0" w:firstLine="274"/>
      </w:pPr>
      <w:r w:rsidRPr="00C77C07">
        <w:t>Because the Aliso Canyon Turbine Replacement Project serves a statewide public interest, and the Commission has preemptory authority over conflicting local zoning regulations, ordinances, codes, or requirements.</w:t>
      </w:r>
    </w:p>
    <w:p w:rsidR="00C77C07" w:rsidRDefault="00C77C07" w:rsidP="00515CE4">
      <w:pPr>
        <w:numPr>
          <w:ilvl w:val="0"/>
          <w:numId w:val="44"/>
        </w:numPr>
        <w:spacing w:line="360" w:lineRule="auto"/>
        <w:ind w:left="0" w:firstLine="274"/>
      </w:pPr>
      <w:r>
        <w:t>SoCalGas should comply with GO 112-E.</w:t>
      </w:r>
    </w:p>
    <w:p w:rsidR="00123D7F" w:rsidRPr="00D30373" w:rsidRDefault="00C77C07" w:rsidP="000F4701">
      <w:pPr>
        <w:numPr>
          <w:ilvl w:val="0"/>
          <w:numId w:val="44"/>
        </w:numPr>
        <w:spacing w:line="360" w:lineRule="auto"/>
        <w:ind w:left="0" w:firstLine="274"/>
      </w:pPr>
      <w:r>
        <w:t>SoCalGas should be subject to any applicabl</w:t>
      </w:r>
      <w:r w:rsidR="00D30373">
        <w:t>e rules that issue from R.11</w:t>
      </w:r>
      <w:r w:rsidR="00D30373">
        <w:noBreakHyphen/>
        <w:t>02</w:t>
      </w:r>
      <w:r w:rsidR="00D30373">
        <w:noBreakHyphen/>
      </w:r>
      <w:r>
        <w:t>019 addressing safety regulations for gas transmission and distribution.</w:t>
      </w:r>
    </w:p>
    <w:p w:rsidR="00EB4BE4" w:rsidRDefault="00EB4BE4" w:rsidP="00AD686C">
      <w:pPr>
        <w:pStyle w:val="mainex"/>
        <w:keepNext/>
        <w:keepLines/>
        <w:spacing w:before="240"/>
      </w:pPr>
      <w:bookmarkStart w:id="82" w:name="_Toc370798915"/>
      <w:bookmarkStart w:id="83" w:name="_Toc450990221"/>
      <w:bookmarkStart w:id="84" w:name="_Toc451151268"/>
      <w:bookmarkStart w:id="85" w:name="_Toc319053392"/>
      <w:bookmarkStart w:id="86" w:name="_Toc369507349"/>
      <w:bookmarkStart w:id="87" w:name="OLE_LINK1"/>
      <w:bookmarkStart w:id="88" w:name="OLE_LINK2"/>
      <w:r>
        <w:t>ORDER</w:t>
      </w:r>
      <w:bookmarkEnd w:id="82"/>
      <w:bookmarkEnd w:id="83"/>
      <w:bookmarkEnd w:id="84"/>
      <w:bookmarkEnd w:id="85"/>
      <w:bookmarkEnd w:id="86"/>
    </w:p>
    <w:bookmarkEnd w:id="87"/>
    <w:bookmarkEnd w:id="88"/>
    <w:p w:rsidR="00EB4BE4" w:rsidRDefault="00EB4BE4" w:rsidP="00AD686C">
      <w:pPr>
        <w:pStyle w:val="Quote1"/>
        <w:keepNext/>
        <w:keepLines/>
      </w:pPr>
    </w:p>
    <w:p w:rsidR="00EB4BE4" w:rsidRDefault="00EB4BE4" w:rsidP="00EB4BE4">
      <w:pPr>
        <w:pStyle w:val="standard"/>
        <w:keepNext/>
      </w:pPr>
      <w:r>
        <w:rPr>
          <w:b/>
        </w:rPr>
        <w:t>IT IS ORDERED</w:t>
      </w:r>
      <w:r>
        <w:t xml:space="preserve"> that:</w:t>
      </w:r>
    </w:p>
    <w:p w:rsidR="00EB4BE4" w:rsidRDefault="00EB4BE4" w:rsidP="00EB4BE4">
      <w:pPr>
        <w:pStyle w:val="standard"/>
        <w:numPr>
          <w:ilvl w:val="0"/>
          <w:numId w:val="26"/>
        </w:numPr>
        <w:ind w:firstLine="360"/>
      </w:pPr>
      <w:r w:rsidRPr="004519E6">
        <w:t>Southern California Gas Company</w:t>
      </w:r>
      <w:r w:rsidRPr="00B46E11">
        <w:t xml:space="preserve"> is granted a Certificate of Public </w:t>
      </w:r>
      <w:r w:rsidR="00D30373">
        <w:t>Convenience and Necessity</w:t>
      </w:r>
      <w:r w:rsidRPr="00B46E11">
        <w:t xml:space="preserve"> to</w:t>
      </w:r>
      <w:r w:rsidR="004519E6" w:rsidRPr="004519E6">
        <w:t xml:space="preserve"> </w:t>
      </w:r>
      <w:r w:rsidR="004519E6" w:rsidRPr="00C86B3C">
        <w:t xml:space="preserve">construct and operate </w:t>
      </w:r>
      <w:r w:rsidR="004519E6">
        <w:t xml:space="preserve">the </w:t>
      </w:r>
      <w:r w:rsidR="00D30373">
        <w:t>Aliso </w:t>
      </w:r>
      <w:r w:rsidR="004519E6" w:rsidRPr="004519E6">
        <w:t xml:space="preserve">Canyon Turbine Replacement Project to </w:t>
      </w:r>
      <w:r w:rsidR="0009253F" w:rsidRPr="008802F8">
        <w:t xml:space="preserve">replace three obsolete gas turbine </w:t>
      </w:r>
      <w:r w:rsidR="0009253F">
        <w:t>driven centrifugal compressors</w:t>
      </w:r>
      <w:r w:rsidR="0009253F" w:rsidRPr="008802F8">
        <w:t xml:space="preserve"> and associated equipment with a new electric compressor station and construction of other improvements at the Aliso Canyon Storage Field</w:t>
      </w:r>
      <w:r w:rsidR="0009253F">
        <w:t>.</w:t>
      </w:r>
    </w:p>
    <w:p w:rsidR="004519E6" w:rsidRDefault="004519E6" w:rsidP="004519E6">
      <w:pPr>
        <w:pStyle w:val="standard"/>
        <w:numPr>
          <w:ilvl w:val="0"/>
          <w:numId w:val="26"/>
        </w:numPr>
        <w:ind w:firstLine="360"/>
      </w:pPr>
      <w:r>
        <w:t xml:space="preserve">The Commission hereby certifies and adopts </w:t>
      </w:r>
      <w:r w:rsidR="007B0EA8" w:rsidRPr="0092371D">
        <w:t>in its entirety</w:t>
      </w:r>
      <w:r w:rsidR="007B0EA8">
        <w:t xml:space="preserve"> </w:t>
      </w:r>
      <w:r>
        <w:t xml:space="preserve">the </w:t>
      </w:r>
      <w:r w:rsidR="00094EAD" w:rsidRPr="004519E6">
        <w:t>Southern California Gas Company</w:t>
      </w:r>
      <w:r w:rsidR="00094EAD">
        <w:t xml:space="preserve"> </w:t>
      </w:r>
      <w:r w:rsidR="00094EAD" w:rsidRPr="004519E6">
        <w:t xml:space="preserve">Aliso Canyon Turbine Replacement Project </w:t>
      </w:r>
      <w:r>
        <w:t>Final Environmental Impact Report</w:t>
      </w:r>
      <w:r w:rsidR="00094EAD">
        <w:t xml:space="preserve"> (EIR)</w:t>
      </w:r>
      <w:r>
        <w:t>, State Clearinghouse No. </w:t>
      </w:r>
      <w:r w:rsidR="00094EAD" w:rsidRPr="0092371D">
        <w:t>20</w:t>
      </w:r>
      <w:r w:rsidR="00094EAD">
        <w:t>10101075</w:t>
      </w:r>
      <w:r>
        <w:t xml:space="preserve">, and incorporates it by reference in this decision.  In accordance with California Environmental Quality Act (CEQA) Guidelines § 15090, the Commission, as lead agency for the </w:t>
      </w:r>
      <w:r w:rsidR="00EF44B5">
        <w:t>Project</w:t>
      </w:r>
      <w:r>
        <w:t>, certifies that:</w:t>
      </w:r>
    </w:p>
    <w:p w:rsidR="004519E6" w:rsidRDefault="004519E6" w:rsidP="004519E6">
      <w:pPr>
        <w:pStyle w:val="standard"/>
        <w:numPr>
          <w:ilvl w:val="0"/>
          <w:numId w:val="27"/>
        </w:numPr>
        <w:tabs>
          <w:tab w:val="clear" w:pos="1800"/>
          <w:tab w:val="left" w:pos="1260"/>
        </w:tabs>
        <w:spacing w:after="160" w:line="240" w:lineRule="auto"/>
        <w:ind w:left="1260" w:right="720" w:hanging="540"/>
      </w:pPr>
      <w:r>
        <w:t>The EIR has been completed in compliance with CEQA;</w:t>
      </w:r>
    </w:p>
    <w:p w:rsidR="004519E6" w:rsidRDefault="004519E6" w:rsidP="004519E6">
      <w:pPr>
        <w:pStyle w:val="standard"/>
        <w:numPr>
          <w:ilvl w:val="0"/>
          <w:numId w:val="27"/>
        </w:numPr>
        <w:tabs>
          <w:tab w:val="clear" w:pos="1800"/>
          <w:tab w:val="left" w:pos="1260"/>
        </w:tabs>
        <w:spacing w:after="160" w:line="240" w:lineRule="auto"/>
        <w:ind w:left="1260" w:right="720" w:hanging="540"/>
      </w:pPr>
      <w:r>
        <w:t xml:space="preserve">The EIR was presented to the Commission, and the Commission has received, reviewed, and considered the information contained in the EIR and hearing documents prior to approving the </w:t>
      </w:r>
      <w:r w:rsidR="00EF44B5">
        <w:t>Project</w:t>
      </w:r>
      <w:r>
        <w:t>; and</w:t>
      </w:r>
    </w:p>
    <w:p w:rsidR="004519E6" w:rsidRDefault="004519E6" w:rsidP="004519E6">
      <w:pPr>
        <w:pStyle w:val="standard"/>
        <w:numPr>
          <w:ilvl w:val="0"/>
          <w:numId w:val="27"/>
        </w:numPr>
        <w:tabs>
          <w:tab w:val="clear" w:pos="1800"/>
          <w:tab w:val="left" w:pos="1260"/>
        </w:tabs>
        <w:spacing w:after="160" w:line="240" w:lineRule="auto"/>
        <w:ind w:left="1260" w:right="720" w:hanging="540"/>
      </w:pPr>
      <w:r>
        <w:t>The EIR reflects the Commission’s independent judgment and analysis.</w:t>
      </w:r>
    </w:p>
    <w:p w:rsidR="0048304D" w:rsidRDefault="0048304D" w:rsidP="0048304D">
      <w:pPr>
        <w:pStyle w:val="standard"/>
        <w:numPr>
          <w:ilvl w:val="0"/>
          <w:numId w:val="26"/>
        </w:numPr>
        <w:ind w:firstLine="360"/>
      </w:pPr>
      <w:r w:rsidRPr="00FF59AC">
        <w:t xml:space="preserve">The Commission adopts the Mitigation Monitoring, </w:t>
      </w:r>
      <w:r>
        <w:t>Compliance, and Reporting Plan</w:t>
      </w:r>
      <w:r w:rsidRPr="00FF59AC">
        <w:t xml:space="preserve">, included as </w:t>
      </w:r>
      <w:r w:rsidRPr="00BD2609">
        <w:t>Section 5.0 of the Final Environmental Impact Report</w:t>
      </w:r>
      <w:r w:rsidRPr="00FF59AC">
        <w:t xml:space="preserve">, as part of </w:t>
      </w:r>
      <w:r>
        <w:t>the</w:t>
      </w:r>
      <w:r w:rsidRPr="00FF59AC">
        <w:t xml:space="preserve"> approval of the </w:t>
      </w:r>
      <w:r w:rsidRPr="004519E6">
        <w:t>Aliso Canyon Turbine Replacement Project</w:t>
      </w:r>
      <w:r>
        <w:t>.</w:t>
      </w:r>
    </w:p>
    <w:p w:rsidR="004519E6" w:rsidRDefault="004519E6" w:rsidP="004519E6">
      <w:pPr>
        <w:pStyle w:val="standard"/>
        <w:numPr>
          <w:ilvl w:val="0"/>
          <w:numId w:val="26"/>
        </w:numPr>
        <w:ind w:firstLine="360"/>
      </w:pPr>
      <w:r w:rsidRPr="00FF59AC">
        <w:t xml:space="preserve">The Certificate of Public Convenience and Necessity to construct and operate the </w:t>
      </w:r>
      <w:r w:rsidR="00094EAD" w:rsidRPr="004519E6">
        <w:t xml:space="preserve">Aliso Canyon Turbine Replacement Project </w:t>
      </w:r>
      <w:r w:rsidRPr="00FF59AC">
        <w:t xml:space="preserve">is subject to the mitigation measures set forth in the Final Environmental Impact Report, including the Mitigation Monitoring, Compliance, and Reporting Plan (MMCRP).  </w:t>
      </w:r>
      <w:r w:rsidR="00094EAD" w:rsidRPr="004519E6">
        <w:t>Southern California Gas Company</w:t>
      </w:r>
      <w:r w:rsidR="00094EAD" w:rsidRPr="00FF59AC">
        <w:t xml:space="preserve"> </w:t>
      </w:r>
      <w:r w:rsidR="00FA5DE7">
        <w:t>and Southern California Edison Company have</w:t>
      </w:r>
      <w:r w:rsidRPr="00FF59AC">
        <w:t xml:space="preserve"> agreed to and must comply with each measure and provision of the MMCRP.</w:t>
      </w:r>
    </w:p>
    <w:p w:rsidR="004F46E9" w:rsidRPr="00FF59AC" w:rsidRDefault="004F46E9" w:rsidP="004F46E9">
      <w:pPr>
        <w:pStyle w:val="standard"/>
        <w:numPr>
          <w:ilvl w:val="0"/>
          <w:numId w:val="26"/>
        </w:numPr>
        <w:ind w:firstLine="360"/>
      </w:pPr>
      <w:r w:rsidRPr="004519E6">
        <w:t>Southern California Gas Company</w:t>
      </w:r>
      <w:r w:rsidR="00D30373">
        <w:t xml:space="preserve"> (SoCalGas)</w:t>
      </w:r>
      <w:r>
        <w:t xml:space="preserve">, </w:t>
      </w:r>
      <w:r w:rsidRPr="004519E6">
        <w:t xml:space="preserve">Southern California </w:t>
      </w:r>
      <w:r>
        <w:t>Edison</w:t>
      </w:r>
      <w:r w:rsidR="00D30373">
        <w:t xml:space="preserve"> </w:t>
      </w:r>
      <w:r w:rsidR="00C64351">
        <w:t xml:space="preserve">Company </w:t>
      </w:r>
      <w:r w:rsidR="00D30373">
        <w:t>(SCE)</w:t>
      </w:r>
      <w:r>
        <w:t xml:space="preserve">, and their agents must comply with </w:t>
      </w:r>
      <w:r w:rsidRPr="00764409">
        <w:rPr>
          <w:rFonts w:ascii="Book Antiqua" w:hAnsi="Book Antiqua"/>
        </w:rPr>
        <w:t xml:space="preserve">all avoidance and mitigation measures identified in the </w:t>
      </w:r>
      <w:r w:rsidRPr="00BD2609">
        <w:t>Final Environmental Impact Report</w:t>
      </w:r>
      <w:r>
        <w:t xml:space="preserve"> for</w:t>
      </w:r>
      <w:r w:rsidRPr="00FF59AC">
        <w:t xml:space="preserve"> the </w:t>
      </w:r>
      <w:r w:rsidRPr="004519E6">
        <w:t>Aliso Canyon Turbine Replacement Project</w:t>
      </w:r>
      <w:r w:rsidR="00F674D4">
        <w:t xml:space="preserve"> (</w:t>
      </w:r>
      <w:r w:rsidR="00F674D4" w:rsidRPr="00C77C07">
        <w:t>Project</w:t>
      </w:r>
      <w:r w:rsidR="00F674D4">
        <w:t>)</w:t>
      </w:r>
      <w:r w:rsidRPr="00764409">
        <w:rPr>
          <w:rFonts w:ascii="Book Antiqua" w:hAnsi="Book Antiqua"/>
        </w:rPr>
        <w:t xml:space="preserve">.  </w:t>
      </w:r>
      <w:r>
        <w:rPr>
          <w:rFonts w:ascii="Book Antiqua" w:hAnsi="Book Antiqua"/>
        </w:rPr>
        <w:t>I</w:t>
      </w:r>
      <w:r w:rsidRPr="00764409">
        <w:rPr>
          <w:rFonts w:ascii="Book Antiqua" w:hAnsi="Book Antiqua"/>
        </w:rPr>
        <w:t xml:space="preserve">f </w:t>
      </w:r>
      <w:r w:rsidR="00D30373">
        <w:t>SCE</w:t>
      </w:r>
      <w:r w:rsidRPr="00764409">
        <w:rPr>
          <w:rFonts w:ascii="Book Antiqua" w:hAnsi="Book Antiqua"/>
        </w:rPr>
        <w:t xml:space="preserve"> or its agents do not undertake the required mitigation, </w:t>
      </w:r>
      <w:r w:rsidR="00D30373">
        <w:t>SoCalGas</w:t>
      </w:r>
      <w:r w:rsidRPr="00764409">
        <w:rPr>
          <w:rFonts w:ascii="Book Antiqua" w:hAnsi="Book Antiqua"/>
        </w:rPr>
        <w:t xml:space="preserve"> is responsible for mitigating the impacts caused by the Project.</w:t>
      </w:r>
    </w:p>
    <w:p w:rsidR="0048304D" w:rsidRPr="00C61FED" w:rsidRDefault="0048304D" w:rsidP="0048304D">
      <w:pPr>
        <w:pStyle w:val="standard"/>
        <w:numPr>
          <w:ilvl w:val="0"/>
          <w:numId w:val="26"/>
        </w:numPr>
        <w:ind w:firstLine="360"/>
      </w:pPr>
      <w:r w:rsidRPr="00C61FED">
        <w:t xml:space="preserve">The </w:t>
      </w:r>
      <w:r>
        <w:t>Commission’s</w:t>
      </w:r>
      <w:r w:rsidRPr="00A46983">
        <w:t xml:space="preserve"> </w:t>
      </w:r>
      <w:r w:rsidRPr="00C61FED">
        <w:t xml:space="preserve">Energy Division </w:t>
      </w:r>
      <w:r>
        <w:t>must</w:t>
      </w:r>
      <w:r w:rsidRPr="00C61FED">
        <w:t xml:space="preserve"> supervise and oversee </w:t>
      </w:r>
      <w:r w:rsidRPr="00FF59AC">
        <w:t xml:space="preserve">the </w:t>
      </w:r>
      <w:r w:rsidRPr="004519E6">
        <w:t>Aliso Canyon Turbine Replacement Project</w:t>
      </w:r>
      <w:r w:rsidRPr="00C61FED">
        <w:t xml:space="preserve"> </w:t>
      </w:r>
      <w:r w:rsidR="00F674D4">
        <w:t>(</w:t>
      </w:r>
      <w:r w:rsidR="00F674D4" w:rsidRPr="00C77C07">
        <w:t>Project</w:t>
      </w:r>
      <w:r w:rsidR="00F674D4">
        <w:t>)</w:t>
      </w:r>
      <w:r w:rsidR="00F674D4" w:rsidRPr="00C77C07">
        <w:t xml:space="preserve"> </w:t>
      </w:r>
      <w:r w:rsidRPr="00C61FED">
        <w:t xml:space="preserve">insofar as it relates to monitoring and enforcement of the mitigation measures described in the </w:t>
      </w:r>
      <w:r>
        <w:t>Environmental Impact Report (EIR)</w:t>
      </w:r>
      <w:r w:rsidRPr="00C61FED">
        <w:t xml:space="preserve">. </w:t>
      </w:r>
      <w:r>
        <w:t xml:space="preserve"> </w:t>
      </w:r>
      <w:r w:rsidRPr="00C61FED">
        <w:t>The Energy Division may designate outside staff to perform on-site monitoring tasks</w:t>
      </w:r>
      <w:r>
        <w:t xml:space="preserve">, with all associated costs to be paid by </w:t>
      </w:r>
      <w:r>
        <w:rPr>
          <w:shd w:val="clear" w:color="auto" w:fill="FFFFFF"/>
        </w:rPr>
        <w:t>Southern California Gas Company</w:t>
      </w:r>
      <w:r>
        <w:t xml:space="preserve"> (SoCalGas)</w:t>
      </w:r>
      <w:r w:rsidRPr="00C61FED">
        <w:t xml:space="preserve">. </w:t>
      </w:r>
      <w:r>
        <w:t xml:space="preserve"> Upon review of SoCalGas’s and Southern California Edison Company’s (SCE’s) compliance with the </w:t>
      </w:r>
      <w:r w:rsidRPr="00FF59AC">
        <w:t xml:space="preserve">Mitigation Monitoring, </w:t>
      </w:r>
      <w:r>
        <w:t xml:space="preserve">Compliance, and Reporting Plan (MMRCP), the Energy Division will provide SoCalGas and SCE with Notices to Proceed with Construction during various phases of the </w:t>
      </w:r>
      <w:r w:rsidRPr="00C61FED">
        <w:t xml:space="preserve">Project </w:t>
      </w:r>
      <w:r>
        <w:t xml:space="preserve">as applicable under the MMRCP.  </w:t>
      </w:r>
      <w:r w:rsidRPr="00C61FED">
        <w:t xml:space="preserve">The Commission project manager (Energy Division, Environmental Projects Unit) </w:t>
      </w:r>
      <w:r>
        <w:t>may</w:t>
      </w:r>
      <w:r w:rsidRPr="00C61FED">
        <w:t xml:space="preserve"> issue a Stop Work Order on the entire Project, or portions thereof, for the purpose of ensuring compliance with the mitigation measures described in the</w:t>
      </w:r>
      <w:r>
        <w:t xml:space="preserve"> EIR</w:t>
      </w:r>
      <w:r w:rsidRPr="00C61FED">
        <w:t xml:space="preserve">. </w:t>
      </w:r>
      <w:r>
        <w:t xml:space="preserve"> </w:t>
      </w:r>
      <w:r w:rsidRPr="00C61FED">
        <w:t xml:space="preserve">Construction </w:t>
      </w:r>
      <w:r>
        <w:t>must</w:t>
      </w:r>
      <w:r w:rsidRPr="00C61FED">
        <w:t xml:space="preserve"> not resume without a </w:t>
      </w:r>
      <w:r w:rsidRPr="00C61FED">
        <w:rPr>
          <w:rStyle w:val="term1"/>
          <w:b w:val="0"/>
          <w:bCs w:val="0"/>
        </w:rPr>
        <w:t>Notice to Proceed</w:t>
      </w:r>
      <w:r w:rsidRPr="00C61FED">
        <w:t xml:space="preserve"> issued by the Energy Division.</w:t>
      </w:r>
    </w:p>
    <w:p w:rsidR="00F674D4" w:rsidRPr="00D30373" w:rsidRDefault="00F674D4" w:rsidP="00D30373">
      <w:pPr>
        <w:numPr>
          <w:ilvl w:val="0"/>
          <w:numId w:val="26"/>
        </w:numPr>
        <w:spacing w:after="120" w:line="360" w:lineRule="auto"/>
        <w:ind w:firstLine="360"/>
      </w:pPr>
      <w:r w:rsidRPr="00D30373">
        <w:t xml:space="preserve">The </w:t>
      </w:r>
      <w:r w:rsidR="007C1100">
        <w:t>Porter Ranch Settlement Agreement</w:t>
      </w:r>
      <w:r w:rsidRPr="00D30373">
        <w:t xml:space="preserve"> between Southern California Gas Company</w:t>
      </w:r>
      <w:r>
        <w:t xml:space="preserve"> (SoCalGas)</w:t>
      </w:r>
      <w:r w:rsidRPr="00D30373">
        <w:t>,</w:t>
      </w:r>
      <w:r w:rsidRPr="00F674D4">
        <w:t xml:space="preserve"> </w:t>
      </w:r>
      <w:r w:rsidRPr="00950FF7">
        <w:t>Wesley G. Rogers</w:t>
      </w:r>
      <w:r>
        <w:t xml:space="preserve"> </w:t>
      </w:r>
      <w:r w:rsidR="003A2AB0">
        <w:t>(</w:t>
      </w:r>
      <w:r w:rsidR="003A2AB0" w:rsidRPr="00950FF7">
        <w:t>Rogers</w:t>
      </w:r>
      <w:r w:rsidR="003A2AB0">
        <w:t xml:space="preserve">) </w:t>
      </w:r>
      <w:r>
        <w:t>and Marc Herman</w:t>
      </w:r>
      <w:r w:rsidR="003A2AB0">
        <w:t xml:space="preserve"> (Herman)</w:t>
      </w:r>
      <w:r>
        <w:t xml:space="preserve">, attached to this decision as </w:t>
      </w:r>
      <w:r w:rsidRPr="00D30373">
        <w:t>Attachment A</w:t>
      </w:r>
      <w:r>
        <w:t xml:space="preserve">, is adopted.  Pursuant to the </w:t>
      </w:r>
      <w:r w:rsidR="007C1100">
        <w:t>Porter Ranch Settlement Agreement</w:t>
      </w:r>
      <w:r w:rsidRPr="00D30373">
        <w:t>:</w:t>
      </w:r>
    </w:p>
    <w:p w:rsidR="00B62AE9" w:rsidRPr="00D30373" w:rsidRDefault="00B62AE9" w:rsidP="00D30373">
      <w:pPr>
        <w:numPr>
          <w:ilvl w:val="1"/>
          <w:numId w:val="26"/>
        </w:numPr>
        <w:tabs>
          <w:tab w:val="clear" w:pos="2160"/>
          <w:tab w:val="left" w:pos="1260"/>
        </w:tabs>
        <w:spacing w:after="160"/>
        <w:ind w:left="1260" w:right="720" w:hanging="540"/>
      </w:pPr>
      <w:r w:rsidRPr="00D30373">
        <w:t xml:space="preserve">Beginning six months after a final decision in this proceeding, SoCalGas </w:t>
      </w:r>
      <w:r w:rsidR="00F674D4" w:rsidRPr="00D30373">
        <w:t>must</w:t>
      </w:r>
      <w:r w:rsidRPr="00D30373">
        <w:t xml:space="preserve"> host quarterly community meetings to brief local residents on the Al</w:t>
      </w:r>
      <w:r w:rsidR="00F674D4" w:rsidRPr="00D30373">
        <w:t>iso Canyon Turbine Replacement P</w:t>
      </w:r>
      <w:r w:rsidRPr="00D30373">
        <w:t>roject’s de</w:t>
      </w:r>
      <w:r w:rsidR="003E6049">
        <w:t>velopments and key milestones.</w:t>
      </w:r>
    </w:p>
    <w:p w:rsidR="00B62AE9" w:rsidRPr="00D30373" w:rsidRDefault="00B62AE9" w:rsidP="00D30373">
      <w:pPr>
        <w:numPr>
          <w:ilvl w:val="1"/>
          <w:numId w:val="26"/>
        </w:numPr>
        <w:tabs>
          <w:tab w:val="clear" w:pos="2160"/>
          <w:tab w:val="left" w:pos="1260"/>
        </w:tabs>
        <w:spacing w:after="160"/>
        <w:ind w:left="1260" w:right="720" w:hanging="540"/>
      </w:pPr>
      <w:r w:rsidRPr="00D30373">
        <w:t xml:space="preserve">Beginning in 2013, SoCalGas </w:t>
      </w:r>
      <w:r w:rsidR="003A2AB0" w:rsidRPr="00D30373">
        <w:t>must</w:t>
      </w:r>
      <w:r w:rsidRPr="00D30373">
        <w:t xml:space="preserve"> host an annual community informational event to discuss activities at the field and answer questions from the co</w:t>
      </w:r>
      <w:r w:rsidR="003E6049">
        <w:t>mmunity.</w:t>
      </w:r>
    </w:p>
    <w:p w:rsidR="00B62AE9" w:rsidRPr="00D30373" w:rsidRDefault="00B62AE9" w:rsidP="00D30373">
      <w:pPr>
        <w:numPr>
          <w:ilvl w:val="1"/>
          <w:numId w:val="26"/>
        </w:numPr>
        <w:tabs>
          <w:tab w:val="clear" w:pos="2160"/>
          <w:tab w:val="left" w:pos="1260"/>
        </w:tabs>
        <w:spacing w:after="160"/>
        <w:ind w:left="1260" w:right="720" w:hanging="540"/>
      </w:pPr>
      <w:r w:rsidRPr="00D30373">
        <w:t xml:space="preserve">Three months after a final decision in this proceeding, SoCalGas </w:t>
      </w:r>
      <w:r w:rsidR="003A2AB0" w:rsidRPr="00D30373">
        <w:t>must</w:t>
      </w:r>
      <w:r w:rsidRPr="00D30373">
        <w:t xml:space="preserve"> establish a site-specific safety plan that </w:t>
      </w:r>
      <w:r w:rsidR="003A2AB0" w:rsidRPr="00D30373">
        <w:t>must</w:t>
      </w:r>
      <w:r w:rsidRPr="00D30373">
        <w:t xml:space="preserve"> detail each of the safety-related regulatory requirements and the general actions and activities that SoCalGas undertakes to meet the requirements consistent with SoCalGas’</w:t>
      </w:r>
      <w:r w:rsidR="00AF0EA4" w:rsidRPr="00D30373">
        <w:t>s</w:t>
      </w:r>
      <w:r w:rsidRPr="00D30373">
        <w:t xml:space="preserve"> overall Safety Plan.  The safety plan </w:t>
      </w:r>
      <w:r w:rsidR="003A2AB0" w:rsidRPr="00D30373">
        <w:t>must</w:t>
      </w:r>
      <w:r w:rsidRPr="00D30373">
        <w:t xml:space="preserve"> also specify Facility safety, management commitment and responsibilities, regulatory requirements, compliance and recordkeeping requirements, employee education and training overviews, inspections/audits/corrective actions procedures, and management as they pertain to safety.  Rogers and Herman, </w:t>
      </w:r>
      <w:r w:rsidR="003A2AB0" w:rsidRPr="00D30373">
        <w:t>must</w:t>
      </w:r>
      <w:r w:rsidRPr="00D30373">
        <w:t xml:space="preserve"> have an opportunity to review the safety p</w:t>
      </w:r>
      <w:r w:rsidR="003E6049">
        <w:t>lan prior to its finalization.</w:t>
      </w:r>
    </w:p>
    <w:p w:rsidR="00B62AE9" w:rsidRPr="00D30373" w:rsidRDefault="00B62AE9" w:rsidP="00D30373">
      <w:pPr>
        <w:numPr>
          <w:ilvl w:val="1"/>
          <w:numId w:val="26"/>
        </w:numPr>
        <w:tabs>
          <w:tab w:val="clear" w:pos="2160"/>
          <w:tab w:val="left" w:pos="1260"/>
        </w:tabs>
        <w:spacing w:after="160"/>
        <w:ind w:left="1260" w:right="720" w:hanging="540"/>
      </w:pPr>
      <w:r w:rsidRPr="00D30373">
        <w:t xml:space="preserve">Three months after a final decision in this proceeding, SoCalGas </w:t>
      </w:r>
      <w:r w:rsidR="003A2AB0" w:rsidRPr="00D30373">
        <w:t>must</w:t>
      </w:r>
      <w:r w:rsidRPr="00D30373">
        <w:t xml:space="preserve"> employ a fulltime electrical professional at the </w:t>
      </w:r>
      <w:r w:rsidR="003A2AB0" w:rsidRPr="00D30373">
        <w:t xml:space="preserve">Aliso Canyon Storage </w:t>
      </w:r>
      <w:r w:rsidRPr="00D30373">
        <w:t xml:space="preserve">Facility </w:t>
      </w:r>
      <w:r w:rsidR="003A2AB0" w:rsidRPr="00D30373">
        <w:t xml:space="preserve">(Facility) </w:t>
      </w:r>
      <w:r w:rsidRPr="00D30373">
        <w:t>to oversee Facility safety and regulatory compliance for the Aliso Canyo</w:t>
      </w:r>
      <w:r w:rsidR="001D1835">
        <w:t>n electric systems.</w:t>
      </w:r>
    </w:p>
    <w:p w:rsidR="00963185" w:rsidRPr="00D30373" w:rsidRDefault="00B62AE9" w:rsidP="00D30373">
      <w:pPr>
        <w:numPr>
          <w:ilvl w:val="1"/>
          <w:numId w:val="26"/>
        </w:numPr>
        <w:tabs>
          <w:tab w:val="clear" w:pos="2160"/>
          <w:tab w:val="left" w:pos="1260"/>
        </w:tabs>
        <w:spacing w:after="160"/>
        <w:ind w:left="1260" w:right="720" w:hanging="540"/>
      </w:pPr>
      <w:r w:rsidRPr="00D30373">
        <w:t xml:space="preserve">Beginning one month after a final decision in this proceeding, SoCalGas </w:t>
      </w:r>
      <w:r w:rsidR="003A2AB0" w:rsidRPr="00D30373">
        <w:t>must</w:t>
      </w:r>
      <w:r w:rsidRPr="00D30373">
        <w:t xml:space="preserve"> establish the Aliso Canyon Employee Safet</w:t>
      </w:r>
      <w:r w:rsidR="003E6049">
        <w:t>y Committee (Safety Committee).</w:t>
      </w:r>
    </w:p>
    <w:p w:rsidR="00B62AE9" w:rsidRPr="00D30373" w:rsidRDefault="00B62AE9" w:rsidP="00D30373">
      <w:pPr>
        <w:numPr>
          <w:ilvl w:val="1"/>
          <w:numId w:val="26"/>
        </w:numPr>
        <w:tabs>
          <w:tab w:val="clear" w:pos="2160"/>
          <w:tab w:val="left" w:pos="1260"/>
        </w:tabs>
        <w:spacing w:after="160"/>
        <w:ind w:left="1260" w:right="720" w:hanging="540"/>
      </w:pPr>
      <w:r w:rsidRPr="00D30373">
        <w:t xml:space="preserve">Three months after a final decision in this proceeding, SoCalGas </w:t>
      </w:r>
      <w:r w:rsidR="003A2AB0" w:rsidRPr="00D30373">
        <w:t>must</w:t>
      </w:r>
      <w:r w:rsidRPr="00D30373">
        <w:t xml:space="preserve"> develop and maintain a publicly accessible website page dedicated to Facility operations.</w:t>
      </w:r>
    </w:p>
    <w:p w:rsidR="00B62AE9" w:rsidRPr="00F674D4" w:rsidRDefault="00B62AE9" w:rsidP="00F674D4">
      <w:pPr>
        <w:pStyle w:val="standard"/>
        <w:numPr>
          <w:ilvl w:val="0"/>
          <w:numId w:val="26"/>
        </w:numPr>
        <w:ind w:firstLine="360"/>
      </w:pPr>
      <w:r w:rsidRPr="00F674D4">
        <w:t xml:space="preserve">Adoption of the </w:t>
      </w:r>
      <w:r w:rsidR="007C1100">
        <w:t>Porter Ranch Settlement Agreement</w:t>
      </w:r>
      <w:r w:rsidRPr="00F674D4">
        <w:t xml:space="preserve"> is binding on all parties to the proceeding.  However, pursuant to Rule 12.5, the </w:t>
      </w:r>
      <w:r w:rsidR="007C1100">
        <w:t>Porter Ranch Settlement Agreement</w:t>
      </w:r>
      <w:r w:rsidRPr="00F674D4">
        <w:t xml:space="preserve"> shall not bind or otherwise impose a precedent in this or any future proceeding.</w:t>
      </w:r>
    </w:p>
    <w:p w:rsidR="00A82A15" w:rsidRPr="00F674D4" w:rsidRDefault="00E1720B" w:rsidP="00F674D4">
      <w:pPr>
        <w:pStyle w:val="standard"/>
        <w:numPr>
          <w:ilvl w:val="0"/>
          <w:numId w:val="26"/>
        </w:numPr>
        <w:ind w:firstLine="360"/>
      </w:pPr>
      <w:r>
        <w:t>A</w:t>
      </w:r>
      <w:r w:rsidRPr="00F674D4">
        <w:t xml:space="preserve"> maximum total cost of $200.9 million</w:t>
      </w:r>
      <w:r>
        <w:t xml:space="preserve"> is set</w:t>
      </w:r>
      <w:r w:rsidRPr="00F674D4">
        <w:t xml:space="preserve"> for the Aliso Canyon Turbine Replacement Project (Project).  Southern California Gas Company </w:t>
      </w:r>
      <w:r w:rsidR="00C50B11">
        <w:t xml:space="preserve">(SoCalGas) </w:t>
      </w:r>
      <w:r w:rsidRPr="00F674D4">
        <w:t xml:space="preserve">is authorized cost recovery of </w:t>
      </w:r>
      <w:r w:rsidR="00C50B11">
        <w:t>up to this amount</w:t>
      </w:r>
      <w:r>
        <w:t>,</w:t>
      </w:r>
      <w:r w:rsidRPr="00F674D4">
        <w:t xml:space="preserve"> </w:t>
      </w:r>
      <w:r>
        <w:t>s</w:t>
      </w:r>
      <w:r w:rsidR="00C50B11">
        <w:t>ubject to Ordering Paragraph</w:t>
      </w:r>
      <w:r>
        <w:t xml:space="preserve"> 10, </w:t>
      </w:r>
      <w:r w:rsidRPr="00F674D4">
        <w:t xml:space="preserve">beginning when the assets are placed in service.  </w:t>
      </w:r>
      <w:r w:rsidRPr="00C91AFA">
        <w:t xml:space="preserve">Costs exceeding this amount must be recorded in a memorandum account </w:t>
      </w:r>
      <w:r>
        <w:t>if SoCalGas seeks recovery of these costs</w:t>
      </w:r>
      <w:r w:rsidRPr="00C91AFA">
        <w:t>.  A review of the reasonableness of all costs will be conducted in the general rate case following Project completion</w:t>
      </w:r>
      <w:r>
        <w:t xml:space="preserve"> if Project costs exceed $200.9</w:t>
      </w:r>
      <w:r w:rsidR="001D1835">
        <w:t> </w:t>
      </w:r>
      <w:r>
        <w:t>million</w:t>
      </w:r>
      <w:r w:rsidRPr="00C91AFA">
        <w:t>.</w:t>
      </w:r>
      <w:r>
        <w:t xml:space="preserve">  SoCalGas </w:t>
      </w:r>
      <w:r w:rsidR="00E05200">
        <w:t xml:space="preserve">must </w:t>
      </w:r>
      <w:r>
        <w:t xml:space="preserve">file its request to establish a memorandum account by a Tier 2 advice letter no later than 30 days after </w:t>
      </w:r>
      <w:r w:rsidR="00E05200">
        <w:t>the effective date of this decision</w:t>
      </w:r>
      <w:r>
        <w:t>.</w:t>
      </w:r>
    </w:p>
    <w:p w:rsidR="00972BC0" w:rsidRPr="00F674D4" w:rsidRDefault="00E1720B" w:rsidP="00E8716D">
      <w:pPr>
        <w:pStyle w:val="standard"/>
        <w:numPr>
          <w:ilvl w:val="0"/>
          <w:numId w:val="26"/>
        </w:numPr>
        <w:ind w:firstLine="274"/>
      </w:pPr>
      <w:r w:rsidRPr="00F674D4">
        <w:t xml:space="preserve">After the Aliso Canyon Turbine Replacement Project </w:t>
      </w:r>
      <w:r>
        <w:t>(</w:t>
      </w:r>
      <w:r w:rsidRPr="00F674D4">
        <w:t>Project</w:t>
      </w:r>
      <w:r>
        <w:t>)</w:t>
      </w:r>
      <w:r w:rsidRPr="00F674D4">
        <w:t xml:space="preserve"> is completed and becomes operational, Southern California Gas Company (SoCalGas) may request to incorporate the associated revenue requirement into rates by a Tier 2 advice letter.  SoCalGas must use the actual Project costs to develop the revenue requirement for the advice letter </w:t>
      </w:r>
      <w:r>
        <w:t xml:space="preserve">if the costs SoCalGas incurred to complete the </w:t>
      </w:r>
      <w:r w:rsidR="00E05200">
        <w:t xml:space="preserve">Project </w:t>
      </w:r>
      <w:r>
        <w:t>are less than $200.9 million.  If SoCalGas inc</w:t>
      </w:r>
      <w:r w:rsidR="003E6049">
        <w:t>urred costs in excess of $200.9 </w:t>
      </w:r>
      <w:r>
        <w:t xml:space="preserve">million, SoCalGas </w:t>
      </w:r>
      <w:r w:rsidR="00E05200">
        <w:t xml:space="preserve">must </w:t>
      </w:r>
      <w:r>
        <w:t>use $200.9 mill</w:t>
      </w:r>
      <w:r w:rsidR="00C50B11">
        <w:t>ion for its revenue requirement, s</w:t>
      </w:r>
      <w:r w:rsidRPr="00F674D4">
        <w:t xml:space="preserve">ubject to the reasonableness review discussed in Ordering </w:t>
      </w:r>
      <w:r w:rsidR="003E6049">
        <w:t xml:space="preserve">Paragraph </w:t>
      </w:r>
      <w:r>
        <w:t xml:space="preserve">12.  </w:t>
      </w:r>
      <w:r w:rsidRPr="00F674D4">
        <w:t xml:space="preserve">SoCalGas’s operations and maintenance (O&amp;M) savings and capital benefits must be included in the revenue requirement, which will be subject to balancing account treatment.  SoCalGas must use its prevailing authorized return on equity and rate of return and current Commission depreciation policies for </w:t>
      </w:r>
      <w:r>
        <w:t xml:space="preserve">SoCalGas in </w:t>
      </w:r>
      <w:r w:rsidRPr="00F674D4">
        <w:t>developing the revenue requirement.</w:t>
      </w:r>
    </w:p>
    <w:p w:rsidR="00123D7F" w:rsidRPr="00F674D4" w:rsidRDefault="00123D7F" w:rsidP="00E8716D">
      <w:pPr>
        <w:pStyle w:val="standard"/>
        <w:numPr>
          <w:ilvl w:val="0"/>
          <w:numId w:val="26"/>
        </w:numPr>
        <w:ind w:firstLine="274"/>
      </w:pPr>
      <w:r w:rsidRPr="00F674D4">
        <w:t>If Decision 08-12-020 is superseded at the time of the advice letter filing, Southern California Gas Company (SoCalGas) must use the then-current decision for t</w:t>
      </w:r>
      <w:r w:rsidR="00D30373">
        <w:t xml:space="preserve">he cost allocation and rates.  </w:t>
      </w:r>
      <w:r w:rsidRPr="00F674D4">
        <w:t xml:space="preserve">SoCalGas must file a Tier 2 advice letter detailing the revenue requirement, cost allocation and rates within 60 days after the </w:t>
      </w:r>
      <w:r w:rsidR="00C50B11">
        <w:t>P</w:t>
      </w:r>
      <w:r w:rsidRPr="00F674D4">
        <w:t>roject is completed and placed in service.</w:t>
      </w:r>
    </w:p>
    <w:p w:rsidR="00683D2A" w:rsidRPr="00F674D4" w:rsidRDefault="00C50B11" w:rsidP="00E8716D">
      <w:pPr>
        <w:pStyle w:val="standard"/>
        <w:numPr>
          <w:ilvl w:val="0"/>
          <w:numId w:val="26"/>
        </w:numPr>
        <w:ind w:firstLine="274"/>
      </w:pPr>
      <w:r>
        <w:t xml:space="preserve">If actual </w:t>
      </w:r>
      <w:r w:rsidR="00092F85" w:rsidRPr="00F674D4">
        <w:t xml:space="preserve">Aliso Canyon Turbine Replacement Project </w:t>
      </w:r>
      <w:r w:rsidR="00092F85">
        <w:t>(</w:t>
      </w:r>
      <w:r w:rsidR="00092F85" w:rsidRPr="00F674D4">
        <w:t>Project</w:t>
      </w:r>
      <w:r w:rsidR="00092F85">
        <w:t xml:space="preserve">) </w:t>
      </w:r>
      <w:r>
        <w:t>costs exceed $200.9 million, a</w:t>
      </w:r>
      <w:r w:rsidR="00683D2A" w:rsidRPr="00F674D4">
        <w:t xml:space="preserve"> reasonableness review of all </w:t>
      </w:r>
      <w:r w:rsidR="00092F85">
        <w:t xml:space="preserve">Project </w:t>
      </w:r>
      <w:r w:rsidR="00683D2A" w:rsidRPr="00F674D4">
        <w:t>costs must be conducted in Southern California Gas Company’s (SoC</w:t>
      </w:r>
      <w:r w:rsidR="00D30373">
        <w:t>alGas’s) general rate case</w:t>
      </w:r>
      <w:r w:rsidR="00683D2A" w:rsidRPr="00F674D4">
        <w:t xml:space="preserve"> following completion of the Project.  The reasonableness review must also review SoCalGas’s efforts to maximize the operations and maintenance cost </w:t>
      </w:r>
      <w:r w:rsidR="00D30373">
        <w:t xml:space="preserve">savings and capital benefits.  </w:t>
      </w:r>
      <w:r w:rsidR="00683D2A" w:rsidRPr="00F674D4">
        <w:t>SoCalGas bear</w:t>
      </w:r>
      <w:r w:rsidR="003A2AB0">
        <w:t>s</w:t>
      </w:r>
      <w:r w:rsidR="00683D2A" w:rsidRPr="00F674D4">
        <w:t xml:space="preserve"> the burden to show that all </w:t>
      </w:r>
      <w:r w:rsidR="003A2AB0">
        <w:t>P</w:t>
      </w:r>
      <w:r w:rsidR="00683D2A" w:rsidRPr="00F674D4">
        <w:t>roject costs and cost savings are reasonable, and the reasonableness review could result in disallowances and refunds to ratepayers of collected amounts.</w:t>
      </w:r>
    </w:p>
    <w:p w:rsidR="00A82A15" w:rsidRPr="00F674D4" w:rsidRDefault="004068FD" w:rsidP="00E8716D">
      <w:pPr>
        <w:pStyle w:val="standard"/>
        <w:numPr>
          <w:ilvl w:val="0"/>
          <w:numId w:val="26"/>
        </w:numPr>
        <w:ind w:firstLine="274"/>
      </w:pPr>
      <w:r w:rsidRPr="00F674D4">
        <w:t xml:space="preserve">In order to flow </w:t>
      </w:r>
      <w:r w:rsidR="003A2AB0" w:rsidRPr="00F674D4">
        <w:t xml:space="preserve">through to customers </w:t>
      </w:r>
      <w:r w:rsidRPr="00F674D4">
        <w:t>the Regional Clean Air Incentives Market Trading Credits (RTCs) benefits</w:t>
      </w:r>
      <w:r w:rsidR="003A2AB0">
        <w:t xml:space="preserve"> from the </w:t>
      </w:r>
      <w:r w:rsidR="003A2AB0" w:rsidRPr="00F674D4">
        <w:t xml:space="preserve">Aliso Canyon Turbine Replacement Project </w:t>
      </w:r>
      <w:r w:rsidR="003A2AB0">
        <w:t>(</w:t>
      </w:r>
      <w:r w:rsidR="003A2AB0" w:rsidRPr="00F674D4">
        <w:t>Project</w:t>
      </w:r>
      <w:r w:rsidR="003A2AB0">
        <w:t>)</w:t>
      </w:r>
      <w:r w:rsidRPr="00F674D4">
        <w:t xml:space="preserve">, Southern California Gas Company </w:t>
      </w:r>
      <w:r w:rsidR="00374BEF" w:rsidRPr="00F674D4">
        <w:t xml:space="preserve">(SoCalGas) </w:t>
      </w:r>
      <w:r w:rsidRPr="00F674D4">
        <w:t xml:space="preserve">must establish the Aliso Canyon True-up Tracking Account (ACTTA). </w:t>
      </w:r>
      <w:r w:rsidR="001D1835">
        <w:t xml:space="preserve"> </w:t>
      </w:r>
      <w:r w:rsidRPr="00F674D4">
        <w:t xml:space="preserve">The ACTTA must consist of two subaccounts: </w:t>
      </w:r>
      <w:r w:rsidR="001D1835">
        <w:t xml:space="preserve"> </w:t>
      </w:r>
      <w:r w:rsidRPr="00F674D4">
        <w:t>the RTC subaccount and the operations and maintenance</w:t>
      </w:r>
      <w:r w:rsidR="00374BEF">
        <w:t xml:space="preserve"> </w:t>
      </w:r>
      <w:r w:rsidR="00374BEF" w:rsidRPr="00F674D4">
        <w:t>(O&amp;M)</w:t>
      </w:r>
      <w:r w:rsidRPr="00F674D4">
        <w:t>/Capital Benefits subaccount.</w:t>
      </w:r>
      <w:r w:rsidR="00A82A15" w:rsidRPr="00F674D4">
        <w:t xml:space="preserve">  The RTC subaccount must record the benefits from the Regional Clean Air Incentives Market Trading Credits (RTCs) generated by the Aliso Canyon Turbine Replacement Project (Project).</w:t>
      </w:r>
      <w:r w:rsidR="003E6049">
        <w:t xml:space="preserve"> </w:t>
      </w:r>
      <w:r w:rsidR="00A82A15" w:rsidRPr="00F674D4">
        <w:t xml:space="preserve"> The benefits are the projected RTCs generated by the Project (200 tons per year) times a market value of the RTCs. The market value of the RTCs must be determined based on the average price per ton of RTCs that SoCalGas has either bought or sold in the </w:t>
      </w:r>
      <w:r w:rsidR="003E6049">
        <w:t xml:space="preserve">marketplace during the year.  </w:t>
      </w:r>
      <w:r w:rsidR="00A82A15" w:rsidRPr="00F674D4">
        <w:t>The O&amp;M/Capital Benefits subaccount must record the difference between the estimated benefits included in the Project revenue requirement and actual O&amp;M and capital benefits realized.</w:t>
      </w:r>
      <w:r w:rsidR="003E6049">
        <w:t xml:space="preserve"> </w:t>
      </w:r>
      <w:r w:rsidR="00A82A15" w:rsidRPr="00F674D4">
        <w:t xml:space="preserve"> The combined balance in the ACTTA must be allocated to Core Storage, Load Balancing and Unbundled Storage, consistent with the “Post Replacement” injection capacity percentages shown</w:t>
      </w:r>
      <w:r w:rsidR="001D1835">
        <w:t xml:space="preserve"> in Table 3 of this decision.  </w:t>
      </w:r>
      <w:r w:rsidR="00A82A15" w:rsidRPr="00F674D4">
        <w:t xml:space="preserve">The portion allocated to the Unbundled Storage Program must be transferred to the Noncore Storage Balancing Account and used to determine the allocation of storage earnings between ratepayers and shareholders for the applicable year under the Commission-adopted revenue-sharing mechanism. </w:t>
      </w:r>
      <w:r w:rsidR="001D1835">
        <w:t xml:space="preserve"> </w:t>
      </w:r>
      <w:r w:rsidR="00A82A15" w:rsidRPr="00F674D4">
        <w:t>The remaining balance in the ACTTA must be amortized in the following year’s transportation rates in connection with SoCalGas’</w:t>
      </w:r>
      <w:r w:rsidR="00C91AFA">
        <w:t>s</w:t>
      </w:r>
      <w:r w:rsidR="00A82A15" w:rsidRPr="00F674D4">
        <w:t xml:space="preserve"> annual regulatory account balance update filing, similar to the disposition of other regulatory account balances. </w:t>
      </w:r>
      <w:r w:rsidR="001D1835">
        <w:t xml:space="preserve"> </w:t>
      </w:r>
      <w:r w:rsidR="00A82A15" w:rsidRPr="00F674D4">
        <w:t>This ACTTA mechanism must continue until the RTC and O&amp;M/capital benefits are addressed in SoCalGas’</w:t>
      </w:r>
      <w:r w:rsidR="00C91AFA">
        <w:t>s</w:t>
      </w:r>
      <w:r w:rsidR="00A82A15" w:rsidRPr="00F674D4">
        <w:t xml:space="preserve"> next general rate case or other applicable proceeding.  SoCalGas must file a Tier 2 advice letter with the ACTTA tariffs within 30 days of the effective date of this decision.</w:t>
      </w:r>
    </w:p>
    <w:p w:rsidR="00A82A15" w:rsidRPr="00F674D4" w:rsidRDefault="00A82A15" w:rsidP="00E8716D">
      <w:pPr>
        <w:pStyle w:val="standard"/>
        <w:numPr>
          <w:ilvl w:val="0"/>
          <w:numId w:val="26"/>
        </w:numPr>
        <w:ind w:firstLine="274"/>
      </w:pPr>
      <w:r w:rsidRPr="00F674D4">
        <w:t xml:space="preserve">In its filings setting new in-kind fuel charges after the Aliso Canyon Turbine Replacement Project is completed and in service, Southern California Gas Company must provide: </w:t>
      </w:r>
      <w:r w:rsidR="00C241B1">
        <w:t xml:space="preserve"> </w:t>
      </w:r>
      <w:r w:rsidRPr="00F674D4">
        <w:t>1) its calculations of</w:t>
      </w:r>
      <w:r w:rsidR="00C241B1">
        <w:t xml:space="preserve"> the equivalent gas volumes, 2) </w:t>
      </w:r>
      <w:r w:rsidRPr="00F674D4">
        <w:t>the amount of revenues it received from the gas sales and, 3) electricity costs incurred</w:t>
      </w:r>
      <w:r w:rsidR="00C241B1">
        <w:t xml:space="preserve"> operating the new compressors.</w:t>
      </w:r>
    </w:p>
    <w:p w:rsidR="00A82A15" w:rsidRPr="00F674D4" w:rsidRDefault="00A82A15" w:rsidP="00E8716D">
      <w:pPr>
        <w:pStyle w:val="standard"/>
        <w:numPr>
          <w:ilvl w:val="0"/>
          <w:numId w:val="26"/>
        </w:numPr>
        <w:ind w:firstLine="274"/>
      </w:pPr>
      <w:r w:rsidRPr="00F674D4">
        <w:t>Southern California Gas Company (SoCalGas) is authorized to expand the easement between SoCalGas and SCE necessary for completion of the Aliso Canyo</w:t>
      </w:r>
      <w:r w:rsidR="00C241B1">
        <w:t>n Turbine Replacement Project.</w:t>
      </w:r>
    </w:p>
    <w:p w:rsidR="00A82A15" w:rsidRPr="00F674D4" w:rsidRDefault="00A82A15" w:rsidP="00E8716D">
      <w:pPr>
        <w:pStyle w:val="standard"/>
        <w:numPr>
          <w:ilvl w:val="0"/>
          <w:numId w:val="26"/>
        </w:numPr>
        <w:ind w:firstLine="274"/>
      </w:pPr>
      <w:r w:rsidRPr="00F674D4">
        <w:t xml:space="preserve">The Commission confirms its authority to preempt local regulation of the Storage Field facilities and the construction and operation of the Aliso Canyon Turbine Replacement Project </w:t>
      </w:r>
      <w:r w:rsidR="00374BEF">
        <w:t xml:space="preserve">(Project) </w:t>
      </w:r>
      <w:r w:rsidRPr="00F674D4">
        <w:t xml:space="preserve">authorized by the Certificate of Public Convenience and Necessity to the extent such local regulations either conflict or interfere with the Commission’s plenary jurisdiction to regulate public utilities, or interfere with a regulated public utilities’ ability to comply with a Commission order.  In particular, any discretionary local grading or oak tree permits that may be required to implement the </w:t>
      </w:r>
      <w:r w:rsidR="00374BEF">
        <w:t>Project</w:t>
      </w:r>
      <w:r w:rsidR="00374BEF" w:rsidRPr="00F674D4">
        <w:t xml:space="preserve"> </w:t>
      </w:r>
      <w:r w:rsidRPr="00F674D4">
        <w:t>is hereby preempted by this Commission Order.  However, Southern California Gas Company must</w:t>
      </w:r>
      <w:r w:rsidR="00374BEF">
        <w:t xml:space="preserve">, </w:t>
      </w:r>
      <w:r w:rsidR="00374BEF" w:rsidRPr="00F674D4">
        <w:t>prior to commencing construction</w:t>
      </w:r>
      <w:r w:rsidR="00374BEF">
        <w:t>,</w:t>
      </w:r>
      <w:r w:rsidRPr="00F674D4">
        <w:t xml:space="preserve"> obtain all necessary non-preempted ministerial permits, easement rights, or other applicable legal authority to construct and operate the Project.</w:t>
      </w:r>
    </w:p>
    <w:p w:rsidR="00A82A15" w:rsidRPr="00F674D4" w:rsidRDefault="00A82A15" w:rsidP="00E8716D">
      <w:pPr>
        <w:pStyle w:val="standard"/>
        <w:numPr>
          <w:ilvl w:val="0"/>
          <w:numId w:val="26"/>
        </w:numPr>
        <w:ind w:firstLine="274"/>
      </w:pPr>
      <w:r w:rsidRPr="00F674D4">
        <w:t>Southern California Gas Company mus</w:t>
      </w:r>
      <w:r w:rsidR="00C241B1">
        <w:t>t comply with General Order 112 </w:t>
      </w:r>
      <w:r w:rsidRPr="00F674D4">
        <w:t>E.</w:t>
      </w:r>
    </w:p>
    <w:p w:rsidR="00A82A15" w:rsidRDefault="00A82A15" w:rsidP="00E8716D">
      <w:pPr>
        <w:pStyle w:val="standard"/>
        <w:keepNext/>
        <w:keepLines/>
        <w:numPr>
          <w:ilvl w:val="0"/>
          <w:numId w:val="26"/>
        </w:numPr>
        <w:ind w:firstLine="274"/>
      </w:pPr>
      <w:r w:rsidRPr="00F674D4">
        <w:t>Southern California Gas Company is subject to any applicable rules that issue from Rulemaking 11-02-019 addressing safety regulations for gas transmission and distribution.</w:t>
      </w:r>
    </w:p>
    <w:p w:rsidR="00AD686C" w:rsidRPr="00E8716D" w:rsidRDefault="00AD686C" w:rsidP="00E8716D">
      <w:pPr>
        <w:pStyle w:val="standard"/>
        <w:keepNext/>
        <w:keepLines/>
        <w:numPr>
          <w:ilvl w:val="0"/>
          <w:numId w:val="26"/>
        </w:numPr>
        <w:ind w:firstLine="274"/>
      </w:pPr>
      <w:r w:rsidRPr="00E8716D">
        <w:t>Application 09-09-020 is closed.</w:t>
      </w:r>
    </w:p>
    <w:p w:rsidR="00A82A15" w:rsidRDefault="00B26990" w:rsidP="00E8716D">
      <w:pPr>
        <w:pStyle w:val="standard"/>
        <w:keepNext/>
        <w:keepLines/>
      </w:pPr>
      <w:r w:rsidRPr="00B26990">
        <w:t>This order is effective today.</w:t>
      </w:r>
    </w:p>
    <w:p w:rsidR="00AD686C" w:rsidRDefault="0094426D" w:rsidP="00E8716D">
      <w:pPr>
        <w:pStyle w:val="standard"/>
        <w:keepNext/>
        <w:keepLines/>
      </w:pPr>
      <w:r>
        <w:t>Dated November 14, 2013</w:t>
      </w:r>
      <w:r w:rsidR="00AD686C">
        <w:t>, in San Francisco, California.</w:t>
      </w:r>
    </w:p>
    <w:p w:rsidR="0094426D" w:rsidRDefault="0094426D" w:rsidP="00E8716D">
      <w:pPr>
        <w:pStyle w:val="standard"/>
        <w:keepNext/>
        <w:keepLines/>
      </w:pPr>
    </w:p>
    <w:p w:rsidR="0094426D" w:rsidRPr="00241975" w:rsidRDefault="0094426D" w:rsidP="00C64351">
      <w:pPr>
        <w:keepNext/>
        <w:keepLines/>
        <w:autoSpaceDE w:val="0"/>
        <w:autoSpaceDN w:val="0"/>
        <w:adjustRightInd w:val="0"/>
        <w:ind w:left="4320"/>
        <w:rPr>
          <w:rFonts w:cs="Palatino"/>
          <w:szCs w:val="26"/>
        </w:rPr>
      </w:pPr>
      <w:r w:rsidRPr="00241975">
        <w:rPr>
          <w:rFonts w:cs="Palatino"/>
          <w:szCs w:val="26"/>
        </w:rPr>
        <w:t>MICHAEL R. PEEVEY</w:t>
      </w:r>
    </w:p>
    <w:p w:rsidR="0094426D" w:rsidRPr="00241975" w:rsidRDefault="0094426D" w:rsidP="00C64351">
      <w:pPr>
        <w:keepNext/>
        <w:keepLines/>
        <w:autoSpaceDE w:val="0"/>
        <w:autoSpaceDN w:val="0"/>
        <w:adjustRightInd w:val="0"/>
        <w:ind w:firstLine="720"/>
        <w:rPr>
          <w:rFonts w:cs="Palatino"/>
          <w:szCs w:val="26"/>
        </w:rPr>
      </w:pPr>
      <w:r w:rsidRPr="00241975">
        <w:rPr>
          <w:rFonts w:cs="Palatino"/>
          <w:szCs w:val="26"/>
        </w:rPr>
        <w:tab/>
      </w:r>
      <w:r w:rsidRPr="00241975">
        <w:rPr>
          <w:rFonts w:cs="Palatino"/>
          <w:szCs w:val="26"/>
        </w:rPr>
        <w:tab/>
      </w:r>
      <w:r w:rsidRPr="00241975">
        <w:rPr>
          <w:rFonts w:cs="Palatino"/>
          <w:szCs w:val="26"/>
        </w:rPr>
        <w:tab/>
      </w:r>
      <w:r w:rsidRPr="00241975">
        <w:rPr>
          <w:rFonts w:cs="Palatino"/>
          <w:szCs w:val="26"/>
        </w:rPr>
        <w:tab/>
      </w:r>
      <w:r w:rsidRPr="00241975">
        <w:rPr>
          <w:rFonts w:cs="Palatino"/>
          <w:szCs w:val="26"/>
        </w:rPr>
        <w:tab/>
        <w:t xml:space="preserve">                        President</w:t>
      </w:r>
    </w:p>
    <w:p w:rsidR="0094426D" w:rsidRPr="00241975" w:rsidRDefault="0094426D" w:rsidP="00C64351">
      <w:pPr>
        <w:keepNext/>
        <w:keepLines/>
        <w:autoSpaceDE w:val="0"/>
        <w:autoSpaceDN w:val="0"/>
        <w:adjustRightInd w:val="0"/>
        <w:ind w:left="4320"/>
        <w:rPr>
          <w:rFonts w:cs="Courier New"/>
          <w:szCs w:val="26"/>
        </w:rPr>
      </w:pPr>
      <w:r w:rsidRPr="00241975">
        <w:rPr>
          <w:rFonts w:cs="Courier New"/>
          <w:szCs w:val="26"/>
        </w:rPr>
        <w:t>CATHERINE J.K. SANDOVAL</w:t>
      </w:r>
    </w:p>
    <w:p w:rsidR="0094426D" w:rsidRPr="00241975" w:rsidRDefault="0094426D" w:rsidP="00C64351">
      <w:pPr>
        <w:keepNext/>
        <w:keepLines/>
        <w:autoSpaceDE w:val="0"/>
        <w:autoSpaceDN w:val="0"/>
        <w:adjustRightInd w:val="0"/>
        <w:ind w:left="4320"/>
        <w:rPr>
          <w:rFonts w:cs="Courier New"/>
          <w:szCs w:val="26"/>
        </w:rPr>
      </w:pPr>
      <w:r w:rsidRPr="00241975">
        <w:rPr>
          <w:rFonts w:cs="Courier New"/>
          <w:szCs w:val="26"/>
        </w:rPr>
        <w:t>MARK J. FERRON</w:t>
      </w:r>
    </w:p>
    <w:p w:rsidR="0094426D" w:rsidRPr="00241975" w:rsidRDefault="0094426D" w:rsidP="00C64351">
      <w:pPr>
        <w:keepNext/>
        <w:keepLines/>
        <w:autoSpaceDE w:val="0"/>
        <w:autoSpaceDN w:val="0"/>
        <w:adjustRightInd w:val="0"/>
        <w:ind w:left="4320"/>
        <w:rPr>
          <w:rFonts w:cs="Courier New"/>
          <w:szCs w:val="26"/>
        </w:rPr>
      </w:pPr>
      <w:r w:rsidRPr="00241975">
        <w:rPr>
          <w:rFonts w:cs="Courier New"/>
          <w:szCs w:val="26"/>
        </w:rPr>
        <w:t>CARLA J. PETERMAN</w:t>
      </w:r>
    </w:p>
    <w:p w:rsidR="0094426D" w:rsidRPr="00241975" w:rsidRDefault="0094426D" w:rsidP="00C64351">
      <w:pPr>
        <w:autoSpaceDE w:val="0"/>
        <w:autoSpaceDN w:val="0"/>
        <w:adjustRightInd w:val="0"/>
        <w:ind w:left="4320" w:firstLine="720"/>
        <w:rPr>
          <w:rFonts w:cs="Palatino"/>
          <w:szCs w:val="26"/>
        </w:rPr>
      </w:pPr>
      <w:r w:rsidRPr="00241975">
        <w:t xml:space="preserve">                 Commissioners</w:t>
      </w:r>
    </w:p>
    <w:p w:rsidR="003234E2" w:rsidRDefault="003234E2" w:rsidP="00E8716D">
      <w:pPr>
        <w:pStyle w:val="standard"/>
        <w:keepNext/>
        <w:keepLines/>
      </w:pPr>
    </w:p>
    <w:p w:rsidR="0094426D" w:rsidRDefault="000F4701" w:rsidP="00E8716D">
      <w:pPr>
        <w:pStyle w:val="standard"/>
        <w:keepNext/>
        <w:keepLines/>
      </w:pPr>
      <w:r>
        <w:t>I</w:t>
      </w:r>
      <w:r w:rsidR="00B27A92">
        <w:t xml:space="preserve"> abstain.</w:t>
      </w:r>
    </w:p>
    <w:p w:rsidR="00B27A92" w:rsidRDefault="00B27A92" w:rsidP="00EA487E">
      <w:pPr>
        <w:pStyle w:val="standard"/>
        <w:keepNext/>
        <w:keepLines/>
        <w:spacing w:line="240" w:lineRule="auto"/>
      </w:pPr>
      <w:r>
        <w:t>/s/ Michel Peter Florio</w:t>
      </w:r>
    </w:p>
    <w:p w:rsidR="00BE6DF7" w:rsidRDefault="00BE6DF7" w:rsidP="00EA487E">
      <w:pPr>
        <w:pStyle w:val="standard"/>
        <w:keepNext/>
        <w:keepLines/>
        <w:spacing w:line="240" w:lineRule="auto"/>
      </w:pPr>
      <w:r>
        <w:t xml:space="preserve">Attachment 1: </w:t>
      </w:r>
    </w:p>
    <w:p w:rsidR="00BE6DF7" w:rsidRDefault="00BE6DF7" w:rsidP="00BE6DF7">
      <w:pPr>
        <w:pStyle w:val="standard"/>
        <w:keepNext/>
        <w:keepLines/>
        <w:spacing w:after="480" w:line="240" w:lineRule="auto"/>
      </w:pPr>
      <w:hyperlink r:id="rId17" w:history="1">
        <w:r w:rsidRPr="00BE6DF7">
          <w:rPr>
            <w:rStyle w:val="Hyperlink"/>
          </w:rPr>
          <w:t>D1311023 Attachment A.pdf</w:t>
        </w:r>
      </w:hyperlink>
    </w:p>
    <w:p w:rsidR="00BE6DF7" w:rsidRPr="00BE6DF7" w:rsidRDefault="00BE6DF7" w:rsidP="00BE6DF7">
      <w:pPr>
        <w:pStyle w:val="standard"/>
        <w:keepNext/>
        <w:keepLines/>
        <w:spacing w:after="480" w:line="240" w:lineRule="auto"/>
      </w:pPr>
    </w:p>
    <w:sectPr w:rsidR="00BE6DF7" w:rsidRPr="00BE6DF7" w:rsidSect="00BB3461">
      <w:headerReference w:type="default" r:id="rId18"/>
      <w:headerReference w:type="first" r:id="rId19"/>
      <w:footerReference w:type="first" r:id="rId20"/>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1A" w:rsidRDefault="00443E1A">
      <w:r>
        <w:separator/>
      </w:r>
    </w:p>
  </w:endnote>
  <w:endnote w:type="continuationSeparator" w:id="0">
    <w:p w:rsidR="00443E1A" w:rsidRDefault="0044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2B" w:rsidRDefault="00BD7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1" w:rsidRDefault="00C64351">
    <w:pPr>
      <w:pStyle w:val="Footer"/>
      <w:jc w:val="center"/>
    </w:pPr>
    <w:r>
      <w:t xml:space="preserve">- </w:t>
    </w:r>
    <w:r>
      <w:fldChar w:fldCharType="begin"/>
    </w:r>
    <w:r>
      <w:instrText xml:space="preserve"> PAGE   \* MERGEFORMAT </w:instrText>
    </w:r>
    <w:r>
      <w:fldChar w:fldCharType="separate"/>
    </w:r>
    <w:r w:rsidR="001E7425">
      <w:rPr>
        <w:noProof/>
      </w:rPr>
      <w:t>75</w:t>
    </w:r>
    <w:r>
      <w:rPr>
        <w:noProof/>
      </w:rPr>
      <w:fldChar w:fldCharType="end"/>
    </w:r>
    <w:r>
      <w:rPr>
        <w:noProof/>
      </w:rPr>
      <w:t xml:space="preserve"> -</w:t>
    </w:r>
  </w:p>
  <w:p w:rsidR="00C64351" w:rsidRDefault="00C64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1" w:rsidRDefault="00C64351">
    <w:pPr>
      <w:pStyle w:val="Footer"/>
      <w:jc w:val="center"/>
    </w:pPr>
    <w:r>
      <w:t xml:space="preserve">- </w:t>
    </w:r>
    <w:r>
      <w:fldChar w:fldCharType="begin"/>
    </w:r>
    <w:r>
      <w:instrText xml:space="preserve"> PAGE   \* MERGEFORMAT </w:instrText>
    </w:r>
    <w:r>
      <w:fldChar w:fldCharType="separate"/>
    </w:r>
    <w:r w:rsidR="00BE6DF7">
      <w:rPr>
        <w:noProof/>
      </w:rPr>
      <w:t>1</w:t>
    </w:r>
    <w:r>
      <w:rPr>
        <w:noProof/>
      </w:rPr>
      <w:fldChar w:fldCharType="end"/>
    </w:r>
    <w:r>
      <w:rPr>
        <w:noProof/>
      </w:rPr>
      <w:t xml:space="preserve"> -</w:t>
    </w:r>
  </w:p>
  <w:p w:rsidR="00C64351" w:rsidRDefault="00C64351">
    <w:pPr>
      <w:pStyle w:val="Footer"/>
    </w:pPr>
    <w:r w:rsidRPr="002E5E71">
      <w:rPr>
        <w:rFonts w:ascii="Tahoma" w:hAnsi="Tahoma" w:cs="Tahoma"/>
        <w:sz w:val="17"/>
        <w:szCs w:val="17"/>
      </w:rPr>
      <w:t>81838433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1" w:rsidRPr="000E665E" w:rsidRDefault="00C64351" w:rsidP="00EF68D0">
    <w:pPr>
      <w:pStyle w:val="Footer"/>
      <w:jc w:val="center"/>
    </w:pPr>
    <w:r>
      <w:t xml:space="preserve">- </w:t>
    </w:r>
    <w:r>
      <w:fldChar w:fldCharType="begin"/>
    </w:r>
    <w:r>
      <w:instrText xml:space="preserve"> PAGE   \* MERGEFORMAT </w:instrText>
    </w:r>
    <w:r>
      <w:fldChar w:fldCharType="separate"/>
    </w:r>
    <w:r w:rsidR="001E7425">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1" w:rsidRDefault="00C64351" w:rsidP="00EF68D0">
    <w:pPr>
      <w:pStyle w:val="Footer"/>
      <w:jc w:val="center"/>
    </w:pPr>
    <w:r>
      <w:t>- 2 -</w:t>
    </w:r>
  </w:p>
  <w:p w:rsidR="00C64351" w:rsidRPr="00350758" w:rsidRDefault="00C64351" w:rsidP="00350758">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1A" w:rsidRDefault="00443E1A">
      <w:r>
        <w:separator/>
      </w:r>
    </w:p>
  </w:footnote>
  <w:footnote w:type="continuationSeparator" w:id="0">
    <w:p w:rsidR="00443E1A" w:rsidRDefault="00443E1A">
      <w:r>
        <w:continuationSeparator/>
      </w:r>
    </w:p>
  </w:footnote>
  <w:footnote w:id="1">
    <w:p w:rsidR="00C64351" w:rsidRDefault="00C64351" w:rsidP="004F5979">
      <w:pPr>
        <w:pStyle w:val="FootnoteText"/>
      </w:pPr>
      <w:r>
        <w:rPr>
          <w:rStyle w:val="FootnoteReference"/>
        </w:rPr>
        <w:footnoteRef/>
      </w:r>
      <w:r>
        <w:t xml:space="preserve">  D.06</w:t>
      </w:r>
      <w:r>
        <w:noBreakHyphen/>
        <w:t>11</w:t>
      </w:r>
      <w:r>
        <w:noBreakHyphen/>
        <w:t>018 at 22 (“The Commission has long held that the applicant carries the burden of proof in a certification proceeding, and we reiterate those determinations today.”).</w:t>
      </w:r>
    </w:p>
  </w:footnote>
  <w:footnote w:id="2">
    <w:p w:rsidR="00C64351" w:rsidRDefault="00C64351">
      <w:pPr>
        <w:pStyle w:val="FootnoteText"/>
      </w:pPr>
      <w:r>
        <w:rPr>
          <w:rStyle w:val="FootnoteReference"/>
        </w:rPr>
        <w:footnoteRef/>
      </w:r>
      <w:r>
        <w:t xml:space="preserve">  Rule 12.1(d) of </w:t>
      </w:r>
      <w:r w:rsidRPr="000176F7">
        <w:t>Commission’s Rules of Practice and Procedure</w:t>
      </w:r>
      <w:r>
        <w:t xml:space="preserve"> (Rules).</w:t>
      </w:r>
    </w:p>
  </w:footnote>
  <w:footnote w:id="3">
    <w:p w:rsidR="00C64351" w:rsidRDefault="00C64351" w:rsidP="000F1E16">
      <w:pPr>
        <w:pStyle w:val="FootnoteText"/>
      </w:pPr>
      <w:r>
        <w:rPr>
          <w:rStyle w:val="FootnoteReference"/>
        </w:rPr>
        <w:footnoteRef/>
      </w:r>
      <w:r>
        <w:t xml:space="preserve">  All statutory references are to the Public Utilities Code unless otherwise indicated.</w:t>
      </w:r>
    </w:p>
  </w:footnote>
  <w:footnote w:id="4">
    <w:p w:rsidR="00C64351" w:rsidRDefault="00C64351" w:rsidP="00110655">
      <w:pPr>
        <w:pStyle w:val="FootnoteText"/>
      </w:pPr>
      <w:r>
        <w:rPr>
          <w:rStyle w:val="FootnoteReference"/>
        </w:rPr>
        <w:footnoteRef/>
      </w:r>
      <w:r>
        <w:t xml:space="preserve">  The term “EIR” is used generally to refer to the draft EIR and the final EIR.  Specific reference is made to each document when necessary.</w:t>
      </w:r>
    </w:p>
  </w:footnote>
  <w:footnote w:id="5">
    <w:p w:rsidR="00C64351" w:rsidRDefault="00C64351" w:rsidP="00955927">
      <w:pPr>
        <w:pStyle w:val="FootnoteText"/>
      </w:pPr>
      <w:r>
        <w:rPr>
          <w:rStyle w:val="FootnoteReference"/>
        </w:rPr>
        <w:footnoteRef/>
      </w:r>
      <w:r>
        <w:t xml:space="preserve">  Section 963(b)(3) states:  </w:t>
      </w:r>
      <w:r w:rsidRPr="00C62E73">
        <w:rPr>
          <w:szCs w:val="24"/>
        </w:rPr>
        <w:t xml:space="preserve">It is the policy of the state that the commission and each gas corporation place safety of the public and gas corporation employees as the top priority. </w:t>
      </w:r>
      <w:r>
        <w:rPr>
          <w:szCs w:val="24"/>
        </w:rPr>
        <w:t xml:space="preserve"> </w:t>
      </w:r>
      <w:r w:rsidRPr="00C62E73">
        <w:rPr>
          <w:szCs w:val="24"/>
        </w:rPr>
        <w:t>The commission shall take all reasonable and appropriate actions necessary to carry out the safety priority policy of this paragraph consistent with the principle of just and reasonable cost-based rates.</w:t>
      </w:r>
    </w:p>
  </w:footnote>
  <w:footnote w:id="6">
    <w:p w:rsidR="00C64351" w:rsidRDefault="00C64351" w:rsidP="00955927">
      <w:pPr>
        <w:pStyle w:val="FootnoteText"/>
      </w:pPr>
      <w:r>
        <w:rPr>
          <w:rStyle w:val="FootnoteReference"/>
        </w:rPr>
        <w:footnoteRef/>
      </w:r>
      <w:r>
        <w:t xml:space="preserve">  </w:t>
      </w:r>
      <w:r w:rsidRPr="00ED7C32">
        <w:t>Draft EIR at 4.8-11.</w:t>
      </w:r>
    </w:p>
  </w:footnote>
  <w:footnote w:id="7">
    <w:p w:rsidR="00C64351" w:rsidRPr="000B7D23" w:rsidRDefault="00C64351" w:rsidP="003226F7">
      <w:pPr>
        <w:pStyle w:val="FootnoteText"/>
        <w:rPr>
          <w:szCs w:val="24"/>
        </w:rPr>
      </w:pPr>
      <w:r>
        <w:rPr>
          <w:rStyle w:val="FootnoteReference"/>
        </w:rPr>
        <w:footnoteRef/>
      </w:r>
      <w:r>
        <w:t xml:space="preserve">  </w:t>
      </w:r>
      <w:r w:rsidRPr="000B7D23">
        <w:rPr>
          <w:szCs w:val="24"/>
        </w:rPr>
        <w:t xml:space="preserve">An EIR must include a description of the physical environmental conditions in the vicinity of the project, </w:t>
      </w:r>
      <w:r w:rsidRPr="00A853A2">
        <w:rPr>
          <w:szCs w:val="24"/>
        </w:rPr>
        <w:t>as they exist at the time the notice of preparation is published, or if no notice of preparation is published, at the time environmental analysis is commenced</w:t>
      </w:r>
      <w:r w:rsidRPr="000B7D23">
        <w:rPr>
          <w:szCs w:val="24"/>
        </w:rPr>
        <w:t xml:space="preserve">, from both a local and regional perspective. </w:t>
      </w:r>
      <w:r>
        <w:rPr>
          <w:szCs w:val="24"/>
        </w:rPr>
        <w:t xml:space="preserve"> </w:t>
      </w:r>
      <w:r w:rsidRPr="000B7D23">
        <w:rPr>
          <w:szCs w:val="24"/>
        </w:rPr>
        <w:t>This environmental setting will normally constitute the baseline physical conditions by which a lead agency determines whether an impact is significant.</w:t>
      </w:r>
      <w:r>
        <w:rPr>
          <w:szCs w:val="24"/>
        </w:rPr>
        <w:t xml:space="preserve">  CEQA Guidelines 15125(a)</w:t>
      </w:r>
      <w:r w:rsidRPr="000B7D23">
        <w:rPr>
          <w:szCs w:val="24"/>
        </w:rPr>
        <w:t>.</w:t>
      </w:r>
    </w:p>
  </w:footnote>
  <w:footnote w:id="8">
    <w:p w:rsidR="00C64351" w:rsidRDefault="00C64351" w:rsidP="003226F7">
      <w:pPr>
        <w:pStyle w:val="FootnoteText"/>
      </w:pPr>
      <w:r>
        <w:rPr>
          <w:rStyle w:val="FootnoteReference"/>
        </w:rPr>
        <w:footnoteRef/>
      </w:r>
      <w:r>
        <w:t xml:space="preserve">  The revised draft EIR states that t</w:t>
      </w:r>
      <w:r w:rsidRPr="007403A9">
        <w:t xml:space="preserve">he </w:t>
      </w:r>
      <w:r>
        <w:t>Facility</w:t>
      </w:r>
      <w:r w:rsidRPr="007403A9">
        <w:t xml:space="preserve"> is located entirely within a Very High fire hazard severity zone</w:t>
      </w:r>
      <w:r>
        <w:t>.  Appendix A, Revised Draft EIR at 4.8-15:21.  The draft EIR further states the operation of the Project components is not likely to substantially change the existing exposure of persons or structures to wildland fire risk because project operations would be similar in nature and scope to the existing operations at the Facility</w:t>
      </w:r>
      <w:r w:rsidRPr="007403A9">
        <w:t xml:space="preserve"> </w:t>
      </w:r>
      <w:r>
        <w:t>and the existing transmission lines and substations.  Appendix A, Revised Draft EIR at 4.8-49:39-42.</w:t>
      </w:r>
    </w:p>
  </w:footnote>
  <w:footnote w:id="9">
    <w:p w:rsidR="00C64351" w:rsidRDefault="00C64351" w:rsidP="0069383E">
      <w:pPr>
        <w:pStyle w:val="FootnoteText"/>
      </w:pPr>
      <w:r>
        <w:rPr>
          <w:rStyle w:val="FootnoteReference"/>
        </w:rPr>
        <w:footnoteRef/>
      </w:r>
      <w:r>
        <w:t xml:space="preserve">  The signatories to the Joint Response are </w:t>
      </w:r>
      <w:r w:rsidRPr="00950FF7">
        <w:t xml:space="preserve">the San Diego Gas &amp; Electric Company (SDG&amp;E), SoCalGas, the </w:t>
      </w:r>
      <w:r w:rsidRPr="00903F85">
        <w:t>Division of Ratepayer Advocates (DRA</w:t>
      </w:r>
      <w:r>
        <w:t>, n</w:t>
      </w:r>
      <w:r w:rsidRPr="00903F85">
        <w:t>ow the Office of Ratepayer Advocates</w:t>
      </w:r>
      <w:r>
        <w:t>),</w:t>
      </w:r>
      <w:r w:rsidRPr="00950FF7">
        <w:t xml:space="preserve"> </w:t>
      </w:r>
      <w:r>
        <w:t>SCE</w:t>
      </w:r>
      <w:r w:rsidRPr="00950FF7">
        <w:t>, the Indicated Producers, Southern California Generation Coalition, the City of Long Beach, Southwest Gas Corporation, Watson Cogeneration Company, California Cogeneration Council, and the California Manufacturers and Technology Association</w:t>
      </w:r>
      <w:r>
        <w:t>.  The signatories are parties to A.08-02-001 that reached an agreement resolving all of the</w:t>
      </w:r>
      <w:r w:rsidRPr="003B2ACC">
        <w:t xml:space="preserve"> </w:t>
      </w:r>
      <w:r>
        <w:t xml:space="preserve">issues in </w:t>
      </w:r>
      <w:r w:rsidRPr="00FF09F3">
        <w:t xml:space="preserve">Phase 1 </w:t>
      </w:r>
      <w:r>
        <w:t xml:space="preserve">of </w:t>
      </w:r>
      <w:r w:rsidRPr="008834A4">
        <w:t>SoCalGas</w:t>
      </w:r>
      <w:r>
        <w:t>’ Biennial Cost Allocation Proceeding (</w:t>
      </w:r>
      <w:r w:rsidRPr="00FF09F3">
        <w:t>BCAP Phase 1 Settlement)</w:t>
      </w:r>
      <w:r>
        <w:t xml:space="preserve">, and are referred to </w:t>
      </w:r>
      <w:r w:rsidRPr="008167C5">
        <w:t>jointly</w:t>
      </w:r>
      <w:r>
        <w:t xml:space="preserve"> as the “</w:t>
      </w:r>
      <w:r w:rsidRPr="00FF09F3">
        <w:t xml:space="preserve">BCAP Phase 1 </w:t>
      </w:r>
      <w:r w:rsidRPr="008167C5">
        <w:t>Settlement Parties</w:t>
      </w:r>
      <w:r>
        <w:t xml:space="preserve">.”  </w:t>
      </w:r>
    </w:p>
  </w:footnote>
  <w:footnote w:id="10">
    <w:p w:rsidR="00C64351" w:rsidRDefault="00C64351" w:rsidP="0069383E">
      <w:pPr>
        <w:pStyle w:val="FootnoteText"/>
      </w:pPr>
      <w:r>
        <w:rPr>
          <w:rStyle w:val="FootnoteReference"/>
        </w:rPr>
        <w:footnoteRef/>
      </w:r>
      <w:r>
        <w:t xml:space="preserve">  The </w:t>
      </w:r>
      <w:r w:rsidRPr="00FF09F3">
        <w:t xml:space="preserve">BCAP Phase 1 </w:t>
      </w:r>
      <w:r w:rsidRPr="008167C5">
        <w:t>Settlement Parties</w:t>
      </w:r>
      <w:r w:rsidRPr="00950FF7">
        <w:t xml:space="preserve"> </w:t>
      </w:r>
    </w:p>
  </w:footnote>
  <w:footnote w:id="11">
    <w:p w:rsidR="00C64351" w:rsidRDefault="00C64351" w:rsidP="00EF44B5">
      <w:pPr>
        <w:pStyle w:val="FootnoteText"/>
      </w:pPr>
      <w:r>
        <w:rPr>
          <w:rStyle w:val="FootnoteReference"/>
        </w:rPr>
        <w:footnoteRef/>
      </w:r>
      <w:r>
        <w:t xml:space="preserve">  T</w:t>
      </w:r>
      <w:r w:rsidRPr="000515E4">
        <w:t xml:space="preserve">he </w:t>
      </w:r>
      <w:r>
        <w:t>Project</w:t>
      </w:r>
      <w:r w:rsidRPr="000515E4">
        <w:t xml:space="preserve"> includes only those non-electrical improvements and activities proposed within the Storage Field</w:t>
      </w:r>
      <w:r>
        <w:t xml:space="preserve">.  However, for purposes </w:t>
      </w:r>
      <w:r w:rsidRPr="000515E4">
        <w:t>of CEQA</w:t>
      </w:r>
      <w:r>
        <w:t>,</w:t>
      </w:r>
      <w:r w:rsidRPr="000515E4">
        <w:t xml:space="preserve"> the </w:t>
      </w:r>
      <w:r>
        <w:t>Project</w:t>
      </w:r>
      <w:r w:rsidRPr="000515E4">
        <w:t xml:space="preserve"> includes improvements and activities related to electric system modifications for which SCE will seek separate authorization from the Commission.</w:t>
      </w:r>
    </w:p>
  </w:footnote>
  <w:footnote w:id="12">
    <w:p w:rsidR="00C64351" w:rsidRDefault="00C64351" w:rsidP="00EF44B5">
      <w:pPr>
        <w:pStyle w:val="FootnoteText"/>
      </w:pPr>
      <w:r>
        <w:rPr>
          <w:rStyle w:val="FootnoteReference"/>
        </w:rPr>
        <w:footnoteRef/>
      </w:r>
      <w:r>
        <w:t xml:space="preserve">  On March 24, 2010, the Commission’s Energy Division notified SoCalGas</w:t>
      </w:r>
      <w:r w:rsidRPr="00442C6F">
        <w:t xml:space="preserve"> </w:t>
      </w:r>
      <w:r>
        <w:t>that the Application has been deemed complete for purposes of Rule 2.4, and that an environmental impact report is required for the Project.</w:t>
      </w:r>
    </w:p>
  </w:footnote>
  <w:footnote w:id="13">
    <w:p w:rsidR="00C64351" w:rsidRPr="006312A3" w:rsidRDefault="00C64351" w:rsidP="00EF44B5">
      <w:pPr>
        <w:pStyle w:val="FootnoteText"/>
        <w:rPr>
          <w:szCs w:val="24"/>
        </w:rPr>
      </w:pPr>
      <w:r>
        <w:rPr>
          <w:rStyle w:val="FootnoteReference"/>
        </w:rPr>
        <w:footnoteRef/>
      </w:r>
      <w:r>
        <w:t xml:space="preserve">  </w:t>
      </w:r>
      <w:r w:rsidRPr="006312A3">
        <w:rPr>
          <w:szCs w:val="24"/>
        </w:rPr>
        <w:t>Porter Ranch residents Allen Starczyk, Nancy Starczyk, and Warlito and</w:t>
      </w:r>
      <w:r>
        <w:rPr>
          <w:szCs w:val="24"/>
        </w:rPr>
        <w:t xml:space="preserve"> Angelica </w:t>
      </w:r>
      <w:r w:rsidRPr="006312A3">
        <w:rPr>
          <w:szCs w:val="24"/>
        </w:rPr>
        <w:t xml:space="preserve">Bagasao also submitted protests identical to the Rogers and Herman protests.  However, these protests had defects and were rejected by the Commission’s </w:t>
      </w:r>
      <w:smartTag w:uri="urn:schemas-microsoft-com:office:smarttags" w:element="PersonName">
        <w:r w:rsidRPr="006312A3">
          <w:rPr>
            <w:szCs w:val="24"/>
          </w:rPr>
          <w:t>Docket Office</w:t>
        </w:r>
      </w:smartTag>
      <w:r w:rsidRPr="006312A3">
        <w:rPr>
          <w:szCs w:val="24"/>
        </w:rPr>
        <w:t xml:space="preserve">.  The defects </w:t>
      </w:r>
      <w:r>
        <w:rPr>
          <w:szCs w:val="24"/>
        </w:rPr>
        <w:t>were</w:t>
      </w:r>
      <w:r w:rsidRPr="006312A3">
        <w:rPr>
          <w:szCs w:val="24"/>
        </w:rPr>
        <w:t xml:space="preserve"> not corrected and, as a result, these Porter Ranch residents have been placed on the Information Only portion of the service list.</w:t>
      </w:r>
    </w:p>
  </w:footnote>
  <w:footnote w:id="14">
    <w:p w:rsidR="00C64351" w:rsidRDefault="00C64351">
      <w:pPr>
        <w:pStyle w:val="FootnoteText"/>
      </w:pPr>
      <w:r>
        <w:rPr>
          <w:rStyle w:val="FootnoteReference"/>
        </w:rPr>
        <w:footnoteRef/>
      </w:r>
      <w:r>
        <w:t xml:space="preserve">  </w:t>
      </w:r>
      <w:r w:rsidRPr="005D2669">
        <w:t xml:space="preserve">TURN initially protested the proposed revenue requirement and cost allocation for the </w:t>
      </w:r>
      <w:r>
        <w:t>Project.</w:t>
      </w:r>
    </w:p>
  </w:footnote>
  <w:footnote w:id="15">
    <w:p w:rsidR="00C64351" w:rsidRDefault="00C64351" w:rsidP="00EF44B5">
      <w:pPr>
        <w:pStyle w:val="FootnoteText"/>
      </w:pPr>
      <w:r>
        <w:rPr>
          <w:rStyle w:val="FootnoteReference"/>
        </w:rPr>
        <w:footnoteRef/>
      </w:r>
      <w:r>
        <w:t xml:space="preserve">  SoCalGas did not reply to the Herman protest.  However, the Herman protest is identical to the Rogers protest.</w:t>
      </w:r>
    </w:p>
  </w:footnote>
  <w:footnote w:id="16">
    <w:p w:rsidR="00C64351" w:rsidRPr="009C40D5" w:rsidRDefault="00C64351" w:rsidP="00EF44B5">
      <w:pPr>
        <w:pStyle w:val="FootnoteText"/>
        <w:rPr>
          <w:szCs w:val="24"/>
        </w:rPr>
      </w:pPr>
      <w:r>
        <w:rPr>
          <w:rStyle w:val="FootnoteReference"/>
        </w:rPr>
        <w:footnoteRef/>
      </w:r>
      <w:r>
        <w:t xml:space="preserve">  </w:t>
      </w:r>
      <w:r w:rsidRPr="009C40D5">
        <w:rPr>
          <w:szCs w:val="24"/>
        </w:rPr>
        <w:t>The Energy Division accepted comments on the draft EIR until May 22, 2012.</w:t>
      </w:r>
    </w:p>
  </w:footnote>
  <w:footnote w:id="17">
    <w:p w:rsidR="00C64351" w:rsidRPr="00975DBA" w:rsidRDefault="00C64351" w:rsidP="00EF44B5">
      <w:pPr>
        <w:autoSpaceDE w:val="0"/>
        <w:autoSpaceDN w:val="0"/>
        <w:adjustRightInd w:val="0"/>
        <w:spacing w:after="240"/>
        <w:rPr>
          <w:sz w:val="24"/>
        </w:rPr>
      </w:pPr>
      <w:r>
        <w:rPr>
          <w:rStyle w:val="FootnoteReference"/>
        </w:rPr>
        <w:footnoteRef/>
      </w:r>
      <w:r>
        <w:t xml:space="preserve">  </w:t>
      </w:r>
      <w:r w:rsidRPr="00975DBA">
        <w:rPr>
          <w:sz w:val="24"/>
        </w:rPr>
        <w:t xml:space="preserve">Rulemaking to Revise and Clarify Commission Regulations Relating to the Safety of Electric Utility and Communications Infrastructure Provider Facilities.  </w:t>
      </w:r>
      <w:r w:rsidRPr="004054BB">
        <w:rPr>
          <w:sz w:val="24"/>
        </w:rPr>
        <w:t>D</w:t>
      </w:r>
      <w:r>
        <w:rPr>
          <w:sz w:val="24"/>
        </w:rPr>
        <w:t>.09</w:t>
      </w:r>
      <w:r>
        <w:rPr>
          <w:sz w:val="24"/>
        </w:rPr>
        <w:noBreakHyphen/>
        <w:t xml:space="preserve">08-029 and D.12-01-032 </w:t>
      </w:r>
      <w:r w:rsidRPr="004054BB">
        <w:rPr>
          <w:sz w:val="24"/>
        </w:rPr>
        <w:t>adopted regulations to reduce the fire hazards associated with overhead power lines and aerial communication facilities located in close proximity to power lines.</w:t>
      </w:r>
    </w:p>
  </w:footnote>
  <w:footnote w:id="18">
    <w:p w:rsidR="00C64351" w:rsidRDefault="00C64351" w:rsidP="00EF44B5">
      <w:pPr>
        <w:pStyle w:val="FootnoteText"/>
      </w:pPr>
      <w:r>
        <w:rPr>
          <w:rStyle w:val="FootnoteReference"/>
        </w:rPr>
        <w:footnoteRef/>
      </w:r>
      <w:r>
        <w:t xml:space="preserve">  </w:t>
      </w:r>
      <w:r w:rsidRPr="00202880">
        <w:t xml:space="preserve">On October 19, 2012, Rogers requested, on behalf of himself and Herman, that </w:t>
      </w:r>
      <w:r>
        <w:t>EHs</w:t>
      </w:r>
      <w:r w:rsidRPr="00202880">
        <w:t xml:space="preserve"> be postponed until the conclusion of the trial concerning the Brown Canyon homeowner’s group lawsuits in connection with the 2008 Sesnon fire</w:t>
      </w:r>
      <w:r>
        <w:t xml:space="preserve">.  On </w:t>
      </w:r>
      <w:r w:rsidRPr="00202880">
        <w:t>October 22, 2012, SoCalGas oppos</w:t>
      </w:r>
      <w:r>
        <w:t>ed</w:t>
      </w:r>
      <w:r w:rsidRPr="00202880">
        <w:t xml:space="preserve"> </w:t>
      </w:r>
      <w:r>
        <w:t>the</w:t>
      </w:r>
      <w:r w:rsidRPr="00202880">
        <w:t xml:space="preserve"> request</w:t>
      </w:r>
      <w:r>
        <w:t>.</w:t>
      </w:r>
    </w:p>
  </w:footnote>
  <w:footnote w:id="19">
    <w:p w:rsidR="00C64351" w:rsidRDefault="00C64351">
      <w:pPr>
        <w:pStyle w:val="FootnoteText"/>
      </w:pPr>
      <w:r>
        <w:rPr>
          <w:rStyle w:val="FootnoteReference"/>
        </w:rPr>
        <w:footnoteRef/>
      </w:r>
      <w:r>
        <w:t xml:space="preserve">  Conclusions of Law 1 and 2.</w:t>
      </w:r>
    </w:p>
  </w:footnote>
  <w:footnote w:id="20">
    <w:p w:rsidR="00C64351" w:rsidRDefault="00C64351">
      <w:pPr>
        <w:pStyle w:val="FootnoteText"/>
      </w:pPr>
      <w:r>
        <w:rPr>
          <w:rStyle w:val="FootnoteReference"/>
        </w:rPr>
        <w:footnoteRef/>
      </w:r>
      <w:r>
        <w:t xml:space="preserve">  SoCalGas’s financial statement is contained in Appendix D to the Application.</w:t>
      </w:r>
    </w:p>
  </w:footnote>
  <w:footnote w:id="21">
    <w:p w:rsidR="00C64351" w:rsidRDefault="00C64351">
      <w:pPr>
        <w:pStyle w:val="FootnoteText"/>
      </w:pPr>
      <w:r>
        <w:rPr>
          <w:rStyle w:val="FootnoteReference"/>
        </w:rPr>
        <w:footnoteRef/>
      </w:r>
      <w:r>
        <w:t xml:space="preserve">  Approximately 30 members of the public attended the PPH and three people spoke.  TR 7:13 – 20:17.</w:t>
      </w:r>
    </w:p>
  </w:footnote>
  <w:footnote w:id="22">
    <w:p w:rsidR="00C64351" w:rsidRDefault="00C64351">
      <w:pPr>
        <w:pStyle w:val="FootnoteText"/>
      </w:pPr>
      <w:r>
        <w:rPr>
          <w:rStyle w:val="FootnoteReference"/>
        </w:rPr>
        <w:footnoteRef/>
      </w:r>
      <w:r>
        <w:t xml:space="preserve">  Final EIR, Section 4.14.</w:t>
      </w:r>
    </w:p>
  </w:footnote>
  <w:footnote w:id="23">
    <w:p w:rsidR="00C64351" w:rsidRDefault="00C64351" w:rsidP="008F4AAE">
      <w:pPr>
        <w:pStyle w:val="FootnoteText"/>
        <w:spacing w:after="120"/>
      </w:pPr>
      <w:r>
        <w:rPr>
          <w:rStyle w:val="FootnoteReference"/>
        </w:rPr>
        <w:footnoteRef/>
      </w:r>
      <w:r>
        <w:t xml:space="preserve">  </w:t>
      </w:r>
      <w:r w:rsidRPr="003C78BD">
        <w:t xml:space="preserve">Telecommunications Route </w:t>
      </w:r>
      <w:r>
        <w:t xml:space="preserve">No. </w:t>
      </w:r>
      <w:r w:rsidRPr="003C78BD">
        <w:t>1 would be located near Vista Valencia Golf Course, Old Orchard Park, Ed Davis Park, East and Rice Canyon, and Pico Canyon County Park.</w:t>
      </w:r>
      <w:r>
        <w:t xml:space="preserve"> </w:t>
      </w:r>
      <w:r w:rsidRPr="003C78BD">
        <w:t xml:space="preserve"> Telecommunications Route </w:t>
      </w:r>
      <w:r>
        <w:t xml:space="preserve">No. </w:t>
      </w:r>
      <w:r w:rsidRPr="003C78BD">
        <w:t>2 would traverse Sage Ranch Park, Corriganville Regional Park, Santa Susana Pass State Historic Park, Michael D. Antonovich Regional Park at Joughin Ranch, and Brown’s Creek Park.</w:t>
      </w:r>
    </w:p>
    <w:p w:rsidR="00C64351" w:rsidRDefault="00C64351">
      <w:pPr>
        <w:pStyle w:val="FootnoteText"/>
      </w:pPr>
      <w:r>
        <w:t>In a</w:t>
      </w:r>
      <w:r w:rsidRPr="003C78BD">
        <w:t>ddition, Santa Susan Park, Chatsworth Natural Preserve, Chatsworth Park South, Chatsworth Park North, Garden of the Gods, Stony Point Park, Indian Springs Open Space, and Chatsworth Oaks Park are located near the proposed fiber optic route. Telecommunications Route #3 would be located near Brand Park, Carey Ranch Park, Layne Park, Las Palmas Park, an unnamed park on Park Avenue and First Street</w:t>
      </w:r>
      <w:r w:rsidRPr="00F33087">
        <w:t xml:space="preserve"> </w:t>
      </w:r>
      <w:r>
        <w:t xml:space="preserve">in the </w:t>
      </w:r>
      <w:r w:rsidRPr="003C78BD">
        <w:t>City of San Fernando, Glen Oaks Park, Pioneer Par</w:t>
      </w:r>
      <w:r>
        <w:t>k, Sylmar Recreation Center, El </w:t>
      </w:r>
      <w:r w:rsidRPr="003C78BD">
        <w:t>Cariso Golf Course, and El Cariso Regional Park.</w:t>
      </w:r>
    </w:p>
  </w:footnote>
  <w:footnote w:id="24">
    <w:p w:rsidR="00C64351" w:rsidRDefault="00C64351" w:rsidP="00CD03C4">
      <w:pPr>
        <w:pStyle w:val="FootnoteText"/>
      </w:pPr>
      <w:r>
        <w:rPr>
          <w:rStyle w:val="FootnoteReference"/>
        </w:rPr>
        <w:footnoteRef/>
      </w:r>
      <w:r>
        <w:t xml:space="preserve">  Decision 79751, issued February 23, 1972, granted a CPCN to construct and operate the Facility.</w:t>
      </w:r>
    </w:p>
  </w:footnote>
  <w:footnote w:id="25">
    <w:p w:rsidR="00C64351" w:rsidRDefault="00C64351">
      <w:pPr>
        <w:pStyle w:val="FootnoteText"/>
      </w:pPr>
      <w:r>
        <w:rPr>
          <w:rStyle w:val="FootnoteReference"/>
        </w:rPr>
        <w:footnoteRef/>
      </w:r>
      <w:r>
        <w:t xml:space="preserve">  </w:t>
      </w:r>
      <w:r w:rsidRPr="0093519E">
        <w:t>EIR, Appendix A (Revisions to Draft EIR), 4.1-22 to 4.1-33</w:t>
      </w:r>
      <w:r>
        <w:t xml:space="preserve">. </w:t>
      </w:r>
    </w:p>
  </w:footnote>
  <w:footnote w:id="26">
    <w:p w:rsidR="00C64351" w:rsidRDefault="00C64351">
      <w:pPr>
        <w:pStyle w:val="FootnoteText"/>
      </w:pPr>
      <w:r>
        <w:rPr>
          <w:rStyle w:val="FootnoteReference"/>
        </w:rPr>
        <w:footnoteRef/>
      </w:r>
      <w:r>
        <w:t xml:space="preserve">  </w:t>
      </w:r>
      <w:r w:rsidRPr="00BD2609">
        <w:rPr>
          <w:i/>
        </w:rPr>
        <w:t>Ibid.</w:t>
      </w:r>
    </w:p>
  </w:footnote>
  <w:footnote w:id="27">
    <w:p w:rsidR="00C64351" w:rsidRDefault="00C64351" w:rsidP="00B4033F">
      <w:pPr>
        <w:pStyle w:val="FootnoteText"/>
      </w:pPr>
      <w:r>
        <w:rPr>
          <w:rStyle w:val="FootnoteReference"/>
        </w:rPr>
        <w:footnoteRef/>
      </w:r>
      <w:r>
        <w:t xml:space="preserve">  </w:t>
      </w:r>
      <w:r w:rsidRPr="00F1376A">
        <w:t xml:space="preserve">The NOP provided a general description of the </w:t>
      </w:r>
      <w:r>
        <w:t>Project</w:t>
      </w:r>
      <w:r w:rsidRPr="00F1376A">
        <w:t xml:space="preserve"> and a summary of the main regulations and permit conditions applicable to </w:t>
      </w:r>
      <w:r>
        <w:t>its development and operation.</w:t>
      </w:r>
    </w:p>
  </w:footnote>
  <w:footnote w:id="28">
    <w:p w:rsidR="00C64351" w:rsidRPr="00FF4909" w:rsidRDefault="00C64351" w:rsidP="00802BB5">
      <w:pPr>
        <w:autoSpaceDE w:val="0"/>
        <w:autoSpaceDN w:val="0"/>
        <w:adjustRightInd w:val="0"/>
      </w:pPr>
      <w:r>
        <w:rPr>
          <w:rStyle w:val="FootnoteReference"/>
        </w:rPr>
        <w:footnoteRef/>
      </w:r>
      <w:r>
        <w:t xml:space="preserve">  </w:t>
      </w:r>
      <w:r w:rsidRPr="00802BB5">
        <w:rPr>
          <w:sz w:val="24"/>
        </w:rPr>
        <w:t>Notice for the public scoping meeting was published on October 21 and 28, 2010</w:t>
      </w:r>
      <w:r>
        <w:rPr>
          <w:sz w:val="24"/>
        </w:rPr>
        <w:t>,</w:t>
      </w:r>
      <w:r w:rsidRPr="00802BB5">
        <w:rPr>
          <w:sz w:val="24"/>
        </w:rPr>
        <w:t xml:space="preserve"> in the Santa</w:t>
      </w:r>
      <w:r>
        <w:rPr>
          <w:sz w:val="24"/>
        </w:rPr>
        <w:t xml:space="preserve"> </w:t>
      </w:r>
      <w:r w:rsidRPr="00802BB5">
        <w:rPr>
          <w:sz w:val="24"/>
        </w:rPr>
        <w:t>Clarita Valley Signal and the Los Angeles Daily News</w:t>
      </w:r>
      <w:r w:rsidRPr="00FF4909">
        <w:t>.</w:t>
      </w:r>
    </w:p>
  </w:footnote>
  <w:footnote w:id="29">
    <w:p w:rsidR="00C64351" w:rsidRPr="006659A4" w:rsidRDefault="00C64351" w:rsidP="00B4033F">
      <w:pPr>
        <w:pStyle w:val="FootnoteText"/>
        <w:rPr>
          <w:rFonts w:ascii="Times New Roman" w:hAnsi="Times New Roman"/>
        </w:rPr>
      </w:pPr>
      <w:r>
        <w:rPr>
          <w:rStyle w:val="FootnoteReference"/>
        </w:rPr>
        <w:footnoteRef/>
      </w:r>
      <w:r>
        <w:t xml:space="preserve">  Pursuant to the Scoping Memo, parties were permitted in briefs to challenge the conclusions or recommendations in the EIR, the adequacy of the EIR, or the EIR’s compliance with CEQA.</w:t>
      </w:r>
    </w:p>
  </w:footnote>
  <w:footnote w:id="30">
    <w:p w:rsidR="00C64351" w:rsidRPr="00E306D2" w:rsidRDefault="00C64351" w:rsidP="00B4033F">
      <w:pPr>
        <w:pStyle w:val="FootnoteText"/>
        <w:rPr>
          <w:rFonts w:ascii="Times New Roman" w:hAnsi="Times New Roman"/>
        </w:rPr>
      </w:pPr>
      <w:r>
        <w:rPr>
          <w:rStyle w:val="FootnoteReference"/>
        </w:rPr>
        <w:footnoteRef/>
      </w:r>
      <w:r>
        <w:t xml:space="preserve">  The information in an EIR may constitute substantial evidence in the record to support the agency’s action on the project if its decision is later challenged in court.</w:t>
      </w:r>
    </w:p>
  </w:footnote>
  <w:footnote w:id="31">
    <w:p w:rsidR="00C64351" w:rsidRDefault="00C64351">
      <w:pPr>
        <w:pStyle w:val="FootnoteText"/>
      </w:pPr>
      <w:r>
        <w:rPr>
          <w:rStyle w:val="FootnoteReference"/>
        </w:rPr>
        <w:footnoteRef/>
      </w:r>
      <w:r>
        <w:t xml:space="preserve">  In its comments on the ALJ’s proposed decision, SCE asserts for the first time that Mitigation Measure BR-5 is infeasible.  Mitigation Measure BR-5, among other things, requires maintenance of an </w:t>
      </w:r>
      <w:r w:rsidRPr="008F6010">
        <w:t xml:space="preserve">exclusionary buffer of </w:t>
      </w:r>
      <w:r>
        <w:t xml:space="preserve">at least </w:t>
      </w:r>
      <w:r w:rsidRPr="008F6010">
        <w:t>50 feet from the delineated extent of all jurisdictional wetland features during project</w:t>
      </w:r>
      <w:r>
        <w:t xml:space="preserve"> construction.  SCE did not raise any concerns about this mitigation measure in its May 22, 2012 comments on the draft EIR, and there is nothing in the record of this proceeding to support SCE’s assertion of infeasibility. </w:t>
      </w:r>
    </w:p>
  </w:footnote>
  <w:footnote w:id="32">
    <w:p w:rsidR="00C64351" w:rsidRDefault="00C64351">
      <w:pPr>
        <w:pStyle w:val="FootnoteText"/>
      </w:pPr>
      <w:r>
        <w:rPr>
          <w:rStyle w:val="FootnoteReference"/>
        </w:rPr>
        <w:footnoteRef/>
      </w:r>
      <w:r>
        <w:t xml:space="preserve">  Under Routing Alternative A, </w:t>
      </w:r>
      <w:r w:rsidRPr="00A20661">
        <w:t xml:space="preserve">Telecommunications Route #3 </w:t>
      </w:r>
      <w:r>
        <w:t xml:space="preserve">would </w:t>
      </w:r>
      <w:r w:rsidRPr="00A20661">
        <w:t xml:space="preserve">be routed from </w:t>
      </w:r>
      <w:r>
        <w:t xml:space="preserve">the </w:t>
      </w:r>
      <w:r w:rsidRPr="00A20661">
        <w:t xml:space="preserve">Sylmar Substation to </w:t>
      </w:r>
      <w:r>
        <w:t xml:space="preserve">the </w:t>
      </w:r>
      <w:r w:rsidRPr="00A20661">
        <w:t>San Fernando Substation.</w:t>
      </w:r>
      <w:r>
        <w:t xml:space="preserve"> </w:t>
      </w:r>
      <w:r w:rsidRPr="00A20661">
        <w:t xml:space="preserve"> </w:t>
      </w:r>
      <w:r>
        <w:t xml:space="preserve">According to the Draft EIR, </w:t>
      </w:r>
      <w:r w:rsidRPr="00A20661">
        <w:t xml:space="preserve">Routing Alternative A was proposed by SCE in response to a request by </w:t>
      </w:r>
      <w:r>
        <w:t>Commission staff</w:t>
      </w:r>
      <w:r w:rsidRPr="00A20661">
        <w:t xml:space="preserve"> during the EIR preparation process for more specific information about the telecommunications line routes. </w:t>
      </w:r>
      <w:r>
        <w:t xml:space="preserve"> </w:t>
      </w:r>
      <w:r w:rsidRPr="00A20661">
        <w:t xml:space="preserve">SCE later submitted Telecommunications Route #3 (San Fernando Substation to Fiber Optic Connection Point) as the proposed route, and the </w:t>
      </w:r>
      <w:r>
        <w:t>Commission staff</w:t>
      </w:r>
      <w:r w:rsidRPr="00A20661">
        <w:t xml:space="preserve"> chose to consider the original</w:t>
      </w:r>
      <w:r>
        <w:t>ly proposed</w:t>
      </w:r>
      <w:r w:rsidRPr="00A20661">
        <w:t xml:space="preserve"> route as an alternative.</w:t>
      </w:r>
      <w:r>
        <w:t xml:space="preserve">  B</w:t>
      </w:r>
      <w:r w:rsidRPr="00A20661">
        <w:t>oth the proposed and alternative routes</w:t>
      </w:r>
      <w:r>
        <w:t xml:space="preserve"> would require the installation of </w:t>
      </w:r>
      <w:r w:rsidRPr="00A20661">
        <w:t xml:space="preserve">new fiber optic cable primarily overhead on existing SCE and Los Angeles Department of Water and Power electrical distribution line structures. </w:t>
      </w:r>
      <w:r>
        <w:t xml:space="preserve"> </w:t>
      </w:r>
      <w:r w:rsidRPr="00A20661">
        <w:t>The</w:t>
      </w:r>
      <w:r>
        <w:t xml:space="preserve"> proposed route would be 27,018 </w:t>
      </w:r>
      <w:r w:rsidRPr="00A20661">
        <w:t>feet long (5.1 miles) and require approximately 1,200 feet of new underground conduit.</w:t>
      </w:r>
      <w:r>
        <w:t xml:space="preserve"> </w:t>
      </w:r>
      <w:r w:rsidRPr="00A20661">
        <w:t xml:space="preserve"> The alternative route would be 25,560 feet long (4.8 miles) and require approximately 1,300 feet of new underground conduit.</w:t>
      </w:r>
      <w:r>
        <w:t xml:space="preserve"> </w:t>
      </w:r>
      <w:r w:rsidRPr="00A20661">
        <w:t xml:space="preserve"> The location of both routes would be identical for the final 1.25 miles into San Fernando Substation.</w:t>
      </w:r>
    </w:p>
  </w:footnote>
  <w:footnote w:id="33">
    <w:p w:rsidR="00C64351" w:rsidRDefault="00C64351">
      <w:pPr>
        <w:pStyle w:val="FootnoteText"/>
      </w:pPr>
      <w:r>
        <w:rPr>
          <w:rStyle w:val="FootnoteReference"/>
        </w:rPr>
        <w:footnoteRef/>
      </w:r>
      <w:r>
        <w:t xml:space="preserve">  Ref. Exh. A, </w:t>
      </w:r>
      <w:r w:rsidRPr="003954A3">
        <w:t>Volume 2 (revised draft EIR)</w:t>
      </w:r>
      <w:r>
        <w:t>, Sections 4.2, 4.10, 4.12 and 4.14.</w:t>
      </w:r>
    </w:p>
  </w:footnote>
  <w:footnote w:id="34">
    <w:p w:rsidR="00C64351" w:rsidRDefault="00C64351" w:rsidP="009A1E68">
      <w:pPr>
        <w:pStyle w:val="FootnoteText"/>
      </w:pPr>
      <w:r>
        <w:rPr>
          <w:rStyle w:val="FootnoteReference"/>
        </w:rPr>
        <w:footnoteRef/>
      </w:r>
      <w:r>
        <w:t xml:space="preserve">  Ref. Exh. A, </w:t>
      </w:r>
      <w:r w:rsidRPr="003954A3">
        <w:t>Volume 2 (revised draft EIR)</w:t>
      </w:r>
      <w:r>
        <w:t>, Section 6.1.</w:t>
      </w:r>
    </w:p>
  </w:footnote>
  <w:footnote w:id="35">
    <w:p w:rsidR="00C64351" w:rsidRDefault="00C64351" w:rsidP="009A1E68">
      <w:pPr>
        <w:pStyle w:val="FootnoteText"/>
      </w:pPr>
      <w:r>
        <w:rPr>
          <w:rStyle w:val="FootnoteReference"/>
        </w:rPr>
        <w:footnoteRef/>
      </w:r>
      <w:r>
        <w:t xml:space="preserve">  Ref. Exh. A, </w:t>
      </w:r>
      <w:r w:rsidRPr="003954A3">
        <w:t>Volume 2 (revised draft EIR)</w:t>
      </w:r>
      <w:r>
        <w:t>, Sections 4.1, 4.3 through 4.6, 4.7 through 4.9, 4.11, 4.13, and 4.15.</w:t>
      </w:r>
    </w:p>
  </w:footnote>
  <w:footnote w:id="36">
    <w:p w:rsidR="00C64351" w:rsidRDefault="00C64351" w:rsidP="00846409">
      <w:pPr>
        <w:pStyle w:val="FootnoteText"/>
      </w:pPr>
      <w:r>
        <w:rPr>
          <w:rStyle w:val="FootnoteReference"/>
        </w:rPr>
        <w:footnoteRef/>
      </w:r>
      <w:r>
        <w:t xml:space="preserve">  The EIR consists of the draft EIR and the Final EIR.</w:t>
      </w:r>
    </w:p>
  </w:footnote>
  <w:footnote w:id="37">
    <w:p w:rsidR="00C64351" w:rsidRPr="00F32DE1" w:rsidRDefault="00C64351" w:rsidP="00AC5A25">
      <w:pPr>
        <w:pStyle w:val="FootnoteText"/>
        <w:rPr>
          <w:szCs w:val="24"/>
        </w:rPr>
      </w:pPr>
      <w:r>
        <w:rPr>
          <w:rStyle w:val="FootnoteReference"/>
        </w:rPr>
        <w:footnoteRef/>
      </w:r>
      <w:r>
        <w:t xml:space="preserve">  </w:t>
      </w:r>
      <w:r>
        <w:rPr>
          <w:szCs w:val="24"/>
        </w:rPr>
        <w:t>GO 112-E specifies</w:t>
      </w:r>
      <w:r w:rsidRPr="00F32DE1">
        <w:rPr>
          <w:szCs w:val="24"/>
        </w:rPr>
        <w:t xml:space="preserve"> minimum requirements for the design, construction, quality of materials, locations, testing, operations and maintenance of facilities used in the gathering, transmission and distribution of gas and in liquefied natural gas facilities to safeguard life or limb, health, property and public welfare and to provide that adequate service will be maintained by gas utilities operating</w:t>
      </w:r>
      <w:r>
        <w:rPr>
          <w:szCs w:val="24"/>
        </w:rPr>
        <w:t xml:space="preserve"> under the jurisdiction of the C</w:t>
      </w:r>
      <w:r w:rsidRPr="00F32DE1">
        <w:rPr>
          <w:szCs w:val="24"/>
        </w:rPr>
        <w:t>ommission.</w:t>
      </w:r>
    </w:p>
  </w:footnote>
  <w:footnote w:id="38">
    <w:p w:rsidR="00C64351" w:rsidRPr="00666DC5" w:rsidRDefault="00C64351" w:rsidP="00903C57">
      <w:pPr>
        <w:pStyle w:val="FootnoteText"/>
        <w:rPr>
          <w:szCs w:val="24"/>
        </w:rPr>
      </w:pPr>
      <w:r>
        <w:rPr>
          <w:rStyle w:val="FootnoteReference"/>
        </w:rPr>
        <w:footnoteRef/>
      </w:r>
      <w:r>
        <w:t xml:space="preserve">  </w:t>
      </w:r>
      <w:r w:rsidRPr="00666DC5">
        <w:rPr>
          <w:szCs w:val="24"/>
        </w:rPr>
        <w:t>Section 1005.5(a) provides that “Whenever the commission issues to an electrical or gas corporation a certificate authorizing the new construction of any addition to or extension of the corporation’s plant estimated to cost greater than fifty million dollars ($50,000,000), the commission shall specify in the certificate a maximum cost determined to be reasonable and prudent for the facility</w:t>
      </w:r>
      <w:r>
        <w:rPr>
          <w:szCs w:val="24"/>
        </w:rPr>
        <w:t>.</w:t>
      </w:r>
      <w:r w:rsidRPr="00666DC5">
        <w:rPr>
          <w:szCs w:val="24"/>
        </w:rPr>
        <w:t>”</w:t>
      </w:r>
    </w:p>
  </w:footnote>
  <w:footnote w:id="39">
    <w:p w:rsidR="00C64351" w:rsidRDefault="00C64351">
      <w:pPr>
        <w:pStyle w:val="FootnoteText"/>
      </w:pPr>
      <w:r>
        <w:rPr>
          <w:rStyle w:val="FootnoteReference"/>
        </w:rPr>
        <w:footnoteRef/>
      </w:r>
      <w:r>
        <w:t xml:space="preserve">  Capital costs are stated in nominal dollars using a base year of 2009.  The Project Schedule anticipated Project approval by 2010 and Project completion by 2012.  See Application, Appendix A at 11 and 24.</w:t>
      </w:r>
    </w:p>
  </w:footnote>
  <w:footnote w:id="40">
    <w:p w:rsidR="00C64351" w:rsidRDefault="00C64351" w:rsidP="00903C57">
      <w:pPr>
        <w:pStyle w:val="FootnoteText"/>
      </w:pPr>
      <w:r>
        <w:rPr>
          <w:rStyle w:val="FootnoteReference"/>
        </w:rPr>
        <w:footnoteRef/>
      </w:r>
      <w:r>
        <w:t xml:space="preserve">  See § 1005.5(b). </w:t>
      </w:r>
    </w:p>
  </w:footnote>
  <w:footnote w:id="41">
    <w:p w:rsidR="00C64351" w:rsidRPr="009A404D" w:rsidRDefault="00C64351">
      <w:pPr>
        <w:pStyle w:val="FootnoteText"/>
        <w:rPr>
          <w:szCs w:val="24"/>
        </w:rPr>
      </w:pPr>
      <w:r>
        <w:rPr>
          <w:rStyle w:val="FootnoteReference"/>
        </w:rPr>
        <w:footnoteRef/>
      </w:r>
      <w:r>
        <w:t xml:space="preserve">  </w:t>
      </w:r>
      <w:r w:rsidRPr="009A404D">
        <w:rPr>
          <w:szCs w:val="24"/>
        </w:rPr>
        <w:t>The fully loaded cost</w:t>
      </w:r>
      <w:r>
        <w:rPr>
          <w:szCs w:val="24"/>
        </w:rPr>
        <w:t xml:space="preserve"> </w:t>
      </w:r>
      <w:r w:rsidRPr="009A404D">
        <w:rPr>
          <w:szCs w:val="24"/>
        </w:rPr>
        <w:t xml:space="preserve">for the </w:t>
      </w:r>
      <w:r w:rsidRPr="005317E3">
        <w:t>electrical professional</w:t>
      </w:r>
      <w:r>
        <w:t xml:space="preserve"> </w:t>
      </w:r>
      <w:r w:rsidRPr="009A404D">
        <w:rPr>
          <w:szCs w:val="24"/>
        </w:rPr>
        <w:t>is es</w:t>
      </w:r>
      <w:r>
        <w:rPr>
          <w:szCs w:val="24"/>
        </w:rPr>
        <w:t xml:space="preserve">timated to be between $150,000 and $175,000 per </w:t>
      </w:r>
      <w:r w:rsidRPr="009A404D">
        <w:rPr>
          <w:szCs w:val="24"/>
        </w:rPr>
        <w:t>year</w:t>
      </w:r>
      <w:r>
        <w:rPr>
          <w:szCs w:val="24"/>
        </w:rPr>
        <w:t>.  This cost</w:t>
      </w:r>
      <w:r w:rsidRPr="009A404D">
        <w:rPr>
          <w:szCs w:val="24"/>
        </w:rPr>
        <w:t xml:space="preserve"> is included in the project costs during the project duration and will be included in the next </w:t>
      </w:r>
      <w:r>
        <w:rPr>
          <w:szCs w:val="24"/>
        </w:rPr>
        <w:t>GRC</w:t>
      </w:r>
      <w:r w:rsidRPr="009A404D">
        <w:rPr>
          <w:szCs w:val="24"/>
        </w:rPr>
        <w:t xml:space="preserve"> thereafter.</w:t>
      </w:r>
      <w:r>
        <w:rPr>
          <w:szCs w:val="24"/>
        </w:rPr>
        <w:t xml:space="preserve">  The cost of the electrical professional incurred in connection with the construction of the Project is an item subject to the $200.9 million maximum reasonable cost cap. </w:t>
      </w:r>
    </w:p>
  </w:footnote>
  <w:footnote w:id="42">
    <w:p w:rsidR="00C64351" w:rsidRDefault="00C64351" w:rsidP="00402F35">
      <w:pPr>
        <w:pStyle w:val="FootnoteText"/>
      </w:pPr>
      <w:r>
        <w:rPr>
          <w:rStyle w:val="FootnoteReference"/>
        </w:rPr>
        <w:footnoteRef/>
      </w:r>
      <w:r>
        <w:t xml:space="preserve">  The Aliso Canyon Safety Plan, among other things, will identify the f</w:t>
      </w:r>
      <w:r w:rsidRPr="005317E3">
        <w:t>unction, authority, roles and responsibilities of the Employee Safety Committee.</w:t>
      </w:r>
    </w:p>
  </w:footnote>
  <w:footnote w:id="43">
    <w:p w:rsidR="00C64351" w:rsidRDefault="00C64351" w:rsidP="00312CE7">
      <w:pPr>
        <w:pStyle w:val="FootnoteText"/>
      </w:pPr>
      <w:r>
        <w:rPr>
          <w:rStyle w:val="FootnoteReference"/>
        </w:rPr>
        <w:footnoteRef/>
      </w:r>
      <w:r>
        <w:t xml:space="preserve">  Notice of the telephonic settlement conference was served on November 19, 2012.  </w:t>
      </w:r>
      <w:r w:rsidRPr="00312CE7">
        <w:t>The Motion states that a settlement conference was convened on November 26, 2012, in accordance with Rule 12.1(b) of the Commission’s Rules of Practice and Procedure (Rules).</w:t>
      </w:r>
    </w:p>
  </w:footnote>
  <w:footnote w:id="44">
    <w:p w:rsidR="00C64351" w:rsidRDefault="00C64351" w:rsidP="00831C2F">
      <w:pPr>
        <w:pStyle w:val="FootnoteText"/>
      </w:pPr>
      <w:r>
        <w:rPr>
          <w:rStyle w:val="FootnoteReference"/>
        </w:rPr>
        <w:footnoteRef/>
      </w:r>
      <w:r>
        <w:t xml:space="preserve">  D.88-12-083, 30 CPUC 2d 189, 221.</w:t>
      </w:r>
    </w:p>
  </w:footnote>
  <w:footnote w:id="45">
    <w:p w:rsidR="00C64351" w:rsidRDefault="00C64351">
      <w:pPr>
        <w:pStyle w:val="FootnoteText"/>
      </w:pPr>
      <w:r>
        <w:rPr>
          <w:rStyle w:val="FootnoteReference"/>
        </w:rPr>
        <w:footnoteRef/>
      </w:r>
      <w:r>
        <w:t xml:space="preserve">  D.12-01-032 in Phase 2 of R.08-11-005 adopted additional regulations to reduce fire hazards associated overhead power lines and communications facilities.</w:t>
      </w:r>
    </w:p>
  </w:footnote>
  <w:footnote w:id="46">
    <w:p w:rsidR="00C64351" w:rsidRDefault="00C64351" w:rsidP="00960A6E">
      <w:pPr>
        <w:pStyle w:val="FootnoteText"/>
      </w:pPr>
      <w:r>
        <w:rPr>
          <w:rStyle w:val="FootnoteReference"/>
        </w:rPr>
        <w:footnoteRef/>
      </w:r>
      <w:r>
        <w:t xml:space="preserve">  </w:t>
      </w:r>
      <w:r w:rsidRPr="00224852">
        <w:t>GO 95, Rule 18</w:t>
      </w:r>
      <w:r>
        <w:t>.</w:t>
      </w:r>
    </w:p>
  </w:footnote>
  <w:footnote w:id="47">
    <w:p w:rsidR="00C64351" w:rsidRDefault="00C64351">
      <w:pPr>
        <w:pStyle w:val="FootnoteText"/>
      </w:pPr>
      <w:r>
        <w:rPr>
          <w:rStyle w:val="FootnoteReference"/>
        </w:rPr>
        <w:footnoteRef/>
      </w:r>
      <w:r>
        <w:t xml:space="preserve">  GO 95, Rule 37 and </w:t>
      </w:r>
      <w:r w:rsidRPr="00C11711">
        <w:t>A</w:t>
      </w:r>
      <w:r>
        <w:t>ppendix E.</w:t>
      </w:r>
    </w:p>
  </w:footnote>
  <w:footnote w:id="48">
    <w:p w:rsidR="00C64351" w:rsidRDefault="00C64351" w:rsidP="00971F75">
      <w:pPr>
        <w:pStyle w:val="FootnoteText"/>
      </w:pPr>
      <w:r>
        <w:rPr>
          <w:rStyle w:val="FootnoteReference"/>
        </w:rPr>
        <w:footnoteRef/>
      </w:r>
      <w:r>
        <w:t xml:space="preserve">  GO 95, </w:t>
      </w:r>
      <w:r w:rsidRPr="00971F75">
        <w:t>Rule 38 (Table 2)</w:t>
      </w:r>
      <w:r>
        <w:t>.</w:t>
      </w:r>
    </w:p>
  </w:footnote>
  <w:footnote w:id="49">
    <w:p w:rsidR="00C64351" w:rsidRDefault="00C64351" w:rsidP="00960A6E">
      <w:pPr>
        <w:pStyle w:val="FootnoteText"/>
      </w:pPr>
      <w:r>
        <w:rPr>
          <w:rStyle w:val="FootnoteReference"/>
        </w:rPr>
        <w:footnoteRef/>
      </w:r>
      <w:r>
        <w:t xml:space="preserve">  GO 95, Rule 44.2.</w:t>
      </w:r>
    </w:p>
  </w:footnote>
  <w:footnote w:id="50">
    <w:p w:rsidR="00C64351" w:rsidRDefault="00C64351">
      <w:pPr>
        <w:pStyle w:val="FootnoteText"/>
      </w:pPr>
      <w:r>
        <w:rPr>
          <w:rStyle w:val="FootnoteReference"/>
        </w:rPr>
        <w:footnoteRef/>
      </w:r>
      <w:r>
        <w:t xml:space="preserve">  GO 165.</w:t>
      </w:r>
    </w:p>
  </w:footnote>
  <w:footnote w:id="51">
    <w:p w:rsidR="00C64351" w:rsidRDefault="00C64351">
      <w:pPr>
        <w:pStyle w:val="FootnoteText"/>
      </w:pPr>
      <w:r>
        <w:rPr>
          <w:rStyle w:val="FootnoteReference"/>
        </w:rPr>
        <w:footnoteRef/>
      </w:r>
      <w:r>
        <w:t xml:space="preserve">  For example, if the Project is placed in service on March 31, 2014, the revenue requirement in rates must be adjusted for the nine months remaining in 2014; and, on January 1, 2015, the revenue requirement in rates will be adjusted for 12 months of revenue requirements.  This process should continue until addressed in SoCalGas’ next GRC or other applicable proceeding.</w:t>
      </w:r>
    </w:p>
  </w:footnote>
  <w:footnote w:id="52">
    <w:p w:rsidR="00C64351" w:rsidRDefault="00C64351" w:rsidP="009D0870">
      <w:pPr>
        <w:pStyle w:val="FootnoteText"/>
      </w:pPr>
      <w:r>
        <w:rPr>
          <w:rStyle w:val="FootnoteReference"/>
        </w:rPr>
        <w:footnoteRef/>
      </w:r>
      <w:r>
        <w:t xml:space="preserve">  Electricity costs divided by Southern California Border gas prices = equivalent gas compressor fuel volume.</w:t>
      </w:r>
    </w:p>
  </w:footnote>
  <w:footnote w:id="53">
    <w:p w:rsidR="00C64351" w:rsidRDefault="00C64351" w:rsidP="008E28D6">
      <w:pPr>
        <w:pStyle w:val="FootnoteText"/>
        <w:spacing w:after="120"/>
        <w:rPr>
          <w:rFonts w:ascii="Times New Roman" w:hAnsi="Times New Roman"/>
          <w:sz w:val="20"/>
          <w:lang w:bidi="x-none"/>
        </w:rPr>
      </w:pPr>
      <w:r>
        <w:rPr>
          <w:rStyle w:val="FootnoteReference"/>
          <w:color w:val="000000"/>
        </w:rPr>
        <w:footnoteRef/>
      </w:r>
      <w:r>
        <w:rPr>
          <w:color w:val="000000"/>
        </w:rPr>
        <w:t xml:space="preserve">  See, D.10-04-034 and D.94-06-014.</w:t>
      </w:r>
    </w:p>
  </w:footnote>
  <w:footnote w:id="54">
    <w:p w:rsidR="00C64351" w:rsidRDefault="00C64351" w:rsidP="008E28D6">
      <w:pPr>
        <w:pStyle w:val="FootnoteText"/>
        <w:spacing w:after="120"/>
        <w:rPr>
          <w:rFonts w:ascii="Times New Roman" w:hAnsi="Times New Roman"/>
          <w:sz w:val="20"/>
          <w:lang w:bidi="x-none"/>
        </w:rPr>
      </w:pPr>
      <w:r>
        <w:rPr>
          <w:rStyle w:val="FootnoteReference"/>
          <w:color w:val="000000"/>
        </w:rPr>
        <w:footnoteRef/>
      </w:r>
      <w:r>
        <w:rPr>
          <w:color w:val="000000"/>
        </w:rPr>
        <w:t xml:space="preserve">  § 701.</w:t>
      </w:r>
    </w:p>
  </w:footnote>
  <w:footnote w:id="55">
    <w:p w:rsidR="00C64351" w:rsidRDefault="00C64351" w:rsidP="008E28D6">
      <w:pPr>
        <w:pStyle w:val="FootnoteText"/>
        <w:spacing w:after="120"/>
        <w:rPr>
          <w:rFonts w:ascii="Times New Roman" w:hAnsi="Times New Roman"/>
          <w:sz w:val="20"/>
          <w:lang w:bidi="x-none"/>
        </w:rPr>
      </w:pPr>
      <w:r>
        <w:rPr>
          <w:rStyle w:val="FootnoteReference"/>
          <w:color w:val="000000"/>
        </w:rPr>
        <w:footnoteRef/>
      </w:r>
      <w:r>
        <w:rPr>
          <w:color w:val="000000"/>
        </w:rPr>
        <w:t xml:space="preserve">  §§ 761, 762, 768.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2B" w:rsidRDefault="00BD7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1" w:rsidRDefault="00C64351" w:rsidP="00244C35">
    <w:pPr>
      <w:pStyle w:val="Header"/>
      <w:tabs>
        <w:tab w:val="clear" w:pos="8640"/>
        <w:tab w:val="right" w:pos="9270"/>
      </w:tabs>
      <w:rPr>
        <w:rFonts w:ascii="Helvetica" w:hAnsi="Helvetica"/>
        <w:b/>
        <w:sz w:val="32"/>
      </w:rPr>
    </w:pPr>
    <w:r>
      <w:t>A.09-09-020  ALJ/RS1/jt2</w:t>
    </w:r>
    <w:r>
      <w:tab/>
    </w:r>
    <w:r>
      <w:tab/>
    </w:r>
    <w:r w:rsidRPr="00A50D51">
      <w:rPr>
        <w:rFonts w:ascii="Helvetica" w:hAnsi="Helvetica"/>
        <w:b/>
        <w:sz w:val="32"/>
      </w:rPr>
      <w:t>PROPOSED DECISION</w:t>
    </w:r>
  </w:p>
  <w:p w:rsidR="00C64351" w:rsidRPr="00A50D51" w:rsidRDefault="00C64351" w:rsidP="00244C35">
    <w:pPr>
      <w:pStyle w:val="Header"/>
      <w:tabs>
        <w:tab w:val="clear" w:pos="8640"/>
        <w:tab w:val="right" w:pos="9270"/>
      </w:tabs>
    </w:pPr>
  </w:p>
  <w:p w:rsidR="00C64351" w:rsidRDefault="00C64351">
    <w:pPr>
      <w:pStyle w:val="Header"/>
      <w:rPr>
        <w:sz w:val="25"/>
        <w:szCs w:val="2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2B" w:rsidRDefault="00BD70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1" w:rsidRDefault="00C64351" w:rsidP="0093501B">
    <w:pPr>
      <w:pStyle w:val="Header"/>
      <w:tabs>
        <w:tab w:val="clear" w:pos="8640"/>
        <w:tab w:val="right" w:pos="9270"/>
      </w:tabs>
      <w:rPr>
        <w:rFonts w:ascii="Helvetica" w:hAnsi="Helvetica"/>
        <w:b/>
        <w:sz w:val="32"/>
      </w:rPr>
    </w:pPr>
    <w:r>
      <w:t>A.09-09-020  ALJ/RS1/jt2</w:t>
    </w:r>
  </w:p>
  <w:p w:rsidR="00C64351" w:rsidRPr="00A50D51" w:rsidRDefault="00C64351" w:rsidP="00244C35">
    <w:pPr>
      <w:pStyle w:val="Header"/>
      <w:tabs>
        <w:tab w:val="clear" w:pos="8640"/>
        <w:tab w:val="right" w:pos="9270"/>
      </w:tabs>
    </w:pPr>
  </w:p>
  <w:p w:rsidR="00C64351" w:rsidRPr="00657777" w:rsidRDefault="00C64351" w:rsidP="00075B00">
    <w:pPr>
      <w:jc w:val="center"/>
      <w:rPr>
        <w:b/>
      </w:rPr>
    </w:pPr>
    <w:r w:rsidRPr="00657777">
      <w:rPr>
        <w:b/>
      </w:rPr>
      <w:t>Table of Contents</w:t>
    </w:r>
    <w:r>
      <w:rPr>
        <w:b/>
      </w:rPr>
      <w:t xml:space="preserve"> (cont.)</w:t>
    </w:r>
  </w:p>
  <w:p w:rsidR="00C64351" w:rsidRPr="00657777" w:rsidRDefault="00C64351" w:rsidP="00075B00">
    <w:pPr>
      <w:rPr>
        <w:b/>
      </w:rPr>
    </w:pPr>
  </w:p>
  <w:p w:rsidR="00C64351" w:rsidRPr="00657777" w:rsidRDefault="00C64351" w:rsidP="00075B00">
    <w:pPr>
      <w:tabs>
        <w:tab w:val="right" w:pos="9360"/>
      </w:tabs>
      <w:rPr>
        <w:b/>
      </w:rPr>
    </w:pPr>
    <w:r w:rsidRPr="00657777">
      <w:rPr>
        <w:b/>
      </w:rPr>
      <w:t>Title</w:t>
    </w:r>
    <w:r w:rsidRPr="00657777">
      <w:rPr>
        <w:b/>
      </w:rPr>
      <w:tab/>
      <w:t>Page</w:t>
    </w:r>
  </w:p>
  <w:p w:rsidR="00C64351" w:rsidRDefault="00C64351">
    <w:pPr>
      <w:pStyle w:val="Header"/>
      <w:rPr>
        <w:sz w:val="25"/>
        <w:szCs w:val="25"/>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1" w:rsidRDefault="00C64351" w:rsidP="000E665E">
    <w:pPr>
      <w:pStyle w:val="Header"/>
      <w:tabs>
        <w:tab w:val="clear" w:pos="8640"/>
        <w:tab w:val="right" w:pos="9270"/>
      </w:tabs>
      <w:rPr>
        <w:rFonts w:ascii="Helvetica" w:hAnsi="Helvetica"/>
        <w:b/>
        <w:sz w:val="32"/>
      </w:rPr>
    </w:pPr>
    <w:r>
      <w:t>A.09-09-020  ALJ/RS1/jt2</w:t>
    </w:r>
  </w:p>
  <w:p w:rsidR="00C64351" w:rsidRPr="00A50D51" w:rsidRDefault="00C64351" w:rsidP="000E665E">
    <w:pPr>
      <w:pStyle w:val="Header"/>
      <w:tabs>
        <w:tab w:val="clear" w:pos="8640"/>
        <w:tab w:val="right" w:pos="9270"/>
      </w:tabs>
    </w:pPr>
  </w:p>
  <w:p w:rsidR="00C64351" w:rsidRDefault="00C64351" w:rsidP="000E665E">
    <w:pPr>
      <w:pStyle w:val="Header"/>
      <w:tabs>
        <w:tab w:val="clear" w:pos="8640"/>
        <w:tab w:val="right" w:pos="927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1" w:rsidRDefault="00C64351" w:rsidP="0093501B">
    <w:pPr>
      <w:pStyle w:val="Header"/>
      <w:tabs>
        <w:tab w:val="clear" w:pos="8640"/>
        <w:tab w:val="right" w:pos="9270"/>
      </w:tabs>
      <w:rPr>
        <w:rFonts w:ascii="Helvetica" w:hAnsi="Helvetica"/>
        <w:b/>
        <w:sz w:val="32"/>
      </w:rPr>
    </w:pPr>
    <w:r>
      <w:t>A.09-09-020  ALJ/RS1/jt2</w:t>
    </w:r>
  </w:p>
  <w:p w:rsidR="00C64351" w:rsidRPr="00A50D51" w:rsidRDefault="00C64351" w:rsidP="00244C35">
    <w:pPr>
      <w:pStyle w:val="Header"/>
      <w:tabs>
        <w:tab w:val="clear" w:pos="8640"/>
        <w:tab w:val="right" w:pos="9270"/>
      </w:tabs>
    </w:pPr>
  </w:p>
  <w:p w:rsidR="00C64351" w:rsidRDefault="00C64351">
    <w:pPr>
      <w:pStyle w:val="Header"/>
      <w:rPr>
        <w:sz w:val="25"/>
        <w:szCs w:val="25"/>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51" w:rsidRDefault="00C64351" w:rsidP="000E665E">
    <w:pPr>
      <w:pStyle w:val="Header"/>
      <w:tabs>
        <w:tab w:val="clear" w:pos="8640"/>
        <w:tab w:val="right" w:pos="9270"/>
      </w:tabs>
      <w:rPr>
        <w:rFonts w:ascii="Helvetica" w:hAnsi="Helvetica"/>
        <w:b/>
        <w:sz w:val="32"/>
      </w:rPr>
    </w:pPr>
    <w:r>
      <w:t>A.09-09-020  ALJ/RS1/jt2</w:t>
    </w:r>
  </w:p>
  <w:p w:rsidR="00C64351" w:rsidRPr="00A50D51" w:rsidRDefault="00C64351" w:rsidP="000E665E">
    <w:pPr>
      <w:pStyle w:val="Header"/>
      <w:tabs>
        <w:tab w:val="clear" w:pos="8640"/>
        <w:tab w:val="right" w:pos="9270"/>
      </w:tabs>
    </w:pPr>
  </w:p>
  <w:p w:rsidR="00C64351" w:rsidRDefault="00C64351" w:rsidP="000E665E">
    <w:pPr>
      <w:pStyle w:val="Header"/>
      <w:tabs>
        <w:tab w:val="clear" w:pos="864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B82"/>
    <w:multiLevelType w:val="hybridMultilevel"/>
    <w:tmpl w:val="B960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15579"/>
    <w:multiLevelType w:val="multilevel"/>
    <w:tmpl w:val="553C30E4"/>
    <w:lvl w:ilvl="0">
      <w:start w:val="1"/>
      <w:numFmt w:val="upperRoman"/>
      <w:lvlText w:val="%1."/>
      <w:lvlJc w:val="left"/>
      <w:pPr>
        <w:tabs>
          <w:tab w:val="num" w:pos="360"/>
        </w:tabs>
        <w:ind w:left="432" w:hanging="432"/>
      </w:pPr>
      <w:rPr>
        <w:rFonts w:hint="default"/>
      </w:rPr>
    </w:lvl>
    <w:lvl w:ilvl="1">
      <w:start w:val="1"/>
      <w:numFmt w:val="upperLetter"/>
      <w:lvlText w:val="%2."/>
      <w:lvlJc w:val="left"/>
      <w:pPr>
        <w:tabs>
          <w:tab w:val="num" w:pos="1008"/>
        </w:tabs>
        <w:ind w:left="0" w:firstLine="1008"/>
      </w:pPr>
      <w:rPr>
        <w:rFonts w:hint="default"/>
        <w:b/>
        <w:i w:val="0"/>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56C2B4B"/>
    <w:multiLevelType w:val="hybridMultilevel"/>
    <w:tmpl w:val="1D582C7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83309"/>
    <w:multiLevelType w:val="hybridMultilevel"/>
    <w:tmpl w:val="1A64CAEC"/>
    <w:lvl w:ilvl="0" w:tplc="1B285352">
      <w:start w:val="1"/>
      <w:numFmt w:val="lowerLetter"/>
      <w:lvlText w:val="%1."/>
      <w:lvlJc w:val="left"/>
      <w:pPr>
        <w:ind w:left="1440" w:hanging="360"/>
      </w:pPr>
      <w:rPr>
        <w:rFonts w:hint="default"/>
        <w:b/>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A25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B33CA4"/>
    <w:multiLevelType w:val="hybridMultilevel"/>
    <w:tmpl w:val="3B626B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E383D19"/>
    <w:multiLevelType w:val="hybridMultilevel"/>
    <w:tmpl w:val="3D66CD02"/>
    <w:lvl w:ilvl="0" w:tplc="0409000F">
      <w:start w:val="1"/>
      <w:numFmt w:val="decimal"/>
      <w:lvlText w:val="%1."/>
      <w:lvlJc w:val="left"/>
      <w:pPr>
        <w:tabs>
          <w:tab w:val="num" w:pos="1440"/>
        </w:tabs>
        <w:ind w:left="1440" w:hanging="360"/>
      </w:pPr>
    </w:lvl>
    <w:lvl w:ilvl="1" w:tplc="7AF8F400">
      <w:start w:val="1"/>
      <w:numFmt w:val="decimal"/>
      <w:lvlText w:val="%2)"/>
      <w:lvlJc w:val="left"/>
      <w:pPr>
        <w:tabs>
          <w:tab w:val="num" w:pos="2805"/>
        </w:tabs>
        <w:ind w:left="2805" w:hanging="100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F50166A"/>
    <w:multiLevelType w:val="hybridMultilevel"/>
    <w:tmpl w:val="18806420"/>
    <w:lvl w:ilvl="0" w:tplc="6B9A6CD8">
      <w:start w:val="2"/>
      <w:numFmt w:val="decimal"/>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A4BB5"/>
    <w:multiLevelType w:val="singleLevel"/>
    <w:tmpl w:val="E46A7320"/>
    <w:lvl w:ilvl="0">
      <w:start w:val="1"/>
      <w:numFmt w:val="decimal"/>
      <w:lvlText w:val="%1."/>
      <w:legacy w:legacy="1" w:legacySpace="144" w:legacyIndent="0"/>
      <w:lvlJc w:val="left"/>
    </w:lvl>
  </w:abstractNum>
  <w:abstractNum w:abstractNumId="9">
    <w:nsid w:val="144711E5"/>
    <w:multiLevelType w:val="hybridMultilevel"/>
    <w:tmpl w:val="56601D98"/>
    <w:lvl w:ilvl="0" w:tplc="FA76220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545920"/>
    <w:multiLevelType w:val="hybridMultilevel"/>
    <w:tmpl w:val="C74C33B2"/>
    <w:lvl w:ilvl="0" w:tplc="2FB6A734">
      <w:start w:val="1"/>
      <w:numFmt w:val="decimal"/>
      <w:lvlText w:val="%1."/>
      <w:legacy w:legacy="1" w:legacySpace="144" w:legacyIndent="0"/>
      <w:lvlJc w:val="left"/>
    </w:lvl>
    <w:lvl w:ilvl="1" w:tplc="90826EB4">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AC2353F"/>
    <w:multiLevelType w:val="hybridMultilevel"/>
    <w:tmpl w:val="C7B27E2A"/>
    <w:lvl w:ilvl="0" w:tplc="90826E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D60132"/>
    <w:multiLevelType w:val="hybridMultilevel"/>
    <w:tmpl w:val="32624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DA14E1"/>
    <w:multiLevelType w:val="multilevel"/>
    <w:tmpl w:val="7C483764"/>
    <w:lvl w:ilvl="0">
      <w:start w:val="1"/>
      <w:numFmt w:val="decimal"/>
      <w:lvlText w:val="%1."/>
      <w:legacy w:legacy="1" w:legacySpace="0" w:legacyIndent="720"/>
      <w:lvlJc w:val="left"/>
      <w:pPr>
        <w:ind w:left="720" w:hanging="720"/>
      </w:p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20DD67C4"/>
    <w:multiLevelType w:val="hybridMultilevel"/>
    <w:tmpl w:val="2954D554"/>
    <w:lvl w:ilvl="0" w:tplc="01AA2F26">
      <w:start w:val="1"/>
      <w:numFmt w:val="upperLetter"/>
      <w:lvlText w:val="%1."/>
      <w:lvlJc w:val="left"/>
      <w:pPr>
        <w:tabs>
          <w:tab w:val="num" w:pos="1080"/>
        </w:tabs>
        <w:ind w:left="1080" w:firstLine="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5">
    <w:nsid w:val="217B2BDC"/>
    <w:multiLevelType w:val="hybridMultilevel"/>
    <w:tmpl w:val="A9A49336"/>
    <w:lvl w:ilvl="0" w:tplc="9BA48762">
      <w:start w:val="1"/>
      <w:numFmt w:val="decimal"/>
      <w:pStyle w:val="Heading3"/>
      <w:lvlText w:val="2.11.%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725985"/>
    <w:multiLevelType w:val="hybridMultilevel"/>
    <w:tmpl w:val="17C41C70"/>
    <w:lvl w:ilvl="0" w:tplc="6A1C3CB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4F66EB2">
      <w:start w:val="1"/>
      <w:numFmt w:val="lowerRoman"/>
      <w:lvlText w:val="(%4)"/>
      <w:lvlJc w:val="left"/>
      <w:pPr>
        <w:tabs>
          <w:tab w:val="num" w:pos="2880"/>
        </w:tabs>
        <w:ind w:left="2880" w:hanging="360"/>
      </w:pPr>
      <w:rPr>
        <w:rFonts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B225DD"/>
    <w:multiLevelType w:val="hybridMultilevel"/>
    <w:tmpl w:val="A4DA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E5263D"/>
    <w:multiLevelType w:val="hybridMultilevel"/>
    <w:tmpl w:val="829C16E8"/>
    <w:lvl w:ilvl="0" w:tplc="DF3A521C">
      <w:start w:val="1"/>
      <w:numFmt w:val="decimal"/>
      <w:lvlText w:val="1.%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D2431B"/>
    <w:multiLevelType w:val="hybridMultilevel"/>
    <w:tmpl w:val="9CB2D696"/>
    <w:lvl w:ilvl="0" w:tplc="CF56C492">
      <w:start w:val="1"/>
      <w:numFmt w:val="decimal"/>
      <w:lvlText w:val="%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D46003"/>
    <w:multiLevelType w:val="singleLevel"/>
    <w:tmpl w:val="408002C8"/>
    <w:lvl w:ilvl="0">
      <w:start w:val="1"/>
      <w:numFmt w:val="decimal"/>
      <w:lvlText w:val="%1."/>
      <w:legacy w:legacy="1" w:legacySpace="144" w:legacyIndent="0"/>
      <w:lvlJc w:val="left"/>
    </w:lvl>
  </w:abstractNum>
  <w:abstractNum w:abstractNumId="21">
    <w:nsid w:val="304453F2"/>
    <w:multiLevelType w:val="hybridMultilevel"/>
    <w:tmpl w:val="10ECAAE2"/>
    <w:lvl w:ilvl="0" w:tplc="0D7EE752">
      <w:start w:val="1"/>
      <w:numFmt w:val="bullet"/>
      <w:lvlText w:val=""/>
      <w:lvlJc w:val="left"/>
      <w:pPr>
        <w:tabs>
          <w:tab w:val="num" w:pos="360"/>
        </w:tabs>
        <w:ind w:left="360" w:hanging="36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EA4F1B"/>
    <w:multiLevelType w:val="hybridMultilevel"/>
    <w:tmpl w:val="9EDC0B46"/>
    <w:lvl w:ilvl="0" w:tplc="04090001">
      <w:start w:val="1"/>
      <w:numFmt w:val="upperLetter"/>
      <w:lvlText w:val="%1."/>
      <w:lvlJc w:val="left"/>
      <w:pPr>
        <w:tabs>
          <w:tab w:val="num" w:pos="1080"/>
        </w:tabs>
        <w:ind w:left="1080" w:firstLine="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3">
    <w:nsid w:val="325F192C"/>
    <w:multiLevelType w:val="hybridMultilevel"/>
    <w:tmpl w:val="385C71D0"/>
    <w:lvl w:ilvl="0" w:tplc="733EB6D2">
      <w:start w:val="1"/>
      <w:numFmt w:val="decimal"/>
      <w:lvlText w:val="11.%1"/>
      <w:lvlJc w:val="left"/>
      <w:pPr>
        <w:ind w:left="1704" w:hanging="9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394DA9"/>
    <w:multiLevelType w:val="hybridMultilevel"/>
    <w:tmpl w:val="301275F8"/>
    <w:lvl w:ilvl="0" w:tplc="FFFFFFFF">
      <w:start w:val="1"/>
      <w:numFmt w:val="bullet"/>
      <w:pStyle w:val="bullets"/>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33726301"/>
    <w:multiLevelType w:val="hybridMultilevel"/>
    <w:tmpl w:val="F1F874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97466C0"/>
    <w:multiLevelType w:val="hybridMultilevel"/>
    <w:tmpl w:val="512A2852"/>
    <w:lvl w:ilvl="0" w:tplc="5BE01E86">
      <w:start w:val="1"/>
      <w:numFmt w:val="decimal"/>
      <w:lvlText w:val="2.%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5C1F8A"/>
    <w:multiLevelType w:val="hybridMultilevel"/>
    <w:tmpl w:val="52B8EE2C"/>
    <w:lvl w:ilvl="0" w:tplc="CD1C6740">
      <w:start w:val="1"/>
      <w:numFmt w:val="decimal"/>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B339C1"/>
    <w:multiLevelType w:val="hybridMultilevel"/>
    <w:tmpl w:val="B3AC44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BF81FB7"/>
    <w:multiLevelType w:val="hybridMultilevel"/>
    <w:tmpl w:val="289078CA"/>
    <w:lvl w:ilvl="0" w:tplc="3BE63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43592"/>
    <w:multiLevelType w:val="hybridMultilevel"/>
    <w:tmpl w:val="3C8882DE"/>
    <w:lvl w:ilvl="0" w:tplc="FABC9F48">
      <w:start w:val="1"/>
      <w:numFmt w:val="decimal"/>
      <w:lvlText w:val="%1."/>
      <w:lvlJc w:val="left"/>
      <w:pPr>
        <w:ind w:left="720" w:hanging="360"/>
      </w:pPr>
      <w:rPr>
        <w:sz w:val="26"/>
        <w:szCs w:val="26"/>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A4BA4"/>
    <w:multiLevelType w:val="hybridMultilevel"/>
    <w:tmpl w:val="A2064CC2"/>
    <w:lvl w:ilvl="0" w:tplc="8A626AE6">
      <w:start w:val="1"/>
      <w:numFmt w:val="decimal"/>
      <w:lvlText w:val="%1."/>
      <w:lvlJc w:val="left"/>
      <w:pPr>
        <w:tabs>
          <w:tab w:val="num" w:pos="1440"/>
        </w:tabs>
        <w:ind w:left="1440" w:hanging="360"/>
      </w:pPr>
      <w:rPr>
        <w:rFonts w:hint="default"/>
        <w:b/>
        <w:sz w:val="26"/>
      </w:rPr>
    </w:lvl>
    <w:lvl w:ilvl="1" w:tplc="3E62B0AA">
      <w:start w:val="1"/>
      <w:numFmt w:val="decimal"/>
      <w:lvlText w:val="5.%2."/>
      <w:lvlJc w:val="left"/>
      <w:pPr>
        <w:tabs>
          <w:tab w:val="num" w:pos="2160"/>
        </w:tabs>
        <w:ind w:left="2160" w:hanging="360"/>
      </w:pPr>
      <w:rPr>
        <w:rFonts w:hint="default"/>
        <w:b/>
        <w:sz w:val="26"/>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2">
    <w:nsid w:val="57AB79BC"/>
    <w:multiLevelType w:val="singleLevel"/>
    <w:tmpl w:val="D2ACB040"/>
    <w:lvl w:ilvl="0">
      <w:start w:val="1"/>
      <w:numFmt w:val="decimal"/>
      <w:lvlText w:val="(%1)"/>
      <w:lvlJc w:val="left"/>
      <w:pPr>
        <w:tabs>
          <w:tab w:val="num" w:pos="1260"/>
        </w:tabs>
        <w:ind w:left="1260" w:hanging="540"/>
      </w:pPr>
      <w:rPr>
        <w:rFonts w:hint="default"/>
      </w:rPr>
    </w:lvl>
  </w:abstractNum>
  <w:abstractNum w:abstractNumId="33">
    <w:nsid w:val="5A1B79D6"/>
    <w:multiLevelType w:val="hybridMultilevel"/>
    <w:tmpl w:val="82EAA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36175A"/>
    <w:multiLevelType w:val="hybridMultilevel"/>
    <w:tmpl w:val="381E3BC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71D15F2"/>
    <w:multiLevelType w:val="multilevel"/>
    <w:tmpl w:val="B05085FE"/>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6">
    <w:nsid w:val="6BE32FD5"/>
    <w:multiLevelType w:val="singleLevel"/>
    <w:tmpl w:val="0409000F"/>
    <w:lvl w:ilvl="0">
      <w:start w:val="1"/>
      <w:numFmt w:val="decimal"/>
      <w:lvlText w:val="%1."/>
      <w:legacy w:legacy="1" w:legacySpace="144" w:legacyIndent="0"/>
      <w:lvlJc w:val="left"/>
    </w:lvl>
  </w:abstractNum>
  <w:abstractNum w:abstractNumId="37">
    <w:nsid w:val="6CC213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DB2997"/>
    <w:multiLevelType w:val="multilevel"/>
    <w:tmpl w:val="8A926C06"/>
    <w:lvl w:ilvl="0">
      <w:start w:val="2"/>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9">
    <w:nsid w:val="73D87CD9"/>
    <w:multiLevelType w:val="hybridMultilevel"/>
    <w:tmpl w:val="A80A0D30"/>
    <w:lvl w:ilvl="0" w:tplc="2A1CE840">
      <w:start w:val="1"/>
      <w:numFmt w:val="decimal"/>
      <w:lvlText w:val="4.%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7245CA"/>
    <w:multiLevelType w:val="multilevel"/>
    <w:tmpl w:val="3524282E"/>
    <w:lvl w:ilvl="0">
      <w:start w:val="1"/>
      <w:numFmt w:val="decimal"/>
      <w:lvlText w:val="1.%1."/>
      <w:lvlJc w:val="left"/>
      <w:pPr>
        <w:tabs>
          <w:tab w:val="num" w:pos="360"/>
        </w:tabs>
        <w:ind w:left="360" w:hanging="360"/>
      </w:pPr>
      <w:rPr>
        <w:rFonts w:hint="default"/>
        <w:b/>
        <w:sz w:val="26"/>
      </w:rPr>
    </w:lvl>
    <w:lvl w:ilvl="1">
      <w:start w:val="1"/>
      <w:numFmt w:val="decimal"/>
      <w:lvlText w:val="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nsid w:val="7696179C"/>
    <w:multiLevelType w:val="hybridMultilevel"/>
    <w:tmpl w:val="9242825E"/>
    <w:lvl w:ilvl="0" w:tplc="394A2F28">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B1491"/>
    <w:multiLevelType w:val="hybridMultilevel"/>
    <w:tmpl w:val="1430EB92"/>
    <w:lvl w:ilvl="0" w:tplc="90826EB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356127"/>
    <w:multiLevelType w:val="hybridMultilevel"/>
    <w:tmpl w:val="CB74CD28"/>
    <w:lvl w:ilvl="0" w:tplc="CBC4C0CC">
      <w:start w:val="1"/>
      <w:numFmt w:val="decimal"/>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44F00"/>
    <w:multiLevelType w:val="hybridMultilevel"/>
    <w:tmpl w:val="C74C33B2"/>
    <w:lvl w:ilvl="0" w:tplc="2FB6A734">
      <w:start w:val="1"/>
      <w:numFmt w:val="decimal"/>
      <w:lvlText w:val="%1."/>
      <w:legacy w:legacy="1" w:legacySpace="144" w:legacyIndent="0"/>
      <w:lvlJc w:val="left"/>
    </w:lvl>
    <w:lvl w:ilvl="1" w:tplc="90826EB4">
      <w:start w:val="1"/>
      <w:numFmt w:val="lowerRoman"/>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5"/>
  </w:num>
  <w:num w:numId="2">
    <w:abstractNumId w:val="13"/>
  </w:num>
  <w:num w:numId="3">
    <w:abstractNumId w:val="36"/>
  </w:num>
  <w:num w:numId="4">
    <w:abstractNumId w:val="22"/>
  </w:num>
  <w:num w:numId="5">
    <w:abstractNumId w:val="8"/>
  </w:num>
  <w:num w:numId="6">
    <w:abstractNumId w:val="34"/>
  </w:num>
  <w:num w:numId="7">
    <w:abstractNumId w:val="6"/>
  </w:num>
  <w:num w:numId="8">
    <w:abstractNumId w:val="28"/>
  </w:num>
  <w:num w:numId="9">
    <w:abstractNumId w:val="5"/>
  </w:num>
  <w:num w:numId="10">
    <w:abstractNumId w:val="38"/>
  </w:num>
  <w:num w:numId="11">
    <w:abstractNumId w:val="14"/>
  </w:num>
  <w:num w:numId="12">
    <w:abstractNumId w:val="1"/>
  </w:num>
  <w:num w:numId="13">
    <w:abstractNumId w:val="25"/>
  </w:num>
  <w:num w:numId="14">
    <w:abstractNumId w:val="19"/>
  </w:num>
  <w:num w:numId="15">
    <w:abstractNumId w:val="18"/>
  </w:num>
  <w:num w:numId="16">
    <w:abstractNumId w:val="40"/>
  </w:num>
  <w:num w:numId="17">
    <w:abstractNumId w:val="26"/>
  </w:num>
  <w:num w:numId="18">
    <w:abstractNumId w:val="32"/>
  </w:num>
  <w:num w:numId="19">
    <w:abstractNumId w:val="7"/>
  </w:num>
  <w:num w:numId="20">
    <w:abstractNumId w:val="27"/>
  </w:num>
  <w:num w:numId="21">
    <w:abstractNumId w:val="43"/>
  </w:num>
  <w:num w:numId="22">
    <w:abstractNumId w:val="24"/>
  </w:num>
  <w:num w:numId="23">
    <w:abstractNumId w:val="16"/>
  </w:num>
  <w:num w:numId="24">
    <w:abstractNumId w:val="23"/>
  </w:num>
  <w:num w:numId="25">
    <w:abstractNumId w:val="20"/>
  </w:num>
  <w:num w:numId="26">
    <w:abstractNumId w:val="10"/>
  </w:num>
  <w:num w:numId="27">
    <w:abstractNumId w:val="9"/>
  </w:num>
  <w:num w:numId="28">
    <w:abstractNumId w:val="31"/>
  </w:num>
  <w:num w:numId="29">
    <w:abstractNumId w:val="0"/>
  </w:num>
  <w:num w:numId="30">
    <w:abstractNumId w:val="41"/>
  </w:num>
  <w:num w:numId="31">
    <w:abstractNumId w:val="3"/>
  </w:num>
  <w:num w:numId="32">
    <w:abstractNumId w:val="12"/>
  </w:num>
  <w:num w:numId="33">
    <w:abstractNumId w:val="29"/>
  </w:num>
  <w:num w:numId="34">
    <w:abstractNumId w:val="15"/>
  </w:num>
  <w:num w:numId="35">
    <w:abstractNumId w:val="39"/>
  </w:num>
  <w:num w:numId="36">
    <w:abstractNumId w:val="4"/>
  </w:num>
  <w:num w:numId="37">
    <w:abstractNumId w:val="37"/>
  </w:num>
  <w:num w:numId="38">
    <w:abstractNumId w:val="21"/>
  </w:num>
  <w:num w:numId="39">
    <w:abstractNumId w:val="2"/>
  </w:num>
  <w:num w:numId="40">
    <w:abstractNumId w:val="42"/>
  </w:num>
  <w:num w:numId="41">
    <w:abstractNumId w:val="11"/>
  </w:num>
  <w:num w:numId="42">
    <w:abstractNumId w:val="17"/>
  </w:num>
  <w:num w:numId="43">
    <w:abstractNumId w:val="33"/>
  </w:num>
  <w:num w:numId="44">
    <w:abstractNumId w:val="30"/>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B0"/>
    <w:rsid w:val="000002D9"/>
    <w:rsid w:val="0000067A"/>
    <w:rsid w:val="000011D0"/>
    <w:rsid w:val="00001CDF"/>
    <w:rsid w:val="00001F20"/>
    <w:rsid w:val="0000221C"/>
    <w:rsid w:val="00002265"/>
    <w:rsid w:val="0000291A"/>
    <w:rsid w:val="00002ADB"/>
    <w:rsid w:val="00003101"/>
    <w:rsid w:val="00003528"/>
    <w:rsid w:val="00003BE5"/>
    <w:rsid w:val="000040C5"/>
    <w:rsid w:val="0000429C"/>
    <w:rsid w:val="00004B6A"/>
    <w:rsid w:val="00004F86"/>
    <w:rsid w:val="00004FBC"/>
    <w:rsid w:val="0000502B"/>
    <w:rsid w:val="0000503D"/>
    <w:rsid w:val="00005475"/>
    <w:rsid w:val="00005BC1"/>
    <w:rsid w:val="00005DA2"/>
    <w:rsid w:val="00005EE4"/>
    <w:rsid w:val="00006575"/>
    <w:rsid w:val="00006CD3"/>
    <w:rsid w:val="00006FF2"/>
    <w:rsid w:val="000074A2"/>
    <w:rsid w:val="0000750D"/>
    <w:rsid w:val="00007687"/>
    <w:rsid w:val="00007981"/>
    <w:rsid w:val="00007C87"/>
    <w:rsid w:val="00007F64"/>
    <w:rsid w:val="000100AB"/>
    <w:rsid w:val="000100DA"/>
    <w:rsid w:val="00010444"/>
    <w:rsid w:val="00010AB0"/>
    <w:rsid w:val="00010BB0"/>
    <w:rsid w:val="00010C16"/>
    <w:rsid w:val="0001144A"/>
    <w:rsid w:val="00011DC4"/>
    <w:rsid w:val="00011E56"/>
    <w:rsid w:val="00011F2E"/>
    <w:rsid w:val="00011F43"/>
    <w:rsid w:val="00012862"/>
    <w:rsid w:val="00012B32"/>
    <w:rsid w:val="00013132"/>
    <w:rsid w:val="00013320"/>
    <w:rsid w:val="00013627"/>
    <w:rsid w:val="0001385F"/>
    <w:rsid w:val="00013A1A"/>
    <w:rsid w:val="00013D81"/>
    <w:rsid w:val="00013FC9"/>
    <w:rsid w:val="0001426F"/>
    <w:rsid w:val="00014549"/>
    <w:rsid w:val="00014707"/>
    <w:rsid w:val="0001498E"/>
    <w:rsid w:val="00014990"/>
    <w:rsid w:val="000149F7"/>
    <w:rsid w:val="00014CDE"/>
    <w:rsid w:val="00014E53"/>
    <w:rsid w:val="00015309"/>
    <w:rsid w:val="00015565"/>
    <w:rsid w:val="000155B9"/>
    <w:rsid w:val="000155FC"/>
    <w:rsid w:val="00015774"/>
    <w:rsid w:val="00015826"/>
    <w:rsid w:val="00015C9C"/>
    <w:rsid w:val="00015DB4"/>
    <w:rsid w:val="00015F58"/>
    <w:rsid w:val="00016323"/>
    <w:rsid w:val="0001715F"/>
    <w:rsid w:val="000171A3"/>
    <w:rsid w:val="000171DD"/>
    <w:rsid w:val="000172AF"/>
    <w:rsid w:val="000176F7"/>
    <w:rsid w:val="0001771C"/>
    <w:rsid w:val="000177BC"/>
    <w:rsid w:val="00017828"/>
    <w:rsid w:val="00017EAD"/>
    <w:rsid w:val="000202FC"/>
    <w:rsid w:val="000208EF"/>
    <w:rsid w:val="00020C08"/>
    <w:rsid w:val="00020E80"/>
    <w:rsid w:val="00020FF3"/>
    <w:rsid w:val="00021158"/>
    <w:rsid w:val="00021619"/>
    <w:rsid w:val="000218C2"/>
    <w:rsid w:val="00021BB4"/>
    <w:rsid w:val="00021FAA"/>
    <w:rsid w:val="00022A09"/>
    <w:rsid w:val="00022B32"/>
    <w:rsid w:val="000243DD"/>
    <w:rsid w:val="00024972"/>
    <w:rsid w:val="00024985"/>
    <w:rsid w:val="00024C0B"/>
    <w:rsid w:val="00024C8D"/>
    <w:rsid w:val="00025005"/>
    <w:rsid w:val="00025D24"/>
    <w:rsid w:val="000266BF"/>
    <w:rsid w:val="00026FD1"/>
    <w:rsid w:val="00027705"/>
    <w:rsid w:val="00027BE4"/>
    <w:rsid w:val="00030C75"/>
    <w:rsid w:val="00030CE9"/>
    <w:rsid w:val="00030D3B"/>
    <w:rsid w:val="00030E3D"/>
    <w:rsid w:val="000310B8"/>
    <w:rsid w:val="00031201"/>
    <w:rsid w:val="0003189F"/>
    <w:rsid w:val="00031B5E"/>
    <w:rsid w:val="00031B72"/>
    <w:rsid w:val="000321F2"/>
    <w:rsid w:val="00032223"/>
    <w:rsid w:val="000322CB"/>
    <w:rsid w:val="00032352"/>
    <w:rsid w:val="00032741"/>
    <w:rsid w:val="00033111"/>
    <w:rsid w:val="0003324D"/>
    <w:rsid w:val="00033C09"/>
    <w:rsid w:val="00033EBA"/>
    <w:rsid w:val="00033F13"/>
    <w:rsid w:val="000347FA"/>
    <w:rsid w:val="00034848"/>
    <w:rsid w:val="00034909"/>
    <w:rsid w:val="00035A2A"/>
    <w:rsid w:val="00035A9E"/>
    <w:rsid w:val="00035B73"/>
    <w:rsid w:val="00036180"/>
    <w:rsid w:val="000362A3"/>
    <w:rsid w:val="0003651C"/>
    <w:rsid w:val="00036541"/>
    <w:rsid w:val="00037417"/>
    <w:rsid w:val="00037A32"/>
    <w:rsid w:val="00037D5D"/>
    <w:rsid w:val="0004002D"/>
    <w:rsid w:val="000404CC"/>
    <w:rsid w:val="0004074A"/>
    <w:rsid w:val="00040938"/>
    <w:rsid w:val="000411F4"/>
    <w:rsid w:val="00041534"/>
    <w:rsid w:val="000415FD"/>
    <w:rsid w:val="00041818"/>
    <w:rsid w:val="00041A30"/>
    <w:rsid w:val="000420F9"/>
    <w:rsid w:val="0004236A"/>
    <w:rsid w:val="0004273D"/>
    <w:rsid w:val="00042AF5"/>
    <w:rsid w:val="00042CED"/>
    <w:rsid w:val="00042E3F"/>
    <w:rsid w:val="000431E6"/>
    <w:rsid w:val="000434B2"/>
    <w:rsid w:val="00043749"/>
    <w:rsid w:val="00043AFC"/>
    <w:rsid w:val="00043EB5"/>
    <w:rsid w:val="00044D95"/>
    <w:rsid w:val="00044FF6"/>
    <w:rsid w:val="000454AE"/>
    <w:rsid w:val="00045675"/>
    <w:rsid w:val="00045A20"/>
    <w:rsid w:val="00045A96"/>
    <w:rsid w:val="00045B26"/>
    <w:rsid w:val="00045DAC"/>
    <w:rsid w:val="00046110"/>
    <w:rsid w:val="000461A5"/>
    <w:rsid w:val="000464AA"/>
    <w:rsid w:val="00046888"/>
    <w:rsid w:val="00046D0E"/>
    <w:rsid w:val="000473A6"/>
    <w:rsid w:val="00047AB4"/>
    <w:rsid w:val="00047B36"/>
    <w:rsid w:val="00047B3A"/>
    <w:rsid w:val="00047FE6"/>
    <w:rsid w:val="00050071"/>
    <w:rsid w:val="00050184"/>
    <w:rsid w:val="000508F7"/>
    <w:rsid w:val="00050D05"/>
    <w:rsid w:val="00051115"/>
    <w:rsid w:val="00051275"/>
    <w:rsid w:val="00051533"/>
    <w:rsid w:val="000517ED"/>
    <w:rsid w:val="00051940"/>
    <w:rsid w:val="00051DFE"/>
    <w:rsid w:val="0005277B"/>
    <w:rsid w:val="00052E91"/>
    <w:rsid w:val="00053DFF"/>
    <w:rsid w:val="00053FBC"/>
    <w:rsid w:val="000542F0"/>
    <w:rsid w:val="000544C7"/>
    <w:rsid w:val="00054B4C"/>
    <w:rsid w:val="00054DA4"/>
    <w:rsid w:val="00055BE8"/>
    <w:rsid w:val="000564BE"/>
    <w:rsid w:val="000565C8"/>
    <w:rsid w:val="00056633"/>
    <w:rsid w:val="0005686D"/>
    <w:rsid w:val="00056CE3"/>
    <w:rsid w:val="000571BC"/>
    <w:rsid w:val="000576A4"/>
    <w:rsid w:val="0006046F"/>
    <w:rsid w:val="00060BE8"/>
    <w:rsid w:val="00060F1A"/>
    <w:rsid w:val="00060FCD"/>
    <w:rsid w:val="00061C1B"/>
    <w:rsid w:val="00062332"/>
    <w:rsid w:val="00062C99"/>
    <w:rsid w:val="00062FBB"/>
    <w:rsid w:val="00063023"/>
    <w:rsid w:val="0006368B"/>
    <w:rsid w:val="00063C2E"/>
    <w:rsid w:val="00064165"/>
    <w:rsid w:val="0006417E"/>
    <w:rsid w:val="00064625"/>
    <w:rsid w:val="000647DA"/>
    <w:rsid w:val="00064BCB"/>
    <w:rsid w:val="000651FB"/>
    <w:rsid w:val="00065440"/>
    <w:rsid w:val="00065C6F"/>
    <w:rsid w:val="00065DA6"/>
    <w:rsid w:val="00065DF9"/>
    <w:rsid w:val="000666DE"/>
    <w:rsid w:val="00066D45"/>
    <w:rsid w:val="00066DC4"/>
    <w:rsid w:val="0006737F"/>
    <w:rsid w:val="00067AB6"/>
    <w:rsid w:val="00067EC4"/>
    <w:rsid w:val="00070825"/>
    <w:rsid w:val="00070ACC"/>
    <w:rsid w:val="00070D5D"/>
    <w:rsid w:val="0007106F"/>
    <w:rsid w:val="00071120"/>
    <w:rsid w:val="000711A9"/>
    <w:rsid w:val="000716AD"/>
    <w:rsid w:val="00071E9C"/>
    <w:rsid w:val="000721B5"/>
    <w:rsid w:val="00072461"/>
    <w:rsid w:val="000725A8"/>
    <w:rsid w:val="0007296C"/>
    <w:rsid w:val="0007323A"/>
    <w:rsid w:val="00073749"/>
    <w:rsid w:val="000737FD"/>
    <w:rsid w:val="000738F2"/>
    <w:rsid w:val="00073C57"/>
    <w:rsid w:val="00073DDB"/>
    <w:rsid w:val="00073F05"/>
    <w:rsid w:val="00074267"/>
    <w:rsid w:val="000742FB"/>
    <w:rsid w:val="000745C8"/>
    <w:rsid w:val="000746A9"/>
    <w:rsid w:val="00074A03"/>
    <w:rsid w:val="00074DC3"/>
    <w:rsid w:val="00075845"/>
    <w:rsid w:val="00075AAC"/>
    <w:rsid w:val="00075B00"/>
    <w:rsid w:val="00075BB9"/>
    <w:rsid w:val="00076273"/>
    <w:rsid w:val="00076307"/>
    <w:rsid w:val="0007642E"/>
    <w:rsid w:val="00076B43"/>
    <w:rsid w:val="000774FE"/>
    <w:rsid w:val="00077505"/>
    <w:rsid w:val="000807B7"/>
    <w:rsid w:val="00081568"/>
    <w:rsid w:val="000815BD"/>
    <w:rsid w:val="00081AF1"/>
    <w:rsid w:val="000823C8"/>
    <w:rsid w:val="00082740"/>
    <w:rsid w:val="00082C3B"/>
    <w:rsid w:val="000837D6"/>
    <w:rsid w:val="00084292"/>
    <w:rsid w:val="00084629"/>
    <w:rsid w:val="00084BD9"/>
    <w:rsid w:val="00084F8A"/>
    <w:rsid w:val="000857DC"/>
    <w:rsid w:val="0008591B"/>
    <w:rsid w:val="00085CB1"/>
    <w:rsid w:val="00085D89"/>
    <w:rsid w:val="000860E6"/>
    <w:rsid w:val="000861EA"/>
    <w:rsid w:val="00086BC0"/>
    <w:rsid w:val="00086CDB"/>
    <w:rsid w:val="00086E8E"/>
    <w:rsid w:val="00086F9C"/>
    <w:rsid w:val="00086FEF"/>
    <w:rsid w:val="0008717B"/>
    <w:rsid w:val="00087254"/>
    <w:rsid w:val="000874C0"/>
    <w:rsid w:val="00087876"/>
    <w:rsid w:val="000878D2"/>
    <w:rsid w:val="00090021"/>
    <w:rsid w:val="000901EF"/>
    <w:rsid w:val="000907F1"/>
    <w:rsid w:val="00090E24"/>
    <w:rsid w:val="00091B95"/>
    <w:rsid w:val="0009204C"/>
    <w:rsid w:val="00092513"/>
    <w:rsid w:val="0009253F"/>
    <w:rsid w:val="00092577"/>
    <w:rsid w:val="00092F85"/>
    <w:rsid w:val="00093022"/>
    <w:rsid w:val="000930FB"/>
    <w:rsid w:val="0009382A"/>
    <w:rsid w:val="00093C1A"/>
    <w:rsid w:val="000942AC"/>
    <w:rsid w:val="000945B4"/>
    <w:rsid w:val="00094B45"/>
    <w:rsid w:val="00094CFF"/>
    <w:rsid w:val="00094EAD"/>
    <w:rsid w:val="0009504A"/>
    <w:rsid w:val="0009536E"/>
    <w:rsid w:val="000957DC"/>
    <w:rsid w:val="00095B2C"/>
    <w:rsid w:val="00095CFD"/>
    <w:rsid w:val="00095E4A"/>
    <w:rsid w:val="00096199"/>
    <w:rsid w:val="00096302"/>
    <w:rsid w:val="0009643C"/>
    <w:rsid w:val="00097322"/>
    <w:rsid w:val="00097890"/>
    <w:rsid w:val="0009791E"/>
    <w:rsid w:val="00097ABB"/>
    <w:rsid w:val="000A00CC"/>
    <w:rsid w:val="000A01DA"/>
    <w:rsid w:val="000A0281"/>
    <w:rsid w:val="000A0403"/>
    <w:rsid w:val="000A049C"/>
    <w:rsid w:val="000A04DE"/>
    <w:rsid w:val="000A0570"/>
    <w:rsid w:val="000A09F6"/>
    <w:rsid w:val="000A0CFC"/>
    <w:rsid w:val="000A0EB3"/>
    <w:rsid w:val="000A1004"/>
    <w:rsid w:val="000A109C"/>
    <w:rsid w:val="000A1758"/>
    <w:rsid w:val="000A296A"/>
    <w:rsid w:val="000A2B94"/>
    <w:rsid w:val="000A2D16"/>
    <w:rsid w:val="000A335A"/>
    <w:rsid w:val="000A3C46"/>
    <w:rsid w:val="000A3C87"/>
    <w:rsid w:val="000A3CD6"/>
    <w:rsid w:val="000A3CE2"/>
    <w:rsid w:val="000A3FD9"/>
    <w:rsid w:val="000A47E3"/>
    <w:rsid w:val="000A4BF6"/>
    <w:rsid w:val="000A5182"/>
    <w:rsid w:val="000A5626"/>
    <w:rsid w:val="000A572A"/>
    <w:rsid w:val="000A5F2D"/>
    <w:rsid w:val="000A6962"/>
    <w:rsid w:val="000A6B83"/>
    <w:rsid w:val="000A7964"/>
    <w:rsid w:val="000B0932"/>
    <w:rsid w:val="000B0E57"/>
    <w:rsid w:val="000B144A"/>
    <w:rsid w:val="000B1692"/>
    <w:rsid w:val="000B19E3"/>
    <w:rsid w:val="000B1D30"/>
    <w:rsid w:val="000B2348"/>
    <w:rsid w:val="000B28FE"/>
    <w:rsid w:val="000B2978"/>
    <w:rsid w:val="000B2B31"/>
    <w:rsid w:val="000B30A4"/>
    <w:rsid w:val="000B31E9"/>
    <w:rsid w:val="000B34FA"/>
    <w:rsid w:val="000B39F0"/>
    <w:rsid w:val="000B3F04"/>
    <w:rsid w:val="000B4373"/>
    <w:rsid w:val="000B45C4"/>
    <w:rsid w:val="000B46FB"/>
    <w:rsid w:val="000B4707"/>
    <w:rsid w:val="000B473A"/>
    <w:rsid w:val="000B48F6"/>
    <w:rsid w:val="000B4D0B"/>
    <w:rsid w:val="000B5038"/>
    <w:rsid w:val="000B53B9"/>
    <w:rsid w:val="000B543F"/>
    <w:rsid w:val="000B5FEB"/>
    <w:rsid w:val="000B61E6"/>
    <w:rsid w:val="000B636B"/>
    <w:rsid w:val="000B6438"/>
    <w:rsid w:val="000B65E2"/>
    <w:rsid w:val="000B673B"/>
    <w:rsid w:val="000B69DB"/>
    <w:rsid w:val="000B719D"/>
    <w:rsid w:val="000B7D23"/>
    <w:rsid w:val="000C02E6"/>
    <w:rsid w:val="000C090F"/>
    <w:rsid w:val="000C09E9"/>
    <w:rsid w:val="000C11B4"/>
    <w:rsid w:val="000C131C"/>
    <w:rsid w:val="000C27A8"/>
    <w:rsid w:val="000C302E"/>
    <w:rsid w:val="000C3499"/>
    <w:rsid w:val="000C36CB"/>
    <w:rsid w:val="000C3B31"/>
    <w:rsid w:val="000C3D19"/>
    <w:rsid w:val="000C4815"/>
    <w:rsid w:val="000C4C51"/>
    <w:rsid w:val="000C5F4E"/>
    <w:rsid w:val="000C6C2A"/>
    <w:rsid w:val="000C6E5F"/>
    <w:rsid w:val="000C7F97"/>
    <w:rsid w:val="000D0417"/>
    <w:rsid w:val="000D0434"/>
    <w:rsid w:val="000D0AE3"/>
    <w:rsid w:val="000D1218"/>
    <w:rsid w:val="000D1CE6"/>
    <w:rsid w:val="000D1E9C"/>
    <w:rsid w:val="000D2248"/>
    <w:rsid w:val="000D24A3"/>
    <w:rsid w:val="000D2610"/>
    <w:rsid w:val="000D2701"/>
    <w:rsid w:val="000D2AD4"/>
    <w:rsid w:val="000D3258"/>
    <w:rsid w:val="000D385D"/>
    <w:rsid w:val="000D3AFA"/>
    <w:rsid w:val="000D3C0E"/>
    <w:rsid w:val="000D3D3A"/>
    <w:rsid w:val="000D3F21"/>
    <w:rsid w:val="000D402C"/>
    <w:rsid w:val="000D4AE1"/>
    <w:rsid w:val="000D4AE3"/>
    <w:rsid w:val="000D4B32"/>
    <w:rsid w:val="000D4C63"/>
    <w:rsid w:val="000D5A7C"/>
    <w:rsid w:val="000D624C"/>
    <w:rsid w:val="000D6F1B"/>
    <w:rsid w:val="000D6F28"/>
    <w:rsid w:val="000D70EA"/>
    <w:rsid w:val="000D794E"/>
    <w:rsid w:val="000D7AD6"/>
    <w:rsid w:val="000E0341"/>
    <w:rsid w:val="000E105C"/>
    <w:rsid w:val="000E16E8"/>
    <w:rsid w:val="000E17ED"/>
    <w:rsid w:val="000E1C20"/>
    <w:rsid w:val="000E1D1E"/>
    <w:rsid w:val="000E21D0"/>
    <w:rsid w:val="000E23E7"/>
    <w:rsid w:val="000E263D"/>
    <w:rsid w:val="000E270F"/>
    <w:rsid w:val="000E2945"/>
    <w:rsid w:val="000E2CB7"/>
    <w:rsid w:val="000E2D44"/>
    <w:rsid w:val="000E3109"/>
    <w:rsid w:val="000E3180"/>
    <w:rsid w:val="000E37A7"/>
    <w:rsid w:val="000E393B"/>
    <w:rsid w:val="000E3DF7"/>
    <w:rsid w:val="000E44DD"/>
    <w:rsid w:val="000E5043"/>
    <w:rsid w:val="000E50E0"/>
    <w:rsid w:val="000E586A"/>
    <w:rsid w:val="000E58C4"/>
    <w:rsid w:val="000E5C6E"/>
    <w:rsid w:val="000E665E"/>
    <w:rsid w:val="000E66E8"/>
    <w:rsid w:val="000E6857"/>
    <w:rsid w:val="000E6A57"/>
    <w:rsid w:val="000E6DAC"/>
    <w:rsid w:val="000E752B"/>
    <w:rsid w:val="000E796F"/>
    <w:rsid w:val="000E7DAD"/>
    <w:rsid w:val="000F06F7"/>
    <w:rsid w:val="000F0EC4"/>
    <w:rsid w:val="000F0F4D"/>
    <w:rsid w:val="000F1221"/>
    <w:rsid w:val="000F1320"/>
    <w:rsid w:val="000F1725"/>
    <w:rsid w:val="000F18F5"/>
    <w:rsid w:val="000F19AB"/>
    <w:rsid w:val="000F1E16"/>
    <w:rsid w:val="000F1F28"/>
    <w:rsid w:val="000F211E"/>
    <w:rsid w:val="000F220D"/>
    <w:rsid w:val="000F240C"/>
    <w:rsid w:val="000F24F1"/>
    <w:rsid w:val="000F2573"/>
    <w:rsid w:val="000F28BF"/>
    <w:rsid w:val="000F2902"/>
    <w:rsid w:val="000F2BD7"/>
    <w:rsid w:val="000F32A0"/>
    <w:rsid w:val="000F3772"/>
    <w:rsid w:val="000F3803"/>
    <w:rsid w:val="000F3BBE"/>
    <w:rsid w:val="000F3EAE"/>
    <w:rsid w:val="000F3F13"/>
    <w:rsid w:val="000F3FAF"/>
    <w:rsid w:val="000F4701"/>
    <w:rsid w:val="000F4C61"/>
    <w:rsid w:val="000F4D8A"/>
    <w:rsid w:val="000F5CDC"/>
    <w:rsid w:val="000F5D09"/>
    <w:rsid w:val="000F5D69"/>
    <w:rsid w:val="000F6ABA"/>
    <w:rsid w:val="000F6BC0"/>
    <w:rsid w:val="000F6CD4"/>
    <w:rsid w:val="000F6F76"/>
    <w:rsid w:val="000F6FAC"/>
    <w:rsid w:val="000F702A"/>
    <w:rsid w:val="000F7072"/>
    <w:rsid w:val="000F724E"/>
    <w:rsid w:val="000F7A88"/>
    <w:rsid w:val="000F7AFF"/>
    <w:rsid w:val="000F7EA7"/>
    <w:rsid w:val="0010009F"/>
    <w:rsid w:val="00100332"/>
    <w:rsid w:val="00100512"/>
    <w:rsid w:val="00100665"/>
    <w:rsid w:val="00100865"/>
    <w:rsid w:val="001009BA"/>
    <w:rsid w:val="0010102D"/>
    <w:rsid w:val="00102DBE"/>
    <w:rsid w:val="0010346E"/>
    <w:rsid w:val="00103528"/>
    <w:rsid w:val="00103E36"/>
    <w:rsid w:val="00104E27"/>
    <w:rsid w:val="00105B2B"/>
    <w:rsid w:val="00105C9E"/>
    <w:rsid w:val="00105D58"/>
    <w:rsid w:val="00105F46"/>
    <w:rsid w:val="001061C6"/>
    <w:rsid w:val="00107894"/>
    <w:rsid w:val="0010796E"/>
    <w:rsid w:val="00107C0B"/>
    <w:rsid w:val="001103B8"/>
    <w:rsid w:val="00110655"/>
    <w:rsid w:val="00111449"/>
    <w:rsid w:val="001117D3"/>
    <w:rsid w:val="00111AB0"/>
    <w:rsid w:val="00111D7A"/>
    <w:rsid w:val="00111DC9"/>
    <w:rsid w:val="001120B2"/>
    <w:rsid w:val="00112621"/>
    <w:rsid w:val="001126CE"/>
    <w:rsid w:val="001131C2"/>
    <w:rsid w:val="001131C7"/>
    <w:rsid w:val="00113780"/>
    <w:rsid w:val="00113848"/>
    <w:rsid w:val="00113A26"/>
    <w:rsid w:val="00113E72"/>
    <w:rsid w:val="00113F9C"/>
    <w:rsid w:val="0011408E"/>
    <w:rsid w:val="00114416"/>
    <w:rsid w:val="00114796"/>
    <w:rsid w:val="00114AA2"/>
    <w:rsid w:val="00114FBC"/>
    <w:rsid w:val="001153C5"/>
    <w:rsid w:val="00115BD0"/>
    <w:rsid w:val="00115DC1"/>
    <w:rsid w:val="0011639B"/>
    <w:rsid w:val="00116706"/>
    <w:rsid w:val="001168C6"/>
    <w:rsid w:val="00117355"/>
    <w:rsid w:val="001176C4"/>
    <w:rsid w:val="0011772F"/>
    <w:rsid w:val="00117873"/>
    <w:rsid w:val="00117AD6"/>
    <w:rsid w:val="00117F2B"/>
    <w:rsid w:val="00120CDC"/>
    <w:rsid w:val="001219AA"/>
    <w:rsid w:val="00121C31"/>
    <w:rsid w:val="00121FB8"/>
    <w:rsid w:val="001227C6"/>
    <w:rsid w:val="00123372"/>
    <w:rsid w:val="0012373F"/>
    <w:rsid w:val="001238F5"/>
    <w:rsid w:val="00123D09"/>
    <w:rsid w:val="00123D7F"/>
    <w:rsid w:val="00124473"/>
    <w:rsid w:val="001244B1"/>
    <w:rsid w:val="001244DC"/>
    <w:rsid w:val="001246C9"/>
    <w:rsid w:val="00124C16"/>
    <w:rsid w:val="0012570A"/>
    <w:rsid w:val="0012641D"/>
    <w:rsid w:val="001269D2"/>
    <w:rsid w:val="001276B9"/>
    <w:rsid w:val="00127926"/>
    <w:rsid w:val="00127A89"/>
    <w:rsid w:val="00127C13"/>
    <w:rsid w:val="001301A2"/>
    <w:rsid w:val="001303B9"/>
    <w:rsid w:val="0013090E"/>
    <w:rsid w:val="00130A4C"/>
    <w:rsid w:val="00131141"/>
    <w:rsid w:val="001314F3"/>
    <w:rsid w:val="00131974"/>
    <w:rsid w:val="0013214E"/>
    <w:rsid w:val="00132530"/>
    <w:rsid w:val="00132B30"/>
    <w:rsid w:val="00132FBB"/>
    <w:rsid w:val="00133195"/>
    <w:rsid w:val="001331FB"/>
    <w:rsid w:val="001335F5"/>
    <w:rsid w:val="00133C88"/>
    <w:rsid w:val="00133EB1"/>
    <w:rsid w:val="00134353"/>
    <w:rsid w:val="001349F7"/>
    <w:rsid w:val="00135039"/>
    <w:rsid w:val="00135218"/>
    <w:rsid w:val="00135DDD"/>
    <w:rsid w:val="00136361"/>
    <w:rsid w:val="00136458"/>
    <w:rsid w:val="00136BE5"/>
    <w:rsid w:val="00136C94"/>
    <w:rsid w:val="0013731A"/>
    <w:rsid w:val="001376ED"/>
    <w:rsid w:val="00137B75"/>
    <w:rsid w:val="00137C1B"/>
    <w:rsid w:val="00137DD0"/>
    <w:rsid w:val="00137E38"/>
    <w:rsid w:val="001401C5"/>
    <w:rsid w:val="001404F8"/>
    <w:rsid w:val="0014077A"/>
    <w:rsid w:val="00140C06"/>
    <w:rsid w:val="00140C6A"/>
    <w:rsid w:val="001412AD"/>
    <w:rsid w:val="001415FD"/>
    <w:rsid w:val="001420B3"/>
    <w:rsid w:val="0014237A"/>
    <w:rsid w:val="00142986"/>
    <w:rsid w:val="00142A87"/>
    <w:rsid w:val="001430F2"/>
    <w:rsid w:val="0014311B"/>
    <w:rsid w:val="001437F4"/>
    <w:rsid w:val="00143DFC"/>
    <w:rsid w:val="00143E2D"/>
    <w:rsid w:val="00143EDD"/>
    <w:rsid w:val="001449C6"/>
    <w:rsid w:val="00144B9E"/>
    <w:rsid w:val="00144FD3"/>
    <w:rsid w:val="001450E7"/>
    <w:rsid w:val="0014518F"/>
    <w:rsid w:val="0014529E"/>
    <w:rsid w:val="00146102"/>
    <w:rsid w:val="001462A2"/>
    <w:rsid w:val="00146CDA"/>
    <w:rsid w:val="00146DFC"/>
    <w:rsid w:val="00147192"/>
    <w:rsid w:val="001475B6"/>
    <w:rsid w:val="00147693"/>
    <w:rsid w:val="00147944"/>
    <w:rsid w:val="00147A42"/>
    <w:rsid w:val="00150313"/>
    <w:rsid w:val="00150D5F"/>
    <w:rsid w:val="00151003"/>
    <w:rsid w:val="00151D46"/>
    <w:rsid w:val="001521BC"/>
    <w:rsid w:val="0015253B"/>
    <w:rsid w:val="001525CF"/>
    <w:rsid w:val="001528F1"/>
    <w:rsid w:val="00152AE7"/>
    <w:rsid w:val="001533E3"/>
    <w:rsid w:val="00153601"/>
    <w:rsid w:val="00153795"/>
    <w:rsid w:val="00153D99"/>
    <w:rsid w:val="00153FD8"/>
    <w:rsid w:val="00154315"/>
    <w:rsid w:val="0015431C"/>
    <w:rsid w:val="001545B6"/>
    <w:rsid w:val="001547D0"/>
    <w:rsid w:val="00154A8B"/>
    <w:rsid w:val="00154F73"/>
    <w:rsid w:val="001553BB"/>
    <w:rsid w:val="00155B6E"/>
    <w:rsid w:val="00155C1E"/>
    <w:rsid w:val="0015607B"/>
    <w:rsid w:val="00156246"/>
    <w:rsid w:val="00156411"/>
    <w:rsid w:val="001566C3"/>
    <w:rsid w:val="0015678F"/>
    <w:rsid w:val="001568CA"/>
    <w:rsid w:val="0015723B"/>
    <w:rsid w:val="0015733C"/>
    <w:rsid w:val="0015735B"/>
    <w:rsid w:val="00157C73"/>
    <w:rsid w:val="00157F8C"/>
    <w:rsid w:val="0016034F"/>
    <w:rsid w:val="001603A7"/>
    <w:rsid w:val="001605A5"/>
    <w:rsid w:val="001607A1"/>
    <w:rsid w:val="00160904"/>
    <w:rsid w:val="0016129B"/>
    <w:rsid w:val="00161880"/>
    <w:rsid w:val="00161E39"/>
    <w:rsid w:val="00162772"/>
    <w:rsid w:val="00162B49"/>
    <w:rsid w:val="00162FB2"/>
    <w:rsid w:val="00163174"/>
    <w:rsid w:val="00163E15"/>
    <w:rsid w:val="001641EE"/>
    <w:rsid w:val="00164486"/>
    <w:rsid w:val="00164761"/>
    <w:rsid w:val="001648BD"/>
    <w:rsid w:val="00164F7E"/>
    <w:rsid w:val="001650D5"/>
    <w:rsid w:val="00165198"/>
    <w:rsid w:val="00165AA7"/>
    <w:rsid w:val="00166516"/>
    <w:rsid w:val="0016670A"/>
    <w:rsid w:val="00166EFA"/>
    <w:rsid w:val="0016716C"/>
    <w:rsid w:val="001671F2"/>
    <w:rsid w:val="001673F7"/>
    <w:rsid w:val="0016758E"/>
    <w:rsid w:val="001678DC"/>
    <w:rsid w:val="00167D0E"/>
    <w:rsid w:val="00167DA4"/>
    <w:rsid w:val="00170506"/>
    <w:rsid w:val="001706A5"/>
    <w:rsid w:val="0017127E"/>
    <w:rsid w:val="00171706"/>
    <w:rsid w:val="001722FA"/>
    <w:rsid w:val="001728CD"/>
    <w:rsid w:val="00172E2D"/>
    <w:rsid w:val="00172EFF"/>
    <w:rsid w:val="0017371C"/>
    <w:rsid w:val="001738FA"/>
    <w:rsid w:val="00173981"/>
    <w:rsid w:val="00173984"/>
    <w:rsid w:val="00174013"/>
    <w:rsid w:val="00174238"/>
    <w:rsid w:val="0017478E"/>
    <w:rsid w:val="001747A1"/>
    <w:rsid w:val="0017489A"/>
    <w:rsid w:val="001749BA"/>
    <w:rsid w:val="00174B43"/>
    <w:rsid w:val="00174F3E"/>
    <w:rsid w:val="00174FA6"/>
    <w:rsid w:val="00175195"/>
    <w:rsid w:val="00175214"/>
    <w:rsid w:val="00175273"/>
    <w:rsid w:val="0017554A"/>
    <w:rsid w:val="0017591C"/>
    <w:rsid w:val="00175D48"/>
    <w:rsid w:val="001762E3"/>
    <w:rsid w:val="00176709"/>
    <w:rsid w:val="0017762E"/>
    <w:rsid w:val="001778F5"/>
    <w:rsid w:val="00180398"/>
    <w:rsid w:val="001807AB"/>
    <w:rsid w:val="00180BA0"/>
    <w:rsid w:val="00181498"/>
    <w:rsid w:val="00181871"/>
    <w:rsid w:val="001819F1"/>
    <w:rsid w:val="00181A64"/>
    <w:rsid w:val="00182473"/>
    <w:rsid w:val="00182518"/>
    <w:rsid w:val="0018291B"/>
    <w:rsid w:val="00182B01"/>
    <w:rsid w:val="001830B1"/>
    <w:rsid w:val="0018335D"/>
    <w:rsid w:val="00183482"/>
    <w:rsid w:val="001834B6"/>
    <w:rsid w:val="00183537"/>
    <w:rsid w:val="00184355"/>
    <w:rsid w:val="001843C3"/>
    <w:rsid w:val="00184536"/>
    <w:rsid w:val="00184844"/>
    <w:rsid w:val="00184948"/>
    <w:rsid w:val="00184DDE"/>
    <w:rsid w:val="00184E7A"/>
    <w:rsid w:val="00185153"/>
    <w:rsid w:val="001852C6"/>
    <w:rsid w:val="00185486"/>
    <w:rsid w:val="001856F3"/>
    <w:rsid w:val="0018592C"/>
    <w:rsid w:val="00185CDC"/>
    <w:rsid w:val="00185EB8"/>
    <w:rsid w:val="001866FD"/>
    <w:rsid w:val="00186789"/>
    <w:rsid w:val="00186983"/>
    <w:rsid w:val="00186BA6"/>
    <w:rsid w:val="00186C3F"/>
    <w:rsid w:val="00186F00"/>
    <w:rsid w:val="00187554"/>
    <w:rsid w:val="00187B04"/>
    <w:rsid w:val="001908E8"/>
    <w:rsid w:val="00190AD0"/>
    <w:rsid w:val="00190CE3"/>
    <w:rsid w:val="00190D03"/>
    <w:rsid w:val="00190E3B"/>
    <w:rsid w:val="00190FE7"/>
    <w:rsid w:val="001910F5"/>
    <w:rsid w:val="001913BC"/>
    <w:rsid w:val="00191A19"/>
    <w:rsid w:val="00191D3A"/>
    <w:rsid w:val="00192549"/>
    <w:rsid w:val="0019266E"/>
    <w:rsid w:val="00192A50"/>
    <w:rsid w:val="00192A7D"/>
    <w:rsid w:val="00192AA7"/>
    <w:rsid w:val="00193170"/>
    <w:rsid w:val="0019487A"/>
    <w:rsid w:val="00194B65"/>
    <w:rsid w:val="00194E54"/>
    <w:rsid w:val="0019598F"/>
    <w:rsid w:val="00196592"/>
    <w:rsid w:val="00196A86"/>
    <w:rsid w:val="00196B8A"/>
    <w:rsid w:val="00196F39"/>
    <w:rsid w:val="001973BE"/>
    <w:rsid w:val="001973EB"/>
    <w:rsid w:val="001973FD"/>
    <w:rsid w:val="00197C53"/>
    <w:rsid w:val="001A034E"/>
    <w:rsid w:val="001A03D7"/>
    <w:rsid w:val="001A03D9"/>
    <w:rsid w:val="001A0490"/>
    <w:rsid w:val="001A072E"/>
    <w:rsid w:val="001A0BA9"/>
    <w:rsid w:val="001A0BE4"/>
    <w:rsid w:val="001A0F3A"/>
    <w:rsid w:val="001A1059"/>
    <w:rsid w:val="001A13CA"/>
    <w:rsid w:val="001A1717"/>
    <w:rsid w:val="001A1F13"/>
    <w:rsid w:val="001A229D"/>
    <w:rsid w:val="001A23EE"/>
    <w:rsid w:val="001A28E3"/>
    <w:rsid w:val="001A298B"/>
    <w:rsid w:val="001A34BE"/>
    <w:rsid w:val="001A3537"/>
    <w:rsid w:val="001A35F0"/>
    <w:rsid w:val="001A3D79"/>
    <w:rsid w:val="001A3DE4"/>
    <w:rsid w:val="001A3ECE"/>
    <w:rsid w:val="001A3FA8"/>
    <w:rsid w:val="001A3FE7"/>
    <w:rsid w:val="001A4E24"/>
    <w:rsid w:val="001A5453"/>
    <w:rsid w:val="001A5CF0"/>
    <w:rsid w:val="001A60E4"/>
    <w:rsid w:val="001A6175"/>
    <w:rsid w:val="001A6552"/>
    <w:rsid w:val="001A6B39"/>
    <w:rsid w:val="001A6B5B"/>
    <w:rsid w:val="001A6C5E"/>
    <w:rsid w:val="001A7107"/>
    <w:rsid w:val="001A76F5"/>
    <w:rsid w:val="001A7AE9"/>
    <w:rsid w:val="001A7B42"/>
    <w:rsid w:val="001B0950"/>
    <w:rsid w:val="001B0D6A"/>
    <w:rsid w:val="001B0FF0"/>
    <w:rsid w:val="001B1502"/>
    <w:rsid w:val="001B1FE6"/>
    <w:rsid w:val="001B2124"/>
    <w:rsid w:val="001B2D2E"/>
    <w:rsid w:val="001B2EAA"/>
    <w:rsid w:val="001B3158"/>
    <w:rsid w:val="001B3204"/>
    <w:rsid w:val="001B3B10"/>
    <w:rsid w:val="001B3C0E"/>
    <w:rsid w:val="001B42D2"/>
    <w:rsid w:val="001B442A"/>
    <w:rsid w:val="001B4623"/>
    <w:rsid w:val="001B47BF"/>
    <w:rsid w:val="001B497D"/>
    <w:rsid w:val="001B5342"/>
    <w:rsid w:val="001B53D7"/>
    <w:rsid w:val="001B5517"/>
    <w:rsid w:val="001B5725"/>
    <w:rsid w:val="001B5ACF"/>
    <w:rsid w:val="001B5B58"/>
    <w:rsid w:val="001B5EC1"/>
    <w:rsid w:val="001B6604"/>
    <w:rsid w:val="001B69F6"/>
    <w:rsid w:val="001B6DA8"/>
    <w:rsid w:val="001B739E"/>
    <w:rsid w:val="001B7848"/>
    <w:rsid w:val="001B7A59"/>
    <w:rsid w:val="001C051B"/>
    <w:rsid w:val="001C05F9"/>
    <w:rsid w:val="001C0B64"/>
    <w:rsid w:val="001C0BAE"/>
    <w:rsid w:val="001C10F2"/>
    <w:rsid w:val="001C1331"/>
    <w:rsid w:val="001C16C2"/>
    <w:rsid w:val="001C1CE0"/>
    <w:rsid w:val="001C1F83"/>
    <w:rsid w:val="001C27C7"/>
    <w:rsid w:val="001C2CA9"/>
    <w:rsid w:val="001C2D9B"/>
    <w:rsid w:val="001C310F"/>
    <w:rsid w:val="001C3987"/>
    <w:rsid w:val="001C3FDC"/>
    <w:rsid w:val="001C4625"/>
    <w:rsid w:val="001C496C"/>
    <w:rsid w:val="001C60CD"/>
    <w:rsid w:val="001C621D"/>
    <w:rsid w:val="001C666D"/>
    <w:rsid w:val="001C6B99"/>
    <w:rsid w:val="001C6FF8"/>
    <w:rsid w:val="001C7812"/>
    <w:rsid w:val="001D075D"/>
    <w:rsid w:val="001D084A"/>
    <w:rsid w:val="001D0A73"/>
    <w:rsid w:val="001D100A"/>
    <w:rsid w:val="001D1835"/>
    <w:rsid w:val="001D1844"/>
    <w:rsid w:val="001D1966"/>
    <w:rsid w:val="001D1C4D"/>
    <w:rsid w:val="001D20FF"/>
    <w:rsid w:val="001D27C4"/>
    <w:rsid w:val="001D2FFF"/>
    <w:rsid w:val="001D34F1"/>
    <w:rsid w:val="001D3526"/>
    <w:rsid w:val="001D3548"/>
    <w:rsid w:val="001D3C1A"/>
    <w:rsid w:val="001D4765"/>
    <w:rsid w:val="001D527E"/>
    <w:rsid w:val="001D5317"/>
    <w:rsid w:val="001D53C8"/>
    <w:rsid w:val="001D5475"/>
    <w:rsid w:val="001D5852"/>
    <w:rsid w:val="001D6008"/>
    <w:rsid w:val="001D66AC"/>
    <w:rsid w:val="001D6E33"/>
    <w:rsid w:val="001D736F"/>
    <w:rsid w:val="001D7E87"/>
    <w:rsid w:val="001E0B6C"/>
    <w:rsid w:val="001E0D73"/>
    <w:rsid w:val="001E13BD"/>
    <w:rsid w:val="001E1559"/>
    <w:rsid w:val="001E169E"/>
    <w:rsid w:val="001E16CF"/>
    <w:rsid w:val="001E1A5B"/>
    <w:rsid w:val="001E1CC1"/>
    <w:rsid w:val="001E27DB"/>
    <w:rsid w:val="001E2BA5"/>
    <w:rsid w:val="001E2F2E"/>
    <w:rsid w:val="001E356C"/>
    <w:rsid w:val="001E386B"/>
    <w:rsid w:val="001E3B17"/>
    <w:rsid w:val="001E420F"/>
    <w:rsid w:val="001E4456"/>
    <w:rsid w:val="001E49A9"/>
    <w:rsid w:val="001E4AB5"/>
    <w:rsid w:val="001E4EF2"/>
    <w:rsid w:val="001E4F28"/>
    <w:rsid w:val="001E5415"/>
    <w:rsid w:val="001E57FA"/>
    <w:rsid w:val="001E59AF"/>
    <w:rsid w:val="001E5A77"/>
    <w:rsid w:val="001E5BBA"/>
    <w:rsid w:val="001E70F5"/>
    <w:rsid w:val="001E723A"/>
    <w:rsid w:val="001E72C1"/>
    <w:rsid w:val="001E7425"/>
    <w:rsid w:val="001E7576"/>
    <w:rsid w:val="001E79B6"/>
    <w:rsid w:val="001E7EF1"/>
    <w:rsid w:val="001F0585"/>
    <w:rsid w:val="001F05EC"/>
    <w:rsid w:val="001F07F4"/>
    <w:rsid w:val="001F0E0F"/>
    <w:rsid w:val="001F14A3"/>
    <w:rsid w:val="001F1523"/>
    <w:rsid w:val="001F2253"/>
    <w:rsid w:val="001F2C55"/>
    <w:rsid w:val="001F3BA2"/>
    <w:rsid w:val="001F40C7"/>
    <w:rsid w:val="001F40D3"/>
    <w:rsid w:val="001F435E"/>
    <w:rsid w:val="001F4637"/>
    <w:rsid w:val="001F4C7B"/>
    <w:rsid w:val="001F4D00"/>
    <w:rsid w:val="001F4DB6"/>
    <w:rsid w:val="001F5358"/>
    <w:rsid w:val="001F561F"/>
    <w:rsid w:val="001F5F21"/>
    <w:rsid w:val="001F6592"/>
    <w:rsid w:val="001F6811"/>
    <w:rsid w:val="001F6B54"/>
    <w:rsid w:val="001F6DF9"/>
    <w:rsid w:val="001F7157"/>
    <w:rsid w:val="001F730A"/>
    <w:rsid w:val="001F759C"/>
    <w:rsid w:val="001F785A"/>
    <w:rsid w:val="001F7970"/>
    <w:rsid w:val="001F7AD1"/>
    <w:rsid w:val="002000BC"/>
    <w:rsid w:val="00200114"/>
    <w:rsid w:val="002002DC"/>
    <w:rsid w:val="00200556"/>
    <w:rsid w:val="00200631"/>
    <w:rsid w:val="00200FB9"/>
    <w:rsid w:val="0020144B"/>
    <w:rsid w:val="0020145E"/>
    <w:rsid w:val="00201A38"/>
    <w:rsid w:val="0020218C"/>
    <w:rsid w:val="00202511"/>
    <w:rsid w:val="002025D7"/>
    <w:rsid w:val="00202880"/>
    <w:rsid w:val="00202A92"/>
    <w:rsid w:val="00202BB2"/>
    <w:rsid w:val="00202F22"/>
    <w:rsid w:val="00203024"/>
    <w:rsid w:val="0020378A"/>
    <w:rsid w:val="00203C4F"/>
    <w:rsid w:val="00203F54"/>
    <w:rsid w:val="002040A0"/>
    <w:rsid w:val="00204630"/>
    <w:rsid w:val="0020482F"/>
    <w:rsid w:val="0020494F"/>
    <w:rsid w:val="00204F74"/>
    <w:rsid w:val="0020509D"/>
    <w:rsid w:val="00205730"/>
    <w:rsid w:val="00205A02"/>
    <w:rsid w:val="00205AD3"/>
    <w:rsid w:val="00205B28"/>
    <w:rsid w:val="00206636"/>
    <w:rsid w:val="002067B6"/>
    <w:rsid w:val="00206AB3"/>
    <w:rsid w:val="00206BBF"/>
    <w:rsid w:val="00206BEA"/>
    <w:rsid w:val="00207488"/>
    <w:rsid w:val="00207803"/>
    <w:rsid w:val="002078D6"/>
    <w:rsid w:val="002078DF"/>
    <w:rsid w:val="00207DEE"/>
    <w:rsid w:val="00207EBF"/>
    <w:rsid w:val="00207F63"/>
    <w:rsid w:val="00207F78"/>
    <w:rsid w:val="00210450"/>
    <w:rsid w:val="00210808"/>
    <w:rsid w:val="00210D46"/>
    <w:rsid w:val="00210D5E"/>
    <w:rsid w:val="00210DFA"/>
    <w:rsid w:val="002114CC"/>
    <w:rsid w:val="00211F04"/>
    <w:rsid w:val="002123B0"/>
    <w:rsid w:val="00212B83"/>
    <w:rsid w:val="002130C3"/>
    <w:rsid w:val="002130CE"/>
    <w:rsid w:val="00213767"/>
    <w:rsid w:val="0021478C"/>
    <w:rsid w:val="0021493F"/>
    <w:rsid w:val="00214B81"/>
    <w:rsid w:val="0021519E"/>
    <w:rsid w:val="00215629"/>
    <w:rsid w:val="00215B3E"/>
    <w:rsid w:val="00215E73"/>
    <w:rsid w:val="002163D9"/>
    <w:rsid w:val="00216630"/>
    <w:rsid w:val="002168B3"/>
    <w:rsid w:val="002168E0"/>
    <w:rsid w:val="00216EFB"/>
    <w:rsid w:val="00217254"/>
    <w:rsid w:val="002179EF"/>
    <w:rsid w:val="00217EE0"/>
    <w:rsid w:val="002200F1"/>
    <w:rsid w:val="0022071C"/>
    <w:rsid w:val="0022076A"/>
    <w:rsid w:val="00220B4E"/>
    <w:rsid w:val="00221202"/>
    <w:rsid w:val="00221214"/>
    <w:rsid w:val="00221560"/>
    <w:rsid w:val="002218BA"/>
    <w:rsid w:val="00221D05"/>
    <w:rsid w:val="002221F9"/>
    <w:rsid w:val="00222B71"/>
    <w:rsid w:val="00222C8D"/>
    <w:rsid w:val="00222EB3"/>
    <w:rsid w:val="00223299"/>
    <w:rsid w:val="00223B74"/>
    <w:rsid w:val="00223DAA"/>
    <w:rsid w:val="00223F7C"/>
    <w:rsid w:val="00224187"/>
    <w:rsid w:val="002241B3"/>
    <w:rsid w:val="002242C2"/>
    <w:rsid w:val="002243F5"/>
    <w:rsid w:val="002245B1"/>
    <w:rsid w:val="00224852"/>
    <w:rsid w:val="00224C85"/>
    <w:rsid w:val="00224CD6"/>
    <w:rsid w:val="002252BA"/>
    <w:rsid w:val="0022570A"/>
    <w:rsid w:val="002261C8"/>
    <w:rsid w:val="002261DA"/>
    <w:rsid w:val="0022665F"/>
    <w:rsid w:val="00226C82"/>
    <w:rsid w:val="00226FAF"/>
    <w:rsid w:val="002270B2"/>
    <w:rsid w:val="00227720"/>
    <w:rsid w:val="002279FA"/>
    <w:rsid w:val="00227CE5"/>
    <w:rsid w:val="0023071E"/>
    <w:rsid w:val="00230AEA"/>
    <w:rsid w:val="00230C3E"/>
    <w:rsid w:val="00230F2B"/>
    <w:rsid w:val="0023110B"/>
    <w:rsid w:val="002312A0"/>
    <w:rsid w:val="002313D7"/>
    <w:rsid w:val="00231804"/>
    <w:rsid w:val="00231B6E"/>
    <w:rsid w:val="00231EDF"/>
    <w:rsid w:val="002322E5"/>
    <w:rsid w:val="00232CD4"/>
    <w:rsid w:val="00232E4C"/>
    <w:rsid w:val="00233A3B"/>
    <w:rsid w:val="00233BF3"/>
    <w:rsid w:val="00233C1D"/>
    <w:rsid w:val="00233CEC"/>
    <w:rsid w:val="00234EDC"/>
    <w:rsid w:val="0023511C"/>
    <w:rsid w:val="002355EE"/>
    <w:rsid w:val="002357A7"/>
    <w:rsid w:val="00236061"/>
    <w:rsid w:val="00236090"/>
    <w:rsid w:val="002365C0"/>
    <w:rsid w:val="00236829"/>
    <w:rsid w:val="0023682D"/>
    <w:rsid w:val="00236CE7"/>
    <w:rsid w:val="00237143"/>
    <w:rsid w:val="00237228"/>
    <w:rsid w:val="002373D7"/>
    <w:rsid w:val="00237B46"/>
    <w:rsid w:val="00237F97"/>
    <w:rsid w:val="00240004"/>
    <w:rsid w:val="00240442"/>
    <w:rsid w:val="00240742"/>
    <w:rsid w:val="00240A7D"/>
    <w:rsid w:val="002411F1"/>
    <w:rsid w:val="00241672"/>
    <w:rsid w:val="00241B79"/>
    <w:rsid w:val="00241C7C"/>
    <w:rsid w:val="00241E27"/>
    <w:rsid w:val="00242170"/>
    <w:rsid w:val="0024217D"/>
    <w:rsid w:val="002421D0"/>
    <w:rsid w:val="002426C7"/>
    <w:rsid w:val="00242AD0"/>
    <w:rsid w:val="00243336"/>
    <w:rsid w:val="00243899"/>
    <w:rsid w:val="00243B23"/>
    <w:rsid w:val="00243B31"/>
    <w:rsid w:val="00243BA4"/>
    <w:rsid w:val="0024426D"/>
    <w:rsid w:val="00244C35"/>
    <w:rsid w:val="002451E3"/>
    <w:rsid w:val="002452EE"/>
    <w:rsid w:val="002459B3"/>
    <w:rsid w:val="00245B04"/>
    <w:rsid w:val="002461C4"/>
    <w:rsid w:val="002465C0"/>
    <w:rsid w:val="002476E9"/>
    <w:rsid w:val="00247826"/>
    <w:rsid w:val="00247B88"/>
    <w:rsid w:val="00247D44"/>
    <w:rsid w:val="0025039A"/>
    <w:rsid w:val="00250645"/>
    <w:rsid w:val="00250AA9"/>
    <w:rsid w:val="00250BBC"/>
    <w:rsid w:val="0025126A"/>
    <w:rsid w:val="002513BD"/>
    <w:rsid w:val="00251A3C"/>
    <w:rsid w:val="002522FA"/>
    <w:rsid w:val="00252D3E"/>
    <w:rsid w:val="002533BA"/>
    <w:rsid w:val="00253C9D"/>
    <w:rsid w:val="00254509"/>
    <w:rsid w:val="00254D1D"/>
    <w:rsid w:val="002550BF"/>
    <w:rsid w:val="00255127"/>
    <w:rsid w:val="00255790"/>
    <w:rsid w:val="00255943"/>
    <w:rsid w:val="00255B56"/>
    <w:rsid w:val="00256276"/>
    <w:rsid w:val="0025691C"/>
    <w:rsid w:val="00256C83"/>
    <w:rsid w:val="002577FE"/>
    <w:rsid w:val="00257EB9"/>
    <w:rsid w:val="0026059F"/>
    <w:rsid w:val="002606B1"/>
    <w:rsid w:val="002606CD"/>
    <w:rsid w:val="002607C6"/>
    <w:rsid w:val="0026080A"/>
    <w:rsid w:val="00260E16"/>
    <w:rsid w:val="002612BA"/>
    <w:rsid w:val="0026176A"/>
    <w:rsid w:val="00261E87"/>
    <w:rsid w:val="002622A0"/>
    <w:rsid w:val="00262785"/>
    <w:rsid w:val="00262E52"/>
    <w:rsid w:val="002631D5"/>
    <w:rsid w:val="00263293"/>
    <w:rsid w:val="00263499"/>
    <w:rsid w:val="002636E3"/>
    <w:rsid w:val="002639C3"/>
    <w:rsid w:val="00263D26"/>
    <w:rsid w:val="00263FC1"/>
    <w:rsid w:val="0026403C"/>
    <w:rsid w:val="002642E0"/>
    <w:rsid w:val="00264FF3"/>
    <w:rsid w:val="0026574A"/>
    <w:rsid w:val="0026596F"/>
    <w:rsid w:val="00265EE5"/>
    <w:rsid w:val="002662E7"/>
    <w:rsid w:val="002668EA"/>
    <w:rsid w:val="00266E2B"/>
    <w:rsid w:val="00266F05"/>
    <w:rsid w:val="0026718E"/>
    <w:rsid w:val="002673E5"/>
    <w:rsid w:val="002673E6"/>
    <w:rsid w:val="002677DA"/>
    <w:rsid w:val="00267A6A"/>
    <w:rsid w:val="00267B9D"/>
    <w:rsid w:val="00267D63"/>
    <w:rsid w:val="00267F91"/>
    <w:rsid w:val="0027104A"/>
    <w:rsid w:val="0027132A"/>
    <w:rsid w:val="0027140A"/>
    <w:rsid w:val="00271471"/>
    <w:rsid w:val="00271959"/>
    <w:rsid w:val="00271B56"/>
    <w:rsid w:val="00271BD6"/>
    <w:rsid w:val="00271DF7"/>
    <w:rsid w:val="00271E1C"/>
    <w:rsid w:val="00271EE3"/>
    <w:rsid w:val="00271F27"/>
    <w:rsid w:val="002723F7"/>
    <w:rsid w:val="00272A39"/>
    <w:rsid w:val="00272B1D"/>
    <w:rsid w:val="00272D37"/>
    <w:rsid w:val="00272D68"/>
    <w:rsid w:val="002733A0"/>
    <w:rsid w:val="00273740"/>
    <w:rsid w:val="002739B6"/>
    <w:rsid w:val="00274320"/>
    <w:rsid w:val="00274709"/>
    <w:rsid w:val="00274A1C"/>
    <w:rsid w:val="00274AA2"/>
    <w:rsid w:val="00274C84"/>
    <w:rsid w:val="00275980"/>
    <w:rsid w:val="00275B14"/>
    <w:rsid w:val="00275FB4"/>
    <w:rsid w:val="00277069"/>
    <w:rsid w:val="002771BC"/>
    <w:rsid w:val="002773B5"/>
    <w:rsid w:val="0027750B"/>
    <w:rsid w:val="0027758C"/>
    <w:rsid w:val="00277963"/>
    <w:rsid w:val="00277C8A"/>
    <w:rsid w:val="00280794"/>
    <w:rsid w:val="00280A66"/>
    <w:rsid w:val="00281212"/>
    <w:rsid w:val="0028130C"/>
    <w:rsid w:val="0028180E"/>
    <w:rsid w:val="002818EC"/>
    <w:rsid w:val="00281ABE"/>
    <w:rsid w:val="00281B83"/>
    <w:rsid w:val="00281CD6"/>
    <w:rsid w:val="002826F1"/>
    <w:rsid w:val="002827EC"/>
    <w:rsid w:val="00282872"/>
    <w:rsid w:val="00282970"/>
    <w:rsid w:val="00282A34"/>
    <w:rsid w:val="00282DE8"/>
    <w:rsid w:val="00282E1F"/>
    <w:rsid w:val="00282E9E"/>
    <w:rsid w:val="00283714"/>
    <w:rsid w:val="002839D0"/>
    <w:rsid w:val="00283A33"/>
    <w:rsid w:val="00284350"/>
    <w:rsid w:val="00284869"/>
    <w:rsid w:val="00284A88"/>
    <w:rsid w:val="0028509B"/>
    <w:rsid w:val="002850F0"/>
    <w:rsid w:val="002853EE"/>
    <w:rsid w:val="00285997"/>
    <w:rsid w:val="00286440"/>
    <w:rsid w:val="002864CE"/>
    <w:rsid w:val="0028699F"/>
    <w:rsid w:val="00286E5F"/>
    <w:rsid w:val="0028705D"/>
    <w:rsid w:val="00287999"/>
    <w:rsid w:val="00287AB3"/>
    <w:rsid w:val="00287C51"/>
    <w:rsid w:val="002903B0"/>
    <w:rsid w:val="002908CE"/>
    <w:rsid w:val="00290925"/>
    <w:rsid w:val="00290A1C"/>
    <w:rsid w:val="002910B8"/>
    <w:rsid w:val="00291121"/>
    <w:rsid w:val="00291487"/>
    <w:rsid w:val="00291777"/>
    <w:rsid w:val="00291944"/>
    <w:rsid w:val="00291B17"/>
    <w:rsid w:val="00291BF3"/>
    <w:rsid w:val="00291CB8"/>
    <w:rsid w:val="00292825"/>
    <w:rsid w:val="00292960"/>
    <w:rsid w:val="002929BC"/>
    <w:rsid w:val="0029344B"/>
    <w:rsid w:val="002934B9"/>
    <w:rsid w:val="002936F2"/>
    <w:rsid w:val="00293CF6"/>
    <w:rsid w:val="00294481"/>
    <w:rsid w:val="0029453F"/>
    <w:rsid w:val="002945AE"/>
    <w:rsid w:val="002948E8"/>
    <w:rsid w:val="002949ED"/>
    <w:rsid w:val="00294A66"/>
    <w:rsid w:val="00294B66"/>
    <w:rsid w:val="00294EA7"/>
    <w:rsid w:val="002950C2"/>
    <w:rsid w:val="002950E3"/>
    <w:rsid w:val="002952D4"/>
    <w:rsid w:val="002956EB"/>
    <w:rsid w:val="002959F3"/>
    <w:rsid w:val="00295FBB"/>
    <w:rsid w:val="002961C5"/>
    <w:rsid w:val="002962DA"/>
    <w:rsid w:val="00296634"/>
    <w:rsid w:val="002968CE"/>
    <w:rsid w:val="00296A49"/>
    <w:rsid w:val="00296B6B"/>
    <w:rsid w:val="002974EC"/>
    <w:rsid w:val="002978D1"/>
    <w:rsid w:val="00297B49"/>
    <w:rsid w:val="00297E75"/>
    <w:rsid w:val="00297F98"/>
    <w:rsid w:val="002A00A1"/>
    <w:rsid w:val="002A0284"/>
    <w:rsid w:val="002A065C"/>
    <w:rsid w:val="002A0CBC"/>
    <w:rsid w:val="002A0D71"/>
    <w:rsid w:val="002A0E37"/>
    <w:rsid w:val="002A158A"/>
    <w:rsid w:val="002A166E"/>
    <w:rsid w:val="002A1C8B"/>
    <w:rsid w:val="002A1F03"/>
    <w:rsid w:val="002A1F07"/>
    <w:rsid w:val="002A23F7"/>
    <w:rsid w:val="002A24D5"/>
    <w:rsid w:val="002A2AC1"/>
    <w:rsid w:val="002A2AF6"/>
    <w:rsid w:val="002A2C1B"/>
    <w:rsid w:val="002A2E10"/>
    <w:rsid w:val="002A360A"/>
    <w:rsid w:val="002A3A7F"/>
    <w:rsid w:val="002A3DE5"/>
    <w:rsid w:val="002A4285"/>
    <w:rsid w:val="002A53C2"/>
    <w:rsid w:val="002A5544"/>
    <w:rsid w:val="002A5EF1"/>
    <w:rsid w:val="002A62D7"/>
    <w:rsid w:val="002A6394"/>
    <w:rsid w:val="002A6962"/>
    <w:rsid w:val="002A6A6C"/>
    <w:rsid w:val="002A6E03"/>
    <w:rsid w:val="002A719B"/>
    <w:rsid w:val="002A7978"/>
    <w:rsid w:val="002A7AD7"/>
    <w:rsid w:val="002B067B"/>
    <w:rsid w:val="002B0D74"/>
    <w:rsid w:val="002B0DB9"/>
    <w:rsid w:val="002B0F7B"/>
    <w:rsid w:val="002B1301"/>
    <w:rsid w:val="002B1848"/>
    <w:rsid w:val="002B1CC9"/>
    <w:rsid w:val="002B28DF"/>
    <w:rsid w:val="002B2C0B"/>
    <w:rsid w:val="002B2C2B"/>
    <w:rsid w:val="002B2E7C"/>
    <w:rsid w:val="002B3755"/>
    <w:rsid w:val="002B3C3E"/>
    <w:rsid w:val="002B4151"/>
    <w:rsid w:val="002B41A7"/>
    <w:rsid w:val="002B4314"/>
    <w:rsid w:val="002B44F5"/>
    <w:rsid w:val="002B46E8"/>
    <w:rsid w:val="002B47BB"/>
    <w:rsid w:val="002B4A38"/>
    <w:rsid w:val="002B50E7"/>
    <w:rsid w:val="002B551D"/>
    <w:rsid w:val="002B569C"/>
    <w:rsid w:val="002B5E20"/>
    <w:rsid w:val="002B615A"/>
    <w:rsid w:val="002B634C"/>
    <w:rsid w:val="002B6413"/>
    <w:rsid w:val="002B675D"/>
    <w:rsid w:val="002B6874"/>
    <w:rsid w:val="002B7093"/>
    <w:rsid w:val="002B731C"/>
    <w:rsid w:val="002B7E21"/>
    <w:rsid w:val="002C01B4"/>
    <w:rsid w:val="002C0338"/>
    <w:rsid w:val="002C03C0"/>
    <w:rsid w:val="002C1650"/>
    <w:rsid w:val="002C169B"/>
    <w:rsid w:val="002C1FE6"/>
    <w:rsid w:val="002C230C"/>
    <w:rsid w:val="002C2737"/>
    <w:rsid w:val="002C2884"/>
    <w:rsid w:val="002C2A10"/>
    <w:rsid w:val="002C2BE0"/>
    <w:rsid w:val="002C2C15"/>
    <w:rsid w:val="002C2D94"/>
    <w:rsid w:val="002C3430"/>
    <w:rsid w:val="002C35E4"/>
    <w:rsid w:val="002C4896"/>
    <w:rsid w:val="002C4B19"/>
    <w:rsid w:val="002C4FFA"/>
    <w:rsid w:val="002C585A"/>
    <w:rsid w:val="002C5A61"/>
    <w:rsid w:val="002C5C80"/>
    <w:rsid w:val="002C5F3B"/>
    <w:rsid w:val="002C5FA0"/>
    <w:rsid w:val="002C5FC0"/>
    <w:rsid w:val="002C637F"/>
    <w:rsid w:val="002C6947"/>
    <w:rsid w:val="002C6AF2"/>
    <w:rsid w:val="002C6B37"/>
    <w:rsid w:val="002C6E25"/>
    <w:rsid w:val="002C6FB7"/>
    <w:rsid w:val="002C7B50"/>
    <w:rsid w:val="002C7E3A"/>
    <w:rsid w:val="002D0508"/>
    <w:rsid w:val="002D076E"/>
    <w:rsid w:val="002D082D"/>
    <w:rsid w:val="002D09DF"/>
    <w:rsid w:val="002D0E07"/>
    <w:rsid w:val="002D0F06"/>
    <w:rsid w:val="002D1007"/>
    <w:rsid w:val="002D1B3A"/>
    <w:rsid w:val="002D1B6E"/>
    <w:rsid w:val="002D23CD"/>
    <w:rsid w:val="002D2E0E"/>
    <w:rsid w:val="002D2ED7"/>
    <w:rsid w:val="002D3227"/>
    <w:rsid w:val="002D324E"/>
    <w:rsid w:val="002D3527"/>
    <w:rsid w:val="002D37F8"/>
    <w:rsid w:val="002D46AE"/>
    <w:rsid w:val="002D47E3"/>
    <w:rsid w:val="002D4A2A"/>
    <w:rsid w:val="002D4DC3"/>
    <w:rsid w:val="002D5A23"/>
    <w:rsid w:val="002D5AED"/>
    <w:rsid w:val="002D5E3C"/>
    <w:rsid w:val="002D5F82"/>
    <w:rsid w:val="002D67D1"/>
    <w:rsid w:val="002D6DD8"/>
    <w:rsid w:val="002D7065"/>
    <w:rsid w:val="002D7944"/>
    <w:rsid w:val="002D7BF7"/>
    <w:rsid w:val="002E0149"/>
    <w:rsid w:val="002E02A6"/>
    <w:rsid w:val="002E0375"/>
    <w:rsid w:val="002E09FF"/>
    <w:rsid w:val="002E0D4A"/>
    <w:rsid w:val="002E10A9"/>
    <w:rsid w:val="002E1403"/>
    <w:rsid w:val="002E1411"/>
    <w:rsid w:val="002E144D"/>
    <w:rsid w:val="002E19C1"/>
    <w:rsid w:val="002E1AD6"/>
    <w:rsid w:val="002E1BA0"/>
    <w:rsid w:val="002E1BA7"/>
    <w:rsid w:val="002E1D14"/>
    <w:rsid w:val="002E1E3A"/>
    <w:rsid w:val="002E1E46"/>
    <w:rsid w:val="002E1F0F"/>
    <w:rsid w:val="002E2040"/>
    <w:rsid w:val="002E2253"/>
    <w:rsid w:val="002E2B8B"/>
    <w:rsid w:val="002E319F"/>
    <w:rsid w:val="002E39F5"/>
    <w:rsid w:val="002E3AAE"/>
    <w:rsid w:val="002E3DCF"/>
    <w:rsid w:val="002E3DF1"/>
    <w:rsid w:val="002E3DFD"/>
    <w:rsid w:val="002E412E"/>
    <w:rsid w:val="002E4E17"/>
    <w:rsid w:val="002E4ED9"/>
    <w:rsid w:val="002E5093"/>
    <w:rsid w:val="002E5787"/>
    <w:rsid w:val="002E585D"/>
    <w:rsid w:val="002E5E71"/>
    <w:rsid w:val="002E6001"/>
    <w:rsid w:val="002E6698"/>
    <w:rsid w:val="002E6A91"/>
    <w:rsid w:val="002E7570"/>
    <w:rsid w:val="002E7D78"/>
    <w:rsid w:val="002E7EB8"/>
    <w:rsid w:val="002F06FA"/>
    <w:rsid w:val="002F0F82"/>
    <w:rsid w:val="002F1680"/>
    <w:rsid w:val="002F1D63"/>
    <w:rsid w:val="002F22CF"/>
    <w:rsid w:val="002F239E"/>
    <w:rsid w:val="002F25F3"/>
    <w:rsid w:val="002F2DBB"/>
    <w:rsid w:val="002F3021"/>
    <w:rsid w:val="002F3054"/>
    <w:rsid w:val="002F3458"/>
    <w:rsid w:val="002F4272"/>
    <w:rsid w:val="002F45A6"/>
    <w:rsid w:val="002F539B"/>
    <w:rsid w:val="002F587D"/>
    <w:rsid w:val="002F5E2A"/>
    <w:rsid w:val="002F6240"/>
    <w:rsid w:val="002F63EC"/>
    <w:rsid w:val="002F65F2"/>
    <w:rsid w:val="002F66E1"/>
    <w:rsid w:val="002F6871"/>
    <w:rsid w:val="002F6FF8"/>
    <w:rsid w:val="002F7006"/>
    <w:rsid w:val="002F73B2"/>
    <w:rsid w:val="00300017"/>
    <w:rsid w:val="00300125"/>
    <w:rsid w:val="0030026E"/>
    <w:rsid w:val="003006C8"/>
    <w:rsid w:val="00300729"/>
    <w:rsid w:val="00300C91"/>
    <w:rsid w:val="00300CF9"/>
    <w:rsid w:val="003017C9"/>
    <w:rsid w:val="00301943"/>
    <w:rsid w:val="0030199F"/>
    <w:rsid w:val="00301BBE"/>
    <w:rsid w:val="00301D5C"/>
    <w:rsid w:val="00301ED7"/>
    <w:rsid w:val="00302289"/>
    <w:rsid w:val="003023E8"/>
    <w:rsid w:val="003026D6"/>
    <w:rsid w:val="00302893"/>
    <w:rsid w:val="00302A1F"/>
    <w:rsid w:val="00302E07"/>
    <w:rsid w:val="00302F48"/>
    <w:rsid w:val="0030303E"/>
    <w:rsid w:val="00303738"/>
    <w:rsid w:val="00303AB0"/>
    <w:rsid w:val="003041BA"/>
    <w:rsid w:val="00304324"/>
    <w:rsid w:val="00304C8B"/>
    <w:rsid w:val="003051EB"/>
    <w:rsid w:val="00305235"/>
    <w:rsid w:val="003055C3"/>
    <w:rsid w:val="003064BA"/>
    <w:rsid w:val="003064EE"/>
    <w:rsid w:val="00306590"/>
    <w:rsid w:val="00306664"/>
    <w:rsid w:val="003070B9"/>
    <w:rsid w:val="00307497"/>
    <w:rsid w:val="00307BDE"/>
    <w:rsid w:val="00307EA6"/>
    <w:rsid w:val="003100BB"/>
    <w:rsid w:val="003104C3"/>
    <w:rsid w:val="003106CD"/>
    <w:rsid w:val="003107D4"/>
    <w:rsid w:val="00310B2C"/>
    <w:rsid w:val="00310BEC"/>
    <w:rsid w:val="00310DC5"/>
    <w:rsid w:val="003110B8"/>
    <w:rsid w:val="003111F2"/>
    <w:rsid w:val="00311409"/>
    <w:rsid w:val="003114F3"/>
    <w:rsid w:val="00311D27"/>
    <w:rsid w:val="00311F46"/>
    <w:rsid w:val="003120AC"/>
    <w:rsid w:val="0031263D"/>
    <w:rsid w:val="00312BAA"/>
    <w:rsid w:val="00312CE7"/>
    <w:rsid w:val="00312D45"/>
    <w:rsid w:val="00312F06"/>
    <w:rsid w:val="00313186"/>
    <w:rsid w:val="003133B4"/>
    <w:rsid w:val="003135F2"/>
    <w:rsid w:val="003139B8"/>
    <w:rsid w:val="003141C3"/>
    <w:rsid w:val="003143FD"/>
    <w:rsid w:val="003148C8"/>
    <w:rsid w:val="00314D55"/>
    <w:rsid w:val="00314F46"/>
    <w:rsid w:val="00315079"/>
    <w:rsid w:val="003153A4"/>
    <w:rsid w:val="0031544E"/>
    <w:rsid w:val="00315513"/>
    <w:rsid w:val="003155A5"/>
    <w:rsid w:val="003158FC"/>
    <w:rsid w:val="00315D91"/>
    <w:rsid w:val="00315DD8"/>
    <w:rsid w:val="003165E5"/>
    <w:rsid w:val="00316A93"/>
    <w:rsid w:val="0031720B"/>
    <w:rsid w:val="003177ED"/>
    <w:rsid w:val="00317930"/>
    <w:rsid w:val="00317B80"/>
    <w:rsid w:val="00317C4F"/>
    <w:rsid w:val="00317F52"/>
    <w:rsid w:val="0032005C"/>
    <w:rsid w:val="00320079"/>
    <w:rsid w:val="003205D6"/>
    <w:rsid w:val="003208B8"/>
    <w:rsid w:val="00320A9F"/>
    <w:rsid w:val="00320BBE"/>
    <w:rsid w:val="0032159F"/>
    <w:rsid w:val="003217C9"/>
    <w:rsid w:val="003218BF"/>
    <w:rsid w:val="0032197A"/>
    <w:rsid w:val="00321B17"/>
    <w:rsid w:val="00321F1A"/>
    <w:rsid w:val="00321FBC"/>
    <w:rsid w:val="003220FA"/>
    <w:rsid w:val="003225C3"/>
    <w:rsid w:val="003226F7"/>
    <w:rsid w:val="00323062"/>
    <w:rsid w:val="003234E2"/>
    <w:rsid w:val="003239E0"/>
    <w:rsid w:val="00323A48"/>
    <w:rsid w:val="00323A97"/>
    <w:rsid w:val="00323FA2"/>
    <w:rsid w:val="00324313"/>
    <w:rsid w:val="0032441C"/>
    <w:rsid w:val="003247FC"/>
    <w:rsid w:val="0032525C"/>
    <w:rsid w:val="003252C2"/>
    <w:rsid w:val="003253D1"/>
    <w:rsid w:val="00325792"/>
    <w:rsid w:val="0032583E"/>
    <w:rsid w:val="00325E8A"/>
    <w:rsid w:val="00326AC4"/>
    <w:rsid w:val="00326D1D"/>
    <w:rsid w:val="003304E2"/>
    <w:rsid w:val="003308BD"/>
    <w:rsid w:val="00330D29"/>
    <w:rsid w:val="00330F07"/>
    <w:rsid w:val="003314BC"/>
    <w:rsid w:val="003315B3"/>
    <w:rsid w:val="00331B67"/>
    <w:rsid w:val="00331C7E"/>
    <w:rsid w:val="00331EE2"/>
    <w:rsid w:val="003320BE"/>
    <w:rsid w:val="00332219"/>
    <w:rsid w:val="00332261"/>
    <w:rsid w:val="00332412"/>
    <w:rsid w:val="0033247B"/>
    <w:rsid w:val="003324E7"/>
    <w:rsid w:val="00332861"/>
    <w:rsid w:val="00332C0D"/>
    <w:rsid w:val="00332E69"/>
    <w:rsid w:val="00332EDB"/>
    <w:rsid w:val="00333421"/>
    <w:rsid w:val="003334DD"/>
    <w:rsid w:val="003335D4"/>
    <w:rsid w:val="00333B7F"/>
    <w:rsid w:val="00333EC6"/>
    <w:rsid w:val="00333F9D"/>
    <w:rsid w:val="00334020"/>
    <w:rsid w:val="00334911"/>
    <w:rsid w:val="00334D65"/>
    <w:rsid w:val="00335000"/>
    <w:rsid w:val="00335126"/>
    <w:rsid w:val="003355DB"/>
    <w:rsid w:val="003355E0"/>
    <w:rsid w:val="003357C6"/>
    <w:rsid w:val="00335BF7"/>
    <w:rsid w:val="00335FBB"/>
    <w:rsid w:val="003362E7"/>
    <w:rsid w:val="0033649E"/>
    <w:rsid w:val="0033671F"/>
    <w:rsid w:val="00337116"/>
    <w:rsid w:val="00337957"/>
    <w:rsid w:val="00337B89"/>
    <w:rsid w:val="00337D1E"/>
    <w:rsid w:val="00337F45"/>
    <w:rsid w:val="003408C1"/>
    <w:rsid w:val="00340E8B"/>
    <w:rsid w:val="003417E2"/>
    <w:rsid w:val="0034238B"/>
    <w:rsid w:val="00342463"/>
    <w:rsid w:val="00342727"/>
    <w:rsid w:val="003427E0"/>
    <w:rsid w:val="0034284F"/>
    <w:rsid w:val="00342997"/>
    <w:rsid w:val="00342E86"/>
    <w:rsid w:val="00342F4F"/>
    <w:rsid w:val="00342F58"/>
    <w:rsid w:val="003432C0"/>
    <w:rsid w:val="003439DB"/>
    <w:rsid w:val="00343C62"/>
    <w:rsid w:val="00343CBD"/>
    <w:rsid w:val="0034420E"/>
    <w:rsid w:val="003446E1"/>
    <w:rsid w:val="00344728"/>
    <w:rsid w:val="00344767"/>
    <w:rsid w:val="00345347"/>
    <w:rsid w:val="00346238"/>
    <w:rsid w:val="00350271"/>
    <w:rsid w:val="003503C5"/>
    <w:rsid w:val="00350758"/>
    <w:rsid w:val="00351355"/>
    <w:rsid w:val="003513C7"/>
    <w:rsid w:val="00351693"/>
    <w:rsid w:val="00351762"/>
    <w:rsid w:val="003519E8"/>
    <w:rsid w:val="00352073"/>
    <w:rsid w:val="003522B0"/>
    <w:rsid w:val="0035230B"/>
    <w:rsid w:val="003528C1"/>
    <w:rsid w:val="0035298B"/>
    <w:rsid w:val="00352F33"/>
    <w:rsid w:val="0035317E"/>
    <w:rsid w:val="003531A3"/>
    <w:rsid w:val="0035335B"/>
    <w:rsid w:val="00353421"/>
    <w:rsid w:val="0035398F"/>
    <w:rsid w:val="00353A15"/>
    <w:rsid w:val="003551B6"/>
    <w:rsid w:val="00355A1D"/>
    <w:rsid w:val="00356402"/>
    <w:rsid w:val="00356905"/>
    <w:rsid w:val="00356CB1"/>
    <w:rsid w:val="00356EE0"/>
    <w:rsid w:val="00356EF5"/>
    <w:rsid w:val="0035783C"/>
    <w:rsid w:val="003579E7"/>
    <w:rsid w:val="00357DF7"/>
    <w:rsid w:val="00360009"/>
    <w:rsid w:val="00360442"/>
    <w:rsid w:val="0036053D"/>
    <w:rsid w:val="00360E17"/>
    <w:rsid w:val="003615EC"/>
    <w:rsid w:val="003616E9"/>
    <w:rsid w:val="00361B4D"/>
    <w:rsid w:val="00361C90"/>
    <w:rsid w:val="00361D61"/>
    <w:rsid w:val="0036212B"/>
    <w:rsid w:val="00362759"/>
    <w:rsid w:val="00362B78"/>
    <w:rsid w:val="00363581"/>
    <w:rsid w:val="00363C39"/>
    <w:rsid w:val="003643A1"/>
    <w:rsid w:val="0036499A"/>
    <w:rsid w:val="00364BE8"/>
    <w:rsid w:val="00364C38"/>
    <w:rsid w:val="00364E92"/>
    <w:rsid w:val="00364F0A"/>
    <w:rsid w:val="00364F40"/>
    <w:rsid w:val="003650C1"/>
    <w:rsid w:val="003650C2"/>
    <w:rsid w:val="00365999"/>
    <w:rsid w:val="00365EF7"/>
    <w:rsid w:val="00365FCB"/>
    <w:rsid w:val="0036606B"/>
    <w:rsid w:val="0036667F"/>
    <w:rsid w:val="00366D8B"/>
    <w:rsid w:val="00366FAD"/>
    <w:rsid w:val="0036700A"/>
    <w:rsid w:val="0036742A"/>
    <w:rsid w:val="0036753B"/>
    <w:rsid w:val="00367766"/>
    <w:rsid w:val="00367895"/>
    <w:rsid w:val="003679E7"/>
    <w:rsid w:val="00367C37"/>
    <w:rsid w:val="00367CAA"/>
    <w:rsid w:val="00367CF5"/>
    <w:rsid w:val="003701E8"/>
    <w:rsid w:val="00370828"/>
    <w:rsid w:val="003708BF"/>
    <w:rsid w:val="00370AA7"/>
    <w:rsid w:val="00370BF8"/>
    <w:rsid w:val="00370BF9"/>
    <w:rsid w:val="003713A0"/>
    <w:rsid w:val="003715BD"/>
    <w:rsid w:val="00371764"/>
    <w:rsid w:val="00371944"/>
    <w:rsid w:val="00371954"/>
    <w:rsid w:val="00372075"/>
    <w:rsid w:val="003721F2"/>
    <w:rsid w:val="00372344"/>
    <w:rsid w:val="0037250F"/>
    <w:rsid w:val="003727C9"/>
    <w:rsid w:val="00372C89"/>
    <w:rsid w:val="00372E48"/>
    <w:rsid w:val="0037365C"/>
    <w:rsid w:val="00373975"/>
    <w:rsid w:val="00373D35"/>
    <w:rsid w:val="00373E90"/>
    <w:rsid w:val="00373EBE"/>
    <w:rsid w:val="00374BEF"/>
    <w:rsid w:val="00374C33"/>
    <w:rsid w:val="0037566B"/>
    <w:rsid w:val="00375755"/>
    <w:rsid w:val="00375A3E"/>
    <w:rsid w:val="003760C7"/>
    <w:rsid w:val="003762DD"/>
    <w:rsid w:val="0037633A"/>
    <w:rsid w:val="00376370"/>
    <w:rsid w:val="00376769"/>
    <w:rsid w:val="00376FDB"/>
    <w:rsid w:val="00377407"/>
    <w:rsid w:val="00377556"/>
    <w:rsid w:val="00377585"/>
    <w:rsid w:val="00377CD7"/>
    <w:rsid w:val="00380047"/>
    <w:rsid w:val="00380327"/>
    <w:rsid w:val="003812D0"/>
    <w:rsid w:val="003816D4"/>
    <w:rsid w:val="00381738"/>
    <w:rsid w:val="00381F23"/>
    <w:rsid w:val="00381FD4"/>
    <w:rsid w:val="00382350"/>
    <w:rsid w:val="003827AB"/>
    <w:rsid w:val="0038288A"/>
    <w:rsid w:val="0038318A"/>
    <w:rsid w:val="003835D4"/>
    <w:rsid w:val="00383859"/>
    <w:rsid w:val="0038391A"/>
    <w:rsid w:val="00383E7B"/>
    <w:rsid w:val="00383E92"/>
    <w:rsid w:val="00384000"/>
    <w:rsid w:val="003845D1"/>
    <w:rsid w:val="00384982"/>
    <w:rsid w:val="00384A6E"/>
    <w:rsid w:val="00384B9A"/>
    <w:rsid w:val="00384BC9"/>
    <w:rsid w:val="00384D48"/>
    <w:rsid w:val="00384F65"/>
    <w:rsid w:val="003852E7"/>
    <w:rsid w:val="0038576F"/>
    <w:rsid w:val="0038597B"/>
    <w:rsid w:val="00386648"/>
    <w:rsid w:val="00387189"/>
    <w:rsid w:val="003878CA"/>
    <w:rsid w:val="0039011D"/>
    <w:rsid w:val="003911EE"/>
    <w:rsid w:val="0039146C"/>
    <w:rsid w:val="0039151A"/>
    <w:rsid w:val="003917AF"/>
    <w:rsid w:val="00391EA8"/>
    <w:rsid w:val="00391F96"/>
    <w:rsid w:val="00392035"/>
    <w:rsid w:val="003920F2"/>
    <w:rsid w:val="003921A4"/>
    <w:rsid w:val="00392641"/>
    <w:rsid w:val="003929CF"/>
    <w:rsid w:val="003930AD"/>
    <w:rsid w:val="00394041"/>
    <w:rsid w:val="0039431D"/>
    <w:rsid w:val="003946C3"/>
    <w:rsid w:val="00394728"/>
    <w:rsid w:val="00394AE8"/>
    <w:rsid w:val="00394FC0"/>
    <w:rsid w:val="0039505C"/>
    <w:rsid w:val="0039506D"/>
    <w:rsid w:val="003954A3"/>
    <w:rsid w:val="00396BB7"/>
    <w:rsid w:val="003972BC"/>
    <w:rsid w:val="00397395"/>
    <w:rsid w:val="00397710"/>
    <w:rsid w:val="0039784A"/>
    <w:rsid w:val="00397AD4"/>
    <w:rsid w:val="00397DB7"/>
    <w:rsid w:val="003A0213"/>
    <w:rsid w:val="003A0319"/>
    <w:rsid w:val="003A06C3"/>
    <w:rsid w:val="003A0970"/>
    <w:rsid w:val="003A16AE"/>
    <w:rsid w:val="003A1995"/>
    <w:rsid w:val="003A1AF4"/>
    <w:rsid w:val="003A1FD4"/>
    <w:rsid w:val="003A2218"/>
    <w:rsid w:val="003A24FA"/>
    <w:rsid w:val="003A2AB0"/>
    <w:rsid w:val="003A2ADD"/>
    <w:rsid w:val="003A3069"/>
    <w:rsid w:val="003A3AF4"/>
    <w:rsid w:val="003A42D7"/>
    <w:rsid w:val="003A4475"/>
    <w:rsid w:val="003A4A38"/>
    <w:rsid w:val="003A4AB2"/>
    <w:rsid w:val="003A4D2D"/>
    <w:rsid w:val="003A4F1D"/>
    <w:rsid w:val="003A52D2"/>
    <w:rsid w:val="003A5577"/>
    <w:rsid w:val="003A5AE9"/>
    <w:rsid w:val="003A61BF"/>
    <w:rsid w:val="003A65CF"/>
    <w:rsid w:val="003A6BC5"/>
    <w:rsid w:val="003A6E96"/>
    <w:rsid w:val="003A79AA"/>
    <w:rsid w:val="003A7D9D"/>
    <w:rsid w:val="003A7FF8"/>
    <w:rsid w:val="003B0185"/>
    <w:rsid w:val="003B031F"/>
    <w:rsid w:val="003B1469"/>
    <w:rsid w:val="003B15A6"/>
    <w:rsid w:val="003B1F89"/>
    <w:rsid w:val="003B2231"/>
    <w:rsid w:val="003B23B9"/>
    <w:rsid w:val="003B2866"/>
    <w:rsid w:val="003B290D"/>
    <w:rsid w:val="003B3035"/>
    <w:rsid w:val="003B3963"/>
    <w:rsid w:val="003B3D7F"/>
    <w:rsid w:val="003B4139"/>
    <w:rsid w:val="003B4CAB"/>
    <w:rsid w:val="003B4CB4"/>
    <w:rsid w:val="003B58D7"/>
    <w:rsid w:val="003B5F39"/>
    <w:rsid w:val="003B60B3"/>
    <w:rsid w:val="003B6240"/>
    <w:rsid w:val="003B6657"/>
    <w:rsid w:val="003B6671"/>
    <w:rsid w:val="003B6713"/>
    <w:rsid w:val="003B7515"/>
    <w:rsid w:val="003B7551"/>
    <w:rsid w:val="003B7768"/>
    <w:rsid w:val="003B7945"/>
    <w:rsid w:val="003B7B4B"/>
    <w:rsid w:val="003C00A7"/>
    <w:rsid w:val="003C00D9"/>
    <w:rsid w:val="003C021D"/>
    <w:rsid w:val="003C03E6"/>
    <w:rsid w:val="003C056F"/>
    <w:rsid w:val="003C072C"/>
    <w:rsid w:val="003C092F"/>
    <w:rsid w:val="003C0C5C"/>
    <w:rsid w:val="003C1150"/>
    <w:rsid w:val="003C122E"/>
    <w:rsid w:val="003C12A1"/>
    <w:rsid w:val="003C1D0D"/>
    <w:rsid w:val="003C1E39"/>
    <w:rsid w:val="003C24A4"/>
    <w:rsid w:val="003C2688"/>
    <w:rsid w:val="003C26C6"/>
    <w:rsid w:val="003C2DF7"/>
    <w:rsid w:val="003C3011"/>
    <w:rsid w:val="003C37CA"/>
    <w:rsid w:val="003C3883"/>
    <w:rsid w:val="003C3B13"/>
    <w:rsid w:val="003C40E7"/>
    <w:rsid w:val="003C473A"/>
    <w:rsid w:val="003C4951"/>
    <w:rsid w:val="003C4981"/>
    <w:rsid w:val="003C4B33"/>
    <w:rsid w:val="003C4C2C"/>
    <w:rsid w:val="003C4DEC"/>
    <w:rsid w:val="003C50FF"/>
    <w:rsid w:val="003C5E0D"/>
    <w:rsid w:val="003C5F93"/>
    <w:rsid w:val="003C6221"/>
    <w:rsid w:val="003C6896"/>
    <w:rsid w:val="003C695E"/>
    <w:rsid w:val="003C6CF8"/>
    <w:rsid w:val="003C751D"/>
    <w:rsid w:val="003C78BD"/>
    <w:rsid w:val="003C7A1B"/>
    <w:rsid w:val="003C7D3A"/>
    <w:rsid w:val="003C7D9B"/>
    <w:rsid w:val="003C7E11"/>
    <w:rsid w:val="003D0A74"/>
    <w:rsid w:val="003D1756"/>
    <w:rsid w:val="003D1F52"/>
    <w:rsid w:val="003D21B1"/>
    <w:rsid w:val="003D23DB"/>
    <w:rsid w:val="003D2A16"/>
    <w:rsid w:val="003D2D7E"/>
    <w:rsid w:val="003D3005"/>
    <w:rsid w:val="003D33D7"/>
    <w:rsid w:val="003D35E7"/>
    <w:rsid w:val="003D388F"/>
    <w:rsid w:val="003D3D36"/>
    <w:rsid w:val="003D4A32"/>
    <w:rsid w:val="003D4CD9"/>
    <w:rsid w:val="003D4D63"/>
    <w:rsid w:val="003D53CE"/>
    <w:rsid w:val="003D5F14"/>
    <w:rsid w:val="003D63FB"/>
    <w:rsid w:val="003D6A8E"/>
    <w:rsid w:val="003D6D65"/>
    <w:rsid w:val="003D726D"/>
    <w:rsid w:val="003D73DB"/>
    <w:rsid w:val="003D751B"/>
    <w:rsid w:val="003D76B4"/>
    <w:rsid w:val="003D7833"/>
    <w:rsid w:val="003D7E63"/>
    <w:rsid w:val="003E01BC"/>
    <w:rsid w:val="003E0235"/>
    <w:rsid w:val="003E0B62"/>
    <w:rsid w:val="003E0F73"/>
    <w:rsid w:val="003E10BA"/>
    <w:rsid w:val="003E1480"/>
    <w:rsid w:val="003E1AFE"/>
    <w:rsid w:val="003E2106"/>
    <w:rsid w:val="003E2201"/>
    <w:rsid w:val="003E23EC"/>
    <w:rsid w:val="003E24B9"/>
    <w:rsid w:val="003E24DE"/>
    <w:rsid w:val="003E25F8"/>
    <w:rsid w:val="003E2C0F"/>
    <w:rsid w:val="003E2C47"/>
    <w:rsid w:val="003E314F"/>
    <w:rsid w:val="003E33C3"/>
    <w:rsid w:val="003E36AD"/>
    <w:rsid w:val="003E37A9"/>
    <w:rsid w:val="003E3F77"/>
    <w:rsid w:val="003E4318"/>
    <w:rsid w:val="003E453E"/>
    <w:rsid w:val="003E45E6"/>
    <w:rsid w:val="003E49F0"/>
    <w:rsid w:val="003E4EEF"/>
    <w:rsid w:val="003E5B10"/>
    <w:rsid w:val="003E5C28"/>
    <w:rsid w:val="003E5F44"/>
    <w:rsid w:val="003E603D"/>
    <w:rsid w:val="003E6049"/>
    <w:rsid w:val="003E629A"/>
    <w:rsid w:val="003E6580"/>
    <w:rsid w:val="003E65BB"/>
    <w:rsid w:val="003E68A4"/>
    <w:rsid w:val="003E77AC"/>
    <w:rsid w:val="003E7FBB"/>
    <w:rsid w:val="003F018B"/>
    <w:rsid w:val="003F0533"/>
    <w:rsid w:val="003F0870"/>
    <w:rsid w:val="003F090B"/>
    <w:rsid w:val="003F0C48"/>
    <w:rsid w:val="003F0CF3"/>
    <w:rsid w:val="003F0D26"/>
    <w:rsid w:val="003F1071"/>
    <w:rsid w:val="003F11B1"/>
    <w:rsid w:val="003F1CA1"/>
    <w:rsid w:val="003F1CF3"/>
    <w:rsid w:val="003F1EEB"/>
    <w:rsid w:val="003F1FE7"/>
    <w:rsid w:val="003F21D9"/>
    <w:rsid w:val="003F2C98"/>
    <w:rsid w:val="003F2CBB"/>
    <w:rsid w:val="003F30C3"/>
    <w:rsid w:val="003F33A3"/>
    <w:rsid w:val="003F35F2"/>
    <w:rsid w:val="003F440C"/>
    <w:rsid w:val="003F49FF"/>
    <w:rsid w:val="003F4A63"/>
    <w:rsid w:val="003F4F30"/>
    <w:rsid w:val="003F5140"/>
    <w:rsid w:val="003F5BFF"/>
    <w:rsid w:val="003F5DF4"/>
    <w:rsid w:val="003F67CE"/>
    <w:rsid w:val="003F6870"/>
    <w:rsid w:val="003F6AAF"/>
    <w:rsid w:val="003F6F67"/>
    <w:rsid w:val="003F79A7"/>
    <w:rsid w:val="003F7A7B"/>
    <w:rsid w:val="003F7DD0"/>
    <w:rsid w:val="003F7EC3"/>
    <w:rsid w:val="0040089F"/>
    <w:rsid w:val="00400A83"/>
    <w:rsid w:val="00400AE5"/>
    <w:rsid w:val="00400F7D"/>
    <w:rsid w:val="00400FA4"/>
    <w:rsid w:val="00400FE9"/>
    <w:rsid w:val="004011A6"/>
    <w:rsid w:val="00401236"/>
    <w:rsid w:val="00401578"/>
    <w:rsid w:val="00401715"/>
    <w:rsid w:val="0040230C"/>
    <w:rsid w:val="00402420"/>
    <w:rsid w:val="00402659"/>
    <w:rsid w:val="004026D6"/>
    <w:rsid w:val="00402931"/>
    <w:rsid w:val="00402997"/>
    <w:rsid w:val="00402F35"/>
    <w:rsid w:val="0040366E"/>
    <w:rsid w:val="00403ACD"/>
    <w:rsid w:val="00403D20"/>
    <w:rsid w:val="004045BF"/>
    <w:rsid w:val="00404649"/>
    <w:rsid w:val="00405263"/>
    <w:rsid w:val="0040531C"/>
    <w:rsid w:val="004054BB"/>
    <w:rsid w:val="0040554A"/>
    <w:rsid w:val="0040584B"/>
    <w:rsid w:val="00405A6E"/>
    <w:rsid w:val="00405B52"/>
    <w:rsid w:val="00405DF9"/>
    <w:rsid w:val="00405ECA"/>
    <w:rsid w:val="00406262"/>
    <w:rsid w:val="004068FD"/>
    <w:rsid w:val="00406BCD"/>
    <w:rsid w:val="00406CD5"/>
    <w:rsid w:val="00406DAD"/>
    <w:rsid w:val="00406E57"/>
    <w:rsid w:val="004070B9"/>
    <w:rsid w:val="004070FF"/>
    <w:rsid w:val="0041045D"/>
    <w:rsid w:val="00410E72"/>
    <w:rsid w:val="004115A9"/>
    <w:rsid w:val="004115EF"/>
    <w:rsid w:val="00411AA8"/>
    <w:rsid w:val="00411C91"/>
    <w:rsid w:val="004121B3"/>
    <w:rsid w:val="00412820"/>
    <w:rsid w:val="00412C16"/>
    <w:rsid w:val="0041361E"/>
    <w:rsid w:val="00413687"/>
    <w:rsid w:val="004136B3"/>
    <w:rsid w:val="0041383E"/>
    <w:rsid w:val="004138F1"/>
    <w:rsid w:val="00413985"/>
    <w:rsid w:val="00413AD8"/>
    <w:rsid w:val="00413B2B"/>
    <w:rsid w:val="00413BDB"/>
    <w:rsid w:val="00413C46"/>
    <w:rsid w:val="00413D0A"/>
    <w:rsid w:val="0041421A"/>
    <w:rsid w:val="00414914"/>
    <w:rsid w:val="00414DCB"/>
    <w:rsid w:val="00415AA7"/>
    <w:rsid w:val="00416A2B"/>
    <w:rsid w:val="00417758"/>
    <w:rsid w:val="0041777C"/>
    <w:rsid w:val="004178B2"/>
    <w:rsid w:val="00417B49"/>
    <w:rsid w:val="00417C64"/>
    <w:rsid w:val="00420192"/>
    <w:rsid w:val="00420261"/>
    <w:rsid w:val="00420525"/>
    <w:rsid w:val="004205DB"/>
    <w:rsid w:val="00420696"/>
    <w:rsid w:val="004206F2"/>
    <w:rsid w:val="00420B0E"/>
    <w:rsid w:val="00420B39"/>
    <w:rsid w:val="00421CA4"/>
    <w:rsid w:val="00421CF7"/>
    <w:rsid w:val="0042228E"/>
    <w:rsid w:val="00422D11"/>
    <w:rsid w:val="00423309"/>
    <w:rsid w:val="004238AD"/>
    <w:rsid w:val="00423D6F"/>
    <w:rsid w:val="00424533"/>
    <w:rsid w:val="004248F2"/>
    <w:rsid w:val="004249CF"/>
    <w:rsid w:val="00424A1E"/>
    <w:rsid w:val="00424E2D"/>
    <w:rsid w:val="00424FAA"/>
    <w:rsid w:val="004252B3"/>
    <w:rsid w:val="00425B09"/>
    <w:rsid w:val="00425E95"/>
    <w:rsid w:val="0042635B"/>
    <w:rsid w:val="004263EC"/>
    <w:rsid w:val="00426A09"/>
    <w:rsid w:val="00426B03"/>
    <w:rsid w:val="00426F2A"/>
    <w:rsid w:val="00427311"/>
    <w:rsid w:val="00427876"/>
    <w:rsid w:val="00430056"/>
    <w:rsid w:val="004301B5"/>
    <w:rsid w:val="004301CA"/>
    <w:rsid w:val="00430841"/>
    <w:rsid w:val="00430984"/>
    <w:rsid w:val="00430FE9"/>
    <w:rsid w:val="00431027"/>
    <w:rsid w:val="004322BB"/>
    <w:rsid w:val="00432BA2"/>
    <w:rsid w:val="00433564"/>
    <w:rsid w:val="00433847"/>
    <w:rsid w:val="00433BA5"/>
    <w:rsid w:val="00433FBC"/>
    <w:rsid w:val="00434903"/>
    <w:rsid w:val="004349C4"/>
    <w:rsid w:val="00435056"/>
    <w:rsid w:val="00435534"/>
    <w:rsid w:val="004357EF"/>
    <w:rsid w:val="00435AD7"/>
    <w:rsid w:val="00435F8F"/>
    <w:rsid w:val="00436175"/>
    <w:rsid w:val="00436254"/>
    <w:rsid w:val="004369D5"/>
    <w:rsid w:val="00436AE1"/>
    <w:rsid w:val="00436BE9"/>
    <w:rsid w:val="00436D6A"/>
    <w:rsid w:val="00437B95"/>
    <w:rsid w:val="00437D5C"/>
    <w:rsid w:val="00440414"/>
    <w:rsid w:val="00440659"/>
    <w:rsid w:val="004409C5"/>
    <w:rsid w:val="00440D36"/>
    <w:rsid w:val="00440DCC"/>
    <w:rsid w:val="00440F98"/>
    <w:rsid w:val="004414A7"/>
    <w:rsid w:val="00441538"/>
    <w:rsid w:val="004415DD"/>
    <w:rsid w:val="00441A87"/>
    <w:rsid w:val="00441EDB"/>
    <w:rsid w:val="004421B8"/>
    <w:rsid w:val="004425FE"/>
    <w:rsid w:val="0044268B"/>
    <w:rsid w:val="00442C6F"/>
    <w:rsid w:val="00442DDD"/>
    <w:rsid w:val="00442F61"/>
    <w:rsid w:val="0044324C"/>
    <w:rsid w:val="00443963"/>
    <w:rsid w:val="004439B2"/>
    <w:rsid w:val="00443A71"/>
    <w:rsid w:val="00443BF5"/>
    <w:rsid w:val="00443E1A"/>
    <w:rsid w:val="004440AF"/>
    <w:rsid w:val="004447E9"/>
    <w:rsid w:val="00445232"/>
    <w:rsid w:val="0044582F"/>
    <w:rsid w:val="00445CAC"/>
    <w:rsid w:val="00446292"/>
    <w:rsid w:val="00446CB9"/>
    <w:rsid w:val="0044739D"/>
    <w:rsid w:val="004473A6"/>
    <w:rsid w:val="00447DF7"/>
    <w:rsid w:val="00447EED"/>
    <w:rsid w:val="0045016C"/>
    <w:rsid w:val="004503AC"/>
    <w:rsid w:val="00450746"/>
    <w:rsid w:val="004512D2"/>
    <w:rsid w:val="004512E1"/>
    <w:rsid w:val="004513B3"/>
    <w:rsid w:val="004516CE"/>
    <w:rsid w:val="004517E1"/>
    <w:rsid w:val="00451872"/>
    <w:rsid w:val="004519E6"/>
    <w:rsid w:val="00451B50"/>
    <w:rsid w:val="00451FA8"/>
    <w:rsid w:val="004523F8"/>
    <w:rsid w:val="00452BDB"/>
    <w:rsid w:val="0045403F"/>
    <w:rsid w:val="00454332"/>
    <w:rsid w:val="00454A14"/>
    <w:rsid w:val="00454C2A"/>
    <w:rsid w:val="00455064"/>
    <w:rsid w:val="00455566"/>
    <w:rsid w:val="004555DB"/>
    <w:rsid w:val="00455674"/>
    <w:rsid w:val="00455DA8"/>
    <w:rsid w:val="00455FDE"/>
    <w:rsid w:val="004561A9"/>
    <w:rsid w:val="004561C6"/>
    <w:rsid w:val="0045660A"/>
    <w:rsid w:val="00456644"/>
    <w:rsid w:val="00456A6E"/>
    <w:rsid w:val="00457485"/>
    <w:rsid w:val="00457F2B"/>
    <w:rsid w:val="00457FD9"/>
    <w:rsid w:val="0046008B"/>
    <w:rsid w:val="004601F3"/>
    <w:rsid w:val="00460D18"/>
    <w:rsid w:val="004613A0"/>
    <w:rsid w:val="00461514"/>
    <w:rsid w:val="0046188A"/>
    <w:rsid w:val="00461C48"/>
    <w:rsid w:val="00461F60"/>
    <w:rsid w:val="004620CD"/>
    <w:rsid w:val="0046249A"/>
    <w:rsid w:val="00462701"/>
    <w:rsid w:val="00463C1C"/>
    <w:rsid w:val="00463D02"/>
    <w:rsid w:val="0046449C"/>
    <w:rsid w:val="0046459D"/>
    <w:rsid w:val="0046498E"/>
    <w:rsid w:val="004653FA"/>
    <w:rsid w:val="0046560D"/>
    <w:rsid w:val="00465EED"/>
    <w:rsid w:val="00466202"/>
    <w:rsid w:val="0046679D"/>
    <w:rsid w:val="0046685C"/>
    <w:rsid w:val="00466B8B"/>
    <w:rsid w:val="00466E25"/>
    <w:rsid w:val="0046741C"/>
    <w:rsid w:val="004676F4"/>
    <w:rsid w:val="00467973"/>
    <w:rsid w:val="00467B2A"/>
    <w:rsid w:val="00470D33"/>
    <w:rsid w:val="00470F42"/>
    <w:rsid w:val="00470F70"/>
    <w:rsid w:val="004711AC"/>
    <w:rsid w:val="00471471"/>
    <w:rsid w:val="0047177A"/>
    <w:rsid w:val="0047189F"/>
    <w:rsid w:val="00471A65"/>
    <w:rsid w:val="00471A79"/>
    <w:rsid w:val="00473194"/>
    <w:rsid w:val="00473456"/>
    <w:rsid w:val="004734AE"/>
    <w:rsid w:val="0047361A"/>
    <w:rsid w:val="00473714"/>
    <w:rsid w:val="004741A7"/>
    <w:rsid w:val="004742EA"/>
    <w:rsid w:val="004745FC"/>
    <w:rsid w:val="00474E77"/>
    <w:rsid w:val="00474E7E"/>
    <w:rsid w:val="004750C1"/>
    <w:rsid w:val="00475A90"/>
    <w:rsid w:val="0047622A"/>
    <w:rsid w:val="00476B4F"/>
    <w:rsid w:val="00476EA2"/>
    <w:rsid w:val="00476F24"/>
    <w:rsid w:val="00477C6D"/>
    <w:rsid w:val="00477CB1"/>
    <w:rsid w:val="00480106"/>
    <w:rsid w:val="004805AC"/>
    <w:rsid w:val="00480C9A"/>
    <w:rsid w:val="00480D63"/>
    <w:rsid w:val="004817D5"/>
    <w:rsid w:val="00481B5E"/>
    <w:rsid w:val="004820EB"/>
    <w:rsid w:val="004822C1"/>
    <w:rsid w:val="00482BFB"/>
    <w:rsid w:val="0048304D"/>
    <w:rsid w:val="004831EF"/>
    <w:rsid w:val="00483694"/>
    <w:rsid w:val="004837C9"/>
    <w:rsid w:val="00483950"/>
    <w:rsid w:val="00483D62"/>
    <w:rsid w:val="00483E6A"/>
    <w:rsid w:val="00484038"/>
    <w:rsid w:val="00484921"/>
    <w:rsid w:val="00484A94"/>
    <w:rsid w:val="00484E77"/>
    <w:rsid w:val="00485194"/>
    <w:rsid w:val="004854F6"/>
    <w:rsid w:val="00485535"/>
    <w:rsid w:val="00485667"/>
    <w:rsid w:val="004857DA"/>
    <w:rsid w:val="00485A0D"/>
    <w:rsid w:val="00485DB4"/>
    <w:rsid w:val="00485EBD"/>
    <w:rsid w:val="00485FA8"/>
    <w:rsid w:val="00486129"/>
    <w:rsid w:val="00486469"/>
    <w:rsid w:val="004867D1"/>
    <w:rsid w:val="00486819"/>
    <w:rsid w:val="00487984"/>
    <w:rsid w:val="004879C3"/>
    <w:rsid w:val="00487CB5"/>
    <w:rsid w:val="00487EAB"/>
    <w:rsid w:val="00490215"/>
    <w:rsid w:val="004908EA"/>
    <w:rsid w:val="00490D6D"/>
    <w:rsid w:val="004911B7"/>
    <w:rsid w:val="0049144E"/>
    <w:rsid w:val="004916EE"/>
    <w:rsid w:val="00491961"/>
    <w:rsid w:val="004919C4"/>
    <w:rsid w:val="00491CB7"/>
    <w:rsid w:val="004927B2"/>
    <w:rsid w:val="00492D73"/>
    <w:rsid w:val="00493232"/>
    <w:rsid w:val="004937D1"/>
    <w:rsid w:val="00493837"/>
    <w:rsid w:val="00493C4E"/>
    <w:rsid w:val="00493DD7"/>
    <w:rsid w:val="00493F10"/>
    <w:rsid w:val="00494950"/>
    <w:rsid w:val="00494EFE"/>
    <w:rsid w:val="0049516F"/>
    <w:rsid w:val="0049524A"/>
    <w:rsid w:val="004954A9"/>
    <w:rsid w:val="004954FF"/>
    <w:rsid w:val="0049574A"/>
    <w:rsid w:val="0049575F"/>
    <w:rsid w:val="004959AC"/>
    <w:rsid w:val="00495BA4"/>
    <w:rsid w:val="00495BB0"/>
    <w:rsid w:val="00495D20"/>
    <w:rsid w:val="00496682"/>
    <w:rsid w:val="00496DF7"/>
    <w:rsid w:val="00496E59"/>
    <w:rsid w:val="00497009"/>
    <w:rsid w:val="00497927"/>
    <w:rsid w:val="00497956"/>
    <w:rsid w:val="00497A02"/>
    <w:rsid w:val="00497A3A"/>
    <w:rsid w:val="00497A52"/>
    <w:rsid w:val="004A0192"/>
    <w:rsid w:val="004A079B"/>
    <w:rsid w:val="004A0B89"/>
    <w:rsid w:val="004A0F5A"/>
    <w:rsid w:val="004A1D73"/>
    <w:rsid w:val="004A25F6"/>
    <w:rsid w:val="004A2964"/>
    <w:rsid w:val="004A2966"/>
    <w:rsid w:val="004A2F73"/>
    <w:rsid w:val="004A2FAA"/>
    <w:rsid w:val="004A337A"/>
    <w:rsid w:val="004A3E4F"/>
    <w:rsid w:val="004A406B"/>
    <w:rsid w:val="004A41EF"/>
    <w:rsid w:val="004A4321"/>
    <w:rsid w:val="004A4707"/>
    <w:rsid w:val="004A55E1"/>
    <w:rsid w:val="004A589E"/>
    <w:rsid w:val="004A591F"/>
    <w:rsid w:val="004A5AF9"/>
    <w:rsid w:val="004A5D8E"/>
    <w:rsid w:val="004A67FE"/>
    <w:rsid w:val="004A704F"/>
    <w:rsid w:val="004A721D"/>
    <w:rsid w:val="004A74DF"/>
    <w:rsid w:val="004A74E0"/>
    <w:rsid w:val="004A75C5"/>
    <w:rsid w:val="004B009A"/>
    <w:rsid w:val="004B029A"/>
    <w:rsid w:val="004B034F"/>
    <w:rsid w:val="004B0A8D"/>
    <w:rsid w:val="004B1755"/>
    <w:rsid w:val="004B17FF"/>
    <w:rsid w:val="004B1A03"/>
    <w:rsid w:val="004B1C4E"/>
    <w:rsid w:val="004B1C99"/>
    <w:rsid w:val="004B1DBF"/>
    <w:rsid w:val="004B2944"/>
    <w:rsid w:val="004B2CAE"/>
    <w:rsid w:val="004B2F46"/>
    <w:rsid w:val="004B31BC"/>
    <w:rsid w:val="004B34BE"/>
    <w:rsid w:val="004B38F3"/>
    <w:rsid w:val="004B3B83"/>
    <w:rsid w:val="004B3E79"/>
    <w:rsid w:val="004B4014"/>
    <w:rsid w:val="004B41E6"/>
    <w:rsid w:val="004B42D1"/>
    <w:rsid w:val="004B4B5C"/>
    <w:rsid w:val="004B55E4"/>
    <w:rsid w:val="004B55E6"/>
    <w:rsid w:val="004B573E"/>
    <w:rsid w:val="004B5F7A"/>
    <w:rsid w:val="004B60BD"/>
    <w:rsid w:val="004B6189"/>
    <w:rsid w:val="004B69C9"/>
    <w:rsid w:val="004B6B02"/>
    <w:rsid w:val="004B6B39"/>
    <w:rsid w:val="004B6D11"/>
    <w:rsid w:val="004B6E78"/>
    <w:rsid w:val="004B7146"/>
    <w:rsid w:val="004B7273"/>
    <w:rsid w:val="004B7887"/>
    <w:rsid w:val="004B7B1A"/>
    <w:rsid w:val="004C0590"/>
    <w:rsid w:val="004C0C84"/>
    <w:rsid w:val="004C0D8E"/>
    <w:rsid w:val="004C105C"/>
    <w:rsid w:val="004C110F"/>
    <w:rsid w:val="004C1144"/>
    <w:rsid w:val="004C1454"/>
    <w:rsid w:val="004C1DD5"/>
    <w:rsid w:val="004C25F0"/>
    <w:rsid w:val="004C2801"/>
    <w:rsid w:val="004C29AA"/>
    <w:rsid w:val="004C2ABD"/>
    <w:rsid w:val="004C2BC8"/>
    <w:rsid w:val="004C2DE6"/>
    <w:rsid w:val="004C32D9"/>
    <w:rsid w:val="004C3322"/>
    <w:rsid w:val="004C3623"/>
    <w:rsid w:val="004C3668"/>
    <w:rsid w:val="004C5060"/>
    <w:rsid w:val="004C579F"/>
    <w:rsid w:val="004C5865"/>
    <w:rsid w:val="004C58FA"/>
    <w:rsid w:val="004C5C91"/>
    <w:rsid w:val="004C6689"/>
    <w:rsid w:val="004C70FA"/>
    <w:rsid w:val="004C735C"/>
    <w:rsid w:val="004C7948"/>
    <w:rsid w:val="004C7E64"/>
    <w:rsid w:val="004D03BA"/>
    <w:rsid w:val="004D063E"/>
    <w:rsid w:val="004D0911"/>
    <w:rsid w:val="004D0979"/>
    <w:rsid w:val="004D0B53"/>
    <w:rsid w:val="004D0D8B"/>
    <w:rsid w:val="004D1000"/>
    <w:rsid w:val="004D10C3"/>
    <w:rsid w:val="004D1108"/>
    <w:rsid w:val="004D1931"/>
    <w:rsid w:val="004D1D89"/>
    <w:rsid w:val="004D1F25"/>
    <w:rsid w:val="004D201D"/>
    <w:rsid w:val="004D218C"/>
    <w:rsid w:val="004D2288"/>
    <w:rsid w:val="004D2B8F"/>
    <w:rsid w:val="004D2D03"/>
    <w:rsid w:val="004D2F29"/>
    <w:rsid w:val="004D2FEE"/>
    <w:rsid w:val="004D3975"/>
    <w:rsid w:val="004D3C05"/>
    <w:rsid w:val="004D3D40"/>
    <w:rsid w:val="004D3D5F"/>
    <w:rsid w:val="004D41B9"/>
    <w:rsid w:val="004D4854"/>
    <w:rsid w:val="004D4D30"/>
    <w:rsid w:val="004D5A89"/>
    <w:rsid w:val="004D5C3C"/>
    <w:rsid w:val="004D5C92"/>
    <w:rsid w:val="004D611C"/>
    <w:rsid w:val="004D6162"/>
    <w:rsid w:val="004D61B7"/>
    <w:rsid w:val="004D64F3"/>
    <w:rsid w:val="004D663C"/>
    <w:rsid w:val="004D6D28"/>
    <w:rsid w:val="004D6EEA"/>
    <w:rsid w:val="004D6FB4"/>
    <w:rsid w:val="004D7006"/>
    <w:rsid w:val="004D746E"/>
    <w:rsid w:val="004D74EF"/>
    <w:rsid w:val="004D76F5"/>
    <w:rsid w:val="004D779B"/>
    <w:rsid w:val="004D77F8"/>
    <w:rsid w:val="004D7841"/>
    <w:rsid w:val="004D7DC5"/>
    <w:rsid w:val="004D7E9C"/>
    <w:rsid w:val="004E0612"/>
    <w:rsid w:val="004E08D1"/>
    <w:rsid w:val="004E0A90"/>
    <w:rsid w:val="004E0CCF"/>
    <w:rsid w:val="004E1200"/>
    <w:rsid w:val="004E127C"/>
    <w:rsid w:val="004E16DE"/>
    <w:rsid w:val="004E17DD"/>
    <w:rsid w:val="004E2515"/>
    <w:rsid w:val="004E2E20"/>
    <w:rsid w:val="004E2E57"/>
    <w:rsid w:val="004E34D9"/>
    <w:rsid w:val="004E378E"/>
    <w:rsid w:val="004E37E3"/>
    <w:rsid w:val="004E3842"/>
    <w:rsid w:val="004E38A4"/>
    <w:rsid w:val="004E39A8"/>
    <w:rsid w:val="004E3C72"/>
    <w:rsid w:val="004E3F0F"/>
    <w:rsid w:val="004E40D8"/>
    <w:rsid w:val="004E4309"/>
    <w:rsid w:val="004E44DA"/>
    <w:rsid w:val="004E455C"/>
    <w:rsid w:val="004E4EE1"/>
    <w:rsid w:val="004E51B3"/>
    <w:rsid w:val="004E5B32"/>
    <w:rsid w:val="004E5FC4"/>
    <w:rsid w:val="004E6117"/>
    <w:rsid w:val="004E62E1"/>
    <w:rsid w:val="004E6560"/>
    <w:rsid w:val="004E67C2"/>
    <w:rsid w:val="004E6943"/>
    <w:rsid w:val="004E6E50"/>
    <w:rsid w:val="004E7314"/>
    <w:rsid w:val="004E7E2C"/>
    <w:rsid w:val="004F0491"/>
    <w:rsid w:val="004F066E"/>
    <w:rsid w:val="004F0958"/>
    <w:rsid w:val="004F1130"/>
    <w:rsid w:val="004F14D6"/>
    <w:rsid w:val="004F1670"/>
    <w:rsid w:val="004F183A"/>
    <w:rsid w:val="004F1F54"/>
    <w:rsid w:val="004F2059"/>
    <w:rsid w:val="004F21DE"/>
    <w:rsid w:val="004F224B"/>
    <w:rsid w:val="004F22CB"/>
    <w:rsid w:val="004F22E4"/>
    <w:rsid w:val="004F24E3"/>
    <w:rsid w:val="004F273F"/>
    <w:rsid w:val="004F289F"/>
    <w:rsid w:val="004F2B5D"/>
    <w:rsid w:val="004F2F86"/>
    <w:rsid w:val="004F32AD"/>
    <w:rsid w:val="004F3923"/>
    <w:rsid w:val="004F3AED"/>
    <w:rsid w:val="004F3DEF"/>
    <w:rsid w:val="004F43DB"/>
    <w:rsid w:val="004F44B1"/>
    <w:rsid w:val="004F46E9"/>
    <w:rsid w:val="004F4F7B"/>
    <w:rsid w:val="004F5531"/>
    <w:rsid w:val="004F58A9"/>
    <w:rsid w:val="004F5979"/>
    <w:rsid w:val="004F5D0D"/>
    <w:rsid w:val="004F5EFA"/>
    <w:rsid w:val="004F6397"/>
    <w:rsid w:val="004F707D"/>
    <w:rsid w:val="004F70A4"/>
    <w:rsid w:val="004F7283"/>
    <w:rsid w:val="004F733C"/>
    <w:rsid w:val="004F75EC"/>
    <w:rsid w:val="00500163"/>
    <w:rsid w:val="005001F0"/>
    <w:rsid w:val="0050038C"/>
    <w:rsid w:val="00500455"/>
    <w:rsid w:val="00500F27"/>
    <w:rsid w:val="00501538"/>
    <w:rsid w:val="00501793"/>
    <w:rsid w:val="005018DE"/>
    <w:rsid w:val="00502389"/>
    <w:rsid w:val="00502694"/>
    <w:rsid w:val="005026C6"/>
    <w:rsid w:val="00502768"/>
    <w:rsid w:val="00502A15"/>
    <w:rsid w:val="005030CF"/>
    <w:rsid w:val="005032E9"/>
    <w:rsid w:val="0050356C"/>
    <w:rsid w:val="00503A29"/>
    <w:rsid w:val="005040DD"/>
    <w:rsid w:val="005040EB"/>
    <w:rsid w:val="00504B8F"/>
    <w:rsid w:val="00504EC3"/>
    <w:rsid w:val="00505016"/>
    <w:rsid w:val="00505091"/>
    <w:rsid w:val="00505152"/>
    <w:rsid w:val="00505367"/>
    <w:rsid w:val="005053A6"/>
    <w:rsid w:val="00505409"/>
    <w:rsid w:val="005062EC"/>
    <w:rsid w:val="005068FB"/>
    <w:rsid w:val="00506A4F"/>
    <w:rsid w:val="00506AC0"/>
    <w:rsid w:val="00506F26"/>
    <w:rsid w:val="00506FA3"/>
    <w:rsid w:val="00507DA4"/>
    <w:rsid w:val="00510256"/>
    <w:rsid w:val="00510421"/>
    <w:rsid w:val="005105D1"/>
    <w:rsid w:val="00510A58"/>
    <w:rsid w:val="00510A88"/>
    <w:rsid w:val="00511A08"/>
    <w:rsid w:val="0051230C"/>
    <w:rsid w:val="00512494"/>
    <w:rsid w:val="00512DEB"/>
    <w:rsid w:val="00513BD2"/>
    <w:rsid w:val="00513C16"/>
    <w:rsid w:val="00513DB7"/>
    <w:rsid w:val="00513E89"/>
    <w:rsid w:val="00513FA7"/>
    <w:rsid w:val="00514120"/>
    <w:rsid w:val="005142E2"/>
    <w:rsid w:val="00514B64"/>
    <w:rsid w:val="00514C02"/>
    <w:rsid w:val="00514C47"/>
    <w:rsid w:val="00514CEA"/>
    <w:rsid w:val="005152F2"/>
    <w:rsid w:val="0051540C"/>
    <w:rsid w:val="00515656"/>
    <w:rsid w:val="00515B21"/>
    <w:rsid w:val="00515CE4"/>
    <w:rsid w:val="00515D35"/>
    <w:rsid w:val="00515E38"/>
    <w:rsid w:val="00515EE2"/>
    <w:rsid w:val="00515FA5"/>
    <w:rsid w:val="005164D1"/>
    <w:rsid w:val="00517118"/>
    <w:rsid w:val="005202BB"/>
    <w:rsid w:val="0052075C"/>
    <w:rsid w:val="00520BD8"/>
    <w:rsid w:val="00521A00"/>
    <w:rsid w:val="0052209F"/>
    <w:rsid w:val="005220DC"/>
    <w:rsid w:val="00522790"/>
    <w:rsid w:val="005229C6"/>
    <w:rsid w:val="005243DC"/>
    <w:rsid w:val="0052481F"/>
    <w:rsid w:val="005248A0"/>
    <w:rsid w:val="00524F94"/>
    <w:rsid w:val="00525195"/>
    <w:rsid w:val="00525462"/>
    <w:rsid w:val="0052552C"/>
    <w:rsid w:val="00525691"/>
    <w:rsid w:val="00525714"/>
    <w:rsid w:val="00525DD1"/>
    <w:rsid w:val="00525FEC"/>
    <w:rsid w:val="005261A7"/>
    <w:rsid w:val="00526518"/>
    <w:rsid w:val="005267D9"/>
    <w:rsid w:val="00526976"/>
    <w:rsid w:val="00526C60"/>
    <w:rsid w:val="00526D32"/>
    <w:rsid w:val="0052757F"/>
    <w:rsid w:val="00527775"/>
    <w:rsid w:val="005277ED"/>
    <w:rsid w:val="0052798C"/>
    <w:rsid w:val="0053007B"/>
    <w:rsid w:val="00530960"/>
    <w:rsid w:val="005309DA"/>
    <w:rsid w:val="0053179D"/>
    <w:rsid w:val="005317E3"/>
    <w:rsid w:val="0053195B"/>
    <w:rsid w:val="00531C33"/>
    <w:rsid w:val="00531C6B"/>
    <w:rsid w:val="00531CF0"/>
    <w:rsid w:val="00532093"/>
    <w:rsid w:val="0053262D"/>
    <w:rsid w:val="00532AF4"/>
    <w:rsid w:val="00532BC3"/>
    <w:rsid w:val="00532D3A"/>
    <w:rsid w:val="00532FE2"/>
    <w:rsid w:val="005336A6"/>
    <w:rsid w:val="005337B9"/>
    <w:rsid w:val="00533C34"/>
    <w:rsid w:val="00533EAE"/>
    <w:rsid w:val="00534482"/>
    <w:rsid w:val="005345C5"/>
    <w:rsid w:val="00534D9D"/>
    <w:rsid w:val="005353E3"/>
    <w:rsid w:val="005356AD"/>
    <w:rsid w:val="00535A24"/>
    <w:rsid w:val="00535F0F"/>
    <w:rsid w:val="00535F1E"/>
    <w:rsid w:val="00536329"/>
    <w:rsid w:val="00536786"/>
    <w:rsid w:val="00536898"/>
    <w:rsid w:val="00536D30"/>
    <w:rsid w:val="00536F93"/>
    <w:rsid w:val="00537401"/>
    <w:rsid w:val="00537628"/>
    <w:rsid w:val="00537747"/>
    <w:rsid w:val="00537FD4"/>
    <w:rsid w:val="00540488"/>
    <w:rsid w:val="005407B0"/>
    <w:rsid w:val="00540B74"/>
    <w:rsid w:val="00541310"/>
    <w:rsid w:val="00541A8A"/>
    <w:rsid w:val="00541F23"/>
    <w:rsid w:val="005423CE"/>
    <w:rsid w:val="005425A7"/>
    <w:rsid w:val="00542FFD"/>
    <w:rsid w:val="0054318F"/>
    <w:rsid w:val="00543785"/>
    <w:rsid w:val="005437AA"/>
    <w:rsid w:val="00543830"/>
    <w:rsid w:val="00544033"/>
    <w:rsid w:val="0054454F"/>
    <w:rsid w:val="00544F49"/>
    <w:rsid w:val="0054560F"/>
    <w:rsid w:val="00545E9B"/>
    <w:rsid w:val="0054629E"/>
    <w:rsid w:val="0054634D"/>
    <w:rsid w:val="00546ADC"/>
    <w:rsid w:val="005475FE"/>
    <w:rsid w:val="00547CF6"/>
    <w:rsid w:val="00547FF0"/>
    <w:rsid w:val="00550615"/>
    <w:rsid w:val="00550757"/>
    <w:rsid w:val="00550B60"/>
    <w:rsid w:val="005514A9"/>
    <w:rsid w:val="00551549"/>
    <w:rsid w:val="00551595"/>
    <w:rsid w:val="005515C1"/>
    <w:rsid w:val="005523BB"/>
    <w:rsid w:val="00552BFB"/>
    <w:rsid w:val="00552EA6"/>
    <w:rsid w:val="00552F54"/>
    <w:rsid w:val="005530B0"/>
    <w:rsid w:val="00553617"/>
    <w:rsid w:val="00553AD6"/>
    <w:rsid w:val="00553E5A"/>
    <w:rsid w:val="0055471D"/>
    <w:rsid w:val="00554C34"/>
    <w:rsid w:val="00555051"/>
    <w:rsid w:val="005551CC"/>
    <w:rsid w:val="005552C0"/>
    <w:rsid w:val="005553D3"/>
    <w:rsid w:val="005556A8"/>
    <w:rsid w:val="00555920"/>
    <w:rsid w:val="00555C05"/>
    <w:rsid w:val="0055603B"/>
    <w:rsid w:val="00556867"/>
    <w:rsid w:val="00556A45"/>
    <w:rsid w:val="00556B7C"/>
    <w:rsid w:val="00557185"/>
    <w:rsid w:val="0055734F"/>
    <w:rsid w:val="0055764F"/>
    <w:rsid w:val="0055795B"/>
    <w:rsid w:val="0055797B"/>
    <w:rsid w:val="00557AAE"/>
    <w:rsid w:val="00557C8F"/>
    <w:rsid w:val="00557CFF"/>
    <w:rsid w:val="00557D4E"/>
    <w:rsid w:val="00560370"/>
    <w:rsid w:val="005605D0"/>
    <w:rsid w:val="005606A3"/>
    <w:rsid w:val="00561285"/>
    <w:rsid w:val="00561633"/>
    <w:rsid w:val="00561B66"/>
    <w:rsid w:val="00561E7E"/>
    <w:rsid w:val="00561F78"/>
    <w:rsid w:val="0056251E"/>
    <w:rsid w:val="00562E94"/>
    <w:rsid w:val="00563998"/>
    <w:rsid w:val="00563B4C"/>
    <w:rsid w:val="00564209"/>
    <w:rsid w:val="0056464A"/>
    <w:rsid w:val="00564CE0"/>
    <w:rsid w:val="005652F8"/>
    <w:rsid w:val="00565319"/>
    <w:rsid w:val="00566032"/>
    <w:rsid w:val="0056628B"/>
    <w:rsid w:val="005664DC"/>
    <w:rsid w:val="005665BE"/>
    <w:rsid w:val="00566A07"/>
    <w:rsid w:val="00566A37"/>
    <w:rsid w:val="00566C7F"/>
    <w:rsid w:val="00566D34"/>
    <w:rsid w:val="00566F36"/>
    <w:rsid w:val="005675D8"/>
    <w:rsid w:val="00567721"/>
    <w:rsid w:val="005705B5"/>
    <w:rsid w:val="00570712"/>
    <w:rsid w:val="00570CA1"/>
    <w:rsid w:val="00570D4E"/>
    <w:rsid w:val="0057104D"/>
    <w:rsid w:val="00571065"/>
    <w:rsid w:val="00571488"/>
    <w:rsid w:val="005719C4"/>
    <w:rsid w:val="00571D29"/>
    <w:rsid w:val="00572986"/>
    <w:rsid w:val="00572BB8"/>
    <w:rsid w:val="005731F8"/>
    <w:rsid w:val="00573A67"/>
    <w:rsid w:val="00573ABF"/>
    <w:rsid w:val="00574F61"/>
    <w:rsid w:val="00575453"/>
    <w:rsid w:val="0057570E"/>
    <w:rsid w:val="00575D4A"/>
    <w:rsid w:val="0057625F"/>
    <w:rsid w:val="005763C9"/>
    <w:rsid w:val="00576415"/>
    <w:rsid w:val="0057652E"/>
    <w:rsid w:val="00576867"/>
    <w:rsid w:val="00576AAD"/>
    <w:rsid w:val="00577313"/>
    <w:rsid w:val="00577553"/>
    <w:rsid w:val="00580A91"/>
    <w:rsid w:val="00581A8C"/>
    <w:rsid w:val="00581BD3"/>
    <w:rsid w:val="00582097"/>
    <w:rsid w:val="005825F2"/>
    <w:rsid w:val="00582E54"/>
    <w:rsid w:val="0058353C"/>
    <w:rsid w:val="00583A26"/>
    <w:rsid w:val="005843B8"/>
    <w:rsid w:val="005843D5"/>
    <w:rsid w:val="00584AB0"/>
    <w:rsid w:val="00584B11"/>
    <w:rsid w:val="00584BF1"/>
    <w:rsid w:val="00584FFF"/>
    <w:rsid w:val="00585146"/>
    <w:rsid w:val="0058530C"/>
    <w:rsid w:val="005858E2"/>
    <w:rsid w:val="00585B81"/>
    <w:rsid w:val="00585F1D"/>
    <w:rsid w:val="0058629A"/>
    <w:rsid w:val="0058632E"/>
    <w:rsid w:val="00586AE8"/>
    <w:rsid w:val="00586B6C"/>
    <w:rsid w:val="00586D59"/>
    <w:rsid w:val="00586E86"/>
    <w:rsid w:val="0058726D"/>
    <w:rsid w:val="00587BAB"/>
    <w:rsid w:val="00590029"/>
    <w:rsid w:val="00590244"/>
    <w:rsid w:val="00590568"/>
    <w:rsid w:val="00590C2B"/>
    <w:rsid w:val="00590CA8"/>
    <w:rsid w:val="00590E8F"/>
    <w:rsid w:val="0059116F"/>
    <w:rsid w:val="00591728"/>
    <w:rsid w:val="00591801"/>
    <w:rsid w:val="0059185C"/>
    <w:rsid w:val="00591E79"/>
    <w:rsid w:val="00591FBA"/>
    <w:rsid w:val="00592BFD"/>
    <w:rsid w:val="00593278"/>
    <w:rsid w:val="005932A5"/>
    <w:rsid w:val="005934AA"/>
    <w:rsid w:val="0059361A"/>
    <w:rsid w:val="0059389A"/>
    <w:rsid w:val="00593C34"/>
    <w:rsid w:val="00593EF8"/>
    <w:rsid w:val="0059477E"/>
    <w:rsid w:val="0059568A"/>
    <w:rsid w:val="005956E8"/>
    <w:rsid w:val="00595747"/>
    <w:rsid w:val="00595BFD"/>
    <w:rsid w:val="00595C2A"/>
    <w:rsid w:val="0059600A"/>
    <w:rsid w:val="005961D3"/>
    <w:rsid w:val="00596652"/>
    <w:rsid w:val="005967F9"/>
    <w:rsid w:val="00596A15"/>
    <w:rsid w:val="00597187"/>
    <w:rsid w:val="0059761E"/>
    <w:rsid w:val="00597B2A"/>
    <w:rsid w:val="005A01DF"/>
    <w:rsid w:val="005A03CF"/>
    <w:rsid w:val="005A0714"/>
    <w:rsid w:val="005A0900"/>
    <w:rsid w:val="005A0FCA"/>
    <w:rsid w:val="005A10AF"/>
    <w:rsid w:val="005A13A2"/>
    <w:rsid w:val="005A1655"/>
    <w:rsid w:val="005A17B6"/>
    <w:rsid w:val="005A1929"/>
    <w:rsid w:val="005A19EB"/>
    <w:rsid w:val="005A1B75"/>
    <w:rsid w:val="005A216C"/>
    <w:rsid w:val="005A250D"/>
    <w:rsid w:val="005A2A6C"/>
    <w:rsid w:val="005A2B6A"/>
    <w:rsid w:val="005A2BD7"/>
    <w:rsid w:val="005A2BE5"/>
    <w:rsid w:val="005A2C56"/>
    <w:rsid w:val="005A35B6"/>
    <w:rsid w:val="005A36B3"/>
    <w:rsid w:val="005A38AE"/>
    <w:rsid w:val="005A3BB9"/>
    <w:rsid w:val="005A409A"/>
    <w:rsid w:val="005A40DF"/>
    <w:rsid w:val="005A47F9"/>
    <w:rsid w:val="005A4BA2"/>
    <w:rsid w:val="005A54F6"/>
    <w:rsid w:val="005A564A"/>
    <w:rsid w:val="005A58C1"/>
    <w:rsid w:val="005A5DFC"/>
    <w:rsid w:val="005A6236"/>
    <w:rsid w:val="005A62C7"/>
    <w:rsid w:val="005A6414"/>
    <w:rsid w:val="005A6473"/>
    <w:rsid w:val="005A6F23"/>
    <w:rsid w:val="005A6FB6"/>
    <w:rsid w:val="005A7E1A"/>
    <w:rsid w:val="005A7E1B"/>
    <w:rsid w:val="005A7E1E"/>
    <w:rsid w:val="005B070A"/>
    <w:rsid w:val="005B0D5A"/>
    <w:rsid w:val="005B0DF1"/>
    <w:rsid w:val="005B0F5A"/>
    <w:rsid w:val="005B129F"/>
    <w:rsid w:val="005B1640"/>
    <w:rsid w:val="005B22AB"/>
    <w:rsid w:val="005B262E"/>
    <w:rsid w:val="005B3256"/>
    <w:rsid w:val="005B3627"/>
    <w:rsid w:val="005B4ED9"/>
    <w:rsid w:val="005B505C"/>
    <w:rsid w:val="005B542B"/>
    <w:rsid w:val="005B5777"/>
    <w:rsid w:val="005B5C6C"/>
    <w:rsid w:val="005B5EAE"/>
    <w:rsid w:val="005B5F81"/>
    <w:rsid w:val="005B7C3D"/>
    <w:rsid w:val="005B7CA6"/>
    <w:rsid w:val="005C0787"/>
    <w:rsid w:val="005C086C"/>
    <w:rsid w:val="005C0DE8"/>
    <w:rsid w:val="005C0EF9"/>
    <w:rsid w:val="005C0F2A"/>
    <w:rsid w:val="005C0F95"/>
    <w:rsid w:val="005C1246"/>
    <w:rsid w:val="005C19B4"/>
    <w:rsid w:val="005C1D26"/>
    <w:rsid w:val="005C1EDE"/>
    <w:rsid w:val="005C2248"/>
    <w:rsid w:val="005C2D37"/>
    <w:rsid w:val="005C2D69"/>
    <w:rsid w:val="005C3306"/>
    <w:rsid w:val="005C3799"/>
    <w:rsid w:val="005C3BA4"/>
    <w:rsid w:val="005C443A"/>
    <w:rsid w:val="005C44B4"/>
    <w:rsid w:val="005C50D0"/>
    <w:rsid w:val="005C5266"/>
    <w:rsid w:val="005C5463"/>
    <w:rsid w:val="005C55E0"/>
    <w:rsid w:val="005C5994"/>
    <w:rsid w:val="005C62F8"/>
    <w:rsid w:val="005C6830"/>
    <w:rsid w:val="005C6AAE"/>
    <w:rsid w:val="005C6C3D"/>
    <w:rsid w:val="005C6C70"/>
    <w:rsid w:val="005C71B9"/>
    <w:rsid w:val="005C767F"/>
    <w:rsid w:val="005D0757"/>
    <w:rsid w:val="005D07C3"/>
    <w:rsid w:val="005D080D"/>
    <w:rsid w:val="005D0BA6"/>
    <w:rsid w:val="005D0C42"/>
    <w:rsid w:val="005D0CB4"/>
    <w:rsid w:val="005D0F79"/>
    <w:rsid w:val="005D11C7"/>
    <w:rsid w:val="005D12F9"/>
    <w:rsid w:val="005D13AF"/>
    <w:rsid w:val="005D14B2"/>
    <w:rsid w:val="005D157F"/>
    <w:rsid w:val="005D16D2"/>
    <w:rsid w:val="005D194C"/>
    <w:rsid w:val="005D1AFB"/>
    <w:rsid w:val="005D1B9D"/>
    <w:rsid w:val="005D2669"/>
    <w:rsid w:val="005D2926"/>
    <w:rsid w:val="005D331C"/>
    <w:rsid w:val="005D42ED"/>
    <w:rsid w:val="005D4317"/>
    <w:rsid w:val="005D4389"/>
    <w:rsid w:val="005D4461"/>
    <w:rsid w:val="005D4AC6"/>
    <w:rsid w:val="005D4EE6"/>
    <w:rsid w:val="005D51D7"/>
    <w:rsid w:val="005D53BB"/>
    <w:rsid w:val="005D542D"/>
    <w:rsid w:val="005D598D"/>
    <w:rsid w:val="005D5B3C"/>
    <w:rsid w:val="005D5E57"/>
    <w:rsid w:val="005D5E94"/>
    <w:rsid w:val="005D6A30"/>
    <w:rsid w:val="005D70AA"/>
    <w:rsid w:val="005D71E7"/>
    <w:rsid w:val="005D71FF"/>
    <w:rsid w:val="005D78B1"/>
    <w:rsid w:val="005D7A17"/>
    <w:rsid w:val="005D7F0C"/>
    <w:rsid w:val="005E033E"/>
    <w:rsid w:val="005E0485"/>
    <w:rsid w:val="005E09B8"/>
    <w:rsid w:val="005E0DEF"/>
    <w:rsid w:val="005E1ED4"/>
    <w:rsid w:val="005E22C7"/>
    <w:rsid w:val="005E26DD"/>
    <w:rsid w:val="005E27FC"/>
    <w:rsid w:val="005E288D"/>
    <w:rsid w:val="005E2AE4"/>
    <w:rsid w:val="005E2EEE"/>
    <w:rsid w:val="005E322E"/>
    <w:rsid w:val="005E332E"/>
    <w:rsid w:val="005E3E0C"/>
    <w:rsid w:val="005E3FFE"/>
    <w:rsid w:val="005E47BF"/>
    <w:rsid w:val="005E4971"/>
    <w:rsid w:val="005E5512"/>
    <w:rsid w:val="005E5C07"/>
    <w:rsid w:val="005E6462"/>
    <w:rsid w:val="005E6A99"/>
    <w:rsid w:val="005E6D2E"/>
    <w:rsid w:val="005E6EF0"/>
    <w:rsid w:val="005E70CA"/>
    <w:rsid w:val="005E741D"/>
    <w:rsid w:val="005E7556"/>
    <w:rsid w:val="005E797C"/>
    <w:rsid w:val="005E7AC6"/>
    <w:rsid w:val="005F0136"/>
    <w:rsid w:val="005F040C"/>
    <w:rsid w:val="005F0904"/>
    <w:rsid w:val="005F094D"/>
    <w:rsid w:val="005F120F"/>
    <w:rsid w:val="005F19C5"/>
    <w:rsid w:val="005F1BA2"/>
    <w:rsid w:val="005F2224"/>
    <w:rsid w:val="005F2755"/>
    <w:rsid w:val="005F2937"/>
    <w:rsid w:val="005F2BB9"/>
    <w:rsid w:val="005F2E14"/>
    <w:rsid w:val="005F2EB6"/>
    <w:rsid w:val="005F312B"/>
    <w:rsid w:val="005F3323"/>
    <w:rsid w:val="005F3365"/>
    <w:rsid w:val="005F34B9"/>
    <w:rsid w:val="005F3542"/>
    <w:rsid w:val="005F35DF"/>
    <w:rsid w:val="005F46E6"/>
    <w:rsid w:val="005F4AD4"/>
    <w:rsid w:val="005F5B78"/>
    <w:rsid w:val="005F5CFC"/>
    <w:rsid w:val="005F647E"/>
    <w:rsid w:val="005F6776"/>
    <w:rsid w:val="005F6C64"/>
    <w:rsid w:val="005F7088"/>
    <w:rsid w:val="005F7134"/>
    <w:rsid w:val="005F7137"/>
    <w:rsid w:val="005F718A"/>
    <w:rsid w:val="005F728B"/>
    <w:rsid w:val="005F73D6"/>
    <w:rsid w:val="005F78A7"/>
    <w:rsid w:val="005F7D70"/>
    <w:rsid w:val="005F7F2A"/>
    <w:rsid w:val="00600416"/>
    <w:rsid w:val="006004CA"/>
    <w:rsid w:val="00600862"/>
    <w:rsid w:val="006009ED"/>
    <w:rsid w:val="00600B28"/>
    <w:rsid w:val="00601551"/>
    <w:rsid w:val="00601ABB"/>
    <w:rsid w:val="00602386"/>
    <w:rsid w:val="00602B40"/>
    <w:rsid w:val="00602BF7"/>
    <w:rsid w:val="0060350F"/>
    <w:rsid w:val="00603C09"/>
    <w:rsid w:val="006041B8"/>
    <w:rsid w:val="00604C42"/>
    <w:rsid w:val="00604DF3"/>
    <w:rsid w:val="00604F73"/>
    <w:rsid w:val="00604FCA"/>
    <w:rsid w:val="006058F1"/>
    <w:rsid w:val="006060AB"/>
    <w:rsid w:val="00606101"/>
    <w:rsid w:val="0060685B"/>
    <w:rsid w:val="00606AD8"/>
    <w:rsid w:val="00606C01"/>
    <w:rsid w:val="0060717D"/>
    <w:rsid w:val="00607280"/>
    <w:rsid w:val="00607F74"/>
    <w:rsid w:val="006104FE"/>
    <w:rsid w:val="00610721"/>
    <w:rsid w:val="00610A12"/>
    <w:rsid w:val="00610AEF"/>
    <w:rsid w:val="00611259"/>
    <w:rsid w:val="00611C14"/>
    <w:rsid w:val="006121F0"/>
    <w:rsid w:val="00612505"/>
    <w:rsid w:val="00612507"/>
    <w:rsid w:val="006126FC"/>
    <w:rsid w:val="006129FC"/>
    <w:rsid w:val="00612C38"/>
    <w:rsid w:val="00613990"/>
    <w:rsid w:val="006139FB"/>
    <w:rsid w:val="00613AC5"/>
    <w:rsid w:val="00613BE5"/>
    <w:rsid w:val="00613BF8"/>
    <w:rsid w:val="00613E57"/>
    <w:rsid w:val="006145D9"/>
    <w:rsid w:val="0061472B"/>
    <w:rsid w:val="00614770"/>
    <w:rsid w:val="006147CF"/>
    <w:rsid w:val="00614EAB"/>
    <w:rsid w:val="0061574A"/>
    <w:rsid w:val="00615ABE"/>
    <w:rsid w:val="00615BCD"/>
    <w:rsid w:val="00615D6C"/>
    <w:rsid w:val="00615EA0"/>
    <w:rsid w:val="0061603C"/>
    <w:rsid w:val="00616524"/>
    <w:rsid w:val="006165C8"/>
    <w:rsid w:val="00616A53"/>
    <w:rsid w:val="006171D1"/>
    <w:rsid w:val="00617BDF"/>
    <w:rsid w:val="00617F3B"/>
    <w:rsid w:val="00620B4A"/>
    <w:rsid w:val="00620E8E"/>
    <w:rsid w:val="00621C56"/>
    <w:rsid w:val="00621DA1"/>
    <w:rsid w:val="00622097"/>
    <w:rsid w:val="006220DB"/>
    <w:rsid w:val="006225F3"/>
    <w:rsid w:val="006229EF"/>
    <w:rsid w:val="00622E94"/>
    <w:rsid w:val="00622EF1"/>
    <w:rsid w:val="00622F1C"/>
    <w:rsid w:val="00623261"/>
    <w:rsid w:val="0062326B"/>
    <w:rsid w:val="0062349B"/>
    <w:rsid w:val="00623662"/>
    <w:rsid w:val="0062401A"/>
    <w:rsid w:val="00624E1F"/>
    <w:rsid w:val="00625299"/>
    <w:rsid w:val="0062557B"/>
    <w:rsid w:val="00625961"/>
    <w:rsid w:val="00625D82"/>
    <w:rsid w:val="00626074"/>
    <w:rsid w:val="006267AF"/>
    <w:rsid w:val="00626B34"/>
    <w:rsid w:val="00626CB8"/>
    <w:rsid w:val="00626D7A"/>
    <w:rsid w:val="00627096"/>
    <w:rsid w:val="0062722B"/>
    <w:rsid w:val="006276CF"/>
    <w:rsid w:val="006279FD"/>
    <w:rsid w:val="00627B0B"/>
    <w:rsid w:val="00630761"/>
    <w:rsid w:val="00630970"/>
    <w:rsid w:val="006309CA"/>
    <w:rsid w:val="006312A3"/>
    <w:rsid w:val="0063168B"/>
    <w:rsid w:val="0063239F"/>
    <w:rsid w:val="00632498"/>
    <w:rsid w:val="006324E5"/>
    <w:rsid w:val="006324F9"/>
    <w:rsid w:val="006328E2"/>
    <w:rsid w:val="00633166"/>
    <w:rsid w:val="00633211"/>
    <w:rsid w:val="00633A94"/>
    <w:rsid w:val="0063477C"/>
    <w:rsid w:val="00634EBB"/>
    <w:rsid w:val="00635185"/>
    <w:rsid w:val="006355D9"/>
    <w:rsid w:val="00635743"/>
    <w:rsid w:val="006357B4"/>
    <w:rsid w:val="00635C44"/>
    <w:rsid w:val="00635F94"/>
    <w:rsid w:val="00636680"/>
    <w:rsid w:val="00636B24"/>
    <w:rsid w:val="00636FDC"/>
    <w:rsid w:val="0063709A"/>
    <w:rsid w:val="006372EB"/>
    <w:rsid w:val="0063732A"/>
    <w:rsid w:val="00637572"/>
    <w:rsid w:val="00637587"/>
    <w:rsid w:val="006377D8"/>
    <w:rsid w:val="00637E43"/>
    <w:rsid w:val="00637E8A"/>
    <w:rsid w:val="00637F0C"/>
    <w:rsid w:val="006402D2"/>
    <w:rsid w:val="0064039F"/>
    <w:rsid w:val="0064088F"/>
    <w:rsid w:val="00640926"/>
    <w:rsid w:val="00640FC5"/>
    <w:rsid w:val="0064100C"/>
    <w:rsid w:val="0064122A"/>
    <w:rsid w:val="00641B8F"/>
    <w:rsid w:val="00641C2F"/>
    <w:rsid w:val="006420F4"/>
    <w:rsid w:val="006424C5"/>
    <w:rsid w:val="006426B3"/>
    <w:rsid w:val="00642D3F"/>
    <w:rsid w:val="00642E05"/>
    <w:rsid w:val="0064333F"/>
    <w:rsid w:val="006438F1"/>
    <w:rsid w:val="006439D5"/>
    <w:rsid w:val="00643DE6"/>
    <w:rsid w:val="00643F91"/>
    <w:rsid w:val="00643F92"/>
    <w:rsid w:val="006441D7"/>
    <w:rsid w:val="006445A4"/>
    <w:rsid w:val="006445C6"/>
    <w:rsid w:val="0064466E"/>
    <w:rsid w:val="00644958"/>
    <w:rsid w:val="00645088"/>
    <w:rsid w:val="00645091"/>
    <w:rsid w:val="00645249"/>
    <w:rsid w:val="00645ED9"/>
    <w:rsid w:val="006462B1"/>
    <w:rsid w:val="0064662A"/>
    <w:rsid w:val="00646655"/>
    <w:rsid w:val="0064691C"/>
    <w:rsid w:val="006470C7"/>
    <w:rsid w:val="006471E4"/>
    <w:rsid w:val="00647CFB"/>
    <w:rsid w:val="00650165"/>
    <w:rsid w:val="0065026C"/>
    <w:rsid w:val="006505B4"/>
    <w:rsid w:val="00650D1E"/>
    <w:rsid w:val="00651526"/>
    <w:rsid w:val="0065172B"/>
    <w:rsid w:val="00651C78"/>
    <w:rsid w:val="00651D76"/>
    <w:rsid w:val="0065238F"/>
    <w:rsid w:val="006526A7"/>
    <w:rsid w:val="00652B26"/>
    <w:rsid w:val="00652D66"/>
    <w:rsid w:val="00653329"/>
    <w:rsid w:val="00653504"/>
    <w:rsid w:val="00653A87"/>
    <w:rsid w:val="00653BAE"/>
    <w:rsid w:val="00654E5F"/>
    <w:rsid w:val="006557A8"/>
    <w:rsid w:val="00655882"/>
    <w:rsid w:val="00655D51"/>
    <w:rsid w:val="00655E21"/>
    <w:rsid w:val="006560BC"/>
    <w:rsid w:val="00656BB0"/>
    <w:rsid w:val="00656E94"/>
    <w:rsid w:val="00656F26"/>
    <w:rsid w:val="00656F96"/>
    <w:rsid w:val="00656FBB"/>
    <w:rsid w:val="006574A5"/>
    <w:rsid w:val="00657A63"/>
    <w:rsid w:val="006600D9"/>
    <w:rsid w:val="006600FC"/>
    <w:rsid w:val="00660520"/>
    <w:rsid w:val="00660782"/>
    <w:rsid w:val="0066122A"/>
    <w:rsid w:val="00661ADF"/>
    <w:rsid w:val="00661BD7"/>
    <w:rsid w:val="00661CF6"/>
    <w:rsid w:val="00661E6B"/>
    <w:rsid w:val="00661F17"/>
    <w:rsid w:val="006627A6"/>
    <w:rsid w:val="00662A1D"/>
    <w:rsid w:val="00662AFB"/>
    <w:rsid w:val="00663238"/>
    <w:rsid w:val="0066355B"/>
    <w:rsid w:val="006637EF"/>
    <w:rsid w:val="0066387A"/>
    <w:rsid w:val="00663C1E"/>
    <w:rsid w:val="00664335"/>
    <w:rsid w:val="0066442C"/>
    <w:rsid w:val="00664536"/>
    <w:rsid w:val="00664A09"/>
    <w:rsid w:val="00664C71"/>
    <w:rsid w:val="00664EEE"/>
    <w:rsid w:val="006650F7"/>
    <w:rsid w:val="0066609E"/>
    <w:rsid w:val="0066660C"/>
    <w:rsid w:val="00666DC5"/>
    <w:rsid w:val="00666DF8"/>
    <w:rsid w:val="00667269"/>
    <w:rsid w:val="006677A5"/>
    <w:rsid w:val="00667812"/>
    <w:rsid w:val="00667B80"/>
    <w:rsid w:val="00670BCB"/>
    <w:rsid w:val="00670ED2"/>
    <w:rsid w:val="0067120A"/>
    <w:rsid w:val="00671CBB"/>
    <w:rsid w:val="006727CA"/>
    <w:rsid w:val="00672B6D"/>
    <w:rsid w:val="00672C1D"/>
    <w:rsid w:val="00672D17"/>
    <w:rsid w:val="00672D97"/>
    <w:rsid w:val="00673374"/>
    <w:rsid w:val="00673AB6"/>
    <w:rsid w:val="00673E8A"/>
    <w:rsid w:val="006740D3"/>
    <w:rsid w:val="00674899"/>
    <w:rsid w:val="006748AC"/>
    <w:rsid w:val="0067498E"/>
    <w:rsid w:val="00674A82"/>
    <w:rsid w:val="00674F8D"/>
    <w:rsid w:val="00675213"/>
    <w:rsid w:val="0067541C"/>
    <w:rsid w:val="006757B7"/>
    <w:rsid w:val="00675C25"/>
    <w:rsid w:val="00675FC4"/>
    <w:rsid w:val="0067616B"/>
    <w:rsid w:val="006761E0"/>
    <w:rsid w:val="006765AF"/>
    <w:rsid w:val="0067673B"/>
    <w:rsid w:val="00676763"/>
    <w:rsid w:val="00676C53"/>
    <w:rsid w:val="00677074"/>
    <w:rsid w:val="0067718A"/>
    <w:rsid w:val="00677291"/>
    <w:rsid w:val="006773C7"/>
    <w:rsid w:val="00677BC6"/>
    <w:rsid w:val="00677C2C"/>
    <w:rsid w:val="006804A2"/>
    <w:rsid w:val="00680BD7"/>
    <w:rsid w:val="00681556"/>
    <w:rsid w:val="0068226B"/>
    <w:rsid w:val="006825F2"/>
    <w:rsid w:val="00682F56"/>
    <w:rsid w:val="006830BC"/>
    <w:rsid w:val="006830DD"/>
    <w:rsid w:val="00683524"/>
    <w:rsid w:val="00683B28"/>
    <w:rsid w:val="00683B43"/>
    <w:rsid w:val="00683D2A"/>
    <w:rsid w:val="00684437"/>
    <w:rsid w:val="00684C81"/>
    <w:rsid w:val="006850B8"/>
    <w:rsid w:val="0068522D"/>
    <w:rsid w:val="006852DD"/>
    <w:rsid w:val="00685AA7"/>
    <w:rsid w:val="006861D2"/>
    <w:rsid w:val="00686537"/>
    <w:rsid w:val="00687114"/>
    <w:rsid w:val="0068721E"/>
    <w:rsid w:val="006873EA"/>
    <w:rsid w:val="006877E3"/>
    <w:rsid w:val="00687B2B"/>
    <w:rsid w:val="00687D1B"/>
    <w:rsid w:val="00687D52"/>
    <w:rsid w:val="00687E6F"/>
    <w:rsid w:val="00687FD3"/>
    <w:rsid w:val="00690228"/>
    <w:rsid w:val="006902AF"/>
    <w:rsid w:val="00690AEC"/>
    <w:rsid w:val="00691027"/>
    <w:rsid w:val="00691169"/>
    <w:rsid w:val="00691183"/>
    <w:rsid w:val="0069215D"/>
    <w:rsid w:val="0069288B"/>
    <w:rsid w:val="00692E70"/>
    <w:rsid w:val="00692FE3"/>
    <w:rsid w:val="0069314B"/>
    <w:rsid w:val="0069349A"/>
    <w:rsid w:val="0069383E"/>
    <w:rsid w:val="00693997"/>
    <w:rsid w:val="00693B2B"/>
    <w:rsid w:val="00693E47"/>
    <w:rsid w:val="0069463F"/>
    <w:rsid w:val="006946E9"/>
    <w:rsid w:val="0069485E"/>
    <w:rsid w:val="00694A8F"/>
    <w:rsid w:val="00694B0A"/>
    <w:rsid w:val="00694E15"/>
    <w:rsid w:val="00694E33"/>
    <w:rsid w:val="00694E73"/>
    <w:rsid w:val="00694EB5"/>
    <w:rsid w:val="006952EC"/>
    <w:rsid w:val="00695C26"/>
    <w:rsid w:val="0069665C"/>
    <w:rsid w:val="006967E4"/>
    <w:rsid w:val="00696AFF"/>
    <w:rsid w:val="00696BF2"/>
    <w:rsid w:val="00696EFD"/>
    <w:rsid w:val="00697490"/>
    <w:rsid w:val="00697B6A"/>
    <w:rsid w:val="00697C81"/>
    <w:rsid w:val="006A00E3"/>
    <w:rsid w:val="006A02CE"/>
    <w:rsid w:val="006A07C8"/>
    <w:rsid w:val="006A0D79"/>
    <w:rsid w:val="006A0E00"/>
    <w:rsid w:val="006A103A"/>
    <w:rsid w:val="006A121C"/>
    <w:rsid w:val="006A151A"/>
    <w:rsid w:val="006A1AD1"/>
    <w:rsid w:val="006A1EE6"/>
    <w:rsid w:val="006A282B"/>
    <w:rsid w:val="006A2A40"/>
    <w:rsid w:val="006A2E65"/>
    <w:rsid w:val="006A2F13"/>
    <w:rsid w:val="006A374D"/>
    <w:rsid w:val="006A3B15"/>
    <w:rsid w:val="006A40B2"/>
    <w:rsid w:val="006A4195"/>
    <w:rsid w:val="006A4449"/>
    <w:rsid w:val="006A4599"/>
    <w:rsid w:val="006A4C9B"/>
    <w:rsid w:val="006A4E73"/>
    <w:rsid w:val="006A4EC6"/>
    <w:rsid w:val="006A568C"/>
    <w:rsid w:val="006A5964"/>
    <w:rsid w:val="006A59A9"/>
    <w:rsid w:val="006A5F09"/>
    <w:rsid w:val="006A65CB"/>
    <w:rsid w:val="006A6836"/>
    <w:rsid w:val="006A6870"/>
    <w:rsid w:val="006A6F80"/>
    <w:rsid w:val="006A6FDA"/>
    <w:rsid w:val="006A7154"/>
    <w:rsid w:val="006A7609"/>
    <w:rsid w:val="006A7640"/>
    <w:rsid w:val="006A7653"/>
    <w:rsid w:val="006A7788"/>
    <w:rsid w:val="006A7822"/>
    <w:rsid w:val="006B013F"/>
    <w:rsid w:val="006B0D64"/>
    <w:rsid w:val="006B1204"/>
    <w:rsid w:val="006B13A8"/>
    <w:rsid w:val="006B15FC"/>
    <w:rsid w:val="006B1E4F"/>
    <w:rsid w:val="006B22B8"/>
    <w:rsid w:val="006B2399"/>
    <w:rsid w:val="006B24FC"/>
    <w:rsid w:val="006B2555"/>
    <w:rsid w:val="006B25F7"/>
    <w:rsid w:val="006B2697"/>
    <w:rsid w:val="006B2790"/>
    <w:rsid w:val="006B2FE8"/>
    <w:rsid w:val="006B30D5"/>
    <w:rsid w:val="006B31E0"/>
    <w:rsid w:val="006B31E4"/>
    <w:rsid w:val="006B321C"/>
    <w:rsid w:val="006B37E1"/>
    <w:rsid w:val="006B3A4C"/>
    <w:rsid w:val="006B3BA6"/>
    <w:rsid w:val="006B430A"/>
    <w:rsid w:val="006B4444"/>
    <w:rsid w:val="006B4ED1"/>
    <w:rsid w:val="006B5C9C"/>
    <w:rsid w:val="006B5D88"/>
    <w:rsid w:val="006B5FEC"/>
    <w:rsid w:val="006B68E6"/>
    <w:rsid w:val="006B696B"/>
    <w:rsid w:val="006B6C5F"/>
    <w:rsid w:val="006B7174"/>
    <w:rsid w:val="006B7C02"/>
    <w:rsid w:val="006B7EAA"/>
    <w:rsid w:val="006C029E"/>
    <w:rsid w:val="006C03F3"/>
    <w:rsid w:val="006C0756"/>
    <w:rsid w:val="006C0C02"/>
    <w:rsid w:val="006C0FD4"/>
    <w:rsid w:val="006C1281"/>
    <w:rsid w:val="006C1BCB"/>
    <w:rsid w:val="006C1C3E"/>
    <w:rsid w:val="006C1CCA"/>
    <w:rsid w:val="006C1E25"/>
    <w:rsid w:val="006C20EA"/>
    <w:rsid w:val="006C2635"/>
    <w:rsid w:val="006C2CB6"/>
    <w:rsid w:val="006C2F3D"/>
    <w:rsid w:val="006C30B6"/>
    <w:rsid w:val="006C3436"/>
    <w:rsid w:val="006C3ADF"/>
    <w:rsid w:val="006C3BB2"/>
    <w:rsid w:val="006C40A0"/>
    <w:rsid w:val="006C40B3"/>
    <w:rsid w:val="006C40E7"/>
    <w:rsid w:val="006C4113"/>
    <w:rsid w:val="006C423F"/>
    <w:rsid w:val="006C43DB"/>
    <w:rsid w:val="006C447C"/>
    <w:rsid w:val="006C4680"/>
    <w:rsid w:val="006C542B"/>
    <w:rsid w:val="006C54D1"/>
    <w:rsid w:val="006C5873"/>
    <w:rsid w:val="006C5940"/>
    <w:rsid w:val="006C5C75"/>
    <w:rsid w:val="006C62B8"/>
    <w:rsid w:val="006C640A"/>
    <w:rsid w:val="006C67B5"/>
    <w:rsid w:val="006C6D63"/>
    <w:rsid w:val="006C7168"/>
    <w:rsid w:val="006C73D0"/>
    <w:rsid w:val="006C747C"/>
    <w:rsid w:val="006C753B"/>
    <w:rsid w:val="006D00B3"/>
    <w:rsid w:val="006D0437"/>
    <w:rsid w:val="006D0635"/>
    <w:rsid w:val="006D0CE5"/>
    <w:rsid w:val="006D0E94"/>
    <w:rsid w:val="006D14F7"/>
    <w:rsid w:val="006D16DE"/>
    <w:rsid w:val="006D1BC5"/>
    <w:rsid w:val="006D1E52"/>
    <w:rsid w:val="006D2055"/>
    <w:rsid w:val="006D22C4"/>
    <w:rsid w:val="006D246E"/>
    <w:rsid w:val="006D26CC"/>
    <w:rsid w:val="006D2EAD"/>
    <w:rsid w:val="006D308D"/>
    <w:rsid w:val="006D31CC"/>
    <w:rsid w:val="006D3656"/>
    <w:rsid w:val="006D3BE5"/>
    <w:rsid w:val="006D468F"/>
    <w:rsid w:val="006D4726"/>
    <w:rsid w:val="006D478F"/>
    <w:rsid w:val="006D479D"/>
    <w:rsid w:val="006D48C8"/>
    <w:rsid w:val="006D4F05"/>
    <w:rsid w:val="006D51C9"/>
    <w:rsid w:val="006D523B"/>
    <w:rsid w:val="006D583E"/>
    <w:rsid w:val="006D5AED"/>
    <w:rsid w:val="006D5C67"/>
    <w:rsid w:val="006D6084"/>
    <w:rsid w:val="006D62C1"/>
    <w:rsid w:val="006D6A9F"/>
    <w:rsid w:val="006D6B8C"/>
    <w:rsid w:val="006D6D15"/>
    <w:rsid w:val="006D6F35"/>
    <w:rsid w:val="006D748B"/>
    <w:rsid w:val="006D76C0"/>
    <w:rsid w:val="006D78D2"/>
    <w:rsid w:val="006E0216"/>
    <w:rsid w:val="006E042D"/>
    <w:rsid w:val="006E06A3"/>
    <w:rsid w:val="006E0ED6"/>
    <w:rsid w:val="006E104F"/>
    <w:rsid w:val="006E1938"/>
    <w:rsid w:val="006E1D55"/>
    <w:rsid w:val="006E27B5"/>
    <w:rsid w:val="006E2F91"/>
    <w:rsid w:val="006E3123"/>
    <w:rsid w:val="006E3FC2"/>
    <w:rsid w:val="006E3FE8"/>
    <w:rsid w:val="006E43B7"/>
    <w:rsid w:val="006E45DE"/>
    <w:rsid w:val="006E48D1"/>
    <w:rsid w:val="006E4E53"/>
    <w:rsid w:val="006E5B1E"/>
    <w:rsid w:val="006E5B2A"/>
    <w:rsid w:val="006E5B84"/>
    <w:rsid w:val="006E693E"/>
    <w:rsid w:val="006E6F02"/>
    <w:rsid w:val="006E708A"/>
    <w:rsid w:val="006E7B49"/>
    <w:rsid w:val="006E7CA0"/>
    <w:rsid w:val="006F0075"/>
    <w:rsid w:val="006F098F"/>
    <w:rsid w:val="006F0E70"/>
    <w:rsid w:val="006F1515"/>
    <w:rsid w:val="006F17E5"/>
    <w:rsid w:val="006F1CD3"/>
    <w:rsid w:val="006F1F66"/>
    <w:rsid w:val="006F2419"/>
    <w:rsid w:val="006F250E"/>
    <w:rsid w:val="006F2CAF"/>
    <w:rsid w:val="006F2ECF"/>
    <w:rsid w:val="006F3296"/>
    <w:rsid w:val="006F3445"/>
    <w:rsid w:val="006F355B"/>
    <w:rsid w:val="006F4518"/>
    <w:rsid w:val="006F4AEB"/>
    <w:rsid w:val="006F4B07"/>
    <w:rsid w:val="006F4B94"/>
    <w:rsid w:val="006F4D05"/>
    <w:rsid w:val="006F541C"/>
    <w:rsid w:val="006F5A44"/>
    <w:rsid w:val="006F5AA2"/>
    <w:rsid w:val="006F5CE6"/>
    <w:rsid w:val="006F5E00"/>
    <w:rsid w:val="006F6000"/>
    <w:rsid w:val="006F6504"/>
    <w:rsid w:val="006F66BB"/>
    <w:rsid w:val="006F69AE"/>
    <w:rsid w:val="006F6B03"/>
    <w:rsid w:val="006F6E70"/>
    <w:rsid w:val="006F70F5"/>
    <w:rsid w:val="006F742C"/>
    <w:rsid w:val="006F7D1E"/>
    <w:rsid w:val="007008B9"/>
    <w:rsid w:val="00700BD9"/>
    <w:rsid w:val="00700C9C"/>
    <w:rsid w:val="00700CF6"/>
    <w:rsid w:val="0070115B"/>
    <w:rsid w:val="0070157A"/>
    <w:rsid w:val="00701C67"/>
    <w:rsid w:val="0070204D"/>
    <w:rsid w:val="007023D0"/>
    <w:rsid w:val="00702589"/>
    <w:rsid w:val="007026B8"/>
    <w:rsid w:val="007028AD"/>
    <w:rsid w:val="0070333F"/>
    <w:rsid w:val="00703379"/>
    <w:rsid w:val="007033AA"/>
    <w:rsid w:val="0070354A"/>
    <w:rsid w:val="0070433B"/>
    <w:rsid w:val="007046A7"/>
    <w:rsid w:val="007048F6"/>
    <w:rsid w:val="00705A6C"/>
    <w:rsid w:val="00705CFF"/>
    <w:rsid w:val="00706343"/>
    <w:rsid w:val="00706359"/>
    <w:rsid w:val="00706762"/>
    <w:rsid w:val="00706F6E"/>
    <w:rsid w:val="0070739B"/>
    <w:rsid w:val="00707490"/>
    <w:rsid w:val="0070754C"/>
    <w:rsid w:val="00707B56"/>
    <w:rsid w:val="00707CB6"/>
    <w:rsid w:val="00707DCC"/>
    <w:rsid w:val="0071032C"/>
    <w:rsid w:val="00710703"/>
    <w:rsid w:val="0071095E"/>
    <w:rsid w:val="00710A1D"/>
    <w:rsid w:val="00710A50"/>
    <w:rsid w:val="00710ABF"/>
    <w:rsid w:val="00710D11"/>
    <w:rsid w:val="00710DDE"/>
    <w:rsid w:val="00710FC1"/>
    <w:rsid w:val="00711048"/>
    <w:rsid w:val="0071165E"/>
    <w:rsid w:val="007118C6"/>
    <w:rsid w:val="00711A40"/>
    <w:rsid w:val="00711AF8"/>
    <w:rsid w:val="0071228F"/>
    <w:rsid w:val="007122C6"/>
    <w:rsid w:val="007123F3"/>
    <w:rsid w:val="0071256D"/>
    <w:rsid w:val="00712B0C"/>
    <w:rsid w:val="00712F08"/>
    <w:rsid w:val="00712F09"/>
    <w:rsid w:val="00713F1E"/>
    <w:rsid w:val="007146DB"/>
    <w:rsid w:val="0071497A"/>
    <w:rsid w:val="00714A57"/>
    <w:rsid w:val="00714AA2"/>
    <w:rsid w:val="00714F1A"/>
    <w:rsid w:val="0071500F"/>
    <w:rsid w:val="0071514F"/>
    <w:rsid w:val="0071575E"/>
    <w:rsid w:val="00715BAE"/>
    <w:rsid w:val="00715D6D"/>
    <w:rsid w:val="00715F58"/>
    <w:rsid w:val="007161AA"/>
    <w:rsid w:val="00716A5E"/>
    <w:rsid w:val="00716AB7"/>
    <w:rsid w:val="00717AB2"/>
    <w:rsid w:val="00717AE2"/>
    <w:rsid w:val="00717D85"/>
    <w:rsid w:val="007202E8"/>
    <w:rsid w:val="00720416"/>
    <w:rsid w:val="0072087F"/>
    <w:rsid w:val="00720A47"/>
    <w:rsid w:val="00720D07"/>
    <w:rsid w:val="0072189B"/>
    <w:rsid w:val="0072191B"/>
    <w:rsid w:val="00721E15"/>
    <w:rsid w:val="00721EFD"/>
    <w:rsid w:val="00721F6F"/>
    <w:rsid w:val="0072287E"/>
    <w:rsid w:val="00723764"/>
    <w:rsid w:val="007243D1"/>
    <w:rsid w:val="007246EB"/>
    <w:rsid w:val="007248B3"/>
    <w:rsid w:val="00724A1D"/>
    <w:rsid w:val="00724AC1"/>
    <w:rsid w:val="007250A3"/>
    <w:rsid w:val="00725169"/>
    <w:rsid w:val="00725297"/>
    <w:rsid w:val="00725DE1"/>
    <w:rsid w:val="00726445"/>
    <w:rsid w:val="00726A90"/>
    <w:rsid w:val="00726AD3"/>
    <w:rsid w:val="00726DA2"/>
    <w:rsid w:val="00727014"/>
    <w:rsid w:val="00727510"/>
    <w:rsid w:val="0072759C"/>
    <w:rsid w:val="00727790"/>
    <w:rsid w:val="007300D9"/>
    <w:rsid w:val="007305A3"/>
    <w:rsid w:val="007308EE"/>
    <w:rsid w:val="007314FB"/>
    <w:rsid w:val="00731D46"/>
    <w:rsid w:val="00731F16"/>
    <w:rsid w:val="007323C2"/>
    <w:rsid w:val="00732635"/>
    <w:rsid w:val="007329CD"/>
    <w:rsid w:val="00732DDF"/>
    <w:rsid w:val="00733075"/>
    <w:rsid w:val="00733A59"/>
    <w:rsid w:val="00734050"/>
    <w:rsid w:val="007345C6"/>
    <w:rsid w:val="00734778"/>
    <w:rsid w:val="00734813"/>
    <w:rsid w:val="00734EF9"/>
    <w:rsid w:val="007350E4"/>
    <w:rsid w:val="007362F0"/>
    <w:rsid w:val="007365CC"/>
    <w:rsid w:val="00736C04"/>
    <w:rsid w:val="00736DBB"/>
    <w:rsid w:val="00736E79"/>
    <w:rsid w:val="00737781"/>
    <w:rsid w:val="007403A9"/>
    <w:rsid w:val="00740FBA"/>
    <w:rsid w:val="007411A7"/>
    <w:rsid w:val="007414A6"/>
    <w:rsid w:val="007418CD"/>
    <w:rsid w:val="00741A79"/>
    <w:rsid w:val="00741E9E"/>
    <w:rsid w:val="00742391"/>
    <w:rsid w:val="0074239B"/>
    <w:rsid w:val="007425D6"/>
    <w:rsid w:val="00742AC5"/>
    <w:rsid w:val="00742C6E"/>
    <w:rsid w:val="00742E1F"/>
    <w:rsid w:val="00742FC2"/>
    <w:rsid w:val="0074400D"/>
    <w:rsid w:val="007440F2"/>
    <w:rsid w:val="007441DD"/>
    <w:rsid w:val="00744234"/>
    <w:rsid w:val="007442E9"/>
    <w:rsid w:val="00744D0F"/>
    <w:rsid w:val="00744F42"/>
    <w:rsid w:val="00744FCA"/>
    <w:rsid w:val="00745249"/>
    <w:rsid w:val="00745436"/>
    <w:rsid w:val="00745961"/>
    <w:rsid w:val="00745B88"/>
    <w:rsid w:val="00745C9A"/>
    <w:rsid w:val="00746197"/>
    <w:rsid w:val="007462A5"/>
    <w:rsid w:val="0074641A"/>
    <w:rsid w:val="00746609"/>
    <w:rsid w:val="00746895"/>
    <w:rsid w:val="00746F70"/>
    <w:rsid w:val="00747C05"/>
    <w:rsid w:val="0075094C"/>
    <w:rsid w:val="00751417"/>
    <w:rsid w:val="0075160B"/>
    <w:rsid w:val="007519A0"/>
    <w:rsid w:val="0075201A"/>
    <w:rsid w:val="007525BF"/>
    <w:rsid w:val="0075260C"/>
    <w:rsid w:val="007528C7"/>
    <w:rsid w:val="00752CA4"/>
    <w:rsid w:val="00753053"/>
    <w:rsid w:val="00753685"/>
    <w:rsid w:val="00753F60"/>
    <w:rsid w:val="007542D5"/>
    <w:rsid w:val="007548D3"/>
    <w:rsid w:val="00754B43"/>
    <w:rsid w:val="00754D38"/>
    <w:rsid w:val="00754ED6"/>
    <w:rsid w:val="00755429"/>
    <w:rsid w:val="00755454"/>
    <w:rsid w:val="0075550B"/>
    <w:rsid w:val="007559B7"/>
    <w:rsid w:val="00756083"/>
    <w:rsid w:val="007561DE"/>
    <w:rsid w:val="007562CE"/>
    <w:rsid w:val="0075641A"/>
    <w:rsid w:val="0075681C"/>
    <w:rsid w:val="00756CC4"/>
    <w:rsid w:val="00756EEC"/>
    <w:rsid w:val="00757142"/>
    <w:rsid w:val="00757829"/>
    <w:rsid w:val="00757946"/>
    <w:rsid w:val="00757FE2"/>
    <w:rsid w:val="0076004C"/>
    <w:rsid w:val="00760477"/>
    <w:rsid w:val="00760B8D"/>
    <w:rsid w:val="0076140E"/>
    <w:rsid w:val="00761415"/>
    <w:rsid w:val="0076157C"/>
    <w:rsid w:val="00761954"/>
    <w:rsid w:val="00761E8B"/>
    <w:rsid w:val="00762153"/>
    <w:rsid w:val="007623D5"/>
    <w:rsid w:val="00762932"/>
    <w:rsid w:val="00762AA9"/>
    <w:rsid w:val="00762C83"/>
    <w:rsid w:val="00762ED6"/>
    <w:rsid w:val="00762F92"/>
    <w:rsid w:val="007632CF"/>
    <w:rsid w:val="007632EC"/>
    <w:rsid w:val="00763B69"/>
    <w:rsid w:val="00764409"/>
    <w:rsid w:val="007644C2"/>
    <w:rsid w:val="00764626"/>
    <w:rsid w:val="00764766"/>
    <w:rsid w:val="00764AB1"/>
    <w:rsid w:val="00765E95"/>
    <w:rsid w:val="00765EC6"/>
    <w:rsid w:val="0076691B"/>
    <w:rsid w:val="0076694A"/>
    <w:rsid w:val="007669E3"/>
    <w:rsid w:val="00766B2D"/>
    <w:rsid w:val="00767438"/>
    <w:rsid w:val="00767447"/>
    <w:rsid w:val="007701AB"/>
    <w:rsid w:val="007702A0"/>
    <w:rsid w:val="0077075F"/>
    <w:rsid w:val="00770D9B"/>
    <w:rsid w:val="007711F1"/>
    <w:rsid w:val="00771343"/>
    <w:rsid w:val="00771612"/>
    <w:rsid w:val="007716AA"/>
    <w:rsid w:val="00771760"/>
    <w:rsid w:val="0077195D"/>
    <w:rsid w:val="007719CE"/>
    <w:rsid w:val="00771F34"/>
    <w:rsid w:val="00771F61"/>
    <w:rsid w:val="0077230E"/>
    <w:rsid w:val="007725E1"/>
    <w:rsid w:val="0077288F"/>
    <w:rsid w:val="00772FB6"/>
    <w:rsid w:val="007730EA"/>
    <w:rsid w:val="0077341A"/>
    <w:rsid w:val="007739E1"/>
    <w:rsid w:val="00774076"/>
    <w:rsid w:val="007744AD"/>
    <w:rsid w:val="00774CF8"/>
    <w:rsid w:val="00774F0B"/>
    <w:rsid w:val="00775DC1"/>
    <w:rsid w:val="00776205"/>
    <w:rsid w:val="0077686F"/>
    <w:rsid w:val="0077750E"/>
    <w:rsid w:val="00777667"/>
    <w:rsid w:val="00777871"/>
    <w:rsid w:val="00777ED3"/>
    <w:rsid w:val="0078038F"/>
    <w:rsid w:val="00780909"/>
    <w:rsid w:val="00780E88"/>
    <w:rsid w:val="0078108E"/>
    <w:rsid w:val="007816F1"/>
    <w:rsid w:val="007818D4"/>
    <w:rsid w:val="00781F2C"/>
    <w:rsid w:val="007820FF"/>
    <w:rsid w:val="0078253A"/>
    <w:rsid w:val="00782D3E"/>
    <w:rsid w:val="00782DC5"/>
    <w:rsid w:val="00782E58"/>
    <w:rsid w:val="007832C7"/>
    <w:rsid w:val="007835D4"/>
    <w:rsid w:val="007837A2"/>
    <w:rsid w:val="0078392B"/>
    <w:rsid w:val="00783BD1"/>
    <w:rsid w:val="0078456D"/>
    <w:rsid w:val="00784861"/>
    <w:rsid w:val="007848AB"/>
    <w:rsid w:val="00785521"/>
    <w:rsid w:val="00785CF7"/>
    <w:rsid w:val="00785FD4"/>
    <w:rsid w:val="0078600E"/>
    <w:rsid w:val="00786A57"/>
    <w:rsid w:val="00786F10"/>
    <w:rsid w:val="007870C3"/>
    <w:rsid w:val="00787988"/>
    <w:rsid w:val="00787991"/>
    <w:rsid w:val="007901B0"/>
    <w:rsid w:val="007907D1"/>
    <w:rsid w:val="00790DB9"/>
    <w:rsid w:val="00790DD9"/>
    <w:rsid w:val="0079105B"/>
    <w:rsid w:val="00791216"/>
    <w:rsid w:val="007913E5"/>
    <w:rsid w:val="00791A57"/>
    <w:rsid w:val="00792179"/>
    <w:rsid w:val="007926E9"/>
    <w:rsid w:val="0079279A"/>
    <w:rsid w:val="00792B18"/>
    <w:rsid w:val="00792BE4"/>
    <w:rsid w:val="00792DA8"/>
    <w:rsid w:val="00793339"/>
    <w:rsid w:val="007949F8"/>
    <w:rsid w:val="007963DF"/>
    <w:rsid w:val="0079648E"/>
    <w:rsid w:val="00796573"/>
    <w:rsid w:val="00796BFC"/>
    <w:rsid w:val="007970FA"/>
    <w:rsid w:val="007975E0"/>
    <w:rsid w:val="0079787A"/>
    <w:rsid w:val="00797E34"/>
    <w:rsid w:val="007A088A"/>
    <w:rsid w:val="007A0AA1"/>
    <w:rsid w:val="007A0D49"/>
    <w:rsid w:val="007A12EF"/>
    <w:rsid w:val="007A13A4"/>
    <w:rsid w:val="007A1658"/>
    <w:rsid w:val="007A279F"/>
    <w:rsid w:val="007A2883"/>
    <w:rsid w:val="007A298C"/>
    <w:rsid w:val="007A2B56"/>
    <w:rsid w:val="007A31AA"/>
    <w:rsid w:val="007A3AFC"/>
    <w:rsid w:val="007A467F"/>
    <w:rsid w:val="007A475F"/>
    <w:rsid w:val="007A4C91"/>
    <w:rsid w:val="007A4CD3"/>
    <w:rsid w:val="007A4D89"/>
    <w:rsid w:val="007A4F84"/>
    <w:rsid w:val="007A5450"/>
    <w:rsid w:val="007A5500"/>
    <w:rsid w:val="007A588E"/>
    <w:rsid w:val="007A5EC1"/>
    <w:rsid w:val="007A603E"/>
    <w:rsid w:val="007A605C"/>
    <w:rsid w:val="007A60F7"/>
    <w:rsid w:val="007A671E"/>
    <w:rsid w:val="007A6F44"/>
    <w:rsid w:val="007A7227"/>
    <w:rsid w:val="007A7390"/>
    <w:rsid w:val="007A7A8E"/>
    <w:rsid w:val="007A7CF7"/>
    <w:rsid w:val="007A7DBD"/>
    <w:rsid w:val="007B00A3"/>
    <w:rsid w:val="007B0625"/>
    <w:rsid w:val="007B067F"/>
    <w:rsid w:val="007B069B"/>
    <w:rsid w:val="007B0772"/>
    <w:rsid w:val="007B07BD"/>
    <w:rsid w:val="007B0BBB"/>
    <w:rsid w:val="007B0EA8"/>
    <w:rsid w:val="007B102F"/>
    <w:rsid w:val="007B1267"/>
    <w:rsid w:val="007B1707"/>
    <w:rsid w:val="007B1AD7"/>
    <w:rsid w:val="007B1C69"/>
    <w:rsid w:val="007B25A6"/>
    <w:rsid w:val="007B28B7"/>
    <w:rsid w:val="007B3921"/>
    <w:rsid w:val="007B3D16"/>
    <w:rsid w:val="007B3DBE"/>
    <w:rsid w:val="007B3F6B"/>
    <w:rsid w:val="007B401D"/>
    <w:rsid w:val="007B43D5"/>
    <w:rsid w:val="007B4489"/>
    <w:rsid w:val="007B47DF"/>
    <w:rsid w:val="007B4A3D"/>
    <w:rsid w:val="007B4DBD"/>
    <w:rsid w:val="007B537D"/>
    <w:rsid w:val="007B5590"/>
    <w:rsid w:val="007B5A63"/>
    <w:rsid w:val="007B5B07"/>
    <w:rsid w:val="007B6453"/>
    <w:rsid w:val="007B6483"/>
    <w:rsid w:val="007B6547"/>
    <w:rsid w:val="007B6DA7"/>
    <w:rsid w:val="007B6E4A"/>
    <w:rsid w:val="007B7340"/>
    <w:rsid w:val="007B74C4"/>
    <w:rsid w:val="007B75BE"/>
    <w:rsid w:val="007B7755"/>
    <w:rsid w:val="007C0222"/>
    <w:rsid w:val="007C07A5"/>
    <w:rsid w:val="007C0DD2"/>
    <w:rsid w:val="007C0FFB"/>
    <w:rsid w:val="007C10C4"/>
    <w:rsid w:val="007C1100"/>
    <w:rsid w:val="007C138A"/>
    <w:rsid w:val="007C2001"/>
    <w:rsid w:val="007C21B4"/>
    <w:rsid w:val="007C239A"/>
    <w:rsid w:val="007C29F8"/>
    <w:rsid w:val="007C2C01"/>
    <w:rsid w:val="007C2E14"/>
    <w:rsid w:val="007C31CA"/>
    <w:rsid w:val="007C32DF"/>
    <w:rsid w:val="007C355F"/>
    <w:rsid w:val="007C4312"/>
    <w:rsid w:val="007C44BA"/>
    <w:rsid w:val="007C4CCC"/>
    <w:rsid w:val="007C5722"/>
    <w:rsid w:val="007C5B08"/>
    <w:rsid w:val="007C607F"/>
    <w:rsid w:val="007C632E"/>
    <w:rsid w:val="007C695C"/>
    <w:rsid w:val="007C6DBC"/>
    <w:rsid w:val="007C6DF7"/>
    <w:rsid w:val="007C70FA"/>
    <w:rsid w:val="007C7E19"/>
    <w:rsid w:val="007C7FF3"/>
    <w:rsid w:val="007D08A4"/>
    <w:rsid w:val="007D08F7"/>
    <w:rsid w:val="007D0CC6"/>
    <w:rsid w:val="007D0F7B"/>
    <w:rsid w:val="007D0FAB"/>
    <w:rsid w:val="007D118A"/>
    <w:rsid w:val="007D129A"/>
    <w:rsid w:val="007D2DDB"/>
    <w:rsid w:val="007D38E6"/>
    <w:rsid w:val="007D4404"/>
    <w:rsid w:val="007D469B"/>
    <w:rsid w:val="007D4EDF"/>
    <w:rsid w:val="007D5798"/>
    <w:rsid w:val="007D58E4"/>
    <w:rsid w:val="007D5AC1"/>
    <w:rsid w:val="007D5EAE"/>
    <w:rsid w:val="007D5F02"/>
    <w:rsid w:val="007D6208"/>
    <w:rsid w:val="007D66C6"/>
    <w:rsid w:val="007D7366"/>
    <w:rsid w:val="007D779D"/>
    <w:rsid w:val="007D7FC2"/>
    <w:rsid w:val="007E0B56"/>
    <w:rsid w:val="007E1171"/>
    <w:rsid w:val="007E1D5B"/>
    <w:rsid w:val="007E22E3"/>
    <w:rsid w:val="007E260B"/>
    <w:rsid w:val="007E27BD"/>
    <w:rsid w:val="007E28C3"/>
    <w:rsid w:val="007E2E54"/>
    <w:rsid w:val="007E2E7F"/>
    <w:rsid w:val="007E2ED8"/>
    <w:rsid w:val="007E2FE3"/>
    <w:rsid w:val="007E3155"/>
    <w:rsid w:val="007E38F6"/>
    <w:rsid w:val="007E3C07"/>
    <w:rsid w:val="007E401E"/>
    <w:rsid w:val="007E4404"/>
    <w:rsid w:val="007E46CE"/>
    <w:rsid w:val="007E4DD0"/>
    <w:rsid w:val="007E4E17"/>
    <w:rsid w:val="007E501A"/>
    <w:rsid w:val="007E502F"/>
    <w:rsid w:val="007E575F"/>
    <w:rsid w:val="007E614E"/>
    <w:rsid w:val="007E61E0"/>
    <w:rsid w:val="007E639A"/>
    <w:rsid w:val="007E7B12"/>
    <w:rsid w:val="007E7E03"/>
    <w:rsid w:val="007F0688"/>
    <w:rsid w:val="007F0907"/>
    <w:rsid w:val="007F0AA6"/>
    <w:rsid w:val="007F0B63"/>
    <w:rsid w:val="007F1033"/>
    <w:rsid w:val="007F1277"/>
    <w:rsid w:val="007F1DDB"/>
    <w:rsid w:val="007F2BEF"/>
    <w:rsid w:val="007F2EBC"/>
    <w:rsid w:val="007F3130"/>
    <w:rsid w:val="007F359C"/>
    <w:rsid w:val="007F3771"/>
    <w:rsid w:val="007F39FD"/>
    <w:rsid w:val="007F3BAD"/>
    <w:rsid w:val="007F3E96"/>
    <w:rsid w:val="007F4034"/>
    <w:rsid w:val="007F4A8D"/>
    <w:rsid w:val="007F517B"/>
    <w:rsid w:val="007F6141"/>
    <w:rsid w:val="007F67FD"/>
    <w:rsid w:val="007F6CE1"/>
    <w:rsid w:val="007F7311"/>
    <w:rsid w:val="007F7B05"/>
    <w:rsid w:val="007F7FDA"/>
    <w:rsid w:val="00800470"/>
    <w:rsid w:val="00800A4D"/>
    <w:rsid w:val="00800A8C"/>
    <w:rsid w:val="00801443"/>
    <w:rsid w:val="00801B47"/>
    <w:rsid w:val="008021E8"/>
    <w:rsid w:val="008023FE"/>
    <w:rsid w:val="00802BB5"/>
    <w:rsid w:val="00802F88"/>
    <w:rsid w:val="00802F92"/>
    <w:rsid w:val="008035A6"/>
    <w:rsid w:val="008036E7"/>
    <w:rsid w:val="00803792"/>
    <w:rsid w:val="00803B93"/>
    <w:rsid w:val="00803C39"/>
    <w:rsid w:val="008041FD"/>
    <w:rsid w:val="00804265"/>
    <w:rsid w:val="00804523"/>
    <w:rsid w:val="00804834"/>
    <w:rsid w:val="008049B4"/>
    <w:rsid w:val="00804CA2"/>
    <w:rsid w:val="0080536F"/>
    <w:rsid w:val="0080570C"/>
    <w:rsid w:val="008057D4"/>
    <w:rsid w:val="00805D59"/>
    <w:rsid w:val="0080612E"/>
    <w:rsid w:val="00806353"/>
    <w:rsid w:val="0080682A"/>
    <w:rsid w:val="0080694D"/>
    <w:rsid w:val="008071BC"/>
    <w:rsid w:val="008076BF"/>
    <w:rsid w:val="0080790A"/>
    <w:rsid w:val="008079E8"/>
    <w:rsid w:val="00807A43"/>
    <w:rsid w:val="00807CF2"/>
    <w:rsid w:val="008102B5"/>
    <w:rsid w:val="00810612"/>
    <w:rsid w:val="00810961"/>
    <w:rsid w:val="00810A83"/>
    <w:rsid w:val="00810E10"/>
    <w:rsid w:val="00811282"/>
    <w:rsid w:val="008119F3"/>
    <w:rsid w:val="00811C01"/>
    <w:rsid w:val="00812B38"/>
    <w:rsid w:val="00812F62"/>
    <w:rsid w:val="00813EE7"/>
    <w:rsid w:val="0081438A"/>
    <w:rsid w:val="0081484E"/>
    <w:rsid w:val="008149DC"/>
    <w:rsid w:val="0081504F"/>
    <w:rsid w:val="008153FD"/>
    <w:rsid w:val="00815723"/>
    <w:rsid w:val="00815C2B"/>
    <w:rsid w:val="00815E5A"/>
    <w:rsid w:val="008161E1"/>
    <w:rsid w:val="008169F0"/>
    <w:rsid w:val="00816C65"/>
    <w:rsid w:val="00816E29"/>
    <w:rsid w:val="00817BB4"/>
    <w:rsid w:val="0082006C"/>
    <w:rsid w:val="00820216"/>
    <w:rsid w:val="008205C1"/>
    <w:rsid w:val="00820654"/>
    <w:rsid w:val="00820BCC"/>
    <w:rsid w:val="00820C5D"/>
    <w:rsid w:val="00820CAA"/>
    <w:rsid w:val="00820E9E"/>
    <w:rsid w:val="00821316"/>
    <w:rsid w:val="00821536"/>
    <w:rsid w:val="008217AD"/>
    <w:rsid w:val="00821FBD"/>
    <w:rsid w:val="00822163"/>
    <w:rsid w:val="0082220A"/>
    <w:rsid w:val="008223EE"/>
    <w:rsid w:val="00822427"/>
    <w:rsid w:val="00822438"/>
    <w:rsid w:val="00822712"/>
    <w:rsid w:val="008230A4"/>
    <w:rsid w:val="00823146"/>
    <w:rsid w:val="0082317A"/>
    <w:rsid w:val="0082339D"/>
    <w:rsid w:val="00823921"/>
    <w:rsid w:val="00823A9B"/>
    <w:rsid w:val="00824C54"/>
    <w:rsid w:val="00824D24"/>
    <w:rsid w:val="00824F20"/>
    <w:rsid w:val="0082521C"/>
    <w:rsid w:val="0082533B"/>
    <w:rsid w:val="00825E8A"/>
    <w:rsid w:val="008261CB"/>
    <w:rsid w:val="0082665F"/>
    <w:rsid w:val="008269F9"/>
    <w:rsid w:val="00826A38"/>
    <w:rsid w:val="008270BC"/>
    <w:rsid w:val="008271F2"/>
    <w:rsid w:val="00827C91"/>
    <w:rsid w:val="00827DA2"/>
    <w:rsid w:val="00830131"/>
    <w:rsid w:val="00830724"/>
    <w:rsid w:val="008307DC"/>
    <w:rsid w:val="00830848"/>
    <w:rsid w:val="00830FB2"/>
    <w:rsid w:val="00831346"/>
    <w:rsid w:val="008314BC"/>
    <w:rsid w:val="00831875"/>
    <w:rsid w:val="00831C2F"/>
    <w:rsid w:val="00831C5A"/>
    <w:rsid w:val="00831CDC"/>
    <w:rsid w:val="00831DB1"/>
    <w:rsid w:val="00831DC2"/>
    <w:rsid w:val="0083207F"/>
    <w:rsid w:val="008321B9"/>
    <w:rsid w:val="008322A8"/>
    <w:rsid w:val="008327B6"/>
    <w:rsid w:val="008329B0"/>
    <w:rsid w:val="008329E9"/>
    <w:rsid w:val="00832A3B"/>
    <w:rsid w:val="00832CDA"/>
    <w:rsid w:val="00833503"/>
    <w:rsid w:val="0083368A"/>
    <w:rsid w:val="0083372E"/>
    <w:rsid w:val="008339A7"/>
    <w:rsid w:val="00833CF1"/>
    <w:rsid w:val="00833E2B"/>
    <w:rsid w:val="0083431C"/>
    <w:rsid w:val="00834646"/>
    <w:rsid w:val="008349BF"/>
    <w:rsid w:val="00834ADA"/>
    <w:rsid w:val="008356E6"/>
    <w:rsid w:val="00835949"/>
    <w:rsid w:val="00835B1A"/>
    <w:rsid w:val="00835D55"/>
    <w:rsid w:val="008366B9"/>
    <w:rsid w:val="00836A6D"/>
    <w:rsid w:val="008373C4"/>
    <w:rsid w:val="00837674"/>
    <w:rsid w:val="008378B7"/>
    <w:rsid w:val="00837E05"/>
    <w:rsid w:val="00837F83"/>
    <w:rsid w:val="00837F9F"/>
    <w:rsid w:val="00840A9C"/>
    <w:rsid w:val="00840EF1"/>
    <w:rsid w:val="008414E2"/>
    <w:rsid w:val="0084185C"/>
    <w:rsid w:val="00841B48"/>
    <w:rsid w:val="00841EBF"/>
    <w:rsid w:val="00842273"/>
    <w:rsid w:val="0084264D"/>
    <w:rsid w:val="00843119"/>
    <w:rsid w:val="00843D9B"/>
    <w:rsid w:val="0084403D"/>
    <w:rsid w:val="0084464B"/>
    <w:rsid w:val="008448D4"/>
    <w:rsid w:val="00844C04"/>
    <w:rsid w:val="00845292"/>
    <w:rsid w:val="0084544A"/>
    <w:rsid w:val="0084545F"/>
    <w:rsid w:val="0084596A"/>
    <w:rsid w:val="008459E7"/>
    <w:rsid w:val="00845AAB"/>
    <w:rsid w:val="00845CA5"/>
    <w:rsid w:val="00845F28"/>
    <w:rsid w:val="00846314"/>
    <w:rsid w:val="00846409"/>
    <w:rsid w:val="00846B2F"/>
    <w:rsid w:val="00846CE2"/>
    <w:rsid w:val="008479D3"/>
    <w:rsid w:val="008500AE"/>
    <w:rsid w:val="00850159"/>
    <w:rsid w:val="00850271"/>
    <w:rsid w:val="0085038E"/>
    <w:rsid w:val="00850541"/>
    <w:rsid w:val="008508FF"/>
    <w:rsid w:val="008510FD"/>
    <w:rsid w:val="00851118"/>
    <w:rsid w:val="008514D5"/>
    <w:rsid w:val="00852263"/>
    <w:rsid w:val="008527C9"/>
    <w:rsid w:val="008529BF"/>
    <w:rsid w:val="008535FC"/>
    <w:rsid w:val="008536EC"/>
    <w:rsid w:val="00853D67"/>
    <w:rsid w:val="00853E0A"/>
    <w:rsid w:val="008540FB"/>
    <w:rsid w:val="0085464B"/>
    <w:rsid w:val="00854954"/>
    <w:rsid w:val="00854B2D"/>
    <w:rsid w:val="00855291"/>
    <w:rsid w:val="008554EC"/>
    <w:rsid w:val="00855561"/>
    <w:rsid w:val="00855654"/>
    <w:rsid w:val="00855BD3"/>
    <w:rsid w:val="00855C5D"/>
    <w:rsid w:val="00855F56"/>
    <w:rsid w:val="00855FF0"/>
    <w:rsid w:val="00856584"/>
    <w:rsid w:val="008566AC"/>
    <w:rsid w:val="008567BC"/>
    <w:rsid w:val="00856834"/>
    <w:rsid w:val="00857084"/>
    <w:rsid w:val="00857285"/>
    <w:rsid w:val="008574C2"/>
    <w:rsid w:val="008574F4"/>
    <w:rsid w:val="00857F43"/>
    <w:rsid w:val="0086072A"/>
    <w:rsid w:val="00860C9E"/>
    <w:rsid w:val="00860E4A"/>
    <w:rsid w:val="008618F4"/>
    <w:rsid w:val="00861B31"/>
    <w:rsid w:val="00862193"/>
    <w:rsid w:val="0086239F"/>
    <w:rsid w:val="00862F77"/>
    <w:rsid w:val="008637A6"/>
    <w:rsid w:val="00864161"/>
    <w:rsid w:val="00864CCD"/>
    <w:rsid w:val="00865436"/>
    <w:rsid w:val="008655DC"/>
    <w:rsid w:val="008655DF"/>
    <w:rsid w:val="00865D2B"/>
    <w:rsid w:val="00866031"/>
    <w:rsid w:val="00866299"/>
    <w:rsid w:val="00866BE1"/>
    <w:rsid w:val="00866CF4"/>
    <w:rsid w:val="00866F35"/>
    <w:rsid w:val="00867B44"/>
    <w:rsid w:val="00867EF8"/>
    <w:rsid w:val="00872663"/>
    <w:rsid w:val="0087279D"/>
    <w:rsid w:val="00872B6E"/>
    <w:rsid w:val="00873823"/>
    <w:rsid w:val="008740ED"/>
    <w:rsid w:val="008741E1"/>
    <w:rsid w:val="00874343"/>
    <w:rsid w:val="008746FA"/>
    <w:rsid w:val="00874B5B"/>
    <w:rsid w:val="00874C33"/>
    <w:rsid w:val="00874EB0"/>
    <w:rsid w:val="00875464"/>
    <w:rsid w:val="0087547C"/>
    <w:rsid w:val="0087574E"/>
    <w:rsid w:val="00875C2D"/>
    <w:rsid w:val="0087626B"/>
    <w:rsid w:val="008765DD"/>
    <w:rsid w:val="008776F0"/>
    <w:rsid w:val="008777C5"/>
    <w:rsid w:val="0087787D"/>
    <w:rsid w:val="00877D7B"/>
    <w:rsid w:val="00877F5A"/>
    <w:rsid w:val="0088007B"/>
    <w:rsid w:val="008803AB"/>
    <w:rsid w:val="0088042B"/>
    <w:rsid w:val="008806C8"/>
    <w:rsid w:val="00880BA9"/>
    <w:rsid w:val="0088129A"/>
    <w:rsid w:val="008814AD"/>
    <w:rsid w:val="008814EE"/>
    <w:rsid w:val="0088198A"/>
    <w:rsid w:val="00881BA3"/>
    <w:rsid w:val="00881F92"/>
    <w:rsid w:val="008827A0"/>
    <w:rsid w:val="008827B4"/>
    <w:rsid w:val="008828AA"/>
    <w:rsid w:val="008830D7"/>
    <w:rsid w:val="00883165"/>
    <w:rsid w:val="00883308"/>
    <w:rsid w:val="008834D5"/>
    <w:rsid w:val="008837F1"/>
    <w:rsid w:val="00883829"/>
    <w:rsid w:val="00883A78"/>
    <w:rsid w:val="00884271"/>
    <w:rsid w:val="0088447A"/>
    <w:rsid w:val="0088466E"/>
    <w:rsid w:val="008849B9"/>
    <w:rsid w:val="00884C23"/>
    <w:rsid w:val="00884DE1"/>
    <w:rsid w:val="00884F3A"/>
    <w:rsid w:val="00884FC1"/>
    <w:rsid w:val="0088572E"/>
    <w:rsid w:val="00885958"/>
    <w:rsid w:val="00885CE8"/>
    <w:rsid w:val="0088692D"/>
    <w:rsid w:val="00886DF2"/>
    <w:rsid w:val="00886EE0"/>
    <w:rsid w:val="00886F76"/>
    <w:rsid w:val="00887A28"/>
    <w:rsid w:val="00887B13"/>
    <w:rsid w:val="00887B37"/>
    <w:rsid w:val="00887C4C"/>
    <w:rsid w:val="00887FA0"/>
    <w:rsid w:val="0089041E"/>
    <w:rsid w:val="00890950"/>
    <w:rsid w:val="00890B22"/>
    <w:rsid w:val="00890BB0"/>
    <w:rsid w:val="00890D97"/>
    <w:rsid w:val="0089110F"/>
    <w:rsid w:val="008916B9"/>
    <w:rsid w:val="00891869"/>
    <w:rsid w:val="008921E4"/>
    <w:rsid w:val="0089257C"/>
    <w:rsid w:val="00892C28"/>
    <w:rsid w:val="00892FB3"/>
    <w:rsid w:val="008936DA"/>
    <w:rsid w:val="00893E25"/>
    <w:rsid w:val="00893EFC"/>
    <w:rsid w:val="008942CF"/>
    <w:rsid w:val="00894E12"/>
    <w:rsid w:val="00895456"/>
    <w:rsid w:val="0089560B"/>
    <w:rsid w:val="00895B5E"/>
    <w:rsid w:val="00895F0E"/>
    <w:rsid w:val="00896267"/>
    <w:rsid w:val="00896594"/>
    <w:rsid w:val="0089668D"/>
    <w:rsid w:val="00896E0C"/>
    <w:rsid w:val="00896E2C"/>
    <w:rsid w:val="0089704A"/>
    <w:rsid w:val="00897494"/>
    <w:rsid w:val="00897998"/>
    <w:rsid w:val="008A01B5"/>
    <w:rsid w:val="008A035D"/>
    <w:rsid w:val="008A0942"/>
    <w:rsid w:val="008A0E08"/>
    <w:rsid w:val="008A1297"/>
    <w:rsid w:val="008A14DA"/>
    <w:rsid w:val="008A14E6"/>
    <w:rsid w:val="008A1C56"/>
    <w:rsid w:val="008A1CED"/>
    <w:rsid w:val="008A2156"/>
    <w:rsid w:val="008A22DE"/>
    <w:rsid w:val="008A277E"/>
    <w:rsid w:val="008A282F"/>
    <w:rsid w:val="008A3750"/>
    <w:rsid w:val="008A3AF2"/>
    <w:rsid w:val="008A3BDA"/>
    <w:rsid w:val="008A42FF"/>
    <w:rsid w:val="008A4401"/>
    <w:rsid w:val="008A4865"/>
    <w:rsid w:val="008A49EB"/>
    <w:rsid w:val="008A58EB"/>
    <w:rsid w:val="008A5916"/>
    <w:rsid w:val="008A5A88"/>
    <w:rsid w:val="008A5ACC"/>
    <w:rsid w:val="008A5BAF"/>
    <w:rsid w:val="008A5DCE"/>
    <w:rsid w:val="008A6172"/>
    <w:rsid w:val="008A6970"/>
    <w:rsid w:val="008A6D5B"/>
    <w:rsid w:val="008A6DEA"/>
    <w:rsid w:val="008A6E60"/>
    <w:rsid w:val="008A6E9A"/>
    <w:rsid w:val="008A6F73"/>
    <w:rsid w:val="008A764C"/>
    <w:rsid w:val="008A78CB"/>
    <w:rsid w:val="008A78F0"/>
    <w:rsid w:val="008A7C5B"/>
    <w:rsid w:val="008B058D"/>
    <w:rsid w:val="008B0AF3"/>
    <w:rsid w:val="008B257E"/>
    <w:rsid w:val="008B29B0"/>
    <w:rsid w:val="008B2AC5"/>
    <w:rsid w:val="008B3C8A"/>
    <w:rsid w:val="008B3D7B"/>
    <w:rsid w:val="008B3FAC"/>
    <w:rsid w:val="008B409E"/>
    <w:rsid w:val="008B4888"/>
    <w:rsid w:val="008B4DF3"/>
    <w:rsid w:val="008B564B"/>
    <w:rsid w:val="008B591A"/>
    <w:rsid w:val="008B5D6B"/>
    <w:rsid w:val="008B5DC0"/>
    <w:rsid w:val="008B602B"/>
    <w:rsid w:val="008B6218"/>
    <w:rsid w:val="008B67DB"/>
    <w:rsid w:val="008B6A7F"/>
    <w:rsid w:val="008B6AE7"/>
    <w:rsid w:val="008B74A4"/>
    <w:rsid w:val="008B7840"/>
    <w:rsid w:val="008B7898"/>
    <w:rsid w:val="008B78E6"/>
    <w:rsid w:val="008B7AC8"/>
    <w:rsid w:val="008B7B0D"/>
    <w:rsid w:val="008B7B63"/>
    <w:rsid w:val="008C0387"/>
    <w:rsid w:val="008C0CD0"/>
    <w:rsid w:val="008C0D9E"/>
    <w:rsid w:val="008C171A"/>
    <w:rsid w:val="008C172C"/>
    <w:rsid w:val="008C1AF4"/>
    <w:rsid w:val="008C1C6E"/>
    <w:rsid w:val="008C1E91"/>
    <w:rsid w:val="008C2733"/>
    <w:rsid w:val="008C33E0"/>
    <w:rsid w:val="008C42DF"/>
    <w:rsid w:val="008C4668"/>
    <w:rsid w:val="008C499B"/>
    <w:rsid w:val="008C5232"/>
    <w:rsid w:val="008C5DC0"/>
    <w:rsid w:val="008C6144"/>
    <w:rsid w:val="008C6941"/>
    <w:rsid w:val="008C697D"/>
    <w:rsid w:val="008C6A20"/>
    <w:rsid w:val="008C6BE3"/>
    <w:rsid w:val="008C6C35"/>
    <w:rsid w:val="008C7C3F"/>
    <w:rsid w:val="008C7F68"/>
    <w:rsid w:val="008C7F77"/>
    <w:rsid w:val="008D10A2"/>
    <w:rsid w:val="008D1400"/>
    <w:rsid w:val="008D1658"/>
    <w:rsid w:val="008D16B0"/>
    <w:rsid w:val="008D1A2B"/>
    <w:rsid w:val="008D1A30"/>
    <w:rsid w:val="008D1ADC"/>
    <w:rsid w:val="008D1BAC"/>
    <w:rsid w:val="008D1C82"/>
    <w:rsid w:val="008D1DD3"/>
    <w:rsid w:val="008D2128"/>
    <w:rsid w:val="008D235D"/>
    <w:rsid w:val="008D237E"/>
    <w:rsid w:val="008D26F3"/>
    <w:rsid w:val="008D2A7E"/>
    <w:rsid w:val="008D3260"/>
    <w:rsid w:val="008D338B"/>
    <w:rsid w:val="008D3557"/>
    <w:rsid w:val="008D39C8"/>
    <w:rsid w:val="008D3A64"/>
    <w:rsid w:val="008D436E"/>
    <w:rsid w:val="008D46A0"/>
    <w:rsid w:val="008D4827"/>
    <w:rsid w:val="008D4A41"/>
    <w:rsid w:val="008D4B60"/>
    <w:rsid w:val="008D4BA1"/>
    <w:rsid w:val="008D4C06"/>
    <w:rsid w:val="008D4CE4"/>
    <w:rsid w:val="008D4D54"/>
    <w:rsid w:val="008D4E34"/>
    <w:rsid w:val="008D53FA"/>
    <w:rsid w:val="008D55D6"/>
    <w:rsid w:val="008D5B7D"/>
    <w:rsid w:val="008D6C63"/>
    <w:rsid w:val="008D6D7B"/>
    <w:rsid w:val="008D7075"/>
    <w:rsid w:val="008D723C"/>
    <w:rsid w:val="008D749D"/>
    <w:rsid w:val="008D7EC1"/>
    <w:rsid w:val="008E0148"/>
    <w:rsid w:val="008E018C"/>
    <w:rsid w:val="008E03DB"/>
    <w:rsid w:val="008E07EC"/>
    <w:rsid w:val="008E0982"/>
    <w:rsid w:val="008E09D5"/>
    <w:rsid w:val="008E10C1"/>
    <w:rsid w:val="008E13A8"/>
    <w:rsid w:val="008E1423"/>
    <w:rsid w:val="008E1AD0"/>
    <w:rsid w:val="008E2210"/>
    <w:rsid w:val="008E22FC"/>
    <w:rsid w:val="008E2438"/>
    <w:rsid w:val="008E28D6"/>
    <w:rsid w:val="008E2B1E"/>
    <w:rsid w:val="008E2F49"/>
    <w:rsid w:val="008E3081"/>
    <w:rsid w:val="008E31F2"/>
    <w:rsid w:val="008E34DD"/>
    <w:rsid w:val="008E39FA"/>
    <w:rsid w:val="008E3B98"/>
    <w:rsid w:val="008E3F37"/>
    <w:rsid w:val="008E4501"/>
    <w:rsid w:val="008E45B9"/>
    <w:rsid w:val="008E4871"/>
    <w:rsid w:val="008E4A3B"/>
    <w:rsid w:val="008E5301"/>
    <w:rsid w:val="008E5709"/>
    <w:rsid w:val="008E5760"/>
    <w:rsid w:val="008E5AB1"/>
    <w:rsid w:val="008E5F09"/>
    <w:rsid w:val="008E63F9"/>
    <w:rsid w:val="008E6ABF"/>
    <w:rsid w:val="008E6CD5"/>
    <w:rsid w:val="008E77ED"/>
    <w:rsid w:val="008E7975"/>
    <w:rsid w:val="008F072C"/>
    <w:rsid w:val="008F0D5C"/>
    <w:rsid w:val="008F1033"/>
    <w:rsid w:val="008F1406"/>
    <w:rsid w:val="008F20D6"/>
    <w:rsid w:val="008F213E"/>
    <w:rsid w:val="008F2992"/>
    <w:rsid w:val="008F2F0F"/>
    <w:rsid w:val="008F2F14"/>
    <w:rsid w:val="008F3A3C"/>
    <w:rsid w:val="008F3A41"/>
    <w:rsid w:val="008F3A64"/>
    <w:rsid w:val="008F42B5"/>
    <w:rsid w:val="008F4AAE"/>
    <w:rsid w:val="008F4B0C"/>
    <w:rsid w:val="008F4EA4"/>
    <w:rsid w:val="008F50CB"/>
    <w:rsid w:val="008F50E8"/>
    <w:rsid w:val="008F582C"/>
    <w:rsid w:val="008F5F18"/>
    <w:rsid w:val="008F60B0"/>
    <w:rsid w:val="008F67B2"/>
    <w:rsid w:val="008F6C96"/>
    <w:rsid w:val="008F6E6B"/>
    <w:rsid w:val="0090052A"/>
    <w:rsid w:val="00900540"/>
    <w:rsid w:val="00900A50"/>
    <w:rsid w:val="00900C6B"/>
    <w:rsid w:val="00900CF9"/>
    <w:rsid w:val="00901179"/>
    <w:rsid w:val="009012AC"/>
    <w:rsid w:val="00901351"/>
    <w:rsid w:val="00901432"/>
    <w:rsid w:val="00901463"/>
    <w:rsid w:val="009016C6"/>
    <w:rsid w:val="0090170A"/>
    <w:rsid w:val="00901748"/>
    <w:rsid w:val="00902149"/>
    <w:rsid w:val="00902653"/>
    <w:rsid w:val="0090285E"/>
    <w:rsid w:val="00902E11"/>
    <w:rsid w:val="0090303F"/>
    <w:rsid w:val="009036AB"/>
    <w:rsid w:val="00903C57"/>
    <w:rsid w:val="00903F85"/>
    <w:rsid w:val="00904D2A"/>
    <w:rsid w:val="00904DC5"/>
    <w:rsid w:val="00905116"/>
    <w:rsid w:val="0090558F"/>
    <w:rsid w:val="00905912"/>
    <w:rsid w:val="00905963"/>
    <w:rsid w:val="00905CC7"/>
    <w:rsid w:val="009066F5"/>
    <w:rsid w:val="0090689C"/>
    <w:rsid w:val="00906B52"/>
    <w:rsid w:val="00906B92"/>
    <w:rsid w:val="00906BE6"/>
    <w:rsid w:val="00906F3D"/>
    <w:rsid w:val="0090707D"/>
    <w:rsid w:val="00907564"/>
    <w:rsid w:val="00907FD1"/>
    <w:rsid w:val="009100E6"/>
    <w:rsid w:val="009102EF"/>
    <w:rsid w:val="00910597"/>
    <w:rsid w:val="009106E4"/>
    <w:rsid w:val="00910798"/>
    <w:rsid w:val="009107DD"/>
    <w:rsid w:val="00910ADA"/>
    <w:rsid w:val="00910C5F"/>
    <w:rsid w:val="00910E63"/>
    <w:rsid w:val="009116A9"/>
    <w:rsid w:val="0091180C"/>
    <w:rsid w:val="0091195A"/>
    <w:rsid w:val="00911C5C"/>
    <w:rsid w:val="00911C77"/>
    <w:rsid w:val="0091239E"/>
    <w:rsid w:val="009125ED"/>
    <w:rsid w:val="00912996"/>
    <w:rsid w:val="00912FCC"/>
    <w:rsid w:val="00913023"/>
    <w:rsid w:val="00913381"/>
    <w:rsid w:val="0091356F"/>
    <w:rsid w:val="00913DBA"/>
    <w:rsid w:val="00914698"/>
    <w:rsid w:val="00914B51"/>
    <w:rsid w:val="00914CE5"/>
    <w:rsid w:val="00915470"/>
    <w:rsid w:val="009156E3"/>
    <w:rsid w:val="00915862"/>
    <w:rsid w:val="00915B32"/>
    <w:rsid w:val="00916842"/>
    <w:rsid w:val="009168F9"/>
    <w:rsid w:val="00916985"/>
    <w:rsid w:val="00916DBA"/>
    <w:rsid w:val="009174C8"/>
    <w:rsid w:val="0091786B"/>
    <w:rsid w:val="00917988"/>
    <w:rsid w:val="00917C73"/>
    <w:rsid w:val="00917EF7"/>
    <w:rsid w:val="00920970"/>
    <w:rsid w:val="00920BD6"/>
    <w:rsid w:val="00920FF9"/>
    <w:rsid w:val="00921C37"/>
    <w:rsid w:val="00922163"/>
    <w:rsid w:val="009225B0"/>
    <w:rsid w:val="00922D00"/>
    <w:rsid w:val="009233A6"/>
    <w:rsid w:val="0092354E"/>
    <w:rsid w:val="00923EA7"/>
    <w:rsid w:val="00924D15"/>
    <w:rsid w:val="00925220"/>
    <w:rsid w:val="009253DE"/>
    <w:rsid w:val="009254AD"/>
    <w:rsid w:val="00925E28"/>
    <w:rsid w:val="009267EE"/>
    <w:rsid w:val="00926C72"/>
    <w:rsid w:val="00926C8F"/>
    <w:rsid w:val="00926D9F"/>
    <w:rsid w:val="00927315"/>
    <w:rsid w:val="00927579"/>
    <w:rsid w:val="009277FC"/>
    <w:rsid w:val="00927A70"/>
    <w:rsid w:val="009305CC"/>
    <w:rsid w:val="00930810"/>
    <w:rsid w:val="00930D6A"/>
    <w:rsid w:val="00930D78"/>
    <w:rsid w:val="00931046"/>
    <w:rsid w:val="009315BC"/>
    <w:rsid w:val="009315BE"/>
    <w:rsid w:val="0093163F"/>
    <w:rsid w:val="009316CD"/>
    <w:rsid w:val="00931802"/>
    <w:rsid w:val="0093181D"/>
    <w:rsid w:val="0093191A"/>
    <w:rsid w:val="00931BA2"/>
    <w:rsid w:val="00931E26"/>
    <w:rsid w:val="00931F73"/>
    <w:rsid w:val="00932082"/>
    <w:rsid w:val="0093212F"/>
    <w:rsid w:val="00932177"/>
    <w:rsid w:val="00932938"/>
    <w:rsid w:val="00932D35"/>
    <w:rsid w:val="009334DF"/>
    <w:rsid w:val="00933503"/>
    <w:rsid w:val="00933533"/>
    <w:rsid w:val="009336FC"/>
    <w:rsid w:val="009337A4"/>
    <w:rsid w:val="00933A61"/>
    <w:rsid w:val="00933D2C"/>
    <w:rsid w:val="00933DBC"/>
    <w:rsid w:val="0093417B"/>
    <w:rsid w:val="00934246"/>
    <w:rsid w:val="0093447A"/>
    <w:rsid w:val="0093501B"/>
    <w:rsid w:val="0093519E"/>
    <w:rsid w:val="00935C9F"/>
    <w:rsid w:val="00935E4D"/>
    <w:rsid w:val="0093607B"/>
    <w:rsid w:val="00936086"/>
    <w:rsid w:val="009361C9"/>
    <w:rsid w:val="0093678B"/>
    <w:rsid w:val="0094011D"/>
    <w:rsid w:val="009406A5"/>
    <w:rsid w:val="009406BF"/>
    <w:rsid w:val="00941042"/>
    <w:rsid w:val="00941185"/>
    <w:rsid w:val="00941DA7"/>
    <w:rsid w:val="00941DE5"/>
    <w:rsid w:val="00942213"/>
    <w:rsid w:val="00942596"/>
    <w:rsid w:val="00942603"/>
    <w:rsid w:val="00942B6A"/>
    <w:rsid w:val="0094322C"/>
    <w:rsid w:val="009432B1"/>
    <w:rsid w:val="00943BC4"/>
    <w:rsid w:val="00943D60"/>
    <w:rsid w:val="00943F82"/>
    <w:rsid w:val="0094426D"/>
    <w:rsid w:val="009444F3"/>
    <w:rsid w:val="0094498B"/>
    <w:rsid w:val="009453F5"/>
    <w:rsid w:val="0094547B"/>
    <w:rsid w:val="009455D2"/>
    <w:rsid w:val="00945673"/>
    <w:rsid w:val="00945850"/>
    <w:rsid w:val="00945F0D"/>
    <w:rsid w:val="00945FBF"/>
    <w:rsid w:val="0094614F"/>
    <w:rsid w:val="00946969"/>
    <w:rsid w:val="00946A6F"/>
    <w:rsid w:val="00946B1E"/>
    <w:rsid w:val="00946B44"/>
    <w:rsid w:val="009471B1"/>
    <w:rsid w:val="009472D6"/>
    <w:rsid w:val="0094746A"/>
    <w:rsid w:val="0094767E"/>
    <w:rsid w:val="00950006"/>
    <w:rsid w:val="009504AF"/>
    <w:rsid w:val="0095056A"/>
    <w:rsid w:val="009505CF"/>
    <w:rsid w:val="009508A1"/>
    <w:rsid w:val="009512DF"/>
    <w:rsid w:val="009513CB"/>
    <w:rsid w:val="0095147B"/>
    <w:rsid w:val="009515B0"/>
    <w:rsid w:val="00951903"/>
    <w:rsid w:val="00951DA9"/>
    <w:rsid w:val="00951EB2"/>
    <w:rsid w:val="00952806"/>
    <w:rsid w:val="00952850"/>
    <w:rsid w:val="009528C6"/>
    <w:rsid w:val="00952F16"/>
    <w:rsid w:val="00954113"/>
    <w:rsid w:val="00954177"/>
    <w:rsid w:val="009544A5"/>
    <w:rsid w:val="00954527"/>
    <w:rsid w:val="009546EC"/>
    <w:rsid w:val="00954CCB"/>
    <w:rsid w:val="00954D01"/>
    <w:rsid w:val="009550D9"/>
    <w:rsid w:val="0095544B"/>
    <w:rsid w:val="00955927"/>
    <w:rsid w:val="00955973"/>
    <w:rsid w:val="00955ED4"/>
    <w:rsid w:val="00955FCA"/>
    <w:rsid w:val="009568EF"/>
    <w:rsid w:val="00956A97"/>
    <w:rsid w:val="00956AF8"/>
    <w:rsid w:val="00956ED4"/>
    <w:rsid w:val="009571EA"/>
    <w:rsid w:val="009573C3"/>
    <w:rsid w:val="0095784E"/>
    <w:rsid w:val="00957C74"/>
    <w:rsid w:val="00957EE3"/>
    <w:rsid w:val="00957F7A"/>
    <w:rsid w:val="0096082E"/>
    <w:rsid w:val="00960917"/>
    <w:rsid w:val="00960940"/>
    <w:rsid w:val="00960A6E"/>
    <w:rsid w:val="0096104C"/>
    <w:rsid w:val="00961338"/>
    <w:rsid w:val="009621DB"/>
    <w:rsid w:val="00962238"/>
    <w:rsid w:val="0096224D"/>
    <w:rsid w:val="009626D4"/>
    <w:rsid w:val="0096285F"/>
    <w:rsid w:val="00962EFA"/>
    <w:rsid w:val="00963185"/>
    <w:rsid w:val="009631ED"/>
    <w:rsid w:val="00963205"/>
    <w:rsid w:val="0096332A"/>
    <w:rsid w:val="00963730"/>
    <w:rsid w:val="009639DD"/>
    <w:rsid w:val="00963E79"/>
    <w:rsid w:val="0096412E"/>
    <w:rsid w:val="00964362"/>
    <w:rsid w:val="00964BA0"/>
    <w:rsid w:val="009652F5"/>
    <w:rsid w:val="00965D95"/>
    <w:rsid w:val="00966776"/>
    <w:rsid w:val="009667B8"/>
    <w:rsid w:val="0096681A"/>
    <w:rsid w:val="009669E5"/>
    <w:rsid w:val="009674E2"/>
    <w:rsid w:val="009675D1"/>
    <w:rsid w:val="00967879"/>
    <w:rsid w:val="00967EE1"/>
    <w:rsid w:val="00967FFA"/>
    <w:rsid w:val="00970B73"/>
    <w:rsid w:val="00970B9E"/>
    <w:rsid w:val="00970F0D"/>
    <w:rsid w:val="0097124C"/>
    <w:rsid w:val="0097128E"/>
    <w:rsid w:val="00971CD0"/>
    <w:rsid w:val="00971F75"/>
    <w:rsid w:val="00972AAF"/>
    <w:rsid w:val="00972B4C"/>
    <w:rsid w:val="00972BC0"/>
    <w:rsid w:val="00973082"/>
    <w:rsid w:val="00973124"/>
    <w:rsid w:val="00973310"/>
    <w:rsid w:val="0097391E"/>
    <w:rsid w:val="00974018"/>
    <w:rsid w:val="00974095"/>
    <w:rsid w:val="00974E15"/>
    <w:rsid w:val="00975772"/>
    <w:rsid w:val="00975DBA"/>
    <w:rsid w:val="00975EED"/>
    <w:rsid w:val="00975EEF"/>
    <w:rsid w:val="0097636D"/>
    <w:rsid w:val="00976540"/>
    <w:rsid w:val="00976911"/>
    <w:rsid w:val="00976B93"/>
    <w:rsid w:val="00976D33"/>
    <w:rsid w:val="00977069"/>
    <w:rsid w:val="0097735D"/>
    <w:rsid w:val="00977805"/>
    <w:rsid w:val="00977C8E"/>
    <w:rsid w:val="00977FBC"/>
    <w:rsid w:val="0098003A"/>
    <w:rsid w:val="009802A9"/>
    <w:rsid w:val="0098073D"/>
    <w:rsid w:val="00980BA5"/>
    <w:rsid w:val="00980C8B"/>
    <w:rsid w:val="00980CE9"/>
    <w:rsid w:val="0098111F"/>
    <w:rsid w:val="009815FC"/>
    <w:rsid w:val="0098189D"/>
    <w:rsid w:val="00982785"/>
    <w:rsid w:val="00982EAF"/>
    <w:rsid w:val="009832F6"/>
    <w:rsid w:val="009837DB"/>
    <w:rsid w:val="00983993"/>
    <w:rsid w:val="00983DDA"/>
    <w:rsid w:val="0098477E"/>
    <w:rsid w:val="009848FD"/>
    <w:rsid w:val="00984925"/>
    <w:rsid w:val="009852ED"/>
    <w:rsid w:val="00985575"/>
    <w:rsid w:val="00985F97"/>
    <w:rsid w:val="00986959"/>
    <w:rsid w:val="00986DEC"/>
    <w:rsid w:val="00986FCD"/>
    <w:rsid w:val="00987217"/>
    <w:rsid w:val="0098727B"/>
    <w:rsid w:val="00987660"/>
    <w:rsid w:val="00987894"/>
    <w:rsid w:val="00987C2B"/>
    <w:rsid w:val="00990631"/>
    <w:rsid w:val="00990A11"/>
    <w:rsid w:val="00991667"/>
    <w:rsid w:val="0099196D"/>
    <w:rsid w:val="00992901"/>
    <w:rsid w:val="00992D24"/>
    <w:rsid w:val="009931BD"/>
    <w:rsid w:val="00993DB6"/>
    <w:rsid w:val="00993DFC"/>
    <w:rsid w:val="0099416D"/>
    <w:rsid w:val="009951BD"/>
    <w:rsid w:val="009955CF"/>
    <w:rsid w:val="009957CA"/>
    <w:rsid w:val="00995AFF"/>
    <w:rsid w:val="00995B2D"/>
    <w:rsid w:val="00995CDC"/>
    <w:rsid w:val="0099627C"/>
    <w:rsid w:val="00996295"/>
    <w:rsid w:val="009966CA"/>
    <w:rsid w:val="00996701"/>
    <w:rsid w:val="00996FB7"/>
    <w:rsid w:val="00997524"/>
    <w:rsid w:val="0099774D"/>
    <w:rsid w:val="009A03CA"/>
    <w:rsid w:val="009A05DC"/>
    <w:rsid w:val="009A05EA"/>
    <w:rsid w:val="009A1336"/>
    <w:rsid w:val="009A1351"/>
    <w:rsid w:val="009A1B3F"/>
    <w:rsid w:val="009A1E68"/>
    <w:rsid w:val="009A2112"/>
    <w:rsid w:val="009A2B03"/>
    <w:rsid w:val="009A3114"/>
    <w:rsid w:val="009A33DD"/>
    <w:rsid w:val="009A3624"/>
    <w:rsid w:val="009A3A15"/>
    <w:rsid w:val="009A3B1B"/>
    <w:rsid w:val="009A3B24"/>
    <w:rsid w:val="009A404D"/>
    <w:rsid w:val="009A40EB"/>
    <w:rsid w:val="009A4752"/>
    <w:rsid w:val="009A4954"/>
    <w:rsid w:val="009A49F5"/>
    <w:rsid w:val="009A55A5"/>
    <w:rsid w:val="009A5C29"/>
    <w:rsid w:val="009A612B"/>
    <w:rsid w:val="009A62DA"/>
    <w:rsid w:val="009A6354"/>
    <w:rsid w:val="009A64B7"/>
    <w:rsid w:val="009A6569"/>
    <w:rsid w:val="009A70FD"/>
    <w:rsid w:val="009A737A"/>
    <w:rsid w:val="009A7380"/>
    <w:rsid w:val="009A790A"/>
    <w:rsid w:val="009B0D8A"/>
    <w:rsid w:val="009B1124"/>
    <w:rsid w:val="009B1218"/>
    <w:rsid w:val="009B1577"/>
    <w:rsid w:val="009B1AD1"/>
    <w:rsid w:val="009B2315"/>
    <w:rsid w:val="009B26B3"/>
    <w:rsid w:val="009B2D4B"/>
    <w:rsid w:val="009B2DF7"/>
    <w:rsid w:val="009B2F3C"/>
    <w:rsid w:val="009B2F85"/>
    <w:rsid w:val="009B31E3"/>
    <w:rsid w:val="009B3268"/>
    <w:rsid w:val="009B3334"/>
    <w:rsid w:val="009B3949"/>
    <w:rsid w:val="009B4165"/>
    <w:rsid w:val="009B4190"/>
    <w:rsid w:val="009B4262"/>
    <w:rsid w:val="009B42E1"/>
    <w:rsid w:val="009B4602"/>
    <w:rsid w:val="009B4DA9"/>
    <w:rsid w:val="009B53A1"/>
    <w:rsid w:val="009B544F"/>
    <w:rsid w:val="009B570F"/>
    <w:rsid w:val="009B5805"/>
    <w:rsid w:val="009B5B42"/>
    <w:rsid w:val="009B6007"/>
    <w:rsid w:val="009B6370"/>
    <w:rsid w:val="009B66BB"/>
    <w:rsid w:val="009B6700"/>
    <w:rsid w:val="009B6DF6"/>
    <w:rsid w:val="009B6E84"/>
    <w:rsid w:val="009B6EDE"/>
    <w:rsid w:val="009B6FD3"/>
    <w:rsid w:val="009B799C"/>
    <w:rsid w:val="009B7C45"/>
    <w:rsid w:val="009B7F29"/>
    <w:rsid w:val="009B7FCA"/>
    <w:rsid w:val="009C0157"/>
    <w:rsid w:val="009C06CD"/>
    <w:rsid w:val="009C0D94"/>
    <w:rsid w:val="009C1AA3"/>
    <w:rsid w:val="009C3020"/>
    <w:rsid w:val="009C3515"/>
    <w:rsid w:val="009C3902"/>
    <w:rsid w:val="009C3BF0"/>
    <w:rsid w:val="009C3CED"/>
    <w:rsid w:val="009C3D2F"/>
    <w:rsid w:val="009C3D51"/>
    <w:rsid w:val="009C40D5"/>
    <w:rsid w:val="009C4518"/>
    <w:rsid w:val="009C4B3B"/>
    <w:rsid w:val="009C5036"/>
    <w:rsid w:val="009C52AB"/>
    <w:rsid w:val="009C52C9"/>
    <w:rsid w:val="009C5AA4"/>
    <w:rsid w:val="009C5E37"/>
    <w:rsid w:val="009C665E"/>
    <w:rsid w:val="009C679B"/>
    <w:rsid w:val="009C6BC6"/>
    <w:rsid w:val="009C6F81"/>
    <w:rsid w:val="009C7378"/>
    <w:rsid w:val="009C73AE"/>
    <w:rsid w:val="009C77D1"/>
    <w:rsid w:val="009C78A7"/>
    <w:rsid w:val="009C7912"/>
    <w:rsid w:val="009C7E1F"/>
    <w:rsid w:val="009C7F30"/>
    <w:rsid w:val="009D034A"/>
    <w:rsid w:val="009D0870"/>
    <w:rsid w:val="009D0F2F"/>
    <w:rsid w:val="009D1457"/>
    <w:rsid w:val="009D15EC"/>
    <w:rsid w:val="009D1634"/>
    <w:rsid w:val="009D1A2A"/>
    <w:rsid w:val="009D1BC1"/>
    <w:rsid w:val="009D1CD8"/>
    <w:rsid w:val="009D1F10"/>
    <w:rsid w:val="009D22D6"/>
    <w:rsid w:val="009D28D4"/>
    <w:rsid w:val="009D28F5"/>
    <w:rsid w:val="009D2D46"/>
    <w:rsid w:val="009D2DBA"/>
    <w:rsid w:val="009D3121"/>
    <w:rsid w:val="009D3530"/>
    <w:rsid w:val="009D35EA"/>
    <w:rsid w:val="009D3602"/>
    <w:rsid w:val="009D3BB5"/>
    <w:rsid w:val="009D3C0B"/>
    <w:rsid w:val="009D4559"/>
    <w:rsid w:val="009D4997"/>
    <w:rsid w:val="009D4C97"/>
    <w:rsid w:val="009D4D8D"/>
    <w:rsid w:val="009D4E68"/>
    <w:rsid w:val="009D5074"/>
    <w:rsid w:val="009D5238"/>
    <w:rsid w:val="009D52B3"/>
    <w:rsid w:val="009D52E8"/>
    <w:rsid w:val="009D5622"/>
    <w:rsid w:val="009D5977"/>
    <w:rsid w:val="009D59D4"/>
    <w:rsid w:val="009D59EF"/>
    <w:rsid w:val="009D6186"/>
    <w:rsid w:val="009D6196"/>
    <w:rsid w:val="009D6462"/>
    <w:rsid w:val="009D65A1"/>
    <w:rsid w:val="009D6E00"/>
    <w:rsid w:val="009D741A"/>
    <w:rsid w:val="009D793F"/>
    <w:rsid w:val="009D7E13"/>
    <w:rsid w:val="009E0078"/>
    <w:rsid w:val="009E01CC"/>
    <w:rsid w:val="009E159F"/>
    <w:rsid w:val="009E17F2"/>
    <w:rsid w:val="009E193F"/>
    <w:rsid w:val="009E1959"/>
    <w:rsid w:val="009E1C21"/>
    <w:rsid w:val="009E1F38"/>
    <w:rsid w:val="009E2043"/>
    <w:rsid w:val="009E2136"/>
    <w:rsid w:val="009E2273"/>
    <w:rsid w:val="009E28DC"/>
    <w:rsid w:val="009E2A61"/>
    <w:rsid w:val="009E3623"/>
    <w:rsid w:val="009E3774"/>
    <w:rsid w:val="009E3819"/>
    <w:rsid w:val="009E4223"/>
    <w:rsid w:val="009E43D6"/>
    <w:rsid w:val="009E4584"/>
    <w:rsid w:val="009E4DAD"/>
    <w:rsid w:val="009E5377"/>
    <w:rsid w:val="009E59AE"/>
    <w:rsid w:val="009E5BE8"/>
    <w:rsid w:val="009E5DD5"/>
    <w:rsid w:val="009E61A7"/>
    <w:rsid w:val="009E65D5"/>
    <w:rsid w:val="009E69A6"/>
    <w:rsid w:val="009E71D6"/>
    <w:rsid w:val="009E73A9"/>
    <w:rsid w:val="009E7794"/>
    <w:rsid w:val="009F0624"/>
    <w:rsid w:val="009F0A9B"/>
    <w:rsid w:val="009F0AC4"/>
    <w:rsid w:val="009F1227"/>
    <w:rsid w:val="009F125E"/>
    <w:rsid w:val="009F1339"/>
    <w:rsid w:val="009F1651"/>
    <w:rsid w:val="009F1BD9"/>
    <w:rsid w:val="009F1BEC"/>
    <w:rsid w:val="009F1F7A"/>
    <w:rsid w:val="009F2C53"/>
    <w:rsid w:val="009F30E5"/>
    <w:rsid w:val="009F310D"/>
    <w:rsid w:val="009F3626"/>
    <w:rsid w:val="009F4367"/>
    <w:rsid w:val="009F4545"/>
    <w:rsid w:val="009F483E"/>
    <w:rsid w:val="009F4961"/>
    <w:rsid w:val="009F521E"/>
    <w:rsid w:val="009F535B"/>
    <w:rsid w:val="009F53E7"/>
    <w:rsid w:val="009F5759"/>
    <w:rsid w:val="009F58CD"/>
    <w:rsid w:val="009F6239"/>
    <w:rsid w:val="009F6275"/>
    <w:rsid w:val="009F6B4C"/>
    <w:rsid w:val="009F6E7D"/>
    <w:rsid w:val="009F6ED6"/>
    <w:rsid w:val="009F7147"/>
    <w:rsid w:val="009F73A9"/>
    <w:rsid w:val="009F753A"/>
    <w:rsid w:val="009F7B8D"/>
    <w:rsid w:val="00A00474"/>
    <w:rsid w:val="00A007B9"/>
    <w:rsid w:val="00A00ABC"/>
    <w:rsid w:val="00A00AFB"/>
    <w:rsid w:val="00A00D99"/>
    <w:rsid w:val="00A01577"/>
    <w:rsid w:val="00A016D5"/>
    <w:rsid w:val="00A01963"/>
    <w:rsid w:val="00A019A7"/>
    <w:rsid w:val="00A01BD7"/>
    <w:rsid w:val="00A01BF6"/>
    <w:rsid w:val="00A01C35"/>
    <w:rsid w:val="00A0261C"/>
    <w:rsid w:val="00A02743"/>
    <w:rsid w:val="00A03510"/>
    <w:rsid w:val="00A03A8F"/>
    <w:rsid w:val="00A03CD9"/>
    <w:rsid w:val="00A03D17"/>
    <w:rsid w:val="00A03E9D"/>
    <w:rsid w:val="00A0440B"/>
    <w:rsid w:val="00A056E8"/>
    <w:rsid w:val="00A05C79"/>
    <w:rsid w:val="00A05DA2"/>
    <w:rsid w:val="00A05F74"/>
    <w:rsid w:val="00A06E1E"/>
    <w:rsid w:val="00A06F0A"/>
    <w:rsid w:val="00A0725A"/>
    <w:rsid w:val="00A073BF"/>
    <w:rsid w:val="00A07CE0"/>
    <w:rsid w:val="00A1052B"/>
    <w:rsid w:val="00A10679"/>
    <w:rsid w:val="00A1091B"/>
    <w:rsid w:val="00A10A72"/>
    <w:rsid w:val="00A10A8A"/>
    <w:rsid w:val="00A10CA4"/>
    <w:rsid w:val="00A10EC0"/>
    <w:rsid w:val="00A10F60"/>
    <w:rsid w:val="00A112B5"/>
    <w:rsid w:val="00A11414"/>
    <w:rsid w:val="00A114D0"/>
    <w:rsid w:val="00A123B5"/>
    <w:rsid w:val="00A126D0"/>
    <w:rsid w:val="00A132A9"/>
    <w:rsid w:val="00A132D2"/>
    <w:rsid w:val="00A1358E"/>
    <w:rsid w:val="00A136D2"/>
    <w:rsid w:val="00A1391B"/>
    <w:rsid w:val="00A13D4F"/>
    <w:rsid w:val="00A13D90"/>
    <w:rsid w:val="00A145A6"/>
    <w:rsid w:val="00A14A88"/>
    <w:rsid w:val="00A14AB0"/>
    <w:rsid w:val="00A153CC"/>
    <w:rsid w:val="00A154DB"/>
    <w:rsid w:val="00A15757"/>
    <w:rsid w:val="00A158F9"/>
    <w:rsid w:val="00A15DBB"/>
    <w:rsid w:val="00A15EAA"/>
    <w:rsid w:val="00A162A4"/>
    <w:rsid w:val="00A16798"/>
    <w:rsid w:val="00A16E96"/>
    <w:rsid w:val="00A17818"/>
    <w:rsid w:val="00A17834"/>
    <w:rsid w:val="00A17C01"/>
    <w:rsid w:val="00A17C8F"/>
    <w:rsid w:val="00A17F6C"/>
    <w:rsid w:val="00A17FF2"/>
    <w:rsid w:val="00A200F3"/>
    <w:rsid w:val="00A204BB"/>
    <w:rsid w:val="00A20661"/>
    <w:rsid w:val="00A20797"/>
    <w:rsid w:val="00A207F7"/>
    <w:rsid w:val="00A20860"/>
    <w:rsid w:val="00A20B3A"/>
    <w:rsid w:val="00A20EB6"/>
    <w:rsid w:val="00A212CE"/>
    <w:rsid w:val="00A21628"/>
    <w:rsid w:val="00A2164C"/>
    <w:rsid w:val="00A217D9"/>
    <w:rsid w:val="00A2186D"/>
    <w:rsid w:val="00A21E2E"/>
    <w:rsid w:val="00A222BC"/>
    <w:rsid w:val="00A2256D"/>
    <w:rsid w:val="00A22609"/>
    <w:rsid w:val="00A228F7"/>
    <w:rsid w:val="00A22B9B"/>
    <w:rsid w:val="00A23036"/>
    <w:rsid w:val="00A235A7"/>
    <w:rsid w:val="00A23ABA"/>
    <w:rsid w:val="00A23AC6"/>
    <w:rsid w:val="00A23D54"/>
    <w:rsid w:val="00A23E31"/>
    <w:rsid w:val="00A23E72"/>
    <w:rsid w:val="00A24AC7"/>
    <w:rsid w:val="00A24CC9"/>
    <w:rsid w:val="00A250F7"/>
    <w:rsid w:val="00A2547E"/>
    <w:rsid w:val="00A258F2"/>
    <w:rsid w:val="00A26382"/>
    <w:rsid w:val="00A2690F"/>
    <w:rsid w:val="00A26C67"/>
    <w:rsid w:val="00A270C6"/>
    <w:rsid w:val="00A27112"/>
    <w:rsid w:val="00A277F9"/>
    <w:rsid w:val="00A27E2C"/>
    <w:rsid w:val="00A27E95"/>
    <w:rsid w:val="00A304DF"/>
    <w:rsid w:val="00A30CD6"/>
    <w:rsid w:val="00A3101D"/>
    <w:rsid w:val="00A3181E"/>
    <w:rsid w:val="00A31BDB"/>
    <w:rsid w:val="00A31EDE"/>
    <w:rsid w:val="00A31F3B"/>
    <w:rsid w:val="00A31F66"/>
    <w:rsid w:val="00A324A0"/>
    <w:rsid w:val="00A32A56"/>
    <w:rsid w:val="00A332AE"/>
    <w:rsid w:val="00A332CF"/>
    <w:rsid w:val="00A335E5"/>
    <w:rsid w:val="00A33FE9"/>
    <w:rsid w:val="00A3401D"/>
    <w:rsid w:val="00A340A8"/>
    <w:rsid w:val="00A3410C"/>
    <w:rsid w:val="00A34155"/>
    <w:rsid w:val="00A3424C"/>
    <w:rsid w:val="00A346AF"/>
    <w:rsid w:val="00A350CD"/>
    <w:rsid w:val="00A3519E"/>
    <w:rsid w:val="00A35693"/>
    <w:rsid w:val="00A359DA"/>
    <w:rsid w:val="00A3614D"/>
    <w:rsid w:val="00A36F7C"/>
    <w:rsid w:val="00A3706A"/>
    <w:rsid w:val="00A37D41"/>
    <w:rsid w:val="00A40099"/>
    <w:rsid w:val="00A4017C"/>
    <w:rsid w:val="00A404A6"/>
    <w:rsid w:val="00A4082F"/>
    <w:rsid w:val="00A40BD3"/>
    <w:rsid w:val="00A40C08"/>
    <w:rsid w:val="00A40FAC"/>
    <w:rsid w:val="00A413E3"/>
    <w:rsid w:val="00A4165F"/>
    <w:rsid w:val="00A41D1F"/>
    <w:rsid w:val="00A41D32"/>
    <w:rsid w:val="00A41F25"/>
    <w:rsid w:val="00A42015"/>
    <w:rsid w:val="00A423E6"/>
    <w:rsid w:val="00A42B17"/>
    <w:rsid w:val="00A42BB1"/>
    <w:rsid w:val="00A42CF1"/>
    <w:rsid w:val="00A42D0F"/>
    <w:rsid w:val="00A43091"/>
    <w:rsid w:val="00A43951"/>
    <w:rsid w:val="00A43BD0"/>
    <w:rsid w:val="00A43E91"/>
    <w:rsid w:val="00A4453E"/>
    <w:rsid w:val="00A450CF"/>
    <w:rsid w:val="00A4528C"/>
    <w:rsid w:val="00A45ADE"/>
    <w:rsid w:val="00A46710"/>
    <w:rsid w:val="00A47250"/>
    <w:rsid w:val="00A47882"/>
    <w:rsid w:val="00A47960"/>
    <w:rsid w:val="00A47A5B"/>
    <w:rsid w:val="00A47D20"/>
    <w:rsid w:val="00A47EF1"/>
    <w:rsid w:val="00A500F1"/>
    <w:rsid w:val="00A50182"/>
    <w:rsid w:val="00A50745"/>
    <w:rsid w:val="00A5088B"/>
    <w:rsid w:val="00A50AF5"/>
    <w:rsid w:val="00A50D51"/>
    <w:rsid w:val="00A50DB1"/>
    <w:rsid w:val="00A51611"/>
    <w:rsid w:val="00A517A2"/>
    <w:rsid w:val="00A51D9E"/>
    <w:rsid w:val="00A51E97"/>
    <w:rsid w:val="00A52220"/>
    <w:rsid w:val="00A52BEE"/>
    <w:rsid w:val="00A52DC8"/>
    <w:rsid w:val="00A5307E"/>
    <w:rsid w:val="00A530EF"/>
    <w:rsid w:val="00A5322D"/>
    <w:rsid w:val="00A54084"/>
    <w:rsid w:val="00A540C2"/>
    <w:rsid w:val="00A54A31"/>
    <w:rsid w:val="00A554C6"/>
    <w:rsid w:val="00A5553F"/>
    <w:rsid w:val="00A55F2D"/>
    <w:rsid w:val="00A563AB"/>
    <w:rsid w:val="00A563B5"/>
    <w:rsid w:val="00A564E0"/>
    <w:rsid w:val="00A56F5D"/>
    <w:rsid w:val="00A57171"/>
    <w:rsid w:val="00A5721B"/>
    <w:rsid w:val="00A576F8"/>
    <w:rsid w:val="00A57EF0"/>
    <w:rsid w:val="00A57F26"/>
    <w:rsid w:val="00A60337"/>
    <w:rsid w:val="00A60494"/>
    <w:rsid w:val="00A60753"/>
    <w:rsid w:val="00A60E2D"/>
    <w:rsid w:val="00A6113B"/>
    <w:rsid w:val="00A61919"/>
    <w:rsid w:val="00A61F03"/>
    <w:rsid w:val="00A624F9"/>
    <w:rsid w:val="00A626A9"/>
    <w:rsid w:val="00A6290E"/>
    <w:rsid w:val="00A63234"/>
    <w:rsid w:val="00A63287"/>
    <w:rsid w:val="00A6329D"/>
    <w:rsid w:val="00A632CC"/>
    <w:rsid w:val="00A634E4"/>
    <w:rsid w:val="00A63622"/>
    <w:rsid w:val="00A637A5"/>
    <w:rsid w:val="00A639A8"/>
    <w:rsid w:val="00A63A4E"/>
    <w:rsid w:val="00A63EBA"/>
    <w:rsid w:val="00A64043"/>
    <w:rsid w:val="00A64AF5"/>
    <w:rsid w:val="00A6516E"/>
    <w:rsid w:val="00A653D4"/>
    <w:rsid w:val="00A656F4"/>
    <w:rsid w:val="00A657E7"/>
    <w:rsid w:val="00A65DBA"/>
    <w:rsid w:val="00A6666C"/>
    <w:rsid w:val="00A66E69"/>
    <w:rsid w:val="00A6715F"/>
    <w:rsid w:val="00A672C7"/>
    <w:rsid w:val="00A67568"/>
    <w:rsid w:val="00A676DF"/>
    <w:rsid w:val="00A67999"/>
    <w:rsid w:val="00A67A3F"/>
    <w:rsid w:val="00A67C85"/>
    <w:rsid w:val="00A67E83"/>
    <w:rsid w:val="00A70290"/>
    <w:rsid w:val="00A710D3"/>
    <w:rsid w:val="00A71227"/>
    <w:rsid w:val="00A714C8"/>
    <w:rsid w:val="00A71570"/>
    <w:rsid w:val="00A71DC4"/>
    <w:rsid w:val="00A7257C"/>
    <w:rsid w:val="00A729DC"/>
    <w:rsid w:val="00A729FB"/>
    <w:rsid w:val="00A72E13"/>
    <w:rsid w:val="00A72E1E"/>
    <w:rsid w:val="00A736FE"/>
    <w:rsid w:val="00A738A6"/>
    <w:rsid w:val="00A73943"/>
    <w:rsid w:val="00A73BD4"/>
    <w:rsid w:val="00A741AD"/>
    <w:rsid w:val="00A743F7"/>
    <w:rsid w:val="00A74712"/>
    <w:rsid w:val="00A74B07"/>
    <w:rsid w:val="00A74D9F"/>
    <w:rsid w:val="00A75295"/>
    <w:rsid w:val="00A75319"/>
    <w:rsid w:val="00A75443"/>
    <w:rsid w:val="00A758D2"/>
    <w:rsid w:val="00A759AC"/>
    <w:rsid w:val="00A75C0D"/>
    <w:rsid w:val="00A76111"/>
    <w:rsid w:val="00A7620C"/>
    <w:rsid w:val="00A76452"/>
    <w:rsid w:val="00A76E0D"/>
    <w:rsid w:val="00A76F07"/>
    <w:rsid w:val="00A76F41"/>
    <w:rsid w:val="00A76F81"/>
    <w:rsid w:val="00A77272"/>
    <w:rsid w:val="00A773E8"/>
    <w:rsid w:val="00A773F9"/>
    <w:rsid w:val="00A7762B"/>
    <w:rsid w:val="00A7781A"/>
    <w:rsid w:val="00A77EF5"/>
    <w:rsid w:val="00A8059C"/>
    <w:rsid w:val="00A80F89"/>
    <w:rsid w:val="00A81250"/>
    <w:rsid w:val="00A81273"/>
    <w:rsid w:val="00A81ABD"/>
    <w:rsid w:val="00A81CCF"/>
    <w:rsid w:val="00A821ED"/>
    <w:rsid w:val="00A82A15"/>
    <w:rsid w:val="00A82D06"/>
    <w:rsid w:val="00A82F55"/>
    <w:rsid w:val="00A82F7D"/>
    <w:rsid w:val="00A831CB"/>
    <w:rsid w:val="00A833DE"/>
    <w:rsid w:val="00A834A2"/>
    <w:rsid w:val="00A83DA2"/>
    <w:rsid w:val="00A83E06"/>
    <w:rsid w:val="00A83EF7"/>
    <w:rsid w:val="00A841FC"/>
    <w:rsid w:val="00A84432"/>
    <w:rsid w:val="00A847B6"/>
    <w:rsid w:val="00A84872"/>
    <w:rsid w:val="00A84A5D"/>
    <w:rsid w:val="00A84E73"/>
    <w:rsid w:val="00A84F7B"/>
    <w:rsid w:val="00A8525C"/>
    <w:rsid w:val="00A85265"/>
    <w:rsid w:val="00A853A2"/>
    <w:rsid w:val="00A8541E"/>
    <w:rsid w:val="00A855D5"/>
    <w:rsid w:val="00A8570B"/>
    <w:rsid w:val="00A8578D"/>
    <w:rsid w:val="00A85B49"/>
    <w:rsid w:val="00A85D05"/>
    <w:rsid w:val="00A86440"/>
    <w:rsid w:val="00A8660D"/>
    <w:rsid w:val="00A8690D"/>
    <w:rsid w:val="00A86B54"/>
    <w:rsid w:val="00A86BF3"/>
    <w:rsid w:val="00A86CF6"/>
    <w:rsid w:val="00A86EE9"/>
    <w:rsid w:val="00A8714C"/>
    <w:rsid w:val="00A8753B"/>
    <w:rsid w:val="00A877A2"/>
    <w:rsid w:val="00A87CAB"/>
    <w:rsid w:val="00A901BD"/>
    <w:rsid w:val="00A9041D"/>
    <w:rsid w:val="00A909C4"/>
    <w:rsid w:val="00A90A10"/>
    <w:rsid w:val="00A9110E"/>
    <w:rsid w:val="00A91D73"/>
    <w:rsid w:val="00A92559"/>
    <w:rsid w:val="00A928DD"/>
    <w:rsid w:val="00A92E80"/>
    <w:rsid w:val="00A930EF"/>
    <w:rsid w:val="00A9324E"/>
    <w:rsid w:val="00A94376"/>
    <w:rsid w:val="00A94391"/>
    <w:rsid w:val="00A94467"/>
    <w:rsid w:val="00A9474E"/>
    <w:rsid w:val="00A94C84"/>
    <w:rsid w:val="00A950E8"/>
    <w:rsid w:val="00A95386"/>
    <w:rsid w:val="00A95435"/>
    <w:rsid w:val="00A95A68"/>
    <w:rsid w:val="00A95B1A"/>
    <w:rsid w:val="00A95C7E"/>
    <w:rsid w:val="00A95FCA"/>
    <w:rsid w:val="00A960D9"/>
    <w:rsid w:val="00A969E7"/>
    <w:rsid w:val="00A96A2C"/>
    <w:rsid w:val="00A97DCB"/>
    <w:rsid w:val="00AA0037"/>
    <w:rsid w:val="00AA01BF"/>
    <w:rsid w:val="00AA04E7"/>
    <w:rsid w:val="00AA0782"/>
    <w:rsid w:val="00AA0BDD"/>
    <w:rsid w:val="00AA0D82"/>
    <w:rsid w:val="00AA18FA"/>
    <w:rsid w:val="00AA1E83"/>
    <w:rsid w:val="00AA2F6F"/>
    <w:rsid w:val="00AA324A"/>
    <w:rsid w:val="00AA32F1"/>
    <w:rsid w:val="00AA387B"/>
    <w:rsid w:val="00AA3B8A"/>
    <w:rsid w:val="00AA3F9A"/>
    <w:rsid w:val="00AA449F"/>
    <w:rsid w:val="00AA4B76"/>
    <w:rsid w:val="00AA4D08"/>
    <w:rsid w:val="00AA5001"/>
    <w:rsid w:val="00AA5369"/>
    <w:rsid w:val="00AA537A"/>
    <w:rsid w:val="00AA5437"/>
    <w:rsid w:val="00AA5FE8"/>
    <w:rsid w:val="00AA6BD8"/>
    <w:rsid w:val="00AA750D"/>
    <w:rsid w:val="00AA754E"/>
    <w:rsid w:val="00AA7EA7"/>
    <w:rsid w:val="00AB03F1"/>
    <w:rsid w:val="00AB06E1"/>
    <w:rsid w:val="00AB086F"/>
    <w:rsid w:val="00AB102E"/>
    <w:rsid w:val="00AB1125"/>
    <w:rsid w:val="00AB13E2"/>
    <w:rsid w:val="00AB174A"/>
    <w:rsid w:val="00AB1D70"/>
    <w:rsid w:val="00AB1E85"/>
    <w:rsid w:val="00AB1EA2"/>
    <w:rsid w:val="00AB1F86"/>
    <w:rsid w:val="00AB2C43"/>
    <w:rsid w:val="00AB37FD"/>
    <w:rsid w:val="00AB3F74"/>
    <w:rsid w:val="00AB41A1"/>
    <w:rsid w:val="00AB44E6"/>
    <w:rsid w:val="00AB455C"/>
    <w:rsid w:val="00AB45E8"/>
    <w:rsid w:val="00AB4DF1"/>
    <w:rsid w:val="00AB4F0E"/>
    <w:rsid w:val="00AB52EB"/>
    <w:rsid w:val="00AB53B3"/>
    <w:rsid w:val="00AB54D9"/>
    <w:rsid w:val="00AB558C"/>
    <w:rsid w:val="00AB5708"/>
    <w:rsid w:val="00AB599C"/>
    <w:rsid w:val="00AB5A40"/>
    <w:rsid w:val="00AB5B8E"/>
    <w:rsid w:val="00AB5D5B"/>
    <w:rsid w:val="00AB63F7"/>
    <w:rsid w:val="00AB69CE"/>
    <w:rsid w:val="00AB6A95"/>
    <w:rsid w:val="00AB6CF9"/>
    <w:rsid w:val="00AB73BE"/>
    <w:rsid w:val="00AB7517"/>
    <w:rsid w:val="00AB7A23"/>
    <w:rsid w:val="00AB7A7D"/>
    <w:rsid w:val="00AB7BB9"/>
    <w:rsid w:val="00AC003F"/>
    <w:rsid w:val="00AC09B4"/>
    <w:rsid w:val="00AC1145"/>
    <w:rsid w:val="00AC18EC"/>
    <w:rsid w:val="00AC1B27"/>
    <w:rsid w:val="00AC1D14"/>
    <w:rsid w:val="00AC1FDC"/>
    <w:rsid w:val="00AC2C10"/>
    <w:rsid w:val="00AC2D7F"/>
    <w:rsid w:val="00AC30C4"/>
    <w:rsid w:val="00AC336F"/>
    <w:rsid w:val="00AC346A"/>
    <w:rsid w:val="00AC372E"/>
    <w:rsid w:val="00AC37F9"/>
    <w:rsid w:val="00AC394B"/>
    <w:rsid w:val="00AC4349"/>
    <w:rsid w:val="00AC4888"/>
    <w:rsid w:val="00AC5014"/>
    <w:rsid w:val="00AC5861"/>
    <w:rsid w:val="00AC5A25"/>
    <w:rsid w:val="00AC60EA"/>
    <w:rsid w:val="00AC6EB4"/>
    <w:rsid w:val="00AC70F9"/>
    <w:rsid w:val="00AC7180"/>
    <w:rsid w:val="00AC7192"/>
    <w:rsid w:val="00AC7727"/>
    <w:rsid w:val="00AC7A5D"/>
    <w:rsid w:val="00AC7DF7"/>
    <w:rsid w:val="00AC7FF9"/>
    <w:rsid w:val="00AD038C"/>
    <w:rsid w:val="00AD0430"/>
    <w:rsid w:val="00AD0810"/>
    <w:rsid w:val="00AD081C"/>
    <w:rsid w:val="00AD0A08"/>
    <w:rsid w:val="00AD15C6"/>
    <w:rsid w:val="00AD17BF"/>
    <w:rsid w:val="00AD1A0A"/>
    <w:rsid w:val="00AD1BA0"/>
    <w:rsid w:val="00AD1D81"/>
    <w:rsid w:val="00AD2ABE"/>
    <w:rsid w:val="00AD2E92"/>
    <w:rsid w:val="00AD4011"/>
    <w:rsid w:val="00AD4110"/>
    <w:rsid w:val="00AD4317"/>
    <w:rsid w:val="00AD43D0"/>
    <w:rsid w:val="00AD4826"/>
    <w:rsid w:val="00AD4CF2"/>
    <w:rsid w:val="00AD529D"/>
    <w:rsid w:val="00AD562B"/>
    <w:rsid w:val="00AD5A91"/>
    <w:rsid w:val="00AD5E4F"/>
    <w:rsid w:val="00AD60B0"/>
    <w:rsid w:val="00AD6324"/>
    <w:rsid w:val="00AD686C"/>
    <w:rsid w:val="00AD699B"/>
    <w:rsid w:val="00AD6C4F"/>
    <w:rsid w:val="00AD7116"/>
    <w:rsid w:val="00AD74D3"/>
    <w:rsid w:val="00AD7AE4"/>
    <w:rsid w:val="00AD7CBF"/>
    <w:rsid w:val="00AE0083"/>
    <w:rsid w:val="00AE0444"/>
    <w:rsid w:val="00AE0B33"/>
    <w:rsid w:val="00AE0F02"/>
    <w:rsid w:val="00AE0FAE"/>
    <w:rsid w:val="00AE1817"/>
    <w:rsid w:val="00AE1DDA"/>
    <w:rsid w:val="00AE1F53"/>
    <w:rsid w:val="00AE210D"/>
    <w:rsid w:val="00AE227B"/>
    <w:rsid w:val="00AE235A"/>
    <w:rsid w:val="00AE23C8"/>
    <w:rsid w:val="00AE2A2B"/>
    <w:rsid w:val="00AE2F54"/>
    <w:rsid w:val="00AE3132"/>
    <w:rsid w:val="00AE3821"/>
    <w:rsid w:val="00AE389F"/>
    <w:rsid w:val="00AE3FE3"/>
    <w:rsid w:val="00AE407A"/>
    <w:rsid w:val="00AE41AE"/>
    <w:rsid w:val="00AE49DF"/>
    <w:rsid w:val="00AE4DA4"/>
    <w:rsid w:val="00AE4FC9"/>
    <w:rsid w:val="00AE53D0"/>
    <w:rsid w:val="00AE544C"/>
    <w:rsid w:val="00AE545E"/>
    <w:rsid w:val="00AE60AF"/>
    <w:rsid w:val="00AE60DC"/>
    <w:rsid w:val="00AE61D0"/>
    <w:rsid w:val="00AE643D"/>
    <w:rsid w:val="00AE679D"/>
    <w:rsid w:val="00AE6D28"/>
    <w:rsid w:val="00AE7314"/>
    <w:rsid w:val="00AE7506"/>
    <w:rsid w:val="00AE7CC8"/>
    <w:rsid w:val="00AE7CDA"/>
    <w:rsid w:val="00AF0591"/>
    <w:rsid w:val="00AF0754"/>
    <w:rsid w:val="00AF0CEB"/>
    <w:rsid w:val="00AF0EA4"/>
    <w:rsid w:val="00AF0F7C"/>
    <w:rsid w:val="00AF1158"/>
    <w:rsid w:val="00AF131E"/>
    <w:rsid w:val="00AF135E"/>
    <w:rsid w:val="00AF2476"/>
    <w:rsid w:val="00AF3093"/>
    <w:rsid w:val="00AF3233"/>
    <w:rsid w:val="00AF3456"/>
    <w:rsid w:val="00AF36A0"/>
    <w:rsid w:val="00AF384F"/>
    <w:rsid w:val="00AF3DBB"/>
    <w:rsid w:val="00AF3DF4"/>
    <w:rsid w:val="00AF3F45"/>
    <w:rsid w:val="00AF45F0"/>
    <w:rsid w:val="00AF4887"/>
    <w:rsid w:val="00AF4972"/>
    <w:rsid w:val="00AF49E2"/>
    <w:rsid w:val="00AF547E"/>
    <w:rsid w:val="00AF569E"/>
    <w:rsid w:val="00AF5B3F"/>
    <w:rsid w:val="00AF5D40"/>
    <w:rsid w:val="00AF613C"/>
    <w:rsid w:val="00AF6202"/>
    <w:rsid w:val="00AF65CE"/>
    <w:rsid w:val="00AF7333"/>
    <w:rsid w:val="00AF734B"/>
    <w:rsid w:val="00AF7A1F"/>
    <w:rsid w:val="00AF7B6E"/>
    <w:rsid w:val="00AF7E0F"/>
    <w:rsid w:val="00B000F3"/>
    <w:rsid w:val="00B008ED"/>
    <w:rsid w:val="00B00C50"/>
    <w:rsid w:val="00B00F04"/>
    <w:rsid w:val="00B015E2"/>
    <w:rsid w:val="00B01701"/>
    <w:rsid w:val="00B01BD1"/>
    <w:rsid w:val="00B01D39"/>
    <w:rsid w:val="00B01FC4"/>
    <w:rsid w:val="00B020E5"/>
    <w:rsid w:val="00B0276B"/>
    <w:rsid w:val="00B027DE"/>
    <w:rsid w:val="00B02CCC"/>
    <w:rsid w:val="00B02CD9"/>
    <w:rsid w:val="00B032ED"/>
    <w:rsid w:val="00B04ABA"/>
    <w:rsid w:val="00B04BA4"/>
    <w:rsid w:val="00B054BC"/>
    <w:rsid w:val="00B05615"/>
    <w:rsid w:val="00B05B20"/>
    <w:rsid w:val="00B05F4A"/>
    <w:rsid w:val="00B067F8"/>
    <w:rsid w:val="00B06806"/>
    <w:rsid w:val="00B06D59"/>
    <w:rsid w:val="00B071CC"/>
    <w:rsid w:val="00B07251"/>
    <w:rsid w:val="00B07254"/>
    <w:rsid w:val="00B0752A"/>
    <w:rsid w:val="00B079FF"/>
    <w:rsid w:val="00B10E70"/>
    <w:rsid w:val="00B11514"/>
    <w:rsid w:val="00B11581"/>
    <w:rsid w:val="00B115C0"/>
    <w:rsid w:val="00B115FF"/>
    <w:rsid w:val="00B11631"/>
    <w:rsid w:val="00B116FE"/>
    <w:rsid w:val="00B1189C"/>
    <w:rsid w:val="00B11B9C"/>
    <w:rsid w:val="00B11F69"/>
    <w:rsid w:val="00B12220"/>
    <w:rsid w:val="00B12266"/>
    <w:rsid w:val="00B12438"/>
    <w:rsid w:val="00B12530"/>
    <w:rsid w:val="00B125B6"/>
    <w:rsid w:val="00B12AD7"/>
    <w:rsid w:val="00B12E75"/>
    <w:rsid w:val="00B13540"/>
    <w:rsid w:val="00B135CE"/>
    <w:rsid w:val="00B136CA"/>
    <w:rsid w:val="00B1395E"/>
    <w:rsid w:val="00B13C47"/>
    <w:rsid w:val="00B13C5C"/>
    <w:rsid w:val="00B13CC8"/>
    <w:rsid w:val="00B13D1F"/>
    <w:rsid w:val="00B1409D"/>
    <w:rsid w:val="00B141FC"/>
    <w:rsid w:val="00B14265"/>
    <w:rsid w:val="00B142DC"/>
    <w:rsid w:val="00B1432D"/>
    <w:rsid w:val="00B149A5"/>
    <w:rsid w:val="00B14BDB"/>
    <w:rsid w:val="00B14DED"/>
    <w:rsid w:val="00B14EB1"/>
    <w:rsid w:val="00B15534"/>
    <w:rsid w:val="00B156E9"/>
    <w:rsid w:val="00B15C00"/>
    <w:rsid w:val="00B15C34"/>
    <w:rsid w:val="00B15E4F"/>
    <w:rsid w:val="00B165D0"/>
    <w:rsid w:val="00B16778"/>
    <w:rsid w:val="00B167B2"/>
    <w:rsid w:val="00B1720A"/>
    <w:rsid w:val="00B175AA"/>
    <w:rsid w:val="00B17713"/>
    <w:rsid w:val="00B17B85"/>
    <w:rsid w:val="00B17BD4"/>
    <w:rsid w:val="00B17D3B"/>
    <w:rsid w:val="00B20608"/>
    <w:rsid w:val="00B216A9"/>
    <w:rsid w:val="00B21915"/>
    <w:rsid w:val="00B2193D"/>
    <w:rsid w:val="00B21B0F"/>
    <w:rsid w:val="00B21B28"/>
    <w:rsid w:val="00B21E1C"/>
    <w:rsid w:val="00B21FF2"/>
    <w:rsid w:val="00B220FD"/>
    <w:rsid w:val="00B224E0"/>
    <w:rsid w:val="00B22B00"/>
    <w:rsid w:val="00B233AC"/>
    <w:rsid w:val="00B2356A"/>
    <w:rsid w:val="00B239D1"/>
    <w:rsid w:val="00B23B40"/>
    <w:rsid w:val="00B23EBA"/>
    <w:rsid w:val="00B23FBE"/>
    <w:rsid w:val="00B24111"/>
    <w:rsid w:val="00B2416F"/>
    <w:rsid w:val="00B24193"/>
    <w:rsid w:val="00B24686"/>
    <w:rsid w:val="00B248F4"/>
    <w:rsid w:val="00B24B57"/>
    <w:rsid w:val="00B25EF9"/>
    <w:rsid w:val="00B25F0A"/>
    <w:rsid w:val="00B261E1"/>
    <w:rsid w:val="00B262B1"/>
    <w:rsid w:val="00B2643B"/>
    <w:rsid w:val="00B2664E"/>
    <w:rsid w:val="00B267FC"/>
    <w:rsid w:val="00B26990"/>
    <w:rsid w:val="00B26AD7"/>
    <w:rsid w:val="00B271A1"/>
    <w:rsid w:val="00B272DA"/>
    <w:rsid w:val="00B2770D"/>
    <w:rsid w:val="00B27A92"/>
    <w:rsid w:val="00B30456"/>
    <w:rsid w:val="00B30976"/>
    <w:rsid w:val="00B30A9F"/>
    <w:rsid w:val="00B30BF9"/>
    <w:rsid w:val="00B30C39"/>
    <w:rsid w:val="00B30E3B"/>
    <w:rsid w:val="00B30E4E"/>
    <w:rsid w:val="00B31474"/>
    <w:rsid w:val="00B31AA1"/>
    <w:rsid w:val="00B32271"/>
    <w:rsid w:val="00B32541"/>
    <w:rsid w:val="00B32631"/>
    <w:rsid w:val="00B32890"/>
    <w:rsid w:val="00B32ADB"/>
    <w:rsid w:val="00B32ED5"/>
    <w:rsid w:val="00B330EE"/>
    <w:rsid w:val="00B3319D"/>
    <w:rsid w:val="00B33243"/>
    <w:rsid w:val="00B338EB"/>
    <w:rsid w:val="00B33FBB"/>
    <w:rsid w:val="00B340DA"/>
    <w:rsid w:val="00B3427F"/>
    <w:rsid w:val="00B34615"/>
    <w:rsid w:val="00B347BF"/>
    <w:rsid w:val="00B3528F"/>
    <w:rsid w:val="00B35445"/>
    <w:rsid w:val="00B357D5"/>
    <w:rsid w:val="00B35AE2"/>
    <w:rsid w:val="00B35BAB"/>
    <w:rsid w:val="00B35D3D"/>
    <w:rsid w:val="00B35D51"/>
    <w:rsid w:val="00B3604B"/>
    <w:rsid w:val="00B36154"/>
    <w:rsid w:val="00B36239"/>
    <w:rsid w:val="00B3634C"/>
    <w:rsid w:val="00B365FC"/>
    <w:rsid w:val="00B36685"/>
    <w:rsid w:val="00B36DD1"/>
    <w:rsid w:val="00B37036"/>
    <w:rsid w:val="00B3737E"/>
    <w:rsid w:val="00B37A29"/>
    <w:rsid w:val="00B4033F"/>
    <w:rsid w:val="00B4039B"/>
    <w:rsid w:val="00B40661"/>
    <w:rsid w:val="00B4079C"/>
    <w:rsid w:val="00B4079E"/>
    <w:rsid w:val="00B408CA"/>
    <w:rsid w:val="00B40AAA"/>
    <w:rsid w:val="00B40B3C"/>
    <w:rsid w:val="00B4195F"/>
    <w:rsid w:val="00B41B14"/>
    <w:rsid w:val="00B42847"/>
    <w:rsid w:val="00B428F3"/>
    <w:rsid w:val="00B42D54"/>
    <w:rsid w:val="00B4301B"/>
    <w:rsid w:val="00B43178"/>
    <w:rsid w:val="00B43548"/>
    <w:rsid w:val="00B43699"/>
    <w:rsid w:val="00B43AD1"/>
    <w:rsid w:val="00B440F1"/>
    <w:rsid w:val="00B4434B"/>
    <w:rsid w:val="00B44541"/>
    <w:rsid w:val="00B44B67"/>
    <w:rsid w:val="00B4527D"/>
    <w:rsid w:val="00B455DA"/>
    <w:rsid w:val="00B45A7E"/>
    <w:rsid w:val="00B45DFA"/>
    <w:rsid w:val="00B4635C"/>
    <w:rsid w:val="00B464F7"/>
    <w:rsid w:val="00B468EC"/>
    <w:rsid w:val="00B46DA1"/>
    <w:rsid w:val="00B46EBD"/>
    <w:rsid w:val="00B50558"/>
    <w:rsid w:val="00B50D78"/>
    <w:rsid w:val="00B50E02"/>
    <w:rsid w:val="00B50E31"/>
    <w:rsid w:val="00B50F12"/>
    <w:rsid w:val="00B50F8B"/>
    <w:rsid w:val="00B51024"/>
    <w:rsid w:val="00B51183"/>
    <w:rsid w:val="00B51284"/>
    <w:rsid w:val="00B51805"/>
    <w:rsid w:val="00B51D99"/>
    <w:rsid w:val="00B51DD2"/>
    <w:rsid w:val="00B51E5F"/>
    <w:rsid w:val="00B51F52"/>
    <w:rsid w:val="00B5251A"/>
    <w:rsid w:val="00B529EB"/>
    <w:rsid w:val="00B52C91"/>
    <w:rsid w:val="00B53319"/>
    <w:rsid w:val="00B53772"/>
    <w:rsid w:val="00B53A1B"/>
    <w:rsid w:val="00B53C7A"/>
    <w:rsid w:val="00B53E00"/>
    <w:rsid w:val="00B53E84"/>
    <w:rsid w:val="00B54741"/>
    <w:rsid w:val="00B54A89"/>
    <w:rsid w:val="00B54AE2"/>
    <w:rsid w:val="00B55AE3"/>
    <w:rsid w:val="00B55CF5"/>
    <w:rsid w:val="00B5606F"/>
    <w:rsid w:val="00B56458"/>
    <w:rsid w:val="00B571D2"/>
    <w:rsid w:val="00B577C9"/>
    <w:rsid w:val="00B60161"/>
    <w:rsid w:val="00B609F4"/>
    <w:rsid w:val="00B60BFF"/>
    <w:rsid w:val="00B60E85"/>
    <w:rsid w:val="00B61125"/>
    <w:rsid w:val="00B6122C"/>
    <w:rsid w:val="00B6163A"/>
    <w:rsid w:val="00B616D3"/>
    <w:rsid w:val="00B617BC"/>
    <w:rsid w:val="00B61AEB"/>
    <w:rsid w:val="00B61CD8"/>
    <w:rsid w:val="00B62988"/>
    <w:rsid w:val="00B62AE9"/>
    <w:rsid w:val="00B62C2F"/>
    <w:rsid w:val="00B62DC5"/>
    <w:rsid w:val="00B62ECD"/>
    <w:rsid w:val="00B636B1"/>
    <w:rsid w:val="00B637BF"/>
    <w:rsid w:val="00B64855"/>
    <w:rsid w:val="00B64ABB"/>
    <w:rsid w:val="00B64B6F"/>
    <w:rsid w:val="00B64D97"/>
    <w:rsid w:val="00B64F04"/>
    <w:rsid w:val="00B64F41"/>
    <w:rsid w:val="00B64FBF"/>
    <w:rsid w:val="00B654DE"/>
    <w:rsid w:val="00B65780"/>
    <w:rsid w:val="00B65D4A"/>
    <w:rsid w:val="00B65F15"/>
    <w:rsid w:val="00B6624F"/>
    <w:rsid w:val="00B6636D"/>
    <w:rsid w:val="00B66EA5"/>
    <w:rsid w:val="00B67095"/>
    <w:rsid w:val="00B67245"/>
    <w:rsid w:val="00B70B11"/>
    <w:rsid w:val="00B70E8C"/>
    <w:rsid w:val="00B71338"/>
    <w:rsid w:val="00B7166B"/>
    <w:rsid w:val="00B721AD"/>
    <w:rsid w:val="00B7289B"/>
    <w:rsid w:val="00B72FE1"/>
    <w:rsid w:val="00B73A51"/>
    <w:rsid w:val="00B73E4E"/>
    <w:rsid w:val="00B73E93"/>
    <w:rsid w:val="00B74163"/>
    <w:rsid w:val="00B747D2"/>
    <w:rsid w:val="00B74E25"/>
    <w:rsid w:val="00B754BF"/>
    <w:rsid w:val="00B7583A"/>
    <w:rsid w:val="00B75C37"/>
    <w:rsid w:val="00B75C84"/>
    <w:rsid w:val="00B76035"/>
    <w:rsid w:val="00B766A4"/>
    <w:rsid w:val="00B77BE4"/>
    <w:rsid w:val="00B77D65"/>
    <w:rsid w:val="00B77ECA"/>
    <w:rsid w:val="00B8018F"/>
    <w:rsid w:val="00B8096A"/>
    <w:rsid w:val="00B80A0D"/>
    <w:rsid w:val="00B80C58"/>
    <w:rsid w:val="00B811B3"/>
    <w:rsid w:val="00B813B9"/>
    <w:rsid w:val="00B8151C"/>
    <w:rsid w:val="00B8175D"/>
    <w:rsid w:val="00B819F9"/>
    <w:rsid w:val="00B81AB8"/>
    <w:rsid w:val="00B81E34"/>
    <w:rsid w:val="00B822BE"/>
    <w:rsid w:val="00B8258E"/>
    <w:rsid w:val="00B829FD"/>
    <w:rsid w:val="00B82C0B"/>
    <w:rsid w:val="00B82CD1"/>
    <w:rsid w:val="00B83120"/>
    <w:rsid w:val="00B83479"/>
    <w:rsid w:val="00B83A05"/>
    <w:rsid w:val="00B83A48"/>
    <w:rsid w:val="00B83E9D"/>
    <w:rsid w:val="00B84163"/>
    <w:rsid w:val="00B84226"/>
    <w:rsid w:val="00B84CB1"/>
    <w:rsid w:val="00B84D9F"/>
    <w:rsid w:val="00B85227"/>
    <w:rsid w:val="00B852A9"/>
    <w:rsid w:val="00B856CD"/>
    <w:rsid w:val="00B85837"/>
    <w:rsid w:val="00B85ACC"/>
    <w:rsid w:val="00B85D38"/>
    <w:rsid w:val="00B85E01"/>
    <w:rsid w:val="00B86011"/>
    <w:rsid w:val="00B86241"/>
    <w:rsid w:val="00B86951"/>
    <w:rsid w:val="00B86C05"/>
    <w:rsid w:val="00B878F0"/>
    <w:rsid w:val="00B87955"/>
    <w:rsid w:val="00B87D9B"/>
    <w:rsid w:val="00B90703"/>
    <w:rsid w:val="00B90DEB"/>
    <w:rsid w:val="00B90DFE"/>
    <w:rsid w:val="00B90E0B"/>
    <w:rsid w:val="00B913E5"/>
    <w:rsid w:val="00B91F39"/>
    <w:rsid w:val="00B92058"/>
    <w:rsid w:val="00B92387"/>
    <w:rsid w:val="00B92E4B"/>
    <w:rsid w:val="00B93273"/>
    <w:rsid w:val="00B9335E"/>
    <w:rsid w:val="00B93892"/>
    <w:rsid w:val="00B94051"/>
    <w:rsid w:val="00B94261"/>
    <w:rsid w:val="00B946BE"/>
    <w:rsid w:val="00B94B03"/>
    <w:rsid w:val="00B94B55"/>
    <w:rsid w:val="00B94E73"/>
    <w:rsid w:val="00B94FF0"/>
    <w:rsid w:val="00B950FA"/>
    <w:rsid w:val="00B951A5"/>
    <w:rsid w:val="00B95468"/>
    <w:rsid w:val="00B9590C"/>
    <w:rsid w:val="00B95A2C"/>
    <w:rsid w:val="00B961EC"/>
    <w:rsid w:val="00B9630A"/>
    <w:rsid w:val="00B96C07"/>
    <w:rsid w:val="00B974CA"/>
    <w:rsid w:val="00B97781"/>
    <w:rsid w:val="00B97E63"/>
    <w:rsid w:val="00BA034D"/>
    <w:rsid w:val="00BA0478"/>
    <w:rsid w:val="00BA081F"/>
    <w:rsid w:val="00BA0B1B"/>
    <w:rsid w:val="00BA0E45"/>
    <w:rsid w:val="00BA15C7"/>
    <w:rsid w:val="00BA18C5"/>
    <w:rsid w:val="00BA1923"/>
    <w:rsid w:val="00BA19E0"/>
    <w:rsid w:val="00BA1E68"/>
    <w:rsid w:val="00BA22BE"/>
    <w:rsid w:val="00BA2455"/>
    <w:rsid w:val="00BA26D3"/>
    <w:rsid w:val="00BA28F9"/>
    <w:rsid w:val="00BA29F0"/>
    <w:rsid w:val="00BA2A28"/>
    <w:rsid w:val="00BA310D"/>
    <w:rsid w:val="00BA32B7"/>
    <w:rsid w:val="00BA33BB"/>
    <w:rsid w:val="00BA3874"/>
    <w:rsid w:val="00BA3D37"/>
    <w:rsid w:val="00BA3D91"/>
    <w:rsid w:val="00BA43BA"/>
    <w:rsid w:val="00BA4BB4"/>
    <w:rsid w:val="00BA5012"/>
    <w:rsid w:val="00BA55A1"/>
    <w:rsid w:val="00BA5B69"/>
    <w:rsid w:val="00BA5BD1"/>
    <w:rsid w:val="00BA6183"/>
    <w:rsid w:val="00BA6187"/>
    <w:rsid w:val="00BA6485"/>
    <w:rsid w:val="00BA653E"/>
    <w:rsid w:val="00BA6543"/>
    <w:rsid w:val="00BA6718"/>
    <w:rsid w:val="00BA698A"/>
    <w:rsid w:val="00BB0A6C"/>
    <w:rsid w:val="00BB0B1E"/>
    <w:rsid w:val="00BB0F6D"/>
    <w:rsid w:val="00BB0FF2"/>
    <w:rsid w:val="00BB1A7C"/>
    <w:rsid w:val="00BB1D45"/>
    <w:rsid w:val="00BB1EA4"/>
    <w:rsid w:val="00BB2267"/>
    <w:rsid w:val="00BB247F"/>
    <w:rsid w:val="00BB3461"/>
    <w:rsid w:val="00BB3462"/>
    <w:rsid w:val="00BB3616"/>
    <w:rsid w:val="00BB3705"/>
    <w:rsid w:val="00BB3784"/>
    <w:rsid w:val="00BB3918"/>
    <w:rsid w:val="00BB3F4C"/>
    <w:rsid w:val="00BB452F"/>
    <w:rsid w:val="00BB4A56"/>
    <w:rsid w:val="00BB6046"/>
    <w:rsid w:val="00BB6392"/>
    <w:rsid w:val="00BB673D"/>
    <w:rsid w:val="00BB698A"/>
    <w:rsid w:val="00BB6C05"/>
    <w:rsid w:val="00BB6E19"/>
    <w:rsid w:val="00BB722B"/>
    <w:rsid w:val="00BB765D"/>
    <w:rsid w:val="00BB78D3"/>
    <w:rsid w:val="00BB7ADF"/>
    <w:rsid w:val="00BB7E43"/>
    <w:rsid w:val="00BC0144"/>
    <w:rsid w:val="00BC026A"/>
    <w:rsid w:val="00BC030B"/>
    <w:rsid w:val="00BC05D5"/>
    <w:rsid w:val="00BC07E7"/>
    <w:rsid w:val="00BC0B3E"/>
    <w:rsid w:val="00BC0B6B"/>
    <w:rsid w:val="00BC0C2F"/>
    <w:rsid w:val="00BC0FF7"/>
    <w:rsid w:val="00BC1255"/>
    <w:rsid w:val="00BC198D"/>
    <w:rsid w:val="00BC19A7"/>
    <w:rsid w:val="00BC19DA"/>
    <w:rsid w:val="00BC1EF3"/>
    <w:rsid w:val="00BC1F3E"/>
    <w:rsid w:val="00BC26D7"/>
    <w:rsid w:val="00BC27A8"/>
    <w:rsid w:val="00BC2948"/>
    <w:rsid w:val="00BC299B"/>
    <w:rsid w:val="00BC34BE"/>
    <w:rsid w:val="00BC35AC"/>
    <w:rsid w:val="00BC36C0"/>
    <w:rsid w:val="00BC38FF"/>
    <w:rsid w:val="00BC3B71"/>
    <w:rsid w:val="00BC3CC5"/>
    <w:rsid w:val="00BC3CCA"/>
    <w:rsid w:val="00BC3CE0"/>
    <w:rsid w:val="00BC3CED"/>
    <w:rsid w:val="00BC3FCF"/>
    <w:rsid w:val="00BC45C3"/>
    <w:rsid w:val="00BC463C"/>
    <w:rsid w:val="00BC4780"/>
    <w:rsid w:val="00BC4BA7"/>
    <w:rsid w:val="00BC4BDB"/>
    <w:rsid w:val="00BC50C0"/>
    <w:rsid w:val="00BC5A20"/>
    <w:rsid w:val="00BC5FD0"/>
    <w:rsid w:val="00BC68CC"/>
    <w:rsid w:val="00BC6B23"/>
    <w:rsid w:val="00BC7164"/>
    <w:rsid w:val="00BC728C"/>
    <w:rsid w:val="00BC73CE"/>
    <w:rsid w:val="00BC746B"/>
    <w:rsid w:val="00BC74D1"/>
    <w:rsid w:val="00BC7C54"/>
    <w:rsid w:val="00BC7F59"/>
    <w:rsid w:val="00BC7FF3"/>
    <w:rsid w:val="00BD01A1"/>
    <w:rsid w:val="00BD01E1"/>
    <w:rsid w:val="00BD0285"/>
    <w:rsid w:val="00BD06BF"/>
    <w:rsid w:val="00BD0FD2"/>
    <w:rsid w:val="00BD1145"/>
    <w:rsid w:val="00BD1ADF"/>
    <w:rsid w:val="00BD1BE6"/>
    <w:rsid w:val="00BD1CE4"/>
    <w:rsid w:val="00BD1DE4"/>
    <w:rsid w:val="00BD2609"/>
    <w:rsid w:val="00BD2F75"/>
    <w:rsid w:val="00BD3328"/>
    <w:rsid w:val="00BD34EE"/>
    <w:rsid w:val="00BD3841"/>
    <w:rsid w:val="00BD3924"/>
    <w:rsid w:val="00BD3CB2"/>
    <w:rsid w:val="00BD40F6"/>
    <w:rsid w:val="00BD4502"/>
    <w:rsid w:val="00BD48A8"/>
    <w:rsid w:val="00BD4D95"/>
    <w:rsid w:val="00BD4DCD"/>
    <w:rsid w:val="00BD4FEB"/>
    <w:rsid w:val="00BD50EA"/>
    <w:rsid w:val="00BD50EC"/>
    <w:rsid w:val="00BD58C1"/>
    <w:rsid w:val="00BD58CA"/>
    <w:rsid w:val="00BD59D8"/>
    <w:rsid w:val="00BD59E1"/>
    <w:rsid w:val="00BD5CDC"/>
    <w:rsid w:val="00BD5FBF"/>
    <w:rsid w:val="00BD6947"/>
    <w:rsid w:val="00BD6BC5"/>
    <w:rsid w:val="00BD6CA5"/>
    <w:rsid w:val="00BD6E74"/>
    <w:rsid w:val="00BD702B"/>
    <w:rsid w:val="00BD79F2"/>
    <w:rsid w:val="00BE005B"/>
    <w:rsid w:val="00BE0442"/>
    <w:rsid w:val="00BE095C"/>
    <w:rsid w:val="00BE09B7"/>
    <w:rsid w:val="00BE0DE2"/>
    <w:rsid w:val="00BE115A"/>
    <w:rsid w:val="00BE166E"/>
    <w:rsid w:val="00BE19A0"/>
    <w:rsid w:val="00BE1A10"/>
    <w:rsid w:val="00BE2317"/>
    <w:rsid w:val="00BE283E"/>
    <w:rsid w:val="00BE2DDD"/>
    <w:rsid w:val="00BE2E38"/>
    <w:rsid w:val="00BE3164"/>
    <w:rsid w:val="00BE40FB"/>
    <w:rsid w:val="00BE46CB"/>
    <w:rsid w:val="00BE4829"/>
    <w:rsid w:val="00BE4BBE"/>
    <w:rsid w:val="00BE4C29"/>
    <w:rsid w:val="00BE4C4E"/>
    <w:rsid w:val="00BE5BED"/>
    <w:rsid w:val="00BE5EF7"/>
    <w:rsid w:val="00BE6175"/>
    <w:rsid w:val="00BE61EA"/>
    <w:rsid w:val="00BE6413"/>
    <w:rsid w:val="00BE688F"/>
    <w:rsid w:val="00BE6C24"/>
    <w:rsid w:val="00BE6C77"/>
    <w:rsid w:val="00BE6DF7"/>
    <w:rsid w:val="00BE6E45"/>
    <w:rsid w:val="00BE71A5"/>
    <w:rsid w:val="00BE734E"/>
    <w:rsid w:val="00BE769E"/>
    <w:rsid w:val="00BF0366"/>
    <w:rsid w:val="00BF0D5C"/>
    <w:rsid w:val="00BF0EA5"/>
    <w:rsid w:val="00BF1011"/>
    <w:rsid w:val="00BF120B"/>
    <w:rsid w:val="00BF1757"/>
    <w:rsid w:val="00BF1CD1"/>
    <w:rsid w:val="00BF1F21"/>
    <w:rsid w:val="00BF2435"/>
    <w:rsid w:val="00BF2CFB"/>
    <w:rsid w:val="00BF31D2"/>
    <w:rsid w:val="00BF320B"/>
    <w:rsid w:val="00BF34F0"/>
    <w:rsid w:val="00BF352E"/>
    <w:rsid w:val="00BF36A6"/>
    <w:rsid w:val="00BF3E97"/>
    <w:rsid w:val="00BF4511"/>
    <w:rsid w:val="00BF4574"/>
    <w:rsid w:val="00BF465E"/>
    <w:rsid w:val="00BF4811"/>
    <w:rsid w:val="00BF4EAC"/>
    <w:rsid w:val="00BF53F6"/>
    <w:rsid w:val="00BF546D"/>
    <w:rsid w:val="00BF55CF"/>
    <w:rsid w:val="00BF58D1"/>
    <w:rsid w:val="00BF5930"/>
    <w:rsid w:val="00BF59E3"/>
    <w:rsid w:val="00BF6485"/>
    <w:rsid w:val="00BF6498"/>
    <w:rsid w:val="00BF67EA"/>
    <w:rsid w:val="00BF6E69"/>
    <w:rsid w:val="00BF719B"/>
    <w:rsid w:val="00BF72D4"/>
    <w:rsid w:val="00BF7530"/>
    <w:rsid w:val="00BF78A6"/>
    <w:rsid w:val="00BF7A79"/>
    <w:rsid w:val="00C006B3"/>
    <w:rsid w:val="00C00935"/>
    <w:rsid w:val="00C00F67"/>
    <w:rsid w:val="00C013A1"/>
    <w:rsid w:val="00C013CC"/>
    <w:rsid w:val="00C0146E"/>
    <w:rsid w:val="00C01EDC"/>
    <w:rsid w:val="00C021B5"/>
    <w:rsid w:val="00C025B8"/>
    <w:rsid w:val="00C0272A"/>
    <w:rsid w:val="00C02C53"/>
    <w:rsid w:val="00C02E89"/>
    <w:rsid w:val="00C02E8A"/>
    <w:rsid w:val="00C02F5A"/>
    <w:rsid w:val="00C030C4"/>
    <w:rsid w:val="00C04ED8"/>
    <w:rsid w:val="00C050F3"/>
    <w:rsid w:val="00C052D7"/>
    <w:rsid w:val="00C05326"/>
    <w:rsid w:val="00C05B4B"/>
    <w:rsid w:val="00C05EDA"/>
    <w:rsid w:val="00C06197"/>
    <w:rsid w:val="00C062A9"/>
    <w:rsid w:val="00C06EF4"/>
    <w:rsid w:val="00C070C3"/>
    <w:rsid w:val="00C077D3"/>
    <w:rsid w:val="00C07916"/>
    <w:rsid w:val="00C0799A"/>
    <w:rsid w:val="00C07C3D"/>
    <w:rsid w:val="00C07C3E"/>
    <w:rsid w:val="00C101DB"/>
    <w:rsid w:val="00C10604"/>
    <w:rsid w:val="00C10947"/>
    <w:rsid w:val="00C10959"/>
    <w:rsid w:val="00C10F92"/>
    <w:rsid w:val="00C11307"/>
    <w:rsid w:val="00C113B8"/>
    <w:rsid w:val="00C113C4"/>
    <w:rsid w:val="00C11639"/>
    <w:rsid w:val="00C11711"/>
    <w:rsid w:val="00C11851"/>
    <w:rsid w:val="00C11918"/>
    <w:rsid w:val="00C11F64"/>
    <w:rsid w:val="00C11F92"/>
    <w:rsid w:val="00C1291D"/>
    <w:rsid w:val="00C129C4"/>
    <w:rsid w:val="00C12F33"/>
    <w:rsid w:val="00C12FE0"/>
    <w:rsid w:val="00C13280"/>
    <w:rsid w:val="00C132D6"/>
    <w:rsid w:val="00C13626"/>
    <w:rsid w:val="00C13751"/>
    <w:rsid w:val="00C137C1"/>
    <w:rsid w:val="00C138F9"/>
    <w:rsid w:val="00C13935"/>
    <w:rsid w:val="00C13B68"/>
    <w:rsid w:val="00C13BD7"/>
    <w:rsid w:val="00C13F1A"/>
    <w:rsid w:val="00C1443F"/>
    <w:rsid w:val="00C14A59"/>
    <w:rsid w:val="00C156A1"/>
    <w:rsid w:val="00C15EE5"/>
    <w:rsid w:val="00C160A3"/>
    <w:rsid w:val="00C162E8"/>
    <w:rsid w:val="00C163EC"/>
    <w:rsid w:val="00C16B68"/>
    <w:rsid w:val="00C16D38"/>
    <w:rsid w:val="00C16F26"/>
    <w:rsid w:val="00C17240"/>
    <w:rsid w:val="00C173F7"/>
    <w:rsid w:val="00C17BCA"/>
    <w:rsid w:val="00C204AA"/>
    <w:rsid w:val="00C2061E"/>
    <w:rsid w:val="00C20784"/>
    <w:rsid w:val="00C20C8D"/>
    <w:rsid w:val="00C20D4D"/>
    <w:rsid w:val="00C2125D"/>
    <w:rsid w:val="00C21571"/>
    <w:rsid w:val="00C21581"/>
    <w:rsid w:val="00C215A1"/>
    <w:rsid w:val="00C21C32"/>
    <w:rsid w:val="00C21CEF"/>
    <w:rsid w:val="00C22273"/>
    <w:rsid w:val="00C225B8"/>
    <w:rsid w:val="00C22616"/>
    <w:rsid w:val="00C229F8"/>
    <w:rsid w:val="00C22B83"/>
    <w:rsid w:val="00C22D3B"/>
    <w:rsid w:val="00C23340"/>
    <w:rsid w:val="00C2342A"/>
    <w:rsid w:val="00C23467"/>
    <w:rsid w:val="00C2367A"/>
    <w:rsid w:val="00C23939"/>
    <w:rsid w:val="00C23A5B"/>
    <w:rsid w:val="00C23DFD"/>
    <w:rsid w:val="00C23E75"/>
    <w:rsid w:val="00C241B1"/>
    <w:rsid w:val="00C24537"/>
    <w:rsid w:val="00C24696"/>
    <w:rsid w:val="00C249F3"/>
    <w:rsid w:val="00C24A66"/>
    <w:rsid w:val="00C24AF4"/>
    <w:rsid w:val="00C24B66"/>
    <w:rsid w:val="00C2505E"/>
    <w:rsid w:val="00C25228"/>
    <w:rsid w:val="00C2570C"/>
    <w:rsid w:val="00C25A36"/>
    <w:rsid w:val="00C26162"/>
    <w:rsid w:val="00C2620F"/>
    <w:rsid w:val="00C26797"/>
    <w:rsid w:val="00C2694E"/>
    <w:rsid w:val="00C26D53"/>
    <w:rsid w:val="00C2702C"/>
    <w:rsid w:val="00C275DD"/>
    <w:rsid w:val="00C27637"/>
    <w:rsid w:val="00C276D6"/>
    <w:rsid w:val="00C27D6F"/>
    <w:rsid w:val="00C306CA"/>
    <w:rsid w:val="00C3150F"/>
    <w:rsid w:val="00C3185F"/>
    <w:rsid w:val="00C31E26"/>
    <w:rsid w:val="00C32C4A"/>
    <w:rsid w:val="00C33241"/>
    <w:rsid w:val="00C3326D"/>
    <w:rsid w:val="00C3337C"/>
    <w:rsid w:val="00C3352B"/>
    <w:rsid w:val="00C338A5"/>
    <w:rsid w:val="00C3427E"/>
    <w:rsid w:val="00C34945"/>
    <w:rsid w:val="00C34E4B"/>
    <w:rsid w:val="00C3518E"/>
    <w:rsid w:val="00C35AF5"/>
    <w:rsid w:val="00C35C50"/>
    <w:rsid w:val="00C35DA3"/>
    <w:rsid w:val="00C35FF8"/>
    <w:rsid w:val="00C36109"/>
    <w:rsid w:val="00C363B4"/>
    <w:rsid w:val="00C366B6"/>
    <w:rsid w:val="00C368F8"/>
    <w:rsid w:val="00C374E1"/>
    <w:rsid w:val="00C375B2"/>
    <w:rsid w:val="00C375C8"/>
    <w:rsid w:val="00C378EF"/>
    <w:rsid w:val="00C37EE6"/>
    <w:rsid w:val="00C40272"/>
    <w:rsid w:val="00C4051D"/>
    <w:rsid w:val="00C40B78"/>
    <w:rsid w:val="00C40ECC"/>
    <w:rsid w:val="00C40F8B"/>
    <w:rsid w:val="00C415D4"/>
    <w:rsid w:val="00C4175D"/>
    <w:rsid w:val="00C41DE3"/>
    <w:rsid w:val="00C42010"/>
    <w:rsid w:val="00C4295F"/>
    <w:rsid w:val="00C43285"/>
    <w:rsid w:val="00C434E3"/>
    <w:rsid w:val="00C437E0"/>
    <w:rsid w:val="00C443A1"/>
    <w:rsid w:val="00C444B0"/>
    <w:rsid w:val="00C44923"/>
    <w:rsid w:val="00C44AFB"/>
    <w:rsid w:val="00C44C8C"/>
    <w:rsid w:val="00C4565E"/>
    <w:rsid w:val="00C457D0"/>
    <w:rsid w:val="00C45839"/>
    <w:rsid w:val="00C4591C"/>
    <w:rsid w:val="00C45AD6"/>
    <w:rsid w:val="00C45E32"/>
    <w:rsid w:val="00C464A5"/>
    <w:rsid w:val="00C464EB"/>
    <w:rsid w:val="00C46723"/>
    <w:rsid w:val="00C468D1"/>
    <w:rsid w:val="00C469C2"/>
    <w:rsid w:val="00C46FB0"/>
    <w:rsid w:val="00C4712D"/>
    <w:rsid w:val="00C47307"/>
    <w:rsid w:val="00C4747F"/>
    <w:rsid w:val="00C477F0"/>
    <w:rsid w:val="00C47CAF"/>
    <w:rsid w:val="00C507DA"/>
    <w:rsid w:val="00C50B11"/>
    <w:rsid w:val="00C510C5"/>
    <w:rsid w:val="00C51348"/>
    <w:rsid w:val="00C515A6"/>
    <w:rsid w:val="00C516A2"/>
    <w:rsid w:val="00C5196D"/>
    <w:rsid w:val="00C51D30"/>
    <w:rsid w:val="00C51E5B"/>
    <w:rsid w:val="00C5295C"/>
    <w:rsid w:val="00C53223"/>
    <w:rsid w:val="00C53422"/>
    <w:rsid w:val="00C5343D"/>
    <w:rsid w:val="00C534EC"/>
    <w:rsid w:val="00C5361C"/>
    <w:rsid w:val="00C537CB"/>
    <w:rsid w:val="00C53DE7"/>
    <w:rsid w:val="00C53EAB"/>
    <w:rsid w:val="00C542B3"/>
    <w:rsid w:val="00C54A76"/>
    <w:rsid w:val="00C54B51"/>
    <w:rsid w:val="00C550D9"/>
    <w:rsid w:val="00C552F5"/>
    <w:rsid w:val="00C55443"/>
    <w:rsid w:val="00C55938"/>
    <w:rsid w:val="00C55DEA"/>
    <w:rsid w:val="00C55F22"/>
    <w:rsid w:val="00C563B8"/>
    <w:rsid w:val="00C5663B"/>
    <w:rsid w:val="00C5683E"/>
    <w:rsid w:val="00C56870"/>
    <w:rsid w:val="00C56BE5"/>
    <w:rsid w:val="00C56D5B"/>
    <w:rsid w:val="00C56D75"/>
    <w:rsid w:val="00C56E7E"/>
    <w:rsid w:val="00C577D6"/>
    <w:rsid w:val="00C57DEB"/>
    <w:rsid w:val="00C6006F"/>
    <w:rsid w:val="00C603A1"/>
    <w:rsid w:val="00C60D9C"/>
    <w:rsid w:val="00C6117B"/>
    <w:rsid w:val="00C62379"/>
    <w:rsid w:val="00C6255A"/>
    <w:rsid w:val="00C62932"/>
    <w:rsid w:val="00C62E73"/>
    <w:rsid w:val="00C62FEA"/>
    <w:rsid w:val="00C63685"/>
    <w:rsid w:val="00C639F6"/>
    <w:rsid w:val="00C63E92"/>
    <w:rsid w:val="00C641C7"/>
    <w:rsid w:val="00C64351"/>
    <w:rsid w:val="00C6444B"/>
    <w:rsid w:val="00C64B78"/>
    <w:rsid w:val="00C6537F"/>
    <w:rsid w:val="00C65527"/>
    <w:rsid w:val="00C655A3"/>
    <w:rsid w:val="00C65B5A"/>
    <w:rsid w:val="00C65FEF"/>
    <w:rsid w:val="00C663E1"/>
    <w:rsid w:val="00C664AE"/>
    <w:rsid w:val="00C66D5A"/>
    <w:rsid w:val="00C679A9"/>
    <w:rsid w:val="00C700A7"/>
    <w:rsid w:val="00C70297"/>
    <w:rsid w:val="00C7082C"/>
    <w:rsid w:val="00C70882"/>
    <w:rsid w:val="00C70B60"/>
    <w:rsid w:val="00C70FC9"/>
    <w:rsid w:val="00C71063"/>
    <w:rsid w:val="00C7119D"/>
    <w:rsid w:val="00C71268"/>
    <w:rsid w:val="00C71598"/>
    <w:rsid w:val="00C7169B"/>
    <w:rsid w:val="00C71B3A"/>
    <w:rsid w:val="00C71CCC"/>
    <w:rsid w:val="00C71F41"/>
    <w:rsid w:val="00C7222E"/>
    <w:rsid w:val="00C72D95"/>
    <w:rsid w:val="00C72EB7"/>
    <w:rsid w:val="00C732D1"/>
    <w:rsid w:val="00C7386E"/>
    <w:rsid w:val="00C73A52"/>
    <w:rsid w:val="00C73C65"/>
    <w:rsid w:val="00C7447F"/>
    <w:rsid w:val="00C74843"/>
    <w:rsid w:val="00C75069"/>
    <w:rsid w:val="00C751EF"/>
    <w:rsid w:val="00C768F8"/>
    <w:rsid w:val="00C76943"/>
    <w:rsid w:val="00C769B6"/>
    <w:rsid w:val="00C769C2"/>
    <w:rsid w:val="00C779CC"/>
    <w:rsid w:val="00C77C07"/>
    <w:rsid w:val="00C77D10"/>
    <w:rsid w:val="00C80073"/>
    <w:rsid w:val="00C80579"/>
    <w:rsid w:val="00C808EC"/>
    <w:rsid w:val="00C8150A"/>
    <w:rsid w:val="00C818FF"/>
    <w:rsid w:val="00C81CD3"/>
    <w:rsid w:val="00C82A50"/>
    <w:rsid w:val="00C82B63"/>
    <w:rsid w:val="00C82EDA"/>
    <w:rsid w:val="00C8304D"/>
    <w:rsid w:val="00C84A84"/>
    <w:rsid w:val="00C84B93"/>
    <w:rsid w:val="00C84EA3"/>
    <w:rsid w:val="00C85158"/>
    <w:rsid w:val="00C853A2"/>
    <w:rsid w:val="00C854C1"/>
    <w:rsid w:val="00C85641"/>
    <w:rsid w:val="00C85983"/>
    <w:rsid w:val="00C85A63"/>
    <w:rsid w:val="00C85D25"/>
    <w:rsid w:val="00C8618C"/>
    <w:rsid w:val="00C86400"/>
    <w:rsid w:val="00C86690"/>
    <w:rsid w:val="00C86A32"/>
    <w:rsid w:val="00C871EA"/>
    <w:rsid w:val="00C87232"/>
    <w:rsid w:val="00C87A10"/>
    <w:rsid w:val="00C87CCD"/>
    <w:rsid w:val="00C87CEE"/>
    <w:rsid w:val="00C901EA"/>
    <w:rsid w:val="00C9034A"/>
    <w:rsid w:val="00C912F3"/>
    <w:rsid w:val="00C91636"/>
    <w:rsid w:val="00C91A63"/>
    <w:rsid w:val="00C91AFA"/>
    <w:rsid w:val="00C91FF9"/>
    <w:rsid w:val="00C92702"/>
    <w:rsid w:val="00C92966"/>
    <w:rsid w:val="00C92A4E"/>
    <w:rsid w:val="00C92AF3"/>
    <w:rsid w:val="00C93118"/>
    <w:rsid w:val="00C936DB"/>
    <w:rsid w:val="00C9396A"/>
    <w:rsid w:val="00C93B70"/>
    <w:rsid w:val="00C944AF"/>
    <w:rsid w:val="00C948ED"/>
    <w:rsid w:val="00C95340"/>
    <w:rsid w:val="00C9554B"/>
    <w:rsid w:val="00C95700"/>
    <w:rsid w:val="00C9583D"/>
    <w:rsid w:val="00C95E6F"/>
    <w:rsid w:val="00C95FB4"/>
    <w:rsid w:val="00C969E8"/>
    <w:rsid w:val="00C96DD7"/>
    <w:rsid w:val="00C970DE"/>
    <w:rsid w:val="00C971C9"/>
    <w:rsid w:val="00C97343"/>
    <w:rsid w:val="00C97486"/>
    <w:rsid w:val="00C97923"/>
    <w:rsid w:val="00C97C45"/>
    <w:rsid w:val="00CA006A"/>
    <w:rsid w:val="00CA0851"/>
    <w:rsid w:val="00CA0883"/>
    <w:rsid w:val="00CA0D48"/>
    <w:rsid w:val="00CA0D76"/>
    <w:rsid w:val="00CA0E11"/>
    <w:rsid w:val="00CA1081"/>
    <w:rsid w:val="00CA1199"/>
    <w:rsid w:val="00CA12FC"/>
    <w:rsid w:val="00CA171A"/>
    <w:rsid w:val="00CA17D8"/>
    <w:rsid w:val="00CA1B6F"/>
    <w:rsid w:val="00CA2738"/>
    <w:rsid w:val="00CA285C"/>
    <w:rsid w:val="00CA298A"/>
    <w:rsid w:val="00CA3488"/>
    <w:rsid w:val="00CA3CD4"/>
    <w:rsid w:val="00CA48A4"/>
    <w:rsid w:val="00CA4E8C"/>
    <w:rsid w:val="00CA50A3"/>
    <w:rsid w:val="00CA5163"/>
    <w:rsid w:val="00CA5511"/>
    <w:rsid w:val="00CA551A"/>
    <w:rsid w:val="00CA5BE0"/>
    <w:rsid w:val="00CA7402"/>
    <w:rsid w:val="00CA7930"/>
    <w:rsid w:val="00CA7FA4"/>
    <w:rsid w:val="00CB05AD"/>
    <w:rsid w:val="00CB08EB"/>
    <w:rsid w:val="00CB0A9E"/>
    <w:rsid w:val="00CB0CB0"/>
    <w:rsid w:val="00CB0CB3"/>
    <w:rsid w:val="00CB0FD4"/>
    <w:rsid w:val="00CB1584"/>
    <w:rsid w:val="00CB171B"/>
    <w:rsid w:val="00CB1949"/>
    <w:rsid w:val="00CB202F"/>
    <w:rsid w:val="00CB219D"/>
    <w:rsid w:val="00CB259F"/>
    <w:rsid w:val="00CB2D20"/>
    <w:rsid w:val="00CB3803"/>
    <w:rsid w:val="00CB3A55"/>
    <w:rsid w:val="00CB3B65"/>
    <w:rsid w:val="00CB40B3"/>
    <w:rsid w:val="00CB42D0"/>
    <w:rsid w:val="00CB451E"/>
    <w:rsid w:val="00CB463E"/>
    <w:rsid w:val="00CB51F2"/>
    <w:rsid w:val="00CB52DF"/>
    <w:rsid w:val="00CB5497"/>
    <w:rsid w:val="00CB54D4"/>
    <w:rsid w:val="00CB5DD2"/>
    <w:rsid w:val="00CB60C7"/>
    <w:rsid w:val="00CB650A"/>
    <w:rsid w:val="00CB6955"/>
    <w:rsid w:val="00CB7097"/>
    <w:rsid w:val="00CB74DC"/>
    <w:rsid w:val="00CB7658"/>
    <w:rsid w:val="00CB7B9E"/>
    <w:rsid w:val="00CB7EFD"/>
    <w:rsid w:val="00CC0673"/>
    <w:rsid w:val="00CC075D"/>
    <w:rsid w:val="00CC0ADA"/>
    <w:rsid w:val="00CC2216"/>
    <w:rsid w:val="00CC24D6"/>
    <w:rsid w:val="00CC2EE4"/>
    <w:rsid w:val="00CC2F41"/>
    <w:rsid w:val="00CC35D3"/>
    <w:rsid w:val="00CC3AB4"/>
    <w:rsid w:val="00CC3BF4"/>
    <w:rsid w:val="00CC3C22"/>
    <w:rsid w:val="00CC3CC6"/>
    <w:rsid w:val="00CC3D7E"/>
    <w:rsid w:val="00CC3E06"/>
    <w:rsid w:val="00CC4667"/>
    <w:rsid w:val="00CC4DCB"/>
    <w:rsid w:val="00CC524B"/>
    <w:rsid w:val="00CC55E2"/>
    <w:rsid w:val="00CC5BB9"/>
    <w:rsid w:val="00CC5C61"/>
    <w:rsid w:val="00CC605B"/>
    <w:rsid w:val="00CC615B"/>
    <w:rsid w:val="00CC6297"/>
    <w:rsid w:val="00CC72E1"/>
    <w:rsid w:val="00CC73B4"/>
    <w:rsid w:val="00CC7557"/>
    <w:rsid w:val="00CC7973"/>
    <w:rsid w:val="00CC7BAF"/>
    <w:rsid w:val="00CC7D3C"/>
    <w:rsid w:val="00CC7FA6"/>
    <w:rsid w:val="00CC7FC7"/>
    <w:rsid w:val="00CD01CA"/>
    <w:rsid w:val="00CD021C"/>
    <w:rsid w:val="00CD03C4"/>
    <w:rsid w:val="00CD0482"/>
    <w:rsid w:val="00CD0505"/>
    <w:rsid w:val="00CD07E3"/>
    <w:rsid w:val="00CD0FC0"/>
    <w:rsid w:val="00CD145F"/>
    <w:rsid w:val="00CD1489"/>
    <w:rsid w:val="00CD149F"/>
    <w:rsid w:val="00CD1A6E"/>
    <w:rsid w:val="00CD1A8D"/>
    <w:rsid w:val="00CD1BCD"/>
    <w:rsid w:val="00CD1C34"/>
    <w:rsid w:val="00CD1D1B"/>
    <w:rsid w:val="00CD2076"/>
    <w:rsid w:val="00CD2D44"/>
    <w:rsid w:val="00CD2E23"/>
    <w:rsid w:val="00CD2F30"/>
    <w:rsid w:val="00CD31CC"/>
    <w:rsid w:val="00CD3774"/>
    <w:rsid w:val="00CD38D6"/>
    <w:rsid w:val="00CD4153"/>
    <w:rsid w:val="00CD43B5"/>
    <w:rsid w:val="00CD44AB"/>
    <w:rsid w:val="00CD45F8"/>
    <w:rsid w:val="00CD4633"/>
    <w:rsid w:val="00CD49E2"/>
    <w:rsid w:val="00CD4A86"/>
    <w:rsid w:val="00CD4BB0"/>
    <w:rsid w:val="00CD583A"/>
    <w:rsid w:val="00CD5CC9"/>
    <w:rsid w:val="00CD5CD0"/>
    <w:rsid w:val="00CD6188"/>
    <w:rsid w:val="00CD75B4"/>
    <w:rsid w:val="00CD766D"/>
    <w:rsid w:val="00CD7887"/>
    <w:rsid w:val="00CD78CC"/>
    <w:rsid w:val="00CD7904"/>
    <w:rsid w:val="00CD793A"/>
    <w:rsid w:val="00CE04C8"/>
    <w:rsid w:val="00CE06D7"/>
    <w:rsid w:val="00CE07B8"/>
    <w:rsid w:val="00CE08CD"/>
    <w:rsid w:val="00CE0B0E"/>
    <w:rsid w:val="00CE0DD7"/>
    <w:rsid w:val="00CE13FD"/>
    <w:rsid w:val="00CE19B1"/>
    <w:rsid w:val="00CE1D55"/>
    <w:rsid w:val="00CE21A6"/>
    <w:rsid w:val="00CE25E6"/>
    <w:rsid w:val="00CE2AE2"/>
    <w:rsid w:val="00CE2BCE"/>
    <w:rsid w:val="00CE3101"/>
    <w:rsid w:val="00CE36C3"/>
    <w:rsid w:val="00CE37CF"/>
    <w:rsid w:val="00CE429F"/>
    <w:rsid w:val="00CE434A"/>
    <w:rsid w:val="00CE4867"/>
    <w:rsid w:val="00CE4926"/>
    <w:rsid w:val="00CE4C5D"/>
    <w:rsid w:val="00CE5394"/>
    <w:rsid w:val="00CE53C8"/>
    <w:rsid w:val="00CE55CF"/>
    <w:rsid w:val="00CE56B0"/>
    <w:rsid w:val="00CE5821"/>
    <w:rsid w:val="00CE5B26"/>
    <w:rsid w:val="00CE5F3F"/>
    <w:rsid w:val="00CE64B1"/>
    <w:rsid w:val="00CE6804"/>
    <w:rsid w:val="00CE68F9"/>
    <w:rsid w:val="00CE6AC5"/>
    <w:rsid w:val="00CE6AEC"/>
    <w:rsid w:val="00CE6B9C"/>
    <w:rsid w:val="00CE6D5A"/>
    <w:rsid w:val="00CE794D"/>
    <w:rsid w:val="00CE7CA6"/>
    <w:rsid w:val="00CE7E38"/>
    <w:rsid w:val="00CF04CB"/>
    <w:rsid w:val="00CF04D7"/>
    <w:rsid w:val="00CF0E93"/>
    <w:rsid w:val="00CF0EAE"/>
    <w:rsid w:val="00CF0F13"/>
    <w:rsid w:val="00CF135B"/>
    <w:rsid w:val="00CF165A"/>
    <w:rsid w:val="00CF18EE"/>
    <w:rsid w:val="00CF1C8C"/>
    <w:rsid w:val="00CF2046"/>
    <w:rsid w:val="00CF25F3"/>
    <w:rsid w:val="00CF2887"/>
    <w:rsid w:val="00CF2D3D"/>
    <w:rsid w:val="00CF2EB2"/>
    <w:rsid w:val="00CF375A"/>
    <w:rsid w:val="00CF3947"/>
    <w:rsid w:val="00CF39FE"/>
    <w:rsid w:val="00CF4053"/>
    <w:rsid w:val="00CF43DD"/>
    <w:rsid w:val="00CF4723"/>
    <w:rsid w:val="00CF4942"/>
    <w:rsid w:val="00CF4D19"/>
    <w:rsid w:val="00CF4DE1"/>
    <w:rsid w:val="00CF5066"/>
    <w:rsid w:val="00CF58A9"/>
    <w:rsid w:val="00CF5DE3"/>
    <w:rsid w:val="00CF5E8B"/>
    <w:rsid w:val="00CF6159"/>
    <w:rsid w:val="00CF6275"/>
    <w:rsid w:val="00CF682B"/>
    <w:rsid w:val="00CF6A3D"/>
    <w:rsid w:val="00CF6CDC"/>
    <w:rsid w:val="00CF6E16"/>
    <w:rsid w:val="00CF6FFD"/>
    <w:rsid w:val="00CF778E"/>
    <w:rsid w:val="00D003CE"/>
    <w:rsid w:val="00D008AF"/>
    <w:rsid w:val="00D01254"/>
    <w:rsid w:val="00D01B91"/>
    <w:rsid w:val="00D01C89"/>
    <w:rsid w:val="00D01EDF"/>
    <w:rsid w:val="00D02D64"/>
    <w:rsid w:val="00D02F48"/>
    <w:rsid w:val="00D0330D"/>
    <w:rsid w:val="00D033BF"/>
    <w:rsid w:val="00D036FA"/>
    <w:rsid w:val="00D03C6D"/>
    <w:rsid w:val="00D044D3"/>
    <w:rsid w:val="00D047D5"/>
    <w:rsid w:val="00D053D3"/>
    <w:rsid w:val="00D05E19"/>
    <w:rsid w:val="00D061F2"/>
    <w:rsid w:val="00D064F1"/>
    <w:rsid w:val="00D0652C"/>
    <w:rsid w:val="00D06833"/>
    <w:rsid w:val="00D06E3E"/>
    <w:rsid w:val="00D070DD"/>
    <w:rsid w:val="00D07180"/>
    <w:rsid w:val="00D073DF"/>
    <w:rsid w:val="00D0769E"/>
    <w:rsid w:val="00D07737"/>
    <w:rsid w:val="00D07D36"/>
    <w:rsid w:val="00D07DEC"/>
    <w:rsid w:val="00D07E6E"/>
    <w:rsid w:val="00D07F6E"/>
    <w:rsid w:val="00D100DA"/>
    <w:rsid w:val="00D1016A"/>
    <w:rsid w:val="00D10312"/>
    <w:rsid w:val="00D1041A"/>
    <w:rsid w:val="00D10674"/>
    <w:rsid w:val="00D10B39"/>
    <w:rsid w:val="00D10CCF"/>
    <w:rsid w:val="00D10DE7"/>
    <w:rsid w:val="00D11753"/>
    <w:rsid w:val="00D11C3F"/>
    <w:rsid w:val="00D123C3"/>
    <w:rsid w:val="00D125E3"/>
    <w:rsid w:val="00D12761"/>
    <w:rsid w:val="00D128E9"/>
    <w:rsid w:val="00D137AD"/>
    <w:rsid w:val="00D1392C"/>
    <w:rsid w:val="00D14A07"/>
    <w:rsid w:val="00D15049"/>
    <w:rsid w:val="00D157EA"/>
    <w:rsid w:val="00D15889"/>
    <w:rsid w:val="00D159A7"/>
    <w:rsid w:val="00D15C18"/>
    <w:rsid w:val="00D15C61"/>
    <w:rsid w:val="00D15F26"/>
    <w:rsid w:val="00D161E8"/>
    <w:rsid w:val="00D16644"/>
    <w:rsid w:val="00D16936"/>
    <w:rsid w:val="00D169E6"/>
    <w:rsid w:val="00D16AE4"/>
    <w:rsid w:val="00D16F78"/>
    <w:rsid w:val="00D172E4"/>
    <w:rsid w:val="00D20304"/>
    <w:rsid w:val="00D204E1"/>
    <w:rsid w:val="00D2070E"/>
    <w:rsid w:val="00D20930"/>
    <w:rsid w:val="00D20D21"/>
    <w:rsid w:val="00D216ED"/>
    <w:rsid w:val="00D2285C"/>
    <w:rsid w:val="00D2285F"/>
    <w:rsid w:val="00D22D45"/>
    <w:rsid w:val="00D22E08"/>
    <w:rsid w:val="00D2356A"/>
    <w:rsid w:val="00D23A7B"/>
    <w:rsid w:val="00D23C3C"/>
    <w:rsid w:val="00D24022"/>
    <w:rsid w:val="00D240C8"/>
    <w:rsid w:val="00D2427F"/>
    <w:rsid w:val="00D24620"/>
    <w:rsid w:val="00D24675"/>
    <w:rsid w:val="00D24C4A"/>
    <w:rsid w:val="00D24C72"/>
    <w:rsid w:val="00D24CF5"/>
    <w:rsid w:val="00D24E11"/>
    <w:rsid w:val="00D24E44"/>
    <w:rsid w:val="00D2597C"/>
    <w:rsid w:val="00D25B8E"/>
    <w:rsid w:val="00D25FBC"/>
    <w:rsid w:val="00D260DF"/>
    <w:rsid w:val="00D26AD9"/>
    <w:rsid w:val="00D27264"/>
    <w:rsid w:val="00D274AF"/>
    <w:rsid w:val="00D27A32"/>
    <w:rsid w:val="00D27CFC"/>
    <w:rsid w:val="00D30373"/>
    <w:rsid w:val="00D30A59"/>
    <w:rsid w:val="00D30B0D"/>
    <w:rsid w:val="00D30D82"/>
    <w:rsid w:val="00D30E8A"/>
    <w:rsid w:val="00D30F2B"/>
    <w:rsid w:val="00D31592"/>
    <w:rsid w:val="00D3392F"/>
    <w:rsid w:val="00D33EA4"/>
    <w:rsid w:val="00D34198"/>
    <w:rsid w:val="00D34996"/>
    <w:rsid w:val="00D34B7F"/>
    <w:rsid w:val="00D34D18"/>
    <w:rsid w:val="00D3538C"/>
    <w:rsid w:val="00D35A64"/>
    <w:rsid w:val="00D35DA5"/>
    <w:rsid w:val="00D35EF5"/>
    <w:rsid w:val="00D368FE"/>
    <w:rsid w:val="00D36B6E"/>
    <w:rsid w:val="00D36D84"/>
    <w:rsid w:val="00D378BA"/>
    <w:rsid w:val="00D37F94"/>
    <w:rsid w:val="00D401A2"/>
    <w:rsid w:val="00D40247"/>
    <w:rsid w:val="00D405CC"/>
    <w:rsid w:val="00D4066E"/>
    <w:rsid w:val="00D4089A"/>
    <w:rsid w:val="00D410FB"/>
    <w:rsid w:val="00D4115C"/>
    <w:rsid w:val="00D41CCA"/>
    <w:rsid w:val="00D41CF8"/>
    <w:rsid w:val="00D41D46"/>
    <w:rsid w:val="00D421E1"/>
    <w:rsid w:val="00D42458"/>
    <w:rsid w:val="00D42467"/>
    <w:rsid w:val="00D4277A"/>
    <w:rsid w:val="00D427E7"/>
    <w:rsid w:val="00D42B74"/>
    <w:rsid w:val="00D42C56"/>
    <w:rsid w:val="00D42E95"/>
    <w:rsid w:val="00D42FF1"/>
    <w:rsid w:val="00D432CB"/>
    <w:rsid w:val="00D43A98"/>
    <w:rsid w:val="00D43BFD"/>
    <w:rsid w:val="00D43CE0"/>
    <w:rsid w:val="00D43F2F"/>
    <w:rsid w:val="00D448AC"/>
    <w:rsid w:val="00D44A28"/>
    <w:rsid w:val="00D44AF5"/>
    <w:rsid w:val="00D45002"/>
    <w:rsid w:val="00D453A8"/>
    <w:rsid w:val="00D46627"/>
    <w:rsid w:val="00D467D6"/>
    <w:rsid w:val="00D46823"/>
    <w:rsid w:val="00D46A3F"/>
    <w:rsid w:val="00D46A52"/>
    <w:rsid w:val="00D46E6C"/>
    <w:rsid w:val="00D46F0F"/>
    <w:rsid w:val="00D47714"/>
    <w:rsid w:val="00D50255"/>
    <w:rsid w:val="00D504C3"/>
    <w:rsid w:val="00D5083E"/>
    <w:rsid w:val="00D50D5C"/>
    <w:rsid w:val="00D51729"/>
    <w:rsid w:val="00D51D94"/>
    <w:rsid w:val="00D52C2F"/>
    <w:rsid w:val="00D5303C"/>
    <w:rsid w:val="00D530D9"/>
    <w:rsid w:val="00D53414"/>
    <w:rsid w:val="00D53554"/>
    <w:rsid w:val="00D53CCE"/>
    <w:rsid w:val="00D54297"/>
    <w:rsid w:val="00D546BC"/>
    <w:rsid w:val="00D550A7"/>
    <w:rsid w:val="00D552A8"/>
    <w:rsid w:val="00D558A0"/>
    <w:rsid w:val="00D558F1"/>
    <w:rsid w:val="00D55A2C"/>
    <w:rsid w:val="00D56303"/>
    <w:rsid w:val="00D5663D"/>
    <w:rsid w:val="00D567F6"/>
    <w:rsid w:val="00D56DAC"/>
    <w:rsid w:val="00D5708A"/>
    <w:rsid w:val="00D57D69"/>
    <w:rsid w:val="00D57EBC"/>
    <w:rsid w:val="00D6017C"/>
    <w:rsid w:val="00D60466"/>
    <w:rsid w:val="00D60625"/>
    <w:rsid w:val="00D6072D"/>
    <w:rsid w:val="00D60A8A"/>
    <w:rsid w:val="00D60E9E"/>
    <w:rsid w:val="00D613A5"/>
    <w:rsid w:val="00D61418"/>
    <w:rsid w:val="00D616FD"/>
    <w:rsid w:val="00D61D77"/>
    <w:rsid w:val="00D625CF"/>
    <w:rsid w:val="00D62AFF"/>
    <w:rsid w:val="00D62C99"/>
    <w:rsid w:val="00D63080"/>
    <w:rsid w:val="00D63765"/>
    <w:rsid w:val="00D637FF"/>
    <w:rsid w:val="00D638F4"/>
    <w:rsid w:val="00D63904"/>
    <w:rsid w:val="00D63945"/>
    <w:rsid w:val="00D639CF"/>
    <w:rsid w:val="00D63CAB"/>
    <w:rsid w:val="00D6497A"/>
    <w:rsid w:val="00D64E14"/>
    <w:rsid w:val="00D652B1"/>
    <w:rsid w:val="00D658EF"/>
    <w:rsid w:val="00D65B09"/>
    <w:rsid w:val="00D66543"/>
    <w:rsid w:val="00D666F0"/>
    <w:rsid w:val="00D669FD"/>
    <w:rsid w:val="00D66E3C"/>
    <w:rsid w:val="00D66E9F"/>
    <w:rsid w:val="00D66F09"/>
    <w:rsid w:val="00D67069"/>
    <w:rsid w:val="00D6707E"/>
    <w:rsid w:val="00D671EE"/>
    <w:rsid w:val="00D675EB"/>
    <w:rsid w:val="00D676F2"/>
    <w:rsid w:val="00D67BD2"/>
    <w:rsid w:val="00D702AE"/>
    <w:rsid w:val="00D70430"/>
    <w:rsid w:val="00D70E03"/>
    <w:rsid w:val="00D71110"/>
    <w:rsid w:val="00D7121D"/>
    <w:rsid w:val="00D7170F"/>
    <w:rsid w:val="00D71A2C"/>
    <w:rsid w:val="00D7202E"/>
    <w:rsid w:val="00D72116"/>
    <w:rsid w:val="00D72C55"/>
    <w:rsid w:val="00D72F42"/>
    <w:rsid w:val="00D73705"/>
    <w:rsid w:val="00D73DE7"/>
    <w:rsid w:val="00D73F1A"/>
    <w:rsid w:val="00D74675"/>
    <w:rsid w:val="00D7482E"/>
    <w:rsid w:val="00D748A2"/>
    <w:rsid w:val="00D74C0A"/>
    <w:rsid w:val="00D74CE3"/>
    <w:rsid w:val="00D74F90"/>
    <w:rsid w:val="00D75458"/>
    <w:rsid w:val="00D75B24"/>
    <w:rsid w:val="00D76055"/>
    <w:rsid w:val="00D761A7"/>
    <w:rsid w:val="00D76936"/>
    <w:rsid w:val="00D76AF1"/>
    <w:rsid w:val="00D76D2C"/>
    <w:rsid w:val="00D7717A"/>
    <w:rsid w:val="00D77217"/>
    <w:rsid w:val="00D7728A"/>
    <w:rsid w:val="00D772AA"/>
    <w:rsid w:val="00D772B7"/>
    <w:rsid w:val="00D77490"/>
    <w:rsid w:val="00D775F3"/>
    <w:rsid w:val="00D800E7"/>
    <w:rsid w:val="00D80EC7"/>
    <w:rsid w:val="00D80F01"/>
    <w:rsid w:val="00D814E5"/>
    <w:rsid w:val="00D819D5"/>
    <w:rsid w:val="00D81FEB"/>
    <w:rsid w:val="00D821B6"/>
    <w:rsid w:val="00D82369"/>
    <w:rsid w:val="00D8239B"/>
    <w:rsid w:val="00D82474"/>
    <w:rsid w:val="00D824C9"/>
    <w:rsid w:val="00D827AD"/>
    <w:rsid w:val="00D8281A"/>
    <w:rsid w:val="00D82967"/>
    <w:rsid w:val="00D82DC1"/>
    <w:rsid w:val="00D82F33"/>
    <w:rsid w:val="00D8360E"/>
    <w:rsid w:val="00D83D09"/>
    <w:rsid w:val="00D83E71"/>
    <w:rsid w:val="00D83F77"/>
    <w:rsid w:val="00D84404"/>
    <w:rsid w:val="00D8455E"/>
    <w:rsid w:val="00D85577"/>
    <w:rsid w:val="00D859C9"/>
    <w:rsid w:val="00D85BE6"/>
    <w:rsid w:val="00D85FC9"/>
    <w:rsid w:val="00D8673E"/>
    <w:rsid w:val="00D87079"/>
    <w:rsid w:val="00D87383"/>
    <w:rsid w:val="00D875C9"/>
    <w:rsid w:val="00D87A22"/>
    <w:rsid w:val="00D87B09"/>
    <w:rsid w:val="00D87FA5"/>
    <w:rsid w:val="00D87FC2"/>
    <w:rsid w:val="00D90B13"/>
    <w:rsid w:val="00D912A1"/>
    <w:rsid w:val="00D912B3"/>
    <w:rsid w:val="00D91530"/>
    <w:rsid w:val="00D916A5"/>
    <w:rsid w:val="00D91E27"/>
    <w:rsid w:val="00D92B4B"/>
    <w:rsid w:val="00D93791"/>
    <w:rsid w:val="00D93EDC"/>
    <w:rsid w:val="00D94055"/>
    <w:rsid w:val="00D94100"/>
    <w:rsid w:val="00D9435D"/>
    <w:rsid w:val="00D94C7C"/>
    <w:rsid w:val="00D94DED"/>
    <w:rsid w:val="00D95828"/>
    <w:rsid w:val="00D964CA"/>
    <w:rsid w:val="00D9661A"/>
    <w:rsid w:val="00D96686"/>
    <w:rsid w:val="00D9689F"/>
    <w:rsid w:val="00D96EA2"/>
    <w:rsid w:val="00D96EC5"/>
    <w:rsid w:val="00D97611"/>
    <w:rsid w:val="00D97758"/>
    <w:rsid w:val="00D9799D"/>
    <w:rsid w:val="00D979A4"/>
    <w:rsid w:val="00D97DFC"/>
    <w:rsid w:val="00DA02E2"/>
    <w:rsid w:val="00DA0572"/>
    <w:rsid w:val="00DA0718"/>
    <w:rsid w:val="00DA09AC"/>
    <w:rsid w:val="00DA0D4F"/>
    <w:rsid w:val="00DA13AF"/>
    <w:rsid w:val="00DA16B7"/>
    <w:rsid w:val="00DA1922"/>
    <w:rsid w:val="00DA19DE"/>
    <w:rsid w:val="00DA1EF6"/>
    <w:rsid w:val="00DA22D0"/>
    <w:rsid w:val="00DA299D"/>
    <w:rsid w:val="00DA2AFB"/>
    <w:rsid w:val="00DA2CB8"/>
    <w:rsid w:val="00DA30BF"/>
    <w:rsid w:val="00DA36C6"/>
    <w:rsid w:val="00DA3979"/>
    <w:rsid w:val="00DA3C24"/>
    <w:rsid w:val="00DA4419"/>
    <w:rsid w:val="00DA44F8"/>
    <w:rsid w:val="00DA4FD0"/>
    <w:rsid w:val="00DA5830"/>
    <w:rsid w:val="00DA5A4A"/>
    <w:rsid w:val="00DA6299"/>
    <w:rsid w:val="00DA64C4"/>
    <w:rsid w:val="00DA6931"/>
    <w:rsid w:val="00DA6AEB"/>
    <w:rsid w:val="00DA6B39"/>
    <w:rsid w:val="00DA6DE7"/>
    <w:rsid w:val="00DA7308"/>
    <w:rsid w:val="00DA76A3"/>
    <w:rsid w:val="00DA7BC7"/>
    <w:rsid w:val="00DB0090"/>
    <w:rsid w:val="00DB0564"/>
    <w:rsid w:val="00DB064C"/>
    <w:rsid w:val="00DB08EE"/>
    <w:rsid w:val="00DB157A"/>
    <w:rsid w:val="00DB235D"/>
    <w:rsid w:val="00DB2AE0"/>
    <w:rsid w:val="00DB377E"/>
    <w:rsid w:val="00DB3A64"/>
    <w:rsid w:val="00DB3DBF"/>
    <w:rsid w:val="00DB4120"/>
    <w:rsid w:val="00DB42AF"/>
    <w:rsid w:val="00DB44D5"/>
    <w:rsid w:val="00DB4AB4"/>
    <w:rsid w:val="00DB5365"/>
    <w:rsid w:val="00DB5370"/>
    <w:rsid w:val="00DB54C7"/>
    <w:rsid w:val="00DB58BD"/>
    <w:rsid w:val="00DB5C69"/>
    <w:rsid w:val="00DB60D7"/>
    <w:rsid w:val="00DB64DF"/>
    <w:rsid w:val="00DB688D"/>
    <w:rsid w:val="00DB6B7B"/>
    <w:rsid w:val="00DB6C42"/>
    <w:rsid w:val="00DB6FBA"/>
    <w:rsid w:val="00DB7338"/>
    <w:rsid w:val="00DB7433"/>
    <w:rsid w:val="00DB75B7"/>
    <w:rsid w:val="00DB77BC"/>
    <w:rsid w:val="00DB7822"/>
    <w:rsid w:val="00DC08BB"/>
    <w:rsid w:val="00DC0999"/>
    <w:rsid w:val="00DC09E2"/>
    <w:rsid w:val="00DC0E4E"/>
    <w:rsid w:val="00DC0EBE"/>
    <w:rsid w:val="00DC11F4"/>
    <w:rsid w:val="00DC14B8"/>
    <w:rsid w:val="00DC1F41"/>
    <w:rsid w:val="00DC26FD"/>
    <w:rsid w:val="00DC2861"/>
    <w:rsid w:val="00DC2C5F"/>
    <w:rsid w:val="00DC2E0E"/>
    <w:rsid w:val="00DC300D"/>
    <w:rsid w:val="00DC31BA"/>
    <w:rsid w:val="00DC3956"/>
    <w:rsid w:val="00DC3FB1"/>
    <w:rsid w:val="00DC4044"/>
    <w:rsid w:val="00DC49BB"/>
    <w:rsid w:val="00DC4BDC"/>
    <w:rsid w:val="00DC54D0"/>
    <w:rsid w:val="00DC54DA"/>
    <w:rsid w:val="00DC553A"/>
    <w:rsid w:val="00DC57F6"/>
    <w:rsid w:val="00DC5D37"/>
    <w:rsid w:val="00DC61A2"/>
    <w:rsid w:val="00DC630E"/>
    <w:rsid w:val="00DC70C5"/>
    <w:rsid w:val="00DC710E"/>
    <w:rsid w:val="00DC7258"/>
    <w:rsid w:val="00DC737C"/>
    <w:rsid w:val="00DD0004"/>
    <w:rsid w:val="00DD11D8"/>
    <w:rsid w:val="00DD1221"/>
    <w:rsid w:val="00DD1315"/>
    <w:rsid w:val="00DD1699"/>
    <w:rsid w:val="00DD16A3"/>
    <w:rsid w:val="00DD18A5"/>
    <w:rsid w:val="00DD2018"/>
    <w:rsid w:val="00DD2200"/>
    <w:rsid w:val="00DD2287"/>
    <w:rsid w:val="00DD2375"/>
    <w:rsid w:val="00DD2D71"/>
    <w:rsid w:val="00DD3545"/>
    <w:rsid w:val="00DD3855"/>
    <w:rsid w:val="00DD3A7B"/>
    <w:rsid w:val="00DD405C"/>
    <w:rsid w:val="00DD40AA"/>
    <w:rsid w:val="00DD4505"/>
    <w:rsid w:val="00DD45D6"/>
    <w:rsid w:val="00DD47CF"/>
    <w:rsid w:val="00DD4EFD"/>
    <w:rsid w:val="00DD4F3F"/>
    <w:rsid w:val="00DD50E5"/>
    <w:rsid w:val="00DD549B"/>
    <w:rsid w:val="00DD586F"/>
    <w:rsid w:val="00DD59B9"/>
    <w:rsid w:val="00DD5E1D"/>
    <w:rsid w:val="00DD6B4F"/>
    <w:rsid w:val="00DD6E62"/>
    <w:rsid w:val="00DD6E71"/>
    <w:rsid w:val="00DD7441"/>
    <w:rsid w:val="00DD7531"/>
    <w:rsid w:val="00DD7725"/>
    <w:rsid w:val="00DD7864"/>
    <w:rsid w:val="00DD7C4E"/>
    <w:rsid w:val="00DD7D4C"/>
    <w:rsid w:val="00DE0CA1"/>
    <w:rsid w:val="00DE0DC3"/>
    <w:rsid w:val="00DE0F04"/>
    <w:rsid w:val="00DE12BD"/>
    <w:rsid w:val="00DE1AC6"/>
    <w:rsid w:val="00DE1EF2"/>
    <w:rsid w:val="00DE21C8"/>
    <w:rsid w:val="00DE2CD4"/>
    <w:rsid w:val="00DE2D31"/>
    <w:rsid w:val="00DE3197"/>
    <w:rsid w:val="00DE31B1"/>
    <w:rsid w:val="00DE33C8"/>
    <w:rsid w:val="00DE33F3"/>
    <w:rsid w:val="00DE3EBA"/>
    <w:rsid w:val="00DE41A1"/>
    <w:rsid w:val="00DE4662"/>
    <w:rsid w:val="00DE4E0D"/>
    <w:rsid w:val="00DE50A0"/>
    <w:rsid w:val="00DE533C"/>
    <w:rsid w:val="00DE53F6"/>
    <w:rsid w:val="00DE5692"/>
    <w:rsid w:val="00DE5A1F"/>
    <w:rsid w:val="00DE5BD3"/>
    <w:rsid w:val="00DE61D4"/>
    <w:rsid w:val="00DE652F"/>
    <w:rsid w:val="00DE6946"/>
    <w:rsid w:val="00DE6E63"/>
    <w:rsid w:val="00DE75F8"/>
    <w:rsid w:val="00DE76CB"/>
    <w:rsid w:val="00DE7913"/>
    <w:rsid w:val="00DE7A3C"/>
    <w:rsid w:val="00DE7B6B"/>
    <w:rsid w:val="00DF0090"/>
    <w:rsid w:val="00DF0702"/>
    <w:rsid w:val="00DF1089"/>
    <w:rsid w:val="00DF119E"/>
    <w:rsid w:val="00DF1265"/>
    <w:rsid w:val="00DF1313"/>
    <w:rsid w:val="00DF15C7"/>
    <w:rsid w:val="00DF1E6E"/>
    <w:rsid w:val="00DF1F24"/>
    <w:rsid w:val="00DF24C3"/>
    <w:rsid w:val="00DF27C6"/>
    <w:rsid w:val="00DF2953"/>
    <w:rsid w:val="00DF29C3"/>
    <w:rsid w:val="00DF2AC0"/>
    <w:rsid w:val="00DF2AC3"/>
    <w:rsid w:val="00DF2E88"/>
    <w:rsid w:val="00DF3025"/>
    <w:rsid w:val="00DF3187"/>
    <w:rsid w:val="00DF3702"/>
    <w:rsid w:val="00DF374B"/>
    <w:rsid w:val="00DF402D"/>
    <w:rsid w:val="00DF4515"/>
    <w:rsid w:val="00DF5342"/>
    <w:rsid w:val="00DF5866"/>
    <w:rsid w:val="00DF6ACF"/>
    <w:rsid w:val="00DF6D60"/>
    <w:rsid w:val="00DF7B5C"/>
    <w:rsid w:val="00E00014"/>
    <w:rsid w:val="00E00073"/>
    <w:rsid w:val="00E000E9"/>
    <w:rsid w:val="00E0028D"/>
    <w:rsid w:val="00E0043E"/>
    <w:rsid w:val="00E00A3B"/>
    <w:rsid w:val="00E00B6E"/>
    <w:rsid w:val="00E00FB8"/>
    <w:rsid w:val="00E011B2"/>
    <w:rsid w:val="00E0185E"/>
    <w:rsid w:val="00E01ABA"/>
    <w:rsid w:val="00E01DD4"/>
    <w:rsid w:val="00E01F34"/>
    <w:rsid w:val="00E02536"/>
    <w:rsid w:val="00E02627"/>
    <w:rsid w:val="00E02D4F"/>
    <w:rsid w:val="00E02F51"/>
    <w:rsid w:val="00E03121"/>
    <w:rsid w:val="00E03286"/>
    <w:rsid w:val="00E03470"/>
    <w:rsid w:val="00E036C3"/>
    <w:rsid w:val="00E037DF"/>
    <w:rsid w:val="00E03A7D"/>
    <w:rsid w:val="00E03AA6"/>
    <w:rsid w:val="00E03AF3"/>
    <w:rsid w:val="00E03B6B"/>
    <w:rsid w:val="00E0418E"/>
    <w:rsid w:val="00E045F7"/>
    <w:rsid w:val="00E04BEC"/>
    <w:rsid w:val="00E050C4"/>
    <w:rsid w:val="00E050D6"/>
    <w:rsid w:val="00E05200"/>
    <w:rsid w:val="00E05B8C"/>
    <w:rsid w:val="00E06A6E"/>
    <w:rsid w:val="00E06F3F"/>
    <w:rsid w:val="00E07048"/>
    <w:rsid w:val="00E072F6"/>
    <w:rsid w:val="00E07603"/>
    <w:rsid w:val="00E07D7B"/>
    <w:rsid w:val="00E100F5"/>
    <w:rsid w:val="00E10B64"/>
    <w:rsid w:val="00E10DF2"/>
    <w:rsid w:val="00E10EC7"/>
    <w:rsid w:val="00E1189E"/>
    <w:rsid w:val="00E11ADB"/>
    <w:rsid w:val="00E11F02"/>
    <w:rsid w:val="00E12026"/>
    <w:rsid w:val="00E1279C"/>
    <w:rsid w:val="00E12F0F"/>
    <w:rsid w:val="00E13050"/>
    <w:rsid w:val="00E13B7A"/>
    <w:rsid w:val="00E14046"/>
    <w:rsid w:val="00E1406F"/>
    <w:rsid w:val="00E1409A"/>
    <w:rsid w:val="00E14580"/>
    <w:rsid w:val="00E149FB"/>
    <w:rsid w:val="00E14A77"/>
    <w:rsid w:val="00E14B2C"/>
    <w:rsid w:val="00E14B5F"/>
    <w:rsid w:val="00E14DE6"/>
    <w:rsid w:val="00E14F10"/>
    <w:rsid w:val="00E1505D"/>
    <w:rsid w:val="00E1515A"/>
    <w:rsid w:val="00E155FE"/>
    <w:rsid w:val="00E15660"/>
    <w:rsid w:val="00E15C2D"/>
    <w:rsid w:val="00E15E0B"/>
    <w:rsid w:val="00E15EAE"/>
    <w:rsid w:val="00E15EC5"/>
    <w:rsid w:val="00E15EFD"/>
    <w:rsid w:val="00E15FA8"/>
    <w:rsid w:val="00E16032"/>
    <w:rsid w:val="00E16476"/>
    <w:rsid w:val="00E16C58"/>
    <w:rsid w:val="00E1720B"/>
    <w:rsid w:val="00E174CD"/>
    <w:rsid w:val="00E17686"/>
    <w:rsid w:val="00E20255"/>
    <w:rsid w:val="00E2032C"/>
    <w:rsid w:val="00E204A4"/>
    <w:rsid w:val="00E206C4"/>
    <w:rsid w:val="00E20A41"/>
    <w:rsid w:val="00E20B51"/>
    <w:rsid w:val="00E2101E"/>
    <w:rsid w:val="00E21975"/>
    <w:rsid w:val="00E22480"/>
    <w:rsid w:val="00E22749"/>
    <w:rsid w:val="00E229A8"/>
    <w:rsid w:val="00E229E9"/>
    <w:rsid w:val="00E22F44"/>
    <w:rsid w:val="00E22F68"/>
    <w:rsid w:val="00E2352C"/>
    <w:rsid w:val="00E23596"/>
    <w:rsid w:val="00E236B9"/>
    <w:rsid w:val="00E23966"/>
    <w:rsid w:val="00E23CE1"/>
    <w:rsid w:val="00E242E6"/>
    <w:rsid w:val="00E24AF1"/>
    <w:rsid w:val="00E24BA0"/>
    <w:rsid w:val="00E24E77"/>
    <w:rsid w:val="00E2527C"/>
    <w:rsid w:val="00E25383"/>
    <w:rsid w:val="00E253A1"/>
    <w:rsid w:val="00E25D53"/>
    <w:rsid w:val="00E2641E"/>
    <w:rsid w:val="00E268E5"/>
    <w:rsid w:val="00E269AA"/>
    <w:rsid w:val="00E26C79"/>
    <w:rsid w:val="00E26E3A"/>
    <w:rsid w:val="00E2730C"/>
    <w:rsid w:val="00E27453"/>
    <w:rsid w:val="00E2764E"/>
    <w:rsid w:val="00E27A9A"/>
    <w:rsid w:val="00E27DDE"/>
    <w:rsid w:val="00E27EE1"/>
    <w:rsid w:val="00E27EED"/>
    <w:rsid w:val="00E3091C"/>
    <w:rsid w:val="00E3095F"/>
    <w:rsid w:val="00E3109F"/>
    <w:rsid w:val="00E31899"/>
    <w:rsid w:val="00E31DF6"/>
    <w:rsid w:val="00E321AA"/>
    <w:rsid w:val="00E323DC"/>
    <w:rsid w:val="00E32AE0"/>
    <w:rsid w:val="00E32BB8"/>
    <w:rsid w:val="00E331B0"/>
    <w:rsid w:val="00E333C0"/>
    <w:rsid w:val="00E33B71"/>
    <w:rsid w:val="00E33E18"/>
    <w:rsid w:val="00E33E93"/>
    <w:rsid w:val="00E343FF"/>
    <w:rsid w:val="00E346BD"/>
    <w:rsid w:val="00E348D9"/>
    <w:rsid w:val="00E34B87"/>
    <w:rsid w:val="00E34FC0"/>
    <w:rsid w:val="00E35478"/>
    <w:rsid w:val="00E357D2"/>
    <w:rsid w:val="00E3697A"/>
    <w:rsid w:val="00E37036"/>
    <w:rsid w:val="00E375DB"/>
    <w:rsid w:val="00E3785E"/>
    <w:rsid w:val="00E379F5"/>
    <w:rsid w:val="00E37F76"/>
    <w:rsid w:val="00E403B3"/>
    <w:rsid w:val="00E4076A"/>
    <w:rsid w:val="00E408B1"/>
    <w:rsid w:val="00E408D0"/>
    <w:rsid w:val="00E40A5B"/>
    <w:rsid w:val="00E41101"/>
    <w:rsid w:val="00E418CD"/>
    <w:rsid w:val="00E41BE9"/>
    <w:rsid w:val="00E41EAF"/>
    <w:rsid w:val="00E42060"/>
    <w:rsid w:val="00E4234A"/>
    <w:rsid w:val="00E423CB"/>
    <w:rsid w:val="00E42806"/>
    <w:rsid w:val="00E42AC7"/>
    <w:rsid w:val="00E430D0"/>
    <w:rsid w:val="00E43C0D"/>
    <w:rsid w:val="00E43D28"/>
    <w:rsid w:val="00E43DD2"/>
    <w:rsid w:val="00E44078"/>
    <w:rsid w:val="00E44081"/>
    <w:rsid w:val="00E44111"/>
    <w:rsid w:val="00E44C2C"/>
    <w:rsid w:val="00E453BD"/>
    <w:rsid w:val="00E45571"/>
    <w:rsid w:val="00E4577E"/>
    <w:rsid w:val="00E46570"/>
    <w:rsid w:val="00E46635"/>
    <w:rsid w:val="00E46DE1"/>
    <w:rsid w:val="00E46F75"/>
    <w:rsid w:val="00E47E7F"/>
    <w:rsid w:val="00E50A16"/>
    <w:rsid w:val="00E50DF4"/>
    <w:rsid w:val="00E5146B"/>
    <w:rsid w:val="00E5168A"/>
    <w:rsid w:val="00E51C6E"/>
    <w:rsid w:val="00E51C6F"/>
    <w:rsid w:val="00E51D08"/>
    <w:rsid w:val="00E523DC"/>
    <w:rsid w:val="00E527E6"/>
    <w:rsid w:val="00E52B56"/>
    <w:rsid w:val="00E52F33"/>
    <w:rsid w:val="00E531A5"/>
    <w:rsid w:val="00E531C6"/>
    <w:rsid w:val="00E53B80"/>
    <w:rsid w:val="00E545B2"/>
    <w:rsid w:val="00E548A1"/>
    <w:rsid w:val="00E548CA"/>
    <w:rsid w:val="00E549A3"/>
    <w:rsid w:val="00E5559C"/>
    <w:rsid w:val="00E556B1"/>
    <w:rsid w:val="00E557D9"/>
    <w:rsid w:val="00E55B31"/>
    <w:rsid w:val="00E55EEA"/>
    <w:rsid w:val="00E56313"/>
    <w:rsid w:val="00E569BF"/>
    <w:rsid w:val="00E572B4"/>
    <w:rsid w:val="00E57555"/>
    <w:rsid w:val="00E57942"/>
    <w:rsid w:val="00E57BC1"/>
    <w:rsid w:val="00E57FB7"/>
    <w:rsid w:val="00E6022F"/>
    <w:rsid w:val="00E604ED"/>
    <w:rsid w:val="00E60A45"/>
    <w:rsid w:val="00E60FB9"/>
    <w:rsid w:val="00E616E3"/>
    <w:rsid w:val="00E6175F"/>
    <w:rsid w:val="00E62242"/>
    <w:rsid w:val="00E623A8"/>
    <w:rsid w:val="00E6249D"/>
    <w:rsid w:val="00E62613"/>
    <w:rsid w:val="00E62C0A"/>
    <w:rsid w:val="00E62D7D"/>
    <w:rsid w:val="00E62DF8"/>
    <w:rsid w:val="00E63B2A"/>
    <w:rsid w:val="00E64400"/>
    <w:rsid w:val="00E64574"/>
    <w:rsid w:val="00E6564D"/>
    <w:rsid w:val="00E657B8"/>
    <w:rsid w:val="00E65B24"/>
    <w:rsid w:val="00E65DD6"/>
    <w:rsid w:val="00E663C0"/>
    <w:rsid w:val="00E6653F"/>
    <w:rsid w:val="00E67703"/>
    <w:rsid w:val="00E700B3"/>
    <w:rsid w:val="00E7047B"/>
    <w:rsid w:val="00E707EC"/>
    <w:rsid w:val="00E71032"/>
    <w:rsid w:val="00E711C1"/>
    <w:rsid w:val="00E7139A"/>
    <w:rsid w:val="00E7143E"/>
    <w:rsid w:val="00E719DD"/>
    <w:rsid w:val="00E71A0A"/>
    <w:rsid w:val="00E71BA7"/>
    <w:rsid w:val="00E71BF8"/>
    <w:rsid w:val="00E7231A"/>
    <w:rsid w:val="00E723DF"/>
    <w:rsid w:val="00E7260B"/>
    <w:rsid w:val="00E72873"/>
    <w:rsid w:val="00E728C2"/>
    <w:rsid w:val="00E72BD4"/>
    <w:rsid w:val="00E72C4B"/>
    <w:rsid w:val="00E72F9B"/>
    <w:rsid w:val="00E7323D"/>
    <w:rsid w:val="00E73506"/>
    <w:rsid w:val="00E735A5"/>
    <w:rsid w:val="00E736AC"/>
    <w:rsid w:val="00E73C02"/>
    <w:rsid w:val="00E748C3"/>
    <w:rsid w:val="00E74ABD"/>
    <w:rsid w:val="00E74F7B"/>
    <w:rsid w:val="00E75007"/>
    <w:rsid w:val="00E7500D"/>
    <w:rsid w:val="00E75A39"/>
    <w:rsid w:val="00E75C43"/>
    <w:rsid w:val="00E76521"/>
    <w:rsid w:val="00E767FA"/>
    <w:rsid w:val="00E769B2"/>
    <w:rsid w:val="00E76E65"/>
    <w:rsid w:val="00E76F3B"/>
    <w:rsid w:val="00E7709E"/>
    <w:rsid w:val="00E779B3"/>
    <w:rsid w:val="00E77C28"/>
    <w:rsid w:val="00E77F1C"/>
    <w:rsid w:val="00E8021F"/>
    <w:rsid w:val="00E81D29"/>
    <w:rsid w:val="00E81FAD"/>
    <w:rsid w:val="00E824A5"/>
    <w:rsid w:val="00E8268D"/>
    <w:rsid w:val="00E82836"/>
    <w:rsid w:val="00E82920"/>
    <w:rsid w:val="00E82D4D"/>
    <w:rsid w:val="00E83129"/>
    <w:rsid w:val="00E83135"/>
    <w:rsid w:val="00E831FE"/>
    <w:rsid w:val="00E837C2"/>
    <w:rsid w:val="00E839E0"/>
    <w:rsid w:val="00E83A21"/>
    <w:rsid w:val="00E83F20"/>
    <w:rsid w:val="00E83F87"/>
    <w:rsid w:val="00E84272"/>
    <w:rsid w:val="00E8443F"/>
    <w:rsid w:val="00E844E2"/>
    <w:rsid w:val="00E84D1D"/>
    <w:rsid w:val="00E84F97"/>
    <w:rsid w:val="00E85049"/>
    <w:rsid w:val="00E8589F"/>
    <w:rsid w:val="00E861B7"/>
    <w:rsid w:val="00E866D1"/>
    <w:rsid w:val="00E86E2F"/>
    <w:rsid w:val="00E86EB4"/>
    <w:rsid w:val="00E8716D"/>
    <w:rsid w:val="00E87676"/>
    <w:rsid w:val="00E877C5"/>
    <w:rsid w:val="00E87B6A"/>
    <w:rsid w:val="00E911D4"/>
    <w:rsid w:val="00E913CB"/>
    <w:rsid w:val="00E9162E"/>
    <w:rsid w:val="00E917C1"/>
    <w:rsid w:val="00E917CE"/>
    <w:rsid w:val="00E917F1"/>
    <w:rsid w:val="00E918DE"/>
    <w:rsid w:val="00E91EB5"/>
    <w:rsid w:val="00E92FD3"/>
    <w:rsid w:val="00E93166"/>
    <w:rsid w:val="00E933B7"/>
    <w:rsid w:val="00E93A84"/>
    <w:rsid w:val="00E93DD1"/>
    <w:rsid w:val="00E93FB9"/>
    <w:rsid w:val="00E94676"/>
    <w:rsid w:val="00E9511F"/>
    <w:rsid w:val="00E956BF"/>
    <w:rsid w:val="00E95A4B"/>
    <w:rsid w:val="00E95B5A"/>
    <w:rsid w:val="00E95C29"/>
    <w:rsid w:val="00E95C5F"/>
    <w:rsid w:val="00E95D5C"/>
    <w:rsid w:val="00E96272"/>
    <w:rsid w:val="00E96422"/>
    <w:rsid w:val="00E964D0"/>
    <w:rsid w:val="00E97303"/>
    <w:rsid w:val="00E97387"/>
    <w:rsid w:val="00E9738C"/>
    <w:rsid w:val="00E974B0"/>
    <w:rsid w:val="00E97513"/>
    <w:rsid w:val="00E97A64"/>
    <w:rsid w:val="00E97F86"/>
    <w:rsid w:val="00EA0414"/>
    <w:rsid w:val="00EA0815"/>
    <w:rsid w:val="00EA093D"/>
    <w:rsid w:val="00EA1156"/>
    <w:rsid w:val="00EA1339"/>
    <w:rsid w:val="00EA153B"/>
    <w:rsid w:val="00EA177E"/>
    <w:rsid w:val="00EA1999"/>
    <w:rsid w:val="00EA1CC8"/>
    <w:rsid w:val="00EA2078"/>
    <w:rsid w:val="00EA216A"/>
    <w:rsid w:val="00EA252E"/>
    <w:rsid w:val="00EA29E6"/>
    <w:rsid w:val="00EA2CD0"/>
    <w:rsid w:val="00EA2EF1"/>
    <w:rsid w:val="00EA2F62"/>
    <w:rsid w:val="00EA2FB4"/>
    <w:rsid w:val="00EA3518"/>
    <w:rsid w:val="00EA3877"/>
    <w:rsid w:val="00EA3FBD"/>
    <w:rsid w:val="00EA4195"/>
    <w:rsid w:val="00EA4607"/>
    <w:rsid w:val="00EA487E"/>
    <w:rsid w:val="00EA49AF"/>
    <w:rsid w:val="00EA541C"/>
    <w:rsid w:val="00EA5809"/>
    <w:rsid w:val="00EA5B65"/>
    <w:rsid w:val="00EA608A"/>
    <w:rsid w:val="00EA6299"/>
    <w:rsid w:val="00EA6AE1"/>
    <w:rsid w:val="00EA6BDF"/>
    <w:rsid w:val="00EA6C56"/>
    <w:rsid w:val="00EA6C96"/>
    <w:rsid w:val="00EA6FD1"/>
    <w:rsid w:val="00EA7007"/>
    <w:rsid w:val="00EA7E05"/>
    <w:rsid w:val="00EB1302"/>
    <w:rsid w:val="00EB17B1"/>
    <w:rsid w:val="00EB1AE4"/>
    <w:rsid w:val="00EB1E3B"/>
    <w:rsid w:val="00EB1F59"/>
    <w:rsid w:val="00EB201B"/>
    <w:rsid w:val="00EB2D7F"/>
    <w:rsid w:val="00EB3138"/>
    <w:rsid w:val="00EB31DD"/>
    <w:rsid w:val="00EB3AD4"/>
    <w:rsid w:val="00EB3ECA"/>
    <w:rsid w:val="00EB3F3E"/>
    <w:rsid w:val="00EB4313"/>
    <w:rsid w:val="00EB46A5"/>
    <w:rsid w:val="00EB4726"/>
    <w:rsid w:val="00EB4B2F"/>
    <w:rsid w:val="00EB4BE4"/>
    <w:rsid w:val="00EB4D5F"/>
    <w:rsid w:val="00EB589E"/>
    <w:rsid w:val="00EB5A1F"/>
    <w:rsid w:val="00EB5D3A"/>
    <w:rsid w:val="00EB5DE5"/>
    <w:rsid w:val="00EB5E49"/>
    <w:rsid w:val="00EB641D"/>
    <w:rsid w:val="00EB6588"/>
    <w:rsid w:val="00EB695B"/>
    <w:rsid w:val="00EB6A3E"/>
    <w:rsid w:val="00EB7050"/>
    <w:rsid w:val="00EB7112"/>
    <w:rsid w:val="00EB77EC"/>
    <w:rsid w:val="00EC029B"/>
    <w:rsid w:val="00EC0394"/>
    <w:rsid w:val="00EC060E"/>
    <w:rsid w:val="00EC062B"/>
    <w:rsid w:val="00EC087F"/>
    <w:rsid w:val="00EC0F2C"/>
    <w:rsid w:val="00EC13A5"/>
    <w:rsid w:val="00EC172A"/>
    <w:rsid w:val="00EC1A9D"/>
    <w:rsid w:val="00EC2312"/>
    <w:rsid w:val="00EC24EC"/>
    <w:rsid w:val="00EC2594"/>
    <w:rsid w:val="00EC2659"/>
    <w:rsid w:val="00EC2E4D"/>
    <w:rsid w:val="00EC2E99"/>
    <w:rsid w:val="00EC3240"/>
    <w:rsid w:val="00EC32D7"/>
    <w:rsid w:val="00EC4467"/>
    <w:rsid w:val="00EC4626"/>
    <w:rsid w:val="00EC48A7"/>
    <w:rsid w:val="00EC4C9C"/>
    <w:rsid w:val="00EC4CBA"/>
    <w:rsid w:val="00EC4D73"/>
    <w:rsid w:val="00EC5191"/>
    <w:rsid w:val="00EC5447"/>
    <w:rsid w:val="00EC54CC"/>
    <w:rsid w:val="00EC55A5"/>
    <w:rsid w:val="00EC62A8"/>
    <w:rsid w:val="00EC63DC"/>
    <w:rsid w:val="00EC6495"/>
    <w:rsid w:val="00EC6629"/>
    <w:rsid w:val="00EC6CDE"/>
    <w:rsid w:val="00EC6FB6"/>
    <w:rsid w:val="00EC7886"/>
    <w:rsid w:val="00ED016C"/>
    <w:rsid w:val="00ED02B5"/>
    <w:rsid w:val="00ED12BE"/>
    <w:rsid w:val="00ED13BE"/>
    <w:rsid w:val="00ED152A"/>
    <w:rsid w:val="00ED152C"/>
    <w:rsid w:val="00ED192D"/>
    <w:rsid w:val="00ED1C28"/>
    <w:rsid w:val="00ED2398"/>
    <w:rsid w:val="00ED2F3E"/>
    <w:rsid w:val="00ED3610"/>
    <w:rsid w:val="00ED3CFC"/>
    <w:rsid w:val="00ED4E49"/>
    <w:rsid w:val="00ED5193"/>
    <w:rsid w:val="00ED68BD"/>
    <w:rsid w:val="00ED7078"/>
    <w:rsid w:val="00ED731F"/>
    <w:rsid w:val="00ED7921"/>
    <w:rsid w:val="00ED7B88"/>
    <w:rsid w:val="00ED7BCE"/>
    <w:rsid w:val="00ED7C32"/>
    <w:rsid w:val="00EE0229"/>
    <w:rsid w:val="00EE102C"/>
    <w:rsid w:val="00EE10F7"/>
    <w:rsid w:val="00EE12B2"/>
    <w:rsid w:val="00EE13DB"/>
    <w:rsid w:val="00EE2155"/>
    <w:rsid w:val="00EE2321"/>
    <w:rsid w:val="00EE24BA"/>
    <w:rsid w:val="00EE3178"/>
    <w:rsid w:val="00EE3482"/>
    <w:rsid w:val="00EE3559"/>
    <w:rsid w:val="00EE3890"/>
    <w:rsid w:val="00EE39DA"/>
    <w:rsid w:val="00EE3B69"/>
    <w:rsid w:val="00EE3BE6"/>
    <w:rsid w:val="00EE41F2"/>
    <w:rsid w:val="00EE4216"/>
    <w:rsid w:val="00EE43B6"/>
    <w:rsid w:val="00EE45E1"/>
    <w:rsid w:val="00EE4B3E"/>
    <w:rsid w:val="00EE512A"/>
    <w:rsid w:val="00EE5406"/>
    <w:rsid w:val="00EE55F3"/>
    <w:rsid w:val="00EE5D4A"/>
    <w:rsid w:val="00EE68E2"/>
    <w:rsid w:val="00EE6A98"/>
    <w:rsid w:val="00EE6ECB"/>
    <w:rsid w:val="00EE718E"/>
    <w:rsid w:val="00EE71A8"/>
    <w:rsid w:val="00EE769E"/>
    <w:rsid w:val="00EE7719"/>
    <w:rsid w:val="00EE79EE"/>
    <w:rsid w:val="00EF0256"/>
    <w:rsid w:val="00EF0303"/>
    <w:rsid w:val="00EF0873"/>
    <w:rsid w:val="00EF09E2"/>
    <w:rsid w:val="00EF0B0C"/>
    <w:rsid w:val="00EF0BB0"/>
    <w:rsid w:val="00EF0F70"/>
    <w:rsid w:val="00EF1FCB"/>
    <w:rsid w:val="00EF225D"/>
    <w:rsid w:val="00EF2BA7"/>
    <w:rsid w:val="00EF2CB1"/>
    <w:rsid w:val="00EF2F77"/>
    <w:rsid w:val="00EF31DE"/>
    <w:rsid w:val="00EF347A"/>
    <w:rsid w:val="00EF349E"/>
    <w:rsid w:val="00EF3740"/>
    <w:rsid w:val="00EF38CC"/>
    <w:rsid w:val="00EF40B1"/>
    <w:rsid w:val="00EF4229"/>
    <w:rsid w:val="00EF423B"/>
    <w:rsid w:val="00EF42A9"/>
    <w:rsid w:val="00EF4429"/>
    <w:rsid w:val="00EF44B5"/>
    <w:rsid w:val="00EF484E"/>
    <w:rsid w:val="00EF5358"/>
    <w:rsid w:val="00EF5583"/>
    <w:rsid w:val="00EF5A76"/>
    <w:rsid w:val="00EF5FD3"/>
    <w:rsid w:val="00EF68D0"/>
    <w:rsid w:val="00EF6B78"/>
    <w:rsid w:val="00EF6CB4"/>
    <w:rsid w:val="00EF6E17"/>
    <w:rsid w:val="00EF6F8A"/>
    <w:rsid w:val="00EF728F"/>
    <w:rsid w:val="00EF72EE"/>
    <w:rsid w:val="00EF732F"/>
    <w:rsid w:val="00EF7889"/>
    <w:rsid w:val="00EF7962"/>
    <w:rsid w:val="00EF79A8"/>
    <w:rsid w:val="00EF7BB7"/>
    <w:rsid w:val="00EF7C04"/>
    <w:rsid w:val="00EF7C37"/>
    <w:rsid w:val="00F00B2A"/>
    <w:rsid w:val="00F00E38"/>
    <w:rsid w:val="00F01225"/>
    <w:rsid w:val="00F0124C"/>
    <w:rsid w:val="00F01693"/>
    <w:rsid w:val="00F019E0"/>
    <w:rsid w:val="00F01F14"/>
    <w:rsid w:val="00F020F7"/>
    <w:rsid w:val="00F02332"/>
    <w:rsid w:val="00F02676"/>
    <w:rsid w:val="00F02BF7"/>
    <w:rsid w:val="00F02D76"/>
    <w:rsid w:val="00F02EF9"/>
    <w:rsid w:val="00F03201"/>
    <w:rsid w:val="00F03211"/>
    <w:rsid w:val="00F0330A"/>
    <w:rsid w:val="00F0336C"/>
    <w:rsid w:val="00F03A10"/>
    <w:rsid w:val="00F04801"/>
    <w:rsid w:val="00F048FF"/>
    <w:rsid w:val="00F04CF8"/>
    <w:rsid w:val="00F04DE1"/>
    <w:rsid w:val="00F04E3D"/>
    <w:rsid w:val="00F052B2"/>
    <w:rsid w:val="00F054A6"/>
    <w:rsid w:val="00F05562"/>
    <w:rsid w:val="00F058AA"/>
    <w:rsid w:val="00F065BC"/>
    <w:rsid w:val="00F06811"/>
    <w:rsid w:val="00F06EC6"/>
    <w:rsid w:val="00F07682"/>
    <w:rsid w:val="00F078B9"/>
    <w:rsid w:val="00F07961"/>
    <w:rsid w:val="00F07978"/>
    <w:rsid w:val="00F07A21"/>
    <w:rsid w:val="00F07B96"/>
    <w:rsid w:val="00F100FB"/>
    <w:rsid w:val="00F10AD6"/>
    <w:rsid w:val="00F10C16"/>
    <w:rsid w:val="00F10EAC"/>
    <w:rsid w:val="00F110AE"/>
    <w:rsid w:val="00F112FE"/>
    <w:rsid w:val="00F1131F"/>
    <w:rsid w:val="00F11350"/>
    <w:rsid w:val="00F113AF"/>
    <w:rsid w:val="00F1146F"/>
    <w:rsid w:val="00F114E3"/>
    <w:rsid w:val="00F115A9"/>
    <w:rsid w:val="00F117D0"/>
    <w:rsid w:val="00F11AF7"/>
    <w:rsid w:val="00F11B2F"/>
    <w:rsid w:val="00F11BE5"/>
    <w:rsid w:val="00F120AD"/>
    <w:rsid w:val="00F128CB"/>
    <w:rsid w:val="00F12F2F"/>
    <w:rsid w:val="00F1335E"/>
    <w:rsid w:val="00F134EE"/>
    <w:rsid w:val="00F13905"/>
    <w:rsid w:val="00F14A4C"/>
    <w:rsid w:val="00F15CA9"/>
    <w:rsid w:val="00F15E5C"/>
    <w:rsid w:val="00F1612E"/>
    <w:rsid w:val="00F1645E"/>
    <w:rsid w:val="00F166D3"/>
    <w:rsid w:val="00F168CE"/>
    <w:rsid w:val="00F17F03"/>
    <w:rsid w:val="00F20068"/>
    <w:rsid w:val="00F2047F"/>
    <w:rsid w:val="00F20620"/>
    <w:rsid w:val="00F20B03"/>
    <w:rsid w:val="00F20D57"/>
    <w:rsid w:val="00F20FCE"/>
    <w:rsid w:val="00F21174"/>
    <w:rsid w:val="00F21341"/>
    <w:rsid w:val="00F213AC"/>
    <w:rsid w:val="00F21942"/>
    <w:rsid w:val="00F21D72"/>
    <w:rsid w:val="00F21EB7"/>
    <w:rsid w:val="00F22777"/>
    <w:rsid w:val="00F22791"/>
    <w:rsid w:val="00F2279A"/>
    <w:rsid w:val="00F227E9"/>
    <w:rsid w:val="00F2284D"/>
    <w:rsid w:val="00F22936"/>
    <w:rsid w:val="00F22B93"/>
    <w:rsid w:val="00F23801"/>
    <w:rsid w:val="00F23C05"/>
    <w:rsid w:val="00F24194"/>
    <w:rsid w:val="00F246D5"/>
    <w:rsid w:val="00F24CB3"/>
    <w:rsid w:val="00F25398"/>
    <w:rsid w:val="00F257ED"/>
    <w:rsid w:val="00F25820"/>
    <w:rsid w:val="00F25977"/>
    <w:rsid w:val="00F25F27"/>
    <w:rsid w:val="00F26296"/>
    <w:rsid w:val="00F268B9"/>
    <w:rsid w:val="00F26AF1"/>
    <w:rsid w:val="00F271A8"/>
    <w:rsid w:val="00F27353"/>
    <w:rsid w:val="00F273C8"/>
    <w:rsid w:val="00F304E2"/>
    <w:rsid w:val="00F30500"/>
    <w:rsid w:val="00F305A2"/>
    <w:rsid w:val="00F312B0"/>
    <w:rsid w:val="00F3141B"/>
    <w:rsid w:val="00F316F4"/>
    <w:rsid w:val="00F31771"/>
    <w:rsid w:val="00F31BFF"/>
    <w:rsid w:val="00F31DBB"/>
    <w:rsid w:val="00F3212C"/>
    <w:rsid w:val="00F32144"/>
    <w:rsid w:val="00F3231D"/>
    <w:rsid w:val="00F325B4"/>
    <w:rsid w:val="00F326C4"/>
    <w:rsid w:val="00F329C4"/>
    <w:rsid w:val="00F32B17"/>
    <w:rsid w:val="00F32DB4"/>
    <w:rsid w:val="00F3319A"/>
    <w:rsid w:val="00F33932"/>
    <w:rsid w:val="00F33F7F"/>
    <w:rsid w:val="00F340F6"/>
    <w:rsid w:val="00F342BE"/>
    <w:rsid w:val="00F342E0"/>
    <w:rsid w:val="00F34B68"/>
    <w:rsid w:val="00F34D59"/>
    <w:rsid w:val="00F34F42"/>
    <w:rsid w:val="00F351C7"/>
    <w:rsid w:val="00F35571"/>
    <w:rsid w:val="00F35A44"/>
    <w:rsid w:val="00F35C28"/>
    <w:rsid w:val="00F35ED9"/>
    <w:rsid w:val="00F35F22"/>
    <w:rsid w:val="00F363B4"/>
    <w:rsid w:val="00F363D3"/>
    <w:rsid w:val="00F36A50"/>
    <w:rsid w:val="00F372F0"/>
    <w:rsid w:val="00F373DE"/>
    <w:rsid w:val="00F375C8"/>
    <w:rsid w:val="00F37CF0"/>
    <w:rsid w:val="00F37D26"/>
    <w:rsid w:val="00F37F09"/>
    <w:rsid w:val="00F37F0B"/>
    <w:rsid w:val="00F40000"/>
    <w:rsid w:val="00F40E9C"/>
    <w:rsid w:val="00F41D1A"/>
    <w:rsid w:val="00F429D0"/>
    <w:rsid w:val="00F42CDF"/>
    <w:rsid w:val="00F42D13"/>
    <w:rsid w:val="00F42E5A"/>
    <w:rsid w:val="00F43039"/>
    <w:rsid w:val="00F43144"/>
    <w:rsid w:val="00F43172"/>
    <w:rsid w:val="00F4354A"/>
    <w:rsid w:val="00F43E54"/>
    <w:rsid w:val="00F444C4"/>
    <w:rsid w:val="00F4547B"/>
    <w:rsid w:val="00F45CD1"/>
    <w:rsid w:val="00F45F78"/>
    <w:rsid w:val="00F45F92"/>
    <w:rsid w:val="00F46033"/>
    <w:rsid w:val="00F46727"/>
    <w:rsid w:val="00F46949"/>
    <w:rsid w:val="00F46B2A"/>
    <w:rsid w:val="00F46E9A"/>
    <w:rsid w:val="00F4723B"/>
    <w:rsid w:val="00F474ED"/>
    <w:rsid w:val="00F47A2E"/>
    <w:rsid w:val="00F47BC5"/>
    <w:rsid w:val="00F47CC1"/>
    <w:rsid w:val="00F50009"/>
    <w:rsid w:val="00F500FB"/>
    <w:rsid w:val="00F50212"/>
    <w:rsid w:val="00F506BA"/>
    <w:rsid w:val="00F50E2B"/>
    <w:rsid w:val="00F5188F"/>
    <w:rsid w:val="00F51C0C"/>
    <w:rsid w:val="00F51C13"/>
    <w:rsid w:val="00F52125"/>
    <w:rsid w:val="00F529F1"/>
    <w:rsid w:val="00F52C2B"/>
    <w:rsid w:val="00F52D84"/>
    <w:rsid w:val="00F530D6"/>
    <w:rsid w:val="00F5326D"/>
    <w:rsid w:val="00F53438"/>
    <w:rsid w:val="00F54374"/>
    <w:rsid w:val="00F546E7"/>
    <w:rsid w:val="00F5472A"/>
    <w:rsid w:val="00F54E47"/>
    <w:rsid w:val="00F556BD"/>
    <w:rsid w:val="00F55921"/>
    <w:rsid w:val="00F55E16"/>
    <w:rsid w:val="00F55E2D"/>
    <w:rsid w:val="00F55E4C"/>
    <w:rsid w:val="00F5627A"/>
    <w:rsid w:val="00F56A21"/>
    <w:rsid w:val="00F56A4F"/>
    <w:rsid w:val="00F56DDA"/>
    <w:rsid w:val="00F574C5"/>
    <w:rsid w:val="00F574ED"/>
    <w:rsid w:val="00F57836"/>
    <w:rsid w:val="00F60315"/>
    <w:rsid w:val="00F60358"/>
    <w:rsid w:val="00F6053E"/>
    <w:rsid w:val="00F60BF5"/>
    <w:rsid w:val="00F61432"/>
    <w:rsid w:val="00F614D8"/>
    <w:rsid w:val="00F61AFA"/>
    <w:rsid w:val="00F61DE4"/>
    <w:rsid w:val="00F61F9F"/>
    <w:rsid w:val="00F62710"/>
    <w:rsid w:val="00F62859"/>
    <w:rsid w:val="00F62958"/>
    <w:rsid w:val="00F6296D"/>
    <w:rsid w:val="00F62A9B"/>
    <w:rsid w:val="00F62ABF"/>
    <w:rsid w:val="00F62BCF"/>
    <w:rsid w:val="00F62BFF"/>
    <w:rsid w:val="00F62F41"/>
    <w:rsid w:val="00F6306C"/>
    <w:rsid w:val="00F6386B"/>
    <w:rsid w:val="00F63C25"/>
    <w:rsid w:val="00F63C8A"/>
    <w:rsid w:val="00F63DC5"/>
    <w:rsid w:val="00F64330"/>
    <w:rsid w:val="00F6568D"/>
    <w:rsid w:val="00F65AF2"/>
    <w:rsid w:val="00F65C9F"/>
    <w:rsid w:val="00F6619A"/>
    <w:rsid w:val="00F66489"/>
    <w:rsid w:val="00F66733"/>
    <w:rsid w:val="00F66884"/>
    <w:rsid w:val="00F66F07"/>
    <w:rsid w:val="00F67142"/>
    <w:rsid w:val="00F6739A"/>
    <w:rsid w:val="00F674D4"/>
    <w:rsid w:val="00F6757B"/>
    <w:rsid w:val="00F676B3"/>
    <w:rsid w:val="00F67D21"/>
    <w:rsid w:val="00F70025"/>
    <w:rsid w:val="00F70026"/>
    <w:rsid w:val="00F704FA"/>
    <w:rsid w:val="00F70FDD"/>
    <w:rsid w:val="00F711E0"/>
    <w:rsid w:val="00F71341"/>
    <w:rsid w:val="00F71667"/>
    <w:rsid w:val="00F718E9"/>
    <w:rsid w:val="00F7234A"/>
    <w:rsid w:val="00F7251C"/>
    <w:rsid w:val="00F729C6"/>
    <w:rsid w:val="00F72AC3"/>
    <w:rsid w:val="00F72B0B"/>
    <w:rsid w:val="00F72C16"/>
    <w:rsid w:val="00F72DFC"/>
    <w:rsid w:val="00F73A90"/>
    <w:rsid w:val="00F74DF9"/>
    <w:rsid w:val="00F74E17"/>
    <w:rsid w:val="00F74E7A"/>
    <w:rsid w:val="00F75464"/>
    <w:rsid w:val="00F76048"/>
    <w:rsid w:val="00F762F2"/>
    <w:rsid w:val="00F76A2B"/>
    <w:rsid w:val="00F76AB0"/>
    <w:rsid w:val="00F76AC4"/>
    <w:rsid w:val="00F76C90"/>
    <w:rsid w:val="00F76C93"/>
    <w:rsid w:val="00F76EBC"/>
    <w:rsid w:val="00F77670"/>
    <w:rsid w:val="00F77869"/>
    <w:rsid w:val="00F77EED"/>
    <w:rsid w:val="00F80091"/>
    <w:rsid w:val="00F80572"/>
    <w:rsid w:val="00F80CEF"/>
    <w:rsid w:val="00F81039"/>
    <w:rsid w:val="00F8118B"/>
    <w:rsid w:val="00F81221"/>
    <w:rsid w:val="00F81242"/>
    <w:rsid w:val="00F82228"/>
    <w:rsid w:val="00F82FFC"/>
    <w:rsid w:val="00F8312E"/>
    <w:rsid w:val="00F833C8"/>
    <w:rsid w:val="00F83C9D"/>
    <w:rsid w:val="00F83E0C"/>
    <w:rsid w:val="00F83E9C"/>
    <w:rsid w:val="00F84044"/>
    <w:rsid w:val="00F84506"/>
    <w:rsid w:val="00F84FCA"/>
    <w:rsid w:val="00F8501D"/>
    <w:rsid w:val="00F85556"/>
    <w:rsid w:val="00F8580D"/>
    <w:rsid w:val="00F859BB"/>
    <w:rsid w:val="00F85A8A"/>
    <w:rsid w:val="00F85A9D"/>
    <w:rsid w:val="00F85CF7"/>
    <w:rsid w:val="00F85F99"/>
    <w:rsid w:val="00F8625E"/>
    <w:rsid w:val="00F8655D"/>
    <w:rsid w:val="00F86EBA"/>
    <w:rsid w:val="00F86FB1"/>
    <w:rsid w:val="00F87069"/>
    <w:rsid w:val="00F87309"/>
    <w:rsid w:val="00F8744D"/>
    <w:rsid w:val="00F87586"/>
    <w:rsid w:val="00F876CA"/>
    <w:rsid w:val="00F87800"/>
    <w:rsid w:val="00F87997"/>
    <w:rsid w:val="00F87AB1"/>
    <w:rsid w:val="00F90089"/>
    <w:rsid w:val="00F901C6"/>
    <w:rsid w:val="00F908E3"/>
    <w:rsid w:val="00F90D3E"/>
    <w:rsid w:val="00F91DE7"/>
    <w:rsid w:val="00F920E7"/>
    <w:rsid w:val="00F92296"/>
    <w:rsid w:val="00F92441"/>
    <w:rsid w:val="00F931FB"/>
    <w:rsid w:val="00F9330F"/>
    <w:rsid w:val="00F9381D"/>
    <w:rsid w:val="00F93F74"/>
    <w:rsid w:val="00F940E8"/>
    <w:rsid w:val="00F941A1"/>
    <w:rsid w:val="00F94303"/>
    <w:rsid w:val="00F94305"/>
    <w:rsid w:val="00F94A47"/>
    <w:rsid w:val="00F95565"/>
    <w:rsid w:val="00F956FB"/>
    <w:rsid w:val="00F9637E"/>
    <w:rsid w:val="00F96D65"/>
    <w:rsid w:val="00F97735"/>
    <w:rsid w:val="00F978E3"/>
    <w:rsid w:val="00F979B9"/>
    <w:rsid w:val="00F97A03"/>
    <w:rsid w:val="00F97D8E"/>
    <w:rsid w:val="00F97DC9"/>
    <w:rsid w:val="00FA0280"/>
    <w:rsid w:val="00FA06AA"/>
    <w:rsid w:val="00FA06BB"/>
    <w:rsid w:val="00FA07DF"/>
    <w:rsid w:val="00FA0844"/>
    <w:rsid w:val="00FA0909"/>
    <w:rsid w:val="00FA0BA0"/>
    <w:rsid w:val="00FA0E5A"/>
    <w:rsid w:val="00FA0F51"/>
    <w:rsid w:val="00FA1243"/>
    <w:rsid w:val="00FA1270"/>
    <w:rsid w:val="00FA2040"/>
    <w:rsid w:val="00FA2268"/>
    <w:rsid w:val="00FA25AC"/>
    <w:rsid w:val="00FA3477"/>
    <w:rsid w:val="00FA34A8"/>
    <w:rsid w:val="00FA3B74"/>
    <w:rsid w:val="00FA44BC"/>
    <w:rsid w:val="00FA4512"/>
    <w:rsid w:val="00FA47D4"/>
    <w:rsid w:val="00FA4936"/>
    <w:rsid w:val="00FA4B51"/>
    <w:rsid w:val="00FA4C06"/>
    <w:rsid w:val="00FA4C25"/>
    <w:rsid w:val="00FA538E"/>
    <w:rsid w:val="00FA5DE7"/>
    <w:rsid w:val="00FA5F51"/>
    <w:rsid w:val="00FA6368"/>
    <w:rsid w:val="00FA6AFD"/>
    <w:rsid w:val="00FA7634"/>
    <w:rsid w:val="00FA784F"/>
    <w:rsid w:val="00FA7C48"/>
    <w:rsid w:val="00FA7F1E"/>
    <w:rsid w:val="00FB005C"/>
    <w:rsid w:val="00FB04D2"/>
    <w:rsid w:val="00FB058B"/>
    <w:rsid w:val="00FB0A86"/>
    <w:rsid w:val="00FB1298"/>
    <w:rsid w:val="00FB1D33"/>
    <w:rsid w:val="00FB205D"/>
    <w:rsid w:val="00FB256C"/>
    <w:rsid w:val="00FB27D8"/>
    <w:rsid w:val="00FB285D"/>
    <w:rsid w:val="00FB30EA"/>
    <w:rsid w:val="00FB344F"/>
    <w:rsid w:val="00FB34F1"/>
    <w:rsid w:val="00FB3E8F"/>
    <w:rsid w:val="00FB3FDC"/>
    <w:rsid w:val="00FB4708"/>
    <w:rsid w:val="00FB52FB"/>
    <w:rsid w:val="00FB531B"/>
    <w:rsid w:val="00FB5474"/>
    <w:rsid w:val="00FB54E6"/>
    <w:rsid w:val="00FB556B"/>
    <w:rsid w:val="00FB607E"/>
    <w:rsid w:val="00FB61C3"/>
    <w:rsid w:val="00FB6750"/>
    <w:rsid w:val="00FB6A10"/>
    <w:rsid w:val="00FB7269"/>
    <w:rsid w:val="00FB756F"/>
    <w:rsid w:val="00FB7585"/>
    <w:rsid w:val="00FB77D2"/>
    <w:rsid w:val="00FB7AE1"/>
    <w:rsid w:val="00FB7CDD"/>
    <w:rsid w:val="00FC06AE"/>
    <w:rsid w:val="00FC0C99"/>
    <w:rsid w:val="00FC0DA9"/>
    <w:rsid w:val="00FC0E63"/>
    <w:rsid w:val="00FC1086"/>
    <w:rsid w:val="00FC140A"/>
    <w:rsid w:val="00FC174B"/>
    <w:rsid w:val="00FC17C0"/>
    <w:rsid w:val="00FC1AC5"/>
    <w:rsid w:val="00FC1D53"/>
    <w:rsid w:val="00FC1DB5"/>
    <w:rsid w:val="00FC1ED1"/>
    <w:rsid w:val="00FC20B5"/>
    <w:rsid w:val="00FC25F5"/>
    <w:rsid w:val="00FC2893"/>
    <w:rsid w:val="00FC293E"/>
    <w:rsid w:val="00FC2E72"/>
    <w:rsid w:val="00FC2FA0"/>
    <w:rsid w:val="00FC3442"/>
    <w:rsid w:val="00FC39A8"/>
    <w:rsid w:val="00FC44EE"/>
    <w:rsid w:val="00FC45D2"/>
    <w:rsid w:val="00FC507E"/>
    <w:rsid w:val="00FC5B5A"/>
    <w:rsid w:val="00FC5D94"/>
    <w:rsid w:val="00FC6C49"/>
    <w:rsid w:val="00FC6D5B"/>
    <w:rsid w:val="00FC6E48"/>
    <w:rsid w:val="00FC70D3"/>
    <w:rsid w:val="00FC7263"/>
    <w:rsid w:val="00FC7481"/>
    <w:rsid w:val="00FC7A78"/>
    <w:rsid w:val="00FC7C45"/>
    <w:rsid w:val="00FC7EAC"/>
    <w:rsid w:val="00FC7F57"/>
    <w:rsid w:val="00FD0AA8"/>
    <w:rsid w:val="00FD1142"/>
    <w:rsid w:val="00FD117D"/>
    <w:rsid w:val="00FD20A8"/>
    <w:rsid w:val="00FD22AA"/>
    <w:rsid w:val="00FD2658"/>
    <w:rsid w:val="00FD28C9"/>
    <w:rsid w:val="00FD28FF"/>
    <w:rsid w:val="00FD2CA3"/>
    <w:rsid w:val="00FD30CD"/>
    <w:rsid w:val="00FD3605"/>
    <w:rsid w:val="00FD3ACF"/>
    <w:rsid w:val="00FD4748"/>
    <w:rsid w:val="00FD49C3"/>
    <w:rsid w:val="00FD58F3"/>
    <w:rsid w:val="00FD5A71"/>
    <w:rsid w:val="00FD5A9C"/>
    <w:rsid w:val="00FD5CE7"/>
    <w:rsid w:val="00FD67D8"/>
    <w:rsid w:val="00FD67DD"/>
    <w:rsid w:val="00FD6EBD"/>
    <w:rsid w:val="00FD6F5A"/>
    <w:rsid w:val="00FD6FCB"/>
    <w:rsid w:val="00FD7667"/>
    <w:rsid w:val="00FD7E21"/>
    <w:rsid w:val="00FE015F"/>
    <w:rsid w:val="00FE049E"/>
    <w:rsid w:val="00FE055A"/>
    <w:rsid w:val="00FE0CC2"/>
    <w:rsid w:val="00FE0E5A"/>
    <w:rsid w:val="00FE122F"/>
    <w:rsid w:val="00FE1355"/>
    <w:rsid w:val="00FE1CED"/>
    <w:rsid w:val="00FE1D47"/>
    <w:rsid w:val="00FE1D4E"/>
    <w:rsid w:val="00FE1DCB"/>
    <w:rsid w:val="00FE23A0"/>
    <w:rsid w:val="00FE35D1"/>
    <w:rsid w:val="00FE3609"/>
    <w:rsid w:val="00FE3DA3"/>
    <w:rsid w:val="00FE428D"/>
    <w:rsid w:val="00FE439C"/>
    <w:rsid w:val="00FE4A32"/>
    <w:rsid w:val="00FE4FA4"/>
    <w:rsid w:val="00FE5257"/>
    <w:rsid w:val="00FE52D2"/>
    <w:rsid w:val="00FE56F3"/>
    <w:rsid w:val="00FE5BCB"/>
    <w:rsid w:val="00FE5E79"/>
    <w:rsid w:val="00FE6793"/>
    <w:rsid w:val="00FE6FD3"/>
    <w:rsid w:val="00FE75B4"/>
    <w:rsid w:val="00FE7861"/>
    <w:rsid w:val="00FE7B34"/>
    <w:rsid w:val="00FF01F1"/>
    <w:rsid w:val="00FF039C"/>
    <w:rsid w:val="00FF0401"/>
    <w:rsid w:val="00FF069B"/>
    <w:rsid w:val="00FF0B88"/>
    <w:rsid w:val="00FF17B3"/>
    <w:rsid w:val="00FF1926"/>
    <w:rsid w:val="00FF1D28"/>
    <w:rsid w:val="00FF1EE2"/>
    <w:rsid w:val="00FF1F4B"/>
    <w:rsid w:val="00FF2295"/>
    <w:rsid w:val="00FF2D17"/>
    <w:rsid w:val="00FF3317"/>
    <w:rsid w:val="00FF3418"/>
    <w:rsid w:val="00FF35E5"/>
    <w:rsid w:val="00FF3691"/>
    <w:rsid w:val="00FF3AEA"/>
    <w:rsid w:val="00FF427B"/>
    <w:rsid w:val="00FF45E1"/>
    <w:rsid w:val="00FF4782"/>
    <w:rsid w:val="00FF4A7E"/>
    <w:rsid w:val="00FF4B8C"/>
    <w:rsid w:val="00FF5CC9"/>
    <w:rsid w:val="00FF6384"/>
    <w:rsid w:val="00FF64A0"/>
    <w:rsid w:val="00FF6887"/>
    <w:rsid w:val="00FF69D1"/>
    <w:rsid w:val="00FF6CD8"/>
    <w:rsid w:val="00FF6F5D"/>
    <w:rsid w:val="00FF7195"/>
    <w:rsid w:val="00FF7477"/>
    <w:rsid w:val="00FF7649"/>
    <w:rsid w:val="00FF77F2"/>
    <w:rsid w:val="00FF7861"/>
    <w:rsid w:val="00FF7A67"/>
    <w:rsid w:val="00FF7DC1"/>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AB0"/>
    <w:rPr>
      <w:rFonts w:ascii="Palatino" w:hAnsi="Palatino"/>
      <w:sz w:val="26"/>
    </w:rPr>
  </w:style>
  <w:style w:type="paragraph" w:styleId="Heading1">
    <w:name w:val="heading 1"/>
    <w:basedOn w:val="Normal"/>
    <w:next w:val="standard"/>
    <w:link w:val="Heading1Char"/>
    <w:qFormat/>
    <w:rsid w:val="00786A57"/>
    <w:pPr>
      <w:keepNext/>
      <w:spacing w:before="120" w:after="120"/>
      <w:ind w:firstLine="720"/>
      <w:outlineLvl w:val="0"/>
    </w:pPr>
    <w:rPr>
      <w:rFonts w:ascii="Helvetica" w:hAnsi="Helvetica"/>
      <w:b/>
      <w:kern w:val="28"/>
    </w:rPr>
  </w:style>
  <w:style w:type="paragraph" w:styleId="Heading2">
    <w:name w:val="heading 2"/>
    <w:basedOn w:val="Normal"/>
    <w:next w:val="Normal"/>
    <w:qFormat/>
    <w:rsid w:val="00B167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7CA6"/>
    <w:pPr>
      <w:keepNext/>
      <w:numPr>
        <w:numId w:val="34"/>
      </w:numPr>
      <w:spacing w:before="120" w:after="120"/>
      <w:outlineLvl w:val="2"/>
    </w:pPr>
    <w:rPr>
      <w:rFonts w:ascii="Helvetica" w:hAnsi="Helvetica"/>
      <w:b/>
    </w:rPr>
  </w:style>
  <w:style w:type="paragraph" w:styleId="Heading4">
    <w:name w:val="heading 4"/>
    <w:basedOn w:val="Normal"/>
    <w:next w:val="Normal"/>
    <w:link w:val="Heading4Char"/>
    <w:qFormat/>
    <w:rsid w:val="00CE7CA6"/>
    <w:pPr>
      <w:keepNext/>
      <w:tabs>
        <w:tab w:val="num" w:pos="864"/>
      </w:tabs>
      <w:spacing w:before="120" w:after="60"/>
      <w:ind w:left="864" w:hanging="864"/>
      <w:outlineLvl w:val="3"/>
    </w:pPr>
    <w:rPr>
      <w:rFonts w:ascii="Helvetica" w:hAnsi="Helvetica"/>
      <w:b/>
      <w:i/>
    </w:rPr>
  </w:style>
  <w:style w:type="paragraph" w:styleId="Heading5">
    <w:name w:val="heading 5"/>
    <w:basedOn w:val="Normal"/>
    <w:next w:val="Normal"/>
    <w:link w:val="Heading5Char"/>
    <w:qFormat/>
    <w:rsid w:val="00CE7CA6"/>
    <w:pPr>
      <w:tabs>
        <w:tab w:val="num" w:pos="1008"/>
      </w:tabs>
      <w:spacing w:before="120" w:after="120"/>
      <w:ind w:left="1008" w:hanging="1008"/>
      <w:outlineLvl w:val="4"/>
    </w:pPr>
    <w:rPr>
      <w:rFonts w:ascii="Helvetica" w:hAnsi="Helvetica"/>
      <w:b/>
    </w:rPr>
  </w:style>
  <w:style w:type="paragraph" w:styleId="Heading6">
    <w:name w:val="heading 6"/>
    <w:basedOn w:val="Normal"/>
    <w:next w:val="Normal"/>
    <w:link w:val="Heading6Char"/>
    <w:qFormat/>
    <w:rsid w:val="00CE7CA6"/>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CE7CA6"/>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CE7CA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E7CA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F76AB0"/>
    <w:pPr>
      <w:jc w:val="center"/>
    </w:pPr>
    <w:rPr>
      <w:rFonts w:ascii="Helvetica" w:hAnsi="Helvetica"/>
      <w:b/>
    </w:rPr>
  </w:style>
  <w:style w:type="paragraph" w:customStyle="1" w:styleId="standard">
    <w:name w:val="standard"/>
    <w:basedOn w:val="Normal"/>
    <w:link w:val="standardChar"/>
    <w:rsid w:val="00BF2CFB"/>
    <w:pPr>
      <w:spacing w:line="360" w:lineRule="auto"/>
      <w:ind w:firstLine="720"/>
    </w:pPr>
  </w:style>
  <w:style w:type="paragraph" w:styleId="FootnoteText">
    <w:name w:val="footnote text"/>
    <w:aliases w:val="Footnote Text Char,Footnote Text Char2 Char,Footnote Text Char Char Char,Footnote Text Char2 Char Char Char,Footnote Text Char Char Char Char Char,Footnote Text Char2 Char Char Char Char1 Char,Footnote Text Char2,Footnote Text Char Char,fn"/>
    <w:basedOn w:val="Normal"/>
    <w:link w:val="FootnoteTextChar1"/>
    <w:rsid w:val="00786A57"/>
    <w:pPr>
      <w:spacing w:after="240"/>
    </w:pPr>
    <w:rPr>
      <w:sz w:val="24"/>
    </w:rPr>
  </w:style>
  <w:style w:type="character" w:styleId="FootnoteReference">
    <w:name w:val="footnote reference"/>
    <w:aliases w:val="o,fr,Style 3,o1,o2,o3,o4,o5,o6,o11,o21,o7,o + Times New Roman,Style 12,(NECG) Footnote Reference,Appel note de bas de p,Style 124,Style 58"/>
    <w:rsid w:val="00786A57"/>
    <w:rPr>
      <w:sz w:val="24"/>
      <w:vertAlign w:val="superscript"/>
    </w:rPr>
  </w:style>
  <w:style w:type="character" w:customStyle="1" w:styleId="standardChar">
    <w:name w:val="standard Char"/>
    <w:link w:val="standard"/>
    <w:rsid w:val="00786A57"/>
    <w:rPr>
      <w:rFonts w:ascii="Palatino" w:hAnsi="Palatino"/>
      <w:sz w:val="26"/>
      <w:lang w:val="en-US" w:eastAsia="en-US" w:bidi="ar-SA"/>
    </w:rPr>
  </w:style>
  <w:style w:type="character" w:customStyle="1" w:styleId="FootnoteTextChar1">
    <w:name w:val="Footnote Text Char1"/>
    <w:aliases w:val="Footnote Text Char Char1,Footnote Text Char2 Char Char,Footnote Text Char Char Char Char,Footnote Text Char2 Char Char Char Char,Footnote Text Char Char Char Char Char Char,Footnote Text Char2 Char Char Char Char1 Char Char,fn Char"/>
    <w:link w:val="FootnoteText"/>
    <w:rsid w:val="00786A57"/>
    <w:rPr>
      <w:rFonts w:ascii="Palatino" w:hAnsi="Palatino"/>
      <w:sz w:val="24"/>
      <w:lang w:val="en-US" w:eastAsia="en-US" w:bidi="ar-SA"/>
    </w:rPr>
  </w:style>
  <w:style w:type="paragraph" w:customStyle="1" w:styleId="Default">
    <w:name w:val="Default"/>
    <w:rsid w:val="00D405CC"/>
    <w:pPr>
      <w:autoSpaceDE w:val="0"/>
      <w:autoSpaceDN w:val="0"/>
      <w:adjustRightInd w:val="0"/>
    </w:pPr>
    <w:rPr>
      <w:color w:val="000000"/>
      <w:sz w:val="24"/>
      <w:szCs w:val="24"/>
    </w:rPr>
  </w:style>
  <w:style w:type="paragraph" w:customStyle="1" w:styleId="num1">
    <w:name w:val="num1"/>
    <w:basedOn w:val="Normal"/>
    <w:link w:val="num1CharChar"/>
    <w:rsid w:val="0070433B"/>
    <w:pPr>
      <w:tabs>
        <w:tab w:val="left" w:pos="-720"/>
      </w:tabs>
      <w:suppressAutoHyphens/>
      <w:spacing w:line="360" w:lineRule="auto"/>
      <w:ind w:firstLine="360"/>
    </w:pPr>
  </w:style>
  <w:style w:type="character" w:styleId="Hyperlink">
    <w:name w:val="Hyperlink"/>
    <w:uiPriority w:val="99"/>
    <w:rsid w:val="0070433B"/>
    <w:rPr>
      <w:color w:val="0000FF"/>
      <w:u w:val="single"/>
    </w:rPr>
  </w:style>
  <w:style w:type="paragraph" w:styleId="Footer">
    <w:name w:val="footer"/>
    <w:basedOn w:val="Normal"/>
    <w:link w:val="FooterChar"/>
    <w:uiPriority w:val="99"/>
    <w:rsid w:val="0052757F"/>
    <w:pPr>
      <w:tabs>
        <w:tab w:val="center" w:pos="4320"/>
        <w:tab w:val="right" w:pos="8640"/>
      </w:tabs>
    </w:pPr>
  </w:style>
  <w:style w:type="character" w:styleId="PageNumber">
    <w:name w:val="page number"/>
    <w:basedOn w:val="DefaultParagraphFont"/>
    <w:rsid w:val="0052757F"/>
  </w:style>
  <w:style w:type="paragraph" w:styleId="BalloonText">
    <w:name w:val="Balloon Text"/>
    <w:basedOn w:val="Normal"/>
    <w:semiHidden/>
    <w:rsid w:val="00326D1D"/>
    <w:rPr>
      <w:rFonts w:ascii="Tahoma" w:hAnsi="Tahoma" w:cs="Tahoma"/>
      <w:sz w:val="16"/>
      <w:szCs w:val="16"/>
    </w:rPr>
  </w:style>
  <w:style w:type="paragraph" w:styleId="Header">
    <w:name w:val="header"/>
    <w:basedOn w:val="Normal"/>
    <w:link w:val="HeaderChar"/>
    <w:uiPriority w:val="99"/>
    <w:rsid w:val="007B4DBD"/>
    <w:pPr>
      <w:tabs>
        <w:tab w:val="center" w:pos="4320"/>
        <w:tab w:val="right" w:pos="8640"/>
      </w:tabs>
    </w:pPr>
  </w:style>
  <w:style w:type="paragraph" w:styleId="BodyTextIndent">
    <w:name w:val="Body Text Indent"/>
    <w:basedOn w:val="Normal"/>
    <w:rsid w:val="008E5AB1"/>
    <w:pPr>
      <w:spacing w:after="120"/>
      <w:ind w:left="360"/>
    </w:pPr>
  </w:style>
  <w:style w:type="table" w:styleId="TableGrid">
    <w:name w:val="Table Grid"/>
    <w:basedOn w:val="TableNormal"/>
    <w:rsid w:val="008E5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2">
    <w:name w:val="num2"/>
    <w:basedOn w:val="num1"/>
    <w:rsid w:val="00E623A8"/>
    <w:pPr>
      <w:ind w:firstLine="270"/>
    </w:pPr>
  </w:style>
  <w:style w:type="character" w:styleId="CommentReference">
    <w:name w:val="annotation reference"/>
    <w:semiHidden/>
    <w:rsid w:val="0099196D"/>
    <w:rPr>
      <w:sz w:val="16"/>
      <w:szCs w:val="16"/>
    </w:rPr>
  </w:style>
  <w:style w:type="paragraph" w:styleId="CommentText">
    <w:name w:val="annotation text"/>
    <w:basedOn w:val="Normal"/>
    <w:link w:val="CommentTextChar"/>
    <w:semiHidden/>
    <w:rsid w:val="0099196D"/>
    <w:rPr>
      <w:sz w:val="20"/>
    </w:rPr>
  </w:style>
  <w:style w:type="paragraph" w:styleId="CommentSubject">
    <w:name w:val="annotation subject"/>
    <w:basedOn w:val="CommentText"/>
    <w:next w:val="CommentText"/>
    <w:semiHidden/>
    <w:rsid w:val="0099196D"/>
    <w:rPr>
      <w:b/>
      <w:bCs/>
    </w:rPr>
  </w:style>
  <w:style w:type="character" w:customStyle="1" w:styleId="Heading3Char">
    <w:name w:val="Heading 3 Char"/>
    <w:link w:val="Heading3"/>
    <w:rsid w:val="00CE7CA6"/>
    <w:rPr>
      <w:rFonts w:ascii="Helvetica" w:hAnsi="Helvetica"/>
      <w:b/>
      <w:sz w:val="26"/>
    </w:rPr>
  </w:style>
  <w:style w:type="character" w:customStyle="1" w:styleId="Heading4Char">
    <w:name w:val="Heading 4 Char"/>
    <w:link w:val="Heading4"/>
    <w:rsid w:val="00CE7CA6"/>
    <w:rPr>
      <w:rFonts w:ascii="Helvetica" w:hAnsi="Helvetica"/>
      <w:b/>
      <w:i/>
      <w:sz w:val="26"/>
    </w:rPr>
  </w:style>
  <w:style w:type="character" w:customStyle="1" w:styleId="Heading5Char">
    <w:name w:val="Heading 5 Char"/>
    <w:link w:val="Heading5"/>
    <w:rsid w:val="00CE7CA6"/>
    <w:rPr>
      <w:rFonts w:ascii="Helvetica" w:hAnsi="Helvetica"/>
      <w:b/>
      <w:sz w:val="26"/>
    </w:rPr>
  </w:style>
  <w:style w:type="character" w:customStyle="1" w:styleId="Heading6Char">
    <w:name w:val="Heading 6 Char"/>
    <w:link w:val="Heading6"/>
    <w:rsid w:val="00CE7CA6"/>
    <w:rPr>
      <w:b/>
      <w:bCs/>
      <w:sz w:val="22"/>
      <w:szCs w:val="22"/>
    </w:rPr>
  </w:style>
  <w:style w:type="character" w:customStyle="1" w:styleId="Heading7Char">
    <w:name w:val="Heading 7 Char"/>
    <w:link w:val="Heading7"/>
    <w:rsid w:val="00CE7CA6"/>
    <w:rPr>
      <w:sz w:val="24"/>
      <w:szCs w:val="24"/>
    </w:rPr>
  </w:style>
  <w:style w:type="character" w:customStyle="1" w:styleId="Heading8Char">
    <w:name w:val="Heading 8 Char"/>
    <w:link w:val="Heading8"/>
    <w:rsid w:val="00CE7CA6"/>
    <w:rPr>
      <w:i/>
      <w:iCs/>
      <w:sz w:val="24"/>
      <w:szCs w:val="24"/>
    </w:rPr>
  </w:style>
  <w:style w:type="character" w:customStyle="1" w:styleId="Heading9Char">
    <w:name w:val="Heading 9 Char"/>
    <w:link w:val="Heading9"/>
    <w:rsid w:val="00CE7CA6"/>
    <w:rPr>
      <w:rFonts w:ascii="Arial" w:hAnsi="Arial" w:cs="Arial"/>
      <w:sz w:val="22"/>
      <w:szCs w:val="22"/>
    </w:rPr>
  </w:style>
  <w:style w:type="paragraph" w:customStyle="1" w:styleId="StyleHeading1Firstline0">
    <w:name w:val="Style Heading 1 + First line:  0&quot;"/>
    <w:basedOn w:val="Heading1"/>
    <w:next w:val="Heading1"/>
    <w:rsid w:val="00CE7CA6"/>
    <w:pPr>
      <w:tabs>
        <w:tab w:val="num" w:pos="360"/>
      </w:tabs>
      <w:ind w:left="432" w:hanging="432"/>
    </w:pPr>
    <w:rPr>
      <w:bCs/>
    </w:rPr>
  </w:style>
  <w:style w:type="paragraph" w:customStyle="1" w:styleId="sub1">
    <w:name w:val="sub1"/>
    <w:basedOn w:val="Normal"/>
    <w:rsid w:val="004F5979"/>
    <w:pPr>
      <w:spacing w:line="360" w:lineRule="auto"/>
      <w:ind w:firstLine="720"/>
    </w:pPr>
  </w:style>
  <w:style w:type="paragraph" w:customStyle="1" w:styleId="Quote1">
    <w:name w:val="Quote1"/>
    <w:basedOn w:val="standard"/>
    <w:next w:val="standard"/>
    <w:link w:val="quoteChar"/>
    <w:rsid w:val="004F5979"/>
    <w:pPr>
      <w:spacing w:before="120" w:after="240" w:line="240" w:lineRule="auto"/>
      <w:ind w:left="720" w:right="720" w:firstLine="0"/>
    </w:pPr>
  </w:style>
  <w:style w:type="character" w:customStyle="1" w:styleId="quoteChar">
    <w:name w:val="quote Char"/>
    <w:link w:val="Quote1"/>
    <w:rsid w:val="004F5979"/>
  </w:style>
  <w:style w:type="character" w:customStyle="1" w:styleId="term1">
    <w:name w:val="term1"/>
    <w:rsid w:val="00846409"/>
    <w:rPr>
      <w:b/>
      <w:bCs/>
    </w:rPr>
  </w:style>
  <w:style w:type="paragraph" w:customStyle="1" w:styleId="bullets">
    <w:name w:val="bullets"/>
    <w:basedOn w:val="sub1"/>
    <w:link w:val="bulletsChar"/>
    <w:rsid w:val="00373EBE"/>
    <w:pPr>
      <w:numPr>
        <w:numId w:val="22"/>
      </w:numPr>
      <w:spacing w:after="120" w:line="240" w:lineRule="auto"/>
      <w:ind w:right="720"/>
    </w:pPr>
  </w:style>
  <w:style w:type="character" w:customStyle="1" w:styleId="bulletsChar">
    <w:name w:val="bullets Char"/>
    <w:link w:val="bullets"/>
    <w:rsid w:val="00373EBE"/>
    <w:rPr>
      <w:rFonts w:ascii="Palatino" w:hAnsi="Palatino"/>
      <w:sz w:val="26"/>
    </w:rPr>
  </w:style>
  <w:style w:type="paragraph" w:customStyle="1" w:styleId="dummy">
    <w:name w:val="dummy"/>
    <w:basedOn w:val="Heading1"/>
    <w:rsid w:val="00373EBE"/>
    <w:pPr>
      <w:ind w:left="72" w:firstLine="0"/>
      <w:outlineLvl w:val="9"/>
    </w:pPr>
    <w:rPr>
      <w:szCs w:val="26"/>
    </w:rPr>
  </w:style>
  <w:style w:type="character" w:customStyle="1" w:styleId="displayonly">
    <w:name w:val="display_only"/>
    <w:rsid w:val="00F7251C"/>
  </w:style>
  <w:style w:type="character" w:customStyle="1" w:styleId="num1CharChar">
    <w:name w:val="num1 Char Char"/>
    <w:link w:val="num1"/>
    <w:rsid w:val="00EB4BE4"/>
    <w:rPr>
      <w:rFonts w:ascii="Palatino" w:hAnsi="Palatino"/>
      <w:sz w:val="26"/>
    </w:rPr>
  </w:style>
  <w:style w:type="paragraph" w:customStyle="1" w:styleId="mainex">
    <w:name w:val="mainex"/>
    <w:basedOn w:val="main"/>
    <w:rsid w:val="00EB4BE4"/>
    <w:rPr>
      <w:spacing w:val="120"/>
    </w:rPr>
  </w:style>
  <w:style w:type="character" w:customStyle="1" w:styleId="FootnoteTextChar2CharChar1">
    <w:name w:val="Footnote Text Char2 Char Char1"/>
    <w:aliases w:val="Footnote Text Char Char Char Char1,Footnote Text Char2 Char Char Char Char1,Footnote Text Char Char Char Char Char Char1,Footnote Text Char2 Char Char Char Char1 Char Char1,Footnote Text Char2 Char2"/>
    <w:rsid w:val="0066355B"/>
    <w:rPr>
      <w:rFonts w:ascii="Palatino" w:hAnsi="Palatino"/>
      <w:sz w:val="24"/>
      <w:lang w:val="en-US" w:eastAsia="en-US" w:bidi="ar-SA"/>
    </w:rPr>
  </w:style>
  <w:style w:type="paragraph" w:styleId="HTMLPreformatted">
    <w:name w:val="HTML Preformatted"/>
    <w:basedOn w:val="Normal"/>
    <w:link w:val="HTMLPreformattedChar"/>
    <w:uiPriority w:val="99"/>
    <w:unhideWhenUsed/>
    <w:rsid w:val="00F7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F762F2"/>
    <w:rPr>
      <w:rFonts w:ascii="Courier New" w:hAnsi="Courier New" w:cs="Courier New"/>
    </w:rPr>
  </w:style>
  <w:style w:type="character" w:customStyle="1" w:styleId="FooterChar">
    <w:name w:val="Footer Char"/>
    <w:link w:val="Footer"/>
    <w:uiPriority w:val="99"/>
    <w:rsid w:val="008F4B0C"/>
    <w:rPr>
      <w:rFonts w:ascii="Palatino" w:hAnsi="Palatino"/>
      <w:sz w:val="26"/>
    </w:rPr>
  </w:style>
  <w:style w:type="paragraph" w:styleId="NormalWeb">
    <w:name w:val="Normal (Web)"/>
    <w:basedOn w:val="Normal"/>
    <w:uiPriority w:val="99"/>
    <w:unhideWhenUsed/>
    <w:rsid w:val="00597B2A"/>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2908CE"/>
    <w:rPr>
      <w:rFonts w:ascii="Palatino" w:hAnsi="Palatino"/>
      <w:sz w:val="26"/>
    </w:rPr>
  </w:style>
  <w:style w:type="paragraph" w:styleId="Revision">
    <w:name w:val="Revision"/>
    <w:hidden/>
    <w:uiPriority w:val="99"/>
    <w:semiHidden/>
    <w:rsid w:val="004F224B"/>
    <w:rPr>
      <w:rFonts w:ascii="Palatino" w:hAnsi="Palatino"/>
      <w:sz w:val="26"/>
    </w:rPr>
  </w:style>
  <w:style w:type="character" w:customStyle="1" w:styleId="CommentTextChar">
    <w:name w:val="Comment Text Char"/>
    <w:link w:val="CommentText"/>
    <w:semiHidden/>
    <w:rsid w:val="00A8570B"/>
    <w:rPr>
      <w:rFonts w:ascii="Palatino" w:hAnsi="Palatino"/>
    </w:rPr>
  </w:style>
  <w:style w:type="character" w:customStyle="1" w:styleId="Heading1Char">
    <w:name w:val="Heading 1 Char"/>
    <w:link w:val="Heading1"/>
    <w:rsid w:val="00A758D2"/>
    <w:rPr>
      <w:rFonts w:ascii="Helvetica" w:hAnsi="Helvetica"/>
      <w:b/>
      <w:kern w:val="28"/>
      <w:sz w:val="26"/>
    </w:rPr>
  </w:style>
  <w:style w:type="paragraph" w:customStyle="1" w:styleId="Body">
    <w:name w:val="Body"/>
    <w:autoRedefine/>
    <w:rsid w:val="00C77C07"/>
    <w:rPr>
      <w:rFonts w:ascii="Helvetica" w:eastAsia="ヒラギノ角ゴ Pro W3" w:hAnsi="Helvetica"/>
      <w:color w:val="000000"/>
      <w:sz w:val="24"/>
    </w:rPr>
  </w:style>
  <w:style w:type="paragraph" w:customStyle="1" w:styleId="CommentText1">
    <w:name w:val="Comment Text1"/>
    <w:rsid w:val="00C77C07"/>
    <w:rPr>
      <w:rFonts w:ascii="Palatino" w:eastAsia="ヒラギノ角ゴ Pro W3" w:hAnsi="Palatino"/>
      <w:color w:val="000000"/>
    </w:rPr>
  </w:style>
  <w:style w:type="paragraph" w:styleId="TOC1">
    <w:name w:val="toc 1"/>
    <w:basedOn w:val="Normal"/>
    <w:next w:val="Normal"/>
    <w:autoRedefine/>
    <w:uiPriority w:val="39"/>
    <w:rsid w:val="00A50D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AB0"/>
    <w:rPr>
      <w:rFonts w:ascii="Palatino" w:hAnsi="Palatino"/>
      <w:sz w:val="26"/>
    </w:rPr>
  </w:style>
  <w:style w:type="paragraph" w:styleId="Heading1">
    <w:name w:val="heading 1"/>
    <w:basedOn w:val="Normal"/>
    <w:next w:val="standard"/>
    <w:link w:val="Heading1Char"/>
    <w:qFormat/>
    <w:rsid w:val="00786A57"/>
    <w:pPr>
      <w:keepNext/>
      <w:spacing w:before="120" w:after="120"/>
      <w:ind w:firstLine="720"/>
      <w:outlineLvl w:val="0"/>
    </w:pPr>
    <w:rPr>
      <w:rFonts w:ascii="Helvetica" w:hAnsi="Helvetica"/>
      <w:b/>
      <w:kern w:val="28"/>
    </w:rPr>
  </w:style>
  <w:style w:type="paragraph" w:styleId="Heading2">
    <w:name w:val="heading 2"/>
    <w:basedOn w:val="Normal"/>
    <w:next w:val="Normal"/>
    <w:qFormat/>
    <w:rsid w:val="00B167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E7CA6"/>
    <w:pPr>
      <w:keepNext/>
      <w:numPr>
        <w:numId w:val="34"/>
      </w:numPr>
      <w:spacing w:before="120" w:after="120"/>
      <w:outlineLvl w:val="2"/>
    </w:pPr>
    <w:rPr>
      <w:rFonts w:ascii="Helvetica" w:hAnsi="Helvetica"/>
      <w:b/>
    </w:rPr>
  </w:style>
  <w:style w:type="paragraph" w:styleId="Heading4">
    <w:name w:val="heading 4"/>
    <w:basedOn w:val="Normal"/>
    <w:next w:val="Normal"/>
    <w:link w:val="Heading4Char"/>
    <w:qFormat/>
    <w:rsid w:val="00CE7CA6"/>
    <w:pPr>
      <w:keepNext/>
      <w:tabs>
        <w:tab w:val="num" w:pos="864"/>
      </w:tabs>
      <w:spacing w:before="120" w:after="60"/>
      <w:ind w:left="864" w:hanging="864"/>
      <w:outlineLvl w:val="3"/>
    </w:pPr>
    <w:rPr>
      <w:rFonts w:ascii="Helvetica" w:hAnsi="Helvetica"/>
      <w:b/>
      <w:i/>
    </w:rPr>
  </w:style>
  <w:style w:type="paragraph" w:styleId="Heading5">
    <w:name w:val="heading 5"/>
    <w:basedOn w:val="Normal"/>
    <w:next w:val="Normal"/>
    <w:link w:val="Heading5Char"/>
    <w:qFormat/>
    <w:rsid w:val="00CE7CA6"/>
    <w:pPr>
      <w:tabs>
        <w:tab w:val="num" w:pos="1008"/>
      </w:tabs>
      <w:spacing w:before="120" w:after="120"/>
      <w:ind w:left="1008" w:hanging="1008"/>
      <w:outlineLvl w:val="4"/>
    </w:pPr>
    <w:rPr>
      <w:rFonts w:ascii="Helvetica" w:hAnsi="Helvetica"/>
      <w:b/>
    </w:rPr>
  </w:style>
  <w:style w:type="paragraph" w:styleId="Heading6">
    <w:name w:val="heading 6"/>
    <w:basedOn w:val="Normal"/>
    <w:next w:val="Normal"/>
    <w:link w:val="Heading6Char"/>
    <w:qFormat/>
    <w:rsid w:val="00CE7CA6"/>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qFormat/>
    <w:rsid w:val="00CE7CA6"/>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CE7CA6"/>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CE7CA6"/>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Normal"/>
    <w:rsid w:val="00F76AB0"/>
    <w:pPr>
      <w:jc w:val="center"/>
    </w:pPr>
    <w:rPr>
      <w:rFonts w:ascii="Helvetica" w:hAnsi="Helvetica"/>
      <w:b/>
    </w:rPr>
  </w:style>
  <w:style w:type="paragraph" w:customStyle="1" w:styleId="standard">
    <w:name w:val="standard"/>
    <w:basedOn w:val="Normal"/>
    <w:link w:val="standardChar"/>
    <w:rsid w:val="00BF2CFB"/>
    <w:pPr>
      <w:spacing w:line="360" w:lineRule="auto"/>
      <w:ind w:firstLine="720"/>
    </w:pPr>
  </w:style>
  <w:style w:type="paragraph" w:styleId="FootnoteText">
    <w:name w:val="footnote text"/>
    <w:aliases w:val="Footnote Text Char,Footnote Text Char2 Char,Footnote Text Char Char Char,Footnote Text Char2 Char Char Char,Footnote Text Char Char Char Char Char,Footnote Text Char2 Char Char Char Char1 Char,Footnote Text Char2,Footnote Text Char Char,fn"/>
    <w:basedOn w:val="Normal"/>
    <w:link w:val="FootnoteTextChar1"/>
    <w:rsid w:val="00786A57"/>
    <w:pPr>
      <w:spacing w:after="240"/>
    </w:pPr>
    <w:rPr>
      <w:sz w:val="24"/>
    </w:rPr>
  </w:style>
  <w:style w:type="character" w:styleId="FootnoteReference">
    <w:name w:val="footnote reference"/>
    <w:aliases w:val="o,fr,Style 3,o1,o2,o3,o4,o5,o6,o11,o21,o7,o + Times New Roman,Style 12,(NECG) Footnote Reference,Appel note de bas de p,Style 124,Style 58"/>
    <w:rsid w:val="00786A57"/>
    <w:rPr>
      <w:sz w:val="24"/>
      <w:vertAlign w:val="superscript"/>
    </w:rPr>
  </w:style>
  <w:style w:type="character" w:customStyle="1" w:styleId="standardChar">
    <w:name w:val="standard Char"/>
    <w:link w:val="standard"/>
    <w:rsid w:val="00786A57"/>
    <w:rPr>
      <w:rFonts w:ascii="Palatino" w:hAnsi="Palatino"/>
      <w:sz w:val="26"/>
      <w:lang w:val="en-US" w:eastAsia="en-US" w:bidi="ar-SA"/>
    </w:rPr>
  </w:style>
  <w:style w:type="character" w:customStyle="1" w:styleId="FootnoteTextChar1">
    <w:name w:val="Footnote Text Char1"/>
    <w:aliases w:val="Footnote Text Char Char1,Footnote Text Char2 Char Char,Footnote Text Char Char Char Char,Footnote Text Char2 Char Char Char Char,Footnote Text Char Char Char Char Char Char,Footnote Text Char2 Char Char Char Char1 Char Char,fn Char"/>
    <w:link w:val="FootnoteText"/>
    <w:rsid w:val="00786A57"/>
    <w:rPr>
      <w:rFonts w:ascii="Palatino" w:hAnsi="Palatino"/>
      <w:sz w:val="24"/>
      <w:lang w:val="en-US" w:eastAsia="en-US" w:bidi="ar-SA"/>
    </w:rPr>
  </w:style>
  <w:style w:type="paragraph" w:customStyle="1" w:styleId="Default">
    <w:name w:val="Default"/>
    <w:rsid w:val="00D405CC"/>
    <w:pPr>
      <w:autoSpaceDE w:val="0"/>
      <w:autoSpaceDN w:val="0"/>
      <w:adjustRightInd w:val="0"/>
    </w:pPr>
    <w:rPr>
      <w:color w:val="000000"/>
      <w:sz w:val="24"/>
      <w:szCs w:val="24"/>
    </w:rPr>
  </w:style>
  <w:style w:type="paragraph" w:customStyle="1" w:styleId="num1">
    <w:name w:val="num1"/>
    <w:basedOn w:val="Normal"/>
    <w:link w:val="num1CharChar"/>
    <w:rsid w:val="0070433B"/>
    <w:pPr>
      <w:tabs>
        <w:tab w:val="left" w:pos="-720"/>
      </w:tabs>
      <w:suppressAutoHyphens/>
      <w:spacing w:line="360" w:lineRule="auto"/>
      <w:ind w:firstLine="360"/>
    </w:pPr>
  </w:style>
  <w:style w:type="character" w:styleId="Hyperlink">
    <w:name w:val="Hyperlink"/>
    <w:uiPriority w:val="99"/>
    <w:rsid w:val="0070433B"/>
    <w:rPr>
      <w:color w:val="0000FF"/>
      <w:u w:val="single"/>
    </w:rPr>
  </w:style>
  <w:style w:type="paragraph" w:styleId="Footer">
    <w:name w:val="footer"/>
    <w:basedOn w:val="Normal"/>
    <w:link w:val="FooterChar"/>
    <w:uiPriority w:val="99"/>
    <w:rsid w:val="0052757F"/>
    <w:pPr>
      <w:tabs>
        <w:tab w:val="center" w:pos="4320"/>
        <w:tab w:val="right" w:pos="8640"/>
      </w:tabs>
    </w:pPr>
  </w:style>
  <w:style w:type="character" w:styleId="PageNumber">
    <w:name w:val="page number"/>
    <w:basedOn w:val="DefaultParagraphFont"/>
    <w:rsid w:val="0052757F"/>
  </w:style>
  <w:style w:type="paragraph" w:styleId="BalloonText">
    <w:name w:val="Balloon Text"/>
    <w:basedOn w:val="Normal"/>
    <w:semiHidden/>
    <w:rsid w:val="00326D1D"/>
    <w:rPr>
      <w:rFonts w:ascii="Tahoma" w:hAnsi="Tahoma" w:cs="Tahoma"/>
      <w:sz w:val="16"/>
      <w:szCs w:val="16"/>
    </w:rPr>
  </w:style>
  <w:style w:type="paragraph" w:styleId="Header">
    <w:name w:val="header"/>
    <w:basedOn w:val="Normal"/>
    <w:link w:val="HeaderChar"/>
    <w:uiPriority w:val="99"/>
    <w:rsid w:val="007B4DBD"/>
    <w:pPr>
      <w:tabs>
        <w:tab w:val="center" w:pos="4320"/>
        <w:tab w:val="right" w:pos="8640"/>
      </w:tabs>
    </w:pPr>
  </w:style>
  <w:style w:type="paragraph" w:styleId="BodyTextIndent">
    <w:name w:val="Body Text Indent"/>
    <w:basedOn w:val="Normal"/>
    <w:rsid w:val="008E5AB1"/>
    <w:pPr>
      <w:spacing w:after="120"/>
      <w:ind w:left="360"/>
    </w:pPr>
  </w:style>
  <w:style w:type="table" w:styleId="TableGrid">
    <w:name w:val="Table Grid"/>
    <w:basedOn w:val="TableNormal"/>
    <w:rsid w:val="008E5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2">
    <w:name w:val="num2"/>
    <w:basedOn w:val="num1"/>
    <w:rsid w:val="00E623A8"/>
    <w:pPr>
      <w:ind w:firstLine="270"/>
    </w:pPr>
  </w:style>
  <w:style w:type="character" w:styleId="CommentReference">
    <w:name w:val="annotation reference"/>
    <w:semiHidden/>
    <w:rsid w:val="0099196D"/>
    <w:rPr>
      <w:sz w:val="16"/>
      <w:szCs w:val="16"/>
    </w:rPr>
  </w:style>
  <w:style w:type="paragraph" w:styleId="CommentText">
    <w:name w:val="annotation text"/>
    <w:basedOn w:val="Normal"/>
    <w:link w:val="CommentTextChar"/>
    <w:semiHidden/>
    <w:rsid w:val="0099196D"/>
    <w:rPr>
      <w:sz w:val="20"/>
    </w:rPr>
  </w:style>
  <w:style w:type="paragraph" w:styleId="CommentSubject">
    <w:name w:val="annotation subject"/>
    <w:basedOn w:val="CommentText"/>
    <w:next w:val="CommentText"/>
    <w:semiHidden/>
    <w:rsid w:val="0099196D"/>
    <w:rPr>
      <w:b/>
      <w:bCs/>
    </w:rPr>
  </w:style>
  <w:style w:type="character" w:customStyle="1" w:styleId="Heading3Char">
    <w:name w:val="Heading 3 Char"/>
    <w:link w:val="Heading3"/>
    <w:rsid w:val="00CE7CA6"/>
    <w:rPr>
      <w:rFonts w:ascii="Helvetica" w:hAnsi="Helvetica"/>
      <w:b/>
      <w:sz w:val="26"/>
    </w:rPr>
  </w:style>
  <w:style w:type="character" w:customStyle="1" w:styleId="Heading4Char">
    <w:name w:val="Heading 4 Char"/>
    <w:link w:val="Heading4"/>
    <w:rsid w:val="00CE7CA6"/>
    <w:rPr>
      <w:rFonts w:ascii="Helvetica" w:hAnsi="Helvetica"/>
      <w:b/>
      <w:i/>
      <w:sz w:val="26"/>
    </w:rPr>
  </w:style>
  <w:style w:type="character" w:customStyle="1" w:styleId="Heading5Char">
    <w:name w:val="Heading 5 Char"/>
    <w:link w:val="Heading5"/>
    <w:rsid w:val="00CE7CA6"/>
    <w:rPr>
      <w:rFonts w:ascii="Helvetica" w:hAnsi="Helvetica"/>
      <w:b/>
      <w:sz w:val="26"/>
    </w:rPr>
  </w:style>
  <w:style w:type="character" w:customStyle="1" w:styleId="Heading6Char">
    <w:name w:val="Heading 6 Char"/>
    <w:link w:val="Heading6"/>
    <w:rsid w:val="00CE7CA6"/>
    <w:rPr>
      <w:b/>
      <w:bCs/>
      <w:sz w:val="22"/>
      <w:szCs w:val="22"/>
    </w:rPr>
  </w:style>
  <w:style w:type="character" w:customStyle="1" w:styleId="Heading7Char">
    <w:name w:val="Heading 7 Char"/>
    <w:link w:val="Heading7"/>
    <w:rsid w:val="00CE7CA6"/>
    <w:rPr>
      <w:sz w:val="24"/>
      <w:szCs w:val="24"/>
    </w:rPr>
  </w:style>
  <w:style w:type="character" w:customStyle="1" w:styleId="Heading8Char">
    <w:name w:val="Heading 8 Char"/>
    <w:link w:val="Heading8"/>
    <w:rsid w:val="00CE7CA6"/>
    <w:rPr>
      <w:i/>
      <w:iCs/>
      <w:sz w:val="24"/>
      <w:szCs w:val="24"/>
    </w:rPr>
  </w:style>
  <w:style w:type="character" w:customStyle="1" w:styleId="Heading9Char">
    <w:name w:val="Heading 9 Char"/>
    <w:link w:val="Heading9"/>
    <w:rsid w:val="00CE7CA6"/>
    <w:rPr>
      <w:rFonts w:ascii="Arial" w:hAnsi="Arial" w:cs="Arial"/>
      <w:sz w:val="22"/>
      <w:szCs w:val="22"/>
    </w:rPr>
  </w:style>
  <w:style w:type="paragraph" w:customStyle="1" w:styleId="StyleHeading1Firstline0">
    <w:name w:val="Style Heading 1 + First line:  0&quot;"/>
    <w:basedOn w:val="Heading1"/>
    <w:next w:val="Heading1"/>
    <w:rsid w:val="00CE7CA6"/>
    <w:pPr>
      <w:tabs>
        <w:tab w:val="num" w:pos="360"/>
      </w:tabs>
      <w:ind w:left="432" w:hanging="432"/>
    </w:pPr>
    <w:rPr>
      <w:bCs/>
    </w:rPr>
  </w:style>
  <w:style w:type="paragraph" w:customStyle="1" w:styleId="sub1">
    <w:name w:val="sub1"/>
    <w:basedOn w:val="Normal"/>
    <w:rsid w:val="004F5979"/>
    <w:pPr>
      <w:spacing w:line="360" w:lineRule="auto"/>
      <w:ind w:firstLine="720"/>
    </w:pPr>
  </w:style>
  <w:style w:type="paragraph" w:customStyle="1" w:styleId="Quote1">
    <w:name w:val="Quote1"/>
    <w:basedOn w:val="standard"/>
    <w:next w:val="standard"/>
    <w:link w:val="quoteChar"/>
    <w:rsid w:val="004F5979"/>
    <w:pPr>
      <w:spacing w:before="120" w:after="240" w:line="240" w:lineRule="auto"/>
      <w:ind w:left="720" w:right="720" w:firstLine="0"/>
    </w:pPr>
  </w:style>
  <w:style w:type="character" w:customStyle="1" w:styleId="quoteChar">
    <w:name w:val="quote Char"/>
    <w:link w:val="Quote1"/>
    <w:rsid w:val="004F5979"/>
  </w:style>
  <w:style w:type="character" w:customStyle="1" w:styleId="term1">
    <w:name w:val="term1"/>
    <w:rsid w:val="00846409"/>
    <w:rPr>
      <w:b/>
      <w:bCs/>
    </w:rPr>
  </w:style>
  <w:style w:type="paragraph" w:customStyle="1" w:styleId="bullets">
    <w:name w:val="bullets"/>
    <w:basedOn w:val="sub1"/>
    <w:link w:val="bulletsChar"/>
    <w:rsid w:val="00373EBE"/>
    <w:pPr>
      <w:numPr>
        <w:numId w:val="22"/>
      </w:numPr>
      <w:spacing w:after="120" w:line="240" w:lineRule="auto"/>
      <w:ind w:right="720"/>
    </w:pPr>
  </w:style>
  <w:style w:type="character" w:customStyle="1" w:styleId="bulletsChar">
    <w:name w:val="bullets Char"/>
    <w:link w:val="bullets"/>
    <w:rsid w:val="00373EBE"/>
    <w:rPr>
      <w:rFonts w:ascii="Palatino" w:hAnsi="Palatino"/>
      <w:sz w:val="26"/>
    </w:rPr>
  </w:style>
  <w:style w:type="paragraph" w:customStyle="1" w:styleId="dummy">
    <w:name w:val="dummy"/>
    <w:basedOn w:val="Heading1"/>
    <w:rsid w:val="00373EBE"/>
    <w:pPr>
      <w:ind w:left="72" w:firstLine="0"/>
      <w:outlineLvl w:val="9"/>
    </w:pPr>
    <w:rPr>
      <w:szCs w:val="26"/>
    </w:rPr>
  </w:style>
  <w:style w:type="character" w:customStyle="1" w:styleId="displayonly">
    <w:name w:val="display_only"/>
    <w:rsid w:val="00F7251C"/>
  </w:style>
  <w:style w:type="character" w:customStyle="1" w:styleId="num1CharChar">
    <w:name w:val="num1 Char Char"/>
    <w:link w:val="num1"/>
    <w:rsid w:val="00EB4BE4"/>
    <w:rPr>
      <w:rFonts w:ascii="Palatino" w:hAnsi="Palatino"/>
      <w:sz w:val="26"/>
    </w:rPr>
  </w:style>
  <w:style w:type="paragraph" w:customStyle="1" w:styleId="mainex">
    <w:name w:val="mainex"/>
    <w:basedOn w:val="main"/>
    <w:rsid w:val="00EB4BE4"/>
    <w:rPr>
      <w:spacing w:val="120"/>
    </w:rPr>
  </w:style>
  <w:style w:type="character" w:customStyle="1" w:styleId="FootnoteTextChar2CharChar1">
    <w:name w:val="Footnote Text Char2 Char Char1"/>
    <w:aliases w:val="Footnote Text Char Char Char Char1,Footnote Text Char2 Char Char Char Char1,Footnote Text Char Char Char Char Char Char1,Footnote Text Char2 Char Char Char Char1 Char Char1,Footnote Text Char2 Char2"/>
    <w:rsid w:val="0066355B"/>
    <w:rPr>
      <w:rFonts w:ascii="Palatino" w:hAnsi="Palatino"/>
      <w:sz w:val="24"/>
      <w:lang w:val="en-US" w:eastAsia="en-US" w:bidi="ar-SA"/>
    </w:rPr>
  </w:style>
  <w:style w:type="paragraph" w:styleId="HTMLPreformatted">
    <w:name w:val="HTML Preformatted"/>
    <w:basedOn w:val="Normal"/>
    <w:link w:val="HTMLPreformattedChar"/>
    <w:uiPriority w:val="99"/>
    <w:unhideWhenUsed/>
    <w:rsid w:val="00F76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F762F2"/>
    <w:rPr>
      <w:rFonts w:ascii="Courier New" w:hAnsi="Courier New" w:cs="Courier New"/>
    </w:rPr>
  </w:style>
  <w:style w:type="character" w:customStyle="1" w:styleId="FooterChar">
    <w:name w:val="Footer Char"/>
    <w:link w:val="Footer"/>
    <w:uiPriority w:val="99"/>
    <w:rsid w:val="008F4B0C"/>
    <w:rPr>
      <w:rFonts w:ascii="Palatino" w:hAnsi="Palatino"/>
      <w:sz w:val="26"/>
    </w:rPr>
  </w:style>
  <w:style w:type="paragraph" w:styleId="NormalWeb">
    <w:name w:val="Normal (Web)"/>
    <w:basedOn w:val="Normal"/>
    <w:uiPriority w:val="99"/>
    <w:unhideWhenUsed/>
    <w:rsid w:val="00597B2A"/>
    <w:pPr>
      <w:spacing w:before="100" w:beforeAutospacing="1" w:after="100" w:afterAutospacing="1"/>
    </w:pPr>
    <w:rPr>
      <w:rFonts w:ascii="Times New Roman" w:hAnsi="Times New Roman"/>
      <w:sz w:val="24"/>
      <w:szCs w:val="24"/>
    </w:rPr>
  </w:style>
  <w:style w:type="character" w:customStyle="1" w:styleId="HeaderChar">
    <w:name w:val="Header Char"/>
    <w:link w:val="Header"/>
    <w:uiPriority w:val="99"/>
    <w:rsid w:val="002908CE"/>
    <w:rPr>
      <w:rFonts w:ascii="Palatino" w:hAnsi="Palatino"/>
      <w:sz w:val="26"/>
    </w:rPr>
  </w:style>
  <w:style w:type="paragraph" w:styleId="Revision">
    <w:name w:val="Revision"/>
    <w:hidden/>
    <w:uiPriority w:val="99"/>
    <w:semiHidden/>
    <w:rsid w:val="004F224B"/>
    <w:rPr>
      <w:rFonts w:ascii="Palatino" w:hAnsi="Palatino"/>
      <w:sz w:val="26"/>
    </w:rPr>
  </w:style>
  <w:style w:type="character" w:customStyle="1" w:styleId="CommentTextChar">
    <w:name w:val="Comment Text Char"/>
    <w:link w:val="CommentText"/>
    <w:semiHidden/>
    <w:rsid w:val="00A8570B"/>
    <w:rPr>
      <w:rFonts w:ascii="Palatino" w:hAnsi="Palatino"/>
    </w:rPr>
  </w:style>
  <w:style w:type="character" w:customStyle="1" w:styleId="Heading1Char">
    <w:name w:val="Heading 1 Char"/>
    <w:link w:val="Heading1"/>
    <w:rsid w:val="00A758D2"/>
    <w:rPr>
      <w:rFonts w:ascii="Helvetica" w:hAnsi="Helvetica"/>
      <w:b/>
      <w:kern w:val="28"/>
      <w:sz w:val="26"/>
    </w:rPr>
  </w:style>
  <w:style w:type="paragraph" w:customStyle="1" w:styleId="Body">
    <w:name w:val="Body"/>
    <w:autoRedefine/>
    <w:rsid w:val="00C77C07"/>
    <w:rPr>
      <w:rFonts w:ascii="Helvetica" w:eastAsia="ヒラギノ角ゴ Pro W3" w:hAnsi="Helvetica"/>
      <w:color w:val="000000"/>
      <w:sz w:val="24"/>
    </w:rPr>
  </w:style>
  <w:style w:type="paragraph" w:customStyle="1" w:styleId="CommentText1">
    <w:name w:val="Comment Text1"/>
    <w:rsid w:val="00C77C07"/>
    <w:rPr>
      <w:rFonts w:ascii="Palatino" w:eastAsia="ヒラギノ角ゴ Pro W3" w:hAnsi="Palatino"/>
      <w:color w:val="000000"/>
    </w:rPr>
  </w:style>
  <w:style w:type="paragraph" w:styleId="TOC1">
    <w:name w:val="toc 1"/>
    <w:basedOn w:val="Normal"/>
    <w:next w:val="Normal"/>
    <w:autoRedefine/>
    <w:uiPriority w:val="39"/>
    <w:rsid w:val="00A5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2379">
      <w:bodyDiv w:val="1"/>
      <w:marLeft w:val="0"/>
      <w:marRight w:val="0"/>
      <w:marTop w:val="0"/>
      <w:marBottom w:val="0"/>
      <w:divBdr>
        <w:top w:val="none" w:sz="0" w:space="0" w:color="auto"/>
        <w:left w:val="none" w:sz="0" w:space="0" w:color="auto"/>
        <w:bottom w:val="none" w:sz="0" w:space="0" w:color="auto"/>
        <w:right w:val="none" w:sz="0" w:space="0" w:color="auto"/>
      </w:divBdr>
    </w:div>
    <w:div w:id="3677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puc.ca.gov/PublishedDocs/Published/G000/M081/K837/81837418.pdf"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18736</Words>
  <Characters>106797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BEFORE THE PUBLIC UTILITIES COMMISSION OF THE STATE OF CALIFORNIA</vt:lpstr>
    </vt:vector>
  </TitlesOfParts>
  <Manager/>
  <Company/>
  <LinksUpToDate>false</LinksUpToDate>
  <CharactersWithSpaces>125283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2013-11-19T23:16:00Z</cp:lastPrinted>
  <dcterms:created xsi:type="dcterms:W3CDTF">2013-11-22T15:33:00Z</dcterms:created>
  <dcterms:modified xsi:type="dcterms:W3CDTF">2013-11-22T15:38:00Z</dcterms:modified>
  <cp:category> </cp:category>
  <cp:contentStatus> </cp:contentStatus>
</cp:coreProperties>
</file>