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29" w:rsidRDefault="001D5829">
      <w:pPr>
        <w:rPr>
          <w:rFonts w:ascii="Palatino Linotype" w:hAnsi="Palatino Linotype"/>
          <w:sz w:val="24"/>
        </w:rPr>
      </w:pPr>
      <w:bookmarkStart w:id="0" w:name="_GoBack"/>
      <w:bookmarkEnd w:id="0"/>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p>
    <w:p w:rsidR="001D5829" w:rsidRDefault="001D5829">
      <w:pPr>
        <w:rPr>
          <w:rFonts w:ascii="Palatino Linotype" w:hAnsi="Palatino Linotype"/>
          <w:sz w:val="24"/>
        </w:rPr>
      </w:pPr>
    </w:p>
    <w:p w:rsidR="001D5829" w:rsidRDefault="001D5829">
      <w:pPr>
        <w:jc w:val="center"/>
        <w:rPr>
          <w:rFonts w:ascii="Palatino Linotype" w:hAnsi="Palatino Linotype"/>
          <w:b/>
          <w:sz w:val="24"/>
        </w:rPr>
      </w:pPr>
      <w:r>
        <w:rPr>
          <w:rFonts w:ascii="Palatino Linotype" w:hAnsi="Palatino Linotype"/>
          <w:b/>
          <w:sz w:val="24"/>
        </w:rPr>
        <w:t>PUBLIC UTILITIES COMMISSION OF THE STATE OF CALIFORNIA</w:t>
      </w:r>
    </w:p>
    <w:p w:rsidR="001D5829" w:rsidRDefault="001D5829">
      <w:pPr>
        <w:rPr>
          <w:rFonts w:ascii="Palatino Linotype" w:hAnsi="Palatino Linotype"/>
          <w:b/>
          <w:sz w:val="24"/>
        </w:rPr>
      </w:pPr>
    </w:p>
    <w:p w:rsidR="001D5829" w:rsidRDefault="001D5829">
      <w:pPr>
        <w:rPr>
          <w:rFonts w:ascii="Palatino Linotype" w:hAnsi="Palatino Linotype"/>
          <w:b/>
          <w:sz w:val="24"/>
        </w:rPr>
      </w:pPr>
    </w:p>
    <w:tbl>
      <w:tblPr>
        <w:tblW w:w="0" w:type="auto"/>
        <w:tblLayout w:type="fixed"/>
        <w:tblLook w:val="0000" w:firstRow="0" w:lastRow="0" w:firstColumn="0" w:lastColumn="0" w:noHBand="0" w:noVBand="0"/>
      </w:tblPr>
      <w:tblGrid>
        <w:gridCol w:w="5028"/>
        <w:gridCol w:w="4380"/>
      </w:tblGrid>
      <w:tr w:rsidR="001D5829">
        <w:tc>
          <w:tcPr>
            <w:tcW w:w="5028" w:type="dxa"/>
          </w:tcPr>
          <w:p w:rsidR="001D5829" w:rsidRDefault="001D5829">
            <w:pPr>
              <w:rPr>
                <w:rFonts w:ascii="Palatino Linotype" w:hAnsi="Palatino Linotype"/>
                <w:b/>
                <w:sz w:val="24"/>
                <w:lang w:val="fr-FR"/>
              </w:rPr>
            </w:pPr>
            <w:r>
              <w:rPr>
                <w:rFonts w:ascii="Palatino Linotype" w:hAnsi="Palatino Linotype"/>
                <w:b/>
                <w:sz w:val="24"/>
              </w:rPr>
              <w:t>Communications</w:t>
            </w:r>
            <w:r>
              <w:rPr>
                <w:rFonts w:ascii="Palatino Linotype" w:hAnsi="Palatino Linotype"/>
                <w:b/>
                <w:sz w:val="24"/>
                <w:lang w:val="fr-FR"/>
              </w:rPr>
              <w:t xml:space="preserve"> Division</w:t>
            </w:r>
          </w:p>
        </w:tc>
        <w:tc>
          <w:tcPr>
            <w:tcW w:w="4380" w:type="dxa"/>
          </w:tcPr>
          <w:p w:rsidR="001D5829" w:rsidRDefault="001D5829" w:rsidP="004E5BE7">
            <w:pPr>
              <w:pStyle w:val="Heading3"/>
              <w:jc w:val="right"/>
              <w:rPr>
                <w:rFonts w:ascii="Palatino Linotype" w:hAnsi="Palatino Linotype"/>
                <w:lang w:val="fr-FR"/>
              </w:rPr>
            </w:pPr>
            <w:r>
              <w:rPr>
                <w:rFonts w:ascii="Palatino Linotype" w:hAnsi="Palatino Linotype"/>
                <w:lang w:val="fr-FR"/>
              </w:rPr>
              <w:t>RESOLUTION T-</w:t>
            </w:r>
            <w:r w:rsidR="00EC0DC3">
              <w:rPr>
                <w:rFonts w:ascii="Palatino Linotype" w:hAnsi="Palatino Linotype"/>
                <w:lang w:val="fr-FR"/>
              </w:rPr>
              <w:t>17438</w:t>
            </w:r>
          </w:p>
        </w:tc>
      </w:tr>
      <w:tr w:rsidR="001D5829">
        <w:tc>
          <w:tcPr>
            <w:tcW w:w="5028" w:type="dxa"/>
          </w:tcPr>
          <w:p w:rsidR="001D5829" w:rsidRDefault="006053E4">
            <w:pPr>
              <w:pStyle w:val="Heading2"/>
              <w:rPr>
                <w:rFonts w:ascii="Palatino Linotype" w:hAnsi="Palatino Linotype"/>
                <w:b w:val="0"/>
                <w:u w:val="none"/>
              </w:rPr>
            </w:pPr>
            <w:r>
              <w:rPr>
                <w:rFonts w:ascii="Palatino Linotype" w:hAnsi="Palatino Linotype"/>
                <w:u w:val="none"/>
              </w:rPr>
              <w:t>Broadband Policy and</w:t>
            </w:r>
            <w:r w:rsidR="001D5829">
              <w:rPr>
                <w:rFonts w:ascii="Palatino Linotype" w:hAnsi="Palatino Linotype"/>
                <w:u w:val="none"/>
              </w:rPr>
              <w:t xml:space="preserve"> Analysis Branch</w:t>
            </w:r>
          </w:p>
        </w:tc>
        <w:tc>
          <w:tcPr>
            <w:tcW w:w="4380" w:type="dxa"/>
          </w:tcPr>
          <w:p w:rsidR="001D5829" w:rsidRDefault="002A210D" w:rsidP="000743B8">
            <w:pPr>
              <w:jc w:val="right"/>
              <w:rPr>
                <w:rFonts w:ascii="Palatino Linotype" w:hAnsi="Palatino Linotype"/>
                <w:b/>
                <w:sz w:val="24"/>
              </w:rPr>
            </w:pPr>
            <w:r>
              <w:rPr>
                <w:rFonts w:ascii="Palatino Linotype" w:hAnsi="Palatino Linotype"/>
                <w:b/>
                <w:sz w:val="24"/>
              </w:rPr>
              <w:t>March 13</w:t>
            </w:r>
            <w:r w:rsidR="000743B8">
              <w:rPr>
                <w:rFonts w:ascii="Palatino Linotype" w:hAnsi="Palatino Linotype"/>
                <w:b/>
                <w:sz w:val="24"/>
              </w:rPr>
              <w:t>, 201</w:t>
            </w:r>
            <w:r w:rsidR="00E10484">
              <w:rPr>
                <w:rFonts w:ascii="Palatino Linotype" w:hAnsi="Palatino Linotype"/>
                <w:b/>
                <w:sz w:val="24"/>
              </w:rPr>
              <w:t>4</w:t>
            </w:r>
          </w:p>
        </w:tc>
      </w:tr>
    </w:tbl>
    <w:p w:rsidR="001D5829" w:rsidRDefault="001D5829">
      <w:pPr>
        <w:rPr>
          <w:rFonts w:ascii="Palatino Linotype" w:hAnsi="Palatino Linotype"/>
          <w:b/>
          <w:sz w:val="24"/>
        </w:rPr>
      </w:pPr>
    </w:p>
    <w:p w:rsidR="001D5829" w:rsidRDefault="001D5829">
      <w:pPr>
        <w:rPr>
          <w:rFonts w:ascii="Palatino Linotype" w:hAnsi="Palatino Linotype"/>
          <w:sz w:val="24"/>
        </w:rPr>
      </w:pPr>
    </w:p>
    <w:p w:rsidR="001D5829" w:rsidRDefault="001D5829">
      <w:pPr>
        <w:jc w:val="center"/>
        <w:rPr>
          <w:rFonts w:ascii="Palatino Linotype" w:hAnsi="Palatino Linotype"/>
          <w:sz w:val="24"/>
        </w:rPr>
      </w:pPr>
      <w:r>
        <w:rPr>
          <w:rFonts w:ascii="Palatino Linotype" w:hAnsi="Palatino Linotype"/>
          <w:b/>
          <w:sz w:val="24"/>
          <w:u w:val="single"/>
        </w:rPr>
        <w:t>R</w:t>
      </w:r>
      <w:r>
        <w:rPr>
          <w:rFonts w:ascii="Palatino Linotype" w:hAnsi="Palatino Linotype"/>
          <w:sz w:val="24"/>
        </w:rPr>
        <w:t xml:space="preserve"> </w:t>
      </w:r>
      <w:r>
        <w:rPr>
          <w:rFonts w:ascii="Palatino Linotype" w:hAnsi="Palatino Linotype"/>
          <w:b/>
          <w:sz w:val="24"/>
          <w:u w:val="single"/>
        </w:rPr>
        <w:t>E</w:t>
      </w:r>
      <w:r>
        <w:rPr>
          <w:rFonts w:ascii="Palatino Linotype" w:hAnsi="Palatino Linotype"/>
          <w:sz w:val="24"/>
        </w:rPr>
        <w:t xml:space="preserve"> </w:t>
      </w:r>
      <w:r>
        <w:rPr>
          <w:rFonts w:ascii="Palatino Linotype" w:hAnsi="Palatino Linotype"/>
          <w:b/>
          <w:sz w:val="24"/>
          <w:u w:val="single"/>
        </w:rPr>
        <w:t>S</w:t>
      </w:r>
      <w:r>
        <w:rPr>
          <w:rFonts w:ascii="Palatino Linotype" w:hAnsi="Palatino Linotype"/>
          <w:sz w:val="24"/>
        </w:rPr>
        <w:t xml:space="preserve"> </w:t>
      </w:r>
      <w:r>
        <w:rPr>
          <w:rFonts w:ascii="Palatino Linotype" w:hAnsi="Palatino Linotype"/>
          <w:b/>
          <w:sz w:val="24"/>
          <w:u w:val="single"/>
        </w:rPr>
        <w:t>O</w:t>
      </w:r>
      <w:r>
        <w:rPr>
          <w:rFonts w:ascii="Palatino Linotype" w:hAnsi="Palatino Linotype"/>
          <w:sz w:val="24"/>
        </w:rPr>
        <w:t xml:space="preserve"> </w:t>
      </w:r>
      <w:r>
        <w:rPr>
          <w:rFonts w:ascii="Palatino Linotype" w:hAnsi="Palatino Linotype"/>
          <w:b/>
          <w:sz w:val="24"/>
          <w:u w:val="single"/>
        </w:rPr>
        <w:t>L</w:t>
      </w:r>
      <w:r>
        <w:rPr>
          <w:rFonts w:ascii="Palatino Linotype" w:hAnsi="Palatino Linotype"/>
          <w:sz w:val="24"/>
        </w:rPr>
        <w:t xml:space="preserve"> </w:t>
      </w:r>
      <w:r>
        <w:rPr>
          <w:rFonts w:ascii="Palatino Linotype" w:hAnsi="Palatino Linotype"/>
          <w:b/>
          <w:sz w:val="24"/>
          <w:u w:val="single"/>
        </w:rPr>
        <w:t>U</w:t>
      </w:r>
      <w:r>
        <w:rPr>
          <w:rFonts w:ascii="Palatino Linotype" w:hAnsi="Palatino Linotype"/>
          <w:sz w:val="24"/>
        </w:rPr>
        <w:t xml:space="preserve"> </w:t>
      </w:r>
      <w:r>
        <w:rPr>
          <w:rFonts w:ascii="Palatino Linotype" w:hAnsi="Palatino Linotype"/>
          <w:b/>
          <w:sz w:val="24"/>
          <w:u w:val="single"/>
        </w:rPr>
        <w:t>T</w:t>
      </w:r>
      <w:r>
        <w:rPr>
          <w:rFonts w:ascii="Palatino Linotype" w:hAnsi="Palatino Linotype"/>
          <w:sz w:val="24"/>
        </w:rPr>
        <w:t xml:space="preserve"> </w:t>
      </w:r>
      <w:r>
        <w:rPr>
          <w:rFonts w:ascii="Palatino Linotype" w:hAnsi="Palatino Linotype"/>
          <w:b/>
          <w:sz w:val="24"/>
          <w:u w:val="single"/>
        </w:rPr>
        <w:t>I</w:t>
      </w:r>
      <w:r>
        <w:rPr>
          <w:rFonts w:ascii="Palatino Linotype" w:hAnsi="Palatino Linotype"/>
          <w:sz w:val="24"/>
        </w:rPr>
        <w:t xml:space="preserve"> </w:t>
      </w:r>
      <w:r>
        <w:rPr>
          <w:rFonts w:ascii="Palatino Linotype" w:hAnsi="Palatino Linotype"/>
          <w:b/>
          <w:sz w:val="24"/>
          <w:u w:val="single"/>
        </w:rPr>
        <w:t>O</w:t>
      </w:r>
      <w:r>
        <w:rPr>
          <w:rFonts w:ascii="Palatino Linotype" w:hAnsi="Palatino Linotype"/>
          <w:sz w:val="24"/>
        </w:rPr>
        <w:t xml:space="preserve"> </w:t>
      </w:r>
      <w:r>
        <w:rPr>
          <w:rFonts w:ascii="Palatino Linotype" w:hAnsi="Palatino Linotype"/>
          <w:b/>
          <w:sz w:val="24"/>
          <w:u w:val="single"/>
        </w:rPr>
        <w:t>N</w:t>
      </w:r>
    </w:p>
    <w:p w:rsidR="001D5829" w:rsidRDefault="001D5829">
      <w:pPr>
        <w:rPr>
          <w:rFonts w:ascii="Palatino Linotype" w:hAnsi="Palatino Linotype"/>
          <w:sz w:val="24"/>
        </w:rPr>
      </w:pPr>
    </w:p>
    <w:p w:rsidR="001D5829" w:rsidRDefault="001D5829">
      <w:pPr>
        <w:rPr>
          <w:rFonts w:ascii="Palatino Linotype" w:hAnsi="Palatino Linotype"/>
          <w:sz w:val="24"/>
        </w:rPr>
      </w:pPr>
    </w:p>
    <w:p w:rsidR="001D5829" w:rsidRDefault="001D5829">
      <w:pPr>
        <w:pStyle w:val="BlockText"/>
        <w:rPr>
          <w:rFonts w:ascii="Palatino Linotype" w:hAnsi="Palatino Linotype"/>
        </w:rPr>
      </w:pPr>
      <w:r>
        <w:rPr>
          <w:rFonts w:ascii="Palatino Linotype" w:hAnsi="Palatino Linotype"/>
        </w:rPr>
        <w:t>Resolution T-</w:t>
      </w:r>
      <w:r w:rsidR="00E10484">
        <w:rPr>
          <w:rFonts w:ascii="Palatino Linotype" w:hAnsi="Palatino Linotype"/>
        </w:rPr>
        <w:t>17438</w:t>
      </w:r>
      <w:r>
        <w:rPr>
          <w:rFonts w:ascii="Palatino Linotype" w:hAnsi="Palatino Linotype"/>
        </w:rPr>
        <w:t xml:space="preserve">.  ADOPTING ANNUAL FEE </w:t>
      </w:r>
      <w:r>
        <w:rPr>
          <w:rFonts w:ascii="Palatino Linotype" w:hAnsi="Palatino Linotype"/>
          <w:caps/>
        </w:rPr>
        <w:t>to implement The Digital infrastructure and video competition act (DIVCA)</w:t>
      </w:r>
      <w:r>
        <w:rPr>
          <w:rFonts w:ascii="Palatino Linotype" w:hAnsi="Palatino Linotype"/>
        </w:rPr>
        <w:t xml:space="preserve"> FOR FISCAL YEAR </w:t>
      </w:r>
      <w:r w:rsidR="00E10484">
        <w:rPr>
          <w:rFonts w:ascii="Palatino Linotype" w:hAnsi="Palatino Linotype"/>
        </w:rPr>
        <w:t>2013-14</w:t>
      </w:r>
      <w:r>
        <w:rPr>
          <w:rFonts w:ascii="Palatino Linotype" w:hAnsi="Palatino Linotype"/>
        </w:rPr>
        <w:t>.</w:t>
      </w:r>
    </w:p>
    <w:p w:rsidR="001D5829" w:rsidRDefault="001D5829">
      <w:pPr>
        <w:ind w:right="720"/>
        <w:rPr>
          <w:rFonts w:ascii="Palatino Linotype" w:hAnsi="Palatino Linotype"/>
          <w:sz w:val="24"/>
        </w:rPr>
      </w:pPr>
    </w:p>
    <w:p w:rsidR="001D5829" w:rsidRDefault="001D5829">
      <w:pPr>
        <w:ind w:left="720" w:right="720"/>
        <w:rPr>
          <w:rFonts w:ascii="Palatino Linotype" w:hAnsi="Palatino Linotype"/>
          <w:sz w:val="24"/>
        </w:rPr>
      </w:pPr>
      <w:r>
        <w:rPr>
          <w:rFonts w:ascii="Palatino Linotype" w:hAnsi="Palatino Linotype"/>
          <w:sz w:val="24"/>
        </w:rPr>
        <w:t>____________________________________________________________</w:t>
      </w:r>
    </w:p>
    <w:p w:rsidR="001D5829" w:rsidRDefault="001D5829">
      <w:pPr>
        <w:rPr>
          <w:rFonts w:ascii="Palatino Linotype" w:hAnsi="Palatino Linotype"/>
          <w:sz w:val="24"/>
        </w:rPr>
      </w:pPr>
    </w:p>
    <w:p w:rsidR="001D5829" w:rsidRDefault="001D5829">
      <w:pPr>
        <w:pStyle w:val="Heading3"/>
        <w:rPr>
          <w:rFonts w:ascii="Palatino Linotype" w:hAnsi="Palatino Linotype"/>
          <w:szCs w:val="24"/>
        </w:rPr>
      </w:pPr>
      <w:r>
        <w:rPr>
          <w:rFonts w:ascii="Palatino Linotype" w:hAnsi="Palatino Linotype"/>
          <w:szCs w:val="24"/>
        </w:rPr>
        <w:t>Summary</w:t>
      </w:r>
    </w:p>
    <w:p w:rsidR="001D5829" w:rsidRDefault="001D5829">
      <w:pPr>
        <w:rPr>
          <w:rFonts w:ascii="Palatino Linotype" w:hAnsi="Palatino Linotype"/>
          <w:sz w:val="24"/>
          <w:szCs w:val="24"/>
        </w:rPr>
      </w:pPr>
    </w:p>
    <w:p w:rsidR="001D5829" w:rsidRDefault="001D5829">
      <w:pPr>
        <w:pStyle w:val="BodyText"/>
        <w:tabs>
          <w:tab w:val="left" w:pos="-1440"/>
          <w:tab w:val="left" w:pos="-720"/>
        </w:tabs>
        <w:suppressAutoHyphens/>
        <w:rPr>
          <w:rFonts w:ascii="Palatino Linotype" w:hAnsi="Palatino Linotype"/>
          <w:szCs w:val="24"/>
        </w:rPr>
      </w:pPr>
      <w:bookmarkStart w:id="1" w:name="OLE_LINK3"/>
      <w:bookmarkStart w:id="2" w:name="OLE_LINK4"/>
      <w:r>
        <w:rPr>
          <w:rFonts w:ascii="Palatino Linotype" w:hAnsi="Palatino Linotype"/>
          <w:szCs w:val="24"/>
        </w:rPr>
        <w:t>This Resolution sets the ann</w:t>
      </w:r>
      <w:r w:rsidR="002A210D">
        <w:rPr>
          <w:rFonts w:ascii="Palatino Linotype" w:hAnsi="Palatino Linotype"/>
          <w:szCs w:val="24"/>
        </w:rPr>
        <w:t>ual fee for the fiscal year 2013-2014</w:t>
      </w:r>
      <w:r>
        <w:rPr>
          <w:rFonts w:ascii="Palatino Linotype" w:hAnsi="Palatino Linotype"/>
          <w:szCs w:val="24"/>
        </w:rPr>
        <w:t xml:space="preserve"> to be paid by each video franchise holder</w:t>
      </w:r>
      <w:r>
        <w:rPr>
          <w:rFonts w:ascii="Palatino Linotype" w:hAnsi="Palatino Linotype"/>
          <w:color w:val="000000"/>
          <w:szCs w:val="24"/>
        </w:rPr>
        <w:t>.  This fee wil</w:t>
      </w:r>
      <w:r>
        <w:rPr>
          <w:rFonts w:ascii="Palatino Linotype" w:hAnsi="Palatino Linotype"/>
          <w:szCs w:val="24"/>
        </w:rPr>
        <w:t>l generate revenue equal to the Commission’s authorized budget for implementation of AB 2987, the Digital Infrastructure and Video Competition Act.</w:t>
      </w:r>
      <w:bookmarkEnd w:id="1"/>
      <w:bookmarkEnd w:id="2"/>
    </w:p>
    <w:p w:rsidR="001D5829" w:rsidRDefault="001D5829">
      <w:pPr>
        <w:tabs>
          <w:tab w:val="left" w:pos="-1440"/>
          <w:tab w:val="left" w:pos="-720"/>
        </w:tabs>
        <w:suppressAutoHyphens/>
        <w:rPr>
          <w:rFonts w:ascii="Palatino Linotype" w:hAnsi="Palatino Linotype"/>
          <w:sz w:val="24"/>
          <w:szCs w:val="24"/>
        </w:rPr>
      </w:pPr>
    </w:p>
    <w:p w:rsidR="001D5829" w:rsidRDefault="001D5829">
      <w:pPr>
        <w:pStyle w:val="Heading3"/>
        <w:rPr>
          <w:rFonts w:ascii="Palatino Linotype" w:hAnsi="Palatino Linotype"/>
          <w:szCs w:val="24"/>
        </w:rPr>
      </w:pPr>
      <w:r>
        <w:rPr>
          <w:rFonts w:ascii="Palatino Linotype" w:hAnsi="Palatino Linotype"/>
          <w:szCs w:val="24"/>
        </w:rPr>
        <w:t>Background</w:t>
      </w:r>
    </w:p>
    <w:p w:rsidR="001D5829" w:rsidRDefault="001D5829">
      <w:pPr>
        <w:rPr>
          <w:rFonts w:ascii="Palatino Linotype" w:hAnsi="Palatino Linotype"/>
          <w:sz w:val="24"/>
          <w:szCs w:val="24"/>
        </w:rPr>
      </w:pPr>
    </w:p>
    <w:p w:rsidR="001D5829" w:rsidRDefault="001D5829">
      <w:pPr>
        <w:rPr>
          <w:rFonts w:ascii="Palatino Linotype" w:hAnsi="Palatino Linotype"/>
          <w:sz w:val="24"/>
          <w:szCs w:val="24"/>
        </w:rPr>
      </w:pPr>
      <w:r>
        <w:rPr>
          <w:rFonts w:ascii="Palatino Linotype" w:hAnsi="Palatino Linotype"/>
          <w:sz w:val="24"/>
          <w:szCs w:val="24"/>
        </w:rPr>
        <w:t>The Digital Infrastructure and Video Competition Act of 2006 (DIVCA) was signed into law on September 29, 2006, creating for the first time a process for the issuance of state video franchises in California.</w:t>
      </w:r>
      <w:r>
        <w:rPr>
          <w:rStyle w:val="FootnoteReference"/>
          <w:rFonts w:ascii="Palatino Linotype" w:hAnsi="Palatino Linotype"/>
          <w:sz w:val="24"/>
          <w:szCs w:val="24"/>
        </w:rPr>
        <w:footnoteReference w:id="1"/>
      </w:r>
      <w:r>
        <w:rPr>
          <w:rFonts w:ascii="Palatino Linotype" w:hAnsi="Palatino Linotype"/>
          <w:sz w:val="24"/>
          <w:szCs w:val="24"/>
        </w:rPr>
        <w:t xml:space="preserve"> On March 1, 2007, the Commission issued D. 07-03-014 (DIVCA Decision)</w:t>
      </w:r>
      <w:r>
        <w:rPr>
          <w:rStyle w:val="FootnoteReference"/>
          <w:rFonts w:ascii="Palatino Linotype" w:hAnsi="Palatino Linotype"/>
          <w:sz w:val="24"/>
          <w:szCs w:val="24"/>
        </w:rPr>
        <w:t xml:space="preserve"> </w:t>
      </w:r>
      <w:r>
        <w:rPr>
          <w:rStyle w:val="FootnoteReference"/>
          <w:rFonts w:ascii="Palatino Linotype" w:hAnsi="Palatino Linotype"/>
          <w:sz w:val="24"/>
          <w:szCs w:val="24"/>
        </w:rPr>
        <w:footnoteReference w:id="2"/>
      </w:r>
      <w:r>
        <w:rPr>
          <w:rFonts w:ascii="Palatino Linotype" w:hAnsi="Palatino Linotype"/>
          <w:sz w:val="24"/>
          <w:szCs w:val="24"/>
        </w:rPr>
        <w:t xml:space="preserve">, implementing DIVCA, and began accepting video franchising applications immediately thereafter.  </w:t>
      </w:r>
      <w:r w:rsidR="00E10484">
        <w:rPr>
          <w:rFonts w:ascii="Palatino Linotype" w:hAnsi="Palatino Linotype"/>
          <w:sz w:val="24"/>
          <w:szCs w:val="24"/>
        </w:rPr>
        <w:t>At the end of 2013</w:t>
      </w:r>
      <w:r w:rsidR="001A6714">
        <w:rPr>
          <w:rFonts w:ascii="Palatino Linotype" w:hAnsi="Palatino Linotype"/>
          <w:sz w:val="24"/>
          <w:szCs w:val="24"/>
        </w:rPr>
        <w:t>, the Commission had</w:t>
      </w:r>
      <w:r>
        <w:rPr>
          <w:rFonts w:ascii="Palatino Linotype" w:hAnsi="Palatino Linotype"/>
          <w:sz w:val="24"/>
          <w:szCs w:val="24"/>
        </w:rPr>
        <w:t xml:space="preserve"> issued </w:t>
      </w:r>
      <w:r w:rsidR="00E10484">
        <w:rPr>
          <w:rFonts w:ascii="Palatino Linotype" w:hAnsi="Palatino Linotype"/>
          <w:sz w:val="24"/>
          <w:szCs w:val="24"/>
        </w:rPr>
        <w:t>47</w:t>
      </w:r>
      <w:r>
        <w:rPr>
          <w:rFonts w:ascii="Palatino Linotype" w:hAnsi="Palatino Linotype"/>
          <w:sz w:val="24"/>
          <w:szCs w:val="24"/>
        </w:rPr>
        <w:t xml:space="preserve"> video franchises and </w:t>
      </w:r>
      <w:r w:rsidR="00E10484">
        <w:rPr>
          <w:rFonts w:ascii="Palatino Linotype" w:hAnsi="Palatino Linotype"/>
          <w:sz w:val="24"/>
          <w:szCs w:val="24"/>
        </w:rPr>
        <w:t xml:space="preserve">128 </w:t>
      </w:r>
      <w:r>
        <w:rPr>
          <w:rFonts w:ascii="Palatino Linotype" w:hAnsi="Palatino Linotype"/>
          <w:sz w:val="24"/>
          <w:szCs w:val="24"/>
        </w:rPr>
        <w:t xml:space="preserve">amendments. </w:t>
      </w:r>
    </w:p>
    <w:p w:rsidR="001D5829" w:rsidRDefault="001D5829">
      <w:pPr>
        <w:rPr>
          <w:rFonts w:ascii="Palatino Linotype" w:hAnsi="Palatino Linotype"/>
          <w:sz w:val="24"/>
          <w:szCs w:val="24"/>
        </w:rPr>
      </w:pPr>
    </w:p>
    <w:p w:rsidR="001D5829" w:rsidRDefault="001D5829">
      <w:pPr>
        <w:rPr>
          <w:rFonts w:ascii="Palatino Linotype" w:hAnsi="Palatino Linotype"/>
          <w:sz w:val="24"/>
          <w:szCs w:val="24"/>
        </w:rPr>
      </w:pPr>
      <w:r>
        <w:rPr>
          <w:rFonts w:ascii="Palatino Linotype" w:hAnsi="Palatino Linotype"/>
          <w:sz w:val="24"/>
          <w:szCs w:val="24"/>
        </w:rPr>
        <w:t>DIVCA requires the Commission to collect annual fees from all state-issued video franchise holders.</w:t>
      </w:r>
      <w:r>
        <w:rPr>
          <w:rStyle w:val="FootnoteReference"/>
          <w:rFonts w:ascii="Palatino Linotype" w:hAnsi="Palatino Linotype"/>
          <w:sz w:val="24"/>
          <w:szCs w:val="24"/>
        </w:rPr>
        <w:footnoteReference w:id="3"/>
      </w:r>
      <w:r>
        <w:rPr>
          <w:rFonts w:ascii="Palatino Linotype" w:hAnsi="Palatino Linotype"/>
          <w:sz w:val="24"/>
          <w:szCs w:val="24"/>
        </w:rPr>
        <w:t xml:space="preserve"> The total amount of fees collected is to equal the amount authorized in the Commission budget for DIVCA implementation.  For the </w:t>
      </w:r>
      <w:r w:rsidR="000743B8">
        <w:rPr>
          <w:rFonts w:ascii="Palatino Linotype" w:hAnsi="Palatino Linotype"/>
          <w:sz w:val="24"/>
          <w:szCs w:val="24"/>
        </w:rPr>
        <w:t>201</w:t>
      </w:r>
      <w:r w:rsidR="00E10484">
        <w:rPr>
          <w:rFonts w:ascii="Palatino Linotype" w:hAnsi="Palatino Linotype"/>
          <w:sz w:val="24"/>
          <w:szCs w:val="24"/>
        </w:rPr>
        <w:t>3</w:t>
      </w:r>
      <w:r w:rsidR="000743B8">
        <w:rPr>
          <w:rFonts w:ascii="Palatino Linotype" w:hAnsi="Palatino Linotype"/>
          <w:sz w:val="24"/>
          <w:szCs w:val="24"/>
        </w:rPr>
        <w:t>-201</w:t>
      </w:r>
      <w:r w:rsidR="00E10484">
        <w:rPr>
          <w:rFonts w:ascii="Palatino Linotype" w:hAnsi="Palatino Linotype"/>
          <w:sz w:val="24"/>
          <w:szCs w:val="24"/>
        </w:rPr>
        <w:t>4</w:t>
      </w:r>
      <w:r>
        <w:rPr>
          <w:rFonts w:ascii="Palatino Linotype" w:hAnsi="Palatino Linotype"/>
          <w:sz w:val="24"/>
          <w:szCs w:val="24"/>
        </w:rPr>
        <w:t xml:space="preserve"> fiscal year</w:t>
      </w:r>
      <w:r>
        <w:rPr>
          <w:rFonts w:ascii="Palatino Linotype" w:hAnsi="Palatino Linotype"/>
          <w:color w:val="000000"/>
          <w:sz w:val="24"/>
          <w:szCs w:val="24"/>
        </w:rPr>
        <w:t>, $950,000 was authorized to implement the state video franchise program.</w:t>
      </w:r>
      <w:r>
        <w:rPr>
          <w:rStyle w:val="FootnoteReference"/>
          <w:rFonts w:ascii="Palatino Linotype" w:hAnsi="Palatino Linotype"/>
          <w:color w:val="000000"/>
          <w:sz w:val="24"/>
          <w:szCs w:val="24"/>
        </w:rPr>
        <w:footnoteReference w:id="4"/>
      </w:r>
      <w:r>
        <w:rPr>
          <w:rFonts w:ascii="Palatino Linotype" w:hAnsi="Palatino Linotype"/>
          <w:color w:val="000000"/>
          <w:sz w:val="24"/>
          <w:szCs w:val="24"/>
        </w:rPr>
        <w:t xml:space="preserve">  The</w:t>
      </w:r>
      <w:r>
        <w:rPr>
          <w:rFonts w:ascii="Palatino Linotype" w:hAnsi="Palatino Linotype"/>
          <w:sz w:val="24"/>
          <w:szCs w:val="24"/>
        </w:rPr>
        <w:t xml:space="preserve"> DIVCA Decision provided that the annual fee for each video franchisee, after the initial year, was to be calculated based on the percentage of all state video franchise holders’ gross state video franchise revenues that is attributable to an individual state video franchise holder.</w:t>
      </w:r>
      <w:r>
        <w:rPr>
          <w:rStyle w:val="FootnoteReference"/>
          <w:rFonts w:ascii="Palatino Linotype" w:hAnsi="Palatino Linotype"/>
          <w:sz w:val="24"/>
          <w:szCs w:val="24"/>
        </w:rPr>
        <w:footnoteReference w:id="5"/>
      </w:r>
      <w:r>
        <w:rPr>
          <w:rFonts w:ascii="Palatino Linotype" w:hAnsi="Palatino Linotype"/>
          <w:sz w:val="24"/>
          <w:szCs w:val="24"/>
        </w:rPr>
        <w:t xml:space="preserve"> The fee was to be calculated based on the revenue reported for the prior calendar year. </w:t>
      </w:r>
      <w:r w:rsidR="00E10484">
        <w:rPr>
          <w:rFonts w:ascii="Palatino Linotype" w:hAnsi="Palatino Linotype"/>
          <w:sz w:val="24"/>
          <w:szCs w:val="24"/>
        </w:rPr>
        <w:t>The fees</w:t>
      </w:r>
      <w:r w:rsidR="00EC0DC3">
        <w:rPr>
          <w:rFonts w:ascii="Palatino Linotype" w:hAnsi="Palatino Linotype"/>
          <w:sz w:val="24"/>
          <w:szCs w:val="24"/>
        </w:rPr>
        <w:t xml:space="preserve"> for</w:t>
      </w:r>
      <w:r w:rsidR="00E10484">
        <w:rPr>
          <w:rFonts w:ascii="Palatino Linotype" w:hAnsi="Palatino Linotype"/>
          <w:sz w:val="24"/>
          <w:szCs w:val="24"/>
        </w:rPr>
        <w:t xml:space="preserve"> </w:t>
      </w:r>
      <w:r w:rsidR="00C60221">
        <w:rPr>
          <w:rFonts w:ascii="Palatino Linotype" w:hAnsi="Palatino Linotype"/>
          <w:sz w:val="24"/>
          <w:szCs w:val="24"/>
        </w:rPr>
        <w:t>the 2013-2014 fiscal year</w:t>
      </w:r>
      <w:r w:rsidR="00E10484">
        <w:rPr>
          <w:rFonts w:ascii="Palatino Linotype" w:hAnsi="Palatino Linotype"/>
          <w:sz w:val="24"/>
          <w:szCs w:val="24"/>
        </w:rPr>
        <w:t xml:space="preserve"> are based on the video revenue reported </w:t>
      </w:r>
      <w:r w:rsidR="002A210D">
        <w:rPr>
          <w:rFonts w:ascii="Palatino Linotype" w:hAnsi="Palatino Linotype"/>
          <w:sz w:val="24"/>
          <w:szCs w:val="24"/>
        </w:rPr>
        <w:t xml:space="preserve">by each franchise holder </w:t>
      </w:r>
      <w:r w:rsidR="00E10484">
        <w:rPr>
          <w:rFonts w:ascii="Palatino Linotype" w:hAnsi="Palatino Linotype"/>
          <w:sz w:val="24"/>
          <w:szCs w:val="24"/>
        </w:rPr>
        <w:t xml:space="preserve">for </w:t>
      </w:r>
      <w:r w:rsidR="00C60221">
        <w:rPr>
          <w:rFonts w:ascii="Palatino Linotype" w:hAnsi="Palatino Linotype"/>
          <w:sz w:val="24"/>
          <w:szCs w:val="24"/>
        </w:rPr>
        <w:t xml:space="preserve">calendar year </w:t>
      </w:r>
      <w:r w:rsidR="00E10484">
        <w:rPr>
          <w:rFonts w:ascii="Palatino Linotype" w:hAnsi="Palatino Linotype"/>
          <w:sz w:val="24"/>
          <w:szCs w:val="24"/>
        </w:rPr>
        <w:t>2012.</w:t>
      </w:r>
    </w:p>
    <w:p w:rsidR="001D5829" w:rsidRDefault="001D5829">
      <w:pPr>
        <w:rPr>
          <w:rFonts w:ascii="Palatino Linotype" w:hAnsi="Palatino Linotype"/>
          <w:sz w:val="24"/>
          <w:szCs w:val="24"/>
        </w:rPr>
      </w:pPr>
    </w:p>
    <w:p w:rsidR="001D5829" w:rsidRDefault="00E10484">
      <w:pPr>
        <w:rPr>
          <w:rFonts w:ascii="Palatino Linotype" w:hAnsi="Palatino Linotype"/>
          <w:sz w:val="24"/>
          <w:szCs w:val="24"/>
        </w:rPr>
      </w:pPr>
      <w:r>
        <w:rPr>
          <w:rFonts w:ascii="Palatino Linotype" w:hAnsi="Palatino Linotype"/>
          <w:sz w:val="24"/>
          <w:szCs w:val="24"/>
        </w:rPr>
        <w:t>In 2007, i</w:t>
      </w:r>
      <w:r w:rsidR="001D5829">
        <w:rPr>
          <w:rFonts w:ascii="Palatino Linotype" w:hAnsi="Palatino Linotype"/>
          <w:sz w:val="24"/>
          <w:szCs w:val="24"/>
        </w:rPr>
        <w:t xml:space="preserve">t became apparent that allocating the annual fee based on holders’ </w:t>
      </w:r>
      <w:r w:rsidR="002A210D">
        <w:rPr>
          <w:rFonts w:ascii="Palatino Linotype" w:hAnsi="Palatino Linotype"/>
          <w:sz w:val="24"/>
          <w:szCs w:val="24"/>
        </w:rPr>
        <w:t xml:space="preserve">video </w:t>
      </w:r>
      <w:r w:rsidR="001D5829">
        <w:rPr>
          <w:rFonts w:ascii="Palatino Linotype" w:hAnsi="Palatino Linotype"/>
          <w:sz w:val="24"/>
          <w:szCs w:val="24"/>
        </w:rPr>
        <w:t>revenues was not an equitable approach</w:t>
      </w:r>
      <w:r w:rsidR="002A210D">
        <w:rPr>
          <w:rFonts w:ascii="Palatino Linotype" w:hAnsi="Palatino Linotype"/>
          <w:sz w:val="24"/>
          <w:szCs w:val="24"/>
        </w:rPr>
        <w:t xml:space="preserve"> to determining proportionate annual fees</w:t>
      </w:r>
      <w:r w:rsidR="001D5829">
        <w:rPr>
          <w:rFonts w:ascii="Palatino Linotype" w:hAnsi="Palatino Linotype"/>
          <w:sz w:val="24"/>
          <w:szCs w:val="24"/>
        </w:rPr>
        <w:t xml:space="preserve">, given the allocation of revenues among holders during the early phases of DIVCA implementation.  Accordingly, the CPUC adopted D. 09-04-011, modifying D. 07-03-014, to provide for setting the annual fee based on a pro-rata allocation of households in holders’ video service territories, rather than according to </w:t>
      </w:r>
      <w:r w:rsidR="002A210D">
        <w:rPr>
          <w:rFonts w:ascii="Palatino Linotype" w:hAnsi="Palatino Linotype"/>
          <w:sz w:val="24"/>
          <w:szCs w:val="24"/>
        </w:rPr>
        <w:t xml:space="preserve">video </w:t>
      </w:r>
      <w:r w:rsidR="001D5829">
        <w:rPr>
          <w:rFonts w:ascii="Palatino Linotype" w:hAnsi="Palatino Linotype"/>
          <w:sz w:val="24"/>
          <w:szCs w:val="24"/>
        </w:rPr>
        <w:t xml:space="preserve">revenues, through the </w:t>
      </w:r>
      <w:r w:rsidR="00F742D4">
        <w:rPr>
          <w:rFonts w:ascii="Palatino Linotype" w:hAnsi="Palatino Linotype"/>
          <w:sz w:val="24"/>
          <w:szCs w:val="24"/>
        </w:rPr>
        <w:t>2012-2013</w:t>
      </w:r>
      <w:r w:rsidR="001D5829">
        <w:rPr>
          <w:rFonts w:ascii="Palatino Linotype" w:hAnsi="Palatino Linotype"/>
          <w:sz w:val="24"/>
          <w:szCs w:val="24"/>
        </w:rPr>
        <w:t xml:space="preserve"> fiscal year.</w:t>
      </w:r>
      <w:r w:rsidR="001D5829">
        <w:rPr>
          <w:rStyle w:val="FootnoteReference"/>
          <w:rFonts w:ascii="Palatino Linotype" w:hAnsi="Palatino Linotype"/>
          <w:sz w:val="24"/>
          <w:szCs w:val="24"/>
        </w:rPr>
        <w:footnoteReference w:id="6"/>
      </w:r>
      <w:r w:rsidR="001D5829">
        <w:rPr>
          <w:rFonts w:ascii="Palatino Linotype" w:hAnsi="Palatino Linotype"/>
          <w:sz w:val="24"/>
          <w:szCs w:val="24"/>
        </w:rPr>
        <w:t xml:space="preserve"> </w:t>
      </w:r>
      <w:r w:rsidR="002A210D">
        <w:rPr>
          <w:rFonts w:ascii="Palatino Linotype" w:hAnsi="Palatino Linotype"/>
          <w:sz w:val="24"/>
          <w:szCs w:val="24"/>
        </w:rPr>
        <w:t>This year we begi</w:t>
      </w:r>
      <w:r>
        <w:rPr>
          <w:rFonts w:ascii="Palatino Linotype" w:hAnsi="Palatino Linotype"/>
          <w:sz w:val="24"/>
          <w:szCs w:val="24"/>
        </w:rPr>
        <w:t xml:space="preserve">n allocating the annual fee based on </w:t>
      </w:r>
      <w:r w:rsidR="002A210D">
        <w:rPr>
          <w:rFonts w:ascii="Palatino Linotype" w:hAnsi="Palatino Linotype"/>
          <w:sz w:val="24"/>
          <w:szCs w:val="24"/>
        </w:rPr>
        <w:t xml:space="preserve">each franchise holder’s </w:t>
      </w:r>
      <w:r w:rsidR="002A210D">
        <w:rPr>
          <w:rFonts w:ascii="Palatino Linotype" w:hAnsi="Palatino Linotype"/>
          <w:sz w:val="24"/>
        </w:rPr>
        <w:t xml:space="preserve">pro-rata share of total video revenues </w:t>
      </w:r>
      <w:r>
        <w:rPr>
          <w:rFonts w:ascii="Palatino Linotype" w:hAnsi="Palatino Linotype"/>
          <w:sz w:val="24"/>
          <w:szCs w:val="24"/>
        </w:rPr>
        <w:t>for the calendar year 2012</w:t>
      </w:r>
      <w:r w:rsidR="0057409B">
        <w:rPr>
          <w:rFonts w:ascii="Palatino Linotype" w:hAnsi="Palatino Linotype"/>
          <w:sz w:val="24"/>
          <w:szCs w:val="24"/>
        </w:rPr>
        <w:t xml:space="preserve">, </w:t>
      </w:r>
      <w:r w:rsidR="00580690">
        <w:rPr>
          <w:rFonts w:ascii="Palatino Linotype" w:hAnsi="Palatino Linotype"/>
          <w:sz w:val="24"/>
          <w:szCs w:val="24"/>
        </w:rPr>
        <w:t>in accordance with</w:t>
      </w:r>
      <w:r w:rsidR="0057409B">
        <w:rPr>
          <w:rFonts w:ascii="Palatino Linotype" w:hAnsi="Palatino Linotype"/>
          <w:sz w:val="24"/>
          <w:szCs w:val="24"/>
        </w:rPr>
        <w:t xml:space="preserve"> D.07-03-014</w:t>
      </w:r>
      <w:r>
        <w:rPr>
          <w:rFonts w:ascii="Palatino Linotype" w:hAnsi="Palatino Linotype"/>
          <w:sz w:val="24"/>
          <w:szCs w:val="24"/>
        </w:rPr>
        <w:t>.</w:t>
      </w:r>
    </w:p>
    <w:p w:rsidR="001D5829" w:rsidRDefault="001D5829">
      <w:pPr>
        <w:rPr>
          <w:sz w:val="24"/>
          <w:szCs w:val="24"/>
        </w:rPr>
      </w:pPr>
    </w:p>
    <w:p w:rsidR="001D5829" w:rsidRDefault="000517D3">
      <w:pPr>
        <w:pStyle w:val="Heading3"/>
        <w:rPr>
          <w:rFonts w:ascii="Palatino Linotype" w:hAnsi="Palatino Linotype"/>
          <w:szCs w:val="24"/>
        </w:rPr>
      </w:pPr>
      <w:r>
        <w:rPr>
          <w:rFonts w:ascii="Palatino Linotype" w:hAnsi="Palatino Linotype"/>
          <w:szCs w:val="24"/>
        </w:rPr>
        <w:br w:type="page"/>
      </w:r>
      <w:r w:rsidR="001D5829">
        <w:rPr>
          <w:rFonts w:ascii="Palatino Linotype" w:hAnsi="Palatino Linotype"/>
          <w:szCs w:val="24"/>
        </w:rPr>
        <w:lastRenderedPageBreak/>
        <w:t>Discussion</w:t>
      </w:r>
    </w:p>
    <w:p w:rsidR="001D5829" w:rsidRDefault="001D5829">
      <w:pPr>
        <w:rPr>
          <w:rFonts w:ascii="Palatino Linotype" w:hAnsi="Palatino Linotype"/>
          <w:sz w:val="24"/>
          <w:szCs w:val="24"/>
        </w:rPr>
      </w:pPr>
    </w:p>
    <w:p w:rsidR="001D5829" w:rsidRDefault="001D5829">
      <w:pPr>
        <w:rPr>
          <w:rFonts w:ascii="Palatino Linotype" w:hAnsi="Palatino Linotype"/>
          <w:sz w:val="24"/>
          <w:szCs w:val="24"/>
        </w:rPr>
      </w:pPr>
      <w:r>
        <w:rPr>
          <w:rFonts w:ascii="Palatino Linotype" w:hAnsi="Palatino Linotype"/>
          <w:sz w:val="24"/>
          <w:szCs w:val="24"/>
        </w:rPr>
        <w:t xml:space="preserve">This Resolution sets the annual fee </w:t>
      </w:r>
      <w:r w:rsidR="0057409B">
        <w:rPr>
          <w:rFonts w:ascii="Palatino Linotype" w:hAnsi="Palatino Linotype"/>
          <w:sz w:val="24"/>
          <w:szCs w:val="24"/>
        </w:rPr>
        <w:t>for FY 2013-2014 consistent with the D.07-03-014</w:t>
      </w:r>
      <w:r>
        <w:rPr>
          <w:rFonts w:ascii="Palatino Linotype" w:hAnsi="Palatino Linotype"/>
          <w:sz w:val="24"/>
          <w:szCs w:val="24"/>
        </w:rPr>
        <w:t>.</w:t>
      </w:r>
    </w:p>
    <w:p w:rsidR="001D5829" w:rsidRDefault="001D5829">
      <w:pPr>
        <w:rPr>
          <w:rFonts w:ascii="Palatino Linotype" w:hAnsi="Palatino Linotype"/>
          <w:sz w:val="24"/>
          <w:szCs w:val="24"/>
        </w:rPr>
      </w:pPr>
    </w:p>
    <w:p w:rsidR="0057409B" w:rsidRDefault="001D5829">
      <w:pPr>
        <w:rPr>
          <w:rFonts w:ascii="Palatino Linotype" w:hAnsi="Palatino Linotype"/>
          <w:color w:val="000000"/>
          <w:sz w:val="24"/>
          <w:szCs w:val="24"/>
        </w:rPr>
      </w:pPr>
      <w:r>
        <w:rPr>
          <w:rFonts w:ascii="Palatino Linotype" w:hAnsi="Palatino Linotype"/>
          <w:sz w:val="24"/>
          <w:szCs w:val="24"/>
        </w:rPr>
        <w:t xml:space="preserve">In order to generate the </w:t>
      </w:r>
      <w:r>
        <w:rPr>
          <w:rFonts w:ascii="Palatino Linotype" w:hAnsi="Palatino Linotype"/>
          <w:color w:val="000000"/>
          <w:sz w:val="24"/>
          <w:szCs w:val="24"/>
        </w:rPr>
        <w:t>$950,000 authorized for t</w:t>
      </w:r>
      <w:r w:rsidR="0057409B">
        <w:rPr>
          <w:rFonts w:ascii="Palatino Linotype" w:hAnsi="Palatino Linotype"/>
          <w:color w:val="000000"/>
          <w:sz w:val="24"/>
          <w:szCs w:val="24"/>
        </w:rPr>
        <w:t>he Commission’s Fiscal Year 2013-2014</w:t>
      </w:r>
      <w:r>
        <w:rPr>
          <w:rFonts w:ascii="Palatino Linotype" w:hAnsi="Palatino Linotype"/>
          <w:color w:val="000000"/>
          <w:sz w:val="24"/>
          <w:szCs w:val="24"/>
        </w:rPr>
        <w:t xml:space="preserve"> DIVCA-related budget, the amount due </w:t>
      </w:r>
      <w:r w:rsidR="0057409B">
        <w:rPr>
          <w:rFonts w:ascii="Palatino Linotype" w:hAnsi="Palatino Linotype"/>
          <w:color w:val="000000"/>
          <w:sz w:val="24"/>
          <w:szCs w:val="24"/>
        </w:rPr>
        <w:t xml:space="preserve">from each franchise holder is based on a pro-rata </w:t>
      </w:r>
      <w:r w:rsidR="0057409B">
        <w:rPr>
          <w:rFonts w:ascii="Palatino Linotype" w:hAnsi="Palatino Linotype"/>
          <w:sz w:val="24"/>
        </w:rPr>
        <w:t xml:space="preserve">share of </w:t>
      </w:r>
      <w:r w:rsidR="00BB7350">
        <w:rPr>
          <w:rFonts w:ascii="Palatino Linotype" w:hAnsi="Palatino Linotype"/>
          <w:sz w:val="24"/>
        </w:rPr>
        <w:t xml:space="preserve">gross </w:t>
      </w:r>
      <w:r w:rsidR="00A64F5E">
        <w:rPr>
          <w:rFonts w:ascii="Palatino Linotype" w:hAnsi="Palatino Linotype"/>
          <w:sz w:val="24"/>
        </w:rPr>
        <w:t xml:space="preserve">video </w:t>
      </w:r>
      <w:r w:rsidR="00F25A40">
        <w:rPr>
          <w:rFonts w:ascii="Palatino Linotype" w:hAnsi="Palatino Linotype"/>
          <w:sz w:val="24"/>
        </w:rPr>
        <w:t xml:space="preserve">revenues </w:t>
      </w:r>
      <w:r w:rsidR="00BB7350">
        <w:rPr>
          <w:rFonts w:ascii="Palatino Linotype" w:hAnsi="Palatino Linotype"/>
          <w:sz w:val="24"/>
        </w:rPr>
        <w:t>from state-issued franchises,</w:t>
      </w:r>
      <w:r w:rsidR="0057409B">
        <w:rPr>
          <w:rFonts w:ascii="Palatino Linotype" w:hAnsi="Palatino Linotype"/>
          <w:sz w:val="24"/>
        </w:rPr>
        <w:t xml:space="preserve"> in accordance with </w:t>
      </w:r>
      <w:r w:rsidR="0057409B">
        <w:rPr>
          <w:rFonts w:ascii="Palatino Linotype" w:hAnsi="Palatino Linotype"/>
          <w:sz w:val="24"/>
          <w:szCs w:val="24"/>
        </w:rPr>
        <w:t>D. 07-03-014</w:t>
      </w:r>
      <w:r w:rsidR="00BB7350">
        <w:rPr>
          <w:rFonts w:ascii="Palatino Linotype" w:hAnsi="Palatino Linotype"/>
          <w:sz w:val="24"/>
          <w:szCs w:val="24"/>
        </w:rPr>
        <w:t xml:space="preserve">. For calendar year 2012, the time period used to apportion fees, total gross video revenues </w:t>
      </w:r>
      <w:r w:rsidR="00293300">
        <w:rPr>
          <w:rFonts w:ascii="Palatino Linotype" w:hAnsi="Palatino Linotype"/>
          <w:sz w:val="24"/>
          <w:szCs w:val="24"/>
        </w:rPr>
        <w:t xml:space="preserve">were </w:t>
      </w:r>
      <w:r w:rsidR="00BB7350">
        <w:rPr>
          <w:rFonts w:ascii="Palatino Linotype" w:hAnsi="Palatino Linotype"/>
          <w:sz w:val="24"/>
          <w:szCs w:val="24"/>
        </w:rPr>
        <w:t xml:space="preserve">approximately </w:t>
      </w:r>
      <w:r w:rsidR="00293300">
        <w:rPr>
          <w:rFonts w:ascii="Palatino Linotype" w:hAnsi="Palatino Linotype"/>
          <w:sz w:val="24"/>
          <w:szCs w:val="24"/>
        </w:rPr>
        <w:t>$5.5 billion ($5,492,310,300)</w:t>
      </w:r>
      <w:r w:rsidR="002E09E7">
        <w:rPr>
          <w:rFonts w:ascii="Palatino Linotype" w:hAnsi="Palatino Linotype"/>
          <w:sz w:val="24"/>
          <w:szCs w:val="24"/>
        </w:rPr>
        <w:t>.</w:t>
      </w:r>
      <w:r w:rsidR="00293300">
        <w:rPr>
          <w:rFonts w:ascii="Palatino Linotype" w:hAnsi="Palatino Linotype"/>
          <w:sz w:val="24"/>
          <w:szCs w:val="24"/>
        </w:rPr>
        <w:t xml:space="preserve"> </w:t>
      </w:r>
      <w:r w:rsidR="002E09E7">
        <w:rPr>
          <w:rFonts w:ascii="Palatino Linotype" w:hAnsi="Palatino Linotype"/>
          <w:sz w:val="24"/>
          <w:szCs w:val="24"/>
        </w:rPr>
        <w:t xml:space="preserve"> </w:t>
      </w:r>
      <w:r w:rsidR="00293300">
        <w:rPr>
          <w:rFonts w:ascii="Palatino Linotype" w:hAnsi="Palatino Linotype"/>
          <w:sz w:val="24"/>
          <w:szCs w:val="24"/>
        </w:rPr>
        <w:t>Consequently, the total DIVCA-related budget, amounts to 0.</w:t>
      </w:r>
      <w:r w:rsidR="00F25A40">
        <w:rPr>
          <w:rFonts w:ascii="Palatino Linotype" w:hAnsi="Palatino Linotype"/>
          <w:sz w:val="24"/>
          <w:szCs w:val="24"/>
        </w:rPr>
        <w:t>0</w:t>
      </w:r>
      <w:r w:rsidR="00293300">
        <w:rPr>
          <w:rFonts w:ascii="Palatino Linotype" w:hAnsi="Palatino Linotype"/>
          <w:sz w:val="24"/>
          <w:szCs w:val="24"/>
        </w:rPr>
        <w:t>17</w:t>
      </w:r>
      <w:r w:rsidR="007C26C3">
        <w:rPr>
          <w:rFonts w:ascii="Palatino Linotype" w:hAnsi="Palatino Linotype"/>
          <w:sz w:val="24"/>
          <w:szCs w:val="24"/>
        </w:rPr>
        <w:t>3</w:t>
      </w:r>
      <w:r w:rsidR="001626BC">
        <w:rPr>
          <w:rFonts w:ascii="Palatino Linotype" w:hAnsi="Palatino Linotype"/>
          <w:sz w:val="24"/>
          <w:szCs w:val="24"/>
        </w:rPr>
        <w:t>%</w:t>
      </w:r>
      <w:r w:rsidR="00293300">
        <w:rPr>
          <w:rFonts w:ascii="Palatino Linotype" w:hAnsi="Palatino Linotype"/>
          <w:sz w:val="24"/>
          <w:szCs w:val="24"/>
        </w:rPr>
        <w:t xml:space="preserve"> of the total video revenues in the state.</w:t>
      </w:r>
      <w:r w:rsidR="00296DAD">
        <w:rPr>
          <w:rFonts w:ascii="Palatino Linotype" w:hAnsi="Palatino Linotype"/>
          <w:sz w:val="24"/>
          <w:szCs w:val="24"/>
        </w:rPr>
        <w:t xml:space="preserve">  In other wor</w:t>
      </w:r>
      <w:r w:rsidR="00140D5A">
        <w:rPr>
          <w:rFonts w:ascii="Palatino Linotype" w:hAnsi="Palatino Linotype"/>
          <w:sz w:val="24"/>
          <w:szCs w:val="24"/>
        </w:rPr>
        <w:t>d</w:t>
      </w:r>
      <w:r w:rsidR="00296DAD">
        <w:rPr>
          <w:rFonts w:ascii="Palatino Linotype" w:hAnsi="Palatino Linotype"/>
          <w:sz w:val="24"/>
          <w:szCs w:val="24"/>
        </w:rPr>
        <w:t xml:space="preserve">s, each holder pays the CPUC </w:t>
      </w:r>
      <w:r w:rsidR="00BB7350">
        <w:rPr>
          <w:rStyle w:val="FootnoteReference"/>
          <w:rFonts w:ascii="Palatino Linotype" w:hAnsi="Palatino Linotype"/>
          <w:sz w:val="24"/>
          <w:szCs w:val="24"/>
        </w:rPr>
        <w:footnoteReference w:id="7"/>
      </w:r>
      <w:r w:rsidR="00293300">
        <w:rPr>
          <w:rFonts w:ascii="Palatino Linotype" w:hAnsi="Palatino Linotype"/>
          <w:sz w:val="24"/>
          <w:szCs w:val="24"/>
        </w:rPr>
        <w:t xml:space="preserve"> </w:t>
      </w:r>
      <w:r w:rsidR="002A04EC">
        <w:rPr>
          <w:rFonts w:ascii="Palatino Linotype" w:hAnsi="Palatino Linotype"/>
          <w:sz w:val="24"/>
          <w:szCs w:val="24"/>
        </w:rPr>
        <w:t xml:space="preserve">0.01729 cents </w:t>
      </w:r>
      <w:r w:rsidR="00140D5A">
        <w:rPr>
          <w:rFonts w:ascii="Palatino Linotype" w:hAnsi="Palatino Linotype"/>
          <w:sz w:val="24"/>
          <w:szCs w:val="24"/>
        </w:rPr>
        <w:t>per dollar of gross video revenue.</w:t>
      </w:r>
    </w:p>
    <w:p w:rsidR="001D5829" w:rsidRDefault="001D5829">
      <w:pPr>
        <w:autoSpaceDE w:val="0"/>
        <w:autoSpaceDN w:val="0"/>
        <w:adjustRightInd w:val="0"/>
        <w:rPr>
          <w:rFonts w:ascii="Palatino Linotype" w:hAnsi="Palatino Linotype"/>
          <w:sz w:val="24"/>
          <w:szCs w:val="24"/>
        </w:rPr>
      </w:pPr>
    </w:p>
    <w:p w:rsidR="001D5829" w:rsidRDefault="00293300">
      <w:pPr>
        <w:autoSpaceDE w:val="0"/>
        <w:autoSpaceDN w:val="0"/>
        <w:adjustRightInd w:val="0"/>
        <w:rPr>
          <w:rFonts w:ascii="Palatino Linotype" w:hAnsi="Palatino Linotype"/>
          <w:sz w:val="24"/>
          <w:szCs w:val="24"/>
        </w:rPr>
      </w:pPr>
      <w:r>
        <w:rPr>
          <w:rFonts w:ascii="Palatino Linotype" w:hAnsi="Palatino Linotype"/>
          <w:sz w:val="24"/>
          <w:szCs w:val="24"/>
        </w:rPr>
        <w:t>S</w:t>
      </w:r>
      <w:r w:rsidR="0057409B">
        <w:rPr>
          <w:rFonts w:ascii="Palatino Linotype" w:hAnsi="Palatino Linotype"/>
          <w:sz w:val="24"/>
          <w:szCs w:val="24"/>
        </w:rPr>
        <w:t>ince an individual franchise holder’</w:t>
      </w:r>
      <w:r w:rsidR="006D60FD">
        <w:rPr>
          <w:rFonts w:ascii="Palatino Linotype" w:hAnsi="Palatino Linotype"/>
          <w:sz w:val="24"/>
          <w:szCs w:val="24"/>
        </w:rPr>
        <w:t>s fee will be</w:t>
      </w:r>
      <w:r w:rsidR="0057409B">
        <w:rPr>
          <w:rFonts w:ascii="Palatino Linotype" w:hAnsi="Palatino Linotype"/>
          <w:sz w:val="24"/>
          <w:szCs w:val="24"/>
        </w:rPr>
        <w:t xml:space="preserve"> directly related to their </w:t>
      </w:r>
      <w:r w:rsidR="00C60221">
        <w:rPr>
          <w:rFonts w:ascii="Palatino Linotype" w:hAnsi="Palatino Linotype"/>
          <w:sz w:val="24"/>
          <w:szCs w:val="24"/>
        </w:rPr>
        <w:t xml:space="preserve">gross </w:t>
      </w:r>
      <w:r w:rsidR="0057409B">
        <w:rPr>
          <w:rFonts w:ascii="Palatino Linotype" w:hAnsi="Palatino Linotype"/>
          <w:sz w:val="24"/>
          <w:szCs w:val="24"/>
        </w:rPr>
        <w:t xml:space="preserve">video revenue, we </w:t>
      </w:r>
      <w:r w:rsidR="00140D5A">
        <w:rPr>
          <w:rFonts w:ascii="Palatino Linotype" w:hAnsi="Palatino Linotype"/>
          <w:sz w:val="24"/>
          <w:szCs w:val="24"/>
        </w:rPr>
        <w:t>can</w:t>
      </w:r>
      <w:r w:rsidR="007C26C3">
        <w:rPr>
          <w:rFonts w:ascii="Palatino Linotype" w:hAnsi="Palatino Linotype"/>
          <w:sz w:val="24"/>
          <w:szCs w:val="24"/>
        </w:rPr>
        <w:t>not</w:t>
      </w:r>
      <w:r w:rsidR="00140D5A">
        <w:rPr>
          <w:rFonts w:ascii="Palatino Linotype" w:hAnsi="Palatino Linotype"/>
          <w:sz w:val="24"/>
          <w:szCs w:val="24"/>
        </w:rPr>
        <w:t xml:space="preserve"> disclose </w:t>
      </w:r>
      <w:r w:rsidR="0057409B">
        <w:rPr>
          <w:rFonts w:ascii="Palatino Linotype" w:hAnsi="Palatino Linotype"/>
          <w:sz w:val="24"/>
          <w:szCs w:val="24"/>
        </w:rPr>
        <w:t xml:space="preserve">the annual fee of any </w:t>
      </w:r>
      <w:r w:rsidR="00C60221">
        <w:rPr>
          <w:rFonts w:ascii="Palatino Linotype" w:hAnsi="Palatino Linotype"/>
          <w:sz w:val="24"/>
          <w:szCs w:val="24"/>
        </w:rPr>
        <w:t xml:space="preserve">individual </w:t>
      </w:r>
      <w:r w:rsidR="0057409B">
        <w:rPr>
          <w:rFonts w:ascii="Palatino Linotype" w:hAnsi="Palatino Linotype"/>
          <w:sz w:val="24"/>
          <w:szCs w:val="24"/>
        </w:rPr>
        <w:t>video franchise holder.</w:t>
      </w:r>
      <w:r w:rsidR="001D5829">
        <w:rPr>
          <w:rFonts w:ascii="Palatino Linotype" w:hAnsi="Palatino Linotype"/>
          <w:sz w:val="24"/>
          <w:szCs w:val="24"/>
        </w:rPr>
        <w:t xml:space="preserve">  </w:t>
      </w:r>
    </w:p>
    <w:p w:rsidR="001D5829" w:rsidRDefault="001D5829">
      <w:pPr>
        <w:autoSpaceDE w:val="0"/>
        <w:autoSpaceDN w:val="0"/>
        <w:adjustRightInd w:val="0"/>
        <w:rPr>
          <w:rFonts w:ascii="Palatino Linotype" w:hAnsi="Palatino Linotype"/>
          <w:sz w:val="24"/>
          <w:szCs w:val="24"/>
        </w:rPr>
      </w:pPr>
    </w:p>
    <w:p w:rsidR="006C0E74" w:rsidRDefault="006C0E74" w:rsidP="006C0E74">
      <w:pPr>
        <w:rPr>
          <w:rFonts w:ascii="Palatino Linotype" w:hAnsi="Palatino Linotype"/>
          <w:sz w:val="24"/>
          <w:szCs w:val="24"/>
        </w:rPr>
      </w:pPr>
      <w:r>
        <w:rPr>
          <w:rFonts w:ascii="Palatino Linotype" w:hAnsi="Palatino Linotype"/>
          <w:sz w:val="24"/>
          <w:szCs w:val="24"/>
        </w:rPr>
        <w:t xml:space="preserve">The Commission will send all video franchise holders </w:t>
      </w:r>
      <w:r w:rsidR="006D60FD">
        <w:rPr>
          <w:rFonts w:ascii="Palatino Linotype" w:hAnsi="Palatino Linotype"/>
          <w:sz w:val="24"/>
          <w:szCs w:val="24"/>
        </w:rPr>
        <w:t xml:space="preserve">a </w:t>
      </w:r>
      <w:r w:rsidR="0057409B">
        <w:rPr>
          <w:rFonts w:ascii="Palatino Linotype" w:hAnsi="Palatino Linotype"/>
          <w:sz w:val="24"/>
          <w:szCs w:val="24"/>
        </w:rPr>
        <w:t xml:space="preserve">confidential </w:t>
      </w:r>
      <w:r>
        <w:rPr>
          <w:rFonts w:ascii="Palatino Linotype" w:hAnsi="Palatino Linotype"/>
          <w:sz w:val="24"/>
          <w:szCs w:val="24"/>
        </w:rPr>
        <w:t>fee statement after adoption of this Resolution.  Video franchise holders with franchises issued any t</w:t>
      </w:r>
      <w:r w:rsidR="0057409B">
        <w:rPr>
          <w:rFonts w:ascii="Palatino Linotype" w:hAnsi="Palatino Linotype"/>
          <w:sz w:val="24"/>
          <w:szCs w:val="24"/>
        </w:rPr>
        <w:t>ime on or prior to June 30, 2014</w:t>
      </w:r>
      <w:r>
        <w:rPr>
          <w:rFonts w:ascii="Palatino Linotype" w:hAnsi="Palatino Linotype"/>
          <w:sz w:val="24"/>
          <w:szCs w:val="24"/>
        </w:rPr>
        <w:t xml:space="preserve"> are required to pay the annual f</w:t>
      </w:r>
      <w:r w:rsidR="0057409B">
        <w:rPr>
          <w:rFonts w:ascii="Palatino Linotype" w:hAnsi="Palatino Linotype"/>
          <w:sz w:val="24"/>
          <w:szCs w:val="24"/>
        </w:rPr>
        <w:t>ee for the full Fiscal Year 2013-14</w:t>
      </w:r>
      <w:r>
        <w:rPr>
          <w:rFonts w:ascii="Palatino Linotype" w:hAnsi="Palatino Linotype"/>
          <w:sz w:val="24"/>
          <w:szCs w:val="24"/>
        </w:rPr>
        <w:t xml:space="preserve">. Video franchise holders with franchises issued on or before the date of this Resolution must pay their </w:t>
      </w:r>
      <w:r w:rsidR="0057409B">
        <w:rPr>
          <w:rFonts w:ascii="Palatino Linotype" w:hAnsi="Palatino Linotype"/>
          <w:sz w:val="24"/>
          <w:szCs w:val="24"/>
        </w:rPr>
        <w:t>annual fees for Fiscal Year 2013-14 before April 30, 201</w:t>
      </w:r>
      <w:r w:rsidR="006D60FD">
        <w:rPr>
          <w:rFonts w:ascii="Palatino Linotype" w:hAnsi="Palatino Linotype"/>
          <w:sz w:val="24"/>
          <w:szCs w:val="24"/>
        </w:rPr>
        <w:t>4</w:t>
      </w:r>
      <w:r>
        <w:rPr>
          <w:rFonts w:ascii="Palatino Linotype" w:hAnsi="Palatino Linotype"/>
          <w:sz w:val="24"/>
          <w:szCs w:val="24"/>
        </w:rPr>
        <w:t>.  Holders of franchises granted after the date of the Resolution shall pay the fee amount to the Commission within 60 days after the issuance of the</w:t>
      </w:r>
      <w:r w:rsidR="0057409B">
        <w:rPr>
          <w:rFonts w:ascii="Palatino Linotype" w:hAnsi="Palatino Linotype"/>
          <w:sz w:val="24"/>
          <w:szCs w:val="24"/>
        </w:rPr>
        <w:t>ir franchise or by June 30, 201</w:t>
      </w:r>
      <w:r w:rsidR="006D60FD">
        <w:rPr>
          <w:rFonts w:ascii="Palatino Linotype" w:hAnsi="Palatino Linotype"/>
          <w:sz w:val="24"/>
          <w:szCs w:val="24"/>
        </w:rPr>
        <w:t>4</w:t>
      </w:r>
      <w:r>
        <w:rPr>
          <w:rFonts w:ascii="Palatino Linotype" w:hAnsi="Palatino Linotype"/>
          <w:sz w:val="24"/>
          <w:szCs w:val="24"/>
        </w:rPr>
        <w:t>, whichever is earlier.</w:t>
      </w:r>
    </w:p>
    <w:p w:rsidR="006C0E74" w:rsidRDefault="006C0E74">
      <w:pPr>
        <w:autoSpaceDE w:val="0"/>
        <w:autoSpaceDN w:val="0"/>
        <w:adjustRightInd w:val="0"/>
        <w:rPr>
          <w:rFonts w:ascii="Palatino Linotype" w:hAnsi="Palatino Linotype"/>
          <w:b/>
          <w:sz w:val="24"/>
          <w:szCs w:val="24"/>
        </w:rPr>
      </w:pPr>
    </w:p>
    <w:p w:rsidR="006C0E74" w:rsidRDefault="006C0E74">
      <w:pPr>
        <w:autoSpaceDE w:val="0"/>
        <w:autoSpaceDN w:val="0"/>
        <w:adjustRightInd w:val="0"/>
        <w:rPr>
          <w:rFonts w:ascii="Palatino Linotype" w:hAnsi="Palatino Linotype"/>
          <w:b/>
          <w:sz w:val="24"/>
          <w:szCs w:val="24"/>
        </w:rPr>
      </w:pPr>
      <w:r>
        <w:rPr>
          <w:rFonts w:ascii="Palatino Linotype" w:hAnsi="Palatino Linotype"/>
          <w:b/>
          <w:sz w:val="24"/>
          <w:szCs w:val="24"/>
        </w:rPr>
        <w:t xml:space="preserve">Safety Considerations </w:t>
      </w:r>
    </w:p>
    <w:p w:rsidR="006C0E74" w:rsidRDefault="00C60221">
      <w:pPr>
        <w:autoSpaceDE w:val="0"/>
        <w:autoSpaceDN w:val="0"/>
        <w:adjustRightInd w:val="0"/>
        <w:rPr>
          <w:rFonts w:ascii="Palatino Linotype" w:hAnsi="Palatino Linotype"/>
          <w:sz w:val="24"/>
          <w:szCs w:val="24"/>
        </w:rPr>
      </w:pPr>
      <w:r>
        <w:rPr>
          <w:rFonts w:ascii="Palatino Linotype" w:hAnsi="Palatino Linotype"/>
          <w:sz w:val="24"/>
          <w:szCs w:val="24"/>
        </w:rPr>
        <w:t xml:space="preserve">The fees received pursuant to this Resolution funds the cost of the DIVCA program.  DIVCA intended to allow easier entry into the video market and deployment of more advanced </w:t>
      </w:r>
      <w:r w:rsidR="00F73ADE">
        <w:rPr>
          <w:rFonts w:ascii="Palatino Linotype" w:hAnsi="Palatino Linotype"/>
          <w:sz w:val="24"/>
          <w:szCs w:val="24"/>
        </w:rPr>
        <w:t xml:space="preserve">technology in the </w:t>
      </w:r>
      <w:r w:rsidR="004E5BE7">
        <w:rPr>
          <w:rFonts w:ascii="Palatino Linotype" w:hAnsi="Palatino Linotype"/>
          <w:sz w:val="24"/>
          <w:szCs w:val="24"/>
        </w:rPr>
        <w:t>S</w:t>
      </w:r>
      <w:r w:rsidR="00F73ADE">
        <w:rPr>
          <w:rFonts w:ascii="Palatino Linotype" w:hAnsi="Palatino Linotype"/>
          <w:sz w:val="24"/>
          <w:szCs w:val="24"/>
        </w:rPr>
        <w:t xml:space="preserve">tate.  Video providers play an important role in public safety by disseminating emergency information to viewers, by providing </w:t>
      </w:r>
      <w:r w:rsidR="00FD29F5">
        <w:rPr>
          <w:rFonts w:ascii="Palatino Linotype" w:hAnsi="Palatino Linotype"/>
          <w:sz w:val="24"/>
          <w:szCs w:val="24"/>
        </w:rPr>
        <w:t>IP</w:t>
      </w:r>
      <w:r w:rsidR="00F73ADE">
        <w:rPr>
          <w:rFonts w:ascii="Palatino Linotype" w:hAnsi="Palatino Linotype"/>
          <w:sz w:val="24"/>
          <w:szCs w:val="24"/>
        </w:rPr>
        <w:t>-based services that will accommodate enhanced 911 services, by supporting tele</w:t>
      </w:r>
      <w:r w:rsidR="004E5BE7">
        <w:rPr>
          <w:rFonts w:ascii="Palatino Linotype" w:hAnsi="Palatino Linotype"/>
          <w:sz w:val="24"/>
          <w:szCs w:val="24"/>
        </w:rPr>
        <w:t xml:space="preserve">health </w:t>
      </w:r>
      <w:r w:rsidR="00F73ADE">
        <w:rPr>
          <w:rFonts w:ascii="Palatino Linotype" w:hAnsi="Palatino Linotype"/>
          <w:sz w:val="24"/>
          <w:szCs w:val="24"/>
        </w:rPr>
        <w:t xml:space="preserve"> capabilities, and by providing diverse facilities to improve survivability of the </w:t>
      </w:r>
      <w:r w:rsidR="004E5BE7">
        <w:rPr>
          <w:rFonts w:ascii="Palatino Linotype" w:hAnsi="Palatino Linotype"/>
          <w:sz w:val="24"/>
          <w:szCs w:val="24"/>
        </w:rPr>
        <w:t>S</w:t>
      </w:r>
      <w:r w:rsidR="00F73ADE">
        <w:rPr>
          <w:rFonts w:ascii="Palatino Linotype" w:hAnsi="Palatino Linotype"/>
          <w:sz w:val="24"/>
          <w:szCs w:val="24"/>
        </w:rPr>
        <w:t>tate’s communications capability.</w:t>
      </w:r>
    </w:p>
    <w:p w:rsidR="00EC0DC3" w:rsidRDefault="00EC0DC3">
      <w:pPr>
        <w:autoSpaceDE w:val="0"/>
        <w:autoSpaceDN w:val="0"/>
        <w:adjustRightInd w:val="0"/>
        <w:rPr>
          <w:rFonts w:ascii="Palatino Linotype" w:hAnsi="Palatino Linotype"/>
          <w:sz w:val="24"/>
          <w:szCs w:val="24"/>
        </w:rPr>
      </w:pPr>
    </w:p>
    <w:p w:rsidR="006C0E74" w:rsidRPr="006C0E74" w:rsidRDefault="006C0E74">
      <w:pPr>
        <w:autoSpaceDE w:val="0"/>
        <w:autoSpaceDN w:val="0"/>
        <w:adjustRightInd w:val="0"/>
        <w:rPr>
          <w:rFonts w:ascii="Palatino Linotype" w:hAnsi="Palatino Linotype"/>
          <w:b/>
          <w:sz w:val="24"/>
          <w:szCs w:val="24"/>
        </w:rPr>
      </w:pPr>
      <w:r w:rsidRPr="006C0E74">
        <w:rPr>
          <w:rFonts w:ascii="Palatino Linotype" w:hAnsi="Palatino Linotype"/>
          <w:b/>
          <w:sz w:val="24"/>
          <w:szCs w:val="24"/>
        </w:rPr>
        <w:t xml:space="preserve">Comments </w:t>
      </w:r>
    </w:p>
    <w:p w:rsidR="006C0E74" w:rsidRDefault="006C0E74">
      <w:pPr>
        <w:autoSpaceDE w:val="0"/>
        <w:autoSpaceDN w:val="0"/>
        <w:adjustRightInd w:val="0"/>
        <w:rPr>
          <w:rFonts w:ascii="Palatino Linotype" w:hAnsi="Palatino Linotype"/>
          <w:sz w:val="24"/>
          <w:szCs w:val="24"/>
        </w:rPr>
      </w:pPr>
      <w:r>
        <w:rPr>
          <w:rFonts w:ascii="Palatino Linotype" w:hAnsi="Palatino Linotype"/>
          <w:sz w:val="24"/>
          <w:szCs w:val="24"/>
        </w:rPr>
        <w:t xml:space="preserve">This section is pending the receipt of any comments. </w:t>
      </w:r>
    </w:p>
    <w:p w:rsidR="006C0E74" w:rsidRPr="006C0E74" w:rsidRDefault="006C0E74">
      <w:pPr>
        <w:autoSpaceDE w:val="0"/>
        <w:autoSpaceDN w:val="0"/>
        <w:adjustRightInd w:val="0"/>
        <w:rPr>
          <w:rFonts w:ascii="Palatino Linotype" w:hAnsi="Palatino Linotype"/>
          <w:sz w:val="24"/>
          <w:szCs w:val="24"/>
        </w:rPr>
      </w:pPr>
    </w:p>
    <w:p w:rsidR="001D5829" w:rsidRDefault="001D5829">
      <w:pPr>
        <w:autoSpaceDE w:val="0"/>
        <w:autoSpaceDN w:val="0"/>
        <w:adjustRightInd w:val="0"/>
        <w:rPr>
          <w:rFonts w:ascii="Palatino Linotype" w:hAnsi="Palatino Linotype"/>
          <w:b/>
          <w:sz w:val="24"/>
          <w:szCs w:val="24"/>
        </w:rPr>
      </w:pPr>
      <w:r>
        <w:rPr>
          <w:rFonts w:ascii="Palatino Linotype" w:hAnsi="Palatino Linotype"/>
          <w:b/>
          <w:sz w:val="24"/>
          <w:szCs w:val="24"/>
        </w:rPr>
        <w:t>Notice</w:t>
      </w:r>
    </w:p>
    <w:p w:rsidR="001D5829" w:rsidRDefault="001D5829">
      <w:pPr>
        <w:autoSpaceDE w:val="0"/>
        <w:autoSpaceDN w:val="0"/>
        <w:adjustRightInd w:val="0"/>
        <w:rPr>
          <w:rFonts w:ascii="Palatino Linotype" w:hAnsi="Palatino Linotype"/>
          <w:sz w:val="24"/>
          <w:szCs w:val="24"/>
        </w:rPr>
      </w:pPr>
    </w:p>
    <w:p w:rsidR="001D5829" w:rsidRDefault="001D5829">
      <w:pPr>
        <w:autoSpaceDE w:val="0"/>
        <w:autoSpaceDN w:val="0"/>
        <w:adjustRightInd w:val="0"/>
        <w:rPr>
          <w:rFonts w:ascii="Palatino Linotype" w:hAnsi="Palatino Linotype"/>
          <w:sz w:val="24"/>
          <w:szCs w:val="24"/>
        </w:rPr>
      </w:pPr>
      <w:r>
        <w:rPr>
          <w:rFonts w:ascii="Palatino Linotype" w:hAnsi="Palatino Linotype"/>
          <w:sz w:val="24"/>
          <w:szCs w:val="24"/>
        </w:rPr>
        <w:t xml:space="preserve">In compliance with PU Code Section 311(g), a copy of this proposed Resolution was either mailed or e-mailed to all parties of record in R. 06-10-005 on </w:t>
      </w:r>
      <w:r w:rsidR="006D60FD">
        <w:rPr>
          <w:rFonts w:ascii="Palatino Linotype" w:hAnsi="Palatino Linotype"/>
          <w:sz w:val="24"/>
          <w:szCs w:val="24"/>
        </w:rPr>
        <w:t>February 11</w:t>
      </w:r>
      <w:r w:rsidRPr="00590191">
        <w:rPr>
          <w:rFonts w:ascii="Palatino Linotype" w:hAnsi="Palatino Linotype"/>
          <w:sz w:val="24"/>
          <w:szCs w:val="24"/>
        </w:rPr>
        <w:t>, 201</w:t>
      </w:r>
      <w:r w:rsidR="006D60FD">
        <w:rPr>
          <w:rFonts w:ascii="Palatino Linotype" w:hAnsi="Palatino Linotype"/>
          <w:sz w:val="24"/>
          <w:szCs w:val="24"/>
        </w:rPr>
        <w:t>4</w:t>
      </w:r>
      <w:r w:rsidRPr="00590191">
        <w:rPr>
          <w:rFonts w:ascii="Palatino Linotype" w:hAnsi="Palatino Linotype"/>
          <w:sz w:val="24"/>
          <w:szCs w:val="24"/>
        </w:rPr>
        <w:t>.</w:t>
      </w:r>
    </w:p>
    <w:p w:rsidR="001D5829" w:rsidRDefault="001D5829">
      <w:pPr>
        <w:rPr>
          <w:rFonts w:ascii="Palatino Linotype" w:hAnsi="Palatino Linotype"/>
          <w:sz w:val="24"/>
          <w:szCs w:val="24"/>
        </w:rPr>
      </w:pPr>
    </w:p>
    <w:p w:rsidR="001D5829" w:rsidRDefault="001D5829">
      <w:pPr>
        <w:pStyle w:val="Heading2"/>
        <w:ind w:left="270" w:hanging="270"/>
        <w:rPr>
          <w:rFonts w:ascii="Palatino Linotype" w:hAnsi="Palatino Linotype"/>
          <w:szCs w:val="24"/>
          <w:u w:val="none"/>
        </w:rPr>
      </w:pPr>
      <w:r>
        <w:rPr>
          <w:rFonts w:ascii="Palatino Linotype" w:hAnsi="Palatino Linotype"/>
          <w:szCs w:val="24"/>
          <w:u w:val="none"/>
        </w:rPr>
        <w:t>Findings:</w:t>
      </w:r>
    </w:p>
    <w:p w:rsidR="001D5829" w:rsidRDefault="001D5829">
      <w:pPr>
        <w:rPr>
          <w:rFonts w:ascii="Palatino Linotype" w:hAnsi="Palatino Linotype"/>
          <w:sz w:val="24"/>
          <w:szCs w:val="24"/>
        </w:rPr>
      </w:pPr>
    </w:p>
    <w:p w:rsidR="001D5829" w:rsidRDefault="001D5829">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rPr>
        <w:t>AB 2987, the Digital Infrastructure and Video Competition Act requires the Commission to calculate, and holders of state-issued video franchises to pay, an annual fee.</w:t>
      </w:r>
    </w:p>
    <w:p w:rsidR="001D5829" w:rsidRDefault="001D5829">
      <w:pPr>
        <w:tabs>
          <w:tab w:val="left" w:pos="-1440"/>
          <w:tab w:val="left" w:pos="-720"/>
        </w:tabs>
        <w:suppressAutoHyphens/>
        <w:rPr>
          <w:rFonts w:ascii="Palatino Linotype" w:hAnsi="Palatino Linotype"/>
          <w:sz w:val="24"/>
        </w:rPr>
      </w:pPr>
    </w:p>
    <w:p w:rsidR="00296DAD" w:rsidRPr="00296DAD" w:rsidRDefault="001D5829" w:rsidP="006D60FD">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rPr>
        <w:t xml:space="preserve">The annual fee for fiscal year </w:t>
      </w:r>
      <w:r w:rsidR="0057409B">
        <w:rPr>
          <w:rFonts w:ascii="Palatino Linotype" w:hAnsi="Palatino Linotype"/>
          <w:sz w:val="24"/>
        </w:rPr>
        <w:t>2013-2014</w:t>
      </w:r>
      <w:r>
        <w:rPr>
          <w:rFonts w:ascii="Palatino Linotype" w:hAnsi="Palatino Linotype"/>
          <w:sz w:val="24"/>
        </w:rPr>
        <w:t xml:space="preserve"> is to be calculated based on each </w:t>
      </w:r>
      <w:r w:rsidR="00A97117">
        <w:rPr>
          <w:rFonts w:ascii="Palatino Linotype" w:hAnsi="Palatino Linotype"/>
          <w:sz w:val="24"/>
        </w:rPr>
        <w:t xml:space="preserve">state-issued video franchise </w:t>
      </w:r>
      <w:r>
        <w:rPr>
          <w:rFonts w:ascii="Palatino Linotype" w:hAnsi="Palatino Linotype"/>
          <w:sz w:val="24"/>
        </w:rPr>
        <w:t xml:space="preserve">holder’s </w:t>
      </w:r>
      <w:r w:rsidR="006D60FD" w:rsidRPr="006D60FD">
        <w:rPr>
          <w:rFonts w:ascii="Palatino Linotype" w:hAnsi="Palatino Linotype"/>
          <w:sz w:val="24"/>
        </w:rPr>
        <w:t xml:space="preserve">pro-rata share of total </w:t>
      </w:r>
      <w:r w:rsidR="00E71164">
        <w:rPr>
          <w:rFonts w:ascii="Palatino Linotype" w:hAnsi="Palatino Linotype"/>
          <w:sz w:val="24"/>
        </w:rPr>
        <w:t xml:space="preserve">gross </w:t>
      </w:r>
      <w:r w:rsidR="006D60FD" w:rsidRPr="006D60FD">
        <w:rPr>
          <w:rFonts w:ascii="Palatino Linotype" w:hAnsi="Palatino Linotype"/>
          <w:sz w:val="24"/>
        </w:rPr>
        <w:t xml:space="preserve">video revenues </w:t>
      </w:r>
      <w:r w:rsidR="006D60FD" w:rsidRPr="006D60FD">
        <w:rPr>
          <w:rFonts w:ascii="Palatino Linotype" w:hAnsi="Palatino Linotype"/>
          <w:sz w:val="24"/>
          <w:szCs w:val="24"/>
        </w:rPr>
        <w:t>for the calendar year 2012, in accordance with D.07-03-014</w:t>
      </w:r>
      <w:r w:rsidR="00296DAD">
        <w:rPr>
          <w:rFonts w:ascii="Palatino Linotype" w:hAnsi="Palatino Linotype"/>
          <w:sz w:val="24"/>
          <w:szCs w:val="24"/>
        </w:rPr>
        <w:t>.</w:t>
      </w:r>
    </w:p>
    <w:p w:rsidR="00296DAD" w:rsidRDefault="00296DAD" w:rsidP="00C17C74">
      <w:pPr>
        <w:pStyle w:val="ListParagraph"/>
        <w:rPr>
          <w:rFonts w:ascii="Palatino Linotype" w:hAnsi="Palatino Linotype"/>
          <w:sz w:val="24"/>
          <w:szCs w:val="24"/>
        </w:rPr>
      </w:pPr>
    </w:p>
    <w:p w:rsidR="006D60FD" w:rsidRPr="006D60FD" w:rsidRDefault="00296DAD" w:rsidP="006D60FD">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szCs w:val="24"/>
        </w:rPr>
        <w:t>Total gross video revenue</w:t>
      </w:r>
      <w:r w:rsidR="00293300">
        <w:rPr>
          <w:rFonts w:ascii="Palatino Linotype" w:hAnsi="Palatino Linotype"/>
          <w:sz w:val="24"/>
          <w:szCs w:val="24"/>
        </w:rPr>
        <w:t xml:space="preserve"> </w:t>
      </w:r>
      <w:r>
        <w:rPr>
          <w:rFonts w:ascii="Palatino Linotype" w:hAnsi="Palatino Linotype"/>
          <w:sz w:val="24"/>
          <w:szCs w:val="24"/>
        </w:rPr>
        <w:t>in calendar year 2012</w:t>
      </w:r>
      <w:r w:rsidR="00332FD6">
        <w:rPr>
          <w:rFonts w:ascii="Palatino Linotype" w:hAnsi="Palatino Linotype"/>
          <w:sz w:val="24"/>
          <w:szCs w:val="24"/>
        </w:rPr>
        <w:t xml:space="preserve"> </w:t>
      </w:r>
      <w:r>
        <w:rPr>
          <w:rFonts w:ascii="Palatino Linotype" w:hAnsi="Palatino Linotype"/>
          <w:sz w:val="24"/>
          <w:szCs w:val="24"/>
        </w:rPr>
        <w:t>was</w:t>
      </w:r>
      <w:r w:rsidR="00293300">
        <w:rPr>
          <w:rFonts w:ascii="Palatino Linotype" w:hAnsi="Palatino Linotype"/>
          <w:sz w:val="24"/>
          <w:szCs w:val="24"/>
        </w:rPr>
        <w:t xml:space="preserve"> $5.5 billion ($5,492,310,300)</w:t>
      </w:r>
      <w:r w:rsidR="009C409F">
        <w:rPr>
          <w:rFonts w:ascii="Palatino Linotype" w:hAnsi="Palatino Linotype"/>
          <w:sz w:val="24"/>
          <w:szCs w:val="24"/>
        </w:rPr>
        <w:t>.</w:t>
      </w:r>
    </w:p>
    <w:p w:rsidR="001D5829" w:rsidRDefault="001D5829">
      <w:pPr>
        <w:tabs>
          <w:tab w:val="left" w:pos="-1440"/>
          <w:tab w:val="left" w:pos="-720"/>
        </w:tabs>
        <w:suppressAutoHyphens/>
        <w:rPr>
          <w:rFonts w:ascii="Palatino Linotype" w:hAnsi="Palatino Linotype"/>
          <w:sz w:val="24"/>
        </w:rPr>
      </w:pPr>
    </w:p>
    <w:p w:rsidR="001D5829" w:rsidRDefault="001D5829">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rPr>
        <w:t xml:space="preserve">Fees in the aggregate are to equal the </w:t>
      </w:r>
      <w:r>
        <w:rPr>
          <w:rFonts w:ascii="Palatino Linotype" w:hAnsi="Palatino Linotype"/>
          <w:color w:val="000000"/>
          <w:sz w:val="24"/>
        </w:rPr>
        <w:t>Commission’s authorized budget</w:t>
      </w:r>
      <w:r>
        <w:rPr>
          <w:rFonts w:ascii="Palatino Linotype" w:hAnsi="Palatino Linotype"/>
          <w:sz w:val="24"/>
        </w:rPr>
        <w:t xml:space="preserve"> for implementation of DIVCA requirements.</w:t>
      </w:r>
      <w:r w:rsidR="001B5DA5">
        <w:rPr>
          <w:rFonts w:ascii="Palatino Linotype" w:hAnsi="Palatino Linotype"/>
          <w:sz w:val="24"/>
        </w:rPr>
        <w:t xml:space="preserve">  </w:t>
      </w:r>
    </w:p>
    <w:p w:rsidR="001D5829" w:rsidRDefault="001D5829">
      <w:pPr>
        <w:rPr>
          <w:rFonts w:ascii="Palatino Linotype" w:hAnsi="Palatino Linotype"/>
          <w:color w:val="000000"/>
          <w:sz w:val="24"/>
        </w:rPr>
      </w:pPr>
    </w:p>
    <w:p w:rsidR="00296DAD" w:rsidRPr="00296DAD" w:rsidRDefault="001D5829">
      <w:pPr>
        <w:numPr>
          <w:ilvl w:val="0"/>
          <w:numId w:val="2"/>
        </w:numPr>
        <w:rPr>
          <w:rFonts w:ascii="Palatino Linotype" w:hAnsi="Palatino Linotype"/>
          <w:color w:val="000000"/>
          <w:sz w:val="24"/>
        </w:rPr>
      </w:pPr>
      <w:r>
        <w:rPr>
          <w:rFonts w:ascii="Palatino Linotype" w:hAnsi="Palatino Linotype"/>
          <w:sz w:val="24"/>
          <w:szCs w:val="24"/>
        </w:rPr>
        <w:t xml:space="preserve">The </w:t>
      </w:r>
      <w:r>
        <w:rPr>
          <w:rFonts w:ascii="Palatino Linotype" w:hAnsi="Palatino Linotype"/>
          <w:color w:val="000000"/>
          <w:sz w:val="24"/>
          <w:szCs w:val="24"/>
        </w:rPr>
        <w:t xml:space="preserve">Commission’s authorized DIVCA-related budget for the fiscal year </w:t>
      </w:r>
      <w:r>
        <w:rPr>
          <w:rFonts w:ascii="Palatino Linotype" w:hAnsi="Palatino Linotype"/>
          <w:color w:val="000000"/>
          <w:sz w:val="24"/>
          <w:szCs w:val="24"/>
        </w:rPr>
        <w:br/>
      </w:r>
      <w:r w:rsidR="00526DB6">
        <w:rPr>
          <w:rFonts w:ascii="Palatino Linotype" w:hAnsi="Palatino Linotype"/>
          <w:color w:val="000000"/>
          <w:sz w:val="24"/>
          <w:szCs w:val="24"/>
        </w:rPr>
        <w:t>201</w:t>
      </w:r>
      <w:r w:rsidR="00580690">
        <w:rPr>
          <w:rFonts w:ascii="Palatino Linotype" w:hAnsi="Palatino Linotype"/>
          <w:color w:val="000000"/>
          <w:sz w:val="24"/>
          <w:szCs w:val="24"/>
        </w:rPr>
        <w:t>3-2014</w:t>
      </w:r>
      <w:r>
        <w:rPr>
          <w:rFonts w:ascii="Palatino Linotype" w:hAnsi="Palatino Linotype"/>
          <w:color w:val="000000"/>
          <w:sz w:val="24"/>
          <w:szCs w:val="24"/>
        </w:rPr>
        <w:t xml:space="preserve"> is $950,000.</w:t>
      </w:r>
      <w:r w:rsidR="001B5DA5">
        <w:rPr>
          <w:rFonts w:ascii="Palatino Linotype" w:hAnsi="Palatino Linotype"/>
          <w:color w:val="000000"/>
          <w:sz w:val="24"/>
          <w:szCs w:val="24"/>
        </w:rPr>
        <w:t xml:space="preserve">  </w:t>
      </w:r>
    </w:p>
    <w:p w:rsidR="00296DAD" w:rsidRDefault="00296DAD" w:rsidP="00332FD6">
      <w:pPr>
        <w:pStyle w:val="ListParagraph"/>
        <w:rPr>
          <w:rFonts w:ascii="Palatino Linotype" w:hAnsi="Palatino Linotype"/>
          <w:sz w:val="24"/>
          <w:szCs w:val="24"/>
        </w:rPr>
      </w:pPr>
    </w:p>
    <w:p w:rsidR="001D5829" w:rsidRDefault="009C409F">
      <w:pPr>
        <w:numPr>
          <w:ilvl w:val="0"/>
          <w:numId w:val="2"/>
        </w:numPr>
        <w:rPr>
          <w:rFonts w:ascii="Palatino Linotype" w:hAnsi="Palatino Linotype"/>
          <w:color w:val="000000"/>
          <w:sz w:val="24"/>
        </w:rPr>
      </w:pPr>
      <w:r>
        <w:rPr>
          <w:rFonts w:ascii="Palatino Linotype" w:hAnsi="Palatino Linotype"/>
          <w:sz w:val="24"/>
          <w:szCs w:val="24"/>
        </w:rPr>
        <w:t>T</w:t>
      </w:r>
      <w:r w:rsidR="00296DAD">
        <w:rPr>
          <w:rFonts w:ascii="Palatino Linotype" w:hAnsi="Palatino Linotype"/>
          <w:sz w:val="24"/>
          <w:szCs w:val="24"/>
        </w:rPr>
        <w:t>h</w:t>
      </w:r>
      <w:r w:rsidR="00140D5A">
        <w:rPr>
          <w:rFonts w:ascii="Palatino Linotype" w:hAnsi="Palatino Linotype"/>
          <w:sz w:val="24"/>
          <w:szCs w:val="24"/>
        </w:rPr>
        <w:t>is year’s annual fee</w:t>
      </w:r>
      <w:r w:rsidR="001B5DA5">
        <w:rPr>
          <w:rFonts w:ascii="Palatino Linotype" w:hAnsi="Palatino Linotype"/>
          <w:sz w:val="24"/>
          <w:szCs w:val="24"/>
        </w:rPr>
        <w:t xml:space="preserve"> amounts to 0.</w:t>
      </w:r>
      <w:r w:rsidR="00332FD6">
        <w:rPr>
          <w:rFonts w:ascii="Palatino Linotype" w:hAnsi="Palatino Linotype"/>
          <w:sz w:val="24"/>
          <w:szCs w:val="24"/>
        </w:rPr>
        <w:t>0</w:t>
      </w:r>
      <w:r w:rsidR="001B5DA5">
        <w:rPr>
          <w:rFonts w:ascii="Palatino Linotype" w:hAnsi="Palatino Linotype"/>
          <w:sz w:val="24"/>
          <w:szCs w:val="24"/>
        </w:rPr>
        <w:t>17</w:t>
      </w:r>
      <w:r w:rsidR="002E09E7">
        <w:rPr>
          <w:rFonts w:ascii="Palatino Linotype" w:hAnsi="Palatino Linotype"/>
          <w:sz w:val="24"/>
          <w:szCs w:val="24"/>
        </w:rPr>
        <w:t>3</w:t>
      </w:r>
      <w:r w:rsidR="001B5DA5">
        <w:rPr>
          <w:rFonts w:ascii="Palatino Linotype" w:hAnsi="Palatino Linotype"/>
          <w:sz w:val="24"/>
          <w:szCs w:val="24"/>
        </w:rPr>
        <w:t xml:space="preserve">% of </w:t>
      </w:r>
      <w:r w:rsidR="00140D5A">
        <w:rPr>
          <w:rFonts w:ascii="Palatino Linotype" w:hAnsi="Palatino Linotype"/>
          <w:sz w:val="24"/>
          <w:szCs w:val="24"/>
        </w:rPr>
        <w:t>each provider’s</w:t>
      </w:r>
      <w:r w:rsidR="001B5DA5">
        <w:rPr>
          <w:rFonts w:ascii="Palatino Linotype" w:hAnsi="Palatino Linotype"/>
          <w:sz w:val="24"/>
          <w:szCs w:val="24"/>
        </w:rPr>
        <w:t xml:space="preserve"> </w:t>
      </w:r>
      <w:r w:rsidR="00140D5A">
        <w:rPr>
          <w:rFonts w:ascii="Palatino Linotype" w:hAnsi="Palatino Linotype"/>
          <w:sz w:val="24"/>
          <w:szCs w:val="24"/>
        </w:rPr>
        <w:t xml:space="preserve">gross California </w:t>
      </w:r>
      <w:r w:rsidR="001B5DA5">
        <w:rPr>
          <w:rFonts w:ascii="Palatino Linotype" w:hAnsi="Palatino Linotype"/>
          <w:sz w:val="24"/>
          <w:szCs w:val="24"/>
        </w:rPr>
        <w:t>video revenues</w:t>
      </w:r>
      <w:r w:rsidR="00140D5A">
        <w:rPr>
          <w:rFonts w:ascii="Palatino Linotype" w:hAnsi="Palatino Linotype"/>
          <w:sz w:val="24"/>
          <w:szCs w:val="24"/>
        </w:rPr>
        <w:t>, or</w:t>
      </w:r>
      <w:r w:rsidR="00332FD6">
        <w:rPr>
          <w:rFonts w:ascii="Palatino Linotype" w:hAnsi="Palatino Linotype"/>
          <w:sz w:val="24"/>
          <w:szCs w:val="24"/>
        </w:rPr>
        <w:t xml:space="preserve"> </w:t>
      </w:r>
      <w:r w:rsidR="002A04EC">
        <w:rPr>
          <w:rFonts w:ascii="Palatino Linotype" w:hAnsi="Palatino Linotype"/>
          <w:sz w:val="24"/>
          <w:szCs w:val="24"/>
        </w:rPr>
        <w:t xml:space="preserve">0.01729 cents </w:t>
      </w:r>
      <w:r w:rsidR="00140D5A">
        <w:rPr>
          <w:rFonts w:ascii="Palatino Linotype" w:hAnsi="Palatino Linotype"/>
          <w:sz w:val="24"/>
          <w:szCs w:val="24"/>
        </w:rPr>
        <w:t>per dollar of gross video revenues</w:t>
      </w:r>
      <w:r w:rsidR="001B5DA5">
        <w:rPr>
          <w:rFonts w:ascii="Palatino Linotype" w:hAnsi="Palatino Linotype"/>
          <w:sz w:val="24"/>
          <w:szCs w:val="24"/>
        </w:rPr>
        <w:t>.</w:t>
      </w:r>
    </w:p>
    <w:p w:rsidR="001D5829" w:rsidRDefault="001D5829">
      <w:pPr>
        <w:rPr>
          <w:rFonts w:ascii="Palatino Linotype" w:hAnsi="Palatino Linotype"/>
          <w:sz w:val="24"/>
        </w:rPr>
      </w:pPr>
    </w:p>
    <w:p w:rsidR="001D5829" w:rsidRPr="001B5DA5" w:rsidRDefault="001D5829">
      <w:pPr>
        <w:numPr>
          <w:ilvl w:val="0"/>
          <w:numId w:val="2"/>
        </w:numPr>
        <w:rPr>
          <w:rFonts w:ascii="Palatino Linotype" w:hAnsi="Palatino Linotype"/>
          <w:sz w:val="24"/>
        </w:rPr>
      </w:pPr>
      <w:r>
        <w:rPr>
          <w:rFonts w:ascii="Palatino Linotype" w:hAnsi="Palatino Linotype"/>
          <w:sz w:val="24"/>
          <w:szCs w:val="24"/>
        </w:rPr>
        <w:t xml:space="preserve">A fee </w:t>
      </w:r>
      <w:r w:rsidR="00580690">
        <w:rPr>
          <w:rFonts w:ascii="Palatino Linotype" w:hAnsi="Palatino Linotype"/>
          <w:sz w:val="24"/>
          <w:szCs w:val="24"/>
        </w:rPr>
        <w:t xml:space="preserve">for each video franchise holder </w:t>
      </w:r>
      <w:r>
        <w:rPr>
          <w:rFonts w:ascii="Palatino Linotype" w:hAnsi="Palatino Linotype"/>
          <w:sz w:val="24"/>
          <w:szCs w:val="24"/>
        </w:rPr>
        <w:t>is reasonably calculated to</w:t>
      </w:r>
      <w:r w:rsidR="00580690">
        <w:rPr>
          <w:rFonts w:ascii="Palatino Linotype" w:hAnsi="Palatino Linotype"/>
          <w:sz w:val="24"/>
          <w:szCs w:val="24"/>
        </w:rPr>
        <w:t xml:space="preserve"> collect an amount </w:t>
      </w:r>
      <w:r w:rsidR="001B5DA5">
        <w:rPr>
          <w:rFonts w:ascii="Palatino Linotype" w:hAnsi="Palatino Linotype"/>
          <w:sz w:val="24"/>
          <w:szCs w:val="24"/>
        </w:rPr>
        <w:t xml:space="preserve">that in aggregate is </w:t>
      </w:r>
      <w:r w:rsidR="00580690">
        <w:rPr>
          <w:rFonts w:ascii="Palatino Linotype" w:hAnsi="Palatino Linotype"/>
          <w:sz w:val="24"/>
          <w:szCs w:val="24"/>
        </w:rPr>
        <w:t xml:space="preserve">equal to the </w:t>
      </w:r>
      <w:r>
        <w:rPr>
          <w:rFonts w:ascii="Palatino Linotype" w:hAnsi="Palatino Linotype"/>
          <w:sz w:val="24"/>
          <w:szCs w:val="24"/>
        </w:rPr>
        <w:t>D</w:t>
      </w:r>
      <w:r w:rsidR="00D62D8A">
        <w:rPr>
          <w:rFonts w:ascii="Palatino Linotype" w:hAnsi="Palatino Linotype"/>
          <w:sz w:val="24"/>
          <w:szCs w:val="24"/>
        </w:rPr>
        <w:t>IVCA-related budget for the 2013-2014</w:t>
      </w:r>
      <w:r>
        <w:rPr>
          <w:rFonts w:ascii="Palatino Linotype" w:hAnsi="Palatino Linotype"/>
          <w:sz w:val="24"/>
          <w:szCs w:val="24"/>
        </w:rPr>
        <w:t xml:space="preserve"> fiscal year.</w:t>
      </w:r>
    </w:p>
    <w:p w:rsidR="001D5829" w:rsidRDefault="001D5829">
      <w:pPr>
        <w:rPr>
          <w:rFonts w:ascii="Palatino Linotype" w:hAnsi="Palatino Linotype"/>
          <w:sz w:val="24"/>
        </w:rPr>
      </w:pPr>
    </w:p>
    <w:p w:rsidR="001D5829" w:rsidRPr="00CD3259" w:rsidRDefault="00580690">
      <w:pPr>
        <w:numPr>
          <w:ilvl w:val="0"/>
          <w:numId w:val="2"/>
        </w:numPr>
        <w:rPr>
          <w:rFonts w:ascii="Palatino Linotype" w:hAnsi="Palatino Linotype"/>
          <w:sz w:val="24"/>
        </w:rPr>
      </w:pPr>
      <w:r>
        <w:rPr>
          <w:rFonts w:ascii="Palatino Linotype" w:hAnsi="Palatino Linotype"/>
          <w:sz w:val="24"/>
          <w:szCs w:val="24"/>
        </w:rPr>
        <w:t xml:space="preserve">Due to the confidentiality of </w:t>
      </w:r>
      <w:r w:rsidR="00A67163">
        <w:rPr>
          <w:rFonts w:ascii="Palatino Linotype" w:hAnsi="Palatino Linotype"/>
          <w:sz w:val="24"/>
          <w:szCs w:val="24"/>
        </w:rPr>
        <w:t xml:space="preserve">individual holder’s </w:t>
      </w:r>
      <w:r>
        <w:rPr>
          <w:rFonts w:ascii="Palatino Linotype" w:hAnsi="Palatino Linotype"/>
          <w:sz w:val="24"/>
          <w:szCs w:val="24"/>
        </w:rPr>
        <w:t xml:space="preserve">video revenues, </w:t>
      </w:r>
      <w:r w:rsidR="00A67163">
        <w:rPr>
          <w:rFonts w:ascii="Palatino Linotype" w:hAnsi="Palatino Linotype"/>
          <w:sz w:val="24"/>
          <w:szCs w:val="24"/>
        </w:rPr>
        <w:t>this Resolution does not disclose individual companies’ fees.</w:t>
      </w:r>
    </w:p>
    <w:p w:rsidR="001D5829" w:rsidRDefault="001D5829">
      <w:pPr>
        <w:rPr>
          <w:rFonts w:ascii="Palatino Linotype" w:hAnsi="Palatino Linotype"/>
          <w:sz w:val="24"/>
        </w:rPr>
      </w:pPr>
    </w:p>
    <w:p w:rsidR="001D5829" w:rsidRDefault="001D5829">
      <w:pPr>
        <w:numPr>
          <w:ilvl w:val="0"/>
          <w:numId w:val="2"/>
        </w:numPr>
        <w:rPr>
          <w:rFonts w:ascii="Palatino Linotype" w:hAnsi="Palatino Linotype"/>
          <w:sz w:val="24"/>
        </w:rPr>
      </w:pPr>
      <w:r>
        <w:rPr>
          <w:rFonts w:ascii="Palatino Linotype" w:hAnsi="Palatino Linotype"/>
          <w:sz w:val="24"/>
        </w:rPr>
        <w:t xml:space="preserve">The Commission will send </w:t>
      </w:r>
      <w:r w:rsidR="00D62D8A">
        <w:rPr>
          <w:rFonts w:ascii="Palatino Linotype" w:hAnsi="Palatino Linotype"/>
          <w:sz w:val="24"/>
        </w:rPr>
        <w:t xml:space="preserve">confidential </w:t>
      </w:r>
      <w:r>
        <w:rPr>
          <w:rFonts w:ascii="Palatino Linotype" w:hAnsi="Palatino Linotype"/>
          <w:sz w:val="24"/>
        </w:rPr>
        <w:t>fee statements to existing holders of state video franchisees</w:t>
      </w:r>
      <w:r w:rsidR="00D62D8A">
        <w:rPr>
          <w:rFonts w:ascii="Palatino Linotype" w:hAnsi="Palatino Linotype"/>
          <w:sz w:val="24"/>
        </w:rPr>
        <w:t>,</w:t>
      </w:r>
      <w:r>
        <w:rPr>
          <w:rFonts w:ascii="Palatino Linotype" w:hAnsi="Palatino Linotype"/>
          <w:sz w:val="24"/>
        </w:rPr>
        <w:t xml:space="preserve"> upon approval of this Resolution.</w:t>
      </w:r>
    </w:p>
    <w:p w:rsidR="001D5829" w:rsidRDefault="001D5829">
      <w:pPr>
        <w:rPr>
          <w:rFonts w:ascii="Palatino Linotype" w:hAnsi="Palatino Linotype"/>
          <w:sz w:val="24"/>
        </w:rPr>
      </w:pPr>
    </w:p>
    <w:p w:rsidR="001D5829" w:rsidRDefault="001D5829">
      <w:pPr>
        <w:numPr>
          <w:ilvl w:val="0"/>
          <w:numId w:val="2"/>
        </w:numPr>
        <w:rPr>
          <w:rFonts w:ascii="Palatino Linotype" w:hAnsi="Palatino Linotype"/>
          <w:sz w:val="24"/>
        </w:rPr>
      </w:pPr>
      <w:r>
        <w:rPr>
          <w:rFonts w:ascii="Palatino Linotype" w:hAnsi="Palatino Linotype"/>
          <w:sz w:val="24"/>
        </w:rPr>
        <w:t xml:space="preserve">Parties of Record in R. </w:t>
      </w:r>
      <w:r>
        <w:rPr>
          <w:rFonts w:ascii="Palatino Linotype" w:hAnsi="Palatino Linotype"/>
          <w:sz w:val="24"/>
          <w:szCs w:val="24"/>
        </w:rPr>
        <w:t>06-10-005 were provided with notice of this Resolution in accordance with PU Code Section 311(g).</w:t>
      </w:r>
    </w:p>
    <w:p w:rsidR="001D5829" w:rsidRDefault="001D5829">
      <w:pPr>
        <w:rPr>
          <w:rFonts w:ascii="Palatino Linotype" w:hAnsi="Palatino Linotype"/>
          <w:sz w:val="24"/>
        </w:rPr>
      </w:pPr>
    </w:p>
    <w:p w:rsidR="001D5829" w:rsidRDefault="001D5829">
      <w:pPr>
        <w:rPr>
          <w:rFonts w:ascii="Palatino Linotype" w:hAnsi="Palatino Linotype"/>
          <w:sz w:val="24"/>
        </w:rPr>
      </w:pPr>
    </w:p>
    <w:p w:rsidR="001D5829" w:rsidRDefault="001D5829">
      <w:pPr>
        <w:rPr>
          <w:rFonts w:ascii="Palatino Linotype" w:hAnsi="Palatino Linotype"/>
          <w:b/>
          <w:sz w:val="24"/>
        </w:rPr>
      </w:pPr>
    </w:p>
    <w:p w:rsidR="001D5829" w:rsidRDefault="001D5829">
      <w:pPr>
        <w:rPr>
          <w:rFonts w:ascii="Palatino Linotype" w:hAnsi="Palatino Linotype"/>
          <w:b/>
          <w:sz w:val="24"/>
        </w:rPr>
      </w:pPr>
      <w:r>
        <w:rPr>
          <w:rFonts w:ascii="Palatino Linotype" w:hAnsi="Palatino Linotype"/>
          <w:b/>
          <w:sz w:val="24"/>
        </w:rPr>
        <w:t>THEREFORE, IT IS ORDERED that:</w:t>
      </w:r>
    </w:p>
    <w:p w:rsidR="001D5829" w:rsidRDefault="001D5829">
      <w:pPr>
        <w:rPr>
          <w:rFonts w:ascii="Palatino Linotype" w:hAnsi="Palatino Linotype"/>
          <w:b/>
          <w:sz w:val="24"/>
        </w:rPr>
      </w:pPr>
    </w:p>
    <w:p w:rsidR="001D5829" w:rsidRDefault="001D5829">
      <w:pPr>
        <w:numPr>
          <w:ilvl w:val="0"/>
          <w:numId w:val="1"/>
        </w:numPr>
        <w:rPr>
          <w:rFonts w:ascii="Palatino Linotype" w:hAnsi="Palatino Linotype"/>
          <w:sz w:val="24"/>
        </w:rPr>
      </w:pPr>
      <w:r>
        <w:rPr>
          <w:rFonts w:ascii="Palatino Linotype" w:hAnsi="Palatino Linotype"/>
          <w:sz w:val="24"/>
        </w:rPr>
        <w:t xml:space="preserve">Holders of state video franchises granted on or before the date of this Resolution shall remit to the Commission the amount indicated in their fee statements by </w:t>
      </w:r>
      <w:r w:rsidR="00D62D8A">
        <w:rPr>
          <w:rFonts w:ascii="Palatino Linotype" w:hAnsi="Palatino Linotype"/>
          <w:sz w:val="24"/>
        </w:rPr>
        <w:br/>
      </w:r>
      <w:r>
        <w:rPr>
          <w:rFonts w:ascii="Palatino Linotype" w:hAnsi="Palatino Linotype"/>
          <w:sz w:val="24"/>
        </w:rPr>
        <w:t>April 30, 201</w:t>
      </w:r>
      <w:r w:rsidR="00580690">
        <w:rPr>
          <w:rFonts w:ascii="Palatino Linotype" w:hAnsi="Palatino Linotype"/>
          <w:sz w:val="24"/>
        </w:rPr>
        <w:t>4</w:t>
      </w:r>
      <w:r>
        <w:rPr>
          <w:rFonts w:ascii="Palatino Linotype" w:hAnsi="Palatino Linotype"/>
          <w:sz w:val="24"/>
        </w:rPr>
        <w:t>.</w:t>
      </w:r>
    </w:p>
    <w:p w:rsidR="001D5829" w:rsidRDefault="001D5829">
      <w:pPr>
        <w:rPr>
          <w:rFonts w:ascii="Palatino Linotype" w:hAnsi="Palatino Linotype"/>
          <w:sz w:val="24"/>
        </w:rPr>
      </w:pPr>
    </w:p>
    <w:p w:rsidR="001D5829" w:rsidRDefault="001D5829">
      <w:pPr>
        <w:numPr>
          <w:ilvl w:val="0"/>
          <w:numId w:val="1"/>
        </w:numPr>
        <w:rPr>
          <w:rFonts w:ascii="Palatino Linotype" w:hAnsi="Palatino Linotype"/>
          <w:sz w:val="24"/>
        </w:rPr>
      </w:pPr>
      <w:r>
        <w:rPr>
          <w:rFonts w:ascii="Palatino Linotype" w:hAnsi="Palatino Linotype"/>
          <w:sz w:val="24"/>
        </w:rPr>
        <w:t>Holders of state video franchises granted after the date of this Resolution shall remit their fee payment to the Commission within 60 days after the issuance of their franchise, or June 30, 201</w:t>
      </w:r>
      <w:r w:rsidR="00580690">
        <w:rPr>
          <w:rFonts w:ascii="Palatino Linotype" w:hAnsi="Palatino Linotype"/>
          <w:sz w:val="24"/>
        </w:rPr>
        <w:t>4</w:t>
      </w:r>
      <w:r>
        <w:rPr>
          <w:rFonts w:ascii="Palatino Linotype" w:hAnsi="Palatino Linotype"/>
          <w:sz w:val="24"/>
        </w:rPr>
        <w:t>, whichever is earlier.</w:t>
      </w:r>
    </w:p>
    <w:p w:rsidR="001D5829" w:rsidRDefault="001D5829">
      <w:pPr>
        <w:rPr>
          <w:rFonts w:ascii="Palatino Linotype" w:hAnsi="Palatino Linotype"/>
          <w:sz w:val="24"/>
        </w:rPr>
      </w:pPr>
    </w:p>
    <w:p w:rsidR="001D5829" w:rsidRDefault="001D5829">
      <w:pPr>
        <w:rPr>
          <w:rFonts w:ascii="Palatino Linotype" w:hAnsi="Palatino Linotype"/>
          <w:sz w:val="24"/>
        </w:rPr>
      </w:pPr>
    </w:p>
    <w:p w:rsidR="001D5829" w:rsidRDefault="001D5829">
      <w:pPr>
        <w:rPr>
          <w:rFonts w:ascii="Palatino Linotype" w:hAnsi="Palatino Linotype"/>
          <w:sz w:val="24"/>
        </w:rPr>
      </w:pPr>
    </w:p>
    <w:p w:rsidR="001D5829" w:rsidRDefault="001D5829">
      <w:pPr>
        <w:ind w:right="-180"/>
        <w:rPr>
          <w:rFonts w:ascii="Palatino Linotype" w:hAnsi="Palatino Linotype"/>
          <w:sz w:val="24"/>
        </w:rPr>
      </w:pPr>
      <w:r>
        <w:rPr>
          <w:rFonts w:ascii="Palatino Linotype" w:hAnsi="Palatino Linotype"/>
          <w:sz w:val="24"/>
        </w:rPr>
        <w:t>This Resolution is effective today.</w:t>
      </w:r>
    </w:p>
    <w:p w:rsidR="001D5829" w:rsidRDefault="001D5829">
      <w:pPr>
        <w:ind w:right="-180"/>
        <w:rPr>
          <w:rFonts w:ascii="Palatino Linotype" w:hAnsi="Palatino Linotype"/>
          <w:sz w:val="24"/>
        </w:rPr>
      </w:pPr>
    </w:p>
    <w:p w:rsidR="001D5829" w:rsidRDefault="001D5829">
      <w:pPr>
        <w:ind w:right="-180"/>
        <w:rPr>
          <w:rFonts w:ascii="Palatino Linotype" w:hAnsi="Palatino Linotype"/>
          <w:sz w:val="24"/>
        </w:rPr>
      </w:pPr>
      <w:r>
        <w:rPr>
          <w:rFonts w:ascii="Palatino Linotype" w:hAnsi="Palatino Linotype"/>
          <w:sz w:val="24"/>
        </w:rPr>
        <w:t xml:space="preserve">I hereby certify that the Public Utilities Commission adopted this Resolution at its regular meeting on </w:t>
      </w:r>
      <w:r w:rsidR="002A210D">
        <w:rPr>
          <w:rFonts w:ascii="Palatino Linotype" w:hAnsi="Palatino Linotype"/>
          <w:sz w:val="24"/>
        </w:rPr>
        <w:t>March 13</w:t>
      </w:r>
      <w:r w:rsidR="00590191" w:rsidRPr="00590191">
        <w:rPr>
          <w:rFonts w:ascii="Palatino Linotype" w:hAnsi="Palatino Linotype"/>
          <w:sz w:val="24"/>
        </w:rPr>
        <w:t>,</w:t>
      </w:r>
      <w:r w:rsidRPr="00590191">
        <w:rPr>
          <w:rFonts w:ascii="Palatino Linotype" w:hAnsi="Palatino Linotype"/>
          <w:sz w:val="24"/>
        </w:rPr>
        <w:t xml:space="preserve"> 201</w:t>
      </w:r>
      <w:r w:rsidR="00580690">
        <w:rPr>
          <w:rFonts w:ascii="Palatino Linotype" w:hAnsi="Palatino Linotype"/>
          <w:sz w:val="24"/>
        </w:rPr>
        <w:t>4</w:t>
      </w:r>
      <w:r>
        <w:rPr>
          <w:rFonts w:ascii="Palatino Linotype" w:hAnsi="Palatino Linotype"/>
          <w:sz w:val="24"/>
        </w:rPr>
        <w:t>.  The following Commissioners approved it:</w:t>
      </w:r>
    </w:p>
    <w:p w:rsidR="001D5829" w:rsidRDefault="001D5829">
      <w:pPr>
        <w:ind w:right="-180"/>
        <w:rPr>
          <w:rFonts w:ascii="Palatino Linotype" w:hAnsi="Palatino Linotype"/>
          <w:sz w:val="24"/>
        </w:rPr>
      </w:pPr>
    </w:p>
    <w:p w:rsidR="001D5829" w:rsidRDefault="001D5829">
      <w:pPr>
        <w:suppressAutoHyphens/>
        <w:rPr>
          <w:rFonts w:ascii="Palatino Linotype" w:hAnsi="Palatino Linotype"/>
          <w:sz w:val="24"/>
        </w:rPr>
      </w:pPr>
    </w:p>
    <w:p w:rsidR="001D5829" w:rsidRDefault="001D5829">
      <w:pPr>
        <w:suppressAutoHyphens/>
        <w:rPr>
          <w:rFonts w:ascii="Palatino Linotype" w:hAnsi="Palatino Linotype"/>
          <w:sz w:val="24"/>
        </w:rPr>
      </w:pPr>
    </w:p>
    <w:p w:rsidR="001D5829" w:rsidRDefault="001D5829">
      <w:pPr>
        <w:suppressAutoHyphens/>
        <w:rPr>
          <w:rFonts w:ascii="Palatino Linotype" w:hAnsi="Palatino Linotype"/>
          <w:sz w:val="24"/>
        </w:rPr>
      </w:pPr>
    </w:p>
    <w:p w:rsidR="001D5829" w:rsidRDefault="001D5829">
      <w:pPr>
        <w:suppressAutoHyphens/>
        <w:rPr>
          <w:rFonts w:ascii="Palatino Linotype" w:hAnsi="Palatino Linotype"/>
          <w:sz w:val="24"/>
        </w:rPr>
      </w:pPr>
    </w:p>
    <w:tbl>
      <w:tblPr>
        <w:tblW w:w="0" w:type="auto"/>
        <w:tblInd w:w="4788" w:type="dxa"/>
        <w:tblLayout w:type="fixed"/>
        <w:tblLook w:val="0000" w:firstRow="0" w:lastRow="0" w:firstColumn="0" w:lastColumn="0" w:noHBand="0" w:noVBand="0"/>
      </w:tblPr>
      <w:tblGrid>
        <w:gridCol w:w="3870"/>
      </w:tblGrid>
      <w:tr w:rsidR="001D5829">
        <w:tc>
          <w:tcPr>
            <w:tcW w:w="3870" w:type="dxa"/>
            <w:tcBorders>
              <w:bottom w:val="single" w:sz="6" w:space="0" w:color="auto"/>
            </w:tcBorders>
          </w:tcPr>
          <w:p w:rsidR="001D5829" w:rsidRDefault="001D5829">
            <w:pPr>
              <w:suppressAutoHyphens/>
              <w:ind w:right="-648"/>
              <w:rPr>
                <w:rFonts w:ascii="Palatino Linotype" w:hAnsi="Palatino Linotype"/>
                <w:sz w:val="24"/>
              </w:rPr>
            </w:pPr>
          </w:p>
        </w:tc>
      </w:tr>
      <w:tr w:rsidR="001D5829">
        <w:tc>
          <w:tcPr>
            <w:tcW w:w="3870" w:type="dxa"/>
          </w:tcPr>
          <w:p w:rsidR="001D5829" w:rsidRDefault="001D5829">
            <w:pPr>
              <w:pStyle w:val="Heading6"/>
              <w:keepNext w:val="0"/>
              <w:suppressAutoHyphens/>
              <w:spacing w:before="0"/>
              <w:jc w:val="center"/>
              <w:rPr>
                <w:rFonts w:ascii="Palatino Linotype" w:hAnsi="Palatino Linotype"/>
              </w:rPr>
            </w:pPr>
            <w:r>
              <w:rPr>
                <w:rFonts w:ascii="Palatino Linotype" w:hAnsi="Palatino Linotype"/>
              </w:rPr>
              <w:t>PAUL CLANON</w:t>
            </w:r>
          </w:p>
          <w:p w:rsidR="001D5829" w:rsidRDefault="001D5829">
            <w:pPr>
              <w:pStyle w:val="Heading6"/>
              <w:keepNext w:val="0"/>
              <w:suppressAutoHyphens/>
              <w:spacing w:before="0"/>
              <w:jc w:val="center"/>
              <w:rPr>
                <w:rFonts w:ascii="Palatino Linotype" w:hAnsi="Palatino Linotype"/>
              </w:rPr>
            </w:pPr>
            <w:r>
              <w:rPr>
                <w:rFonts w:ascii="Palatino Linotype" w:hAnsi="Palatino Linotype"/>
              </w:rPr>
              <w:t>Executive Director</w:t>
            </w:r>
          </w:p>
        </w:tc>
      </w:tr>
    </w:tbl>
    <w:p w:rsidR="001D5829" w:rsidRDefault="001D5829">
      <w:pPr>
        <w:ind w:left="5040"/>
        <w:rPr>
          <w:sz w:val="24"/>
        </w:rPr>
      </w:pPr>
    </w:p>
    <w:p w:rsidR="001D5829" w:rsidRDefault="001D5829">
      <w:pPr>
        <w:rPr>
          <w:sz w:val="24"/>
        </w:rPr>
      </w:pPr>
      <w:r>
        <w:rPr>
          <w:sz w:val="24"/>
        </w:rPr>
        <w:tab/>
      </w:r>
      <w:r>
        <w:rPr>
          <w:sz w:val="24"/>
        </w:rPr>
        <w:tab/>
      </w:r>
      <w:r>
        <w:rPr>
          <w:sz w:val="24"/>
        </w:rPr>
        <w:tab/>
      </w:r>
      <w:r>
        <w:rPr>
          <w:sz w:val="24"/>
        </w:rPr>
        <w:tab/>
      </w:r>
      <w:r>
        <w:rPr>
          <w:sz w:val="24"/>
        </w:rPr>
        <w:tab/>
      </w:r>
      <w:r>
        <w:rPr>
          <w:sz w:val="24"/>
        </w:rPr>
        <w:tab/>
      </w:r>
      <w:r>
        <w:rPr>
          <w:sz w:val="24"/>
        </w:rPr>
        <w:tab/>
      </w:r>
    </w:p>
    <w:tbl>
      <w:tblPr>
        <w:tblW w:w="0" w:type="auto"/>
        <w:tblInd w:w="4788" w:type="dxa"/>
        <w:tblLayout w:type="fixed"/>
        <w:tblLook w:val="0000" w:firstRow="0" w:lastRow="0" w:firstColumn="0" w:lastColumn="0" w:noHBand="0" w:noVBand="0"/>
      </w:tblPr>
      <w:tblGrid>
        <w:gridCol w:w="3974"/>
      </w:tblGrid>
      <w:tr w:rsidR="001D5829">
        <w:trPr>
          <w:trHeight w:val="366"/>
        </w:trPr>
        <w:tc>
          <w:tcPr>
            <w:tcW w:w="3974" w:type="dxa"/>
          </w:tcPr>
          <w:p w:rsidR="001D5829" w:rsidRDefault="001D5829">
            <w:pPr>
              <w:jc w:val="right"/>
              <w:rPr>
                <w:rFonts w:ascii="Palatino" w:hAnsi="Palatino"/>
                <w:sz w:val="24"/>
                <w:szCs w:val="24"/>
              </w:rPr>
            </w:pPr>
          </w:p>
        </w:tc>
      </w:tr>
      <w:tr w:rsidR="00590191">
        <w:trPr>
          <w:trHeight w:val="178"/>
        </w:trPr>
        <w:tc>
          <w:tcPr>
            <w:tcW w:w="3974" w:type="dxa"/>
          </w:tcPr>
          <w:p w:rsidR="00590191" w:rsidRDefault="00590191" w:rsidP="00C2158A">
            <w:pPr>
              <w:jc w:val="right"/>
              <w:rPr>
                <w:rFonts w:ascii="Palatino" w:hAnsi="Palatino"/>
                <w:sz w:val="24"/>
                <w:szCs w:val="24"/>
              </w:rPr>
            </w:pPr>
          </w:p>
        </w:tc>
      </w:tr>
      <w:tr w:rsidR="00590191">
        <w:trPr>
          <w:trHeight w:val="178"/>
        </w:trPr>
        <w:tc>
          <w:tcPr>
            <w:tcW w:w="3974" w:type="dxa"/>
          </w:tcPr>
          <w:p w:rsidR="00590191" w:rsidRDefault="00590191" w:rsidP="00C2158A">
            <w:pPr>
              <w:jc w:val="right"/>
              <w:rPr>
                <w:rFonts w:ascii="Palatino" w:hAnsi="Palatino"/>
                <w:sz w:val="24"/>
                <w:szCs w:val="24"/>
              </w:rPr>
            </w:pPr>
          </w:p>
        </w:tc>
      </w:tr>
      <w:tr w:rsidR="00590191">
        <w:trPr>
          <w:trHeight w:val="178"/>
        </w:trPr>
        <w:tc>
          <w:tcPr>
            <w:tcW w:w="3974" w:type="dxa"/>
          </w:tcPr>
          <w:p w:rsidR="00590191" w:rsidRDefault="00590191" w:rsidP="00590191">
            <w:pPr>
              <w:jc w:val="right"/>
              <w:rPr>
                <w:color w:val="000000"/>
                <w:sz w:val="26"/>
                <w:szCs w:val="26"/>
              </w:rPr>
            </w:pPr>
          </w:p>
        </w:tc>
      </w:tr>
      <w:tr w:rsidR="00590191">
        <w:trPr>
          <w:trHeight w:val="187"/>
        </w:trPr>
        <w:tc>
          <w:tcPr>
            <w:tcW w:w="3974" w:type="dxa"/>
          </w:tcPr>
          <w:p w:rsidR="00590191" w:rsidRDefault="00590191" w:rsidP="00C2158A">
            <w:pPr>
              <w:jc w:val="right"/>
              <w:rPr>
                <w:rFonts w:ascii="Palatino" w:hAnsi="Palatino"/>
                <w:sz w:val="24"/>
                <w:szCs w:val="24"/>
              </w:rPr>
            </w:pPr>
          </w:p>
        </w:tc>
      </w:tr>
      <w:tr w:rsidR="00590191">
        <w:trPr>
          <w:trHeight w:val="187"/>
        </w:trPr>
        <w:tc>
          <w:tcPr>
            <w:tcW w:w="3974" w:type="dxa"/>
          </w:tcPr>
          <w:p w:rsidR="00590191" w:rsidRDefault="00590191">
            <w:pPr>
              <w:jc w:val="right"/>
              <w:rPr>
                <w:rFonts w:ascii="Palatino" w:hAnsi="Palatino"/>
                <w:sz w:val="24"/>
                <w:szCs w:val="24"/>
              </w:rPr>
            </w:pPr>
          </w:p>
        </w:tc>
      </w:tr>
      <w:tr w:rsidR="00590191">
        <w:trPr>
          <w:trHeight w:val="187"/>
        </w:trPr>
        <w:tc>
          <w:tcPr>
            <w:tcW w:w="3974" w:type="dxa"/>
          </w:tcPr>
          <w:p w:rsidR="00590191" w:rsidRDefault="00590191">
            <w:pPr>
              <w:ind w:right="72"/>
              <w:jc w:val="right"/>
              <w:rPr>
                <w:rFonts w:ascii="Palatino" w:hAnsi="Palatino"/>
                <w:sz w:val="24"/>
                <w:szCs w:val="24"/>
              </w:rPr>
            </w:pPr>
          </w:p>
        </w:tc>
      </w:tr>
    </w:tbl>
    <w:p w:rsidR="001D5829" w:rsidRDefault="001D5829">
      <w:pPr>
        <w:rPr>
          <w:sz w:val="24"/>
        </w:rPr>
      </w:pPr>
    </w:p>
    <w:p w:rsidR="001D5829" w:rsidRDefault="001D5829">
      <w:pPr>
        <w:rPr>
          <w:sz w:val="24"/>
        </w:rPr>
      </w:pPr>
    </w:p>
    <w:p w:rsidR="009C409F" w:rsidRDefault="001D5829">
      <w:pPr>
        <w:rPr>
          <w:sz w:val="24"/>
        </w:rPr>
      </w:pPr>
      <w:r>
        <w:rPr>
          <w:sz w:val="24"/>
        </w:rPr>
        <w:tab/>
      </w:r>
    </w:p>
    <w:p w:rsidR="009C409F" w:rsidRDefault="009C409F">
      <w:pPr>
        <w:rPr>
          <w:sz w:val="24"/>
        </w:rPr>
      </w:pPr>
    </w:p>
    <w:p w:rsidR="009C409F" w:rsidRDefault="009C409F">
      <w:pPr>
        <w:rPr>
          <w:sz w:val="24"/>
        </w:rPr>
      </w:pPr>
    </w:p>
    <w:p w:rsidR="004E1F42" w:rsidRDefault="004E1F42">
      <w:pPr>
        <w:rPr>
          <w:sz w:val="24"/>
        </w:rPr>
      </w:pPr>
    </w:p>
    <w:p w:rsidR="004E1F42" w:rsidRDefault="004E1F42">
      <w:pPr>
        <w:rPr>
          <w:sz w:val="24"/>
        </w:rPr>
      </w:pPr>
      <w:r>
        <w:rPr>
          <w:sz w:val="24"/>
        </w:rPr>
        <w:br w:type="page"/>
      </w:r>
    </w:p>
    <w:p w:rsidR="00FB64AD" w:rsidRDefault="00FB64AD">
      <w:pPr>
        <w:rPr>
          <w:sz w:val="24"/>
        </w:rPr>
        <w:sectPr w:rsidR="00FB64A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1D5829" w:rsidRDefault="001D5829" w:rsidP="00FB64AD">
      <w:pPr>
        <w:rPr>
          <w:b/>
          <w:sz w:val="24"/>
          <w:szCs w:val="24"/>
        </w:rPr>
      </w:pPr>
      <w:r>
        <w:rPr>
          <w:sz w:val="24"/>
        </w:rPr>
        <w:tab/>
      </w:r>
    </w:p>
    <w:sectPr w:rsidR="001D5829" w:rsidSect="00DB1889">
      <w:headerReference w:type="default" r:id="rId14"/>
      <w:footerReference w:type="default" r:id="rId15"/>
      <w:pgSz w:w="15840" w:h="12240" w:orient="landscape" w:code="1"/>
      <w:pgMar w:top="1080" w:right="907"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0A" w:rsidRDefault="006C100A">
      <w:r>
        <w:separator/>
      </w:r>
    </w:p>
  </w:endnote>
  <w:endnote w:type="continuationSeparator" w:id="0">
    <w:p w:rsidR="006C100A" w:rsidRDefault="006C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13" w:rsidRDefault="00AD6E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29" w:rsidRDefault="00DB1889">
    <w:pPr>
      <w:pStyle w:val="Footer"/>
      <w:framePr w:wrap="around" w:vAnchor="text" w:hAnchor="margin" w:xAlign="center" w:y="1"/>
      <w:rPr>
        <w:rStyle w:val="PageNumber"/>
      </w:rPr>
    </w:pPr>
    <w:r>
      <w:rPr>
        <w:rStyle w:val="PageNumber"/>
      </w:rPr>
      <w:fldChar w:fldCharType="begin"/>
    </w:r>
    <w:r w:rsidR="001D5829">
      <w:rPr>
        <w:rStyle w:val="PageNumber"/>
      </w:rPr>
      <w:instrText xml:space="preserve">PAGE  </w:instrText>
    </w:r>
    <w:r>
      <w:rPr>
        <w:rStyle w:val="PageNumber"/>
      </w:rPr>
      <w:fldChar w:fldCharType="separate"/>
    </w:r>
    <w:r w:rsidR="006227EA">
      <w:rPr>
        <w:rStyle w:val="PageNumber"/>
        <w:noProof/>
      </w:rPr>
      <w:t>2</w:t>
    </w:r>
    <w:r>
      <w:rPr>
        <w:rStyle w:val="PageNumber"/>
      </w:rPr>
      <w:fldChar w:fldCharType="end"/>
    </w:r>
  </w:p>
  <w:p w:rsidR="001D5829" w:rsidRDefault="001D5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33" w:rsidRDefault="00A41733">
    <w:pPr>
      <w:pStyle w:val="Footer"/>
    </w:pPr>
  </w:p>
  <w:tbl>
    <w:tblPr>
      <w:tblW w:w="5000" w:type="pct"/>
      <w:tblCellSpacing w:w="0" w:type="dxa"/>
      <w:tblCellMar>
        <w:left w:w="0" w:type="dxa"/>
        <w:right w:w="0" w:type="dxa"/>
      </w:tblCellMar>
      <w:tblLook w:val="04A0" w:firstRow="1" w:lastRow="0" w:firstColumn="1" w:lastColumn="0" w:noHBand="0" w:noVBand="1"/>
    </w:tblPr>
    <w:tblGrid>
      <w:gridCol w:w="1429"/>
      <w:gridCol w:w="30"/>
      <w:gridCol w:w="8066"/>
    </w:tblGrid>
    <w:tr w:rsidR="00A41733" w:rsidRPr="00A41733" w:rsidTr="00A41733">
      <w:trPr>
        <w:tblCellSpacing w:w="0" w:type="dxa"/>
      </w:trPr>
      <w:tc>
        <w:tcPr>
          <w:tcW w:w="750" w:type="pct"/>
          <w:tcBorders>
            <w:top w:val="single" w:sz="6" w:space="0" w:color="FFFFFF"/>
            <w:left w:val="single" w:sz="6" w:space="0" w:color="FFFFFF"/>
            <w:right w:val="single" w:sz="6" w:space="0" w:color="999999"/>
          </w:tcBorders>
          <w:shd w:val="clear" w:color="auto" w:fill="E2E2E2"/>
          <w:noWrap/>
          <w:tcMar>
            <w:top w:w="75" w:type="dxa"/>
            <w:left w:w="75" w:type="dxa"/>
            <w:bottom w:w="75" w:type="dxa"/>
            <w:right w:w="75" w:type="dxa"/>
          </w:tcMar>
          <w:vAlign w:val="center"/>
          <w:hideMark/>
        </w:tcPr>
        <w:p w:rsidR="00A41733" w:rsidRPr="00A41733" w:rsidRDefault="00A41733" w:rsidP="00A41733">
          <w:pPr>
            <w:rPr>
              <w:rFonts w:ascii="Tahoma" w:hAnsi="Tahoma" w:cs="Tahoma"/>
              <w:b/>
              <w:bCs/>
              <w:color w:val="434343"/>
              <w:sz w:val="17"/>
              <w:szCs w:val="17"/>
            </w:rPr>
          </w:pPr>
          <w:r>
            <w:rPr>
              <w:rFonts w:ascii="Tahoma" w:hAnsi="Tahoma" w:cs="Tahoma"/>
              <w:b/>
              <w:bCs/>
              <w:color w:val="434343"/>
              <w:sz w:val="17"/>
              <w:szCs w:val="17"/>
            </w:rPr>
            <w:t>88214113</w:t>
          </w:r>
        </w:p>
      </w:tc>
      <w:tc>
        <w:tcPr>
          <w:tcW w:w="30" w:type="dxa"/>
          <w:vAlign w:val="center"/>
        </w:tcPr>
        <w:p w:rsidR="00A41733" w:rsidRPr="00A41733" w:rsidRDefault="00A41733" w:rsidP="00A41733">
          <w:pPr>
            <w:rPr>
              <w:rFonts w:ascii="Tahoma" w:hAnsi="Tahoma" w:cs="Tahoma"/>
              <w:sz w:val="17"/>
              <w:szCs w:val="17"/>
            </w:rPr>
          </w:pPr>
        </w:p>
      </w:tc>
      <w:tc>
        <w:tcPr>
          <w:tcW w:w="0" w:type="auto"/>
          <w:noWrap/>
          <w:tcMar>
            <w:top w:w="75" w:type="dxa"/>
            <w:left w:w="75" w:type="dxa"/>
            <w:bottom w:w="75" w:type="dxa"/>
            <w:right w:w="75" w:type="dxa"/>
          </w:tcMar>
          <w:vAlign w:val="center"/>
        </w:tcPr>
        <w:p w:rsidR="00A41733" w:rsidRPr="00A41733" w:rsidRDefault="00A41733" w:rsidP="00A41733">
          <w:pPr>
            <w:rPr>
              <w:rFonts w:ascii="Tahoma" w:hAnsi="Tahoma" w:cs="Tahoma"/>
              <w:sz w:val="17"/>
              <w:szCs w:val="17"/>
            </w:rPr>
          </w:pPr>
        </w:p>
      </w:tc>
    </w:tr>
  </w:tbl>
  <w:p w:rsidR="00A41733" w:rsidRDefault="00A41733">
    <w:pPr>
      <w:pStyle w:val="Footer"/>
    </w:pPr>
  </w:p>
  <w:p w:rsidR="00704E44" w:rsidRDefault="00704E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29" w:rsidRDefault="00DB1889">
    <w:pPr>
      <w:pStyle w:val="Footer"/>
      <w:framePr w:wrap="around" w:vAnchor="text" w:hAnchor="margin" w:xAlign="center" w:y="1"/>
      <w:rPr>
        <w:rStyle w:val="PageNumber"/>
      </w:rPr>
    </w:pPr>
    <w:r>
      <w:rPr>
        <w:rStyle w:val="PageNumber"/>
      </w:rPr>
      <w:fldChar w:fldCharType="begin"/>
    </w:r>
    <w:r w:rsidR="001D5829">
      <w:rPr>
        <w:rStyle w:val="PageNumber"/>
      </w:rPr>
      <w:instrText xml:space="preserve"> PAGE </w:instrText>
    </w:r>
    <w:r>
      <w:rPr>
        <w:rStyle w:val="PageNumber"/>
      </w:rPr>
      <w:fldChar w:fldCharType="separate"/>
    </w:r>
    <w:r w:rsidR="00A41733">
      <w:rPr>
        <w:rStyle w:val="PageNumber"/>
        <w:noProof/>
      </w:rPr>
      <w:t>1</w:t>
    </w:r>
    <w:r>
      <w:rPr>
        <w:rStyle w:val="PageNumber"/>
      </w:rPr>
      <w:fldChar w:fldCharType="end"/>
    </w:r>
  </w:p>
  <w:p w:rsidR="001D5829" w:rsidRDefault="001D5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0A" w:rsidRDefault="006C100A">
      <w:r>
        <w:separator/>
      </w:r>
    </w:p>
  </w:footnote>
  <w:footnote w:type="continuationSeparator" w:id="0">
    <w:p w:rsidR="006C100A" w:rsidRDefault="006C100A">
      <w:r>
        <w:continuationSeparator/>
      </w:r>
    </w:p>
  </w:footnote>
  <w:footnote w:id="1">
    <w:p w:rsidR="001D5829" w:rsidRDefault="001D5829">
      <w:pPr>
        <w:pStyle w:val="FootnoteText"/>
      </w:pPr>
      <w:r>
        <w:rPr>
          <w:rStyle w:val="FootnoteReference"/>
        </w:rPr>
        <w:footnoteRef/>
      </w:r>
      <w:r>
        <w:rPr>
          <w:rFonts w:ascii="Palatino Linotype" w:hAnsi="Palatino Linotype"/>
          <w:sz w:val="24"/>
          <w:szCs w:val="24"/>
        </w:rPr>
        <w:t xml:space="preserve"> </w:t>
      </w:r>
      <w:r>
        <w:t>AB 2987, 2005-2006 Session (Ca. 2006); Cal. Pub. Util. Code, Division 2.5, The Digital Infrastr</w:t>
      </w:r>
      <w:r w:rsidR="000C712F">
        <w:t>ucture and Video Competition Act</w:t>
      </w:r>
      <w:r>
        <w:t xml:space="preserve"> of 2006 (DIVCA).</w:t>
      </w:r>
    </w:p>
  </w:footnote>
  <w:footnote w:id="2">
    <w:p w:rsidR="001D5829" w:rsidRDefault="001D5829">
      <w:pPr>
        <w:pStyle w:val="FootnoteText"/>
      </w:pPr>
      <w:r>
        <w:rPr>
          <w:rStyle w:val="FootnoteReference"/>
        </w:rPr>
        <w:footnoteRef/>
      </w:r>
      <w:r>
        <w:t xml:space="preserve"> </w:t>
      </w:r>
      <w:r>
        <w:rPr>
          <w:i/>
        </w:rPr>
        <w:t>Decision Adopting a General Order and Procedures to Implement the Digital Infrastructure and Video Competition Act of 2006</w:t>
      </w:r>
      <w:r>
        <w:t xml:space="preserve">, Decision 07-03-014, </w:t>
      </w:r>
      <w:r>
        <w:rPr>
          <w:i/>
        </w:rPr>
        <w:t>Rulemaking for Adoption of a General Order and Procedures to Implement the Digital Infrastructure and Video Competition Act of 2006</w:t>
      </w:r>
      <w:r>
        <w:t xml:space="preserve"> (Cal. P.U.C. March 3, 2007) (D. 07-03-014).</w:t>
      </w:r>
    </w:p>
  </w:footnote>
  <w:footnote w:id="3">
    <w:p w:rsidR="001D5829" w:rsidRDefault="001D5829">
      <w:pPr>
        <w:autoSpaceDE w:val="0"/>
        <w:autoSpaceDN w:val="0"/>
        <w:adjustRightInd w:val="0"/>
        <w:rPr>
          <w:sz w:val="21"/>
          <w:szCs w:val="21"/>
        </w:rPr>
      </w:pPr>
      <w:r>
        <w:rPr>
          <w:rStyle w:val="FootnoteReference"/>
        </w:rPr>
        <w:footnoteRef/>
      </w:r>
      <w:r>
        <w:t xml:space="preserve"> </w:t>
      </w:r>
      <w:smartTag w:uri="urn:schemas-microsoft-com:office:smarttags" w:element="State">
        <w:smartTag w:uri="urn:schemas-microsoft-com:office:smarttags" w:element="place">
          <w:r>
            <w:t>Cal.</w:t>
          </w:r>
        </w:smartTag>
      </w:smartTag>
      <w:r>
        <w:t xml:space="preserve"> Pub. Util. Code § </w:t>
      </w:r>
      <w:r>
        <w:rPr>
          <w:sz w:val="21"/>
          <w:szCs w:val="21"/>
        </w:rPr>
        <w:t>441, as added by AB 2987, reads, in part, as follows:</w:t>
      </w:r>
    </w:p>
    <w:p w:rsidR="001D5829" w:rsidRDefault="001D5829">
      <w:pPr>
        <w:autoSpaceDE w:val="0"/>
        <w:autoSpaceDN w:val="0"/>
        <w:adjustRightInd w:val="0"/>
        <w:rPr>
          <w:sz w:val="21"/>
          <w:szCs w:val="21"/>
        </w:rPr>
      </w:pPr>
    </w:p>
    <w:p w:rsidR="001D5829" w:rsidRDefault="001D5829">
      <w:pPr>
        <w:autoSpaceDE w:val="0"/>
        <w:autoSpaceDN w:val="0"/>
        <w:adjustRightInd w:val="0"/>
        <w:ind w:firstLine="720"/>
        <w:rPr>
          <w:sz w:val="21"/>
          <w:szCs w:val="21"/>
        </w:rPr>
      </w:pPr>
      <w:r>
        <w:rPr>
          <w:sz w:val="21"/>
          <w:szCs w:val="21"/>
        </w:rPr>
        <w:t>441. The commission shall annually determine a fee to be paid by an</w:t>
      </w:r>
    </w:p>
    <w:p w:rsidR="001D5829" w:rsidRDefault="001D5829">
      <w:pPr>
        <w:autoSpaceDE w:val="0"/>
        <w:autoSpaceDN w:val="0"/>
        <w:adjustRightInd w:val="0"/>
        <w:ind w:firstLine="720"/>
        <w:rPr>
          <w:sz w:val="21"/>
          <w:szCs w:val="21"/>
        </w:rPr>
      </w:pPr>
      <w:r>
        <w:rPr>
          <w:sz w:val="21"/>
          <w:szCs w:val="21"/>
        </w:rPr>
        <w:t>applicant or holder of a state franchise pursuant to Division 2.5</w:t>
      </w:r>
    </w:p>
    <w:p w:rsidR="001D5829" w:rsidRDefault="001D5829">
      <w:pPr>
        <w:autoSpaceDE w:val="0"/>
        <w:autoSpaceDN w:val="0"/>
        <w:adjustRightInd w:val="0"/>
        <w:ind w:firstLine="720"/>
        <w:rPr>
          <w:sz w:val="21"/>
          <w:szCs w:val="21"/>
        </w:rPr>
      </w:pPr>
      <w:r>
        <w:rPr>
          <w:sz w:val="21"/>
          <w:szCs w:val="21"/>
        </w:rPr>
        <w:t>(commencing with Section 5800). The annual fee shall be established to</w:t>
      </w:r>
    </w:p>
    <w:p w:rsidR="001D5829" w:rsidRDefault="001D5829">
      <w:pPr>
        <w:autoSpaceDE w:val="0"/>
        <w:autoSpaceDN w:val="0"/>
        <w:adjustRightInd w:val="0"/>
        <w:ind w:firstLine="720"/>
        <w:rPr>
          <w:sz w:val="21"/>
          <w:szCs w:val="21"/>
        </w:rPr>
      </w:pPr>
      <w:r>
        <w:rPr>
          <w:sz w:val="21"/>
          <w:szCs w:val="21"/>
        </w:rPr>
        <w:t>produce a total amount equal to that amount established in the authorized</w:t>
      </w:r>
    </w:p>
    <w:p w:rsidR="001D5829" w:rsidRDefault="001D5829">
      <w:pPr>
        <w:autoSpaceDE w:val="0"/>
        <w:autoSpaceDN w:val="0"/>
        <w:adjustRightInd w:val="0"/>
        <w:ind w:firstLine="720"/>
        <w:rPr>
          <w:sz w:val="21"/>
          <w:szCs w:val="21"/>
        </w:rPr>
      </w:pPr>
      <w:r>
        <w:rPr>
          <w:sz w:val="21"/>
          <w:szCs w:val="21"/>
        </w:rPr>
        <w:t>commission budget for the same year to carry out the provisions of</w:t>
      </w:r>
    </w:p>
    <w:p w:rsidR="001D5829" w:rsidRDefault="001D5829">
      <w:pPr>
        <w:autoSpaceDE w:val="0"/>
        <w:autoSpaceDN w:val="0"/>
        <w:adjustRightInd w:val="0"/>
        <w:ind w:firstLine="720"/>
        <w:rPr>
          <w:sz w:val="21"/>
          <w:szCs w:val="21"/>
        </w:rPr>
      </w:pPr>
      <w:r>
        <w:rPr>
          <w:sz w:val="21"/>
          <w:szCs w:val="21"/>
        </w:rPr>
        <w:t>Division 2.5 (commencing with Section 5800)….</w:t>
      </w:r>
    </w:p>
    <w:p w:rsidR="001D5829" w:rsidRDefault="001D5829">
      <w:pPr>
        <w:pStyle w:val="FootnoteText"/>
      </w:pPr>
    </w:p>
  </w:footnote>
  <w:footnote w:id="4">
    <w:p w:rsidR="001D5829" w:rsidRDefault="001D5829">
      <w:pPr>
        <w:pStyle w:val="FootnoteText"/>
      </w:pPr>
      <w:r>
        <w:rPr>
          <w:rStyle w:val="FootnoteReference"/>
        </w:rPr>
        <w:footnoteRef/>
      </w:r>
      <w:r>
        <w:t xml:space="preserve"> Decision 07-03-014, p. 115.</w:t>
      </w:r>
    </w:p>
  </w:footnote>
  <w:footnote w:id="5">
    <w:p w:rsidR="001D5829" w:rsidRDefault="001D5829">
      <w:pPr>
        <w:pStyle w:val="FootnoteText"/>
      </w:pPr>
      <w:r>
        <w:rPr>
          <w:rStyle w:val="FootnoteReference"/>
        </w:rPr>
        <w:footnoteRef/>
      </w:r>
      <w:r>
        <w:t xml:space="preserve"> Decision 07-03-014, pp. 122-123 </w:t>
      </w:r>
    </w:p>
  </w:footnote>
  <w:footnote w:id="6">
    <w:p w:rsidR="001D5829" w:rsidRDefault="001D5829">
      <w:pPr>
        <w:pStyle w:val="FootnoteText"/>
      </w:pPr>
      <w:r>
        <w:rPr>
          <w:rStyle w:val="FootnoteReference"/>
        </w:rPr>
        <w:footnoteRef/>
      </w:r>
      <w:r>
        <w:t xml:space="preserve"> </w:t>
      </w:r>
      <w:r>
        <w:rPr>
          <w:i/>
        </w:rPr>
        <w:t>Order Instituting Rulemaking to Consider the Adoption of a General Order and Procedures to Implement the Digital Infrastructure and Video Competition Act of 2006</w:t>
      </w:r>
      <w:r>
        <w:t xml:space="preserve">, Decision 09-04-011, </w:t>
      </w:r>
      <w:bookmarkStart w:id="3" w:name="P27_384"/>
      <w:bookmarkEnd w:id="3"/>
      <w:r>
        <w:rPr>
          <w:bCs/>
          <w:i/>
        </w:rPr>
        <w:t>Decision Modifying Decision 07-03-014</w:t>
      </w:r>
      <w:r>
        <w:rPr>
          <w:bCs/>
        </w:rPr>
        <w:t xml:space="preserve"> (Cal. P.U.C. April 16, 2009)</w:t>
      </w:r>
      <w:r>
        <w:t>, Ordering Paragraph 1, pp. 7.  (“1. Decision 07-03-014 and General Order 169 are modified to adopt a user fee process for Fiscal Year 2008-2009 to Fiscal Year 2012-2013 to allocate the Digital Infrastructure and Video Competition Act of 2006 implementation costs based on a pro-rata share of the number of households in each state franchise holder's video service territory.”)</w:t>
      </w:r>
      <w:r w:rsidR="00140D5A">
        <w:t xml:space="preserve"> </w:t>
      </w:r>
      <w:r w:rsidR="00A67163">
        <w:t>By comparison, f</w:t>
      </w:r>
      <w:r w:rsidR="00140D5A">
        <w:t xml:space="preserve">or FY12-13, the annual fee was </w:t>
      </w:r>
      <w:r w:rsidR="00F25A40">
        <w:t>$0.0374 (3.74 cents)</w:t>
      </w:r>
      <w:r w:rsidR="00140D5A">
        <w:t xml:space="preserve"> per household in the holders’ video franchise territories.</w:t>
      </w:r>
    </w:p>
  </w:footnote>
  <w:footnote w:id="7">
    <w:p w:rsidR="00BB7350" w:rsidRDefault="00BB7350">
      <w:pPr>
        <w:pStyle w:val="FootnoteText"/>
      </w:pPr>
      <w:r>
        <w:rPr>
          <w:rStyle w:val="FootnoteReference"/>
        </w:rPr>
        <w:footnoteRef/>
      </w:r>
      <w:r>
        <w:t xml:space="preserve"> Calculated by dividing $950,</w:t>
      </w:r>
      <w:r w:rsidRPr="00BB7350">
        <w:t>000 by $</w:t>
      </w:r>
      <w:r w:rsidRPr="00F079B4">
        <w:t>5,492,310,300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13" w:rsidRDefault="00AD6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29" w:rsidRDefault="001D5829" w:rsidP="004E5BE7">
    <w:pPr>
      <w:pStyle w:val="Header"/>
      <w:tabs>
        <w:tab w:val="clear" w:pos="8640"/>
        <w:tab w:val="left" w:pos="2115"/>
        <w:tab w:val="right" w:pos="9360"/>
      </w:tabs>
      <w:rPr>
        <w:rFonts w:ascii="Palatino Linotype" w:hAnsi="Palatino Linotype"/>
        <w:sz w:val="24"/>
        <w:szCs w:val="24"/>
        <w:lang w:val="es-MX"/>
      </w:rPr>
    </w:pPr>
    <w:r>
      <w:rPr>
        <w:rFonts w:ascii="Palatino Linotype" w:hAnsi="Palatino Linotype"/>
        <w:sz w:val="24"/>
        <w:szCs w:val="24"/>
        <w:lang w:val="es-MX"/>
      </w:rPr>
      <w:t>Resolution T-1</w:t>
    </w:r>
    <w:r w:rsidR="00BE56E1">
      <w:rPr>
        <w:rFonts w:ascii="Palatino Linotype" w:hAnsi="Palatino Linotype"/>
        <w:sz w:val="24"/>
        <w:szCs w:val="24"/>
        <w:lang w:val="es-MX"/>
      </w:rPr>
      <w:t>7438</w:t>
    </w:r>
    <w:r>
      <w:rPr>
        <w:rFonts w:ascii="Palatino Linotype" w:hAnsi="Palatino Linotype"/>
        <w:sz w:val="24"/>
        <w:szCs w:val="24"/>
        <w:lang w:val="es-MX"/>
      </w:rPr>
      <w:t xml:space="preserve">                                              </w:t>
    </w:r>
    <w:r w:rsidR="004E5BE7">
      <w:rPr>
        <w:rFonts w:ascii="Palatino Linotype" w:hAnsi="Palatino Linotype"/>
        <w:sz w:val="24"/>
        <w:szCs w:val="24"/>
        <w:lang w:val="es-MX"/>
      </w:rPr>
      <w:t xml:space="preserve">                                                   </w:t>
    </w:r>
    <w:r>
      <w:rPr>
        <w:rFonts w:ascii="Palatino Linotype" w:hAnsi="Palatino Linotype"/>
        <w:sz w:val="24"/>
        <w:szCs w:val="24"/>
        <w:lang w:val="es-MX"/>
      </w:rPr>
      <w:t xml:space="preserve">  </w:t>
    </w:r>
    <w:r w:rsidR="004E5BE7">
      <w:rPr>
        <w:rFonts w:ascii="Palatino Linotype" w:hAnsi="Palatino Linotype"/>
        <w:sz w:val="24"/>
        <w:szCs w:val="24"/>
        <w:lang w:val="es-MX"/>
      </w:rPr>
      <w:t>3/13/14</w:t>
    </w:r>
  </w:p>
  <w:p w:rsidR="001D5829" w:rsidRDefault="001D5829" w:rsidP="0023766E">
    <w:pPr>
      <w:pStyle w:val="Header"/>
    </w:pPr>
    <w:r>
      <w:rPr>
        <w:rFonts w:ascii="Palatino" w:hAnsi="Palatino"/>
        <w:sz w:val="24"/>
        <w:lang w:val="es-MX"/>
      </w:rPr>
      <w:t>CD/MMO/</w:t>
    </w:r>
    <w:r w:rsidR="00BE56E1">
      <w:rPr>
        <w:rFonts w:ascii="Palatino" w:hAnsi="Palatino"/>
        <w:sz w:val="24"/>
        <w:lang w:val="es-MX"/>
      </w:rPr>
      <w:t>MBP</w:t>
    </w:r>
  </w:p>
  <w:p w:rsidR="001D5829" w:rsidRDefault="001D5829">
    <w:pPr>
      <w:pStyle w:val="Header"/>
      <w:jc w:val="center"/>
      <w:rPr>
        <w:rFonts w:ascii="Palatino" w:hAnsi="Palatino"/>
        <w:sz w:val="24"/>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408" w:rsidRDefault="00F75408" w:rsidP="00F75408">
    <w:pPr>
      <w:pStyle w:val="Header"/>
      <w:tabs>
        <w:tab w:val="clear" w:pos="4320"/>
        <w:tab w:val="clear" w:pos="8640"/>
        <w:tab w:val="center" w:pos="4680"/>
        <w:tab w:val="right" w:pos="9360"/>
      </w:tabs>
      <w:rPr>
        <w:rFonts w:ascii="Palatino Linotype" w:hAnsi="Palatino Linotype"/>
        <w:sz w:val="24"/>
        <w:lang w:val="es-MX"/>
      </w:rPr>
    </w:pPr>
    <w:r>
      <w:rPr>
        <w:rFonts w:ascii="Palatino Linotype" w:hAnsi="Palatino Linotype"/>
        <w:sz w:val="24"/>
        <w:lang w:val="es-MX"/>
      </w:rPr>
      <w:t>Resolution T</w:t>
    </w:r>
    <w:r w:rsidR="00E10484">
      <w:rPr>
        <w:rFonts w:ascii="Palatino Linotype" w:hAnsi="Palatino Linotype"/>
        <w:sz w:val="24"/>
        <w:lang w:val="es-MX"/>
      </w:rPr>
      <w:t>-17438</w:t>
    </w:r>
    <w:r>
      <w:rPr>
        <w:rFonts w:ascii="Palatino Linotype" w:hAnsi="Palatino Linotype"/>
        <w:sz w:val="24"/>
        <w:lang w:val="es-MX"/>
      </w:rPr>
      <w:tab/>
    </w:r>
    <w:r>
      <w:rPr>
        <w:rFonts w:ascii="Palatino Linotype" w:hAnsi="Palatino Linotype"/>
        <w:sz w:val="24"/>
        <w:lang w:val="es-MX"/>
      </w:rPr>
      <w:tab/>
      <w:t xml:space="preserve">Agenda ID# </w:t>
    </w:r>
    <w:r w:rsidR="00704E44">
      <w:rPr>
        <w:rFonts w:ascii="Palatino Linotype" w:hAnsi="Palatino Linotype"/>
        <w:sz w:val="24"/>
        <w:lang w:val="es-MX"/>
      </w:rPr>
      <w:t xml:space="preserve">12769 </w:t>
    </w:r>
  </w:p>
  <w:p w:rsidR="00F75408" w:rsidRDefault="00E10484" w:rsidP="00F75408">
    <w:pPr>
      <w:tabs>
        <w:tab w:val="center" w:pos="4680"/>
        <w:tab w:val="right" w:pos="9360"/>
      </w:tabs>
    </w:pPr>
    <w:r>
      <w:rPr>
        <w:rFonts w:ascii="Palatino Linotype" w:hAnsi="Palatino Linotype"/>
        <w:sz w:val="24"/>
        <w:lang w:val="es-MX"/>
      </w:rPr>
      <w:t>CD/MMO/MBP</w:t>
    </w:r>
    <w:r w:rsidR="00F75408">
      <w:rPr>
        <w:rFonts w:ascii="Palatino Linotype" w:hAnsi="Palatino Linotype"/>
        <w:sz w:val="24"/>
        <w:lang w:val="es-MX"/>
      </w:rPr>
      <w:tab/>
    </w:r>
    <w:r w:rsidR="00F75408">
      <w:rPr>
        <w:rFonts w:ascii="Palatino Linotype" w:hAnsi="Palatino Linotype"/>
        <w:sz w:val="24"/>
        <w:lang w:val="es-MX"/>
      </w:rPr>
      <w:tab/>
    </w:r>
    <w:r w:rsidR="002A210D">
      <w:rPr>
        <w:rFonts w:ascii="Palatino Linotype" w:hAnsi="Palatino Linotype"/>
        <w:sz w:val="24"/>
        <w:lang w:val="es-MX"/>
      </w:rPr>
      <w:t>3/13</w:t>
    </w:r>
    <w:r>
      <w:rPr>
        <w:rFonts w:ascii="Palatino Linotype" w:hAnsi="Palatino Linotype"/>
        <w:sz w:val="24"/>
        <w:lang w:val="es-MX"/>
      </w:rPr>
      <w:t>/14</w:t>
    </w:r>
    <w:r w:rsidR="00F75408">
      <w:rPr>
        <w:rFonts w:ascii="Palatino Linotype" w:hAnsi="Palatino Linotype"/>
        <w:sz w:val="24"/>
        <w:lang w:val="es-MX"/>
      </w:rPr>
      <w:t xml:space="preserve"> </w:t>
    </w:r>
  </w:p>
  <w:p w:rsidR="001D5829" w:rsidRDefault="001E48BD" w:rsidP="00F75408">
    <w:pPr>
      <w:pStyle w:val="Header"/>
      <w:tabs>
        <w:tab w:val="clear" w:pos="4320"/>
        <w:tab w:val="clear" w:pos="8640"/>
        <w:tab w:val="center" w:pos="4680"/>
        <w:tab w:val="right" w:pos="9360"/>
      </w:tabs>
    </w:pPr>
    <w:r>
      <w:tab/>
    </w:r>
    <w:r w:rsidRPr="001E48BD">
      <w:rPr>
        <w:sz w:val="24"/>
        <w:szCs w:val="24"/>
      </w:rPr>
      <w:t xml:space="preserve">DRAFT </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29" w:rsidRDefault="001D5829">
    <w:pPr>
      <w:pStyle w:val="Header"/>
      <w:tabs>
        <w:tab w:val="clear" w:pos="8640"/>
        <w:tab w:val="left" w:pos="2115"/>
        <w:tab w:val="left" w:pos="7320"/>
        <w:tab w:val="right" w:pos="9360"/>
      </w:tabs>
      <w:rPr>
        <w:rFonts w:ascii="Palatino Linotype" w:hAnsi="Palatino Linotype"/>
        <w:sz w:val="24"/>
        <w:szCs w:val="24"/>
        <w:lang w:val="es-MX"/>
      </w:rPr>
    </w:pPr>
    <w:r>
      <w:rPr>
        <w:rFonts w:ascii="Palatino Linotype" w:hAnsi="Palatino Linotype"/>
        <w:sz w:val="24"/>
        <w:szCs w:val="24"/>
        <w:lang w:val="es-MX"/>
      </w:rPr>
      <w:t xml:space="preserve"> </w:t>
    </w:r>
    <w:r>
      <w:rPr>
        <w:rFonts w:ascii="Palatino Linotype" w:hAnsi="Palatino Linotype"/>
        <w:sz w:val="24"/>
        <w:szCs w:val="24"/>
        <w:lang w:val="es-MX"/>
      </w:rPr>
      <w:tab/>
    </w:r>
    <w:r>
      <w:rPr>
        <w:rFonts w:ascii="Palatino Linotype" w:hAnsi="Palatino Linotype"/>
        <w:sz w:val="24"/>
        <w:szCs w:val="24"/>
        <w:lang w:val="es-MX"/>
      </w:rPr>
      <w:tab/>
    </w:r>
    <w:r>
      <w:rPr>
        <w:rFonts w:ascii="Palatino Linotype" w:hAnsi="Palatino Linotype"/>
        <w:sz w:val="24"/>
        <w:szCs w:val="24"/>
        <w:lang w:val="es-MX"/>
      </w:rPr>
      <w:tab/>
    </w:r>
    <w:r>
      <w:rPr>
        <w:rFonts w:ascii="Palatino Linotype" w:hAnsi="Palatino Linotype"/>
        <w:sz w:val="24"/>
        <w:szCs w:val="24"/>
        <w:lang w:val="es-MX"/>
      </w:rPr>
      <w:tab/>
    </w:r>
    <w:r>
      <w:rPr>
        <w:rFonts w:ascii="Palatino Linotype" w:hAnsi="Palatino Linotype"/>
        <w:sz w:val="24"/>
        <w:szCs w:val="24"/>
        <w:lang w:val="es-MX"/>
      </w:rPr>
      <w:tab/>
    </w:r>
    <w:r>
      <w:rPr>
        <w:rFonts w:ascii="Palatino Linotype" w:hAnsi="Palatino Linotype"/>
        <w:sz w:val="24"/>
        <w:szCs w:val="24"/>
        <w:lang w:val="es-MX"/>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2A41"/>
    <w:multiLevelType w:val="singleLevel"/>
    <w:tmpl w:val="0409000F"/>
    <w:lvl w:ilvl="0">
      <w:start w:val="1"/>
      <w:numFmt w:val="decimal"/>
      <w:lvlText w:val="%1."/>
      <w:lvlJc w:val="left"/>
      <w:pPr>
        <w:tabs>
          <w:tab w:val="num" w:pos="360"/>
        </w:tabs>
        <w:ind w:left="360" w:hanging="360"/>
      </w:pPr>
    </w:lvl>
  </w:abstractNum>
  <w:abstractNum w:abstractNumId="1">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B8"/>
    <w:rsid w:val="0000067D"/>
    <w:rsid w:val="00006C4B"/>
    <w:rsid w:val="00013C14"/>
    <w:rsid w:val="000517D3"/>
    <w:rsid w:val="0006244B"/>
    <w:rsid w:val="000743B8"/>
    <w:rsid w:val="0008545C"/>
    <w:rsid w:val="000859C2"/>
    <w:rsid w:val="000C712F"/>
    <w:rsid w:val="000D2512"/>
    <w:rsid w:val="000F03CF"/>
    <w:rsid w:val="00140D5A"/>
    <w:rsid w:val="001626BC"/>
    <w:rsid w:val="00172621"/>
    <w:rsid w:val="001A3831"/>
    <w:rsid w:val="001A6714"/>
    <w:rsid w:val="001B5DA5"/>
    <w:rsid w:val="001C2D6C"/>
    <w:rsid w:val="001D5829"/>
    <w:rsid w:val="001E48BD"/>
    <w:rsid w:val="00211CF9"/>
    <w:rsid w:val="0023766E"/>
    <w:rsid w:val="0029120B"/>
    <w:rsid w:val="00293300"/>
    <w:rsid w:val="00296DAD"/>
    <w:rsid w:val="002A04EC"/>
    <w:rsid w:val="002A210D"/>
    <w:rsid w:val="002B070B"/>
    <w:rsid w:val="002B4822"/>
    <w:rsid w:val="002E09E7"/>
    <w:rsid w:val="002E6E8D"/>
    <w:rsid w:val="002F0DC4"/>
    <w:rsid w:val="00332FD6"/>
    <w:rsid w:val="00351868"/>
    <w:rsid w:val="003D774B"/>
    <w:rsid w:val="003E53A9"/>
    <w:rsid w:val="004E1F42"/>
    <w:rsid w:val="004E36E3"/>
    <w:rsid w:val="004E5BE7"/>
    <w:rsid w:val="00526DB6"/>
    <w:rsid w:val="00546CAA"/>
    <w:rsid w:val="00560A95"/>
    <w:rsid w:val="0057409B"/>
    <w:rsid w:val="00580690"/>
    <w:rsid w:val="00590191"/>
    <w:rsid w:val="0059056C"/>
    <w:rsid w:val="005B763E"/>
    <w:rsid w:val="00604A8D"/>
    <w:rsid w:val="006053E4"/>
    <w:rsid w:val="00606AE5"/>
    <w:rsid w:val="006227EA"/>
    <w:rsid w:val="00681894"/>
    <w:rsid w:val="006C0E74"/>
    <w:rsid w:val="006C100A"/>
    <w:rsid w:val="006D60FD"/>
    <w:rsid w:val="00704E44"/>
    <w:rsid w:val="00714552"/>
    <w:rsid w:val="00796DC0"/>
    <w:rsid w:val="007A09C4"/>
    <w:rsid w:val="007C26C3"/>
    <w:rsid w:val="007C6EB8"/>
    <w:rsid w:val="00806050"/>
    <w:rsid w:val="00834FB1"/>
    <w:rsid w:val="0083686C"/>
    <w:rsid w:val="008541B7"/>
    <w:rsid w:val="00857A12"/>
    <w:rsid w:val="00881B1B"/>
    <w:rsid w:val="00896701"/>
    <w:rsid w:val="00900773"/>
    <w:rsid w:val="00906EB9"/>
    <w:rsid w:val="00931603"/>
    <w:rsid w:val="00953FDA"/>
    <w:rsid w:val="009565E1"/>
    <w:rsid w:val="009715C2"/>
    <w:rsid w:val="009C409F"/>
    <w:rsid w:val="009D0C9D"/>
    <w:rsid w:val="009E4861"/>
    <w:rsid w:val="00A04122"/>
    <w:rsid w:val="00A41733"/>
    <w:rsid w:val="00A64F5E"/>
    <w:rsid w:val="00A67163"/>
    <w:rsid w:val="00A97117"/>
    <w:rsid w:val="00AD4C3F"/>
    <w:rsid w:val="00AD6E13"/>
    <w:rsid w:val="00AE6013"/>
    <w:rsid w:val="00B165D2"/>
    <w:rsid w:val="00BB7350"/>
    <w:rsid w:val="00BE56E1"/>
    <w:rsid w:val="00BF7F40"/>
    <w:rsid w:val="00C17C74"/>
    <w:rsid w:val="00C2158A"/>
    <w:rsid w:val="00C60221"/>
    <w:rsid w:val="00CC5B0F"/>
    <w:rsid w:val="00CC6336"/>
    <w:rsid w:val="00CD0F08"/>
    <w:rsid w:val="00CD3259"/>
    <w:rsid w:val="00D0770F"/>
    <w:rsid w:val="00D132F3"/>
    <w:rsid w:val="00D1583B"/>
    <w:rsid w:val="00D37CAE"/>
    <w:rsid w:val="00D554BF"/>
    <w:rsid w:val="00D62D8A"/>
    <w:rsid w:val="00D65A9C"/>
    <w:rsid w:val="00D77362"/>
    <w:rsid w:val="00D92D28"/>
    <w:rsid w:val="00DB1889"/>
    <w:rsid w:val="00DC2D78"/>
    <w:rsid w:val="00DC71CD"/>
    <w:rsid w:val="00E10484"/>
    <w:rsid w:val="00E4035A"/>
    <w:rsid w:val="00E66DE4"/>
    <w:rsid w:val="00E71164"/>
    <w:rsid w:val="00E930F9"/>
    <w:rsid w:val="00EC0DC3"/>
    <w:rsid w:val="00EF028A"/>
    <w:rsid w:val="00F079B4"/>
    <w:rsid w:val="00F23317"/>
    <w:rsid w:val="00F25A40"/>
    <w:rsid w:val="00F73ADE"/>
    <w:rsid w:val="00F742D4"/>
    <w:rsid w:val="00F75408"/>
    <w:rsid w:val="00F95565"/>
    <w:rsid w:val="00FB64AD"/>
    <w:rsid w:val="00FD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rFonts w:ascii="Palatino" w:hAnsi="Palatino"/>
      <w:b/>
      <w:sz w:val="24"/>
    </w:rPr>
  </w:style>
  <w:style w:type="paragraph" w:styleId="Heading6">
    <w:name w:val="heading 6"/>
    <w:basedOn w:val="Normal"/>
    <w:next w:val="Normal"/>
    <w:qFormat/>
    <w:pPr>
      <w:keepNext/>
      <w:spacing w:before="12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lockText">
    <w:name w:val="Block Text"/>
    <w:basedOn w:val="Normal"/>
    <w:pPr>
      <w:ind w:left="720" w:right="720"/>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HeaderChar">
    <w:name w:val="Header Char"/>
    <w:link w:val="Header"/>
    <w:uiPriority w:val="99"/>
    <w:rsid w:val="001E48BD"/>
  </w:style>
  <w:style w:type="paragraph" w:styleId="NoSpacing">
    <w:name w:val="No Spacing"/>
    <w:link w:val="NoSpacingChar"/>
    <w:uiPriority w:val="1"/>
    <w:qFormat/>
    <w:rsid w:val="001E48BD"/>
    <w:rPr>
      <w:rFonts w:ascii="Calibri" w:eastAsia="MS Mincho" w:hAnsi="Calibri" w:cs="Arial"/>
      <w:sz w:val="22"/>
      <w:szCs w:val="22"/>
      <w:lang w:eastAsia="ja-JP"/>
    </w:rPr>
  </w:style>
  <w:style w:type="character" w:customStyle="1" w:styleId="NoSpacingChar">
    <w:name w:val="No Spacing Char"/>
    <w:link w:val="NoSpacing"/>
    <w:uiPriority w:val="1"/>
    <w:rsid w:val="001E48BD"/>
    <w:rPr>
      <w:rFonts w:ascii="Calibri" w:eastAsia="MS Mincho" w:hAnsi="Calibri" w:cs="Arial"/>
      <w:sz w:val="22"/>
      <w:szCs w:val="22"/>
      <w:lang w:eastAsia="ja-JP"/>
    </w:rPr>
  </w:style>
  <w:style w:type="character" w:customStyle="1" w:styleId="FooterChar">
    <w:name w:val="Footer Char"/>
    <w:basedOn w:val="DefaultParagraphFont"/>
    <w:link w:val="Footer"/>
    <w:uiPriority w:val="99"/>
    <w:rsid w:val="00A41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rFonts w:ascii="Palatino" w:hAnsi="Palatino"/>
      <w:b/>
      <w:sz w:val="24"/>
    </w:rPr>
  </w:style>
  <w:style w:type="paragraph" w:styleId="Heading6">
    <w:name w:val="heading 6"/>
    <w:basedOn w:val="Normal"/>
    <w:next w:val="Normal"/>
    <w:qFormat/>
    <w:pPr>
      <w:keepNext/>
      <w:spacing w:before="12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lockText">
    <w:name w:val="Block Text"/>
    <w:basedOn w:val="Normal"/>
    <w:pPr>
      <w:ind w:left="720" w:right="720"/>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HeaderChar">
    <w:name w:val="Header Char"/>
    <w:link w:val="Header"/>
    <w:uiPriority w:val="99"/>
    <w:rsid w:val="001E48BD"/>
  </w:style>
  <w:style w:type="paragraph" w:styleId="NoSpacing">
    <w:name w:val="No Spacing"/>
    <w:link w:val="NoSpacingChar"/>
    <w:uiPriority w:val="1"/>
    <w:qFormat/>
    <w:rsid w:val="001E48BD"/>
    <w:rPr>
      <w:rFonts w:ascii="Calibri" w:eastAsia="MS Mincho" w:hAnsi="Calibri" w:cs="Arial"/>
      <w:sz w:val="22"/>
      <w:szCs w:val="22"/>
      <w:lang w:eastAsia="ja-JP"/>
    </w:rPr>
  </w:style>
  <w:style w:type="character" w:customStyle="1" w:styleId="NoSpacingChar">
    <w:name w:val="No Spacing Char"/>
    <w:link w:val="NoSpacing"/>
    <w:uiPriority w:val="1"/>
    <w:rsid w:val="001E48BD"/>
    <w:rPr>
      <w:rFonts w:ascii="Calibri" w:eastAsia="MS Mincho" w:hAnsi="Calibri" w:cs="Arial"/>
      <w:sz w:val="22"/>
      <w:szCs w:val="22"/>
      <w:lang w:eastAsia="ja-JP"/>
    </w:rPr>
  </w:style>
  <w:style w:type="character" w:customStyle="1" w:styleId="FooterChar">
    <w:name w:val="Footer Char"/>
    <w:basedOn w:val="DefaultParagraphFont"/>
    <w:link w:val="Footer"/>
    <w:uiPriority w:val="99"/>
    <w:rsid w:val="00A4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9884">
      <w:bodyDiv w:val="1"/>
      <w:marLeft w:val="0"/>
      <w:marRight w:val="0"/>
      <w:marTop w:val="0"/>
      <w:marBottom w:val="0"/>
      <w:divBdr>
        <w:top w:val="none" w:sz="0" w:space="0" w:color="auto"/>
        <w:left w:val="none" w:sz="0" w:space="0" w:color="auto"/>
        <w:bottom w:val="none" w:sz="0" w:space="0" w:color="auto"/>
        <w:right w:val="none" w:sz="0" w:space="0" w:color="auto"/>
      </w:divBdr>
    </w:div>
    <w:div w:id="68818650">
      <w:bodyDiv w:val="1"/>
      <w:marLeft w:val="0"/>
      <w:marRight w:val="0"/>
      <w:marTop w:val="0"/>
      <w:marBottom w:val="0"/>
      <w:divBdr>
        <w:top w:val="none" w:sz="0" w:space="0" w:color="auto"/>
        <w:left w:val="none" w:sz="0" w:space="0" w:color="auto"/>
        <w:bottom w:val="none" w:sz="0" w:space="0" w:color="auto"/>
        <w:right w:val="none" w:sz="0" w:space="0" w:color="auto"/>
      </w:divBdr>
    </w:div>
    <w:div w:id="144514495">
      <w:bodyDiv w:val="1"/>
      <w:marLeft w:val="0"/>
      <w:marRight w:val="0"/>
      <w:marTop w:val="0"/>
      <w:marBottom w:val="0"/>
      <w:divBdr>
        <w:top w:val="none" w:sz="0" w:space="0" w:color="auto"/>
        <w:left w:val="none" w:sz="0" w:space="0" w:color="auto"/>
        <w:bottom w:val="none" w:sz="0" w:space="0" w:color="auto"/>
        <w:right w:val="none" w:sz="0" w:space="0" w:color="auto"/>
      </w:divBdr>
    </w:div>
    <w:div w:id="396829028">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559170536">
      <w:bodyDiv w:val="1"/>
      <w:marLeft w:val="0"/>
      <w:marRight w:val="0"/>
      <w:marTop w:val="0"/>
      <w:marBottom w:val="0"/>
      <w:divBdr>
        <w:top w:val="none" w:sz="0" w:space="0" w:color="auto"/>
        <w:left w:val="none" w:sz="0" w:space="0" w:color="auto"/>
        <w:bottom w:val="none" w:sz="0" w:space="0" w:color="auto"/>
        <w:right w:val="none" w:sz="0" w:space="0" w:color="auto"/>
      </w:divBdr>
    </w:div>
    <w:div w:id="561912571">
      <w:bodyDiv w:val="1"/>
      <w:marLeft w:val="0"/>
      <w:marRight w:val="0"/>
      <w:marTop w:val="0"/>
      <w:marBottom w:val="0"/>
      <w:divBdr>
        <w:top w:val="none" w:sz="0" w:space="0" w:color="auto"/>
        <w:left w:val="none" w:sz="0" w:space="0" w:color="auto"/>
        <w:bottom w:val="none" w:sz="0" w:space="0" w:color="auto"/>
        <w:right w:val="none" w:sz="0" w:space="0" w:color="auto"/>
      </w:divBdr>
    </w:div>
    <w:div w:id="617302736">
      <w:bodyDiv w:val="1"/>
      <w:marLeft w:val="0"/>
      <w:marRight w:val="0"/>
      <w:marTop w:val="0"/>
      <w:marBottom w:val="0"/>
      <w:divBdr>
        <w:top w:val="none" w:sz="0" w:space="0" w:color="auto"/>
        <w:left w:val="none" w:sz="0" w:space="0" w:color="auto"/>
        <w:bottom w:val="none" w:sz="0" w:space="0" w:color="auto"/>
        <w:right w:val="none" w:sz="0" w:space="0" w:color="auto"/>
      </w:divBdr>
    </w:div>
    <w:div w:id="693699675">
      <w:bodyDiv w:val="1"/>
      <w:marLeft w:val="0"/>
      <w:marRight w:val="0"/>
      <w:marTop w:val="0"/>
      <w:marBottom w:val="0"/>
      <w:divBdr>
        <w:top w:val="none" w:sz="0" w:space="0" w:color="auto"/>
        <w:left w:val="none" w:sz="0" w:space="0" w:color="auto"/>
        <w:bottom w:val="none" w:sz="0" w:space="0" w:color="auto"/>
        <w:right w:val="none" w:sz="0" w:space="0" w:color="auto"/>
      </w:divBdr>
      <w:divsChild>
        <w:div w:id="423460175">
          <w:marLeft w:val="0"/>
          <w:marRight w:val="0"/>
          <w:marTop w:val="0"/>
          <w:marBottom w:val="0"/>
          <w:divBdr>
            <w:top w:val="none" w:sz="0" w:space="0" w:color="auto"/>
            <w:left w:val="none" w:sz="0" w:space="0" w:color="auto"/>
            <w:bottom w:val="none" w:sz="0" w:space="0" w:color="auto"/>
            <w:right w:val="none" w:sz="0" w:space="0" w:color="auto"/>
          </w:divBdr>
        </w:div>
        <w:div w:id="576743150">
          <w:marLeft w:val="0"/>
          <w:marRight w:val="0"/>
          <w:marTop w:val="0"/>
          <w:marBottom w:val="0"/>
          <w:divBdr>
            <w:top w:val="none" w:sz="0" w:space="0" w:color="auto"/>
            <w:left w:val="none" w:sz="0" w:space="0" w:color="auto"/>
            <w:bottom w:val="none" w:sz="0" w:space="0" w:color="auto"/>
            <w:right w:val="none" w:sz="0" w:space="0" w:color="auto"/>
          </w:divBdr>
        </w:div>
        <w:div w:id="1037318898">
          <w:marLeft w:val="0"/>
          <w:marRight w:val="0"/>
          <w:marTop w:val="0"/>
          <w:marBottom w:val="0"/>
          <w:divBdr>
            <w:top w:val="none" w:sz="0" w:space="0" w:color="auto"/>
            <w:left w:val="none" w:sz="0" w:space="0" w:color="auto"/>
            <w:bottom w:val="none" w:sz="0" w:space="0" w:color="auto"/>
            <w:right w:val="none" w:sz="0" w:space="0" w:color="auto"/>
          </w:divBdr>
        </w:div>
        <w:div w:id="1577669265">
          <w:marLeft w:val="0"/>
          <w:marRight w:val="0"/>
          <w:marTop w:val="0"/>
          <w:marBottom w:val="0"/>
          <w:divBdr>
            <w:top w:val="none" w:sz="0" w:space="0" w:color="auto"/>
            <w:left w:val="none" w:sz="0" w:space="0" w:color="auto"/>
            <w:bottom w:val="none" w:sz="0" w:space="0" w:color="auto"/>
            <w:right w:val="none" w:sz="0" w:space="0" w:color="auto"/>
          </w:divBdr>
        </w:div>
        <w:div w:id="1601134650">
          <w:marLeft w:val="0"/>
          <w:marRight w:val="0"/>
          <w:marTop w:val="0"/>
          <w:marBottom w:val="0"/>
          <w:divBdr>
            <w:top w:val="none" w:sz="0" w:space="0" w:color="auto"/>
            <w:left w:val="none" w:sz="0" w:space="0" w:color="auto"/>
            <w:bottom w:val="none" w:sz="0" w:space="0" w:color="auto"/>
            <w:right w:val="none" w:sz="0" w:space="0" w:color="auto"/>
          </w:divBdr>
        </w:div>
        <w:div w:id="1954820884">
          <w:marLeft w:val="0"/>
          <w:marRight w:val="0"/>
          <w:marTop w:val="0"/>
          <w:marBottom w:val="0"/>
          <w:divBdr>
            <w:top w:val="none" w:sz="0" w:space="0" w:color="auto"/>
            <w:left w:val="none" w:sz="0" w:space="0" w:color="auto"/>
            <w:bottom w:val="none" w:sz="0" w:space="0" w:color="auto"/>
            <w:right w:val="none" w:sz="0" w:space="0" w:color="auto"/>
          </w:divBdr>
        </w:div>
        <w:div w:id="2092702279">
          <w:marLeft w:val="0"/>
          <w:marRight w:val="0"/>
          <w:marTop w:val="0"/>
          <w:marBottom w:val="0"/>
          <w:divBdr>
            <w:top w:val="none" w:sz="0" w:space="0" w:color="auto"/>
            <w:left w:val="none" w:sz="0" w:space="0" w:color="auto"/>
            <w:bottom w:val="none" w:sz="0" w:space="0" w:color="auto"/>
            <w:right w:val="none" w:sz="0" w:space="0" w:color="auto"/>
          </w:divBdr>
        </w:div>
      </w:divsChild>
    </w:div>
    <w:div w:id="766536709">
      <w:bodyDiv w:val="1"/>
      <w:marLeft w:val="0"/>
      <w:marRight w:val="0"/>
      <w:marTop w:val="0"/>
      <w:marBottom w:val="0"/>
      <w:divBdr>
        <w:top w:val="none" w:sz="0" w:space="0" w:color="auto"/>
        <w:left w:val="none" w:sz="0" w:space="0" w:color="auto"/>
        <w:bottom w:val="none" w:sz="0" w:space="0" w:color="auto"/>
        <w:right w:val="none" w:sz="0" w:space="0" w:color="auto"/>
      </w:divBdr>
    </w:div>
    <w:div w:id="774056810">
      <w:bodyDiv w:val="1"/>
      <w:marLeft w:val="0"/>
      <w:marRight w:val="0"/>
      <w:marTop w:val="0"/>
      <w:marBottom w:val="0"/>
      <w:divBdr>
        <w:top w:val="none" w:sz="0" w:space="0" w:color="auto"/>
        <w:left w:val="none" w:sz="0" w:space="0" w:color="auto"/>
        <w:bottom w:val="none" w:sz="0" w:space="0" w:color="auto"/>
        <w:right w:val="none" w:sz="0" w:space="0" w:color="auto"/>
      </w:divBdr>
    </w:div>
    <w:div w:id="929121768">
      <w:bodyDiv w:val="1"/>
      <w:marLeft w:val="0"/>
      <w:marRight w:val="0"/>
      <w:marTop w:val="0"/>
      <w:marBottom w:val="0"/>
      <w:divBdr>
        <w:top w:val="none" w:sz="0" w:space="0" w:color="auto"/>
        <w:left w:val="none" w:sz="0" w:space="0" w:color="auto"/>
        <w:bottom w:val="none" w:sz="0" w:space="0" w:color="auto"/>
        <w:right w:val="none" w:sz="0" w:space="0" w:color="auto"/>
      </w:divBdr>
    </w:div>
    <w:div w:id="933055992">
      <w:bodyDiv w:val="1"/>
      <w:marLeft w:val="0"/>
      <w:marRight w:val="0"/>
      <w:marTop w:val="0"/>
      <w:marBottom w:val="0"/>
      <w:divBdr>
        <w:top w:val="none" w:sz="0" w:space="0" w:color="auto"/>
        <w:left w:val="none" w:sz="0" w:space="0" w:color="auto"/>
        <w:bottom w:val="none" w:sz="0" w:space="0" w:color="auto"/>
        <w:right w:val="none" w:sz="0" w:space="0" w:color="auto"/>
      </w:divBdr>
    </w:div>
    <w:div w:id="1334070967">
      <w:bodyDiv w:val="1"/>
      <w:marLeft w:val="0"/>
      <w:marRight w:val="0"/>
      <w:marTop w:val="0"/>
      <w:marBottom w:val="0"/>
      <w:divBdr>
        <w:top w:val="none" w:sz="0" w:space="0" w:color="auto"/>
        <w:left w:val="none" w:sz="0" w:space="0" w:color="auto"/>
        <w:bottom w:val="none" w:sz="0" w:space="0" w:color="auto"/>
        <w:right w:val="none" w:sz="0" w:space="0" w:color="auto"/>
      </w:divBdr>
    </w:div>
    <w:div w:id="1429959292">
      <w:bodyDiv w:val="1"/>
      <w:marLeft w:val="0"/>
      <w:marRight w:val="0"/>
      <w:marTop w:val="0"/>
      <w:marBottom w:val="0"/>
      <w:divBdr>
        <w:top w:val="none" w:sz="0" w:space="0" w:color="auto"/>
        <w:left w:val="none" w:sz="0" w:space="0" w:color="auto"/>
        <w:bottom w:val="none" w:sz="0" w:space="0" w:color="auto"/>
        <w:right w:val="none" w:sz="0" w:space="0" w:color="auto"/>
      </w:divBdr>
    </w:div>
    <w:div w:id="1448743112">
      <w:bodyDiv w:val="1"/>
      <w:marLeft w:val="0"/>
      <w:marRight w:val="0"/>
      <w:marTop w:val="0"/>
      <w:marBottom w:val="0"/>
      <w:divBdr>
        <w:top w:val="none" w:sz="0" w:space="0" w:color="auto"/>
        <w:left w:val="none" w:sz="0" w:space="0" w:color="auto"/>
        <w:bottom w:val="none" w:sz="0" w:space="0" w:color="auto"/>
        <w:right w:val="none" w:sz="0" w:space="0" w:color="auto"/>
      </w:divBdr>
    </w:div>
    <w:div w:id="1450197638">
      <w:bodyDiv w:val="1"/>
      <w:marLeft w:val="0"/>
      <w:marRight w:val="0"/>
      <w:marTop w:val="0"/>
      <w:marBottom w:val="0"/>
      <w:divBdr>
        <w:top w:val="none" w:sz="0" w:space="0" w:color="auto"/>
        <w:left w:val="none" w:sz="0" w:space="0" w:color="auto"/>
        <w:bottom w:val="none" w:sz="0" w:space="0" w:color="auto"/>
        <w:right w:val="none" w:sz="0" w:space="0" w:color="auto"/>
      </w:divBdr>
    </w:div>
    <w:div w:id="1475296619">
      <w:bodyDiv w:val="1"/>
      <w:marLeft w:val="0"/>
      <w:marRight w:val="0"/>
      <w:marTop w:val="0"/>
      <w:marBottom w:val="0"/>
      <w:divBdr>
        <w:top w:val="none" w:sz="0" w:space="0" w:color="auto"/>
        <w:left w:val="none" w:sz="0" w:space="0" w:color="auto"/>
        <w:bottom w:val="none" w:sz="0" w:space="0" w:color="auto"/>
        <w:right w:val="none" w:sz="0" w:space="0" w:color="auto"/>
      </w:divBdr>
    </w:div>
    <w:div w:id="1495998481">
      <w:bodyDiv w:val="1"/>
      <w:marLeft w:val="0"/>
      <w:marRight w:val="0"/>
      <w:marTop w:val="0"/>
      <w:marBottom w:val="0"/>
      <w:divBdr>
        <w:top w:val="none" w:sz="0" w:space="0" w:color="auto"/>
        <w:left w:val="none" w:sz="0" w:space="0" w:color="auto"/>
        <w:bottom w:val="none" w:sz="0" w:space="0" w:color="auto"/>
        <w:right w:val="none" w:sz="0" w:space="0" w:color="auto"/>
      </w:divBdr>
    </w:div>
    <w:div w:id="1589852359">
      <w:bodyDiv w:val="1"/>
      <w:marLeft w:val="0"/>
      <w:marRight w:val="0"/>
      <w:marTop w:val="0"/>
      <w:marBottom w:val="0"/>
      <w:divBdr>
        <w:top w:val="none" w:sz="0" w:space="0" w:color="auto"/>
        <w:left w:val="none" w:sz="0" w:space="0" w:color="auto"/>
        <w:bottom w:val="none" w:sz="0" w:space="0" w:color="auto"/>
        <w:right w:val="none" w:sz="0" w:space="0" w:color="auto"/>
      </w:divBdr>
    </w:div>
    <w:div w:id="1932466515">
      <w:bodyDiv w:val="1"/>
      <w:marLeft w:val="0"/>
      <w:marRight w:val="0"/>
      <w:marTop w:val="0"/>
      <w:marBottom w:val="0"/>
      <w:divBdr>
        <w:top w:val="none" w:sz="0" w:space="0" w:color="auto"/>
        <w:left w:val="none" w:sz="0" w:space="0" w:color="auto"/>
        <w:bottom w:val="none" w:sz="0" w:space="0" w:color="auto"/>
        <w:right w:val="none" w:sz="0" w:space="0" w:color="auto"/>
      </w:divBdr>
    </w:div>
    <w:div w:id="1958020233">
      <w:bodyDiv w:val="1"/>
      <w:marLeft w:val="0"/>
      <w:marRight w:val="0"/>
      <w:marTop w:val="0"/>
      <w:marBottom w:val="0"/>
      <w:divBdr>
        <w:top w:val="none" w:sz="0" w:space="0" w:color="auto"/>
        <w:left w:val="none" w:sz="0" w:space="0" w:color="auto"/>
        <w:bottom w:val="none" w:sz="0" w:space="0" w:color="auto"/>
        <w:right w:val="none" w:sz="0" w:space="0" w:color="auto"/>
      </w:divBdr>
    </w:div>
    <w:div w:id="2048874446">
      <w:bodyDiv w:val="1"/>
      <w:marLeft w:val="0"/>
      <w:marRight w:val="0"/>
      <w:marTop w:val="0"/>
      <w:marBottom w:val="0"/>
      <w:divBdr>
        <w:top w:val="none" w:sz="0" w:space="0" w:color="auto"/>
        <w:left w:val="none" w:sz="0" w:space="0" w:color="auto"/>
        <w:bottom w:val="none" w:sz="0" w:space="0" w:color="auto"/>
        <w:right w:val="none" w:sz="0" w:space="0" w:color="auto"/>
      </w:divBdr>
    </w:div>
    <w:div w:id="2052881682">
      <w:bodyDiv w:val="1"/>
      <w:marLeft w:val="0"/>
      <w:marRight w:val="0"/>
      <w:marTop w:val="0"/>
      <w:marBottom w:val="0"/>
      <w:divBdr>
        <w:top w:val="none" w:sz="0" w:space="0" w:color="auto"/>
        <w:left w:val="none" w:sz="0" w:space="0" w:color="auto"/>
        <w:bottom w:val="none" w:sz="0" w:space="0" w:color="auto"/>
        <w:right w:val="none" w:sz="0" w:space="0" w:color="auto"/>
      </w:divBdr>
    </w:div>
    <w:div w:id="2057240681">
      <w:bodyDiv w:val="1"/>
      <w:marLeft w:val="0"/>
      <w:marRight w:val="0"/>
      <w:marTop w:val="0"/>
      <w:marBottom w:val="0"/>
      <w:divBdr>
        <w:top w:val="none" w:sz="0" w:space="0" w:color="auto"/>
        <w:left w:val="none" w:sz="0" w:space="0" w:color="auto"/>
        <w:bottom w:val="none" w:sz="0" w:space="0" w:color="auto"/>
        <w:right w:val="none" w:sz="0" w:space="0" w:color="auto"/>
      </w:divBdr>
    </w:div>
    <w:div w:id="2070379422">
      <w:bodyDiv w:val="1"/>
      <w:marLeft w:val="0"/>
      <w:marRight w:val="0"/>
      <w:marTop w:val="0"/>
      <w:marBottom w:val="0"/>
      <w:divBdr>
        <w:top w:val="none" w:sz="0" w:space="0" w:color="auto"/>
        <w:left w:val="none" w:sz="0" w:space="0" w:color="auto"/>
        <w:bottom w:val="none" w:sz="0" w:space="0" w:color="auto"/>
        <w:right w:val="none" w:sz="0" w:space="0" w:color="auto"/>
      </w:divBdr>
    </w:div>
    <w:div w:id="20910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5947</Characters>
  <Application>Microsoft Office Word</Application>
  <DocSecurity>0</DocSecurity>
  <Lines>177</Lines>
  <Paragraphs>43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_</vt:lpstr>
      <vt:lpstr>        Summary</vt:lpstr>
      <vt:lpstr>        Background</vt:lpstr>
      <vt:lpstr>        Discussion</vt:lpstr>
      <vt:lpstr>    Findings:</vt:lpstr>
    </vt:vector>
  </TitlesOfParts>
  <Manager/>
  <Company/>
  <LinksUpToDate>false</LinksUpToDate>
  <CharactersWithSpaces>7029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2012-01-04T19:43:00Z</cp:lastPrinted>
  <dcterms:created xsi:type="dcterms:W3CDTF">2014-02-10T23:24:00Z</dcterms:created>
  <dcterms:modified xsi:type="dcterms:W3CDTF">2014-02-10T23:24:00Z</dcterms:modified>
  <cp:category> </cp:category>
  <cp:contentStatus> </cp:contentStatus>
</cp:coreProperties>
</file>