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7DE" w:rsidRDefault="0001763D">
      <w:pPr>
        <w:pStyle w:val="titlebar"/>
        <w:rPr>
          <w:sz w:val="24"/>
        </w:rPr>
      </w:pPr>
      <w:bookmarkStart w:id="0" w:name="_GoBack"/>
      <w:bookmarkEnd w:id="0"/>
      <w:r>
        <w:rPr>
          <w:sz w:val="24"/>
        </w:rPr>
        <w:t xml:space="preserve"> </w:t>
      </w:r>
      <w:r w:rsidR="00CF17DE">
        <w:rPr>
          <w:sz w:val="24"/>
        </w:rPr>
        <w:t>PUBLIC UTILITIES COMMISSION OF THE STATE OF CALIFORNIA</w:t>
      </w:r>
    </w:p>
    <w:p w:rsidR="00470F76" w:rsidRDefault="00470F76">
      <w:pPr>
        <w:pStyle w:val="titlebar"/>
        <w:rPr>
          <w:sz w:val="24"/>
        </w:rPr>
      </w:pPr>
    </w:p>
    <w:p w:rsidR="00693EB3" w:rsidRPr="00ED4078" w:rsidRDefault="00C710D2" w:rsidP="00121363">
      <w:pPr>
        <w:suppressAutoHyphens/>
        <w:rPr>
          <w:b/>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ED4078">
        <w:rPr>
          <w:sz w:val="24"/>
          <w:szCs w:val="24"/>
        </w:rPr>
        <w:t xml:space="preserve">     </w:t>
      </w:r>
      <w:r w:rsidR="00ED4078">
        <w:rPr>
          <w:b/>
          <w:sz w:val="24"/>
          <w:szCs w:val="24"/>
        </w:rPr>
        <w:t>ID #12784</w:t>
      </w:r>
    </w:p>
    <w:p w:rsidR="00CF17DE" w:rsidRDefault="00593807">
      <w:pPr>
        <w:rPr>
          <w:b/>
          <w:sz w:val="24"/>
        </w:rPr>
      </w:pPr>
      <w:r>
        <w:rPr>
          <w:b/>
          <w:sz w:val="24"/>
        </w:rPr>
        <w:t>ENERGY DIVISION</w:t>
      </w:r>
      <w:r>
        <w:rPr>
          <w:b/>
          <w:sz w:val="24"/>
        </w:rPr>
        <w:tab/>
      </w:r>
      <w:r>
        <w:rPr>
          <w:b/>
          <w:sz w:val="24"/>
        </w:rPr>
        <w:tab/>
      </w:r>
      <w:r>
        <w:rPr>
          <w:b/>
          <w:sz w:val="24"/>
        </w:rPr>
        <w:tab/>
      </w:r>
      <w:r>
        <w:rPr>
          <w:b/>
          <w:sz w:val="24"/>
        </w:rPr>
        <w:tab/>
      </w:r>
      <w:r>
        <w:rPr>
          <w:b/>
          <w:sz w:val="24"/>
        </w:rPr>
        <w:tab/>
      </w:r>
      <w:r w:rsidR="00693EB3">
        <w:rPr>
          <w:b/>
          <w:sz w:val="24"/>
        </w:rPr>
        <w:t xml:space="preserve">   </w:t>
      </w:r>
      <w:r w:rsidR="00121363">
        <w:rPr>
          <w:b/>
          <w:sz w:val="24"/>
        </w:rPr>
        <w:tab/>
      </w:r>
      <w:r w:rsidR="00693EB3">
        <w:rPr>
          <w:b/>
          <w:sz w:val="24"/>
        </w:rPr>
        <w:t xml:space="preserve"> </w:t>
      </w:r>
      <w:r w:rsidR="00470F76">
        <w:rPr>
          <w:b/>
          <w:sz w:val="24"/>
        </w:rPr>
        <w:t xml:space="preserve">    </w:t>
      </w:r>
      <w:r w:rsidR="00CF17DE" w:rsidRPr="00C24B15">
        <w:rPr>
          <w:b/>
          <w:sz w:val="24"/>
        </w:rPr>
        <w:t>RESOLUTION E-</w:t>
      </w:r>
      <w:r w:rsidR="00C32B1E">
        <w:rPr>
          <w:b/>
          <w:sz w:val="24"/>
        </w:rPr>
        <w:t>4642</w:t>
      </w:r>
    </w:p>
    <w:p w:rsidR="00C32B1E" w:rsidRDefault="00470F76" w:rsidP="00C32B1E">
      <w:pPr>
        <w:tabs>
          <w:tab w:val="right" w:pos="8910"/>
        </w:tabs>
        <w:ind w:left="1440" w:firstLine="720"/>
        <w:rPr>
          <w:b/>
          <w:sz w:val="24"/>
        </w:rPr>
      </w:pPr>
      <w:r>
        <w:rPr>
          <w:b/>
          <w:sz w:val="24"/>
        </w:rPr>
        <w:t xml:space="preserve">                                                                          </w:t>
      </w:r>
      <w:r w:rsidR="00121363">
        <w:rPr>
          <w:b/>
          <w:sz w:val="24"/>
        </w:rPr>
        <w:t xml:space="preserve">   </w:t>
      </w:r>
      <w:r w:rsidR="00976ABC" w:rsidRPr="004D33B0">
        <w:rPr>
          <w:b/>
          <w:sz w:val="24"/>
        </w:rPr>
        <w:t>March 13</w:t>
      </w:r>
      <w:r w:rsidR="00C32B1E" w:rsidRPr="004D33B0">
        <w:rPr>
          <w:b/>
          <w:sz w:val="24"/>
        </w:rPr>
        <w:t>, 2014</w:t>
      </w:r>
      <w:r>
        <w:rPr>
          <w:b/>
          <w:sz w:val="24"/>
        </w:rPr>
        <w:br/>
      </w:r>
    </w:p>
    <w:p w:rsidR="00CF17DE" w:rsidRDefault="00B034E8" w:rsidP="00693EB3">
      <w:pPr>
        <w:pStyle w:val="mainex"/>
        <w:spacing w:after="120"/>
      </w:pPr>
      <w:bookmarkStart w:id="1" w:name="_Ref404993683"/>
      <w:r>
        <w:rPr>
          <w:u w:val="single"/>
        </w:rPr>
        <w:t>REDACTED</w:t>
      </w:r>
      <w:r w:rsidR="00470F76">
        <w:rPr>
          <w:u w:val="single"/>
        </w:rPr>
        <w:br/>
      </w:r>
      <w:r w:rsidR="00CF17DE">
        <w:rPr>
          <w:u w:val="single"/>
        </w:rPr>
        <w:t>RESOLUTION</w:t>
      </w:r>
      <w:r w:rsidR="00470F76">
        <w:rPr>
          <w:u w:val="single"/>
        </w:rPr>
        <w:br/>
      </w:r>
    </w:p>
    <w:p w:rsidR="00411524" w:rsidRDefault="00CF17DE" w:rsidP="00693EB3">
      <w:pPr>
        <w:pStyle w:val="Res-Caption"/>
        <w:spacing w:after="240"/>
      </w:pPr>
      <w:r w:rsidRPr="00EE116A">
        <w:t xml:space="preserve">Resolution </w:t>
      </w:r>
      <w:r w:rsidR="00C32B1E">
        <w:t>E-4642</w:t>
      </w:r>
      <w:r w:rsidR="007C38FC">
        <w:t xml:space="preserve">.  </w:t>
      </w:r>
      <w:r w:rsidR="00303482">
        <w:t>San Diego Gas &amp; Electric</w:t>
      </w:r>
      <w:r w:rsidR="007C38FC">
        <w:t xml:space="preserve"> </w:t>
      </w:r>
      <w:r w:rsidR="00063ADF">
        <w:t>Company</w:t>
      </w:r>
      <w:r w:rsidR="005A1819">
        <w:t xml:space="preserve"> requests approval of Transition Agreement</w:t>
      </w:r>
      <w:r w:rsidR="00063ADF">
        <w:t xml:space="preserve"> </w:t>
      </w:r>
      <w:r w:rsidR="005A1819">
        <w:t xml:space="preserve">with </w:t>
      </w:r>
      <w:r w:rsidR="00303482">
        <w:t>CP Kelco U.S</w:t>
      </w:r>
      <w:r w:rsidR="005A1819">
        <w:t>.</w:t>
      </w:r>
      <w:r w:rsidR="00303482">
        <w:t>, Inc.</w:t>
      </w:r>
    </w:p>
    <w:p w:rsidR="00411524" w:rsidRDefault="00411524" w:rsidP="00B163D1">
      <w:pPr>
        <w:pStyle w:val="Res-Caption"/>
        <w:spacing w:after="240"/>
      </w:pPr>
      <w:r>
        <w:t>PROPOSED OUTCOME: This Resolution</w:t>
      </w:r>
      <w:r w:rsidR="005A1819">
        <w:t xml:space="preserve"> </w:t>
      </w:r>
      <w:r w:rsidR="00D57527">
        <w:t>approves</w:t>
      </w:r>
      <w:r w:rsidR="00B163D1">
        <w:t xml:space="preserve"> </w:t>
      </w:r>
      <w:r w:rsidR="00303482">
        <w:t xml:space="preserve">the </w:t>
      </w:r>
      <w:r w:rsidR="00B163D1">
        <w:t>Tran</w:t>
      </w:r>
      <w:r w:rsidR="00303482">
        <w:t>sition Power Purchase Agreement</w:t>
      </w:r>
      <w:r w:rsidR="00B163D1">
        <w:t xml:space="preserve"> </w:t>
      </w:r>
      <w:r w:rsidR="00303482">
        <w:t>(“Transition Agreement</w:t>
      </w:r>
      <w:r w:rsidR="00B163D1">
        <w:t xml:space="preserve">”) </w:t>
      </w:r>
      <w:r w:rsidR="005A1819">
        <w:t xml:space="preserve">between </w:t>
      </w:r>
      <w:r w:rsidR="00303482">
        <w:t>San Diego Gas &amp; Electric Company</w:t>
      </w:r>
      <w:r w:rsidR="005A1819">
        <w:t xml:space="preserve"> </w:t>
      </w:r>
      <w:r w:rsidR="00403E04">
        <w:t>(“</w:t>
      </w:r>
      <w:r w:rsidR="00303482">
        <w:t>SDG&amp;E</w:t>
      </w:r>
      <w:r w:rsidR="00403E04">
        <w:t xml:space="preserve">”) </w:t>
      </w:r>
      <w:r w:rsidR="005A1819">
        <w:t>and</w:t>
      </w:r>
      <w:r w:rsidR="00303482">
        <w:t xml:space="preserve"> CP Kelco U.S., Inc (“Kelco”)</w:t>
      </w:r>
      <w:r w:rsidR="005A1819">
        <w:t>,</w:t>
      </w:r>
      <w:r w:rsidR="00A1287C">
        <w:t xml:space="preserve"> </w:t>
      </w:r>
      <w:r w:rsidR="005A1819">
        <w:t xml:space="preserve">pursuant to the terms of the </w:t>
      </w:r>
      <w:r w:rsidR="00063ADF">
        <w:t xml:space="preserve">Qualifying Facility and </w:t>
      </w:r>
      <w:r w:rsidR="005A1819">
        <w:t>Combined Heat and Power Program Settlement Agreement.</w:t>
      </w:r>
    </w:p>
    <w:p w:rsidR="00195842" w:rsidRDefault="00195842" w:rsidP="00195842">
      <w:pPr>
        <w:pStyle w:val="Res-Caption"/>
      </w:pPr>
      <w:r>
        <w:t>SAFETY CONSIDERATIONS:</w:t>
      </w:r>
      <w:r w:rsidRPr="00630F43">
        <w:t xml:space="preserve"> </w:t>
      </w:r>
      <w:r w:rsidR="00852FEA" w:rsidRPr="00D44D74">
        <w:t>Th</w:t>
      </w:r>
      <w:r w:rsidR="00852FEA">
        <w:t>e</w:t>
      </w:r>
      <w:r w:rsidR="00303482">
        <w:t xml:space="preserve"> Transition Agreement</w:t>
      </w:r>
      <w:r w:rsidR="00852FEA">
        <w:t xml:space="preserve"> </w:t>
      </w:r>
      <w:r w:rsidR="00303482">
        <w:t>is</w:t>
      </w:r>
      <w:r w:rsidR="00852FEA" w:rsidRPr="00D44D74">
        <w:t xml:space="preserve"> between </w:t>
      </w:r>
      <w:r w:rsidR="00153F3C">
        <w:t>SDG&amp;E</w:t>
      </w:r>
      <w:r w:rsidR="00303482">
        <w:t xml:space="preserve"> </w:t>
      </w:r>
      <w:r w:rsidR="00852FEA">
        <w:t xml:space="preserve">and </w:t>
      </w:r>
      <w:r w:rsidR="00303482">
        <w:t>Kelco</w:t>
      </w:r>
      <w:r w:rsidR="00852FEA" w:rsidRPr="00D44D74">
        <w:t>.  The Commission</w:t>
      </w:r>
      <w:r w:rsidR="00852FEA" w:rsidRPr="00D44D74">
        <w:rPr>
          <w:rFonts w:hint="eastAsia"/>
        </w:rPr>
        <w:t>’</w:t>
      </w:r>
      <w:r w:rsidR="00852FEA" w:rsidRPr="00D44D74">
        <w:t xml:space="preserve">s jurisdiction extends only over </w:t>
      </w:r>
      <w:r w:rsidR="00303482">
        <w:t>SDG&amp;E</w:t>
      </w:r>
      <w:r w:rsidR="00852FEA" w:rsidRPr="00D44D74">
        <w:t xml:space="preserve">, </w:t>
      </w:r>
      <w:r w:rsidR="00C536A3">
        <w:t xml:space="preserve">but </w:t>
      </w:r>
      <w:r w:rsidR="00852FEA" w:rsidRPr="00D44D74">
        <w:t xml:space="preserve">not </w:t>
      </w:r>
      <w:r w:rsidR="00303482">
        <w:t xml:space="preserve">Kelco. </w:t>
      </w:r>
      <w:r w:rsidR="00852FEA" w:rsidRPr="00D44D74">
        <w:t xml:space="preserve">Based on the information </w:t>
      </w:r>
      <w:r w:rsidR="00153F3C">
        <w:t>presented</w:t>
      </w:r>
      <w:r w:rsidR="00852FEA" w:rsidRPr="00D44D74">
        <w:t xml:space="preserve">, this PPA does not appear to result in any adverse safety impacts on the facilities or operations of </w:t>
      </w:r>
      <w:r w:rsidR="00303482">
        <w:t>SDG&amp;E</w:t>
      </w:r>
      <w:r w:rsidR="00852FEA" w:rsidRPr="00D44D74">
        <w:t>.</w:t>
      </w:r>
    </w:p>
    <w:p w:rsidR="00195842" w:rsidRDefault="00195842" w:rsidP="00195842">
      <w:pPr>
        <w:pStyle w:val="Res-Caption"/>
      </w:pPr>
    </w:p>
    <w:p w:rsidR="00174EBB" w:rsidRDefault="00411524" w:rsidP="00174EBB">
      <w:pPr>
        <w:pStyle w:val="Res-Caption"/>
        <w:spacing w:after="240"/>
      </w:pPr>
      <w:r w:rsidRPr="00825F39">
        <w:t>ESTIMATED COST:</w:t>
      </w:r>
      <w:r w:rsidR="005A1819" w:rsidRPr="00825F39">
        <w:t xml:space="preserve"> </w:t>
      </w:r>
      <w:r w:rsidR="00155D3B">
        <w:t xml:space="preserve">The energy price for this Agreement will be </w:t>
      </w:r>
      <w:r w:rsidR="00666BF4">
        <w:t>SDG&amp;E’s Short Run Avoided Cost (“</w:t>
      </w:r>
      <w:r w:rsidR="00155D3B">
        <w:t>SRAC</w:t>
      </w:r>
      <w:r w:rsidR="00666BF4">
        <w:t>”)</w:t>
      </w:r>
      <w:r w:rsidR="00666BF4">
        <w:rPr>
          <w:rStyle w:val="FootnoteReference"/>
        </w:rPr>
        <w:footnoteReference w:id="2"/>
      </w:r>
      <w:r w:rsidR="00E42177">
        <w:t xml:space="preserve"> </w:t>
      </w:r>
      <w:r w:rsidR="00155D3B">
        <w:t>and the capacity price in the Agreement conforms to the pricing established in D.07-09-040</w:t>
      </w:r>
      <w:r w:rsidR="00F856CD">
        <w:rPr>
          <w:rStyle w:val="FootnoteReference"/>
        </w:rPr>
        <w:footnoteReference w:id="3"/>
      </w:r>
      <w:r w:rsidR="00155D3B">
        <w:t xml:space="preserve">. </w:t>
      </w:r>
    </w:p>
    <w:p w:rsidR="00CF17DE" w:rsidRDefault="00CF17DE">
      <w:pPr>
        <w:pStyle w:val="Res-Caption"/>
      </w:pPr>
      <w:r>
        <w:t xml:space="preserve">By Advice </w:t>
      </w:r>
      <w:r w:rsidRPr="00EE116A">
        <w:t xml:space="preserve">Letter </w:t>
      </w:r>
      <w:r w:rsidR="00C32B1E">
        <w:t>2517</w:t>
      </w:r>
      <w:r w:rsidR="007D6FAC" w:rsidRPr="00EE116A">
        <w:t>-E Filed</w:t>
      </w:r>
      <w:r w:rsidR="007C4E0B">
        <w:t xml:space="preserve"> on </w:t>
      </w:r>
      <w:r w:rsidR="00C32B1E">
        <w:t>September 5, 2013.</w:t>
      </w:r>
    </w:p>
    <w:p w:rsidR="00CF17DE" w:rsidRDefault="00CF17DE">
      <w:pPr>
        <w:jc w:val="center"/>
      </w:pPr>
      <w:r>
        <w:t>__________________________________________________________</w:t>
      </w:r>
    </w:p>
    <w:p w:rsidR="00CF17DE" w:rsidRDefault="00CF17DE" w:rsidP="00121363">
      <w:pPr>
        <w:pStyle w:val="Heading1"/>
        <w:keepLines/>
        <w:spacing w:after="120"/>
      </w:pPr>
      <w:r>
        <w:lastRenderedPageBreak/>
        <w:t>Summary</w:t>
      </w:r>
      <w:bookmarkEnd w:id="1"/>
    </w:p>
    <w:p w:rsidR="00CF17DE" w:rsidRDefault="00303482" w:rsidP="00B97F9F">
      <w:pPr>
        <w:keepNext/>
        <w:keepLines/>
        <w:rPr>
          <w:b/>
        </w:rPr>
      </w:pPr>
      <w:r w:rsidRPr="00155D3B">
        <w:rPr>
          <w:b/>
        </w:rPr>
        <w:t xml:space="preserve">San Diego Gas &amp; Electric </w:t>
      </w:r>
      <w:r w:rsidR="00E15085">
        <w:rPr>
          <w:b/>
        </w:rPr>
        <w:t>Company</w:t>
      </w:r>
      <w:r w:rsidR="005A1819" w:rsidRPr="00155D3B">
        <w:rPr>
          <w:b/>
        </w:rPr>
        <w:t xml:space="preserve"> (“</w:t>
      </w:r>
      <w:r w:rsidRPr="00155D3B">
        <w:rPr>
          <w:b/>
        </w:rPr>
        <w:t>SDG&amp;E</w:t>
      </w:r>
      <w:r w:rsidR="005A1819" w:rsidRPr="00155D3B">
        <w:rPr>
          <w:b/>
        </w:rPr>
        <w:t xml:space="preserve">”) </w:t>
      </w:r>
      <w:r w:rsidR="00795C8B">
        <w:rPr>
          <w:b/>
        </w:rPr>
        <w:t>seeks approval of</w:t>
      </w:r>
      <w:r w:rsidR="00E15085">
        <w:rPr>
          <w:b/>
        </w:rPr>
        <w:t xml:space="preserve"> a </w:t>
      </w:r>
      <w:r w:rsidR="005A1819" w:rsidRPr="00155D3B">
        <w:rPr>
          <w:b/>
        </w:rPr>
        <w:t xml:space="preserve">Transition </w:t>
      </w:r>
      <w:r w:rsidR="00E15085">
        <w:rPr>
          <w:b/>
        </w:rPr>
        <w:t>Standard Contract</w:t>
      </w:r>
      <w:r w:rsidR="005A1819" w:rsidRPr="00155D3B">
        <w:rPr>
          <w:b/>
        </w:rPr>
        <w:t xml:space="preserve"> (“Transition </w:t>
      </w:r>
      <w:r w:rsidR="00155D3B" w:rsidRPr="00155D3B">
        <w:rPr>
          <w:b/>
        </w:rPr>
        <w:t>Agreement</w:t>
      </w:r>
      <w:r w:rsidR="005A1819" w:rsidRPr="00155D3B">
        <w:rPr>
          <w:b/>
        </w:rPr>
        <w:t>”</w:t>
      </w:r>
      <w:r w:rsidR="00155D3B" w:rsidRPr="00155D3B">
        <w:rPr>
          <w:b/>
        </w:rPr>
        <w:t xml:space="preserve"> or “Agreement”)</w:t>
      </w:r>
      <w:r w:rsidR="005A1819" w:rsidRPr="00155D3B">
        <w:rPr>
          <w:b/>
        </w:rPr>
        <w:t xml:space="preserve"> with</w:t>
      </w:r>
      <w:r w:rsidR="00155D3B" w:rsidRPr="00155D3B">
        <w:rPr>
          <w:b/>
        </w:rPr>
        <w:t xml:space="preserve"> CP Kelco U.S., Inc (“Kelco”</w:t>
      </w:r>
      <w:r w:rsidR="00375788">
        <w:rPr>
          <w:b/>
        </w:rPr>
        <w:t>, “CP Kelco”</w:t>
      </w:r>
      <w:r w:rsidR="00155D3B" w:rsidRPr="00155D3B">
        <w:rPr>
          <w:b/>
        </w:rPr>
        <w:t xml:space="preserve"> or “Seller”)</w:t>
      </w:r>
      <w:r w:rsidR="00E15085">
        <w:rPr>
          <w:b/>
        </w:rPr>
        <w:t>. The</w:t>
      </w:r>
      <w:r w:rsidR="00E42177" w:rsidRPr="00155D3B">
        <w:rPr>
          <w:b/>
        </w:rPr>
        <w:t xml:space="preserve"> Transition Agreement</w:t>
      </w:r>
      <w:r w:rsidR="00E15085">
        <w:rPr>
          <w:b/>
        </w:rPr>
        <w:t xml:space="preserve"> complies</w:t>
      </w:r>
      <w:r w:rsidR="00E42177" w:rsidRPr="00155D3B">
        <w:rPr>
          <w:b/>
        </w:rPr>
        <w:t xml:space="preserve"> with the requirements </w:t>
      </w:r>
      <w:r w:rsidR="00E15085">
        <w:rPr>
          <w:b/>
        </w:rPr>
        <w:t xml:space="preserve">of Decision </w:t>
      </w:r>
      <w:r w:rsidR="00457B2F" w:rsidRPr="00155D3B">
        <w:rPr>
          <w:b/>
        </w:rPr>
        <w:t>(“D.”) 10</w:t>
      </w:r>
      <w:r w:rsidR="00457B2F">
        <w:rPr>
          <w:b/>
        </w:rPr>
        <w:t>-12-035, in which the Commission adopted the Qualifyin</w:t>
      </w:r>
      <w:r w:rsidR="00D57527">
        <w:rPr>
          <w:b/>
        </w:rPr>
        <w:t>g</w:t>
      </w:r>
      <w:r w:rsidR="00457B2F">
        <w:rPr>
          <w:b/>
        </w:rPr>
        <w:t xml:space="preserve"> Facilit</w:t>
      </w:r>
      <w:r w:rsidR="00D57527">
        <w:rPr>
          <w:b/>
        </w:rPr>
        <w:t>y</w:t>
      </w:r>
      <w:r w:rsidR="004A61E4">
        <w:rPr>
          <w:b/>
        </w:rPr>
        <w:t xml:space="preserve"> (“QF”)</w:t>
      </w:r>
      <w:r w:rsidR="00457B2F">
        <w:rPr>
          <w:b/>
        </w:rPr>
        <w:t xml:space="preserve"> and Combined Heat and Power</w:t>
      </w:r>
      <w:r w:rsidR="004A61E4">
        <w:rPr>
          <w:b/>
        </w:rPr>
        <w:t xml:space="preserve"> (“CHP”)</w:t>
      </w:r>
      <w:r w:rsidR="00457B2F">
        <w:rPr>
          <w:b/>
        </w:rPr>
        <w:t xml:space="preserve"> Settlement Agreement (</w:t>
      </w:r>
      <w:r w:rsidR="004A61E4">
        <w:rPr>
          <w:b/>
        </w:rPr>
        <w:t xml:space="preserve">“QF/CHP Settlement” or </w:t>
      </w:r>
      <w:r w:rsidR="00457B2F">
        <w:rPr>
          <w:b/>
        </w:rPr>
        <w:t>“Settlement”)</w:t>
      </w:r>
      <w:r w:rsidR="00D00AD7">
        <w:rPr>
          <w:b/>
        </w:rPr>
        <w:t>,</w:t>
      </w:r>
      <w:r w:rsidR="00457B2F">
        <w:rPr>
          <w:b/>
        </w:rPr>
        <w:t xml:space="preserve"> and the Transition </w:t>
      </w:r>
      <w:r w:rsidR="00E15085">
        <w:rPr>
          <w:b/>
        </w:rPr>
        <w:t>Agreement is approved</w:t>
      </w:r>
      <w:r w:rsidR="00B97F9F">
        <w:rPr>
          <w:b/>
        </w:rPr>
        <w:t xml:space="preserve"> without modifications</w:t>
      </w:r>
      <w:r w:rsidR="00E15085">
        <w:rPr>
          <w:b/>
        </w:rPr>
        <w:t>.</w:t>
      </w:r>
    </w:p>
    <w:p w:rsidR="00B97F9F" w:rsidRDefault="00B97F9F" w:rsidP="00B97F9F">
      <w:pPr>
        <w:keepNext/>
        <w:keepLines/>
      </w:pPr>
    </w:p>
    <w:p w:rsidR="00B1440A" w:rsidRDefault="009F040C" w:rsidP="00B1440A">
      <w:pPr>
        <w:spacing w:after="120"/>
      </w:pPr>
      <w:r>
        <w:t xml:space="preserve">On </w:t>
      </w:r>
      <w:r w:rsidR="00C32B1E">
        <w:t>September 5, 2013</w:t>
      </w:r>
      <w:r>
        <w:t xml:space="preserve">, </w:t>
      </w:r>
      <w:r w:rsidR="00303482">
        <w:t>SDG&amp;E</w:t>
      </w:r>
      <w:r>
        <w:t xml:space="preserve"> filed Advice Letter (“AL”) </w:t>
      </w:r>
      <w:r w:rsidR="00C32B1E">
        <w:t>2517</w:t>
      </w:r>
      <w:r>
        <w:t xml:space="preserve">-E requesting Commission approval of </w:t>
      </w:r>
      <w:r w:rsidR="00B97F9F">
        <w:t xml:space="preserve">a </w:t>
      </w:r>
      <w:r w:rsidR="00445A66">
        <w:t>T</w:t>
      </w:r>
      <w:r>
        <w:t xml:space="preserve">ransition </w:t>
      </w:r>
      <w:r w:rsidR="00B97F9F">
        <w:t>Agreement</w:t>
      </w:r>
      <w:r w:rsidR="00EA0637">
        <w:t xml:space="preserve"> with </w:t>
      </w:r>
      <w:r w:rsidR="00B97F9F">
        <w:t xml:space="preserve">Kelco </w:t>
      </w:r>
      <w:r w:rsidR="004F0A06">
        <w:t>effective upon CPUC approval</w:t>
      </w:r>
      <w:r w:rsidR="00795C8B">
        <w:t xml:space="preserve"> that will be effective</w:t>
      </w:r>
      <w:r w:rsidR="004F0A06">
        <w:t xml:space="preserve"> until the completion of the Settlement Transition Period,</w:t>
      </w:r>
      <w:r w:rsidR="00375788">
        <w:t xml:space="preserve"> </w:t>
      </w:r>
      <w:r w:rsidR="003F7332">
        <w:t>no later than June 30</w:t>
      </w:r>
      <w:r w:rsidR="008525C1">
        <w:t>, 2015</w:t>
      </w:r>
      <w:r w:rsidR="005933B2">
        <w:t>.</w:t>
      </w:r>
      <w:r w:rsidR="005933B2">
        <w:rPr>
          <w:rStyle w:val="FootnoteReference"/>
        </w:rPr>
        <w:footnoteReference w:id="4"/>
      </w:r>
      <w:r w:rsidR="00B1440A">
        <w:t xml:space="preserve"> </w:t>
      </w:r>
      <w:r w:rsidR="005933B2">
        <w:t xml:space="preserve"> </w:t>
      </w:r>
      <w:r w:rsidR="00B1440A">
        <w:t xml:space="preserve">The Kelco facility consists of three gas turbines with nameplate ratings of 8.0, 9.3, and 9.35 MW. When operating, the natural gas burning turbines route the hot exhaust gases through a heat recovery steam generator to generate steam for the manufacturing plant. </w:t>
      </w:r>
    </w:p>
    <w:p w:rsidR="00455F3B" w:rsidRDefault="004A61E4" w:rsidP="00762AB9">
      <w:pPr>
        <w:spacing w:after="120"/>
      </w:pPr>
      <w:r>
        <w:t>Section 3 of the QF/CHP Settlement Term Sheet (“Term Sheet”), which was adopted by the Commission in D.10-12-035</w:t>
      </w:r>
      <w:r w:rsidR="00762AB9">
        <w:t>, covers</w:t>
      </w:r>
      <w:r>
        <w:t xml:space="preserve"> all matters with regards to transition PPA’s</w:t>
      </w:r>
      <w:r w:rsidR="00762AB9">
        <w:t xml:space="preserve"> and describes the eligibility requirements for QF and CHP facilities to enter into a Transition PPA</w:t>
      </w:r>
      <w:r>
        <w:t xml:space="preserve">. </w:t>
      </w:r>
      <w:r w:rsidR="00762AB9">
        <w:t>P</w:t>
      </w:r>
      <w:r w:rsidR="0018588D">
        <w:t>er Section 3.1.1 of the Term Sheet</w:t>
      </w:r>
      <w:r>
        <w:t xml:space="preserve">, </w:t>
      </w:r>
      <w:r w:rsidR="00B97F9F">
        <w:t>Kelco</w:t>
      </w:r>
      <w:r w:rsidR="00B1440A">
        <w:t xml:space="preserve"> is</w:t>
      </w:r>
      <w:r w:rsidR="00455F3B">
        <w:t xml:space="preserve"> eligible for Transition PPAs with </w:t>
      </w:r>
      <w:r w:rsidR="00303482">
        <w:t>SDG&amp;E</w:t>
      </w:r>
      <w:r w:rsidR="00455F3B">
        <w:t xml:space="preserve"> because they are currently operating under extensions of Legacy PPAs that are expiring during the Transition Period.</w:t>
      </w:r>
    </w:p>
    <w:p w:rsidR="00E4616F" w:rsidRDefault="004F6AD1" w:rsidP="00E4616F">
      <w:pPr>
        <w:spacing w:after="120"/>
      </w:pPr>
      <w:r>
        <w:t>Initial discussion</w:t>
      </w:r>
      <w:r w:rsidR="008E1C67">
        <w:t xml:space="preserve"> about</w:t>
      </w:r>
      <w:r>
        <w:t xml:space="preserve"> n</w:t>
      </w:r>
      <w:r w:rsidR="00A22F6B" w:rsidRPr="0018588D">
        <w:t xml:space="preserve">egotiations </w:t>
      </w:r>
      <w:r w:rsidR="00404F9A" w:rsidRPr="002830FE">
        <w:t xml:space="preserve">between </w:t>
      </w:r>
      <w:r w:rsidR="00303482">
        <w:t>SDG&amp;E</w:t>
      </w:r>
      <w:r w:rsidR="00404F9A" w:rsidRPr="002830FE">
        <w:t xml:space="preserve"> and </w:t>
      </w:r>
      <w:r w:rsidR="00B97F9F">
        <w:t>Kelco</w:t>
      </w:r>
      <w:r w:rsidR="00B1440A">
        <w:t xml:space="preserve"> </w:t>
      </w:r>
      <w:r w:rsidR="00A22F6B" w:rsidRPr="0018588D">
        <w:t xml:space="preserve">began </w:t>
      </w:r>
      <w:r w:rsidR="00F437DC">
        <w:t>November</w:t>
      </w:r>
      <w:r w:rsidR="007464DA" w:rsidRPr="002830FE">
        <w:t>, 2011</w:t>
      </w:r>
      <w:r w:rsidR="00E4616F">
        <w:t>. Over the course of 2012, Kelco placed five requests for additional time to transition the</w:t>
      </w:r>
      <w:r w:rsidR="00986281">
        <w:t xml:space="preserve"> original</w:t>
      </w:r>
      <w:r w:rsidR="00E4616F">
        <w:t xml:space="preserve"> legacy agreement to the Transition </w:t>
      </w:r>
      <w:r w:rsidR="00986281">
        <w:t>Agreement</w:t>
      </w:r>
      <w:r w:rsidR="00E4616F">
        <w:t xml:space="preserve">. On December 20, 2012, Kelco and SDG&amp;E executed a Standard Form Transition PPA and </w:t>
      </w:r>
      <w:r w:rsidR="00986281">
        <w:t>Amendment One</w:t>
      </w:r>
      <w:r w:rsidR="00E4616F">
        <w:t xml:space="preserve"> to the PPA on May 15, 2013. As discussed in more detail in the Discussion section of this resolution, all terms of the Transition PPA, with the exception of four, conform to the Standard Form</w:t>
      </w:r>
      <w:r w:rsidR="00986281">
        <w:t xml:space="preserve"> </w:t>
      </w:r>
      <w:r w:rsidR="00E4616F">
        <w:t>Transition PPA.</w:t>
      </w:r>
    </w:p>
    <w:p w:rsidR="009D26AF" w:rsidRDefault="0058600A" w:rsidP="00E4616F">
      <w:pPr>
        <w:spacing w:after="120"/>
      </w:pPr>
      <w:r>
        <w:lastRenderedPageBreak/>
        <w:t>The energy price for this Agreement will be the Short Run Avoided Cost (“SRAC”)</w:t>
      </w:r>
      <w:r>
        <w:rPr>
          <w:rStyle w:val="FootnoteReference"/>
        </w:rPr>
        <w:footnoteReference w:id="5"/>
      </w:r>
      <w:r>
        <w:t xml:space="preserve"> and the capacity price in the Agreement conforms to the pricing established in D.07-09-040</w:t>
      </w:r>
      <w:r w:rsidR="00F1441F">
        <w:rPr>
          <w:rStyle w:val="FootnoteReference"/>
        </w:rPr>
        <w:footnoteReference w:id="6"/>
      </w:r>
      <w:r>
        <w:t>.</w:t>
      </w:r>
    </w:p>
    <w:p w:rsidR="00B13584" w:rsidRPr="0014212A" w:rsidRDefault="002313D0" w:rsidP="00693EB3">
      <w:pPr>
        <w:spacing w:after="120"/>
      </w:pPr>
      <w:r>
        <w:t xml:space="preserve">Furthermore, as done previously in other QF/CHP Settlement resolutions, the Commission </w:t>
      </w:r>
      <w:r w:rsidR="005234AE">
        <w:t xml:space="preserve">compares the proposed agreement to the Existing PPA. In this regard, the </w:t>
      </w:r>
      <w:r w:rsidR="0011612C">
        <w:t>execut</w:t>
      </w:r>
      <w:r w:rsidR="005F2218">
        <w:t>ion of the Transition Agreement</w:t>
      </w:r>
      <w:r w:rsidR="0011612C">
        <w:t xml:space="preserve"> provides</w:t>
      </w:r>
      <w:r w:rsidR="005234AE">
        <w:t xml:space="preserve"> customer savings</w:t>
      </w:r>
      <w:r w:rsidR="00B33CA4">
        <w:t xml:space="preserve"> and merit</w:t>
      </w:r>
      <w:r w:rsidR="00225C1A">
        <w:t>s</w:t>
      </w:r>
      <w:r w:rsidR="00B33CA4">
        <w:t xml:space="preserve"> Commission approval</w:t>
      </w:r>
      <w:r w:rsidR="005234AE">
        <w:t>.</w:t>
      </w:r>
      <w:r w:rsidR="00F43BA6">
        <w:t xml:space="preserve"> The terms of the agreement will commence thirty</w:t>
      </w:r>
      <w:r w:rsidR="00990581">
        <w:t xml:space="preserve"> days after CPUC approval until, at most, July 1, 2015, the end of the transition period per the term sheet. </w:t>
      </w:r>
    </w:p>
    <w:p w:rsidR="009F040C" w:rsidRPr="00292BE6" w:rsidRDefault="00D07BB8" w:rsidP="00BE7E51">
      <w:pPr>
        <w:spacing w:after="240"/>
      </w:pPr>
      <w:r>
        <w:t>Detailed analyses regarding the modifications to the</w:t>
      </w:r>
      <w:r w:rsidR="006E1DBF">
        <w:t xml:space="preserve"> Standard</w:t>
      </w:r>
      <w:r>
        <w:t xml:space="preserve"> Form Transition PPA and propriety of the </w:t>
      </w:r>
      <w:r w:rsidR="00D5750C">
        <w:t>a</w:t>
      </w:r>
      <w:r>
        <w:t xml:space="preserve">ffiliate </w:t>
      </w:r>
      <w:r w:rsidR="00D5750C">
        <w:t>t</w:t>
      </w:r>
      <w:r>
        <w:t xml:space="preserve">ransaction are, respectively, included in the </w:t>
      </w:r>
      <w:r w:rsidR="005F2218">
        <w:t xml:space="preserve">Discussion section </w:t>
      </w:r>
      <w:r>
        <w:t xml:space="preserve">Transition PPA Matters </w:t>
      </w:r>
      <w:r w:rsidR="005F2218">
        <w:t>subsection</w:t>
      </w:r>
      <w:r>
        <w:t xml:space="preserve"> below.</w:t>
      </w:r>
      <w:r w:rsidR="00346734">
        <w:t xml:space="preserve"> </w:t>
      </w:r>
      <w:r w:rsidR="00375788">
        <w:t>An analysis of the negotiations for the Transition agreement is</w:t>
      </w:r>
      <w:r w:rsidR="006805E0">
        <w:t xml:space="preserve"> included in the</w:t>
      </w:r>
      <w:r w:rsidR="00DE3818">
        <w:t xml:space="preserve"> </w:t>
      </w:r>
      <w:r w:rsidR="000A7D00">
        <w:t xml:space="preserve">Confidential </w:t>
      </w:r>
      <w:r w:rsidR="005F2218">
        <w:t>Appendix of this resolution.</w:t>
      </w:r>
    </w:p>
    <w:p w:rsidR="00CF17DE" w:rsidRDefault="00CF17DE" w:rsidP="00693EB3">
      <w:pPr>
        <w:pStyle w:val="Heading1"/>
        <w:spacing w:after="120"/>
      </w:pPr>
      <w:r>
        <w:t>Background</w:t>
      </w:r>
    </w:p>
    <w:p w:rsidR="00CF5734" w:rsidRDefault="00CF5734" w:rsidP="00CF5734">
      <w:pPr>
        <w:spacing w:after="120"/>
      </w:pPr>
      <w:r>
        <w:t>On December 16, 2010, the Commission adopted the Qualifying Facility and Combined Heat and Power Program Settlement</w:t>
      </w:r>
      <w:r w:rsidR="00557E82">
        <w:t xml:space="preserve"> Agreement with the issuance of</w:t>
      </w:r>
      <w:r>
        <w:t xml:space="preserve"> </w:t>
      </w:r>
      <w:r w:rsidR="001D3962">
        <w:t>D.</w:t>
      </w:r>
      <w:r>
        <w:t>10-12-035. The Settlement resolves a number of longstanding issues regarding the contractual obligations and procurement options for facilities operating under legacy and new qualifying facility (“QF”) contracts.</w:t>
      </w:r>
    </w:p>
    <w:p w:rsidR="00CF5734" w:rsidRDefault="00CF5734" w:rsidP="00CF5734">
      <w:pPr>
        <w:spacing w:after="120"/>
      </w:pPr>
      <w:r>
        <w:t xml:space="preserve">The QF/CHP Settlement establishes Megawatt </w:t>
      </w:r>
      <w:r w:rsidR="008B5F76">
        <w:t>(“MW”) procurement Targets and G</w:t>
      </w:r>
      <w:r>
        <w:t xml:space="preserve">reenhouse </w:t>
      </w:r>
      <w:r w:rsidR="008B5F76">
        <w:t>G</w:t>
      </w:r>
      <w:r>
        <w:t xml:space="preserve">as (“GHG”) </w:t>
      </w:r>
      <w:r w:rsidR="008B5F76">
        <w:t>E</w:t>
      </w:r>
      <w:r>
        <w:t xml:space="preserve">missions </w:t>
      </w:r>
      <w:r w:rsidR="008B5F76">
        <w:t>R</w:t>
      </w:r>
      <w:r>
        <w:t xml:space="preserve">eduction </w:t>
      </w:r>
      <w:r w:rsidR="008B5F76">
        <w:t>T</w:t>
      </w:r>
      <w:r>
        <w:t xml:space="preserve">argets the investor-owned utilities </w:t>
      </w:r>
      <w:r w:rsidR="008B5F76">
        <w:t xml:space="preserve">(“IOUs”) </w:t>
      </w:r>
      <w:r>
        <w:t>are required to meet by entering into contracts with eligible CHP facilities, as defined in</w:t>
      </w:r>
      <w:r w:rsidR="00BE3A7E">
        <w:t xml:space="preserve"> the Settlement. Pursuant to D.</w:t>
      </w:r>
      <w:r>
        <w:t xml:space="preserve">10-12-035, the three large electric </w:t>
      </w:r>
      <w:r w:rsidR="008B5F76">
        <w:t xml:space="preserve">IOUs </w:t>
      </w:r>
      <w:r>
        <w:t>must procure a minimum of 3,000 MW of CHP and reduce GHG emissions consistent with the California Air Resources Board (“CARB”) Scoping Plan</w:t>
      </w:r>
      <w:r w:rsidR="004C5F1C">
        <w:t xml:space="preserve"> currently set at 4.8 million metric tonnes (“MMT”) by the end of 2020</w:t>
      </w:r>
      <w:r>
        <w:t>.</w:t>
      </w:r>
    </w:p>
    <w:p w:rsidR="00CF5734" w:rsidRDefault="00BE3A7E" w:rsidP="00CF5734">
      <w:pPr>
        <w:autoSpaceDE w:val="0"/>
        <w:autoSpaceDN w:val="0"/>
        <w:adjustRightInd w:val="0"/>
        <w:spacing w:after="120"/>
      </w:pPr>
      <w:r>
        <w:rPr>
          <w:rFonts w:cs="TimesNewRoman"/>
          <w:szCs w:val="26"/>
        </w:rPr>
        <w:lastRenderedPageBreak/>
        <w:t>Among other things, D.</w:t>
      </w:r>
      <w:r w:rsidR="00CF5734">
        <w:rPr>
          <w:rFonts w:cs="TimesNewRoman"/>
          <w:szCs w:val="26"/>
        </w:rPr>
        <w:t>10-12-035</w:t>
      </w:r>
      <w:r w:rsidR="00CF5734">
        <w:t xml:space="preserve"> updates methodologies and formulas for calculating the Short Run Avoided Cost (“SRAC”) energy price for QFs to be used in </w:t>
      </w:r>
      <w:r w:rsidR="0023633B">
        <w:t xml:space="preserve">the </w:t>
      </w:r>
      <w:r w:rsidR="00CF5734">
        <w:t xml:space="preserve">Standard Offer </w:t>
      </w:r>
      <w:r w:rsidR="0023633B">
        <w:t>C</w:t>
      </w:r>
      <w:r w:rsidR="00CF5734">
        <w:t xml:space="preserve">ontracts for QFs </w:t>
      </w:r>
      <w:r w:rsidR="000E6ED9">
        <w:t>with a Power Rat</w:t>
      </w:r>
      <w:r w:rsidR="0023633B">
        <w:t xml:space="preserve">ing that is Less than or Equal to 20 </w:t>
      </w:r>
      <w:r w:rsidR="00CF5734">
        <w:t>MW</w:t>
      </w:r>
      <w:r w:rsidR="0023633B">
        <w:t xml:space="preserve"> (the “QF Standard Offer Contract”)</w:t>
      </w:r>
      <w:r w:rsidR="00CF5734">
        <w:t xml:space="preserve">, Transition PPAs, amendments to existing QF PPAs, and Optional As-Available PPAs. The SRAC methodology under the QF/CHP Settlement includes:  </w:t>
      </w:r>
    </w:p>
    <w:p w:rsidR="00CF5734" w:rsidRDefault="00CF5734" w:rsidP="0013356B">
      <w:pPr>
        <w:numPr>
          <w:ilvl w:val="0"/>
          <w:numId w:val="8"/>
        </w:numPr>
        <w:autoSpaceDE w:val="0"/>
        <w:autoSpaceDN w:val="0"/>
        <w:adjustRightInd w:val="0"/>
        <w:spacing w:after="120"/>
        <w:ind w:left="1080" w:hanging="540"/>
      </w:pPr>
      <w:r>
        <w:t xml:space="preserve">By January 1, 2015, transitioning SRAC pricing from a formula that is based in part on administratively-determined heat rates to a formula that solely uses market heat rates; </w:t>
      </w:r>
    </w:p>
    <w:p w:rsidR="00CF5734" w:rsidRDefault="00CF5734" w:rsidP="0013356B">
      <w:pPr>
        <w:numPr>
          <w:ilvl w:val="0"/>
          <w:numId w:val="8"/>
        </w:numPr>
        <w:autoSpaceDE w:val="0"/>
        <w:autoSpaceDN w:val="0"/>
        <w:adjustRightInd w:val="0"/>
        <w:spacing w:after="120"/>
        <w:ind w:left="1080" w:hanging="540"/>
      </w:pPr>
      <w:r>
        <w:t xml:space="preserve">IOU-specific time-of-use (“TOU”) factors to be applied to energy prices to encourage energy deliveries during the times when the energy is most needed by customers; </w:t>
      </w:r>
    </w:p>
    <w:p w:rsidR="00CF5734" w:rsidRPr="00CF5734" w:rsidRDefault="00CF5734" w:rsidP="0013356B">
      <w:pPr>
        <w:numPr>
          <w:ilvl w:val="0"/>
          <w:numId w:val="8"/>
        </w:numPr>
        <w:autoSpaceDE w:val="0"/>
        <w:autoSpaceDN w:val="0"/>
        <w:adjustRightInd w:val="0"/>
        <w:spacing w:after="120"/>
        <w:ind w:left="1080" w:hanging="540"/>
      </w:pPr>
      <w:r w:rsidRPr="00CF5734">
        <w:t xml:space="preserve">A locational adjustment based on California Independent System Operator (“CAISO”) nodal prices; and, </w:t>
      </w:r>
    </w:p>
    <w:p w:rsidR="00CF5734" w:rsidRPr="00CF5734" w:rsidRDefault="00CF5734" w:rsidP="0013356B">
      <w:pPr>
        <w:numPr>
          <w:ilvl w:val="0"/>
          <w:numId w:val="8"/>
        </w:numPr>
        <w:autoSpaceDE w:val="0"/>
        <w:autoSpaceDN w:val="0"/>
        <w:adjustRightInd w:val="0"/>
        <w:spacing w:after="120"/>
        <w:ind w:left="1080" w:hanging="540"/>
        <w:rPr>
          <w:u w:val="single"/>
        </w:rPr>
      </w:pPr>
      <w:r w:rsidRPr="00CF5734">
        <w:t>Pricing options based on whether a cap-and-trade program or other form of greenhouse gas (“GHG”) regulation is developed in California or nationally.</w:t>
      </w:r>
    </w:p>
    <w:p w:rsidR="005734EC" w:rsidRDefault="00A215BE" w:rsidP="00BE7E51">
      <w:pPr>
        <w:spacing w:after="240"/>
      </w:pPr>
      <w:r>
        <w:t xml:space="preserve">One of the three stated goals and objectives of the Settlement (Section 1.1.2) was to create a smooth transition from the existing QF CHP PURPA Program to a State-Administered CHP Program. Section 2.1 of the Term Sheet defines a Transition period, beginning on the Settlement Effective Date, </w:t>
      </w:r>
      <w:r w:rsidR="00693EB3">
        <w:br/>
      </w:r>
      <w:r>
        <w:t>November 23, 2011</w:t>
      </w:r>
      <w:r w:rsidR="0023633B">
        <w:t>,</w:t>
      </w:r>
      <w:r>
        <w:t xml:space="preserve"> </w:t>
      </w:r>
      <w:r w:rsidR="008525C1">
        <w:t>and ending on</w:t>
      </w:r>
      <w:r>
        <w:t xml:space="preserve"> July 1, 2015</w:t>
      </w:r>
      <w:r w:rsidR="00BE3349">
        <w:t xml:space="preserve">. During the Transition Period, existing </w:t>
      </w:r>
      <w:r w:rsidR="005734DC">
        <w:t>CHP</w:t>
      </w:r>
      <w:r w:rsidR="0023633B">
        <w:t xml:space="preserve"> Facilities</w:t>
      </w:r>
      <w:r w:rsidR="005734DC">
        <w:t xml:space="preserve"> will obtain</w:t>
      </w:r>
      <w:r>
        <w:t xml:space="preserve"> a new PPA per Section 4, sell into the wholesale market, shut down, or cease to export to the grid.</w:t>
      </w:r>
    </w:p>
    <w:p w:rsidR="00092459" w:rsidRDefault="008C3A66" w:rsidP="00BE7E51">
      <w:pPr>
        <w:spacing w:after="240"/>
      </w:pPr>
      <w:r w:rsidRPr="00B54E29">
        <w:t xml:space="preserve">The Settlement </w:t>
      </w:r>
      <w:r w:rsidR="002838E3" w:rsidRPr="00B54E29">
        <w:t xml:space="preserve">makes </w:t>
      </w:r>
      <w:r w:rsidR="00065112">
        <w:t xml:space="preserve">the </w:t>
      </w:r>
      <w:r w:rsidRPr="00B54E29">
        <w:t xml:space="preserve">Transition PPA </w:t>
      </w:r>
      <w:r w:rsidR="00065112">
        <w:t xml:space="preserve">available </w:t>
      </w:r>
      <w:r w:rsidR="002838E3" w:rsidRPr="00B54E29">
        <w:t xml:space="preserve">to </w:t>
      </w:r>
      <w:r w:rsidRPr="00B54E29">
        <w:t>CHP facilities currently selling to an IOU under a Legacy PPA</w:t>
      </w:r>
      <w:r w:rsidR="00F856CD">
        <w:rPr>
          <w:rStyle w:val="FootnoteReference"/>
        </w:rPr>
        <w:footnoteReference w:id="7"/>
      </w:r>
      <w:r w:rsidRPr="00B54E29">
        <w:t xml:space="preserve"> or an extension thereof that is expiring during the Transition Period</w:t>
      </w:r>
      <w:r w:rsidR="002838E3" w:rsidRPr="00B54E29">
        <w:t xml:space="preserve">. </w:t>
      </w:r>
      <w:r w:rsidR="00A87113">
        <w:t>D</w:t>
      </w:r>
      <w:r w:rsidR="00092459">
        <w:t>iscussed in detail in the “discussion” section of this resolution, the non-standard terms and conditions of the transition PPA are as follows: 1) Termination right of</w:t>
      </w:r>
      <w:r w:rsidR="00E27CA4">
        <w:t xml:space="preserve"> the buyer; 2) Termination r</w:t>
      </w:r>
      <w:r w:rsidR="00092459">
        <w:t>i</w:t>
      </w:r>
      <w:r w:rsidR="00E27CA4">
        <w:t>ght of the seller; 3) Modified s</w:t>
      </w:r>
      <w:r w:rsidR="00092459">
        <w:t>cheduling coord</w:t>
      </w:r>
      <w:r w:rsidR="00E27CA4">
        <w:t>inator set-up fee; 4) Modified m</w:t>
      </w:r>
      <w:r w:rsidR="00092459">
        <w:t xml:space="preserve">onthly scheduling coordinator fee. Modifications to the standard term PPA are </w:t>
      </w:r>
      <w:r w:rsidR="00E27CA4">
        <w:t>discussed</w:t>
      </w:r>
      <w:r w:rsidR="00092459">
        <w:t xml:space="preserve"> in detail </w:t>
      </w:r>
      <w:r w:rsidR="00092459">
        <w:lastRenderedPageBreak/>
        <w:t xml:space="preserve">on Section 3.4 of the Settlement Term </w:t>
      </w:r>
      <w:r w:rsidR="00E27CA4">
        <w:t>Sheet;</w:t>
      </w:r>
      <w:r w:rsidR="00092459">
        <w:t xml:space="preserve"> </w:t>
      </w:r>
      <w:r w:rsidR="00E27CA4">
        <w:t>specifically these</w:t>
      </w:r>
      <w:r w:rsidR="00092459">
        <w:t xml:space="preserve"> changes to the Standard Form PPA are permitted per</w:t>
      </w:r>
      <w:r w:rsidR="00E27CA4">
        <w:t xml:space="preserve"> section 3.4.1.1</w:t>
      </w:r>
      <w:r w:rsidR="00E27CA4">
        <w:rPr>
          <w:rStyle w:val="FootnoteReference"/>
        </w:rPr>
        <w:t xml:space="preserve"> </w:t>
      </w:r>
      <w:r w:rsidR="00E27CA4">
        <w:t>of the term sheet.</w:t>
      </w:r>
      <w:r w:rsidR="00A87113">
        <w:t xml:space="preserve"> </w:t>
      </w:r>
    </w:p>
    <w:p w:rsidR="00CF17DE" w:rsidRDefault="00CF17DE" w:rsidP="00693EB3">
      <w:pPr>
        <w:pStyle w:val="Heading1"/>
        <w:spacing w:after="120"/>
      </w:pPr>
      <w:r>
        <w:t xml:space="preserve">Notice </w:t>
      </w:r>
    </w:p>
    <w:p w:rsidR="00CF17DE" w:rsidRDefault="00CF17DE" w:rsidP="00BE7E51">
      <w:pPr>
        <w:spacing w:after="240"/>
      </w:pPr>
      <w:r w:rsidRPr="00EE116A">
        <w:t xml:space="preserve">Notice of AL </w:t>
      </w:r>
      <w:r w:rsidR="00C32B1E">
        <w:t>2517</w:t>
      </w:r>
      <w:r w:rsidR="003742C1" w:rsidRPr="00EE116A">
        <w:t xml:space="preserve">-E </w:t>
      </w:r>
      <w:r w:rsidRPr="00EE116A">
        <w:t>was made by publication in the Commission’s Daily Calendar</w:t>
      </w:r>
      <w:r>
        <w:t xml:space="preserve">.  </w:t>
      </w:r>
      <w:r w:rsidR="00C3327E">
        <w:t>A copy of SDG&amp;E’s</w:t>
      </w:r>
      <w:r>
        <w:t xml:space="preserve"> Advice Letter</w:t>
      </w:r>
      <w:r w:rsidR="00480493">
        <w:t xml:space="preserve"> </w:t>
      </w:r>
      <w:r>
        <w:t>w</w:t>
      </w:r>
      <w:r w:rsidR="00E27CA4">
        <w:t>as</w:t>
      </w:r>
      <w:r>
        <w:t xml:space="preserve"> mailed and distributed in accordance with Section </w:t>
      </w:r>
      <w:r w:rsidR="00D6551A">
        <w:t>3.14</w:t>
      </w:r>
      <w:r>
        <w:t xml:space="preserve"> of General Order 96-</w:t>
      </w:r>
      <w:r w:rsidR="00297BE7">
        <w:t>B</w:t>
      </w:r>
      <w:r w:rsidR="00C3327E">
        <w:t xml:space="preserve"> and</w:t>
      </w:r>
      <w:r w:rsidR="009D11A7">
        <w:t xml:space="preserve"> served to the service list of R.12-03-014, regarding the Long Term Procurement Plans</w:t>
      </w:r>
      <w:r w:rsidR="00C3327E">
        <w:t>.</w:t>
      </w:r>
    </w:p>
    <w:p w:rsidR="00CF17DE" w:rsidRDefault="00CF17DE" w:rsidP="00693EB3">
      <w:pPr>
        <w:pStyle w:val="Heading1"/>
        <w:spacing w:after="120"/>
      </w:pPr>
      <w:r>
        <w:t>Protests</w:t>
      </w:r>
    </w:p>
    <w:p w:rsidR="00E27CA4" w:rsidRPr="006D3C7B" w:rsidRDefault="00E27CA4" w:rsidP="00E27CA4">
      <w:pPr>
        <w:spacing w:after="120"/>
        <w:rPr>
          <w:u w:val="single"/>
        </w:rPr>
      </w:pPr>
      <w:r>
        <w:t>There were no protests to Advice 2517-E.</w:t>
      </w:r>
    </w:p>
    <w:p w:rsidR="00CF17DE" w:rsidRDefault="00CF17DE" w:rsidP="00693EB3">
      <w:pPr>
        <w:pStyle w:val="Heading1"/>
        <w:spacing w:after="120"/>
      </w:pPr>
      <w:r>
        <w:t>Discussion</w:t>
      </w:r>
    </w:p>
    <w:p w:rsidR="005A19DB" w:rsidRDefault="009F040C" w:rsidP="005A19DB">
      <w:pPr>
        <w:spacing w:after="120"/>
      </w:pPr>
      <w:r>
        <w:t xml:space="preserve">On </w:t>
      </w:r>
      <w:r w:rsidR="00C32B1E">
        <w:t>September 5, 2013</w:t>
      </w:r>
      <w:r>
        <w:t xml:space="preserve">, </w:t>
      </w:r>
      <w:r w:rsidR="00303482">
        <w:t>SDG&amp;E</w:t>
      </w:r>
      <w:r>
        <w:t xml:space="preserve"> filed Advice Letter (“AL”) </w:t>
      </w:r>
      <w:r w:rsidR="00C32B1E">
        <w:t>2517</w:t>
      </w:r>
      <w:r>
        <w:t>-E reque</w:t>
      </w:r>
      <w:r w:rsidR="00BE3349">
        <w:t xml:space="preserve">sting Commission approval of </w:t>
      </w:r>
      <w:r w:rsidR="00E27CA4">
        <w:t xml:space="preserve">a </w:t>
      </w:r>
      <w:r w:rsidR="00BE3349">
        <w:t>T</w:t>
      </w:r>
      <w:r>
        <w:t xml:space="preserve">ransition </w:t>
      </w:r>
      <w:r w:rsidR="00E27CA4">
        <w:t>Agreement</w:t>
      </w:r>
      <w:r w:rsidR="008B5F76">
        <w:t xml:space="preserve"> </w:t>
      </w:r>
      <w:r>
        <w:t xml:space="preserve">with </w:t>
      </w:r>
      <w:r w:rsidR="00B97F9F">
        <w:t>Kelco</w:t>
      </w:r>
      <w:r w:rsidR="00E27CA4">
        <w:t xml:space="preserve"> </w:t>
      </w:r>
      <w:r w:rsidR="00BE3349">
        <w:t xml:space="preserve">that replace </w:t>
      </w:r>
      <w:r w:rsidR="005A19DB">
        <w:t>their existing</w:t>
      </w:r>
      <w:r w:rsidR="00BE3349">
        <w:t xml:space="preserve"> Legacy PPA</w:t>
      </w:r>
      <w:r w:rsidR="005A19DB">
        <w:t>s</w:t>
      </w:r>
      <w:r>
        <w:t>.</w:t>
      </w:r>
      <w:r w:rsidR="00BE3349">
        <w:t xml:space="preserve"> The Transition </w:t>
      </w:r>
      <w:r w:rsidR="008B5F76">
        <w:t xml:space="preserve">Agreements </w:t>
      </w:r>
      <w:r w:rsidR="00BE3349">
        <w:t xml:space="preserve">will become effective upon CPUC </w:t>
      </w:r>
      <w:r w:rsidR="007737D2">
        <w:t>approval</w:t>
      </w:r>
      <w:r w:rsidR="00E90040">
        <w:t xml:space="preserve">, </w:t>
      </w:r>
      <w:r w:rsidR="00894404">
        <w:t xml:space="preserve">and </w:t>
      </w:r>
      <w:r w:rsidR="00E90040">
        <w:t xml:space="preserve">the Transition </w:t>
      </w:r>
      <w:r w:rsidR="008B5F76">
        <w:t xml:space="preserve">Agreements </w:t>
      </w:r>
      <w:r w:rsidR="00894404">
        <w:t xml:space="preserve">will </w:t>
      </w:r>
      <w:r w:rsidR="00E90040">
        <w:t xml:space="preserve">end </w:t>
      </w:r>
      <w:r w:rsidR="00E90040" w:rsidRPr="005734DC">
        <w:t>at the election of the Seller but no later than</w:t>
      </w:r>
      <w:r w:rsidR="00BE3349">
        <w:t xml:space="preserve"> </w:t>
      </w:r>
      <w:r w:rsidR="005A19DB">
        <w:t>June 30</w:t>
      </w:r>
      <w:r w:rsidR="00BE3349">
        <w:t>, 2015.</w:t>
      </w:r>
      <w:r w:rsidR="008B5F76">
        <w:t xml:space="preserve"> </w:t>
      </w:r>
    </w:p>
    <w:p w:rsidR="009F040C" w:rsidRDefault="009F040C" w:rsidP="00BE7E51">
      <w:pPr>
        <w:spacing w:after="120"/>
      </w:pPr>
      <w:r>
        <w:t xml:space="preserve">Specifically, </w:t>
      </w:r>
      <w:r w:rsidR="00303482">
        <w:t>SDG&amp;E</w:t>
      </w:r>
      <w:r>
        <w:t xml:space="preserve"> requests that the Commission issue a final resolution that contains:</w:t>
      </w:r>
      <w:r>
        <w:tab/>
      </w:r>
    </w:p>
    <w:p w:rsidR="006B40B4" w:rsidRDefault="009F040C" w:rsidP="006B40B4">
      <w:pPr>
        <w:numPr>
          <w:ilvl w:val="0"/>
          <w:numId w:val="9"/>
        </w:numPr>
        <w:spacing w:after="120"/>
      </w:pPr>
      <w:r>
        <w:t xml:space="preserve">Approval of the </w:t>
      </w:r>
      <w:r w:rsidR="00D83AC4">
        <w:t xml:space="preserve">Transition </w:t>
      </w:r>
      <w:r>
        <w:t>Agreement</w:t>
      </w:r>
      <w:r w:rsidR="00D83AC4">
        <w:t>s</w:t>
      </w:r>
      <w:r>
        <w:t xml:space="preserve"> in </w:t>
      </w:r>
      <w:r w:rsidR="00D83AC4">
        <w:t xml:space="preserve">their </w:t>
      </w:r>
      <w:r>
        <w:t>entirety; and</w:t>
      </w:r>
    </w:p>
    <w:p w:rsidR="009F040C" w:rsidRDefault="009F040C" w:rsidP="009F040C">
      <w:pPr>
        <w:numPr>
          <w:ilvl w:val="0"/>
          <w:numId w:val="9"/>
        </w:numPr>
        <w:spacing w:after="240"/>
      </w:pPr>
      <w:r>
        <w:t>Any other and further relief as the Commission finds just and reasonable.</w:t>
      </w:r>
    </w:p>
    <w:p w:rsidR="009F040C" w:rsidRDefault="009F040C" w:rsidP="00BE7E51">
      <w:pPr>
        <w:spacing w:after="120"/>
      </w:pPr>
      <w:r>
        <w:rPr>
          <w:b/>
        </w:rPr>
        <w:t>Energy Division evaluated the Proposed PPA</w:t>
      </w:r>
      <w:r w:rsidR="00480493">
        <w:rPr>
          <w:b/>
        </w:rPr>
        <w:t>s</w:t>
      </w:r>
      <w:r>
        <w:rPr>
          <w:b/>
        </w:rPr>
        <w:t xml:space="preserve"> based on the following criteria:</w:t>
      </w:r>
    </w:p>
    <w:p w:rsidR="009F040C" w:rsidRDefault="009F040C" w:rsidP="009F040C">
      <w:pPr>
        <w:numPr>
          <w:ilvl w:val="0"/>
          <w:numId w:val="10"/>
        </w:numPr>
      </w:pPr>
      <w:r>
        <w:t>Consistency with D.10-12-035</w:t>
      </w:r>
      <w:r w:rsidR="00894404">
        <w:t>,</w:t>
      </w:r>
      <w:r>
        <w:t xml:space="preserve"> which approved the QF/CHP Program Settlement</w:t>
      </w:r>
      <w:r w:rsidR="00894404">
        <w:t>,</w:t>
      </w:r>
      <w:r>
        <w:t xml:space="preserve"> including:</w:t>
      </w:r>
    </w:p>
    <w:p w:rsidR="009F040C" w:rsidRDefault="009F040C" w:rsidP="009F040C">
      <w:pPr>
        <w:numPr>
          <w:ilvl w:val="1"/>
          <w:numId w:val="10"/>
        </w:numPr>
      </w:pPr>
      <w:r>
        <w:t xml:space="preserve">Consistency with </w:t>
      </w:r>
      <w:r w:rsidR="00A215BE">
        <w:t>Transition PPA Matters</w:t>
      </w:r>
    </w:p>
    <w:p w:rsidR="009F040C" w:rsidRDefault="00E52F02" w:rsidP="009F040C">
      <w:pPr>
        <w:numPr>
          <w:ilvl w:val="1"/>
          <w:numId w:val="10"/>
        </w:numPr>
      </w:pPr>
      <w:r>
        <w:t xml:space="preserve">Consistency with MW </w:t>
      </w:r>
      <w:r w:rsidR="00940271">
        <w:t>Counting Rules</w:t>
      </w:r>
    </w:p>
    <w:p w:rsidR="009F040C" w:rsidRDefault="00E52F02" w:rsidP="009F040C">
      <w:pPr>
        <w:numPr>
          <w:ilvl w:val="1"/>
          <w:numId w:val="10"/>
        </w:numPr>
      </w:pPr>
      <w:r>
        <w:t>Consistency with GHG A</w:t>
      </w:r>
      <w:r w:rsidR="009F040C">
        <w:t>ccounting</w:t>
      </w:r>
      <w:r>
        <w:t xml:space="preserve"> Methodology</w:t>
      </w:r>
    </w:p>
    <w:p w:rsidR="009F040C" w:rsidRDefault="00D5750C" w:rsidP="009F040C">
      <w:pPr>
        <w:numPr>
          <w:ilvl w:val="1"/>
          <w:numId w:val="10"/>
        </w:numPr>
      </w:pPr>
      <w:r>
        <w:t>Consistency with Cost</w:t>
      </w:r>
      <w:r w:rsidR="009F040C">
        <w:t xml:space="preserve"> </w:t>
      </w:r>
      <w:r>
        <w:t>R</w:t>
      </w:r>
      <w:r w:rsidR="009F040C">
        <w:t xml:space="preserve">ecovery </w:t>
      </w:r>
      <w:r>
        <w:t>R</w:t>
      </w:r>
      <w:r w:rsidR="009F040C">
        <w:t>equirements</w:t>
      </w:r>
    </w:p>
    <w:p w:rsidR="00E65098" w:rsidRDefault="00E65098" w:rsidP="009F040C">
      <w:pPr>
        <w:numPr>
          <w:ilvl w:val="0"/>
          <w:numId w:val="10"/>
        </w:numPr>
      </w:pPr>
      <w:r>
        <w:t xml:space="preserve">Need for </w:t>
      </w:r>
      <w:r w:rsidR="00A67076">
        <w:t>P</w:t>
      </w:r>
      <w:r>
        <w:t>rocurement</w:t>
      </w:r>
    </w:p>
    <w:p w:rsidR="009F040C" w:rsidRDefault="00A67076" w:rsidP="009F040C">
      <w:pPr>
        <w:numPr>
          <w:ilvl w:val="0"/>
          <w:numId w:val="10"/>
        </w:numPr>
      </w:pPr>
      <w:r>
        <w:t>Cost R</w:t>
      </w:r>
      <w:r w:rsidR="009F040C">
        <w:t>easonableness</w:t>
      </w:r>
    </w:p>
    <w:p w:rsidR="009D11A7" w:rsidRDefault="009D11A7" w:rsidP="009F040C">
      <w:pPr>
        <w:numPr>
          <w:ilvl w:val="0"/>
          <w:numId w:val="10"/>
        </w:numPr>
      </w:pPr>
      <w:r>
        <w:t>Public Safety</w:t>
      </w:r>
    </w:p>
    <w:p w:rsidR="009F040C" w:rsidRDefault="00A67076" w:rsidP="009F040C">
      <w:pPr>
        <w:numPr>
          <w:ilvl w:val="0"/>
          <w:numId w:val="10"/>
        </w:numPr>
      </w:pPr>
      <w:r>
        <w:t>Project V</w:t>
      </w:r>
      <w:r w:rsidR="009F040C">
        <w:t xml:space="preserve">iability </w:t>
      </w:r>
    </w:p>
    <w:p w:rsidR="009F040C" w:rsidRDefault="009F040C" w:rsidP="009F040C">
      <w:pPr>
        <w:numPr>
          <w:ilvl w:val="0"/>
          <w:numId w:val="10"/>
        </w:numPr>
      </w:pPr>
      <w:r>
        <w:t>Consistency with the Emissions Performance Standard</w:t>
      </w:r>
    </w:p>
    <w:p w:rsidR="009F040C" w:rsidRDefault="009F040C" w:rsidP="009F040C">
      <w:pPr>
        <w:numPr>
          <w:ilvl w:val="0"/>
          <w:numId w:val="10"/>
        </w:numPr>
        <w:spacing w:after="120"/>
      </w:pPr>
      <w:r>
        <w:lastRenderedPageBreak/>
        <w:t>Consistency with D.02-08-071</w:t>
      </w:r>
      <w:r w:rsidR="00A90656">
        <w:t xml:space="preserve"> and D.07-12-052</w:t>
      </w:r>
      <w:r>
        <w:t xml:space="preserve">, which </w:t>
      </w:r>
      <w:r w:rsidR="00A90656">
        <w:t xml:space="preserve">respectively </w:t>
      </w:r>
      <w:r>
        <w:t>require Procurement Review Group (</w:t>
      </w:r>
      <w:r w:rsidR="00A90656">
        <w:t>“</w:t>
      </w:r>
      <w:r>
        <w:t>PRG</w:t>
      </w:r>
      <w:r w:rsidR="00A90656">
        <w:t>”</w:t>
      </w:r>
      <w:r>
        <w:t>)</w:t>
      </w:r>
      <w:r w:rsidR="00A90656">
        <w:t xml:space="preserve"> and Cost Allocation Mechanism Group</w:t>
      </w:r>
      <w:r>
        <w:t xml:space="preserve"> participation</w:t>
      </w:r>
    </w:p>
    <w:p w:rsidR="00CF17DE" w:rsidRDefault="009F040C" w:rsidP="00BE7E51">
      <w:pPr>
        <w:spacing w:after="240"/>
      </w:pPr>
      <w:r>
        <w:t xml:space="preserve">In considering these factors, Energy Division </w:t>
      </w:r>
      <w:r w:rsidR="00675683">
        <w:t>typically</w:t>
      </w:r>
      <w:r>
        <w:t xml:space="preserve"> considers the analysis and recommendations of an Independent Evaluator</w:t>
      </w:r>
      <w:r w:rsidR="00097845">
        <w:t xml:space="preserve"> (</w:t>
      </w:r>
      <w:r w:rsidR="00480493">
        <w:t>“</w:t>
      </w:r>
      <w:r w:rsidR="00097845">
        <w:t>IE</w:t>
      </w:r>
      <w:r w:rsidR="00480493">
        <w:t>”</w:t>
      </w:r>
      <w:r w:rsidR="00097845">
        <w:t>)</w:t>
      </w:r>
      <w:r>
        <w:t>, if available.</w:t>
      </w:r>
      <w:r>
        <w:rPr>
          <w:rStyle w:val="FootnoteReference"/>
        </w:rPr>
        <w:footnoteReference w:id="8"/>
      </w:r>
      <w:r w:rsidR="00097845">
        <w:t xml:space="preserve"> </w:t>
      </w:r>
      <w:r w:rsidR="00675683">
        <w:t xml:space="preserve">SDG&amp;E elected not to use an IE for the modified standard form PPA with Kelco. </w:t>
      </w:r>
    </w:p>
    <w:p w:rsidR="009F040C" w:rsidRDefault="009F040C" w:rsidP="00BE7E51">
      <w:pPr>
        <w:spacing w:after="120"/>
        <w:rPr>
          <w:b/>
        </w:rPr>
      </w:pPr>
      <w:r>
        <w:rPr>
          <w:b/>
        </w:rPr>
        <w:t>Consistency with D.10-12-035 which approved the QF/CHP Program Settlement:</w:t>
      </w:r>
      <w:r>
        <w:rPr>
          <w:b/>
        </w:rPr>
        <w:tab/>
      </w:r>
    </w:p>
    <w:p w:rsidR="009F040C" w:rsidRDefault="009F040C" w:rsidP="00BE7E51">
      <w:pPr>
        <w:spacing w:after="240"/>
      </w:pPr>
      <w:r>
        <w:t>On December 16, 2010, the Commission adopted the QF/CHP Program Settlement with the issuance of D.10-12-035. The Settlement resolves a number of longstanding issues regarding the contractual obligations and procurement options for facilities operating under legacy and new QF contracts. Among other things, it establishes methodologies and formulas for calcula</w:t>
      </w:r>
      <w:r w:rsidR="00D80AB8">
        <w:t>ting SRAC to be used in the new QF S</w:t>
      </w:r>
      <w:r>
        <w:t xml:space="preserve">tandard </w:t>
      </w:r>
      <w:r w:rsidR="00D80AB8">
        <w:t>Offer Contract</w:t>
      </w:r>
      <w:r>
        <w:t>. Furthermore, the Settlement allows for bilaterally negotiated contracts with QF</w:t>
      </w:r>
      <w:r w:rsidR="006D43B9">
        <w:t xml:space="preserve"> CHP</w:t>
      </w:r>
      <w:r>
        <w:t xml:space="preserve">s to determine energy and capacity payments mutually agreeable by relevant parties and subject to CPUC approval. Finally, the Settlement establishes a MW and GHG target for the IOUs. The IOUs must procure </w:t>
      </w:r>
      <w:r w:rsidR="00874665">
        <w:t xml:space="preserve">a minimum of </w:t>
      </w:r>
      <w:r>
        <w:t>3,000 MW of CHP</w:t>
      </w:r>
      <w:r w:rsidR="00C57860">
        <w:t>. The IOUs must</w:t>
      </w:r>
      <w:r>
        <w:t xml:space="preserve"> </w:t>
      </w:r>
      <w:r w:rsidR="008A3972">
        <w:t>reduce</w:t>
      </w:r>
      <w:r>
        <w:t xml:space="preserve"> greenhouse gas emission</w:t>
      </w:r>
      <w:r w:rsidR="008A3972">
        <w:t>s</w:t>
      </w:r>
      <w:r>
        <w:t xml:space="preserve"> </w:t>
      </w:r>
      <w:r w:rsidR="00C57860">
        <w:t xml:space="preserve">consistent with their allocation of the CARB Scoping Plan CHP Recommended Reduction Measure </w:t>
      </w:r>
      <w:r>
        <w:t xml:space="preserve">in proportion to the </w:t>
      </w:r>
      <w:r w:rsidR="00C57860">
        <w:t>IOU</w:t>
      </w:r>
      <w:r w:rsidR="00874665">
        <w:t>s</w:t>
      </w:r>
      <w:r w:rsidR="002A0E97">
        <w:t>’</w:t>
      </w:r>
      <w:r w:rsidR="00C57860">
        <w:t xml:space="preserve"> and ESP</w:t>
      </w:r>
      <w:r w:rsidR="002A0E97">
        <w:t>s</w:t>
      </w:r>
      <w:r w:rsidR="00C57860">
        <w:t>/CCA</w:t>
      </w:r>
      <w:r w:rsidR="00874665">
        <w:t>s</w:t>
      </w:r>
      <w:r w:rsidR="002A0E97">
        <w:t>’</w:t>
      </w:r>
      <w:r w:rsidR="00874665">
        <w:t xml:space="preserve"> current</w:t>
      </w:r>
      <w:r w:rsidR="00C57860">
        <w:t xml:space="preserve"> share of statewide retail electricity </w:t>
      </w:r>
      <w:r>
        <w:t xml:space="preserve">load. The QF/CHP Settlement became effective on November 23, 2011. </w:t>
      </w:r>
      <w:r w:rsidR="0023633B">
        <w:t>The Settlement Term Sheet establishes criteria for contracts with Facilities including:</w:t>
      </w:r>
    </w:p>
    <w:p w:rsidR="005734DC" w:rsidRDefault="005734DC" w:rsidP="00BE7E51">
      <w:pPr>
        <w:spacing w:after="120"/>
        <w:rPr>
          <w:i/>
        </w:rPr>
      </w:pPr>
      <w:r>
        <w:rPr>
          <w:i/>
        </w:rPr>
        <w:t>Consistency with</w:t>
      </w:r>
      <w:r w:rsidR="00E90040">
        <w:rPr>
          <w:i/>
        </w:rPr>
        <w:t xml:space="preserve"> Settlement Requirements </w:t>
      </w:r>
      <w:r w:rsidR="007F78E6">
        <w:rPr>
          <w:i/>
        </w:rPr>
        <w:t>for Transition</w:t>
      </w:r>
      <w:r>
        <w:rPr>
          <w:i/>
        </w:rPr>
        <w:t xml:space="preserve"> PPA Matters</w:t>
      </w:r>
    </w:p>
    <w:p w:rsidR="00035E4D" w:rsidRDefault="00290A69" w:rsidP="003F7F7C">
      <w:pPr>
        <w:spacing w:after="120"/>
      </w:pPr>
      <w:r>
        <w:t>Per Section 2.1.1 of the Settlement Term Sheet, the Transition Period is a period in which a CHP Facility w</w:t>
      </w:r>
      <w:r w:rsidR="00104BBE">
        <w:t>ill either:</w:t>
      </w:r>
      <w:r w:rsidR="005032B1">
        <w:t xml:space="preserve"> </w:t>
      </w:r>
      <w:r>
        <w:t xml:space="preserve">obtain a new PPA as per Section 4, sell into the wholesale market, shut down, or cease export to the grid. </w:t>
      </w:r>
      <w:r w:rsidR="00035E4D">
        <w:t xml:space="preserve">In addition, per Section 3.1, </w:t>
      </w:r>
      <w:r w:rsidR="007521D0">
        <w:t>during the Transition Period</w:t>
      </w:r>
      <w:r w:rsidR="00F8682F">
        <w:t xml:space="preserve"> only</w:t>
      </w:r>
      <w:r w:rsidR="007521D0">
        <w:t xml:space="preserve"> </w:t>
      </w:r>
      <w:r w:rsidR="00035E4D">
        <w:t xml:space="preserve">certain CHP Facilities are eligible to execute a Transition PPA. </w:t>
      </w:r>
      <w:r>
        <w:t xml:space="preserve">These Transition Period actions are </w:t>
      </w:r>
      <w:r w:rsidR="00035E4D">
        <w:t>permitted</w:t>
      </w:r>
      <w:r>
        <w:t xml:space="preserve"> in part to meet the Objectives of the </w:t>
      </w:r>
      <w:r w:rsidR="007521D0">
        <w:t xml:space="preserve">State </w:t>
      </w:r>
      <w:r>
        <w:t>CHP Program</w:t>
      </w:r>
      <w:r w:rsidR="00035E4D">
        <w:t xml:space="preserve"> </w:t>
      </w:r>
      <w:r w:rsidR="007521D0">
        <w:t xml:space="preserve">(“CHP Program”) </w:t>
      </w:r>
      <w:r w:rsidR="00035E4D">
        <w:t xml:space="preserve">outlined </w:t>
      </w:r>
      <w:r w:rsidR="00035E4D">
        <w:lastRenderedPageBreak/>
        <w:t>in Section 1.2.2, which include provid</w:t>
      </w:r>
      <w:r w:rsidR="00027916">
        <w:t xml:space="preserve">ing </w:t>
      </w:r>
      <w:r w:rsidR="00035E4D">
        <w:t>an orderly exit strategy for CHP Facilities that cannot participate, or are unsuccessful, in the new CHP Program.</w:t>
      </w:r>
      <w:r w:rsidR="00035E4D">
        <w:rPr>
          <w:rStyle w:val="FootnoteReference"/>
        </w:rPr>
        <w:footnoteReference w:id="9"/>
      </w:r>
    </w:p>
    <w:p w:rsidR="00290A69" w:rsidRPr="00A52772" w:rsidRDefault="00035E4D" w:rsidP="00BE7E51">
      <w:pPr>
        <w:spacing w:after="120"/>
        <w:rPr>
          <w:u w:val="single"/>
        </w:rPr>
      </w:pPr>
      <w:r w:rsidRPr="00A52772">
        <w:rPr>
          <w:u w:val="single"/>
        </w:rPr>
        <w:t>The Transition Period and Transition PPA are part of the CHP Program as defined in the Settlement Term Sheet.</w:t>
      </w:r>
    </w:p>
    <w:p w:rsidR="005734DC" w:rsidRDefault="00A215BE" w:rsidP="00BE7E51">
      <w:pPr>
        <w:spacing w:after="120"/>
      </w:pPr>
      <w:r w:rsidRPr="005734DC">
        <w:t xml:space="preserve">Per Section 3.1 </w:t>
      </w:r>
      <w:r w:rsidR="009F040C" w:rsidRPr="005734DC">
        <w:t xml:space="preserve">of the </w:t>
      </w:r>
      <w:r w:rsidR="000B2860">
        <w:t xml:space="preserve">Settlement </w:t>
      </w:r>
      <w:r w:rsidR="009F040C" w:rsidRPr="005734DC">
        <w:t xml:space="preserve">Term Sheet, </w:t>
      </w:r>
      <w:r w:rsidR="005734DC" w:rsidRPr="005734DC">
        <w:t xml:space="preserve">a CHP Facility currently selling to an IOU under a Legacy PPA or an extension thereof that is expiring during the Transition Period is eligible to sign a Transition PPA with the same IOU-Buyer. </w:t>
      </w:r>
    </w:p>
    <w:p w:rsidR="00D72015" w:rsidRPr="005734DC" w:rsidRDefault="00D72015" w:rsidP="00BE7E51">
      <w:pPr>
        <w:spacing w:after="120"/>
      </w:pPr>
      <w:r w:rsidRPr="00E52F02">
        <w:rPr>
          <w:u w:val="single"/>
        </w:rPr>
        <w:t>Pursuant to the QF/CHP Settlem</w:t>
      </w:r>
      <w:r w:rsidR="006805E0">
        <w:rPr>
          <w:u w:val="single"/>
        </w:rPr>
        <w:t xml:space="preserve">ent, </w:t>
      </w:r>
      <w:r w:rsidR="00303482">
        <w:rPr>
          <w:u w:val="single"/>
        </w:rPr>
        <w:t>SDG&amp;E</w:t>
      </w:r>
      <w:r w:rsidR="006805E0">
        <w:rPr>
          <w:u w:val="single"/>
        </w:rPr>
        <w:t xml:space="preserve"> is permitted to enter</w:t>
      </w:r>
      <w:r w:rsidRPr="00E52F02">
        <w:rPr>
          <w:u w:val="single"/>
        </w:rPr>
        <w:t xml:space="preserve"> Transition </w:t>
      </w:r>
      <w:r w:rsidR="005A19DB">
        <w:rPr>
          <w:u w:val="single"/>
        </w:rPr>
        <w:t>A</w:t>
      </w:r>
      <w:r w:rsidRPr="00E52F02">
        <w:rPr>
          <w:u w:val="single"/>
        </w:rPr>
        <w:t>greement</w:t>
      </w:r>
      <w:r w:rsidR="006805E0">
        <w:rPr>
          <w:u w:val="single"/>
        </w:rPr>
        <w:t>s</w:t>
      </w:r>
      <w:r w:rsidRPr="00E52F02">
        <w:rPr>
          <w:u w:val="single"/>
        </w:rPr>
        <w:t xml:space="preserve"> with </w:t>
      </w:r>
      <w:r w:rsidR="00F43BA6">
        <w:rPr>
          <w:u w:val="single"/>
        </w:rPr>
        <w:t>CP Kelco</w:t>
      </w:r>
      <w:r w:rsidR="005A19DB" w:rsidRPr="00E52F02">
        <w:rPr>
          <w:u w:val="single"/>
        </w:rPr>
        <w:t xml:space="preserve"> </w:t>
      </w:r>
      <w:r w:rsidR="002967CA">
        <w:rPr>
          <w:u w:val="single"/>
        </w:rPr>
        <w:t xml:space="preserve">since </w:t>
      </w:r>
      <w:r w:rsidR="00F43BA6">
        <w:rPr>
          <w:u w:val="single"/>
        </w:rPr>
        <w:t xml:space="preserve">the </w:t>
      </w:r>
      <w:r w:rsidR="002967CA">
        <w:rPr>
          <w:u w:val="single"/>
        </w:rPr>
        <w:t xml:space="preserve">facility is </w:t>
      </w:r>
      <w:r w:rsidRPr="00E52F02">
        <w:rPr>
          <w:u w:val="single"/>
        </w:rPr>
        <w:t xml:space="preserve">currently selling to </w:t>
      </w:r>
      <w:r w:rsidR="00303482">
        <w:rPr>
          <w:u w:val="single"/>
        </w:rPr>
        <w:t>SDG&amp;E</w:t>
      </w:r>
      <w:r w:rsidRPr="00E52F02">
        <w:rPr>
          <w:u w:val="single"/>
        </w:rPr>
        <w:t xml:space="preserve"> under a Legacy PPA.</w:t>
      </w:r>
      <w:r>
        <w:rPr>
          <w:u w:val="single"/>
        </w:rPr>
        <w:t xml:space="preserve"> </w:t>
      </w:r>
    </w:p>
    <w:p w:rsidR="00E05683" w:rsidRDefault="005734DC" w:rsidP="002D128B">
      <w:pPr>
        <w:spacing w:after="120"/>
        <w:rPr>
          <w:color w:val="FF0000"/>
        </w:rPr>
      </w:pPr>
      <w:r w:rsidRPr="005734DC">
        <w:t xml:space="preserve">Per Section 3.1.2 </w:t>
      </w:r>
      <w:r w:rsidR="000B2860">
        <w:t>of the Settlement Term Sheet</w:t>
      </w:r>
      <w:r w:rsidR="001F4641">
        <w:t>,</w:t>
      </w:r>
      <w:r w:rsidR="000B2860">
        <w:t xml:space="preserve"> </w:t>
      </w:r>
      <w:r w:rsidR="00FE6DA5">
        <w:t>t</w:t>
      </w:r>
      <w:r w:rsidR="00BF049E">
        <w:t xml:space="preserve">he Kelco </w:t>
      </w:r>
      <w:r w:rsidR="006805E0">
        <w:t xml:space="preserve">Transition </w:t>
      </w:r>
      <w:r w:rsidR="00BF049E">
        <w:t>Agreement</w:t>
      </w:r>
      <w:r w:rsidR="006805E0" w:rsidRPr="00E05683">
        <w:t xml:space="preserve"> will terminate</w:t>
      </w:r>
      <w:r w:rsidR="002D128B" w:rsidRPr="002D128B">
        <w:t xml:space="preserve"> </w:t>
      </w:r>
      <w:r w:rsidR="00E54FBC">
        <w:t xml:space="preserve">on July 1, 2015 or at an earlier date </w:t>
      </w:r>
      <w:r w:rsidR="002D128B" w:rsidRPr="00E05683">
        <w:t>upon elec</w:t>
      </w:r>
      <w:r w:rsidR="00FE6DA5">
        <w:t>tion of the s</w:t>
      </w:r>
      <w:r w:rsidR="002D128B" w:rsidRPr="00E05683">
        <w:t>eller</w:t>
      </w:r>
      <w:r w:rsidR="00E54FBC">
        <w:t xml:space="preserve"> or</w:t>
      </w:r>
      <w:r w:rsidR="00BF049E">
        <w:t xml:space="preserve"> buyer. The Transition PPA will commence thirty days after the Commission approval.</w:t>
      </w:r>
    </w:p>
    <w:p w:rsidR="00D72015" w:rsidRDefault="00FE6DA5" w:rsidP="00BE7E51">
      <w:pPr>
        <w:spacing w:after="120"/>
      </w:pPr>
      <w:r>
        <w:rPr>
          <w:u w:val="single"/>
        </w:rPr>
        <w:t xml:space="preserve">The Transition </w:t>
      </w:r>
      <w:r w:rsidRPr="00FE6DA5">
        <w:rPr>
          <w:u w:val="single"/>
        </w:rPr>
        <w:t xml:space="preserve">Agreement will terminate </w:t>
      </w:r>
      <w:r w:rsidR="00E54FBC">
        <w:rPr>
          <w:u w:val="single"/>
        </w:rPr>
        <w:t xml:space="preserve">on July 1, 2015 or </w:t>
      </w:r>
      <w:r w:rsidRPr="00FE6DA5">
        <w:rPr>
          <w:u w:val="single"/>
        </w:rPr>
        <w:t>upon election of the seller</w:t>
      </w:r>
      <w:r w:rsidR="00E54FBC">
        <w:rPr>
          <w:u w:val="single"/>
        </w:rPr>
        <w:t xml:space="preserve"> prior to that date.</w:t>
      </w:r>
      <w:r w:rsidRPr="00FE6DA5">
        <w:rPr>
          <w:u w:val="single"/>
        </w:rPr>
        <w:t>. The Transition PPA will commence thirty days after the Commission approval</w:t>
      </w:r>
      <w:r w:rsidR="00D72015">
        <w:rPr>
          <w:u w:val="single"/>
        </w:rPr>
        <w:t>.</w:t>
      </w:r>
    </w:p>
    <w:p w:rsidR="005734EC" w:rsidRDefault="005734DC" w:rsidP="00BE7E51">
      <w:pPr>
        <w:spacing w:after="120"/>
      </w:pPr>
      <w:r>
        <w:t xml:space="preserve">The Transition PPA is a modification of the QF Standard Offer Contract (“SOC”) for </w:t>
      </w:r>
      <w:r w:rsidR="00E54FBC">
        <w:t xml:space="preserve">duration of </w:t>
      </w:r>
      <w:r>
        <w:t>the Transition Period. The Standard Form</w:t>
      </w:r>
      <w:r w:rsidR="007F78E6">
        <w:t xml:space="preserve"> </w:t>
      </w:r>
      <w:r>
        <w:t xml:space="preserve">Transition PPA was attached to the QF/CHP Settlement Agreement Term Sheet as Exhibit 4. </w:t>
      </w:r>
      <w:r w:rsidR="00C710D2">
        <w:br/>
      </w:r>
      <w:r>
        <w:t>Sec</w:t>
      </w:r>
      <w:r w:rsidR="00081213">
        <w:t>t</w:t>
      </w:r>
      <w:r>
        <w:t>ion 3.4 of the Term Sheet outlines the modifications to the SOC</w:t>
      </w:r>
      <w:r w:rsidR="00081213">
        <w:t xml:space="preserve"> for the Transition PPA.</w:t>
      </w:r>
    </w:p>
    <w:p w:rsidR="00F8682F" w:rsidRDefault="00FE6DA5" w:rsidP="00B163D1">
      <w:pPr>
        <w:spacing w:after="120"/>
      </w:pPr>
      <w:r>
        <w:t>As briefly discussed in the background section of this resolution, t</w:t>
      </w:r>
      <w:r w:rsidR="00116038">
        <w:t>he</w:t>
      </w:r>
      <w:r>
        <w:t xml:space="preserve"> Kelco</w:t>
      </w:r>
      <w:r w:rsidR="00116038">
        <w:t xml:space="preserve"> T</w:t>
      </w:r>
      <w:r w:rsidR="005734EC">
        <w:t>ransition PPA</w:t>
      </w:r>
      <w:r w:rsidR="008A5F09">
        <w:t>s</w:t>
      </w:r>
      <w:r w:rsidR="005734EC">
        <w:t xml:space="preserve"> </w:t>
      </w:r>
      <w:r w:rsidR="008A5F09">
        <w:t>contain</w:t>
      </w:r>
      <w:r w:rsidR="00116038">
        <w:t xml:space="preserve"> the terms of the Standard Form</w:t>
      </w:r>
      <w:r w:rsidR="006C2B77">
        <w:t xml:space="preserve"> </w:t>
      </w:r>
      <w:r w:rsidR="00D85ED3">
        <w:t xml:space="preserve">Transition </w:t>
      </w:r>
      <w:r w:rsidR="006C2B77">
        <w:t>PPA</w:t>
      </w:r>
      <w:r w:rsidR="00116038">
        <w:t xml:space="preserve"> with </w:t>
      </w:r>
      <w:r>
        <w:t>four non-standard terms</w:t>
      </w:r>
      <w:r w:rsidR="00D85ED3">
        <w:t xml:space="preserve">. </w:t>
      </w:r>
      <w:r>
        <w:t>Kelco and</w:t>
      </w:r>
      <w:r w:rsidR="00D85ED3">
        <w:t xml:space="preserve"> </w:t>
      </w:r>
      <w:r w:rsidR="00303482">
        <w:t>SDG&amp;E</w:t>
      </w:r>
      <w:r w:rsidR="00D85ED3">
        <w:t xml:space="preserve"> agreed to modify </w:t>
      </w:r>
      <w:r w:rsidR="008A5F09">
        <w:t xml:space="preserve">or add </w:t>
      </w:r>
      <w:r w:rsidR="00D85ED3">
        <w:t>sections</w:t>
      </w:r>
      <w:r w:rsidR="008A5F09">
        <w:t xml:space="preserve"> regarding</w:t>
      </w:r>
      <w:r>
        <w:t>:</w:t>
      </w:r>
      <w:r w:rsidR="008A5F09">
        <w:t xml:space="preserve"> </w:t>
      </w:r>
      <w:r>
        <w:t>1) Termination right of the buyer; 2) Termination right of the seller; 3) Modified scheduling coordinator set-up fee; 4) Modified monthly scheduling coordinator fee.</w:t>
      </w:r>
    </w:p>
    <w:p w:rsidR="00FE6DA5" w:rsidRDefault="00FE6DA5" w:rsidP="00FE6DA5">
      <w:pPr>
        <w:numPr>
          <w:ilvl w:val="0"/>
          <w:numId w:val="22"/>
        </w:numPr>
        <w:spacing w:after="120"/>
      </w:pPr>
      <w:r>
        <w:t>Termination right of the buyer</w:t>
      </w:r>
    </w:p>
    <w:p w:rsidR="00FE6DA5" w:rsidRDefault="00FE6DA5" w:rsidP="00FE6DA5">
      <w:pPr>
        <w:spacing w:after="120"/>
        <w:ind w:left="720"/>
      </w:pPr>
      <w:r>
        <w:lastRenderedPageBreak/>
        <w:t>The standard transition PPA has been modified to allow SG&amp;E a termination right</w:t>
      </w:r>
      <w:r w:rsidR="006D43B9">
        <w:t xml:space="preserve"> over the agreement</w:t>
      </w:r>
      <w:r>
        <w:t>. This modification was made in concer</w:t>
      </w:r>
      <w:r w:rsidR="007615BD">
        <w:t>t</w:t>
      </w:r>
      <w:r>
        <w:t xml:space="preserve"> with expanding the termination rights of the seller.</w:t>
      </w:r>
    </w:p>
    <w:p w:rsidR="00FE6DA5" w:rsidRDefault="00FE6DA5" w:rsidP="00FE6DA5">
      <w:pPr>
        <w:numPr>
          <w:ilvl w:val="0"/>
          <w:numId w:val="22"/>
        </w:numPr>
        <w:spacing w:after="120"/>
      </w:pPr>
      <w:r>
        <w:t>Termination right of the seller</w:t>
      </w:r>
    </w:p>
    <w:p w:rsidR="007615BD" w:rsidRDefault="007615BD" w:rsidP="007615BD">
      <w:pPr>
        <w:spacing w:after="120"/>
        <w:ind w:left="720"/>
      </w:pPr>
      <w:r>
        <w:t>Similarly t</w:t>
      </w:r>
      <w:r w:rsidRPr="00FE6DA5">
        <w:t xml:space="preserve">he standard transition PPA has been modified to allow </w:t>
      </w:r>
      <w:r>
        <w:t>Kelco to have</w:t>
      </w:r>
      <w:r w:rsidRPr="00FE6DA5">
        <w:t xml:space="preserve"> termination right</w:t>
      </w:r>
      <w:r>
        <w:t>s</w:t>
      </w:r>
      <w:r w:rsidR="006D43B9">
        <w:t xml:space="preserve"> over the agreement</w:t>
      </w:r>
      <w:r>
        <w:t>. This was primarily negotiated due to concerns Kelco has over its future business operations.</w:t>
      </w:r>
    </w:p>
    <w:p w:rsidR="007615BD" w:rsidRDefault="007615BD" w:rsidP="00FE6DA5">
      <w:pPr>
        <w:numPr>
          <w:ilvl w:val="0"/>
          <w:numId w:val="22"/>
        </w:numPr>
        <w:spacing w:after="120"/>
      </w:pPr>
      <w:r>
        <w:t>Modified Scheduling Coordinator set-up fee</w:t>
      </w:r>
    </w:p>
    <w:p w:rsidR="007615BD" w:rsidRDefault="007615BD" w:rsidP="007615BD">
      <w:pPr>
        <w:spacing w:after="120"/>
        <w:ind w:left="720"/>
      </w:pPr>
      <w:r>
        <w:t>Scheduling Coordinator set</w:t>
      </w:r>
      <w:r w:rsidR="0064486C">
        <w:t>-</w:t>
      </w:r>
      <w:r>
        <w:t>up fee, was modified in part to accommodate Kelco’s future uncertainty and in part due to SDG&amp;E’s current practice regarding generators of similar size.</w:t>
      </w:r>
    </w:p>
    <w:p w:rsidR="007615BD" w:rsidRDefault="007615BD" w:rsidP="00FE6DA5">
      <w:pPr>
        <w:numPr>
          <w:ilvl w:val="0"/>
          <w:numId w:val="22"/>
        </w:numPr>
        <w:spacing w:after="120"/>
      </w:pPr>
      <w:r>
        <w:t>Modified monthly scheduling coordinator fee</w:t>
      </w:r>
    </w:p>
    <w:p w:rsidR="007615BD" w:rsidRDefault="007615BD" w:rsidP="007615BD">
      <w:pPr>
        <w:spacing w:after="120"/>
        <w:ind w:left="720"/>
      </w:pPr>
      <w:r>
        <w:t xml:space="preserve">Similarly the Monthly scheduling fee was also modified because of Kelco’s concerns regarding the amount of such fees. The change is consistent with SDG&amp;E’s current practice regarding generators of similar size.  </w:t>
      </w:r>
    </w:p>
    <w:p w:rsidR="00493819" w:rsidRPr="00BF40BC" w:rsidRDefault="009E6CDB" w:rsidP="00BE7E51">
      <w:pPr>
        <w:spacing w:after="120"/>
      </w:pPr>
      <w:r>
        <w:t>Staff reviewed the four modification</w:t>
      </w:r>
      <w:r w:rsidR="003A66E1">
        <w:t>s</w:t>
      </w:r>
      <w:r>
        <w:t xml:space="preserve"> explained</w:t>
      </w:r>
      <w:r w:rsidR="006D43B9">
        <w:t xml:space="preserve"> above</w:t>
      </w:r>
      <w:r>
        <w:t xml:space="preserve"> </w:t>
      </w:r>
      <w:r w:rsidR="003A66E1">
        <w:t xml:space="preserve">in detail </w:t>
      </w:r>
      <w:r>
        <w:t xml:space="preserve">and concluded that </w:t>
      </w:r>
      <w:r w:rsidR="003A66E1">
        <w:t>each modification is</w:t>
      </w:r>
      <w:r>
        <w:t xml:space="preserve"> reasonable </w:t>
      </w:r>
      <w:r w:rsidR="003A66E1">
        <w:t xml:space="preserve">and that they </w:t>
      </w:r>
      <w:r w:rsidR="0064486C">
        <w:t xml:space="preserve">satisfy </w:t>
      </w:r>
      <w:r w:rsidRPr="00BF40BC">
        <w:t xml:space="preserve">precedential </w:t>
      </w:r>
      <w:r w:rsidR="001174F1" w:rsidRPr="00BF40BC">
        <w:t xml:space="preserve">conditions and party obligations in </w:t>
      </w:r>
      <w:r>
        <w:t>gaining</w:t>
      </w:r>
      <w:r w:rsidRPr="00BF40BC">
        <w:t xml:space="preserve"> </w:t>
      </w:r>
      <w:r w:rsidR="001174F1" w:rsidRPr="00BF40BC">
        <w:t xml:space="preserve">CPUC </w:t>
      </w:r>
      <w:r w:rsidR="00393D65" w:rsidRPr="00BF40BC">
        <w:t>approval</w:t>
      </w:r>
      <w:r w:rsidR="001174F1" w:rsidRPr="00BF40BC">
        <w:t>.</w:t>
      </w:r>
      <w:r w:rsidR="006D43B9">
        <w:t xml:space="preserve"> Additional review of the modifications done to the Agreement can be seen in the confidential appendix of this resolution.</w:t>
      </w:r>
    </w:p>
    <w:p w:rsidR="00001331" w:rsidRDefault="00303482" w:rsidP="00F03045">
      <w:pPr>
        <w:spacing w:after="240"/>
        <w:rPr>
          <w:u w:val="single"/>
        </w:rPr>
      </w:pPr>
      <w:r>
        <w:rPr>
          <w:u w:val="single"/>
        </w:rPr>
        <w:t>SDG&amp;E</w:t>
      </w:r>
      <w:r w:rsidR="00BF40BC" w:rsidRPr="00B222C9">
        <w:rPr>
          <w:u w:val="single"/>
        </w:rPr>
        <w:t xml:space="preserve"> modified the Transition PPA</w:t>
      </w:r>
      <w:r w:rsidR="00BF40BC">
        <w:rPr>
          <w:u w:val="single"/>
        </w:rPr>
        <w:t>s</w:t>
      </w:r>
      <w:r w:rsidR="00BF40BC" w:rsidRPr="00B222C9">
        <w:rPr>
          <w:u w:val="single"/>
        </w:rPr>
        <w:t xml:space="preserve"> to </w:t>
      </w:r>
      <w:r w:rsidR="009E6CDB">
        <w:rPr>
          <w:u w:val="single"/>
        </w:rPr>
        <w:t>grant both the buyer and seller termination rights due the future uncertainty of the Kelco facility</w:t>
      </w:r>
      <w:r w:rsidR="00BF40BC" w:rsidRPr="00B222C9">
        <w:rPr>
          <w:u w:val="single"/>
        </w:rPr>
        <w:t>.</w:t>
      </w:r>
      <w:r w:rsidR="009E6CDB">
        <w:rPr>
          <w:u w:val="single"/>
        </w:rPr>
        <w:t xml:space="preserve"> Furthermore</w:t>
      </w:r>
      <w:r w:rsidR="003A66E1">
        <w:rPr>
          <w:u w:val="single"/>
        </w:rPr>
        <w:t>,</w:t>
      </w:r>
      <w:r w:rsidR="009E6CDB">
        <w:rPr>
          <w:u w:val="single"/>
        </w:rPr>
        <w:t xml:space="preserve"> the Transition PPA was modified to set the Scheduling </w:t>
      </w:r>
      <w:r w:rsidR="003A66E1">
        <w:rPr>
          <w:u w:val="single"/>
        </w:rPr>
        <w:t>C</w:t>
      </w:r>
      <w:r w:rsidR="009E6CDB">
        <w:rPr>
          <w:u w:val="single"/>
        </w:rPr>
        <w:t>oordinator fee and set-up fee</w:t>
      </w:r>
      <w:r w:rsidR="00BF40BC">
        <w:rPr>
          <w:u w:val="single"/>
        </w:rPr>
        <w:t xml:space="preserve"> </w:t>
      </w:r>
      <w:r w:rsidR="009E6CDB">
        <w:rPr>
          <w:u w:val="single"/>
        </w:rPr>
        <w:t>to address the concerns of the seller.</w:t>
      </w:r>
    </w:p>
    <w:p w:rsidR="009F040C" w:rsidRDefault="009F040C" w:rsidP="00BE7E51">
      <w:pPr>
        <w:spacing w:after="120"/>
        <w:rPr>
          <w:i/>
        </w:rPr>
      </w:pPr>
      <w:r>
        <w:rPr>
          <w:i/>
        </w:rPr>
        <w:t xml:space="preserve">Consistency with </w:t>
      </w:r>
      <w:r w:rsidR="00267772">
        <w:rPr>
          <w:i/>
        </w:rPr>
        <w:t xml:space="preserve">Settlement </w:t>
      </w:r>
      <w:r>
        <w:rPr>
          <w:i/>
        </w:rPr>
        <w:t xml:space="preserve">MW </w:t>
      </w:r>
      <w:r w:rsidR="00940271">
        <w:rPr>
          <w:i/>
        </w:rPr>
        <w:t>Counting Rules</w:t>
      </w:r>
    </w:p>
    <w:p w:rsidR="009F040C" w:rsidRDefault="009F040C" w:rsidP="00BE7E51">
      <w:pPr>
        <w:spacing w:after="120"/>
      </w:pPr>
      <w:r>
        <w:t xml:space="preserve">Per Term Sheet Section </w:t>
      </w:r>
      <w:r w:rsidR="007004EF">
        <w:t>5.1.3</w:t>
      </w:r>
      <w:r>
        <w:t xml:space="preserve">, </w:t>
      </w:r>
      <w:r w:rsidR="00456DBB">
        <w:t>the IOUs are directed to enter into PPAs to meet the MW and GHG Emissions Reduction Targets consistent with the CHP Procurement Processes in Section 4</w:t>
      </w:r>
      <w:r>
        <w:t xml:space="preserve">. </w:t>
      </w:r>
      <w:r w:rsidR="00456DBB">
        <w:t>Transition PPAs are not listed as a Procurement Process in Section 4</w:t>
      </w:r>
      <w:r w:rsidR="00711344">
        <w:t>, their terms expire no later than the end of the Transition Period, and capacity under contract in a Transition PPA does not count toward a utility’s MW Target</w:t>
      </w:r>
      <w:r w:rsidR="00A35B98">
        <w:t>s</w:t>
      </w:r>
      <w:r>
        <w:t>. This is appropriately reflected in the Advice Letter.</w:t>
      </w:r>
    </w:p>
    <w:p w:rsidR="009F040C" w:rsidRDefault="009F040C" w:rsidP="00BE7E51">
      <w:pPr>
        <w:spacing w:after="240"/>
      </w:pPr>
      <w:r w:rsidRPr="000F0601">
        <w:rPr>
          <w:u w:val="single"/>
        </w:rPr>
        <w:t>Pursuant to the QF/CHP Settlement, Sellers</w:t>
      </w:r>
      <w:r w:rsidR="005032B1">
        <w:rPr>
          <w:u w:val="single"/>
        </w:rPr>
        <w:t>’ contract capacities</w:t>
      </w:r>
      <w:r w:rsidRPr="000F0601">
        <w:rPr>
          <w:u w:val="single"/>
        </w:rPr>
        <w:t xml:space="preserve"> under the </w:t>
      </w:r>
      <w:r w:rsidR="00456DBB">
        <w:rPr>
          <w:u w:val="single"/>
        </w:rPr>
        <w:t xml:space="preserve">Transition </w:t>
      </w:r>
      <w:r w:rsidRPr="000F0601">
        <w:rPr>
          <w:u w:val="single"/>
        </w:rPr>
        <w:t>PPA</w:t>
      </w:r>
      <w:r w:rsidR="005032B1">
        <w:rPr>
          <w:u w:val="single"/>
        </w:rPr>
        <w:t>s</w:t>
      </w:r>
      <w:r w:rsidRPr="000F0601">
        <w:rPr>
          <w:u w:val="single"/>
        </w:rPr>
        <w:t xml:space="preserve"> do not count toward </w:t>
      </w:r>
      <w:r w:rsidR="00303482">
        <w:rPr>
          <w:u w:val="single"/>
        </w:rPr>
        <w:t>SDG&amp;E</w:t>
      </w:r>
      <w:r w:rsidRPr="000F0601">
        <w:rPr>
          <w:u w:val="single"/>
        </w:rPr>
        <w:t>’s MW pro</w:t>
      </w:r>
      <w:r w:rsidR="007004EF">
        <w:rPr>
          <w:u w:val="single"/>
        </w:rPr>
        <w:t>curement target</w:t>
      </w:r>
      <w:r>
        <w:rPr>
          <w:u w:val="single"/>
        </w:rPr>
        <w:t>.</w:t>
      </w:r>
    </w:p>
    <w:p w:rsidR="009F040C" w:rsidRDefault="009F040C" w:rsidP="00BE7E51">
      <w:pPr>
        <w:spacing w:after="120"/>
        <w:rPr>
          <w:i/>
        </w:rPr>
      </w:pPr>
      <w:r>
        <w:rPr>
          <w:i/>
        </w:rPr>
        <w:lastRenderedPageBreak/>
        <w:t xml:space="preserve">Consistency with </w:t>
      </w:r>
      <w:r w:rsidR="00267772">
        <w:rPr>
          <w:i/>
        </w:rPr>
        <w:t xml:space="preserve">Settlement </w:t>
      </w:r>
      <w:r>
        <w:rPr>
          <w:i/>
        </w:rPr>
        <w:t xml:space="preserve">Greenhouse Gas </w:t>
      </w:r>
      <w:r w:rsidR="00267772">
        <w:rPr>
          <w:i/>
        </w:rPr>
        <w:t>A</w:t>
      </w:r>
      <w:r>
        <w:rPr>
          <w:i/>
        </w:rPr>
        <w:t>ccounting</w:t>
      </w:r>
      <w:r w:rsidR="00267772">
        <w:rPr>
          <w:i/>
        </w:rPr>
        <w:t xml:space="preserve"> Methodology</w:t>
      </w:r>
    </w:p>
    <w:p w:rsidR="009F040C" w:rsidRDefault="00A35B98" w:rsidP="00BE7E51">
      <w:pPr>
        <w:spacing w:after="120"/>
      </w:pPr>
      <w:r>
        <w:t>P</w:t>
      </w:r>
      <w:r w:rsidR="00456DBB">
        <w:t xml:space="preserve">er Term Sheet Section 5.1.3, the IOUs are directed to enter into PPAs to meet the MW and GHG Emissions Reduction Targets consistent with the CHP Procurement Processes in Section 4. </w:t>
      </w:r>
      <w:r w:rsidR="00874665">
        <w:t xml:space="preserve">The </w:t>
      </w:r>
      <w:r w:rsidR="002E49C5">
        <w:t xml:space="preserve">measure of </w:t>
      </w:r>
      <w:r w:rsidR="00874665">
        <w:t xml:space="preserve">progress </w:t>
      </w:r>
      <w:r w:rsidR="002E49C5">
        <w:t xml:space="preserve">of an IOU procurement activity </w:t>
      </w:r>
      <w:r w:rsidR="00874665">
        <w:t xml:space="preserve">toward the IOU’s GHG Emissions Reduction Target will be determined according to the GHG Emissions Accounting Methodology in Section 7. </w:t>
      </w:r>
      <w:r>
        <w:t xml:space="preserve">Similar to the MW accounting principles, </w:t>
      </w:r>
      <w:r w:rsidR="00456DBB">
        <w:t>Transition PPAs are not listed as a Procurement Process in Section 4</w:t>
      </w:r>
      <w:r w:rsidR="002E49C5">
        <w:t xml:space="preserve"> nor do the Project GHG Accounting Methodologies apply to Transition PPAs</w:t>
      </w:r>
      <w:r w:rsidR="00456DBB">
        <w:t>. Therefore</w:t>
      </w:r>
      <w:r>
        <w:t>,</w:t>
      </w:r>
      <w:r w:rsidR="00456DBB">
        <w:t xml:space="preserve"> </w:t>
      </w:r>
      <w:r w:rsidR="002E49C5">
        <w:t>the</w:t>
      </w:r>
      <w:r w:rsidR="00D75D13">
        <w:t xml:space="preserve"> Kelco</w:t>
      </w:r>
      <w:r w:rsidR="002E49C5">
        <w:t xml:space="preserve"> Transition PPA </w:t>
      </w:r>
      <w:r w:rsidR="00456DBB">
        <w:t xml:space="preserve">does not count toward </w:t>
      </w:r>
      <w:r w:rsidR="00303482">
        <w:t>SDG&amp;E</w:t>
      </w:r>
      <w:r w:rsidR="00456DBB">
        <w:t xml:space="preserve">’s </w:t>
      </w:r>
      <w:r w:rsidR="00557E82">
        <w:t>GHG</w:t>
      </w:r>
      <w:r w:rsidR="00456DBB">
        <w:t xml:space="preserve"> Target</w:t>
      </w:r>
      <w:r>
        <w:t>s</w:t>
      </w:r>
      <w:r w:rsidR="00456DBB">
        <w:t>. This is appropriately reflected in the Advice Letter.</w:t>
      </w:r>
    </w:p>
    <w:p w:rsidR="00456DBB" w:rsidRPr="00A35B98" w:rsidRDefault="00456DBB" w:rsidP="00BE7E51">
      <w:pPr>
        <w:spacing w:after="240"/>
        <w:rPr>
          <w:i/>
          <w:u w:val="single"/>
        </w:rPr>
      </w:pPr>
      <w:r w:rsidRPr="00A35B98">
        <w:rPr>
          <w:u w:val="single"/>
        </w:rPr>
        <w:t xml:space="preserve">Pursuant to the QF/CHP Settlement, </w:t>
      </w:r>
      <w:r w:rsidR="00963D5C" w:rsidRPr="00A35B98">
        <w:rPr>
          <w:u w:val="single"/>
        </w:rPr>
        <w:t xml:space="preserve">any change in </w:t>
      </w:r>
      <w:r w:rsidR="005032B1" w:rsidRPr="00A35B98">
        <w:rPr>
          <w:u w:val="single"/>
        </w:rPr>
        <w:t>Seller</w:t>
      </w:r>
      <w:r w:rsidRPr="00A35B98">
        <w:rPr>
          <w:u w:val="single"/>
        </w:rPr>
        <w:t>s</w:t>
      </w:r>
      <w:r w:rsidR="005032B1" w:rsidRPr="00A35B98">
        <w:rPr>
          <w:u w:val="single"/>
        </w:rPr>
        <w:t>’</w:t>
      </w:r>
      <w:r w:rsidRPr="00A35B98">
        <w:rPr>
          <w:u w:val="single"/>
        </w:rPr>
        <w:t xml:space="preserve"> </w:t>
      </w:r>
      <w:r w:rsidR="00963D5C" w:rsidRPr="00A35B98">
        <w:rPr>
          <w:u w:val="single"/>
        </w:rPr>
        <w:t xml:space="preserve">operations </w:t>
      </w:r>
      <w:r w:rsidRPr="00A35B98">
        <w:rPr>
          <w:u w:val="single"/>
        </w:rPr>
        <w:t>under the Transition PPA</w:t>
      </w:r>
      <w:r w:rsidR="005032B1" w:rsidRPr="00A35B98">
        <w:rPr>
          <w:u w:val="single"/>
        </w:rPr>
        <w:t>s</w:t>
      </w:r>
      <w:r w:rsidRPr="00A35B98">
        <w:rPr>
          <w:u w:val="single"/>
        </w:rPr>
        <w:t xml:space="preserve"> do not count toward </w:t>
      </w:r>
      <w:r w:rsidR="00303482" w:rsidRPr="00A35B98">
        <w:rPr>
          <w:u w:val="single"/>
        </w:rPr>
        <w:t>SDG&amp;E</w:t>
      </w:r>
      <w:r w:rsidRPr="00A35B98">
        <w:rPr>
          <w:u w:val="single"/>
        </w:rPr>
        <w:t>’s GHG Emissions Reduction Target because Transition PPAs are not an eligible procurement process</w:t>
      </w:r>
      <w:r w:rsidR="00CE78B9" w:rsidRPr="00A35B98">
        <w:rPr>
          <w:u w:val="single"/>
        </w:rPr>
        <w:t xml:space="preserve"> and are inapplicable to the GHG Accounting Methodology</w:t>
      </w:r>
      <w:r w:rsidRPr="00A35B98">
        <w:rPr>
          <w:u w:val="single"/>
        </w:rPr>
        <w:t>.</w:t>
      </w:r>
    </w:p>
    <w:p w:rsidR="00431BBA" w:rsidRDefault="00F421C2" w:rsidP="00BE7E51">
      <w:pPr>
        <w:spacing w:after="120"/>
      </w:pPr>
      <w:r>
        <w:rPr>
          <w:i/>
        </w:rPr>
        <w:t>Consistency with Cost Recovery Requirements</w:t>
      </w:r>
    </w:p>
    <w:p w:rsidR="00431BBA" w:rsidRDefault="00431BBA" w:rsidP="00BE7E51">
      <w:pPr>
        <w:spacing w:after="120"/>
      </w:pPr>
      <w:r>
        <w:t xml:space="preserve">Ordering Paragraph 5 of D.10-12-035 orders the three large electric IOUs to recover the net capacity costs from CHP Program contracts on a non-bypassable basis from all bundled service, Direct Access (“DA”) and Community Choice Aggregator (“CCA”), and Departing Load Customers (“DLC”), except for CHP DLC. With this authorization, the Settlement supersedes to the extent necessary D.06-07-029 and D.08-09-012, which established and modified the Cost Allocation Mechanism, respectively. Section 13.1.2.2 of the Settlement Term Sheet requires that the IOU recover CHP contract costs, net of the value of energy and ancillary services provided to the IOU. Non-IOU </w:t>
      </w:r>
      <w:r w:rsidR="00C426F6">
        <w:t>load-serving entities (“</w:t>
      </w:r>
      <w:r>
        <w:t>LSEs</w:t>
      </w:r>
      <w:r w:rsidR="00C426F6">
        <w:t>”)</w:t>
      </w:r>
      <w:r>
        <w:t xml:space="preserve"> receive </w:t>
      </w:r>
      <w:r w:rsidR="00C426F6">
        <w:t xml:space="preserve">(“Resource Adequacy”) </w:t>
      </w:r>
      <w:r>
        <w:t>RA credits in proportion to the allocation of the net capacity costs that they pay.</w:t>
      </w:r>
    </w:p>
    <w:p w:rsidR="00FE7FE4" w:rsidRDefault="00431BBA" w:rsidP="00094B09">
      <w:pPr>
        <w:spacing w:after="120"/>
      </w:pPr>
      <w:r w:rsidRPr="00F34AB1">
        <w:t>Section 13.1.2.2 of the Settlement Term Sheet states</w:t>
      </w:r>
      <w:r w:rsidR="00F34AB1">
        <w:t>: “</w:t>
      </w:r>
      <w:r w:rsidRPr="00F34AB1">
        <w:t>In exchange for paying a share of the net costs of the CHP Program, the LSEs serving DA and CCA customers will receive a pro-rata share of the RA credits procured via the CHP Program.</w:t>
      </w:r>
      <w:r w:rsidR="00F34AB1">
        <w:t>”</w:t>
      </w:r>
      <w:r w:rsidR="00FE7FE4">
        <w:t xml:space="preserve"> In addition to standardized Power Product, the terms of the Transition PPA require the sale of Related Products</w:t>
      </w:r>
      <w:r w:rsidR="00562574">
        <w:t>,</w:t>
      </w:r>
      <w:r w:rsidR="00FE7FE4">
        <w:t xml:space="preserve"> which include </w:t>
      </w:r>
      <w:r w:rsidR="00C426F6">
        <w:t>“</w:t>
      </w:r>
      <w:r w:rsidR="00FE7FE4">
        <w:t>Resource Adequacy Benefits.</w:t>
      </w:r>
      <w:r w:rsidR="00C426F6">
        <w:t>”</w:t>
      </w:r>
      <w:r w:rsidR="00FE7FE4">
        <w:t xml:space="preserve"> </w:t>
      </w:r>
      <w:r w:rsidR="00094B09">
        <w:t>In its advice letter filing, SDG&amp;E conformed to the standardized “Power Product</w:t>
      </w:r>
      <w:r w:rsidR="0064486C">
        <w:t>,</w:t>
      </w:r>
      <w:r w:rsidR="00094B09">
        <w:t>” which includes a net contract capacity</w:t>
      </w:r>
      <w:r w:rsidR="0064486C">
        <w:t>,</w:t>
      </w:r>
      <w:r w:rsidR="00094B09">
        <w:t xml:space="preserve"> and “related products”; “related products” in turn include Resource Adequacy Benefits, green attributes, and capacity associated with the Kelco transition agreement. </w:t>
      </w:r>
    </w:p>
    <w:p w:rsidR="000B0047" w:rsidRDefault="00F421C2" w:rsidP="000E46DF">
      <w:pPr>
        <w:spacing w:after="240"/>
        <w:rPr>
          <w:b/>
        </w:rPr>
      </w:pPr>
      <w:r w:rsidRPr="00F34AB1">
        <w:rPr>
          <w:u w:val="single"/>
        </w:rPr>
        <w:lastRenderedPageBreak/>
        <w:t xml:space="preserve">Resource adequacy </w:t>
      </w:r>
      <w:r w:rsidR="00FE7FE4">
        <w:rPr>
          <w:u w:val="single"/>
        </w:rPr>
        <w:t>benefits</w:t>
      </w:r>
      <w:r w:rsidRPr="00F34AB1">
        <w:rPr>
          <w:u w:val="single"/>
        </w:rPr>
        <w:t xml:space="preserve"> are to be a</w:t>
      </w:r>
      <w:r w:rsidR="00476744">
        <w:rPr>
          <w:u w:val="single"/>
        </w:rPr>
        <w:t xml:space="preserve">llocated according to the share </w:t>
      </w:r>
      <w:r w:rsidRPr="00F34AB1">
        <w:rPr>
          <w:u w:val="single"/>
        </w:rPr>
        <w:t>of the net capacity costs paid by load-serving entities serving direct access and community choice aggregation customers as prescribed in Section 13.1.2.2 of the QF/CHP Settlement Term Sheet</w:t>
      </w:r>
      <w:r w:rsidR="00FE7FE4">
        <w:rPr>
          <w:u w:val="single"/>
        </w:rPr>
        <w:t>.</w:t>
      </w:r>
    </w:p>
    <w:p w:rsidR="00741FC7" w:rsidRDefault="00A67076" w:rsidP="00BE7E51">
      <w:pPr>
        <w:spacing w:after="120"/>
        <w:rPr>
          <w:color w:val="FF0000"/>
        </w:rPr>
      </w:pPr>
      <w:r>
        <w:rPr>
          <w:b/>
        </w:rPr>
        <w:t>Need for P</w:t>
      </w:r>
      <w:r w:rsidR="00741FC7">
        <w:rPr>
          <w:b/>
        </w:rPr>
        <w:t>rocurement</w:t>
      </w:r>
    </w:p>
    <w:p w:rsidR="00741FC7" w:rsidRDefault="00303482" w:rsidP="00741FC7">
      <w:pPr>
        <w:spacing w:after="120"/>
      </w:pPr>
      <w:r>
        <w:t>SDG&amp;E</w:t>
      </w:r>
      <w:r w:rsidR="00741FC7">
        <w:t xml:space="preserve">’s </w:t>
      </w:r>
      <w:r w:rsidR="00E52F02">
        <w:t xml:space="preserve">total </w:t>
      </w:r>
      <w:r w:rsidR="00E64CA9">
        <w:t xml:space="preserve">MW </w:t>
      </w:r>
      <w:r w:rsidR="00E52F02">
        <w:t xml:space="preserve">procurement goal for </w:t>
      </w:r>
      <w:r w:rsidR="00E64CA9">
        <w:t xml:space="preserve">the CHP Program is </w:t>
      </w:r>
      <w:r w:rsidR="00CF30D5">
        <w:t>160</w:t>
      </w:r>
      <w:r w:rsidR="00741FC7">
        <w:t xml:space="preserve"> MW</w:t>
      </w:r>
      <w:r w:rsidR="00E64CA9">
        <w:t xml:space="preserve">, with </w:t>
      </w:r>
      <w:r w:rsidR="00C710D2">
        <w:br/>
      </w:r>
      <w:r w:rsidR="00CF30D5">
        <w:t>106</w:t>
      </w:r>
      <w:r w:rsidR="00E64CA9">
        <w:t xml:space="preserve"> MW allocated to Target </w:t>
      </w:r>
      <w:r w:rsidR="007D03D5">
        <w:t>B</w:t>
      </w:r>
      <w:r w:rsidR="00741FC7">
        <w:t xml:space="preserve">. </w:t>
      </w:r>
      <w:r>
        <w:t>SDG&amp;E</w:t>
      </w:r>
      <w:r w:rsidR="00E64CA9">
        <w:t>’s</w:t>
      </w:r>
      <w:r w:rsidR="00CF30D5">
        <w:t xml:space="preserve"> currently estimated</w:t>
      </w:r>
      <w:r w:rsidR="00E64CA9">
        <w:t xml:space="preserve"> 2020 GHG Emissions Reduction Target is </w:t>
      </w:r>
      <w:r w:rsidR="00CF30D5">
        <w:t>.5</w:t>
      </w:r>
      <w:r w:rsidR="00E64CA9">
        <w:t xml:space="preserve"> MMT</w:t>
      </w:r>
      <w:r w:rsidR="00556B31">
        <w:rPr>
          <w:rStyle w:val="FootnoteReference"/>
        </w:rPr>
        <w:footnoteReference w:id="10"/>
      </w:r>
      <w:r w:rsidR="00E64CA9">
        <w:t xml:space="preserve">. </w:t>
      </w:r>
      <w:r w:rsidR="00741FC7">
        <w:t xml:space="preserve">As of </w:t>
      </w:r>
      <w:r w:rsidR="007D03D5">
        <w:t>the October 10, 2013</w:t>
      </w:r>
      <w:r w:rsidR="00741FC7">
        <w:t xml:space="preserve"> CHP Semi-Annual Report, </w:t>
      </w:r>
      <w:r>
        <w:t>SDG&amp;E</w:t>
      </w:r>
      <w:r w:rsidR="00E64CA9">
        <w:t xml:space="preserve"> </w:t>
      </w:r>
      <w:r w:rsidR="00741FC7">
        <w:t>ha</w:t>
      </w:r>
      <w:r w:rsidR="00E64CA9">
        <w:t>s</w:t>
      </w:r>
      <w:r w:rsidR="00741FC7">
        <w:t xml:space="preserve"> </w:t>
      </w:r>
      <w:r w:rsidR="00E64CA9">
        <w:t xml:space="preserve">executed </w:t>
      </w:r>
      <w:r w:rsidR="007D03D5">
        <w:t xml:space="preserve">seven </w:t>
      </w:r>
      <w:r w:rsidR="00E64CA9">
        <w:t xml:space="preserve">contracts contributing </w:t>
      </w:r>
      <w:r w:rsidR="007D03D5">
        <w:t xml:space="preserve">106 </w:t>
      </w:r>
      <w:r w:rsidR="00E64CA9">
        <w:t>MW</w:t>
      </w:r>
      <w:r w:rsidR="00741FC7">
        <w:t xml:space="preserve"> and </w:t>
      </w:r>
      <w:r w:rsidR="007D03D5">
        <w:t>0.26</w:t>
      </w:r>
      <w:r w:rsidR="00E64CA9">
        <w:t xml:space="preserve"> </w:t>
      </w:r>
      <w:r w:rsidR="00741FC7">
        <w:t>MT toward th</w:t>
      </w:r>
      <w:r w:rsidR="00E64CA9">
        <w:t>ese</w:t>
      </w:r>
      <w:r w:rsidR="00741FC7">
        <w:t xml:space="preserve"> goal</w:t>
      </w:r>
      <w:r w:rsidR="00E64CA9">
        <w:t>s</w:t>
      </w:r>
      <w:r w:rsidR="00741FC7">
        <w:t>.</w:t>
      </w:r>
    </w:p>
    <w:p w:rsidR="00741FC7" w:rsidRPr="001B3F86" w:rsidRDefault="00DC6C39" w:rsidP="00741FC7">
      <w:pPr>
        <w:spacing w:after="120"/>
      </w:pPr>
      <w:r>
        <w:t>T</w:t>
      </w:r>
      <w:r w:rsidR="00E64CA9">
        <w:t>he Transition PPA does not count toward the MW or GHG Targets set forth in the Settlement</w:t>
      </w:r>
      <w:r>
        <w:t xml:space="preserve">, as it is not an eligible procurement process. Therefore the execution of the Transition </w:t>
      </w:r>
      <w:r w:rsidR="00AE6B0E">
        <w:t xml:space="preserve">Agreements </w:t>
      </w:r>
      <w:r>
        <w:t xml:space="preserve">with </w:t>
      </w:r>
      <w:r w:rsidR="00AE6B0E">
        <w:t xml:space="preserve">Sycamore and KRCC </w:t>
      </w:r>
      <w:r>
        <w:t>do not affect t</w:t>
      </w:r>
      <w:r w:rsidR="00E64CA9">
        <w:t xml:space="preserve">he need </w:t>
      </w:r>
      <w:r>
        <w:t xml:space="preserve">to procure additional CHP resources required to achieve the MW and </w:t>
      </w:r>
      <w:r w:rsidR="00E64CA9">
        <w:t>GHG</w:t>
      </w:r>
      <w:r>
        <w:t xml:space="preserve"> Targets</w:t>
      </w:r>
      <w:r w:rsidR="00E64CA9">
        <w:t xml:space="preserve">. </w:t>
      </w:r>
    </w:p>
    <w:p w:rsidR="000B0047" w:rsidRDefault="00DC6C39" w:rsidP="000E46DF">
      <w:pPr>
        <w:spacing w:after="240"/>
        <w:rPr>
          <w:b/>
        </w:rPr>
      </w:pPr>
      <w:r w:rsidRPr="00DC6C39">
        <w:rPr>
          <w:u w:val="single"/>
        </w:rPr>
        <w:t xml:space="preserve">The execution of the </w:t>
      </w:r>
      <w:r w:rsidR="00B97F9F">
        <w:rPr>
          <w:u w:val="single"/>
        </w:rPr>
        <w:t>Kelco</w:t>
      </w:r>
      <w:r w:rsidR="000949CC">
        <w:rPr>
          <w:u w:val="single"/>
        </w:rPr>
        <w:t xml:space="preserve"> </w:t>
      </w:r>
      <w:r w:rsidRPr="00DC6C39">
        <w:rPr>
          <w:u w:val="single"/>
        </w:rPr>
        <w:t xml:space="preserve">Transition </w:t>
      </w:r>
      <w:r w:rsidR="00AE6B0E">
        <w:rPr>
          <w:u w:val="single"/>
        </w:rPr>
        <w:t xml:space="preserve">Agreement </w:t>
      </w:r>
      <w:r w:rsidRPr="00DC6C39">
        <w:rPr>
          <w:u w:val="single"/>
        </w:rPr>
        <w:t>do</w:t>
      </w:r>
      <w:r w:rsidR="000949CC">
        <w:rPr>
          <w:u w:val="single"/>
        </w:rPr>
        <w:t>es</w:t>
      </w:r>
      <w:r w:rsidRPr="00DC6C39">
        <w:rPr>
          <w:u w:val="single"/>
        </w:rPr>
        <w:t xml:space="preserve"> not </w:t>
      </w:r>
      <w:r w:rsidR="009D7C05">
        <w:rPr>
          <w:u w:val="single"/>
        </w:rPr>
        <w:t xml:space="preserve">count towards </w:t>
      </w:r>
      <w:r w:rsidR="00303482">
        <w:rPr>
          <w:u w:val="single"/>
        </w:rPr>
        <w:t>SDG&amp;E</w:t>
      </w:r>
      <w:r w:rsidRPr="00DC6C39">
        <w:rPr>
          <w:u w:val="single"/>
        </w:rPr>
        <w:t>’s</w:t>
      </w:r>
      <w:r w:rsidR="001A48BD">
        <w:rPr>
          <w:u w:val="single"/>
        </w:rPr>
        <w:t xml:space="preserve"> </w:t>
      </w:r>
      <w:r w:rsidR="009D7C05">
        <w:rPr>
          <w:u w:val="single"/>
        </w:rPr>
        <w:t xml:space="preserve">obligation to procure </w:t>
      </w:r>
      <w:r w:rsidR="001A48BD">
        <w:rPr>
          <w:u w:val="single"/>
        </w:rPr>
        <w:t xml:space="preserve">additional CHP resources to meet the </w:t>
      </w:r>
      <w:r w:rsidRPr="00DC6C39">
        <w:rPr>
          <w:u w:val="single"/>
        </w:rPr>
        <w:t>remaining MW and GHG Targets.</w:t>
      </w:r>
    </w:p>
    <w:p w:rsidR="00126593" w:rsidRDefault="00A67076" w:rsidP="00BE7E51">
      <w:pPr>
        <w:spacing w:after="120"/>
        <w:rPr>
          <w:b/>
        </w:rPr>
      </w:pPr>
      <w:r>
        <w:rPr>
          <w:b/>
        </w:rPr>
        <w:t>Cost R</w:t>
      </w:r>
      <w:r w:rsidR="009F040C">
        <w:rPr>
          <w:b/>
        </w:rPr>
        <w:t>easonableness</w:t>
      </w:r>
    </w:p>
    <w:p w:rsidR="00C17E89" w:rsidRPr="00C17E89" w:rsidRDefault="00C17E89" w:rsidP="00BE7E51">
      <w:pPr>
        <w:spacing w:after="120"/>
        <w:rPr>
          <w:i/>
        </w:rPr>
      </w:pPr>
      <w:r w:rsidRPr="00C17E89">
        <w:rPr>
          <w:i/>
        </w:rPr>
        <w:t xml:space="preserve">Cost of </w:t>
      </w:r>
      <w:r>
        <w:rPr>
          <w:i/>
        </w:rPr>
        <w:t xml:space="preserve">Power Products under </w:t>
      </w:r>
      <w:r w:rsidRPr="00C17E89">
        <w:rPr>
          <w:i/>
        </w:rPr>
        <w:t xml:space="preserve">the </w:t>
      </w:r>
      <w:r w:rsidR="00C97EDA">
        <w:rPr>
          <w:i/>
        </w:rPr>
        <w:t xml:space="preserve">Pro Forma </w:t>
      </w:r>
      <w:r w:rsidRPr="00C17E89">
        <w:rPr>
          <w:i/>
        </w:rPr>
        <w:t>Transition PPA</w:t>
      </w:r>
    </w:p>
    <w:p w:rsidR="00C034FE" w:rsidRDefault="00126593" w:rsidP="00BE7E51">
      <w:pPr>
        <w:spacing w:after="120"/>
      </w:pPr>
      <w:r>
        <w:t xml:space="preserve">The </w:t>
      </w:r>
      <w:r w:rsidR="001039AD">
        <w:t>Settlement</w:t>
      </w:r>
      <w:r w:rsidR="007004EF">
        <w:t xml:space="preserve"> define</w:t>
      </w:r>
      <w:r w:rsidR="001039AD">
        <w:t>s</w:t>
      </w:r>
      <w:r w:rsidR="007004EF">
        <w:t xml:space="preserve"> </w:t>
      </w:r>
      <w:r w:rsidR="001039AD">
        <w:t xml:space="preserve">pricing for the </w:t>
      </w:r>
      <w:r w:rsidR="00347C81">
        <w:rPr>
          <w:i/>
        </w:rPr>
        <w:t>P</w:t>
      </w:r>
      <w:r w:rsidR="00C97EDA" w:rsidRPr="00C97EDA">
        <w:rPr>
          <w:i/>
        </w:rPr>
        <w:t xml:space="preserve">ro </w:t>
      </w:r>
      <w:r w:rsidR="00347C81">
        <w:rPr>
          <w:i/>
        </w:rPr>
        <w:t>F</w:t>
      </w:r>
      <w:r w:rsidR="00C97EDA" w:rsidRPr="00C97EDA">
        <w:rPr>
          <w:i/>
        </w:rPr>
        <w:t>orma</w:t>
      </w:r>
      <w:r w:rsidR="00C97EDA">
        <w:t xml:space="preserve"> </w:t>
      </w:r>
      <w:r w:rsidR="001039AD">
        <w:t xml:space="preserve">Transition PPAs </w:t>
      </w:r>
      <w:r w:rsidR="007004EF">
        <w:t xml:space="preserve">in Term Sheet Section </w:t>
      </w:r>
      <w:r w:rsidR="00445A66">
        <w:t>3.2</w:t>
      </w:r>
      <w:r w:rsidR="001039AD">
        <w:t xml:space="preserve">. </w:t>
      </w:r>
      <w:r w:rsidR="00FC3ACE">
        <w:t xml:space="preserve">Article One, </w:t>
      </w:r>
      <w:r w:rsidR="001039AD">
        <w:t xml:space="preserve">Section 1.06 of the </w:t>
      </w:r>
      <w:r w:rsidR="00347C81">
        <w:rPr>
          <w:i/>
        </w:rPr>
        <w:t>P</w:t>
      </w:r>
      <w:r w:rsidR="00C97EDA" w:rsidRPr="00C97EDA">
        <w:rPr>
          <w:i/>
        </w:rPr>
        <w:t xml:space="preserve">ro </w:t>
      </w:r>
      <w:r w:rsidR="00347C81">
        <w:rPr>
          <w:i/>
        </w:rPr>
        <w:t>F</w:t>
      </w:r>
      <w:r w:rsidR="00C97EDA" w:rsidRPr="00C97EDA">
        <w:rPr>
          <w:i/>
        </w:rPr>
        <w:t>orma</w:t>
      </w:r>
      <w:r w:rsidR="00C97EDA">
        <w:t xml:space="preserve"> </w:t>
      </w:r>
      <w:r w:rsidR="001039AD">
        <w:t>Transition PPA outlines the Power Product Prices</w:t>
      </w:r>
      <w:r w:rsidR="00445A66">
        <w:t>.</w:t>
      </w:r>
      <w:r w:rsidR="00001331">
        <w:t xml:space="preserve">  </w:t>
      </w:r>
      <w:r w:rsidR="00C034FE">
        <w:t xml:space="preserve">Per Term Sheet Section 3.2.1, </w:t>
      </w:r>
      <w:r w:rsidR="00445A66">
        <w:t>capacity prices shall be paid</w:t>
      </w:r>
      <w:r w:rsidR="00C034FE">
        <w:t xml:space="preserve"> as established in D.07-09-040</w:t>
      </w:r>
      <w:r w:rsidR="00FC3ACE">
        <w:t>.</w:t>
      </w:r>
      <w:r w:rsidR="00C034FE">
        <w:t xml:space="preserve"> </w:t>
      </w:r>
      <w:r w:rsidR="00FC3ACE">
        <w:t>The Firm Capacity and As-Available Capacity Prices are consistent with the methodology adopted in D.07-09-040</w:t>
      </w:r>
      <w:r w:rsidR="00C034FE">
        <w:t>.</w:t>
      </w:r>
    </w:p>
    <w:p w:rsidR="001E6D0E" w:rsidRPr="00AB0677" w:rsidRDefault="001E6D0E" w:rsidP="00AB0677">
      <w:pPr>
        <w:pStyle w:val="Caption"/>
        <w:keepNext/>
        <w:rPr>
          <w:sz w:val="26"/>
          <w:szCs w:val="26"/>
        </w:rPr>
      </w:pPr>
      <w:r w:rsidRPr="00AB0677">
        <w:rPr>
          <w:sz w:val="26"/>
          <w:szCs w:val="26"/>
        </w:rPr>
        <w:t xml:space="preserve">Table </w:t>
      </w:r>
      <w:r w:rsidRPr="00AB0677">
        <w:rPr>
          <w:sz w:val="26"/>
          <w:szCs w:val="26"/>
        </w:rPr>
        <w:fldChar w:fldCharType="begin"/>
      </w:r>
      <w:r w:rsidRPr="00AB0677">
        <w:rPr>
          <w:sz w:val="26"/>
          <w:szCs w:val="26"/>
        </w:rPr>
        <w:instrText xml:space="preserve"> SEQ Table \* ARABIC </w:instrText>
      </w:r>
      <w:r w:rsidRPr="00AB0677">
        <w:rPr>
          <w:sz w:val="26"/>
          <w:szCs w:val="26"/>
        </w:rPr>
        <w:fldChar w:fldCharType="separate"/>
      </w:r>
      <w:r w:rsidR="00461E58">
        <w:rPr>
          <w:noProof/>
          <w:sz w:val="26"/>
          <w:szCs w:val="26"/>
        </w:rPr>
        <w:t>1</w:t>
      </w:r>
      <w:r w:rsidRPr="00AB0677">
        <w:rPr>
          <w:sz w:val="26"/>
          <w:szCs w:val="26"/>
        </w:rPr>
        <w:fldChar w:fldCharType="end"/>
      </w:r>
      <w:r w:rsidRPr="00AB0677">
        <w:rPr>
          <w:sz w:val="26"/>
          <w:szCs w:val="26"/>
        </w:rPr>
        <w:t>: Capacity Prices ($/kW-year) established by D.07-09-040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90"/>
        <w:gridCol w:w="2822"/>
      </w:tblGrid>
      <w:tr w:rsidR="00184665" w:rsidTr="001039AD">
        <w:trPr>
          <w:jc w:val="center"/>
        </w:trPr>
        <w:tc>
          <w:tcPr>
            <w:tcW w:w="1278" w:type="dxa"/>
            <w:shd w:val="clear" w:color="auto" w:fill="auto"/>
          </w:tcPr>
          <w:p w:rsidR="00184665" w:rsidRDefault="00184665" w:rsidP="009F040C">
            <w:r>
              <w:t>Year</w:t>
            </w:r>
          </w:p>
        </w:tc>
        <w:tc>
          <w:tcPr>
            <w:tcW w:w="1890" w:type="dxa"/>
            <w:shd w:val="clear" w:color="auto" w:fill="auto"/>
          </w:tcPr>
          <w:p w:rsidR="00184665" w:rsidRDefault="00184665" w:rsidP="00751659">
            <w:r>
              <w:t xml:space="preserve">Firm </w:t>
            </w:r>
            <w:r w:rsidR="001039AD">
              <w:t>Capacity</w:t>
            </w:r>
          </w:p>
        </w:tc>
        <w:tc>
          <w:tcPr>
            <w:tcW w:w="2822" w:type="dxa"/>
            <w:shd w:val="clear" w:color="auto" w:fill="auto"/>
          </w:tcPr>
          <w:p w:rsidR="00184665" w:rsidRDefault="00184665" w:rsidP="00751659">
            <w:r>
              <w:t xml:space="preserve">As-Available </w:t>
            </w:r>
            <w:r w:rsidR="001039AD">
              <w:t>Capacity</w:t>
            </w:r>
          </w:p>
        </w:tc>
      </w:tr>
      <w:tr w:rsidR="00184665" w:rsidTr="001039AD">
        <w:trPr>
          <w:jc w:val="center"/>
        </w:trPr>
        <w:tc>
          <w:tcPr>
            <w:tcW w:w="1278" w:type="dxa"/>
            <w:shd w:val="clear" w:color="auto" w:fill="auto"/>
          </w:tcPr>
          <w:p w:rsidR="00184665" w:rsidRDefault="00184665" w:rsidP="00184665">
            <w:r>
              <w:t>2013</w:t>
            </w:r>
          </w:p>
        </w:tc>
        <w:tc>
          <w:tcPr>
            <w:tcW w:w="1890" w:type="dxa"/>
            <w:shd w:val="clear" w:color="auto" w:fill="auto"/>
          </w:tcPr>
          <w:p w:rsidR="00184665" w:rsidRDefault="00184665" w:rsidP="00016E31">
            <w:pPr>
              <w:jc w:val="right"/>
            </w:pPr>
            <w:r>
              <w:t>$91.97</w:t>
            </w:r>
          </w:p>
        </w:tc>
        <w:tc>
          <w:tcPr>
            <w:tcW w:w="2822" w:type="dxa"/>
            <w:shd w:val="clear" w:color="auto" w:fill="auto"/>
          </w:tcPr>
          <w:p w:rsidR="00184665" w:rsidRDefault="00184665" w:rsidP="00016E31">
            <w:pPr>
              <w:jc w:val="right"/>
            </w:pPr>
            <w:r>
              <w:t>$45.00</w:t>
            </w:r>
          </w:p>
        </w:tc>
      </w:tr>
      <w:tr w:rsidR="00184665" w:rsidTr="001039AD">
        <w:trPr>
          <w:jc w:val="center"/>
        </w:trPr>
        <w:tc>
          <w:tcPr>
            <w:tcW w:w="1278" w:type="dxa"/>
            <w:shd w:val="clear" w:color="auto" w:fill="auto"/>
          </w:tcPr>
          <w:p w:rsidR="00184665" w:rsidRDefault="00184665" w:rsidP="00184665">
            <w:r>
              <w:lastRenderedPageBreak/>
              <w:t>2014</w:t>
            </w:r>
          </w:p>
        </w:tc>
        <w:tc>
          <w:tcPr>
            <w:tcW w:w="1890" w:type="dxa"/>
            <w:shd w:val="clear" w:color="auto" w:fill="auto"/>
          </w:tcPr>
          <w:p w:rsidR="00184665" w:rsidRDefault="00184665" w:rsidP="00016E31">
            <w:pPr>
              <w:jc w:val="right"/>
            </w:pPr>
            <w:r>
              <w:t>$91.97</w:t>
            </w:r>
          </w:p>
        </w:tc>
        <w:tc>
          <w:tcPr>
            <w:tcW w:w="2822" w:type="dxa"/>
            <w:shd w:val="clear" w:color="auto" w:fill="auto"/>
          </w:tcPr>
          <w:p w:rsidR="00184665" w:rsidRDefault="00184665" w:rsidP="00016E31">
            <w:pPr>
              <w:jc w:val="right"/>
            </w:pPr>
            <w:r>
              <w:t>$46.97</w:t>
            </w:r>
          </w:p>
        </w:tc>
      </w:tr>
      <w:tr w:rsidR="00184665" w:rsidTr="001039AD">
        <w:trPr>
          <w:jc w:val="center"/>
        </w:trPr>
        <w:tc>
          <w:tcPr>
            <w:tcW w:w="1278" w:type="dxa"/>
            <w:shd w:val="clear" w:color="auto" w:fill="auto"/>
          </w:tcPr>
          <w:p w:rsidR="00184665" w:rsidRDefault="00184665" w:rsidP="00184665">
            <w:r>
              <w:t>2015</w:t>
            </w:r>
          </w:p>
        </w:tc>
        <w:tc>
          <w:tcPr>
            <w:tcW w:w="1890" w:type="dxa"/>
            <w:shd w:val="clear" w:color="auto" w:fill="auto"/>
          </w:tcPr>
          <w:p w:rsidR="00184665" w:rsidRDefault="00184665" w:rsidP="00016E31">
            <w:pPr>
              <w:jc w:val="right"/>
            </w:pPr>
            <w:r>
              <w:t>$91.97</w:t>
            </w:r>
          </w:p>
        </w:tc>
        <w:tc>
          <w:tcPr>
            <w:tcW w:w="2822" w:type="dxa"/>
            <w:shd w:val="clear" w:color="auto" w:fill="auto"/>
          </w:tcPr>
          <w:p w:rsidR="00184665" w:rsidRDefault="00184665" w:rsidP="00016E31">
            <w:pPr>
              <w:jc w:val="right"/>
            </w:pPr>
            <w:r>
              <w:t>$48.98</w:t>
            </w:r>
          </w:p>
        </w:tc>
      </w:tr>
    </w:tbl>
    <w:p w:rsidR="00184665" w:rsidRDefault="00184665" w:rsidP="009F040C"/>
    <w:p w:rsidR="00FE61B6" w:rsidRDefault="00C034FE" w:rsidP="00BA6D73">
      <w:pPr>
        <w:spacing w:after="120"/>
      </w:pPr>
      <w:r>
        <w:t>Per Term Sheet</w:t>
      </w:r>
      <w:r w:rsidR="001039AD">
        <w:t xml:space="preserve"> Section 3.2.2, e</w:t>
      </w:r>
      <w:r>
        <w:t>nergy pricing will be Short Run Avoided Cost (SRAC) as defined in Section 10</w:t>
      </w:r>
      <w:r w:rsidR="001039AD">
        <w:t xml:space="preserve"> of the Term Sheet, “SRAC Energy Pricing Structure.”</w:t>
      </w:r>
    </w:p>
    <w:p w:rsidR="00FE61B6" w:rsidRDefault="00C356A3" w:rsidP="00BA6D73">
      <w:pPr>
        <w:spacing w:after="120"/>
      </w:pPr>
      <w:r>
        <w:t>Time-of-Day (“TOD”) Period Energy Payment</w:t>
      </w:r>
      <w:r w:rsidR="001B28A4">
        <w:t xml:space="preserve"> =</w:t>
      </w:r>
      <w:r w:rsidR="004E6F27">
        <w:t xml:space="preserve"> </w:t>
      </w:r>
      <w:r w:rsidR="004A116B">
        <w:t xml:space="preserve">the sum </w:t>
      </w:r>
      <w:r w:rsidR="004E6F27">
        <w:t>from the first</w:t>
      </w:r>
      <w:r w:rsidR="004A116B">
        <w:t xml:space="preserve"> hour</w:t>
      </w:r>
      <w:r w:rsidR="004E6F27">
        <w:t xml:space="preserve"> </w:t>
      </w:r>
      <w:r w:rsidR="004A116B">
        <w:t xml:space="preserve">of the applicable TOD Period </w:t>
      </w:r>
      <w:r w:rsidR="004E6F27">
        <w:t xml:space="preserve">to </w:t>
      </w:r>
      <w:r w:rsidR="004A116B">
        <w:t xml:space="preserve">the </w:t>
      </w:r>
      <w:r w:rsidR="004E6F27">
        <w:t>last hour</w:t>
      </w:r>
      <w:r w:rsidR="004A116B">
        <w:t xml:space="preserve"> of the applicable TOD Period</w:t>
      </w:r>
      <w:r w:rsidR="004E6F27">
        <w:t>,</w:t>
      </w:r>
    </w:p>
    <w:p w:rsidR="004A116B" w:rsidRDefault="004A116B" w:rsidP="004E6F27">
      <w:pPr>
        <w:ind w:firstLine="720"/>
      </w:pPr>
      <w:r>
        <w:t>[</w:t>
      </w:r>
      <w:r w:rsidR="004E6F27">
        <w:t>(</w:t>
      </w:r>
      <w:r>
        <w:t xml:space="preserve">TOD Period </w:t>
      </w:r>
      <w:r w:rsidR="004E6F27">
        <w:t xml:space="preserve">Energy Price – Location Adjustment) </w:t>
      </w:r>
      <w:r w:rsidR="00FE61B6">
        <w:t>*</w:t>
      </w:r>
    </w:p>
    <w:p w:rsidR="001B28A4" w:rsidRDefault="004E6F27" w:rsidP="00F03045">
      <w:pPr>
        <w:spacing w:after="240"/>
        <w:ind w:firstLine="720"/>
      </w:pPr>
      <w:r>
        <w:t>Allowed Payment Energy +</w:t>
      </w:r>
      <w:r w:rsidR="004A116B">
        <w:t xml:space="preserve"> </w:t>
      </w:r>
      <w:r>
        <w:t>Location Adjustment * Metered Accounts</w:t>
      </w:r>
      <w:r w:rsidR="004A116B">
        <w:t>]</w:t>
      </w:r>
      <w:r w:rsidR="00C356A3">
        <w:t xml:space="preserve"> </w:t>
      </w:r>
    </w:p>
    <w:p w:rsidR="004A116B" w:rsidRDefault="00E722A8" w:rsidP="00BA6D73">
      <w:pPr>
        <w:spacing w:after="120"/>
      </w:pPr>
      <w:r>
        <w:t>For the details on the</w:t>
      </w:r>
      <w:r w:rsidR="001B28A4">
        <w:t xml:space="preserve"> TOD Period Energy Price (EP) and Hourly Location Adjustment Price (LA) refer to the Transition PPA, which </w:t>
      </w:r>
      <w:r>
        <w:t>uses</w:t>
      </w:r>
      <w:r w:rsidR="001B28A4">
        <w:t xml:space="preserve"> an</w:t>
      </w:r>
      <w:r w:rsidR="001039AD">
        <w:t xml:space="preserve"> adapted form of </w:t>
      </w:r>
      <w:r w:rsidR="00FE61B6">
        <w:t xml:space="preserve">Section 10 of the </w:t>
      </w:r>
      <w:r w:rsidR="001039AD">
        <w:t>Term Sheet.</w:t>
      </w:r>
    </w:p>
    <w:p w:rsidR="00A15849" w:rsidRDefault="00445A66" w:rsidP="00F03045">
      <w:pPr>
        <w:spacing w:after="240"/>
      </w:pPr>
      <w:r>
        <w:rPr>
          <w:u w:val="single"/>
        </w:rPr>
        <w:t xml:space="preserve">The </w:t>
      </w:r>
      <w:r w:rsidR="00FC3ACE">
        <w:rPr>
          <w:u w:val="single"/>
        </w:rPr>
        <w:t xml:space="preserve">pricing terms of </w:t>
      </w:r>
      <w:r w:rsidR="00D80AB8">
        <w:rPr>
          <w:u w:val="single"/>
        </w:rPr>
        <w:t>the Transition PPA</w:t>
      </w:r>
      <w:r w:rsidR="00B10A85">
        <w:rPr>
          <w:u w:val="single"/>
        </w:rPr>
        <w:t>s</w:t>
      </w:r>
      <w:r w:rsidR="00D80AB8">
        <w:rPr>
          <w:u w:val="single"/>
        </w:rPr>
        <w:t xml:space="preserve"> are determined by Commission-approved capacity pricing per D.07-09-040</w:t>
      </w:r>
      <w:r w:rsidR="001039AD">
        <w:rPr>
          <w:u w:val="single"/>
        </w:rPr>
        <w:t xml:space="preserve"> and energy pricing per the SRAC</w:t>
      </w:r>
      <w:r w:rsidR="00D80AB8">
        <w:rPr>
          <w:u w:val="single"/>
        </w:rPr>
        <w:t xml:space="preserve"> </w:t>
      </w:r>
      <w:r w:rsidR="001039AD">
        <w:rPr>
          <w:u w:val="single"/>
        </w:rPr>
        <w:t xml:space="preserve">Energy Pricing Structure </w:t>
      </w:r>
      <w:r w:rsidR="00D80AB8">
        <w:rPr>
          <w:u w:val="single"/>
        </w:rPr>
        <w:t xml:space="preserve">as </w:t>
      </w:r>
      <w:r>
        <w:rPr>
          <w:u w:val="single"/>
        </w:rPr>
        <w:t>defined within the Settlement.</w:t>
      </w:r>
      <w:r w:rsidR="009F040C">
        <w:t xml:space="preserve"> </w:t>
      </w:r>
    </w:p>
    <w:p w:rsidR="009D11A7" w:rsidRDefault="009D11A7" w:rsidP="000B0047">
      <w:pPr>
        <w:spacing w:after="120"/>
        <w:rPr>
          <w:b/>
        </w:rPr>
      </w:pPr>
      <w:r>
        <w:rPr>
          <w:b/>
        </w:rPr>
        <w:t>Public Safety</w:t>
      </w:r>
    </w:p>
    <w:p w:rsidR="009D11A7" w:rsidRPr="00AE6B0E" w:rsidRDefault="009D11A7" w:rsidP="009D11A7">
      <w:pPr>
        <w:spacing w:after="120"/>
      </w:pPr>
      <w:r w:rsidRPr="00AE6B0E">
        <w:t>California Public Utilities Code Section 451 requires that every public utility maintain adequate, efficient, just, and reasonable service, instrumentalities, equipment and facilities to ensure the safety, health, and comfort of the public.</w:t>
      </w:r>
    </w:p>
    <w:p w:rsidR="009D11A7" w:rsidRPr="00D6329D" w:rsidRDefault="00A90656" w:rsidP="00D87437">
      <w:pPr>
        <w:rPr>
          <w:u w:val="single"/>
        </w:rPr>
      </w:pPr>
      <w:r w:rsidRPr="00D6329D">
        <w:rPr>
          <w:u w:val="single"/>
        </w:rPr>
        <w:t xml:space="preserve">The Transition Agreements are between </w:t>
      </w:r>
      <w:r w:rsidR="00303482" w:rsidRPr="00D6329D">
        <w:rPr>
          <w:u w:val="single"/>
        </w:rPr>
        <w:t>S</w:t>
      </w:r>
      <w:r w:rsidR="00602549" w:rsidRPr="00D6329D">
        <w:rPr>
          <w:u w:val="single"/>
        </w:rPr>
        <w:t xml:space="preserve">an Diego Gas &amp; Electric Company </w:t>
      </w:r>
      <w:r w:rsidRPr="00D6329D">
        <w:rPr>
          <w:u w:val="single"/>
        </w:rPr>
        <w:t xml:space="preserve">and </w:t>
      </w:r>
      <w:r w:rsidR="00F4658D" w:rsidRPr="00D6329D">
        <w:rPr>
          <w:u w:val="single"/>
        </w:rPr>
        <w:t>Kelco</w:t>
      </w:r>
      <w:r w:rsidRPr="00D6329D">
        <w:rPr>
          <w:u w:val="single"/>
        </w:rPr>
        <w:t>.  The Commission</w:t>
      </w:r>
      <w:r w:rsidRPr="00D6329D">
        <w:rPr>
          <w:rFonts w:hint="eastAsia"/>
          <w:u w:val="single"/>
        </w:rPr>
        <w:t>’</w:t>
      </w:r>
      <w:r w:rsidRPr="00D6329D">
        <w:rPr>
          <w:u w:val="single"/>
        </w:rPr>
        <w:t xml:space="preserve">s jurisdiction extends only over </w:t>
      </w:r>
      <w:r w:rsidR="00303482" w:rsidRPr="00D6329D">
        <w:rPr>
          <w:u w:val="single"/>
        </w:rPr>
        <w:t>SDG&amp;E</w:t>
      </w:r>
      <w:r w:rsidRPr="00D6329D">
        <w:rPr>
          <w:u w:val="single"/>
        </w:rPr>
        <w:t xml:space="preserve">, not </w:t>
      </w:r>
      <w:r w:rsidR="000D6A75" w:rsidRPr="00D6329D">
        <w:rPr>
          <w:u w:val="single"/>
        </w:rPr>
        <w:t>Kelco</w:t>
      </w:r>
      <w:r w:rsidRPr="00D6329D">
        <w:rPr>
          <w:u w:val="single"/>
        </w:rPr>
        <w:t xml:space="preserve">.  Based on the information before us, this PPA does not appear to result in any adverse safety impacts on the facilities or operations of </w:t>
      </w:r>
      <w:r w:rsidR="00303482" w:rsidRPr="00D6329D">
        <w:rPr>
          <w:u w:val="single"/>
        </w:rPr>
        <w:t>SDG&amp;E</w:t>
      </w:r>
      <w:r w:rsidRPr="00D6329D">
        <w:rPr>
          <w:u w:val="single"/>
        </w:rPr>
        <w:t>.</w:t>
      </w:r>
    </w:p>
    <w:p w:rsidR="000B0047" w:rsidRPr="009D11A7" w:rsidRDefault="000B0047" w:rsidP="000B0047">
      <w:pPr>
        <w:spacing w:after="120"/>
      </w:pPr>
    </w:p>
    <w:p w:rsidR="009F040C" w:rsidRDefault="009F040C" w:rsidP="000B0047">
      <w:pPr>
        <w:spacing w:after="120"/>
        <w:rPr>
          <w:b/>
        </w:rPr>
      </w:pPr>
      <w:r>
        <w:rPr>
          <w:b/>
        </w:rPr>
        <w:t>Project Viability</w:t>
      </w:r>
    </w:p>
    <w:p w:rsidR="009F040C" w:rsidRPr="00384788" w:rsidRDefault="00B97F9F" w:rsidP="00BA6D73">
      <w:pPr>
        <w:spacing w:after="120"/>
      </w:pPr>
      <w:r>
        <w:t>Kelco</w:t>
      </w:r>
      <w:r w:rsidR="005072A1">
        <w:t xml:space="preserve"> facility is an</w:t>
      </w:r>
      <w:r w:rsidR="009F040C" w:rsidRPr="00384788">
        <w:t xml:space="preserve"> </w:t>
      </w:r>
      <w:r w:rsidR="005032B1" w:rsidRPr="00384788">
        <w:t xml:space="preserve">existing qualifying </w:t>
      </w:r>
      <w:r w:rsidR="005072A1">
        <w:t>cogeneration facility</w:t>
      </w:r>
      <w:r w:rsidR="00D9400E" w:rsidRPr="00384788">
        <w:t xml:space="preserve">. </w:t>
      </w:r>
      <w:r w:rsidR="002D5F68">
        <w:t>Kelco has been in contract with SDG&amp;E since</w:t>
      </w:r>
      <w:r w:rsidR="00182FE3">
        <w:t xml:space="preserve"> November 19, </w:t>
      </w:r>
      <w:r w:rsidR="00182FE3" w:rsidRPr="00182FE3">
        <w:t>1998</w:t>
      </w:r>
      <w:r w:rsidR="00182FE3">
        <w:t xml:space="preserve">. </w:t>
      </w:r>
      <w:r w:rsidR="009F040C" w:rsidRPr="00384788">
        <w:t xml:space="preserve">As </w:t>
      </w:r>
      <w:r w:rsidR="00182FE3">
        <w:t xml:space="preserve">an </w:t>
      </w:r>
      <w:r w:rsidR="009F040C" w:rsidRPr="00384788">
        <w:t>existing QF, the project</w:t>
      </w:r>
      <w:r w:rsidR="00182FE3">
        <w:t xml:space="preserve"> </w:t>
      </w:r>
      <w:r w:rsidR="009F040C" w:rsidRPr="00384788">
        <w:t>face</w:t>
      </w:r>
      <w:r w:rsidR="00182FE3">
        <w:t>s</w:t>
      </w:r>
      <w:r w:rsidR="009F040C" w:rsidRPr="00384788">
        <w:t xml:space="preserve"> minimal project development risk. The </w:t>
      </w:r>
      <w:r w:rsidR="007004EF" w:rsidRPr="00384788">
        <w:t xml:space="preserve">Transition </w:t>
      </w:r>
      <w:r w:rsidR="00182FE3">
        <w:t>Agreement</w:t>
      </w:r>
      <w:r w:rsidR="005032B1" w:rsidRPr="00384788">
        <w:t xml:space="preserve"> </w:t>
      </w:r>
      <w:r w:rsidR="00182FE3">
        <w:t>is</w:t>
      </w:r>
      <w:r w:rsidR="009F040C" w:rsidRPr="00384788">
        <w:t xml:space="preserve"> effective </w:t>
      </w:r>
      <w:r w:rsidR="007004EF" w:rsidRPr="00384788">
        <w:t xml:space="preserve">upon </w:t>
      </w:r>
      <w:r w:rsidR="009F040C" w:rsidRPr="00384788">
        <w:t xml:space="preserve">the Commission’s approval of the </w:t>
      </w:r>
      <w:r w:rsidR="007004EF" w:rsidRPr="00384788">
        <w:t xml:space="preserve">Transition </w:t>
      </w:r>
      <w:r w:rsidR="005032B1" w:rsidRPr="00384788">
        <w:t>Agreement</w:t>
      </w:r>
      <w:r w:rsidR="009A0426">
        <w:t>.</w:t>
      </w:r>
    </w:p>
    <w:p w:rsidR="00693EB3" w:rsidRDefault="00182FE3" w:rsidP="00D87437">
      <w:pPr>
        <w:spacing w:after="120"/>
        <w:rPr>
          <w:b/>
        </w:rPr>
      </w:pPr>
      <w:r>
        <w:rPr>
          <w:u w:val="single"/>
        </w:rPr>
        <w:t>As existing an CHP facility</w:t>
      </w:r>
      <w:r w:rsidR="005032B1">
        <w:rPr>
          <w:u w:val="single"/>
        </w:rPr>
        <w:t xml:space="preserve"> </w:t>
      </w:r>
      <w:r>
        <w:rPr>
          <w:u w:val="single"/>
        </w:rPr>
        <w:t>Kelco CHP is a</w:t>
      </w:r>
      <w:r w:rsidR="009F040C">
        <w:rPr>
          <w:u w:val="single"/>
        </w:rPr>
        <w:t xml:space="preserve"> viable project.</w:t>
      </w:r>
    </w:p>
    <w:p w:rsidR="000B0047" w:rsidRDefault="000B0047" w:rsidP="00BA6D73">
      <w:pPr>
        <w:spacing w:after="120"/>
        <w:rPr>
          <w:b/>
        </w:rPr>
      </w:pPr>
    </w:p>
    <w:p w:rsidR="00470F76" w:rsidRDefault="00470F76" w:rsidP="00BA6D73">
      <w:pPr>
        <w:spacing w:after="120"/>
        <w:rPr>
          <w:b/>
        </w:rPr>
      </w:pPr>
    </w:p>
    <w:p w:rsidR="009F040C" w:rsidRDefault="009F040C" w:rsidP="00BA6D73">
      <w:pPr>
        <w:spacing w:after="120"/>
      </w:pPr>
      <w:r>
        <w:rPr>
          <w:b/>
        </w:rPr>
        <w:lastRenderedPageBreak/>
        <w:t>Consistency with the Emissions Performance Standard</w:t>
      </w:r>
    </w:p>
    <w:p w:rsidR="00741FC7" w:rsidRDefault="00741FC7" w:rsidP="00BA6D73">
      <w:pPr>
        <w:spacing w:after="120"/>
      </w:pPr>
      <w:r>
        <w:t xml:space="preserve">California Public Utilities Code Sections 8340 and 8341 require that the Commission consider emissions costs associated with new long-term (five years or greater) power contracts procured on behalf of California ratepayers. </w:t>
      </w:r>
      <w:r>
        <w:br/>
        <w:t>D.07-01-039 adopted an interim Emissions Performance Standard (“EPS”) that establishes an emission rate for obligated facilities to levels no greater than the greenhouse gas emissions of a combined-cycle gas turbine power plant.</w:t>
      </w:r>
    </w:p>
    <w:p w:rsidR="00741FC7" w:rsidRDefault="00741FC7" w:rsidP="00741FC7">
      <w:pPr>
        <w:spacing w:after="120"/>
      </w:pPr>
      <w:r>
        <w:t xml:space="preserve">Pursuant to Sections 4.10.4.1 of the CHP Program Settlement Term Sheet, PPAs greater than five years that are submitted to the CPUC in a Tier 2 or Tier 3 advice letter must be compliant with the EPS. </w:t>
      </w:r>
    </w:p>
    <w:p w:rsidR="00741FC7" w:rsidRDefault="00741FC7" w:rsidP="00741FC7">
      <w:pPr>
        <w:spacing w:after="120"/>
      </w:pPr>
      <w:r>
        <w:t>The EPS applies to all energy contracts that are at least five years in duration for baseload generation, which is defined as a power plant that is designed and intended to provide electricity at an annualized plant capacity factor greater than 60 percent.</w:t>
      </w:r>
    </w:p>
    <w:p w:rsidR="00741FC7" w:rsidRDefault="00741FC7" w:rsidP="00741FC7">
      <w:pPr>
        <w:spacing w:after="120"/>
      </w:pPr>
      <w:r>
        <w:t xml:space="preserve">The term of the </w:t>
      </w:r>
      <w:r w:rsidR="00B97F9F">
        <w:t>Kelco</w:t>
      </w:r>
      <w:r w:rsidR="00AE4502">
        <w:t xml:space="preserve"> </w:t>
      </w:r>
      <w:r>
        <w:t xml:space="preserve">Transition </w:t>
      </w:r>
      <w:r w:rsidR="00AE4502">
        <w:t>Agreement</w:t>
      </w:r>
      <w:r w:rsidR="00D57527">
        <w:t xml:space="preserve"> </w:t>
      </w:r>
      <w:r>
        <w:t xml:space="preserve">begins upon CPUC and FERC approvals </w:t>
      </w:r>
      <w:r w:rsidR="0097012E">
        <w:t xml:space="preserve">and ends no later than </w:t>
      </w:r>
      <w:r w:rsidR="008525C1">
        <w:t>July 1, 2015</w:t>
      </w:r>
      <w:r>
        <w:t>. The term of the PPA is less than five years and therefore the EPS does not apply to this procurement.</w:t>
      </w:r>
    </w:p>
    <w:p w:rsidR="00741FC7" w:rsidRDefault="00741FC7" w:rsidP="00D87437">
      <w:r>
        <w:rPr>
          <w:u w:val="single"/>
        </w:rPr>
        <w:t>The</w:t>
      </w:r>
      <w:r w:rsidR="00AE4502">
        <w:rPr>
          <w:u w:val="single"/>
        </w:rPr>
        <w:t xml:space="preserve"> Kelco</w:t>
      </w:r>
      <w:r>
        <w:rPr>
          <w:u w:val="single"/>
        </w:rPr>
        <w:t xml:space="preserve"> Transition </w:t>
      </w:r>
      <w:r w:rsidR="00AE4502">
        <w:rPr>
          <w:u w:val="single"/>
        </w:rPr>
        <w:t>Agreement is</w:t>
      </w:r>
      <w:r>
        <w:rPr>
          <w:u w:val="single"/>
        </w:rPr>
        <w:t xml:space="preserve"> not subject to the E</w:t>
      </w:r>
      <w:r w:rsidR="001B4687">
        <w:rPr>
          <w:u w:val="single"/>
        </w:rPr>
        <w:t xml:space="preserve">missions </w:t>
      </w:r>
      <w:r>
        <w:rPr>
          <w:u w:val="single"/>
        </w:rPr>
        <w:t>P</w:t>
      </w:r>
      <w:r w:rsidR="001B4687">
        <w:rPr>
          <w:u w:val="single"/>
        </w:rPr>
        <w:t xml:space="preserve">erformance </w:t>
      </w:r>
      <w:r>
        <w:rPr>
          <w:u w:val="single"/>
        </w:rPr>
        <w:t>S</w:t>
      </w:r>
      <w:r w:rsidR="001B4687">
        <w:rPr>
          <w:u w:val="single"/>
        </w:rPr>
        <w:t>tandard</w:t>
      </w:r>
      <w:r>
        <w:rPr>
          <w:u w:val="single"/>
        </w:rPr>
        <w:t xml:space="preserve"> under D.07-01-039 as the term of the PPA </w:t>
      </w:r>
      <w:r w:rsidR="00AE4502">
        <w:rPr>
          <w:u w:val="single"/>
        </w:rPr>
        <w:t>is</w:t>
      </w:r>
      <w:r>
        <w:rPr>
          <w:u w:val="single"/>
        </w:rPr>
        <w:t xml:space="preserve"> less than five years.</w:t>
      </w:r>
    </w:p>
    <w:p w:rsidR="000B0047" w:rsidRDefault="000B0047" w:rsidP="000B0047">
      <w:pPr>
        <w:spacing w:after="120"/>
        <w:rPr>
          <w:b/>
        </w:rPr>
      </w:pPr>
    </w:p>
    <w:p w:rsidR="00A90656" w:rsidRDefault="00A90656" w:rsidP="00A90656">
      <w:pPr>
        <w:spacing w:before="120" w:after="120"/>
        <w:rPr>
          <w:b/>
        </w:rPr>
      </w:pPr>
      <w:r>
        <w:rPr>
          <w:b/>
        </w:rPr>
        <w:t xml:space="preserve">Consistent with D.02-08-071 and D.07-12-052, </w:t>
      </w:r>
      <w:r w:rsidR="00303482">
        <w:rPr>
          <w:b/>
        </w:rPr>
        <w:t>SDG&amp;E</w:t>
      </w:r>
      <w:r>
        <w:rPr>
          <w:b/>
        </w:rPr>
        <w:t xml:space="preserve">’s Procurement Review Group (“PRG”) </w:t>
      </w:r>
      <w:r w:rsidR="00BA0ECD">
        <w:rPr>
          <w:b/>
        </w:rPr>
        <w:t xml:space="preserve">was </w:t>
      </w:r>
      <w:r>
        <w:rPr>
          <w:b/>
        </w:rPr>
        <w:t>notified of the CHP PPA.</w:t>
      </w:r>
    </w:p>
    <w:p w:rsidR="00BA0ECD" w:rsidRDefault="00303482" w:rsidP="00A90656">
      <w:pPr>
        <w:spacing w:after="120"/>
      </w:pPr>
      <w:r>
        <w:t>SDG&amp;E</w:t>
      </w:r>
      <w:r w:rsidR="00A90656">
        <w:t xml:space="preserve">’s PRG consists of representatives from: the Division of Ratepayer Advocates, The Utility Reform Network, California Department of Water Resources-California Energy Resources Scheduling, Coalition of California Utility Employees, the Union of Concerned Scientists, the Independent Evaluator, and the Commission’s Energy and Legal Divisions. </w:t>
      </w:r>
    </w:p>
    <w:p w:rsidR="00A90656" w:rsidRDefault="00384788" w:rsidP="00A90656">
      <w:pPr>
        <w:spacing w:after="120"/>
      </w:pPr>
      <w:r>
        <w:t>Negotiations on the Transition Agreements between th</w:t>
      </w:r>
      <w:r w:rsidR="00530BE1">
        <w:t>e Seller</w:t>
      </w:r>
      <w:r>
        <w:t xml:space="preserve"> and </w:t>
      </w:r>
      <w:r w:rsidR="00303482">
        <w:t>SDG&amp;E</w:t>
      </w:r>
      <w:r>
        <w:t xml:space="preserve"> began </w:t>
      </w:r>
      <w:r w:rsidR="00530BE1">
        <w:t>in November 2011</w:t>
      </w:r>
      <w:r>
        <w:t xml:space="preserve"> and were completed in </w:t>
      </w:r>
      <w:r w:rsidR="00530BE1">
        <w:t>December</w:t>
      </w:r>
      <w:r>
        <w:t xml:space="preserve"> 2012. </w:t>
      </w:r>
      <w:r w:rsidR="00303482">
        <w:t>SDG&amp;E</w:t>
      </w:r>
      <w:r>
        <w:t xml:space="preserve"> noticed the Transition Agreements to its </w:t>
      </w:r>
      <w:r w:rsidR="00BA0ECD">
        <w:t>Peer Review Group on April 19, 2013.</w:t>
      </w:r>
      <w:r>
        <w:t xml:space="preserve"> </w:t>
      </w:r>
    </w:p>
    <w:p w:rsidR="00A90656" w:rsidRDefault="00303482" w:rsidP="000B0047">
      <w:pPr>
        <w:spacing w:after="120"/>
        <w:rPr>
          <w:u w:val="single"/>
        </w:rPr>
      </w:pPr>
      <w:r>
        <w:rPr>
          <w:u w:val="single"/>
        </w:rPr>
        <w:t>SDG&amp;E</w:t>
      </w:r>
      <w:r w:rsidR="00A90656">
        <w:rPr>
          <w:u w:val="single"/>
        </w:rPr>
        <w:t xml:space="preserve"> has complied with the Commission’s rules for involving the PRG </w:t>
      </w:r>
      <w:r w:rsidR="00BA0ECD">
        <w:rPr>
          <w:u w:val="single"/>
        </w:rPr>
        <w:t>group</w:t>
      </w:r>
      <w:r w:rsidR="00A90656">
        <w:rPr>
          <w:u w:val="single"/>
        </w:rPr>
        <w:t>.</w:t>
      </w:r>
    </w:p>
    <w:p w:rsidR="00613D10" w:rsidRDefault="00613D10" w:rsidP="000E46DF">
      <w:pPr>
        <w:keepNext/>
        <w:keepLines/>
        <w:spacing w:after="120"/>
      </w:pPr>
      <w:r w:rsidRPr="00F81F25">
        <w:rPr>
          <w:b/>
        </w:rPr>
        <w:t>Independent Evaluator Review</w:t>
      </w:r>
    </w:p>
    <w:p w:rsidR="00296F5A" w:rsidRPr="00712E7D" w:rsidRDefault="00310BCB" w:rsidP="00F03045">
      <w:pPr>
        <w:spacing w:after="120"/>
        <w:rPr>
          <w:u w:val="single"/>
        </w:rPr>
      </w:pPr>
      <w:r>
        <w:rPr>
          <w:u w:val="single"/>
        </w:rPr>
        <w:t>In</w:t>
      </w:r>
      <w:r w:rsidR="00C800B6">
        <w:rPr>
          <w:u w:val="single"/>
        </w:rPr>
        <w:t xml:space="preserve"> accordance with the Term Sheet Section 4.3.2, SDG&amp;E elected to not use an Independent Evaluator for the CP Kelco Transition PPA negotiations.</w:t>
      </w:r>
    </w:p>
    <w:p w:rsidR="00CF17DE" w:rsidRDefault="00CF17DE" w:rsidP="00BA6D73">
      <w:pPr>
        <w:pStyle w:val="Heading1"/>
        <w:spacing w:after="120"/>
      </w:pPr>
      <w:r>
        <w:lastRenderedPageBreak/>
        <w:t>Comments</w:t>
      </w:r>
    </w:p>
    <w:p w:rsidR="00BB57DB" w:rsidRDefault="00BB57DB" w:rsidP="00BB57DB">
      <w:pPr>
        <w:spacing w:after="120"/>
      </w:pPr>
      <w:r>
        <w:t>Public Utilities Code section 311(g)(1) provides that this resolution must be served on all parties and subject to at least 30 days public review and comment prior to a vote of the Commission.  Section 311(g)(2) provides that this 30-day period may be reduced or waived upon the stipulation of</w:t>
      </w:r>
      <w:r w:rsidR="00A152AF">
        <w:t xml:space="preserve"> all parties in the proceeding.</w:t>
      </w:r>
    </w:p>
    <w:p w:rsidR="004F6AD1" w:rsidRDefault="008E1C67" w:rsidP="004F6AD1">
      <w:pPr>
        <w:rPr>
          <w:color w:val="000000"/>
        </w:rPr>
      </w:pPr>
      <w:r>
        <w:rPr>
          <w:color w:val="000000"/>
        </w:rPr>
        <w:t>T</w:t>
      </w:r>
      <w:r w:rsidR="004F6AD1">
        <w:rPr>
          <w:color w:val="000000"/>
        </w:rPr>
        <w:t>he 30-day comment period for the draft of this resolution was neither waived </w:t>
      </w:r>
    </w:p>
    <w:p w:rsidR="004F6AD1" w:rsidRDefault="004F6AD1" w:rsidP="004F6AD1">
      <w:pPr>
        <w:rPr>
          <w:color w:val="000000"/>
        </w:rPr>
      </w:pPr>
      <w:r>
        <w:rPr>
          <w:color w:val="000000"/>
        </w:rPr>
        <w:t>nor reduced. Accordingly, this draft resolution was mailed to parties for </w:t>
      </w:r>
    </w:p>
    <w:p w:rsidR="004F6AD1" w:rsidRDefault="004F6AD1" w:rsidP="00223F5C">
      <w:pPr>
        <w:spacing w:after="120"/>
        <w:rPr>
          <w:color w:val="000000"/>
        </w:rPr>
      </w:pPr>
      <w:r>
        <w:rPr>
          <w:color w:val="000000"/>
        </w:rPr>
        <w:t xml:space="preserve">comments on </w:t>
      </w:r>
      <w:r w:rsidR="004D33B0" w:rsidRPr="004D33B0">
        <w:rPr>
          <w:color w:val="000000"/>
        </w:rPr>
        <w:t xml:space="preserve">February </w:t>
      </w:r>
      <w:r w:rsidR="00470F76">
        <w:rPr>
          <w:color w:val="000000"/>
        </w:rPr>
        <w:t>11</w:t>
      </w:r>
      <w:r w:rsidRPr="004D33B0">
        <w:rPr>
          <w:color w:val="000000"/>
        </w:rPr>
        <w:t>, 2013</w:t>
      </w:r>
      <w:r w:rsidR="008E74AE" w:rsidRPr="004D33B0">
        <w:rPr>
          <w:color w:val="000000"/>
        </w:rPr>
        <w:t>.</w:t>
      </w:r>
    </w:p>
    <w:p w:rsidR="00CF17DE" w:rsidRDefault="00CF17DE" w:rsidP="00F03045">
      <w:pPr>
        <w:pStyle w:val="Heading1"/>
        <w:spacing w:after="120"/>
      </w:pPr>
      <w:r>
        <w:t>Findings</w:t>
      </w:r>
      <w:r w:rsidR="00411524">
        <w:t xml:space="preserve"> AND CONCLUSIONS</w:t>
      </w:r>
    </w:p>
    <w:p w:rsidR="00CF17DE" w:rsidRPr="005072A1" w:rsidRDefault="00303482" w:rsidP="006D5FA2">
      <w:pPr>
        <w:numPr>
          <w:ilvl w:val="0"/>
          <w:numId w:val="4"/>
        </w:numPr>
        <w:spacing w:after="120"/>
        <w:ind w:left="418" w:hanging="418"/>
        <w:rPr>
          <w:b/>
        </w:rPr>
      </w:pPr>
      <w:r w:rsidRPr="005072A1">
        <w:t xml:space="preserve">San Diego Gas &amp; Electric </w:t>
      </w:r>
      <w:r w:rsidR="00F505ED" w:rsidRPr="005072A1">
        <w:t>Company filed</w:t>
      </w:r>
      <w:r w:rsidR="00712E7D" w:rsidRPr="005072A1">
        <w:t xml:space="preserve"> Advice Letter (“AL”)</w:t>
      </w:r>
      <w:r w:rsidR="00E14541" w:rsidRPr="005072A1">
        <w:t xml:space="preserve"> </w:t>
      </w:r>
      <w:r w:rsidR="00C32B1E" w:rsidRPr="005072A1">
        <w:t>2517</w:t>
      </w:r>
      <w:r w:rsidR="00E14541" w:rsidRPr="005072A1">
        <w:t>-</w:t>
      </w:r>
      <w:r w:rsidR="00712E7D" w:rsidRPr="005072A1">
        <w:t xml:space="preserve">E on </w:t>
      </w:r>
      <w:r w:rsidR="00C32B1E" w:rsidRPr="005072A1">
        <w:t>September 5, 2013</w:t>
      </w:r>
      <w:r w:rsidR="00E14541" w:rsidRPr="005072A1">
        <w:t>, in which i</w:t>
      </w:r>
      <w:r w:rsidR="005647E3" w:rsidRPr="005072A1">
        <w:t>t</w:t>
      </w:r>
      <w:r w:rsidR="00E14541" w:rsidRPr="005072A1">
        <w:t xml:space="preserve"> requested Commission approval of a Transition Agreement with </w:t>
      </w:r>
      <w:r w:rsidR="00F505ED" w:rsidRPr="005072A1">
        <w:t>CP Kelco U.S., Inc. The Transition Agreement</w:t>
      </w:r>
      <w:r w:rsidR="00EF32B0" w:rsidRPr="005072A1">
        <w:t xml:space="preserve"> </w:t>
      </w:r>
      <w:r w:rsidR="00E14541" w:rsidRPr="005072A1">
        <w:t>ha</w:t>
      </w:r>
      <w:r w:rsidR="00F505ED" w:rsidRPr="005072A1">
        <w:t>s</w:t>
      </w:r>
      <w:r w:rsidR="00E14541" w:rsidRPr="005072A1">
        <w:t xml:space="preserve"> been modified from the Standard Form Transition PPA approved by the Commission in Decision (“D.”) 10-12-035. </w:t>
      </w:r>
    </w:p>
    <w:p w:rsidR="00CF1357" w:rsidRPr="005072A1" w:rsidRDefault="002C50B6" w:rsidP="006D5FA2">
      <w:pPr>
        <w:numPr>
          <w:ilvl w:val="0"/>
          <w:numId w:val="4"/>
        </w:numPr>
        <w:spacing w:after="120"/>
        <w:ind w:left="418" w:hanging="418"/>
        <w:rPr>
          <w:b/>
        </w:rPr>
      </w:pPr>
      <w:r w:rsidRPr="005072A1">
        <w:t>The Kelco Transition Agreement</w:t>
      </w:r>
      <w:r w:rsidR="00CF1357" w:rsidRPr="005072A1">
        <w:t xml:space="preserve"> </w:t>
      </w:r>
      <w:r w:rsidRPr="005072A1">
        <w:t>is</w:t>
      </w:r>
      <w:r w:rsidR="00CF1357" w:rsidRPr="005072A1">
        <w:t xml:space="preserve"> consistent with the Settlement Requirements for Transition PPAs.</w:t>
      </w:r>
    </w:p>
    <w:p w:rsidR="00E06C73" w:rsidRPr="005072A1" w:rsidRDefault="00E06C73" w:rsidP="006D5FA2">
      <w:pPr>
        <w:numPr>
          <w:ilvl w:val="0"/>
          <w:numId w:val="4"/>
        </w:numPr>
        <w:spacing w:after="120"/>
      </w:pPr>
      <w:r w:rsidRPr="005072A1">
        <w:t>The Transition Period and Transition PPA are part of the CHP Program as defined in the Settlement Term Sheet.</w:t>
      </w:r>
    </w:p>
    <w:p w:rsidR="00E06C73" w:rsidRPr="005072A1" w:rsidRDefault="00E06C73" w:rsidP="006D5FA2">
      <w:pPr>
        <w:numPr>
          <w:ilvl w:val="0"/>
          <w:numId w:val="4"/>
        </w:numPr>
        <w:spacing w:after="120"/>
      </w:pPr>
      <w:r w:rsidRPr="005072A1">
        <w:t xml:space="preserve">Pursuant to the QF/CHP Settlement, </w:t>
      </w:r>
      <w:r w:rsidR="00303482" w:rsidRPr="005072A1">
        <w:t>SDG&amp;E</w:t>
      </w:r>
      <w:r w:rsidRPr="005072A1">
        <w:t xml:space="preserve"> is permitted to enter Transition Agreements with </w:t>
      </w:r>
      <w:r w:rsidR="00570D98" w:rsidRPr="005072A1">
        <w:t xml:space="preserve">Kelco as it is </w:t>
      </w:r>
      <w:r w:rsidRPr="005072A1">
        <w:t xml:space="preserve">currently selling to </w:t>
      </w:r>
      <w:r w:rsidR="00303482" w:rsidRPr="005072A1">
        <w:t>SDG&amp;E</w:t>
      </w:r>
      <w:r w:rsidR="00570D98" w:rsidRPr="005072A1">
        <w:t xml:space="preserve"> under </w:t>
      </w:r>
      <w:r w:rsidRPr="005072A1">
        <w:t xml:space="preserve">a Legacy PPA. </w:t>
      </w:r>
    </w:p>
    <w:p w:rsidR="00570D98" w:rsidRPr="005072A1" w:rsidRDefault="00570D98" w:rsidP="00570D98">
      <w:pPr>
        <w:numPr>
          <w:ilvl w:val="0"/>
          <w:numId w:val="4"/>
        </w:numPr>
        <w:spacing w:after="120"/>
      </w:pPr>
      <w:r w:rsidRPr="005072A1">
        <w:t>The Transition Agreement will terminate upon election of the seller, buyer or no later than July 1, 2015. The Transition PPA will commence thirty days after the Commission approval.</w:t>
      </w:r>
    </w:p>
    <w:p w:rsidR="00570D98" w:rsidRPr="005072A1" w:rsidRDefault="00570D98" w:rsidP="00570D98">
      <w:pPr>
        <w:numPr>
          <w:ilvl w:val="0"/>
          <w:numId w:val="4"/>
        </w:numPr>
        <w:spacing w:after="240"/>
      </w:pPr>
      <w:r w:rsidRPr="005072A1">
        <w:t>SDG&amp;E modified the Transition PPAs to grant both the buyer and seller termination rights due the future uncertainty of the Kelco facility. Furthermore, the Transition PPA was modified to set the Scheduling Coordinator fee and set-up fee to address the concerns of the seller.</w:t>
      </w:r>
    </w:p>
    <w:p w:rsidR="00570D98" w:rsidRPr="005072A1" w:rsidRDefault="00570D98" w:rsidP="00570D98">
      <w:pPr>
        <w:numPr>
          <w:ilvl w:val="0"/>
          <w:numId w:val="4"/>
        </w:numPr>
        <w:spacing w:after="240"/>
      </w:pPr>
      <w:r w:rsidRPr="005072A1">
        <w:t>Pursuant to the QF/CHP Settlement, Sellers’ contract capacities under the Transition PPAs do not count toward SDG&amp;E’s MW procurement target.</w:t>
      </w:r>
    </w:p>
    <w:p w:rsidR="00570D98" w:rsidRPr="005072A1" w:rsidRDefault="00570D98" w:rsidP="00570D98">
      <w:pPr>
        <w:numPr>
          <w:ilvl w:val="0"/>
          <w:numId w:val="4"/>
        </w:numPr>
        <w:spacing w:after="240"/>
        <w:rPr>
          <w:i/>
        </w:rPr>
      </w:pPr>
      <w:r w:rsidRPr="005072A1">
        <w:t xml:space="preserve">Pursuant to the QF/CHP Settlement, any change in Sellers’ operations under the Transition PPAs do not count toward SDG&amp;E’s GHG Emissions </w:t>
      </w:r>
      <w:r w:rsidRPr="005072A1">
        <w:lastRenderedPageBreak/>
        <w:t>Reduction Target because Transition PPAs are not an eligible procurement process and are inapplicable to the GHG Accounting Methodology.</w:t>
      </w:r>
    </w:p>
    <w:p w:rsidR="00570D98" w:rsidRPr="005072A1" w:rsidRDefault="00570D98" w:rsidP="00570D98">
      <w:pPr>
        <w:numPr>
          <w:ilvl w:val="0"/>
          <w:numId w:val="4"/>
        </w:numPr>
        <w:spacing w:after="240"/>
        <w:rPr>
          <w:b/>
        </w:rPr>
      </w:pPr>
      <w:r w:rsidRPr="005072A1">
        <w:t>Resource adequacy benefits are to be allocated according to the share of the net capacity costs paid by load-serving entities serving direct access and community choice aggregation customers as prescribed in Section 13.1.2.2 of the QF/CHP Settlement Term Sheet.</w:t>
      </w:r>
    </w:p>
    <w:p w:rsidR="00570D98" w:rsidRPr="005072A1" w:rsidRDefault="00570D98" w:rsidP="00570D98">
      <w:pPr>
        <w:numPr>
          <w:ilvl w:val="0"/>
          <w:numId w:val="4"/>
        </w:numPr>
        <w:spacing w:after="240"/>
        <w:rPr>
          <w:b/>
        </w:rPr>
      </w:pPr>
      <w:r w:rsidRPr="005072A1">
        <w:t>The execution of the Kelco Transition Agreement does not count towards SDG&amp;E’s obligation to procure additional CHP resources to meet the remaining MW and GHG Targets.</w:t>
      </w:r>
    </w:p>
    <w:p w:rsidR="00570D98" w:rsidRPr="005072A1" w:rsidRDefault="00570D98" w:rsidP="00570D98">
      <w:pPr>
        <w:numPr>
          <w:ilvl w:val="0"/>
          <w:numId w:val="4"/>
        </w:numPr>
        <w:spacing w:after="240"/>
      </w:pPr>
      <w:r w:rsidRPr="005072A1">
        <w:t xml:space="preserve">The pricing terms of the Transition PPAs are determined by Commission-approved capacity pricing per D.07-09-040 and energy pricing per the SRAC Energy Pricing Structure as defined within the Settlement. </w:t>
      </w:r>
    </w:p>
    <w:p w:rsidR="00570D98" w:rsidRDefault="00570D98" w:rsidP="00570D98">
      <w:pPr>
        <w:numPr>
          <w:ilvl w:val="0"/>
          <w:numId w:val="4"/>
        </w:numPr>
      </w:pPr>
      <w:r w:rsidRPr="005072A1">
        <w:t>The Transition Agreements are between San Diego Gas &amp; Electric Company and Kelco.  The Commission</w:t>
      </w:r>
      <w:r w:rsidRPr="005072A1">
        <w:rPr>
          <w:rFonts w:hint="eastAsia"/>
        </w:rPr>
        <w:t>’</w:t>
      </w:r>
      <w:r w:rsidRPr="005072A1">
        <w:t>s jurisdiction extends only over SDG&amp;E, not Kelco.  Based on the information before us, this PPA does not appear to result in any adverse safety impacts on the facilities or operations of SDG&amp;E.</w:t>
      </w:r>
    </w:p>
    <w:p w:rsidR="00570D98" w:rsidRPr="005072A1" w:rsidRDefault="00570D98" w:rsidP="00570D98">
      <w:pPr>
        <w:numPr>
          <w:ilvl w:val="0"/>
          <w:numId w:val="4"/>
        </w:numPr>
        <w:spacing w:after="120"/>
        <w:rPr>
          <w:b/>
        </w:rPr>
      </w:pPr>
      <w:r w:rsidRPr="005072A1">
        <w:t>As existing an CHP facility Kelco CHP is a viable project.</w:t>
      </w:r>
    </w:p>
    <w:p w:rsidR="00570D98" w:rsidRPr="005072A1" w:rsidRDefault="00570D98" w:rsidP="00570D98">
      <w:pPr>
        <w:numPr>
          <w:ilvl w:val="0"/>
          <w:numId w:val="4"/>
        </w:numPr>
      </w:pPr>
      <w:r w:rsidRPr="005072A1">
        <w:t>The Kelco Transition Agreement is not subject to the Emissions Performance Standard under D.07-01-039 as the term of the PPA is less than five years.</w:t>
      </w:r>
    </w:p>
    <w:p w:rsidR="00570D98" w:rsidRPr="005072A1" w:rsidRDefault="00570D98" w:rsidP="00570D98">
      <w:pPr>
        <w:numPr>
          <w:ilvl w:val="0"/>
          <w:numId w:val="4"/>
        </w:numPr>
        <w:spacing w:after="120"/>
      </w:pPr>
      <w:r w:rsidRPr="005072A1">
        <w:t>SDG&amp;E has complied with the Commission’s rules for involving the PRG group.</w:t>
      </w:r>
    </w:p>
    <w:p w:rsidR="00570D98" w:rsidRPr="005072A1" w:rsidRDefault="00570D98" w:rsidP="00570D98">
      <w:pPr>
        <w:numPr>
          <w:ilvl w:val="0"/>
          <w:numId w:val="4"/>
        </w:numPr>
        <w:spacing w:after="120"/>
      </w:pPr>
      <w:r w:rsidRPr="005072A1">
        <w:t>In accordance with the Term Sheet Section 4.3.2, SDG&amp;E elected to not use an Independent Evaluator for the CP Kelco Transition PPA negotiations.</w:t>
      </w:r>
    </w:p>
    <w:p w:rsidR="00CF1357" w:rsidRPr="005072A1" w:rsidRDefault="00432D84" w:rsidP="006D5FA2">
      <w:pPr>
        <w:numPr>
          <w:ilvl w:val="0"/>
          <w:numId w:val="4"/>
        </w:numPr>
        <w:spacing w:after="120"/>
      </w:pPr>
      <w:r w:rsidRPr="005072A1">
        <w:t xml:space="preserve">The </w:t>
      </w:r>
      <w:r w:rsidR="00B97F9F" w:rsidRPr="005072A1">
        <w:t>Kelco</w:t>
      </w:r>
      <w:r w:rsidRPr="005072A1">
        <w:t>Transition Agreements are of reasonable cost.</w:t>
      </w:r>
    </w:p>
    <w:p w:rsidR="00E06C73" w:rsidRPr="005072A1" w:rsidRDefault="00E06C73" w:rsidP="006D5FA2">
      <w:pPr>
        <w:numPr>
          <w:ilvl w:val="0"/>
          <w:numId w:val="4"/>
        </w:numPr>
        <w:spacing w:after="120"/>
      </w:pPr>
      <w:r w:rsidRPr="005072A1">
        <w:t>The pricing terms of the Transition PPA</w:t>
      </w:r>
      <w:r w:rsidR="00B10A85" w:rsidRPr="005072A1">
        <w:t>s</w:t>
      </w:r>
      <w:r w:rsidRPr="005072A1">
        <w:t xml:space="preserve"> are determined by Commission-approved capacity pricing per D.07-09-040 and energy pricing per the SRAC Energy Pricing Structure as defined within the Settlement. </w:t>
      </w:r>
    </w:p>
    <w:p w:rsidR="00570D98" w:rsidRDefault="00570D98" w:rsidP="00570D98">
      <w:pPr>
        <w:spacing w:after="120"/>
      </w:pPr>
    </w:p>
    <w:p w:rsidR="00570D98" w:rsidRDefault="00570D98" w:rsidP="00570D98">
      <w:pPr>
        <w:spacing w:after="120"/>
      </w:pPr>
    </w:p>
    <w:p w:rsidR="00570D98" w:rsidRDefault="00570D98" w:rsidP="00570D98">
      <w:pPr>
        <w:spacing w:after="120"/>
      </w:pPr>
    </w:p>
    <w:p w:rsidR="00570D98" w:rsidRDefault="00570D98" w:rsidP="00570D98">
      <w:pPr>
        <w:spacing w:after="120"/>
      </w:pPr>
    </w:p>
    <w:p w:rsidR="00570D98" w:rsidRDefault="00570D98" w:rsidP="00570D98">
      <w:pPr>
        <w:spacing w:after="120"/>
      </w:pPr>
    </w:p>
    <w:p w:rsidR="00CF17DE" w:rsidRDefault="00CF17DE" w:rsidP="00F03045">
      <w:pPr>
        <w:pStyle w:val="Heading1"/>
        <w:spacing w:after="120"/>
        <w:rPr>
          <w:b w:val="0"/>
        </w:rPr>
      </w:pPr>
      <w:r>
        <w:lastRenderedPageBreak/>
        <w:t>Therefore it is ordered that:</w:t>
      </w:r>
    </w:p>
    <w:p w:rsidR="00A90656" w:rsidRPr="00A90656" w:rsidRDefault="00A90656" w:rsidP="00A90656">
      <w:pPr>
        <w:numPr>
          <w:ilvl w:val="0"/>
          <w:numId w:val="5"/>
        </w:numPr>
      </w:pPr>
      <w:r>
        <w:rPr>
          <w:snapToGrid w:val="0"/>
        </w:rPr>
        <w:t xml:space="preserve">The request of the </w:t>
      </w:r>
      <w:r w:rsidR="00303482">
        <w:rPr>
          <w:snapToGrid w:val="0"/>
        </w:rPr>
        <w:t xml:space="preserve">San Diego Gas &amp; Electric </w:t>
      </w:r>
      <w:r w:rsidR="00C867FC">
        <w:rPr>
          <w:snapToGrid w:val="0"/>
        </w:rPr>
        <w:t xml:space="preserve">Company </w:t>
      </w:r>
      <w:r w:rsidR="00C867FC" w:rsidRPr="00FF2D38">
        <w:rPr>
          <w:snapToGrid w:val="0"/>
        </w:rPr>
        <w:t>for</w:t>
      </w:r>
      <w:r w:rsidRPr="00FF2D38">
        <w:rPr>
          <w:snapToGrid w:val="0"/>
        </w:rPr>
        <w:t xml:space="preserve"> the Commission to approve the </w:t>
      </w:r>
      <w:r w:rsidR="00DD6FD4">
        <w:rPr>
          <w:snapToGrid w:val="0"/>
        </w:rPr>
        <w:t>CP Kelco U.S., Inc.</w:t>
      </w:r>
      <w:r w:rsidR="00EF32B0">
        <w:rPr>
          <w:snapToGrid w:val="0"/>
        </w:rPr>
        <w:t xml:space="preserve"> </w:t>
      </w:r>
      <w:r>
        <w:rPr>
          <w:snapToGrid w:val="0"/>
        </w:rPr>
        <w:t>Transition Agreement</w:t>
      </w:r>
      <w:r w:rsidR="00EF32B0">
        <w:rPr>
          <w:snapToGrid w:val="0"/>
        </w:rPr>
        <w:t xml:space="preserve">s </w:t>
      </w:r>
      <w:r w:rsidRPr="00FF2D38">
        <w:rPr>
          <w:snapToGrid w:val="0"/>
        </w:rPr>
        <w:t xml:space="preserve">in </w:t>
      </w:r>
      <w:r>
        <w:rPr>
          <w:snapToGrid w:val="0"/>
        </w:rPr>
        <w:t xml:space="preserve">their </w:t>
      </w:r>
      <w:r w:rsidRPr="00FF2D38">
        <w:rPr>
          <w:snapToGrid w:val="0"/>
        </w:rPr>
        <w:t xml:space="preserve">entirety as requested in Advice Letter </w:t>
      </w:r>
      <w:r w:rsidRPr="00FF2D38">
        <w:t xml:space="preserve">AL </w:t>
      </w:r>
      <w:r w:rsidR="00C32B1E">
        <w:t>2517</w:t>
      </w:r>
      <w:r w:rsidRPr="00FF2D38">
        <w:t>-</w:t>
      </w:r>
      <w:r w:rsidR="001A3D4B" w:rsidRPr="00FF2D38">
        <w:t>E</w:t>
      </w:r>
      <w:r w:rsidR="001A3D4B">
        <w:t xml:space="preserve"> is</w:t>
      </w:r>
      <w:r w:rsidRPr="00FF2D38">
        <w:rPr>
          <w:snapToGrid w:val="0"/>
        </w:rPr>
        <w:t xml:space="preserve"> approved</w:t>
      </w:r>
      <w:r>
        <w:rPr>
          <w:snapToGrid w:val="0"/>
        </w:rPr>
        <w:t xml:space="preserve"> without modifications.</w:t>
      </w:r>
    </w:p>
    <w:p w:rsidR="00A90656" w:rsidRPr="00065CF0" w:rsidRDefault="00A90656" w:rsidP="00A90656">
      <w:pPr>
        <w:ind w:left="360"/>
      </w:pPr>
    </w:p>
    <w:p w:rsidR="00A90656" w:rsidRDefault="00303482" w:rsidP="00A90656">
      <w:pPr>
        <w:numPr>
          <w:ilvl w:val="0"/>
          <w:numId w:val="5"/>
        </w:numPr>
        <w:spacing w:after="240"/>
      </w:pPr>
      <w:r>
        <w:rPr>
          <w:snapToGrid w:val="0"/>
        </w:rPr>
        <w:t xml:space="preserve">San Diego Gas &amp; Electric Company </w:t>
      </w:r>
      <w:r w:rsidR="00A90656" w:rsidRPr="00BA6D73">
        <w:rPr>
          <w:snapToGrid w:val="0"/>
        </w:rPr>
        <w:t xml:space="preserve"> is authorized to recover the costs associated with the </w:t>
      </w:r>
      <w:r w:rsidR="00EF32B0">
        <w:rPr>
          <w:snapToGrid w:val="0"/>
        </w:rPr>
        <w:t>Transition Agreements</w:t>
      </w:r>
      <w:r w:rsidR="00A90656" w:rsidRPr="00BA6D73">
        <w:rPr>
          <w:snapToGrid w:val="0"/>
        </w:rPr>
        <w:t xml:space="preserve"> through the </w:t>
      </w:r>
      <w:r w:rsidR="00540BC7">
        <w:rPr>
          <w:snapToGrid w:val="0"/>
        </w:rPr>
        <w:t xml:space="preserve">net capacity </w:t>
      </w:r>
      <w:r w:rsidR="00A90656" w:rsidRPr="00BA6D73">
        <w:rPr>
          <w:snapToGrid w:val="0"/>
        </w:rPr>
        <w:t>cost recovery mechanisms set forth in D.10-12-035 (as modified by D.11-07-010), Section 13.1.2.2 of the QF/CHP Settlement</w:t>
      </w:r>
      <w:r w:rsidR="00DD6FD4">
        <w:rPr>
          <w:snapToGrid w:val="0"/>
        </w:rPr>
        <w:t>.</w:t>
      </w:r>
    </w:p>
    <w:p w:rsidR="00CF17DE" w:rsidRDefault="00CF17DE" w:rsidP="00A152AF">
      <w:pPr>
        <w:spacing w:after="120"/>
      </w:pPr>
      <w:r>
        <w:t>This Resolution is effective today.</w:t>
      </w:r>
      <w:r w:rsidR="00470F76">
        <w:br/>
      </w:r>
    </w:p>
    <w:p w:rsidR="00CF17DE" w:rsidRDefault="00CF17DE" w:rsidP="000E46DF">
      <w:pPr>
        <w:keepNext/>
        <w:keepLines/>
        <w:rPr>
          <w:snapToGrid w:val="0"/>
        </w:rPr>
      </w:pPr>
      <w:r>
        <w:rPr>
          <w:snapToGrid w:val="0"/>
        </w:rPr>
        <w:t>I certify that the foregoing resolution was duly introduced, passed and adopted at a conference of the Public Utilities Commission of t</w:t>
      </w:r>
      <w:r w:rsidR="00EE116A">
        <w:rPr>
          <w:snapToGrid w:val="0"/>
        </w:rPr>
        <w:t xml:space="preserve">he State </w:t>
      </w:r>
      <w:r w:rsidR="003763DB">
        <w:rPr>
          <w:snapToGrid w:val="0"/>
        </w:rPr>
        <w:t xml:space="preserve">of California held on </w:t>
      </w:r>
      <w:r w:rsidR="004D33B0" w:rsidRPr="004D33B0">
        <w:rPr>
          <w:snapToGrid w:val="0"/>
        </w:rPr>
        <w:t>March 13</w:t>
      </w:r>
      <w:r w:rsidR="00A152AF" w:rsidRPr="004D33B0">
        <w:rPr>
          <w:snapToGrid w:val="0"/>
        </w:rPr>
        <w:t>, 201</w:t>
      </w:r>
      <w:r w:rsidR="00DD6FD4" w:rsidRPr="004D33B0">
        <w:rPr>
          <w:snapToGrid w:val="0"/>
        </w:rPr>
        <w:t>4</w:t>
      </w:r>
      <w:r>
        <w:rPr>
          <w:snapToGrid w:val="0"/>
        </w:rPr>
        <w:t>; the following Commissioners voting favorably thereon:</w:t>
      </w:r>
    </w:p>
    <w:p w:rsidR="00CF17DE" w:rsidRDefault="00CF17DE" w:rsidP="000E46DF">
      <w:pPr>
        <w:keepNext/>
        <w:keepLines/>
        <w:tabs>
          <w:tab w:val="left" w:pos="720"/>
          <w:tab w:val="left" w:pos="1152"/>
          <w:tab w:val="left" w:pos="1728"/>
          <w:tab w:val="left" w:pos="3168"/>
          <w:tab w:val="left" w:pos="5040"/>
        </w:tabs>
        <w:ind w:right="144"/>
      </w:pPr>
    </w:p>
    <w:p w:rsidR="005342A5" w:rsidRDefault="005342A5" w:rsidP="000E46DF">
      <w:pPr>
        <w:keepNext/>
        <w:keepLines/>
        <w:tabs>
          <w:tab w:val="left" w:pos="720"/>
          <w:tab w:val="left" w:pos="1152"/>
          <w:tab w:val="left" w:pos="1728"/>
          <w:tab w:val="left" w:pos="3168"/>
          <w:tab w:val="left" w:pos="5040"/>
        </w:tabs>
        <w:ind w:right="144"/>
      </w:pPr>
    </w:p>
    <w:p w:rsidR="005342A5" w:rsidRDefault="005342A5" w:rsidP="000E46DF">
      <w:pPr>
        <w:keepNext/>
        <w:keepLines/>
        <w:tabs>
          <w:tab w:val="left" w:pos="720"/>
          <w:tab w:val="left" w:pos="1152"/>
          <w:tab w:val="left" w:pos="1728"/>
          <w:tab w:val="left" w:pos="3168"/>
          <w:tab w:val="left" w:pos="5040"/>
        </w:tabs>
        <w:ind w:right="144"/>
      </w:pPr>
    </w:p>
    <w:p w:rsidR="005342A5" w:rsidRDefault="005342A5" w:rsidP="000E46DF">
      <w:pPr>
        <w:keepNext/>
        <w:keepLines/>
        <w:tabs>
          <w:tab w:val="left" w:pos="720"/>
          <w:tab w:val="left" w:pos="1152"/>
          <w:tab w:val="left" w:pos="1728"/>
          <w:tab w:val="left" w:pos="3168"/>
          <w:tab w:val="left" w:pos="5040"/>
        </w:tabs>
        <w:ind w:right="144"/>
      </w:pPr>
    </w:p>
    <w:p w:rsidR="00CF17DE" w:rsidRDefault="00903C83" w:rsidP="000E46DF">
      <w:pPr>
        <w:keepNext/>
        <w:keepLines/>
        <w:tabs>
          <w:tab w:val="left" w:pos="720"/>
          <w:tab w:val="left" w:pos="1152"/>
          <w:tab w:val="left" w:pos="1728"/>
          <w:tab w:val="left" w:pos="3168"/>
          <w:tab w:val="left" w:pos="5040"/>
        </w:tabs>
        <w:ind w:right="144"/>
      </w:pPr>
      <w:r>
        <w:tab/>
      </w:r>
      <w:r>
        <w:tab/>
      </w:r>
      <w:r>
        <w:tab/>
      </w:r>
      <w:r>
        <w:tab/>
      </w:r>
      <w:r w:rsidR="00106EE1">
        <w:t xml:space="preserve">                            _______________</w:t>
      </w:r>
    </w:p>
    <w:p w:rsidR="00CF17DE" w:rsidRDefault="00CF17DE" w:rsidP="000E46DF">
      <w:pPr>
        <w:keepNext/>
        <w:keepLines/>
      </w:pPr>
      <w:r>
        <w:tab/>
      </w:r>
      <w:r>
        <w:tab/>
      </w:r>
      <w:r>
        <w:tab/>
      </w:r>
      <w:r>
        <w:tab/>
      </w:r>
      <w:r>
        <w:tab/>
      </w:r>
      <w:r>
        <w:tab/>
      </w:r>
      <w:r w:rsidR="00903C83">
        <w:t xml:space="preserve">        </w:t>
      </w:r>
      <w:r w:rsidR="00276DD6">
        <w:t xml:space="preserve">  </w:t>
      </w:r>
      <w:r w:rsidR="00586566">
        <w:t>P</w:t>
      </w:r>
      <w:r w:rsidR="00903C83">
        <w:t>AUL CLANON</w:t>
      </w:r>
    </w:p>
    <w:p w:rsidR="00295E3B" w:rsidRDefault="00CF17DE" w:rsidP="000E46DF">
      <w:pPr>
        <w:keepNext/>
        <w:keepLines/>
      </w:pPr>
      <w:r>
        <w:tab/>
      </w:r>
      <w:r>
        <w:tab/>
      </w:r>
      <w:r>
        <w:tab/>
      </w:r>
      <w:r>
        <w:tab/>
      </w:r>
      <w:r>
        <w:tab/>
      </w:r>
      <w:r>
        <w:tab/>
        <w:t xml:space="preserve"> </w:t>
      </w:r>
      <w:r w:rsidR="00903C83">
        <w:t xml:space="preserve">       </w:t>
      </w:r>
      <w:r w:rsidR="00276DD6">
        <w:t xml:space="preserve">  </w:t>
      </w:r>
      <w:r>
        <w:t>Executive Director</w:t>
      </w:r>
    </w:p>
    <w:p w:rsidR="000E46DF" w:rsidRDefault="000E46DF" w:rsidP="000E46DF">
      <w:pPr>
        <w:keepNext/>
        <w:keepLines/>
      </w:pPr>
    </w:p>
    <w:p w:rsidR="005342A5" w:rsidRDefault="005342A5" w:rsidP="000E46DF">
      <w:pPr>
        <w:keepNext/>
        <w:keepLines/>
      </w:pPr>
    </w:p>
    <w:p w:rsidR="00106EE1" w:rsidRDefault="000E46DF" w:rsidP="00106EE1">
      <w:pPr>
        <w:keepNext/>
        <w:keepLines/>
      </w:pPr>
      <w:r>
        <w:tab/>
      </w:r>
      <w:r>
        <w:tab/>
      </w:r>
      <w:r>
        <w:tab/>
      </w:r>
      <w:r>
        <w:tab/>
      </w:r>
      <w:r>
        <w:tab/>
      </w:r>
      <w:r>
        <w:tab/>
      </w:r>
      <w:r>
        <w:tab/>
      </w:r>
    </w:p>
    <w:p w:rsidR="00CF17DE" w:rsidRDefault="00295E3B" w:rsidP="000E46DF">
      <w:pPr>
        <w:keepNext/>
        <w:keepLines/>
      </w:pPr>
      <w:r>
        <w:br w:type="page"/>
      </w:r>
    </w:p>
    <w:p w:rsidR="00F03045" w:rsidRDefault="00F03045" w:rsidP="001120D9">
      <w:pPr>
        <w:jc w:val="center"/>
      </w:pPr>
    </w:p>
    <w:p w:rsidR="00F03045" w:rsidRDefault="00F03045" w:rsidP="001120D9">
      <w:pPr>
        <w:jc w:val="center"/>
      </w:pPr>
    </w:p>
    <w:p w:rsidR="00F03045" w:rsidRDefault="00F03045" w:rsidP="001120D9">
      <w:pPr>
        <w:jc w:val="center"/>
      </w:pPr>
    </w:p>
    <w:p w:rsidR="00AB78DB" w:rsidRDefault="00B3310A" w:rsidP="00AB78DB">
      <w:pPr>
        <w:jc w:val="center"/>
        <w:rPr>
          <w:sz w:val="52"/>
          <w:szCs w:val="52"/>
        </w:rPr>
      </w:pPr>
      <w:r>
        <w:rPr>
          <w:sz w:val="52"/>
          <w:szCs w:val="52"/>
        </w:rPr>
        <w:t>CONFIDENTIAL</w:t>
      </w:r>
      <w:r w:rsidR="00D96346">
        <w:rPr>
          <w:sz w:val="52"/>
          <w:szCs w:val="52"/>
        </w:rPr>
        <w:t xml:space="preserve"> AP</w:t>
      </w:r>
      <w:r w:rsidR="00AB78DB" w:rsidRPr="00BA7D39">
        <w:rPr>
          <w:sz w:val="52"/>
          <w:szCs w:val="52"/>
        </w:rPr>
        <w:t>PENDIX</w:t>
      </w:r>
      <w:r>
        <w:rPr>
          <w:sz w:val="52"/>
          <w:szCs w:val="52"/>
        </w:rPr>
        <w:t xml:space="preserve"> A</w:t>
      </w:r>
    </w:p>
    <w:p w:rsidR="00AB78DB" w:rsidRDefault="00AB78DB" w:rsidP="00AB78DB">
      <w:pPr>
        <w:jc w:val="center"/>
        <w:rPr>
          <w:sz w:val="52"/>
          <w:szCs w:val="52"/>
        </w:rPr>
      </w:pPr>
    </w:p>
    <w:p w:rsidR="000A7D00" w:rsidRDefault="00B034E8" w:rsidP="00B3310A">
      <w:pPr>
        <w:jc w:val="center"/>
        <w:rPr>
          <w:sz w:val="32"/>
          <w:szCs w:val="52"/>
        </w:rPr>
      </w:pPr>
      <w:r>
        <w:rPr>
          <w:sz w:val="32"/>
          <w:szCs w:val="52"/>
        </w:rPr>
        <w:t>REDACTED</w:t>
      </w:r>
    </w:p>
    <w:sectPr w:rsidR="000A7D00" w:rsidSect="003871E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68B" w:rsidRDefault="001E068B">
      <w:r>
        <w:separator/>
      </w:r>
    </w:p>
  </w:endnote>
  <w:endnote w:type="continuationSeparator" w:id="0">
    <w:p w:rsidR="001E068B" w:rsidRDefault="001E0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FD4" w:rsidRDefault="00CF4F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A60" w:rsidRDefault="00121363">
    <w:pPr>
      <w:pStyle w:val="Footer"/>
    </w:pPr>
    <w:r>
      <w:rPr>
        <w:rStyle w:val="PageNumber"/>
      </w:rPr>
      <w:t xml:space="preserve">- </w:t>
    </w:r>
    <w:r w:rsidR="00AC1A60">
      <w:rPr>
        <w:rStyle w:val="PageNumber"/>
      </w:rPr>
      <w:fldChar w:fldCharType="begin"/>
    </w:r>
    <w:r w:rsidR="00AC1A60">
      <w:rPr>
        <w:rStyle w:val="PageNumber"/>
      </w:rPr>
      <w:instrText xml:space="preserve"> PAGE </w:instrText>
    </w:r>
    <w:r w:rsidR="00AC1A60">
      <w:rPr>
        <w:rStyle w:val="PageNumber"/>
      </w:rPr>
      <w:fldChar w:fldCharType="separate"/>
    </w:r>
    <w:r w:rsidR="00461E58">
      <w:rPr>
        <w:rStyle w:val="PageNumber"/>
        <w:noProof/>
      </w:rPr>
      <w:t>16</w:t>
    </w:r>
    <w:r w:rsidR="00AC1A60">
      <w:rPr>
        <w:rStyle w:val="PageNumber"/>
      </w:rPr>
      <w:fldChar w:fldCharType="end"/>
    </w:r>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A60" w:rsidRDefault="00121363">
    <w:pPr>
      <w:pStyle w:val="Footer"/>
      <w:tabs>
        <w:tab w:val="clear" w:pos="4320"/>
        <w:tab w:val="center" w:pos="4680"/>
      </w:tabs>
      <w:rPr>
        <w:rStyle w:val="PageNumber"/>
      </w:rPr>
    </w:pPr>
    <w:r>
      <w:rPr>
        <w:rStyle w:val="PageNumber"/>
      </w:rPr>
      <w:t xml:space="preserve">- </w:t>
    </w:r>
    <w:r w:rsidR="00AC1A60">
      <w:rPr>
        <w:rStyle w:val="PageNumber"/>
      </w:rPr>
      <w:fldChar w:fldCharType="begin"/>
    </w:r>
    <w:r w:rsidR="00AC1A60">
      <w:rPr>
        <w:rStyle w:val="PageNumber"/>
      </w:rPr>
      <w:instrText xml:space="preserve"> PAGE </w:instrText>
    </w:r>
    <w:r w:rsidR="00AC1A60">
      <w:rPr>
        <w:rStyle w:val="PageNumber"/>
      </w:rPr>
      <w:fldChar w:fldCharType="separate"/>
    </w:r>
    <w:r w:rsidR="00461E58">
      <w:rPr>
        <w:rStyle w:val="PageNumber"/>
        <w:noProof/>
      </w:rPr>
      <w:t>1</w:t>
    </w:r>
    <w:r w:rsidR="00AC1A60">
      <w:rPr>
        <w:rStyle w:val="PageNumber"/>
      </w:rPr>
      <w:fldChar w:fldCharType="end"/>
    </w:r>
    <w:r>
      <w:rPr>
        <w:rStyle w:val="PageNumber"/>
      </w:rPr>
      <w:t xml:space="preserve"> -</w:t>
    </w:r>
  </w:p>
  <w:p w:rsidR="00AC1A60" w:rsidRDefault="0080128A" w:rsidP="00121363">
    <w:pPr>
      <w:pStyle w:val="Footer"/>
      <w:tabs>
        <w:tab w:val="clear" w:pos="4320"/>
        <w:tab w:val="center" w:pos="4680"/>
      </w:tabs>
      <w:jc w:val="left"/>
    </w:pPr>
    <w:r>
      <w:rPr>
        <w:rFonts w:ascii="Tahoma" w:hAnsi="Tahoma" w:cs="Tahoma"/>
        <w:sz w:val="17"/>
        <w:szCs w:val="17"/>
      </w:rPr>
      <w:t>88230659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68B" w:rsidRDefault="001E068B">
      <w:r>
        <w:separator/>
      </w:r>
    </w:p>
  </w:footnote>
  <w:footnote w:type="continuationSeparator" w:id="0">
    <w:p w:rsidR="001E068B" w:rsidRDefault="001E068B">
      <w:r>
        <w:continuationSeparator/>
      </w:r>
    </w:p>
  </w:footnote>
  <w:footnote w:type="continuationNotice" w:id="1">
    <w:p w:rsidR="001E068B" w:rsidRDefault="001E068B">
      <w:pPr>
        <w:rPr>
          <w:sz w:val="22"/>
        </w:rPr>
      </w:pPr>
    </w:p>
    <w:p w:rsidR="001E068B" w:rsidRDefault="001E068B">
      <w:pPr>
        <w:jc w:val="right"/>
        <w:rPr>
          <w:sz w:val="22"/>
        </w:rPr>
      </w:pPr>
      <w:r>
        <w:rPr>
          <w:i/>
          <w:sz w:val="22"/>
        </w:rPr>
        <w:t>Footnote continued on next page</w:t>
      </w:r>
    </w:p>
  </w:footnote>
  <w:footnote w:id="2">
    <w:p w:rsidR="00666BF4" w:rsidRPr="00666BF4" w:rsidRDefault="00666BF4">
      <w:pPr>
        <w:pStyle w:val="FootnoteText"/>
        <w:rPr>
          <w:lang w:val="en-US"/>
        </w:rPr>
      </w:pPr>
      <w:r>
        <w:rPr>
          <w:rStyle w:val="FootnoteReference"/>
        </w:rPr>
        <w:footnoteRef/>
      </w:r>
      <w:r>
        <w:t xml:space="preserve"> </w:t>
      </w:r>
      <w:hyperlink r:id="rId1" w:history="1">
        <w:r w:rsidRPr="00D33D32">
          <w:rPr>
            <w:rStyle w:val="Hyperlink"/>
          </w:rPr>
          <w:t>http://www2.sdge.com/srac/</w:t>
        </w:r>
      </w:hyperlink>
    </w:p>
  </w:footnote>
  <w:footnote w:id="3">
    <w:p w:rsidR="00F856CD" w:rsidRPr="00F856CD" w:rsidRDefault="00F856CD">
      <w:pPr>
        <w:pStyle w:val="FootnoteText"/>
        <w:rPr>
          <w:lang w:val="en-US"/>
        </w:rPr>
      </w:pPr>
      <w:r>
        <w:rPr>
          <w:rStyle w:val="FootnoteReference"/>
        </w:rPr>
        <w:footnoteRef/>
      </w:r>
      <w:r>
        <w:t xml:space="preserve"> </w:t>
      </w:r>
      <w:r w:rsidRPr="002F20CC">
        <w:rPr>
          <w:sz w:val="22"/>
          <w:lang w:val="en-US"/>
        </w:rPr>
        <w:t>D.07-09-040 adopted policies and pricing mechanisms applicable to the IOUs’ purchase of energy and capacity from QFs pursuant to PURPA</w:t>
      </w:r>
      <w:r>
        <w:rPr>
          <w:sz w:val="22"/>
          <w:lang w:val="en-US"/>
        </w:rPr>
        <w:t>.</w:t>
      </w:r>
      <w:r w:rsidRPr="005100AF">
        <w:rPr>
          <w:sz w:val="22"/>
          <w:lang w:val="en-US"/>
        </w:rPr>
        <w:t xml:space="preserve"> </w:t>
      </w:r>
      <w:r>
        <w:rPr>
          <w:sz w:val="22"/>
          <w:lang w:val="en-US"/>
        </w:rPr>
        <w:t>S</w:t>
      </w:r>
      <w:r w:rsidRPr="002F20CC">
        <w:rPr>
          <w:sz w:val="22"/>
          <w:lang w:val="en-US"/>
        </w:rPr>
        <w:t>pecifically</w:t>
      </w:r>
      <w:r>
        <w:rPr>
          <w:sz w:val="22"/>
          <w:lang w:val="en-US"/>
        </w:rPr>
        <w:t>, the Market Index Formula, which includes market and administrative heat rates to calculate avoided cost energy pricing, a Standard Short Term As-Available Power Contract, and a Standard Long Term Firm, Unit-Contingent Power Contract for QFs.</w:t>
      </w:r>
    </w:p>
  </w:footnote>
  <w:footnote w:id="4">
    <w:p w:rsidR="00AC1A60" w:rsidRPr="00DE3818" w:rsidRDefault="00AC1A60" w:rsidP="00DE3818">
      <w:pPr>
        <w:spacing w:after="120"/>
        <w:rPr>
          <w:i/>
        </w:rPr>
      </w:pPr>
      <w:r w:rsidRPr="005933B2">
        <w:rPr>
          <w:rStyle w:val="FootnoteReference"/>
          <w:sz w:val="22"/>
        </w:rPr>
        <w:footnoteRef/>
      </w:r>
      <w:r w:rsidRPr="005933B2">
        <w:rPr>
          <w:sz w:val="22"/>
        </w:rPr>
        <w:t xml:space="preserve"> The te</w:t>
      </w:r>
      <w:r>
        <w:rPr>
          <w:sz w:val="22"/>
        </w:rPr>
        <w:t>r</w:t>
      </w:r>
      <w:r w:rsidRPr="005933B2">
        <w:rPr>
          <w:sz w:val="22"/>
        </w:rPr>
        <w:t xml:space="preserve">m </w:t>
      </w:r>
      <w:r>
        <w:rPr>
          <w:sz w:val="22"/>
        </w:rPr>
        <w:t xml:space="preserve">end date </w:t>
      </w:r>
      <w:r w:rsidRPr="005933B2">
        <w:rPr>
          <w:sz w:val="22"/>
        </w:rPr>
        <w:t xml:space="preserve">of these Transition Agreements </w:t>
      </w:r>
      <w:r>
        <w:rPr>
          <w:sz w:val="22"/>
        </w:rPr>
        <w:t xml:space="preserve">is </w:t>
      </w:r>
      <w:r w:rsidR="00762AB9">
        <w:rPr>
          <w:sz w:val="22"/>
        </w:rPr>
        <w:t>covered in Section 2 of the Term Sheet.</w:t>
      </w:r>
    </w:p>
  </w:footnote>
  <w:footnote w:id="5">
    <w:p w:rsidR="0058600A" w:rsidRPr="0058600A" w:rsidRDefault="0058600A">
      <w:pPr>
        <w:pStyle w:val="FootnoteText"/>
        <w:rPr>
          <w:lang w:val="en-US"/>
        </w:rPr>
      </w:pPr>
      <w:r>
        <w:rPr>
          <w:rStyle w:val="FootnoteReference"/>
        </w:rPr>
        <w:footnoteRef/>
      </w:r>
      <w:r>
        <w:t xml:space="preserve"> </w:t>
      </w:r>
      <w:r w:rsidRPr="0058600A">
        <w:t>This report is published monthly and summ</w:t>
      </w:r>
      <w:r>
        <w:t>arizes SDG&amp;E's SRAC paid to QFs</w:t>
      </w:r>
      <w:r>
        <w:rPr>
          <w:lang w:val="en-US"/>
        </w:rPr>
        <w:t xml:space="preserve">: </w:t>
      </w:r>
      <w:r w:rsidRPr="0058600A">
        <w:rPr>
          <w:lang w:val="en-US"/>
        </w:rPr>
        <w:t>http://www2.sdge.com/srac/</w:t>
      </w:r>
    </w:p>
  </w:footnote>
  <w:footnote w:id="6">
    <w:p w:rsidR="00F1441F" w:rsidRPr="00F1441F" w:rsidRDefault="00F1441F">
      <w:pPr>
        <w:pStyle w:val="FootnoteText"/>
        <w:rPr>
          <w:lang w:val="en-US"/>
        </w:rPr>
      </w:pPr>
      <w:r>
        <w:rPr>
          <w:rStyle w:val="FootnoteReference"/>
        </w:rPr>
        <w:footnoteRef/>
      </w:r>
      <w:r>
        <w:t xml:space="preserve"> </w:t>
      </w:r>
      <w:r>
        <w:rPr>
          <w:lang w:val="en-US"/>
        </w:rPr>
        <w:t>Decision establishing  QF pricing methodologies and</w:t>
      </w:r>
      <w:r w:rsidR="00C03D17">
        <w:rPr>
          <w:lang w:val="en-US"/>
        </w:rPr>
        <w:t xml:space="preserve"> calculation of the</w:t>
      </w:r>
      <w:r>
        <w:rPr>
          <w:lang w:val="en-US"/>
        </w:rPr>
        <w:t xml:space="preserve"> SRAC price</w:t>
      </w:r>
      <w:r w:rsidR="00C03D17">
        <w:rPr>
          <w:lang w:val="en-US"/>
        </w:rPr>
        <w:t>.</w:t>
      </w:r>
      <w:r>
        <w:rPr>
          <w:lang w:val="en-US"/>
        </w:rPr>
        <w:t xml:space="preserve"> </w:t>
      </w:r>
    </w:p>
  </w:footnote>
  <w:footnote w:id="7">
    <w:p w:rsidR="00F856CD" w:rsidRPr="00F856CD" w:rsidRDefault="00F856CD">
      <w:pPr>
        <w:pStyle w:val="FootnoteText"/>
        <w:rPr>
          <w:lang w:val="en-US"/>
        </w:rPr>
      </w:pPr>
      <w:r>
        <w:rPr>
          <w:rStyle w:val="FootnoteReference"/>
        </w:rPr>
        <w:footnoteRef/>
      </w:r>
      <w:r>
        <w:t xml:space="preserve"> </w:t>
      </w:r>
      <w:r>
        <w:rPr>
          <w:lang w:val="en-US"/>
        </w:rPr>
        <w:t>Defined in detail on Section 11 of the QF/CHP Settlement Term Sheet</w:t>
      </w:r>
    </w:p>
  </w:footnote>
  <w:footnote w:id="8">
    <w:p w:rsidR="00AC1A60" w:rsidRPr="00097845" w:rsidRDefault="00AC1A60" w:rsidP="009F040C">
      <w:pPr>
        <w:pStyle w:val="FootnoteText"/>
        <w:rPr>
          <w:sz w:val="22"/>
        </w:rPr>
      </w:pPr>
      <w:r w:rsidRPr="00097845">
        <w:rPr>
          <w:rStyle w:val="FootnoteReference"/>
          <w:sz w:val="22"/>
        </w:rPr>
        <w:footnoteRef/>
      </w:r>
      <w:r>
        <w:rPr>
          <w:sz w:val="22"/>
        </w:rPr>
        <w:t xml:space="preserve"> Per Term Sheet 4.3</w:t>
      </w:r>
      <w:r w:rsidRPr="00097845">
        <w:rPr>
          <w:sz w:val="22"/>
        </w:rPr>
        <w:t>.2: Use of an IE shall be required for any negotiations between an IOU and its affiliate and may be used, at the election of either the buyer or the Seller, in other negotiations.</w:t>
      </w:r>
    </w:p>
  </w:footnote>
  <w:footnote w:id="9">
    <w:p w:rsidR="00AC1A60" w:rsidRPr="00A15849" w:rsidRDefault="00AC1A60">
      <w:pPr>
        <w:pStyle w:val="FootnoteText"/>
        <w:rPr>
          <w:sz w:val="22"/>
          <w:szCs w:val="22"/>
        </w:rPr>
      </w:pPr>
      <w:r>
        <w:rPr>
          <w:rStyle w:val="FootnoteReference"/>
        </w:rPr>
        <w:footnoteRef/>
      </w:r>
      <w:r>
        <w:t xml:space="preserve"> </w:t>
      </w:r>
      <w:r w:rsidRPr="00A15849">
        <w:rPr>
          <w:sz w:val="22"/>
          <w:szCs w:val="22"/>
        </w:rPr>
        <w:t>D.10-12-035 p. 2.</w:t>
      </w:r>
    </w:p>
  </w:footnote>
  <w:footnote w:id="10">
    <w:p w:rsidR="00556B31" w:rsidRDefault="00556B31">
      <w:pPr>
        <w:pStyle w:val="FootnoteText"/>
        <w:rPr>
          <w:lang w:val="en-US"/>
        </w:rPr>
      </w:pPr>
      <w:r>
        <w:rPr>
          <w:rStyle w:val="FootnoteReference"/>
        </w:rPr>
        <w:footnoteRef/>
      </w:r>
      <w:r>
        <w:t xml:space="preserve"> </w:t>
      </w:r>
      <w:r>
        <w:rPr>
          <w:lang w:val="en-US"/>
        </w:rPr>
        <w:t xml:space="preserve">October 10, 2013 Semi-Annual CHP Report link: </w:t>
      </w:r>
      <w:hyperlink r:id="rId2" w:history="1">
        <w:r w:rsidRPr="00C47846">
          <w:rPr>
            <w:rStyle w:val="Hyperlink"/>
            <w:lang w:val="en-US"/>
          </w:rPr>
          <w:t>http://www.cpuc.ca.gov/PUC/energy/CHP/settlement.htm</w:t>
        </w:r>
      </w:hyperlink>
    </w:p>
    <w:p w:rsidR="00556B31" w:rsidRPr="00556B31" w:rsidRDefault="00556B31">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FD4" w:rsidRDefault="00CF4F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A60" w:rsidRDefault="00AC1A60">
    <w:pPr>
      <w:pStyle w:val="Header"/>
      <w:tabs>
        <w:tab w:val="clear" w:pos="4320"/>
        <w:tab w:val="clear" w:pos="8640"/>
        <w:tab w:val="center" w:pos="4680"/>
        <w:tab w:val="right" w:pos="9180"/>
      </w:tabs>
    </w:pPr>
    <w:r>
      <w:t xml:space="preserve">Resolution </w:t>
    </w:r>
    <w:r w:rsidR="00C32B1E">
      <w:t>E-4642</w:t>
    </w:r>
    <w:r w:rsidR="00470F76">
      <w:t xml:space="preserve">                             </w:t>
    </w:r>
    <w:r w:rsidR="00470F76" w:rsidRPr="00470F76">
      <w:rPr>
        <w:b/>
        <w:sz w:val="24"/>
        <w:szCs w:val="24"/>
      </w:rPr>
      <w:t>DRAFT</w:t>
    </w:r>
    <w:r>
      <w:tab/>
    </w:r>
    <w:r w:rsidR="00470F76">
      <w:t xml:space="preserve">                                     </w:t>
    </w:r>
    <w:r w:rsidR="004D33B0">
      <w:t>March 13</w:t>
    </w:r>
    <w:r w:rsidR="005072A1">
      <w:t>,</w:t>
    </w:r>
    <w:r w:rsidR="00286E2B">
      <w:t xml:space="preserve"> 2014</w:t>
    </w:r>
  </w:p>
  <w:p w:rsidR="00AC1A60" w:rsidRDefault="00286E2B" w:rsidP="00EE116A">
    <w:r>
      <w:t xml:space="preserve">San Diego Gas &amp; Electric </w:t>
    </w:r>
    <w:r w:rsidR="00AC1A60">
      <w:t xml:space="preserve"> AL </w:t>
    </w:r>
    <w:r>
      <w:t>2517-E</w:t>
    </w:r>
    <w:r w:rsidR="00AC1A60" w:rsidRPr="00EE116A">
      <w:t>/</w:t>
    </w:r>
    <w:r>
      <w:t>UCD</w:t>
    </w:r>
  </w:p>
  <w:p w:rsidR="00AC1A60" w:rsidRDefault="00AC1A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363" w:rsidRPr="00470F76" w:rsidRDefault="00470F76" w:rsidP="00470F76">
    <w:pPr>
      <w:pStyle w:val="Header"/>
      <w:jc w:val="center"/>
      <w:rPr>
        <w:sz w:val="24"/>
        <w:szCs w:val="24"/>
      </w:rPr>
    </w:pPr>
    <w:r>
      <w:rPr>
        <w:b/>
        <w:sz w:val="24"/>
        <w:szCs w:val="24"/>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41773"/>
    <w:multiLevelType w:val="hybridMultilevel"/>
    <w:tmpl w:val="CC044A3C"/>
    <w:lvl w:ilvl="0" w:tplc="6366BF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AE5E0A"/>
    <w:multiLevelType w:val="singleLevel"/>
    <w:tmpl w:val="81622C8A"/>
    <w:lvl w:ilvl="0">
      <w:start w:val="1"/>
      <w:numFmt w:val="upperLetter"/>
      <w:pStyle w:val="AListIndent"/>
      <w:lvlText w:val="%1. "/>
      <w:lvlJc w:val="left"/>
      <w:pPr>
        <w:tabs>
          <w:tab w:val="num" w:pos="1152"/>
        </w:tabs>
        <w:ind w:left="1152" w:hanging="432"/>
      </w:pPr>
      <w:rPr>
        <w:rFonts w:ascii="Courier" w:hAnsi="Courier" w:hint="default"/>
        <w:b w:val="0"/>
        <w:i w:val="0"/>
        <w:sz w:val="24"/>
      </w:rPr>
    </w:lvl>
  </w:abstractNum>
  <w:abstractNum w:abstractNumId="2">
    <w:nsid w:val="0BC42319"/>
    <w:multiLevelType w:val="hybridMultilevel"/>
    <w:tmpl w:val="52B8B2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BDB7819"/>
    <w:multiLevelType w:val="singleLevel"/>
    <w:tmpl w:val="0409000F"/>
    <w:lvl w:ilvl="0">
      <w:start w:val="1"/>
      <w:numFmt w:val="decimal"/>
      <w:lvlText w:val="%1."/>
      <w:lvlJc w:val="left"/>
      <w:pPr>
        <w:tabs>
          <w:tab w:val="num" w:pos="360"/>
        </w:tabs>
        <w:ind w:left="360" w:hanging="360"/>
      </w:pPr>
    </w:lvl>
  </w:abstractNum>
  <w:abstractNum w:abstractNumId="4">
    <w:nsid w:val="0D3C5BB0"/>
    <w:multiLevelType w:val="hybridMultilevel"/>
    <w:tmpl w:val="7FB4A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480B1D"/>
    <w:multiLevelType w:val="multilevel"/>
    <w:tmpl w:val="C98CB7D4"/>
    <w:lvl w:ilvl="0">
      <w:start w:val="1"/>
      <w:numFmt w:val="decimal"/>
      <w:lvlText w:val="%1."/>
      <w:lvlJc w:val="left"/>
      <w:pPr>
        <w:tabs>
          <w:tab w:val="num" w:pos="360"/>
        </w:tabs>
        <w:ind w:left="360" w:hanging="360"/>
      </w:pPr>
      <w:rPr>
        <w:rFonts w:hint="default"/>
      </w:rPr>
    </w:lvl>
    <w:lvl w:ilvl="1">
      <w:start w:val="1"/>
      <w:numFmt w:val="decimal"/>
      <w:pStyle w:val="Heading2"/>
      <w:isLgl/>
      <w:lvlText w:val="%1.%2"/>
      <w:lvlJc w:val="left"/>
      <w:pPr>
        <w:tabs>
          <w:tab w:val="num" w:pos="1215"/>
        </w:tabs>
        <w:ind w:left="1215" w:hanging="495"/>
      </w:pPr>
      <w:rPr>
        <w:rFonts w:hint="default"/>
      </w:rPr>
    </w:lvl>
    <w:lvl w:ilvl="2">
      <w:start w:val="1"/>
      <w:numFmt w:val="decimal"/>
      <w:isLgl/>
      <w:lvlText w:val="%1.%2.%3"/>
      <w:lvlJc w:val="left"/>
      <w:pPr>
        <w:tabs>
          <w:tab w:val="num" w:pos="2160"/>
        </w:tabs>
        <w:ind w:left="2160" w:hanging="720"/>
      </w:pPr>
      <w:rPr>
        <w:rFonts w:hint="default"/>
      </w:rPr>
    </w:lvl>
    <w:lvl w:ilvl="3">
      <w:start w:val="1"/>
      <w:numFmt w:val="decimalZero"/>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6">
    <w:nsid w:val="21ED2CFD"/>
    <w:multiLevelType w:val="hybridMultilevel"/>
    <w:tmpl w:val="227EA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014689"/>
    <w:multiLevelType w:val="hybridMultilevel"/>
    <w:tmpl w:val="C1F2D804"/>
    <w:lvl w:ilvl="0" w:tplc="9AA2D0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5857C2"/>
    <w:multiLevelType w:val="hybridMultilevel"/>
    <w:tmpl w:val="48FC62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972C73"/>
    <w:multiLevelType w:val="hybridMultilevel"/>
    <w:tmpl w:val="A6161BF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354A2C"/>
    <w:multiLevelType w:val="hybridMultilevel"/>
    <w:tmpl w:val="6F8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1725FD"/>
    <w:multiLevelType w:val="hybridMultilevel"/>
    <w:tmpl w:val="82EAE5FE"/>
    <w:lvl w:ilvl="0" w:tplc="9AA2D0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5C0222"/>
    <w:multiLevelType w:val="hybridMultilevel"/>
    <w:tmpl w:val="813C61DC"/>
    <w:lvl w:ilvl="0" w:tplc="D1F091D4">
      <w:start w:val="1"/>
      <w:numFmt w:val="decimal"/>
      <w:lvlText w:val="%1."/>
      <w:lvlJc w:val="left"/>
      <w:pPr>
        <w:ind w:left="1260" w:hanging="360"/>
      </w:pPr>
      <w:rPr>
        <w:rFonts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34C65A8B"/>
    <w:multiLevelType w:val="hybridMultilevel"/>
    <w:tmpl w:val="F224D1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1255E4"/>
    <w:multiLevelType w:val="hybridMultilevel"/>
    <w:tmpl w:val="751AF57A"/>
    <w:lvl w:ilvl="0" w:tplc="9AA2D0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DD6421"/>
    <w:multiLevelType w:val="hybridMultilevel"/>
    <w:tmpl w:val="3738D49E"/>
    <w:lvl w:ilvl="0" w:tplc="8918C912">
      <w:start w:val="1"/>
      <w:numFmt w:val="decimal"/>
      <w:lvlText w:val="(%1)"/>
      <w:lvlJc w:val="left"/>
      <w:pPr>
        <w:ind w:left="735" w:hanging="37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3D34417"/>
    <w:multiLevelType w:val="multilevel"/>
    <w:tmpl w:val="C28E5C40"/>
    <w:lvl w:ilvl="0">
      <w:start w:val="1"/>
      <w:numFmt w:val="decimal"/>
      <w:pStyle w:val="1ListInden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nsid w:val="449308AA"/>
    <w:multiLevelType w:val="hybridMultilevel"/>
    <w:tmpl w:val="3C2831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881351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572565C7"/>
    <w:multiLevelType w:val="singleLevel"/>
    <w:tmpl w:val="3998EE50"/>
    <w:lvl w:ilvl="0">
      <w:start w:val="1"/>
      <w:numFmt w:val="decimal"/>
      <w:lvlText w:val="%1."/>
      <w:lvlJc w:val="left"/>
      <w:pPr>
        <w:tabs>
          <w:tab w:val="num" w:pos="420"/>
        </w:tabs>
        <w:ind w:left="420" w:hanging="420"/>
      </w:pPr>
      <w:rPr>
        <w:rFonts w:hint="default"/>
        <w:b w:val="0"/>
      </w:rPr>
    </w:lvl>
  </w:abstractNum>
  <w:abstractNum w:abstractNumId="20">
    <w:nsid w:val="6FFF48E1"/>
    <w:multiLevelType w:val="hybridMultilevel"/>
    <w:tmpl w:val="F224D1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E72B88"/>
    <w:multiLevelType w:val="hybridMultilevel"/>
    <w:tmpl w:val="1D6E8C5A"/>
    <w:lvl w:ilvl="0" w:tplc="8C46D9C0">
      <w:start w:val="1"/>
      <w:numFmt w:val="lowerRoman"/>
      <w:lvlText w:val="%1)"/>
      <w:lvlJc w:val="left"/>
      <w:pPr>
        <w:ind w:left="-360" w:hanging="72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2">
    <w:nsid w:val="781E58C1"/>
    <w:multiLevelType w:val="multilevel"/>
    <w:tmpl w:val="C98CB7D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15"/>
        </w:tabs>
        <w:ind w:left="1215" w:hanging="495"/>
      </w:pPr>
      <w:rPr>
        <w:rFonts w:hint="default"/>
      </w:rPr>
    </w:lvl>
    <w:lvl w:ilvl="2">
      <w:start w:val="1"/>
      <w:numFmt w:val="decimal"/>
      <w:isLgl/>
      <w:lvlText w:val="%1.%2.%3"/>
      <w:lvlJc w:val="left"/>
      <w:pPr>
        <w:tabs>
          <w:tab w:val="num" w:pos="2160"/>
        </w:tabs>
        <w:ind w:left="2160" w:hanging="720"/>
      </w:pPr>
      <w:rPr>
        <w:rFonts w:hint="default"/>
      </w:rPr>
    </w:lvl>
    <w:lvl w:ilvl="3">
      <w:start w:val="1"/>
      <w:numFmt w:val="decimalZero"/>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3">
    <w:nsid w:val="786805D0"/>
    <w:multiLevelType w:val="hybridMultilevel"/>
    <w:tmpl w:val="669C0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6"/>
  </w:num>
  <w:num w:numId="3">
    <w:abstractNumId w:val="5"/>
  </w:num>
  <w:num w:numId="4">
    <w:abstractNumId w:val="19"/>
  </w:num>
  <w:num w:numId="5">
    <w:abstractNumId w:val="3"/>
  </w:num>
  <w:num w:numId="6">
    <w:abstractNumId w:val="22"/>
  </w:num>
  <w:num w:numId="7">
    <w:abstractNumId w:val="18"/>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
  </w:num>
  <w:num w:numId="11">
    <w:abstractNumId w:val="6"/>
  </w:num>
  <w:num w:numId="12">
    <w:abstractNumId w:val="21"/>
  </w:num>
  <w:num w:numId="13">
    <w:abstractNumId w:val="2"/>
  </w:num>
  <w:num w:numId="14">
    <w:abstractNumId w:val="8"/>
  </w:num>
  <w:num w:numId="15">
    <w:abstractNumId w:val="12"/>
  </w:num>
  <w:num w:numId="16">
    <w:abstractNumId w:val="23"/>
  </w:num>
  <w:num w:numId="17">
    <w:abstractNumId w:val="10"/>
  </w:num>
  <w:num w:numId="18">
    <w:abstractNumId w:val="14"/>
  </w:num>
  <w:num w:numId="19">
    <w:abstractNumId w:val="7"/>
  </w:num>
  <w:num w:numId="20">
    <w:abstractNumId w:val="11"/>
  </w:num>
  <w:num w:numId="21">
    <w:abstractNumId w:val="9"/>
  </w:num>
  <w:num w:numId="22">
    <w:abstractNumId w:val="13"/>
  </w:num>
  <w:num w:numId="23">
    <w:abstractNumId w:val="20"/>
  </w:num>
  <w:num w:numId="24">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8193" style="mso-position-vertical-relative:line" fill="f" fillcolor="white" stroke="f">
      <v:fill color="white" on="f"/>
      <v:stroke on="f"/>
    </o:shapedefaults>
  </w:hdrShapeDefaults>
  <w:footnotePr>
    <w:footnote w:id="-1"/>
    <w:footnote w:id="0"/>
    <w:footnote w:id="1"/>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013A"/>
    <w:rsid w:val="00001331"/>
    <w:rsid w:val="00001490"/>
    <w:rsid w:val="00001AF5"/>
    <w:rsid w:val="00002A07"/>
    <w:rsid w:val="00002AA3"/>
    <w:rsid w:val="0000388B"/>
    <w:rsid w:val="00006510"/>
    <w:rsid w:val="0001038B"/>
    <w:rsid w:val="00010E8D"/>
    <w:rsid w:val="00011EEA"/>
    <w:rsid w:val="00012122"/>
    <w:rsid w:val="00016E31"/>
    <w:rsid w:val="0001763D"/>
    <w:rsid w:val="00020962"/>
    <w:rsid w:val="00023D9D"/>
    <w:rsid w:val="00023FE3"/>
    <w:rsid w:val="00025579"/>
    <w:rsid w:val="00027726"/>
    <w:rsid w:val="00027916"/>
    <w:rsid w:val="00027C5E"/>
    <w:rsid w:val="00033A58"/>
    <w:rsid w:val="00035B7C"/>
    <w:rsid w:val="00035E4D"/>
    <w:rsid w:val="00037021"/>
    <w:rsid w:val="00042E3A"/>
    <w:rsid w:val="0005264A"/>
    <w:rsid w:val="000526E7"/>
    <w:rsid w:val="000528B6"/>
    <w:rsid w:val="00052962"/>
    <w:rsid w:val="00052E5A"/>
    <w:rsid w:val="000572E2"/>
    <w:rsid w:val="00060A48"/>
    <w:rsid w:val="00060ADC"/>
    <w:rsid w:val="00063ADF"/>
    <w:rsid w:val="00063D14"/>
    <w:rsid w:val="000644C3"/>
    <w:rsid w:val="0006477E"/>
    <w:rsid w:val="00064D63"/>
    <w:rsid w:val="00065112"/>
    <w:rsid w:val="0006719B"/>
    <w:rsid w:val="00072614"/>
    <w:rsid w:val="00073563"/>
    <w:rsid w:val="00081213"/>
    <w:rsid w:val="000824D3"/>
    <w:rsid w:val="000826B1"/>
    <w:rsid w:val="00084324"/>
    <w:rsid w:val="00085F93"/>
    <w:rsid w:val="00092459"/>
    <w:rsid w:val="00092E82"/>
    <w:rsid w:val="000949CC"/>
    <w:rsid w:val="00094B09"/>
    <w:rsid w:val="00095344"/>
    <w:rsid w:val="00095A61"/>
    <w:rsid w:val="00097845"/>
    <w:rsid w:val="000A456F"/>
    <w:rsid w:val="000A49E6"/>
    <w:rsid w:val="000A6C4B"/>
    <w:rsid w:val="000A6C69"/>
    <w:rsid w:val="000A6EC8"/>
    <w:rsid w:val="000A75C3"/>
    <w:rsid w:val="000A7D00"/>
    <w:rsid w:val="000B0047"/>
    <w:rsid w:val="000B0391"/>
    <w:rsid w:val="000B081A"/>
    <w:rsid w:val="000B1A67"/>
    <w:rsid w:val="000B2860"/>
    <w:rsid w:val="000B31B4"/>
    <w:rsid w:val="000B5D11"/>
    <w:rsid w:val="000C1B53"/>
    <w:rsid w:val="000C3503"/>
    <w:rsid w:val="000C36CD"/>
    <w:rsid w:val="000C76FA"/>
    <w:rsid w:val="000C7BF9"/>
    <w:rsid w:val="000D25E0"/>
    <w:rsid w:val="000D6A75"/>
    <w:rsid w:val="000E0246"/>
    <w:rsid w:val="000E35D2"/>
    <w:rsid w:val="000E46DF"/>
    <w:rsid w:val="000E5FFE"/>
    <w:rsid w:val="000E6DDE"/>
    <w:rsid w:val="000E6ED9"/>
    <w:rsid w:val="000F0DAE"/>
    <w:rsid w:val="000F2EF4"/>
    <w:rsid w:val="000F3D3D"/>
    <w:rsid w:val="0010082E"/>
    <w:rsid w:val="001039AD"/>
    <w:rsid w:val="00104BBE"/>
    <w:rsid w:val="00106987"/>
    <w:rsid w:val="00106EE1"/>
    <w:rsid w:val="001101A8"/>
    <w:rsid w:val="001120D9"/>
    <w:rsid w:val="00113919"/>
    <w:rsid w:val="00113A4B"/>
    <w:rsid w:val="00116038"/>
    <w:rsid w:val="0011612C"/>
    <w:rsid w:val="001163C3"/>
    <w:rsid w:val="00116A95"/>
    <w:rsid w:val="001174F1"/>
    <w:rsid w:val="001206EB"/>
    <w:rsid w:val="00121363"/>
    <w:rsid w:val="0012395B"/>
    <w:rsid w:val="00126593"/>
    <w:rsid w:val="00126637"/>
    <w:rsid w:val="00126C92"/>
    <w:rsid w:val="0012759D"/>
    <w:rsid w:val="00130DEC"/>
    <w:rsid w:val="00131B78"/>
    <w:rsid w:val="0013356B"/>
    <w:rsid w:val="00136927"/>
    <w:rsid w:val="001377AB"/>
    <w:rsid w:val="00137C9C"/>
    <w:rsid w:val="00141D42"/>
    <w:rsid w:val="0014212A"/>
    <w:rsid w:val="00145DD1"/>
    <w:rsid w:val="00146B42"/>
    <w:rsid w:val="0015034A"/>
    <w:rsid w:val="00153F3C"/>
    <w:rsid w:val="001544B2"/>
    <w:rsid w:val="00155D3B"/>
    <w:rsid w:val="00163CEF"/>
    <w:rsid w:val="0016485B"/>
    <w:rsid w:val="001657A1"/>
    <w:rsid w:val="001705C6"/>
    <w:rsid w:val="001712A6"/>
    <w:rsid w:val="001725CA"/>
    <w:rsid w:val="00173028"/>
    <w:rsid w:val="00174602"/>
    <w:rsid w:val="00174C4C"/>
    <w:rsid w:val="00174EBB"/>
    <w:rsid w:val="001752AB"/>
    <w:rsid w:val="0018013A"/>
    <w:rsid w:val="001805AE"/>
    <w:rsid w:val="00182FE3"/>
    <w:rsid w:val="0018420E"/>
    <w:rsid w:val="00184665"/>
    <w:rsid w:val="0018588D"/>
    <w:rsid w:val="00191FE3"/>
    <w:rsid w:val="00195842"/>
    <w:rsid w:val="001A02CD"/>
    <w:rsid w:val="001A29F6"/>
    <w:rsid w:val="001A3918"/>
    <w:rsid w:val="001A3D4B"/>
    <w:rsid w:val="001A48BD"/>
    <w:rsid w:val="001A7600"/>
    <w:rsid w:val="001B03C5"/>
    <w:rsid w:val="001B28A4"/>
    <w:rsid w:val="001B39DD"/>
    <w:rsid w:val="001B4687"/>
    <w:rsid w:val="001B5F09"/>
    <w:rsid w:val="001C3390"/>
    <w:rsid w:val="001C542E"/>
    <w:rsid w:val="001D0333"/>
    <w:rsid w:val="001D0B12"/>
    <w:rsid w:val="001D2EBA"/>
    <w:rsid w:val="001D369D"/>
    <w:rsid w:val="001D3962"/>
    <w:rsid w:val="001D6C22"/>
    <w:rsid w:val="001E068B"/>
    <w:rsid w:val="001E2978"/>
    <w:rsid w:val="001E4A51"/>
    <w:rsid w:val="001E5A29"/>
    <w:rsid w:val="001E6D0E"/>
    <w:rsid w:val="001F369C"/>
    <w:rsid w:val="001F4641"/>
    <w:rsid w:val="001F6FFC"/>
    <w:rsid w:val="002003F7"/>
    <w:rsid w:val="002011EB"/>
    <w:rsid w:val="002019AE"/>
    <w:rsid w:val="00204FB2"/>
    <w:rsid w:val="002057CD"/>
    <w:rsid w:val="00206A7B"/>
    <w:rsid w:val="00207B7E"/>
    <w:rsid w:val="00212436"/>
    <w:rsid w:val="00213048"/>
    <w:rsid w:val="00220F83"/>
    <w:rsid w:val="00223480"/>
    <w:rsid w:val="0022375D"/>
    <w:rsid w:val="00223F5C"/>
    <w:rsid w:val="00224C23"/>
    <w:rsid w:val="00225C1A"/>
    <w:rsid w:val="002313D0"/>
    <w:rsid w:val="00232CCF"/>
    <w:rsid w:val="002340E1"/>
    <w:rsid w:val="00235052"/>
    <w:rsid w:val="0023633B"/>
    <w:rsid w:val="00236609"/>
    <w:rsid w:val="002409C8"/>
    <w:rsid w:val="002410D6"/>
    <w:rsid w:val="0024242D"/>
    <w:rsid w:val="00243EC1"/>
    <w:rsid w:val="00243EC9"/>
    <w:rsid w:val="0025174C"/>
    <w:rsid w:val="00251DDD"/>
    <w:rsid w:val="00252DA2"/>
    <w:rsid w:val="00255DC2"/>
    <w:rsid w:val="0025704D"/>
    <w:rsid w:val="00261776"/>
    <w:rsid w:val="00265640"/>
    <w:rsid w:val="00267772"/>
    <w:rsid w:val="00276DD6"/>
    <w:rsid w:val="00277FB8"/>
    <w:rsid w:val="002801C8"/>
    <w:rsid w:val="002830FE"/>
    <w:rsid w:val="0028353A"/>
    <w:rsid w:val="002838E3"/>
    <w:rsid w:val="00286E2B"/>
    <w:rsid w:val="00287D6D"/>
    <w:rsid w:val="00290A69"/>
    <w:rsid w:val="002910BC"/>
    <w:rsid w:val="00292BE6"/>
    <w:rsid w:val="002938A0"/>
    <w:rsid w:val="00295240"/>
    <w:rsid w:val="00295E3B"/>
    <w:rsid w:val="002967CA"/>
    <w:rsid w:val="00296F5A"/>
    <w:rsid w:val="00297BE7"/>
    <w:rsid w:val="002A0E97"/>
    <w:rsid w:val="002A1E61"/>
    <w:rsid w:val="002A3221"/>
    <w:rsid w:val="002A3299"/>
    <w:rsid w:val="002A39BC"/>
    <w:rsid w:val="002A3AE6"/>
    <w:rsid w:val="002B0F5B"/>
    <w:rsid w:val="002B206B"/>
    <w:rsid w:val="002B4DE4"/>
    <w:rsid w:val="002C2222"/>
    <w:rsid w:val="002C2321"/>
    <w:rsid w:val="002C3182"/>
    <w:rsid w:val="002C4D68"/>
    <w:rsid w:val="002C50B6"/>
    <w:rsid w:val="002D128B"/>
    <w:rsid w:val="002D1321"/>
    <w:rsid w:val="002D3B51"/>
    <w:rsid w:val="002D5F68"/>
    <w:rsid w:val="002E1D3C"/>
    <w:rsid w:val="002E2338"/>
    <w:rsid w:val="002E258A"/>
    <w:rsid w:val="002E49C5"/>
    <w:rsid w:val="002F20CC"/>
    <w:rsid w:val="00301724"/>
    <w:rsid w:val="00303482"/>
    <w:rsid w:val="0030413F"/>
    <w:rsid w:val="003046E1"/>
    <w:rsid w:val="00305BD6"/>
    <w:rsid w:val="0030641A"/>
    <w:rsid w:val="00306631"/>
    <w:rsid w:val="00310BCB"/>
    <w:rsid w:val="00311FAD"/>
    <w:rsid w:val="00313D6D"/>
    <w:rsid w:val="0031456A"/>
    <w:rsid w:val="0031691B"/>
    <w:rsid w:val="00317D91"/>
    <w:rsid w:val="00322CA1"/>
    <w:rsid w:val="00322DDF"/>
    <w:rsid w:val="00324173"/>
    <w:rsid w:val="003243AD"/>
    <w:rsid w:val="00327626"/>
    <w:rsid w:val="0032763B"/>
    <w:rsid w:val="0033025A"/>
    <w:rsid w:val="003313DC"/>
    <w:rsid w:val="00332721"/>
    <w:rsid w:val="003343D9"/>
    <w:rsid w:val="00336278"/>
    <w:rsid w:val="00336DB1"/>
    <w:rsid w:val="00337A5D"/>
    <w:rsid w:val="00340EC3"/>
    <w:rsid w:val="00341A34"/>
    <w:rsid w:val="003437D2"/>
    <w:rsid w:val="00346734"/>
    <w:rsid w:val="003473FE"/>
    <w:rsid w:val="00347C81"/>
    <w:rsid w:val="00352CF9"/>
    <w:rsid w:val="00355129"/>
    <w:rsid w:val="00360B5F"/>
    <w:rsid w:val="0036799F"/>
    <w:rsid w:val="003707C6"/>
    <w:rsid w:val="003742C1"/>
    <w:rsid w:val="00375788"/>
    <w:rsid w:val="003763DB"/>
    <w:rsid w:val="0038123D"/>
    <w:rsid w:val="00381A6C"/>
    <w:rsid w:val="0038260E"/>
    <w:rsid w:val="00382A01"/>
    <w:rsid w:val="00382B29"/>
    <w:rsid w:val="003836AD"/>
    <w:rsid w:val="00383B68"/>
    <w:rsid w:val="00384113"/>
    <w:rsid w:val="00384788"/>
    <w:rsid w:val="00384BB6"/>
    <w:rsid w:val="00385BDE"/>
    <w:rsid w:val="003862BE"/>
    <w:rsid w:val="003871EB"/>
    <w:rsid w:val="00391187"/>
    <w:rsid w:val="003915CB"/>
    <w:rsid w:val="00393612"/>
    <w:rsid w:val="00393D65"/>
    <w:rsid w:val="00395AA3"/>
    <w:rsid w:val="003A05BA"/>
    <w:rsid w:val="003A284E"/>
    <w:rsid w:val="003A3C5B"/>
    <w:rsid w:val="003A604E"/>
    <w:rsid w:val="003A66BD"/>
    <w:rsid w:val="003A66E1"/>
    <w:rsid w:val="003B0E10"/>
    <w:rsid w:val="003B1BF0"/>
    <w:rsid w:val="003B3D64"/>
    <w:rsid w:val="003B61A7"/>
    <w:rsid w:val="003B6308"/>
    <w:rsid w:val="003C3CAB"/>
    <w:rsid w:val="003E01F5"/>
    <w:rsid w:val="003E39D4"/>
    <w:rsid w:val="003E53DF"/>
    <w:rsid w:val="003F4151"/>
    <w:rsid w:val="003F7332"/>
    <w:rsid w:val="003F7F7C"/>
    <w:rsid w:val="0040076C"/>
    <w:rsid w:val="0040077E"/>
    <w:rsid w:val="00403E04"/>
    <w:rsid w:val="00404730"/>
    <w:rsid w:val="00404F9A"/>
    <w:rsid w:val="0040613D"/>
    <w:rsid w:val="00406A27"/>
    <w:rsid w:val="00410E05"/>
    <w:rsid w:val="00411524"/>
    <w:rsid w:val="00413554"/>
    <w:rsid w:val="0042398F"/>
    <w:rsid w:val="00423FD3"/>
    <w:rsid w:val="00425082"/>
    <w:rsid w:val="0042591D"/>
    <w:rsid w:val="00425D1B"/>
    <w:rsid w:val="00425E02"/>
    <w:rsid w:val="00431BBA"/>
    <w:rsid w:val="00432D84"/>
    <w:rsid w:val="004332EE"/>
    <w:rsid w:val="00433FF2"/>
    <w:rsid w:val="00440430"/>
    <w:rsid w:val="00440626"/>
    <w:rsid w:val="00440AB7"/>
    <w:rsid w:val="00445A66"/>
    <w:rsid w:val="00447989"/>
    <w:rsid w:val="00451260"/>
    <w:rsid w:val="004553AD"/>
    <w:rsid w:val="00455F3B"/>
    <w:rsid w:val="00456417"/>
    <w:rsid w:val="00456DBB"/>
    <w:rsid w:val="00457B2F"/>
    <w:rsid w:val="00457C4A"/>
    <w:rsid w:val="00461E58"/>
    <w:rsid w:val="00462D0B"/>
    <w:rsid w:val="00467D1D"/>
    <w:rsid w:val="00470F76"/>
    <w:rsid w:val="004753AC"/>
    <w:rsid w:val="00475B4E"/>
    <w:rsid w:val="00475F3C"/>
    <w:rsid w:val="00476744"/>
    <w:rsid w:val="00480493"/>
    <w:rsid w:val="00485977"/>
    <w:rsid w:val="004866E9"/>
    <w:rsid w:val="00487AD5"/>
    <w:rsid w:val="004905D3"/>
    <w:rsid w:val="00493819"/>
    <w:rsid w:val="00496BD8"/>
    <w:rsid w:val="004975A4"/>
    <w:rsid w:val="004A0068"/>
    <w:rsid w:val="004A07B0"/>
    <w:rsid w:val="004A116B"/>
    <w:rsid w:val="004A12DF"/>
    <w:rsid w:val="004A32EA"/>
    <w:rsid w:val="004A61E4"/>
    <w:rsid w:val="004A66AB"/>
    <w:rsid w:val="004A798E"/>
    <w:rsid w:val="004B2085"/>
    <w:rsid w:val="004B311C"/>
    <w:rsid w:val="004B5E4C"/>
    <w:rsid w:val="004B680F"/>
    <w:rsid w:val="004C5D11"/>
    <w:rsid w:val="004C5F1C"/>
    <w:rsid w:val="004D33B0"/>
    <w:rsid w:val="004D43F2"/>
    <w:rsid w:val="004E382C"/>
    <w:rsid w:val="004E439B"/>
    <w:rsid w:val="004E6DB1"/>
    <w:rsid w:val="004E6F27"/>
    <w:rsid w:val="004F0A06"/>
    <w:rsid w:val="004F1729"/>
    <w:rsid w:val="004F618A"/>
    <w:rsid w:val="004F6AD1"/>
    <w:rsid w:val="005020B8"/>
    <w:rsid w:val="00503103"/>
    <w:rsid w:val="005032B1"/>
    <w:rsid w:val="0050337F"/>
    <w:rsid w:val="0050549D"/>
    <w:rsid w:val="0050658F"/>
    <w:rsid w:val="005072A1"/>
    <w:rsid w:val="005100AF"/>
    <w:rsid w:val="00521463"/>
    <w:rsid w:val="0052272A"/>
    <w:rsid w:val="00523432"/>
    <w:rsid w:val="005234AE"/>
    <w:rsid w:val="00523711"/>
    <w:rsid w:val="00523D52"/>
    <w:rsid w:val="00524517"/>
    <w:rsid w:val="00524FB2"/>
    <w:rsid w:val="00530BE1"/>
    <w:rsid w:val="00532E42"/>
    <w:rsid w:val="005339EA"/>
    <w:rsid w:val="005342A5"/>
    <w:rsid w:val="00534681"/>
    <w:rsid w:val="00540BC7"/>
    <w:rsid w:val="00542709"/>
    <w:rsid w:val="0054334F"/>
    <w:rsid w:val="005440B1"/>
    <w:rsid w:val="00553E34"/>
    <w:rsid w:val="00554537"/>
    <w:rsid w:val="00556B31"/>
    <w:rsid w:val="0055782D"/>
    <w:rsid w:val="00557E82"/>
    <w:rsid w:val="00562574"/>
    <w:rsid w:val="005647E3"/>
    <w:rsid w:val="00564E18"/>
    <w:rsid w:val="005661F4"/>
    <w:rsid w:val="0056625E"/>
    <w:rsid w:val="00570D98"/>
    <w:rsid w:val="005734DC"/>
    <w:rsid w:val="005734EC"/>
    <w:rsid w:val="00573A01"/>
    <w:rsid w:val="005742EF"/>
    <w:rsid w:val="0057522F"/>
    <w:rsid w:val="00575A0B"/>
    <w:rsid w:val="0058476D"/>
    <w:rsid w:val="00584D69"/>
    <w:rsid w:val="0058600A"/>
    <w:rsid w:val="00586566"/>
    <w:rsid w:val="005868F1"/>
    <w:rsid w:val="005911C2"/>
    <w:rsid w:val="00593020"/>
    <w:rsid w:val="005933B2"/>
    <w:rsid w:val="00593807"/>
    <w:rsid w:val="00595682"/>
    <w:rsid w:val="00596657"/>
    <w:rsid w:val="00596953"/>
    <w:rsid w:val="00596D9B"/>
    <w:rsid w:val="005A1819"/>
    <w:rsid w:val="005A19DB"/>
    <w:rsid w:val="005A224A"/>
    <w:rsid w:val="005A4244"/>
    <w:rsid w:val="005B0695"/>
    <w:rsid w:val="005B2D8D"/>
    <w:rsid w:val="005B320E"/>
    <w:rsid w:val="005B3C42"/>
    <w:rsid w:val="005B417F"/>
    <w:rsid w:val="005C193C"/>
    <w:rsid w:val="005C5156"/>
    <w:rsid w:val="005C5835"/>
    <w:rsid w:val="005C67B0"/>
    <w:rsid w:val="005C7A65"/>
    <w:rsid w:val="005D0999"/>
    <w:rsid w:val="005D2BA8"/>
    <w:rsid w:val="005D5E9B"/>
    <w:rsid w:val="005E2B56"/>
    <w:rsid w:val="005F073B"/>
    <w:rsid w:val="005F2218"/>
    <w:rsid w:val="005F2309"/>
    <w:rsid w:val="005F3B84"/>
    <w:rsid w:val="005F6F50"/>
    <w:rsid w:val="006011AB"/>
    <w:rsid w:val="00602549"/>
    <w:rsid w:val="00605595"/>
    <w:rsid w:val="006077FD"/>
    <w:rsid w:val="00610009"/>
    <w:rsid w:val="00611408"/>
    <w:rsid w:val="00613829"/>
    <w:rsid w:val="00613D10"/>
    <w:rsid w:val="00614AE7"/>
    <w:rsid w:val="006177BE"/>
    <w:rsid w:val="00617835"/>
    <w:rsid w:val="00620440"/>
    <w:rsid w:val="00620C03"/>
    <w:rsid w:val="0062217A"/>
    <w:rsid w:val="0062355A"/>
    <w:rsid w:val="00627AD8"/>
    <w:rsid w:val="00640BF6"/>
    <w:rsid w:val="00640E51"/>
    <w:rsid w:val="00642230"/>
    <w:rsid w:val="006427E5"/>
    <w:rsid w:val="0064486C"/>
    <w:rsid w:val="00644B08"/>
    <w:rsid w:val="00646D48"/>
    <w:rsid w:val="00653F49"/>
    <w:rsid w:val="0065613D"/>
    <w:rsid w:val="00662013"/>
    <w:rsid w:val="00663475"/>
    <w:rsid w:val="00664119"/>
    <w:rsid w:val="00666984"/>
    <w:rsid w:val="00666BF4"/>
    <w:rsid w:val="00674726"/>
    <w:rsid w:val="00675683"/>
    <w:rsid w:val="00677648"/>
    <w:rsid w:val="0068050E"/>
    <w:rsid w:val="006805E0"/>
    <w:rsid w:val="006805FC"/>
    <w:rsid w:val="006835F4"/>
    <w:rsid w:val="00684930"/>
    <w:rsid w:val="006875C1"/>
    <w:rsid w:val="00687A91"/>
    <w:rsid w:val="00693EB3"/>
    <w:rsid w:val="0069521E"/>
    <w:rsid w:val="006B0FB0"/>
    <w:rsid w:val="006B40B4"/>
    <w:rsid w:val="006B56B0"/>
    <w:rsid w:val="006B6411"/>
    <w:rsid w:val="006B6B1D"/>
    <w:rsid w:val="006B760A"/>
    <w:rsid w:val="006C001C"/>
    <w:rsid w:val="006C0ACB"/>
    <w:rsid w:val="006C2B77"/>
    <w:rsid w:val="006C791B"/>
    <w:rsid w:val="006D3C7B"/>
    <w:rsid w:val="006D43B9"/>
    <w:rsid w:val="006D5FA2"/>
    <w:rsid w:val="006E1DBF"/>
    <w:rsid w:val="006E2969"/>
    <w:rsid w:val="006E36D0"/>
    <w:rsid w:val="006E370C"/>
    <w:rsid w:val="006E52C8"/>
    <w:rsid w:val="006E584F"/>
    <w:rsid w:val="006E7A50"/>
    <w:rsid w:val="006F05F9"/>
    <w:rsid w:val="006F2240"/>
    <w:rsid w:val="006F252A"/>
    <w:rsid w:val="006F734C"/>
    <w:rsid w:val="007004EF"/>
    <w:rsid w:val="00700E11"/>
    <w:rsid w:val="0070439E"/>
    <w:rsid w:val="007055C1"/>
    <w:rsid w:val="00707ED3"/>
    <w:rsid w:val="00710514"/>
    <w:rsid w:val="00711344"/>
    <w:rsid w:val="00712E7D"/>
    <w:rsid w:val="007136FD"/>
    <w:rsid w:val="00714999"/>
    <w:rsid w:val="00714F7E"/>
    <w:rsid w:val="00716FB0"/>
    <w:rsid w:val="00723ECD"/>
    <w:rsid w:val="00731E5C"/>
    <w:rsid w:val="00732A57"/>
    <w:rsid w:val="007375A8"/>
    <w:rsid w:val="00741FC7"/>
    <w:rsid w:val="00742D11"/>
    <w:rsid w:val="0074507B"/>
    <w:rsid w:val="007464DA"/>
    <w:rsid w:val="0074766E"/>
    <w:rsid w:val="00751659"/>
    <w:rsid w:val="00751A39"/>
    <w:rsid w:val="007520A3"/>
    <w:rsid w:val="007521D0"/>
    <w:rsid w:val="00752286"/>
    <w:rsid w:val="00754C4B"/>
    <w:rsid w:val="00754FC8"/>
    <w:rsid w:val="007615BD"/>
    <w:rsid w:val="007621B9"/>
    <w:rsid w:val="00762AB9"/>
    <w:rsid w:val="00764BEF"/>
    <w:rsid w:val="00770416"/>
    <w:rsid w:val="007729C0"/>
    <w:rsid w:val="007737D2"/>
    <w:rsid w:val="00777509"/>
    <w:rsid w:val="007802CE"/>
    <w:rsid w:val="00781E82"/>
    <w:rsid w:val="00795C8B"/>
    <w:rsid w:val="00796B12"/>
    <w:rsid w:val="007A0E40"/>
    <w:rsid w:val="007A281A"/>
    <w:rsid w:val="007A6BF1"/>
    <w:rsid w:val="007B263E"/>
    <w:rsid w:val="007B3AA7"/>
    <w:rsid w:val="007B4761"/>
    <w:rsid w:val="007B479A"/>
    <w:rsid w:val="007B492E"/>
    <w:rsid w:val="007B5EAD"/>
    <w:rsid w:val="007B7045"/>
    <w:rsid w:val="007C38FC"/>
    <w:rsid w:val="007C4753"/>
    <w:rsid w:val="007C4CCF"/>
    <w:rsid w:val="007C4E0B"/>
    <w:rsid w:val="007C766D"/>
    <w:rsid w:val="007C76F3"/>
    <w:rsid w:val="007C7AFD"/>
    <w:rsid w:val="007D03D5"/>
    <w:rsid w:val="007D1F6D"/>
    <w:rsid w:val="007D4EC9"/>
    <w:rsid w:val="007D52EE"/>
    <w:rsid w:val="007D64DF"/>
    <w:rsid w:val="007D6AA0"/>
    <w:rsid w:val="007D6FAC"/>
    <w:rsid w:val="007E00B6"/>
    <w:rsid w:val="007E2238"/>
    <w:rsid w:val="007E335F"/>
    <w:rsid w:val="007E3368"/>
    <w:rsid w:val="007E4B17"/>
    <w:rsid w:val="007E5101"/>
    <w:rsid w:val="007E7F52"/>
    <w:rsid w:val="007F545E"/>
    <w:rsid w:val="007F6D3B"/>
    <w:rsid w:val="007F78E6"/>
    <w:rsid w:val="0080128A"/>
    <w:rsid w:val="00801C5A"/>
    <w:rsid w:val="00803050"/>
    <w:rsid w:val="00805AEE"/>
    <w:rsid w:val="00806FA3"/>
    <w:rsid w:val="00806FDD"/>
    <w:rsid w:val="00810E69"/>
    <w:rsid w:val="00810EE7"/>
    <w:rsid w:val="00811D21"/>
    <w:rsid w:val="00811F8D"/>
    <w:rsid w:val="008120A8"/>
    <w:rsid w:val="00813554"/>
    <w:rsid w:val="00814E82"/>
    <w:rsid w:val="008171F8"/>
    <w:rsid w:val="0082258B"/>
    <w:rsid w:val="00824BC1"/>
    <w:rsid w:val="008256C0"/>
    <w:rsid w:val="00825F39"/>
    <w:rsid w:val="00830F11"/>
    <w:rsid w:val="008321D3"/>
    <w:rsid w:val="008327D5"/>
    <w:rsid w:val="00833670"/>
    <w:rsid w:val="00834770"/>
    <w:rsid w:val="00836846"/>
    <w:rsid w:val="008428E7"/>
    <w:rsid w:val="00847F2A"/>
    <w:rsid w:val="00851881"/>
    <w:rsid w:val="008525C1"/>
    <w:rsid w:val="00852FEA"/>
    <w:rsid w:val="0085478C"/>
    <w:rsid w:val="00861F94"/>
    <w:rsid w:val="008633F7"/>
    <w:rsid w:val="00864532"/>
    <w:rsid w:val="00866825"/>
    <w:rsid w:val="00870159"/>
    <w:rsid w:val="00872F5C"/>
    <w:rsid w:val="008739A2"/>
    <w:rsid w:val="00873E37"/>
    <w:rsid w:val="00874257"/>
    <w:rsid w:val="0087452D"/>
    <w:rsid w:val="00874665"/>
    <w:rsid w:val="0087760F"/>
    <w:rsid w:val="008777F6"/>
    <w:rsid w:val="00880008"/>
    <w:rsid w:val="008802D4"/>
    <w:rsid w:val="0088153C"/>
    <w:rsid w:val="00881CE2"/>
    <w:rsid w:val="00884682"/>
    <w:rsid w:val="00886D47"/>
    <w:rsid w:val="00887016"/>
    <w:rsid w:val="008874E7"/>
    <w:rsid w:val="008938C6"/>
    <w:rsid w:val="00894404"/>
    <w:rsid w:val="008A3972"/>
    <w:rsid w:val="008A50AC"/>
    <w:rsid w:val="008A5F09"/>
    <w:rsid w:val="008B0561"/>
    <w:rsid w:val="008B086E"/>
    <w:rsid w:val="008B2D23"/>
    <w:rsid w:val="008B5F76"/>
    <w:rsid w:val="008C226B"/>
    <w:rsid w:val="008C3A66"/>
    <w:rsid w:val="008C67E4"/>
    <w:rsid w:val="008C738E"/>
    <w:rsid w:val="008D13F4"/>
    <w:rsid w:val="008D1B38"/>
    <w:rsid w:val="008D5224"/>
    <w:rsid w:val="008D6108"/>
    <w:rsid w:val="008D6D7E"/>
    <w:rsid w:val="008D7D91"/>
    <w:rsid w:val="008E154F"/>
    <w:rsid w:val="008E1C67"/>
    <w:rsid w:val="008E2E5D"/>
    <w:rsid w:val="008E3380"/>
    <w:rsid w:val="008E47DF"/>
    <w:rsid w:val="008E74AE"/>
    <w:rsid w:val="008E7F76"/>
    <w:rsid w:val="008F11CC"/>
    <w:rsid w:val="008F1551"/>
    <w:rsid w:val="008F2650"/>
    <w:rsid w:val="008F361B"/>
    <w:rsid w:val="008F43C7"/>
    <w:rsid w:val="008F7D1C"/>
    <w:rsid w:val="00901C72"/>
    <w:rsid w:val="00903C83"/>
    <w:rsid w:val="00904032"/>
    <w:rsid w:val="009044AC"/>
    <w:rsid w:val="00905658"/>
    <w:rsid w:val="0091105E"/>
    <w:rsid w:val="00911FA5"/>
    <w:rsid w:val="00915CC9"/>
    <w:rsid w:val="009175C6"/>
    <w:rsid w:val="00917797"/>
    <w:rsid w:val="00917DA9"/>
    <w:rsid w:val="00917EDA"/>
    <w:rsid w:val="009253C6"/>
    <w:rsid w:val="00931B45"/>
    <w:rsid w:val="00937309"/>
    <w:rsid w:val="00937D43"/>
    <w:rsid w:val="00940271"/>
    <w:rsid w:val="009411B9"/>
    <w:rsid w:val="009415B2"/>
    <w:rsid w:val="0094528E"/>
    <w:rsid w:val="00945F64"/>
    <w:rsid w:val="00947207"/>
    <w:rsid w:val="00952B96"/>
    <w:rsid w:val="00956111"/>
    <w:rsid w:val="0095786A"/>
    <w:rsid w:val="00963D5C"/>
    <w:rsid w:val="009668AE"/>
    <w:rsid w:val="0097012E"/>
    <w:rsid w:val="0097135B"/>
    <w:rsid w:val="00973F2E"/>
    <w:rsid w:val="00976ABC"/>
    <w:rsid w:val="00977F0C"/>
    <w:rsid w:val="0098209E"/>
    <w:rsid w:val="0098337C"/>
    <w:rsid w:val="009846DA"/>
    <w:rsid w:val="00984D87"/>
    <w:rsid w:val="009850DD"/>
    <w:rsid w:val="00986281"/>
    <w:rsid w:val="00990581"/>
    <w:rsid w:val="00991494"/>
    <w:rsid w:val="00991D06"/>
    <w:rsid w:val="00992CB8"/>
    <w:rsid w:val="00992DBD"/>
    <w:rsid w:val="009938D8"/>
    <w:rsid w:val="009939C4"/>
    <w:rsid w:val="00997516"/>
    <w:rsid w:val="009A0426"/>
    <w:rsid w:val="009A1FF2"/>
    <w:rsid w:val="009B163B"/>
    <w:rsid w:val="009C46E1"/>
    <w:rsid w:val="009D0102"/>
    <w:rsid w:val="009D11A7"/>
    <w:rsid w:val="009D26AF"/>
    <w:rsid w:val="009D7C05"/>
    <w:rsid w:val="009E1088"/>
    <w:rsid w:val="009E1E27"/>
    <w:rsid w:val="009E34C5"/>
    <w:rsid w:val="009E5765"/>
    <w:rsid w:val="009E68B6"/>
    <w:rsid w:val="009E6CDB"/>
    <w:rsid w:val="009E73BA"/>
    <w:rsid w:val="009F040C"/>
    <w:rsid w:val="009F4DE9"/>
    <w:rsid w:val="009F6889"/>
    <w:rsid w:val="009F7F7F"/>
    <w:rsid w:val="00A015B6"/>
    <w:rsid w:val="00A05D2B"/>
    <w:rsid w:val="00A1286E"/>
    <w:rsid w:val="00A1287C"/>
    <w:rsid w:val="00A12C6C"/>
    <w:rsid w:val="00A13291"/>
    <w:rsid w:val="00A1424A"/>
    <w:rsid w:val="00A152AF"/>
    <w:rsid w:val="00A15849"/>
    <w:rsid w:val="00A215BE"/>
    <w:rsid w:val="00A218B6"/>
    <w:rsid w:val="00A221C4"/>
    <w:rsid w:val="00A22F6B"/>
    <w:rsid w:val="00A2526B"/>
    <w:rsid w:val="00A34766"/>
    <w:rsid w:val="00A35B98"/>
    <w:rsid w:val="00A37731"/>
    <w:rsid w:val="00A378CA"/>
    <w:rsid w:val="00A37D87"/>
    <w:rsid w:val="00A4158B"/>
    <w:rsid w:val="00A42224"/>
    <w:rsid w:val="00A43240"/>
    <w:rsid w:val="00A44A5C"/>
    <w:rsid w:val="00A474CE"/>
    <w:rsid w:val="00A526C5"/>
    <w:rsid w:val="00A52772"/>
    <w:rsid w:val="00A52A53"/>
    <w:rsid w:val="00A53F1E"/>
    <w:rsid w:val="00A56591"/>
    <w:rsid w:val="00A67076"/>
    <w:rsid w:val="00A71CF2"/>
    <w:rsid w:val="00A72795"/>
    <w:rsid w:val="00A72BD1"/>
    <w:rsid w:val="00A739A2"/>
    <w:rsid w:val="00A746BE"/>
    <w:rsid w:val="00A807E3"/>
    <w:rsid w:val="00A80A5F"/>
    <w:rsid w:val="00A85B19"/>
    <w:rsid w:val="00A87113"/>
    <w:rsid w:val="00A87D11"/>
    <w:rsid w:val="00A90656"/>
    <w:rsid w:val="00A91304"/>
    <w:rsid w:val="00A928F9"/>
    <w:rsid w:val="00A94EE0"/>
    <w:rsid w:val="00A963F7"/>
    <w:rsid w:val="00A97BE8"/>
    <w:rsid w:val="00AA0269"/>
    <w:rsid w:val="00AA21EA"/>
    <w:rsid w:val="00AA3287"/>
    <w:rsid w:val="00AA3F80"/>
    <w:rsid w:val="00AB0677"/>
    <w:rsid w:val="00AB47A4"/>
    <w:rsid w:val="00AB49AD"/>
    <w:rsid w:val="00AB6F29"/>
    <w:rsid w:val="00AB77D5"/>
    <w:rsid w:val="00AB78DB"/>
    <w:rsid w:val="00AC15FA"/>
    <w:rsid w:val="00AC1A60"/>
    <w:rsid w:val="00AC2ED8"/>
    <w:rsid w:val="00AC5DC2"/>
    <w:rsid w:val="00AD044A"/>
    <w:rsid w:val="00AD13AD"/>
    <w:rsid w:val="00AD6924"/>
    <w:rsid w:val="00AD7EBC"/>
    <w:rsid w:val="00AE01D0"/>
    <w:rsid w:val="00AE12AD"/>
    <w:rsid w:val="00AE26FA"/>
    <w:rsid w:val="00AE4502"/>
    <w:rsid w:val="00AE474D"/>
    <w:rsid w:val="00AE6B0E"/>
    <w:rsid w:val="00AF18CE"/>
    <w:rsid w:val="00AF1E89"/>
    <w:rsid w:val="00AF5985"/>
    <w:rsid w:val="00AF7F5C"/>
    <w:rsid w:val="00B02A56"/>
    <w:rsid w:val="00B034E8"/>
    <w:rsid w:val="00B03CB4"/>
    <w:rsid w:val="00B049BA"/>
    <w:rsid w:val="00B07722"/>
    <w:rsid w:val="00B07BBC"/>
    <w:rsid w:val="00B10A85"/>
    <w:rsid w:val="00B11E8F"/>
    <w:rsid w:val="00B11EF1"/>
    <w:rsid w:val="00B129F4"/>
    <w:rsid w:val="00B13584"/>
    <w:rsid w:val="00B1440A"/>
    <w:rsid w:val="00B163D1"/>
    <w:rsid w:val="00B17FE3"/>
    <w:rsid w:val="00B222C9"/>
    <w:rsid w:val="00B236DF"/>
    <w:rsid w:val="00B265C6"/>
    <w:rsid w:val="00B30858"/>
    <w:rsid w:val="00B31B8A"/>
    <w:rsid w:val="00B3310A"/>
    <w:rsid w:val="00B33CA4"/>
    <w:rsid w:val="00B368D3"/>
    <w:rsid w:val="00B423AC"/>
    <w:rsid w:val="00B435EE"/>
    <w:rsid w:val="00B44475"/>
    <w:rsid w:val="00B44785"/>
    <w:rsid w:val="00B51165"/>
    <w:rsid w:val="00B52481"/>
    <w:rsid w:val="00B53A22"/>
    <w:rsid w:val="00B54E29"/>
    <w:rsid w:val="00B56392"/>
    <w:rsid w:val="00B56B67"/>
    <w:rsid w:val="00B57286"/>
    <w:rsid w:val="00B66224"/>
    <w:rsid w:val="00B72909"/>
    <w:rsid w:val="00B73A60"/>
    <w:rsid w:val="00B7784B"/>
    <w:rsid w:val="00B832B1"/>
    <w:rsid w:val="00B837E2"/>
    <w:rsid w:val="00B84C26"/>
    <w:rsid w:val="00B86426"/>
    <w:rsid w:val="00B93EA8"/>
    <w:rsid w:val="00B95A2A"/>
    <w:rsid w:val="00B97D98"/>
    <w:rsid w:val="00B97F9F"/>
    <w:rsid w:val="00BA0ECD"/>
    <w:rsid w:val="00BA1BBD"/>
    <w:rsid w:val="00BA3E29"/>
    <w:rsid w:val="00BA4029"/>
    <w:rsid w:val="00BA4329"/>
    <w:rsid w:val="00BA5894"/>
    <w:rsid w:val="00BA5D58"/>
    <w:rsid w:val="00BA6D73"/>
    <w:rsid w:val="00BA7D39"/>
    <w:rsid w:val="00BB0D88"/>
    <w:rsid w:val="00BB57DB"/>
    <w:rsid w:val="00BB7C55"/>
    <w:rsid w:val="00BC053B"/>
    <w:rsid w:val="00BC34ED"/>
    <w:rsid w:val="00BC3BCC"/>
    <w:rsid w:val="00BC5657"/>
    <w:rsid w:val="00BD0847"/>
    <w:rsid w:val="00BD3663"/>
    <w:rsid w:val="00BD3CA2"/>
    <w:rsid w:val="00BD4996"/>
    <w:rsid w:val="00BD6A8C"/>
    <w:rsid w:val="00BE054F"/>
    <w:rsid w:val="00BE3085"/>
    <w:rsid w:val="00BE3349"/>
    <w:rsid w:val="00BE3A7E"/>
    <w:rsid w:val="00BE7E51"/>
    <w:rsid w:val="00BF049E"/>
    <w:rsid w:val="00BF3A16"/>
    <w:rsid w:val="00BF40BC"/>
    <w:rsid w:val="00BF4BC0"/>
    <w:rsid w:val="00BF502D"/>
    <w:rsid w:val="00BF5851"/>
    <w:rsid w:val="00C01033"/>
    <w:rsid w:val="00C01F42"/>
    <w:rsid w:val="00C034FE"/>
    <w:rsid w:val="00C03D17"/>
    <w:rsid w:val="00C04FB8"/>
    <w:rsid w:val="00C17E89"/>
    <w:rsid w:val="00C24B15"/>
    <w:rsid w:val="00C31458"/>
    <w:rsid w:val="00C32B1E"/>
    <w:rsid w:val="00C3327E"/>
    <w:rsid w:val="00C356A3"/>
    <w:rsid w:val="00C371DC"/>
    <w:rsid w:val="00C42192"/>
    <w:rsid w:val="00C426F6"/>
    <w:rsid w:val="00C42B97"/>
    <w:rsid w:val="00C42DB2"/>
    <w:rsid w:val="00C44637"/>
    <w:rsid w:val="00C456CC"/>
    <w:rsid w:val="00C457B4"/>
    <w:rsid w:val="00C51741"/>
    <w:rsid w:val="00C51CEE"/>
    <w:rsid w:val="00C51E9E"/>
    <w:rsid w:val="00C52BE8"/>
    <w:rsid w:val="00C536A3"/>
    <w:rsid w:val="00C53CEF"/>
    <w:rsid w:val="00C5451E"/>
    <w:rsid w:val="00C5570F"/>
    <w:rsid w:val="00C57860"/>
    <w:rsid w:val="00C57B32"/>
    <w:rsid w:val="00C60E50"/>
    <w:rsid w:val="00C61DDC"/>
    <w:rsid w:val="00C62B2F"/>
    <w:rsid w:val="00C63319"/>
    <w:rsid w:val="00C64FD3"/>
    <w:rsid w:val="00C710D2"/>
    <w:rsid w:val="00C72063"/>
    <w:rsid w:val="00C767CA"/>
    <w:rsid w:val="00C800B6"/>
    <w:rsid w:val="00C86686"/>
    <w:rsid w:val="00C867FC"/>
    <w:rsid w:val="00C96C85"/>
    <w:rsid w:val="00C97EDA"/>
    <w:rsid w:val="00CA13F1"/>
    <w:rsid w:val="00CA5456"/>
    <w:rsid w:val="00CA5E0A"/>
    <w:rsid w:val="00CA6E1D"/>
    <w:rsid w:val="00CB115F"/>
    <w:rsid w:val="00CB36B8"/>
    <w:rsid w:val="00CE0B73"/>
    <w:rsid w:val="00CE0CBD"/>
    <w:rsid w:val="00CE1563"/>
    <w:rsid w:val="00CE495A"/>
    <w:rsid w:val="00CE78B9"/>
    <w:rsid w:val="00CF1357"/>
    <w:rsid w:val="00CF17DE"/>
    <w:rsid w:val="00CF1FD9"/>
    <w:rsid w:val="00CF1FE6"/>
    <w:rsid w:val="00CF2083"/>
    <w:rsid w:val="00CF30D5"/>
    <w:rsid w:val="00CF4FD4"/>
    <w:rsid w:val="00CF5734"/>
    <w:rsid w:val="00CF7123"/>
    <w:rsid w:val="00CF7DC0"/>
    <w:rsid w:val="00D00AD7"/>
    <w:rsid w:val="00D01022"/>
    <w:rsid w:val="00D01836"/>
    <w:rsid w:val="00D03285"/>
    <w:rsid w:val="00D0637F"/>
    <w:rsid w:val="00D07BB8"/>
    <w:rsid w:val="00D15B4B"/>
    <w:rsid w:val="00D15C0F"/>
    <w:rsid w:val="00D1780C"/>
    <w:rsid w:val="00D2329E"/>
    <w:rsid w:val="00D23613"/>
    <w:rsid w:val="00D23EAD"/>
    <w:rsid w:val="00D27E85"/>
    <w:rsid w:val="00D3236D"/>
    <w:rsid w:val="00D33F8E"/>
    <w:rsid w:val="00D36A3A"/>
    <w:rsid w:val="00D37459"/>
    <w:rsid w:val="00D42998"/>
    <w:rsid w:val="00D43217"/>
    <w:rsid w:val="00D46E67"/>
    <w:rsid w:val="00D500A2"/>
    <w:rsid w:val="00D5750C"/>
    <w:rsid w:val="00D57527"/>
    <w:rsid w:val="00D608AD"/>
    <w:rsid w:val="00D6137B"/>
    <w:rsid w:val="00D61DDD"/>
    <w:rsid w:val="00D62251"/>
    <w:rsid w:val="00D6329D"/>
    <w:rsid w:val="00D6551A"/>
    <w:rsid w:val="00D66FE5"/>
    <w:rsid w:val="00D671E9"/>
    <w:rsid w:val="00D70439"/>
    <w:rsid w:val="00D70728"/>
    <w:rsid w:val="00D72015"/>
    <w:rsid w:val="00D73719"/>
    <w:rsid w:val="00D75D13"/>
    <w:rsid w:val="00D760EA"/>
    <w:rsid w:val="00D80AB8"/>
    <w:rsid w:val="00D815BA"/>
    <w:rsid w:val="00D83AC4"/>
    <w:rsid w:val="00D85ED3"/>
    <w:rsid w:val="00D873E9"/>
    <w:rsid w:val="00D87437"/>
    <w:rsid w:val="00D90F54"/>
    <w:rsid w:val="00D9400E"/>
    <w:rsid w:val="00D94DCA"/>
    <w:rsid w:val="00D96346"/>
    <w:rsid w:val="00DA24CE"/>
    <w:rsid w:val="00DA28BD"/>
    <w:rsid w:val="00DA4400"/>
    <w:rsid w:val="00DA6EFB"/>
    <w:rsid w:val="00DB3AD2"/>
    <w:rsid w:val="00DB3FAF"/>
    <w:rsid w:val="00DB5F8B"/>
    <w:rsid w:val="00DB6F2C"/>
    <w:rsid w:val="00DB7882"/>
    <w:rsid w:val="00DB7B4E"/>
    <w:rsid w:val="00DB7BB4"/>
    <w:rsid w:val="00DC0C61"/>
    <w:rsid w:val="00DC0DCE"/>
    <w:rsid w:val="00DC3CDC"/>
    <w:rsid w:val="00DC652B"/>
    <w:rsid w:val="00DC6C39"/>
    <w:rsid w:val="00DD3306"/>
    <w:rsid w:val="00DD6AF9"/>
    <w:rsid w:val="00DD6FD4"/>
    <w:rsid w:val="00DD74A6"/>
    <w:rsid w:val="00DE13A4"/>
    <w:rsid w:val="00DE3818"/>
    <w:rsid w:val="00DE432D"/>
    <w:rsid w:val="00DE71C2"/>
    <w:rsid w:val="00DF12AC"/>
    <w:rsid w:val="00DF5E14"/>
    <w:rsid w:val="00DF679C"/>
    <w:rsid w:val="00E005FA"/>
    <w:rsid w:val="00E05683"/>
    <w:rsid w:val="00E06C73"/>
    <w:rsid w:val="00E13F77"/>
    <w:rsid w:val="00E14541"/>
    <w:rsid w:val="00E14D22"/>
    <w:rsid w:val="00E15085"/>
    <w:rsid w:val="00E15A6F"/>
    <w:rsid w:val="00E15E13"/>
    <w:rsid w:val="00E17857"/>
    <w:rsid w:val="00E24671"/>
    <w:rsid w:val="00E24FA6"/>
    <w:rsid w:val="00E27CA4"/>
    <w:rsid w:val="00E27CCA"/>
    <w:rsid w:val="00E27EB0"/>
    <w:rsid w:val="00E31587"/>
    <w:rsid w:val="00E32889"/>
    <w:rsid w:val="00E33C1D"/>
    <w:rsid w:val="00E352F9"/>
    <w:rsid w:val="00E357A7"/>
    <w:rsid w:val="00E362FC"/>
    <w:rsid w:val="00E365BB"/>
    <w:rsid w:val="00E36E3B"/>
    <w:rsid w:val="00E378B9"/>
    <w:rsid w:val="00E408AB"/>
    <w:rsid w:val="00E42177"/>
    <w:rsid w:val="00E44108"/>
    <w:rsid w:val="00E4616F"/>
    <w:rsid w:val="00E52833"/>
    <w:rsid w:val="00E52F02"/>
    <w:rsid w:val="00E54030"/>
    <w:rsid w:val="00E54673"/>
    <w:rsid w:val="00E54FBC"/>
    <w:rsid w:val="00E56A47"/>
    <w:rsid w:val="00E5754B"/>
    <w:rsid w:val="00E61210"/>
    <w:rsid w:val="00E61379"/>
    <w:rsid w:val="00E615FB"/>
    <w:rsid w:val="00E63625"/>
    <w:rsid w:val="00E64CA9"/>
    <w:rsid w:val="00E65098"/>
    <w:rsid w:val="00E70A32"/>
    <w:rsid w:val="00E7164B"/>
    <w:rsid w:val="00E722A8"/>
    <w:rsid w:val="00E83B1B"/>
    <w:rsid w:val="00E85ACB"/>
    <w:rsid w:val="00E863DC"/>
    <w:rsid w:val="00E90040"/>
    <w:rsid w:val="00E902D1"/>
    <w:rsid w:val="00E9317A"/>
    <w:rsid w:val="00E942C9"/>
    <w:rsid w:val="00E95088"/>
    <w:rsid w:val="00EA0637"/>
    <w:rsid w:val="00EA2149"/>
    <w:rsid w:val="00EA6140"/>
    <w:rsid w:val="00EA6155"/>
    <w:rsid w:val="00EA61BC"/>
    <w:rsid w:val="00EA6C4C"/>
    <w:rsid w:val="00EA7BDC"/>
    <w:rsid w:val="00EB6DB0"/>
    <w:rsid w:val="00EB74CC"/>
    <w:rsid w:val="00EC10E0"/>
    <w:rsid w:val="00EC1FDD"/>
    <w:rsid w:val="00EC3633"/>
    <w:rsid w:val="00EC4EAB"/>
    <w:rsid w:val="00ED1C28"/>
    <w:rsid w:val="00ED4078"/>
    <w:rsid w:val="00ED4EA6"/>
    <w:rsid w:val="00ED5C7D"/>
    <w:rsid w:val="00EE0223"/>
    <w:rsid w:val="00EE116A"/>
    <w:rsid w:val="00EE2E6B"/>
    <w:rsid w:val="00EE6009"/>
    <w:rsid w:val="00EF32B0"/>
    <w:rsid w:val="00EF5144"/>
    <w:rsid w:val="00EF687F"/>
    <w:rsid w:val="00F0030D"/>
    <w:rsid w:val="00F00A4B"/>
    <w:rsid w:val="00F010F3"/>
    <w:rsid w:val="00F012A6"/>
    <w:rsid w:val="00F03045"/>
    <w:rsid w:val="00F12194"/>
    <w:rsid w:val="00F125D3"/>
    <w:rsid w:val="00F1441F"/>
    <w:rsid w:val="00F148B8"/>
    <w:rsid w:val="00F14E9A"/>
    <w:rsid w:val="00F16D5D"/>
    <w:rsid w:val="00F20284"/>
    <w:rsid w:val="00F20A45"/>
    <w:rsid w:val="00F25A2F"/>
    <w:rsid w:val="00F3207B"/>
    <w:rsid w:val="00F3266D"/>
    <w:rsid w:val="00F34AB1"/>
    <w:rsid w:val="00F3733C"/>
    <w:rsid w:val="00F41F60"/>
    <w:rsid w:val="00F421C2"/>
    <w:rsid w:val="00F4253F"/>
    <w:rsid w:val="00F431B6"/>
    <w:rsid w:val="00F437DC"/>
    <w:rsid w:val="00F43BA6"/>
    <w:rsid w:val="00F4658D"/>
    <w:rsid w:val="00F47719"/>
    <w:rsid w:val="00F47818"/>
    <w:rsid w:val="00F505ED"/>
    <w:rsid w:val="00F51CFD"/>
    <w:rsid w:val="00F57895"/>
    <w:rsid w:val="00F60208"/>
    <w:rsid w:val="00F606DF"/>
    <w:rsid w:val="00F61945"/>
    <w:rsid w:val="00F62D3B"/>
    <w:rsid w:val="00F64AD8"/>
    <w:rsid w:val="00F656BA"/>
    <w:rsid w:val="00F669E0"/>
    <w:rsid w:val="00F70D5F"/>
    <w:rsid w:val="00F711F8"/>
    <w:rsid w:val="00F75A33"/>
    <w:rsid w:val="00F81638"/>
    <w:rsid w:val="00F82662"/>
    <w:rsid w:val="00F82ADF"/>
    <w:rsid w:val="00F856CD"/>
    <w:rsid w:val="00F8682F"/>
    <w:rsid w:val="00F86AE2"/>
    <w:rsid w:val="00F92C3C"/>
    <w:rsid w:val="00F95774"/>
    <w:rsid w:val="00F97C91"/>
    <w:rsid w:val="00FA08A9"/>
    <w:rsid w:val="00FA48B9"/>
    <w:rsid w:val="00FA776C"/>
    <w:rsid w:val="00FB22ED"/>
    <w:rsid w:val="00FB4C6C"/>
    <w:rsid w:val="00FC3ACE"/>
    <w:rsid w:val="00FD2BF2"/>
    <w:rsid w:val="00FD4D1A"/>
    <w:rsid w:val="00FD4D7B"/>
    <w:rsid w:val="00FD7A1B"/>
    <w:rsid w:val="00FE3DE9"/>
    <w:rsid w:val="00FE61B6"/>
    <w:rsid w:val="00FE6DA5"/>
    <w:rsid w:val="00FE7B7C"/>
    <w:rsid w:val="00FE7FE4"/>
    <w:rsid w:val="00FF0483"/>
    <w:rsid w:val="00FF1E40"/>
    <w:rsid w:val="00FF3227"/>
    <w:rsid w:val="00FF4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style="mso-position-vertical-relative:line"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7D00"/>
    <w:rPr>
      <w:rFonts w:ascii="Palatino" w:hAnsi="Palatino"/>
      <w:sz w:val="26"/>
    </w:rPr>
  </w:style>
  <w:style w:type="paragraph" w:styleId="Heading1">
    <w:name w:val="heading 1"/>
    <w:basedOn w:val="Normal"/>
    <w:next w:val="standard"/>
    <w:qFormat/>
    <w:pPr>
      <w:keepNext/>
      <w:spacing w:before="120" w:after="240"/>
      <w:outlineLvl w:val="0"/>
    </w:pPr>
    <w:rPr>
      <w:rFonts w:ascii="Helvetica" w:hAnsi="Helvetica"/>
      <w:b/>
      <w:caps/>
      <w:kern w:val="28"/>
      <w:u w:val="single"/>
    </w:rPr>
  </w:style>
  <w:style w:type="paragraph" w:styleId="Heading2">
    <w:name w:val="heading 2"/>
    <w:basedOn w:val="Normal"/>
    <w:next w:val="sub1"/>
    <w:qFormat/>
    <w:pPr>
      <w:keepNext/>
      <w:numPr>
        <w:ilvl w:val="1"/>
        <w:numId w:val="3"/>
      </w:numPr>
      <w:spacing w:before="120" w:after="12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1 Char,Footnote Text Char Char Char,Char Char,Footnote Text Char2 Char,Footnote Text Char2 Char Char Char Char,Footnote Text Char1 Char1 Char1 Char Char Char,TBG Style Char Char"/>
    <w:basedOn w:val="Normal"/>
    <w:link w:val="FootnoteTextChar"/>
    <w:rsid w:val="008B086E"/>
    <w:pPr>
      <w:spacing w:after="240"/>
    </w:pPr>
    <w:rPr>
      <w:sz w:val="24"/>
      <w:lang w:val="x-none" w:eastAsia="x-none"/>
    </w:rPr>
  </w:style>
  <w:style w:type="paragraph" w:styleId="EndnoteText">
    <w:name w:val="endnote text"/>
    <w:basedOn w:val="Normal"/>
    <w:semiHidden/>
    <w:rPr>
      <w:sz w:val="20"/>
    </w:rPr>
  </w:style>
  <w:style w:type="paragraph" w:customStyle="1" w:styleId="standard">
    <w:name w:val="standard"/>
    <w:basedOn w:val="Normal"/>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Style1">
    <w:name w:val="Style1"/>
    <w:basedOn w:val="1ListIndent"/>
    <w:pPr>
      <w:numPr>
        <w:numId w:val="0"/>
      </w:numPr>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after="240"/>
    </w:p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paragraph" w:customStyle="1" w:styleId="AListIndent">
    <w:name w:val="A. List Indent"/>
    <w:basedOn w:val="1ListIndent"/>
    <w:pPr>
      <w:numPr>
        <w:numId w:val="1"/>
      </w:numPr>
      <w:ind w:left="1440" w:hanging="720"/>
    </w:pPr>
  </w:style>
  <w:style w:type="character" w:styleId="EndnoteReference">
    <w:name w:val="endnote reference"/>
    <w:semiHidden/>
    <w:rPr>
      <w:vertAlign w:val="superscript"/>
    </w:rPr>
  </w:style>
  <w:style w:type="paragraph" w:customStyle="1" w:styleId="1ListIndent">
    <w:name w:val="1. List Indent"/>
    <w:basedOn w:val="num2"/>
    <w:pPr>
      <w:numPr>
        <w:numId w:val="2"/>
      </w:numPr>
      <w:ind w:left="1080"/>
    </w:pPr>
  </w:style>
  <w:style w:type="character" w:styleId="FootnoteReference">
    <w:name w:val="footnote reference"/>
    <w:aliases w:val="o,fr,Style 3,o1,o2,o3,o4,o5,o6,o11,o21,o7,Footnote Reference1"/>
    <w:rPr>
      <w:vertAlign w:val="superscript"/>
    </w:rPr>
  </w:style>
  <w:style w:type="paragraph" w:styleId="List">
    <w:name w:val="List"/>
    <w:basedOn w:val="Normal"/>
    <w:pPr>
      <w:ind w:left="360" w:hanging="360"/>
    </w:pPr>
    <w:rPr>
      <w:rFonts w:ascii="Times New Roman" w:hAnsi="Times New Roman"/>
      <w:sz w:val="24"/>
    </w:rPr>
  </w:style>
  <w:style w:type="paragraph" w:customStyle="1" w:styleId="Res-Caption">
    <w:name w:val="Res-Caption"/>
    <w:basedOn w:val="Normal"/>
    <w:pPr>
      <w:ind w:left="720" w:right="720"/>
    </w:pPr>
  </w:style>
  <w:style w:type="paragraph" w:customStyle="1" w:styleId="Res-TitleResolution">
    <w:name w:val="Res-Title (Resolution)"/>
    <w:basedOn w:val="main"/>
  </w:style>
  <w:style w:type="paragraph" w:customStyle="1" w:styleId="ALs">
    <w:name w:val="ALs"/>
    <w:basedOn w:val="Normal"/>
    <w:rPr>
      <w:rFonts w:ascii="Times New Roman" w:hAnsi="Times New Roman"/>
      <w:sz w:val="24"/>
    </w:rPr>
  </w:style>
  <w:style w:type="character" w:customStyle="1" w:styleId="FootnoteTextChar">
    <w:name w:val="Footnote Text Char"/>
    <w:aliases w:val="Footnote Text Char1 Char1,Footnote Text Char Char Char1,Footnote Text Char1 Char Char,Footnote Text Char Char Char Char,Char Char Char,Footnote Text Char2 Char Char,Footnote Text Char2 Char Char Char Char Char,TBG Style Char Char Char"/>
    <w:link w:val="FootnoteText"/>
    <w:locked/>
    <w:rsid w:val="005A1819"/>
    <w:rPr>
      <w:rFonts w:ascii="Palatino" w:hAnsi="Palatino"/>
      <w:sz w:val="24"/>
    </w:rPr>
  </w:style>
  <w:style w:type="paragraph" w:customStyle="1" w:styleId="Style2">
    <w:name w:val="Style2"/>
    <w:basedOn w:val="Normal"/>
    <w:rsid w:val="007A6BF1"/>
  </w:style>
  <w:style w:type="paragraph" w:customStyle="1" w:styleId="Style3">
    <w:name w:val="Style3"/>
    <w:basedOn w:val="Normal"/>
    <w:rsid w:val="008B086E"/>
  </w:style>
  <w:style w:type="character" w:styleId="Hyperlink">
    <w:name w:val="Hyperlink"/>
    <w:uiPriority w:val="99"/>
    <w:unhideWhenUsed/>
    <w:rsid w:val="009F040C"/>
    <w:rPr>
      <w:color w:val="0000FF"/>
      <w:u w:val="single"/>
    </w:rPr>
  </w:style>
  <w:style w:type="table" w:styleId="TableGrid">
    <w:name w:val="Table Grid"/>
    <w:basedOn w:val="TableNormal"/>
    <w:rsid w:val="001120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741FC7"/>
    <w:rPr>
      <w:rFonts w:ascii="Calibri" w:eastAsia="Calibri" w:hAnsi="Calibri"/>
      <w:sz w:val="22"/>
      <w:szCs w:val="21"/>
      <w:lang w:val="x-none" w:eastAsia="x-none"/>
    </w:rPr>
  </w:style>
  <w:style w:type="character" w:customStyle="1" w:styleId="PlainTextChar">
    <w:name w:val="Plain Text Char"/>
    <w:link w:val="PlainText"/>
    <w:uiPriority w:val="99"/>
    <w:rsid w:val="00741FC7"/>
    <w:rPr>
      <w:rFonts w:ascii="Calibri" w:eastAsia="Calibri" w:hAnsi="Calibri" w:cs="Consolas"/>
      <w:sz w:val="22"/>
      <w:szCs w:val="21"/>
    </w:rPr>
  </w:style>
  <w:style w:type="character" w:styleId="CommentReference">
    <w:name w:val="annotation reference"/>
    <w:rsid w:val="00741FC7"/>
    <w:rPr>
      <w:sz w:val="16"/>
      <w:szCs w:val="16"/>
    </w:rPr>
  </w:style>
  <w:style w:type="paragraph" w:styleId="CommentText">
    <w:name w:val="annotation text"/>
    <w:basedOn w:val="Normal"/>
    <w:link w:val="CommentTextChar"/>
    <w:rsid w:val="00741FC7"/>
    <w:rPr>
      <w:sz w:val="20"/>
      <w:lang w:val="x-none" w:eastAsia="x-none"/>
    </w:rPr>
  </w:style>
  <w:style w:type="character" w:customStyle="1" w:styleId="CommentTextChar">
    <w:name w:val="Comment Text Char"/>
    <w:link w:val="CommentText"/>
    <w:rsid w:val="00741FC7"/>
    <w:rPr>
      <w:rFonts w:ascii="Palatino" w:hAnsi="Palatino"/>
    </w:rPr>
  </w:style>
  <w:style w:type="paragraph" w:styleId="BalloonText">
    <w:name w:val="Balloon Text"/>
    <w:basedOn w:val="Normal"/>
    <w:link w:val="BalloonTextChar"/>
    <w:rsid w:val="00741FC7"/>
    <w:rPr>
      <w:rFonts w:ascii="Tahoma" w:hAnsi="Tahoma"/>
      <w:sz w:val="16"/>
      <w:szCs w:val="16"/>
      <w:lang w:val="x-none" w:eastAsia="x-none"/>
    </w:rPr>
  </w:style>
  <w:style w:type="character" w:customStyle="1" w:styleId="BalloonTextChar">
    <w:name w:val="Balloon Text Char"/>
    <w:link w:val="BalloonText"/>
    <w:rsid w:val="00741FC7"/>
    <w:rPr>
      <w:rFonts w:ascii="Tahoma" w:hAnsi="Tahoma" w:cs="Tahoma"/>
      <w:sz w:val="16"/>
      <w:szCs w:val="16"/>
    </w:rPr>
  </w:style>
  <w:style w:type="character" w:styleId="FollowedHyperlink">
    <w:name w:val="FollowedHyperlink"/>
    <w:rsid w:val="00864532"/>
    <w:rPr>
      <w:color w:val="800080"/>
      <w:u w:val="single"/>
    </w:rPr>
  </w:style>
  <w:style w:type="paragraph" w:styleId="CommentSubject">
    <w:name w:val="annotation subject"/>
    <w:basedOn w:val="CommentText"/>
    <w:next w:val="CommentText"/>
    <w:link w:val="CommentSubjectChar"/>
    <w:rsid w:val="004A32EA"/>
    <w:rPr>
      <w:b/>
      <w:bCs/>
    </w:rPr>
  </w:style>
  <w:style w:type="character" w:customStyle="1" w:styleId="CommentSubjectChar">
    <w:name w:val="Comment Subject Char"/>
    <w:link w:val="CommentSubject"/>
    <w:rsid w:val="004A32EA"/>
    <w:rPr>
      <w:rFonts w:ascii="Palatino" w:hAnsi="Palatino"/>
      <w:b/>
      <w:bCs/>
    </w:rPr>
  </w:style>
  <w:style w:type="paragraph" w:customStyle="1" w:styleId="DoubleSpaceCharChar">
    <w:name w:val="Double Space Char Char"/>
    <w:basedOn w:val="Normal"/>
    <w:link w:val="DoubleSpaceCharCharChar"/>
    <w:rsid w:val="00CA5E0A"/>
    <w:pPr>
      <w:spacing w:after="240" w:line="480" w:lineRule="auto"/>
      <w:contextualSpacing/>
    </w:pPr>
    <w:rPr>
      <w:rFonts w:ascii="Times New Roman" w:hAnsi="Times New Roman"/>
      <w:sz w:val="24"/>
      <w:szCs w:val="24"/>
    </w:rPr>
  </w:style>
  <w:style w:type="character" w:customStyle="1" w:styleId="DoubleSpaceCharCharChar">
    <w:name w:val="Double Space Char Char Char"/>
    <w:link w:val="DoubleSpaceCharChar"/>
    <w:rsid w:val="00CA5E0A"/>
    <w:rPr>
      <w:sz w:val="24"/>
      <w:szCs w:val="24"/>
    </w:rPr>
  </w:style>
  <w:style w:type="character" w:styleId="Emphasis">
    <w:name w:val="Emphasis"/>
    <w:qFormat/>
    <w:rsid w:val="00DB7B4E"/>
    <w:rPr>
      <w:i/>
      <w:iCs/>
    </w:rPr>
  </w:style>
  <w:style w:type="paragraph" w:styleId="Revision">
    <w:name w:val="Revision"/>
    <w:hidden/>
    <w:uiPriority w:val="99"/>
    <w:semiHidden/>
    <w:rsid w:val="00292BE6"/>
    <w:rPr>
      <w:rFonts w:ascii="Palatino" w:hAnsi="Palatino"/>
      <w:sz w:val="26"/>
    </w:rPr>
  </w:style>
  <w:style w:type="paragraph" w:styleId="Caption">
    <w:name w:val="caption"/>
    <w:basedOn w:val="Normal"/>
    <w:next w:val="Normal"/>
    <w:unhideWhenUsed/>
    <w:qFormat/>
    <w:rsid w:val="005C193C"/>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667569">
      <w:bodyDiv w:val="1"/>
      <w:marLeft w:val="0"/>
      <w:marRight w:val="0"/>
      <w:marTop w:val="0"/>
      <w:marBottom w:val="0"/>
      <w:divBdr>
        <w:top w:val="none" w:sz="0" w:space="0" w:color="auto"/>
        <w:left w:val="none" w:sz="0" w:space="0" w:color="auto"/>
        <w:bottom w:val="none" w:sz="0" w:space="0" w:color="auto"/>
        <w:right w:val="none" w:sz="0" w:space="0" w:color="auto"/>
      </w:divBdr>
    </w:div>
    <w:div w:id="100462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cpuc.ca.gov/PUC/energy/CHP/settlement.htm" TargetMode="External"/><Relationship Id="rId1" Type="http://schemas.openxmlformats.org/officeDocument/2006/relationships/hyperlink" Target="http://www2.sdge.com/sr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4162</Words>
  <Characters>23727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27834</CharactersWithSpaces>
  <SharedDoc>false</SharedDoc>
  <HyperlinkBase> </HyperlinkBase>
  <HLinks>
    <vt:vector size="12" baseType="variant">
      <vt:variant>
        <vt:i4>2031696</vt:i4>
      </vt:variant>
      <vt:variant>
        <vt:i4>3</vt:i4>
      </vt:variant>
      <vt:variant>
        <vt:i4>0</vt:i4>
      </vt:variant>
      <vt:variant>
        <vt:i4>5</vt:i4>
      </vt:variant>
      <vt:variant>
        <vt:lpwstr>http://www.cpuc.ca.gov/PUC/energy/CHP/settlement.htm</vt:lpwstr>
      </vt:variant>
      <vt:variant>
        <vt:lpwstr/>
      </vt:variant>
      <vt:variant>
        <vt:i4>3604519</vt:i4>
      </vt:variant>
      <vt:variant>
        <vt:i4>0</vt:i4>
      </vt:variant>
      <vt:variant>
        <vt:i4>0</vt:i4>
      </vt:variant>
      <vt:variant>
        <vt:i4>5</vt:i4>
      </vt:variant>
      <vt:variant>
        <vt:lpwstr>http://www2.sdge.com/srac/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2012-11-19T18:26:00Z</cp:lastPrinted>
  <dcterms:created xsi:type="dcterms:W3CDTF">2014-02-11T22:17:00Z</dcterms:created>
  <dcterms:modified xsi:type="dcterms:W3CDTF">2014-02-11T22:18:00Z</dcterms:modified>
  <cp:category> </cp:category>
  <cp:contentStatus> </cp:contentStatus>
</cp:coreProperties>
</file>