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FF9" w:rsidRDefault="00B836E9">
      <w:bookmarkStart w:id="0" w:name="_GoBack"/>
      <w:bookmarkEnd w:id="0"/>
      <w:r>
        <w:t>ALJ/RMD/sbf</w:t>
      </w:r>
      <w:r w:rsidR="00B30FF9">
        <w:tab/>
      </w:r>
      <w:r w:rsidR="00CB7A70">
        <w:rPr>
          <w:rFonts w:ascii="Helvetica" w:hAnsi="Helvetica"/>
          <w:b/>
          <w:sz w:val="32"/>
          <w:szCs w:val="32"/>
        </w:rPr>
        <w:t>PROPOSED DECISION</w:t>
      </w:r>
      <w:r>
        <w:tab/>
      </w:r>
      <w:r w:rsidR="0088608F">
        <w:t xml:space="preserve">       </w:t>
      </w:r>
      <w:r w:rsidR="00B30FF9">
        <w:t>Agenda ID #</w:t>
      </w:r>
      <w:r w:rsidR="001A718E">
        <w:t>12748</w:t>
      </w:r>
      <w:r w:rsidR="0088608F">
        <w:t xml:space="preserve"> (Rev. 1)</w:t>
      </w:r>
    </w:p>
    <w:p w:rsidR="00B30FF9" w:rsidRDefault="00B836E9">
      <w:r>
        <w:tab/>
      </w:r>
      <w:r>
        <w:tab/>
      </w:r>
      <w:r>
        <w:tab/>
      </w:r>
      <w:r>
        <w:tab/>
      </w:r>
      <w:r>
        <w:tab/>
      </w:r>
      <w:r>
        <w:tab/>
      </w:r>
      <w:r>
        <w:tab/>
      </w:r>
      <w:r>
        <w:tab/>
      </w:r>
      <w:r>
        <w:tab/>
      </w:r>
      <w:r>
        <w:tab/>
      </w:r>
      <w:r w:rsidR="0088608F">
        <w:t xml:space="preserve">    </w:t>
      </w:r>
      <w:r w:rsidR="0088608F">
        <w:tab/>
        <w:t xml:space="preserve"> </w:t>
      </w:r>
      <w:r>
        <w:t>Ratesetting</w:t>
      </w:r>
    </w:p>
    <w:p w:rsidR="00B30FF9" w:rsidRDefault="0043641F">
      <w:r>
        <w:tab/>
      </w:r>
      <w:r>
        <w:tab/>
      </w:r>
      <w:r>
        <w:tab/>
      </w:r>
      <w:r>
        <w:tab/>
      </w:r>
      <w:r>
        <w:tab/>
      </w:r>
      <w:r>
        <w:tab/>
      </w:r>
      <w:r>
        <w:tab/>
      </w:r>
      <w:r>
        <w:tab/>
      </w:r>
      <w:r>
        <w:tab/>
      </w:r>
      <w:r>
        <w:tab/>
        <w:t xml:space="preserve">    4/10/14  Item 5</w:t>
      </w:r>
    </w:p>
    <w:p w:rsidR="00B30FF9" w:rsidRPr="00B836E9" w:rsidRDefault="00B30FF9">
      <w:pPr>
        <w:suppressAutoHyphens/>
        <w:rPr>
          <w:sz w:val="20"/>
        </w:rPr>
      </w:pPr>
      <w:r>
        <w:t xml:space="preserve">Decision </w:t>
      </w:r>
      <w:r w:rsidR="00B836E9">
        <w:rPr>
          <w:b/>
          <w:u w:val="single"/>
        </w:rPr>
        <w:t>PROPOSED DECISION OF ALJ DEANGELIS</w:t>
      </w:r>
      <w:r w:rsidR="00B836E9">
        <w:t xml:space="preserve">  (Mailed </w:t>
      </w:r>
      <w:r w:rsidR="0054206C">
        <w:t>2/5</w:t>
      </w:r>
      <w:r w:rsidR="00F827DC">
        <w:t>/14</w:t>
      </w:r>
      <w:r w:rsidR="00B836E9">
        <w:t>)</w:t>
      </w:r>
    </w:p>
    <w:p w:rsidR="00B30FF9" w:rsidRDefault="00B30FF9"/>
    <w:p w:rsidR="00B30FF9" w:rsidRDefault="00B30FF9">
      <w:pPr>
        <w:rPr>
          <w:rFonts w:ascii="Helvetica" w:hAnsi="Helvetica"/>
          <w:b/>
          <w:bCs/>
          <w:sz w:val="24"/>
        </w:rPr>
      </w:pPr>
      <w:r>
        <w:rPr>
          <w:rFonts w:ascii="Helvetica" w:hAnsi="Helvetica"/>
          <w:b/>
          <w:bCs/>
          <w:sz w:val="24"/>
        </w:rPr>
        <w:t>BEFORE THE PUBLIC UTILITIES COMMISSION OF THE STATE OF CALIFORNIA</w:t>
      </w:r>
    </w:p>
    <w:p w:rsidR="00B30FF9" w:rsidRDefault="00B30FF9">
      <w:pPr>
        <w:suppressAutoHyphens/>
      </w:pPr>
    </w:p>
    <w:tbl>
      <w:tblPr>
        <w:tblW w:w="0" w:type="auto"/>
        <w:tblLayout w:type="fixed"/>
        <w:tblLook w:val="0000" w:firstRow="0" w:lastRow="0" w:firstColumn="0" w:lastColumn="0" w:noHBand="0" w:noVBand="0"/>
      </w:tblPr>
      <w:tblGrid>
        <w:gridCol w:w="5148"/>
        <w:gridCol w:w="4320"/>
      </w:tblGrid>
      <w:tr w:rsidR="00B30FF9">
        <w:tc>
          <w:tcPr>
            <w:tcW w:w="5148" w:type="dxa"/>
            <w:tcBorders>
              <w:bottom w:val="single" w:sz="6" w:space="0" w:color="auto"/>
              <w:right w:val="single" w:sz="6" w:space="0" w:color="auto"/>
            </w:tcBorders>
          </w:tcPr>
          <w:p w:rsidR="00B30FF9" w:rsidRDefault="00B836E9">
            <w:r w:rsidRPr="00B836E9">
              <w:t>Order Instituting Rulemaking on the Commission’s Own Motion to improve distribution level interconnection rules and regulations for certain classes of electric generators and electric storage resources.</w:t>
            </w:r>
          </w:p>
          <w:p w:rsidR="00B836E9" w:rsidRDefault="00B836E9"/>
        </w:tc>
        <w:tc>
          <w:tcPr>
            <w:tcW w:w="4320" w:type="dxa"/>
            <w:tcBorders>
              <w:left w:val="nil"/>
            </w:tcBorders>
          </w:tcPr>
          <w:p w:rsidR="0047280A" w:rsidRDefault="0047280A">
            <w:pPr>
              <w:jc w:val="center"/>
            </w:pPr>
          </w:p>
          <w:p w:rsidR="00B30FF9" w:rsidRDefault="00B836E9">
            <w:pPr>
              <w:jc w:val="center"/>
            </w:pPr>
            <w:r>
              <w:t>Rulemaking 11-09-011</w:t>
            </w:r>
          </w:p>
          <w:p w:rsidR="00B836E9" w:rsidRDefault="00B836E9">
            <w:pPr>
              <w:jc w:val="center"/>
            </w:pPr>
            <w:r>
              <w:t xml:space="preserve">(Filed </w:t>
            </w:r>
            <w:r w:rsidR="0047280A">
              <w:t>September 22, 2011)</w:t>
            </w:r>
          </w:p>
          <w:p w:rsidR="00B30FF9" w:rsidRDefault="00B30FF9">
            <w:pPr>
              <w:jc w:val="center"/>
            </w:pPr>
          </w:p>
          <w:p w:rsidR="00B30FF9" w:rsidRDefault="00B30FF9">
            <w:pPr>
              <w:jc w:val="center"/>
            </w:pPr>
          </w:p>
        </w:tc>
      </w:tr>
    </w:tbl>
    <w:p w:rsidR="00B30FF9" w:rsidRDefault="00B30FF9">
      <w:pPr>
        <w:suppressAutoHyphens/>
      </w:pPr>
    </w:p>
    <w:p w:rsidR="00B30FF9" w:rsidRDefault="00B30FF9">
      <w:pPr>
        <w:suppressAutoHyphens/>
      </w:pPr>
    </w:p>
    <w:p w:rsidR="0048509A" w:rsidRDefault="0047280A">
      <w:pPr>
        <w:pStyle w:val="main"/>
        <w:sectPr w:rsidR="0048509A">
          <w:headerReference w:type="even" r:id="rId8"/>
          <w:headerReference w:type="default" r:id="rId9"/>
          <w:footerReference w:type="even" r:id="rId10"/>
          <w:footerReference w:type="default" r:id="rId11"/>
          <w:headerReference w:type="first" r:id="rId12"/>
          <w:footerReference w:type="first" r:id="rId13"/>
          <w:pgSz w:w="12240" w:h="15840" w:code="1"/>
          <w:pgMar w:top="1152" w:right="1440" w:bottom="1440" w:left="1440" w:header="720" w:footer="720" w:gutter="0"/>
          <w:pgNumType w:start="1"/>
          <w:cols w:space="720"/>
          <w:titlePg/>
        </w:sectPr>
      </w:pPr>
      <w:bookmarkStart w:id="1" w:name="_Toc373325566"/>
      <w:bookmarkStart w:id="2" w:name="_Toc384806440"/>
      <w:r>
        <w:t>DECISION ADOPTING REVISIONS TO ELECTRIC TARIFF RULE 21 TO INCLUDE A DISTRIBUTION GROUP STUDY PROCESS AND ADDITIONAL TARIFF FORMS</w:t>
      </w:r>
      <w:bookmarkEnd w:id="1"/>
      <w:bookmarkEnd w:id="2"/>
    </w:p>
    <w:p w:rsidR="00BD5124" w:rsidRDefault="00BD5124" w:rsidP="00BD5124">
      <w:pPr>
        <w:pStyle w:val="TOC1"/>
      </w:pPr>
    </w:p>
    <w:p w:rsidR="003C3986" w:rsidRDefault="0097691D">
      <w:pPr>
        <w:pStyle w:val="TOC1"/>
        <w:rPr>
          <w:rFonts w:asciiTheme="minorHAnsi" w:eastAsiaTheme="minorEastAsia" w:hAnsiTheme="minorHAnsi" w:cstheme="minorBidi"/>
          <w:sz w:val="22"/>
          <w:szCs w:val="22"/>
        </w:rPr>
      </w:pPr>
      <w:r>
        <w:fldChar w:fldCharType="begin"/>
      </w:r>
      <w:r>
        <w:instrText xml:space="preserve"> TOC \h \z \t "Heading 1,2,Heading 2,3,Heading 3,4,Heading 4,5,Heading 5,6,main,1,mainex,1,dummy,1,Style Heading 1 + Before:  0 pt After:  0 pt Line spacing:  1.5 l...,1" </w:instrText>
      </w:r>
      <w:r>
        <w:fldChar w:fldCharType="separate"/>
      </w:r>
      <w:hyperlink w:anchor="_Toc384806440" w:history="1">
        <w:r w:rsidR="003C3986" w:rsidRPr="00BC678D">
          <w:rPr>
            <w:rStyle w:val="Hyperlink"/>
          </w:rPr>
          <w:t>DECISION ADOPTING REVISIONS TO ELECTRIC TARIFF RULE 21 TO INCLUDE A DISTRIBUTION GROUP STUDY PROCESS AND ADDITIONAL TARIFF FORMS</w:t>
        </w:r>
        <w:r w:rsidR="003C3986">
          <w:rPr>
            <w:webHidden/>
          </w:rPr>
          <w:tab/>
        </w:r>
        <w:r w:rsidR="003C3986">
          <w:rPr>
            <w:webHidden/>
          </w:rPr>
          <w:fldChar w:fldCharType="begin"/>
        </w:r>
        <w:r w:rsidR="003C3986">
          <w:rPr>
            <w:webHidden/>
          </w:rPr>
          <w:instrText xml:space="preserve"> PAGEREF _Toc384806440 \h </w:instrText>
        </w:r>
        <w:r w:rsidR="003C3986">
          <w:rPr>
            <w:webHidden/>
          </w:rPr>
        </w:r>
        <w:r w:rsidR="003C3986">
          <w:rPr>
            <w:webHidden/>
          </w:rPr>
          <w:fldChar w:fldCharType="separate"/>
        </w:r>
        <w:r w:rsidR="00E271F0">
          <w:rPr>
            <w:webHidden/>
          </w:rPr>
          <w:t>1</w:t>
        </w:r>
        <w:r w:rsidR="003C3986">
          <w:rPr>
            <w:webHidden/>
          </w:rPr>
          <w:fldChar w:fldCharType="end"/>
        </w:r>
      </w:hyperlink>
    </w:p>
    <w:p w:rsidR="003C3986" w:rsidRDefault="00D04D16">
      <w:pPr>
        <w:pStyle w:val="TOC2"/>
        <w:rPr>
          <w:rFonts w:asciiTheme="minorHAnsi" w:eastAsiaTheme="minorEastAsia" w:hAnsiTheme="minorHAnsi" w:cstheme="minorBidi"/>
          <w:sz w:val="22"/>
          <w:szCs w:val="22"/>
        </w:rPr>
      </w:pPr>
      <w:hyperlink w:anchor="_Toc384806441" w:history="1">
        <w:r w:rsidR="003C3986" w:rsidRPr="00BC678D">
          <w:rPr>
            <w:rStyle w:val="Hyperlink"/>
          </w:rPr>
          <w:t>1.</w:t>
        </w:r>
        <w:r w:rsidR="003C3986">
          <w:rPr>
            <w:rFonts w:asciiTheme="minorHAnsi" w:eastAsiaTheme="minorEastAsia" w:hAnsiTheme="minorHAnsi" w:cstheme="minorBidi"/>
            <w:sz w:val="22"/>
            <w:szCs w:val="22"/>
          </w:rPr>
          <w:tab/>
        </w:r>
        <w:r w:rsidR="003C3986" w:rsidRPr="00BC678D">
          <w:rPr>
            <w:rStyle w:val="Hyperlink"/>
          </w:rPr>
          <w:t>Summary</w:t>
        </w:r>
        <w:r w:rsidR="003C3986">
          <w:rPr>
            <w:webHidden/>
          </w:rPr>
          <w:tab/>
        </w:r>
        <w:r w:rsidR="003C3986">
          <w:rPr>
            <w:webHidden/>
          </w:rPr>
          <w:fldChar w:fldCharType="begin"/>
        </w:r>
        <w:r w:rsidR="003C3986">
          <w:rPr>
            <w:webHidden/>
          </w:rPr>
          <w:instrText xml:space="preserve"> PAGEREF _Toc384806441 \h </w:instrText>
        </w:r>
        <w:r w:rsidR="003C3986">
          <w:rPr>
            <w:webHidden/>
          </w:rPr>
        </w:r>
        <w:r w:rsidR="003C3986">
          <w:rPr>
            <w:webHidden/>
          </w:rPr>
          <w:fldChar w:fldCharType="separate"/>
        </w:r>
        <w:r w:rsidR="00E271F0">
          <w:rPr>
            <w:webHidden/>
          </w:rPr>
          <w:t>2</w:t>
        </w:r>
        <w:r w:rsidR="003C3986">
          <w:rPr>
            <w:webHidden/>
          </w:rPr>
          <w:fldChar w:fldCharType="end"/>
        </w:r>
      </w:hyperlink>
    </w:p>
    <w:p w:rsidR="003C3986" w:rsidRDefault="00D04D16">
      <w:pPr>
        <w:pStyle w:val="TOC2"/>
        <w:rPr>
          <w:rFonts w:asciiTheme="minorHAnsi" w:eastAsiaTheme="minorEastAsia" w:hAnsiTheme="minorHAnsi" w:cstheme="minorBidi"/>
          <w:sz w:val="22"/>
          <w:szCs w:val="22"/>
        </w:rPr>
      </w:pPr>
      <w:hyperlink w:anchor="_Toc384806442" w:history="1">
        <w:r w:rsidR="003C3986" w:rsidRPr="00BC678D">
          <w:rPr>
            <w:rStyle w:val="Hyperlink"/>
          </w:rPr>
          <w:t>2.</w:t>
        </w:r>
        <w:r w:rsidR="003C3986">
          <w:rPr>
            <w:rFonts w:asciiTheme="minorHAnsi" w:eastAsiaTheme="minorEastAsia" w:hAnsiTheme="minorHAnsi" w:cstheme="minorBidi"/>
            <w:sz w:val="22"/>
            <w:szCs w:val="22"/>
          </w:rPr>
          <w:tab/>
        </w:r>
        <w:r w:rsidR="003C3986" w:rsidRPr="00BC678D">
          <w:rPr>
            <w:rStyle w:val="Hyperlink"/>
          </w:rPr>
          <w:t>Distribution Group Study Process</w:t>
        </w:r>
        <w:r w:rsidR="003C3986">
          <w:rPr>
            <w:webHidden/>
          </w:rPr>
          <w:tab/>
        </w:r>
        <w:r w:rsidR="003C3986">
          <w:rPr>
            <w:webHidden/>
          </w:rPr>
          <w:fldChar w:fldCharType="begin"/>
        </w:r>
        <w:r w:rsidR="003C3986">
          <w:rPr>
            <w:webHidden/>
          </w:rPr>
          <w:instrText xml:space="preserve"> PAGEREF _Toc384806442 \h </w:instrText>
        </w:r>
        <w:r w:rsidR="003C3986">
          <w:rPr>
            <w:webHidden/>
          </w:rPr>
        </w:r>
        <w:r w:rsidR="003C3986">
          <w:rPr>
            <w:webHidden/>
          </w:rPr>
          <w:fldChar w:fldCharType="separate"/>
        </w:r>
        <w:r w:rsidR="00E271F0">
          <w:rPr>
            <w:webHidden/>
          </w:rPr>
          <w:t>3</w:t>
        </w:r>
        <w:r w:rsidR="003C3986">
          <w:rPr>
            <w:webHidden/>
          </w:rPr>
          <w:fldChar w:fldCharType="end"/>
        </w:r>
      </w:hyperlink>
    </w:p>
    <w:p w:rsidR="003C3986" w:rsidRDefault="00D04D16">
      <w:pPr>
        <w:pStyle w:val="TOC3"/>
        <w:rPr>
          <w:rFonts w:asciiTheme="minorHAnsi" w:eastAsiaTheme="minorEastAsia" w:hAnsiTheme="minorHAnsi" w:cstheme="minorBidi"/>
          <w:sz w:val="22"/>
          <w:szCs w:val="22"/>
        </w:rPr>
      </w:pPr>
      <w:hyperlink w:anchor="_Toc384806443" w:history="1">
        <w:r w:rsidR="003C3986" w:rsidRPr="00BC678D">
          <w:rPr>
            <w:rStyle w:val="Hyperlink"/>
          </w:rPr>
          <w:t>2.1.</w:t>
        </w:r>
        <w:r w:rsidR="003C3986">
          <w:rPr>
            <w:rFonts w:asciiTheme="minorHAnsi" w:eastAsiaTheme="minorEastAsia" w:hAnsiTheme="minorHAnsi" w:cstheme="minorBidi"/>
            <w:sz w:val="22"/>
            <w:szCs w:val="22"/>
          </w:rPr>
          <w:tab/>
        </w:r>
        <w:r w:rsidR="003C3986" w:rsidRPr="00BC678D">
          <w:rPr>
            <w:rStyle w:val="Hyperlink"/>
          </w:rPr>
          <w:t>Procedural Background</w:t>
        </w:r>
        <w:r w:rsidR="003C3986">
          <w:rPr>
            <w:webHidden/>
          </w:rPr>
          <w:tab/>
        </w:r>
        <w:r w:rsidR="003C3986">
          <w:rPr>
            <w:webHidden/>
          </w:rPr>
          <w:fldChar w:fldCharType="begin"/>
        </w:r>
        <w:r w:rsidR="003C3986">
          <w:rPr>
            <w:webHidden/>
          </w:rPr>
          <w:instrText xml:space="preserve"> PAGEREF _Toc384806443 \h </w:instrText>
        </w:r>
        <w:r w:rsidR="003C3986">
          <w:rPr>
            <w:webHidden/>
          </w:rPr>
        </w:r>
        <w:r w:rsidR="003C3986">
          <w:rPr>
            <w:webHidden/>
          </w:rPr>
          <w:fldChar w:fldCharType="separate"/>
        </w:r>
        <w:r w:rsidR="00E271F0">
          <w:rPr>
            <w:webHidden/>
          </w:rPr>
          <w:t>5</w:t>
        </w:r>
        <w:r w:rsidR="003C3986">
          <w:rPr>
            <w:webHidden/>
          </w:rPr>
          <w:fldChar w:fldCharType="end"/>
        </w:r>
      </w:hyperlink>
    </w:p>
    <w:p w:rsidR="003C3986" w:rsidRDefault="00D04D16">
      <w:pPr>
        <w:pStyle w:val="TOC3"/>
        <w:rPr>
          <w:rFonts w:asciiTheme="minorHAnsi" w:eastAsiaTheme="minorEastAsia" w:hAnsiTheme="minorHAnsi" w:cstheme="minorBidi"/>
          <w:sz w:val="22"/>
          <w:szCs w:val="22"/>
        </w:rPr>
      </w:pPr>
      <w:hyperlink w:anchor="_Toc384806444" w:history="1">
        <w:r w:rsidR="003C3986" w:rsidRPr="00BC678D">
          <w:rPr>
            <w:rStyle w:val="Hyperlink"/>
          </w:rPr>
          <w:t>2.2.</w:t>
        </w:r>
        <w:r w:rsidR="003C3986">
          <w:rPr>
            <w:rFonts w:asciiTheme="minorHAnsi" w:eastAsiaTheme="minorEastAsia" w:hAnsiTheme="minorHAnsi" w:cstheme="minorBidi"/>
            <w:sz w:val="22"/>
            <w:szCs w:val="22"/>
          </w:rPr>
          <w:tab/>
        </w:r>
        <w:r w:rsidR="003C3986" w:rsidRPr="00BC678D">
          <w:rPr>
            <w:rStyle w:val="Hyperlink"/>
          </w:rPr>
          <w:t>Goals</w:t>
        </w:r>
        <w:r w:rsidR="003C3986">
          <w:rPr>
            <w:webHidden/>
          </w:rPr>
          <w:tab/>
        </w:r>
        <w:r w:rsidR="003C3986">
          <w:rPr>
            <w:webHidden/>
          </w:rPr>
          <w:fldChar w:fldCharType="begin"/>
        </w:r>
        <w:r w:rsidR="003C3986">
          <w:rPr>
            <w:webHidden/>
          </w:rPr>
          <w:instrText xml:space="preserve"> PAGEREF _Toc384806444 \h </w:instrText>
        </w:r>
        <w:r w:rsidR="003C3986">
          <w:rPr>
            <w:webHidden/>
          </w:rPr>
        </w:r>
        <w:r w:rsidR="003C3986">
          <w:rPr>
            <w:webHidden/>
          </w:rPr>
          <w:fldChar w:fldCharType="separate"/>
        </w:r>
        <w:r w:rsidR="00E271F0">
          <w:rPr>
            <w:webHidden/>
          </w:rPr>
          <w:t>7</w:t>
        </w:r>
        <w:r w:rsidR="003C3986">
          <w:rPr>
            <w:webHidden/>
          </w:rPr>
          <w:fldChar w:fldCharType="end"/>
        </w:r>
      </w:hyperlink>
    </w:p>
    <w:p w:rsidR="003C3986" w:rsidRDefault="00D04D16">
      <w:pPr>
        <w:pStyle w:val="TOC3"/>
        <w:rPr>
          <w:rFonts w:asciiTheme="minorHAnsi" w:eastAsiaTheme="minorEastAsia" w:hAnsiTheme="minorHAnsi" w:cstheme="minorBidi"/>
          <w:sz w:val="22"/>
          <w:szCs w:val="22"/>
        </w:rPr>
      </w:pPr>
      <w:hyperlink w:anchor="_Toc384806445" w:history="1">
        <w:r w:rsidR="003C3986" w:rsidRPr="00BC678D">
          <w:rPr>
            <w:rStyle w:val="Hyperlink"/>
          </w:rPr>
          <w:t>2.3.</w:t>
        </w:r>
        <w:r w:rsidR="003C3986">
          <w:rPr>
            <w:rFonts w:asciiTheme="minorHAnsi" w:eastAsiaTheme="minorEastAsia" w:hAnsiTheme="minorHAnsi" w:cstheme="minorBidi"/>
            <w:sz w:val="22"/>
            <w:szCs w:val="22"/>
          </w:rPr>
          <w:tab/>
        </w:r>
        <w:r w:rsidR="003C3986" w:rsidRPr="00BC678D">
          <w:rPr>
            <w:rStyle w:val="Hyperlink"/>
          </w:rPr>
          <w:t>Utilities’ Proposals</w:t>
        </w:r>
        <w:r w:rsidR="003C3986">
          <w:rPr>
            <w:webHidden/>
          </w:rPr>
          <w:tab/>
        </w:r>
        <w:r w:rsidR="003C3986">
          <w:rPr>
            <w:webHidden/>
          </w:rPr>
          <w:fldChar w:fldCharType="begin"/>
        </w:r>
        <w:r w:rsidR="003C3986">
          <w:rPr>
            <w:webHidden/>
          </w:rPr>
          <w:instrText xml:space="preserve"> PAGEREF _Toc384806445 \h </w:instrText>
        </w:r>
        <w:r w:rsidR="003C3986">
          <w:rPr>
            <w:webHidden/>
          </w:rPr>
        </w:r>
        <w:r w:rsidR="003C3986">
          <w:rPr>
            <w:webHidden/>
          </w:rPr>
          <w:fldChar w:fldCharType="separate"/>
        </w:r>
        <w:r w:rsidR="00E271F0">
          <w:rPr>
            <w:webHidden/>
          </w:rPr>
          <w:t>7</w:t>
        </w:r>
        <w:r w:rsidR="003C3986">
          <w:rPr>
            <w:webHidden/>
          </w:rPr>
          <w:fldChar w:fldCharType="end"/>
        </w:r>
      </w:hyperlink>
    </w:p>
    <w:p w:rsidR="003C3986" w:rsidRDefault="00D04D16" w:rsidP="00E272A7">
      <w:pPr>
        <w:pStyle w:val="TOC4"/>
        <w:tabs>
          <w:tab w:val="clear" w:pos="9270"/>
          <w:tab w:val="right" w:leader="dot" w:pos="9360"/>
        </w:tabs>
        <w:rPr>
          <w:rFonts w:asciiTheme="minorHAnsi" w:eastAsiaTheme="minorEastAsia" w:hAnsiTheme="minorHAnsi" w:cstheme="minorBidi"/>
          <w:sz w:val="22"/>
          <w:szCs w:val="22"/>
        </w:rPr>
      </w:pPr>
      <w:hyperlink w:anchor="_Toc384806446" w:history="1">
        <w:r w:rsidR="003C3986" w:rsidRPr="00BC678D">
          <w:rPr>
            <w:rStyle w:val="Hyperlink"/>
          </w:rPr>
          <w:t>2.3.1.</w:t>
        </w:r>
        <w:r w:rsidR="003C3986">
          <w:rPr>
            <w:rFonts w:asciiTheme="minorHAnsi" w:eastAsiaTheme="minorEastAsia" w:hAnsiTheme="minorHAnsi" w:cstheme="minorBidi"/>
            <w:sz w:val="22"/>
            <w:szCs w:val="22"/>
          </w:rPr>
          <w:tab/>
        </w:r>
        <w:r w:rsidR="003C3986" w:rsidRPr="00BC678D">
          <w:rPr>
            <w:rStyle w:val="Hyperlink"/>
          </w:rPr>
          <w:t>PG&amp;E</w:t>
        </w:r>
        <w:r w:rsidR="003C3986">
          <w:rPr>
            <w:webHidden/>
          </w:rPr>
          <w:tab/>
        </w:r>
        <w:r w:rsidR="003C3986">
          <w:rPr>
            <w:webHidden/>
          </w:rPr>
          <w:fldChar w:fldCharType="begin"/>
        </w:r>
        <w:r w:rsidR="003C3986">
          <w:rPr>
            <w:webHidden/>
          </w:rPr>
          <w:instrText xml:space="preserve"> PAGEREF _Toc384806446 \h </w:instrText>
        </w:r>
        <w:r w:rsidR="003C3986">
          <w:rPr>
            <w:webHidden/>
          </w:rPr>
        </w:r>
        <w:r w:rsidR="003C3986">
          <w:rPr>
            <w:webHidden/>
          </w:rPr>
          <w:fldChar w:fldCharType="separate"/>
        </w:r>
        <w:r w:rsidR="00E271F0">
          <w:rPr>
            <w:webHidden/>
          </w:rPr>
          <w:t>7</w:t>
        </w:r>
        <w:r w:rsidR="003C3986">
          <w:rPr>
            <w:webHidden/>
          </w:rPr>
          <w:fldChar w:fldCharType="end"/>
        </w:r>
      </w:hyperlink>
    </w:p>
    <w:p w:rsidR="003C3986" w:rsidRDefault="00D04D16" w:rsidP="00E272A7">
      <w:pPr>
        <w:pStyle w:val="TOC4"/>
        <w:tabs>
          <w:tab w:val="clear" w:pos="9270"/>
          <w:tab w:val="right" w:leader="dot" w:pos="9360"/>
        </w:tabs>
        <w:rPr>
          <w:rFonts w:asciiTheme="minorHAnsi" w:eastAsiaTheme="minorEastAsia" w:hAnsiTheme="minorHAnsi" w:cstheme="minorBidi"/>
          <w:sz w:val="22"/>
          <w:szCs w:val="22"/>
        </w:rPr>
      </w:pPr>
      <w:hyperlink w:anchor="_Toc384806447" w:history="1">
        <w:r w:rsidR="003C3986" w:rsidRPr="00BC678D">
          <w:rPr>
            <w:rStyle w:val="Hyperlink"/>
          </w:rPr>
          <w:t>2.3.2.</w:t>
        </w:r>
        <w:r w:rsidR="003C3986">
          <w:rPr>
            <w:rFonts w:asciiTheme="minorHAnsi" w:eastAsiaTheme="minorEastAsia" w:hAnsiTheme="minorHAnsi" w:cstheme="minorBidi"/>
            <w:sz w:val="22"/>
            <w:szCs w:val="22"/>
          </w:rPr>
          <w:tab/>
        </w:r>
        <w:r w:rsidR="003C3986" w:rsidRPr="00BC678D">
          <w:rPr>
            <w:rStyle w:val="Hyperlink"/>
          </w:rPr>
          <w:t>SDG&amp;E</w:t>
        </w:r>
        <w:r w:rsidR="003C3986">
          <w:rPr>
            <w:webHidden/>
          </w:rPr>
          <w:tab/>
        </w:r>
        <w:r w:rsidR="003C3986">
          <w:rPr>
            <w:webHidden/>
          </w:rPr>
          <w:fldChar w:fldCharType="begin"/>
        </w:r>
        <w:r w:rsidR="003C3986">
          <w:rPr>
            <w:webHidden/>
          </w:rPr>
          <w:instrText xml:space="preserve"> PAGEREF _Toc384806447 \h </w:instrText>
        </w:r>
        <w:r w:rsidR="003C3986">
          <w:rPr>
            <w:webHidden/>
          </w:rPr>
        </w:r>
        <w:r w:rsidR="003C3986">
          <w:rPr>
            <w:webHidden/>
          </w:rPr>
          <w:fldChar w:fldCharType="separate"/>
        </w:r>
        <w:r w:rsidR="00E271F0">
          <w:rPr>
            <w:webHidden/>
          </w:rPr>
          <w:t>10</w:t>
        </w:r>
        <w:r w:rsidR="003C3986">
          <w:rPr>
            <w:webHidden/>
          </w:rPr>
          <w:fldChar w:fldCharType="end"/>
        </w:r>
      </w:hyperlink>
    </w:p>
    <w:p w:rsidR="003C3986" w:rsidRDefault="00D04D16" w:rsidP="00E272A7">
      <w:pPr>
        <w:pStyle w:val="TOC4"/>
        <w:tabs>
          <w:tab w:val="clear" w:pos="9270"/>
          <w:tab w:val="right" w:leader="dot" w:pos="9360"/>
        </w:tabs>
        <w:rPr>
          <w:rFonts w:asciiTheme="minorHAnsi" w:eastAsiaTheme="minorEastAsia" w:hAnsiTheme="minorHAnsi" w:cstheme="minorBidi"/>
          <w:sz w:val="22"/>
          <w:szCs w:val="22"/>
        </w:rPr>
      </w:pPr>
      <w:hyperlink w:anchor="_Toc384806448" w:history="1">
        <w:r w:rsidR="003C3986" w:rsidRPr="00BC678D">
          <w:rPr>
            <w:rStyle w:val="Hyperlink"/>
          </w:rPr>
          <w:t>2.3.3.</w:t>
        </w:r>
        <w:r w:rsidR="003C3986">
          <w:rPr>
            <w:rFonts w:asciiTheme="minorHAnsi" w:eastAsiaTheme="minorEastAsia" w:hAnsiTheme="minorHAnsi" w:cstheme="minorBidi"/>
            <w:sz w:val="22"/>
            <w:szCs w:val="22"/>
          </w:rPr>
          <w:tab/>
        </w:r>
        <w:r w:rsidR="003C3986" w:rsidRPr="00BC678D">
          <w:rPr>
            <w:rStyle w:val="Hyperlink"/>
          </w:rPr>
          <w:t>SCE</w:t>
        </w:r>
        <w:r w:rsidR="003C3986">
          <w:rPr>
            <w:webHidden/>
          </w:rPr>
          <w:tab/>
        </w:r>
        <w:r w:rsidR="003C3986">
          <w:rPr>
            <w:webHidden/>
          </w:rPr>
          <w:fldChar w:fldCharType="begin"/>
        </w:r>
        <w:r w:rsidR="003C3986">
          <w:rPr>
            <w:webHidden/>
          </w:rPr>
          <w:instrText xml:space="preserve"> PAGEREF _Toc384806448 \h </w:instrText>
        </w:r>
        <w:r w:rsidR="003C3986">
          <w:rPr>
            <w:webHidden/>
          </w:rPr>
        </w:r>
        <w:r w:rsidR="003C3986">
          <w:rPr>
            <w:webHidden/>
          </w:rPr>
          <w:fldChar w:fldCharType="separate"/>
        </w:r>
        <w:r w:rsidR="00E271F0">
          <w:rPr>
            <w:webHidden/>
          </w:rPr>
          <w:t>11</w:t>
        </w:r>
        <w:r w:rsidR="003C3986">
          <w:rPr>
            <w:webHidden/>
          </w:rPr>
          <w:fldChar w:fldCharType="end"/>
        </w:r>
      </w:hyperlink>
    </w:p>
    <w:p w:rsidR="003C3986" w:rsidRDefault="00D04D16">
      <w:pPr>
        <w:pStyle w:val="TOC3"/>
        <w:rPr>
          <w:rFonts w:asciiTheme="minorHAnsi" w:eastAsiaTheme="minorEastAsia" w:hAnsiTheme="minorHAnsi" w:cstheme="minorBidi"/>
          <w:sz w:val="22"/>
          <w:szCs w:val="22"/>
        </w:rPr>
      </w:pPr>
      <w:hyperlink w:anchor="_Toc384806449" w:history="1">
        <w:r w:rsidR="003C3986" w:rsidRPr="00BC678D">
          <w:rPr>
            <w:rStyle w:val="Hyperlink"/>
          </w:rPr>
          <w:t>2.4.</w:t>
        </w:r>
        <w:r w:rsidR="003C3986">
          <w:rPr>
            <w:rFonts w:asciiTheme="minorHAnsi" w:eastAsiaTheme="minorEastAsia" w:hAnsiTheme="minorHAnsi" w:cstheme="minorBidi"/>
            <w:sz w:val="22"/>
            <w:szCs w:val="22"/>
          </w:rPr>
          <w:tab/>
        </w:r>
        <w:r w:rsidR="003C3986" w:rsidRPr="00BC678D">
          <w:rPr>
            <w:rStyle w:val="Hyperlink"/>
          </w:rPr>
          <w:t>Distribution Group Study Process Furthers Commission Goals</w:t>
        </w:r>
        <w:r w:rsidR="003C3986">
          <w:rPr>
            <w:webHidden/>
          </w:rPr>
          <w:tab/>
        </w:r>
        <w:r w:rsidR="003C3986">
          <w:rPr>
            <w:webHidden/>
          </w:rPr>
          <w:fldChar w:fldCharType="begin"/>
        </w:r>
        <w:r w:rsidR="003C3986">
          <w:rPr>
            <w:webHidden/>
          </w:rPr>
          <w:instrText xml:space="preserve"> PAGEREF _Toc384806449 \h </w:instrText>
        </w:r>
        <w:r w:rsidR="003C3986">
          <w:rPr>
            <w:webHidden/>
          </w:rPr>
        </w:r>
        <w:r w:rsidR="003C3986">
          <w:rPr>
            <w:webHidden/>
          </w:rPr>
          <w:fldChar w:fldCharType="separate"/>
        </w:r>
        <w:r w:rsidR="00E271F0">
          <w:rPr>
            <w:webHidden/>
          </w:rPr>
          <w:t>11</w:t>
        </w:r>
        <w:r w:rsidR="003C3986">
          <w:rPr>
            <w:webHidden/>
          </w:rPr>
          <w:fldChar w:fldCharType="end"/>
        </w:r>
      </w:hyperlink>
    </w:p>
    <w:p w:rsidR="003C3986" w:rsidRDefault="00D04D16">
      <w:pPr>
        <w:pStyle w:val="TOC3"/>
        <w:rPr>
          <w:rFonts w:asciiTheme="minorHAnsi" w:eastAsiaTheme="minorEastAsia" w:hAnsiTheme="minorHAnsi" w:cstheme="minorBidi"/>
          <w:sz w:val="22"/>
          <w:szCs w:val="22"/>
        </w:rPr>
      </w:pPr>
      <w:hyperlink w:anchor="_Toc384806450" w:history="1">
        <w:r w:rsidR="003C3986" w:rsidRPr="00BC678D">
          <w:rPr>
            <w:rStyle w:val="Hyperlink"/>
          </w:rPr>
          <w:t>2.5.</w:t>
        </w:r>
        <w:r w:rsidR="003C3986">
          <w:rPr>
            <w:rFonts w:asciiTheme="minorHAnsi" w:eastAsiaTheme="minorEastAsia" w:hAnsiTheme="minorHAnsi" w:cstheme="minorBidi"/>
            <w:sz w:val="22"/>
            <w:szCs w:val="22"/>
          </w:rPr>
          <w:tab/>
        </w:r>
        <w:r w:rsidR="003C3986" w:rsidRPr="00BC678D">
          <w:rPr>
            <w:rStyle w:val="Hyperlink"/>
          </w:rPr>
          <w:t>Application Process and Open Windows</w:t>
        </w:r>
        <w:r w:rsidR="003C3986">
          <w:rPr>
            <w:webHidden/>
          </w:rPr>
          <w:tab/>
        </w:r>
        <w:r w:rsidR="003C3986">
          <w:rPr>
            <w:webHidden/>
          </w:rPr>
          <w:fldChar w:fldCharType="begin"/>
        </w:r>
        <w:r w:rsidR="003C3986">
          <w:rPr>
            <w:webHidden/>
          </w:rPr>
          <w:instrText xml:space="preserve"> PAGEREF _Toc384806450 \h </w:instrText>
        </w:r>
        <w:r w:rsidR="003C3986">
          <w:rPr>
            <w:webHidden/>
          </w:rPr>
        </w:r>
        <w:r w:rsidR="003C3986">
          <w:rPr>
            <w:webHidden/>
          </w:rPr>
          <w:fldChar w:fldCharType="separate"/>
        </w:r>
        <w:r w:rsidR="00E271F0">
          <w:rPr>
            <w:webHidden/>
          </w:rPr>
          <w:t>13</w:t>
        </w:r>
        <w:r w:rsidR="003C3986">
          <w:rPr>
            <w:webHidden/>
          </w:rPr>
          <w:fldChar w:fldCharType="end"/>
        </w:r>
      </w:hyperlink>
    </w:p>
    <w:p w:rsidR="003C3986" w:rsidRDefault="00D04D16">
      <w:pPr>
        <w:pStyle w:val="TOC3"/>
        <w:rPr>
          <w:rFonts w:asciiTheme="minorHAnsi" w:eastAsiaTheme="minorEastAsia" w:hAnsiTheme="minorHAnsi" w:cstheme="minorBidi"/>
          <w:sz w:val="22"/>
          <w:szCs w:val="22"/>
        </w:rPr>
      </w:pPr>
      <w:hyperlink w:anchor="_Toc384806451" w:history="1">
        <w:r w:rsidR="003C3986" w:rsidRPr="00BC678D">
          <w:rPr>
            <w:rStyle w:val="Hyperlink"/>
          </w:rPr>
          <w:t>2.6.</w:t>
        </w:r>
        <w:r w:rsidR="003C3986">
          <w:rPr>
            <w:rFonts w:asciiTheme="minorHAnsi" w:eastAsiaTheme="minorEastAsia" w:hAnsiTheme="minorHAnsi" w:cstheme="minorBidi"/>
            <w:sz w:val="22"/>
            <w:szCs w:val="22"/>
          </w:rPr>
          <w:tab/>
        </w:r>
        <w:r w:rsidR="003C3986" w:rsidRPr="00BC678D">
          <w:rPr>
            <w:rStyle w:val="Hyperlink"/>
          </w:rPr>
          <w:t>Extensions to Study Timelines</w:t>
        </w:r>
        <w:r w:rsidR="003C3986">
          <w:rPr>
            <w:webHidden/>
          </w:rPr>
          <w:tab/>
        </w:r>
        <w:r w:rsidR="003C3986">
          <w:rPr>
            <w:webHidden/>
          </w:rPr>
          <w:fldChar w:fldCharType="begin"/>
        </w:r>
        <w:r w:rsidR="003C3986">
          <w:rPr>
            <w:webHidden/>
          </w:rPr>
          <w:instrText xml:space="preserve"> PAGEREF _Toc384806451 \h </w:instrText>
        </w:r>
        <w:r w:rsidR="003C3986">
          <w:rPr>
            <w:webHidden/>
          </w:rPr>
        </w:r>
        <w:r w:rsidR="003C3986">
          <w:rPr>
            <w:webHidden/>
          </w:rPr>
          <w:fldChar w:fldCharType="separate"/>
        </w:r>
        <w:r w:rsidR="00E271F0">
          <w:rPr>
            <w:webHidden/>
          </w:rPr>
          <w:t>17</w:t>
        </w:r>
        <w:r w:rsidR="003C3986">
          <w:rPr>
            <w:webHidden/>
          </w:rPr>
          <w:fldChar w:fldCharType="end"/>
        </w:r>
      </w:hyperlink>
    </w:p>
    <w:p w:rsidR="003C3986" w:rsidRDefault="00D04D16">
      <w:pPr>
        <w:pStyle w:val="TOC3"/>
        <w:rPr>
          <w:rFonts w:asciiTheme="minorHAnsi" w:eastAsiaTheme="minorEastAsia" w:hAnsiTheme="minorHAnsi" w:cstheme="minorBidi"/>
          <w:sz w:val="22"/>
          <w:szCs w:val="22"/>
        </w:rPr>
      </w:pPr>
      <w:hyperlink w:anchor="_Toc384806452" w:history="1">
        <w:r w:rsidR="003C3986" w:rsidRPr="00BC678D">
          <w:rPr>
            <w:rStyle w:val="Hyperlink"/>
          </w:rPr>
          <w:t>2.7.</w:t>
        </w:r>
        <w:r w:rsidR="003C3986">
          <w:rPr>
            <w:rFonts w:asciiTheme="minorHAnsi" w:eastAsiaTheme="minorEastAsia" w:hAnsiTheme="minorHAnsi" w:cstheme="minorBidi"/>
            <w:sz w:val="22"/>
            <w:szCs w:val="22"/>
          </w:rPr>
          <w:tab/>
        </w:r>
        <w:r w:rsidR="003C3986" w:rsidRPr="00BC678D">
          <w:rPr>
            <w:rStyle w:val="Hyperlink"/>
          </w:rPr>
          <w:t>Electrical Interdependence</w:t>
        </w:r>
        <w:r w:rsidR="003C3986">
          <w:rPr>
            <w:webHidden/>
          </w:rPr>
          <w:tab/>
        </w:r>
        <w:r w:rsidR="003C3986">
          <w:rPr>
            <w:webHidden/>
          </w:rPr>
          <w:fldChar w:fldCharType="begin"/>
        </w:r>
        <w:r w:rsidR="003C3986">
          <w:rPr>
            <w:webHidden/>
          </w:rPr>
          <w:instrText xml:space="preserve"> PAGEREF _Toc384806452 \h </w:instrText>
        </w:r>
        <w:r w:rsidR="003C3986">
          <w:rPr>
            <w:webHidden/>
          </w:rPr>
        </w:r>
        <w:r w:rsidR="003C3986">
          <w:rPr>
            <w:webHidden/>
          </w:rPr>
          <w:fldChar w:fldCharType="separate"/>
        </w:r>
        <w:r w:rsidR="00E271F0">
          <w:rPr>
            <w:webHidden/>
          </w:rPr>
          <w:t>19</w:t>
        </w:r>
        <w:r w:rsidR="003C3986">
          <w:rPr>
            <w:webHidden/>
          </w:rPr>
          <w:fldChar w:fldCharType="end"/>
        </w:r>
      </w:hyperlink>
    </w:p>
    <w:p w:rsidR="003C3986" w:rsidRDefault="00D04D16">
      <w:pPr>
        <w:pStyle w:val="TOC3"/>
        <w:rPr>
          <w:rFonts w:asciiTheme="minorHAnsi" w:eastAsiaTheme="minorEastAsia" w:hAnsiTheme="minorHAnsi" w:cstheme="minorBidi"/>
          <w:sz w:val="22"/>
          <w:szCs w:val="22"/>
        </w:rPr>
      </w:pPr>
      <w:hyperlink w:anchor="_Toc384806453" w:history="1">
        <w:r w:rsidR="003C3986" w:rsidRPr="00BC678D">
          <w:rPr>
            <w:rStyle w:val="Hyperlink"/>
          </w:rPr>
          <w:t>2.8.</w:t>
        </w:r>
        <w:r w:rsidR="003C3986">
          <w:rPr>
            <w:rFonts w:asciiTheme="minorHAnsi" w:eastAsiaTheme="minorEastAsia" w:hAnsiTheme="minorHAnsi" w:cstheme="minorBidi"/>
            <w:sz w:val="22"/>
            <w:szCs w:val="22"/>
          </w:rPr>
          <w:tab/>
        </w:r>
        <w:r w:rsidR="003C3986" w:rsidRPr="00BC678D">
          <w:rPr>
            <w:rStyle w:val="Hyperlink"/>
          </w:rPr>
          <w:t>Cost Allocation, Deposits, and Restudy Timeline</w:t>
        </w:r>
        <w:r w:rsidR="003C3986">
          <w:rPr>
            <w:webHidden/>
          </w:rPr>
          <w:tab/>
        </w:r>
        <w:r w:rsidR="003C3986">
          <w:rPr>
            <w:webHidden/>
          </w:rPr>
          <w:fldChar w:fldCharType="begin"/>
        </w:r>
        <w:r w:rsidR="003C3986">
          <w:rPr>
            <w:webHidden/>
          </w:rPr>
          <w:instrText xml:space="preserve"> PAGEREF _Toc384806453 \h </w:instrText>
        </w:r>
        <w:r w:rsidR="003C3986">
          <w:rPr>
            <w:webHidden/>
          </w:rPr>
        </w:r>
        <w:r w:rsidR="003C3986">
          <w:rPr>
            <w:webHidden/>
          </w:rPr>
          <w:fldChar w:fldCharType="separate"/>
        </w:r>
        <w:r w:rsidR="00E271F0">
          <w:rPr>
            <w:webHidden/>
          </w:rPr>
          <w:t>22</w:t>
        </w:r>
        <w:r w:rsidR="003C3986">
          <w:rPr>
            <w:webHidden/>
          </w:rPr>
          <w:fldChar w:fldCharType="end"/>
        </w:r>
      </w:hyperlink>
    </w:p>
    <w:p w:rsidR="003C3986" w:rsidRDefault="00D04D16">
      <w:pPr>
        <w:pStyle w:val="TOC3"/>
        <w:rPr>
          <w:rFonts w:asciiTheme="minorHAnsi" w:eastAsiaTheme="minorEastAsia" w:hAnsiTheme="minorHAnsi" w:cstheme="minorBidi"/>
          <w:sz w:val="22"/>
          <w:szCs w:val="22"/>
        </w:rPr>
      </w:pPr>
      <w:hyperlink w:anchor="_Toc384806454" w:history="1">
        <w:r w:rsidR="003C3986" w:rsidRPr="00BC678D">
          <w:rPr>
            <w:rStyle w:val="Hyperlink"/>
          </w:rPr>
          <w:t>2.9.</w:t>
        </w:r>
        <w:r w:rsidR="003C3986">
          <w:rPr>
            <w:rFonts w:asciiTheme="minorHAnsi" w:eastAsiaTheme="minorEastAsia" w:hAnsiTheme="minorHAnsi" w:cstheme="minorBidi"/>
            <w:sz w:val="22"/>
            <w:szCs w:val="22"/>
          </w:rPr>
          <w:tab/>
        </w:r>
        <w:r w:rsidR="003C3986" w:rsidRPr="00BC678D">
          <w:rPr>
            <w:rStyle w:val="Hyperlink"/>
          </w:rPr>
          <w:t>Transition Plan and Tariff</w:t>
        </w:r>
        <w:r w:rsidR="003C3986">
          <w:rPr>
            <w:webHidden/>
          </w:rPr>
          <w:tab/>
        </w:r>
        <w:r w:rsidR="003C3986">
          <w:rPr>
            <w:webHidden/>
          </w:rPr>
          <w:fldChar w:fldCharType="begin"/>
        </w:r>
        <w:r w:rsidR="003C3986">
          <w:rPr>
            <w:webHidden/>
          </w:rPr>
          <w:instrText xml:space="preserve"> PAGEREF _Toc384806454 \h </w:instrText>
        </w:r>
        <w:r w:rsidR="003C3986">
          <w:rPr>
            <w:webHidden/>
          </w:rPr>
        </w:r>
        <w:r w:rsidR="003C3986">
          <w:rPr>
            <w:webHidden/>
          </w:rPr>
          <w:fldChar w:fldCharType="separate"/>
        </w:r>
        <w:r w:rsidR="00E271F0">
          <w:rPr>
            <w:webHidden/>
          </w:rPr>
          <w:t>25</w:t>
        </w:r>
        <w:r w:rsidR="003C3986">
          <w:rPr>
            <w:webHidden/>
          </w:rPr>
          <w:fldChar w:fldCharType="end"/>
        </w:r>
      </w:hyperlink>
    </w:p>
    <w:p w:rsidR="003C3986" w:rsidRDefault="00D04D16">
      <w:pPr>
        <w:pStyle w:val="TOC3"/>
        <w:rPr>
          <w:rFonts w:asciiTheme="minorHAnsi" w:eastAsiaTheme="minorEastAsia" w:hAnsiTheme="minorHAnsi" w:cstheme="minorBidi"/>
          <w:sz w:val="22"/>
          <w:szCs w:val="22"/>
        </w:rPr>
      </w:pPr>
      <w:hyperlink w:anchor="_Toc384806455" w:history="1">
        <w:r w:rsidR="003C3986" w:rsidRPr="00BC678D">
          <w:rPr>
            <w:rStyle w:val="Hyperlink"/>
          </w:rPr>
          <w:t>2.10.</w:t>
        </w:r>
        <w:r w:rsidR="003C3986">
          <w:rPr>
            <w:rFonts w:asciiTheme="minorHAnsi" w:eastAsiaTheme="minorEastAsia" w:hAnsiTheme="minorHAnsi" w:cstheme="minorBidi"/>
            <w:sz w:val="22"/>
            <w:szCs w:val="22"/>
          </w:rPr>
          <w:tab/>
        </w:r>
        <w:r w:rsidR="003C3986" w:rsidRPr="00BC678D">
          <w:rPr>
            <w:rStyle w:val="Hyperlink"/>
          </w:rPr>
          <w:t>Future Review</w:t>
        </w:r>
        <w:r w:rsidR="003C3986">
          <w:rPr>
            <w:webHidden/>
          </w:rPr>
          <w:tab/>
        </w:r>
        <w:r w:rsidR="003C3986">
          <w:rPr>
            <w:webHidden/>
          </w:rPr>
          <w:fldChar w:fldCharType="begin"/>
        </w:r>
        <w:r w:rsidR="003C3986">
          <w:rPr>
            <w:webHidden/>
          </w:rPr>
          <w:instrText xml:space="preserve"> PAGEREF _Toc384806455 \h </w:instrText>
        </w:r>
        <w:r w:rsidR="003C3986">
          <w:rPr>
            <w:webHidden/>
          </w:rPr>
        </w:r>
        <w:r w:rsidR="003C3986">
          <w:rPr>
            <w:webHidden/>
          </w:rPr>
          <w:fldChar w:fldCharType="separate"/>
        </w:r>
        <w:r w:rsidR="00E271F0">
          <w:rPr>
            <w:webHidden/>
          </w:rPr>
          <w:t>25</w:t>
        </w:r>
        <w:r w:rsidR="003C3986">
          <w:rPr>
            <w:webHidden/>
          </w:rPr>
          <w:fldChar w:fldCharType="end"/>
        </w:r>
      </w:hyperlink>
    </w:p>
    <w:p w:rsidR="003C3986" w:rsidRDefault="00D04D16">
      <w:pPr>
        <w:pStyle w:val="TOC2"/>
        <w:rPr>
          <w:rFonts w:asciiTheme="minorHAnsi" w:eastAsiaTheme="minorEastAsia" w:hAnsiTheme="minorHAnsi" w:cstheme="minorBidi"/>
          <w:sz w:val="22"/>
          <w:szCs w:val="22"/>
        </w:rPr>
      </w:pPr>
      <w:hyperlink w:anchor="_Toc384806456" w:history="1">
        <w:r w:rsidR="003C3986" w:rsidRPr="00BC678D">
          <w:rPr>
            <w:rStyle w:val="Hyperlink"/>
          </w:rPr>
          <w:t>3.</w:t>
        </w:r>
        <w:r w:rsidR="003C3986">
          <w:rPr>
            <w:rFonts w:asciiTheme="minorHAnsi" w:eastAsiaTheme="minorEastAsia" w:hAnsiTheme="minorHAnsi" w:cstheme="minorBidi"/>
            <w:sz w:val="22"/>
            <w:szCs w:val="22"/>
          </w:rPr>
          <w:tab/>
        </w:r>
        <w:r w:rsidR="003C3986" w:rsidRPr="00BC678D">
          <w:rPr>
            <w:rStyle w:val="Hyperlink"/>
          </w:rPr>
          <w:t>Rule 21 Standardized Agreement Forms</w:t>
        </w:r>
        <w:r w:rsidR="003C3986">
          <w:rPr>
            <w:webHidden/>
          </w:rPr>
          <w:tab/>
        </w:r>
        <w:r w:rsidR="003C3986">
          <w:rPr>
            <w:webHidden/>
          </w:rPr>
          <w:fldChar w:fldCharType="begin"/>
        </w:r>
        <w:r w:rsidR="003C3986">
          <w:rPr>
            <w:webHidden/>
          </w:rPr>
          <w:instrText xml:space="preserve"> PAGEREF _Toc384806456 \h </w:instrText>
        </w:r>
        <w:r w:rsidR="003C3986">
          <w:rPr>
            <w:webHidden/>
          </w:rPr>
        </w:r>
        <w:r w:rsidR="003C3986">
          <w:rPr>
            <w:webHidden/>
          </w:rPr>
          <w:fldChar w:fldCharType="separate"/>
        </w:r>
        <w:r w:rsidR="00E271F0">
          <w:rPr>
            <w:webHidden/>
          </w:rPr>
          <w:t>26</w:t>
        </w:r>
        <w:r w:rsidR="003C3986">
          <w:rPr>
            <w:webHidden/>
          </w:rPr>
          <w:fldChar w:fldCharType="end"/>
        </w:r>
      </w:hyperlink>
    </w:p>
    <w:p w:rsidR="003C3986" w:rsidRDefault="00D04D16">
      <w:pPr>
        <w:pStyle w:val="TOC3"/>
        <w:rPr>
          <w:rFonts w:asciiTheme="minorHAnsi" w:eastAsiaTheme="minorEastAsia" w:hAnsiTheme="minorHAnsi" w:cstheme="minorBidi"/>
          <w:sz w:val="22"/>
          <w:szCs w:val="22"/>
        </w:rPr>
      </w:pPr>
      <w:hyperlink w:anchor="_Toc384806457" w:history="1">
        <w:r w:rsidR="003C3986" w:rsidRPr="00BC678D">
          <w:rPr>
            <w:rStyle w:val="Hyperlink"/>
            <w:rFonts w:eastAsia="Calibri"/>
          </w:rPr>
          <w:t>3.1.</w:t>
        </w:r>
        <w:r w:rsidR="003C3986">
          <w:rPr>
            <w:rFonts w:asciiTheme="minorHAnsi" w:eastAsiaTheme="minorEastAsia" w:hAnsiTheme="minorHAnsi" w:cstheme="minorBidi"/>
            <w:sz w:val="22"/>
            <w:szCs w:val="22"/>
          </w:rPr>
          <w:tab/>
        </w:r>
        <w:r w:rsidR="003C3986" w:rsidRPr="00BC678D">
          <w:rPr>
            <w:rStyle w:val="Hyperlink"/>
            <w:rFonts w:eastAsia="Calibri"/>
          </w:rPr>
          <w:t>Procedural Background</w:t>
        </w:r>
        <w:r w:rsidR="003C3986">
          <w:rPr>
            <w:webHidden/>
          </w:rPr>
          <w:tab/>
        </w:r>
        <w:r w:rsidR="003C3986">
          <w:rPr>
            <w:webHidden/>
          </w:rPr>
          <w:fldChar w:fldCharType="begin"/>
        </w:r>
        <w:r w:rsidR="003C3986">
          <w:rPr>
            <w:webHidden/>
          </w:rPr>
          <w:instrText xml:space="preserve"> PAGEREF _Toc384806457 \h </w:instrText>
        </w:r>
        <w:r w:rsidR="003C3986">
          <w:rPr>
            <w:webHidden/>
          </w:rPr>
        </w:r>
        <w:r w:rsidR="003C3986">
          <w:rPr>
            <w:webHidden/>
          </w:rPr>
          <w:fldChar w:fldCharType="separate"/>
        </w:r>
        <w:r w:rsidR="00E271F0">
          <w:rPr>
            <w:webHidden/>
          </w:rPr>
          <w:t>27</w:t>
        </w:r>
        <w:r w:rsidR="003C3986">
          <w:rPr>
            <w:webHidden/>
          </w:rPr>
          <w:fldChar w:fldCharType="end"/>
        </w:r>
      </w:hyperlink>
    </w:p>
    <w:p w:rsidR="003C3986" w:rsidRDefault="00D04D16">
      <w:pPr>
        <w:pStyle w:val="TOC3"/>
        <w:rPr>
          <w:rFonts w:asciiTheme="minorHAnsi" w:eastAsiaTheme="minorEastAsia" w:hAnsiTheme="minorHAnsi" w:cstheme="minorBidi"/>
          <w:sz w:val="22"/>
          <w:szCs w:val="22"/>
        </w:rPr>
      </w:pPr>
      <w:hyperlink w:anchor="_Toc384806458" w:history="1">
        <w:r w:rsidR="003C3986" w:rsidRPr="00BC678D">
          <w:rPr>
            <w:rStyle w:val="Hyperlink"/>
            <w:rFonts w:eastAsia="Calibri"/>
          </w:rPr>
          <w:t>3.2.</w:t>
        </w:r>
        <w:r w:rsidR="003C3986">
          <w:rPr>
            <w:rFonts w:asciiTheme="minorHAnsi" w:eastAsiaTheme="minorEastAsia" w:hAnsiTheme="minorHAnsi" w:cstheme="minorBidi"/>
            <w:sz w:val="22"/>
            <w:szCs w:val="22"/>
          </w:rPr>
          <w:tab/>
        </w:r>
        <w:r w:rsidR="003C3986" w:rsidRPr="00BC678D">
          <w:rPr>
            <w:rStyle w:val="Hyperlink"/>
            <w:rFonts w:eastAsia="Calibri"/>
          </w:rPr>
          <w:t>Utilities’ Proposals - Forms</w:t>
        </w:r>
        <w:r w:rsidR="003C3986">
          <w:rPr>
            <w:webHidden/>
          </w:rPr>
          <w:tab/>
        </w:r>
        <w:r w:rsidR="003C3986">
          <w:rPr>
            <w:webHidden/>
          </w:rPr>
          <w:fldChar w:fldCharType="begin"/>
        </w:r>
        <w:r w:rsidR="003C3986">
          <w:rPr>
            <w:webHidden/>
          </w:rPr>
          <w:instrText xml:space="preserve"> PAGEREF _Toc384806458 \h </w:instrText>
        </w:r>
        <w:r w:rsidR="003C3986">
          <w:rPr>
            <w:webHidden/>
          </w:rPr>
        </w:r>
        <w:r w:rsidR="003C3986">
          <w:rPr>
            <w:webHidden/>
          </w:rPr>
          <w:fldChar w:fldCharType="separate"/>
        </w:r>
        <w:r w:rsidR="00E271F0">
          <w:rPr>
            <w:webHidden/>
          </w:rPr>
          <w:t>28</w:t>
        </w:r>
        <w:r w:rsidR="003C3986">
          <w:rPr>
            <w:webHidden/>
          </w:rPr>
          <w:fldChar w:fldCharType="end"/>
        </w:r>
      </w:hyperlink>
    </w:p>
    <w:p w:rsidR="003C3986" w:rsidRDefault="00D04D16">
      <w:pPr>
        <w:pStyle w:val="TOC3"/>
        <w:rPr>
          <w:rFonts w:asciiTheme="minorHAnsi" w:eastAsiaTheme="minorEastAsia" w:hAnsiTheme="minorHAnsi" w:cstheme="minorBidi"/>
          <w:sz w:val="22"/>
          <w:szCs w:val="22"/>
        </w:rPr>
      </w:pPr>
      <w:hyperlink w:anchor="_Toc384806459" w:history="1">
        <w:r w:rsidR="003C3986" w:rsidRPr="00BC678D">
          <w:rPr>
            <w:rStyle w:val="Hyperlink"/>
            <w:rFonts w:eastAsia="Calibri"/>
          </w:rPr>
          <w:t>3.3.</w:t>
        </w:r>
        <w:r w:rsidR="003C3986">
          <w:rPr>
            <w:rFonts w:asciiTheme="minorHAnsi" w:eastAsiaTheme="minorEastAsia" w:hAnsiTheme="minorHAnsi" w:cstheme="minorBidi"/>
            <w:sz w:val="22"/>
            <w:szCs w:val="22"/>
          </w:rPr>
          <w:tab/>
        </w:r>
        <w:r w:rsidR="003C3986" w:rsidRPr="00BC678D">
          <w:rPr>
            <w:rStyle w:val="Hyperlink"/>
            <w:rFonts w:eastAsia="Calibri"/>
          </w:rPr>
          <w:t>Comments</w:t>
        </w:r>
        <w:r w:rsidR="003C3986">
          <w:rPr>
            <w:webHidden/>
          </w:rPr>
          <w:tab/>
        </w:r>
        <w:r w:rsidR="003C3986">
          <w:rPr>
            <w:webHidden/>
          </w:rPr>
          <w:fldChar w:fldCharType="begin"/>
        </w:r>
        <w:r w:rsidR="003C3986">
          <w:rPr>
            <w:webHidden/>
          </w:rPr>
          <w:instrText xml:space="preserve"> PAGEREF _Toc384806459 \h </w:instrText>
        </w:r>
        <w:r w:rsidR="003C3986">
          <w:rPr>
            <w:webHidden/>
          </w:rPr>
        </w:r>
        <w:r w:rsidR="003C3986">
          <w:rPr>
            <w:webHidden/>
          </w:rPr>
          <w:fldChar w:fldCharType="separate"/>
        </w:r>
        <w:r w:rsidR="00E271F0">
          <w:rPr>
            <w:webHidden/>
          </w:rPr>
          <w:t>28</w:t>
        </w:r>
        <w:r w:rsidR="003C3986">
          <w:rPr>
            <w:webHidden/>
          </w:rPr>
          <w:fldChar w:fldCharType="end"/>
        </w:r>
      </w:hyperlink>
    </w:p>
    <w:p w:rsidR="003C3986" w:rsidRDefault="00D04D16">
      <w:pPr>
        <w:pStyle w:val="TOC3"/>
        <w:rPr>
          <w:rFonts w:asciiTheme="minorHAnsi" w:eastAsiaTheme="minorEastAsia" w:hAnsiTheme="minorHAnsi" w:cstheme="minorBidi"/>
          <w:sz w:val="22"/>
          <w:szCs w:val="22"/>
        </w:rPr>
      </w:pPr>
      <w:hyperlink w:anchor="_Toc384806460" w:history="1">
        <w:r w:rsidR="003C3986" w:rsidRPr="00BC678D">
          <w:rPr>
            <w:rStyle w:val="Hyperlink"/>
            <w:rFonts w:eastAsia="Calibri"/>
          </w:rPr>
          <w:t>3.4.</w:t>
        </w:r>
        <w:r w:rsidR="003C3986">
          <w:rPr>
            <w:rFonts w:asciiTheme="minorHAnsi" w:eastAsiaTheme="minorEastAsia" w:hAnsiTheme="minorHAnsi" w:cstheme="minorBidi"/>
            <w:sz w:val="22"/>
            <w:szCs w:val="22"/>
          </w:rPr>
          <w:tab/>
        </w:r>
        <w:r w:rsidR="003C3986" w:rsidRPr="00BC678D">
          <w:rPr>
            <w:rStyle w:val="Hyperlink"/>
            <w:rFonts w:eastAsia="Calibri"/>
          </w:rPr>
          <w:t>Discussion</w:t>
        </w:r>
        <w:r w:rsidR="003C3986">
          <w:rPr>
            <w:webHidden/>
          </w:rPr>
          <w:tab/>
        </w:r>
        <w:r w:rsidR="003C3986">
          <w:rPr>
            <w:webHidden/>
          </w:rPr>
          <w:fldChar w:fldCharType="begin"/>
        </w:r>
        <w:r w:rsidR="003C3986">
          <w:rPr>
            <w:webHidden/>
          </w:rPr>
          <w:instrText xml:space="preserve"> PAGEREF _Toc384806460 \h </w:instrText>
        </w:r>
        <w:r w:rsidR="003C3986">
          <w:rPr>
            <w:webHidden/>
          </w:rPr>
        </w:r>
        <w:r w:rsidR="003C3986">
          <w:rPr>
            <w:webHidden/>
          </w:rPr>
          <w:fldChar w:fldCharType="separate"/>
        </w:r>
        <w:r w:rsidR="00E271F0">
          <w:rPr>
            <w:webHidden/>
          </w:rPr>
          <w:t>29</w:t>
        </w:r>
        <w:r w:rsidR="003C3986">
          <w:rPr>
            <w:webHidden/>
          </w:rPr>
          <w:fldChar w:fldCharType="end"/>
        </w:r>
      </w:hyperlink>
    </w:p>
    <w:p w:rsidR="003C3986" w:rsidRDefault="00D04D16">
      <w:pPr>
        <w:pStyle w:val="TOC2"/>
        <w:rPr>
          <w:rFonts w:asciiTheme="minorHAnsi" w:eastAsiaTheme="minorEastAsia" w:hAnsiTheme="minorHAnsi" w:cstheme="minorBidi"/>
          <w:sz w:val="22"/>
          <w:szCs w:val="22"/>
        </w:rPr>
      </w:pPr>
      <w:hyperlink w:anchor="_Toc384806461" w:history="1">
        <w:r w:rsidR="003C3986" w:rsidRPr="00BC678D">
          <w:rPr>
            <w:rStyle w:val="Hyperlink"/>
            <w:rFonts w:eastAsia="Calibri"/>
          </w:rPr>
          <w:t>4.</w:t>
        </w:r>
        <w:r w:rsidR="003C3986">
          <w:rPr>
            <w:rFonts w:asciiTheme="minorHAnsi" w:eastAsiaTheme="minorEastAsia" w:hAnsiTheme="minorHAnsi" w:cstheme="minorBidi"/>
            <w:sz w:val="22"/>
            <w:szCs w:val="22"/>
          </w:rPr>
          <w:tab/>
        </w:r>
        <w:r w:rsidR="003C3986" w:rsidRPr="00BC678D">
          <w:rPr>
            <w:rStyle w:val="Hyperlink"/>
            <w:rFonts w:eastAsia="Calibri"/>
          </w:rPr>
          <w:t>Uniformity between Utility Tariffs</w:t>
        </w:r>
        <w:r w:rsidR="003C3986">
          <w:rPr>
            <w:webHidden/>
          </w:rPr>
          <w:tab/>
        </w:r>
        <w:r w:rsidR="003C3986">
          <w:rPr>
            <w:webHidden/>
          </w:rPr>
          <w:fldChar w:fldCharType="begin"/>
        </w:r>
        <w:r w:rsidR="003C3986">
          <w:rPr>
            <w:webHidden/>
          </w:rPr>
          <w:instrText xml:space="preserve"> PAGEREF _Toc384806461 \h </w:instrText>
        </w:r>
        <w:r w:rsidR="003C3986">
          <w:rPr>
            <w:webHidden/>
          </w:rPr>
        </w:r>
        <w:r w:rsidR="003C3986">
          <w:rPr>
            <w:webHidden/>
          </w:rPr>
          <w:fldChar w:fldCharType="separate"/>
        </w:r>
        <w:r w:rsidR="00E271F0">
          <w:rPr>
            <w:webHidden/>
          </w:rPr>
          <w:t>30</w:t>
        </w:r>
        <w:r w:rsidR="003C3986">
          <w:rPr>
            <w:webHidden/>
          </w:rPr>
          <w:fldChar w:fldCharType="end"/>
        </w:r>
      </w:hyperlink>
    </w:p>
    <w:p w:rsidR="003C3986" w:rsidRDefault="00D04D16">
      <w:pPr>
        <w:pStyle w:val="TOC2"/>
        <w:rPr>
          <w:rFonts w:asciiTheme="minorHAnsi" w:eastAsiaTheme="minorEastAsia" w:hAnsiTheme="minorHAnsi" w:cstheme="minorBidi"/>
          <w:sz w:val="22"/>
          <w:szCs w:val="22"/>
        </w:rPr>
      </w:pPr>
      <w:hyperlink w:anchor="_Toc384806462" w:history="1">
        <w:r w:rsidR="003C3986" w:rsidRPr="00BC678D">
          <w:rPr>
            <w:rStyle w:val="Hyperlink"/>
          </w:rPr>
          <w:t>5.</w:t>
        </w:r>
        <w:r w:rsidR="003C3986">
          <w:rPr>
            <w:rFonts w:asciiTheme="minorHAnsi" w:eastAsiaTheme="minorEastAsia" w:hAnsiTheme="minorHAnsi" w:cstheme="minorBidi"/>
            <w:sz w:val="22"/>
            <w:szCs w:val="22"/>
          </w:rPr>
          <w:tab/>
        </w:r>
        <w:r w:rsidR="003C3986" w:rsidRPr="00BC678D">
          <w:rPr>
            <w:rStyle w:val="Hyperlink"/>
          </w:rPr>
          <w:t>Uniformity with Federal Wholesale Tariffs</w:t>
        </w:r>
        <w:r w:rsidR="003C3986">
          <w:rPr>
            <w:webHidden/>
          </w:rPr>
          <w:tab/>
        </w:r>
        <w:r w:rsidR="003C3986">
          <w:rPr>
            <w:webHidden/>
          </w:rPr>
          <w:fldChar w:fldCharType="begin"/>
        </w:r>
        <w:r w:rsidR="003C3986">
          <w:rPr>
            <w:webHidden/>
          </w:rPr>
          <w:instrText xml:space="preserve"> PAGEREF _Toc384806462 \h </w:instrText>
        </w:r>
        <w:r w:rsidR="003C3986">
          <w:rPr>
            <w:webHidden/>
          </w:rPr>
        </w:r>
        <w:r w:rsidR="003C3986">
          <w:rPr>
            <w:webHidden/>
          </w:rPr>
          <w:fldChar w:fldCharType="separate"/>
        </w:r>
        <w:r w:rsidR="00E271F0">
          <w:rPr>
            <w:webHidden/>
          </w:rPr>
          <w:t>31</w:t>
        </w:r>
        <w:r w:rsidR="003C3986">
          <w:rPr>
            <w:webHidden/>
          </w:rPr>
          <w:fldChar w:fldCharType="end"/>
        </w:r>
      </w:hyperlink>
    </w:p>
    <w:p w:rsidR="003C3986" w:rsidRDefault="00D04D16">
      <w:pPr>
        <w:pStyle w:val="TOC2"/>
        <w:rPr>
          <w:rFonts w:asciiTheme="minorHAnsi" w:eastAsiaTheme="minorEastAsia" w:hAnsiTheme="minorHAnsi" w:cstheme="minorBidi"/>
          <w:sz w:val="22"/>
          <w:szCs w:val="22"/>
        </w:rPr>
      </w:pPr>
      <w:hyperlink w:anchor="_Toc384806463" w:history="1">
        <w:r w:rsidR="003C3986" w:rsidRPr="00BC678D">
          <w:rPr>
            <w:rStyle w:val="Hyperlink"/>
          </w:rPr>
          <w:t>6.</w:t>
        </w:r>
        <w:r w:rsidR="003C3986">
          <w:rPr>
            <w:rFonts w:asciiTheme="minorHAnsi" w:eastAsiaTheme="minorEastAsia" w:hAnsiTheme="minorHAnsi" w:cstheme="minorBidi"/>
            <w:sz w:val="22"/>
            <w:szCs w:val="22"/>
          </w:rPr>
          <w:tab/>
        </w:r>
        <w:r w:rsidR="003C3986" w:rsidRPr="00BC678D">
          <w:rPr>
            <w:rStyle w:val="Hyperlink"/>
          </w:rPr>
          <w:t>Rule 21 Data Management</w:t>
        </w:r>
        <w:r w:rsidR="003C3986">
          <w:rPr>
            <w:webHidden/>
          </w:rPr>
          <w:tab/>
        </w:r>
        <w:r w:rsidR="003C3986">
          <w:rPr>
            <w:webHidden/>
          </w:rPr>
          <w:fldChar w:fldCharType="begin"/>
        </w:r>
        <w:r w:rsidR="003C3986">
          <w:rPr>
            <w:webHidden/>
          </w:rPr>
          <w:instrText xml:space="preserve"> PAGEREF _Toc384806463 \h </w:instrText>
        </w:r>
        <w:r w:rsidR="003C3986">
          <w:rPr>
            <w:webHidden/>
          </w:rPr>
        </w:r>
        <w:r w:rsidR="003C3986">
          <w:rPr>
            <w:webHidden/>
          </w:rPr>
          <w:fldChar w:fldCharType="separate"/>
        </w:r>
        <w:r w:rsidR="00E271F0">
          <w:rPr>
            <w:webHidden/>
          </w:rPr>
          <w:t>32</w:t>
        </w:r>
        <w:r w:rsidR="003C3986">
          <w:rPr>
            <w:webHidden/>
          </w:rPr>
          <w:fldChar w:fldCharType="end"/>
        </w:r>
      </w:hyperlink>
    </w:p>
    <w:p w:rsidR="003C3986" w:rsidRDefault="00D04D16">
      <w:pPr>
        <w:pStyle w:val="TOC2"/>
        <w:rPr>
          <w:rFonts w:asciiTheme="minorHAnsi" w:eastAsiaTheme="minorEastAsia" w:hAnsiTheme="minorHAnsi" w:cstheme="minorBidi"/>
          <w:sz w:val="22"/>
          <w:szCs w:val="22"/>
        </w:rPr>
      </w:pPr>
      <w:hyperlink w:anchor="_Toc384806464" w:history="1">
        <w:r w:rsidR="003C3986" w:rsidRPr="00BC678D">
          <w:rPr>
            <w:rStyle w:val="Hyperlink"/>
          </w:rPr>
          <w:t>7.</w:t>
        </w:r>
        <w:r w:rsidR="003C3986">
          <w:rPr>
            <w:rFonts w:asciiTheme="minorHAnsi" w:eastAsiaTheme="minorEastAsia" w:hAnsiTheme="minorHAnsi" w:cstheme="minorBidi"/>
            <w:sz w:val="22"/>
            <w:szCs w:val="22"/>
          </w:rPr>
          <w:tab/>
        </w:r>
        <w:r w:rsidR="003C3986" w:rsidRPr="00BC678D">
          <w:rPr>
            <w:rStyle w:val="Hyperlink"/>
          </w:rPr>
          <w:t>Other Minor Changes to Rule 21</w:t>
        </w:r>
        <w:r w:rsidR="003C3986">
          <w:rPr>
            <w:webHidden/>
          </w:rPr>
          <w:tab/>
        </w:r>
        <w:r w:rsidR="003C3986">
          <w:rPr>
            <w:webHidden/>
          </w:rPr>
          <w:fldChar w:fldCharType="begin"/>
        </w:r>
        <w:r w:rsidR="003C3986">
          <w:rPr>
            <w:webHidden/>
          </w:rPr>
          <w:instrText xml:space="preserve"> PAGEREF _Toc384806464 \h </w:instrText>
        </w:r>
        <w:r w:rsidR="003C3986">
          <w:rPr>
            <w:webHidden/>
          </w:rPr>
        </w:r>
        <w:r w:rsidR="003C3986">
          <w:rPr>
            <w:webHidden/>
          </w:rPr>
          <w:fldChar w:fldCharType="separate"/>
        </w:r>
        <w:r w:rsidR="00E271F0">
          <w:rPr>
            <w:webHidden/>
          </w:rPr>
          <w:t>33</w:t>
        </w:r>
        <w:r w:rsidR="003C3986">
          <w:rPr>
            <w:webHidden/>
          </w:rPr>
          <w:fldChar w:fldCharType="end"/>
        </w:r>
      </w:hyperlink>
    </w:p>
    <w:p w:rsidR="003C3986" w:rsidRDefault="00D04D16">
      <w:pPr>
        <w:pStyle w:val="TOC2"/>
        <w:rPr>
          <w:rFonts w:asciiTheme="minorHAnsi" w:eastAsiaTheme="minorEastAsia" w:hAnsiTheme="minorHAnsi" w:cstheme="minorBidi"/>
          <w:sz w:val="22"/>
          <w:szCs w:val="22"/>
        </w:rPr>
      </w:pPr>
      <w:hyperlink w:anchor="_Toc384806465" w:history="1">
        <w:r w:rsidR="003C3986" w:rsidRPr="00BC678D">
          <w:rPr>
            <w:rStyle w:val="Hyperlink"/>
          </w:rPr>
          <w:t>8.</w:t>
        </w:r>
        <w:r w:rsidR="003C3986">
          <w:rPr>
            <w:rFonts w:asciiTheme="minorHAnsi" w:eastAsiaTheme="minorEastAsia" w:hAnsiTheme="minorHAnsi" w:cstheme="minorBidi"/>
            <w:sz w:val="22"/>
            <w:szCs w:val="22"/>
          </w:rPr>
          <w:tab/>
        </w:r>
        <w:r w:rsidR="003C3986" w:rsidRPr="00BC678D">
          <w:rPr>
            <w:rStyle w:val="Hyperlink"/>
          </w:rPr>
          <w:t>Motions</w:t>
        </w:r>
        <w:r w:rsidR="003C3986">
          <w:rPr>
            <w:webHidden/>
          </w:rPr>
          <w:tab/>
        </w:r>
        <w:r w:rsidR="003C3986">
          <w:rPr>
            <w:webHidden/>
          </w:rPr>
          <w:fldChar w:fldCharType="begin"/>
        </w:r>
        <w:r w:rsidR="003C3986">
          <w:rPr>
            <w:webHidden/>
          </w:rPr>
          <w:instrText xml:space="preserve"> PAGEREF _Toc384806465 \h </w:instrText>
        </w:r>
        <w:r w:rsidR="003C3986">
          <w:rPr>
            <w:webHidden/>
          </w:rPr>
        </w:r>
        <w:r w:rsidR="003C3986">
          <w:rPr>
            <w:webHidden/>
          </w:rPr>
          <w:fldChar w:fldCharType="separate"/>
        </w:r>
        <w:r w:rsidR="00E271F0">
          <w:rPr>
            <w:webHidden/>
          </w:rPr>
          <w:t>33</w:t>
        </w:r>
        <w:r w:rsidR="003C3986">
          <w:rPr>
            <w:webHidden/>
          </w:rPr>
          <w:fldChar w:fldCharType="end"/>
        </w:r>
      </w:hyperlink>
    </w:p>
    <w:p w:rsidR="003C3986" w:rsidRDefault="00D04D16">
      <w:pPr>
        <w:pStyle w:val="TOC2"/>
        <w:rPr>
          <w:rFonts w:asciiTheme="minorHAnsi" w:eastAsiaTheme="minorEastAsia" w:hAnsiTheme="minorHAnsi" w:cstheme="minorBidi"/>
          <w:sz w:val="22"/>
          <w:szCs w:val="22"/>
        </w:rPr>
      </w:pPr>
      <w:hyperlink w:anchor="_Toc384806466" w:history="1">
        <w:r w:rsidR="003C3986" w:rsidRPr="00BC678D">
          <w:rPr>
            <w:rStyle w:val="Hyperlink"/>
          </w:rPr>
          <w:t>9.</w:t>
        </w:r>
        <w:r w:rsidR="003C3986">
          <w:rPr>
            <w:rFonts w:asciiTheme="minorHAnsi" w:eastAsiaTheme="minorEastAsia" w:hAnsiTheme="minorHAnsi" w:cstheme="minorBidi"/>
            <w:sz w:val="22"/>
            <w:szCs w:val="22"/>
          </w:rPr>
          <w:tab/>
        </w:r>
        <w:r w:rsidR="003C3986" w:rsidRPr="00BC678D">
          <w:rPr>
            <w:rStyle w:val="Hyperlink"/>
          </w:rPr>
          <w:t>Pending Issues in R.11-09-011</w:t>
        </w:r>
        <w:r w:rsidR="003C3986">
          <w:rPr>
            <w:webHidden/>
          </w:rPr>
          <w:tab/>
        </w:r>
        <w:r w:rsidR="003C3986">
          <w:rPr>
            <w:webHidden/>
          </w:rPr>
          <w:fldChar w:fldCharType="begin"/>
        </w:r>
        <w:r w:rsidR="003C3986">
          <w:rPr>
            <w:webHidden/>
          </w:rPr>
          <w:instrText xml:space="preserve"> PAGEREF _Toc384806466 \h </w:instrText>
        </w:r>
        <w:r w:rsidR="003C3986">
          <w:rPr>
            <w:webHidden/>
          </w:rPr>
        </w:r>
        <w:r w:rsidR="003C3986">
          <w:rPr>
            <w:webHidden/>
          </w:rPr>
          <w:fldChar w:fldCharType="separate"/>
        </w:r>
        <w:r w:rsidR="00E271F0">
          <w:rPr>
            <w:webHidden/>
          </w:rPr>
          <w:t>34</w:t>
        </w:r>
        <w:r w:rsidR="003C3986">
          <w:rPr>
            <w:webHidden/>
          </w:rPr>
          <w:fldChar w:fldCharType="end"/>
        </w:r>
      </w:hyperlink>
    </w:p>
    <w:p w:rsidR="003C3986" w:rsidRDefault="00D04D16">
      <w:pPr>
        <w:pStyle w:val="TOC2"/>
        <w:rPr>
          <w:rFonts w:asciiTheme="minorHAnsi" w:eastAsiaTheme="minorEastAsia" w:hAnsiTheme="minorHAnsi" w:cstheme="minorBidi"/>
          <w:sz w:val="22"/>
          <w:szCs w:val="22"/>
        </w:rPr>
      </w:pPr>
      <w:hyperlink w:anchor="_Toc384806467" w:history="1">
        <w:r w:rsidR="003C3986" w:rsidRPr="00BC678D">
          <w:rPr>
            <w:rStyle w:val="Hyperlink"/>
          </w:rPr>
          <w:t>10.</w:t>
        </w:r>
        <w:r w:rsidR="003C3986">
          <w:rPr>
            <w:rFonts w:asciiTheme="minorHAnsi" w:eastAsiaTheme="minorEastAsia" w:hAnsiTheme="minorHAnsi" w:cstheme="minorBidi"/>
            <w:sz w:val="22"/>
            <w:szCs w:val="22"/>
          </w:rPr>
          <w:tab/>
        </w:r>
        <w:r w:rsidR="003C3986" w:rsidRPr="00BC678D">
          <w:rPr>
            <w:rStyle w:val="Hyperlink"/>
          </w:rPr>
          <w:t>Comments on Proposed Decision</w:t>
        </w:r>
        <w:r w:rsidR="003C3986">
          <w:rPr>
            <w:webHidden/>
          </w:rPr>
          <w:tab/>
        </w:r>
        <w:r w:rsidR="003C3986">
          <w:rPr>
            <w:webHidden/>
          </w:rPr>
          <w:fldChar w:fldCharType="begin"/>
        </w:r>
        <w:r w:rsidR="003C3986">
          <w:rPr>
            <w:webHidden/>
          </w:rPr>
          <w:instrText xml:space="preserve"> PAGEREF _Toc384806467 \h </w:instrText>
        </w:r>
        <w:r w:rsidR="003C3986">
          <w:rPr>
            <w:webHidden/>
          </w:rPr>
        </w:r>
        <w:r w:rsidR="003C3986">
          <w:rPr>
            <w:webHidden/>
          </w:rPr>
          <w:fldChar w:fldCharType="separate"/>
        </w:r>
        <w:r w:rsidR="00E271F0">
          <w:rPr>
            <w:webHidden/>
          </w:rPr>
          <w:t>34</w:t>
        </w:r>
        <w:r w:rsidR="003C3986">
          <w:rPr>
            <w:webHidden/>
          </w:rPr>
          <w:fldChar w:fldCharType="end"/>
        </w:r>
      </w:hyperlink>
    </w:p>
    <w:p w:rsidR="003C3986" w:rsidRDefault="00D04D16">
      <w:pPr>
        <w:pStyle w:val="TOC2"/>
        <w:rPr>
          <w:rFonts w:asciiTheme="minorHAnsi" w:eastAsiaTheme="minorEastAsia" w:hAnsiTheme="minorHAnsi" w:cstheme="minorBidi"/>
          <w:sz w:val="22"/>
          <w:szCs w:val="22"/>
        </w:rPr>
      </w:pPr>
      <w:hyperlink w:anchor="_Toc384806468" w:history="1">
        <w:r w:rsidR="003C3986" w:rsidRPr="00BC678D">
          <w:rPr>
            <w:rStyle w:val="Hyperlink"/>
          </w:rPr>
          <w:t>11.</w:t>
        </w:r>
        <w:r w:rsidR="003C3986">
          <w:rPr>
            <w:rFonts w:asciiTheme="minorHAnsi" w:eastAsiaTheme="minorEastAsia" w:hAnsiTheme="minorHAnsi" w:cstheme="minorBidi"/>
            <w:sz w:val="22"/>
            <w:szCs w:val="22"/>
          </w:rPr>
          <w:tab/>
        </w:r>
        <w:r w:rsidR="003C3986" w:rsidRPr="00BC678D">
          <w:rPr>
            <w:rStyle w:val="Hyperlink"/>
          </w:rPr>
          <w:t>Assignment of Proceeding</w:t>
        </w:r>
        <w:r w:rsidR="003C3986">
          <w:rPr>
            <w:webHidden/>
          </w:rPr>
          <w:tab/>
        </w:r>
        <w:r w:rsidR="003C3986">
          <w:rPr>
            <w:webHidden/>
          </w:rPr>
          <w:fldChar w:fldCharType="begin"/>
        </w:r>
        <w:r w:rsidR="003C3986">
          <w:rPr>
            <w:webHidden/>
          </w:rPr>
          <w:instrText xml:space="preserve"> PAGEREF _Toc384806468 \h </w:instrText>
        </w:r>
        <w:r w:rsidR="003C3986">
          <w:rPr>
            <w:webHidden/>
          </w:rPr>
        </w:r>
        <w:r w:rsidR="003C3986">
          <w:rPr>
            <w:webHidden/>
          </w:rPr>
          <w:fldChar w:fldCharType="separate"/>
        </w:r>
        <w:r w:rsidR="00E271F0">
          <w:rPr>
            <w:webHidden/>
          </w:rPr>
          <w:t>35</w:t>
        </w:r>
        <w:r w:rsidR="003C3986">
          <w:rPr>
            <w:webHidden/>
          </w:rPr>
          <w:fldChar w:fldCharType="end"/>
        </w:r>
      </w:hyperlink>
    </w:p>
    <w:p w:rsidR="003C3986" w:rsidRDefault="00D04D16">
      <w:pPr>
        <w:pStyle w:val="TOC1"/>
        <w:rPr>
          <w:rFonts w:asciiTheme="minorHAnsi" w:eastAsiaTheme="minorEastAsia" w:hAnsiTheme="minorHAnsi" w:cstheme="minorBidi"/>
          <w:sz w:val="22"/>
          <w:szCs w:val="22"/>
        </w:rPr>
      </w:pPr>
      <w:hyperlink w:anchor="_Toc384806469" w:history="1">
        <w:r w:rsidR="003C3986" w:rsidRPr="00BC678D">
          <w:rPr>
            <w:rStyle w:val="Hyperlink"/>
          </w:rPr>
          <w:t>Findings of Fact</w:t>
        </w:r>
        <w:r w:rsidR="003C3986">
          <w:rPr>
            <w:webHidden/>
          </w:rPr>
          <w:tab/>
        </w:r>
        <w:r w:rsidR="003C3986">
          <w:rPr>
            <w:webHidden/>
          </w:rPr>
          <w:fldChar w:fldCharType="begin"/>
        </w:r>
        <w:r w:rsidR="003C3986">
          <w:rPr>
            <w:webHidden/>
          </w:rPr>
          <w:instrText xml:space="preserve"> PAGEREF _Toc384806469 \h </w:instrText>
        </w:r>
        <w:r w:rsidR="003C3986">
          <w:rPr>
            <w:webHidden/>
          </w:rPr>
        </w:r>
        <w:r w:rsidR="003C3986">
          <w:rPr>
            <w:webHidden/>
          </w:rPr>
          <w:fldChar w:fldCharType="separate"/>
        </w:r>
        <w:r w:rsidR="00E271F0">
          <w:rPr>
            <w:webHidden/>
          </w:rPr>
          <w:t>35</w:t>
        </w:r>
        <w:r w:rsidR="003C3986">
          <w:rPr>
            <w:webHidden/>
          </w:rPr>
          <w:fldChar w:fldCharType="end"/>
        </w:r>
      </w:hyperlink>
    </w:p>
    <w:p w:rsidR="003C3986" w:rsidRDefault="00D04D16">
      <w:pPr>
        <w:pStyle w:val="TOC1"/>
        <w:rPr>
          <w:rFonts w:asciiTheme="minorHAnsi" w:eastAsiaTheme="minorEastAsia" w:hAnsiTheme="minorHAnsi" w:cstheme="minorBidi"/>
          <w:sz w:val="22"/>
          <w:szCs w:val="22"/>
        </w:rPr>
      </w:pPr>
      <w:hyperlink w:anchor="_Toc384806470" w:history="1">
        <w:r w:rsidR="003C3986" w:rsidRPr="00BC678D">
          <w:rPr>
            <w:rStyle w:val="Hyperlink"/>
          </w:rPr>
          <w:t>Conclusions of Law</w:t>
        </w:r>
        <w:r w:rsidR="003C3986">
          <w:rPr>
            <w:webHidden/>
          </w:rPr>
          <w:tab/>
        </w:r>
        <w:r w:rsidR="003C3986">
          <w:rPr>
            <w:webHidden/>
          </w:rPr>
          <w:fldChar w:fldCharType="begin"/>
        </w:r>
        <w:r w:rsidR="003C3986">
          <w:rPr>
            <w:webHidden/>
          </w:rPr>
          <w:instrText xml:space="preserve"> PAGEREF _Toc384806470 \h </w:instrText>
        </w:r>
        <w:r w:rsidR="003C3986">
          <w:rPr>
            <w:webHidden/>
          </w:rPr>
        </w:r>
        <w:r w:rsidR="003C3986">
          <w:rPr>
            <w:webHidden/>
          </w:rPr>
          <w:fldChar w:fldCharType="separate"/>
        </w:r>
        <w:r w:rsidR="00E271F0">
          <w:rPr>
            <w:webHidden/>
          </w:rPr>
          <w:t>38</w:t>
        </w:r>
        <w:r w:rsidR="003C3986">
          <w:rPr>
            <w:webHidden/>
          </w:rPr>
          <w:fldChar w:fldCharType="end"/>
        </w:r>
      </w:hyperlink>
    </w:p>
    <w:p w:rsidR="003C3986" w:rsidRDefault="00D04D16">
      <w:pPr>
        <w:pStyle w:val="TOC1"/>
        <w:rPr>
          <w:rFonts w:asciiTheme="minorHAnsi" w:eastAsiaTheme="minorEastAsia" w:hAnsiTheme="minorHAnsi" w:cstheme="minorBidi"/>
          <w:sz w:val="22"/>
          <w:szCs w:val="22"/>
        </w:rPr>
      </w:pPr>
      <w:hyperlink w:anchor="_Toc384806471" w:history="1">
        <w:r w:rsidR="003C3986" w:rsidRPr="00BC678D">
          <w:rPr>
            <w:rStyle w:val="Hyperlink"/>
          </w:rPr>
          <w:t>ORDER</w:t>
        </w:r>
        <w:r w:rsidR="003C3986">
          <w:rPr>
            <w:webHidden/>
          </w:rPr>
          <w:tab/>
        </w:r>
        <w:r w:rsidR="003412B7">
          <w:rPr>
            <w:webHidden/>
          </w:rPr>
          <w:tab/>
        </w:r>
        <w:r w:rsidR="003C3986">
          <w:rPr>
            <w:webHidden/>
          </w:rPr>
          <w:fldChar w:fldCharType="begin"/>
        </w:r>
        <w:r w:rsidR="003C3986">
          <w:rPr>
            <w:webHidden/>
          </w:rPr>
          <w:instrText xml:space="preserve"> PAGEREF _Toc384806471 \h </w:instrText>
        </w:r>
        <w:r w:rsidR="003C3986">
          <w:rPr>
            <w:webHidden/>
          </w:rPr>
        </w:r>
        <w:r w:rsidR="003C3986">
          <w:rPr>
            <w:webHidden/>
          </w:rPr>
          <w:fldChar w:fldCharType="separate"/>
        </w:r>
        <w:r w:rsidR="00E271F0">
          <w:rPr>
            <w:webHidden/>
          </w:rPr>
          <w:t>40</w:t>
        </w:r>
        <w:r w:rsidR="003C3986">
          <w:rPr>
            <w:webHidden/>
          </w:rPr>
          <w:fldChar w:fldCharType="end"/>
        </w:r>
      </w:hyperlink>
    </w:p>
    <w:p w:rsidR="00D8005F" w:rsidRDefault="0097691D" w:rsidP="00BD5124">
      <w:pPr>
        <w:pStyle w:val="main"/>
        <w:keepNext/>
        <w:keepLines/>
        <w:jc w:val="left"/>
      </w:pPr>
      <w:r>
        <w:fldChar w:fldCharType="end"/>
      </w:r>
      <w:bookmarkStart w:id="3" w:name="_Toc374003472"/>
    </w:p>
    <w:p w:rsidR="00AF3784" w:rsidRDefault="00AF3784" w:rsidP="00D8005F">
      <w:r w:rsidRPr="00D8005F">
        <w:t>Attachment A – PG&amp;E</w:t>
      </w:r>
      <w:r w:rsidR="00346FBA">
        <w:t>’s</w:t>
      </w:r>
      <w:r w:rsidRPr="00D8005F">
        <w:t xml:space="preserve"> and SDG&amp;E’s Joint Distribution Tariff </w:t>
      </w:r>
      <w:r w:rsidR="004D5322">
        <w:t>F</w:t>
      </w:r>
      <w:r w:rsidRPr="00D8005F">
        <w:t xml:space="preserve">iling </w:t>
      </w:r>
      <w:r w:rsidRPr="00D8005F">
        <w:br/>
      </w:r>
      <w:r w:rsidRPr="00D8005F">
        <w:tab/>
      </w:r>
      <w:r w:rsidRPr="00D8005F">
        <w:tab/>
        <w:t xml:space="preserve">     (February 19, 2013)</w:t>
      </w:r>
      <w:bookmarkEnd w:id="3"/>
      <w:r w:rsidR="004D5322">
        <w:t xml:space="preserve"> – (Rule 21 revisions attached)</w:t>
      </w:r>
    </w:p>
    <w:p w:rsidR="003536E3" w:rsidRPr="00D8005F" w:rsidRDefault="003536E3" w:rsidP="00D8005F"/>
    <w:p w:rsidR="00AF3784" w:rsidRPr="00FD2EED" w:rsidRDefault="00AF3784" w:rsidP="008901D6">
      <w:pPr>
        <w:ind w:left="1890" w:hanging="1890"/>
        <w:sectPr w:rsidR="00AF3784" w:rsidRPr="00FD2EED" w:rsidSect="00421116">
          <w:headerReference w:type="default" r:id="rId14"/>
          <w:footerReference w:type="default" r:id="rId15"/>
          <w:headerReference w:type="first" r:id="rId16"/>
          <w:footerReference w:type="first" r:id="rId17"/>
          <w:pgSz w:w="12240" w:h="15840" w:code="1"/>
          <w:pgMar w:top="1152" w:right="1440" w:bottom="1440" w:left="1440" w:header="720" w:footer="720" w:gutter="0"/>
          <w:pgNumType w:fmt="lowerRoman" w:start="1"/>
          <w:cols w:space="720"/>
          <w:titlePg/>
        </w:sectPr>
      </w:pPr>
      <w:bookmarkStart w:id="4" w:name="_Toc374003473"/>
      <w:r w:rsidRPr="00AF3784">
        <w:t>Attachment B – PG&amp;E</w:t>
      </w:r>
      <w:r w:rsidR="00346FBA">
        <w:t>’s</w:t>
      </w:r>
      <w:r w:rsidRPr="00AF3784">
        <w:t xml:space="preserve"> Pro Forma Agreement Filing (June 15, 2012)</w:t>
      </w:r>
      <w:bookmarkEnd w:id="4"/>
      <w:r w:rsidR="004D5322">
        <w:t xml:space="preserve"> – (Attachments include:  Rule 21 Interconnection </w:t>
      </w:r>
      <w:r w:rsidR="008901D6">
        <w:br/>
      </w:r>
      <w:r w:rsidR="004D5322">
        <w:t xml:space="preserve">Agreement for Exporting Facilities; Independent </w:t>
      </w:r>
      <w:r w:rsidR="008901D6">
        <w:br/>
      </w:r>
      <w:r w:rsidR="004D5322">
        <w:t>Study Process Agreement; Pre-Application Report Request)</w:t>
      </w:r>
    </w:p>
    <w:p w:rsidR="00B30FF9" w:rsidRPr="0097691D" w:rsidRDefault="0097691D" w:rsidP="0097691D">
      <w:pPr>
        <w:jc w:val="center"/>
        <w:rPr>
          <w:rStyle w:val="mainChar"/>
          <w:b w:val="0"/>
          <w:bCs/>
          <w:szCs w:val="26"/>
        </w:rPr>
      </w:pPr>
      <w:r w:rsidRPr="0097691D">
        <w:rPr>
          <w:rFonts w:ascii="Helvetica" w:hAnsi="Helvetica"/>
          <w:b/>
          <w:bCs/>
          <w:szCs w:val="26"/>
        </w:rPr>
        <w:t>DECISION ADOPTING REVISIONS TO ELECTRIC TARIFF RULE 21 TO INCLUDE A DISTRIBUTION GROUP STUDY PROCESS AND ADDITIONAL TARIFF FORMS</w:t>
      </w:r>
    </w:p>
    <w:p w:rsidR="00B30FF9" w:rsidRDefault="00B30FF9"/>
    <w:p w:rsidR="0047280A" w:rsidRPr="00A3316C" w:rsidRDefault="0047280A" w:rsidP="00A3316C">
      <w:pPr>
        <w:pStyle w:val="Heading1"/>
      </w:pPr>
      <w:bookmarkStart w:id="5" w:name="_Toc373325567"/>
      <w:bookmarkStart w:id="6" w:name="_Toc384806441"/>
      <w:bookmarkStart w:id="7" w:name="_Toc370798910"/>
      <w:r w:rsidRPr="0047280A">
        <w:t>Summary</w:t>
      </w:r>
      <w:bookmarkEnd w:id="5"/>
      <w:bookmarkEnd w:id="6"/>
    </w:p>
    <w:p w:rsidR="00DC23BD" w:rsidRDefault="0047280A" w:rsidP="0047280A">
      <w:pPr>
        <w:spacing w:line="360" w:lineRule="auto"/>
        <w:ind w:firstLine="720"/>
      </w:pPr>
      <w:r w:rsidRPr="0047280A">
        <w:t>Today’</w:t>
      </w:r>
      <w:r w:rsidR="00A3316C">
        <w:t>s decision directs Pacific Gas and</w:t>
      </w:r>
      <w:r w:rsidRPr="0047280A">
        <w:t xml:space="preserve"> Electric Company (PG&amp;E), Southern California Edison Company (SCE), and San Diego Gas </w:t>
      </w:r>
      <w:r w:rsidR="00A3316C">
        <w:t xml:space="preserve">&amp; </w:t>
      </w:r>
      <w:r w:rsidRPr="0047280A">
        <w:t xml:space="preserve">Electric Company (SDG&amp;E) to incorporate a Distribution Group Study Process into </w:t>
      </w:r>
      <w:r w:rsidR="00AC6405">
        <w:t>Electric Tariff - Rule 21, the interconnection tariff under this Commission</w:t>
      </w:r>
      <w:r w:rsidR="003A7A1C">
        <w:t>’</w:t>
      </w:r>
      <w:r w:rsidR="00AC6405">
        <w:t>s jurisdiction.</w:t>
      </w:r>
      <w:r w:rsidRPr="0047280A">
        <w:t xml:space="preserve"> </w:t>
      </w:r>
    </w:p>
    <w:p w:rsidR="00DC23BD" w:rsidRDefault="006B7961" w:rsidP="0047280A">
      <w:pPr>
        <w:spacing w:line="360" w:lineRule="auto"/>
        <w:ind w:firstLine="720"/>
      </w:pPr>
      <w:r>
        <w:t>Rule 21</w:t>
      </w:r>
      <w:r w:rsidR="0047280A" w:rsidRPr="0047280A">
        <w:t xml:space="preserve"> describes the interconnection requirements and cost allocation for generating facilities to be connected to the utilities’ distribution and transmission systems over which the Commission has jurisdiction.  The Commission most recently revised Rule 21 in Decision 12-09-018.  In adopting the additional revisions today, the Commission acknowledges the Legislative directive in Assembly Bill </w:t>
      </w:r>
      <w:r w:rsidR="00A3316C">
        <w:t xml:space="preserve">(AB) </w:t>
      </w:r>
      <w:r w:rsidR="0047280A" w:rsidRPr="0047280A">
        <w:t xml:space="preserve">327, effective January 1, 2014, directing </w:t>
      </w:r>
      <w:r w:rsidR="009E6445">
        <w:t>electrical corporations</w:t>
      </w:r>
      <w:r w:rsidR="0047280A" w:rsidRPr="0047280A">
        <w:t xml:space="preserve"> to, among other things, identify barriers to the deployment of distributed generation.</w:t>
      </w:r>
      <w:r w:rsidR="0047280A" w:rsidRPr="0047280A">
        <w:rPr>
          <w:vertAlign w:val="superscript"/>
        </w:rPr>
        <w:footnoteReference w:id="2"/>
      </w:r>
    </w:p>
    <w:p w:rsidR="00DC23BD" w:rsidRDefault="0047280A" w:rsidP="0047280A">
      <w:pPr>
        <w:spacing w:line="360" w:lineRule="auto"/>
        <w:ind w:firstLine="720"/>
      </w:pPr>
      <w:r w:rsidRPr="0047280A">
        <w:t xml:space="preserve">We further adopt several form agreements for use by the utilities under Rule 21, including a pre-application report request, an independent study process agreement, </w:t>
      </w:r>
      <w:r w:rsidR="00C1138B">
        <w:t xml:space="preserve">and an </w:t>
      </w:r>
      <w:r w:rsidRPr="0047280A">
        <w:t xml:space="preserve">interconnection agreement for exporting generation.  </w:t>
      </w:r>
    </w:p>
    <w:p w:rsidR="0047280A" w:rsidRPr="0047280A" w:rsidRDefault="0047280A" w:rsidP="0047280A">
      <w:pPr>
        <w:spacing w:line="360" w:lineRule="auto"/>
        <w:ind w:firstLine="720"/>
      </w:pPr>
      <w:r w:rsidRPr="0047280A">
        <w:t>Finally, to incorporate these revisions into Rule 21, we direct PG&amp;</w:t>
      </w:r>
      <w:r w:rsidR="00764E8C">
        <w:t xml:space="preserve">E, SCE, and SDG&amp;E to file Tier </w:t>
      </w:r>
      <w:r w:rsidR="00AD524C">
        <w:t>2</w:t>
      </w:r>
      <w:r w:rsidR="00AD524C" w:rsidRPr="0047280A">
        <w:t xml:space="preserve"> </w:t>
      </w:r>
      <w:r w:rsidRPr="0047280A">
        <w:t>Advice Letters with these new forms and a Distribution Group Study Process.</w:t>
      </w:r>
    </w:p>
    <w:p w:rsidR="0047280A" w:rsidRPr="0047280A" w:rsidRDefault="0047280A" w:rsidP="0047280A">
      <w:pPr>
        <w:spacing w:line="360" w:lineRule="auto"/>
        <w:ind w:firstLine="720"/>
      </w:pPr>
      <w:r w:rsidRPr="0047280A">
        <w:t>This proceeding remains open.</w:t>
      </w:r>
    </w:p>
    <w:p w:rsidR="0047280A" w:rsidRPr="00A3316C" w:rsidRDefault="0047280A" w:rsidP="00A3316C">
      <w:pPr>
        <w:pStyle w:val="Heading1"/>
      </w:pPr>
      <w:bookmarkStart w:id="8" w:name="_Toc373325568"/>
      <w:bookmarkStart w:id="9" w:name="_Toc384806442"/>
      <w:r w:rsidRPr="0047280A">
        <w:t>Distribution Group Study Process</w:t>
      </w:r>
      <w:bookmarkEnd w:id="8"/>
      <w:bookmarkEnd w:id="9"/>
      <w:r w:rsidR="004E2A84">
        <w:t xml:space="preserve"> </w:t>
      </w:r>
    </w:p>
    <w:p w:rsidR="0047280A" w:rsidRPr="0047280A" w:rsidRDefault="0047280A" w:rsidP="0047280A">
      <w:pPr>
        <w:spacing w:line="360" w:lineRule="auto"/>
        <w:ind w:firstLine="720"/>
      </w:pPr>
      <w:r w:rsidRPr="0047280A">
        <w:t xml:space="preserve">This decision adopts a </w:t>
      </w:r>
      <w:r w:rsidR="004E2A84" w:rsidRPr="0047280A">
        <w:t>Distribution Group Study Process</w:t>
      </w:r>
      <w:r w:rsidRPr="0047280A">
        <w:t xml:space="preserve"> for requests for interconnection under Electric Tariff</w:t>
      </w:r>
      <w:r w:rsidR="00E2481D">
        <w:t xml:space="preserve"> -</w:t>
      </w:r>
      <w:r w:rsidRPr="0047280A">
        <w:t xml:space="preserve"> Rule 21 (Rule 21). </w:t>
      </w:r>
      <w:r w:rsidR="00DE1E30">
        <w:t xml:space="preserve"> </w:t>
      </w:r>
      <w:r w:rsidR="007C296E" w:rsidRPr="007C296E">
        <w:t>The Commission envisions the group study process adopt</w:t>
      </w:r>
      <w:r w:rsidR="007C296E">
        <w:t xml:space="preserve">ed today </w:t>
      </w:r>
      <w:r w:rsidR="007C296E" w:rsidRPr="007C296E">
        <w:t>as providing a more equitable approach</w:t>
      </w:r>
      <w:r w:rsidR="00AD524C">
        <w:t>, in some circumstances,</w:t>
      </w:r>
      <w:r w:rsidR="007C296E" w:rsidRPr="007C296E">
        <w:t xml:space="preserve"> to the current options for </w:t>
      </w:r>
      <w:r w:rsidR="00BD5124">
        <w:t>interconnection under Rule 21.</w:t>
      </w:r>
    </w:p>
    <w:p w:rsidR="009C1736" w:rsidRDefault="0047280A" w:rsidP="009C1736">
      <w:pPr>
        <w:spacing w:line="360" w:lineRule="auto"/>
        <w:ind w:firstLine="720"/>
      </w:pPr>
      <w:r w:rsidRPr="0047280A">
        <w:t>Under the existing</w:t>
      </w:r>
      <w:r w:rsidR="006A05E8">
        <w:t xml:space="preserve"> terms of</w:t>
      </w:r>
      <w:r w:rsidRPr="0047280A">
        <w:t xml:space="preserve"> Rule 21, </w:t>
      </w:r>
      <w:r w:rsidR="00AD524C">
        <w:t xml:space="preserve">many </w:t>
      </w:r>
      <w:r w:rsidR="0005679F" w:rsidRPr="0047280A">
        <w:t>projects seeking interconnection to the distribution system</w:t>
      </w:r>
      <w:r w:rsidR="0097139E">
        <w:t xml:space="preserve"> must</w:t>
      </w:r>
      <w:r w:rsidR="0005679F" w:rsidRPr="0047280A">
        <w:t xml:space="preserve"> be studied serially</w:t>
      </w:r>
      <w:r w:rsidR="004E2A84">
        <w:t>, in a first-come, first-served process.</w:t>
      </w:r>
      <w:r w:rsidR="00AD524C">
        <w:rPr>
          <w:rStyle w:val="FootnoteReference"/>
        </w:rPr>
        <w:footnoteReference w:id="3"/>
      </w:r>
      <w:r w:rsidR="00DE085C">
        <w:t xml:space="preserve">  This process is referred to as</w:t>
      </w:r>
      <w:r w:rsidR="00946069">
        <w:t xml:space="preserve"> the Independent Study Process</w:t>
      </w:r>
      <w:r w:rsidR="00DE085C">
        <w:t>.</w:t>
      </w:r>
      <w:r w:rsidR="00DE085C" w:rsidRPr="00946069">
        <w:rPr>
          <w:vertAlign w:val="superscript"/>
        </w:rPr>
        <w:footnoteReference w:id="4"/>
      </w:r>
      <w:r w:rsidR="009C1736">
        <w:t xml:space="preserve"> </w:t>
      </w:r>
      <w:r w:rsidR="00946069">
        <w:t xml:space="preserve"> The </w:t>
      </w:r>
      <w:r w:rsidR="00946069" w:rsidRPr="00946069">
        <w:t>Independent Study Process</w:t>
      </w:r>
      <w:r w:rsidR="0097139E">
        <w:t xml:space="preserve"> </w:t>
      </w:r>
      <w:r w:rsidR="00946069" w:rsidRPr="00946069">
        <w:t>can be time consuming and the</w:t>
      </w:r>
      <w:r w:rsidR="00B42530">
        <w:t xml:space="preserve"> costs are not </w:t>
      </w:r>
      <w:r w:rsidR="00946069" w:rsidRPr="00946069">
        <w:t>distributed a</w:t>
      </w:r>
      <w:r w:rsidR="009C1736">
        <w:t xml:space="preserve">mong </w:t>
      </w:r>
      <w:r w:rsidR="00CD5551">
        <w:t xml:space="preserve">electrically </w:t>
      </w:r>
      <w:r w:rsidR="009C1736">
        <w:t>interdependent applicants.</w:t>
      </w:r>
      <w:r w:rsidR="009C1736">
        <w:rPr>
          <w:rStyle w:val="FootnoteReference"/>
        </w:rPr>
        <w:footnoteReference w:id="5"/>
      </w:r>
    </w:p>
    <w:p w:rsidR="0005679F" w:rsidRDefault="00946069" w:rsidP="009C1736">
      <w:pPr>
        <w:spacing w:line="360" w:lineRule="auto"/>
        <w:ind w:firstLine="720"/>
      </w:pPr>
      <w:r>
        <w:t xml:space="preserve">For example, </w:t>
      </w:r>
      <w:r w:rsidR="0005679F" w:rsidRPr="0047280A">
        <w:t>under the existing Rule 21</w:t>
      </w:r>
      <w:r w:rsidR="00DE085C">
        <w:t xml:space="preserve"> and the Independent Study Process</w:t>
      </w:r>
      <w:r w:rsidR="0005679F" w:rsidRPr="0047280A">
        <w:t xml:space="preserve">, </w:t>
      </w:r>
      <w:r w:rsidR="0097139E">
        <w:t xml:space="preserve">an </w:t>
      </w:r>
      <w:r w:rsidR="0005679F" w:rsidRPr="0047280A">
        <w:t xml:space="preserve">applicant </w:t>
      </w:r>
      <w:r w:rsidR="0097139E">
        <w:t xml:space="preserve">that is </w:t>
      </w:r>
      <w:r w:rsidR="0005679F" w:rsidRPr="0047280A">
        <w:t>electr</w:t>
      </w:r>
      <w:r w:rsidR="007A2167">
        <w:t>i</w:t>
      </w:r>
      <w:r w:rsidR="0005679F" w:rsidRPr="0047280A">
        <w:t xml:space="preserve">cally interdependent </w:t>
      </w:r>
      <w:r w:rsidR="0005679F">
        <w:t>with</w:t>
      </w:r>
      <w:r w:rsidR="0005679F" w:rsidRPr="0047280A">
        <w:t xml:space="preserve"> an earlier queued distribu</w:t>
      </w:r>
      <w:r w:rsidR="00B45C4D">
        <w:t>tion interconnection project</w:t>
      </w:r>
      <w:r w:rsidR="0005679F" w:rsidRPr="0047280A">
        <w:t xml:space="preserve"> </w:t>
      </w:r>
      <w:r w:rsidR="0097139E">
        <w:t xml:space="preserve">is </w:t>
      </w:r>
      <w:r w:rsidR="0005679F" w:rsidRPr="0047280A">
        <w:t>required to wait to proceed until the prior queued project completes its</w:t>
      </w:r>
      <w:r w:rsidR="0097139E">
        <w:t xml:space="preserve"> Independent</w:t>
      </w:r>
      <w:r w:rsidR="0005679F" w:rsidRPr="0047280A">
        <w:t xml:space="preserve"> </w:t>
      </w:r>
      <w:r w:rsidR="0097139E">
        <w:t>S</w:t>
      </w:r>
      <w:r w:rsidR="0005679F" w:rsidRPr="0047280A">
        <w:t xml:space="preserve">tudy </w:t>
      </w:r>
      <w:r w:rsidR="0097139E">
        <w:t>P</w:t>
      </w:r>
      <w:r w:rsidR="0005679F" w:rsidRPr="0047280A">
        <w:t xml:space="preserve">rocess or, if available, </w:t>
      </w:r>
      <w:r w:rsidR="00DE085C">
        <w:t xml:space="preserve">the applicant has the option of </w:t>
      </w:r>
      <w:r w:rsidR="0005679F" w:rsidRPr="0047280A">
        <w:t>join</w:t>
      </w:r>
      <w:r w:rsidR="00DE085C">
        <w:t>ing</w:t>
      </w:r>
      <w:r w:rsidR="0005679F" w:rsidRPr="0047280A">
        <w:t xml:space="preserve"> a Transmission Cluster Study Process under the utilities’ federal wholesale tariffs.</w:t>
      </w:r>
      <w:r w:rsidR="0005679F" w:rsidRPr="0047280A">
        <w:rPr>
          <w:sz w:val="24"/>
          <w:vertAlign w:val="superscript"/>
        </w:rPr>
        <w:footnoteReference w:id="6"/>
      </w:r>
      <w:r w:rsidR="009E0C21">
        <w:t xml:space="preserve"> </w:t>
      </w:r>
      <w:r w:rsidR="00DE085C">
        <w:t xml:space="preserve"> However, t</w:t>
      </w:r>
      <w:r w:rsidR="0005679F" w:rsidRPr="0047280A">
        <w:t>he availability of the Transmission Cluster Study Process is limited</w:t>
      </w:r>
      <w:r w:rsidR="002D7CF8">
        <w:t xml:space="preserve">. </w:t>
      </w:r>
      <w:r w:rsidR="008B2D5D">
        <w:t xml:space="preserve"> </w:t>
      </w:r>
      <w:r w:rsidR="002D7CF8">
        <w:t>T</w:t>
      </w:r>
      <w:r w:rsidR="0005679F" w:rsidRPr="0047280A">
        <w:t xml:space="preserve">he Transmission Cluster Study Process can </w:t>
      </w:r>
      <w:r w:rsidR="00EE7FF5">
        <w:t xml:space="preserve">also </w:t>
      </w:r>
      <w:r w:rsidR="0005679F" w:rsidRPr="0047280A">
        <w:t xml:space="preserve">be very lengthy, often </w:t>
      </w:r>
      <w:r w:rsidR="00DC23BD">
        <w:t xml:space="preserve">lasting </w:t>
      </w:r>
      <w:r w:rsidR="0005679F" w:rsidRPr="0047280A">
        <w:t xml:space="preserve">at least </w:t>
      </w:r>
      <w:r w:rsidR="0005679F">
        <w:t>two</w:t>
      </w:r>
      <w:r w:rsidR="0005679F" w:rsidRPr="0047280A">
        <w:t xml:space="preserve"> years.</w:t>
      </w:r>
      <w:r w:rsidR="00F86169">
        <w:rPr>
          <w:rStyle w:val="FootnoteReference"/>
        </w:rPr>
        <w:footnoteReference w:id="7"/>
      </w:r>
      <w:r w:rsidR="0005679F">
        <w:t xml:space="preserve"> </w:t>
      </w:r>
    </w:p>
    <w:p w:rsidR="0005679F" w:rsidRDefault="00B45C4D" w:rsidP="0047280A">
      <w:pPr>
        <w:spacing w:line="360" w:lineRule="auto"/>
        <w:ind w:firstLine="720"/>
      </w:pPr>
      <w:r>
        <w:t>In addition, u</w:t>
      </w:r>
      <w:r w:rsidRPr="00B45C4D">
        <w:t>nder the existing Rule 21 and the Independent Study Process</w:t>
      </w:r>
      <w:r>
        <w:t xml:space="preserve">, cost allocation and </w:t>
      </w:r>
      <w:r w:rsidR="0005679F" w:rsidRPr="0047280A">
        <w:t>upgrade costs, if any, are not spread among interdependent applicants.</w:t>
      </w:r>
      <w:r w:rsidR="007E4E1E">
        <w:rPr>
          <w:rStyle w:val="FootnoteReference"/>
        </w:rPr>
        <w:footnoteReference w:id="8"/>
      </w:r>
      <w:r w:rsidR="0005679F" w:rsidRPr="0047280A">
        <w:t xml:space="preserve"> </w:t>
      </w:r>
      <w:r w:rsidR="0005679F">
        <w:t xml:space="preserve"> D</w:t>
      </w:r>
      <w:r w:rsidR="0047280A" w:rsidRPr="0047280A">
        <w:t xml:space="preserve">istribution upgrade costs are </w:t>
      </w:r>
      <w:r w:rsidR="00A73BFB">
        <w:t xml:space="preserve">typically allocated to </w:t>
      </w:r>
      <w:r w:rsidR="0047280A" w:rsidRPr="0047280A">
        <w:t>the first project that triggers the need for an upgrade.</w:t>
      </w:r>
      <w:r w:rsidR="007E4E1E">
        <w:rPr>
          <w:rStyle w:val="FootnoteReference"/>
        </w:rPr>
        <w:footnoteReference w:id="9"/>
      </w:r>
      <w:r w:rsidR="0047280A" w:rsidRPr="0047280A">
        <w:t xml:space="preserve">  </w:t>
      </w:r>
      <w:r>
        <w:t>Moreover, u</w:t>
      </w:r>
      <w:r w:rsidR="0005679F" w:rsidRPr="0047280A">
        <w:t xml:space="preserve">nder the existing </w:t>
      </w:r>
      <w:r w:rsidR="00DE1E30">
        <w:br/>
      </w:r>
      <w:r w:rsidR="0005679F" w:rsidRPr="0047280A">
        <w:t xml:space="preserve">Rule 21 options, when </w:t>
      </w:r>
      <w:r w:rsidR="003E0C9B">
        <w:t>a project</w:t>
      </w:r>
      <w:r w:rsidR="0005679F" w:rsidRPr="0047280A">
        <w:t xml:space="preserve"> fail</w:t>
      </w:r>
      <w:r w:rsidR="003E0C9B">
        <w:t>s</w:t>
      </w:r>
      <w:r w:rsidR="0005679F" w:rsidRPr="0047280A">
        <w:t xml:space="preserve"> to complete </w:t>
      </w:r>
      <w:r w:rsidR="003E0C9B">
        <w:t xml:space="preserve">an </w:t>
      </w:r>
      <w:r w:rsidR="00585BAC">
        <w:t>upgrade</w:t>
      </w:r>
      <w:r w:rsidR="0005679F" w:rsidRPr="0047280A">
        <w:t xml:space="preserve"> or drop</w:t>
      </w:r>
      <w:r w:rsidR="003E0C9B">
        <w:t>s</w:t>
      </w:r>
      <w:r w:rsidR="0005679F" w:rsidRPr="0047280A">
        <w:t xml:space="preserve"> out of the queue, subsequent projects </w:t>
      </w:r>
      <w:r>
        <w:t xml:space="preserve">may require costly </w:t>
      </w:r>
      <w:r w:rsidR="003E0C9B">
        <w:t xml:space="preserve">restudies or </w:t>
      </w:r>
      <w:r>
        <w:t xml:space="preserve">be allocated </w:t>
      </w:r>
      <w:r w:rsidR="0005679F" w:rsidRPr="0047280A">
        <w:t xml:space="preserve">additional </w:t>
      </w:r>
      <w:r w:rsidR="00A73BFB">
        <w:t>costs</w:t>
      </w:r>
      <w:r w:rsidR="0005679F" w:rsidRPr="0047280A">
        <w:t xml:space="preserve"> for</w:t>
      </w:r>
      <w:r w:rsidR="00CD3AE8">
        <w:t xml:space="preserve"> new or different</w:t>
      </w:r>
      <w:r w:rsidR="0005679F" w:rsidRPr="0047280A">
        <w:t xml:space="preserve"> upgrade construction</w:t>
      </w:r>
      <w:r w:rsidR="00A73BFB">
        <w:t xml:space="preserve">.  While costly restudies and added </w:t>
      </w:r>
      <w:r w:rsidR="00A73BFB" w:rsidRPr="00DA4BB4">
        <w:t xml:space="preserve">costs due to </w:t>
      </w:r>
      <w:r w:rsidR="00344AFD" w:rsidRPr="00672840">
        <w:t xml:space="preserve">project failure and </w:t>
      </w:r>
      <w:r w:rsidR="00A73BFB" w:rsidRPr="00672840">
        <w:t xml:space="preserve">incompleted upgrades may </w:t>
      </w:r>
      <w:r w:rsidR="00A73BFB" w:rsidRPr="00422C78">
        <w:t>still occur</w:t>
      </w:r>
      <w:r w:rsidR="00344AFD" w:rsidRPr="00672840">
        <w:t xml:space="preserve"> under the Distribution Group Study Process</w:t>
      </w:r>
      <w:r w:rsidR="00A73BFB" w:rsidRPr="00672840">
        <w:t xml:space="preserve">, </w:t>
      </w:r>
      <w:r w:rsidR="00344AFD" w:rsidRPr="00672840">
        <w:t xml:space="preserve">related </w:t>
      </w:r>
      <w:r w:rsidR="00A73BFB" w:rsidRPr="00672840">
        <w:t>cost</w:t>
      </w:r>
      <w:r w:rsidR="007B143A" w:rsidRPr="00672840">
        <w:t>s</w:t>
      </w:r>
      <w:r w:rsidR="00A73BFB" w:rsidRPr="00672840">
        <w:t xml:space="preserve"> </w:t>
      </w:r>
      <w:r w:rsidR="00344AFD" w:rsidRPr="00672840">
        <w:t>could</w:t>
      </w:r>
      <w:r w:rsidR="00A73BFB" w:rsidRPr="00305894">
        <w:t xml:space="preserve"> be shared</w:t>
      </w:r>
      <w:r w:rsidR="00A73BFB" w:rsidRPr="00DA4BB4">
        <w:t xml:space="preserve"> among</w:t>
      </w:r>
      <w:r w:rsidR="00A73BFB">
        <w:t xml:space="preserve"> the </w:t>
      </w:r>
      <w:r w:rsidR="00344AFD">
        <w:t xml:space="preserve">study </w:t>
      </w:r>
      <w:r w:rsidR="00A73BFB">
        <w:t>group</w:t>
      </w:r>
      <w:r w:rsidR="00344AFD">
        <w:t>, rather than imposed on an individual applicant</w:t>
      </w:r>
      <w:r w:rsidR="00A73BFB">
        <w:t>.</w:t>
      </w:r>
    </w:p>
    <w:p w:rsidR="007C71DE" w:rsidRDefault="009E0C21" w:rsidP="007C71DE">
      <w:pPr>
        <w:spacing w:line="360" w:lineRule="auto"/>
        <w:ind w:firstLine="720"/>
      </w:pPr>
      <w:r w:rsidRPr="0047280A">
        <w:t xml:space="preserve">The Commission envisions </w:t>
      </w:r>
      <w:r w:rsidR="00946069">
        <w:t xml:space="preserve">the </w:t>
      </w:r>
      <w:r w:rsidRPr="0047280A">
        <w:t>group study process</w:t>
      </w:r>
      <w:r w:rsidR="00946069">
        <w:t xml:space="preserve"> adopted today and referred to as the </w:t>
      </w:r>
      <w:r w:rsidR="002D7CF8" w:rsidRPr="0047280A">
        <w:t>Distribution Group Study Process</w:t>
      </w:r>
      <w:r w:rsidRPr="0047280A">
        <w:t xml:space="preserve"> as providing a</w:t>
      </w:r>
      <w:r w:rsidR="00884207">
        <w:t xml:space="preserve"> more equitable</w:t>
      </w:r>
      <w:r w:rsidR="00DC23BD">
        <w:t>, efficient, and timely</w:t>
      </w:r>
      <w:r w:rsidR="00884207">
        <w:t xml:space="preserve"> approach to </w:t>
      </w:r>
      <w:r w:rsidR="007C71DE">
        <w:t xml:space="preserve">the </w:t>
      </w:r>
      <w:r w:rsidR="00884207">
        <w:t xml:space="preserve">current options for interconnection under Rule 21.  </w:t>
      </w:r>
      <w:r w:rsidR="0047280A" w:rsidRPr="0047280A">
        <w:t xml:space="preserve">This new process will, among other things, promote timeliness, the non-discriminatory processing of interconnection applications, </w:t>
      </w:r>
      <w:r w:rsidR="00DC23BD">
        <w:t xml:space="preserve">improve </w:t>
      </w:r>
      <w:r w:rsidR="0047280A" w:rsidRPr="0047280A">
        <w:t>cost-effective</w:t>
      </w:r>
      <w:r w:rsidR="00DC23BD">
        <w:t>ness</w:t>
      </w:r>
      <w:r w:rsidR="0047280A" w:rsidRPr="0047280A">
        <w:t xml:space="preserve">, and increase transparency.  As a result, the interconnection process for distributed generation will </w:t>
      </w:r>
      <w:r w:rsidR="00DC23BD">
        <w:t xml:space="preserve">better </w:t>
      </w:r>
      <w:r w:rsidR="0047280A" w:rsidRPr="0047280A">
        <w:t>accommodate increase</w:t>
      </w:r>
      <w:r w:rsidR="00DC23BD">
        <w:t>s</w:t>
      </w:r>
      <w:r w:rsidR="0047280A" w:rsidRPr="0047280A">
        <w:t xml:space="preserve"> in applications </w:t>
      </w:r>
      <w:r w:rsidR="00DC23BD">
        <w:t xml:space="preserve">for interconnection </w:t>
      </w:r>
      <w:r w:rsidR="0047280A" w:rsidRPr="0047280A">
        <w:t>by small</w:t>
      </w:r>
      <w:r w:rsidR="00585BAC">
        <w:t xml:space="preserve"> </w:t>
      </w:r>
      <w:r w:rsidR="0047280A" w:rsidRPr="0047280A">
        <w:t>distributed generation under California’s Renewable Portfolio Standard (RPS) Program (Pub. Util.</w:t>
      </w:r>
      <w:r w:rsidR="00BD5124">
        <w:t xml:space="preserve"> </w:t>
      </w:r>
      <w:r w:rsidR="002D7CF8">
        <w:br/>
      </w:r>
      <w:r w:rsidR="0047280A" w:rsidRPr="0047280A">
        <w:t xml:space="preserve">Code </w:t>
      </w:r>
      <w:r w:rsidR="0047280A" w:rsidRPr="0047280A">
        <w:rPr>
          <w:rFonts w:ascii="Book Antiqua" w:hAnsi="Book Antiqua"/>
        </w:rPr>
        <w:t>§</w:t>
      </w:r>
      <w:r w:rsidR="0047280A" w:rsidRPr="0047280A">
        <w:t xml:space="preserve"> 399.11 through § 399.32).</w:t>
      </w:r>
      <w:r w:rsidR="0047280A" w:rsidRPr="0047280A">
        <w:rPr>
          <w:sz w:val="24"/>
          <w:vertAlign w:val="superscript"/>
        </w:rPr>
        <w:footnoteReference w:id="10"/>
      </w:r>
      <w:r w:rsidR="007C71DE">
        <w:t xml:space="preserve"> </w:t>
      </w:r>
    </w:p>
    <w:p w:rsidR="0047280A" w:rsidRPr="0047280A" w:rsidRDefault="0047280A" w:rsidP="007C71DE">
      <w:pPr>
        <w:spacing w:line="360" w:lineRule="auto"/>
        <w:ind w:firstLine="720"/>
      </w:pPr>
      <w:r w:rsidRPr="0047280A">
        <w:t xml:space="preserve">The specifics of the adopted </w:t>
      </w:r>
      <w:r w:rsidR="00C62D06">
        <w:t xml:space="preserve">group study </w:t>
      </w:r>
      <w:r w:rsidRPr="0047280A">
        <w:t>process are discussed below.</w:t>
      </w:r>
    </w:p>
    <w:p w:rsidR="0047280A" w:rsidRPr="00A3316C" w:rsidRDefault="0047280A" w:rsidP="00A3316C">
      <w:pPr>
        <w:pStyle w:val="Heading2"/>
      </w:pPr>
      <w:bookmarkStart w:id="10" w:name="_Toc373325569"/>
      <w:bookmarkStart w:id="11" w:name="_Toc384806443"/>
      <w:r w:rsidRPr="00A3316C">
        <w:t>Procedural Background</w:t>
      </w:r>
      <w:bookmarkEnd w:id="10"/>
      <w:bookmarkEnd w:id="11"/>
    </w:p>
    <w:p w:rsidR="0047280A" w:rsidRPr="0047280A" w:rsidRDefault="0047280A" w:rsidP="0047280A">
      <w:pPr>
        <w:spacing w:line="360" w:lineRule="auto"/>
        <w:ind w:firstLine="720"/>
      </w:pPr>
      <w:r w:rsidRPr="0047280A">
        <w:t xml:space="preserve">In </w:t>
      </w:r>
      <w:r w:rsidR="00936F2A">
        <w:t>D</w:t>
      </w:r>
      <w:r w:rsidRPr="0047280A">
        <w:t>.12-09-018,</w:t>
      </w:r>
      <w:r w:rsidRPr="0047280A">
        <w:rPr>
          <w:sz w:val="24"/>
          <w:vertAlign w:val="superscript"/>
        </w:rPr>
        <w:footnoteReference w:id="11"/>
      </w:r>
      <w:r w:rsidRPr="0047280A">
        <w:t xml:space="preserve"> the Commission adopted revi</w:t>
      </w:r>
      <w:r w:rsidR="00585BAC">
        <w:t xml:space="preserve">sions to Rule 21 reflected </w:t>
      </w:r>
      <w:r w:rsidRPr="0047280A">
        <w:t>in the March 2, 2012 Proposed</w:t>
      </w:r>
      <w:r w:rsidR="00B42530">
        <w:t xml:space="preserve"> Settlement submitted in Phase I</w:t>
      </w:r>
      <w:r w:rsidRPr="0047280A">
        <w:t xml:space="preserve"> of this proceeding.  In advance of the Commission’s issuance of D.12-09-018, Vote Solar Initiative filed a motion, also on March 2, 2012, requesting the Commission to initiate consideration of a group study process, the Distribution Group Study Process.</w:t>
      </w:r>
      <w:r w:rsidRPr="0047280A">
        <w:rPr>
          <w:sz w:val="24"/>
          <w:vertAlign w:val="superscript"/>
        </w:rPr>
        <w:footnoteReference w:id="12"/>
      </w:r>
      <w:r w:rsidRPr="0047280A">
        <w:t xml:space="preserve">  </w:t>
      </w:r>
    </w:p>
    <w:p w:rsidR="0047280A" w:rsidRPr="0047280A" w:rsidRDefault="0047280A" w:rsidP="0047280A">
      <w:pPr>
        <w:spacing w:line="360" w:lineRule="auto"/>
        <w:ind w:firstLine="720"/>
      </w:pPr>
      <w:r w:rsidRPr="0047280A">
        <w:t xml:space="preserve">Vote Solar Initiative’s motion was granted by the April 20, 2012 </w:t>
      </w:r>
      <w:r w:rsidRPr="0047280A">
        <w:rPr>
          <w:i/>
        </w:rPr>
        <w:t xml:space="preserve">Administrative Law Judge’s Ruling Granting the Motion of Vote Solar </w:t>
      </w:r>
      <w:r w:rsidRPr="0047280A">
        <w:t xml:space="preserve">(April 20, </w:t>
      </w:r>
      <w:r w:rsidR="00DC23BD">
        <w:t>2</w:t>
      </w:r>
      <w:r w:rsidRPr="0047280A">
        <w:t>012 ALJ Ruling).</w:t>
      </w:r>
      <w:r w:rsidRPr="0047280A">
        <w:rPr>
          <w:i/>
        </w:rPr>
        <w:t xml:space="preserve">  </w:t>
      </w:r>
      <w:r w:rsidRPr="0047280A">
        <w:t xml:space="preserve">The April 20, 2012 ALJ Ruling served to initiate the Commission’s consideration of the </w:t>
      </w:r>
      <w:r w:rsidR="002D7CF8" w:rsidRPr="0047280A">
        <w:t>Distribution Group Study Process</w:t>
      </w:r>
      <w:r w:rsidRPr="0047280A">
        <w:t xml:space="preserve"> by setting a workshop on June 6, 2012 and establishing a schedule for comments on this process.</w:t>
      </w:r>
    </w:p>
    <w:p w:rsidR="0047280A" w:rsidRPr="0047280A" w:rsidRDefault="0047280A" w:rsidP="0047280A">
      <w:pPr>
        <w:spacing w:line="360" w:lineRule="auto"/>
        <w:ind w:firstLine="720"/>
      </w:pPr>
      <w:r w:rsidRPr="0047280A">
        <w:t xml:space="preserve">This workshop was held at the Commission on June 6, 2012, and, on </w:t>
      </w:r>
      <w:r w:rsidR="00936F2A">
        <w:br/>
      </w:r>
      <w:r w:rsidRPr="0047280A">
        <w:t>July 10, 2012, PG&amp;E and SC</w:t>
      </w:r>
      <w:r w:rsidR="00585BAC">
        <w:t xml:space="preserve">E filed separate outlines proposing </w:t>
      </w:r>
      <w:r w:rsidR="002D7CF8">
        <w:t xml:space="preserve">a </w:t>
      </w:r>
      <w:r w:rsidRPr="0047280A">
        <w:t>Distribution Group Study Process.</w:t>
      </w:r>
      <w:r w:rsidR="00936F2A">
        <w:t xml:space="preserve">  </w:t>
      </w:r>
      <w:r w:rsidRPr="0047280A">
        <w:t>SDG&amp;E later indicated its support for and joined in PG&amp;E’s proposal.</w:t>
      </w:r>
      <w:bookmarkStart w:id="12" w:name="_ftnref2"/>
      <w:r w:rsidRPr="0047280A">
        <w:rPr>
          <w:vertAlign w:val="superscript"/>
        </w:rPr>
        <w:footnoteReference w:id="13"/>
      </w:r>
      <w:hyperlink r:id="rId18" w:anchor="_ftn2" w:history="1">
        <w:r w:rsidR="00E272A7" w:rsidRPr="00E272A7">
          <w:rPr>
            <w:rStyle w:val="Hyperlink"/>
          </w:rPr>
          <w:t>https://mail.google.com/mail/u/0/?tab=wm - _ftn2</w:t>
        </w:r>
      </w:hyperlink>
      <w:bookmarkEnd w:id="12"/>
      <w:r w:rsidRPr="0047280A">
        <w:t xml:space="preserve">  Parties filed comments on the utilities’ outlines for a Distribution Group Study Process on July 31, 2012.</w:t>
      </w:r>
      <w:r w:rsidRPr="0047280A">
        <w:rPr>
          <w:sz w:val="24"/>
          <w:vertAlign w:val="superscript"/>
        </w:rPr>
        <w:footnoteReference w:id="14"/>
      </w:r>
      <w:r w:rsidRPr="0047280A">
        <w:t xml:space="preserve">  Reply comments were filed on August 21, 2012.</w:t>
      </w:r>
      <w:r w:rsidRPr="0047280A">
        <w:rPr>
          <w:sz w:val="24"/>
          <w:vertAlign w:val="superscript"/>
        </w:rPr>
        <w:footnoteReference w:id="15"/>
      </w:r>
    </w:p>
    <w:p w:rsidR="0047280A" w:rsidRPr="0047280A" w:rsidRDefault="0047280A" w:rsidP="0047280A">
      <w:pPr>
        <w:spacing w:line="360" w:lineRule="auto"/>
        <w:ind w:firstLine="720"/>
      </w:pPr>
      <w:r w:rsidRPr="0047280A">
        <w:t xml:space="preserve">The September 26, 2012 Assigned Commissioner’s Ruling initiated Phase II of this proceeding and identified for consideration in Phase II, among other things, the topic of a </w:t>
      </w:r>
      <w:r w:rsidR="002D7CF8" w:rsidRPr="0047280A">
        <w:t>Distribution Group Study Process</w:t>
      </w:r>
      <w:r w:rsidRPr="0047280A">
        <w:t xml:space="preserve"> for distribution interconnection under Rule 21.</w:t>
      </w:r>
      <w:r w:rsidR="00655881">
        <w:rPr>
          <w:rStyle w:val="FootnoteReference"/>
        </w:rPr>
        <w:footnoteReference w:id="16"/>
      </w:r>
    </w:p>
    <w:p w:rsidR="0047280A" w:rsidRPr="0047280A" w:rsidRDefault="0047280A" w:rsidP="0047280A">
      <w:pPr>
        <w:spacing w:line="360" w:lineRule="auto"/>
        <w:ind w:firstLine="720"/>
      </w:pPr>
      <w:r w:rsidRPr="0047280A">
        <w:t>On February 19, 2013, PG&amp;E, SCE, and SDG&amp;E filed proposed tariff language for revisions to Rule 21 that more fully develop</w:t>
      </w:r>
      <w:r w:rsidR="001A17FD">
        <w:t>ed</w:t>
      </w:r>
      <w:r w:rsidR="00922E44">
        <w:t xml:space="preserve"> their July 10, 2012 outlines for </w:t>
      </w:r>
      <w:r w:rsidRPr="0047280A">
        <w:t>their Distribution Group Study Process</w:t>
      </w:r>
      <w:r w:rsidR="002D7CF8">
        <w:t>es</w:t>
      </w:r>
      <w:r w:rsidRPr="0047280A">
        <w:t>.</w:t>
      </w:r>
      <w:r w:rsidRPr="0047280A">
        <w:rPr>
          <w:sz w:val="24"/>
          <w:vertAlign w:val="superscript"/>
        </w:rPr>
        <w:footnoteReference w:id="17"/>
      </w:r>
      <w:r w:rsidRPr="0047280A">
        <w:t xml:space="preserve">  Parties filed comments and reply comments on the proposed tariffs on March 8, 2013</w:t>
      </w:r>
      <w:r w:rsidRPr="0047280A">
        <w:rPr>
          <w:sz w:val="24"/>
          <w:vertAlign w:val="superscript"/>
        </w:rPr>
        <w:footnoteReference w:id="18"/>
      </w:r>
      <w:r w:rsidRPr="0047280A">
        <w:t xml:space="preserve"> and March 22, 2013.</w:t>
      </w:r>
      <w:r w:rsidRPr="0047280A">
        <w:rPr>
          <w:sz w:val="24"/>
          <w:vertAlign w:val="superscript"/>
        </w:rPr>
        <w:footnoteReference w:id="19"/>
      </w:r>
      <w:r w:rsidRPr="0047280A">
        <w:t xml:space="preserve">  </w:t>
      </w:r>
      <w:r w:rsidR="00CD3AE8">
        <w:t>The March 22, 2014 comments by PG&amp;E, SCE, and SDG&amp;E include proposals to address concerns raised by parties.</w:t>
      </w:r>
    </w:p>
    <w:p w:rsidR="0047280A" w:rsidRPr="0047280A" w:rsidRDefault="002D7CF8" w:rsidP="00A3316C">
      <w:pPr>
        <w:pStyle w:val="Heading2"/>
      </w:pPr>
      <w:bookmarkStart w:id="13" w:name="_Toc384806444"/>
      <w:r>
        <w:t>Goals</w:t>
      </w:r>
      <w:bookmarkEnd w:id="13"/>
    </w:p>
    <w:p w:rsidR="0047280A" w:rsidRDefault="0047280A" w:rsidP="0047280A">
      <w:pPr>
        <w:spacing w:line="360" w:lineRule="auto"/>
        <w:ind w:firstLine="720"/>
      </w:pPr>
      <w:r w:rsidRPr="0047280A">
        <w:t>This rulemaking seeks to “ensure that the interconnection process is timely, non-discriminatory, cost-effective, and transparent.”</w:t>
      </w:r>
      <w:r w:rsidRPr="0047280A">
        <w:rPr>
          <w:vertAlign w:val="superscript"/>
        </w:rPr>
        <w:footnoteReference w:id="20"/>
      </w:r>
      <w:r w:rsidRPr="0047280A">
        <w:t xml:space="preserve">  The Commission’s goals in establishing a </w:t>
      </w:r>
      <w:r w:rsidR="002D7CF8" w:rsidRPr="0047280A">
        <w:t>Distribution Group Study Process</w:t>
      </w:r>
      <w:r w:rsidR="002D7CF8">
        <w:t xml:space="preserve"> </w:t>
      </w:r>
      <w:r w:rsidRPr="0047280A">
        <w:t xml:space="preserve">are consistent with the goals of this rulemaking.  Any </w:t>
      </w:r>
      <w:r w:rsidR="002D7CF8" w:rsidRPr="0047280A">
        <w:t>Distribution Group Study Process</w:t>
      </w:r>
      <w:r w:rsidRPr="0047280A">
        <w:t xml:space="preserve"> incorporated into Rule 21 should promote these goals.</w:t>
      </w:r>
    </w:p>
    <w:p w:rsidR="00BE62A1" w:rsidRPr="0047280A" w:rsidRDefault="00BE62A1" w:rsidP="00BE62A1">
      <w:pPr>
        <w:pStyle w:val="Heading2"/>
      </w:pPr>
      <w:bookmarkStart w:id="14" w:name="_Toc384806445"/>
      <w:r>
        <w:t>Utilities’ Proposals</w:t>
      </w:r>
      <w:bookmarkEnd w:id="14"/>
    </w:p>
    <w:p w:rsidR="0047280A" w:rsidRPr="0047280A" w:rsidRDefault="0047280A" w:rsidP="00BE62A1">
      <w:pPr>
        <w:pStyle w:val="Heading3"/>
      </w:pPr>
      <w:bookmarkStart w:id="15" w:name="_Toc373325571"/>
      <w:bookmarkStart w:id="16" w:name="_Toc384806446"/>
      <w:r w:rsidRPr="0047280A">
        <w:t>PG&amp;E</w:t>
      </w:r>
      <w:bookmarkEnd w:id="15"/>
      <w:bookmarkEnd w:id="16"/>
    </w:p>
    <w:p w:rsidR="0047280A" w:rsidRPr="0047280A" w:rsidRDefault="0047280A" w:rsidP="0047280A">
      <w:pPr>
        <w:spacing w:line="360" w:lineRule="auto"/>
        <w:ind w:firstLine="720"/>
      </w:pPr>
      <w:r w:rsidRPr="0047280A">
        <w:t xml:space="preserve">PG&amp;E suggests that a </w:t>
      </w:r>
      <w:r w:rsidR="002D7CF8" w:rsidRPr="0047280A">
        <w:t>Distribution Group Study Process</w:t>
      </w:r>
      <w:r w:rsidR="005A3AF0" w:rsidRPr="0047280A" w:rsidDel="005A3AF0">
        <w:t xml:space="preserve"> </w:t>
      </w:r>
      <w:r w:rsidRPr="0047280A">
        <w:t xml:space="preserve">for electrically interdependent projects will create efficiencies, reduce disparities in results, increase transparency in the interconnection process, prevent previously queued projects from adversely impacting subsequent projects, and enable cost sharing of construction and upgrade costs.  PG&amp;E’s proposal for a </w:t>
      </w:r>
      <w:r w:rsidR="002D7CF8" w:rsidRPr="0047280A">
        <w:t>Distribution Group Study Process</w:t>
      </w:r>
      <w:r w:rsidR="002D7CF8">
        <w:t xml:space="preserve"> </w:t>
      </w:r>
      <w:r w:rsidRPr="0047280A">
        <w:t>includes the following main components:</w:t>
      </w:r>
    </w:p>
    <w:p w:rsidR="0047280A" w:rsidRPr="0047280A" w:rsidRDefault="0047280A" w:rsidP="0047280A">
      <w:pPr>
        <w:spacing w:line="360" w:lineRule="auto"/>
        <w:ind w:firstLine="720"/>
      </w:pPr>
      <w:r w:rsidRPr="0047280A">
        <w:t>Interconnection applications submitted under PG&amp;E’s proposed Rule 21 for projects found to be electrically interdepen</w:t>
      </w:r>
      <w:r w:rsidR="00AF55C8">
        <w:t>dent on the distribution system</w:t>
      </w:r>
      <w:r w:rsidRPr="0047280A">
        <w:t xml:space="preserve"> would be studied together and grouped into one of the two annual study groups convened per calendar year.</w:t>
      </w:r>
      <w:r w:rsidRPr="0047280A">
        <w:rPr>
          <w:sz w:val="24"/>
          <w:vertAlign w:val="superscript"/>
        </w:rPr>
        <w:footnoteReference w:id="21"/>
      </w:r>
      <w:r w:rsidRPr="0047280A">
        <w:t xml:space="preserve"> </w:t>
      </w:r>
    </w:p>
    <w:p w:rsidR="0047280A" w:rsidRPr="0047280A" w:rsidRDefault="0047280A" w:rsidP="0047280A">
      <w:pPr>
        <w:spacing w:line="360" w:lineRule="auto"/>
        <w:ind w:firstLine="720"/>
      </w:pPr>
      <w:r w:rsidRPr="0047280A">
        <w:t>Whether a project is electrically interdependent would be determined by PG&amp;E.</w:t>
      </w:r>
      <w:r w:rsidRPr="0047280A">
        <w:rPr>
          <w:sz w:val="24"/>
          <w:vertAlign w:val="superscript"/>
        </w:rPr>
        <w:footnoteReference w:id="22"/>
      </w:r>
      <w:r w:rsidRPr="0047280A">
        <w:t xml:space="preserve">  PG&amp;E would </w:t>
      </w:r>
      <w:r w:rsidR="00916D47">
        <w:t>make</w:t>
      </w:r>
      <w:r w:rsidRPr="0047280A">
        <w:t xml:space="preserve"> this determination by evaluating each Interconnection Request for “known or reasonably anticipated relationships between the Interconnection Request and any earlier-queued interconnection requests in the Distribution Group Study Process, the Independent Study Process, or interconnection requests studied under predecessor interconnection procedures that have yet to complete their respective interconnection system impact study or Phase I interconnection study.”</w:t>
      </w:r>
      <w:r w:rsidRPr="0047280A">
        <w:rPr>
          <w:sz w:val="24"/>
          <w:vertAlign w:val="superscript"/>
        </w:rPr>
        <w:footnoteReference w:id="23"/>
      </w:r>
    </w:p>
    <w:p w:rsidR="0047280A" w:rsidRPr="0047280A" w:rsidRDefault="0047280A" w:rsidP="0047280A">
      <w:pPr>
        <w:spacing w:line="360" w:lineRule="auto"/>
        <w:ind w:firstLine="720"/>
      </w:pPr>
      <w:r w:rsidRPr="0047280A">
        <w:t>PG&amp;E would form a study group when two or more generating projects seek interconnection in a similar electrical area or at the same point of interconnection as determined by PG&amp;E’s engineering judgment.</w:t>
      </w:r>
      <w:r w:rsidRPr="00E9783A">
        <w:rPr>
          <w:sz w:val="24"/>
          <w:vertAlign w:val="superscript"/>
        </w:rPr>
        <w:footnoteReference w:id="24"/>
      </w:r>
      <w:r w:rsidRPr="00E9783A">
        <w:t xml:space="preserve">  </w:t>
      </w:r>
      <w:r w:rsidRPr="0047280A">
        <w:t xml:space="preserve">The electrical area in which applicants seek to interconnect along a particular circuit would demarcate the area which </w:t>
      </w:r>
      <w:r w:rsidR="00916D47">
        <w:t>would</w:t>
      </w:r>
      <w:r w:rsidRPr="0047280A">
        <w:t xml:space="preserve"> </w:t>
      </w:r>
      <w:r w:rsidR="005A3AF0">
        <w:t>constitute</w:t>
      </w:r>
      <w:r w:rsidR="005A3AF0" w:rsidRPr="0047280A">
        <w:t xml:space="preserve"> </w:t>
      </w:r>
      <w:r w:rsidRPr="0047280A">
        <w:t>the group.</w:t>
      </w:r>
    </w:p>
    <w:p w:rsidR="0047280A" w:rsidRPr="0047280A" w:rsidRDefault="0047280A" w:rsidP="0047280A">
      <w:pPr>
        <w:spacing w:line="360" w:lineRule="auto"/>
        <w:ind w:firstLine="720"/>
      </w:pPr>
      <w:r w:rsidRPr="0047280A">
        <w:t>PG&amp;E would form two study groups annually</w:t>
      </w:r>
      <w:r w:rsidRPr="003769AD">
        <w:t>, spaced six months apart,</w:t>
      </w:r>
      <w:r w:rsidRPr="0047280A">
        <w:t xml:space="preserve"> </w:t>
      </w:r>
      <w:r w:rsidR="006B7961">
        <w:t>with 30-</w:t>
      </w:r>
      <w:r w:rsidR="00916D47">
        <w:t>day application windows</w:t>
      </w:r>
      <w:r w:rsidRPr="0047280A">
        <w:t>.</w:t>
      </w:r>
      <w:r w:rsidRPr="0047280A">
        <w:rPr>
          <w:sz w:val="24"/>
          <w:vertAlign w:val="superscript"/>
        </w:rPr>
        <w:footnoteReference w:id="25"/>
      </w:r>
      <w:r w:rsidRPr="0047280A">
        <w:t xml:space="preserve">  The study group timelines would be consistent with the timeline under Rule 21 for the Independent Study Process.</w:t>
      </w:r>
      <w:r w:rsidRPr="0047280A">
        <w:rPr>
          <w:vertAlign w:val="superscript"/>
        </w:rPr>
        <w:footnoteReference w:id="26"/>
      </w:r>
      <w:r w:rsidRPr="0047280A">
        <w:t xml:space="preserve">  </w:t>
      </w:r>
    </w:p>
    <w:p w:rsidR="0047280A" w:rsidRPr="0047280A" w:rsidRDefault="0047280A" w:rsidP="0047280A">
      <w:pPr>
        <w:spacing w:line="360" w:lineRule="auto"/>
        <w:ind w:firstLine="720"/>
      </w:pPr>
      <w:r w:rsidRPr="0047280A">
        <w:t>The Independent Study Process, set forth in</w:t>
      </w:r>
      <w:r w:rsidR="005E51B9">
        <w:t xml:space="preserve"> Rule 21, seems to be</w:t>
      </w:r>
      <w:r w:rsidRPr="0047280A">
        <w:t xml:space="preserve"> available </w:t>
      </w:r>
      <w:r w:rsidR="005A3AF0">
        <w:t xml:space="preserve">as </w:t>
      </w:r>
      <w:r w:rsidRPr="0047280A">
        <w:t xml:space="preserve">an alternative option if the project qualifies, except during </w:t>
      </w:r>
      <w:r w:rsidR="005A3AF0">
        <w:t xml:space="preserve">the </w:t>
      </w:r>
      <w:r w:rsidRPr="0047280A">
        <w:t>application window periods when study groups will be formed</w:t>
      </w:r>
      <w:r w:rsidR="005A3AF0">
        <w:t xml:space="preserve"> for the </w:t>
      </w:r>
      <w:r w:rsidR="00500460" w:rsidRPr="0047280A">
        <w:t>Distribution Group Study Process</w:t>
      </w:r>
      <w:r w:rsidRPr="0047280A">
        <w:t>.</w:t>
      </w:r>
      <w:r w:rsidRPr="0047280A">
        <w:rPr>
          <w:sz w:val="24"/>
          <w:vertAlign w:val="superscript"/>
        </w:rPr>
        <w:footnoteReference w:id="27"/>
      </w:r>
    </w:p>
    <w:p w:rsidR="0047280A" w:rsidRPr="0047280A" w:rsidRDefault="0047280A" w:rsidP="0047280A">
      <w:pPr>
        <w:spacing w:line="360" w:lineRule="auto"/>
        <w:ind w:firstLine="720"/>
      </w:pPr>
      <w:r w:rsidRPr="0047280A">
        <w:t>PG&amp;E’s proposal includes lengthening the group study timeline if the volume of distribution group study applicants is unexpectedly high.</w:t>
      </w:r>
      <w:r w:rsidRPr="0047280A">
        <w:rPr>
          <w:sz w:val="24"/>
          <w:vertAlign w:val="superscript"/>
        </w:rPr>
        <w:footnoteReference w:id="28"/>
      </w:r>
    </w:p>
    <w:p w:rsidR="0047280A" w:rsidRPr="0047280A" w:rsidRDefault="0047280A" w:rsidP="0047280A">
      <w:pPr>
        <w:spacing w:line="360" w:lineRule="auto"/>
        <w:ind w:firstLine="720"/>
      </w:pPr>
      <w:r w:rsidRPr="0047280A">
        <w:t xml:space="preserve">Network and distribution upgrade costs would be allocated among the group study participants, similar to the Transmission </w:t>
      </w:r>
      <w:r w:rsidR="00500460">
        <w:t xml:space="preserve">Cluster Study Process under </w:t>
      </w:r>
      <w:r w:rsidRPr="0047280A">
        <w:t>federal wholesale tariffs.</w:t>
      </w:r>
      <w:r w:rsidRPr="0047280A">
        <w:rPr>
          <w:sz w:val="24"/>
          <w:vertAlign w:val="superscript"/>
        </w:rPr>
        <w:footnoteReference w:id="29"/>
      </w:r>
      <w:r w:rsidRPr="0047280A">
        <w:t xml:space="preserve">  In the case of an applicant dropping out from a study group, costs would be reallocated to the remaining generator participants and any restudy costs would be conducted at the group’s expense.</w:t>
      </w:r>
      <w:r w:rsidRPr="0047280A">
        <w:rPr>
          <w:sz w:val="24"/>
          <w:vertAlign w:val="superscript"/>
        </w:rPr>
        <w:footnoteReference w:id="30"/>
      </w:r>
      <w:r w:rsidRPr="0047280A">
        <w:t xml:space="preserve"> </w:t>
      </w:r>
    </w:p>
    <w:p w:rsidR="0047280A" w:rsidRPr="0047280A" w:rsidRDefault="0047280A" w:rsidP="0047280A">
      <w:pPr>
        <w:spacing w:line="360" w:lineRule="auto"/>
        <w:ind w:firstLine="720"/>
      </w:pPr>
      <w:r w:rsidRPr="0047280A">
        <w:t>PG&amp;E proposes to se</w:t>
      </w:r>
      <w:r w:rsidR="009C4801">
        <w:t>ek approval from FERC to harmonize</w:t>
      </w:r>
      <w:r w:rsidRPr="0047280A">
        <w:t xml:space="preserve"> its federal wholesale tariff process with any </w:t>
      </w:r>
      <w:r w:rsidR="00AF55C8">
        <w:t xml:space="preserve">Rule 21 </w:t>
      </w:r>
      <w:r w:rsidR="00500460" w:rsidRPr="0047280A">
        <w:t>Distribution Group Study Process</w:t>
      </w:r>
      <w:r w:rsidRPr="0047280A">
        <w:t xml:space="preserve"> so that electrically dependent applicants under both Rule 21 and the federal wholesale tariffs may be studied together.</w:t>
      </w:r>
      <w:r w:rsidRPr="0047280A">
        <w:rPr>
          <w:sz w:val="24"/>
          <w:vertAlign w:val="superscript"/>
        </w:rPr>
        <w:footnoteReference w:id="31"/>
      </w:r>
    </w:p>
    <w:p w:rsidR="0047280A" w:rsidRPr="0047280A" w:rsidRDefault="0047280A" w:rsidP="0047280A">
      <w:pPr>
        <w:spacing w:line="360" w:lineRule="auto"/>
        <w:ind w:firstLine="720"/>
      </w:pPr>
      <w:r w:rsidRPr="0047280A">
        <w:t xml:space="preserve">PG&amp;E also proposes a transition plan </w:t>
      </w:r>
      <w:r w:rsidR="005A3AF0">
        <w:t xml:space="preserve">under which </w:t>
      </w:r>
      <w:r w:rsidR="00500460">
        <w:t xml:space="preserve">it </w:t>
      </w:r>
      <w:r w:rsidR="005A3AF0">
        <w:t xml:space="preserve">would </w:t>
      </w:r>
      <w:r w:rsidRPr="0047280A">
        <w:t>group pending applicants now being processed under the Independent Study Process into any applicable study groups.</w:t>
      </w:r>
      <w:r w:rsidRPr="0047280A">
        <w:rPr>
          <w:sz w:val="24"/>
          <w:vertAlign w:val="superscript"/>
        </w:rPr>
        <w:footnoteReference w:id="32"/>
      </w:r>
    </w:p>
    <w:p w:rsidR="0047280A" w:rsidRDefault="0047280A" w:rsidP="0047280A">
      <w:pPr>
        <w:spacing w:line="360" w:lineRule="auto"/>
        <w:ind w:firstLine="720"/>
      </w:pPr>
      <w:r w:rsidRPr="0047280A">
        <w:t>All cost</w:t>
      </w:r>
      <w:r w:rsidR="00500460">
        <w:t>s</w:t>
      </w:r>
      <w:r w:rsidRPr="0047280A">
        <w:t xml:space="preserve"> would be allocated among the projects in the study group on a per </w:t>
      </w:r>
      <w:r w:rsidR="00AB10F3">
        <w:t>megawatt (</w:t>
      </w:r>
      <w:r w:rsidRPr="00AB10F3">
        <w:t>MW</w:t>
      </w:r>
      <w:r w:rsidR="00AB10F3">
        <w:t>)</w:t>
      </w:r>
      <w:r w:rsidRPr="0047280A">
        <w:t xml:space="preserve"> basis.</w:t>
      </w:r>
      <w:r w:rsidRPr="0047280A">
        <w:rPr>
          <w:sz w:val="24"/>
          <w:vertAlign w:val="superscript"/>
        </w:rPr>
        <w:footnoteReference w:id="33"/>
      </w:r>
    </w:p>
    <w:p w:rsidR="00AB10F3" w:rsidRPr="0047280A" w:rsidRDefault="00AB10F3" w:rsidP="0047280A">
      <w:pPr>
        <w:spacing w:line="360" w:lineRule="auto"/>
        <w:ind w:firstLine="720"/>
      </w:pPr>
      <w:r>
        <w:t>More deta</w:t>
      </w:r>
      <w:r w:rsidR="00500460">
        <w:t>ils regarding PG&amp;E’s proposal are</w:t>
      </w:r>
      <w:r>
        <w:t xml:space="preserve"> found at Attachment A, the February 19, 2013, </w:t>
      </w:r>
      <w:r w:rsidRPr="00AB10F3">
        <w:rPr>
          <w:i/>
        </w:rPr>
        <w:t>Joint Distribution Group Study Tariff Filing of Pacific Gas and Electric Company and San Diego Gas &amp; Electric Company</w:t>
      </w:r>
      <w:r w:rsidRPr="00AB10F3">
        <w:t>.</w:t>
      </w:r>
    </w:p>
    <w:p w:rsidR="0047280A" w:rsidRPr="0047280A" w:rsidRDefault="0047280A" w:rsidP="00BE62A1">
      <w:pPr>
        <w:pStyle w:val="Heading3"/>
      </w:pPr>
      <w:bookmarkStart w:id="17" w:name="_Toc373325572"/>
      <w:bookmarkStart w:id="18" w:name="_Toc384806447"/>
      <w:r w:rsidRPr="0047280A">
        <w:t>SDG&amp;E</w:t>
      </w:r>
      <w:bookmarkEnd w:id="17"/>
      <w:bookmarkEnd w:id="18"/>
    </w:p>
    <w:p w:rsidR="0047280A" w:rsidRPr="00405CBD" w:rsidRDefault="0047280A" w:rsidP="00405CBD">
      <w:pPr>
        <w:spacing w:line="360" w:lineRule="auto"/>
        <w:ind w:firstLine="720"/>
        <w:rPr>
          <w:vertAlign w:val="superscript"/>
        </w:rPr>
      </w:pPr>
      <w:r w:rsidRPr="0047280A">
        <w:t xml:space="preserve">SDG&amp;E also proposes to implement a </w:t>
      </w:r>
      <w:r w:rsidR="00500460" w:rsidRPr="0047280A">
        <w:t>Distribution Group Study Process</w:t>
      </w:r>
      <w:r w:rsidR="00500460">
        <w:t>.  SDG&amp;E joins PG&amp;E’s proposal</w:t>
      </w:r>
      <w:r w:rsidRPr="0047280A">
        <w:t xml:space="preserve"> </w:t>
      </w:r>
      <w:r w:rsidR="00500460">
        <w:t>as</w:t>
      </w:r>
      <w:r w:rsidR="00AF55C8">
        <w:t xml:space="preserve"> describe</w:t>
      </w:r>
      <w:r w:rsidR="00500460">
        <w:t>d</w:t>
      </w:r>
      <w:r w:rsidRPr="0047280A">
        <w:t xml:space="preserve"> above.</w:t>
      </w:r>
      <w:r w:rsidRPr="0047280A">
        <w:rPr>
          <w:vertAlign w:val="superscript"/>
        </w:rPr>
        <w:t xml:space="preserve"> </w:t>
      </w:r>
      <w:r w:rsidRPr="0047280A">
        <w:rPr>
          <w:vertAlign w:val="superscript"/>
        </w:rPr>
        <w:footnoteReference w:id="34"/>
      </w:r>
      <w:r w:rsidR="00405CBD">
        <w:rPr>
          <w:vertAlign w:val="superscript"/>
        </w:rPr>
        <w:t xml:space="preserve"> </w:t>
      </w:r>
      <w:r w:rsidR="00405CBD">
        <w:t xml:space="preserve"> </w:t>
      </w:r>
      <w:r w:rsidRPr="00405CBD">
        <w:t xml:space="preserve">On February 19, 2013, PG&amp;E and SDG&amp;E submitted a single filing, </w:t>
      </w:r>
      <w:r w:rsidRPr="00405CBD">
        <w:rPr>
          <w:i/>
        </w:rPr>
        <w:t>Joint Distribution Group Study Tariff Filing of Pacific Gas and Electric Company and San Diego Gas &amp; Electric Company</w:t>
      </w:r>
      <w:r w:rsidR="005F264F">
        <w:t>.</w:t>
      </w:r>
      <w:r w:rsidRPr="00405CBD">
        <w:t xml:space="preserve">  This document can be found at Attachment A.</w:t>
      </w:r>
    </w:p>
    <w:p w:rsidR="0047280A" w:rsidRPr="0047280A" w:rsidRDefault="0047280A" w:rsidP="00BE62A1">
      <w:pPr>
        <w:pStyle w:val="Heading3"/>
      </w:pPr>
      <w:bookmarkStart w:id="19" w:name="_Toc384806448"/>
      <w:r w:rsidRPr="0047280A">
        <w:t>SCE</w:t>
      </w:r>
      <w:bookmarkEnd w:id="19"/>
    </w:p>
    <w:p w:rsidR="0047280A" w:rsidRPr="0047280A" w:rsidRDefault="00A67C50" w:rsidP="0047280A">
      <w:pPr>
        <w:spacing w:line="360" w:lineRule="auto"/>
        <w:ind w:firstLine="720"/>
      </w:pPr>
      <w:r>
        <w:t xml:space="preserve">SCE </w:t>
      </w:r>
      <w:r w:rsidR="0047280A" w:rsidRPr="0047280A">
        <w:t xml:space="preserve">also proposes to implement a </w:t>
      </w:r>
      <w:r w:rsidRPr="0047280A">
        <w:t>Distribution Group Study Process</w:t>
      </w:r>
      <w:r w:rsidR="0047280A" w:rsidRPr="0047280A">
        <w:t>.</w:t>
      </w:r>
      <w:r w:rsidR="00A84D4E">
        <w:t xml:space="preserve">  Its proposal is </w:t>
      </w:r>
      <w:r w:rsidR="0047280A" w:rsidRPr="0047280A">
        <w:t xml:space="preserve">similar to PG&amp;E’s and SDG&amp;E’s proposal.  Two noteworthy differences include: </w:t>
      </w:r>
      <w:r w:rsidR="00DF181C">
        <w:t xml:space="preserve"> </w:t>
      </w:r>
      <w:r w:rsidR="00F86169">
        <w:t>(1)</w:t>
      </w:r>
      <w:r w:rsidR="0047280A" w:rsidRPr="0047280A">
        <w:t xml:space="preserve"> SCE proposes not to rely on two annual fixed dates for establishing groups, as proposed by PG&amp;E and SDG&amp;E, but would det</w:t>
      </w:r>
      <w:r w:rsidR="00F86169">
        <w:t>ermine the date to form a group w</w:t>
      </w:r>
      <w:r>
        <w:t>hen two or more projects apply</w:t>
      </w:r>
      <w:r w:rsidR="0047280A" w:rsidRPr="0047280A">
        <w:t xml:space="preserve"> to interconnect in the same el</w:t>
      </w:r>
      <w:r w:rsidR="00A84D4E">
        <w:t>ectrical area</w:t>
      </w:r>
      <w:r>
        <w:t>,</w:t>
      </w:r>
      <w:r w:rsidR="00A84D4E">
        <w:t xml:space="preserve"> at a similar time</w:t>
      </w:r>
      <w:r>
        <w:t>,</w:t>
      </w:r>
      <w:r w:rsidR="00A84D4E">
        <w:t xml:space="preserve"> during the calendar year;</w:t>
      </w:r>
      <w:r w:rsidR="00F86169" w:rsidRPr="0047280A">
        <w:rPr>
          <w:sz w:val="24"/>
          <w:vertAlign w:val="superscript"/>
        </w:rPr>
        <w:footnoteReference w:id="35"/>
      </w:r>
      <w:r w:rsidR="0047280A" w:rsidRPr="0047280A">
        <w:t xml:space="preserve"> </w:t>
      </w:r>
      <w:r w:rsidR="00A84D4E">
        <w:t xml:space="preserve">and </w:t>
      </w:r>
      <w:r w:rsidR="0047280A" w:rsidRPr="0047280A">
        <w:t>(2) SCE propose</w:t>
      </w:r>
      <w:r>
        <w:t>s</w:t>
      </w:r>
      <w:r w:rsidR="0047280A" w:rsidRPr="0047280A">
        <w:t xml:space="preserve"> to process electrically </w:t>
      </w:r>
      <w:r w:rsidR="00685D72">
        <w:t>inter</w:t>
      </w:r>
      <w:r w:rsidR="0047280A" w:rsidRPr="0047280A">
        <w:t xml:space="preserve">dependent Rule 21 and </w:t>
      </w:r>
      <w:r w:rsidR="009C4801">
        <w:t xml:space="preserve">FERC-jurisdictional interconnection </w:t>
      </w:r>
      <w:r w:rsidR="0047280A" w:rsidRPr="0047280A">
        <w:t>applicants separately</w:t>
      </w:r>
      <w:r w:rsidR="009C4801">
        <w:t>, even if these applicants are electrically interdependent,</w:t>
      </w:r>
      <w:r w:rsidR="0047280A" w:rsidRPr="0047280A">
        <w:t xml:space="preserve"> while PG&amp;E proposes to process </w:t>
      </w:r>
      <w:r w:rsidR="00685D72">
        <w:t>all these applicants i</w:t>
      </w:r>
      <w:r w:rsidR="0047280A" w:rsidRPr="0047280A">
        <w:t>n the same study group.</w:t>
      </w:r>
      <w:r w:rsidR="0047280A" w:rsidRPr="0047280A">
        <w:rPr>
          <w:sz w:val="24"/>
          <w:vertAlign w:val="superscript"/>
        </w:rPr>
        <w:footnoteReference w:id="36"/>
      </w:r>
    </w:p>
    <w:p w:rsidR="0047280A" w:rsidRPr="0047280A" w:rsidRDefault="0047280A" w:rsidP="00A3316C">
      <w:pPr>
        <w:pStyle w:val="Heading2"/>
        <w:ind w:right="1440"/>
      </w:pPr>
      <w:bookmarkStart w:id="20" w:name="_Toc373325574"/>
      <w:bookmarkStart w:id="21" w:name="_Toc384806449"/>
      <w:r w:rsidRPr="0047280A">
        <w:t>Distribution G</w:t>
      </w:r>
      <w:r w:rsidR="00D05E6D">
        <w:t xml:space="preserve">roup Study Process Furthers </w:t>
      </w:r>
      <w:r w:rsidRPr="0047280A">
        <w:t>Commission Goals</w:t>
      </w:r>
      <w:bookmarkEnd w:id="20"/>
      <w:bookmarkEnd w:id="21"/>
    </w:p>
    <w:p w:rsidR="0047280A" w:rsidRPr="0047280A" w:rsidRDefault="0047280A" w:rsidP="0047280A">
      <w:pPr>
        <w:spacing w:line="360" w:lineRule="auto"/>
        <w:ind w:firstLine="720"/>
      </w:pPr>
      <w:r w:rsidRPr="0047280A">
        <w:t xml:space="preserve">The two proposals, the joint proposal by PG&amp;E and SDG&amp;E and the separate proposal by SCE, </w:t>
      </w:r>
      <w:r w:rsidR="0047400C">
        <w:t>are similar in most respects</w:t>
      </w:r>
      <w:r w:rsidRPr="0047280A">
        <w:t>.  Overall, we find that the key com</w:t>
      </w:r>
      <w:r w:rsidR="00A82E8A">
        <w:t xml:space="preserve">ponents of </w:t>
      </w:r>
      <w:r w:rsidRPr="0047280A">
        <w:t>both proposal</w:t>
      </w:r>
      <w:r w:rsidR="00A82E8A">
        <w:t>s</w:t>
      </w:r>
      <w:r w:rsidRPr="0047280A">
        <w:t>, such as the group study option, the defined timelines which conform to the Independent Study Process, and the cost allocation method</w:t>
      </w:r>
      <w:r w:rsidR="00A82E8A">
        <w:t xml:space="preserve">, all serve to promote our goal of a </w:t>
      </w:r>
      <w:r w:rsidRPr="0047280A">
        <w:t xml:space="preserve">timely, non-discriminatory, </w:t>
      </w:r>
      <w:r w:rsidR="00AF0A82">
        <w:t>cost-effective, and transparent interconnection process.</w:t>
      </w:r>
      <w:r w:rsidRPr="0047280A">
        <w:t xml:space="preserve"> </w:t>
      </w:r>
    </w:p>
    <w:p w:rsidR="0047280A" w:rsidRPr="0047280A" w:rsidRDefault="0047280A" w:rsidP="0047280A">
      <w:pPr>
        <w:spacing w:line="360" w:lineRule="auto"/>
        <w:ind w:firstLine="720"/>
      </w:pPr>
      <w:r w:rsidRPr="0047280A">
        <w:t xml:space="preserve">The </w:t>
      </w:r>
      <w:r w:rsidR="00AF0A82" w:rsidRPr="0047280A">
        <w:t>Distribution Group Study Process</w:t>
      </w:r>
      <w:r w:rsidRPr="0047280A">
        <w:t xml:space="preserve"> will enable utilities to study multiple projects together as a group.  As a result, the </w:t>
      </w:r>
      <w:r w:rsidR="00AF0A82" w:rsidRPr="0047280A">
        <w:t>Distribution Group Study Process</w:t>
      </w:r>
      <w:r w:rsidR="0047400C">
        <w:t xml:space="preserve"> will likely</w:t>
      </w:r>
      <w:r w:rsidRPr="0047280A">
        <w:t xml:space="preserve"> promote timeliness by giving the utilities another tool to study the cumulative impacts of multiple requests for distribution interconnection that are located on the same distribution circuits in an efficient manner.  </w:t>
      </w:r>
    </w:p>
    <w:p w:rsidR="0047280A" w:rsidRPr="0047280A" w:rsidRDefault="0047280A" w:rsidP="0047280A">
      <w:pPr>
        <w:spacing w:line="360" w:lineRule="auto"/>
        <w:ind w:firstLine="720"/>
      </w:pPr>
      <w:r w:rsidRPr="0047280A">
        <w:t xml:space="preserve">The </w:t>
      </w:r>
      <w:r w:rsidR="00AF0A82" w:rsidRPr="0047280A">
        <w:t>Distribution Group Study Process</w:t>
      </w:r>
      <w:r w:rsidR="0047400C">
        <w:t xml:space="preserve"> will likely </w:t>
      </w:r>
      <w:r w:rsidRPr="0047280A">
        <w:t xml:space="preserve">also promote a </w:t>
      </w:r>
      <w:r w:rsidR="007A4574">
        <w:br/>
      </w:r>
      <w:r w:rsidRPr="0047280A">
        <w:t xml:space="preserve">non-discriminatory process by applying the same standards of review to a group of projects rather than </w:t>
      </w:r>
      <w:r w:rsidR="005A3AF0">
        <w:t xml:space="preserve">by </w:t>
      </w:r>
      <w:r w:rsidRPr="0047280A">
        <w:t xml:space="preserve">evaluating each project serially, at a different point in time </w:t>
      </w:r>
      <w:r w:rsidR="005A3AF0">
        <w:t xml:space="preserve">and </w:t>
      </w:r>
      <w:r w:rsidRPr="0047280A">
        <w:t xml:space="preserve">under different circumstances.  </w:t>
      </w:r>
    </w:p>
    <w:p w:rsidR="0047400C" w:rsidRDefault="0047280A" w:rsidP="0047280A">
      <w:pPr>
        <w:spacing w:line="360" w:lineRule="auto"/>
        <w:ind w:firstLine="720"/>
      </w:pPr>
      <w:r w:rsidRPr="0047280A">
        <w:t xml:space="preserve">In addition, the </w:t>
      </w:r>
      <w:r w:rsidR="00AF0A82" w:rsidRPr="0047280A">
        <w:t>Distribution Group Study Process</w:t>
      </w:r>
      <w:r w:rsidR="0047400C">
        <w:t xml:space="preserve"> will likely</w:t>
      </w:r>
      <w:r w:rsidRPr="0047280A">
        <w:t xml:space="preserve"> be more </w:t>
      </w:r>
      <w:r w:rsidR="007A4574">
        <w:br/>
      </w:r>
      <w:r w:rsidRPr="0047280A">
        <w:t xml:space="preserve">cost-effective for applicants by creating a cost-sharing process for upgrade costs.  </w:t>
      </w:r>
    </w:p>
    <w:p w:rsidR="0047280A" w:rsidRDefault="0047280A" w:rsidP="0047280A">
      <w:pPr>
        <w:spacing w:line="360" w:lineRule="auto"/>
        <w:ind w:firstLine="720"/>
      </w:pPr>
      <w:r w:rsidRPr="0047280A">
        <w:t xml:space="preserve">The goal of </w:t>
      </w:r>
      <w:r w:rsidR="0047400C">
        <w:t>transparency will likely</w:t>
      </w:r>
      <w:r w:rsidRPr="0047280A">
        <w:t xml:space="preserve"> also be promoted </w:t>
      </w:r>
      <w:r w:rsidR="007864E2">
        <w:t xml:space="preserve">by the Distribution Group Study Process </w:t>
      </w:r>
      <w:r w:rsidRPr="0047280A">
        <w:t>by reducing the possibility of unanticipated costs being assigned to subsequent projects when, under the existing process, projects drop out o</w:t>
      </w:r>
      <w:r w:rsidR="00AF0A82">
        <w:t>f the queue or fail to complete</w:t>
      </w:r>
      <w:r w:rsidRPr="0047280A">
        <w:t xml:space="preserve"> upgrades.</w:t>
      </w:r>
    </w:p>
    <w:p w:rsidR="004A379C" w:rsidRPr="0047280A" w:rsidRDefault="008012C5" w:rsidP="0047280A">
      <w:pPr>
        <w:spacing w:line="360" w:lineRule="auto"/>
        <w:ind w:firstLine="720"/>
      </w:pPr>
      <w:r>
        <w:t>Nevertheless, t</w:t>
      </w:r>
      <w:r w:rsidR="004A379C">
        <w:t>he Distribution Group Study Process will not serve to</w:t>
      </w:r>
      <w:r>
        <w:t xml:space="preserve"> fully</w:t>
      </w:r>
      <w:r w:rsidR="004A379C">
        <w:t xml:space="preserve"> eliminate the possibility of re-studies or allocation of additional expenses </w:t>
      </w:r>
      <w:r>
        <w:t>because</w:t>
      </w:r>
      <w:r w:rsidR="004A379C">
        <w:t xml:space="preserve"> the risk that projects drop out</w:t>
      </w:r>
      <w:r>
        <w:t xml:space="preserve"> of the group or queue</w:t>
      </w:r>
      <w:r w:rsidR="004A379C">
        <w:t>, for reasons unrelated to interconnection cost</w:t>
      </w:r>
      <w:r>
        <w:t>s or timing</w:t>
      </w:r>
      <w:r w:rsidR="004A379C">
        <w:t>, i.e., environmental reasons or project financing, essentially remain unchanged</w:t>
      </w:r>
      <w:r>
        <w:t xml:space="preserve"> by today’s decision</w:t>
      </w:r>
      <w:r w:rsidR="004A379C">
        <w:t>.</w:t>
      </w:r>
      <w:r w:rsidR="004A379C">
        <w:rPr>
          <w:rStyle w:val="FootnoteReference"/>
        </w:rPr>
        <w:footnoteReference w:id="37"/>
      </w:r>
    </w:p>
    <w:p w:rsidR="0047280A" w:rsidRPr="0047280A" w:rsidRDefault="00DA4BB4" w:rsidP="0047280A">
      <w:pPr>
        <w:spacing w:line="360" w:lineRule="auto"/>
        <w:ind w:firstLine="720"/>
      </w:pPr>
      <w:r>
        <w:t>On balance, however</w:t>
      </w:r>
      <w:r w:rsidR="0047280A" w:rsidRPr="0047280A">
        <w:t xml:space="preserve">, the inclusion of a </w:t>
      </w:r>
      <w:r w:rsidR="00452C77" w:rsidRPr="0047280A">
        <w:t>Distribution Group Study Process</w:t>
      </w:r>
      <w:r w:rsidR="0047280A" w:rsidRPr="0047280A">
        <w:t xml:space="preserve"> in Rule 21 has the potential to increase the efficiency of the interconnection study process for applicants with electrically interdependent projects and offers a valuable opportunity for sharing upgrade costs across a greater number of projects.  </w:t>
      </w:r>
    </w:p>
    <w:p w:rsidR="0047280A" w:rsidRDefault="0047280A" w:rsidP="00572094">
      <w:pPr>
        <w:spacing w:line="360" w:lineRule="auto"/>
        <w:ind w:firstLine="720"/>
      </w:pPr>
      <w:r w:rsidRPr="0047280A">
        <w:t xml:space="preserve">Accordingly, PG&amp;E, SCE, and SDG&amp;E shall adopt a </w:t>
      </w:r>
      <w:r w:rsidR="00452C77" w:rsidRPr="0047280A">
        <w:t>Distribution Group Study Process</w:t>
      </w:r>
      <w:r w:rsidRPr="0047280A">
        <w:t xml:space="preserve"> as part of Rule 21 as a reasonable means of promoting the goals of this r</w:t>
      </w:r>
      <w:r w:rsidR="006C4961">
        <w:t>ulemaking</w:t>
      </w:r>
      <w:r w:rsidR="00572094">
        <w:t xml:space="preserve">. </w:t>
      </w:r>
    </w:p>
    <w:p w:rsidR="00932620" w:rsidRPr="0047280A" w:rsidRDefault="00932620" w:rsidP="00572094">
      <w:pPr>
        <w:spacing w:line="360" w:lineRule="auto"/>
        <w:ind w:firstLine="720"/>
      </w:pPr>
      <w:r>
        <w:t>The details of the Distribution Group Study Process adopted today is further described below.</w:t>
      </w:r>
    </w:p>
    <w:p w:rsidR="0047280A" w:rsidRPr="0047280A" w:rsidRDefault="00452C77" w:rsidP="00FA7622">
      <w:pPr>
        <w:pStyle w:val="Heading2"/>
      </w:pPr>
      <w:bookmarkStart w:id="22" w:name="_Toc384806450"/>
      <w:r>
        <w:t>Application Process and Open Windows</w:t>
      </w:r>
      <w:bookmarkEnd w:id="22"/>
    </w:p>
    <w:p w:rsidR="005A3AF0" w:rsidRDefault="0047280A" w:rsidP="0047280A">
      <w:pPr>
        <w:spacing w:line="360" w:lineRule="auto"/>
        <w:ind w:firstLine="720"/>
      </w:pPr>
      <w:r w:rsidRPr="0047280A">
        <w:t>PG&amp;E and SDG&amp;E suggest establishing two</w:t>
      </w:r>
      <w:r w:rsidR="008960E1">
        <w:t xml:space="preserve"> fixed-date</w:t>
      </w:r>
      <w:r w:rsidR="00173DDF">
        <w:t xml:space="preserve">, </w:t>
      </w:r>
      <w:r w:rsidR="00BD5124">
        <w:t>30</w:t>
      </w:r>
      <w:r w:rsidR="00173DDF">
        <w:t xml:space="preserve">-day, </w:t>
      </w:r>
      <w:r w:rsidRPr="0047280A">
        <w:t xml:space="preserve">open </w:t>
      </w:r>
      <w:r w:rsidR="00173DDF">
        <w:t xml:space="preserve">application </w:t>
      </w:r>
      <w:r w:rsidRPr="0047280A">
        <w:t>windows per calendar year at six-month int</w:t>
      </w:r>
      <w:r w:rsidR="009158AE">
        <w:t xml:space="preserve">ervals for the submission of </w:t>
      </w:r>
      <w:r w:rsidRPr="0047280A">
        <w:t>group study requests.</w:t>
      </w:r>
      <w:r w:rsidRPr="0047280A">
        <w:rPr>
          <w:sz w:val="24"/>
          <w:vertAlign w:val="superscript"/>
        </w:rPr>
        <w:footnoteReference w:id="38"/>
      </w:r>
      <w:r w:rsidRPr="0047280A">
        <w:t xml:space="preserve">  The dates for these open windows </w:t>
      </w:r>
      <w:r w:rsidR="00007087">
        <w:t xml:space="preserve">would be </w:t>
      </w:r>
      <w:r w:rsidR="0008753D">
        <w:br/>
      </w:r>
      <w:r w:rsidR="00B12FFE" w:rsidRPr="0047280A">
        <w:t>March 1-31 and September 1</w:t>
      </w:r>
      <w:r w:rsidR="00464793">
        <w:t>-30 but would be subject to change, with notice to the market, by utilities.</w:t>
      </w:r>
    </w:p>
    <w:p w:rsidR="008960E1" w:rsidRDefault="0047280A" w:rsidP="0047280A">
      <w:pPr>
        <w:spacing w:line="360" w:lineRule="auto"/>
        <w:ind w:firstLine="720"/>
      </w:pPr>
      <w:r w:rsidRPr="0047280A">
        <w:t>In contrast, SCE’s proposal suggests opening a window for the submission of requests for the group study process upon receipt of a sufficient number of interdependent interconnection requests.</w:t>
      </w:r>
      <w:r w:rsidRPr="0047280A">
        <w:rPr>
          <w:sz w:val="24"/>
          <w:vertAlign w:val="superscript"/>
        </w:rPr>
        <w:footnoteReference w:id="39"/>
      </w:r>
      <w:r w:rsidRPr="0047280A">
        <w:t xml:space="preserve">  Under SCE’s proposal, multiple windows could open each year but the number of open windows and the dates of these open windows would not be known in advance but would instead be dependent on the number of applications received and the location of the proposed projects.</w:t>
      </w:r>
      <w:r w:rsidR="00B12FFE">
        <w:t xml:space="preserve">  </w:t>
      </w:r>
    </w:p>
    <w:p w:rsidR="0047280A" w:rsidRPr="0047280A" w:rsidRDefault="00805DE6" w:rsidP="008960E1">
      <w:pPr>
        <w:spacing w:line="360" w:lineRule="auto"/>
        <w:ind w:firstLine="720"/>
      </w:pPr>
      <w:r>
        <w:t>Clean Coalition</w:t>
      </w:r>
      <w:r w:rsidR="0047280A" w:rsidRPr="0047280A">
        <w:t xml:space="preserve"> state</w:t>
      </w:r>
      <w:r>
        <w:t>s</w:t>
      </w:r>
      <w:r w:rsidR="0047280A" w:rsidRPr="0047280A">
        <w:t xml:space="preserve"> that SCE’s proposal offers the possibility of a shorter wait time before a study group is formed, perhaps even within 100 days.</w:t>
      </w:r>
      <w:r w:rsidR="0047280A" w:rsidRPr="0047280A">
        <w:rPr>
          <w:sz w:val="24"/>
          <w:vertAlign w:val="superscript"/>
        </w:rPr>
        <w:footnoteReference w:id="40"/>
      </w:r>
      <w:r>
        <w:t xml:space="preserve">  However, Clean Coalition also </w:t>
      </w:r>
      <w:r w:rsidR="0047280A" w:rsidRPr="0047280A">
        <w:t>state</w:t>
      </w:r>
      <w:r w:rsidR="00452C77">
        <w:t>s</w:t>
      </w:r>
      <w:r w:rsidR="0047280A" w:rsidRPr="0047280A">
        <w:t xml:space="preserve"> that SCE’s proposal essentially presents a rolling-basis for interconnection request windows and fails to provide sufficient information for planning projec</w:t>
      </w:r>
      <w:r w:rsidR="00452C77">
        <w:t>t development because it lacks</w:t>
      </w:r>
      <w:r w:rsidR="0047280A" w:rsidRPr="0047280A">
        <w:t xml:space="preserve"> sufficiently defined timelines.</w:t>
      </w:r>
      <w:r w:rsidR="0047280A" w:rsidRPr="0047280A">
        <w:rPr>
          <w:sz w:val="24"/>
          <w:vertAlign w:val="superscript"/>
        </w:rPr>
        <w:footnoteReference w:id="41"/>
      </w:r>
      <w:r>
        <w:t xml:space="preserve">  In addition, Clean Coalition</w:t>
      </w:r>
      <w:r w:rsidR="0047280A" w:rsidRPr="0047280A">
        <w:t xml:space="preserve"> state</w:t>
      </w:r>
      <w:r>
        <w:t>s</w:t>
      </w:r>
      <w:r w:rsidR="0047280A" w:rsidRPr="0047280A">
        <w:t xml:space="preserve"> that SCE’s proposal provides the utility with excessive discretion on when to open a window for request</w:t>
      </w:r>
      <w:r w:rsidR="00B12FFE">
        <w:t>s</w:t>
      </w:r>
      <w:r w:rsidR="0047280A" w:rsidRPr="0047280A">
        <w:t xml:space="preserve"> to establish a group study process.</w:t>
      </w:r>
      <w:r w:rsidR="0047280A" w:rsidRPr="0047280A">
        <w:rPr>
          <w:vertAlign w:val="superscript"/>
        </w:rPr>
        <w:footnoteReference w:id="42"/>
      </w:r>
      <w:r>
        <w:t xml:space="preserve">  Clean Coalition </w:t>
      </w:r>
      <w:r w:rsidR="0047280A" w:rsidRPr="0047280A">
        <w:t>further suggest</w:t>
      </w:r>
      <w:r>
        <w:t>s</w:t>
      </w:r>
      <w:r w:rsidR="0047280A" w:rsidRPr="0047280A">
        <w:t xml:space="preserve"> that the level of discretion provided to SCE and the resulting uncertainty of a potential study process could discourage the development of distributed generation.</w:t>
      </w:r>
      <w:r w:rsidR="0047280A" w:rsidRPr="0047280A">
        <w:rPr>
          <w:vertAlign w:val="superscript"/>
        </w:rPr>
        <w:footnoteReference w:id="43"/>
      </w:r>
    </w:p>
    <w:p w:rsidR="0047280A" w:rsidRPr="00C374A7" w:rsidRDefault="0047280A" w:rsidP="00C374A7">
      <w:pPr>
        <w:spacing w:line="360" w:lineRule="auto"/>
        <w:ind w:firstLine="720"/>
      </w:pPr>
      <w:r w:rsidRPr="0047280A">
        <w:t xml:space="preserve">In contrast, parties state that PG&amp;E’s and SDG&amp;E’s two open windows </w:t>
      </w:r>
      <w:r w:rsidR="0008753D">
        <w:br/>
      </w:r>
      <w:r w:rsidRPr="0047280A">
        <w:t xml:space="preserve">per calendar year for </w:t>
      </w:r>
      <w:r w:rsidR="009158AE">
        <w:t xml:space="preserve">the </w:t>
      </w:r>
      <w:r w:rsidRPr="0047280A">
        <w:t>formation</w:t>
      </w:r>
      <w:r w:rsidR="009158AE">
        <w:t xml:space="preserve"> of a study group increases </w:t>
      </w:r>
      <w:r w:rsidRPr="0047280A">
        <w:t xml:space="preserve">certainty and transparency </w:t>
      </w:r>
      <w:r w:rsidR="009158AE">
        <w:t xml:space="preserve">because </w:t>
      </w:r>
      <w:r w:rsidRPr="0047280A">
        <w:t>applicants</w:t>
      </w:r>
      <w:r w:rsidR="00B12FFE">
        <w:t xml:space="preserve"> </w:t>
      </w:r>
      <w:r w:rsidR="00E11EE7">
        <w:t xml:space="preserve">know </w:t>
      </w:r>
      <w:r w:rsidR="009158AE">
        <w:t>that the group study process will be available twice a year</w:t>
      </w:r>
      <w:r w:rsidRPr="0047280A">
        <w:t>.</w:t>
      </w:r>
      <w:r w:rsidRPr="0047280A">
        <w:rPr>
          <w:vertAlign w:val="superscript"/>
        </w:rPr>
        <w:footnoteReference w:id="44"/>
      </w:r>
      <w:r w:rsidRPr="0047280A">
        <w:t xml:space="preserve"> </w:t>
      </w:r>
      <w:r w:rsidR="0008753D">
        <w:t xml:space="preserve"> </w:t>
      </w:r>
      <w:r w:rsidR="00C374A7">
        <w:t xml:space="preserve">More specifically, </w:t>
      </w:r>
      <w:r w:rsidRPr="0047280A">
        <w:t>ORA</w:t>
      </w:r>
      <w:r w:rsidRPr="0047280A">
        <w:rPr>
          <w:sz w:val="24"/>
          <w:vertAlign w:val="superscript"/>
        </w:rPr>
        <w:footnoteReference w:id="45"/>
      </w:r>
      <w:r w:rsidR="0008753D">
        <w:t xml:space="preserve"> </w:t>
      </w:r>
      <w:r w:rsidRPr="0047280A">
        <w:t xml:space="preserve">offers support </w:t>
      </w:r>
      <w:r w:rsidR="00E11EE7">
        <w:t xml:space="preserve">for </w:t>
      </w:r>
      <w:r w:rsidR="00464793">
        <w:t>this aspect of</w:t>
      </w:r>
      <w:r w:rsidR="00E11EE7">
        <w:t xml:space="preserve"> PG&amp;E’s and SDG&amp;E’s proposal </w:t>
      </w:r>
      <w:r w:rsidRPr="0047280A">
        <w:t>and notes that developers will benefit from the resulting certainty regarding the formation of distribution study groups to proceed with development.</w:t>
      </w:r>
      <w:r w:rsidRPr="0047280A">
        <w:rPr>
          <w:vertAlign w:val="superscript"/>
        </w:rPr>
        <w:footnoteReference w:id="46"/>
      </w:r>
      <w:r w:rsidRPr="0047280A">
        <w:t xml:space="preserve">  Similarly, Sustaina</w:t>
      </w:r>
      <w:r w:rsidR="00C374A7">
        <w:t xml:space="preserve">ble Conservation supports </w:t>
      </w:r>
      <w:r w:rsidR="00C374A7" w:rsidRPr="00C374A7">
        <w:t xml:space="preserve">PG&amp;E’s and SDG&amp;E’s proposal </w:t>
      </w:r>
      <w:r w:rsidRPr="0047280A">
        <w:t>but</w:t>
      </w:r>
      <w:r w:rsidR="00C374A7">
        <w:t xml:space="preserve"> also</w:t>
      </w:r>
      <w:r w:rsidRPr="0047280A">
        <w:t xml:space="preserve"> notes that the benefits of the increased certainty provided by the two annual open window schedule might be diminished by the inflexibility of the two pre-set date</w:t>
      </w:r>
      <w:r w:rsidR="00094BC3">
        <w:t>s</w:t>
      </w:r>
      <w:r w:rsidRPr="0047280A">
        <w:t xml:space="preserve"> for the open windows.</w:t>
      </w:r>
      <w:r w:rsidRPr="0047280A">
        <w:rPr>
          <w:vertAlign w:val="superscript"/>
        </w:rPr>
        <w:t xml:space="preserve"> </w:t>
      </w:r>
      <w:r w:rsidRPr="0047280A">
        <w:rPr>
          <w:vertAlign w:val="superscript"/>
        </w:rPr>
        <w:footnoteReference w:id="47"/>
      </w:r>
      <w:r w:rsidRPr="0047280A">
        <w:rPr>
          <w:vertAlign w:val="superscript"/>
        </w:rPr>
        <w:t xml:space="preserve">  </w:t>
      </w:r>
    </w:p>
    <w:p w:rsidR="00B12FFE" w:rsidRDefault="00C374A7" w:rsidP="0047280A">
      <w:pPr>
        <w:spacing w:line="360" w:lineRule="auto"/>
        <w:ind w:firstLine="720"/>
      </w:pPr>
      <w:r>
        <w:t xml:space="preserve">Sustainable Conservation further </w:t>
      </w:r>
      <w:r w:rsidR="0047280A" w:rsidRPr="0047280A">
        <w:t>states that SCE’s proposal, while lacking fixed timelines, may be interpreted as an “as needed” approach to scheduling study groups and that the “as needed” approach might be more appropriate to a process where the formation of a study group is anticipated to be more the exception than the rule.</w:t>
      </w:r>
      <w:r w:rsidR="0047280A" w:rsidRPr="0047280A">
        <w:rPr>
          <w:vertAlign w:val="superscript"/>
        </w:rPr>
        <w:footnoteReference w:id="48"/>
      </w:r>
      <w:r w:rsidR="0047280A" w:rsidRPr="0047280A">
        <w:t xml:space="preserve">  </w:t>
      </w:r>
    </w:p>
    <w:p w:rsidR="0047280A" w:rsidRPr="0047280A" w:rsidRDefault="0047280A" w:rsidP="0047280A">
      <w:pPr>
        <w:spacing w:line="360" w:lineRule="auto"/>
        <w:ind w:firstLine="720"/>
      </w:pPr>
      <w:r w:rsidRPr="0047280A">
        <w:t>SEIA, while supportin</w:t>
      </w:r>
      <w:r w:rsidR="00C5055E">
        <w:t>g PG&amp;E’s and SDG&amp;E’s proposal of</w:t>
      </w:r>
      <w:r w:rsidRPr="0047280A">
        <w:t xml:space="preserve"> two open windows, suggests that four open windows might be preferable.</w:t>
      </w:r>
      <w:r w:rsidRPr="0047280A">
        <w:rPr>
          <w:sz w:val="24"/>
          <w:vertAlign w:val="superscript"/>
        </w:rPr>
        <w:footnoteReference w:id="49"/>
      </w:r>
    </w:p>
    <w:p w:rsidR="0047280A" w:rsidRPr="0047280A" w:rsidRDefault="0047280A" w:rsidP="0047280A">
      <w:pPr>
        <w:spacing w:line="360" w:lineRule="auto"/>
        <w:ind w:firstLine="720"/>
      </w:pPr>
      <w:r w:rsidRPr="0047280A">
        <w:t>SCE proposes that if the Commission p</w:t>
      </w:r>
      <w:r w:rsidR="00BD5124">
        <w:t>refers PG&amp;E’s and SDG&amp;E’s fixed</w:t>
      </w:r>
      <w:r w:rsidR="00BD5124">
        <w:noBreakHyphen/>
      </w:r>
      <w:r w:rsidRPr="0047280A">
        <w:t>date bi-annual windows, that the time between application windows should be extended to eight months, instead of PG&amp;E’s and SDG&amp;E’s proposed six month intervals.</w:t>
      </w:r>
      <w:r w:rsidRPr="0047280A">
        <w:rPr>
          <w:vertAlign w:val="superscript"/>
        </w:rPr>
        <w:footnoteReference w:id="50"/>
      </w:r>
      <w:r w:rsidR="00415DDD">
        <w:t xml:space="preserve">  </w:t>
      </w:r>
      <w:r w:rsidRPr="0047280A">
        <w:t>SCE states that, due to the volume of interconnect</w:t>
      </w:r>
      <w:r w:rsidR="00C5055E">
        <w:t>ion</w:t>
      </w:r>
      <w:r w:rsidRPr="0047280A">
        <w:t xml:space="preserve"> requests it receives, it would be more efficient to align the interval between the formation of</w:t>
      </w:r>
      <w:r w:rsidR="00C5055E">
        <w:t xml:space="preserve"> the</w:t>
      </w:r>
      <w:r w:rsidRPr="0047280A">
        <w:t xml:space="preserve"> study groups to the existing interval for completing an Independent Study Process, which is eight months.</w:t>
      </w:r>
      <w:r w:rsidRPr="0047280A">
        <w:rPr>
          <w:sz w:val="24"/>
          <w:vertAlign w:val="superscript"/>
        </w:rPr>
        <w:footnoteReference w:id="51"/>
      </w:r>
    </w:p>
    <w:p w:rsidR="0047280A" w:rsidRPr="0047280A" w:rsidRDefault="0047280A" w:rsidP="0047280A">
      <w:pPr>
        <w:spacing w:line="360" w:lineRule="auto"/>
        <w:ind w:firstLine="720"/>
      </w:pPr>
      <w:r w:rsidRPr="0047280A">
        <w:t>Lastly, parties point out that uniformity across all three utilities in the area of Rule 21 will promote efficiencies in the industry.</w:t>
      </w:r>
      <w:r w:rsidRPr="0047280A">
        <w:rPr>
          <w:sz w:val="24"/>
          <w:vertAlign w:val="superscript"/>
        </w:rPr>
        <w:footnoteReference w:id="52"/>
      </w:r>
    </w:p>
    <w:p w:rsidR="0047280A" w:rsidRPr="0047280A" w:rsidRDefault="0047280A" w:rsidP="0047280A">
      <w:pPr>
        <w:spacing w:line="360" w:lineRule="auto"/>
        <w:ind w:firstLine="720"/>
      </w:pPr>
      <w:r w:rsidRPr="0047280A">
        <w:t xml:space="preserve">We find PG&amp;E’s and SDG&amp;E’s proposal of two open windows at </w:t>
      </w:r>
      <w:r w:rsidR="00415DDD">
        <w:br/>
      </w:r>
      <w:r w:rsidRPr="0047280A">
        <w:t xml:space="preserve">fixed-dates during the calendar year provides the level of certainty needed by developers to adequately plan project development.  This proposal is </w:t>
      </w:r>
      <w:r w:rsidR="00735E96">
        <w:t xml:space="preserve">generally </w:t>
      </w:r>
      <w:r w:rsidRPr="0047280A">
        <w:t>consistent with the Independent Study Process timeline and will not interfere with ongoing use of the Independ</w:t>
      </w:r>
      <w:r w:rsidR="00A72717">
        <w:t>ent Study Process.  We also find</w:t>
      </w:r>
      <w:r w:rsidRPr="0047280A">
        <w:t xml:space="preserve"> that PG&amp;E’s and SDG&amp;E’s proposal promotes transparency by providing a fixed schedule that is known</w:t>
      </w:r>
      <w:r w:rsidR="00735E96">
        <w:t xml:space="preserve"> in advance</w:t>
      </w:r>
      <w:r w:rsidR="00464793">
        <w:t xml:space="preserve"> to the market</w:t>
      </w:r>
      <w:r w:rsidRPr="0047280A">
        <w:t>.</w:t>
      </w:r>
    </w:p>
    <w:p w:rsidR="0047280A" w:rsidRPr="0047280A" w:rsidRDefault="0047280A" w:rsidP="0047280A">
      <w:pPr>
        <w:spacing w:line="360" w:lineRule="auto"/>
        <w:ind w:firstLine="720"/>
      </w:pPr>
      <w:r w:rsidRPr="0047280A">
        <w:t>While SCE’s proposal provides the advantage of flexibility, it introdu</w:t>
      </w:r>
      <w:r w:rsidR="00735E96">
        <w:t>ces uncertainty</w:t>
      </w:r>
      <w:r w:rsidRPr="0047280A">
        <w:t xml:space="preserve"> by not pre-establishing potential study group formation dates.  We further find that advantages exist to the entire industry if all three utilities rely on the same fixed-date, open window proposal.  Consistency in this aspect of the study </w:t>
      </w:r>
      <w:r w:rsidR="00C5055E">
        <w:t xml:space="preserve">process will further increase </w:t>
      </w:r>
      <w:r w:rsidRPr="0047280A">
        <w:t xml:space="preserve">certainty and transparency.  Regarding whether PG&amp;E’s reliance on six month intervals or SCE’s alternative suggestion of relying on eight month intervals, is preferable, we find PG&amp;E’s </w:t>
      </w:r>
      <w:r w:rsidR="00735E96">
        <w:t xml:space="preserve">suggested </w:t>
      </w:r>
      <w:r w:rsidR="0008753D">
        <w:br/>
      </w:r>
      <w:r w:rsidR="00735E96">
        <w:t xml:space="preserve">six-month interval </w:t>
      </w:r>
      <w:r w:rsidRPr="0047280A">
        <w:t>adequately accommodates the other timelines, such as the Independent Study Process</w:t>
      </w:r>
      <w:r w:rsidR="00735E96">
        <w:t>,</w:t>
      </w:r>
      <w:r w:rsidRPr="0047280A">
        <w:t xml:space="preserve"> but we will monitor this issue</w:t>
      </w:r>
      <w:r w:rsidR="00C5055E">
        <w:t xml:space="preserve"> and revisit it if refinement</w:t>
      </w:r>
      <w:r w:rsidRPr="0047280A">
        <w:t xml:space="preserve"> </w:t>
      </w:r>
      <w:r w:rsidR="006B7961">
        <w:t xml:space="preserve">to </w:t>
      </w:r>
      <w:r w:rsidRPr="0047280A">
        <w:t>the intervals, as sugge</w:t>
      </w:r>
      <w:r w:rsidR="00C5055E">
        <w:t>sted by SCE, is</w:t>
      </w:r>
      <w:r w:rsidRPr="0047280A">
        <w:t xml:space="preserve"> warranted. </w:t>
      </w:r>
    </w:p>
    <w:p w:rsidR="0047280A" w:rsidRPr="0047280A" w:rsidRDefault="0047280A" w:rsidP="0047280A">
      <w:pPr>
        <w:spacing w:line="360" w:lineRule="auto"/>
        <w:ind w:firstLine="720"/>
      </w:pPr>
      <w:r w:rsidRPr="0047280A">
        <w:t>Accordingly, PG&amp;E, SCE, and SDG&amp;E shall file</w:t>
      </w:r>
      <w:r w:rsidR="00764E8C">
        <w:t xml:space="preserve"> Tier </w:t>
      </w:r>
      <w:r w:rsidR="007E2033">
        <w:t>2</w:t>
      </w:r>
      <w:r w:rsidR="006C5699">
        <w:t xml:space="preserve"> </w:t>
      </w:r>
      <w:r w:rsidR="00764E8C">
        <w:t xml:space="preserve">Advice Letters within </w:t>
      </w:r>
      <w:r w:rsidR="007E2033">
        <w:t>6</w:t>
      </w:r>
      <w:r w:rsidR="00831D10">
        <w:t>0</w:t>
      </w:r>
      <w:r w:rsidRPr="0047280A">
        <w:t xml:space="preserve"> days of the effective date of today’s decision with a </w:t>
      </w:r>
      <w:r w:rsidR="00C5055E" w:rsidRPr="0047280A">
        <w:t>Distribution Group Study Process</w:t>
      </w:r>
      <w:r w:rsidRPr="0047280A">
        <w:t xml:space="preserve"> that reflects PG&amp;E’s and SDG&amp;E’s February 19, 2013 draft tariff</w:t>
      </w:r>
      <w:r w:rsidR="00457C55">
        <w:t xml:space="preserve"> proposal </w:t>
      </w:r>
      <w:r w:rsidR="007E2033">
        <w:t>(as revised by their March 22, 2013 comments) a</w:t>
      </w:r>
      <w:r w:rsidR="00457C55">
        <w:t xml:space="preserve">nd include </w:t>
      </w:r>
      <w:r w:rsidRPr="0047280A">
        <w:t>the two fixed</w:t>
      </w:r>
      <w:r w:rsidR="007E2033">
        <w:t xml:space="preserve"> </w:t>
      </w:r>
      <w:r w:rsidRPr="0047280A">
        <w:t xml:space="preserve">date open windows each calendar year for receipt of requests for the group study process.  </w:t>
      </w:r>
      <w:r w:rsidR="00457C55">
        <w:t xml:space="preserve">These dates </w:t>
      </w:r>
      <w:r w:rsidR="00C5055E">
        <w:t>shall</w:t>
      </w:r>
      <w:r w:rsidR="00457C55">
        <w:t xml:space="preserve"> also be published </w:t>
      </w:r>
      <w:r w:rsidR="008D5726">
        <w:t xml:space="preserve">at least 60 days in advance </w:t>
      </w:r>
      <w:r w:rsidR="004E5908">
        <w:t xml:space="preserve">and displayed </w:t>
      </w:r>
      <w:r w:rsidR="000F14D4">
        <w:t>in a prominent location on their websites.</w:t>
      </w:r>
      <w:r w:rsidR="00457C55">
        <w:t xml:space="preserve"> </w:t>
      </w:r>
      <w:r w:rsidR="00C81EDA">
        <w:t xml:space="preserve"> </w:t>
      </w:r>
      <w:r w:rsidR="00932620">
        <w:t>In all other respects, unless noted herein, t</w:t>
      </w:r>
      <w:r w:rsidR="00764E8C">
        <w:t xml:space="preserve">he Tier </w:t>
      </w:r>
      <w:r w:rsidR="007E2033">
        <w:t>2</w:t>
      </w:r>
      <w:r w:rsidR="007E2033" w:rsidRPr="0047280A">
        <w:t xml:space="preserve"> </w:t>
      </w:r>
      <w:r w:rsidRPr="0047280A">
        <w:t>Advice Letters of PG&amp;E, SCE, and SDG&amp;E must be substantially similar to PG&amp;E’s and SDG&amp;E’s draft tariff pr</w:t>
      </w:r>
      <w:r w:rsidR="004E5908">
        <w:t>oposal dated February 19, 2013</w:t>
      </w:r>
      <w:r w:rsidR="007E2033">
        <w:t xml:space="preserve"> (as revised by their March 22, 2013 comment)</w:t>
      </w:r>
      <w:r w:rsidR="004E5908">
        <w:t>, as modified by today’s decision</w:t>
      </w:r>
      <w:r w:rsidRPr="0047280A">
        <w:t xml:space="preserve"> </w:t>
      </w:r>
    </w:p>
    <w:p w:rsidR="0047280A" w:rsidRPr="0047280A" w:rsidRDefault="0047280A" w:rsidP="00A3316C">
      <w:pPr>
        <w:pStyle w:val="Heading2"/>
      </w:pPr>
      <w:bookmarkStart w:id="23" w:name="_Toc373325576"/>
      <w:bookmarkStart w:id="24" w:name="_Toc384806451"/>
      <w:r w:rsidRPr="0047280A">
        <w:t xml:space="preserve">Extensions to </w:t>
      </w:r>
      <w:r w:rsidR="004E5908">
        <w:t xml:space="preserve">Study </w:t>
      </w:r>
      <w:r w:rsidRPr="0047280A">
        <w:t>Timelines</w:t>
      </w:r>
      <w:bookmarkEnd w:id="23"/>
      <w:bookmarkEnd w:id="24"/>
    </w:p>
    <w:p w:rsidR="0047280A" w:rsidRPr="0047280A" w:rsidRDefault="00464793" w:rsidP="0047280A">
      <w:pPr>
        <w:spacing w:line="360" w:lineRule="auto"/>
        <w:ind w:firstLine="720"/>
      </w:pPr>
      <w:r>
        <w:t xml:space="preserve">IREC and Clean Coalition state </w:t>
      </w:r>
      <w:r w:rsidR="0047280A" w:rsidRPr="0047280A">
        <w:t xml:space="preserve">that further clarification is needed regarding the timeline applicable to the </w:t>
      </w:r>
      <w:r w:rsidR="00B12FFE">
        <w:t>Distribution Group Study Process</w:t>
      </w:r>
      <w:r w:rsidR="00B12FFE" w:rsidRPr="0047280A">
        <w:t xml:space="preserve"> </w:t>
      </w:r>
      <w:r w:rsidR="0047280A" w:rsidRPr="0047280A">
        <w:t>to restrict the utilities’ ability to unduly extend the timelines</w:t>
      </w:r>
      <w:r w:rsidR="004E5908">
        <w:t>.</w:t>
      </w:r>
      <w:r w:rsidR="0047280A" w:rsidRPr="0047280A">
        <w:rPr>
          <w:sz w:val="24"/>
          <w:vertAlign w:val="superscript"/>
        </w:rPr>
        <w:footnoteReference w:id="53"/>
      </w:r>
      <w:r w:rsidR="0047280A" w:rsidRPr="0047280A">
        <w:t xml:space="preserve">  </w:t>
      </w:r>
    </w:p>
    <w:p w:rsidR="0047280A" w:rsidRPr="0047280A" w:rsidRDefault="0047280A" w:rsidP="0047280A">
      <w:pPr>
        <w:spacing w:line="360" w:lineRule="auto"/>
        <w:ind w:firstLine="720"/>
      </w:pPr>
      <w:r w:rsidRPr="0047280A">
        <w:t>As proposed by the utilities, the timeline for processing a group study would be the same as the timeline in Rule 21 applicable to the Independent Study Process.</w:t>
      </w:r>
      <w:r w:rsidRPr="0047280A">
        <w:rPr>
          <w:sz w:val="24"/>
          <w:vertAlign w:val="superscript"/>
        </w:rPr>
        <w:footnoteReference w:id="54"/>
      </w:r>
      <w:r w:rsidRPr="0047280A">
        <w:t xml:space="preserve">  Clean Coalition states that utilities should specifically identify in Rule 21 the circumstances within the context of a </w:t>
      </w:r>
      <w:r w:rsidR="004E5908" w:rsidRPr="0047280A">
        <w:t>Distribution Group Study Process</w:t>
      </w:r>
      <w:r w:rsidRPr="0047280A">
        <w:t>, as opposed to the Independent Study Process, that might trigge</w:t>
      </w:r>
      <w:r w:rsidR="00C60DCB">
        <w:t>r extensions to</w:t>
      </w:r>
      <w:r w:rsidRPr="0047280A">
        <w:t xml:space="preserve"> the timeline.</w:t>
      </w:r>
      <w:r w:rsidRPr="0047280A">
        <w:rPr>
          <w:sz w:val="24"/>
          <w:vertAlign w:val="superscript"/>
        </w:rPr>
        <w:footnoteReference w:id="55"/>
      </w:r>
      <w:r w:rsidRPr="0047280A">
        <w:t xml:space="preserve">  For example, Clean Coalition states that, among other things, the volume of study requests might result in the utility needing additional study time and, if so, information on the expected delays should be incorporated into Rule 21 to provide greater transparency.</w:t>
      </w:r>
      <w:r w:rsidRPr="0047280A">
        <w:rPr>
          <w:vertAlign w:val="superscript"/>
        </w:rPr>
        <w:footnoteReference w:id="56"/>
      </w:r>
      <w:r w:rsidRPr="0047280A">
        <w:t xml:space="preserve"> </w:t>
      </w:r>
    </w:p>
    <w:p w:rsidR="0047280A" w:rsidRPr="0047280A" w:rsidRDefault="0047280A" w:rsidP="0047280A">
      <w:pPr>
        <w:spacing w:line="360" w:lineRule="auto"/>
        <w:ind w:firstLine="720"/>
      </w:pPr>
      <w:r w:rsidRPr="0047280A">
        <w:t xml:space="preserve">Sustainable Conservation agrees that any event allowing a utility to extend study timelines, in either the Independent Study Process or in the </w:t>
      </w:r>
      <w:r w:rsidR="004E5908" w:rsidRPr="0047280A">
        <w:t>Distribution Group Study Process</w:t>
      </w:r>
      <w:r w:rsidRPr="0047280A">
        <w:t xml:space="preserve">, should be clearly defined in advance in Rule 21.  Sustainable Conservation adds that that the Commission should impose </w:t>
      </w:r>
      <w:r w:rsidR="004E5908">
        <w:t>a</w:t>
      </w:r>
      <w:r w:rsidR="006B7961">
        <w:t xml:space="preserve"> </w:t>
      </w:r>
      <w:r w:rsidRPr="0047280A">
        <w:t>“meaningful consequence” on utilities for study results delays and establish a forum for developers to seek timely remedy for delay.</w:t>
      </w:r>
      <w:r w:rsidRPr="0047280A">
        <w:rPr>
          <w:vertAlign w:val="superscript"/>
        </w:rPr>
        <w:footnoteReference w:id="57"/>
      </w:r>
    </w:p>
    <w:p w:rsidR="0047280A" w:rsidRPr="0047280A" w:rsidRDefault="0047280A" w:rsidP="0047280A">
      <w:pPr>
        <w:spacing w:line="360" w:lineRule="auto"/>
        <w:ind w:firstLine="720"/>
      </w:pPr>
      <w:r w:rsidRPr="0047280A">
        <w:t>PG&amp;E acknowledges that circumstances may arise resulting in the need to extend timelines and that additional information on how this information will be communicated to applicants should be incorporated into Rule 21.</w:t>
      </w:r>
      <w:r w:rsidRPr="0047280A">
        <w:rPr>
          <w:sz w:val="24"/>
          <w:vertAlign w:val="superscript"/>
        </w:rPr>
        <w:footnoteReference w:id="58"/>
      </w:r>
    </w:p>
    <w:p w:rsidR="0047280A" w:rsidRPr="0047280A" w:rsidRDefault="0047280A" w:rsidP="0047280A">
      <w:pPr>
        <w:spacing w:line="360" w:lineRule="auto"/>
        <w:ind w:firstLine="720"/>
      </w:pPr>
      <w:r w:rsidRPr="0047280A">
        <w:t>We find that lengthy</w:t>
      </w:r>
      <w:r w:rsidR="00C60DCB">
        <w:t xml:space="preserve"> and</w:t>
      </w:r>
      <w:r w:rsidRPr="0047280A">
        <w:t xml:space="preserve"> unanticipated extensions to timelines for completing int</w:t>
      </w:r>
      <w:r w:rsidR="00C60DCB">
        <w:t xml:space="preserve">erconnection requests </w:t>
      </w:r>
      <w:r w:rsidRPr="0047280A">
        <w:t>reduce</w:t>
      </w:r>
      <w:r w:rsidR="00C60DCB">
        <w:t>s</w:t>
      </w:r>
      <w:r w:rsidRPr="0047280A">
        <w:t xml:space="preserve"> overall certainty and transparency of the study process.  We find that further clarification of potential extension triggers for the </w:t>
      </w:r>
      <w:r w:rsidR="004E5908" w:rsidRPr="0047280A">
        <w:t>Distribution Group Study Process</w:t>
      </w:r>
      <w:r w:rsidRPr="0047280A">
        <w:t xml:space="preserve"> is needed to promote a reasonable level of certainty and transparency in the process.</w:t>
      </w:r>
    </w:p>
    <w:p w:rsidR="0047280A" w:rsidRPr="0047280A" w:rsidRDefault="0047280A" w:rsidP="0047280A">
      <w:pPr>
        <w:spacing w:line="360" w:lineRule="auto"/>
        <w:ind w:firstLine="720"/>
      </w:pPr>
      <w:r w:rsidRPr="0047280A">
        <w:t xml:space="preserve">Accordingly, PG&amp;E, </w:t>
      </w:r>
      <w:r w:rsidR="00764E8C">
        <w:t xml:space="preserve">SCE, and SDG&amp;E shall file Tier </w:t>
      </w:r>
      <w:r w:rsidR="000F73BA">
        <w:t>2</w:t>
      </w:r>
      <w:r w:rsidR="000F73BA" w:rsidRPr="0047280A">
        <w:t xml:space="preserve"> </w:t>
      </w:r>
      <w:r w:rsidRPr="0047280A">
        <w:t>Advice L</w:t>
      </w:r>
      <w:r w:rsidR="00764E8C">
        <w:t xml:space="preserve">etters within </w:t>
      </w:r>
      <w:r w:rsidR="000F73BA">
        <w:t>6</w:t>
      </w:r>
      <w:r w:rsidR="00831D10">
        <w:t>0</w:t>
      </w:r>
      <w:r w:rsidRPr="0047280A">
        <w:t xml:space="preserve"> days of the effective date of today’s decision with a </w:t>
      </w:r>
      <w:r w:rsidR="008D6A8C" w:rsidRPr="0047280A">
        <w:t>Distribution Group Study Process</w:t>
      </w:r>
      <w:r w:rsidRPr="0047280A">
        <w:t xml:space="preserve"> that reflects PG&amp;E’s and SDG&amp;E’s February 19, 2013 draft tariff proposal </w:t>
      </w:r>
      <w:r w:rsidR="000F73BA">
        <w:t xml:space="preserve">(as revised in their March 22, 2013 comments) </w:t>
      </w:r>
      <w:r w:rsidRPr="0047280A">
        <w:t>and identifies some o</w:t>
      </w:r>
      <w:r w:rsidR="008D6A8C">
        <w:t>f the events that might trigger</w:t>
      </w:r>
      <w:r w:rsidRPr="0047280A">
        <w:t xml:space="preserve"> extension</w:t>
      </w:r>
      <w:r w:rsidR="008D6A8C">
        <w:t>s</w:t>
      </w:r>
      <w:r w:rsidRPr="0047280A">
        <w:t xml:space="preserve"> to the </w:t>
      </w:r>
      <w:r w:rsidR="008D6A8C" w:rsidRPr="0047280A">
        <w:t>Distribution Group Study Process</w:t>
      </w:r>
      <w:r w:rsidRPr="0047280A">
        <w:t xml:space="preserve"> timeline.  This information shall include, but not necessari</w:t>
      </w:r>
      <w:r w:rsidR="00527D39">
        <w:t>ly be limited to</w:t>
      </w:r>
      <w:r w:rsidR="008D6A8C">
        <w:t xml:space="preserve">: </w:t>
      </w:r>
      <w:r w:rsidR="00527D39">
        <w:t xml:space="preserve"> (1) the events</w:t>
      </w:r>
      <w:r w:rsidR="008D6A8C">
        <w:t xml:space="preserve"> resulting in extension;</w:t>
      </w:r>
      <w:r w:rsidRPr="0047280A">
        <w:t xml:space="preserve"> (2) the expected length</w:t>
      </w:r>
      <w:r w:rsidR="00527D39">
        <w:t xml:space="preserve"> of any extensions</w:t>
      </w:r>
      <w:r w:rsidR="008D6A8C">
        <w:t>;</w:t>
      </w:r>
      <w:r w:rsidR="006B7961">
        <w:t xml:space="preserve"> and</w:t>
      </w:r>
      <w:r w:rsidRPr="0047280A">
        <w:t xml:space="preserve"> (3) the method to be relied upon to notify applicants of timeline extensions.</w:t>
      </w:r>
    </w:p>
    <w:p w:rsidR="0047280A" w:rsidRPr="0047280A" w:rsidRDefault="008D6A8C" w:rsidP="00A3316C">
      <w:pPr>
        <w:pStyle w:val="Heading2"/>
        <w:ind w:right="1440"/>
      </w:pPr>
      <w:bookmarkStart w:id="25" w:name="_Toc373325577"/>
      <w:bookmarkStart w:id="26" w:name="_Toc384806452"/>
      <w:r>
        <w:t xml:space="preserve">Electrical </w:t>
      </w:r>
      <w:r w:rsidR="0047280A" w:rsidRPr="0047280A">
        <w:t>Interdependence</w:t>
      </w:r>
      <w:bookmarkEnd w:id="25"/>
      <w:bookmarkEnd w:id="26"/>
    </w:p>
    <w:p w:rsidR="0047280A" w:rsidRPr="0047280A" w:rsidRDefault="0047280A" w:rsidP="0047280A">
      <w:pPr>
        <w:spacing w:line="360" w:lineRule="auto"/>
        <w:ind w:firstLine="720"/>
      </w:pPr>
      <w:r w:rsidRPr="0047280A">
        <w:t>Clean Coalition and Sustainable Conservation state that additional clarification is needed regarding how electrical interdependence is es</w:t>
      </w:r>
      <w:r w:rsidR="009D0770">
        <w:t>tablish by the utilities and how utilities propose</w:t>
      </w:r>
      <w:r w:rsidRPr="0047280A">
        <w:t xml:space="preserve"> to define a “group” for purposes of the </w:t>
      </w:r>
      <w:r w:rsidR="00B12FFE">
        <w:t>Distribution Group Study Process</w:t>
      </w:r>
      <w:r w:rsidRPr="0047280A">
        <w:t>.</w:t>
      </w:r>
      <w:r w:rsidRPr="0047280A">
        <w:rPr>
          <w:sz w:val="24"/>
          <w:vertAlign w:val="superscript"/>
        </w:rPr>
        <w:footnoteReference w:id="59"/>
      </w:r>
      <w:r w:rsidR="0063429C">
        <w:t xml:space="preserve">  </w:t>
      </w:r>
      <w:r w:rsidRPr="0047280A">
        <w:t xml:space="preserve">Specifically, Clean Coalition states that </w:t>
      </w:r>
      <w:r w:rsidR="00451313">
        <w:br/>
      </w:r>
      <w:r w:rsidRPr="0047280A">
        <w:t>Rule 21 should include a more detailed explanation of the parameters of a geographic area for each study group.</w:t>
      </w:r>
      <w:r w:rsidRPr="0047280A">
        <w:rPr>
          <w:vertAlign w:val="superscript"/>
        </w:rPr>
        <w:footnoteReference w:id="60"/>
      </w:r>
      <w:r w:rsidRPr="0047280A">
        <w:t xml:space="preserve">  Vote Solar Initiative and Sierra Club make similar claims regarding</w:t>
      </w:r>
      <w:r w:rsidR="009D0770">
        <w:t xml:space="preserve"> the</w:t>
      </w:r>
      <w:r w:rsidRPr="0047280A">
        <w:t xml:space="preserve"> vagueness of </w:t>
      </w:r>
      <w:r w:rsidR="009D0770">
        <w:t xml:space="preserve">the proposed </w:t>
      </w:r>
      <w:r w:rsidRPr="0047280A">
        <w:t>terms.</w:t>
      </w:r>
      <w:r w:rsidRPr="0047280A">
        <w:rPr>
          <w:sz w:val="24"/>
          <w:vertAlign w:val="superscript"/>
        </w:rPr>
        <w:footnoteReference w:id="61"/>
      </w:r>
    </w:p>
    <w:p w:rsidR="0047280A" w:rsidRPr="0047280A" w:rsidRDefault="0047280A" w:rsidP="00D225A3">
      <w:pPr>
        <w:spacing w:line="360" w:lineRule="auto"/>
        <w:ind w:firstLine="720"/>
      </w:pPr>
      <w:r w:rsidRPr="0047280A">
        <w:t xml:space="preserve">In response to the above concerns, both PG&amp;E and SCE clarify that the terms “electrical areas” and “engineering </w:t>
      </w:r>
      <w:r w:rsidR="009D0770">
        <w:t xml:space="preserve">judgment” </w:t>
      </w:r>
      <w:r w:rsidRPr="0047280A">
        <w:t>mean the process described in Rule 21, Screen R</w:t>
      </w:r>
      <w:r w:rsidR="009D0770">
        <w:t>,</w:t>
      </w:r>
      <w:r w:rsidRPr="0047280A">
        <w:t xml:space="preserve"> to determine if a project is interdependent with another ear</w:t>
      </w:r>
      <w:r w:rsidR="00464793">
        <w:t>lier-queued interconnection request.</w:t>
      </w:r>
      <w:r w:rsidRPr="0047280A">
        <w:rPr>
          <w:sz w:val="24"/>
          <w:vertAlign w:val="superscript"/>
        </w:rPr>
        <w:footnoteReference w:id="62"/>
      </w:r>
      <w:r w:rsidR="0063429C">
        <w:t xml:space="preserve">  </w:t>
      </w:r>
      <w:r w:rsidRPr="0047280A">
        <w:t>Specifically, with regard to the determinat</w:t>
      </w:r>
      <w:r w:rsidR="00464793">
        <w:t>ion of electrical i</w:t>
      </w:r>
      <w:r w:rsidRPr="0047280A">
        <w:t>n</w:t>
      </w:r>
      <w:r w:rsidR="00464793">
        <w:t>ter</w:t>
      </w:r>
      <w:r w:rsidRPr="0047280A">
        <w:t>dependence</w:t>
      </w:r>
      <w:r w:rsidR="00464793">
        <w:t xml:space="preserve"> on the distribution system, Screen R provides as follows</w:t>
      </w:r>
      <w:r w:rsidRPr="0047280A">
        <w:t xml:space="preserve">: </w:t>
      </w:r>
    </w:p>
    <w:p w:rsidR="00D225A3" w:rsidRDefault="0047280A" w:rsidP="00121DA3">
      <w:pPr>
        <w:spacing w:after="120"/>
        <w:ind w:left="720" w:right="1440"/>
        <w:rPr>
          <w:rFonts w:cs="Arial Unicode MS"/>
          <w:bCs/>
          <w:iCs/>
          <w:lang w:eastAsia="x-none" w:bidi="lo-LA"/>
        </w:rPr>
      </w:pPr>
      <w:r w:rsidRPr="0047280A">
        <w:rPr>
          <w:rFonts w:cs="Arial Unicode MS"/>
          <w:bCs/>
          <w:iCs/>
          <w:lang w:val="x-none" w:eastAsia="x-none" w:bidi="lo-LA"/>
        </w:rPr>
        <w:t xml:space="preserve">For Interconnection Requests that are electrically independent from the CAISO  Controlled Grid, Distribution Provider will evaluate each Interconnection Request for known or reasonably anticipated relationships between the Interconnection Request and any earlier-queued interconnection requests in the </w:t>
      </w:r>
      <w:r w:rsidR="00121DA3">
        <w:rPr>
          <w:rFonts w:cs="Arial Unicode MS"/>
          <w:bCs/>
          <w:iCs/>
          <w:lang w:eastAsia="x-none" w:bidi="lo-LA"/>
        </w:rPr>
        <w:t>DGSP</w:t>
      </w:r>
      <w:r w:rsidRPr="0047280A">
        <w:rPr>
          <w:rFonts w:cs="Arial Unicode MS"/>
          <w:bCs/>
          <w:iCs/>
          <w:lang w:val="x-none" w:eastAsia="x-none" w:bidi="lo-LA"/>
        </w:rPr>
        <w:t xml:space="preserve">, the Independent Study Process, or interconnection requests studied under predecessor interconnection procedures that have yet to complete their respective interconnection system impact study or Phase I interconnection study. </w:t>
      </w:r>
      <w:r w:rsidR="001B43F2">
        <w:rPr>
          <w:rFonts w:cs="Arial Unicode MS"/>
          <w:bCs/>
          <w:iCs/>
          <w:lang w:eastAsia="x-none" w:bidi="lo-LA"/>
        </w:rPr>
        <w:t xml:space="preserve"> </w:t>
      </w:r>
      <w:r w:rsidRPr="0047280A">
        <w:rPr>
          <w:rFonts w:cs="Arial Unicode MS"/>
          <w:bCs/>
          <w:iCs/>
          <w:lang w:val="x-none" w:eastAsia="x-none" w:bidi="lo-LA"/>
        </w:rPr>
        <w:t xml:space="preserve">Distribution Provider may conduct incremental power flow, aggregate power flow, and/or short-circuit duty tests using existing interconnection studies, Base Case data, overall system knowledge, and engineering judgment to determine whether an Interconnection Request can be studied independently of earlier-queued interconnection requests. </w:t>
      </w:r>
      <w:r w:rsidR="00121DA3">
        <w:rPr>
          <w:rFonts w:cs="Arial Unicode MS"/>
          <w:bCs/>
          <w:iCs/>
          <w:lang w:eastAsia="x-none" w:bidi="lo-LA"/>
        </w:rPr>
        <w:t xml:space="preserve"> </w:t>
      </w:r>
      <w:r w:rsidRPr="0047280A">
        <w:rPr>
          <w:rFonts w:cs="Arial Unicode MS"/>
          <w:bCs/>
          <w:iCs/>
          <w:lang w:val="x-none" w:eastAsia="x-none" w:bidi="lo-LA"/>
        </w:rPr>
        <w:t xml:space="preserve">If the Interconnection Request being evaluated for electrical independence on the Distribution System may be electrically related to earlier-queued interconnection requests that have yet to complete either interconnection system impact study or Phase I interconnection study, then it fails the evaluation of electrical independence for the Distribution System. </w:t>
      </w:r>
    </w:p>
    <w:p w:rsidR="00901311" w:rsidRDefault="00D225A3" w:rsidP="00121DA3">
      <w:pPr>
        <w:spacing w:after="120"/>
        <w:ind w:left="720" w:right="1440"/>
        <w:rPr>
          <w:rFonts w:cs="Arial Unicode MS"/>
          <w:bCs/>
          <w:iCs/>
          <w:lang w:eastAsia="x-none" w:bidi="lo-LA"/>
        </w:rPr>
      </w:pPr>
      <w:r w:rsidRPr="0047280A">
        <w:rPr>
          <w:rFonts w:cs="Arial Unicode MS"/>
          <w:bCs/>
          <w:iCs/>
          <w:lang w:val="x-none" w:eastAsia="x-none" w:bidi="lo-LA"/>
        </w:rPr>
        <w:t>If Yes (pass), continue to Independent Study Process If No</w:t>
      </w:r>
      <w:r>
        <w:rPr>
          <w:rFonts w:cs="Arial Unicode MS"/>
          <w:bCs/>
          <w:iCs/>
          <w:lang w:eastAsia="x-none" w:bidi="lo-LA"/>
        </w:rPr>
        <w:t xml:space="preserve"> (fail), continue to the Distribution Group Study Process.</w:t>
      </w:r>
      <w:r>
        <w:rPr>
          <w:rStyle w:val="FootnoteReference"/>
          <w:rFonts w:cs="Arial Unicode MS"/>
          <w:bCs/>
          <w:iCs/>
          <w:lang w:eastAsia="x-none" w:bidi="lo-LA"/>
        </w:rPr>
        <w:footnoteReference w:id="63"/>
      </w:r>
      <w:r>
        <w:rPr>
          <w:rFonts w:cs="Arial Unicode MS"/>
          <w:bCs/>
          <w:iCs/>
          <w:lang w:eastAsia="x-none" w:bidi="lo-LA"/>
        </w:rPr>
        <w:t xml:space="preserve"> </w:t>
      </w:r>
    </w:p>
    <w:p w:rsidR="00901311" w:rsidRDefault="00901311" w:rsidP="00901311">
      <w:pPr>
        <w:pStyle w:val="standard"/>
        <w:rPr>
          <w:rFonts w:cs="Arial Unicode MS"/>
          <w:bCs/>
          <w:iCs/>
          <w:lang w:eastAsia="x-none" w:bidi="lo-LA"/>
        </w:rPr>
      </w:pPr>
      <w:r w:rsidRPr="00901311">
        <w:t>PG&amp;E and SCE propose to follow the above process without revision to determine whether the Distribution Group Study Process is needed for a particular project.</w:t>
      </w:r>
      <w:r w:rsidRPr="00D225A3">
        <w:rPr>
          <w:rStyle w:val="FootnoteReference"/>
        </w:rPr>
        <w:footnoteReference w:id="64"/>
      </w:r>
      <w:r w:rsidRPr="00D225A3">
        <w:rPr>
          <w:rStyle w:val="FootnoteReference"/>
        </w:rPr>
        <w:t xml:space="preserve"> </w:t>
      </w:r>
      <w:r w:rsidR="0063429C">
        <w:t xml:space="preserve"> PG&amp;E further states</w:t>
      </w:r>
      <w:r w:rsidRPr="00901311">
        <w:t xml:space="preserve"> that</w:t>
      </w:r>
      <w:r w:rsidR="0063429C">
        <w:t>,</w:t>
      </w:r>
      <w:r w:rsidRPr="00901311">
        <w:t xml:space="preserve"> in general, areas where there may be interdependence between projects include distribution circuits, substation banks or substations.</w:t>
      </w:r>
      <w:r w:rsidRPr="00D225A3">
        <w:rPr>
          <w:rStyle w:val="FootnoteReference"/>
        </w:rPr>
        <w:footnoteReference w:id="65"/>
      </w:r>
      <w:r w:rsidRPr="00D225A3">
        <w:rPr>
          <w:rStyle w:val="FootnoteReference"/>
        </w:rPr>
        <w:t xml:space="preserve">  </w:t>
      </w:r>
    </w:p>
    <w:p w:rsidR="0047280A" w:rsidRDefault="0047280A" w:rsidP="0047280A">
      <w:pPr>
        <w:spacing w:line="360" w:lineRule="auto"/>
        <w:ind w:firstLine="720"/>
      </w:pPr>
      <w:r w:rsidRPr="0047280A">
        <w:t>We find that no further revisions to Rule 21 are needed at this time to address the amount of information available to applicants re</w:t>
      </w:r>
      <w:r w:rsidR="00C4591E">
        <w:t xml:space="preserve">garding electrical </w:t>
      </w:r>
      <w:r w:rsidRPr="0047280A">
        <w:t>interdependence</w:t>
      </w:r>
      <w:r w:rsidR="00C4591E">
        <w:t xml:space="preserve"> on the distribution system</w:t>
      </w:r>
      <w:r w:rsidRPr="0047280A">
        <w:t>.  We find the terms “electrical area” and “engineering judgment” are sufficiently addressed in Rule 21 although every nuance of these terms is not explained.  We also agree that, to a certain extent, the utilities’ subjective judgment is a ne</w:t>
      </w:r>
      <w:r w:rsidR="00C4591E">
        <w:t>cessary component of operating the</w:t>
      </w:r>
      <w:r w:rsidRPr="0047280A">
        <w:t xml:space="preserve"> distribution </w:t>
      </w:r>
      <w:r w:rsidR="0063429C">
        <w:t>system</w:t>
      </w:r>
      <w:r w:rsidRPr="0047280A">
        <w:t xml:space="preserve">.  </w:t>
      </w:r>
    </w:p>
    <w:p w:rsidR="0047280A" w:rsidRPr="00934208" w:rsidRDefault="0047280A" w:rsidP="00934208">
      <w:pPr>
        <w:pStyle w:val="standard"/>
      </w:pPr>
      <w:r w:rsidRPr="00934208">
        <w:t>Moreover, as applicants move through the stages in the interconnection process, applicants obtain more inform</w:t>
      </w:r>
      <w:r w:rsidR="002505EC" w:rsidRPr="00934208">
        <w:t>ation</w:t>
      </w:r>
      <w:r w:rsidRPr="00934208">
        <w:t xml:space="preserve">.  At these points, applicants can opt out of the </w:t>
      </w:r>
      <w:r w:rsidR="0063429C" w:rsidRPr="0047280A">
        <w:t>Distribution Group Study Process</w:t>
      </w:r>
      <w:r w:rsidRPr="00934208">
        <w:t xml:space="preserve"> with minimal negative </w:t>
      </w:r>
      <w:r w:rsidR="00C4591E" w:rsidRPr="00934208">
        <w:t xml:space="preserve">consequences </w:t>
      </w:r>
      <w:r w:rsidRPr="00934208">
        <w:t xml:space="preserve">should unanticipated concerns arise.  For example, the proposed </w:t>
      </w:r>
      <w:r w:rsidR="0063429C" w:rsidRPr="0047280A">
        <w:t>Distribution Group Study Process</w:t>
      </w:r>
      <w:r w:rsidR="00934208" w:rsidRPr="00934208">
        <w:t xml:space="preserve"> </w:t>
      </w:r>
      <w:r w:rsidRPr="00934208">
        <w:t>permits applicants to withdraw from the group process at any point wi</w:t>
      </w:r>
      <w:r w:rsidR="003359F3" w:rsidRPr="00934208">
        <w:t xml:space="preserve">thout responsibility for </w:t>
      </w:r>
      <w:r w:rsidRPr="00934208">
        <w:t xml:space="preserve">costs </w:t>
      </w:r>
      <w:r w:rsidR="004151B7" w:rsidRPr="00934208">
        <w:t xml:space="preserve">not incurred </w:t>
      </w:r>
      <w:r w:rsidRPr="00934208">
        <w:t>with the group,</w:t>
      </w:r>
      <w:r w:rsidRPr="00934208">
        <w:rPr>
          <w:rStyle w:val="FootnoteReference"/>
        </w:rPr>
        <w:footnoteReference w:id="66"/>
      </w:r>
      <w:r w:rsidRPr="00934208">
        <w:rPr>
          <w:rStyle w:val="FootnoteReference"/>
        </w:rPr>
        <w:t xml:space="preserve"> </w:t>
      </w:r>
      <w:r w:rsidRPr="00934208">
        <w:t>provides applicants with the choice, in some situations, of whether to rely on the group study process or proceed individually,</w:t>
      </w:r>
      <w:r w:rsidRPr="00934208">
        <w:rPr>
          <w:rStyle w:val="FootnoteReference"/>
        </w:rPr>
        <w:footnoteReference w:id="67"/>
      </w:r>
      <w:r w:rsidRPr="00934208">
        <w:t xml:space="preserve"> and establishes a process for applicants to obtain all documents from the utility relevant to its interconnection process.</w:t>
      </w:r>
      <w:r w:rsidRPr="00934208">
        <w:rPr>
          <w:rStyle w:val="FootnoteReference"/>
        </w:rPr>
        <w:footnoteReference w:id="68"/>
      </w:r>
      <w:r w:rsidRPr="00934208">
        <w:t xml:space="preserve"> </w:t>
      </w:r>
    </w:p>
    <w:p w:rsidR="00097CAC" w:rsidRDefault="0063429C" w:rsidP="0047280A">
      <w:pPr>
        <w:spacing w:line="360" w:lineRule="auto"/>
        <w:ind w:firstLine="720"/>
      </w:pPr>
      <w:r>
        <w:t>We do find, however,</w:t>
      </w:r>
      <w:r w:rsidR="00FA258C">
        <w:t xml:space="preserve"> </w:t>
      </w:r>
      <w:r w:rsidR="0047280A" w:rsidRPr="0047280A">
        <w:t>as we gain experience with the Distribution Group Study Process, information sharing will</w:t>
      </w:r>
      <w:r w:rsidR="00FA258C">
        <w:t xml:space="preserve"> likely</w:t>
      </w:r>
      <w:r w:rsidR="0047280A" w:rsidRPr="0047280A">
        <w:t xml:space="preserve"> facilitate a better understanding of the potential of the group study process. </w:t>
      </w:r>
    </w:p>
    <w:p w:rsidR="0047280A" w:rsidRPr="0047280A" w:rsidRDefault="0047280A" w:rsidP="0047280A">
      <w:pPr>
        <w:spacing w:line="360" w:lineRule="auto"/>
        <w:ind w:firstLine="720"/>
      </w:pPr>
      <w:r w:rsidRPr="0047280A">
        <w:t xml:space="preserve">Accordingly, PG&amp;E, SCE, and SDG&amp;E shall submit a quarterly report to the Commission, referred to as the Interconnection Data Quarterly Report, in January (October – December data), April (January – March data), July </w:t>
      </w:r>
      <w:r w:rsidR="00901311">
        <w:br/>
      </w:r>
      <w:r w:rsidRPr="0047280A">
        <w:t>(April – June data), and October (July-September data).  These reports shall include, among other things, information to</w:t>
      </w:r>
      <w:r w:rsidR="006F50AC">
        <w:t xml:space="preserve"> support the utilities’ r</w:t>
      </w:r>
      <w:r w:rsidR="00AA17B7">
        <w:t>ationale for reliance</w:t>
      </w:r>
      <w:r w:rsidRPr="0047280A">
        <w:t xml:space="preserve"> on a group study process.  Other components of these reports are addresses below.  These reports shall be submitted to the Director of the Commission’s Energy Division.</w:t>
      </w:r>
    </w:p>
    <w:p w:rsidR="0047280A" w:rsidRPr="0047280A" w:rsidRDefault="0047280A" w:rsidP="00A3316C">
      <w:pPr>
        <w:pStyle w:val="Heading2"/>
      </w:pPr>
      <w:bookmarkStart w:id="27" w:name="_Toc373325578"/>
      <w:bookmarkStart w:id="28" w:name="_Toc384806453"/>
      <w:r w:rsidRPr="0047280A">
        <w:t xml:space="preserve">Cost </w:t>
      </w:r>
      <w:r w:rsidR="00945329">
        <w:t>Allocation</w:t>
      </w:r>
      <w:r w:rsidRPr="0047280A">
        <w:t xml:space="preserve">, Deposits, and </w:t>
      </w:r>
      <w:r w:rsidR="007712AC">
        <w:t xml:space="preserve">Restudy </w:t>
      </w:r>
      <w:r w:rsidRPr="0047280A">
        <w:t>Timeline</w:t>
      </w:r>
      <w:bookmarkEnd w:id="27"/>
      <w:bookmarkEnd w:id="28"/>
    </w:p>
    <w:p w:rsidR="00CF08E1" w:rsidRDefault="0047280A" w:rsidP="00CF08E1">
      <w:pPr>
        <w:spacing w:line="360" w:lineRule="auto"/>
        <w:ind w:firstLine="720"/>
      </w:pPr>
      <w:r w:rsidRPr="0047280A">
        <w:t>IREC requests further clarification on</w:t>
      </w:r>
      <w:r w:rsidR="00901311">
        <w:t xml:space="preserve">: </w:t>
      </w:r>
      <w:r w:rsidRPr="0047280A">
        <w:t xml:space="preserve"> (1) </w:t>
      </w:r>
      <w:r w:rsidR="00CF08E1">
        <w:t xml:space="preserve">the utilities’ proposed </w:t>
      </w:r>
      <w:r w:rsidRPr="0047280A">
        <w:t>cost allocation with</w:t>
      </w:r>
      <w:r w:rsidR="0063429C">
        <w:t>in the context of a group study;</w:t>
      </w:r>
      <w:r w:rsidRPr="0047280A">
        <w:t xml:space="preserve"> (2) the cost impact of an applicant withdrawi</w:t>
      </w:r>
      <w:r w:rsidR="00901311">
        <w:t>ng from the group study process;</w:t>
      </w:r>
      <w:r w:rsidRPr="0047280A">
        <w:t xml:space="preserve"> and (3) any resulting processing delays and </w:t>
      </w:r>
      <w:r w:rsidR="00097CAC">
        <w:t xml:space="preserve">modifications to existing </w:t>
      </w:r>
      <w:r w:rsidRPr="0047280A">
        <w:t>timelines in the event of a restudy.</w:t>
      </w:r>
      <w:r w:rsidRPr="0047280A">
        <w:rPr>
          <w:vertAlign w:val="superscript"/>
        </w:rPr>
        <w:footnoteReference w:id="69"/>
      </w:r>
      <w:r w:rsidRPr="0047280A">
        <w:t xml:space="preserve"> </w:t>
      </w:r>
      <w:r w:rsidR="00CF08E1">
        <w:t xml:space="preserve">With respect to cost allocation to applicants within the same study group, IREC points out that the utilities use different terminology to describe cost allocation on the basis of each group member’s contribution to the upgrade or on a pro rata </w:t>
      </w:r>
      <w:r w:rsidR="00934208">
        <w:br/>
      </w:r>
      <w:r w:rsidR="00CF08E1">
        <w:t>per-megawatt basis.</w:t>
      </w:r>
    </w:p>
    <w:p w:rsidR="0047280A" w:rsidRPr="0047280A" w:rsidRDefault="00D127A0" w:rsidP="00382E25">
      <w:pPr>
        <w:spacing w:line="360" w:lineRule="auto"/>
        <w:ind w:firstLine="720"/>
      </w:pPr>
      <w:r>
        <w:t>Within the context of the study group, w</w:t>
      </w:r>
      <w:r w:rsidR="0047280A" w:rsidRPr="0047280A">
        <w:t xml:space="preserve">e find that </w:t>
      </w:r>
      <w:r w:rsidR="00CF08E1">
        <w:t>costs for required</w:t>
      </w:r>
      <w:r w:rsidR="00E01440">
        <w:t xml:space="preserve"> interconnection upgrades will </w:t>
      </w:r>
      <w:r>
        <w:t>be allocated</w:t>
      </w:r>
      <w:r w:rsidR="0047280A" w:rsidRPr="0047280A">
        <w:t xml:space="preserve"> </w:t>
      </w:r>
      <w:r>
        <w:t xml:space="preserve">among </w:t>
      </w:r>
      <w:r w:rsidR="00945329">
        <w:t xml:space="preserve">all </w:t>
      </w:r>
      <w:r>
        <w:t>group applicants</w:t>
      </w:r>
      <w:r w:rsidR="00945329">
        <w:t xml:space="preserve"> based on</w:t>
      </w:r>
      <w:r w:rsidR="00B67012">
        <w:t xml:space="preserve"> nameplate </w:t>
      </w:r>
      <w:r w:rsidR="002C51C5">
        <w:t>k</w:t>
      </w:r>
      <w:r w:rsidR="00B67012">
        <w:t xml:space="preserve">ilovolt </w:t>
      </w:r>
      <w:r w:rsidR="002C51C5">
        <w:t>a</w:t>
      </w:r>
      <w:r w:rsidR="00B67012">
        <w:t>meres (kVA) and, in some circumstances, also based on an applicant’s specific contributions to the upgrade cost</w:t>
      </w:r>
      <w:r w:rsidR="00CD7467">
        <w:t>s</w:t>
      </w:r>
      <w:r w:rsidR="00B67012">
        <w:t>.</w:t>
      </w:r>
      <w:r w:rsidR="0047280A" w:rsidRPr="0047280A">
        <w:t xml:space="preserve"> </w:t>
      </w:r>
      <w:r w:rsidR="00CD7467">
        <w:t xml:space="preserve"> </w:t>
      </w:r>
      <w:r w:rsidR="0047280A" w:rsidRPr="0047280A">
        <w:t xml:space="preserve"> Costs for upgrades will </w:t>
      </w:r>
      <w:r w:rsidR="00945329">
        <w:t>only</w:t>
      </w:r>
      <w:r w:rsidR="00945329" w:rsidRPr="0047280A">
        <w:t xml:space="preserve"> </w:t>
      </w:r>
      <w:r w:rsidR="0047280A" w:rsidRPr="0047280A">
        <w:t>be</w:t>
      </w:r>
      <w:r w:rsidR="002C51C5">
        <w:t xml:space="preserve"> also</w:t>
      </w:r>
      <w:r w:rsidR="0047280A" w:rsidRPr="0047280A">
        <w:t xml:space="preserve"> all</w:t>
      </w:r>
      <w:r>
        <w:t xml:space="preserve">ocated based upon </w:t>
      </w:r>
      <w:r w:rsidR="00B67012">
        <w:t xml:space="preserve">an </w:t>
      </w:r>
      <w:r>
        <w:t>applicant</w:t>
      </w:r>
      <w:r w:rsidR="0047280A" w:rsidRPr="0047280A">
        <w:t xml:space="preserve">’s specific contributions to a particular upgrade </w:t>
      </w:r>
      <w:r w:rsidR="00B67012">
        <w:t xml:space="preserve">if the utility determines that; based on overall fairness to the group, the individual applicant, rather than the group, should be responsible for the costs. </w:t>
      </w:r>
      <w:r w:rsidR="0047280A" w:rsidRPr="0047280A">
        <w:t xml:space="preserve"> </w:t>
      </w:r>
      <w:r w:rsidR="00B67012">
        <w:t>T</w:t>
      </w:r>
      <w:r w:rsidR="0047280A" w:rsidRPr="0047280A">
        <w:t xml:space="preserve">his </w:t>
      </w:r>
      <w:r w:rsidR="00B67012">
        <w:t xml:space="preserve">“specific contribution” </w:t>
      </w:r>
      <w:r w:rsidR="0047280A" w:rsidRPr="0047280A">
        <w:t>allocation method includes a degree of subjectivity</w:t>
      </w:r>
      <w:r w:rsidR="00B67012">
        <w:t>.</w:t>
      </w:r>
      <w:r w:rsidR="0047280A" w:rsidRPr="0047280A">
        <w:t xml:space="preserve">  </w:t>
      </w:r>
      <w:r w:rsidR="00B67012">
        <w:t>C</w:t>
      </w:r>
      <w:r w:rsidR="0047280A" w:rsidRPr="0047280A">
        <w:t>ost allocation</w:t>
      </w:r>
      <w:r>
        <w:t xml:space="preserve"> within the group</w:t>
      </w:r>
      <w:r w:rsidR="0047280A" w:rsidRPr="0047280A">
        <w:t xml:space="preserve"> will not always align with cost contribution under a per </w:t>
      </w:r>
      <w:r w:rsidR="00B67012">
        <w:t xml:space="preserve">kVA </w:t>
      </w:r>
      <w:r w:rsidR="002C51C5">
        <w:t xml:space="preserve">plus </w:t>
      </w:r>
      <w:r w:rsidR="00B67012">
        <w:t xml:space="preserve"> “specific contribution”</w:t>
      </w:r>
      <w:r w:rsidR="00B67012" w:rsidRPr="0047280A">
        <w:t xml:space="preserve"> </w:t>
      </w:r>
      <w:r w:rsidR="0047280A" w:rsidRPr="0047280A">
        <w:t>allocation method</w:t>
      </w:r>
      <w:r w:rsidR="00B67012">
        <w:t>.  However</w:t>
      </w:r>
      <w:r w:rsidR="0047280A" w:rsidRPr="0047280A">
        <w:t xml:space="preserve"> the method is </w:t>
      </w:r>
      <w:r w:rsidR="007925FC">
        <w:t>relatively straight forward</w:t>
      </w:r>
      <w:r w:rsidR="0047280A" w:rsidRPr="0047280A">
        <w:t xml:space="preserve"> to administer which will contribute to a tra</w:t>
      </w:r>
      <w:r w:rsidR="00E01440">
        <w:t>nsparent program and predictable</w:t>
      </w:r>
      <w:r w:rsidR="0047280A" w:rsidRPr="0047280A">
        <w:t xml:space="preserve"> outcomes</w:t>
      </w:r>
      <w:r w:rsidR="00930AC5">
        <w:t>.</w:t>
      </w:r>
      <w:r w:rsidR="00097CAC">
        <w:t xml:space="preserve">  </w:t>
      </w:r>
      <w:r w:rsidR="002C51C5">
        <w:t>Examples of the</w:t>
      </w:r>
      <w:r w:rsidR="0035564A">
        <w:t xml:space="preserve"> </w:t>
      </w:r>
      <w:r w:rsidR="002C51C5">
        <w:t xml:space="preserve">possible </w:t>
      </w:r>
      <w:r>
        <w:t>types of s</w:t>
      </w:r>
      <w:r w:rsidRPr="00D127A0">
        <w:t>hared costs must be described o</w:t>
      </w:r>
      <w:r w:rsidR="006734E1">
        <w:t>r referenced in Rule 21 and should</w:t>
      </w:r>
      <w:r w:rsidRPr="00D127A0">
        <w:t xml:space="preserve"> be found in a single location in the tariff.</w:t>
      </w:r>
      <w:r>
        <w:t xml:space="preserve">  </w:t>
      </w:r>
      <w:r w:rsidR="00F129CD">
        <w:t>In addition, utilities shall indicate how cost allocation is determined in the Phase 1 and Phase 2 study reports.</w:t>
      </w:r>
      <w:r w:rsidR="00F30675">
        <w:rPr>
          <w:rStyle w:val="FootnoteReference"/>
        </w:rPr>
        <w:footnoteReference w:id="70"/>
      </w:r>
      <w:r w:rsidR="00CD5551">
        <w:t xml:space="preserve">  This information </w:t>
      </w:r>
      <w:r w:rsidR="00CD5551" w:rsidRPr="005B1CE6">
        <w:t>wit</w:t>
      </w:r>
      <w:r w:rsidR="005B1CE6">
        <w:t>h promote transparency.</w:t>
      </w:r>
      <w:r w:rsidR="00CD5551">
        <w:t xml:space="preserve"> </w:t>
      </w:r>
    </w:p>
    <w:p w:rsidR="0047280A" w:rsidRPr="0047280A" w:rsidRDefault="0047280A" w:rsidP="0047280A">
      <w:pPr>
        <w:spacing w:line="360" w:lineRule="auto"/>
        <w:ind w:firstLine="720"/>
      </w:pPr>
      <w:r w:rsidRPr="0047280A">
        <w:t>In addition, in an effort to minimize the financial unknowns and delays</w:t>
      </w:r>
      <w:r w:rsidR="00E01440">
        <w:t xml:space="preserve"> within the group context</w:t>
      </w:r>
      <w:r w:rsidRPr="0047280A">
        <w:t xml:space="preserve">, we find it reasonable to mitigate the </w:t>
      </w:r>
      <w:r w:rsidR="00C67444">
        <w:t xml:space="preserve">financial </w:t>
      </w:r>
      <w:r w:rsidRPr="0047280A">
        <w:t xml:space="preserve">impact </w:t>
      </w:r>
      <w:r w:rsidR="00B031D2">
        <w:t xml:space="preserve">on the group due to </w:t>
      </w:r>
      <w:r w:rsidRPr="0047280A">
        <w:t>applicants drop</w:t>
      </w:r>
      <w:r w:rsidR="00B031D2">
        <w:t>ping</w:t>
      </w:r>
      <w:r w:rsidRPr="0047280A">
        <w:t xml:space="preserve"> out of the group study process.  </w:t>
      </w:r>
      <w:r w:rsidR="0056755C">
        <w:t>D</w:t>
      </w:r>
      <w:r w:rsidRPr="0047280A">
        <w:t>eposit funds w</w:t>
      </w:r>
      <w:r w:rsidR="00121628">
        <w:t>ill be forfeited in the event a</w:t>
      </w:r>
      <w:r w:rsidR="00930AC5">
        <w:t>n applicant</w:t>
      </w:r>
      <w:r w:rsidR="00121628">
        <w:t xml:space="preserve"> withdraws</w:t>
      </w:r>
      <w:r w:rsidR="004F759B">
        <w:t>.</w:t>
      </w:r>
      <w:r w:rsidRPr="0047280A">
        <w:t xml:space="preserve"> </w:t>
      </w:r>
      <w:r w:rsidR="00C67444">
        <w:t xml:space="preserve"> </w:t>
      </w:r>
      <w:r w:rsidR="004F759B">
        <w:t xml:space="preserve">Forfeited </w:t>
      </w:r>
      <w:r w:rsidR="00C67444">
        <w:t xml:space="preserve">funds shall be used </w:t>
      </w:r>
      <w:r w:rsidRPr="0047280A">
        <w:t>to mitigate the expense</w:t>
      </w:r>
      <w:r w:rsidR="000F5FD5">
        <w:t xml:space="preserve"> of restudies, if needed.  F</w:t>
      </w:r>
      <w:r w:rsidRPr="0047280A">
        <w:t>orfeit</w:t>
      </w:r>
      <w:r w:rsidR="00C67444">
        <w:t xml:space="preserve">ed funds shall also be </w:t>
      </w:r>
      <w:r w:rsidRPr="0047280A">
        <w:t>used to mitigate a</w:t>
      </w:r>
      <w:r w:rsidR="00C67444">
        <w:t>ny</w:t>
      </w:r>
      <w:r w:rsidRPr="0047280A">
        <w:t xml:space="preserve"> future group expense</w:t>
      </w:r>
      <w:r w:rsidR="007D122A">
        <w:t>s</w:t>
      </w:r>
      <w:r w:rsidRPr="0047280A">
        <w:t xml:space="preserve">.  </w:t>
      </w:r>
      <w:r w:rsidR="00C67444">
        <w:t>At the conclusion of the group study process, any r</w:t>
      </w:r>
      <w:r w:rsidR="00121628" w:rsidRPr="0047280A">
        <w:t xml:space="preserve">emaining </w:t>
      </w:r>
      <w:r w:rsidR="00C67444">
        <w:t xml:space="preserve">forfeited </w:t>
      </w:r>
      <w:r w:rsidR="00121628">
        <w:t>funds</w:t>
      </w:r>
      <w:r w:rsidR="00C67444">
        <w:t xml:space="preserve"> shall </w:t>
      </w:r>
      <w:r w:rsidR="00121628">
        <w:t>be allocated</w:t>
      </w:r>
      <w:r w:rsidR="00371FA8">
        <w:t xml:space="preserve"> </w:t>
      </w:r>
      <w:r w:rsidR="00121628">
        <w:t xml:space="preserve">among remaining applicants on a per </w:t>
      </w:r>
      <w:r w:rsidR="004F759B">
        <w:t>kVA</w:t>
      </w:r>
      <w:r w:rsidR="00C67444">
        <w:t>.</w:t>
      </w:r>
      <w:r w:rsidR="00121628">
        <w:t xml:space="preserve"> </w:t>
      </w:r>
      <w:r w:rsidR="00C67444">
        <w:t xml:space="preserve"> </w:t>
      </w:r>
      <w:r w:rsidRPr="0047280A">
        <w:t>The s</w:t>
      </w:r>
      <w:r w:rsidR="004C5145">
        <w:t>ame approach will apply to deposits</w:t>
      </w:r>
      <w:r w:rsidRPr="0047280A">
        <w:t xml:space="preserve"> if an applicant drops out</w:t>
      </w:r>
      <w:r w:rsidR="00C67444">
        <w:t xml:space="preserve"> of the group</w:t>
      </w:r>
      <w:r w:rsidRPr="0047280A">
        <w:t xml:space="preserve"> after construction occurs</w:t>
      </w:r>
      <w:r w:rsidR="004C5145">
        <w:t xml:space="preserve"> or </w:t>
      </w:r>
      <w:r w:rsidR="00C67444">
        <w:t xml:space="preserve">at </w:t>
      </w:r>
      <w:r w:rsidR="004C5145">
        <w:t xml:space="preserve">any other point in the group study process.  Tariffs must include </w:t>
      </w:r>
      <w:r w:rsidRPr="0047280A">
        <w:t>provision</w:t>
      </w:r>
      <w:r w:rsidR="004C5145">
        <w:t>s</w:t>
      </w:r>
      <w:r w:rsidRPr="0047280A">
        <w:t xml:space="preserve"> on this topic.  All forfeiture dates and timeline</w:t>
      </w:r>
      <w:r w:rsidR="00FA258C">
        <w:t>s</w:t>
      </w:r>
      <w:r w:rsidRPr="0047280A">
        <w:t xml:space="preserve"> must be explained in Rule 21. </w:t>
      </w:r>
      <w:r w:rsidR="001B43F2">
        <w:t xml:space="preserve"> </w:t>
      </w:r>
      <w:r w:rsidRPr="0047280A">
        <w:t>In the event a restudy is needed</w:t>
      </w:r>
      <w:r w:rsidR="004C5145">
        <w:t xml:space="preserve"> due to an applicant dropping out of the group study process</w:t>
      </w:r>
      <w:r w:rsidRPr="0047280A">
        <w:t>, restudies must be completed within 60 days to promote our goal of timeliness.</w:t>
      </w:r>
    </w:p>
    <w:p w:rsidR="0047280A" w:rsidRPr="0047280A" w:rsidRDefault="0047280A" w:rsidP="0047280A">
      <w:pPr>
        <w:spacing w:line="360" w:lineRule="auto"/>
        <w:ind w:firstLine="720"/>
      </w:pPr>
      <w:r w:rsidRPr="0047280A">
        <w:t>As discussed in more detail later in this decision, where possible</w:t>
      </w:r>
      <w:r w:rsidR="00C42A65">
        <w:t>,</w:t>
      </w:r>
      <w:r w:rsidRPr="0047280A">
        <w:t xml:space="preserve"> the language and str</w:t>
      </w:r>
      <w:r w:rsidR="00CF08E1">
        <w:t xml:space="preserve">ucture of Rule 21 should be consistent </w:t>
      </w:r>
      <w:r w:rsidRPr="0047280A">
        <w:t>across the utilities</w:t>
      </w:r>
      <w:r w:rsidR="007D122A">
        <w:t>’</w:t>
      </w:r>
      <w:r w:rsidRPr="0047280A">
        <w:t xml:space="preserve"> tariffs. </w:t>
      </w:r>
      <w:r w:rsidR="001B43F2">
        <w:t xml:space="preserve"> </w:t>
      </w:r>
      <w:r w:rsidRPr="0047280A">
        <w:t>As such, language on similar topics, such as the cost issues discussed herein, should be placed in the same location under each tariff.</w:t>
      </w:r>
    </w:p>
    <w:p w:rsidR="0047280A" w:rsidRDefault="0047280A" w:rsidP="0047280A">
      <w:pPr>
        <w:spacing w:line="360" w:lineRule="auto"/>
        <w:ind w:firstLine="720"/>
      </w:pPr>
      <w:r w:rsidRPr="0047280A">
        <w:t>Accordingly, PG&amp;E, SCE, and SDG&amp;E shall file</w:t>
      </w:r>
      <w:r w:rsidR="00764E8C">
        <w:t xml:space="preserve"> Tier </w:t>
      </w:r>
      <w:r w:rsidR="009906C4">
        <w:t xml:space="preserve">2 </w:t>
      </w:r>
      <w:r w:rsidR="00764E8C">
        <w:t xml:space="preserve">Advice Letters within </w:t>
      </w:r>
      <w:r w:rsidR="009906C4">
        <w:t>6</w:t>
      </w:r>
      <w:r w:rsidR="00831D10">
        <w:t>0</w:t>
      </w:r>
      <w:r w:rsidRPr="0047280A">
        <w:t xml:space="preserve"> days of the effective date of today’s decision with a </w:t>
      </w:r>
      <w:r w:rsidR="00C42A65" w:rsidRPr="0047280A">
        <w:t>Distribution Group Study Process</w:t>
      </w:r>
      <w:r w:rsidRPr="0047280A">
        <w:t xml:space="preserve"> that reflects PG&amp;E’s and SDG&amp;E’s February 19, 2013 draft tariff </w:t>
      </w:r>
      <w:r w:rsidR="009906C4">
        <w:t xml:space="preserve">(as revised in March 22, 2014 comment) </w:t>
      </w:r>
      <w:r w:rsidR="000F5FD5">
        <w:t>modified to indicate the</w:t>
      </w:r>
      <w:r w:rsidRPr="0047280A">
        <w:t xml:space="preserve"> type of costs triggered by applicants within a group study</w:t>
      </w:r>
      <w:r w:rsidR="007C604C">
        <w:t xml:space="preserve">. </w:t>
      </w:r>
      <w:r w:rsidRPr="0047280A">
        <w:t xml:space="preserve"> </w:t>
      </w:r>
      <w:r w:rsidR="007C604C">
        <w:t>Phase 1 and Phase 2 study reports shall specifically address cost allocation</w:t>
      </w:r>
      <w:r w:rsidR="006C5699">
        <w:t>.  The A</w:t>
      </w:r>
      <w:r w:rsidR="002C51C5">
        <w:t xml:space="preserve">dvice </w:t>
      </w:r>
      <w:r w:rsidR="006C5699">
        <w:t>L</w:t>
      </w:r>
      <w:r w:rsidR="002C51C5">
        <w:t xml:space="preserve">etter </w:t>
      </w:r>
      <w:r w:rsidR="007C604C">
        <w:t xml:space="preserve">shall indicate that shared costs within the group study shall be allocated on a per kVA basis.  The </w:t>
      </w:r>
      <w:r w:rsidR="006C5699">
        <w:t>A</w:t>
      </w:r>
      <w:r w:rsidR="007C604C">
        <w:t xml:space="preserve">dvice </w:t>
      </w:r>
      <w:r w:rsidR="006C5699">
        <w:t>L</w:t>
      </w:r>
      <w:r w:rsidR="007C604C">
        <w:t>etter shall also identify</w:t>
      </w:r>
      <w:r w:rsidR="002C51C5">
        <w:t xml:space="preserve"> examples of possible </w:t>
      </w:r>
      <w:r w:rsidR="007C604C">
        <w:t xml:space="preserve">shared </w:t>
      </w:r>
      <w:r w:rsidRPr="0047280A">
        <w:t xml:space="preserve">costs allocated on a per </w:t>
      </w:r>
      <w:r w:rsidR="002C51C5">
        <w:t xml:space="preserve">kVA </w:t>
      </w:r>
      <w:r w:rsidRPr="0047280A">
        <w:t>basis</w:t>
      </w:r>
      <w:r w:rsidR="002C51C5">
        <w:t xml:space="preserve"> and examples of possible costs allocated based on specific contribution.</w:t>
      </w:r>
      <w:r w:rsidRPr="0047280A">
        <w:t xml:space="preserve">  Tariffs shall also incorporate a 60-day re-study timeline </w:t>
      </w:r>
      <w:r w:rsidR="004C5145">
        <w:t xml:space="preserve">in the event an applicant drops out of the group study process </w:t>
      </w:r>
      <w:r w:rsidRPr="0047280A">
        <w:t>and</w:t>
      </w:r>
      <w:r w:rsidR="004C5145">
        <w:t xml:space="preserve"> that deposits will be forfeited and distributed to the group</w:t>
      </w:r>
      <w:r w:rsidR="002C6A5A">
        <w:t xml:space="preserve"> to mitigate future expenses</w:t>
      </w:r>
      <w:r w:rsidRPr="0047280A">
        <w:t xml:space="preserve"> in the ev</w:t>
      </w:r>
      <w:r w:rsidR="004C5145">
        <w:t xml:space="preserve">ent an applicant drops out of the </w:t>
      </w:r>
      <w:r w:rsidRPr="0047280A">
        <w:t>group study</w:t>
      </w:r>
      <w:r w:rsidR="004C5145">
        <w:t xml:space="preserve"> process</w:t>
      </w:r>
      <w:r w:rsidRPr="0047280A">
        <w:t>.</w:t>
      </w:r>
      <w:r w:rsidR="002C6A5A">
        <w:t xml:space="preserve">  </w:t>
      </w:r>
      <w:r w:rsidR="002C6A5A" w:rsidRPr="002C6A5A">
        <w:t xml:space="preserve">At the conclusion of the group study process, any remaining forfeited funds shall be allocated among remaining applicants on a per </w:t>
      </w:r>
      <w:r w:rsidR="0055108F">
        <w:t>kVA</w:t>
      </w:r>
      <w:r w:rsidR="0055108F" w:rsidRPr="002C6A5A">
        <w:t xml:space="preserve"> </w:t>
      </w:r>
      <w:r w:rsidR="002C6A5A" w:rsidRPr="002C6A5A">
        <w:t>basis.</w:t>
      </w:r>
      <w:r w:rsidR="00BD5124">
        <w:t xml:space="preserve">  A </w:t>
      </w:r>
      <w:r w:rsidR="002C6A5A">
        <w:t>timeline identifying the amount of the deposit and at what point in the process funds are forfeited shall also be incorporated into the tariff.</w:t>
      </w:r>
    </w:p>
    <w:p w:rsidR="00205E7D" w:rsidRPr="00F26176" w:rsidRDefault="00205E7D" w:rsidP="00205E7D">
      <w:pPr>
        <w:pStyle w:val="Heading2"/>
      </w:pPr>
      <w:bookmarkStart w:id="29" w:name="_Toc384806454"/>
      <w:r w:rsidRPr="00F26176">
        <w:t>Transition Plan and Tariff</w:t>
      </w:r>
      <w:bookmarkEnd w:id="29"/>
    </w:p>
    <w:p w:rsidR="00205E7D" w:rsidRDefault="00205E7D" w:rsidP="00205E7D">
      <w:pPr>
        <w:spacing w:line="360" w:lineRule="auto"/>
        <w:ind w:firstLine="720"/>
      </w:pPr>
      <w:r w:rsidRPr="00F85A76">
        <w:t>P</w:t>
      </w:r>
      <w:r>
        <w:t xml:space="preserve">G&amp;E’s initial July 10, 2012 proposal for a </w:t>
      </w:r>
      <w:r w:rsidR="00AD120C" w:rsidRPr="0047280A">
        <w:t>Distribution Group Study Process</w:t>
      </w:r>
      <w:r>
        <w:t xml:space="preserve"> includes a reference to a transition plan.</w:t>
      </w:r>
      <w:r w:rsidRPr="001A031E">
        <w:rPr>
          <w:sz w:val="24"/>
          <w:vertAlign w:val="superscript"/>
        </w:rPr>
        <w:t xml:space="preserve"> </w:t>
      </w:r>
      <w:r w:rsidRPr="0047280A">
        <w:rPr>
          <w:sz w:val="24"/>
          <w:vertAlign w:val="superscript"/>
        </w:rPr>
        <w:footnoteReference w:id="71"/>
      </w:r>
      <w:r>
        <w:t xml:space="preserve">  We find that a transition plan should be included in Rule 21 to ensure the orderly transition of any pending applications to the group study process.</w:t>
      </w:r>
    </w:p>
    <w:p w:rsidR="00205E7D" w:rsidRPr="0047280A" w:rsidRDefault="00205E7D" w:rsidP="00EE0110">
      <w:pPr>
        <w:pStyle w:val="standard"/>
      </w:pPr>
      <w:r>
        <w:t xml:space="preserve">Accordingly, </w:t>
      </w:r>
      <w:r w:rsidR="00F83C8D">
        <w:t xml:space="preserve">unless an insufficient number of applicants exist to warrant a transition plan, </w:t>
      </w:r>
      <w:r w:rsidRPr="001A031E">
        <w:t xml:space="preserve">PG&amp;E, </w:t>
      </w:r>
      <w:r w:rsidR="00764E8C">
        <w:t xml:space="preserve">SCE, and SDG&amp;E shall file Tier </w:t>
      </w:r>
      <w:r w:rsidR="009A1610">
        <w:t xml:space="preserve">2 </w:t>
      </w:r>
      <w:r w:rsidR="00764E8C">
        <w:t xml:space="preserve">Advice Letters within </w:t>
      </w:r>
      <w:r w:rsidR="009A1610">
        <w:br/>
        <w:t>6</w:t>
      </w:r>
      <w:r w:rsidRPr="001A031E">
        <w:t xml:space="preserve">0 days of the effective date of today’s decision with </w:t>
      </w:r>
      <w:r>
        <w:t xml:space="preserve">a transition plan that indicates which applicants, by </w:t>
      </w:r>
      <w:r w:rsidRPr="00F85A76">
        <w:t>application date</w:t>
      </w:r>
      <w:r>
        <w:t>,</w:t>
      </w:r>
      <w:r w:rsidRPr="00F85A76">
        <w:t xml:space="preserve"> queue number</w:t>
      </w:r>
      <w:r>
        <w:t xml:space="preserve">, or other clear demarcation, </w:t>
      </w:r>
      <w:r w:rsidR="00816FC1">
        <w:t>may</w:t>
      </w:r>
      <w:r w:rsidRPr="00F85A76">
        <w:t xml:space="preserve"> </w:t>
      </w:r>
      <w:r>
        <w:t>opt to</w:t>
      </w:r>
      <w:r w:rsidRPr="00F85A76">
        <w:t xml:space="preserve"> move </w:t>
      </w:r>
      <w:r w:rsidR="00C20E64">
        <w:t xml:space="preserve">into the first </w:t>
      </w:r>
      <w:r>
        <w:t xml:space="preserve">study </w:t>
      </w:r>
      <w:r w:rsidRPr="00F85A76">
        <w:t>grou</w:t>
      </w:r>
      <w:r>
        <w:t>p</w:t>
      </w:r>
      <w:r w:rsidR="00C20E64">
        <w:t xml:space="preserve"> which opens after the effective date of this decision</w:t>
      </w:r>
      <w:r w:rsidR="00AD120C">
        <w:t xml:space="preserve"> and</w:t>
      </w:r>
      <w:r>
        <w:t xml:space="preserve"> the process for selecting this option, including </w:t>
      </w:r>
      <w:r w:rsidR="00816FC1">
        <w:t xml:space="preserve">the </w:t>
      </w:r>
      <w:r>
        <w:t xml:space="preserve">notification process, the related fees, and </w:t>
      </w:r>
      <w:r w:rsidR="00816FC1">
        <w:t xml:space="preserve">any </w:t>
      </w:r>
      <w:r>
        <w:t>other administrative details.  Any deadlines for</w:t>
      </w:r>
      <w:r w:rsidR="00816FC1">
        <w:t xml:space="preserve"> pending applicants to</w:t>
      </w:r>
      <w:r>
        <w:t xml:space="preserve"> </w:t>
      </w:r>
      <w:r w:rsidRPr="00F85A76">
        <w:t>select</w:t>
      </w:r>
      <w:r w:rsidR="00816FC1">
        <w:t xml:space="preserve"> </w:t>
      </w:r>
      <w:r w:rsidR="00C20E64">
        <w:t>the first</w:t>
      </w:r>
      <w:r>
        <w:t xml:space="preserve"> study group </w:t>
      </w:r>
      <w:r w:rsidR="00C20E64">
        <w:t xml:space="preserve">which opens after the effective date of this decision </w:t>
      </w:r>
      <w:r>
        <w:t>shall be clearly stated.</w:t>
      </w:r>
    </w:p>
    <w:p w:rsidR="0047280A" w:rsidRPr="0047280A" w:rsidRDefault="0047280A" w:rsidP="00A3316C">
      <w:pPr>
        <w:pStyle w:val="Heading2"/>
        <w:ind w:right="1440"/>
      </w:pPr>
      <w:bookmarkStart w:id="30" w:name="_Toc373325579"/>
      <w:bookmarkStart w:id="31" w:name="_Toc384806455"/>
      <w:r w:rsidRPr="0047280A">
        <w:t>Future Review</w:t>
      </w:r>
      <w:bookmarkEnd w:id="30"/>
      <w:bookmarkEnd w:id="31"/>
    </w:p>
    <w:p w:rsidR="0047280A" w:rsidRPr="0047280A" w:rsidRDefault="0047280A" w:rsidP="0047280A">
      <w:pPr>
        <w:spacing w:line="360" w:lineRule="auto"/>
        <w:ind w:firstLine="720"/>
      </w:pPr>
      <w:r w:rsidRPr="0047280A">
        <w:t xml:space="preserve">SEIA recommends that after parties experience how the </w:t>
      </w:r>
      <w:r w:rsidR="00AD120C" w:rsidRPr="0047280A">
        <w:t>Distribution Group Study Process</w:t>
      </w:r>
      <w:r w:rsidRPr="0047280A">
        <w:t xml:space="preserve"> functions, the Commission adopt a schedule for revisiting the topics addressed in today’s decision to identify the successes of the </w:t>
      </w:r>
      <w:r w:rsidR="00AD120C" w:rsidRPr="0047280A">
        <w:t>Distribution Group Study Process</w:t>
      </w:r>
      <w:r w:rsidRPr="0047280A">
        <w:t xml:space="preserve"> and, in addition</w:t>
      </w:r>
      <w:r w:rsidR="00753676">
        <w:t>, the areas needing improvement</w:t>
      </w:r>
      <w:r w:rsidRPr="0047280A">
        <w:t>.</w:t>
      </w:r>
      <w:r w:rsidR="000F5FD5">
        <w:t xml:space="preserve"> </w:t>
      </w:r>
      <w:r w:rsidRPr="0047280A">
        <w:t xml:space="preserve"> In response, SCE suggests that informal working grou</w:t>
      </w:r>
      <w:r w:rsidR="00753676">
        <w:t xml:space="preserve">ps could </w:t>
      </w:r>
      <w:r w:rsidRPr="0047280A">
        <w:t xml:space="preserve">more readily address issues </w:t>
      </w:r>
      <w:r w:rsidR="005A3763">
        <w:t>as</w:t>
      </w:r>
      <w:r w:rsidRPr="0047280A">
        <w:t xml:space="preserve"> they arise.</w:t>
      </w:r>
      <w:r w:rsidRPr="0047280A">
        <w:rPr>
          <w:vertAlign w:val="superscript"/>
        </w:rPr>
        <w:footnoteReference w:id="72"/>
      </w:r>
      <w:r w:rsidRPr="0047280A">
        <w:t xml:space="preserve"> </w:t>
      </w:r>
    </w:p>
    <w:p w:rsidR="0047280A" w:rsidRPr="0047280A" w:rsidRDefault="0047280A" w:rsidP="0047280A">
      <w:pPr>
        <w:spacing w:line="360" w:lineRule="auto"/>
        <w:ind w:firstLine="720"/>
      </w:pPr>
      <w:r w:rsidRPr="0047280A">
        <w:t>In an effort to achieve our goals to “ensure that the interconnection process is timely, non-discriminatory, cost-effective, and transpar</w:t>
      </w:r>
      <w:r w:rsidR="00753676">
        <w:t xml:space="preserve">ent,” the Commission finds </w:t>
      </w:r>
      <w:r w:rsidR="005A3763">
        <w:t xml:space="preserve">that </w:t>
      </w:r>
      <w:r w:rsidRPr="0047280A">
        <w:t>review</w:t>
      </w:r>
      <w:r w:rsidR="00753676">
        <w:t xml:space="preserve">ing </w:t>
      </w:r>
      <w:r w:rsidRPr="0047280A">
        <w:t>the successes and deficiencies of</w:t>
      </w:r>
      <w:r w:rsidR="00753676">
        <w:t xml:space="preserve"> the interconnection process </w:t>
      </w:r>
      <w:r w:rsidR="005A3763">
        <w:t>adop</w:t>
      </w:r>
      <w:r w:rsidRPr="0047280A">
        <w:t>t</w:t>
      </w:r>
      <w:r w:rsidR="005A3763">
        <w:t>ed</w:t>
      </w:r>
      <w:r w:rsidRPr="0047280A">
        <w:t xml:space="preserve"> today is warranted.  </w:t>
      </w:r>
      <w:r w:rsidR="00036B6E">
        <w:t>The</w:t>
      </w:r>
      <w:r w:rsidR="005A3763">
        <w:t xml:space="preserve"> </w:t>
      </w:r>
      <w:r w:rsidRPr="0047280A">
        <w:t>appropria</w:t>
      </w:r>
      <w:r w:rsidR="00753676">
        <w:t>te forum</w:t>
      </w:r>
      <w:r w:rsidR="00036B6E">
        <w:t xml:space="preserve"> is a meeting scheduled by the utilities.  The utilities should invite all entities on this service list plus potential interconnection applica</w:t>
      </w:r>
      <w:r w:rsidR="002C51C5">
        <w:t>nts.</w:t>
      </w:r>
      <w:r w:rsidRPr="0047280A">
        <w:t xml:space="preserve">  At the appropriate time, parties can bring the issues to the Commission if further direction is needed.  We direct the involvement </w:t>
      </w:r>
      <w:r w:rsidR="005A3763">
        <w:t>of</w:t>
      </w:r>
      <w:r w:rsidRPr="0047280A">
        <w:t xml:space="preserve"> the Commission’s Energy Division in </w:t>
      </w:r>
      <w:r w:rsidR="00735C28">
        <w:t>mee</w:t>
      </w:r>
      <w:r w:rsidRPr="0047280A">
        <w:t>t</w:t>
      </w:r>
      <w:r w:rsidR="00735C28">
        <w:t>ing</w:t>
      </w:r>
      <w:r w:rsidRPr="0047280A">
        <w:t xml:space="preserve"> to ensur</w:t>
      </w:r>
      <w:r w:rsidR="00CF08E1">
        <w:t>e the Commission is timely informed</w:t>
      </w:r>
      <w:r w:rsidRPr="0047280A">
        <w:t xml:space="preserve"> of on-going development</w:t>
      </w:r>
      <w:r w:rsidR="00753676">
        <w:t>s</w:t>
      </w:r>
      <w:r w:rsidR="005A3763">
        <w:t>.</w:t>
      </w:r>
    </w:p>
    <w:p w:rsidR="00F85A76" w:rsidRPr="00F85A76" w:rsidRDefault="0047280A" w:rsidP="00F85A76">
      <w:pPr>
        <w:spacing w:line="360" w:lineRule="auto"/>
        <w:ind w:firstLine="720"/>
      </w:pPr>
      <w:r w:rsidRPr="0047280A">
        <w:t xml:space="preserve">Accordingly, PG&amp;E, SCE, and SDG&amp;E shall </w:t>
      </w:r>
      <w:r w:rsidR="009A1696">
        <w:t xml:space="preserve">schedule a meeting </w:t>
      </w:r>
      <w:r w:rsidR="00764E8C">
        <w:t xml:space="preserve">within </w:t>
      </w:r>
      <w:r w:rsidR="009A1696">
        <w:br/>
      </w:r>
      <w:r w:rsidR="007F21AE">
        <w:t xml:space="preserve">12 months after </w:t>
      </w:r>
      <w:r w:rsidR="00764E8C">
        <w:t xml:space="preserve">the effective date of the Tier </w:t>
      </w:r>
      <w:r w:rsidR="007B1209">
        <w:t>2</w:t>
      </w:r>
      <w:r w:rsidR="007F21AE">
        <w:t xml:space="preserve"> Advice Letter to review </w:t>
      </w:r>
      <w:r w:rsidRPr="0047280A">
        <w:t>the Distribution Group Study Process.  Further meeting</w:t>
      </w:r>
      <w:r w:rsidR="000F5FD5">
        <w:t>s</w:t>
      </w:r>
      <w:r w:rsidRPr="0047280A">
        <w:t xml:space="preserve"> may be held</w:t>
      </w:r>
      <w:r w:rsidR="002D55D4">
        <w:t>.</w:t>
      </w:r>
      <w:r w:rsidRPr="0047280A">
        <w:t xml:space="preserve"> </w:t>
      </w:r>
      <w:r w:rsidR="002D55D4">
        <w:t xml:space="preserve"> </w:t>
      </w:r>
      <w:r w:rsidRPr="0047280A">
        <w:t xml:space="preserve">The Commission directs the Energy Division to participate in this </w:t>
      </w:r>
      <w:r w:rsidR="009B7864">
        <w:t>meeting</w:t>
      </w:r>
      <w:r w:rsidRPr="0047280A">
        <w:t xml:space="preserve">.  PG&amp;E, SCE, and SDG&amp;E together with the Energy Division shall prepare a report based on information obtained during the </w:t>
      </w:r>
      <w:r w:rsidR="008E77DD">
        <w:t>meeting</w:t>
      </w:r>
      <w:r w:rsidRPr="0047280A">
        <w:t xml:space="preserve"> to evaluate how the </w:t>
      </w:r>
      <w:r w:rsidR="007C128A">
        <w:t>Distribution Group Study Process</w:t>
      </w:r>
      <w:r w:rsidR="007C128A" w:rsidRPr="0047280A">
        <w:t xml:space="preserve"> </w:t>
      </w:r>
      <w:r w:rsidRPr="0047280A">
        <w:t>ensure</w:t>
      </w:r>
      <w:r w:rsidR="00883D09">
        <w:t>s</w:t>
      </w:r>
      <w:r w:rsidRPr="0047280A">
        <w:t xml:space="preserve"> that the interconnection process is timely, </w:t>
      </w:r>
      <w:r w:rsidR="005C0EED">
        <w:br/>
      </w:r>
      <w:r w:rsidRPr="0047280A">
        <w:t>non-discriminatory, cost-effective, and transparent.</w:t>
      </w:r>
      <w:r w:rsidR="00F85A76" w:rsidRPr="00F85A76">
        <w:t xml:space="preserve"> </w:t>
      </w:r>
      <w:r w:rsidR="007C128A">
        <w:t xml:space="preserve"> This report shall be submitted to the Director of the Commission’s Energy Division within 60 days following the date of this proceeding.</w:t>
      </w:r>
    </w:p>
    <w:p w:rsidR="0047280A" w:rsidRPr="0047280A" w:rsidRDefault="0047280A" w:rsidP="00A3316C">
      <w:pPr>
        <w:pStyle w:val="Heading1"/>
      </w:pPr>
      <w:bookmarkStart w:id="32" w:name="_Toc373325580"/>
      <w:bookmarkStart w:id="33" w:name="_Toc384806456"/>
      <w:r w:rsidRPr="0047280A">
        <w:t>Rule 21 Standardized Agreement Forms</w:t>
      </w:r>
      <w:bookmarkEnd w:id="32"/>
      <w:bookmarkEnd w:id="33"/>
    </w:p>
    <w:p w:rsidR="0047280A" w:rsidRPr="0047280A" w:rsidRDefault="0047280A" w:rsidP="0047280A">
      <w:pPr>
        <w:spacing w:line="360" w:lineRule="auto"/>
        <w:ind w:firstLine="720"/>
        <w:rPr>
          <w:rFonts w:eastAsia="Calibri"/>
        </w:rPr>
      </w:pPr>
      <w:r w:rsidRPr="0047280A">
        <w:rPr>
          <w:rFonts w:eastAsia="Calibri"/>
        </w:rPr>
        <w:t>Today’s decision adopts the following Rule 21 agreement forms and directs PG&amp;E, SCE, and SDG&amp;E to file these form</w:t>
      </w:r>
      <w:r w:rsidR="00C068A1">
        <w:rPr>
          <w:rFonts w:eastAsia="Calibri"/>
        </w:rPr>
        <w:t>s</w:t>
      </w:r>
      <w:r w:rsidRPr="0047280A">
        <w:rPr>
          <w:rFonts w:eastAsia="Calibri"/>
        </w:rPr>
        <w:t xml:space="preserve"> a</w:t>
      </w:r>
      <w:r w:rsidR="00764E8C">
        <w:rPr>
          <w:rFonts w:eastAsia="Calibri"/>
        </w:rPr>
        <w:t xml:space="preserve">s revisions to Rule 21 by </w:t>
      </w:r>
      <w:r w:rsidR="00EE0110">
        <w:rPr>
          <w:rFonts w:eastAsia="Calibri"/>
        </w:rPr>
        <w:br/>
      </w:r>
      <w:r w:rsidR="00764E8C">
        <w:rPr>
          <w:rFonts w:eastAsia="Calibri"/>
        </w:rPr>
        <w:t xml:space="preserve">Tier </w:t>
      </w:r>
      <w:r w:rsidR="00AF26D0">
        <w:rPr>
          <w:rFonts w:eastAsia="Calibri"/>
        </w:rPr>
        <w:t>2</w:t>
      </w:r>
      <w:r w:rsidRPr="0047280A">
        <w:rPr>
          <w:rFonts w:eastAsia="Calibri"/>
        </w:rPr>
        <w:t xml:space="preserve"> Advice Letters:  (1) Rule 21 Generator Interconnection Agreement for Exporting Generat</w:t>
      </w:r>
      <w:r w:rsidR="00CF08E1">
        <w:rPr>
          <w:rFonts w:eastAsia="Calibri"/>
        </w:rPr>
        <w:t>ion Facilities Interconnecting U</w:t>
      </w:r>
      <w:r w:rsidRPr="0047280A">
        <w:rPr>
          <w:rFonts w:eastAsia="Calibri"/>
        </w:rPr>
        <w:t xml:space="preserve">nder the Transmission Cluster Study or Independent Study Process; (2) Rule 21 Independent Study Process Study Agreement; and (3) Rule 21 Pre-Application Report Request.  These forms reflect the revisions approved to Rule 21 in D.12-09-018.  </w:t>
      </w:r>
      <w:r w:rsidR="00455373">
        <w:rPr>
          <w:rFonts w:eastAsia="Calibri"/>
        </w:rPr>
        <w:t xml:space="preserve">These forms should be further revised to reflect the revisions to Rule 21 adopted today.  </w:t>
      </w:r>
      <w:r w:rsidR="00347C52">
        <w:rPr>
          <w:rFonts w:eastAsia="Calibri"/>
        </w:rPr>
        <w:t>As proposed, t</w:t>
      </w:r>
      <w:r w:rsidRPr="0047280A">
        <w:rPr>
          <w:rFonts w:eastAsia="Calibri"/>
        </w:rPr>
        <w:t xml:space="preserve">he forms for PG&amp;E, SCE, and SDG&amp;E are substantially the same.  For illustrative purposes, the </w:t>
      </w:r>
      <w:r w:rsidR="00347C52">
        <w:rPr>
          <w:rFonts w:eastAsia="Calibri"/>
        </w:rPr>
        <w:t xml:space="preserve">forms proposed by PG&amp;E </w:t>
      </w:r>
      <w:r w:rsidRPr="0047280A">
        <w:rPr>
          <w:rFonts w:eastAsia="Calibri"/>
        </w:rPr>
        <w:t xml:space="preserve">are attached hereto at </w:t>
      </w:r>
      <w:r w:rsidRPr="001B43F2">
        <w:rPr>
          <w:rFonts w:eastAsia="Calibri"/>
        </w:rPr>
        <w:t>Attachment B</w:t>
      </w:r>
      <w:r w:rsidRPr="0047280A">
        <w:rPr>
          <w:rFonts w:eastAsia="Calibri"/>
        </w:rPr>
        <w:t xml:space="preserve">.  </w:t>
      </w:r>
    </w:p>
    <w:p w:rsidR="0047280A" w:rsidRPr="0047280A" w:rsidRDefault="0094175D" w:rsidP="00A3316C">
      <w:pPr>
        <w:pStyle w:val="Heading2"/>
        <w:rPr>
          <w:rFonts w:eastAsia="Calibri"/>
        </w:rPr>
      </w:pPr>
      <w:bookmarkStart w:id="34" w:name="_Toc373325581"/>
      <w:bookmarkStart w:id="35" w:name="_Toc384806457"/>
      <w:r>
        <w:rPr>
          <w:rFonts w:eastAsia="Calibri"/>
        </w:rPr>
        <w:t xml:space="preserve">Procedural </w:t>
      </w:r>
      <w:r w:rsidR="0047280A" w:rsidRPr="0047280A">
        <w:rPr>
          <w:rFonts w:eastAsia="Calibri"/>
        </w:rPr>
        <w:t>Background</w:t>
      </w:r>
      <w:bookmarkEnd w:id="34"/>
      <w:bookmarkEnd w:id="35"/>
    </w:p>
    <w:p w:rsidR="0047280A" w:rsidRPr="0047280A" w:rsidRDefault="0047280A" w:rsidP="0047280A">
      <w:pPr>
        <w:spacing w:line="360" w:lineRule="auto"/>
        <w:ind w:firstLine="720"/>
        <w:rPr>
          <w:rFonts w:eastAsia="Calibri"/>
        </w:rPr>
      </w:pPr>
      <w:r w:rsidRPr="0047280A">
        <w:rPr>
          <w:rFonts w:eastAsia="Calibri"/>
        </w:rPr>
        <w:t>The Settlement Agreement submitted to the Commission for approval on March 16, 2012 and adopted by the Commission in D.12-09-0</w:t>
      </w:r>
      <w:r w:rsidR="005A3763">
        <w:rPr>
          <w:rFonts w:eastAsia="Calibri"/>
        </w:rPr>
        <w:t xml:space="preserve">18 included two form agreements: </w:t>
      </w:r>
      <w:r w:rsidRPr="0047280A">
        <w:rPr>
          <w:rFonts w:eastAsia="Calibri"/>
        </w:rPr>
        <w:t xml:space="preserve"> (</w:t>
      </w:r>
      <w:r w:rsidR="001B43F2">
        <w:rPr>
          <w:rFonts w:eastAsia="Calibri"/>
        </w:rPr>
        <w:t>1</w:t>
      </w:r>
      <w:r w:rsidRPr="0047280A">
        <w:rPr>
          <w:rFonts w:eastAsia="Calibri"/>
        </w:rPr>
        <w:t>) the Rule 21 Generator Interconnection Agreement for Exporting Generating Facilities Interconnection Under the Fast Track Process</w:t>
      </w:r>
      <w:r w:rsidR="005A3763">
        <w:rPr>
          <w:rFonts w:eastAsia="Calibri"/>
        </w:rPr>
        <w:t>;</w:t>
      </w:r>
      <w:r w:rsidRPr="0047280A">
        <w:rPr>
          <w:rFonts w:eastAsia="Calibri"/>
        </w:rPr>
        <w:t xml:space="preserve"> and (2) </w:t>
      </w:r>
      <w:r w:rsidR="005A3763">
        <w:rPr>
          <w:rFonts w:eastAsia="Calibri"/>
        </w:rPr>
        <w:t xml:space="preserve">the </w:t>
      </w:r>
      <w:r w:rsidRPr="0047280A">
        <w:rPr>
          <w:rFonts w:eastAsia="Calibri"/>
        </w:rPr>
        <w:t xml:space="preserve">Rule 21 Exporting Generating Facility Interconnection Request.  </w:t>
      </w:r>
    </w:p>
    <w:p w:rsidR="0047280A" w:rsidRPr="0047280A" w:rsidRDefault="00CF08E1" w:rsidP="0047280A">
      <w:pPr>
        <w:spacing w:line="360" w:lineRule="auto"/>
        <w:ind w:firstLine="720"/>
        <w:rPr>
          <w:rFonts w:eastAsia="Calibri"/>
        </w:rPr>
      </w:pPr>
      <w:r>
        <w:rPr>
          <w:rFonts w:eastAsia="Calibri"/>
        </w:rPr>
        <w:t>Due to the parties’ desire</w:t>
      </w:r>
      <w:r w:rsidR="0047280A" w:rsidRPr="0047280A">
        <w:rPr>
          <w:rFonts w:eastAsia="Calibri"/>
        </w:rPr>
        <w:t xml:space="preserve"> to expedite the settlement process, the Settlement Agreement was filed without a standardized interconnection agreement for exporting generating facilities interconnecting under </w:t>
      </w:r>
      <w:r w:rsidR="00A21A08">
        <w:rPr>
          <w:rFonts w:eastAsia="Calibri"/>
        </w:rPr>
        <w:t xml:space="preserve">either </w:t>
      </w:r>
      <w:r w:rsidR="0047280A" w:rsidRPr="0047280A">
        <w:rPr>
          <w:rFonts w:eastAsia="Calibri"/>
        </w:rPr>
        <w:t xml:space="preserve">the </w:t>
      </w:r>
      <w:r w:rsidR="00A21A08">
        <w:rPr>
          <w:rFonts w:eastAsia="Calibri"/>
        </w:rPr>
        <w:t>T</w:t>
      </w:r>
      <w:r w:rsidR="0047280A" w:rsidRPr="0047280A">
        <w:rPr>
          <w:rFonts w:eastAsia="Calibri"/>
        </w:rPr>
        <w:t xml:space="preserve">ransmission </w:t>
      </w:r>
      <w:r w:rsidR="00A21A08">
        <w:rPr>
          <w:rFonts w:eastAsia="Calibri"/>
        </w:rPr>
        <w:t>C</w:t>
      </w:r>
      <w:r w:rsidR="0047280A" w:rsidRPr="0047280A">
        <w:rPr>
          <w:rFonts w:eastAsia="Calibri"/>
        </w:rPr>
        <w:t xml:space="preserve">luster </w:t>
      </w:r>
      <w:r w:rsidR="00A21A08">
        <w:rPr>
          <w:rFonts w:eastAsia="Calibri"/>
        </w:rPr>
        <w:t>S</w:t>
      </w:r>
      <w:r w:rsidR="0047280A" w:rsidRPr="0047280A">
        <w:rPr>
          <w:rFonts w:eastAsia="Calibri"/>
        </w:rPr>
        <w:t>tudy</w:t>
      </w:r>
      <w:r w:rsidR="00A21A08">
        <w:rPr>
          <w:rFonts w:eastAsia="Calibri"/>
        </w:rPr>
        <w:t xml:space="preserve"> Process</w:t>
      </w:r>
      <w:r w:rsidR="0047280A" w:rsidRPr="0047280A">
        <w:rPr>
          <w:rFonts w:eastAsia="Calibri"/>
        </w:rPr>
        <w:t xml:space="preserve"> or the Independent Study Process.  The Settlement Agreem</w:t>
      </w:r>
      <w:r w:rsidR="005A3763">
        <w:rPr>
          <w:rFonts w:eastAsia="Calibri"/>
        </w:rPr>
        <w:t>ent also did not include a pre-</w:t>
      </w:r>
      <w:r w:rsidR="0047280A" w:rsidRPr="0047280A">
        <w:rPr>
          <w:rFonts w:eastAsia="Calibri"/>
        </w:rPr>
        <w:t>ap</w:t>
      </w:r>
      <w:r w:rsidR="00A21A08">
        <w:rPr>
          <w:rFonts w:eastAsia="Calibri"/>
        </w:rPr>
        <w:t xml:space="preserve">plication report request form.  </w:t>
      </w:r>
      <w:r w:rsidR="0047280A" w:rsidRPr="0047280A">
        <w:rPr>
          <w:rFonts w:eastAsia="Calibri"/>
        </w:rPr>
        <w:t>These three additional documents, which reflect the revision</w:t>
      </w:r>
      <w:r w:rsidR="006755B1">
        <w:rPr>
          <w:rFonts w:eastAsia="Calibri"/>
        </w:rPr>
        <w:t>s</w:t>
      </w:r>
      <w:r w:rsidR="0047280A" w:rsidRPr="0047280A">
        <w:rPr>
          <w:rFonts w:eastAsia="Calibri"/>
        </w:rPr>
        <w:t xml:space="preserve"> to Rule 21 approved in D.12-09-018, will facilitate the successful implementation of the </w:t>
      </w:r>
      <w:r w:rsidR="00D23227">
        <w:rPr>
          <w:rFonts w:eastAsia="Calibri"/>
        </w:rPr>
        <w:t xml:space="preserve">recent revisions to </w:t>
      </w:r>
      <w:r w:rsidR="0047280A" w:rsidRPr="0047280A">
        <w:rPr>
          <w:rFonts w:eastAsia="Calibri"/>
        </w:rPr>
        <w:t>Rule 21.</w:t>
      </w:r>
    </w:p>
    <w:p w:rsidR="0047280A" w:rsidRPr="0047280A" w:rsidRDefault="0047280A" w:rsidP="0047280A">
      <w:pPr>
        <w:spacing w:line="360" w:lineRule="auto"/>
        <w:ind w:firstLine="720"/>
        <w:rPr>
          <w:rFonts w:eastAsia="Calibri"/>
        </w:rPr>
      </w:pPr>
      <w:r w:rsidRPr="0047280A">
        <w:rPr>
          <w:rFonts w:eastAsia="Calibri"/>
        </w:rPr>
        <w:t>The utilities informally circulated draft</w:t>
      </w:r>
      <w:r w:rsidR="00455373">
        <w:rPr>
          <w:rFonts w:eastAsia="Calibri"/>
        </w:rPr>
        <w:t>s</w:t>
      </w:r>
      <w:r w:rsidRPr="0047280A">
        <w:rPr>
          <w:rFonts w:eastAsia="Calibri"/>
        </w:rPr>
        <w:t xml:space="preserve"> of their forms by electronic mail to the service list on June 1, 2012.</w:t>
      </w:r>
      <w:r w:rsidRPr="0047280A">
        <w:rPr>
          <w:rFonts w:eastAsia="Calibri"/>
          <w:sz w:val="24"/>
          <w:vertAlign w:val="superscript"/>
        </w:rPr>
        <w:footnoteReference w:id="73"/>
      </w:r>
      <w:r w:rsidRPr="0047280A">
        <w:rPr>
          <w:rFonts w:eastAsia="Calibri"/>
        </w:rPr>
        <w:t xml:space="preserve">  Parties filed comments on June 8, 2012.  PG&amp;E, SCE, and SDG&amp;E filed re</w:t>
      </w:r>
      <w:r w:rsidR="00635A39">
        <w:rPr>
          <w:rFonts w:eastAsia="Calibri"/>
        </w:rPr>
        <w:t>p</w:t>
      </w:r>
      <w:r w:rsidRPr="0047280A">
        <w:rPr>
          <w:rFonts w:eastAsia="Calibri"/>
        </w:rPr>
        <w:t>ly comments on July 12, 2012 and then filed their forms, revised in response to comments, on June 15, 2012.</w:t>
      </w:r>
      <w:r w:rsidRPr="0047280A">
        <w:rPr>
          <w:rFonts w:eastAsia="Calibri"/>
          <w:vertAlign w:val="superscript"/>
        </w:rPr>
        <w:footnoteReference w:id="74"/>
      </w:r>
      <w:r w:rsidRPr="0047280A">
        <w:rPr>
          <w:rFonts w:eastAsia="Calibri"/>
          <w:vertAlign w:val="superscript"/>
        </w:rPr>
        <w:t xml:space="preserve"> </w:t>
      </w:r>
    </w:p>
    <w:p w:rsidR="0047280A" w:rsidRPr="0047280A" w:rsidRDefault="0047280A" w:rsidP="00A3316C">
      <w:pPr>
        <w:pStyle w:val="Heading2"/>
        <w:rPr>
          <w:rFonts w:eastAsia="Calibri"/>
        </w:rPr>
      </w:pPr>
      <w:bookmarkStart w:id="36" w:name="_Toc373325582"/>
      <w:bookmarkStart w:id="37" w:name="_Toc384806458"/>
      <w:r w:rsidRPr="0047280A">
        <w:rPr>
          <w:rFonts w:eastAsia="Calibri"/>
        </w:rPr>
        <w:t>Utilities’ Proposals - Forms</w:t>
      </w:r>
      <w:bookmarkEnd w:id="36"/>
      <w:bookmarkEnd w:id="37"/>
      <w:r w:rsidRPr="0047280A">
        <w:rPr>
          <w:rFonts w:eastAsia="Calibri"/>
        </w:rPr>
        <w:t xml:space="preserve"> </w:t>
      </w:r>
    </w:p>
    <w:p w:rsidR="0047280A" w:rsidRPr="0047280A" w:rsidRDefault="0047280A" w:rsidP="00CF08E1">
      <w:pPr>
        <w:spacing w:line="360" w:lineRule="auto"/>
        <w:ind w:firstLine="720"/>
        <w:rPr>
          <w:rFonts w:eastAsia="Calibri"/>
        </w:rPr>
      </w:pPr>
      <w:r w:rsidRPr="0047280A">
        <w:rPr>
          <w:rFonts w:eastAsia="Calibri"/>
        </w:rPr>
        <w:t xml:space="preserve">Pursuant to a directive in the April 20, 2012 ALJ Ruling, the utilities each filed three forms for consideration by the Commission.  These forms include the following: </w:t>
      </w:r>
      <w:r w:rsidR="000D77BF">
        <w:rPr>
          <w:rFonts w:eastAsia="Calibri"/>
        </w:rPr>
        <w:t xml:space="preserve"> </w:t>
      </w:r>
      <w:r w:rsidRPr="0047280A">
        <w:rPr>
          <w:rFonts w:eastAsia="Calibri"/>
        </w:rPr>
        <w:t>(1) Rule 21 Generator Interconnection Agreement for Exporting Generat</w:t>
      </w:r>
      <w:r w:rsidR="00CF08E1">
        <w:rPr>
          <w:rFonts w:eastAsia="Calibri"/>
        </w:rPr>
        <w:t>ion Facilities Interconnecting U</w:t>
      </w:r>
      <w:r w:rsidRPr="0047280A">
        <w:rPr>
          <w:rFonts w:eastAsia="Calibri"/>
        </w:rPr>
        <w:t>nder the Transmission Cluster Study or Independent Study Process; (2) Rule 21 Independent Study Process Study Agreement; and (3) Rule 21 Pre-Application Report Request.</w:t>
      </w:r>
    </w:p>
    <w:p w:rsidR="0047280A" w:rsidRPr="0047280A" w:rsidRDefault="0047280A" w:rsidP="00A3316C">
      <w:pPr>
        <w:pStyle w:val="Heading2"/>
        <w:rPr>
          <w:rFonts w:eastAsia="Calibri"/>
        </w:rPr>
      </w:pPr>
      <w:bookmarkStart w:id="38" w:name="_Toc373325583"/>
      <w:bookmarkStart w:id="39" w:name="_Toc384806459"/>
      <w:r w:rsidRPr="0047280A">
        <w:rPr>
          <w:rFonts w:eastAsia="Calibri"/>
        </w:rPr>
        <w:t>Comments</w:t>
      </w:r>
      <w:bookmarkEnd w:id="38"/>
      <w:bookmarkEnd w:id="39"/>
      <w:r w:rsidRPr="0047280A">
        <w:rPr>
          <w:rFonts w:eastAsia="Calibri"/>
        </w:rPr>
        <w:t xml:space="preserve"> </w:t>
      </w:r>
    </w:p>
    <w:p w:rsidR="0047280A" w:rsidRPr="0047280A" w:rsidRDefault="0047280A" w:rsidP="0047280A">
      <w:pPr>
        <w:spacing w:line="360" w:lineRule="auto"/>
        <w:ind w:firstLine="720"/>
        <w:rPr>
          <w:rFonts w:eastAsia="Calibri"/>
        </w:rPr>
      </w:pPr>
      <w:r w:rsidRPr="0047280A">
        <w:rPr>
          <w:rFonts w:eastAsia="Calibri"/>
        </w:rPr>
        <w:t xml:space="preserve">On July 2, 2012, three parties filed comments on the June 15, 2012 proposed forms submitted by the </w:t>
      </w:r>
      <w:r w:rsidR="000D77BF">
        <w:rPr>
          <w:rFonts w:eastAsia="Calibri"/>
        </w:rPr>
        <w:t>utilities</w:t>
      </w:r>
      <w:r w:rsidR="00A606E6">
        <w:rPr>
          <w:rFonts w:eastAsia="Calibri"/>
        </w:rPr>
        <w:t xml:space="preserve">. </w:t>
      </w:r>
      <w:r w:rsidR="000D77BF">
        <w:rPr>
          <w:rFonts w:eastAsia="Calibri"/>
        </w:rPr>
        <w:t xml:space="preserve"> WalMart Stores, Inc. </w:t>
      </w:r>
      <w:r w:rsidRPr="0047280A">
        <w:rPr>
          <w:rFonts w:eastAsia="Calibri"/>
        </w:rPr>
        <w:t>and Sam’s West, Inc. (WalMart/Sam’s West)</w:t>
      </w:r>
      <w:r w:rsidR="00A606E6">
        <w:rPr>
          <w:rFonts w:eastAsia="Calibri"/>
        </w:rPr>
        <w:t xml:space="preserve"> filed joint comments. </w:t>
      </w:r>
      <w:r w:rsidRPr="0047280A">
        <w:rPr>
          <w:rFonts w:eastAsia="Calibri"/>
        </w:rPr>
        <w:t xml:space="preserve"> California Energy Storage Alliance (CESA)</w:t>
      </w:r>
      <w:r w:rsidR="00A606E6">
        <w:rPr>
          <w:rFonts w:eastAsia="Calibri"/>
        </w:rPr>
        <w:t xml:space="preserve"> a</w:t>
      </w:r>
      <w:r w:rsidR="002C51C5">
        <w:rPr>
          <w:rFonts w:eastAsia="Calibri"/>
        </w:rPr>
        <w:t>lso</w:t>
      </w:r>
      <w:r w:rsidR="00371FA8">
        <w:rPr>
          <w:rFonts w:eastAsia="Calibri"/>
        </w:rPr>
        <w:t xml:space="preserve"> </w:t>
      </w:r>
      <w:r w:rsidR="00A606E6">
        <w:rPr>
          <w:rFonts w:eastAsia="Calibri"/>
        </w:rPr>
        <w:t>filed comments</w:t>
      </w:r>
      <w:r w:rsidRPr="0047280A">
        <w:rPr>
          <w:rFonts w:eastAsia="Calibri"/>
        </w:rPr>
        <w:t xml:space="preserve">.  </w:t>
      </w:r>
    </w:p>
    <w:p w:rsidR="0047280A" w:rsidRPr="0047280A" w:rsidRDefault="0047280A" w:rsidP="0047280A">
      <w:pPr>
        <w:spacing w:line="360" w:lineRule="auto"/>
        <w:ind w:firstLine="720"/>
        <w:rPr>
          <w:rFonts w:eastAsia="Calibri"/>
        </w:rPr>
      </w:pPr>
      <w:r w:rsidRPr="0047280A">
        <w:rPr>
          <w:rFonts w:eastAsia="Calibri"/>
        </w:rPr>
        <w:t xml:space="preserve">CESA makes no comments on the substance of the proposed forms and instead comments on the extent to which the Commission may </w:t>
      </w:r>
      <w:r w:rsidR="00455373">
        <w:rPr>
          <w:rFonts w:eastAsia="Calibri"/>
        </w:rPr>
        <w:t xml:space="preserve">also </w:t>
      </w:r>
      <w:r w:rsidRPr="0047280A">
        <w:rPr>
          <w:rFonts w:eastAsia="Calibri"/>
        </w:rPr>
        <w:t>be addressing storage issues in this proceeding.</w:t>
      </w:r>
      <w:r w:rsidRPr="0047280A">
        <w:rPr>
          <w:rFonts w:eastAsia="Calibri"/>
          <w:sz w:val="24"/>
          <w:vertAlign w:val="superscript"/>
        </w:rPr>
        <w:footnoteReference w:id="75"/>
      </w:r>
      <w:r w:rsidRPr="0047280A">
        <w:rPr>
          <w:rFonts w:eastAsia="Calibri"/>
        </w:rPr>
        <w:t xml:space="preserve">  CESA’s issues are not relevant to the issue</w:t>
      </w:r>
      <w:r w:rsidR="00455373">
        <w:rPr>
          <w:rFonts w:eastAsia="Calibri"/>
        </w:rPr>
        <w:t>s framed now in this proceeding and are, therefore, not discussed further.</w:t>
      </w:r>
    </w:p>
    <w:p w:rsidR="0047280A" w:rsidRPr="0047280A" w:rsidRDefault="0047280A" w:rsidP="0047280A">
      <w:pPr>
        <w:spacing w:line="360" w:lineRule="auto"/>
        <w:ind w:firstLine="720"/>
        <w:rPr>
          <w:rFonts w:eastAsia="Calibri"/>
        </w:rPr>
      </w:pPr>
      <w:r w:rsidRPr="0047280A">
        <w:rPr>
          <w:rFonts w:eastAsia="Calibri"/>
        </w:rPr>
        <w:t>WalMart/Sam’s West requests that the Commission modify the indemnity provisions in the proposed interconnection documents to account for its practice of contracting with third-parties to install energy generation and storage facilities on its commercial facilities.</w:t>
      </w:r>
      <w:r w:rsidRPr="0047280A">
        <w:rPr>
          <w:rFonts w:eastAsia="Calibri"/>
          <w:sz w:val="24"/>
          <w:vertAlign w:val="superscript"/>
        </w:rPr>
        <w:footnoteReference w:id="76"/>
      </w:r>
      <w:r w:rsidRPr="0047280A">
        <w:rPr>
          <w:rFonts w:eastAsia="Calibri"/>
        </w:rPr>
        <w:t xml:space="preserve">  </w:t>
      </w:r>
    </w:p>
    <w:p w:rsidR="0047280A" w:rsidRPr="0047280A" w:rsidRDefault="0047280A" w:rsidP="0047280A">
      <w:pPr>
        <w:spacing w:line="360" w:lineRule="auto"/>
        <w:ind w:firstLine="720"/>
        <w:rPr>
          <w:rFonts w:eastAsia="Calibri"/>
        </w:rPr>
      </w:pPr>
      <w:r w:rsidRPr="0047280A">
        <w:rPr>
          <w:rFonts w:eastAsia="Calibri"/>
        </w:rPr>
        <w:t>On July 12, 2012, all three utilities, PG&amp;E, SCE, and SDG&amp;E, filed reply comments.  The utilities state, among other things, that WalMart/Sam’s West request to modify the indemnity clause is procedurally inappropriate because the Commission agreed to the terms of the provision in D.12-09-018 when adopting the Settlement Agreement.</w:t>
      </w:r>
      <w:r w:rsidRPr="0047280A">
        <w:rPr>
          <w:rFonts w:eastAsia="Calibri"/>
          <w:vertAlign w:val="superscript"/>
        </w:rPr>
        <w:footnoteReference w:id="77"/>
      </w:r>
      <w:r w:rsidRPr="0047280A">
        <w:rPr>
          <w:rFonts w:eastAsia="Calibri"/>
        </w:rPr>
        <w:t xml:space="preserve">  Moreover, the utilities state that</w:t>
      </w:r>
      <w:r w:rsidR="004F269B">
        <w:rPr>
          <w:rFonts w:eastAsia="Calibri"/>
        </w:rPr>
        <w:t xml:space="preserve"> the </w:t>
      </w:r>
      <w:r w:rsidRPr="0047280A">
        <w:rPr>
          <w:rFonts w:eastAsia="Calibri"/>
        </w:rPr>
        <w:t>modification proposed by WalMart/Sam’s West introduce</w:t>
      </w:r>
      <w:r w:rsidR="004F269B">
        <w:rPr>
          <w:rFonts w:eastAsia="Calibri"/>
        </w:rPr>
        <w:t>s</w:t>
      </w:r>
      <w:r w:rsidRPr="0047280A">
        <w:rPr>
          <w:rFonts w:eastAsia="Calibri"/>
        </w:rPr>
        <w:t xml:space="preserve"> uncertainty into the contracting process between an applicant and a utility and, in addition, will shift potential costs to ratepayers by potentially placing liability on unknown third-party contractors.</w:t>
      </w:r>
      <w:r w:rsidRPr="0047280A">
        <w:rPr>
          <w:rFonts w:eastAsia="Calibri"/>
          <w:vertAlign w:val="superscript"/>
        </w:rPr>
        <w:footnoteReference w:id="78"/>
      </w:r>
      <w:r w:rsidRPr="0047280A">
        <w:rPr>
          <w:rFonts w:eastAsia="Calibri"/>
        </w:rPr>
        <w:t xml:space="preserve"> </w:t>
      </w:r>
    </w:p>
    <w:p w:rsidR="0047280A" w:rsidRPr="0047280A" w:rsidRDefault="0047280A" w:rsidP="00A3316C">
      <w:pPr>
        <w:pStyle w:val="Heading2"/>
        <w:rPr>
          <w:rFonts w:eastAsia="Calibri"/>
        </w:rPr>
      </w:pPr>
      <w:bookmarkStart w:id="40" w:name="_Toc373325584"/>
      <w:bookmarkStart w:id="41" w:name="_Toc384806460"/>
      <w:r w:rsidRPr="0047280A">
        <w:rPr>
          <w:rFonts w:eastAsia="Calibri"/>
        </w:rPr>
        <w:t>Discussion</w:t>
      </w:r>
      <w:bookmarkEnd w:id="40"/>
      <w:bookmarkEnd w:id="41"/>
    </w:p>
    <w:p w:rsidR="00CE51A3" w:rsidRDefault="0047280A" w:rsidP="0047280A">
      <w:pPr>
        <w:spacing w:line="360" w:lineRule="auto"/>
        <w:ind w:firstLine="720"/>
        <w:rPr>
          <w:rFonts w:eastAsia="Calibri"/>
        </w:rPr>
      </w:pPr>
      <w:r w:rsidRPr="0047280A">
        <w:rPr>
          <w:rFonts w:eastAsia="Calibri"/>
        </w:rPr>
        <w:t xml:space="preserve">We have reviewed the proposed forms filed by the utilities on July 15, 2012 and find that the proposed forms are consistent with Rule 21, as adopted in </w:t>
      </w:r>
      <w:r w:rsidR="000816F7">
        <w:rPr>
          <w:rFonts w:eastAsia="Calibri"/>
        </w:rPr>
        <w:br/>
      </w:r>
      <w:r w:rsidRPr="0047280A">
        <w:rPr>
          <w:rFonts w:eastAsia="Calibri"/>
        </w:rPr>
        <w:t>D.12-09-018.  We find that approval of these forms will fac</w:t>
      </w:r>
      <w:r w:rsidR="009621CF">
        <w:rPr>
          <w:rFonts w:eastAsia="Calibri"/>
        </w:rPr>
        <w:t>ilitate our goals of a</w:t>
      </w:r>
      <w:r w:rsidRPr="0047280A">
        <w:rPr>
          <w:rFonts w:eastAsia="Calibri"/>
        </w:rPr>
        <w:t xml:space="preserve"> timely, non-discriminatory, c</w:t>
      </w:r>
      <w:r w:rsidR="009621CF">
        <w:rPr>
          <w:rFonts w:eastAsia="Calibri"/>
        </w:rPr>
        <w:t>ost-effective, and transparent interconnection process.</w:t>
      </w:r>
      <w:r w:rsidR="009621CF">
        <w:rPr>
          <w:rFonts w:eastAsia="Calibri"/>
          <w:vertAlign w:val="superscript"/>
        </w:rPr>
        <w:t xml:space="preserve"> </w:t>
      </w:r>
      <w:r w:rsidRPr="0047280A">
        <w:rPr>
          <w:rFonts w:eastAsia="Calibri"/>
        </w:rPr>
        <w:t xml:space="preserve"> Timeliness is promoted as the forms will be readily available so as to prevent delays.  Discrimination among applicants will be prevented because the forms will be s</w:t>
      </w:r>
      <w:r w:rsidR="00184F63">
        <w:rPr>
          <w:rFonts w:eastAsia="Calibri"/>
        </w:rPr>
        <w:t xml:space="preserve">tandardized for all applicants.  </w:t>
      </w:r>
      <w:r w:rsidRPr="0047280A">
        <w:rPr>
          <w:rFonts w:eastAsia="Calibri"/>
        </w:rPr>
        <w:t>Cost-effectiveness will be promoted as parties will not need to negotiate the terms of these agreement</w:t>
      </w:r>
      <w:r w:rsidR="001123DD">
        <w:rPr>
          <w:rFonts w:eastAsia="Calibri"/>
        </w:rPr>
        <w:t>s</w:t>
      </w:r>
      <w:r w:rsidRPr="0047280A">
        <w:rPr>
          <w:rFonts w:eastAsia="Calibri"/>
        </w:rPr>
        <w:t xml:space="preserve"> on a case-by-case basis and transparency will also be realized by including the forms as part of the publicly available terms and conditions within Rule 21. </w:t>
      </w:r>
      <w:r w:rsidR="001B43F2">
        <w:rPr>
          <w:rFonts w:eastAsia="Calibri"/>
        </w:rPr>
        <w:t xml:space="preserve"> </w:t>
      </w:r>
    </w:p>
    <w:p w:rsidR="0047280A" w:rsidRPr="0047280A" w:rsidRDefault="0047280A" w:rsidP="0047280A">
      <w:pPr>
        <w:spacing w:line="360" w:lineRule="auto"/>
        <w:ind w:firstLine="720"/>
        <w:rPr>
          <w:rFonts w:eastAsia="Calibri"/>
        </w:rPr>
      </w:pPr>
      <w:r w:rsidRPr="0047280A">
        <w:rPr>
          <w:rFonts w:eastAsia="Calibri"/>
        </w:rPr>
        <w:t>Regarding the modifications proposed by WalMart/Sam’s West, we do not accept these modification</w:t>
      </w:r>
      <w:r w:rsidR="001123DD">
        <w:rPr>
          <w:rFonts w:eastAsia="Calibri"/>
        </w:rPr>
        <w:t>s</w:t>
      </w:r>
      <w:r w:rsidRPr="0047280A">
        <w:rPr>
          <w:rFonts w:eastAsia="Calibri"/>
        </w:rPr>
        <w:t xml:space="preserve"> because, under the WalMart/Sam’s West request, ratepayers will be disadvantaged should the utility be required to collect fund</w:t>
      </w:r>
      <w:r w:rsidR="00E02D07">
        <w:rPr>
          <w:rFonts w:eastAsia="Calibri"/>
        </w:rPr>
        <w:t>s from a third-party contractor</w:t>
      </w:r>
      <w:r w:rsidRPr="0047280A">
        <w:rPr>
          <w:rFonts w:eastAsia="Calibri"/>
        </w:rPr>
        <w:t xml:space="preserve"> rather than directly from the customer/developer. </w:t>
      </w:r>
    </w:p>
    <w:p w:rsidR="0047280A" w:rsidRPr="0047280A" w:rsidRDefault="0047280A" w:rsidP="0047280A">
      <w:pPr>
        <w:spacing w:line="360" w:lineRule="auto"/>
        <w:ind w:firstLine="720"/>
        <w:rPr>
          <w:rFonts w:eastAsia="Calibri"/>
        </w:rPr>
      </w:pPr>
      <w:r w:rsidRPr="007B143A">
        <w:rPr>
          <w:rFonts w:eastAsia="Calibri"/>
        </w:rPr>
        <w:t>Accordingly, PG&amp;E, SCE, and SDG&amp;E shall file</w:t>
      </w:r>
      <w:r w:rsidR="00764E8C" w:rsidRPr="007B143A">
        <w:rPr>
          <w:rFonts w:eastAsia="Calibri"/>
        </w:rPr>
        <w:t xml:space="preserve"> Tier </w:t>
      </w:r>
      <w:r w:rsidR="00B9264F" w:rsidRPr="007B143A">
        <w:rPr>
          <w:rFonts w:eastAsia="Calibri"/>
        </w:rPr>
        <w:t xml:space="preserve">2 </w:t>
      </w:r>
      <w:r w:rsidR="00764E8C" w:rsidRPr="007B143A">
        <w:rPr>
          <w:rFonts w:eastAsia="Calibri"/>
        </w:rPr>
        <w:t xml:space="preserve">Advice Letters within </w:t>
      </w:r>
      <w:r w:rsidR="00B9264F" w:rsidRPr="007B143A">
        <w:rPr>
          <w:rFonts w:eastAsia="Calibri"/>
        </w:rPr>
        <w:t>6</w:t>
      </w:r>
      <w:r w:rsidR="00831D10" w:rsidRPr="007B143A">
        <w:rPr>
          <w:rFonts w:eastAsia="Calibri"/>
        </w:rPr>
        <w:t>0</w:t>
      </w:r>
      <w:r w:rsidRPr="007B143A">
        <w:rPr>
          <w:rFonts w:eastAsia="Calibri"/>
        </w:rPr>
        <w:t xml:space="preserve"> days of the effective date of today’s decision with a </w:t>
      </w:r>
      <w:r w:rsidR="001123DD" w:rsidRPr="007B143A">
        <w:t>Distribution Group Study Process</w:t>
      </w:r>
      <w:r w:rsidRPr="007B143A">
        <w:rPr>
          <w:rFonts w:eastAsia="Calibri"/>
        </w:rPr>
        <w:t xml:space="preserve"> that reflects PG&amp;E’s and SDG&amp;E’s February 19, 2013 draft tariff proposal and include</w:t>
      </w:r>
      <w:r w:rsidR="00E02D07" w:rsidRPr="007B143A">
        <w:rPr>
          <w:rFonts w:eastAsia="Calibri"/>
        </w:rPr>
        <w:t>s</w:t>
      </w:r>
      <w:r w:rsidRPr="007B143A">
        <w:rPr>
          <w:rFonts w:eastAsia="Calibri"/>
        </w:rPr>
        <w:t xml:space="preserve"> the following forms adopted today: </w:t>
      </w:r>
      <w:r w:rsidR="001B43F2" w:rsidRPr="007B143A">
        <w:rPr>
          <w:rFonts w:eastAsia="Calibri"/>
        </w:rPr>
        <w:t xml:space="preserve"> </w:t>
      </w:r>
      <w:r w:rsidRPr="007B143A">
        <w:rPr>
          <w:rFonts w:eastAsia="Calibri"/>
        </w:rPr>
        <w:t>(1) Rule 21 Generator</w:t>
      </w:r>
      <w:r w:rsidRPr="0047280A">
        <w:rPr>
          <w:rFonts w:eastAsia="Calibri"/>
        </w:rPr>
        <w:t xml:space="preserve"> Interconnection Agreement for Exporting Generation Facilities Interconnecting under the Transmission Cluster Study or Independent Study Process; (2) Rule 21 Independent Study Process Study Agreement; and (3) Rule 21 Pre-Application</w:t>
      </w:r>
      <w:r w:rsidR="001123DD">
        <w:rPr>
          <w:rFonts w:eastAsia="Calibri"/>
        </w:rPr>
        <w:t xml:space="preserve"> Report Request.  </w:t>
      </w:r>
      <w:r w:rsidR="00E9111F">
        <w:rPr>
          <w:rFonts w:eastAsia="Calibri"/>
        </w:rPr>
        <w:t>PG&amp;E</w:t>
      </w:r>
      <w:r w:rsidRPr="0047280A">
        <w:rPr>
          <w:rFonts w:eastAsia="Calibri"/>
        </w:rPr>
        <w:t xml:space="preserve">, SCE, and SDG&amp;E </w:t>
      </w:r>
      <w:r w:rsidR="006B7961">
        <w:rPr>
          <w:rFonts w:eastAsia="Calibri"/>
        </w:rPr>
        <w:t>shall</w:t>
      </w:r>
      <w:r w:rsidRPr="0047280A">
        <w:rPr>
          <w:rFonts w:eastAsia="Calibri"/>
        </w:rPr>
        <w:t xml:space="preserve"> make additional efforts, as warranted, to make their forms substantially similar in format </w:t>
      </w:r>
      <w:r w:rsidR="00CA47B5">
        <w:rPr>
          <w:rFonts w:eastAsia="Calibri"/>
        </w:rPr>
        <w:t xml:space="preserve">and substance </w:t>
      </w:r>
      <w:r w:rsidRPr="0047280A">
        <w:rPr>
          <w:rFonts w:eastAsia="Calibri"/>
        </w:rPr>
        <w:t xml:space="preserve">prior to filing the Advice Letters and </w:t>
      </w:r>
      <w:r w:rsidR="001123DD">
        <w:rPr>
          <w:rFonts w:eastAsia="Calibri"/>
        </w:rPr>
        <w:t>shall</w:t>
      </w:r>
      <w:r w:rsidRPr="0047280A">
        <w:rPr>
          <w:rFonts w:eastAsia="Calibri"/>
        </w:rPr>
        <w:t xml:space="preserve"> incorporate revisions into the form</w:t>
      </w:r>
      <w:r w:rsidR="00984ECE">
        <w:rPr>
          <w:rFonts w:eastAsia="Calibri"/>
        </w:rPr>
        <w:t>s</w:t>
      </w:r>
      <w:r w:rsidRPr="0047280A">
        <w:rPr>
          <w:rFonts w:eastAsia="Calibri"/>
        </w:rPr>
        <w:t xml:space="preserve">, as needed, to conform the revisions to Rule 21 regarding the </w:t>
      </w:r>
      <w:r w:rsidR="001123DD" w:rsidRPr="0047280A">
        <w:t>Distribution Group Study Process</w:t>
      </w:r>
      <w:r w:rsidRPr="0047280A">
        <w:rPr>
          <w:rFonts w:eastAsia="Calibri"/>
        </w:rPr>
        <w:t xml:space="preserve"> adopted today.  </w:t>
      </w:r>
      <w:r w:rsidR="00B7012F">
        <w:rPr>
          <w:rFonts w:eastAsia="Calibri"/>
        </w:rPr>
        <w:t>After the Commission adopts these forms by the</w:t>
      </w:r>
      <w:r w:rsidR="001123DD">
        <w:rPr>
          <w:rFonts w:eastAsia="Calibri"/>
        </w:rPr>
        <w:t xml:space="preserve"> </w:t>
      </w:r>
      <w:r w:rsidR="006B7961">
        <w:rPr>
          <w:rFonts w:eastAsia="Calibri"/>
        </w:rPr>
        <w:t>a</w:t>
      </w:r>
      <w:r w:rsidR="001123DD">
        <w:rPr>
          <w:rFonts w:eastAsia="Calibri"/>
        </w:rPr>
        <w:t xml:space="preserve">dvice </w:t>
      </w:r>
      <w:r w:rsidR="006B7961">
        <w:rPr>
          <w:rFonts w:eastAsia="Calibri"/>
        </w:rPr>
        <w:t>l</w:t>
      </w:r>
      <w:r w:rsidR="001123DD">
        <w:rPr>
          <w:rFonts w:eastAsia="Calibri"/>
        </w:rPr>
        <w:t>etter process,</w:t>
      </w:r>
      <w:r w:rsidRPr="0047280A">
        <w:rPr>
          <w:rFonts w:eastAsia="Calibri"/>
        </w:rPr>
        <w:t xml:space="preserve"> modification to these tariff f</w:t>
      </w:r>
      <w:r w:rsidR="00B7012F">
        <w:rPr>
          <w:rFonts w:eastAsia="Calibri"/>
        </w:rPr>
        <w:t xml:space="preserve">orms is </w:t>
      </w:r>
      <w:r w:rsidR="001123DD">
        <w:rPr>
          <w:rFonts w:eastAsia="Calibri"/>
        </w:rPr>
        <w:t>only permitted with</w:t>
      </w:r>
      <w:r w:rsidR="00B7012F">
        <w:rPr>
          <w:rFonts w:eastAsia="Calibri"/>
        </w:rPr>
        <w:t xml:space="preserve"> </w:t>
      </w:r>
      <w:r w:rsidR="001123DD">
        <w:rPr>
          <w:rFonts w:eastAsia="Calibri"/>
        </w:rPr>
        <w:t>Commission approval</w:t>
      </w:r>
      <w:r w:rsidR="007B143A">
        <w:rPr>
          <w:rFonts w:eastAsia="Calibri"/>
        </w:rPr>
        <w:t>.</w:t>
      </w:r>
    </w:p>
    <w:p w:rsidR="0047280A" w:rsidRPr="0047280A" w:rsidRDefault="0047280A" w:rsidP="00A3316C">
      <w:pPr>
        <w:pStyle w:val="Heading1"/>
        <w:rPr>
          <w:rFonts w:eastAsia="Calibri"/>
        </w:rPr>
      </w:pPr>
      <w:bookmarkStart w:id="42" w:name="_Toc373325585"/>
      <w:bookmarkStart w:id="43" w:name="_Toc384806461"/>
      <w:r w:rsidRPr="0047280A">
        <w:rPr>
          <w:rFonts w:eastAsia="Calibri"/>
        </w:rPr>
        <w:t>Uniformity between Utility Tariffs</w:t>
      </w:r>
      <w:bookmarkEnd w:id="42"/>
      <w:bookmarkEnd w:id="43"/>
    </w:p>
    <w:p w:rsidR="0047280A" w:rsidRPr="0047280A" w:rsidRDefault="0047280A" w:rsidP="0047280A">
      <w:pPr>
        <w:spacing w:line="360" w:lineRule="auto"/>
        <w:ind w:firstLine="720"/>
        <w:rPr>
          <w:rFonts w:eastAsia="Calibri"/>
        </w:rPr>
      </w:pPr>
      <w:r w:rsidRPr="0047280A">
        <w:rPr>
          <w:rFonts w:eastAsia="Calibri"/>
        </w:rPr>
        <w:t>As s</w:t>
      </w:r>
      <w:r w:rsidR="001B43F2">
        <w:rPr>
          <w:rFonts w:eastAsia="Calibri"/>
        </w:rPr>
        <w:t xml:space="preserve">tated above, the inclusion of </w:t>
      </w:r>
      <w:r w:rsidR="001123DD" w:rsidRPr="0047280A">
        <w:t>Distribution Group Study Process</w:t>
      </w:r>
      <w:r w:rsidRPr="0047280A">
        <w:rPr>
          <w:rFonts w:eastAsia="Calibri"/>
        </w:rPr>
        <w:t xml:space="preserve"> in </w:t>
      </w:r>
      <w:r w:rsidR="001123DD">
        <w:rPr>
          <w:rFonts w:eastAsia="Calibri"/>
        </w:rPr>
        <w:br/>
      </w:r>
      <w:r w:rsidRPr="0047280A">
        <w:rPr>
          <w:rFonts w:eastAsia="Calibri"/>
        </w:rPr>
        <w:t xml:space="preserve">Rule 21 has the potential to increase the efficiency of the interconnection study process for applicants with electrically interdependent projects and offers a valuable opportunity for sharing upgrade costs across a greater number of developers.  </w:t>
      </w:r>
    </w:p>
    <w:p w:rsidR="0047280A" w:rsidRPr="0047280A" w:rsidRDefault="0047280A" w:rsidP="0047280A">
      <w:pPr>
        <w:spacing w:line="360" w:lineRule="auto"/>
        <w:ind w:firstLine="720"/>
        <w:rPr>
          <w:rFonts w:eastAsia="Calibri"/>
        </w:rPr>
      </w:pPr>
      <w:r w:rsidRPr="0047280A">
        <w:rPr>
          <w:rFonts w:eastAsia="Calibri"/>
        </w:rPr>
        <w:t>Unnecessary difference</w:t>
      </w:r>
      <w:r w:rsidR="000940DC">
        <w:rPr>
          <w:rFonts w:eastAsia="Calibri"/>
        </w:rPr>
        <w:t>s</w:t>
      </w:r>
      <w:r w:rsidRPr="0047280A">
        <w:rPr>
          <w:rFonts w:eastAsia="Calibri"/>
        </w:rPr>
        <w:t xml:space="preserve"> between the tariffs may detract from gains in efficiency and transparency. </w:t>
      </w:r>
      <w:r w:rsidR="00184F63">
        <w:rPr>
          <w:rFonts w:eastAsia="Calibri"/>
        </w:rPr>
        <w:t xml:space="preserve"> </w:t>
      </w:r>
      <w:r w:rsidRPr="0047280A">
        <w:rPr>
          <w:rFonts w:eastAsia="Calibri"/>
        </w:rPr>
        <w:t>Consistency acros</w:t>
      </w:r>
      <w:r w:rsidR="000940DC">
        <w:rPr>
          <w:rFonts w:eastAsia="Calibri"/>
        </w:rPr>
        <w:t>s the three</w:t>
      </w:r>
      <w:r w:rsidR="0050551C">
        <w:rPr>
          <w:rFonts w:eastAsia="Calibri"/>
        </w:rPr>
        <w:t xml:space="preserve"> utilities</w:t>
      </w:r>
      <w:r w:rsidR="000940DC">
        <w:rPr>
          <w:rFonts w:eastAsia="Calibri"/>
        </w:rPr>
        <w:t xml:space="preserve"> </w:t>
      </w:r>
      <w:r w:rsidRPr="0047280A">
        <w:rPr>
          <w:rFonts w:eastAsia="Calibri"/>
        </w:rPr>
        <w:t>may also reduce the opportu</w:t>
      </w:r>
      <w:r w:rsidR="0050551C">
        <w:rPr>
          <w:rFonts w:eastAsia="Calibri"/>
        </w:rPr>
        <w:t>nity for confusion and minimize</w:t>
      </w:r>
      <w:r w:rsidRPr="0047280A">
        <w:rPr>
          <w:rFonts w:eastAsia="Calibri"/>
        </w:rPr>
        <w:t xml:space="preserve"> the number of disputes that may arise as a result.</w:t>
      </w:r>
      <w:r w:rsidRPr="0047280A">
        <w:rPr>
          <w:rFonts w:eastAsia="Calibri"/>
          <w:sz w:val="24"/>
          <w:vertAlign w:val="superscript"/>
        </w:rPr>
        <w:footnoteReference w:id="79"/>
      </w:r>
      <w:r w:rsidRPr="0047280A">
        <w:rPr>
          <w:rFonts w:eastAsia="Calibri"/>
        </w:rPr>
        <w:t xml:space="preserve">  Consistency also will enable the Commission to more reasonably evaluate the effect </w:t>
      </w:r>
      <w:r w:rsidR="007C6DFF">
        <w:rPr>
          <w:rFonts w:eastAsia="Calibri"/>
        </w:rPr>
        <w:t xml:space="preserve">that </w:t>
      </w:r>
      <w:r w:rsidRPr="0047280A">
        <w:rPr>
          <w:rFonts w:eastAsia="Calibri"/>
        </w:rPr>
        <w:t>different factors may have on th</w:t>
      </w:r>
      <w:r w:rsidR="007C6DFF">
        <w:rPr>
          <w:rFonts w:eastAsia="Calibri"/>
        </w:rPr>
        <w:t>e interconnection process</w:t>
      </w:r>
      <w:r w:rsidRPr="0047280A">
        <w:rPr>
          <w:rFonts w:eastAsia="Calibri"/>
        </w:rPr>
        <w:t>.</w:t>
      </w:r>
      <w:r w:rsidRPr="0047280A">
        <w:rPr>
          <w:rFonts w:eastAsia="Calibri"/>
          <w:sz w:val="24"/>
          <w:vertAlign w:val="superscript"/>
        </w:rPr>
        <w:footnoteReference w:id="80"/>
      </w:r>
      <w:r w:rsidRPr="0047280A">
        <w:rPr>
          <w:rFonts w:eastAsia="Calibri"/>
        </w:rPr>
        <w:t xml:space="preserve">  </w:t>
      </w:r>
    </w:p>
    <w:p w:rsidR="00DB235D" w:rsidRDefault="00DB235D" w:rsidP="0047280A">
      <w:pPr>
        <w:spacing w:line="360" w:lineRule="auto"/>
        <w:ind w:firstLine="720"/>
        <w:rPr>
          <w:rFonts w:eastAsia="Calibri"/>
          <w:highlight w:val="yellow"/>
        </w:rPr>
      </w:pPr>
      <w:r w:rsidRPr="00DB235D">
        <w:rPr>
          <w:rFonts w:eastAsia="Calibri"/>
        </w:rPr>
        <w:t xml:space="preserve">PG&amp;E, SCE, and SDG&amp;E shall make additional efforts, as warranted, to make their forms substantially similar in format and substance prior to filing the </w:t>
      </w:r>
      <w:r w:rsidR="00764E8C">
        <w:rPr>
          <w:rFonts w:eastAsia="Calibri"/>
        </w:rPr>
        <w:t xml:space="preserve">Tier </w:t>
      </w:r>
      <w:r w:rsidR="00AF26D0">
        <w:rPr>
          <w:rFonts w:eastAsia="Calibri"/>
        </w:rPr>
        <w:t>2</w:t>
      </w:r>
      <w:r>
        <w:rPr>
          <w:rFonts w:eastAsia="Calibri"/>
        </w:rPr>
        <w:t xml:space="preserve"> </w:t>
      </w:r>
      <w:r w:rsidRPr="00DB235D">
        <w:rPr>
          <w:rFonts w:eastAsia="Calibri"/>
        </w:rPr>
        <w:t xml:space="preserve">Advice Letters and to incorporate revisions into the forms, as needed, to conform to the revisions to Rule 21 adopted today regarding the </w:t>
      </w:r>
      <w:r w:rsidR="0050551C" w:rsidRPr="0047280A">
        <w:t>Distribution Group Study Process</w:t>
      </w:r>
      <w:r w:rsidRPr="00DB235D">
        <w:rPr>
          <w:rFonts w:eastAsia="Calibri"/>
        </w:rPr>
        <w:t xml:space="preserve">.  </w:t>
      </w:r>
    </w:p>
    <w:p w:rsidR="0047280A" w:rsidRPr="0047280A" w:rsidRDefault="0047280A" w:rsidP="00A3316C">
      <w:pPr>
        <w:pStyle w:val="Heading1"/>
      </w:pPr>
      <w:bookmarkStart w:id="44" w:name="_Toc373325586"/>
      <w:bookmarkStart w:id="45" w:name="_Toc384806462"/>
      <w:r w:rsidRPr="0047280A">
        <w:t>Uniformity with Federal Wholesale Tariffs</w:t>
      </w:r>
      <w:bookmarkEnd w:id="44"/>
      <w:bookmarkEnd w:id="45"/>
    </w:p>
    <w:p w:rsidR="0047280A" w:rsidRPr="0047280A" w:rsidRDefault="0047280A" w:rsidP="0047280A">
      <w:pPr>
        <w:spacing w:line="360" w:lineRule="auto"/>
        <w:ind w:firstLine="720"/>
        <w:rPr>
          <w:rFonts w:eastAsia="Calibri"/>
        </w:rPr>
      </w:pPr>
      <w:r w:rsidRPr="0047280A">
        <w:rPr>
          <w:rFonts w:eastAsia="Calibri"/>
        </w:rPr>
        <w:t>In D.12-09-018 we found that the public interest would be furthered by the utilities seeking FERC approval to achieve greater uniformity between state and federal interconnection regulations.</w:t>
      </w:r>
      <w:r w:rsidRPr="0047280A">
        <w:rPr>
          <w:rFonts w:eastAsia="Calibri"/>
          <w:sz w:val="24"/>
          <w:vertAlign w:val="superscript"/>
        </w:rPr>
        <w:footnoteReference w:id="81"/>
      </w:r>
      <w:r w:rsidRPr="0047280A">
        <w:rPr>
          <w:rFonts w:eastAsia="Calibri"/>
        </w:rPr>
        <w:t xml:space="preserve">  Greater uniformity across jurisdictions regarding interconnection rules has the potential to increase the goals of this rulemaking, to ensure that interconnection is</w:t>
      </w:r>
      <w:r w:rsidR="007C68C3">
        <w:rPr>
          <w:rFonts w:eastAsia="Calibri"/>
        </w:rPr>
        <w:t xml:space="preserve"> </w:t>
      </w:r>
      <w:r w:rsidR="000A6985">
        <w:rPr>
          <w:rFonts w:eastAsia="Calibri"/>
        </w:rPr>
        <w:t>“</w:t>
      </w:r>
      <w:r w:rsidRPr="0047280A">
        <w:rPr>
          <w:rFonts w:eastAsia="Calibri"/>
        </w:rPr>
        <w:t xml:space="preserve">timely, non-discriminatory, </w:t>
      </w:r>
      <w:r w:rsidR="001B43F2">
        <w:rPr>
          <w:rFonts w:eastAsia="Calibri"/>
        </w:rPr>
        <w:br/>
      </w:r>
      <w:r w:rsidRPr="0047280A">
        <w:rPr>
          <w:rFonts w:eastAsia="Calibri"/>
        </w:rPr>
        <w:t>cost-effective, and transparent.</w:t>
      </w:r>
      <w:r w:rsidR="00AE1C1F">
        <w:rPr>
          <w:rStyle w:val="FootnoteReference"/>
          <w:rFonts w:eastAsia="Calibri"/>
        </w:rPr>
        <w:footnoteReference w:id="82"/>
      </w:r>
      <w:r w:rsidRPr="0047280A">
        <w:rPr>
          <w:rFonts w:eastAsia="Calibri"/>
        </w:rPr>
        <w:t xml:space="preserve">”  Today, we again encourage the utilities to pursue this goal of uniformity across state and federal interconnection rules.  </w:t>
      </w:r>
      <w:r w:rsidR="00656593">
        <w:rPr>
          <w:rFonts w:eastAsia="Calibri"/>
        </w:rPr>
        <w:t>We acknowledge that, due to the interaction of the federal tariffs and the California Independent System Operator interconnection process, the utilities</w:t>
      </w:r>
      <w:r w:rsidR="00C46DBD">
        <w:rPr>
          <w:rFonts w:eastAsia="Calibri"/>
        </w:rPr>
        <w:t>’</w:t>
      </w:r>
      <w:r w:rsidR="00656593">
        <w:rPr>
          <w:rFonts w:eastAsia="Calibri"/>
        </w:rPr>
        <w:t xml:space="preserve"> changes to federal tariff</w:t>
      </w:r>
      <w:r w:rsidR="00C46DBD">
        <w:rPr>
          <w:rFonts w:eastAsia="Calibri"/>
        </w:rPr>
        <w:t>s</w:t>
      </w:r>
      <w:r w:rsidR="00656593">
        <w:rPr>
          <w:rFonts w:eastAsia="Calibri"/>
        </w:rPr>
        <w:t xml:space="preserve"> may need to be closely coordinated with the California Independent System Operator.</w:t>
      </w:r>
    </w:p>
    <w:p w:rsidR="0047280A" w:rsidRPr="0047280A" w:rsidRDefault="0047280A" w:rsidP="00A3316C">
      <w:pPr>
        <w:pStyle w:val="Heading1"/>
      </w:pPr>
      <w:bookmarkStart w:id="46" w:name="_Toc373325587"/>
      <w:bookmarkStart w:id="47" w:name="_Toc384806463"/>
      <w:r w:rsidRPr="0047280A">
        <w:t>Rule 21 Data Management</w:t>
      </w:r>
      <w:bookmarkEnd w:id="46"/>
      <w:bookmarkEnd w:id="47"/>
    </w:p>
    <w:p w:rsidR="0047280A" w:rsidRPr="0047280A" w:rsidRDefault="0047280A" w:rsidP="0047280A">
      <w:pPr>
        <w:spacing w:line="360" w:lineRule="auto"/>
        <w:ind w:firstLine="720"/>
      </w:pPr>
      <w:r w:rsidRPr="0047280A">
        <w:t>Several parties recommend that the Commission direct the utilities to provide additional public information on the interconnection process to inform enhancements in the process.</w:t>
      </w:r>
      <w:r w:rsidRPr="0047280A">
        <w:rPr>
          <w:sz w:val="24"/>
          <w:vertAlign w:val="superscript"/>
        </w:rPr>
        <w:footnoteReference w:id="83"/>
      </w:r>
      <w:r w:rsidRPr="0047280A">
        <w:t xml:space="preserve"> </w:t>
      </w:r>
    </w:p>
    <w:p w:rsidR="0047280A" w:rsidRPr="0047280A" w:rsidRDefault="0047280A" w:rsidP="0047280A">
      <w:pPr>
        <w:spacing w:line="360" w:lineRule="auto"/>
        <w:ind w:firstLine="720"/>
      </w:pPr>
      <w:r w:rsidRPr="0047280A">
        <w:t>We find that additional information will promote improvements in the process and assist the Commission in evaluating the interconnection process established by Rule 21.  Therefore, we direct PG&amp;E, SCE, and SDG&amp;E to submit d</w:t>
      </w:r>
      <w:r w:rsidR="00F33D6A">
        <w:t xml:space="preserve">ata in </w:t>
      </w:r>
      <w:r w:rsidR="00F33D6A" w:rsidRPr="00F33D6A">
        <w:t xml:space="preserve">a quarterly report to the Commission, referred to as </w:t>
      </w:r>
      <w:r w:rsidRPr="0047280A">
        <w:t>Interconnection Data Quarter</w:t>
      </w:r>
      <w:r w:rsidR="00F33D6A">
        <w:t>ly Report</w:t>
      </w:r>
      <w:r w:rsidRPr="0047280A">
        <w:t>.</w:t>
      </w:r>
    </w:p>
    <w:p w:rsidR="0047280A" w:rsidRPr="0047280A" w:rsidRDefault="0047280A" w:rsidP="0047280A">
      <w:pPr>
        <w:spacing w:line="360" w:lineRule="auto"/>
        <w:ind w:firstLine="720"/>
      </w:pPr>
      <w:r w:rsidRPr="0047280A">
        <w:t>Accordingly, PG&amp;E, SCE, and SDG&amp;E shall submit a quar</w:t>
      </w:r>
      <w:r w:rsidR="0050551C">
        <w:t xml:space="preserve">terly report to the Commission, </w:t>
      </w:r>
      <w:r w:rsidRPr="0047280A">
        <w:t>the Interconnection Data Quarte</w:t>
      </w:r>
      <w:r w:rsidR="00F33D6A">
        <w:t>rly Report</w:t>
      </w:r>
      <w:r w:rsidRPr="0047280A">
        <w:t xml:space="preserve">.  The submission of this data </w:t>
      </w:r>
      <w:r w:rsidR="0050551C">
        <w:t>may</w:t>
      </w:r>
      <w:r w:rsidRPr="0047280A">
        <w:t xml:space="preserve"> include both public and confidential data.  These reports shall include, among other things, compliance with Rule 21 timelines, interconnection upgrade cost estimates for projects in the Independent Study Process and the </w:t>
      </w:r>
      <w:r w:rsidR="002C1470">
        <w:t>DGSP</w:t>
      </w:r>
      <w:r w:rsidRPr="0047280A">
        <w:t>, account true-up data for interconnection cost estimates,</w:t>
      </w:r>
      <w:r w:rsidR="00F33D6A">
        <w:t xml:space="preserve"> an accounting of</w:t>
      </w:r>
      <w:r w:rsidRPr="0047280A">
        <w:t xml:space="preserve"> all exemptions from Rule 21 interconnection fees, including the value of those exemptions, and the number of Rule 21 projects at each step of the Rule 21 process.  These reports shall be submitted to the Director of the Commission’s Energy Division in a form</w:t>
      </w:r>
      <w:r w:rsidR="00F85A76">
        <w:t>at prepared</w:t>
      </w:r>
      <w:r w:rsidRPr="0047280A">
        <w:t xml:space="preserve"> by Energy Division</w:t>
      </w:r>
      <w:r w:rsidR="00C25B67">
        <w:t xml:space="preserve">.  Upon request by Energy Division, </w:t>
      </w:r>
      <w:r w:rsidRPr="0047280A">
        <w:t>PG&amp;E, SCE, and SDG&amp;E</w:t>
      </w:r>
      <w:r w:rsidR="00C25B67">
        <w:t xml:space="preserve"> shall assist Energy Division to develop this format</w:t>
      </w:r>
      <w:r w:rsidRPr="0047280A">
        <w:t>.</w:t>
      </w:r>
    </w:p>
    <w:p w:rsidR="0047280A" w:rsidRPr="0047280A" w:rsidRDefault="00CE51A3" w:rsidP="00A3316C">
      <w:pPr>
        <w:pStyle w:val="Heading1"/>
      </w:pPr>
      <w:bookmarkStart w:id="48" w:name="_Toc373325588"/>
      <w:bookmarkStart w:id="49" w:name="_Toc384806464"/>
      <w:r>
        <w:t xml:space="preserve">Other </w:t>
      </w:r>
      <w:r w:rsidR="0047280A" w:rsidRPr="0047280A">
        <w:t>Minor Changes to Rule 21</w:t>
      </w:r>
      <w:bookmarkEnd w:id="48"/>
      <w:bookmarkEnd w:id="49"/>
    </w:p>
    <w:p w:rsidR="00C75F4B" w:rsidRDefault="00C75F4B" w:rsidP="0047280A">
      <w:pPr>
        <w:spacing w:line="360" w:lineRule="auto"/>
        <w:ind w:firstLine="720"/>
      </w:pPr>
      <w:r>
        <w:t xml:space="preserve">PG&amp;E, SCE, and SDG&amp;E are directed to make certain minor changes to Rule 21 to promote the accessibility of the tariffs. </w:t>
      </w:r>
    </w:p>
    <w:p w:rsidR="0047280A" w:rsidRPr="0047280A" w:rsidRDefault="0047280A" w:rsidP="0047280A">
      <w:pPr>
        <w:spacing w:line="360" w:lineRule="auto"/>
        <w:ind w:firstLine="720"/>
      </w:pPr>
      <w:r w:rsidRPr="0047280A">
        <w:t xml:space="preserve">The utilities are directed to incorporate cross references into Rule 21 to indicate the location and name of all the appropriate forms.  </w:t>
      </w:r>
      <w:r w:rsidR="007709AD">
        <w:t>The use of an appendix may be appropriate in this instance.</w:t>
      </w:r>
    </w:p>
    <w:p w:rsidR="0047280A" w:rsidRPr="0047280A" w:rsidRDefault="0047280A" w:rsidP="006B7961">
      <w:pPr>
        <w:spacing w:line="360" w:lineRule="auto"/>
        <w:ind w:firstLine="720"/>
      </w:pPr>
      <w:r w:rsidRPr="0047280A">
        <w:t xml:space="preserve">Utilities are also directed to include more specific identification of behind the meter components on their interconnection application forms.  </w:t>
      </w:r>
    </w:p>
    <w:p w:rsidR="0047280A" w:rsidRPr="0047280A" w:rsidRDefault="00260748" w:rsidP="006B7961">
      <w:pPr>
        <w:spacing w:line="360" w:lineRule="auto"/>
        <w:ind w:firstLine="720"/>
      </w:pPr>
      <w:r>
        <w:t>Additionally</w:t>
      </w:r>
      <w:r w:rsidR="006B7961">
        <w:t>,</w:t>
      </w:r>
      <w:r>
        <w:t xml:space="preserve"> utilities are directed to</w:t>
      </w:r>
      <w:r w:rsidR="00CE51A3">
        <w:t xml:space="preserve"> </w:t>
      </w:r>
      <w:r w:rsidR="0047280A" w:rsidRPr="0047280A">
        <w:t>provide applicants with the option of requesting the utility to determine whether the proposed interconnection wi</w:t>
      </w:r>
      <w:r w:rsidR="00CE51A3">
        <w:t>ll</w:t>
      </w:r>
      <w:r w:rsidR="0047280A" w:rsidRPr="0047280A">
        <w:t xml:space="preserve"> require a Direct Transfer Trip.  This request should be included as part of the pre-application report request or supplemental review process and may include an associated cost.</w:t>
      </w:r>
    </w:p>
    <w:p w:rsidR="0047280A" w:rsidRPr="0047280A" w:rsidRDefault="0047280A" w:rsidP="0047280A">
      <w:pPr>
        <w:spacing w:line="360" w:lineRule="auto"/>
        <w:ind w:firstLine="720"/>
      </w:pPr>
      <w:r w:rsidRPr="0047280A">
        <w:t>These changes</w:t>
      </w:r>
      <w:r w:rsidR="00764E8C">
        <w:t xml:space="preserve"> shall be included in the Tier </w:t>
      </w:r>
      <w:r w:rsidR="007709AD">
        <w:t>2</w:t>
      </w:r>
      <w:r w:rsidR="007709AD" w:rsidRPr="0047280A">
        <w:t xml:space="preserve"> </w:t>
      </w:r>
      <w:r w:rsidRPr="0047280A">
        <w:t>Advice Letter filing required by today’s decision.  Additional changes to promote the general accessibility of Rule 21 are encouraged and may be included in this same Advice Letter filing.</w:t>
      </w:r>
    </w:p>
    <w:p w:rsidR="0047280A" w:rsidRPr="0047280A" w:rsidRDefault="0047280A" w:rsidP="00A3316C">
      <w:pPr>
        <w:pStyle w:val="Heading1"/>
      </w:pPr>
      <w:bookmarkStart w:id="50" w:name="_Toc373325589"/>
      <w:bookmarkStart w:id="51" w:name="_Toc384806465"/>
      <w:r w:rsidRPr="0047280A">
        <w:t>Motions</w:t>
      </w:r>
      <w:bookmarkEnd w:id="50"/>
      <w:bookmarkEnd w:id="51"/>
    </w:p>
    <w:p w:rsidR="0047280A" w:rsidRPr="0047280A" w:rsidRDefault="0047280A" w:rsidP="0047280A">
      <w:pPr>
        <w:spacing w:line="360" w:lineRule="auto"/>
        <w:ind w:firstLine="720"/>
      </w:pPr>
      <w:r w:rsidRPr="0047280A">
        <w:t xml:space="preserve">David Davis filed a </w:t>
      </w:r>
      <w:r w:rsidRPr="00F33D6A">
        <w:rPr>
          <w:i/>
        </w:rPr>
        <w:t>Motion for Party Status</w:t>
      </w:r>
      <w:r w:rsidRPr="0047280A">
        <w:t xml:space="preserve"> on July 30, 2012.  SCE filed a response on August 14, 2012.  We grant this motion to the extent that David Davis seeks to address matters identified within the scope of this proceeding and in accordance with the schedule of this proceeding.  All other motions for party status are granted</w:t>
      </w:r>
      <w:r w:rsidR="007709AD">
        <w:t xml:space="preserve"> </w:t>
      </w:r>
      <w:r w:rsidR="00C46DBD">
        <w:t xml:space="preserve">if </w:t>
      </w:r>
      <w:r w:rsidR="007709AD">
        <w:t>filed on or before February 5, 2014</w:t>
      </w:r>
      <w:r w:rsidRPr="0047280A">
        <w:t>.  We further confirm all prior rulings by the ALJ.</w:t>
      </w:r>
    </w:p>
    <w:p w:rsidR="0047280A" w:rsidRPr="0047280A" w:rsidRDefault="00AA17B7" w:rsidP="00A3316C">
      <w:pPr>
        <w:pStyle w:val="Heading1"/>
      </w:pPr>
      <w:bookmarkStart w:id="52" w:name="_Toc384806466"/>
      <w:r>
        <w:t>Pending Issues</w:t>
      </w:r>
      <w:r w:rsidR="00276D27">
        <w:t xml:space="preserve"> in R.11-09-011</w:t>
      </w:r>
      <w:bookmarkEnd w:id="52"/>
    </w:p>
    <w:p w:rsidR="0047280A" w:rsidRPr="0047280A" w:rsidRDefault="0047280A" w:rsidP="00EB3971">
      <w:pPr>
        <w:pStyle w:val="standard"/>
      </w:pPr>
      <w:r w:rsidRPr="0047280A">
        <w:t xml:space="preserve">The September 26, 2012 scoping memo in this proceeding, </w:t>
      </w:r>
      <w:r w:rsidRPr="0047280A">
        <w:rPr>
          <w:i/>
        </w:rPr>
        <w:t>Assigned Commissioner’s Amended Scoping Memo and Ruling Requesting Comments</w:t>
      </w:r>
      <w:r w:rsidRPr="0047280A">
        <w:t xml:space="preserve">, set a schedule that included several pending issues.  The issue of </w:t>
      </w:r>
      <w:r w:rsidRPr="0047280A">
        <w:rPr>
          <w:i/>
        </w:rPr>
        <w:t>Interconnection Cost Responsibility</w:t>
      </w:r>
      <w:r w:rsidRPr="0047280A">
        <w:t xml:space="preserve"> was scheduled to be address</w:t>
      </w:r>
      <w:r w:rsidR="0093391F">
        <w:t>ed</w:t>
      </w:r>
      <w:r w:rsidRPr="0047280A">
        <w:t xml:space="preserve"> by a proposed decision in the 2</w:t>
      </w:r>
      <w:r w:rsidRPr="0047280A">
        <w:rPr>
          <w:vertAlign w:val="superscript"/>
        </w:rPr>
        <w:t>nd</w:t>
      </w:r>
      <w:r w:rsidRPr="0047280A">
        <w:t xml:space="preserve"> quarter of 2013.  The issue of </w:t>
      </w:r>
      <w:r w:rsidRPr="0047280A">
        <w:rPr>
          <w:i/>
        </w:rPr>
        <w:t>Technical Operating Standards</w:t>
      </w:r>
      <w:r w:rsidRPr="0047280A">
        <w:t xml:space="preserve"> was scheduled to be addressed by a proposed decision in the 4</w:t>
      </w:r>
      <w:r w:rsidRPr="0047280A">
        <w:rPr>
          <w:vertAlign w:val="superscript"/>
        </w:rPr>
        <w:t>th</w:t>
      </w:r>
      <w:r w:rsidRPr="0047280A">
        <w:t xml:space="preserve"> quarter of 2013.  As we reach the end o</w:t>
      </w:r>
      <w:r w:rsidR="00AA17B7">
        <w:t xml:space="preserve">f 2013, we note </w:t>
      </w:r>
      <w:r w:rsidRPr="0047280A">
        <w:t xml:space="preserve">that </w:t>
      </w:r>
      <w:r w:rsidR="00181ABE">
        <w:t>a revised schedule will be issued</w:t>
      </w:r>
      <w:r w:rsidRPr="0047280A">
        <w:t>.</w:t>
      </w:r>
    </w:p>
    <w:p w:rsidR="0047280A" w:rsidRPr="0047280A" w:rsidRDefault="0047280A" w:rsidP="00A3316C">
      <w:pPr>
        <w:pStyle w:val="Heading1"/>
      </w:pPr>
      <w:bookmarkStart w:id="53" w:name="_Toc373325591"/>
      <w:bookmarkStart w:id="54" w:name="_Toc384806467"/>
      <w:bookmarkEnd w:id="7"/>
      <w:r w:rsidRPr="0047280A">
        <w:t>Comments on Proposed Decision</w:t>
      </w:r>
      <w:bookmarkEnd w:id="53"/>
      <w:bookmarkEnd w:id="54"/>
    </w:p>
    <w:p w:rsidR="0047280A" w:rsidRPr="0047280A" w:rsidRDefault="00396C22" w:rsidP="0047280A">
      <w:pPr>
        <w:spacing w:line="360" w:lineRule="auto"/>
        <w:ind w:firstLine="720"/>
      </w:pPr>
      <w:r>
        <w:t xml:space="preserve">The proposed decision of the </w:t>
      </w:r>
      <w:r w:rsidR="001B43F2">
        <w:t>Administrative Law Judge</w:t>
      </w:r>
      <w:r>
        <w:t xml:space="preserve"> in this matter was mailed to the parties in accordance with Section 311 of the Public Utilities Code and comments were allowed under Rule 14.3 of the Commission’s Rules of Practice and Procedure.  Comments were filed on </w:t>
      </w:r>
      <w:r w:rsidR="00023D9A">
        <w:t xml:space="preserve">February 25, 2014, </w:t>
      </w:r>
      <w:r>
        <w:t xml:space="preserve">and reply comments were filed on </w:t>
      </w:r>
      <w:r w:rsidR="00023D9A">
        <w:t xml:space="preserve">March 3, 2014.  Based on the comments and reply comments, several </w:t>
      </w:r>
      <w:r w:rsidR="00C46DBD">
        <w:t xml:space="preserve">substantive </w:t>
      </w:r>
      <w:r w:rsidR="00023D9A">
        <w:t>changes have been made</w:t>
      </w:r>
      <w:r w:rsidR="00C46DBD">
        <w:t xml:space="preserve"> to the proposed decision</w:t>
      </w:r>
      <w:r w:rsidR="00023D9A">
        <w:t xml:space="preserve">.  </w:t>
      </w:r>
      <w:r w:rsidR="00C46DBD">
        <w:t>First, t</w:t>
      </w:r>
      <w:r w:rsidR="00023D9A">
        <w:t xml:space="preserve">he cost allocation methodology has been </w:t>
      </w:r>
      <w:r w:rsidR="00C46DBD">
        <w:t>revised</w:t>
      </w:r>
      <w:r w:rsidR="00023D9A">
        <w:t xml:space="preserve"> from a per kilowatt basis to a method that combines nameplate kVA with specific contribution.</w:t>
      </w:r>
      <w:r w:rsidR="00C46DBD">
        <w:t xml:space="preserve">  This modificatio</w:t>
      </w:r>
      <w:r w:rsidR="006C5699">
        <w:t xml:space="preserve">n reflects the need to build </w:t>
      </w:r>
      <w:r w:rsidR="00C46DBD">
        <w:t xml:space="preserve">additional flexibility </w:t>
      </w:r>
      <w:r w:rsidR="006C5699">
        <w:t>and equity in</w:t>
      </w:r>
      <w:r w:rsidR="00C46DBD">
        <w:t>to the cost allocation method.</w:t>
      </w:r>
      <w:r w:rsidR="00023D9A">
        <w:t xml:space="preserve">  </w:t>
      </w:r>
      <w:r w:rsidR="00C46DBD">
        <w:t>Second, t</w:t>
      </w:r>
      <w:r w:rsidR="00023D9A">
        <w:t>he utilities are directed to implement</w:t>
      </w:r>
      <w:r w:rsidR="00C46DBD">
        <w:t xml:space="preserve"> the</w:t>
      </w:r>
      <w:r w:rsidR="00023D9A">
        <w:t xml:space="preserve"> changes approved today via a Tier 2 </w:t>
      </w:r>
      <w:r w:rsidR="006C5699">
        <w:t>A</w:t>
      </w:r>
      <w:r w:rsidR="00023D9A">
        <w:t xml:space="preserve">dvice </w:t>
      </w:r>
      <w:r w:rsidR="006C5699">
        <w:t>L</w:t>
      </w:r>
      <w:r w:rsidR="00023D9A">
        <w:t xml:space="preserve">etter rather than a Tier 1 </w:t>
      </w:r>
      <w:r w:rsidR="006C5699">
        <w:t>A</w:t>
      </w:r>
      <w:r w:rsidR="00023D9A">
        <w:t xml:space="preserve">dvice </w:t>
      </w:r>
      <w:r w:rsidR="006C5699">
        <w:t>L</w:t>
      </w:r>
      <w:r w:rsidR="00023D9A">
        <w:t xml:space="preserve">etter.  </w:t>
      </w:r>
      <w:r w:rsidR="00C46DBD">
        <w:t>The utilities are also provide</w:t>
      </w:r>
      <w:r w:rsidR="00371FA8">
        <w:t>d</w:t>
      </w:r>
      <w:r w:rsidR="00C46DBD">
        <w:t xml:space="preserve"> 60 days, rather than 30</w:t>
      </w:r>
      <w:r w:rsidR="0045696C">
        <w:t xml:space="preserve"> days</w:t>
      </w:r>
      <w:r w:rsidR="00C46DBD">
        <w:t xml:space="preserve">, to make this advice letter filing.  </w:t>
      </w:r>
      <w:r w:rsidR="00023D9A">
        <w:t xml:space="preserve">The Tier 2 </w:t>
      </w:r>
      <w:r w:rsidR="00AF26D0">
        <w:t>a</w:t>
      </w:r>
      <w:r w:rsidR="00023D9A">
        <w:t>dvice</w:t>
      </w:r>
      <w:r w:rsidR="00AF26D0">
        <w:t xml:space="preserve"> l</w:t>
      </w:r>
      <w:r w:rsidR="00023D9A">
        <w:t>etter will provide utilities with the opportunity to request other minor changes, such as those at</w:t>
      </w:r>
      <w:r w:rsidR="00C46DBD">
        <w:t xml:space="preserve"> page</w:t>
      </w:r>
      <w:r w:rsidR="00023D9A">
        <w:t xml:space="preserve"> 6 of PG&amp;E’s and SDG&amp;E’s comments dated February 25, 2014.  Other </w:t>
      </w:r>
      <w:r w:rsidR="00C46DBD">
        <w:t xml:space="preserve">corrections </w:t>
      </w:r>
      <w:r w:rsidR="00023D9A">
        <w:t xml:space="preserve"> in response to comments are made as well.</w:t>
      </w:r>
      <w:r w:rsidR="00C46DBD">
        <w:t xml:space="preserve">  </w:t>
      </w:r>
    </w:p>
    <w:p w:rsidR="0047280A" w:rsidRPr="0047280A" w:rsidRDefault="0047280A" w:rsidP="00A3316C">
      <w:pPr>
        <w:pStyle w:val="Heading1"/>
      </w:pPr>
      <w:bookmarkStart w:id="55" w:name="_Toc373325592"/>
      <w:bookmarkStart w:id="56" w:name="_Toc384806468"/>
      <w:r w:rsidRPr="0047280A">
        <w:t>Assignment of Proceeding</w:t>
      </w:r>
      <w:bookmarkEnd w:id="55"/>
      <w:bookmarkEnd w:id="56"/>
    </w:p>
    <w:p w:rsidR="00B30FF9" w:rsidRDefault="0045696C" w:rsidP="0047280A">
      <w:pPr>
        <w:pStyle w:val="standard"/>
      </w:pPr>
      <w:r>
        <w:t>Michael Picker</w:t>
      </w:r>
      <w:r w:rsidR="00411635">
        <w:t xml:space="preserve"> </w:t>
      </w:r>
      <w:r w:rsidR="0047280A" w:rsidRPr="0047280A">
        <w:t xml:space="preserve">is the assigned Commissioner and </w:t>
      </w:r>
      <w:r w:rsidR="00411635">
        <w:t>Regina DeAngelis</w:t>
      </w:r>
      <w:r w:rsidR="0047280A" w:rsidRPr="0047280A">
        <w:t xml:space="preserve"> is the assigned </w:t>
      </w:r>
      <w:r w:rsidR="00411635">
        <w:t>ALJ</w:t>
      </w:r>
      <w:r w:rsidR="0047280A" w:rsidRPr="0047280A">
        <w:t xml:space="preserve"> in this proceeding.</w:t>
      </w:r>
    </w:p>
    <w:p w:rsidR="00B30FF9" w:rsidRDefault="00B30FF9">
      <w:pPr>
        <w:pStyle w:val="dummy"/>
      </w:pPr>
      <w:bookmarkStart w:id="57" w:name="_Toc450990219"/>
      <w:bookmarkStart w:id="58" w:name="_Toc451151266"/>
      <w:bookmarkStart w:id="59" w:name="_Toc384806469"/>
      <w:r>
        <w:t>Findings of Fact</w:t>
      </w:r>
      <w:bookmarkEnd w:id="57"/>
      <w:bookmarkEnd w:id="58"/>
      <w:bookmarkEnd w:id="59"/>
    </w:p>
    <w:p w:rsidR="00442117" w:rsidRPr="00442117" w:rsidRDefault="00442117" w:rsidP="00442117">
      <w:pPr>
        <w:pStyle w:val="num1"/>
        <w:numPr>
          <w:ilvl w:val="0"/>
          <w:numId w:val="1"/>
        </w:numPr>
      </w:pPr>
      <w:r>
        <w:t>T</w:t>
      </w:r>
      <w:r w:rsidRPr="00442117">
        <w:t xml:space="preserve">he </w:t>
      </w:r>
      <w:r w:rsidR="001367D6" w:rsidRPr="0047280A">
        <w:t>Distribution Group Study Process</w:t>
      </w:r>
      <w:r w:rsidR="00ED643E">
        <w:t xml:space="preserve"> </w:t>
      </w:r>
      <w:r w:rsidR="00C91493">
        <w:t>in Rule 21</w:t>
      </w:r>
      <w:r w:rsidR="00A70AB8">
        <w:t xml:space="preserve"> will likely </w:t>
      </w:r>
      <w:r w:rsidRPr="00442117">
        <w:t>promote timeliness by giving the utilities another tool to study the cumulative impacts of multiple requests for distribution interconnection that are located on the same distribution ci</w:t>
      </w:r>
      <w:r>
        <w:t>rcuits in an efficient manner.</w:t>
      </w:r>
    </w:p>
    <w:p w:rsidR="00442117" w:rsidRPr="00442117" w:rsidRDefault="00442117" w:rsidP="00442117">
      <w:pPr>
        <w:pStyle w:val="num1"/>
        <w:numPr>
          <w:ilvl w:val="0"/>
          <w:numId w:val="1"/>
        </w:numPr>
      </w:pPr>
      <w:r w:rsidRPr="00442117">
        <w:t xml:space="preserve">The </w:t>
      </w:r>
      <w:r w:rsidR="001367D6" w:rsidRPr="0047280A">
        <w:t>Distribution Group Study Process</w:t>
      </w:r>
      <w:r w:rsidRPr="00442117">
        <w:t xml:space="preserve"> </w:t>
      </w:r>
      <w:r w:rsidR="00C91493">
        <w:t xml:space="preserve">in Rule 21 </w:t>
      </w:r>
      <w:r w:rsidR="00B04F16">
        <w:t xml:space="preserve">will likely </w:t>
      </w:r>
      <w:r w:rsidRPr="00442117">
        <w:t xml:space="preserve">promote a non-discriminatory process by applying the same standards of review to a group of projects rather than evaluating each project serially, at a different point in time under different circumstances.  </w:t>
      </w:r>
    </w:p>
    <w:p w:rsidR="00442117" w:rsidRDefault="00442117" w:rsidP="00442117">
      <w:pPr>
        <w:pStyle w:val="num1"/>
        <w:numPr>
          <w:ilvl w:val="0"/>
          <w:numId w:val="1"/>
        </w:numPr>
      </w:pPr>
      <w:r>
        <w:t>T</w:t>
      </w:r>
      <w:r w:rsidRPr="00442117">
        <w:t xml:space="preserve">he </w:t>
      </w:r>
      <w:r w:rsidR="001367D6" w:rsidRPr="0047280A">
        <w:t>Distribution Group Study Process</w:t>
      </w:r>
      <w:r w:rsidR="00C91493">
        <w:t xml:space="preserve"> in Rule 21</w:t>
      </w:r>
      <w:r w:rsidRPr="00442117">
        <w:t xml:space="preserve"> </w:t>
      </w:r>
      <w:r w:rsidR="00A70AB8">
        <w:t xml:space="preserve">will likely be </w:t>
      </w:r>
      <w:r w:rsidRPr="00442117">
        <w:t xml:space="preserve">more </w:t>
      </w:r>
      <w:r w:rsidR="00451313">
        <w:br/>
      </w:r>
      <w:r w:rsidRPr="00442117">
        <w:t xml:space="preserve">cost-effective for applicants by creating a cost-sharing process for upgrade costs.  </w:t>
      </w:r>
    </w:p>
    <w:p w:rsidR="00442117" w:rsidRPr="00442117" w:rsidRDefault="00442117" w:rsidP="00442117">
      <w:pPr>
        <w:pStyle w:val="num1"/>
        <w:numPr>
          <w:ilvl w:val="0"/>
          <w:numId w:val="1"/>
        </w:numPr>
      </w:pPr>
      <w:r w:rsidRPr="00442117">
        <w:t>The g</w:t>
      </w:r>
      <w:r>
        <w:t>oal of transparency</w:t>
      </w:r>
      <w:r w:rsidR="00C91493">
        <w:t xml:space="preserve"> in Rule 21</w:t>
      </w:r>
      <w:r>
        <w:t xml:space="preserve"> </w:t>
      </w:r>
      <w:r w:rsidR="00A70AB8">
        <w:t xml:space="preserve">will likely be </w:t>
      </w:r>
      <w:r w:rsidRPr="00442117">
        <w:t xml:space="preserve">promoted by </w:t>
      </w:r>
      <w:r>
        <w:t xml:space="preserve">the </w:t>
      </w:r>
      <w:r w:rsidR="001367D6" w:rsidRPr="0047280A">
        <w:t>Distribution Group Study Process</w:t>
      </w:r>
      <w:r w:rsidR="001367D6">
        <w:t xml:space="preserve"> </w:t>
      </w:r>
      <w:r>
        <w:t>b</w:t>
      </w:r>
      <w:r w:rsidR="00CE51A3">
        <w:t xml:space="preserve">ecause it </w:t>
      </w:r>
      <w:r w:rsidRPr="00442117">
        <w:t>reduc</w:t>
      </w:r>
      <w:r w:rsidR="00CE51A3">
        <w:t>es</w:t>
      </w:r>
      <w:r w:rsidRPr="00442117">
        <w:t xml:space="preserve"> the possibility of unanticipated costs being assigned to subsequent project</w:t>
      </w:r>
      <w:r>
        <w:t>s</w:t>
      </w:r>
      <w:r w:rsidRPr="00442117">
        <w:t>.</w:t>
      </w:r>
    </w:p>
    <w:p w:rsidR="009B4789" w:rsidRDefault="00AE5F4A" w:rsidP="009B4789">
      <w:pPr>
        <w:pStyle w:val="num1"/>
        <w:numPr>
          <w:ilvl w:val="0"/>
          <w:numId w:val="1"/>
        </w:numPr>
      </w:pPr>
      <w:r>
        <w:t xml:space="preserve">The Rule 21 </w:t>
      </w:r>
      <w:r w:rsidR="001367D6" w:rsidRPr="0047280A">
        <w:t>Distribution Group Study Process</w:t>
      </w:r>
      <w:r w:rsidR="001367D6">
        <w:t xml:space="preserve"> </w:t>
      </w:r>
      <w:r w:rsidR="00A70AB8">
        <w:t xml:space="preserve">will likely </w:t>
      </w:r>
      <w:r w:rsidR="00442117" w:rsidRPr="00442117">
        <w:t>increase the efficiency of the interconnection study process for applicants with electrically interdependent projects and offers a valuable opportunity for sharing upgrade costs across</w:t>
      </w:r>
      <w:r>
        <w:t xml:space="preserve"> a greater number of projects.</w:t>
      </w:r>
    </w:p>
    <w:p w:rsidR="00F34B44" w:rsidRDefault="00BC3AFF" w:rsidP="00F34B44">
      <w:pPr>
        <w:pStyle w:val="num1"/>
        <w:numPr>
          <w:ilvl w:val="0"/>
          <w:numId w:val="1"/>
        </w:numPr>
      </w:pPr>
      <w:r>
        <w:t>U</w:t>
      </w:r>
      <w:r w:rsidRPr="00BC3AFF">
        <w:t>niformity across all three utilities in the area of Rule 21 promote</w:t>
      </w:r>
      <w:r w:rsidR="00CE51A3">
        <w:t>s</w:t>
      </w:r>
      <w:r w:rsidRPr="00BC3AFF">
        <w:t xml:space="preserve"> efficiencies in the industry</w:t>
      </w:r>
      <w:r>
        <w:t>.</w:t>
      </w:r>
    </w:p>
    <w:p w:rsidR="00F34B44" w:rsidRDefault="00962E3C" w:rsidP="00F34B44">
      <w:pPr>
        <w:pStyle w:val="num1"/>
        <w:numPr>
          <w:ilvl w:val="0"/>
          <w:numId w:val="1"/>
        </w:numPr>
      </w:pPr>
      <w:r w:rsidRPr="00962E3C">
        <w:t>PG&amp;E’s and SDG&amp;E’s proposal of two open windows at fixed</w:t>
      </w:r>
      <w:r w:rsidR="00D45ABB">
        <w:t xml:space="preserve"> </w:t>
      </w:r>
      <w:r w:rsidRPr="00962E3C">
        <w:t>dates during the calendar year</w:t>
      </w:r>
      <w:r w:rsidR="00C91493">
        <w:t xml:space="preserve"> for the Rule 21 </w:t>
      </w:r>
      <w:r w:rsidR="001367D6" w:rsidRPr="0047280A">
        <w:t>Distribution Group Study Process</w:t>
      </w:r>
      <w:r w:rsidRPr="00962E3C">
        <w:t xml:space="preserve"> provides the level of certainty needed by developers to adequately plan project development.  </w:t>
      </w:r>
    </w:p>
    <w:p w:rsidR="00F34B44" w:rsidRDefault="00F34B44" w:rsidP="00F34B44">
      <w:pPr>
        <w:pStyle w:val="num1"/>
        <w:numPr>
          <w:ilvl w:val="0"/>
          <w:numId w:val="1"/>
        </w:numPr>
      </w:pPr>
      <w:r w:rsidRPr="00F34B44">
        <w:t>PG&amp;E’s and SDG&amp;E’s proposal of two open windows at fixed</w:t>
      </w:r>
      <w:r w:rsidR="00D45ABB">
        <w:t xml:space="preserve"> </w:t>
      </w:r>
      <w:r w:rsidRPr="00F34B44">
        <w:t xml:space="preserve">dates during the calendar year </w:t>
      </w:r>
      <w:r w:rsidR="00C91493">
        <w:t xml:space="preserve">for the Rule 21 </w:t>
      </w:r>
      <w:r w:rsidR="001367D6" w:rsidRPr="0047280A">
        <w:t>Distribution Group Study Process</w:t>
      </w:r>
      <w:r w:rsidR="00C75F31">
        <w:t xml:space="preserve"> </w:t>
      </w:r>
      <w:r w:rsidR="00962E3C" w:rsidRPr="00962E3C">
        <w:t xml:space="preserve">is consistent with the Independent Study Process timeline and will not interfere with ongoing use of the Independent Study Process.  </w:t>
      </w:r>
    </w:p>
    <w:p w:rsidR="00171A50" w:rsidRDefault="00962E3C" w:rsidP="00171A50">
      <w:pPr>
        <w:pStyle w:val="num1"/>
        <w:numPr>
          <w:ilvl w:val="0"/>
          <w:numId w:val="1"/>
        </w:numPr>
      </w:pPr>
      <w:r w:rsidRPr="00962E3C">
        <w:t xml:space="preserve">PG&amp;E’s and SDG&amp;E’s proposal </w:t>
      </w:r>
      <w:r w:rsidR="00F34B44" w:rsidRPr="00F34B44">
        <w:t>of two open windows at fixed</w:t>
      </w:r>
      <w:r w:rsidR="00D45ABB">
        <w:t xml:space="preserve"> </w:t>
      </w:r>
      <w:r w:rsidR="00F34B44" w:rsidRPr="00F34B44">
        <w:t xml:space="preserve">dates during the calendar year </w:t>
      </w:r>
      <w:r w:rsidRPr="00962E3C">
        <w:t xml:space="preserve">promotes transparency </w:t>
      </w:r>
      <w:r w:rsidR="00C91493">
        <w:t xml:space="preserve">of Rule 21 </w:t>
      </w:r>
      <w:r w:rsidRPr="00962E3C">
        <w:t>by providing a fixed schedule that is known to the public.</w:t>
      </w:r>
    </w:p>
    <w:p w:rsidR="007802ED" w:rsidRDefault="00F34B44" w:rsidP="007802ED">
      <w:pPr>
        <w:pStyle w:val="num1"/>
        <w:numPr>
          <w:ilvl w:val="0"/>
          <w:numId w:val="1"/>
        </w:numPr>
      </w:pPr>
      <w:r>
        <w:t>A</w:t>
      </w:r>
      <w:r w:rsidR="00962E3C" w:rsidRPr="00962E3C">
        <w:t>dvantages exist to the entire industry if all three utilities rely on the same fixed-date, open window pr</w:t>
      </w:r>
      <w:r>
        <w:t>oposal since c</w:t>
      </w:r>
      <w:r w:rsidR="00962E3C" w:rsidRPr="00962E3C">
        <w:t>onsistency in this aspect of th</w:t>
      </w:r>
      <w:r w:rsidR="00EA6BAE">
        <w:t xml:space="preserve">e study process </w:t>
      </w:r>
      <w:r w:rsidR="00962E3C" w:rsidRPr="00962E3C">
        <w:t>further increase</w:t>
      </w:r>
      <w:r w:rsidR="00EA6BAE">
        <w:t>s</w:t>
      </w:r>
      <w:r w:rsidR="00962E3C" w:rsidRPr="00962E3C">
        <w:t xml:space="preserve"> the certainty and transparency</w:t>
      </w:r>
      <w:r w:rsidR="00C91493">
        <w:t xml:space="preserve"> of Rule 21</w:t>
      </w:r>
      <w:r w:rsidR="00962E3C" w:rsidRPr="00962E3C">
        <w:t xml:space="preserve">.  </w:t>
      </w:r>
    </w:p>
    <w:p w:rsidR="007802ED" w:rsidRDefault="007802ED" w:rsidP="007802ED">
      <w:pPr>
        <w:pStyle w:val="num1"/>
        <w:numPr>
          <w:ilvl w:val="0"/>
          <w:numId w:val="1"/>
        </w:numPr>
      </w:pPr>
      <w:r>
        <w:t>L</w:t>
      </w:r>
      <w:r w:rsidR="002F2549" w:rsidRPr="0047280A">
        <w:t>engthy unanticipated extensions to timelines for completing interconnection request</w:t>
      </w:r>
      <w:r w:rsidR="00EA6BAE">
        <w:t xml:space="preserve">s under Rule 21 </w:t>
      </w:r>
      <w:r w:rsidR="002F2549" w:rsidRPr="0047280A">
        <w:t xml:space="preserve">reduce overall certainty and transparency of the </w:t>
      </w:r>
      <w:r>
        <w:t xml:space="preserve">group </w:t>
      </w:r>
      <w:r w:rsidR="002F2549" w:rsidRPr="0047280A">
        <w:t xml:space="preserve">study process.  </w:t>
      </w:r>
    </w:p>
    <w:p w:rsidR="002B4BF6" w:rsidRDefault="007802ED" w:rsidP="002B4BF6">
      <w:pPr>
        <w:pStyle w:val="num1"/>
        <w:numPr>
          <w:ilvl w:val="0"/>
          <w:numId w:val="1"/>
        </w:numPr>
      </w:pPr>
      <w:r>
        <w:t>F</w:t>
      </w:r>
      <w:r w:rsidR="002F2549" w:rsidRPr="0047280A">
        <w:t xml:space="preserve">urther clarification of </w:t>
      </w:r>
      <w:r>
        <w:t>potential extension triggers under</w:t>
      </w:r>
      <w:r w:rsidR="002F2549" w:rsidRPr="0047280A">
        <w:t xml:space="preserve"> the</w:t>
      </w:r>
      <w:r>
        <w:t xml:space="preserve"> Rule 21</w:t>
      </w:r>
      <w:r w:rsidR="002F2549" w:rsidRPr="0047280A">
        <w:t xml:space="preserve"> </w:t>
      </w:r>
      <w:r w:rsidR="00D316F7">
        <w:t>DGSP</w:t>
      </w:r>
      <w:r w:rsidR="002F2549" w:rsidRPr="0047280A">
        <w:t xml:space="preserve"> is needed to promote a reasonable level of certainty </w:t>
      </w:r>
      <w:r w:rsidR="002B4BF6">
        <w:t>and transparency in the process.</w:t>
      </w:r>
    </w:p>
    <w:p w:rsidR="002B4BF6" w:rsidRDefault="002B4BF6" w:rsidP="002B4BF6">
      <w:pPr>
        <w:pStyle w:val="num1"/>
        <w:numPr>
          <w:ilvl w:val="0"/>
          <w:numId w:val="1"/>
        </w:numPr>
      </w:pPr>
      <w:r w:rsidRPr="002B4BF6">
        <w:t>More information regarding costs and timeline</w:t>
      </w:r>
      <w:r w:rsidR="00EA6BAE">
        <w:t>s</w:t>
      </w:r>
      <w:r w:rsidRPr="002B4BF6">
        <w:t xml:space="preserve"> </w:t>
      </w:r>
      <w:r w:rsidR="00D45ABB">
        <w:t xml:space="preserve">usually will </w:t>
      </w:r>
      <w:r w:rsidRPr="002B4BF6">
        <w:t xml:space="preserve">become available to applicants later in the </w:t>
      </w:r>
      <w:r w:rsidR="00C91493">
        <w:t xml:space="preserve">Rule 21 </w:t>
      </w:r>
      <w:r w:rsidRPr="002B4BF6">
        <w:t>interconnection process and applicants retain the option to opt out of the group study process</w:t>
      </w:r>
      <w:r>
        <w:t xml:space="preserve">. </w:t>
      </w:r>
    </w:p>
    <w:p w:rsidR="002B4BF6" w:rsidRDefault="002B4BF6" w:rsidP="002B4BF6">
      <w:pPr>
        <w:pStyle w:val="num1"/>
        <w:numPr>
          <w:ilvl w:val="0"/>
          <w:numId w:val="1"/>
        </w:numPr>
      </w:pPr>
      <w:r w:rsidRPr="002B4BF6">
        <w:t>The terms “electrical area” and “engineering judgment” are sufficiently addressed in Rule 21 although every nuance of these terms is not</w:t>
      </w:r>
      <w:r>
        <w:t xml:space="preserve"> explained.</w:t>
      </w:r>
    </w:p>
    <w:p w:rsidR="002B4BF6" w:rsidRDefault="002B4BF6" w:rsidP="002B4BF6">
      <w:pPr>
        <w:pStyle w:val="num1"/>
        <w:numPr>
          <w:ilvl w:val="0"/>
          <w:numId w:val="1"/>
        </w:numPr>
      </w:pPr>
      <w:r w:rsidRPr="002B4BF6">
        <w:t xml:space="preserve">Utilities’ subjective judgment is a necessary component of </w:t>
      </w:r>
      <w:r>
        <w:t>operating</w:t>
      </w:r>
      <w:r w:rsidR="001367D6">
        <w:t xml:space="preserve"> a distribution system</w:t>
      </w:r>
      <w:r>
        <w:t>.</w:t>
      </w:r>
    </w:p>
    <w:p w:rsidR="002B4BF6" w:rsidRPr="002B4BF6" w:rsidRDefault="002B4BF6" w:rsidP="002B4BF6">
      <w:pPr>
        <w:pStyle w:val="num1"/>
        <w:numPr>
          <w:ilvl w:val="0"/>
          <w:numId w:val="1"/>
        </w:numPr>
      </w:pPr>
      <w:r w:rsidRPr="002B4BF6">
        <w:t xml:space="preserve">Information sharing regarding the </w:t>
      </w:r>
      <w:r w:rsidR="001367D6" w:rsidRPr="0047280A">
        <w:t>Distribution Group Study Process</w:t>
      </w:r>
      <w:r w:rsidR="00D316F7">
        <w:t xml:space="preserve"> </w:t>
      </w:r>
      <w:r w:rsidRPr="002B4BF6">
        <w:t>will facilitate a better understanding of the potential of the group study process</w:t>
      </w:r>
      <w:r w:rsidR="00C91493">
        <w:t xml:space="preserve"> under Rule 21</w:t>
      </w:r>
      <w:r w:rsidRPr="002B4BF6">
        <w:t xml:space="preserve">. </w:t>
      </w:r>
    </w:p>
    <w:p w:rsidR="00EA6BAE" w:rsidRPr="0047280A" w:rsidRDefault="009B4789" w:rsidP="00EA6BAE">
      <w:pPr>
        <w:pStyle w:val="num1"/>
        <w:numPr>
          <w:ilvl w:val="0"/>
          <w:numId w:val="1"/>
        </w:numPr>
      </w:pPr>
      <w:r>
        <w:t>A</w:t>
      </w:r>
      <w:r w:rsidRPr="0047280A">
        <w:t xml:space="preserve">dditional information </w:t>
      </w:r>
      <w:r>
        <w:t xml:space="preserve">regarding the Rule 21 interconnection process </w:t>
      </w:r>
      <w:r w:rsidRPr="0047280A">
        <w:t xml:space="preserve">will promote improvements in the process and assist the Commission in evaluating the interconnection process established by Rule 21.  </w:t>
      </w:r>
    </w:p>
    <w:p w:rsidR="00C97AAF" w:rsidRDefault="00C97AAF" w:rsidP="00C97AAF">
      <w:pPr>
        <w:pStyle w:val="num1"/>
        <w:numPr>
          <w:ilvl w:val="0"/>
          <w:numId w:val="1"/>
        </w:numPr>
      </w:pPr>
      <w:r>
        <w:t xml:space="preserve">The utilities’ </w:t>
      </w:r>
      <w:r w:rsidRPr="00C97AAF">
        <w:t>July 15, 2012</w:t>
      </w:r>
      <w:r>
        <w:t xml:space="preserve"> proposed forms </w:t>
      </w:r>
      <w:r w:rsidRPr="00C97AAF">
        <w:t xml:space="preserve">are consistent with Rule 21, as adopted in </w:t>
      </w:r>
      <w:r>
        <w:t>D.12-09-018.</w:t>
      </w:r>
    </w:p>
    <w:p w:rsidR="00CC795F" w:rsidRDefault="00C97AAF" w:rsidP="00C97AAF">
      <w:pPr>
        <w:pStyle w:val="num1"/>
        <w:numPr>
          <w:ilvl w:val="0"/>
          <w:numId w:val="1"/>
        </w:numPr>
      </w:pPr>
      <w:r>
        <w:t>The proposed</w:t>
      </w:r>
      <w:r w:rsidR="00CC795F">
        <w:t xml:space="preserve"> Rule 21</w:t>
      </w:r>
      <w:r>
        <w:t xml:space="preserve"> forms promote t</w:t>
      </w:r>
      <w:r w:rsidRPr="00C97AAF">
        <w:t>imeliness</w:t>
      </w:r>
      <w:r>
        <w:t xml:space="preserve"> a</w:t>
      </w:r>
      <w:r w:rsidRPr="00C97AAF">
        <w:t xml:space="preserve">s the forms will be readily available so as to prevent delays.  </w:t>
      </w:r>
    </w:p>
    <w:p w:rsidR="00B031D2" w:rsidRDefault="000442FD" w:rsidP="00B031D2">
      <w:pPr>
        <w:pStyle w:val="num1"/>
        <w:numPr>
          <w:ilvl w:val="0"/>
          <w:numId w:val="1"/>
        </w:numPr>
      </w:pPr>
      <w:r>
        <w:t xml:space="preserve">Cost allocation should be </w:t>
      </w:r>
      <w:r w:rsidR="009E29BF">
        <w:t xml:space="preserve">more </w:t>
      </w:r>
      <w:r>
        <w:t xml:space="preserve">clearly addressed in the Rule 21 </w:t>
      </w:r>
      <w:r w:rsidR="001367D6" w:rsidRPr="0047280A">
        <w:t>Distribution Group Study Process</w:t>
      </w:r>
      <w:r>
        <w:t xml:space="preserve"> to promote the Commission’</w:t>
      </w:r>
      <w:r w:rsidR="00B031D2">
        <w:t>s goals in this proceeding.</w:t>
      </w:r>
      <w:r w:rsidR="00CE51A3">
        <w:t xml:space="preserve"> </w:t>
      </w:r>
    </w:p>
    <w:p w:rsidR="00EA6BAE" w:rsidRDefault="00EA6BAE" w:rsidP="00B031D2">
      <w:pPr>
        <w:pStyle w:val="num1"/>
        <w:numPr>
          <w:ilvl w:val="0"/>
          <w:numId w:val="1"/>
        </w:numPr>
      </w:pPr>
      <w:r>
        <w:t>Share</w:t>
      </w:r>
      <w:r w:rsidR="001367D6">
        <w:t>d</w:t>
      </w:r>
      <w:r>
        <w:t xml:space="preserve"> costs within the study group will be allocated on a per </w:t>
      </w:r>
      <w:r w:rsidR="00FD19DB">
        <w:t>kVA</w:t>
      </w:r>
      <w:r w:rsidR="005C088B">
        <w:t xml:space="preserve"> plus</w:t>
      </w:r>
      <w:r w:rsidR="00FD19DB">
        <w:t xml:space="preserve"> “specific contribution” </w:t>
      </w:r>
      <w:r>
        <w:t>basis</w:t>
      </w:r>
      <w:r w:rsidR="00FD19DB">
        <w:t xml:space="preserve"> and described in Phase 1 and Phase 2 study reports</w:t>
      </w:r>
    </w:p>
    <w:p w:rsidR="00B031D2" w:rsidRDefault="00B031D2" w:rsidP="00B031D2">
      <w:pPr>
        <w:pStyle w:val="num1"/>
        <w:numPr>
          <w:ilvl w:val="0"/>
          <w:numId w:val="1"/>
        </w:numPr>
      </w:pPr>
      <w:r>
        <w:t>F</w:t>
      </w:r>
      <w:r w:rsidRPr="00B031D2">
        <w:t>inancial unknowns and delays</w:t>
      </w:r>
      <w:r>
        <w:t xml:space="preserve"> may occur when applicants drop out of the group study process</w:t>
      </w:r>
    </w:p>
    <w:p w:rsidR="000D7348" w:rsidRDefault="00C21315" w:rsidP="000D7348">
      <w:pPr>
        <w:pStyle w:val="num1"/>
        <w:numPr>
          <w:ilvl w:val="0"/>
          <w:numId w:val="1"/>
        </w:numPr>
      </w:pPr>
      <w:r>
        <w:t>Unless not warranted due to absence of applicants,</w:t>
      </w:r>
      <w:r w:rsidR="000D7348" w:rsidRPr="000D7348">
        <w:t xml:space="preserve"> transition plan should be included in Rule 21 to ensure the orderly transition of any pending applications to the group study process.</w:t>
      </w:r>
    </w:p>
    <w:p w:rsidR="00CC795F" w:rsidRDefault="00CE51A3" w:rsidP="00C97AAF">
      <w:pPr>
        <w:pStyle w:val="num1"/>
        <w:numPr>
          <w:ilvl w:val="0"/>
          <w:numId w:val="1"/>
        </w:numPr>
      </w:pPr>
      <w:r>
        <w:t>T</w:t>
      </w:r>
      <w:r w:rsidR="00CC795F">
        <w:t xml:space="preserve">he proposed Rule 21 forms </w:t>
      </w:r>
      <w:r w:rsidR="00375227">
        <w:t>prevent</w:t>
      </w:r>
      <w:r>
        <w:t xml:space="preserve"> discrimination among applicants </w:t>
      </w:r>
      <w:r w:rsidR="00C97AAF" w:rsidRPr="00C97AAF">
        <w:t xml:space="preserve">because the forms </w:t>
      </w:r>
      <w:r>
        <w:t>are</w:t>
      </w:r>
      <w:r w:rsidR="00C97AAF" w:rsidRPr="00C97AAF">
        <w:t xml:space="preserve"> st</w:t>
      </w:r>
      <w:r w:rsidR="00CC795F">
        <w:t xml:space="preserve">andardized for all applicants. </w:t>
      </w:r>
    </w:p>
    <w:p w:rsidR="00C97AAF" w:rsidRDefault="00C97AAF" w:rsidP="00C97AAF">
      <w:pPr>
        <w:pStyle w:val="num1"/>
        <w:numPr>
          <w:ilvl w:val="0"/>
          <w:numId w:val="1"/>
        </w:numPr>
      </w:pPr>
      <w:r w:rsidRPr="00C97AAF">
        <w:t xml:space="preserve">Cost-effectiveness will be promoted </w:t>
      </w:r>
      <w:r w:rsidR="00CC795F">
        <w:t xml:space="preserve">by the proposed Rule 21 forms </w:t>
      </w:r>
      <w:r w:rsidRPr="00C97AAF">
        <w:t>as parties will not need to negotiate the terms of these agreement</w:t>
      </w:r>
      <w:r w:rsidR="00635A39">
        <w:t>s</w:t>
      </w:r>
      <w:r w:rsidRPr="00C97AAF">
        <w:t xml:space="preserve"> on a case-by-case basis and transparency will also be realized by including the forms as part of the publicly available terms</w:t>
      </w:r>
      <w:r>
        <w:t xml:space="preserve"> and conditions within Rule 21.</w:t>
      </w:r>
    </w:p>
    <w:p w:rsidR="00C97AAF" w:rsidRPr="00C97AAF" w:rsidRDefault="00C97AAF" w:rsidP="00C97AAF">
      <w:pPr>
        <w:pStyle w:val="num1"/>
        <w:numPr>
          <w:ilvl w:val="0"/>
          <w:numId w:val="1"/>
        </w:numPr>
      </w:pPr>
      <w:r>
        <w:t xml:space="preserve">The </w:t>
      </w:r>
      <w:r w:rsidRPr="00C97AAF">
        <w:t xml:space="preserve">modifications </w:t>
      </w:r>
      <w:r>
        <w:t>to the proposed</w:t>
      </w:r>
      <w:r w:rsidR="00CC795F">
        <w:t xml:space="preserve"> Rule 21</w:t>
      </w:r>
      <w:r>
        <w:t xml:space="preserve"> forms suggested </w:t>
      </w:r>
      <w:r w:rsidRPr="00C97AAF">
        <w:t>by WalMart/Sam’s West will disadvantage</w:t>
      </w:r>
      <w:r>
        <w:t xml:space="preserve"> ratepayers</w:t>
      </w:r>
      <w:r w:rsidRPr="00C97AAF">
        <w:t xml:space="preserve"> should the utility be</w:t>
      </w:r>
      <w:r w:rsidR="00D80342">
        <w:t xml:space="preserve"> required to collect funds from</w:t>
      </w:r>
      <w:r w:rsidRPr="00C97AAF">
        <w:t xml:space="preserve"> third-party contractors rather than directly from the customer/developer. </w:t>
      </w:r>
    </w:p>
    <w:p w:rsidR="00C75F4B" w:rsidRDefault="00C75F4B" w:rsidP="00C75F4B">
      <w:pPr>
        <w:pStyle w:val="num1"/>
        <w:numPr>
          <w:ilvl w:val="0"/>
          <w:numId w:val="1"/>
        </w:numPr>
      </w:pPr>
      <w:r>
        <w:t>Minor changes to Rule 21 are needed to improve its accessibility</w:t>
      </w:r>
      <w:r w:rsidR="00F51065">
        <w:t>.</w:t>
      </w:r>
      <w:r w:rsidRPr="0047280A">
        <w:t xml:space="preserve">  Additional changes to promote the general accessibility of Rule 21 are encouraged a</w:t>
      </w:r>
      <w:r w:rsidR="00764E8C">
        <w:t xml:space="preserve">nd may be included in the Tier </w:t>
      </w:r>
      <w:r w:rsidR="00C21315">
        <w:t xml:space="preserve">2 </w:t>
      </w:r>
      <w:r w:rsidRPr="0047280A">
        <w:t>Advice Letter filing.</w:t>
      </w:r>
    </w:p>
    <w:p w:rsidR="00963AB8" w:rsidRPr="0047280A" w:rsidRDefault="00963AB8" w:rsidP="00963AB8">
      <w:pPr>
        <w:pStyle w:val="num1"/>
        <w:numPr>
          <w:ilvl w:val="0"/>
          <w:numId w:val="1"/>
        </w:numPr>
      </w:pPr>
      <w:r>
        <w:t xml:space="preserve">The schedule of this proceeding as adopted in the September 26, 2012 </w:t>
      </w:r>
      <w:r w:rsidRPr="00963AB8">
        <w:rPr>
          <w:i/>
        </w:rPr>
        <w:t>Assigned Commissioner’s Amended Scoping Memo and Ruling Requesting Comments</w:t>
      </w:r>
      <w:r>
        <w:t xml:space="preserve"> is no longer accurate.</w:t>
      </w:r>
    </w:p>
    <w:p w:rsidR="00B30FF9" w:rsidRDefault="00B30FF9">
      <w:pPr>
        <w:pStyle w:val="dummy"/>
      </w:pPr>
      <w:bookmarkStart w:id="60" w:name="_Toc370798914"/>
      <w:bookmarkStart w:id="61" w:name="_Toc450990220"/>
      <w:bookmarkStart w:id="62" w:name="_Toc451151267"/>
      <w:bookmarkStart w:id="63" w:name="_Toc384806470"/>
      <w:r>
        <w:t>Conclusions of Law</w:t>
      </w:r>
      <w:bookmarkEnd w:id="60"/>
      <w:bookmarkEnd w:id="61"/>
      <w:bookmarkEnd w:id="62"/>
      <w:bookmarkEnd w:id="63"/>
    </w:p>
    <w:p w:rsidR="009C7C5C" w:rsidRPr="00D316F7" w:rsidRDefault="002B5B9C" w:rsidP="00D316F7">
      <w:pPr>
        <w:pStyle w:val="num1"/>
        <w:numPr>
          <w:ilvl w:val="0"/>
          <w:numId w:val="2"/>
        </w:numPr>
      </w:pPr>
      <w:r w:rsidRPr="00D316F7">
        <w:t>The adoption of PG&amp;E’s and SDG&amp;E’s proposal</w:t>
      </w:r>
      <w:r w:rsidR="00E567E6">
        <w:t>, with modifications noted herein,</w:t>
      </w:r>
      <w:r w:rsidRPr="00D316F7">
        <w:t xml:space="preserve"> for incorporating a Distribution Group Study Process into Rule 21 will facilitate the Commission’s goals to “ensure that the interconnection process is timely, non-discriminatory, cost-effective, and transparent.”</w:t>
      </w:r>
      <w:r w:rsidR="00E567E6">
        <w:t xml:space="preserve">  (R.11-09-011 at 2.)</w:t>
      </w:r>
    </w:p>
    <w:p w:rsidR="009C7C5C" w:rsidRDefault="00FB44CC" w:rsidP="00D316F7">
      <w:pPr>
        <w:pStyle w:val="num1"/>
        <w:numPr>
          <w:ilvl w:val="0"/>
          <w:numId w:val="2"/>
        </w:numPr>
      </w:pPr>
      <w:r>
        <w:t>The adopting of the same group study process for PG&amp;E, SDG&amp;E and SCE will facilitate the Commission’s goals to</w:t>
      </w:r>
      <w:r w:rsidRPr="00FB44CC">
        <w:t xml:space="preserve"> “ensure that the interconnection process is timely, non-discriminatory, cost-effective, and transparent.”</w:t>
      </w:r>
      <w:r w:rsidR="00D47389">
        <w:t xml:space="preserve">  (R.11-09-011 at 2.)</w:t>
      </w:r>
    </w:p>
    <w:p w:rsidR="009C7C5C" w:rsidRDefault="00275F11" w:rsidP="00D316F7">
      <w:pPr>
        <w:pStyle w:val="num1"/>
        <w:numPr>
          <w:ilvl w:val="0"/>
          <w:numId w:val="2"/>
        </w:numPr>
      </w:pPr>
      <w:r>
        <w:t>T</w:t>
      </w:r>
      <w:r w:rsidR="0077241F">
        <w:t xml:space="preserve">he proposed Rule 21 forms </w:t>
      </w:r>
      <w:r>
        <w:t>facilitate the Commission’s</w:t>
      </w:r>
      <w:r w:rsidRPr="00275F11">
        <w:t xml:space="preserve"> goals to “ensure that the interconnection process is timely, non-discriminatory, cost-effective, and transparent.”</w:t>
      </w:r>
      <w:r w:rsidR="001B472E">
        <w:t xml:space="preserve">  (R.11-09-011 at 2.)</w:t>
      </w:r>
    </w:p>
    <w:p w:rsidR="004666C2" w:rsidRDefault="00C97AAF" w:rsidP="00D316F7">
      <w:pPr>
        <w:pStyle w:val="num1"/>
        <w:numPr>
          <w:ilvl w:val="0"/>
          <w:numId w:val="2"/>
        </w:numPr>
      </w:pPr>
      <w:r>
        <w:t xml:space="preserve">The </w:t>
      </w:r>
      <w:r w:rsidRPr="00C97AAF">
        <w:t xml:space="preserve">modifications </w:t>
      </w:r>
      <w:r>
        <w:t xml:space="preserve">to the proposed forms suggested </w:t>
      </w:r>
      <w:r w:rsidRPr="00C97AAF">
        <w:t xml:space="preserve">by WalMart/Sam’s West </w:t>
      </w:r>
      <w:r>
        <w:t xml:space="preserve">are not accepted because the modifications </w:t>
      </w:r>
      <w:r w:rsidRPr="00C97AAF">
        <w:t>will disadvantage</w:t>
      </w:r>
      <w:r>
        <w:t xml:space="preserve"> ratepayers</w:t>
      </w:r>
      <w:r w:rsidRPr="00C97AAF">
        <w:t xml:space="preserve"> should the utility be r</w:t>
      </w:r>
      <w:r w:rsidR="008E0DE5">
        <w:t xml:space="preserve">equired to collect funds from </w:t>
      </w:r>
      <w:r w:rsidRPr="00C97AAF">
        <w:t xml:space="preserve">third-party contractors rather than directly from the customer/developer. </w:t>
      </w:r>
    </w:p>
    <w:p w:rsidR="00F54515" w:rsidRDefault="00AA6E00" w:rsidP="00D316F7">
      <w:pPr>
        <w:pStyle w:val="num1"/>
        <w:numPr>
          <w:ilvl w:val="0"/>
          <w:numId w:val="2"/>
        </w:numPr>
      </w:pPr>
      <w:r w:rsidRPr="00AA6E00">
        <w:t>No further revisions to Rule 21 are needed at this time to address the amount of information available to applicants regarding electrical distribution interdependence between projects</w:t>
      </w:r>
      <w:r>
        <w:t>.</w:t>
      </w:r>
    </w:p>
    <w:p w:rsidR="003C2AA8" w:rsidRDefault="003434B5" w:rsidP="00D316F7">
      <w:pPr>
        <w:pStyle w:val="num1"/>
        <w:numPr>
          <w:ilvl w:val="0"/>
          <w:numId w:val="2"/>
        </w:numPr>
      </w:pPr>
      <w:r>
        <w:t xml:space="preserve">Although cost allocation will not </w:t>
      </w:r>
      <w:r w:rsidRPr="00F54515">
        <w:t>always alig</w:t>
      </w:r>
      <w:r>
        <w:t xml:space="preserve">n with cost contribution under </w:t>
      </w:r>
      <w:r w:rsidR="005C088B">
        <w:t xml:space="preserve"> a </w:t>
      </w:r>
      <w:r w:rsidR="00F54515" w:rsidRPr="00F54515">
        <w:t xml:space="preserve">per </w:t>
      </w:r>
      <w:r>
        <w:t xml:space="preserve">kVA </w:t>
      </w:r>
      <w:r w:rsidR="005C088B">
        <w:t xml:space="preserve">plus </w:t>
      </w:r>
      <w:r>
        <w:t>“specific contribution”</w:t>
      </w:r>
      <w:r w:rsidRPr="00F54515">
        <w:t xml:space="preserve"> </w:t>
      </w:r>
      <w:r w:rsidR="00F54515">
        <w:t xml:space="preserve">cost </w:t>
      </w:r>
      <w:r w:rsidR="00F54515" w:rsidRPr="00F54515">
        <w:t>allocation method</w:t>
      </w:r>
      <w:r w:rsidR="00F3522A">
        <w:t xml:space="preserve">, </w:t>
      </w:r>
      <w:r w:rsidR="005C088B">
        <w:t xml:space="preserve">this cost allocation method </w:t>
      </w:r>
      <w:r w:rsidR="00F54515">
        <w:t xml:space="preserve">is reasonable because </w:t>
      </w:r>
      <w:r>
        <w:t xml:space="preserve">it </w:t>
      </w:r>
      <w:r w:rsidR="00F54515" w:rsidRPr="00F54515">
        <w:t xml:space="preserve">is </w:t>
      </w:r>
      <w:r>
        <w:t xml:space="preserve">relatively straightforward </w:t>
      </w:r>
      <w:r w:rsidR="00F54515" w:rsidRPr="00F54515">
        <w:t>to administer</w:t>
      </w:r>
      <w:r w:rsidR="008E0DE5">
        <w:t>,</w:t>
      </w:r>
      <w:r w:rsidR="00F54515" w:rsidRPr="00F54515">
        <w:t xml:space="preserve"> which will contribute to a transparent program and predic</w:t>
      </w:r>
      <w:r w:rsidR="009E37B6">
        <w:t>t</w:t>
      </w:r>
      <w:r w:rsidR="00F54515" w:rsidRPr="00F54515">
        <w:t>able outcomes.</w:t>
      </w:r>
    </w:p>
    <w:p w:rsidR="00B031D2" w:rsidRDefault="003C2AA8" w:rsidP="00D316F7">
      <w:pPr>
        <w:pStyle w:val="num1"/>
        <w:numPr>
          <w:ilvl w:val="0"/>
          <w:numId w:val="2"/>
        </w:numPr>
      </w:pPr>
      <w:r>
        <w:t>To mitigate the f</w:t>
      </w:r>
      <w:r w:rsidR="00B031D2" w:rsidRPr="00B031D2">
        <w:t>inancial unknowns and delays</w:t>
      </w:r>
      <w:r>
        <w:t xml:space="preserve"> that</w:t>
      </w:r>
      <w:r w:rsidR="00B031D2" w:rsidRPr="00B031D2">
        <w:t xml:space="preserve"> may occur when applicants drop out of the group study process</w:t>
      </w:r>
      <w:r>
        <w:t xml:space="preserve">, </w:t>
      </w:r>
      <w:r w:rsidR="00B031D2" w:rsidRPr="00B031D2">
        <w:t xml:space="preserve">it </w:t>
      </w:r>
      <w:r>
        <w:t xml:space="preserve">is </w:t>
      </w:r>
      <w:r w:rsidR="00B031D2" w:rsidRPr="00B031D2">
        <w:t>reasonable</w:t>
      </w:r>
      <w:r w:rsidR="00B031D2">
        <w:t xml:space="preserve"> to require deposits to be forfeited to </w:t>
      </w:r>
      <w:r w:rsidR="00B031D2" w:rsidRPr="00B031D2">
        <w:t>mitigate the expense</w:t>
      </w:r>
      <w:r w:rsidR="00B031D2">
        <w:t xml:space="preserve"> of restudies, if needed</w:t>
      </w:r>
      <w:r w:rsidR="00BA1226">
        <w:t>.</w:t>
      </w:r>
      <w:r w:rsidR="00B031D2">
        <w:t xml:space="preserve"> </w:t>
      </w:r>
      <w:r w:rsidR="00BA1226">
        <w:t xml:space="preserve"> Any </w:t>
      </w:r>
      <w:r w:rsidR="002C6A5A">
        <w:t xml:space="preserve">forfeited funds </w:t>
      </w:r>
      <w:r w:rsidR="00BA1226">
        <w:t xml:space="preserve">remaining at the end of the group study process should be </w:t>
      </w:r>
      <w:r w:rsidR="002C6A5A">
        <w:t>allocate</w:t>
      </w:r>
      <w:r w:rsidR="008E0DE5">
        <w:t>d</w:t>
      </w:r>
      <w:r w:rsidR="009E37B6">
        <w:t xml:space="preserve"> among </w:t>
      </w:r>
      <w:r w:rsidR="00BA1226">
        <w:t xml:space="preserve">the remaining </w:t>
      </w:r>
      <w:r w:rsidR="00B031D2" w:rsidRPr="00B031D2">
        <w:t>applicants on a per k</w:t>
      </w:r>
      <w:r w:rsidR="005C088B">
        <w:t>VA</w:t>
      </w:r>
      <w:r w:rsidR="00B031D2" w:rsidRPr="00B031D2">
        <w:t xml:space="preserve"> basis</w:t>
      </w:r>
      <w:r w:rsidR="00BA1226">
        <w:t xml:space="preserve">. </w:t>
      </w:r>
      <w:r w:rsidR="009E37B6">
        <w:t xml:space="preserve"> T</w:t>
      </w:r>
      <w:r w:rsidR="00B031D2" w:rsidRPr="00B031D2">
        <w:t>he s</w:t>
      </w:r>
      <w:r w:rsidR="00B031D2">
        <w:t xml:space="preserve">ame approach </w:t>
      </w:r>
      <w:r>
        <w:t>should</w:t>
      </w:r>
      <w:r w:rsidR="00B031D2">
        <w:t xml:space="preserve"> apply to funds</w:t>
      </w:r>
      <w:r w:rsidR="00B031D2" w:rsidRPr="00B031D2">
        <w:t xml:space="preserve"> if an applicant drops out after construction occurs</w:t>
      </w:r>
      <w:r w:rsidR="00B031D2">
        <w:t xml:space="preserve"> or </w:t>
      </w:r>
      <w:r w:rsidR="008E0DE5">
        <w:t xml:space="preserve">at </w:t>
      </w:r>
      <w:r w:rsidR="00B031D2">
        <w:t>any other point in the process</w:t>
      </w:r>
      <w:r>
        <w:t>.</w:t>
      </w:r>
    </w:p>
    <w:p w:rsidR="000D7348" w:rsidRPr="00B031D2" w:rsidRDefault="000D7348" w:rsidP="00D316F7">
      <w:pPr>
        <w:pStyle w:val="num1"/>
        <w:numPr>
          <w:ilvl w:val="0"/>
          <w:numId w:val="2"/>
        </w:numPr>
      </w:pPr>
      <w:r>
        <w:t>A</w:t>
      </w:r>
      <w:r w:rsidRPr="000D7348">
        <w:t xml:space="preserve"> transition plan </w:t>
      </w:r>
      <w:r>
        <w:t>for moving pending applications into the group study process will</w:t>
      </w:r>
      <w:r w:rsidRPr="000D7348">
        <w:t xml:space="preserve"> ensure the orderly transition of any pending applications to the group study process</w:t>
      </w:r>
      <w:r w:rsidR="009E37B6">
        <w:t xml:space="preserve"> and should be incorporated into Rule 21</w:t>
      </w:r>
      <w:r w:rsidRPr="000D7348">
        <w:t>.</w:t>
      </w:r>
    </w:p>
    <w:p w:rsidR="009B4789" w:rsidRDefault="009B4789" w:rsidP="00D316F7">
      <w:pPr>
        <w:pStyle w:val="num1"/>
        <w:numPr>
          <w:ilvl w:val="0"/>
          <w:numId w:val="2"/>
        </w:numPr>
      </w:pPr>
      <w:r>
        <w:t xml:space="preserve">PG&amp;E, SCE, and SDG&amp;E should </w:t>
      </w:r>
      <w:r w:rsidRPr="0047280A">
        <w:t xml:space="preserve">submit </w:t>
      </w:r>
      <w:r w:rsidR="009C7C5C">
        <w:t xml:space="preserve">interconnection data </w:t>
      </w:r>
      <w:r>
        <w:t xml:space="preserve">to Energy Division in a quarterly report, referred to as the </w:t>
      </w:r>
      <w:r w:rsidRPr="0047280A">
        <w:t>Interconnection Data Quart</w:t>
      </w:r>
      <w:r>
        <w:t>erly Report</w:t>
      </w:r>
      <w:r w:rsidR="009C7C5C">
        <w:t>,</w:t>
      </w:r>
      <w:r>
        <w:t xml:space="preserve"> because a</w:t>
      </w:r>
      <w:r w:rsidRPr="0047280A">
        <w:t xml:space="preserve">dditional information </w:t>
      </w:r>
      <w:r>
        <w:t xml:space="preserve">regarding the Rule 21 interconnection process </w:t>
      </w:r>
      <w:r w:rsidRPr="0047280A">
        <w:t xml:space="preserve">will promote improvements in the process and assist the Commission in evaluating the interconnection process established by Rule 21.  </w:t>
      </w:r>
    </w:p>
    <w:p w:rsidR="009B4789" w:rsidRDefault="00592800" w:rsidP="00D316F7">
      <w:pPr>
        <w:pStyle w:val="num1"/>
        <w:numPr>
          <w:ilvl w:val="0"/>
          <w:numId w:val="2"/>
        </w:numPr>
        <w:ind w:firstLine="270"/>
      </w:pPr>
      <w:r>
        <w:t>All motions</w:t>
      </w:r>
      <w:r w:rsidR="00435F68">
        <w:t xml:space="preserve"> for party status </w:t>
      </w:r>
      <w:r w:rsidR="003C102B">
        <w:t xml:space="preserve">filed on or before February 5, 2014 </w:t>
      </w:r>
      <w:r w:rsidR="00435F68">
        <w:t>are granted</w:t>
      </w:r>
      <w:r w:rsidR="000D3B7C">
        <w:t xml:space="preserve"> with </w:t>
      </w:r>
      <w:r w:rsidR="00435F68">
        <w:t>t</w:t>
      </w:r>
      <w:r>
        <w:t>he motion for party</w:t>
      </w:r>
      <w:r w:rsidR="000D3B7C">
        <w:t xml:space="preserve"> status filed by David Davis being </w:t>
      </w:r>
      <w:r>
        <w:t>granted to the extent David Davis seeks to</w:t>
      </w:r>
      <w:r w:rsidRPr="00592800">
        <w:t xml:space="preserve"> address matters identified within the scope of this proceeding and in accordance with the schedule of this proceeding. </w:t>
      </w:r>
    </w:p>
    <w:p w:rsidR="00D826FD" w:rsidRDefault="00C75F4B" w:rsidP="00D316F7">
      <w:pPr>
        <w:pStyle w:val="num1"/>
        <w:numPr>
          <w:ilvl w:val="0"/>
          <w:numId w:val="2"/>
        </w:numPr>
        <w:ind w:firstLine="270"/>
      </w:pPr>
      <w:r>
        <w:t xml:space="preserve">Minor changes to Rule 21 will improve its accessibility and should </w:t>
      </w:r>
      <w:r w:rsidR="00764E8C">
        <w:t xml:space="preserve">be included in the Tier </w:t>
      </w:r>
      <w:r w:rsidR="00565A11">
        <w:t>2</w:t>
      </w:r>
      <w:r w:rsidR="00565A11" w:rsidRPr="0047280A">
        <w:t xml:space="preserve"> </w:t>
      </w:r>
      <w:r w:rsidRPr="0047280A">
        <w:t xml:space="preserve">Advice Letter filing required by today’s decision.  </w:t>
      </w:r>
      <w:r>
        <w:t>A</w:t>
      </w:r>
      <w:r w:rsidRPr="0047280A">
        <w:t xml:space="preserve">dditional changes to promote the general accessibility of Rule 21 are encouraged and may be included in this same </w:t>
      </w:r>
      <w:r w:rsidR="006C5699">
        <w:t>a</w:t>
      </w:r>
      <w:r w:rsidRPr="0047280A">
        <w:t xml:space="preserve">dvice </w:t>
      </w:r>
      <w:r w:rsidR="006C5699">
        <w:t>l</w:t>
      </w:r>
      <w:r w:rsidRPr="0047280A">
        <w:t>etter filing.</w:t>
      </w:r>
    </w:p>
    <w:p w:rsidR="00D826FD" w:rsidRDefault="00D826FD" w:rsidP="00D316F7">
      <w:pPr>
        <w:pStyle w:val="num1"/>
        <w:numPr>
          <w:ilvl w:val="0"/>
          <w:numId w:val="2"/>
        </w:numPr>
        <w:ind w:firstLine="270"/>
      </w:pPr>
      <w:r>
        <w:t>Th</w:t>
      </w:r>
      <w:r w:rsidR="00421393">
        <w:t>e schedule of this proceeding should be</w:t>
      </w:r>
      <w:r>
        <w:t xml:space="preserve"> revised to more accurately reflect the status of this proceeding.</w:t>
      </w:r>
    </w:p>
    <w:p w:rsidR="008936AB" w:rsidRDefault="008936AB" w:rsidP="008936AB">
      <w:pPr>
        <w:pStyle w:val="num1"/>
        <w:ind w:left="720" w:firstLine="0"/>
      </w:pPr>
    </w:p>
    <w:p w:rsidR="00B30FF9" w:rsidRDefault="00B30FF9" w:rsidP="001E1348">
      <w:pPr>
        <w:pStyle w:val="mainex"/>
        <w:keepNext/>
        <w:keepLines/>
      </w:pPr>
      <w:bookmarkStart w:id="64" w:name="_Toc370798915"/>
      <w:bookmarkStart w:id="65" w:name="_Toc450990221"/>
      <w:bookmarkStart w:id="66" w:name="_Toc451151268"/>
      <w:bookmarkStart w:id="67" w:name="OLE_LINK1"/>
      <w:bookmarkStart w:id="68" w:name="OLE_LINK2"/>
    </w:p>
    <w:p w:rsidR="00B30FF9" w:rsidRPr="001E1348" w:rsidRDefault="00B30FF9" w:rsidP="001E1348">
      <w:pPr>
        <w:pStyle w:val="mainex"/>
        <w:keepNext/>
        <w:keepLines/>
      </w:pPr>
      <w:bookmarkStart w:id="69" w:name="_Toc384806471"/>
      <w:r w:rsidRPr="001E1348">
        <w:t>ORDER</w:t>
      </w:r>
      <w:bookmarkEnd w:id="64"/>
      <w:bookmarkEnd w:id="65"/>
      <w:bookmarkEnd w:id="66"/>
      <w:bookmarkEnd w:id="69"/>
    </w:p>
    <w:bookmarkEnd w:id="67"/>
    <w:bookmarkEnd w:id="68"/>
    <w:p w:rsidR="00B30FF9" w:rsidRDefault="00B30FF9" w:rsidP="001E1348">
      <w:pPr>
        <w:pStyle w:val="Quote1"/>
        <w:keepNext/>
        <w:keepLines/>
      </w:pPr>
    </w:p>
    <w:p w:rsidR="008936AB" w:rsidRDefault="00B30FF9" w:rsidP="001E1348">
      <w:pPr>
        <w:pStyle w:val="standard"/>
        <w:keepNext/>
        <w:keepLines/>
      </w:pPr>
      <w:r>
        <w:rPr>
          <w:b/>
        </w:rPr>
        <w:t>IT IS ORDERED</w:t>
      </w:r>
      <w:r>
        <w:t xml:space="preserve"> that:</w:t>
      </w:r>
    </w:p>
    <w:p w:rsidR="00547E1B" w:rsidRDefault="00437130" w:rsidP="00D0071D">
      <w:pPr>
        <w:pStyle w:val="num1"/>
        <w:numPr>
          <w:ilvl w:val="0"/>
          <w:numId w:val="41"/>
        </w:numPr>
        <w:ind w:left="0" w:firstLine="360"/>
      </w:pPr>
      <w:r>
        <w:t>Pacific Gas and Electric Company (</w:t>
      </w:r>
      <w:r w:rsidR="00962E3C" w:rsidRPr="00962E3C">
        <w:t>PG&amp;E</w:t>
      </w:r>
      <w:r>
        <w:t>)</w:t>
      </w:r>
      <w:r w:rsidR="00962E3C" w:rsidRPr="00962E3C">
        <w:t xml:space="preserve">, </w:t>
      </w:r>
      <w:r>
        <w:t>Southern California Edison Company (</w:t>
      </w:r>
      <w:r w:rsidR="00962E3C" w:rsidRPr="00962E3C">
        <w:t>SCE</w:t>
      </w:r>
      <w:r>
        <w:t>)</w:t>
      </w:r>
      <w:r w:rsidR="00962E3C" w:rsidRPr="00962E3C">
        <w:t xml:space="preserve">, and </w:t>
      </w:r>
      <w:r>
        <w:t>San Diego Gas &amp; Electric Company (</w:t>
      </w:r>
      <w:r w:rsidR="00962E3C" w:rsidRPr="00962E3C">
        <w:t>SDG&amp;E</w:t>
      </w:r>
      <w:r>
        <w:t>)</w:t>
      </w:r>
      <w:r w:rsidR="00962E3C" w:rsidRPr="00962E3C">
        <w:t xml:space="preserve"> shall fil</w:t>
      </w:r>
      <w:r w:rsidR="00764E8C">
        <w:t xml:space="preserve">e </w:t>
      </w:r>
      <w:r w:rsidR="00021647">
        <w:br/>
      </w:r>
      <w:r w:rsidR="00764E8C">
        <w:t xml:space="preserve">Tier </w:t>
      </w:r>
      <w:r w:rsidR="00565A11">
        <w:t xml:space="preserve">2 </w:t>
      </w:r>
      <w:r w:rsidR="00764E8C">
        <w:t xml:space="preserve">Advice Letters within </w:t>
      </w:r>
      <w:r w:rsidR="00565A11">
        <w:t>6</w:t>
      </w:r>
      <w:r w:rsidR="00962E3C" w:rsidRPr="00962E3C">
        <w:t>0 days of the effectiv</w:t>
      </w:r>
      <w:r w:rsidR="00C41526">
        <w:t xml:space="preserve">e date of today’s decision to incorporate </w:t>
      </w:r>
      <w:r w:rsidR="00962E3C" w:rsidRPr="00962E3C">
        <w:t>a Distribution Group Study Process</w:t>
      </w:r>
      <w:r w:rsidR="00C41526">
        <w:t xml:space="preserve"> into Electric Tariff Rule 21</w:t>
      </w:r>
      <w:r w:rsidR="00D0071D">
        <w:t xml:space="preserve"> (Rule </w:t>
      </w:r>
      <w:r w:rsidR="00421393">
        <w:t>21)</w:t>
      </w:r>
      <w:r w:rsidR="00547E1B">
        <w:t>.</w:t>
      </w:r>
      <w:r w:rsidR="009673C1">
        <w:t xml:space="preserve"> </w:t>
      </w:r>
      <w:r w:rsidR="00952AE8">
        <w:t xml:space="preserve"> </w:t>
      </w:r>
      <w:r w:rsidR="009673C1">
        <w:t xml:space="preserve">These </w:t>
      </w:r>
      <w:r w:rsidR="006C5699">
        <w:t>A</w:t>
      </w:r>
      <w:r w:rsidR="009673C1">
        <w:t xml:space="preserve">dvice </w:t>
      </w:r>
      <w:r w:rsidR="006C5699">
        <w:t>L</w:t>
      </w:r>
      <w:r w:rsidR="009673C1">
        <w:t xml:space="preserve">etter filings shall </w:t>
      </w:r>
      <w:r w:rsidR="001E6165">
        <w:t xml:space="preserve">substantially </w:t>
      </w:r>
      <w:r w:rsidR="00CA47B5">
        <w:t xml:space="preserve">follow </w:t>
      </w:r>
      <w:r w:rsidR="001E6165">
        <w:t>the terms and conditions set forth in</w:t>
      </w:r>
      <w:r w:rsidR="00962E3C" w:rsidRPr="00962E3C">
        <w:t xml:space="preserve"> PG&amp;E’s and SDG&amp;E’s February 19, 2013 dr</w:t>
      </w:r>
      <w:r w:rsidR="00B44676">
        <w:t>aft tariff proposal</w:t>
      </w:r>
      <w:r w:rsidR="00C3009B">
        <w:t xml:space="preserve"> </w:t>
      </w:r>
      <w:r w:rsidR="00565A11">
        <w:t xml:space="preserve">(revised by their March 22, 2014 comments) and </w:t>
      </w:r>
      <w:r w:rsidR="00C3009B">
        <w:t>shall</w:t>
      </w:r>
      <w:r w:rsidR="00B44676">
        <w:t xml:space="preserve"> also</w:t>
      </w:r>
      <w:r w:rsidR="00C3009B">
        <w:t>:</w:t>
      </w:r>
    </w:p>
    <w:p w:rsidR="00547E1B" w:rsidRPr="00CA47B5" w:rsidRDefault="00B44676" w:rsidP="00021647">
      <w:pPr>
        <w:pStyle w:val="num1"/>
        <w:numPr>
          <w:ilvl w:val="0"/>
          <w:numId w:val="36"/>
        </w:numPr>
        <w:spacing w:after="120" w:line="240" w:lineRule="auto"/>
        <w:ind w:right="1440"/>
      </w:pPr>
      <w:r w:rsidRPr="00CA47B5">
        <w:t>b</w:t>
      </w:r>
      <w:r w:rsidR="001E6165" w:rsidRPr="00CA47B5">
        <w:t xml:space="preserve">e substantially </w:t>
      </w:r>
      <w:r w:rsidRPr="00CA47B5">
        <w:t>similar in substance and format;</w:t>
      </w:r>
    </w:p>
    <w:p w:rsidR="00764811" w:rsidRPr="00CA47B5" w:rsidRDefault="00B44676" w:rsidP="00021647">
      <w:pPr>
        <w:pStyle w:val="num1"/>
        <w:numPr>
          <w:ilvl w:val="0"/>
          <w:numId w:val="36"/>
        </w:numPr>
        <w:spacing w:after="120" w:line="240" w:lineRule="auto"/>
        <w:ind w:right="1440"/>
      </w:pPr>
      <w:r w:rsidRPr="00CA47B5">
        <w:t>i</w:t>
      </w:r>
      <w:r w:rsidR="001E6165" w:rsidRPr="00CA47B5">
        <w:t>nclude</w:t>
      </w:r>
      <w:r w:rsidR="00962E3C" w:rsidRPr="00CA47B5">
        <w:t xml:space="preserve"> two fixed-date open windows each calendar year for receipt of request</w:t>
      </w:r>
      <w:r w:rsidRPr="00CA47B5">
        <w:t>s for the group study process, and t</w:t>
      </w:r>
      <w:r w:rsidR="00962E3C" w:rsidRPr="00CA47B5">
        <w:t xml:space="preserve">hese open window dates shall be published </w:t>
      </w:r>
      <w:r w:rsidR="008D5726">
        <w:t xml:space="preserve">at least 60 days in advance </w:t>
      </w:r>
      <w:r w:rsidR="00962E3C" w:rsidRPr="00CA47B5">
        <w:t>in a prominent location on their websites</w:t>
      </w:r>
      <w:r w:rsidRPr="00CA47B5">
        <w:t>;</w:t>
      </w:r>
      <w:r w:rsidR="00962E3C" w:rsidRPr="00CA47B5">
        <w:t xml:space="preserve"> </w:t>
      </w:r>
    </w:p>
    <w:p w:rsidR="00FC6860" w:rsidRPr="00CA47B5" w:rsidRDefault="00547E1B" w:rsidP="00021647">
      <w:pPr>
        <w:pStyle w:val="num1"/>
        <w:numPr>
          <w:ilvl w:val="0"/>
          <w:numId w:val="36"/>
        </w:numPr>
        <w:spacing w:after="120" w:line="240" w:lineRule="auto"/>
        <w:ind w:right="1440"/>
      </w:pPr>
      <w:r w:rsidRPr="00CA47B5">
        <w:t>i</w:t>
      </w:r>
      <w:r w:rsidR="002F2549" w:rsidRPr="00CA47B5">
        <w:t>dentif</w:t>
      </w:r>
      <w:r w:rsidRPr="00CA47B5">
        <w:t>y</w:t>
      </w:r>
      <w:r w:rsidR="002F2549" w:rsidRPr="00CA47B5">
        <w:t xml:space="preserve"> the events that may trigger extensions to the </w:t>
      </w:r>
      <w:r w:rsidR="00180E2F" w:rsidRPr="0047280A">
        <w:t>Distribution Group Study Process</w:t>
      </w:r>
      <w:r w:rsidR="00180E2F">
        <w:t xml:space="preserve"> timeline </w:t>
      </w:r>
      <w:r w:rsidR="00B44676" w:rsidRPr="00CA47B5">
        <w:t>and</w:t>
      </w:r>
      <w:r w:rsidR="00CA47B5">
        <w:t xml:space="preserve"> include </w:t>
      </w:r>
      <w:r w:rsidR="00DC635D">
        <w:t>(1) the events</w:t>
      </w:r>
      <w:r w:rsidR="002F2549" w:rsidRPr="00CA47B5">
        <w:t xml:space="preserve"> resulting in extension</w:t>
      </w:r>
      <w:r w:rsidR="00DC635D">
        <w:t>s</w:t>
      </w:r>
      <w:r w:rsidR="00AE371E" w:rsidRPr="00CA47B5">
        <w:t>, (2) the expected length of the</w:t>
      </w:r>
      <w:r w:rsidR="002F2549" w:rsidRPr="00CA47B5">
        <w:t xml:space="preserve"> extensions, </w:t>
      </w:r>
      <w:r w:rsidR="00D161A4" w:rsidRPr="00CA47B5">
        <w:t xml:space="preserve">and </w:t>
      </w:r>
      <w:r w:rsidR="002F2549" w:rsidRPr="00CA47B5">
        <w:t xml:space="preserve">(3) the method to be relied upon to notify </w:t>
      </w:r>
      <w:r w:rsidR="00AE371E" w:rsidRPr="00CA47B5">
        <w:t xml:space="preserve">group study </w:t>
      </w:r>
      <w:r w:rsidR="002F2549" w:rsidRPr="00CA47B5">
        <w:t>ap</w:t>
      </w:r>
      <w:r w:rsidR="00B44676" w:rsidRPr="00CA47B5">
        <w:t>plicants of timeline extensions;</w:t>
      </w:r>
    </w:p>
    <w:p w:rsidR="001525F5" w:rsidRPr="00CA47B5" w:rsidRDefault="002013E7" w:rsidP="00021647">
      <w:pPr>
        <w:pStyle w:val="num1"/>
        <w:numPr>
          <w:ilvl w:val="0"/>
          <w:numId w:val="36"/>
        </w:numPr>
        <w:spacing w:after="120" w:line="240" w:lineRule="auto"/>
        <w:ind w:right="1440"/>
      </w:pPr>
      <w:r>
        <w:t>confirm that Phase 1 and Phase 2 study reports will include</w:t>
      </w:r>
      <w:r w:rsidRPr="00CA47B5">
        <w:t xml:space="preserve"> </w:t>
      </w:r>
      <w:r w:rsidR="001E576A" w:rsidRPr="00CA47B5">
        <w:t xml:space="preserve">the type of costs triggered by applicants within a group study and whether these </w:t>
      </w:r>
      <w:r w:rsidR="001B5550" w:rsidRPr="00CA47B5">
        <w:t xml:space="preserve">identified </w:t>
      </w:r>
      <w:r w:rsidR="001E576A" w:rsidRPr="00CA47B5">
        <w:t xml:space="preserve">costs </w:t>
      </w:r>
      <w:r w:rsidR="00180E2F">
        <w:t xml:space="preserve">are shared costs to be </w:t>
      </w:r>
      <w:r w:rsidR="001E576A" w:rsidRPr="00CA47B5">
        <w:t xml:space="preserve">allocated on a per </w:t>
      </w:r>
      <w:r w:rsidR="00B47EFD">
        <w:t xml:space="preserve">kVA </w:t>
      </w:r>
      <w:r w:rsidR="001E576A" w:rsidRPr="00CA47B5">
        <w:t xml:space="preserve">basis or </w:t>
      </w:r>
      <w:r w:rsidR="005C088B">
        <w:t xml:space="preserve">based on </w:t>
      </w:r>
      <w:r w:rsidR="00B47EFD">
        <w:t>“specific contribution</w:t>
      </w:r>
      <w:r w:rsidR="00B4052E">
        <w:t>;</w:t>
      </w:r>
      <w:r w:rsidR="00B47EFD">
        <w:t>“</w:t>
      </w:r>
      <w:r w:rsidR="00B44676" w:rsidRPr="00CA47B5">
        <w:t xml:space="preserve"> </w:t>
      </w:r>
    </w:p>
    <w:p w:rsidR="00B031D2" w:rsidRPr="00CA47B5" w:rsidRDefault="001E576A" w:rsidP="00021647">
      <w:pPr>
        <w:pStyle w:val="num1"/>
        <w:numPr>
          <w:ilvl w:val="0"/>
          <w:numId w:val="36"/>
        </w:numPr>
        <w:spacing w:after="120" w:line="240" w:lineRule="auto"/>
        <w:ind w:right="1440"/>
      </w:pPr>
      <w:r w:rsidRPr="00CA47B5">
        <w:t>incorp</w:t>
      </w:r>
      <w:r w:rsidR="00223A1A" w:rsidRPr="00CA47B5">
        <w:t>orate</w:t>
      </w:r>
      <w:r w:rsidR="00B47EFD">
        <w:t>:  (1)</w:t>
      </w:r>
      <w:r w:rsidR="002C6A5A" w:rsidRPr="002C6A5A">
        <w:t xml:space="preserve"> </w:t>
      </w:r>
      <w:r w:rsidR="002C6A5A">
        <w:t xml:space="preserve">a </w:t>
      </w:r>
      <w:r w:rsidR="00DC635D">
        <w:t xml:space="preserve">timeline identifying the amount of any required </w:t>
      </w:r>
      <w:r w:rsidR="002C6A5A" w:rsidRPr="002C6A5A">
        <w:t>deposit and at what point in the p</w:t>
      </w:r>
      <w:r w:rsidR="002C6A5A">
        <w:t>rocess deposits</w:t>
      </w:r>
      <w:r w:rsidR="002C6A5A" w:rsidRPr="002C6A5A">
        <w:t xml:space="preserve"> are forfeited </w:t>
      </w:r>
      <w:r w:rsidR="002C6A5A">
        <w:t>if an applicant drops out of the group,</w:t>
      </w:r>
      <w:r w:rsidR="00B47EFD">
        <w:t xml:space="preserve"> (2)</w:t>
      </w:r>
      <w:r w:rsidR="002C6A5A">
        <w:t xml:space="preserve"> </w:t>
      </w:r>
      <w:r w:rsidR="00223A1A" w:rsidRPr="00CA47B5">
        <w:t>a 60-day re-study timeline</w:t>
      </w:r>
      <w:r w:rsidR="002C6A5A">
        <w:t xml:space="preserve"> in the event a </w:t>
      </w:r>
      <w:r w:rsidR="004E5300">
        <w:br/>
      </w:r>
      <w:r w:rsidR="002C6A5A">
        <w:t xml:space="preserve">re-study is required after an applicant drops out of the group, and </w:t>
      </w:r>
      <w:r w:rsidR="00B47EFD">
        <w:t xml:space="preserve">(3) </w:t>
      </w:r>
      <w:r w:rsidR="00223A1A" w:rsidRPr="00CA47B5">
        <w:t xml:space="preserve">that </w:t>
      </w:r>
      <w:r w:rsidR="002C6A5A">
        <w:t>forfeited funds return</w:t>
      </w:r>
      <w:r w:rsidR="00223A1A" w:rsidRPr="00CA47B5">
        <w:t xml:space="preserve"> to the group </w:t>
      </w:r>
      <w:r w:rsidR="002C6A5A">
        <w:t xml:space="preserve">to cover future expenses </w:t>
      </w:r>
      <w:r w:rsidRPr="00CA47B5">
        <w:t>in the event an appli</w:t>
      </w:r>
      <w:r w:rsidR="004E5300">
        <w:t>cant drops out of the</w:t>
      </w:r>
      <w:r w:rsidR="00DC635D">
        <w:t xml:space="preserve"> group </w:t>
      </w:r>
      <w:r w:rsidR="00B47EFD">
        <w:t xml:space="preserve">and </w:t>
      </w:r>
      <w:r w:rsidR="002C6A5A">
        <w:t xml:space="preserve">any funds remaining at the conclusion of the group study process being allocated to </w:t>
      </w:r>
      <w:r w:rsidR="00DC635D">
        <w:t xml:space="preserve">individual applicants </w:t>
      </w:r>
      <w:r w:rsidR="002C6A5A">
        <w:t xml:space="preserve">in the group on a per </w:t>
      </w:r>
      <w:r w:rsidR="00B47EFD">
        <w:t xml:space="preserve">kVA </w:t>
      </w:r>
      <w:r w:rsidR="002C6A5A">
        <w:t>basis</w:t>
      </w:r>
      <w:r w:rsidR="003A3E2D" w:rsidRPr="00CA47B5">
        <w:t>;</w:t>
      </w:r>
      <w:r w:rsidR="00B031D2" w:rsidRPr="00CA47B5">
        <w:t xml:space="preserve"> </w:t>
      </w:r>
    </w:p>
    <w:p w:rsidR="003A3E2D" w:rsidRDefault="00CA47B5" w:rsidP="00021647">
      <w:pPr>
        <w:pStyle w:val="num1"/>
        <w:numPr>
          <w:ilvl w:val="0"/>
          <w:numId w:val="36"/>
        </w:numPr>
        <w:spacing w:after="120" w:line="240" w:lineRule="auto"/>
        <w:ind w:right="1440"/>
      </w:pPr>
      <w:r>
        <w:t xml:space="preserve">incorporate </w:t>
      </w:r>
      <w:r w:rsidR="003A3E2D" w:rsidRPr="00CA47B5">
        <w:t xml:space="preserve">minor changes </w:t>
      </w:r>
      <w:r w:rsidR="006B7961">
        <w:t>in</w:t>
      </w:r>
      <w:r w:rsidR="003A3E2D" w:rsidRPr="00CA47B5">
        <w:t>to Rule 21 as fol</w:t>
      </w:r>
      <w:r w:rsidR="00641866">
        <w:t xml:space="preserve">lows: </w:t>
      </w:r>
      <w:r w:rsidR="00021647">
        <w:br/>
      </w:r>
      <w:r w:rsidR="00641866">
        <w:t>(1) cross references</w:t>
      </w:r>
      <w:r w:rsidR="003A3E2D" w:rsidRPr="00CA47B5">
        <w:t xml:space="preserve"> to indicate the location and name of all the appropriate forms, (2) more specific identification of behind the meter components on their interconnection application forms, and (3) a modification to the pre-application report request or supplemental review process, which may include an associated cost, to provide applicants with the option of requesting the utility to determine whether</w:t>
      </w:r>
      <w:r w:rsidR="00641866">
        <w:t xml:space="preserve"> the proposed interconnection </w:t>
      </w:r>
      <w:r w:rsidR="003A3E2D" w:rsidRPr="00CA47B5">
        <w:t>require</w:t>
      </w:r>
      <w:r w:rsidR="00641866">
        <w:t>s</w:t>
      </w:r>
      <w:r w:rsidR="003A3E2D" w:rsidRPr="00CA47B5">
        <w:t xml:space="preserve"> a Direct Transfer </w:t>
      </w:r>
      <w:r w:rsidR="004E5300">
        <w:t>Trip; and</w:t>
      </w:r>
    </w:p>
    <w:p w:rsidR="007333E6" w:rsidRPr="00B031D2" w:rsidRDefault="007333E6" w:rsidP="00021647">
      <w:pPr>
        <w:pStyle w:val="num1"/>
        <w:numPr>
          <w:ilvl w:val="0"/>
          <w:numId w:val="36"/>
        </w:numPr>
        <w:spacing w:after="120" w:line="240" w:lineRule="auto"/>
        <w:ind w:right="1440"/>
      </w:pPr>
      <w:r w:rsidRPr="007333E6">
        <w:t>include a transition plan</w:t>
      </w:r>
      <w:r w:rsidR="00BD7EC2">
        <w:t>, i</w:t>
      </w:r>
      <w:r w:rsidR="00B4052E">
        <w:t>f</w:t>
      </w:r>
      <w:r w:rsidR="00BD7EC2">
        <w:t xml:space="preserve"> warranted due to number of applicants</w:t>
      </w:r>
      <w:r w:rsidR="00B4052E">
        <w:t>,</w:t>
      </w:r>
      <w:r w:rsidRPr="007333E6">
        <w:t xml:space="preserve"> that indicates </w:t>
      </w:r>
      <w:r w:rsidR="00850B74">
        <w:t xml:space="preserve">(1) </w:t>
      </w:r>
      <w:r w:rsidRPr="007333E6">
        <w:t xml:space="preserve">which </w:t>
      </w:r>
      <w:r w:rsidR="00641866">
        <w:t xml:space="preserve">pending </w:t>
      </w:r>
      <w:r w:rsidRPr="007333E6">
        <w:t>applicants, by application date, queue number, or other clear dem</w:t>
      </w:r>
      <w:r w:rsidR="00641866">
        <w:t xml:space="preserve">arcation, can select </w:t>
      </w:r>
      <w:r w:rsidR="00C20E64">
        <w:t xml:space="preserve">the first </w:t>
      </w:r>
      <w:r w:rsidRPr="007333E6">
        <w:t>study group</w:t>
      </w:r>
      <w:r w:rsidR="00C20E64">
        <w:t xml:space="preserve"> which opens after the effective date of this decision</w:t>
      </w:r>
      <w:r w:rsidRPr="007333E6">
        <w:t xml:space="preserve">, </w:t>
      </w:r>
      <w:r w:rsidR="00952AE8">
        <w:br/>
      </w:r>
      <w:r w:rsidR="00850B74">
        <w:t xml:space="preserve">(2) </w:t>
      </w:r>
      <w:r w:rsidRPr="007333E6">
        <w:t xml:space="preserve">the process for selecting this option, including </w:t>
      </w:r>
      <w:r w:rsidR="004E5300">
        <w:t xml:space="preserve">the </w:t>
      </w:r>
      <w:r w:rsidRPr="007333E6">
        <w:t>notification process, the related fees, an</w:t>
      </w:r>
      <w:r w:rsidR="00850B74">
        <w:t>d other administrative details, and (3) a</w:t>
      </w:r>
      <w:r w:rsidRPr="007333E6">
        <w:t>ny</w:t>
      </w:r>
      <w:r w:rsidR="00641866">
        <w:t xml:space="preserve"> other</w:t>
      </w:r>
      <w:r w:rsidRPr="007333E6">
        <w:t xml:space="preserve"> deadlines for </w:t>
      </w:r>
      <w:r w:rsidR="005C088B">
        <w:t>r</w:t>
      </w:r>
      <w:r w:rsidRPr="007333E6">
        <w:t>e</w:t>
      </w:r>
      <w:r w:rsidR="005C088B">
        <w:t>quest</w:t>
      </w:r>
      <w:r w:rsidR="00C20E64">
        <w:t xml:space="preserve">ing to be </w:t>
      </w:r>
      <w:r w:rsidR="00D52E3B">
        <w:t xml:space="preserve">considered </w:t>
      </w:r>
      <w:r w:rsidR="00C20E64">
        <w:t xml:space="preserve">in the first </w:t>
      </w:r>
      <w:r w:rsidRPr="007333E6">
        <w:t>study group</w:t>
      </w:r>
      <w:r w:rsidR="00C20E64">
        <w:t xml:space="preserve"> which opens after the effective date of this decision</w:t>
      </w:r>
      <w:r w:rsidRPr="007333E6">
        <w:t xml:space="preserve">. </w:t>
      </w:r>
      <w:r w:rsidR="00CB0C3D">
        <w:t>The transition plan could be submitted as a separate Tier 2 Advice Letter if all utilities agree that incorporating a transition into Rule 21 is not needed.</w:t>
      </w:r>
    </w:p>
    <w:p w:rsidR="008909D5" w:rsidRPr="008909D5" w:rsidRDefault="00437130" w:rsidP="00D0071D">
      <w:pPr>
        <w:pStyle w:val="num1"/>
        <w:numPr>
          <w:ilvl w:val="0"/>
          <w:numId w:val="41"/>
        </w:numPr>
        <w:ind w:left="0" w:firstLine="360"/>
      </w:pPr>
      <w:r w:rsidRPr="00437130">
        <w:t xml:space="preserve">Pacific Gas and Electric Company (PG&amp;E), Southern California Edison Company (SCE), and San Diego Gas &amp; Electric Company (SDG&amp;E) </w:t>
      </w:r>
      <w:r w:rsidR="008909D5" w:rsidRPr="008909D5">
        <w:t xml:space="preserve">shall </w:t>
      </w:r>
      <w:r w:rsidR="00D52E3B">
        <w:t>schedule</w:t>
      </w:r>
      <w:r w:rsidR="00764E8C">
        <w:t xml:space="preserve"> </w:t>
      </w:r>
      <w:r w:rsidR="00D52E3B">
        <w:t xml:space="preserve">a meeting </w:t>
      </w:r>
      <w:r w:rsidR="00764E8C">
        <w:t>within</w:t>
      </w:r>
      <w:r w:rsidR="008909D5" w:rsidRPr="008909D5">
        <w:t xml:space="preserve"> 12</w:t>
      </w:r>
      <w:r w:rsidR="007F21AE">
        <w:t xml:space="preserve"> months after </w:t>
      </w:r>
      <w:r w:rsidR="00764E8C">
        <w:t xml:space="preserve">the effective date of the Tier </w:t>
      </w:r>
      <w:r w:rsidR="00D52E3B">
        <w:t>2</w:t>
      </w:r>
      <w:r w:rsidR="007F21AE">
        <w:t xml:space="preserve"> Advice Letters referred to in Ordering Paragraph 1 to review </w:t>
      </w:r>
      <w:r w:rsidR="008909D5" w:rsidRPr="008909D5">
        <w:t>the Distribution Group Study Process.  Further meetings may be held</w:t>
      </w:r>
      <w:r w:rsidR="00D52E3B">
        <w:t>.</w:t>
      </w:r>
      <w:r w:rsidR="008909D5" w:rsidRPr="008909D5">
        <w:t xml:space="preserve">  The Commission directs the Energy Division to participate in this </w:t>
      </w:r>
      <w:r w:rsidR="00D52E3B">
        <w:t>meeting</w:t>
      </w:r>
      <w:r w:rsidR="008909D5" w:rsidRPr="008909D5">
        <w:t xml:space="preserve">.  PG&amp;E, SCE, and SDG&amp;E together with the Energy Division shall prepare a report based on information obtained during the </w:t>
      </w:r>
      <w:r w:rsidR="00D7488D">
        <w:t>meeting</w:t>
      </w:r>
      <w:r w:rsidR="008909D5" w:rsidRPr="008909D5">
        <w:t xml:space="preserve"> to evaluate how the Distribution Group Study Process ensure</w:t>
      </w:r>
      <w:r w:rsidR="00223A1A">
        <w:t>s</w:t>
      </w:r>
      <w:r w:rsidR="008909D5" w:rsidRPr="008909D5">
        <w:t xml:space="preserve"> that the interconnection process is timely, non-discriminatory, </w:t>
      </w:r>
      <w:r w:rsidR="00952AE8">
        <w:br/>
      </w:r>
      <w:r w:rsidR="008909D5" w:rsidRPr="008909D5">
        <w:t>cost-effective, and transparent.</w:t>
      </w:r>
      <w:r w:rsidR="00F80EC6">
        <w:t xml:space="preserve">  This report shall be submitted to the Director of the Commission’s Energy Division within 60 days following the date of the meeting.</w:t>
      </w:r>
    </w:p>
    <w:p w:rsidR="00FC6860" w:rsidRDefault="00437130" w:rsidP="00D0071D">
      <w:pPr>
        <w:pStyle w:val="num1"/>
        <w:numPr>
          <w:ilvl w:val="0"/>
          <w:numId w:val="41"/>
        </w:numPr>
        <w:ind w:left="0" w:firstLine="360"/>
      </w:pPr>
      <w:r w:rsidRPr="00437130">
        <w:t xml:space="preserve">Pacific Gas and Electric Company (PG&amp;E), Southern California Edison Company (SCE), and San Diego Gas &amp; Electric Company (SDG&amp;E) </w:t>
      </w:r>
      <w:r w:rsidR="00C01A00">
        <w:t xml:space="preserve">shall submit a quarterly report to the Commission, referred to as the Interconnection Data Quarterly Report, in January (October – December data), April (January – March data), July (April – June data), and </w:t>
      </w:r>
      <w:r w:rsidR="0025005E">
        <w:t xml:space="preserve">October (July-September data). </w:t>
      </w:r>
      <w:r w:rsidR="001A0F59">
        <w:t xml:space="preserve"> </w:t>
      </w:r>
      <w:r w:rsidR="001A0F59" w:rsidRPr="001A0F59">
        <w:t>These reports shall be submitted to the Director of the Commission’s Energy Division in a form</w:t>
      </w:r>
      <w:r>
        <w:t>at</w:t>
      </w:r>
      <w:r w:rsidR="001A0F59" w:rsidRPr="001A0F59">
        <w:t xml:space="preserve"> </w:t>
      </w:r>
      <w:r w:rsidR="00F85A76">
        <w:t xml:space="preserve">prepared </w:t>
      </w:r>
      <w:r w:rsidR="001A0F59" w:rsidRPr="001A0F59">
        <w:t>by Energy Division</w:t>
      </w:r>
      <w:r w:rsidR="004E5300">
        <w:t xml:space="preserve">.  </w:t>
      </w:r>
      <w:r w:rsidR="00F85A76">
        <w:t xml:space="preserve">Upon the request of Energy Division, </w:t>
      </w:r>
      <w:r w:rsidR="001A0F59" w:rsidRPr="001A0F59">
        <w:t>PG&amp;E, SCE, and SDG&amp;E</w:t>
      </w:r>
      <w:r w:rsidR="00F85A76">
        <w:t xml:space="preserve"> shall assist Energy Division to develop this format</w:t>
      </w:r>
      <w:r w:rsidR="001A0F59" w:rsidRPr="001A0F59">
        <w:t>.</w:t>
      </w:r>
      <w:r w:rsidR="00C20E64">
        <w:t xml:space="preserve">  This report shall be submitted for a two-year period, starting from the effective date of this decision, and further reports are required only at the direction of the </w:t>
      </w:r>
      <w:r w:rsidR="00C20E64" w:rsidRPr="00C20E64">
        <w:t>Director of the Commission’s Energy Division</w:t>
      </w:r>
      <w:r w:rsidR="00C20E64">
        <w:t>.</w:t>
      </w:r>
    </w:p>
    <w:p w:rsidR="009B4789" w:rsidRDefault="00FC6860" w:rsidP="00D0071D">
      <w:pPr>
        <w:pStyle w:val="num1"/>
        <w:numPr>
          <w:ilvl w:val="0"/>
          <w:numId w:val="41"/>
        </w:numPr>
        <w:ind w:left="0" w:firstLine="360"/>
      </w:pPr>
      <w:r>
        <w:t>The</w:t>
      </w:r>
      <w:r w:rsidRPr="00FC6860">
        <w:t xml:space="preserve"> Interconnection Data Quarterly Report</w:t>
      </w:r>
      <w:r w:rsidR="001A0F59">
        <w:t xml:space="preserve">, referred to in Ordering Paragraph </w:t>
      </w:r>
      <w:r w:rsidR="00437130" w:rsidRPr="00CA47B5">
        <w:t>3</w:t>
      </w:r>
      <w:r w:rsidR="00CA47B5">
        <w:t xml:space="preserve"> herein</w:t>
      </w:r>
      <w:r w:rsidR="001A0F59" w:rsidRPr="00CA47B5">
        <w:t>,</w:t>
      </w:r>
      <w:r>
        <w:t xml:space="preserve"> </w:t>
      </w:r>
      <w:r w:rsidR="004E5300">
        <w:t>shall include</w:t>
      </w:r>
      <w:r w:rsidR="00C01A00">
        <w:t xml:space="preserve"> information to support the utilities’ rationale for reliance on a group study p</w:t>
      </w:r>
      <w:r>
        <w:t>rocess.</w:t>
      </w:r>
      <w:r w:rsidR="001A0F59">
        <w:t xml:space="preserve"> </w:t>
      </w:r>
      <w:r>
        <w:t xml:space="preserve"> </w:t>
      </w:r>
      <w:r w:rsidR="00266255">
        <w:t xml:space="preserve">Reports </w:t>
      </w:r>
      <w:r w:rsidR="004E5300">
        <w:t>may</w:t>
      </w:r>
      <w:r w:rsidR="006B7961">
        <w:t xml:space="preserve"> be</w:t>
      </w:r>
      <w:r w:rsidR="00266255">
        <w:t xml:space="preserve"> </w:t>
      </w:r>
      <w:r w:rsidR="009B4789" w:rsidRPr="009B4789">
        <w:t>b</w:t>
      </w:r>
      <w:r w:rsidR="00266255">
        <w:t>oth public and confidential.  R</w:t>
      </w:r>
      <w:r w:rsidR="009B4789" w:rsidRPr="009B4789">
        <w:t xml:space="preserve">eports shall </w:t>
      </w:r>
      <w:r w:rsidR="004E5300">
        <w:t xml:space="preserve">also </w:t>
      </w:r>
      <w:r w:rsidR="009B4789" w:rsidRPr="009B4789">
        <w:t xml:space="preserve">include, among other things, compliance with </w:t>
      </w:r>
      <w:r w:rsidR="00C81432">
        <w:t xml:space="preserve">Electric Tariff </w:t>
      </w:r>
      <w:r w:rsidR="009B4789" w:rsidRPr="009B4789">
        <w:t>Rule 21</w:t>
      </w:r>
      <w:r w:rsidR="00C81432">
        <w:t xml:space="preserve"> (Rule 21)</w:t>
      </w:r>
      <w:r w:rsidR="009B4789" w:rsidRPr="009B4789">
        <w:t xml:space="preserve"> timelines, interconnection upgrade cost estimates for projects in the Independent Study Process and the Distribution Group Study Process, account true-up data for interconnection cost estimates, </w:t>
      </w:r>
      <w:r w:rsidR="00266255">
        <w:t xml:space="preserve">an accounting of </w:t>
      </w:r>
      <w:r w:rsidR="009B4789" w:rsidRPr="009B4789">
        <w:t xml:space="preserve">all exemptions from Rule </w:t>
      </w:r>
      <w:r w:rsidR="00266255">
        <w:t>21 interconnection fees</w:t>
      </w:r>
      <w:r w:rsidR="009B4789" w:rsidRPr="009B4789">
        <w:t>,</w:t>
      </w:r>
      <w:r w:rsidR="00F33D6A">
        <w:t xml:space="preserve"> including the value of those exemptions,</w:t>
      </w:r>
      <w:r w:rsidR="009B4789" w:rsidRPr="009B4789">
        <w:t xml:space="preserve"> and the number of Rule 21 projects at eac</w:t>
      </w:r>
      <w:r w:rsidR="001A0F59">
        <w:t xml:space="preserve">h step of the Rule 21 process.  </w:t>
      </w:r>
      <w:r w:rsidR="001A0F59" w:rsidRPr="001A0F59">
        <w:t>Energy Division may require additional information to be included in these reports.</w:t>
      </w:r>
    </w:p>
    <w:p w:rsidR="006B1566" w:rsidRDefault="00437130" w:rsidP="00D0071D">
      <w:pPr>
        <w:pStyle w:val="num1"/>
        <w:numPr>
          <w:ilvl w:val="0"/>
          <w:numId w:val="41"/>
        </w:numPr>
        <w:ind w:left="0" w:firstLine="360"/>
      </w:pPr>
      <w:r w:rsidRPr="00021647">
        <w:t>P</w:t>
      </w:r>
      <w:r w:rsidRPr="00D0071D">
        <w:t>acif</w:t>
      </w:r>
      <w:r w:rsidRPr="00021647">
        <w:t>ic</w:t>
      </w:r>
      <w:r w:rsidRPr="00D0071D">
        <w:t xml:space="preserve"> Gas and Electric Company (PG&amp;E), Southern California Edison Company (SCE), and San Diego Gas &amp; Electric Company (SDG&amp;E) </w:t>
      </w:r>
      <w:r w:rsidR="00E9111F" w:rsidRPr="00D0071D">
        <w:t>shall</w:t>
      </w:r>
      <w:r w:rsidR="003A3E2D" w:rsidRPr="00D0071D">
        <w:t xml:space="preserve"> include in </w:t>
      </w:r>
      <w:r w:rsidR="00CA47B5" w:rsidRPr="00D0071D">
        <w:t xml:space="preserve">the </w:t>
      </w:r>
      <w:r w:rsidR="00764E8C" w:rsidRPr="00D0071D">
        <w:t xml:space="preserve">Tier </w:t>
      </w:r>
      <w:r w:rsidR="001B7B5C">
        <w:t>2</w:t>
      </w:r>
      <w:r w:rsidR="001B7B5C" w:rsidRPr="00D0071D">
        <w:t xml:space="preserve"> </w:t>
      </w:r>
      <w:r w:rsidR="00831D10" w:rsidRPr="00D0071D">
        <w:t xml:space="preserve">Advice Letters </w:t>
      </w:r>
      <w:r w:rsidR="003A3E2D" w:rsidRPr="00D0071D">
        <w:t xml:space="preserve">to be filed </w:t>
      </w:r>
      <w:r w:rsidR="00764E8C" w:rsidRPr="00D0071D">
        <w:t xml:space="preserve">within </w:t>
      </w:r>
      <w:r w:rsidR="001B7B5C">
        <w:t>6</w:t>
      </w:r>
      <w:r w:rsidR="00E9111F" w:rsidRPr="00D0071D">
        <w:t>0 days of the effective date of today’s decision with a Distribution Group Study Process</w:t>
      </w:r>
      <w:r w:rsidR="003A3E2D" w:rsidRPr="00D0071D">
        <w:t xml:space="preserve">, as referred to in Ordering Paragraph 1, the </w:t>
      </w:r>
      <w:r w:rsidR="00E9111F" w:rsidRPr="00D0071D">
        <w:t xml:space="preserve">following forms adopted today:  (1) </w:t>
      </w:r>
      <w:r w:rsidR="00C81432" w:rsidRPr="00D0071D">
        <w:t xml:space="preserve">Electric Tariff </w:t>
      </w:r>
      <w:r w:rsidR="00E9111F" w:rsidRPr="00D0071D">
        <w:t>Rule 21</w:t>
      </w:r>
      <w:r w:rsidR="00C81432" w:rsidRPr="00D0071D">
        <w:t xml:space="preserve"> (Rule 21)</w:t>
      </w:r>
      <w:r w:rsidR="00E9111F" w:rsidRPr="00D0071D">
        <w:t xml:space="preserve"> Generator Interconnection Agreement for Exporting Generation Facili</w:t>
      </w:r>
      <w:r w:rsidR="00CF08E1" w:rsidRPr="00D0071D">
        <w:t>ties Interconnecting U</w:t>
      </w:r>
      <w:r w:rsidR="00E9111F" w:rsidRPr="00D0071D">
        <w:t xml:space="preserve">nder the Transmission Cluster Study or Independent Study Process; (2) Rule 21 Independent Study Process Study Agreement; and (3) Rule 21 Pre-Application Report Request.  PG&amp;E, SCE, and SDG&amp;E shall make additional efforts, as warranted, to make their forms substantially similar in format </w:t>
      </w:r>
      <w:r w:rsidR="00CA47B5" w:rsidRPr="00D0071D">
        <w:t xml:space="preserve">and substance </w:t>
      </w:r>
      <w:r w:rsidR="00E9111F" w:rsidRPr="00D0071D">
        <w:t xml:space="preserve">prior to filing the </w:t>
      </w:r>
      <w:r w:rsidR="006C5699">
        <w:t>a</w:t>
      </w:r>
      <w:r w:rsidR="00E9111F" w:rsidRPr="00D0071D">
        <w:t xml:space="preserve">dvice </w:t>
      </w:r>
      <w:r w:rsidR="006C5699">
        <w:t>L</w:t>
      </w:r>
      <w:r w:rsidR="00E9111F" w:rsidRPr="00D0071D">
        <w:t>etters and to incorporate revisions into the form</w:t>
      </w:r>
      <w:r w:rsidR="00CA47B5" w:rsidRPr="00D0071D">
        <w:t>s</w:t>
      </w:r>
      <w:r w:rsidR="00E9111F" w:rsidRPr="00D0071D">
        <w:t xml:space="preserve">, as needed, to conform </w:t>
      </w:r>
      <w:r w:rsidR="00166739" w:rsidRPr="00D0071D">
        <w:t xml:space="preserve">to </w:t>
      </w:r>
      <w:r w:rsidR="00E9111F" w:rsidRPr="00D0071D">
        <w:t xml:space="preserve">the revisions to Rule 21 </w:t>
      </w:r>
      <w:r w:rsidR="00166739" w:rsidRPr="00D0071D">
        <w:t xml:space="preserve">adopted today </w:t>
      </w:r>
      <w:r w:rsidR="00E9111F" w:rsidRPr="00D0071D">
        <w:t xml:space="preserve">regarding the </w:t>
      </w:r>
      <w:r w:rsidR="000C63AA" w:rsidRPr="0047280A">
        <w:t>Distribution Group Study Process</w:t>
      </w:r>
      <w:r w:rsidR="000C63AA">
        <w:t>.</w:t>
      </w:r>
      <w:r w:rsidR="000C63AA" w:rsidRPr="00D0071D">
        <w:t xml:space="preserve">  M</w:t>
      </w:r>
      <w:r w:rsidR="00E9111F" w:rsidRPr="00D0071D">
        <w:t xml:space="preserve">odification to these </w:t>
      </w:r>
      <w:r w:rsidR="00166739" w:rsidRPr="00D0071D">
        <w:t xml:space="preserve">final </w:t>
      </w:r>
      <w:r w:rsidR="00E9111F" w:rsidRPr="00D0071D">
        <w:t xml:space="preserve">tariff forms is </w:t>
      </w:r>
      <w:r w:rsidR="000C63AA" w:rsidRPr="00D0071D">
        <w:t>only</w:t>
      </w:r>
      <w:r w:rsidR="006B7961" w:rsidRPr="00D0071D">
        <w:t xml:space="preserve"> permitted</w:t>
      </w:r>
      <w:r w:rsidR="000C63AA" w:rsidRPr="00D0071D">
        <w:t xml:space="preserve"> with prior Commission approval</w:t>
      </w:r>
      <w:r w:rsidR="001B7B5C">
        <w:t>.</w:t>
      </w:r>
    </w:p>
    <w:p w:rsidR="00B30FF9" w:rsidRDefault="00B30FF9" w:rsidP="00D0071D">
      <w:pPr>
        <w:pStyle w:val="num1"/>
        <w:keepNext/>
        <w:keepLines/>
        <w:numPr>
          <w:ilvl w:val="0"/>
          <w:numId w:val="41"/>
        </w:numPr>
        <w:ind w:left="0" w:firstLine="360"/>
      </w:pPr>
      <w:r>
        <w:t>Rulemaking</w:t>
      </w:r>
      <w:r w:rsidR="00411635">
        <w:t xml:space="preserve"> 11-09-011</w:t>
      </w:r>
      <w:r w:rsidR="00D826FD">
        <w:t xml:space="preserve"> remains open</w:t>
      </w:r>
      <w:r>
        <w:t>.</w:t>
      </w:r>
    </w:p>
    <w:p w:rsidR="00B30FF9" w:rsidRDefault="00B30FF9" w:rsidP="0007255A">
      <w:pPr>
        <w:pStyle w:val="standard"/>
        <w:keepNext/>
        <w:keepLines/>
      </w:pPr>
      <w:r>
        <w:t>This order is effective today.</w:t>
      </w:r>
    </w:p>
    <w:p w:rsidR="00B30FF9" w:rsidRDefault="00B30FF9" w:rsidP="0007255A">
      <w:pPr>
        <w:pStyle w:val="standard"/>
        <w:keepNext/>
        <w:keepLines/>
      </w:pPr>
      <w:r>
        <w:t xml:space="preserve">Dated </w:t>
      </w:r>
      <w:r>
        <w:rPr>
          <w:u w:val="single"/>
        </w:rPr>
        <w:tab/>
      </w:r>
      <w:r>
        <w:rPr>
          <w:u w:val="single"/>
        </w:rPr>
        <w:tab/>
      </w:r>
      <w:r>
        <w:rPr>
          <w:u w:val="single"/>
        </w:rPr>
        <w:tab/>
      </w:r>
      <w:r>
        <w:rPr>
          <w:u w:val="single"/>
        </w:rPr>
        <w:tab/>
      </w:r>
      <w:r>
        <w:rPr>
          <w:u w:val="single"/>
        </w:rPr>
        <w:tab/>
      </w:r>
      <w:r>
        <w:t xml:space="preserve">, at San Francisco, California. </w:t>
      </w:r>
    </w:p>
    <w:p w:rsidR="00D04D16" w:rsidRDefault="00D04D16">
      <w:pPr>
        <w:pStyle w:val="standard"/>
        <w:jc w:val="center"/>
      </w:pPr>
      <w:r>
        <w:t xml:space="preserve">Attachment 1: </w:t>
      </w:r>
    </w:p>
    <w:p w:rsidR="00D04D16" w:rsidRDefault="00D04D16" w:rsidP="00D04D16">
      <w:pPr>
        <w:pStyle w:val="standard"/>
        <w:spacing w:after="480"/>
        <w:jc w:val="center"/>
      </w:pPr>
      <w:hyperlink r:id="rId19" w:history="1">
        <w:r w:rsidRPr="00D04D16">
          <w:rPr>
            <w:rStyle w:val="Hyperlink"/>
          </w:rPr>
          <w:t>R1109011 Attachment A Rev 1.pdf</w:t>
        </w:r>
      </w:hyperlink>
    </w:p>
    <w:p w:rsidR="00D04D16" w:rsidRDefault="00D04D16" w:rsidP="00D04D16">
      <w:pPr>
        <w:pStyle w:val="standard"/>
        <w:spacing w:after="480"/>
        <w:jc w:val="center"/>
      </w:pPr>
      <w:r>
        <w:t xml:space="preserve">Attachment 2: </w:t>
      </w:r>
    </w:p>
    <w:p w:rsidR="00D04D16" w:rsidRDefault="00D04D16" w:rsidP="00D04D16">
      <w:pPr>
        <w:pStyle w:val="standard"/>
        <w:spacing w:after="480"/>
        <w:jc w:val="center"/>
      </w:pPr>
      <w:hyperlink r:id="rId20" w:history="1">
        <w:r w:rsidRPr="00D04D16">
          <w:rPr>
            <w:rStyle w:val="Hyperlink"/>
          </w:rPr>
          <w:t>R1109011 Attachment B Rev 1.pdf</w:t>
        </w:r>
      </w:hyperlink>
    </w:p>
    <w:p w:rsidR="00D04D16" w:rsidRDefault="00D04D16" w:rsidP="00D04D16">
      <w:pPr>
        <w:pStyle w:val="standard"/>
        <w:spacing w:after="480"/>
        <w:jc w:val="center"/>
      </w:pPr>
      <w:r>
        <w:t xml:space="preserve">Attachment 3: </w:t>
      </w:r>
    </w:p>
    <w:p w:rsidR="00D04D16" w:rsidRDefault="00D04D16" w:rsidP="00D04D16">
      <w:pPr>
        <w:pStyle w:val="standard"/>
        <w:spacing w:after="480"/>
        <w:jc w:val="center"/>
      </w:pPr>
      <w:hyperlink r:id="rId21" w:history="1">
        <w:r w:rsidRPr="00D04D16">
          <w:rPr>
            <w:rStyle w:val="Hyperlink"/>
          </w:rPr>
          <w:t>DeAngelis Agenda Dec Rev 1 Adopting Rev to Electric Tariff Rule 21 to Include…Tariff Forms (Redlined Ver).pdf</w:t>
        </w:r>
      </w:hyperlink>
    </w:p>
    <w:p w:rsidR="00D04D16" w:rsidRPr="00D04D16" w:rsidRDefault="00D04D16" w:rsidP="00D04D16">
      <w:pPr>
        <w:pStyle w:val="standard"/>
        <w:spacing w:after="480"/>
        <w:jc w:val="center"/>
      </w:pPr>
    </w:p>
    <w:sectPr w:rsidR="00D04D16" w:rsidRPr="00D04D16" w:rsidSect="003C26F9">
      <w:headerReference w:type="default" r:id="rId22"/>
      <w:headerReference w:type="first" r:id="rId23"/>
      <w:footerReference w:type="first" r:id="rId24"/>
      <w:pgSz w:w="12240" w:h="15840" w:code="1"/>
      <w:pgMar w:top="1152" w:right="1440" w:bottom="1440" w:left="1440"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0D6" w:rsidRDefault="009140D6">
      <w:r>
        <w:separator/>
      </w:r>
    </w:p>
  </w:endnote>
  <w:endnote w:type="continuationSeparator" w:id="0">
    <w:p w:rsidR="009140D6" w:rsidRDefault="00914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2A7" w:rsidRDefault="00E272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2A7" w:rsidRDefault="00E272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551" w:rsidRPr="00194E72" w:rsidRDefault="00CD5551" w:rsidP="0047280A">
    <w:pPr>
      <w:pStyle w:val="Footer"/>
      <w:jc w:val="left"/>
      <w:rPr>
        <w:sz w:val="16"/>
        <w:szCs w:val="16"/>
      </w:rPr>
    </w:pPr>
    <w:r w:rsidRPr="0088608F">
      <w:rPr>
        <w:sz w:val="16"/>
        <w:szCs w:val="16"/>
      </w:rPr>
      <w:t>89423595</w:t>
    </w:r>
    <w:r>
      <w:rPr>
        <w:sz w:val="16"/>
        <w:szCs w:val="16"/>
      </w:rPr>
      <w:tab/>
    </w:r>
    <w:r w:rsidRPr="00194E72">
      <w:rPr>
        <w:szCs w:val="26"/>
      </w:rPr>
      <w:t>- 1 -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551" w:rsidRDefault="00CD5551">
    <w:pPr>
      <w:pStyle w:val="Footer"/>
    </w:pPr>
    <w:r>
      <w:t xml:space="preserve">- </w:t>
    </w:r>
    <w:sdt>
      <w:sdtPr>
        <w:id w:val="-88286984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271F0">
          <w:rPr>
            <w:noProof/>
          </w:rPr>
          <w:t>44</w:t>
        </w:r>
        <w:r>
          <w:rPr>
            <w:noProof/>
          </w:rPr>
          <w:fldChar w:fldCharType="end"/>
        </w:r>
        <w:r>
          <w:rPr>
            <w:noProof/>
          </w:rPr>
          <w:t xml:space="preserve"> -</w:t>
        </w: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551" w:rsidRDefault="00CD5551" w:rsidP="0047280A">
    <w:pPr>
      <w:pStyle w:val="Footer"/>
      <w:jc w:val="left"/>
    </w:pPr>
    <w:r>
      <w:rPr>
        <w:rFonts w:ascii="Tahoma" w:hAnsi="Tahoma" w:cs="Tahoma"/>
        <w:sz w:val="17"/>
        <w:szCs w:val="17"/>
      </w:rPr>
      <w:tab/>
    </w:r>
    <w:r w:rsidRPr="00FF293E">
      <w:rPr>
        <w:rFonts w:ascii="Tahoma" w:hAnsi="Tahoma" w:cs="Tahoma"/>
        <w:szCs w:val="26"/>
      </w:rPr>
      <w:t xml:space="preserve">- </w:t>
    </w:r>
    <w:r>
      <w:rPr>
        <w:rFonts w:ascii="Tahoma" w:hAnsi="Tahoma" w:cs="Tahoma"/>
        <w:szCs w:val="26"/>
      </w:rPr>
      <w:t xml:space="preserve">i </w:t>
    </w:r>
    <w:r w:rsidRPr="00FF293E">
      <w:rPr>
        <w:rFonts w:ascii="Tahoma" w:hAnsi="Tahoma" w:cs="Tahoma"/>
        <w:szCs w:val="26"/>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551" w:rsidRDefault="00CD5551" w:rsidP="003C26F9">
    <w:pPr>
      <w:pStyle w:val="Footer"/>
      <w:ind w:left="720"/>
      <w:jc w:val="left"/>
    </w:pPr>
    <w:r>
      <w:tab/>
      <w:t xml:space="preserve">- </w:t>
    </w:r>
    <w:r>
      <w:fldChar w:fldCharType="begin"/>
    </w:r>
    <w:r>
      <w:instrText xml:space="preserve"> PAGE   \* MERGEFORMAT </w:instrText>
    </w:r>
    <w:r>
      <w:fldChar w:fldCharType="separate"/>
    </w:r>
    <w:r w:rsidR="00E271F0">
      <w:rPr>
        <w:noProof/>
      </w:rPr>
      <w:t>2</w:t>
    </w:r>
    <w:r>
      <w:rPr>
        <w:noProof/>
      </w:rPr>
      <w:fldChar w:fldCharType="end"/>
    </w:r>
    <w:r>
      <w:rPr>
        <w:noProof/>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0D6" w:rsidRDefault="009140D6">
      <w:r>
        <w:separator/>
      </w:r>
    </w:p>
  </w:footnote>
  <w:footnote w:type="continuationSeparator" w:id="0">
    <w:p w:rsidR="009140D6" w:rsidRDefault="009140D6">
      <w:r>
        <w:continuationSeparator/>
      </w:r>
    </w:p>
  </w:footnote>
  <w:footnote w:type="continuationNotice" w:id="1">
    <w:p w:rsidR="009140D6" w:rsidRDefault="009140D6">
      <w:pPr>
        <w:rPr>
          <w:sz w:val="22"/>
        </w:rPr>
      </w:pPr>
    </w:p>
    <w:p w:rsidR="009140D6" w:rsidRDefault="009140D6">
      <w:pPr>
        <w:jc w:val="right"/>
        <w:rPr>
          <w:sz w:val="22"/>
        </w:rPr>
      </w:pPr>
      <w:r>
        <w:rPr>
          <w:i/>
          <w:sz w:val="22"/>
        </w:rPr>
        <w:t>Footnote continued on next page</w:t>
      </w:r>
    </w:p>
  </w:footnote>
  <w:footnote w:id="2">
    <w:p w:rsidR="00CD5551" w:rsidRDefault="00CD5551" w:rsidP="0047280A">
      <w:pPr>
        <w:pStyle w:val="FootnoteText"/>
      </w:pPr>
      <w:r>
        <w:rPr>
          <w:rStyle w:val="FootnoteReference"/>
        </w:rPr>
        <w:footnoteRef/>
      </w:r>
      <w:r>
        <w:t xml:space="preserve">  AB 327 (Perea, Stats.</w:t>
      </w:r>
      <w:r w:rsidRPr="00B33BF1">
        <w:t xml:space="preserve"> 2013, ch. 611)</w:t>
      </w:r>
      <w:r>
        <w:t xml:space="preserve">, effective January 1, 2014, adds </w:t>
      </w:r>
      <w:r>
        <w:rPr>
          <w:rFonts w:ascii="Book Antiqua" w:hAnsi="Book Antiqua"/>
        </w:rPr>
        <w:t>§</w:t>
      </w:r>
      <w:r>
        <w:t xml:space="preserve"> 769 to the Pub. Util. Code. </w:t>
      </w:r>
      <w:r>
        <w:rPr>
          <w:rFonts w:ascii="Book Antiqua" w:hAnsi="Book Antiqua"/>
        </w:rPr>
        <w:t xml:space="preserve"> Section </w:t>
      </w:r>
      <w:r>
        <w:t>769(c) provides that “[</w:t>
      </w:r>
      <w:r w:rsidRPr="00B33BF1">
        <w:t>T</w:t>
      </w:r>
      <w:r>
        <w:t>]</w:t>
      </w:r>
      <w:r w:rsidRPr="00B33BF1">
        <w:t>he commission shall review each distribution resources plan proposal submitted by an electrical corporation</w:t>
      </w:r>
      <w:r>
        <w:t xml:space="preserve"> [on or before July 1, 2015]</w:t>
      </w:r>
      <w:r w:rsidRPr="00B33BF1">
        <w:t xml:space="preserve"> and approve, or modify and approve, a distribution resources plan for the corporation. The commission may modify any plan as appropriate to minimize overall system costs and maximize ratepayer benefit from investments in distributed resources.</w:t>
      </w:r>
      <w:r>
        <w:t>”</w:t>
      </w:r>
    </w:p>
  </w:footnote>
  <w:footnote w:id="3">
    <w:p w:rsidR="00CD5551" w:rsidRDefault="00CD5551">
      <w:pPr>
        <w:pStyle w:val="FootnoteText"/>
      </w:pPr>
      <w:r>
        <w:rPr>
          <w:rStyle w:val="FootnoteReference"/>
        </w:rPr>
        <w:footnoteRef/>
      </w:r>
      <w:r>
        <w:t xml:space="preserve">  While many projects must be studied serially, some projects are eligible to be considered on a more expedited basis.  These eligible projects are processed through the so called Fast Track option under Rule 21 and as adopted in Decision (D.) 12-09-018.</w:t>
      </w:r>
    </w:p>
  </w:footnote>
  <w:footnote w:id="4">
    <w:p w:rsidR="00CD5551" w:rsidRDefault="00CD5551" w:rsidP="00DE085C">
      <w:pPr>
        <w:pStyle w:val="FootnoteText"/>
      </w:pPr>
      <w:r>
        <w:rPr>
          <w:rStyle w:val="FootnoteReference"/>
        </w:rPr>
        <w:footnoteRef/>
      </w:r>
      <w:r>
        <w:t xml:space="preserve">  </w:t>
      </w:r>
      <w:r w:rsidRPr="00137A59">
        <w:rPr>
          <w:i/>
        </w:rPr>
        <w:t>See, e.g.,</w:t>
      </w:r>
      <w:r w:rsidRPr="00137A59">
        <w:t xml:space="preserve"> P</w:t>
      </w:r>
      <w:r>
        <w:t xml:space="preserve">acific </w:t>
      </w:r>
      <w:r w:rsidRPr="00137A59">
        <w:t>G</w:t>
      </w:r>
      <w:r>
        <w:t xml:space="preserve">as and </w:t>
      </w:r>
      <w:r w:rsidRPr="00137A59">
        <w:t>E</w:t>
      </w:r>
      <w:r>
        <w:t>lectric Company (PG&amp;E)</w:t>
      </w:r>
      <w:r w:rsidRPr="00137A59">
        <w:t xml:space="preserve"> Tariff </w:t>
      </w:r>
      <w:r>
        <w:t xml:space="preserve">Rule 21 at sec. F.3.d.  The terms and number of Rule 21 are identical for PG&amp;E, Southern California Edison Company (SCE), and San Diego Gas &amp; Electric Company (SDG&amp;E).  References to </w:t>
      </w:r>
      <w:r>
        <w:br/>
        <w:t>Rule 21 will cite to PG&amp;E’s tariff but SCE’s and SDG&amp;E’s tariff are equally applicable.</w:t>
      </w:r>
    </w:p>
  </w:footnote>
  <w:footnote w:id="5">
    <w:p w:rsidR="00CD5551" w:rsidRDefault="00CD5551">
      <w:pPr>
        <w:pStyle w:val="FootnoteText"/>
      </w:pPr>
      <w:r>
        <w:rPr>
          <w:rStyle w:val="FootnoteReference"/>
        </w:rPr>
        <w:footnoteRef/>
      </w:r>
      <w:r>
        <w:t xml:space="preserve">  </w:t>
      </w:r>
      <w:r w:rsidRPr="000B4094">
        <w:rPr>
          <w:i/>
        </w:rPr>
        <w:t>See, e.g.,</w:t>
      </w:r>
      <w:r w:rsidRPr="000B4094">
        <w:t xml:space="preserve"> PG&amp;E Electric Tariff Rule 21 </w:t>
      </w:r>
      <w:r>
        <w:t xml:space="preserve">at sec. E.4.e. </w:t>
      </w:r>
    </w:p>
  </w:footnote>
  <w:footnote w:id="6">
    <w:p w:rsidR="00CD5551" w:rsidRDefault="00CD5551" w:rsidP="0005679F">
      <w:pPr>
        <w:pStyle w:val="FootnoteText"/>
      </w:pPr>
      <w:r>
        <w:rPr>
          <w:rStyle w:val="FootnoteReference"/>
        </w:rPr>
        <w:footnoteRef/>
      </w:r>
      <w:r>
        <w:t xml:space="preserve">  </w:t>
      </w:r>
      <w:r w:rsidRPr="00137A59">
        <w:rPr>
          <w:i/>
        </w:rPr>
        <w:t>See, e.g.,</w:t>
      </w:r>
      <w:r w:rsidRPr="00137A59">
        <w:t xml:space="preserve"> PG&amp;E Electric Tariff Rule 21 </w:t>
      </w:r>
      <w:r>
        <w:t>at sec. F.3.c.  The Transmission Cluster Study Process is set forth in the utilities’ wholesale distribution tariff under the jurisdiction of the Federal Regulatory Energy Commiss</w:t>
      </w:r>
      <w:r w:rsidRPr="00755776">
        <w:t>io</w:t>
      </w:r>
      <w:r>
        <w:t>n (FERC).</w:t>
      </w:r>
    </w:p>
  </w:footnote>
  <w:footnote w:id="7">
    <w:p w:rsidR="00CD5551" w:rsidRDefault="00CD5551">
      <w:pPr>
        <w:pStyle w:val="FootnoteText"/>
      </w:pPr>
      <w:r w:rsidRPr="00A26B5B">
        <w:rPr>
          <w:rStyle w:val="FootnoteReference"/>
        </w:rPr>
        <w:footnoteRef/>
      </w:r>
      <w:r w:rsidRPr="00A26B5B">
        <w:t xml:space="preserve"> </w:t>
      </w:r>
      <w:r>
        <w:t xml:space="preserve"> Interstate Renewable Energy Council (IREC)</w:t>
      </w:r>
      <w:r w:rsidRPr="00A26B5B">
        <w:t xml:space="preserve"> March 8, 2012 comments at 4.</w:t>
      </w:r>
    </w:p>
  </w:footnote>
  <w:footnote w:id="8">
    <w:p w:rsidR="00CD5551" w:rsidRDefault="00CD5551">
      <w:pPr>
        <w:pStyle w:val="FootnoteText"/>
      </w:pPr>
      <w:r>
        <w:rPr>
          <w:rStyle w:val="FootnoteReference"/>
        </w:rPr>
        <w:footnoteRef/>
      </w:r>
      <w:r>
        <w:t xml:space="preserve">  </w:t>
      </w:r>
      <w:r w:rsidRPr="0085296A">
        <w:rPr>
          <w:i/>
        </w:rPr>
        <w:t>See</w:t>
      </w:r>
      <w:r>
        <w:rPr>
          <w:i/>
        </w:rPr>
        <w:t>,</w:t>
      </w:r>
      <w:r w:rsidRPr="0085296A">
        <w:rPr>
          <w:i/>
        </w:rPr>
        <w:t xml:space="preserve"> e.g.,</w:t>
      </w:r>
      <w:r>
        <w:t xml:space="preserve"> PG&amp;E Electric Tariff </w:t>
      </w:r>
      <w:r w:rsidRPr="0085296A">
        <w:t>Rule 21 at</w:t>
      </w:r>
      <w:r>
        <w:t xml:space="preserve"> sec. E.4.c.</w:t>
      </w:r>
    </w:p>
  </w:footnote>
  <w:footnote w:id="9">
    <w:p w:rsidR="00CD5551" w:rsidRDefault="00CD5551">
      <w:pPr>
        <w:pStyle w:val="FootnoteText"/>
      </w:pPr>
      <w:r>
        <w:rPr>
          <w:rStyle w:val="FootnoteReference"/>
        </w:rPr>
        <w:footnoteRef/>
      </w:r>
      <w:r>
        <w:t xml:space="preserve">  </w:t>
      </w:r>
      <w:r w:rsidRPr="0085296A">
        <w:rPr>
          <w:i/>
        </w:rPr>
        <w:t>See, e.g.,</w:t>
      </w:r>
      <w:r w:rsidRPr="0085296A">
        <w:t xml:space="preserve"> PG&amp;E Electric Tariff </w:t>
      </w:r>
      <w:r>
        <w:t xml:space="preserve">Rule 21 </w:t>
      </w:r>
      <w:r w:rsidRPr="0085296A">
        <w:t>at sec.</w:t>
      </w:r>
      <w:r>
        <w:t xml:space="preserve"> E.4.e.</w:t>
      </w:r>
    </w:p>
  </w:footnote>
  <w:footnote w:id="10">
    <w:p w:rsidR="00CD5551" w:rsidRDefault="00CD5551" w:rsidP="0047280A">
      <w:pPr>
        <w:pStyle w:val="FootnoteText"/>
      </w:pPr>
      <w:r>
        <w:rPr>
          <w:rStyle w:val="FootnoteReference"/>
        </w:rPr>
        <w:footnoteRef/>
      </w:r>
      <w:r>
        <w:t xml:space="preserve">  The RPS Program</w:t>
      </w:r>
      <w:r w:rsidRPr="000415A5">
        <w:t xml:space="preserve"> was established by Senate Bill (SB) 1078, effective January 1, 2003 (Sher, Stats. 2002, ch. 516).</w:t>
      </w:r>
      <w:r>
        <w:t xml:space="preserve"> </w:t>
      </w:r>
      <w:r w:rsidRPr="000415A5">
        <w:t xml:space="preserve"> This legislation established, among other things, that the amount of electricity procured per year from eligible renewable energy resources, as defined therein, would be an amount equal to at least 20% of the total electricity sold to retail customers in the state by December 31, 2017. </w:t>
      </w:r>
      <w:r>
        <w:t xml:space="preserve"> </w:t>
      </w:r>
      <w:r w:rsidRPr="000415A5">
        <w:t>The Legislature accelerated this goal to 20% by 2010 in SB 107 (Simitian, Stats. 2006, ch. 464).</w:t>
      </w:r>
      <w:r>
        <w:t xml:space="preserve"> </w:t>
      </w:r>
      <w:r w:rsidRPr="000415A5">
        <w:t xml:space="preserve"> In 2011, SB 2 of the 2011-2012 First Extraordinary Session (Simitian, Stats. 2011, ch. </w:t>
      </w:r>
      <w:r>
        <w:t>1) (SB 2 1X) extended</w:t>
      </w:r>
      <w:r w:rsidRPr="000415A5">
        <w:t xml:space="preserve"> the RPS goals fro</w:t>
      </w:r>
      <w:r>
        <w:t>m 20% of retail sales of utilities</w:t>
      </w:r>
      <w:r w:rsidRPr="000415A5">
        <w:t>, e</w:t>
      </w:r>
      <w:r>
        <w:t>lectric service providers</w:t>
      </w:r>
      <w:r w:rsidRPr="000415A5">
        <w:t>, and com</w:t>
      </w:r>
      <w:r>
        <w:t>munity choice aggregators</w:t>
      </w:r>
      <w:r w:rsidRPr="000415A5">
        <w:t xml:space="preserve"> by the end of 2010 to 33% of retail</w:t>
      </w:r>
      <w:r>
        <w:t xml:space="preserve"> sales </w:t>
      </w:r>
      <w:r w:rsidRPr="000415A5">
        <w:t xml:space="preserve">by 2020. </w:t>
      </w:r>
      <w:r>
        <w:t xml:space="preserve"> Most recently, </w:t>
      </w:r>
      <w:r>
        <w:br/>
        <w:t xml:space="preserve">Assembly Bill 327 (Perea, Stats. 2013, ch. 611), establishes that the 33% requirement is a floor (not a ceiling) and </w:t>
      </w:r>
      <w:r w:rsidRPr="003823DC">
        <w:t>was signed by the Governor on October 7, 2013.</w:t>
      </w:r>
    </w:p>
  </w:footnote>
  <w:footnote w:id="11">
    <w:p w:rsidR="00CD5551" w:rsidRDefault="00CD5551" w:rsidP="0047280A">
      <w:pPr>
        <w:pStyle w:val="FootnoteText"/>
      </w:pPr>
      <w:r>
        <w:rPr>
          <w:rStyle w:val="FootnoteReference"/>
        </w:rPr>
        <w:footnoteRef/>
      </w:r>
      <w:r>
        <w:t xml:space="preserve">  D.12-09-018, </w:t>
      </w:r>
      <w:r w:rsidRPr="003E1549">
        <w:rPr>
          <w:i/>
        </w:rPr>
        <w:t>Decision Adopting Settlement Agreement Revising Distribution Level Interconnection Rules and Regulations – Electric Tariff Rule 21 and Granting Motions to Adopt the Utilities’ Rule 21 Transition Plans</w:t>
      </w:r>
      <w:r>
        <w:t xml:space="preserve"> (September 13, 2012).</w:t>
      </w:r>
    </w:p>
  </w:footnote>
  <w:footnote w:id="12">
    <w:p w:rsidR="00CD5551" w:rsidRDefault="00CD5551" w:rsidP="0047280A">
      <w:pPr>
        <w:pStyle w:val="FootnoteText"/>
      </w:pPr>
      <w:r>
        <w:rPr>
          <w:rStyle w:val="FootnoteReference"/>
        </w:rPr>
        <w:footnoteRef/>
      </w:r>
      <w:r>
        <w:t xml:space="preserve">  </w:t>
      </w:r>
      <w:r w:rsidRPr="006E01A7">
        <w:rPr>
          <w:i/>
        </w:rPr>
        <w:t xml:space="preserve">Motion of Vote Solar Initiative </w:t>
      </w:r>
      <w:r>
        <w:rPr>
          <w:i/>
        </w:rPr>
        <w:t xml:space="preserve">to Adopt an Interim Procedure </w:t>
      </w:r>
      <w:r w:rsidRPr="006E01A7">
        <w:t xml:space="preserve">(March 2, 2012) at </w:t>
      </w:r>
      <w:r>
        <w:t>3.</w:t>
      </w:r>
    </w:p>
  </w:footnote>
  <w:footnote w:id="13">
    <w:p w:rsidR="00CD5551" w:rsidRPr="00936F2A" w:rsidRDefault="00CD5551" w:rsidP="00936F2A">
      <w:pPr>
        <w:pStyle w:val="NoSpacing"/>
        <w:spacing w:after="120"/>
        <w:rPr>
          <w:rFonts w:ascii="Palatino" w:eastAsia="Times New Roman" w:hAnsi="Palatino"/>
          <w:sz w:val="24"/>
          <w:szCs w:val="20"/>
        </w:rPr>
      </w:pPr>
      <w:r w:rsidRPr="00C963E3">
        <w:rPr>
          <w:rStyle w:val="FootnoteReference"/>
          <w:rFonts w:ascii="Times New Roman" w:hAnsi="Times New Roman"/>
          <w:sz w:val="20"/>
          <w:szCs w:val="20"/>
        </w:rPr>
        <w:footnoteRef/>
      </w:r>
      <w:r w:rsidRPr="00C963E3">
        <w:rPr>
          <w:rFonts w:ascii="Times New Roman" w:hAnsi="Times New Roman"/>
          <w:sz w:val="20"/>
          <w:szCs w:val="20"/>
        </w:rPr>
        <w:t xml:space="preserve"> </w:t>
      </w:r>
      <w:r>
        <w:rPr>
          <w:rFonts w:ascii="Times New Roman" w:hAnsi="Times New Roman"/>
          <w:sz w:val="20"/>
          <w:szCs w:val="20"/>
        </w:rPr>
        <w:t xml:space="preserve"> </w:t>
      </w:r>
      <w:r w:rsidRPr="00936F2A">
        <w:rPr>
          <w:rFonts w:ascii="Palatino" w:eastAsia="Times New Roman" w:hAnsi="Palatino"/>
          <w:sz w:val="24"/>
          <w:szCs w:val="20"/>
        </w:rPr>
        <w:t>SDG&amp;E expressed its support for and joined with PG&amp;E’s proposal in their</w:t>
      </w:r>
      <w:r w:rsidRPr="00736C22">
        <w:rPr>
          <w:rFonts w:ascii="Times New Roman" w:hAnsi="Times New Roman"/>
          <w:sz w:val="24"/>
          <w:szCs w:val="24"/>
        </w:rPr>
        <w:t xml:space="preserve"> </w:t>
      </w:r>
      <w:r w:rsidRPr="00936F2A">
        <w:rPr>
          <w:rFonts w:ascii="Palatino" w:eastAsia="Times New Roman" w:hAnsi="Palatino"/>
          <w:i/>
          <w:sz w:val="24"/>
          <w:szCs w:val="20"/>
        </w:rPr>
        <w:t>Joint Distribution Group Study Tariff Filing of PG&amp;E and SDG&amp;E</w:t>
      </w:r>
      <w:r w:rsidRPr="00936F2A">
        <w:rPr>
          <w:rFonts w:ascii="Palatino" w:eastAsia="Times New Roman" w:hAnsi="Palatino"/>
          <w:sz w:val="24"/>
          <w:szCs w:val="20"/>
        </w:rPr>
        <w:t xml:space="preserve"> (February 19, 2013).</w:t>
      </w:r>
    </w:p>
  </w:footnote>
  <w:footnote w:id="14">
    <w:p w:rsidR="00CD5551" w:rsidRDefault="00CD5551" w:rsidP="00936F2A">
      <w:pPr>
        <w:pStyle w:val="FootnoteText"/>
      </w:pPr>
      <w:r w:rsidRPr="00936F2A">
        <w:rPr>
          <w:rStyle w:val="FootnoteReference"/>
        </w:rPr>
        <w:footnoteRef/>
      </w:r>
      <w:r>
        <w:t xml:space="preserve">  Parties filing comments include:</w:t>
      </w:r>
      <w:r w:rsidRPr="006277C7">
        <w:rPr>
          <w:rFonts w:ascii="Calibri" w:eastAsia="Calibri" w:hAnsi="Calibri"/>
          <w:sz w:val="22"/>
          <w:szCs w:val="22"/>
        </w:rPr>
        <w:t xml:space="preserve"> </w:t>
      </w:r>
      <w:r>
        <w:rPr>
          <w:rFonts w:ascii="Calibri" w:eastAsia="Calibri" w:hAnsi="Calibri"/>
          <w:sz w:val="22"/>
          <w:szCs w:val="22"/>
        </w:rPr>
        <w:t xml:space="preserve"> </w:t>
      </w:r>
      <w:r w:rsidRPr="006277C7">
        <w:t>Solar Energy Industries Association (SEIA</w:t>
      </w:r>
      <w:r>
        <w:t>), Sustainable Conservation</w:t>
      </w:r>
      <w:r w:rsidRPr="006277C7">
        <w:t>, the Sierra Club an</w:t>
      </w:r>
      <w:r>
        <w:t>d Vote Solar Initiative, Clean Coalition, and SDG&amp;E.</w:t>
      </w:r>
    </w:p>
  </w:footnote>
  <w:footnote w:id="15">
    <w:p w:rsidR="00CD5551" w:rsidRDefault="00CD5551" w:rsidP="00936F2A">
      <w:pPr>
        <w:pStyle w:val="FootnoteText"/>
      </w:pPr>
      <w:r>
        <w:rPr>
          <w:rStyle w:val="FootnoteReference"/>
        </w:rPr>
        <w:footnoteRef/>
      </w:r>
      <w:r>
        <w:t xml:space="preserve">  Parties filing reply comments include:  SCE, PG&amp;E, SDG&amp;E, Sustainable Conservation, and Clean Coalition.</w:t>
      </w:r>
    </w:p>
  </w:footnote>
  <w:footnote w:id="16">
    <w:p w:rsidR="00CD5551" w:rsidRDefault="00CD5551">
      <w:pPr>
        <w:pStyle w:val="FootnoteText"/>
      </w:pPr>
      <w:r>
        <w:rPr>
          <w:rStyle w:val="FootnoteReference"/>
        </w:rPr>
        <w:footnoteRef/>
      </w:r>
      <w:r>
        <w:t xml:space="preserve"> </w:t>
      </w:r>
      <w:r w:rsidRPr="00922E44">
        <w:rPr>
          <w:i/>
        </w:rPr>
        <w:t>Assigned Commissioner’s Amended Scoping Memo and Ruling Requesting Comments</w:t>
      </w:r>
      <w:r>
        <w:t xml:space="preserve"> (September 26, 2012) at 3.</w:t>
      </w:r>
    </w:p>
  </w:footnote>
  <w:footnote w:id="17">
    <w:p w:rsidR="00CD5551" w:rsidRDefault="00CD5551" w:rsidP="0047280A">
      <w:pPr>
        <w:pStyle w:val="FootnoteText"/>
      </w:pPr>
      <w:r>
        <w:rPr>
          <w:rStyle w:val="FootnoteReference"/>
        </w:rPr>
        <w:footnoteRef/>
      </w:r>
      <w:r>
        <w:t xml:space="preserve">  On February 19, 2013, PG&amp;E and SDG&amp;E submitted a single filing, </w:t>
      </w:r>
      <w:r w:rsidRPr="000E72A4">
        <w:rPr>
          <w:i/>
        </w:rPr>
        <w:t>Joint Distribution Group Study Tariff Filing of Pacific Gas and Electric Company and San Diego Gas &amp; Electric Company</w:t>
      </w:r>
      <w:r>
        <w:t>.  In this filing, PG&amp;E and SDG&amp;E explain that the two utilities have substantially the same tariffs for Electric Rule 21 and propose substantially the same revisions to incorporate a Distribution Group Study Process.  SCE filed separately.</w:t>
      </w:r>
    </w:p>
  </w:footnote>
  <w:footnote w:id="18">
    <w:p w:rsidR="00CD5551" w:rsidRDefault="00CD5551" w:rsidP="0047280A">
      <w:pPr>
        <w:pStyle w:val="FootnoteText"/>
      </w:pPr>
      <w:r>
        <w:rPr>
          <w:rStyle w:val="FootnoteReference"/>
        </w:rPr>
        <w:footnoteRef/>
      </w:r>
      <w:r>
        <w:t xml:space="preserve">  Comments were filed by Clean Coalition, Office of Ratepayer Advocates (ORA), </w:t>
      </w:r>
      <w:r w:rsidRPr="00DE1E30">
        <w:t>IREC,</w:t>
      </w:r>
      <w:r>
        <w:t xml:space="preserve"> SCE, PG&amp;E, and SDG&amp;E.</w:t>
      </w:r>
    </w:p>
  </w:footnote>
  <w:footnote w:id="19">
    <w:p w:rsidR="00CD5551" w:rsidRDefault="00CD5551" w:rsidP="0047280A">
      <w:pPr>
        <w:pStyle w:val="FootnoteText"/>
      </w:pPr>
      <w:r>
        <w:rPr>
          <w:rStyle w:val="FootnoteReference"/>
        </w:rPr>
        <w:footnoteRef/>
      </w:r>
      <w:r>
        <w:t xml:space="preserve">  Reply comments were filed by PG&amp;E, SCE, SDG&amp;E and Clean Coalition.</w:t>
      </w:r>
    </w:p>
  </w:footnote>
  <w:footnote w:id="20">
    <w:p w:rsidR="00CD5551" w:rsidRDefault="00CD5551" w:rsidP="0047280A">
      <w:pPr>
        <w:pStyle w:val="FootnoteText"/>
      </w:pPr>
      <w:r>
        <w:rPr>
          <w:rStyle w:val="FootnoteReference"/>
        </w:rPr>
        <w:footnoteRef/>
      </w:r>
      <w:r>
        <w:t xml:space="preserve">  Rulemaking 11-09-011 at 2.</w:t>
      </w:r>
    </w:p>
  </w:footnote>
  <w:footnote w:id="21">
    <w:p w:rsidR="00CD5551" w:rsidRDefault="00CD5551" w:rsidP="0047280A">
      <w:pPr>
        <w:pStyle w:val="FootnoteText"/>
      </w:pPr>
      <w:r>
        <w:rPr>
          <w:rStyle w:val="FootnoteReference"/>
        </w:rPr>
        <w:footnoteRef/>
      </w:r>
      <w:r>
        <w:t xml:space="preserve">  PG&amp;E July 10, 2012 proposed DGSP outline</w:t>
      </w:r>
      <w:r w:rsidRPr="00F801DD">
        <w:t xml:space="preserve"> at slide </w:t>
      </w:r>
      <w:r>
        <w:t>3</w:t>
      </w:r>
      <w:r w:rsidRPr="00F801DD">
        <w:t xml:space="preserve">. </w:t>
      </w:r>
    </w:p>
  </w:footnote>
  <w:footnote w:id="22">
    <w:p w:rsidR="00CD5551" w:rsidRDefault="00CD5551" w:rsidP="0047280A">
      <w:pPr>
        <w:pStyle w:val="FootnoteText"/>
      </w:pPr>
      <w:r>
        <w:rPr>
          <w:rStyle w:val="FootnoteReference"/>
        </w:rPr>
        <w:footnoteRef/>
      </w:r>
      <w:r>
        <w:t xml:space="preserve">  PG&amp;E July 10, 2012 proposed DGSP outline at slide 10. </w:t>
      </w:r>
    </w:p>
  </w:footnote>
  <w:footnote w:id="23">
    <w:p w:rsidR="00CD5551" w:rsidRPr="00625AB2" w:rsidRDefault="00CD5551" w:rsidP="00E9783A">
      <w:pPr>
        <w:pStyle w:val="FootnoteText"/>
      </w:pPr>
      <w:r>
        <w:rPr>
          <w:rStyle w:val="FootnoteReference"/>
        </w:rPr>
        <w:footnoteRef/>
      </w:r>
      <w:r>
        <w:t xml:space="preserve">  PG&amp;E July 10, 2012 proposed DGSP outline</w:t>
      </w:r>
      <w:r w:rsidRPr="001C1699">
        <w:t xml:space="preserve"> at slide </w:t>
      </w:r>
      <w:r>
        <w:t xml:space="preserve">13; </w:t>
      </w:r>
      <w:r w:rsidRPr="00625AB2">
        <w:t xml:space="preserve">PG&amp;E's and SDG&amp;E's February 19, 2013 </w:t>
      </w:r>
      <w:r w:rsidRPr="00625AB2">
        <w:rPr>
          <w:i/>
        </w:rPr>
        <w:t>Joint Distribution Tariff Filing</w:t>
      </w:r>
      <w:r>
        <w:t xml:space="preserve"> at proposed tariff at </w:t>
      </w:r>
      <w:r w:rsidRPr="00625AB2">
        <w:t>sec</w:t>
      </w:r>
      <w:r>
        <w:t>. G.3.b</w:t>
      </w:r>
      <w:r w:rsidRPr="00625AB2">
        <w:t>.</w:t>
      </w:r>
    </w:p>
  </w:footnote>
  <w:footnote w:id="24">
    <w:p w:rsidR="00CD5551" w:rsidRPr="00E9783A" w:rsidRDefault="00CD5551" w:rsidP="00E9783A">
      <w:pPr>
        <w:pStyle w:val="NoSpacing"/>
        <w:spacing w:after="120"/>
        <w:rPr>
          <w:rFonts w:ascii="Palatino" w:eastAsia="Times New Roman" w:hAnsi="Palatino"/>
          <w:sz w:val="24"/>
          <w:szCs w:val="20"/>
        </w:rPr>
      </w:pPr>
      <w:r w:rsidRPr="007306D4">
        <w:rPr>
          <w:rStyle w:val="FootnoteReference"/>
          <w:rFonts w:ascii="Palatino" w:eastAsia="Times New Roman" w:hAnsi="Palatino"/>
          <w:szCs w:val="20"/>
        </w:rPr>
        <w:footnoteRef/>
      </w:r>
      <w:r w:rsidRPr="007306D4">
        <w:rPr>
          <w:szCs w:val="20"/>
        </w:rPr>
        <w:t xml:space="preserve"> </w:t>
      </w:r>
      <w:r>
        <w:rPr>
          <w:szCs w:val="20"/>
        </w:rPr>
        <w:t xml:space="preserve"> </w:t>
      </w:r>
      <w:r w:rsidRPr="00E9783A">
        <w:rPr>
          <w:rFonts w:ascii="Palatino" w:eastAsia="Times New Roman" w:hAnsi="Palatino"/>
          <w:sz w:val="24"/>
          <w:szCs w:val="20"/>
        </w:rPr>
        <w:t>On August 21, 2012, PG&amp;E clarified its definition of “electrical independence” by</w:t>
      </w:r>
      <w:r>
        <w:rPr>
          <w:rFonts w:ascii="Palatino" w:eastAsia="Times New Roman" w:hAnsi="Palatino"/>
          <w:sz w:val="24"/>
          <w:szCs w:val="20"/>
        </w:rPr>
        <w:t xml:space="preserve"> citing to Rule 21, Screen R.  </w:t>
      </w:r>
      <w:r w:rsidRPr="00E9783A">
        <w:rPr>
          <w:rFonts w:ascii="Palatino" w:eastAsia="Times New Roman" w:hAnsi="Palatino"/>
          <w:sz w:val="24"/>
          <w:szCs w:val="20"/>
        </w:rPr>
        <w:t xml:space="preserve">Screen R enables the utility to conduct tests and reviews in order to determine whether a project is electrically independent of earlier-queued </w:t>
      </w:r>
      <w:r>
        <w:rPr>
          <w:rFonts w:ascii="Palatino" w:eastAsia="Times New Roman" w:hAnsi="Palatino"/>
          <w:sz w:val="24"/>
          <w:szCs w:val="20"/>
        </w:rPr>
        <w:t xml:space="preserve">interconnection </w:t>
      </w:r>
      <w:r w:rsidRPr="00E9783A">
        <w:rPr>
          <w:rFonts w:ascii="Palatino" w:eastAsia="Times New Roman" w:hAnsi="Palatino"/>
          <w:sz w:val="24"/>
          <w:szCs w:val="20"/>
        </w:rPr>
        <w:t>requests.  Th</w:t>
      </w:r>
      <w:r>
        <w:rPr>
          <w:rFonts w:ascii="Palatino" w:eastAsia="Times New Roman" w:hAnsi="Palatino"/>
          <w:sz w:val="24"/>
          <w:szCs w:val="20"/>
        </w:rPr>
        <w:t>e results of these tests</w:t>
      </w:r>
      <w:r w:rsidRPr="00E9783A">
        <w:rPr>
          <w:rFonts w:ascii="Palatino" w:eastAsia="Times New Roman" w:hAnsi="Palatino"/>
          <w:sz w:val="24"/>
          <w:szCs w:val="20"/>
        </w:rPr>
        <w:t xml:space="preserve"> inform </w:t>
      </w:r>
      <w:r>
        <w:rPr>
          <w:rFonts w:ascii="Palatino" w:eastAsia="Times New Roman" w:hAnsi="Palatino"/>
          <w:sz w:val="24"/>
          <w:szCs w:val="20"/>
        </w:rPr>
        <w:t xml:space="preserve">a utility’s </w:t>
      </w:r>
      <w:r w:rsidRPr="00E9783A">
        <w:rPr>
          <w:rFonts w:ascii="Palatino" w:eastAsia="Times New Roman" w:hAnsi="Palatino"/>
          <w:sz w:val="24"/>
          <w:szCs w:val="20"/>
        </w:rPr>
        <w:t>“engineering judgment” to determine whether a distribution group</w:t>
      </w:r>
      <w:r>
        <w:rPr>
          <w:rFonts w:ascii="Palatino" w:eastAsia="Times New Roman" w:hAnsi="Palatino"/>
          <w:sz w:val="24"/>
          <w:szCs w:val="20"/>
        </w:rPr>
        <w:t xml:space="preserve"> study</w:t>
      </w:r>
      <w:r w:rsidRPr="00E9783A">
        <w:rPr>
          <w:rFonts w:ascii="Palatino" w:eastAsia="Times New Roman" w:hAnsi="Palatino"/>
          <w:sz w:val="24"/>
          <w:szCs w:val="20"/>
        </w:rPr>
        <w:t xml:space="preserve"> is needed</w:t>
      </w:r>
      <w:r>
        <w:rPr>
          <w:rFonts w:ascii="Palatino" w:eastAsia="Times New Roman" w:hAnsi="Palatino"/>
          <w:sz w:val="24"/>
          <w:szCs w:val="20"/>
        </w:rPr>
        <w:t xml:space="preserve"> and feasible</w:t>
      </w:r>
      <w:r w:rsidRPr="00E9783A">
        <w:rPr>
          <w:rFonts w:ascii="Palatino" w:eastAsia="Times New Roman" w:hAnsi="Palatino"/>
          <w:sz w:val="24"/>
          <w:szCs w:val="20"/>
        </w:rPr>
        <w:t>.  PG&amp;E August 21, 202 reply comments.</w:t>
      </w:r>
    </w:p>
  </w:footnote>
  <w:footnote w:id="25">
    <w:p w:rsidR="00CD5551" w:rsidRDefault="00CD5551" w:rsidP="00E9783A">
      <w:pPr>
        <w:pStyle w:val="FootnoteText"/>
      </w:pPr>
      <w:r>
        <w:rPr>
          <w:rStyle w:val="FootnoteReference"/>
        </w:rPr>
        <w:footnoteRef/>
      </w:r>
      <w:r>
        <w:t xml:space="preserve">  </w:t>
      </w:r>
      <w:r w:rsidRPr="00B1541F">
        <w:t xml:space="preserve">PG&amp;E July 10, 2012 </w:t>
      </w:r>
      <w:r>
        <w:t xml:space="preserve">proposed DGSP </w:t>
      </w:r>
      <w:r w:rsidRPr="00B1541F">
        <w:t xml:space="preserve">outline at slide </w:t>
      </w:r>
      <w:r>
        <w:t>3.</w:t>
      </w:r>
    </w:p>
  </w:footnote>
  <w:footnote w:id="26">
    <w:p w:rsidR="00CD5551" w:rsidRDefault="00CD5551" w:rsidP="00E9783A">
      <w:pPr>
        <w:pStyle w:val="FootnoteText"/>
      </w:pPr>
      <w:r>
        <w:rPr>
          <w:rStyle w:val="FootnoteReference"/>
        </w:rPr>
        <w:footnoteRef/>
      </w:r>
      <w:r>
        <w:t xml:space="preserve">  </w:t>
      </w:r>
      <w:r w:rsidRPr="0085296A">
        <w:rPr>
          <w:i/>
        </w:rPr>
        <w:t>See, e.g.,</w:t>
      </w:r>
      <w:r w:rsidRPr="0085296A">
        <w:t xml:space="preserve"> PG&amp;E Electric Tariff </w:t>
      </w:r>
      <w:r>
        <w:t xml:space="preserve">Rule 21 at sec. G.3.c. </w:t>
      </w:r>
    </w:p>
  </w:footnote>
  <w:footnote w:id="27">
    <w:p w:rsidR="00CD5551" w:rsidRPr="0065106F" w:rsidRDefault="00CD5551" w:rsidP="00E9783A">
      <w:pPr>
        <w:pStyle w:val="FootnoteText"/>
      </w:pPr>
      <w:r>
        <w:rPr>
          <w:rStyle w:val="FootnoteReference"/>
        </w:rPr>
        <w:footnoteRef/>
      </w:r>
      <w:r>
        <w:t xml:space="preserve">  P</w:t>
      </w:r>
      <w:r w:rsidRPr="00B1541F">
        <w:t xml:space="preserve">G&amp;E July 10, 2012 </w:t>
      </w:r>
      <w:r>
        <w:t>proposed</w:t>
      </w:r>
      <w:r w:rsidRPr="00B1541F">
        <w:t xml:space="preserve"> </w:t>
      </w:r>
      <w:r>
        <w:t xml:space="preserve">DGSP </w:t>
      </w:r>
      <w:r w:rsidRPr="00B1541F">
        <w:t xml:space="preserve">outline at slide </w:t>
      </w:r>
      <w:r>
        <w:t>6.</w:t>
      </w:r>
    </w:p>
  </w:footnote>
  <w:footnote w:id="28">
    <w:p w:rsidR="00CD5551" w:rsidRDefault="00CD5551" w:rsidP="00B440C7">
      <w:pPr>
        <w:pStyle w:val="FootnoteText"/>
      </w:pPr>
      <w:r>
        <w:rPr>
          <w:rStyle w:val="FootnoteReference"/>
        </w:rPr>
        <w:footnoteRef/>
      </w:r>
      <w:r>
        <w:t xml:space="preserve">  PG&amp;E August 21, 2012 comments at 6; </w:t>
      </w:r>
      <w:r w:rsidRPr="008A5A7C">
        <w:t xml:space="preserve">PG&amp;E's and SDG&amp;E's February 19, 2013 </w:t>
      </w:r>
      <w:r w:rsidRPr="008A5A7C">
        <w:rPr>
          <w:i/>
        </w:rPr>
        <w:t>Joint Distribution Tariff Filing</w:t>
      </w:r>
      <w:r w:rsidRPr="008A5A7C">
        <w:t xml:space="preserve"> at proposed tariff </w:t>
      </w:r>
      <w:r>
        <w:t>at sec F.3.b.xiii (automatic timing extensions).</w:t>
      </w:r>
    </w:p>
  </w:footnote>
  <w:footnote w:id="29">
    <w:p w:rsidR="00CD5551" w:rsidRDefault="00CD5551" w:rsidP="0047280A">
      <w:pPr>
        <w:pStyle w:val="FootnoteText"/>
      </w:pPr>
      <w:r>
        <w:rPr>
          <w:rStyle w:val="FootnoteReference"/>
        </w:rPr>
        <w:footnoteRef/>
      </w:r>
      <w:r>
        <w:t xml:space="preserve">  PG&amp;E proposal DGSP outline at slide 17; </w:t>
      </w:r>
      <w:r w:rsidRPr="00621933">
        <w:t xml:space="preserve">PG&amp;E's and SDG&amp;E's February 19, 2013 </w:t>
      </w:r>
      <w:r w:rsidRPr="00621933">
        <w:rPr>
          <w:i/>
        </w:rPr>
        <w:t>Joint Distribution Tariff Filing</w:t>
      </w:r>
      <w:r w:rsidRPr="00621933">
        <w:t xml:space="preserve"> at proposed tariff at s</w:t>
      </w:r>
      <w:r>
        <w:t>ec. G.3.c.</w:t>
      </w:r>
    </w:p>
  </w:footnote>
  <w:footnote w:id="30">
    <w:p w:rsidR="00CD5551" w:rsidRDefault="00CD5551" w:rsidP="0047280A">
      <w:pPr>
        <w:pStyle w:val="FootnoteText"/>
      </w:pPr>
      <w:r>
        <w:rPr>
          <w:rStyle w:val="FootnoteReference"/>
        </w:rPr>
        <w:footnoteRef/>
      </w:r>
      <w:r>
        <w:t xml:space="preserve">  PG&amp;E proposal DGSP outline at slide 17; </w:t>
      </w:r>
      <w:r w:rsidRPr="00432834">
        <w:t xml:space="preserve">PG&amp;E's and SDG&amp;E's February 19, 2013 </w:t>
      </w:r>
      <w:r w:rsidRPr="00432834">
        <w:rPr>
          <w:i/>
        </w:rPr>
        <w:t>Joint Distribution Tariff Filing</w:t>
      </w:r>
      <w:r w:rsidRPr="00432834">
        <w:t xml:space="preserve"> at proposed tariff at s</w:t>
      </w:r>
      <w:r>
        <w:t>ec. F.3.B.xii.</w:t>
      </w:r>
    </w:p>
  </w:footnote>
  <w:footnote w:id="31">
    <w:p w:rsidR="00CD5551" w:rsidRDefault="00CD5551" w:rsidP="0047280A">
      <w:pPr>
        <w:pStyle w:val="FootnoteText"/>
      </w:pPr>
      <w:r>
        <w:rPr>
          <w:rStyle w:val="FootnoteReference"/>
        </w:rPr>
        <w:footnoteRef/>
      </w:r>
      <w:r>
        <w:t xml:space="preserve">  PG&amp;E </w:t>
      </w:r>
      <w:r w:rsidRPr="00EF7556">
        <w:t xml:space="preserve">July 10, 2012 proposed </w:t>
      </w:r>
      <w:r w:rsidRPr="0047280A">
        <w:t>D</w:t>
      </w:r>
      <w:r>
        <w:t xml:space="preserve">GSP </w:t>
      </w:r>
      <w:r w:rsidRPr="00EF7556">
        <w:t xml:space="preserve">outline </w:t>
      </w:r>
      <w:r>
        <w:t>at slide 18; PG&amp;E August 21, 2012 comments at 7.</w:t>
      </w:r>
    </w:p>
  </w:footnote>
  <w:footnote w:id="32">
    <w:p w:rsidR="00CD5551" w:rsidRDefault="00CD5551" w:rsidP="0047280A">
      <w:pPr>
        <w:pStyle w:val="FootnoteText"/>
      </w:pPr>
      <w:r>
        <w:rPr>
          <w:rStyle w:val="FootnoteReference"/>
        </w:rPr>
        <w:footnoteRef/>
      </w:r>
      <w:r>
        <w:t xml:space="preserve">  PG&amp;E </w:t>
      </w:r>
      <w:r w:rsidRPr="004E57DC">
        <w:t>July 10, 2012 proposed D</w:t>
      </w:r>
      <w:r>
        <w:t xml:space="preserve">GSP </w:t>
      </w:r>
      <w:r w:rsidRPr="004E57DC">
        <w:t>outline at slide 18</w:t>
      </w:r>
      <w:r>
        <w:t>; PG&amp;E August 21, 2012 comments at 7.</w:t>
      </w:r>
    </w:p>
  </w:footnote>
  <w:footnote w:id="33">
    <w:p w:rsidR="00CD5551" w:rsidRDefault="00CD5551" w:rsidP="0047280A">
      <w:pPr>
        <w:pStyle w:val="FootnoteText"/>
      </w:pPr>
      <w:r>
        <w:rPr>
          <w:rStyle w:val="FootnoteReference"/>
        </w:rPr>
        <w:footnoteRef/>
      </w:r>
      <w:r>
        <w:t xml:space="preserve">  This cost allocation is similar to the cluster study process used by the California Independent System Operator (CAISO):  upgrade costs are allocated on a per MW basis to generators triggering each upgrade, short circuit upgrades are allocated based on short circuit duty contribution of each facility, and when a generator drops out, costs are re-allocated to remaining generators.  SCE July 10, 2012 proposed DGSP outline at </w:t>
      </w:r>
      <w:r>
        <w:br/>
        <w:t>slide 6.</w:t>
      </w:r>
    </w:p>
  </w:footnote>
  <w:footnote w:id="34">
    <w:p w:rsidR="00CD5551" w:rsidRPr="005F0709" w:rsidRDefault="00CD5551" w:rsidP="00E9783A">
      <w:pPr>
        <w:pStyle w:val="NoSpacing"/>
        <w:spacing w:after="120"/>
        <w:rPr>
          <w:rFonts w:ascii="Palatino" w:eastAsia="Times New Roman" w:hAnsi="Palatino"/>
          <w:sz w:val="24"/>
          <w:szCs w:val="20"/>
        </w:rPr>
      </w:pPr>
      <w:r w:rsidRPr="00E9783A">
        <w:rPr>
          <w:rStyle w:val="FootnoteReference"/>
          <w:rFonts w:ascii="Palatino" w:eastAsia="Times New Roman" w:hAnsi="Palatino"/>
          <w:szCs w:val="20"/>
        </w:rPr>
        <w:footnoteRef/>
      </w:r>
      <w:r w:rsidRPr="00E9783A">
        <w:rPr>
          <w:rStyle w:val="FootnoteReference"/>
          <w:rFonts w:ascii="Palatino" w:eastAsia="Times New Roman" w:hAnsi="Palatino"/>
        </w:rPr>
        <w:t>.</w:t>
      </w:r>
      <w:r w:rsidRPr="00E9783A">
        <w:rPr>
          <w:rStyle w:val="FootnoteReference"/>
        </w:rPr>
        <w:t xml:space="preserve"> </w:t>
      </w:r>
      <w:r>
        <w:t xml:space="preserve"> </w:t>
      </w:r>
      <w:r w:rsidRPr="005F0709">
        <w:rPr>
          <w:rFonts w:ascii="Palatino" w:eastAsia="Times New Roman" w:hAnsi="Palatino"/>
          <w:sz w:val="24"/>
          <w:szCs w:val="20"/>
        </w:rPr>
        <w:t xml:space="preserve">On February 19, 2013, PG&amp;E and SDG&amp;E submitted a single filing, </w:t>
      </w:r>
      <w:r w:rsidRPr="005F0709">
        <w:rPr>
          <w:rFonts w:ascii="Palatino" w:eastAsia="Times New Roman" w:hAnsi="Palatino"/>
          <w:i/>
          <w:sz w:val="24"/>
          <w:szCs w:val="20"/>
        </w:rPr>
        <w:t>Joint Distribution Group Study Tariff Filing of Pacific Gas and Electric Company and San Diego Gas &amp; Electric Company</w:t>
      </w:r>
      <w:r w:rsidRPr="00622F5A">
        <w:rPr>
          <w:rFonts w:ascii="Times New Roman" w:hAnsi="Times New Roman"/>
          <w:sz w:val="24"/>
          <w:szCs w:val="24"/>
        </w:rPr>
        <w:t xml:space="preserve">.  </w:t>
      </w:r>
      <w:r w:rsidRPr="005F0709">
        <w:rPr>
          <w:rFonts w:ascii="Palatino" w:eastAsia="Times New Roman" w:hAnsi="Palatino"/>
          <w:sz w:val="24"/>
          <w:szCs w:val="20"/>
        </w:rPr>
        <w:t xml:space="preserve">In this filing, SDG&amp;E explains that it supports the same proposal as PG&amp;E. </w:t>
      </w:r>
    </w:p>
  </w:footnote>
  <w:footnote w:id="35">
    <w:p w:rsidR="00CD5551" w:rsidRDefault="00CD5551" w:rsidP="00F86169">
      <w:pPr>
        <w:pStyle w:val="FootnoteText"/>
      </w:pPr>
      <w:r>
        <w:rPr>
          <w:rStyle w:val="FootnoteReference"/>
        </w:rPr>
        <w:footnoteRef/>
      </w:r>
      <w:r>
        <w:t xml:space="preserve">  SCE July 10, 2012 proposed DGSP outline at slide 4; SCE February 19, 2013 </w:t>
      </w:r>
      <w:r w:rsidRPr="00641B62">
        <w:rPr>
          <w:i/>
        </w:rPr>
        <w:t>Proposed Rule 21 Tariff Language Implementing SCE’s Distribution Group Study Process Proposal</w:t>
      </w:r>
      <w:r>
        <w:t xml:space="preserve"> at proposed tariff, sec. F.3.b.ii. (formation of distribution group and timing in application phase); </w:t>
      </w:r>
      <w:r w:rsidRPr="00625511">
        <w:t xml:space="preserve">SCE February 19, 2013 </w:t>
      </w:r>
      <w:r w:rsidRPr="00625511">
        <w:rPr>
          <w:i/>
        </w:rPr>
        <w:t>Proposed Rule 21 Tariff Language Implementing SCE’s Distribution Group Study Process Proposal</w:t>
      </w:r>
      <w:r>
        <w:t xml:space="preserve"> at proposed tariff, sec. F.3.B.ii.</w:t>
      </w:r>
    </w:p>
  </w:footnote>
  <w:footnote w:id="36">
    <w:p w:rsidR="00CD5551" w:rsidRDefault="00CD5551" w:rsidP="0047280A">
      <w:pPr>
        <w:pStyle w:val="FootnoteText"/>
      </w:pPr>
      <w:r>
        <w:rPr>
          <w:rStyle w:val="FootnoteReference"/>
        </w:rPr>
        <w:footnoteRef/>
      </w:r>
      <w:r>
        <w:t xml:space="preserve">  As previously noted, for PG&amp;E to include federal wholesale tariff applicants, PG&amp;E first must obtain the approval from FERC.  PG&amp;E August 21, 2012 comments at 2.</w:t>
      </w:r>
    </w:p>
  </w:footnote>
  <w:footnote w:id="37">
    <w:p w:rsidR="00CD5551" w:rsidRDefault="00CD5551">
      <w:pPr>
        <w:pStyle w:val="FootnoteText"/>
      </w:pPr>
      <w:r>
        <w:rPr>
          <w:rStyle w:val="FootnoteReference"/>
        </w:rPr>
        <w:footnoteRef/>
      </w:r>
      <w:r>
        <w:t xml:space="preserve">  IREC February 25, 2014 Comments at 4.</w:t>
      </w:r>
    </w:p>
  </w:footnote>
  <w:footnote w:id="38">
    <w:p w:rsidR="00CD5551" w:rsidRDefault="00CD5551" w:rsidP="0047280A">
      <w:pPr>
        <w:pStyle w:val="FootnoteText"/>
      </w:pPr>
      <w:r>
        <w:rPr>
          <w:rStyle w:val="FootnoteReference"/>
        </w:rPr>
        <w:footnoteRef/>
      </w:r>
      <w:r>
        <w:t xml:space="preserve">  PG&amp;E June 10, 2012 proposed DGSP outline at slide 2.</w:t>
      </w:r>
    </w:p>
  </w:footnote>
  <w:footnote w:id="39">
    <w:p w:rsidR="00CD5551" w:rsidRDefault="00CD5551" w:rsidP="0047280A">
      <w:pPr>
        <w:pStyle w:val="FootnoteText"/>
      </w:pPr>
      <w:r>
        <w:rPr>
          <w:rStyle w:val="FootnoteReference"/>
        </w:rPr>
        <w:footnoteRef/>
      </w:r>
      <w:r>
        <w:t xml:space="preserve">  SCE June 10, 2012 proposed DGSP outline at slide 2.</w:t>
      </w:r>
    </w:p>
  </w:footnote>
  <w:footnote w:id="40">
    <w:p w:rsidR="00CD5551" w:rsidRDefault="00CD5551" w:rsidP="0047280A">
      <w:pPr>
        <w:pStyle w:val="FootnoteText"/>
      </w:pPr>
      <w:r>
        <w:rPr>
          <w:rStyle w:val="FootnoteReference"/>
        </w:rPr>
        <w:footnoteRef/>
      </w:r>
      <w:r>
        <w:t xml:space="preserve">  </w:t>
      </w:r>
      <w:r w:rsidRPr="00BC5FCA">
        <w:t>Clean Coalition July 31, 2012 comments at 3.</w:t>
      </w:r>
    </w:p>
  </w:footnote>
  <w:footnote w:id="41">
    <w:p w:rsidR="00CD5551" w:rsidRDefault="00CD5551" w:rsidP="007E632C">
      <w:pPr>
        <w:pStyle w:val="FootnoteText"/>
      </w:pPr>
      <w:r>
        <w:rPr>
          <w:rStyle w:val="FootnoteReference"/>
        </w:rPr>
        <w:footnoteRef/>
      </w:r>
      <w:r>
        <w:t xml:space="preserve">  </w:t>
      </w:r>
      <w:r w:rsidRPr="001136D5">
        <w:t>Clean Coalition July 31, 2012 comments at 3.</w:t>
      </w:r>
    </w:p>
  </w:footnote>
  <w:footnote w:id="42">
    <w:p w:rsidR="00CD5551" w:rsidRPr="00FA097E" w:rsidRDefault="00CD5551" w:rsidP="007E632C">
      <w:pPr>
        <w:pStyle w:val="NoSpacing"/>
        <w:spacing w:after="120"/>
        <w:rPr>
          <w:rFonts w:ascii="Palatino" w:eastAsia="Times New Roman" w:hAnsi="Palatino"/>
          <w:sz w:val="24"/>
          <w:szCs w:val="20"/>
        </w:rPr>
      </w:pPr>
      <w:r w:rsidRPr="007E632C">
        <w:rPr>
          <w:rStyle w:val="FootnoteReference"/>
        </w:rPr>
        <w:footnoteRef/>
      </w:r>
      <w:r>
        <w:rPr>
          <w:rFonts w:ascii="Times New Roman" w:hAnsi="Times New Roman"/>
          <w:sz w:val="24"/>
          <w:szCs w:val="24"/>
        </w:rPr>
        <w:t xml:space="preserve">  </w:t>
      </w:r>
      <w:r w:rsidRPr="00FA097E">
        <w:rPr>
          <w:rFonts w:ascii="Palatino" w:eastAsia="Times New Roman" w:hAnsi="Palatino"/>
          <w:sz w:val="24"/>
          <w:szCs w:val="20"/>
        </w:rPr>
        <w:t>SEIA July 31, 2012 comments at 2-3.</w:t>
      </w:r>
    </w:p>
  </w:footnote>
  <w:footnote w:id="43">
    <w:p w:rsidR="00CD5551" w:rsidRPr="00FA097E" w:rsidRDefault="00CD5551" w:rsidP="007E632C">
      <w:pPr>
        <w:pStyle w:val="NoSpacing"/>
        <w:spacing w:after="120"/>
        <w:rPr>
          <w:rFonts w:ascii="Palatino" w:eastAsia="Times New Roman" w:hAnsi="Palatino"/>
          <w:sz w:val="24"/>
          <w:szCs w:val="20"/>
        </w:rPr>
      </w:pPr>
      <w:r w:rsidRPr="00F16128">
        <w:rPr>
          <w:rStyle w:val="FootnoteReference"/>
          <w:rFonts w:ascii="Times New Roman" w:hAnsi="Times New Roman"/>
          <w:szCs w:val="24"/>
        </w:rPr>
        <w:footnoteRef/>
      </w:r>
      <w:r w:rsidRPr="00F16128">
        <w:rPr>
          <w:rFonts w:ascii="Times New Roman" w:hAnsi="Times New Roman"/>
          <w:sz w:val="24"/>
          <w:szCs w:val="24"/>
        </w:rPr>
        <w:t xml:space="preserve"> </w:t>
      </w:r>
      <w:r>
        <w:rPr>
          <w:rFonts w:ascii="Times New Roman" w:hAnsi="Times New Roman"/>
          <w:sz w:val="24"/>
          <w:szCs w:val="24"/>
        </w:rPr>
        <w:t xml:space="preserve"> </w:t>
      </w:r>
      <w:r w:rsidRPr="00FA097E">
        <w:rPr>
          <w:rFonts w:ascii="Palatino" w:eastAsia="Times New Roman" w:hAnsi="Palatino"/>
          <w:sz w:val="24"/>
          <w:szCs w:val="20"/>
        </w:rPr>
        <w:t>SEIA July 31, 2012 comments at 2-3.</w:t>
      </w:r>
    </w:p>
  </w:footnote>
  <w:footnote w:id="44">
    <w:p w:rsidR="00CD5551" w:rsidRPr="00657446" w:rsidRDefault="00CD5551" w:rsidP="007E632C">
      <w:pPr>
        <w:pStyle w:val="NoSpacing"/>
        <w:spacing w:after="120"/>
        <w:rPr>
          <w:rFonts w:ascii="Times New Roman" w:hAnsi="Times New Roman"/>
          <w:sz w:val="20"/>
          <w:szCs w:val="20"/>
        </w:rPr>
      </w:pPr>
      <w:r w:rsidRPr="00FA097E">
        <w:rPr>
          <w:rStyle w:val="FootnoteReference"/>
        </w:rPr>
        <w:footnoteRef/>
      </w:r>
      <w:r>
        <w:rPr>
          <w:rStyle w:val="FootnoteTextChar"/>
        </w:rPr>
        <w:t xml:space="preserve">  </w:t>
      </w:r>
      <w:r w:rsidRPr="00FA097E">
        <w:rPr>
          <w:rStyle w:val="FootnoteTextChar"/>
        </w:rPr>
        <w:t>SEIA July 31, 2012 comments at 2-3; Clean Coalition July 31, 2012 comments at 3.</w:t>
      </w:r>
    </w:p>
  </w:footnote>
  <w:footnote w:id="45">
    <w:p w:rsidR="00CD5551" w:rsidRDefault="00CD5551" w:rsidP="007E632C">
      <w:pPr>
        <w:pStyle w:val="FootnoteText"/>
      </w:pPr>
      <w:r w:rsidRPr="00FA097E">
        <w:rPr>
          <w:rStyle w:val="FootnoteReference"/>
        </w:rPr>
        <w:footnoteRef/>
      </w:r>
      <w:r w:rsidRPr="00FA097E">
        <w:rPr>
          <w:rStyle w:val="FootnoteReference"/>
        </w:rPr>
        <w:t xml:space="preserve"> </w:t>
      </w:r>
      <w:r>
        <w:t xml:space="preserve"> </w:t>
      </w:r>
      <w:r w:rsidRPr="009E3790">
        <w:t>The Office of Ratepayer Advocates</w:t>
      </w:r>
      <w:r>
        <w:t xml:space="preserve"> </w:t>
      </w:r>
      <w:r w:rsidRPr="009E3790">
        <w:t>was formerly known as the Division of Ratepayer Advocates</w:t>
      </w:r>
      <w:r>
        <w:t xml:space="preserve"> or DRA. The name of this division of the Commission was changed by legislation</w:t>
      </w:r>
      <w:r w:rsidRPr="007C68C3">
        <w:t xml:space="preserve">.  </w:t>
      </w:r>
      <w:r w:rsidRPr="00CE5078">
        <w:t>Senate</w:t>
      </w:r>
      <w:r>
        <w:t xml:space="preserve"> Bill 96 (Budget Act of 2013: public resources), Stats. 2013, </w:t>
      </w:r>
      <w:r w:rsidRPr="00124FB6">
        <w:t>ch. 356.</w:t>
      </w:r>
      <w:r w:rsidRPr="009E3790">
        <w:t> </w:t>
      </w:r>
    </w:p>
  </w:footnote>
  <w:footnote w:id="46">
    <w:p w:rsidR="00CD5551" w:rsidRPr="00FA097E" w:rsidRDefault="00CD5551" w:rsidP="007E632C">
      <w:pPr>
        <w:pStyle w:val="NoSpacing"/>
        <w:spacing w:after="120"/>
        <w:rPr>
          <w:rFonts w:ascii="Palatino" w:eastAsia="Times New Roman" w:hAnsi="Palatino"/>
          <w:sz w:val="24"/>
          <w:szCs w:val="20"/>
        </w:rPr>
      </w:pPr>
      <w:r w:rsidRPr="00FA097E">
        <w:rPr>
          <w:rStyle w:val="FootnoteReference"/>
          <w:rFonts w:ascii="Palatino" w:eastAsia="Times New Roman" w:hAnsi="Palatino"/>
          <w:szCs w:val="20"/>
        </w:rPr>
        <w:footnoteRef/>
      </w:r>
      <w:r w:rsidRPr="00FA097E">
        <w:rPr>
          <w:rStyle w:val="FootnoteReference"/>
          <w:rFonts w:ascii="Palatino" w:eastAsia="Times New Roman" w:hAnsi="Palatino"/>
          <w:szCs w:val="20"/>
        </w:rPr>
        <w:t xml:space="preserve"> </w:t>
      </w:r>
      <w:r>
        <w:rPr>
          <w:rFonts w:ascii="Palatino" w:eastAsia="Times New Roman" w:hAnsi="Palatino"/>
          <w:szCs w:val="20"/>
        </w:rPr>
        <w:t xml:space="preserve"> </w:t>
      </w:r>
      <w:r w:rsidRPr="00FA097E">
        <w:rPr>
          <w:rFonts w:ascii="Palatino" w:eastAsia="Times New Roman" w:hAnsi="Palatino"/>
          <w:sz w:val="24"/>
          <w:szCs w:val="20"/>
        </w:rPr>
        <w:t xml:space="preserve">ORA March 8, 2013 comments at </w:t>
      </w:r>
      <w:r>
        <w:rPr>
          <w:rFonts w:ascii="Palatino" w:eastAsia="Times New Roman" w:hAnsi="Palatino"/>
          <w:sz w:val="24"/>
          <w:szCs w:val="20"/>
        </w:rPr>
        <w:t>2-3</w:t>
      </w:r>
      <w:r w:rsidRPr="00FA097E">
        <w:rPr>
          <w:rFonts w:ascii="Palatino" w:eastAsia="Times New Roman" w:hAnsi="Palatino"/>
          <w:sz w:val="24"/>
          <w:szCs w:val="20"/>
        </w:rPr>
        <w:t>.</w:t>
      </w:r>
    </w:p>
  </w:footnote>
  <w:footnote w:id="47">
    <w:p w:rsidR="00CD5551" w:rsidRPr="00AF55C8" w:rsidRDefault="00CD5551" w:rsidP="001B43F2">
      <w:pPr>
        <w:pStyle w:val="NoSpacing"/>
        <w:spacing w:after="120"/>
        <w:rPr>
          <w:rFonts w:ascii="Palatino" w:eastAsia="Times New Roman" w:hAnsi="Palatino"/>
          <w:sz w:val="24"/>
          <w:szCs w:val="20"/>
        </w:rPr>
      </w:pPr>
      <w:r w:rsidRPr="00FA097E">
        <w:rPr>
          <w:rStyle w:val="FootnoteReference"/>
          <w:rFonts w:ascii="Palatino" w:eastAsia="Times New Roman" w:hAnsi="Palatino"/>
          <w:szCs w:val="20"/>
        </w:rPr>
        <w:footnoteRef/>
      </w:r>
      <w:r w:rsidRPr="00FA097E">
        <w:rPr>
          <w:rStyle w:val="FootnoteReference"/>
          <w:rFonts w:ascii="Palatino" w:eastAsia="Times New Roman" w:hAnsi="Palatino"/>
        </w:rPr>
        <w:t xml:space="preserve"> </w:t>
      </w:r>
      <w:r>
        <w:rPr>
          <w:rFonts w:ascii="Palatino" w:eastAsia="Times New Roman" w:hAnsi="Palatino"/>
        </w:rPr>
        <w:t xml:space="preserve"> </w:t>
      </w:r>
      <w:r w:rsidRPr="00FA097E">
        <w:rPr>
          <w:rFonts w:ascii="Palatino" w:eastAsia="Times New Roman" w:hAnsi="Palatino"/>
          <w:sz w:val="24"/>
          <w:szCs w:val="20"/>
        </w:rPr>
        <w:t>Sustainable Conservation August 21, 2012 comments at 1-2.</w:t>
      </w:r>
    </w:p>
  </w:footnote>
  <w:footnote w:id="48">
    <w:p w:rsidR="00CD5551" w:rsidRPr="00FA097E" w:rsidRDefault="00CD5551" w:rsidP="001B43F2">
      <w:pPr>
        <w:pStyle w:val="NoSpacing"/>
        <w:spacing w:after="120"/>
        <w:rPr>
          <w:rFonts w:ascii="Palatino" w:eastAsia="Times New Roman" w:hAnsi="Palatino"/>
          <w:sz w:val="24"/>
          <w:szCs w:val="20"/>
        </w:rPr>
      </w:pPr>
      <w:r w:rsidRPr="00FA097E">
        <w:rPr>
          <w:rStyle w:val="FootnoteReference"/>
          <w:rFonts w:ascii="Palatino" w:eastAsia="Times New Roman" w:hAnsi="Palatino"/>
          <w:szCs w:val="20"/>
        </w:rPr>
        <w:footnoteRef/>
      </w:r>
      <w:r>
        <w:rPr>
          <w:rFonts w:ascii="Times New Roman" w:hAnsi="Times New Roman"/>
          <w:sz w:val="24"/>
          <w:szCs w:val="24"/>
        </w:rPr>
        <w:t xml:space="preserve"> </w:t>
      </w:r>
      <w:r w:rsidRPr="00FA097E">
        <w:rPr>
          <w:rFonts w:ascii="Palatino" w:eastAsia="Times New Roman" w:hAnsi="Palatino"/>
          <w:sz w:val="24"/>
          <w:szCs w:val="20"/>
        </w:rPr>
        <w:t>Sustainable Conservation August 21, 2012 comments at 2.</w:t>
      </w:r>
    </w:p>
  </w:footnote>
  <w:footnote w:id="49">
    <w:p w:rsidR="00CD5551" w:rsidRDefault="00CD5551" w:rsidP="001B43F2">
      <w:pPr>
        <w:pStyle w:val="FootnoteText"/>
      </w:pPr>
      <w:r>
        <w:rPr>
          <w:rStyle w:val="FootnoteReference"/>
        </w:rPr>
        <w:footnoteRef/>
      </w:r>
      <w:r>
        <w:t xml:space="preserve"> SEIA July 31, 2012 comments at 3-4.</w:t>
      </w:r>
    </w:p>
  </w:footnote>
  <w:footnote w:id="50">
    <w:p w:rsidR="00CD5551" w:rsidRPr="00415DDD" w:rsidRDefault="00CD5551" w:rsidP="001B43F2">
      <w:pPr>
        <w:pStyle w:val="NoSpacing"/>
        <w:spacing w:after="120"/>
        <w:rPr>
          <w:rStyle w:val="FootnoteTextChar"/>
        </w:rPr>
      </w:pPr>
      <w:r w:rsidRPr="00415DDD">
        <w:rPr>
          <w:rStyle w:val="FootnoteReference"/>
        </w:rPr>
        <w:footnoteRef/>
      </w:r>
      <w:r>
        <w:rPr>
          <w:rStyle w:val="FootnoteReference"/>
        </w:rPr>
        <w:t xml:space="preserve"> </w:t>
      </w:r>
      <w:r>
        <w:rPr>
          <w:rStyle w:val="FootnoteTextChar"/>
        </w:rPr>
        <w:t xml:space="preserve"> </w:t>
      </w:r>
      <w:r w:rsidRPr="00415DDD">
        <w:rPr>
          <w:rStyle w:val="FootnoteTextChar"/>
        </w:rPr>
        <w:t>SCE August 21, 2012 comments at 4.</w:t>
      </w:r>
    </w:p>
  </w:footnote>
  <w:footnote w:id="51">
    <w:p w:rsidR="00CD5551" w:rsidRDefault="00CD5551" w:rsidP="001B43F2">
      <w:pPr>
        <w:pStyle w:val="FootnoteText"/>
      </w:pPr>
      <w:r>
        <w:rPr>
          <w:rStyle w:val="FootnoteReference"/>
        </w:rPr>
        <w:footnoteRef/>
      </w:r>
      <w:r>
        <w:t xml:space="preserve">  </w:t>
      </w:r>
      <w:r w:rsidRPr="00814D2A">
        <w:t>SCE August 21, 2012 comments at 4.</w:t>
      </w:r>
    </w:p>
  </w:footnote>
  <w:footnote w:id="52">
    <w:p w:rsidR="00CD5551" w:rsidRDefault="00CD5551" w:rsidP="001B43F2">
      <w:pPr>
        <w:pStyle w:val="FootnoteText"/>
      </w:pPr>
      <w:r>
        <w:rPr>
          <w:rStyle w:val="FootnoteReference"/>
        </w:rPr>
        <w:footnoteRef/>
      </w:r>
      <w:r>
        <w:t xml:space="preserve">  </w:t>
      </w:r>
      <w:r w:rsidRPr="00574251">
        <w:t xml:space="preserve">SEIA July 31, 2012 comments </w:t>
      </w:r>
      <w:r>
        <w:t>at 2-3.</w:t>
      </w:r>
    </w:p>
  </w:footnote>
  <w:footnote w:id="53">
    <w:p w:rsidR="00CD5551" w:rsidRDefault="00CD5551" w:rsidP="0047280A">
      <w:pPr>
        <w:pStyle w:val="FootnoteText"/>
      </w:pPr>
      <w:r>
        <w:rPr>
          <w:rStyle w:val="FootnoteReference"/>
        </w:rPr>
        <w:footnoteRef/>
      </w:r>
      <w:r>
        <w:t xml:space="preserve">  IREC March 8, 2013 comments at 4-5; Clean Coalition July 31, 2012 comments at 5-6.</w:t>
      </w:r>
    </w:p>
  </w:footnote>
  <w:footnote w:id="54">
    <w:p w:rsidR="00CD5551" w:rsidRDefault="00CD5551" w:rsidP="0047280A">
      <w:pPr>
        <w:pStyle w:val="FootnoteText"/>
      </w:pPr>
      <w:r>
        <w:rPr>
          <w:rStyle w:val="FootnoteReference"/>
        </w:rPr>
        <w:footnoteRef/>
      </w:r>
      <w:r>
        <w:t xml:space="preserve">  </w:t>
      </w:r>
      <w:r>
        <w:rPr>
          <w:i/>
        </w:rPr>
        <w:t>See</w:t>
      </w:r>
      <w:r>
        <w:t xml:space="preserve">, </w:t>
      </w:r>
      <w:r w:rsidRPr="00E272A7">
        <w:rPr>
          <w:i/>
        </w:rPr>
        <w:t>e.g</w:t>
      </w:r>
      <w:r>
        <w:t xml:space="preserve">., PG&amp;E Electric Tariff Rule 21 at F.3.d.ii (timeline for Independent Study Process). </w:t>
      </w:r>
    </w:p>
  </w:footnote>
  <w:footnote w:id="55">
    <w:p w:rsidR="00CD5551" w:rsidRDefault="00CD5551" w:rsidP="001B43F2">
      <w:pPr>
        <w:pStyle w:val="FootnoteText"/>
      </w:pPr>
      <w:r>
        <w:rPr>
          <w:rStyle w:val="FootnoteReference"/>
        </w:rPr>
        <w:footnoteRef/>
      </w:r>
      <w:r>
        <w:t xml:space="preserve">  </w:t>
      </w:r>
      <w:r w:rsidRPr="000B5F89">
        <w:t>Clean Coalition July 31, 2012 comments at 5</w:t>
      </w:r>
      <w:r>
        <w:t>-6</w:t>
      </w:r>
      <w:r w:rsidRPr="000B5F89">
        <w:t>.</w:t>
      </w:r>
    </w:p>
  </w:footnote>
  <w:footnote w:id="56">
    <w:p w:rsidR="00CD5551" w:rsidRPr="00C70C85" w:rsidRDefault="00CD5551" w:rsidP="001B43F2">
      <w:pPr>
        <w:pStyle w:val="NoSpacing"/>
        <w:spacing w:after="120"/>
        <w:rPr>
          <w:rStyle w:val="FootnoteTextChar"/>
        </w:rPr>
      </w:pPr>
      <w:r w:rsidRPr="00C70C85">
        <w:rPr>
          <w:rStyle w:val="FootnoteReference"/>
        </w:rPr>
        <w:footnoteRef/>
      </w:r>
      <w:r>
        <w:rPr>
          <w:rFonts w:ascii="Times New Roman" w:hAnsi="Times New Roman"/>
          <w:sz w:val="20"/>
          <w:szCs w:val="20"/>
        </w:rPr>
        <w:t xml:space="preserve">  </w:t>
      </w:r>
      <w:r w:rsidRPr="00C70C85">
        <w:rPr>
          <w:rStyle w:val="FootnoteTextChar"/>
        </w:rPr>
        <w:t xml:space="preserve">Clean Coalition July 31, 2012 comments at 5-6. </w:t>
      </w:r>
    </w:p>
  </w:footnote>
  <w:footnote w:id="57">
    <w:p w:rsidR="00CD5551" w:rsidRPr="00C70C85" w:rsidRDefault="00CD5551" w:rsidP="001B43F2">
      <w:pPr>
        <w:pStyle w:val="NoSpacing"/>
        <w:spacing w:after="120"/>
        <w:rPr>
          <w:rStyle w:val="FootnoteTextChar"/>
        </w:rPr>
      </w:pPr>
      <w:r w:rsidRPr="00C70C85">
        <w:rPr>
          <w:rStyle w:val="FootnoteReference"/>
        </w:rPr>
        <w:footnoteRef/>
      </w:r>
      <w:r>
        <w:rPr>
          <w:rFonts w:ascii="Times New Roman" w:hAnsi="Times New Roman"/>
          <w:sz w:val="20"/>
          <w:szCs w:val="20"/>
        </w:rPr>
        <w:t xml:space="preserve">  </w:t>
      </w:r>
      <w:r w:rsidRPr="00C70C85">
        <w:rPr>
          <w:rStyle w:val="FootnoteTextChar"/>
        </w:rPr>
        <w:t xml:space="preserve">Sustainable Conservation August 21, 2012 comments at 2. </w:t>
      </w:r>
    </w:p>
  </w:footnote>
  <w:footnote w:id="58">
    <w:p w:rsidR="00CD5551" w:rsidRDefault="00CD5551" w:rsidP="0047280A">
      <w:pPr>
        <w:pStyle w:val="FootnoteText"/>
      </w:pPr>
      <w:r w:rsidRPr="00C70C85">
        <w:rPr>
          <w:rStyle w:val="FootnoteReference"/>
        </w:rPr>
        <w:footnoteRef/>
      </w:r>
      <w:r w:rsidRPr="00C70C85">
        <w:rPr>
          <w:rStyle w:val="FootnoteReference"/>
        </w:rPr>
        <w:t xml:space="preserve"> </w:t>
      </w:r>
      <w:r>
        <w:t xml:space="preserve"> PG&amp;E August 21, 2012 comments at 6.</w:t>
      </w:r>
      <w:r w:rsidRPr="00ED2023">
        <w:t xml:space="preserve"> </w:t>
      </w:r>
      <w:r w:rsidRPr="00ED2023">
        <w:rPr>
          <w:i/>
        </w:rPr>
        <w:t>See also</w:t>
      </w:r>
      <w:r>
        <w:t>, PG&amp;E July 10, 2012 proposed DGSP outline at slides 3 and 9.</w:t>
      </w:r>
    </w:p>
  </w:footnote>
  <w:footnote w:id="59">
    <w:p w:rsidR="00CD5551" w:rsidRDefault="00CD5551" w:rsidP="00C70C85">
      <w:pPr>
        <w:pStyle w:val="FootnoteText"/>
      </w:pPr>
      <w:r>
        <w:rPr>
          <w:rStyle w:val="FootnoteReference"/>
        </w:rPr>
        <w:footnoteRef/>
      </w:r>
      <w:r>
        <w:t xml:space="preserve">  </w:t>
      </w:r>
      <w:r w:rsidRPr="003F7293">
        <w:t>Sustainable Conservation July 31, 2012 comments at 3 and Clean Coalition July 21, 2012 comments at 3-4, 7.</w:t>
      </w:r>
    </w:p>
  </w:footnote>
  <w:footnote w:id="60">
    <w:p w:rsidR="00CD5551" w:rsidRPr="00C70C85" w:rsidRDefault="00CD5551" w:rsidP="00C70C85">
      <w:pPr>
        <w:pStyle w:val="NoSpacing"/>
        <w:spacing w:after="120"/>
        <w:rPr>
          <w:rStyle w:val="FootnoteTextChar"/>
        </w:rPr>
      </w:pPr>
      <w:r w:rsidRPr="001B43F2">
        <w:rPr>
          <w:rStyle w:val="FootnoteReference"/>
          <w:rFonts w:ascii="Palatino" w:eastAsia="Times New Roman" w:hAnsi="Palatino"/>
          <w:szCs w:val="20"/>
        </w:rPr>
        <w:footnoteRef/>
      </w:r>
      <w:r>
        <w:rPr>
          <w:rFonts w:ascii="Palatino" w:eastAsia="Times New Roman" w:hAnsi="Palatino"/>
          <w:szCs w:val="20"/>
        </w:rPr>
        <w:t xml:space="preserve"> </w:t>
      </w:r>
      <w:r w:rsidRPr="001B43F2">
        <w:rPr>
          <w:rStyle w:val="FootnoteReference"/>
          <w:rFonts w:ascii="Palatino" w:eastAsia="Times New Roman" w:hAnsi="Palatino"/>
          <w:szCs w:val="20"/>
        </w:rPr>
        <w:t xml:space="preserve"> </w:t>
      </w:r>
      <w:r w:rsidRPr="00C70C85">
        <w:rPr>
          <w:rStyle w:val="FootnoteTextChar"/>
        </w:rPr>
        <w:t xml:space="preserve">Clean Coalition July 31, 2012 comments at 4; Clean Coalition August 21, 2012 comments at </w:t>
      </w:r>
      <w:r>
        <w:rPr>
          <w:rStyle w:val="FootnoteTextChar"/>
        </w:rPr>
        <w:t>4</w:t>
      </w:r>
      <w:r w:rsidRPr="00C70C85">
        <w:rPr>
          <w:rStyle w:val="FootnoteTextChar"/>
        </w:rPr>
        <w:t>.</w:t>
      </w:r>
    </w:p>
  </w:footnote>
  <w:footnote w:id="61">
    <w:p w:rsidR="00CD5551" w:rsidRDefault="00CD5551" w:rsidP="00C70C85">
      <w:pPr>
        <w:pStyle w:val="FootnoteText"/>
      </w:pPr>
      <w:r>
        <w:rPr>
          <w:rStyle w:val="FootnoteReference"/>
        </w:rPr>
        <w:footnoteRef/>
      </w:r>
      <w:r>
        <w:t xml:space="preserve">  </w:t>
      </w:r>
      <w:r w:rsidRPr="00C70C85">
        <w:t>Sierra Club/Vote Solar Initiative July 31, 2012 comments at 3</w:t>
      </w:r>
      <w:r>
        <w:t>.</w:t>
      </w:r>
    </w:p>
  </w:footnote>
  <w:footnote w:id="62">
    <w:p w:rsidR="00CD5551" w:rsidRDefault="00CD5551" w:rsidP="00C70C85">
      <w:pPr>
        <w:pStyle w:val="FootnoteText"/>
      </w:pPr>
      <w:r>
        <w:rPr>
          <w:rStyle w:val="FootnoteReference"/>
        </w:rPr>
        <w:footnoteRef/>
      </w:r>
      <w:r>
        <w:t xml:space="preserve">  SCE August 21, 2012 comments at 2; PG&amp;E August 21, 2012 comments at 7.</w:t>
      </w:r>
    </w:p>
  </w:footnote>
  <w:footnote w:id="63">
    <w:p w:rsidR="00CD5551" w:rsidRDefault="00CD5551">
      <w:pPr>
        <w:pStyle w:val="FootnoteText"/>
      </w:pPr>
      <w:r>
        <w:rPr>
          <w:rStyle w:val="FootnoteReference"/>
        </w:rPr>
        <w:footnoteRef/>
      </w:r>
      <w:r>
        <w:t xml:space="preserve">  </w:t>
      </w:r>
      <w:r w:rsidRPr="0085296A">
        <w:rPr>
          <w:i/>
        </w:rPr>
        <w:t>See, e.g.,</w:t>
      </w:r>
      <w:r w:rsidRPr="0085296A">
        <w:t xml:space="preserve"> PG&amp;E Electric Tariff </w:t>
      </w:r>
      <w:r>
        <w:t>Rule 21 at sec. G.3.b.</w:t>
      </w:r>
    </w:p>
  </w:footnote>
  <w:footnote w:id="64">
    <w:p w:rsidR="00CD5551" w:rsidRDefault="00CD5551" w:rsidP="00901311">
      <w:pPr>
        <w:pStyle w:val="FootnoteText"/>
      </w:pPr>
      <w:r>
        <w:rPr>
          <w:rStyle w:val="FootnoteReference"/>
        </w:rPr>
        <w:footnoteRef/>
      </w:r>
      <w:r>
        <w:t xml:space="preserve">  </w:t>
      </w:r>
      <w:r w:rsidRPr="002A6313">
        <w:t>SCE August 21, 2012 comments at 2</w:t>
      </w:r>
      <w:r>
        <w:t>; PG&amp;E August 21, 2012 comments at 7-8.</w:t>
      </w:r>
    </w:p>
  </w:footnote>
  <w:footnote w:id="65">
    <w:p w:rsidR="00CD5551" w:rsidRDefault="00CD5551" w:rsidP="00901311">
      <w:pPr>
        <w:pStyle w:val="FootnoteText"/>
      </w:pPr>
      <w:r>
        <w:rPr>
          <w:rStyle w:val="FootnoteReference"/>
        </w:rPr>
        <w:footnoteRef/>
      </w:r>
      <w:r>
        <w:t xml:space="preserve">  </w:t>
      </w:r>
      <w:r w:rsidRPr="00ED2023">
        <w:t xml:space="preserve">PG&amp;E August 21, 2012 comments at </w:t>
      </w:r>
      <w:r>
        <w:t>8</w:t>
      </w:r>
      <w:r w:rsidRPr="00ED2023">
        <w:t>.</w:t>
      </w:r>
    </w:p>
  </w:footnote>
  <w:footnote w:id="66">
    <w:p w:rsidR="00CD5551" w:rsidRDefault="00CD5551" w:rsidP="0047280A">
      <w:pPr>
        <w:pStyle w:val="FootnoteText"/>
      </w:pPr>
      <w:r>
        <w:rPr>
          <w:rStyle w:val="FootnoteReference"/>
        </w:rPr>
        <w:footnoteRef/>
      </w:r>
      <w:r>
        <w:t xml:space="preserve">  </w:t>
      </w:r>
      <w:r w:rsidRPr="00E17532">
        <w:rPr>
          <w:i/>
        </w:rPr>
        <w:t>See, e.g.,</w:t>
      </w:r>
      <w:r w:rsidRPr="00E17532">
        <w:t xml:space="preserve"> </w:t>
      </w:r>
      <w:r>
        <w:t xml:space="preserve">Attachment A </w:t>
      </w:r>
      <w:r w:rsidRPr="0037521B">
        <w:t xml:space="preserve">PG&amp;E's and SDG&amp;E's February 19, 2013 </w:t>
      </w:r>
      <w:r w:rsidRPr="0037521B">
        <w:rPr>
          <w:i/>
        </w:rPr>
        <w:t>Joint Distribution Tariff Filing</w:t>
      </w:r>
      <w:r w:rsidRPr="0037521B">
        <w:t xml:space="preserve"> </w:t>
      </w:r>
      <w:r>
        <w:t xml:space="preserve">at proposed tariff </w:t>
      </w:r>
      <w:r w:rsidRPr="00E17532">
        <w:t xml:space="preserve">at sec. </w:t>
      </w:r>
      <w:r>
        <w:t>F.3.b.xi</w:t>
      </w:r>
      <w:r w:rsidRPr="00E17532">
        <w:t xml:space="preserve">:  </w:t>
      </w:r>
      <w:r>
        <w:t>Certain funds would, however, be forfeited.</w:t>
      </w:r>
    </w:p>
  </w:footnote>
  <w:footnote w:id="67">
    <w:p w:rsidR="00CD5551" w:rsidRDefault="00CD5551" w:rsidP="00934208">
      <w:pPr>
        <w:pStyle w:val="FootnoteText"/>
      </w:pPr>
      <w:r w:rsidRPr="001B43F2">
        <w:rPr>
          <w:rStyle w:val="FootnoteReference"/>
        </w:rPr>
        <w:footnoteRef/>
      </w:r>
      <w:r w:rsidRPr="00692B35">
        <w:rPr>
          <w:i/>
        </w:rPr>
        <w:t xml:space="preserve"> </w:t>
      </w:r>
      <w:r>
        <w:rPr>
          <w:i/>
        </w:rPr>
        <w:t xml:space="preserve"> </w:t>
      </w:r>
      <w:r w:rsidRPr="00692B35">
        <w:rPr>
          <w:i/>
        </w:rPr>
        <w:t>See, e.g.,</w:t>
      </w:r>
      <w:r>
        <w:t xml:space="preserve"> Attachment A</w:t>
      </w:r>
      <w:r w:rsidRPr="0037521B">
        <w:t xml:space="preserve"> PG&amp;E's and SDG&amp;E's February 19, 2013 </w:t>
      </w:r>
      <w:r w:rsidRPr="0037521B">
        <w:rPr>
          <w:i/>
        </w:rPr>
        <w:t>Joint Distribution Tariff Filing</w:t>
      </w:r>
      <w:r w:rsidRPr="0037521B">
        <w:t xml:space="preserve"> </w:t>
      </w:r>
      <w:r>
        <w:t xml:space="preserve">at proposed tariff at sec. F.3.b.iii:  “At the Distribution Provider’s option, an Interconnection Request received during a particular Distribution Group Study Application window may be studied individually (Independent Study Process) or in a Distribution Group Study for the purpose of conducting one or more of the analyses forming the Interconnection Studies.” </w:t>
      </w:r>
    </w:p>
  </w:footnote>
  <w:footnote w:id="68">
    <w:p w:rsidR="00CD5551" w:rsidRDefault="00CD5551" w:rsidP="00934208">
      <w:pPr>
        <w:pStyle w:val="FootnoteText"/>
      </w:pPr>
      <w:r w:rsidRPr="00901311">
        <w:rPr>
          <w:rStyle w:val="FootnoteReference"/>
        </w:rPr>
        <w:footnoteRef/>
      </w:r>
      <w:r>
        <w:t xml:space="preserve">  </w:t>
      </w:r>
      <w:r w:rsidRPr="00EE0110">
        <w:rPr>
          <w:i/>
        </w:rPr>
        <w:t>See, e.g</w:t>
      </w:r>
      <w:r w:rsidRPr="00934208">
        <w:t xml:space="preserve">., </w:t>
      </w:r>
      <w:r>
        <w:t>Attachment A</w:t>
      </w:r>
      <w:r w:rsidRPr="00934208">
        <w:t xml:space="preserve"> PG&amp;E's and SDG&amp;E's February 19, 2013 Joint Distribution Tariff Filing at proposed tariff at sec. F.3.b.iv: “Upon request, Distribution Provider shall provide any Applicant in the Distribution Study Group all rel</w:t>
      </w:r>
      <w:r>
        <w:t>evant supporting documentation…</w:t>
      </w:r>
      <w:r w:rsidRPr="00934208">
        <w:t>relevant to the Interconnection Request for the DGS Phase 1 Interconnection Study.”</w:t>
      </w:r>
    </w:p>
  </w:footnote>
  <w:footnote w:id="69">
    <w:p w:rsidR="00CD5551" w:rsidRPr="00901311" w:rsidRDefault="00CD5551" w:rsidP="00934208">
      <w:pPr>
        <w:pStyle w:val="NoSpacing"/>
        <w:spacing w:after="120"/>
        <w:rPr>
          <w:rStyle w:val="FootnoteTextChar"/>
        </w:rPr>
      </w:pPr>
      <w:r w:rsidRPr="00901311">
        <w:rPr>
          <w:rStyle w:val="FootnoteReference"/>
        </w:rPr>
        <w:footnoteRef/>
      </w:r>
      <w:r w:rsidRPr="00901311">
        <w:rPr>
          <w:rStyle w:val="FootnoteReference"/>
        </w:rPr>
        <w:t xml:space="preserve"> </w:t>
      </w:r>
      <w:r>
        <w:t xml:space="preserve">  </w:t>
      </w:r>
      <w:r w:rsidRPr="00901311">
        <w:rPr>
          <w:rStyle w:val="FootnoteTextChar"/>
        </w:rPr>
        <w:t>IREC March 8, 2013 comments at 6-8.</w:t>
      </w:r>
    </w:p>
  </w:footnote>
  <w:footnote w:id="70">
    <w:p w:rsidR="00CD5551" w:rsidRDefault="00CD5551">
      <w:pPr>
        <w:pStyle w:val="FootnoteText"/>
      </w:pPr>
      <w:r>
        <w:rPr>
          <w:rStyle w:val="FootnoteReference"/>
        </w:rPr>
        <w:footnoteRef/>
      </w:r>
      <w:r>
        <w:t xml:space="preserve"> PG&amp;E and SDG&amp;E February 25, 2014 joint comments at 2.</w:t>
      </w:r>
    </w:p>
  </w:footnote>
  <w:footnote w:id="71">
    <w:p w:rsidR="00CD5551" w:rsidRDefault="00CD5551" w:rsidP="00205E7D">
      <w:pPr>
        <w:pStyle w:val="FootnoteText"/>
      </w:pPr>
      <w:r>
        <w:rPr>
          <w:rStyle w:val="FootnoteReference"/>
        </w:rPr>
        <w:footnoteRef/>
      </w:r>
      <w:r>
        <w:t xml:space="preserve">  PG&amp;E </w:t>
      </w:r>
      <w:r w:rsidRPr="004E57DC">
        <w:t>July 10, 2012 proposed D</w:t>
      </w:r>
      <w:r>
        <w:t xml:space="preserve">GSP </w:t>
      </w:r>
      <w:r w:rsidRPr="004E57DC">
        <w:t>outline at slide 18</w:t>
      </w:r>
      <w:r>
        <w:t>; PG&amp;E August 21, 2012 comments at 7.</w:t>
      </w:r>
    </w:p>
  </w:footnote>
  <w:footnote w:id="72">
    <w:p w:rsidR="00CD5551" w:rsidRPr="00396000" w:rsidRDefault="00CD5551" w:rsidP="0047280A">
      <w:pPr>
        <w:pStyle w:val="NoSpacing"/>
        <w:rPr>
          <w:rStyle w:val="FootnoteTextChar"/>
        </w:rPr>
      </w:pPr>
      <w:r w:rsidRPr="001B43F2">
        <w:rPr>
          <w:rStyle w:val="FootnoteReference"/>
          <w:rFonts w:ascii="Palatino" w:eastAsia="Times New Roman" w:hAnsi="Palatino"/>
          <w:szCs w:val="20"/>
        </w:rPr>
        <w:footnoteRef/>
      </w:r>
      <w:r w:rsidRPr="001B43F2">
        <w:rPr>
          <w:rStyle w:val="FootnoteReference"/>
        </w:rPr>
        <w:t xml:space="preserve"> </w:t>
      </w:r>
      <w:r>
        <w:rPr>
          <w:rFonts w:ascii="Times New Roman" w:hAnsi="Times New Roman"/>
          <w:sz w:val="20"/>
          <w:szCs w:val="20"/>
        </w:rPr>
        <w:t xml:space="preserve"> </w:t>
      </w:r>
      <w:r w:rsidRPr="00396000">
        <w:rPr>
          <w:rStyle w:val="FootnoteTextChar"/>
        </w:rPr>
        <w:t xml:space="preserve">SCE August 21, 2012 </w:t>
      </w:r>
      <w:r w:rsidRPr="00EC6F85">
        <w:rPr>
          <w:rStyle w:val="FootnoteTextChar"/>
        </w:rPr>
        <w:t>comments at 5.</w:t>
      </w:r>
    </w:p>
  </w:footnote>
  <w:footnote w:id="73">
    <w:p w:rsidR="00CD5551" w:rsidRDefault="00CD5551" w:rsidP="0047280A">
      <w:pPr>
        <w:pStyle w:val="FootnoteText"/>
      </w:pPr>
      <w:r>
        <w:rPr>
          <w:rStyle w:val="FootnoteReference"/>
        </w:rPr>
        <w:footnoteRef/>
      </w:r>
      <w:r>
        <w:rPr>
          <w:i/>
        </w:rPr>
        <w:t xml:space="preserve">  </w:t>
      </w:r>
      <w:r w:rsidRPr="003817D0">
        <w:rPr>
          <w:i/>
        </w:rPr>
        <w:t>Administrative Law Judge’s Ruling Granting the Motion of Vote Solar</w:t>
      </w:r>
      <w:r w:rsidRPr="003817D0">
        <w:t xml:space="preserve"> (April 20, 2012) at </w:t>
      </w:r>
      <w:r>
        <w:t xml:space="preserve">5. The utilities circulated drafts to the service list consistent with a directive in the </w:t>
      </w:r>
      <w:r>
        <w:br/>
        <w:t>April 20, 2012 ALJ Ruling.</w:t>
      </w:r>
    </w:p>
  </w:footnote>
  <w:footnote w:id="74">
    <w:p w:rsidR="00CD5551" w:rsidRPr="0005686F" w:rsidRDefault="00CD5551" w:rsidP="000D77BF">
      <w:pPr>
        <w:pStyle w:val="NoSpacing"/>
        <w:spacing w:after="120"/>
        <w:rPr>
          <w:sz w:val="24"/>
          <w:szCs w:val="24"/>
        </w:rPr>
      </w:pPr>
      <w:r w:rsidRPr="001B43F2">
        <w:rPr>
          <w:rStyle w:val="FootnoteReference"/>
          <w:rFonts w:ascii="Palatino" w:eastAsia="Times New Roman" w:hAnsi="Palatino"/>
          <w:szCs w:val="20"/>
        </w:rPr>
        <w:footnoteRef/>
      </w:r>
      <w:r>
        <w:t xml:space="preserve">  </w:t>
      </w:r>
      <w:r>
        <w:rPr>
          <w:rStyle w:val="FootnoteTextChar"/>
        </w:rPr>
        <w:t xml:space="preserve">SCE’s </w:t>
      </w:r>
      <w:r w:rsidRPr="000D77BF">
        <w:rPr>
          <w:rStyle w:val="FootnoteTextChar"/>
          <w:i/>
        </w:rPr>
        <w:t>Motion to Adopt Pro Forma Documents</w:t>
      </w:r>
      <w:r w:rsidRPr="000D77BF">
        <w:rPr>
          <w:rStyle w:val="FootnoteTextChar"/>
        </w:rPr>
        <w:t xml:space="preserve"> (June 15, 2012); </w:t>
      </w:r>
      <w:r w:rsidRPr="00AA17B7">
        <w:rPr>
          <w:rStyle w:val="FootnoteTextChar"/>
        </w:rPr>
        <w:t>PG&amp;E’s</w:t>
      </w:r>
      <w:r w:rsidRPr="000D77BF">
        <w:rPr>
          <w:rStyle w:val="FootnoteTextChar"/>
          <w:i/>
        </w:rPr>
        <w:t xml:space="preserve"> Pro Forma Agreement Filing</w:t>
      </w:r>
      <w:r w:rsidRPr="000D77BF">
        <w:rPr>
          <w:rStyle w:val="FootnoteTextChar"/>
        </w:rPr>
        <w:t xml:space="preserve"> (June 15, 2012); </w:t>
      </w:r>
      <w:r w:rsidRPr="00AA17B7">
        <w:rPr>
          <w:rStyle w:val="FootnoteTextChar"/>
        </w:rPr>
        <w:t>SDG&amp;E’s</w:t>
      </w:r>
      <w:r w:rsidRPr="000D77BF">
        <w:rPr>
          <w:rStyle w:val="FootnoteTextChar"/>
          <w:i/>
        </w:rPr>
        <w:t xml:space="preserve"> Motion to Ad</w:t>
      </w:r>
      <w:r>
        <w:rPr>
          <w:rStyle w:val="FootnoteTextChar"/>
          <w:i/>
        </w:rPr>
        <w:t>opt Standardized Pro Forma Rule </w:t>
      </w:r>
      <w:r w:rsidRPr="000D77BF">
        <w:rPr>
          <w:rStyle w:val="FootnoteTextChar"/>
          <w:i/>
        </w:rPr>
        <w:t>21 Documents</w:t>
      </w:r>
      <w:r w:rsidRPr="000D77BF">
        <w:rPr>
          <w:rStyle w:val="FootnoteTextChar"/>
        </w:rPr>
        <w:t xml:space="preserve"> (June 15, 2012).</w:t>
      </w:r>
    </w:p>
  </w:footnote>
  <w:footnote w:id="75">
    <w:p w:rsidR="00CD5551" w:rsidRDefault="00CD5551" w:rsidP="000D77BF">
      <w:pPr>
        <w:pStyle w:val="FootnoteText"/>
      </w:pPr>
      <w:r>
        <w:rPr>
          <w:rStyle w:val="FootnoteReference"/>
        </w:rPr>
        <w:footnoteRef/>
      </w:r>
      <w:r>
        <w:t xml:space="preserve">  CESA July 2, 2012 comments at 3-4.</w:t>
      </w:r>
    </w:p>
  </w:footnote>
  <w:footnote w:id="76">
    <w:p w:rsidR="00CD5551" w:rsidRDefault="00CD5551" w:rsidP="0047280A">
      <w:pPr>
        <w:pStyle w:val="FootnoteText"/>
      </w:pPr>
      <w:r>
        <w:rPr>
          <w:rStyle w:val="FootnoteReference"/>
        </w:rPr>
        <w:footnoteRef/>
      </w:r>
      <w:r>
        <w:t xml:space="preserve">  </w:t>
      </w:r>
      <w:r w:rsidRPr="006F21BD">
        <w:t>WalMart/Sam’</w:t>
      </w:r>
      <w:r>
        <w:t>s West</w:t>
      </w:r>
      <w:r w:rsidRPr="006F21BD">
        <w:t xml:space="preserve"> July 2, 2012 comments at </w:t>
      </w:r>
      <w:r>
        <w:t>3</w:t>
      </w:r>
      <w:r w:rsidRPr="006F21BD">
        <w:t>.</w:t>
      </w:r>
    </w:p>
  </w:footnote>
  <w:footnote w:id="77">
    <w:p w:rsidR="00CD5551" w:rsidRPr="00714C7F" w:rsidRDefault="00CD5551" w:rsidP="00FE7C30">
      <w:pPr>
        <w:pStyle w:val="NoSpacing"/>
        <w:spacing w:after="120"/>
        <w:rPr>
          <w:rFonts w:ascii="Times New Roman" w:hAnsi="Times New Roman"/>
          <w:sz w:val="20"/>
          <w:szCs w:val="20"/>
        </w:rPr>
      </w:pPr>
      <w:r w:rsidRPr="001B43F2">
        <w:rPr>
          <w:rStyle w:val="FootnoteReference"/>
          <w:rFonts w:ascii="Palatino" w:eastAsia="Times New Roman" w:hAnsi="Palatino"/>
          <w:szCs w:val="20"/>
        </w:rPr>
        <w:footnoteRef/>
      </w:r>
      <w:r w:rsidRPr="00714C7F">
        <w:rPr>
          <w:rFonts w:ascii="Times New Roman" w:hAnsi="Times New Roman"/>
          <w:sz w:val="20"/>
          <w:szCs w:val="20"/>
        </w:rPr>
        <w:t xml:space="preserve"> </w:t>
      </w:r>
      <w:r>
        <w:rPr>
          <w:rFonts w:ascii="Times New Roman" w:hAnsi="Times New Roman"/>
          <w:sz w:val="20"/>
          <w:szCs w:val="20"/>
        </w:rPr>
        <w:t xml:space="preserve"> </w:t>
      </w:r>
      <w:r w:rsidRPr="000816F7">
        <w:rPr>
          <w:rStyle w:val="FootnoteTextChar"/>
        </w:rPr>
        <w:t>PG&amp;E July 12, 2012 reply comments at 2-3, SDG&amp;E July 12, 2012 reply comments at 2; SCE reply comments at 4.</w:t>
      </w:r>
    </w:p>
  </w:footnote>
  <w:footnote w:id="78">
    <w:p w:rsidR="00CD5551" w:rsidRPr="000816F7" w:rsidRDefault="00CD5551" w:rsidP="00FE7C30">
      <w:pPr>
        <w:pStyle w:val="NoSpacing"/>
        <w:spacing w:after="120"/>
        <w:rPr>
          <w:rStyle w:val="FootnoteTextChar"/>
        </w:rPr>
      </w:pPr>
      <w:r w:rsidRPr="001B43F2">
        <w:rPr>
          <w:rStyle w:val="FootnoteReference"/>
          <w:rFonts w:ascii="Palatino" w:eastAsia="Times New Roman" w:hAnsi="Palatino"/>
          <w:szCs w:val="20"/>
        </w:rPr>
        <w:footnoteRef/>
      </w:r>
      <w:r w:rsidRPr="001B43F2">
        <w:rPr>
          <w:rStyle w:val="FootnoteReference"/>
          <w:rFonts w:ascii="Palatino" w:eastAsia="Times New Roman" w:hAnsi="Palatino"/>
        </w:rPr>
        <w:t xml:space="preserve"> </w:t>
      </w:r>
      <w:r>
        <w:rPr>
          <w:rFonts w:ascii="Palatino" w:eastAsia="Times New Roman" w:hAnsi="Palatino"/>
        </w:rPr>
        <w:t xml:space="preserve"> </w:t>
      </w:r>
      <w:r w:rsidRPr="000816F7">
        <w:rPr>
          <w:rStyle w:val="FootnoteTextChar"/>
        </w:rPr>
        <w:t>PG&amp;E July 12, 2012 reply comments at 2-3;</w:t>
      </w:r>
      <w:r>
        <w:rPr>
          <w:rStyle w:val="FootnoteTextChar"/>
        </w:rPr>
        <w:t xml:space="preserve"> </w:t>
      </w:r>
      <w:r w:rsidRPr="000816F7">
        <w:rPr>
          <w:rStyle w:val="FootnoteTextChar"/>
        </w:rPr>
        <w:t>SDG&amp;E July 12, 2012 reply comments at 2; SCE reply comments at 4.</w:t>
      </w:r>
    </w:p>
  </w:footnote>
  <w:footnote w:id="79">
    <w:p w:rsidR="00CD5551" w:rsidRDefault="00CD5551" w:rsidP="0047280A">
      <w:pPr>
        <w:pStyle w:val="FootnoteText"/>
      </w:pPr>
      <w:r>
        <w:rPr>
          <w:rStyle w:val="FootnoteReference"/>
        </w:rPr>
        <w:footnoteRef/>
      </w:r>
      <w:r>
        <w:t xml:space="preserve">  IREC March 8, 2013 comments at 2-3.</w:t>
      </w:r>
    </w:p>
  </w:footnote>
  <w:footnote w:id="80">
    <w:p w:rsidR="00CD5551" w:rsidRDefault="00CD5551" w:rsidP="0047280A">
      <w:pPr>
        <w:pStyle w:val="FootnoteText"/>
      </w:pPr>
      <w:r>
        <w:rPr>
          <w:rStyle w:val="FootnoteReference"/>
        </w:rPr>
        <w:footnoteRef/>
      </w:r>
      <w:r>
        <w:t xml:space="preserve">  </w:t>
      </w:r>
      <w:r w:rsidRPr="008B69DD">
        <w:t>IREC March 8, 2013 comments at 2-3.</w:t>
      </w:r>
    </w:p>
  </w:footnote>
  <w:footnote w:id="81">
    <w:p w:rsidR="00CD5551" w:rsidRDefault="00CD5551" w:rsidP="0047280A">
      <w:pPr>
        <w:pStyle w:val="FootnoteText"/>
      </w:pPr>
      <w:r>
        <w:rPr>
          <w:rStyle w:val="FootnoteReference"/>
        </w:rPr>
        <w:footnoteRef/>
      </w:r>
      <w:r>
        <w:t xml:space="preserve">  D.12-09-018 at 35-36.  FERC recently adopted </w:t>
      </w:r>
      <w:r w:rsidRPr="00F7368E">
        <w:rPr>
          <w:i/>
        </w:rPr>
        <w:t>Small Generator Interconnection Agreements and Procedures</w:t>
      </w:r>
      <w:r>
        <w:t xml:space="preserve">, 145 FERC </w:t>
      </w:r>
      <w:r>
        <w:rPr>
          <w:rFonts w:ascii="Book Antiqua" w:hAnsi="Book Antiqua"/>
        </w:rPr>
        <w:t>¶</w:t>
      </w:r>
      <w:r>
        <w:t xml:space="preserve"> 61,159 on November 22, 2013 which results in, among other things, increased uniformity between federal rules to the existing provisions of Rule 21, as set forth in D.12-09-018.</w:t>
      </w:r>
    </w:p>
  </w:footnote>
  <w:footnote w:id="82">
    <w:p w:rsidR="00CD5551" w:rsidRDefault="00CD5551">
      <w:pPr>
        <w:pStyle w:val="FootnoteText"/>
      </w:pPr>
      <w:r>
        <w:rPr>
          <w:rStyle w:val="FootnoteReference"/>
        </w:rPr>
        <w:footnoteRef/>
      </w:r>
      <w:r>
        <w:t xml:space="preserve">  Rulemaking 11-09-011 at 2.</w:t>
      </w:r>
    </w:p>
  </w:footnote>
  <w:footnote w:id="83">
    <w:p w:rsidR="00CD5551" w:rsidRPr="002C1470" w:rsidRDefault="00CD5551" w:rsidP="007E02B9">
      <w:pPr>
        <w:pStyle w:val="FootnoteText"/>
        <w:rPr>
          <w:rFonts w:ascii="Times New Roman" w:hAnsi="Times New Roman"/>
          <w:sz w:val="20"/>
        </w:rPr>
      </w:pPr>
      <w:r>
        <w:rPr>
          <w:rStyle w:val="FootnoteReference"/>
        </w:rPr>
        <w:footnoteRef/>
      </w:r>
      <w:r>
        <w:rPr>
          <w:szCs w:val="24"/>
        </w:rPr>
        <w:t xml:space="preserve">  </w:t>
      </w:r>
      <w:r w:rsidRPr="005048B4">
        <w:rPr>
          <w:rFonts w:ascii="Palatino Linotype" w:hAnsi="Palatino Linotype"/>
          <w:szCs w:val="24"/>
        </w:rPr>
        <w:t>Clean Coalition October 26, 2010 comments at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2A7" w:rsidRDefault="00E272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2A7" w:rsidRDefault="00E272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2A7" w:rsidRDefault="00E272A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551" w:rsidRDefault="00CD5551" w:rsidP="0047280A">
    <w:pPr>
      <w:pStyle w:val="Header"/>
      <w:tabs>
        <w:tab w:val="clear" w:pos="8640"/>
        <w:tab w:val="right" w:pos="9360"/>
      </w:tabs>
      <w:jc w:val="right"/>
      <w:rPr>
        <w:rFonts w:ascii="Helvetica" w:hAnsi="Helvetica"/>
        <w:b/>
        <w:bCs/>
        <w:sz w:val="32"/>
      </w:rPr>
    </w:pPr>
    <w:r>
      <w:t>R.11-09-011  ALJ/RMD/sbf</w:t>
    </w:r>
    <w:r>
      <w:tab/>
    </w:r>
    <w:r>
      <w:tab/>
    </w:r>
    <w:r>
      <w:rPr>
        <w:rFonts w:ascii="Helvetica" w:hAnsi="Helvetica"/>
        <w:b/>
        <w:bCs/>
        <w:sz w:val="32"/>
      </w:rPr>
      <w:t>PROPOSED DECISION (Rev. 1)</w:t>
    </w:r>
  </w:p>
  <w:p w:rsidR="00CD5551" w:rsidRDefault="00CD5551" w:rsidP="00EA3F5D">
    <w:pPr>
      <w:pStyle w:val="Header"/>
      <w:tabs>
        <w:tab w:val="clear" w:pos="4320"/>
        <w:tab w:val="clear" w:pos="8640"/>
      </w:tabs>
    </w:pPr>
  </w:p>
  <w:p w:rsidR="00CD5551" w:rsidRDefault="00CD5551">
    <w:pPr>
      <w:pStyle w:val="Header"/>
    </w:pPr>
  </w:p>
  <w:p w:rsidR="00CD5551" w:rsidRPr="00DE1E30" w:rsidRDefault="00CD5551" w:rsidP="004C3D40">
    <w:pPr>
      <w:pStyle w:val="Header"/>
      <w:jc w:val="center"/>
      <w:rPr>
        <w:b/>
      </w:rPr>
    </w:pPr>
    <w:r w:rsidRPr="00DE1E30">
      <w:rPr>
        <w:b/>
      </w:rPr>
      <w:t>Table of Contents (Cont’d)</w:t>
    </w:r>
  </w:p>
  <w:p w:rsidR="00CD5551" w:rsidRPr="00DE1E30" w:rsidRDefault="00CD5551" w:rsidP="004C3D40">
    <w:pPr>
      <w:pStyle w:val="Header"/>
      <w:tabs>
        <w:tab w:val="clear" w:pos="4320"/>
        <w:tab w:val="clear" w:pos="8640"/>
      </w:tabs>
      <w:jc w:val="center"/>
      <w:rPr>
        <w:b/>
      </w:rPr>
    </w:pPr>
  </w:p>
  <w:p w:rsidR="00CD5551" w:rsidRPr="00DE1E30" w:rsidRDefault="00CD5551" w:rsidP="004C3D40">
    <w:pPr>
      <w:pStyle w:val="Header"/>
      <w:tabs>
        <w:tab w:val="clear" w:pos="4320"/>
        <w:tab w:val="clear" w:pos="8640"/>
      </w:tabs>
      <w:rPr>
        <w:b/>
      </w:rPr>
    </w:pPr>
    <w:r w:rsidRPr="00DE1E30">
      <w:rPr>
        <w:b/>
      </w:rPr>
      <w:t>Title</w:t>
    </w:r>
    <w:r w:rsidRPr="00DE1E30">
      <w:rPr>
        <w:b/>
      </w:rPr>
      <w:tab/>
    </w:r>
    <w:r w:rsidRPr="00DE1E30">
      <w:rPr>
        <w:b/>
      </w:rPr>
      <w:tab/>
    </w:r>
    <w:r w:rsidRPr="00DE1E30">
      <w:rPr>
        <w:b/>
      </w:rPr>
      <w:tab/>
    </w:r>
    <w:r w:rsidRPr="00DE1E30">
      <w:rPr>
        <w:b/>
      </w:rPr>
      <w:tab/>
    </w:r>
    <w:r w:rsidRPr="00DE1E30">
      <w:rPr>
        <w:b/>
      </w:rPr>
      <w:tab/>
    </w:r>
    <w:r w:rsidRPr="00DE1E30">
      <w:rPr>
        <w:b/>
      </w:rPr>
      <w:tab/>
    </w:r>
    <w:r w:rsidRPr="00DE1E30">
      <w:rPr>
        <w:b/>
      </w:rPr>
      <w:tab/>
    </w:r>
    <w:r w:rsidRPr="00DE1E30">
      <w:rPr>
        <w:b/>
      </w:rPr>
      <w:tab/>
    </w:r>
    <w:r w:rsidRPr="00DE1E30">
      <w:rPr>
        <w:b/>
      </w:rPr>
      <w:tab/>
    </w:r>
    <w:r w:rsidRPr="00DE1E30">
      <w:rPr>
        <w:b/>
      </w:rPr>
      <w:tab/>
    </w:r>
    <w:r w:rsidRPr="00DE1E30">
      <w:rPr>
        <w:b/>
      </w:rPr>
      <w:tab/>
    </w:r>
    <w:r w:rsidRPr="00DE1E30">
      <w:rPr>
        <w:b/>
      </w:rPr>
      <w:tab/>
      <w:t>Page</w:t>
    </w:r>
  </w:p>
  <w:p w:rsidR="00CD5551" w:rsidRDefault="00CD555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551" w:rsidRDefault="00CD5551" w:rsidP="0097691D">
    <w:pPr>
      <w:pStyle w:val="Header"/>
      <w:tabs>
        <w:tab w:val="clear" w:pos="4320"/>
        <w:tab w:val="clear" w:pos="8640"/>
      </w:tabs>
      <w:rPr>
        <w:rFonts w:ascii="Helvetica" w:hAnsi="Helvetica"/>
        <w:b/>
        <w:sz w:val="32"/>
        <w:szCs w:val="32"/>
      </w:rPr>
    </w:pPr>
    <w:r>
      <w:t>R.11-09-011  ALJ/RMD/sbf</w:t>
    </w:r>
    <w:r>
      <w:tab/>
    </w:r>
    <w:r>
      <w:tab/>
    </w:r>
    <w:r>
      <w:rPr>
        <w:rFonts w:ascii="Helvetica" w:hAnsi="Helvetica"/>
        <w:b/>
        <w:sz w:val="32"/>
        <w:szCs w:val="32"/>
      </w:rPr>
      <w:t>PROPOSED DECISION (Rev. 1)</w:t>
    </w:r>
  </w:p>
  <w:p w:rsidR="00CD5551" w:rsidRPr="0048509A" w:rsidRDefault="00CD5551">
    <w:pPr>
      <w:pStyle w:val="Header"/>
      <w:rPr>
        <w:rFonts w:ascii="Helvetica" w:hAnsi="Helvetica"/>
        <w:b/>
        <w:szCs w:val="26"/>
      </w:rPr>
    </w:pPr>
  </w:p>
  <w:p w:rsidR="00CD5551" w:rsidRDefault="00CD5551">
    <w:pPr>
      <w:pStyle w:val="Header"/>
    </w:pPr>
  </w:p>
  <w:p w:rsidR="00CD5551" w:rsidRPr="00DE1E30" w:rsidRDefault="00CD5551" w:rsidP="0048509A">
    <w:pPr>
      <w:pStyle w:val="Header"/>
      <w:jc w:val="center"/>
      <w:rPr>
        <w:b/>
      </w:rPr>
    </w:pPr>
    <w:r w:rsidRPr="00DE1E30">
      <w:rPr>
        <w:b/>
      </w:rPr>
      <w:t>Table of Contents</w:t>
    </w:r>
  </w:p>
  <w:p w:rsidR="00CD5551" w:rsidRPr="00DE1E30" w:rsidRDefault="00CD5551" w:rsidP="0097691D">
    <w:pPr>
      <w:pStyle w:val="Header"/>
      <w:tabs>
        <w:tab w:val="clear" w:pos="4320"/>
        <w:tab w:val="clear" w:pos="8640"/>
      </w:tabs>
      <w:jc w:val="center"/>
      <w:rPr>
        <w:b/>
      </w:rPr>
    </w:pPr>
  </w:p>
  <w:p w:rsidR="00CD5551" w:rsidRPr="00DE1E30" w:rsidRDefault="00CD5551" w:rsidP="0097691D">
    <w:pPr>
      <w:pStyle w:val="Header"/>
      <w:tabs>
        <w:tab w:val="clear" w:pos="4320"/>
        <w:tab w:val="clear" w:pos="8640"/>
      </w:tabs>
      <w:rPr>
        <w:b/>
      </w:rPr>
    </w:pPr>
    <w:r w:rsidRPr="00DE1E30">
      <w:rPr>
        <w:b/>
      </w:rPr>
      <w:t>Title</w:t>
    </w:r>
    <w:r w:rsidRPr="00DE1E30">
      <w:rPr>
        <w:b/>
      </w:rPr>
      <w:tab/>
    </w:r>
    <w:r w:rsidRPr="00DE1E30">
      <w:rPr>
        <w:b/>
      </w:rPr>
      <w:tab/>
    </w:r>
    <w:r w:rsidRPr="00DE1E30">
      <w:rPr>
        <w:b/>
      </w:rPr>
      <w:tab/>
    </w:r>
    <w:r w:rsidRPr="00DE1E30">
      <w:rPr>
        <w:b/>
      </w:rPr>
      <w:tab/>
    </w:r>
    <w:r w:rsidRPr="00DE1E30">
      <w:rPr>
        <w:b/>
      </w:rPr>
      <w:tab/>
    </w:r>
    <w:r w:rsidRPr="00DE1E30">
      <w:rPr>
        <w:b/>
      </w:rPr>
      <w:tab/>
    </w:r>
    <w:r w:rsidRPr="00DE1E30">
      <w:rPr>
        <w:b/>
      </w:rPr>
      <w:tab/>
    </w:r>
    <w:r w:rsidRPr="00DE1E30">
      <w:rPr>
        <w:b/>
      </w:rPr>
      <w:tab/>
    </w:r>
    <w:r w:rsidRPr="00DE1E30">
      <w:rPr>
        <w:b/>
      </w:rPr>
      <w:tab/>
    </w:r>
    <w:r w:rsidRPr="00DE1E30">
      <w:rPr>
        <w:b/>
      </w:rPr>
      <w:tab/>
    </w:r>
    <w:r w:rsidRPr="00DE1E30">
      <w:rPr>
        <w:b/>
      </w:rPr>
      <w:tab/>
    </w:r>
    <w:r w:rsidRPr="00DE1E30">
      <w:rPr>
        <w:b/>
      </w:rPr>
      <w:tab/>
      <w:t>Page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551" w:rsidRDefault="00CD5551" w:rsidP="0047280A">
    <w:pPr>
      <w:pStyle w:val="Header"/>
      <w:tabs>
        <w:tab w:val="clear" w:pos="8640"/>
        <w:tab w:val="right" w:pos="9360"/>
      </w:tabs>
      <w:jc w:val="right"/>
    </w:pPr>
    <w:r>
      <w:t>R.11-09-011  ALJ/RMD/sbf</w:t>
    </w:r>
    <w:r>
      <w:tab/>
    </w:r>
    <w:r>
      <w:tab/>
    </w:r>
    <w:r>
      <w:rPr>
        <w:rFonts w:ascii="Helvetica" w:hAnsi="Helvetica"/>
        <w:b/>
        <w:bCs/>
        <w:sz w:val="32"/>
      </w:rPr>
      <w:t>PROPOSED DECISION (Rev. 1)</w:t>
    </w:r>
  </w:p>
  <w:p w:rsidR="00CD5551" w:rsidRDefault="00CD5551">
    <w:pPr>
      <w:pStyle w:val="Header"/>
    </w:pPr>
  </w:p>
  <w:p w:rsidR="00CD5551" w:rsidRDefault="00CD555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551" w:rsidRDefault="00CD5551">
    <w:pPr>
      <w:pStyle w:val="Header"/>
      <w:rPr>
        <w:rFonts w:ascii="Helvetica" w:hAnsi="Helvetica"/>
        <w:b/>
        <w:sz w:val="32"/>
        <w:szCs w:val="32"/>
      </w:rPr>
    </w:pPr>
    <w:r>
      <w:t>R.11-09-011  ALJ/RMD/sbf</w:t>
    </w:r>
    <w:r>
      <w:tab/>
    </w:r>
    <w:r>
      <w:tab/>
    </w:r>
    <w:r>
      <w:rPr>
        <w:rFonts w:ascii="Helvetica" w:hAnsi="Helvetica"/>
        <w:b/>
        <w:sz w:val="32"/>
        <w:szCs w:val="32"/>
      </w:rPr>
      <w:t>PROPOSED DECISION (Rev. 1)</w:t>
    </w:r>
  </w:p>
  <w:p w:rsidR="00CD5551" w:rsidRPr="0048509A" w:rsidRDefault="00CD5551">
    <w:pPr>
      <w:pStyle w:val="Header"/>
      <w:rPr>
        <w:rFonts w:ascii="Helvetica" w:hAnsi="Helvetica"/>
        <w:b/>
        <w:szCs w:val="26"/>
      </w:rPr>
    </w:pPr>
  </w:p>
  <w:p w:rsidR="00CD5551" w:rsidRDefault="00CD55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2C2F6CC"/>
    <w:lvl w:ilvl="0">
      <w:start w:val="1"/>
      <w:numFmt w:val="decimal"/>
      <w:lvlText w:val="%1."/>
      <w:lvlJc w:val="left"/>
      <w:pPr>
        <w:tabs>
          <w:tab w:val="num" w:pos="1800"/>
        </w:tabs>
        <w:ind w:left="1800" w:hanging="360"/>
      </w:pPr>
    </w:lvl>
  </w:abstractNum>
  <w:abstractNum w:abstractNumId="1">
    <w:nsid w:val="FFFFFF7D"/>
    <w:multiLevelType w:val="singleLevel"/>
    <w:tmpl w:val="5128E93E"/>
    <w:lvl w:ilvl="0">
      <w:start w:val="1"/>
      <w:numFmt w:val="decimal"/>
      <w:lvlText w:val="%1."/>
      <w:lvlJc w:val="left"/>
      <w:pPr>
        <w:tabs>
          <w:tab w:val="num" w:pos="1440"/>
        </w:tabs>
        <w:ind w:left="1440" w:hanging="360"/>
      </w:pPr>
    </w:lvl>
  </w:abstractNum>
  <w:abstractNum w:abstractNumId="2">
    <w:nsid w:val="FFFFFF7E"/>
    <w:multiLevelType w:val="singleLevel"/>
    <w:tmpl w:val="E8046DB2"/>
    <w:lvl w:ilvl="0">
      <w:start w:val="1"/>
      <w:numFmt w:val="decimal"/>
      <w:lvlText w:val="%1."/>
      <w:lvlJc w:val="left"/>
      <w:pPr>
        <w:tabs>
          <w:tab w:val="num" w:pos="1080"/>
        </w:tabs>
        <w:ind w:left="1080" w:hanging="360"/>
      </w:pPr>
    </w:lvl>
  </w:abstractNum>
  <w:abstractNum w:abstractNumId="3">
    <w:nsid w:val="FFFFFF7F"/>
    <w:multiLevelType w:val="singleLevel"/>
    <w:tmpl w:val="64A802AE"/>
    <w:lvl w:ilvl="0">
      <w:start w:val="1"/>
      <w:numFmt w:val="decimal"/>
      <w:lvlText w:val="%1."/>
      <w:lvlJc w:val="left"/>
      <w:pPr>
        <w:tabs>
          <w:tab w:val="num" w:pos="720"/>
        </w:tabs>
        <w:ind w:left="720" w:hanging="360"/>
      </w:pPr>
    </w:lvl>
  </w:abstractNum>
  <w:abstractNum w:abstractNumId="4">
    <w:nsid w:val="FFFFFF80"/>
    <w:multiLevelType w:val="singleLevel"/>
    <w:tmpl w:val="3380279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83AF97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048016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A0654E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3A64786"/>
    <w:lvl w:ilvl="0">
      <w:start w:val="1"/>
      <w:numFmt w:val="decimal"/>
      <w:lvlText w:val="%1."/>
      <w:lvlJc w:val="left"/>
      <w:pPr>
        <w:tabs>
          <w:tab w:val="num" w:pos="360"/>
        </w:tabs>
        <w:ind w:left="360" w:hanging="360"/>
      </w:pPr>
    </w:lvl>
  </w:abstractNum>
  <w:abstractNum w:abstractNumId="9">
    <w:nsid w:val="FFFFFF89"/>
    <w:multiLevelType w:val="singleLevel"/>
    <w:tmpl w:val="9856B4D0"/>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9EBC05C4"/>
    <w:lvl w:ilvl="0">
      <w:start w:val="1"/>
      <w:numFmt w:val="decimal"/>
      <w:pStyle w:val="Heading1"/>
      <w:lvlText w:val="%1."/>
      <w:legacy w:legacy="1" w:legacySpace="0" w:legacyIndent="720"/>
      <w:lvlJc w:val="left"/>
      <w:pPr>
        <w:ind w:left="720" w:hanging="720"/>
      </w:pPr>
      <w:rPr>
        <w:b/>
      </w:rPr>
    </w:lvl>
    <w:lvl w:ilvl="1">
      <w:start w:val="1"/>
      <w:numFmt w:val="decimal"/>
      <w:pStyle w:val="Heading2"/>
      <w:lvlText w:val="%1.%2."/>
      <w:legacy w:legacy="1" w:legacySpace="0" w:legacyIndent="720"/>
      <w:lvlJc w:val="left"/>
      <w:pPr>
        <w:ind w:left="1440" w:hanging="720"/>
      </w:pPr>
    </w:lvl>
    <w:lvl w:ilvl="2">
      <w:start w:val="1"/>
      <w:numFmt w:val="decimal"/>
      <w:pStyle w:val="Heading3"/>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4140" w:hanging="720"/>
      </w:pPr>
      <w:rPr>
        <w:rFonts w:ascii="Helvetica" w:hAnsi="Helvetica" w:cs="Times New Roman" w:hint="default"/>
        <w:sz w:val="26"/>
        <w:szCs w:val="26"/>
      </w:rPr>
    </w:lvl>
    <w:lvl w:ilvl="5">
      <w:start w:val="1"/>
      <w:numFmt w:val="decimal"/>
      <w:pStyle w:val="Heading6"/>
      <w:lvlText w:val="%1.%2.%3.%4.%5.%6."/>
      <w:legacy w:legacy="1" w:legacySpace="0" w:legacyIndent="720"/>
      <w:lvlJc w:val="left"/>
      <w:pPr>
        <w:ind w:left="4320" w:hanging="720"/>
      </w:pPr>
      <w:rPr>
        <w:b/>
        <w:i w:val="0"/>
        <w:sz w:val="26"/>
        <w:szCs w:val="26"/>
      </w:rPr>
    </w:lvl>
    <w:lvl w:ilvl="6">
      <w:start w:val="1"/>
      <w:numFmt w:val="decimal"/>
      <w:pStyle w:val="Heading7"/>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1">
    <w:nsid w:val="0160763B"/>
    <w:multiLevelType w:val="hybridMultilevel"/>
    <w:tmpl w:val="AB86B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24961BC"/>
    <w:multiLevelType w:val="hybridMultilevel"/>
    <w:tmpl w:val="D4822C7C"/>
    <w:lvl w:ilvl="0" w:tplc="B00A14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27748EA"/>
    <w:multiLevelType w:val="hybridMultilevel"/>
    <w:tmpl w:val="184C9802"/>
    <w:lvl w:ilvl="0" w:tplc="22F4350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3730418"/>
    <w:multiLevelType w:val="hybridMultilevel"/>
    <w:tmpl w:val="79E024F8"/>
    <w:lvl w:ilvl="0" w:tplc="0409000F">
      <w:start w:val="1"/>
      <w:numFmt w:val="decimal"/>
      <w:lvlText w:val="%1."/>
      <w:lvlJc w:val="left"/>
      <w:pPr>
        <w:ind w:left="1446" w:hanging="360"/>
      </w:pPr>
    </w:lvl>
    <w:lvl w:ilvl="1" w:tplc="04090019">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5">
    <w:nsid w:val="0967660B"/>
    <w:multiLevelType w:val="hybridMultilevel"/>
    <w:tmpl w:val="FBF696CC"/>
    <w:lvl w:ilvl="0" w:tplc="04090019">
      <w:start w:val="1"/>
      <w:numFmt w:val="lowerLetter"/>
      <w:lvlText w:val="%1."/>
      <w:lvlJc w:val="left"/>
      <w:pPr>
        <w:ind w:left="1710" w:hanging="360"/>
      </w:p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6">
    <w:nsid w:val="0B6C615C"/>
    <w:multiLevelType w:val="hybridMultilevel"/>
    <w:tmpl w:val="A0E85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F7D5AB3"/>
    <w:multiLevelType w:val="hybridMultilevel"/>
    <w:tmpl w:val="AA9A5AC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113B381E"/>
    <w:multiLevelType w:val="singleLevel"/>
    <w:tmpl w:val="2FB6A734"/>
    <w:lvl w:ilvl="0">
      <w:start w:val="1"/>
      <w:numFmt w:val="decimal"/>
      <w:lvlText w:val="%1."/>
      <w:legacy w:legacy="1" w:legacySpace="144" w:legacyIndent="0"/>
      <w:lvlJc w:val="left"/>
    </w:lvl>
  </w:abstractNum>
  <w:abstractNum w:abstractNumId="19">
    <w:nsid w:val="1A7B2181"/>
    <w:multiLevelType w:val="hybridMultilevel"/>
    <w:tmpl w:val="1DC0D640"/>
    <w:lvl w:ilvl="0" w:tplc="0409000F">
      <w:start w:val="1"/>
      <w:numFmt w:val="decimal"/>
      <w:lvlText w:val="%1."/>
      <w:lvlJc w:val="left"/>
      <w:pPr>
        <w:ind w:left="1080" w:hanging="360"/>
      </w:pPr>
      <w:rPr>
        <w:rFonts w:hint="default"/>
        <w:kern w:val="1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DD46003"/>
    <w:multiLevelType w:val="singleLevel"/>
    <w:tmpl w:val="408002C8"/>
    <w:lvl w:ilvl="0">
      <w:start w:val="1"/>
      <w:numFmt w:val="decimal"/>
      <w:lvlText w:val="%1."/>
      <w:legacy w:legacy="1" w:legacySpace="144" w:legacyIndent="0"/>
      <w:lvlJc w:val="left"/>
    </w:lvl>
  </w:abstractNum>
  <w:abstractNum w:abstractNumId="21">
    <w:nsid w:val="33394DA9"/>
    <w:multiLevelType w:val="hybridMultilevel"/>
    <w:tmpl w:val="301275F8"/>
    <w:lvl w:ilvl="0" w:tplc="2468F054">
      <w:start w:val="1"/>
      <w:numFmt w:val="bullet"/>
      <w:pStyle w:val="bullets"/>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36D37F8C"/>
    <w:multiLevelType w:val="multilevel"/>
    <w:tmpl w:val="DAD268B6"/>
    <w:lvl w:ilvl="0">
      <w:start w:val="1"/>
      <w:numFmt w:val="decimal"/>
      <w:lvlText w:val="%1."/>
      <w:lvlJc w:val="left"/>
      <w:pPr>
        <w:tabs>
          <w:tab w:val="num" w:pos="1440"/>
        </w:tabs>
        <w:ind w:left="1080" w:hanging="360"/>
      </w:pPr>
      <w:rPr>
        <w:rFonts w:hint="default"/>
      </w:rPr>
    </w:lvl>
    <w:lvl w:ilvl="1">
      <w:start w:val="1"/>
      <w:numFmt w:val="decimal"/>
      <w:lvlText w:val="%1.%2."/>
      <w:lvlJc w:val="left"/>
      <w:pPr>
        <w:tabs>
          <w:tab w:val="num" w:pos="2160"/>
        </w:tabs>
        <w:ind w:left="1512" w:hanging="432"/>
      </w:pPr>
      <w:rPr>
        <w:rFonts w:hint="default"/>
      </w:rPr>
    </w:lvl>
    <w:lvl w:ilvl="2">
      <w:start w:val="1"/>
      <w:numFmt w:val="decimal"/>
      <w:lvlText w:val="%1.%2.%3."/>
      <w:lvlJc w:val="left"/>
      <w:pPr>
        <w:tabs>
          <w:tab w:val="num" w:pos="2880"/>
        </w:tabs>
        <w:ind w:left="1944" w:hanging="504"/>
      </w:pPr>
      <w:rPr>
        <w:rFonts w:hint="default"/>
      </w:rPr>
    </w:lvl>
    <w:lvl w:ilvl="3">
      <w:start w:val="1"/>
      <w:numFmt w:val="decimal"/>
      <w:lvlText w:val="%1.%2.%3.%4."/>
      <w:lvlJc w:val="left"/>
      <w:pPr>
        <w:tabs>
          <w:tab w:val="num" w:pos="3600"/>
        </w:tabs>
        <w:ind w:left="2448" w:hanging="648"/>
      </w:pPr>
      <w:rPr>
        <w:rFonts w:hint="default"/>
      </w:rPr>
    </w:lvl>
    <w:lvl w:ilvl="4">
      <w:start w:val="1"/>
      <w:numFmt w:val="decimal"/>
      <w:lvlText w:val="%1.%2.%3.%4.%5."/>
      <w:lvlJc w:val="left"/>
      <w:pPr>
        <w:tabs>
          <w:tab w:val="num" w:pos="4680"/>
        </w:tabs>
        <w:ind w:left="2952" w:hanging="792"/>
      </w:pPr>
      <w:rPr>
        <w:rFonts w:hint="default"/>
      </w:rPr>
    </w:lvl>
    <w:lvl w:ilvl="5">
      <w:start w:val="1"/>
      <w:numFmt w:val="decimal"/>
      <w:pStyle w:val="StyleHeading6Left05Hanging106"/>
      <w:lvlText w:val="%1.%2.%3.%4.%5.%6."/>
      <w:lvlJc w:val="left"/>
      <w:pPr>
        <w:tabs>
          <w:tab w:val="num" w:pos="5400"/>
        </w:tabs>
        <w:ind w:left="3456" w:hanging="936"/>
      </w:pPr>
      <w:rPr>
        <w:rFonts w:hint="default"/>
      </w:rPr>
    </w:lvl>
    <w:lvl w:ilvl="6">
      <w:start w:val="1"/>
      <w:numFmt w:val="decimal"/>
      <w:lvlText w:val="%1.%2.%3.%4.%5.%6.%7."/>
      <w:lvlJc w:val="left"/>
      <w:pPr>
        <w:tabs>
          <w:tab w:val="num" w:pos="6120"/>
        </w:tabs>
        <w:ind w:left="3960" w:hanging="1080"/>
      </w:pPr>
      <w:rPr>
        <w:rFonts w:hint="default"/>
      </w:rPr>
    </w:lvl>
    <w:lvl w:ilvl="7">
      <w:start w:val="1"/>
      <w:numFmt w:val="decimal"/>
      <w:lvlText w:val="%1.%2.%3.%4.%5.%6.%7.%8."/>
      <w:lvlJc w:val="left"/>
      <w:pPr>
        <w:tabs>
          <w:tab w:val="num" w:pos="6840"/>
        </w:tabs>
        <w:ind w:left="4464" w:hanging="1224"/>
      </w:pPr>
      <w:rPr>
        <w:rFonts w:hint="default"/>
      </w:rPr>
    </w:lvl>
    <w:lvl w:ilvl="8">
      <w:start w:val="1"/>
      <w:numFmt w:val="decimal"/>
      <w:lvlText w:val="%1.%2.%3.%4.%5.%6.%7.%8.%9."/>
      <w:lvlJc w:val="left"/>
      <w:pPr>
        <w:tabs>
          <w:tab w:val="num" w:pos="7920"/>
        </w:tabs>
        <w:ind w:left="5040" w:hanging="1440"/>
      </w:pPr>
      <w:rPr>
        <w:rFonts w:hint="default"/>
      </w:rPr>
    </w:lvl>
  </w:abstractNum>
  <w:abstractNum w:abstractNumId="23">
    <w:nsid w:val="38EB55CE"/>
    <w:multiLevelType w:val="hybridMultilevel"/>
    <w:tmpl w:val="60B8CF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C00172B"/>
    <w:multiLevelType w:val="hybridMultilevel"/>
    <w:tmpl w:val="B65EEAAA"/>
    <w:lvl w:ilvl="0" w:tplc="0409000F">
      <w:start w:val="1"/>
      <w:numFmt w:val="decimal"/>
      <w:lvlText w:val="%1."/>
      <w:lvlJc w:val="left"/>
      <w:pPr>
        <w:tabs>
          <w:tab w:val="num" w:pos="720"/>
        </w:tabs>
        <w:ind w:left="720" w:hanging="360"/>
      </w:pPr>
    </w:lvl>
    <w:lvl w:ilvl="1" w:tplc="2148272C">
      <w:start w:val="1"/>
      <w:numFmt w:val="lowerLetter"/>
      <w:pStyle w:val="a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1D248C7"/>
    <w:multiLevelType w:val="hybridMultilevel"/>
    <w:tmpl w:val="68E806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C5D5A51"/>
    <w:multiLevelType w:val="singleLevel"/>
    <w:tmpl w:val="408002C8"/>
    <w:lvl w:ilvl="0">
      <w:start w:val="1"/>
      <w:numFmt w:val="decimal"/>
      <w:lvlText w:val="%1."/>
      <w:legacy w:legacy="1" w:legacySpace="144" w:legacyIndent="0"/>
      <w:lvlJc w:val="left"/>
    </w:lvl>
  </w:abstractNum>
  <w:abstractNum w:abstractNumId="27">
    <w:nsid w:val="4D004FAF"/>
    <w:multiLevelType w:val="hybridMultilevel"/>
    <w:tmpl w:val="767E55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05D58A3"/>
    <w:multiLevelType w:val="hybridMultilevel"/>
    <w:tmpl w:val="8CC86068"/>
    <w:lvl w:ilvl="0" w:tplc="DF347114">
      <w:numFmt w:val="bullet"/>
      <w:lvlText w:val="-"/>
      <w:lvlJc w:val="left"/>
      <w:pPr>
        <w:ind w:left="720" w:hanging="360"/>
      </w:pPr>
      <w:rPr>
        <w:rFonts w:ascii="Palatino" w:eastAsia="Times New Roman" w:hAnsi="Palatin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C062BF"/>
    <w:multiLevelType w:val="hybridMultilevel"/>
    <w:tmpl w:val="BC0E1DB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493CBF"/>
    <w:multiLevelType w:val="hybridMultilevel"/>
    <w:tmpl w:val="C750C52E"/>
    <w:lvl w:ilvl="0" w:tplc="E02C9D80">
      <w:start w:val="1"/>
      <w:numFmt w:val="low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45E0CCB"/>
    <w:multiLevelType w:val="hybridMultilevel"/>
    <w:tmpl w:val="79E024F8"/>
    <w:lvl w:ilvl="0" w:tplc="0409000F">
      <w:start w:val="1"/>
      <w:numFmt w:val="decimal"/>
      <w:lvlText w:val="%1."/>
      <w:lvlJc w:val="left"/>
      <w:pPr>
        <w:ind w:left="1446" w:hanging="360"/>
      </w:pPr>
    </w:lvl>
    <w:lvl w:ilvl="1" w:tplc="04090019">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2">
    <w:nsid w:val="74A70DEB"/>
    <w:multiLevelType w:val="hybridMultilevel"/>
    <w:tmpl w:val="4E8A90CA"/>
    <w:lvl w:ilvl="0" w:tplc="CBF8708A">
      <w:start w:val="1"/>
      <w:numFmt w:val="decimal"/>
      <w:lvlText w:val="%1."/>
      <w:lvlJc w:val="left"/>
      <w:pPr>
        <w:ind w:left="1080" w:hanging="360"/>
      </w:pPr>
      <w:rPr>
        <w:rFonts w:hint="default"/>
        <w:kern w:val="1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B1C30FD"/>
    <w:multiLevelType w:val="singleLevel"/>
    <w:tmpl w:val="2FB6A734"/>
    <w:lvl w:ilvl="0">
      <w:start w:val="1"/>
      <w:numFmt w:val="decimal"/>
      <w:lvlText w:val="%1."/>
      <w:legacy w:legacy="1" w:legacySpace="144" w:legacyIndent="0"/>
      <w:lvlJc w:val="left"/>
    </w:lvl>
  </w:abstractNum>
  <w:abstractNum w:abstractNumId="34">
    <w:nsid w:val="7DAF7AF7"/>
    <w:multiLevelType w:val="multilevel"/>
    <w:tmpl w:val="5A5291C8"/>
    <w:lvl w:ilvl="0">
      <w:start w:val="1"/>
      <w:numFmt w:val="decimal"/>
      <w:lvlText w:val="%1."/>
      <w:lvlJc w:val="left"/>
      <w:pPr>
        <w:ind w:left="1710" w:hanging="360"/>
      </w:pPr>
      <w:rPr>
        <w:rFonts w:hint="default"/>
      </w:rPr>
    </w:lvl>
    <w:lvl w:ilvl="1">
      <w:start w:val="1"/>
      <w:numFmt w:val="decimal"/>
      <w:isLgl/>
      <w:lvlText w:val="%1.%2."/>
      <w:lvlJc w:val="left"/>
      <w:pPr>
        <w:ind w:left="2790" w:hanging="720"/>
      </w:pPr>
      <w:rPr>
        <w:rFonts w:hint="default"/>
      </w:rPr>
    </w:lvl>
    <w:lvl w:ilvl="2">
      <w:start w:val="1"/>
      <w:numFmt w:val="decimal"/>
      <w:isLgl/>
      <w:lvlText w:val="%1.%2.%3."/>
      <w:lvlJc w:val="left"/>
      <w:pPr>
        <w:ind w:left="3510" w:hanging="720"/>
      </w:pPr>
      <w:rPr>
        <w:rFonts w:hint="default"/>
      </w:rPr>
    </w:lvl>
    <w:lvl w:ilvl="3">
      <w:start w:val="1"/>
      <w:numFmt w:val="decimal"/>
      <w:isLgl/>
      <w:lvlText w:val="%1.%2.%3.%4."/>
      <w:lvlJc w:val="left"/>
      <w:pPr>
        <w:ind w:left="4590" w:hanging="1080"/>
      </w:pPr>
      <w:rPr>
        <w:rFonts w:hint="default"/>
      </w:rPr>
    </w:lvl>
    <w:lvl w:ilvl="4">
      <w:start w:val="1"/>
      <w:numFmt w:val="decimal"/>
      <w:isLgl/>
      <w:lvlText w:val="%1.%2.%3.%4.%5."/>
      <w:lvlJc w:val="left"/>
      <w:pPr>
        <w:ind w:left="5310" w:hanging="1080"/>
      </w:pPr>
      <w:rPr>
        <w:rFonts w:hint="default"/>
      </w:rPr>
    </w:lvl>
    <w:lvl w:ilvl="5">
      <w:start w:val="1"/>
      <w:numFmt w:val="decimal"/>
      <w:isLgl/>
      <w:lvlText w:val="%1.%2.%3.%4.%5.%6."/>
      <w:lvlJc w:val="left"/>
      <w:pPr>
        <w:ind w:left="6390" w:hanging="1440"/>
      </w:pPr>
      <w:rPr>
        <w:rFonts w:hint="default"/>
      </w:rPr>
    </w:lvl>
    <w:lvl w:ilvl="6">
      <w:start w:val="1"/>
      <w:numFmt w:val="decimal"/>
      <w:isLgl/>
      <w:lvlText w:val="%1.%2.%3.%4.%5.%6.%7."/>
      <w:lvlJc w:val="left"/>
      <w:pPr>
        <w:ind w:left="7470" w:hanging="1800"/>
      </w:pPr>
      <w:rPr>
        <w:rFonts w:hint="default"/>
      </w:rPr>
    </w:lvl>
    <w:lvl w:ilvl="7">
      <w:start w:val="1"/>
      <w:numFmt w:val="decimal"/>
      <w:isLgl/>
      <w:lvlText w:val="%1.%2.%3.%4.%5.%6.%7.%8."/>
      <w:lvlJc w:val="left"/>
      <w:pPr>
        <w:ind w:left="8190" w:hanging="1800"/>
      </w:pPr>
      <w:rPr>
        <w:rFonts w:hint="default"/>
      </w:rPr>
    </w:lvl>
    <w:lvl w:ilvl="8">
      <w:start w:val="1"/>
      <w:numFmt w:val="decimal"/>
      <w:isLgl/>
      <w:lvlText w:val="%1.%2.%3.%4.%5.%6.%7.%8.%9."/>
      <w:lvlJc w:val="left"/>
      <w:pPr>
        <w:ind w:left="9270" w:hanging="2160"/>
      </w:pPr>
      <w:rPr>
        <w:rFonts w:hint="default"/>
      </w:rPr>
    </w:lvl>
  </w:abstractNum>
  <w:num w:numId="1">
    <w:abstractNumId w:val="20"/>
  </w:num>
  <w:num w:numId="2">
    <w:abstractNumId w:val="18"/>
  </w:num>
  <w:num w:numId="3">
    <w:abstractNumId w:val="33"/>
  </w:num>
  <w:num w:numId="4">
    <w:abstractNumId w:val="21"/>
  </w:num>
  <w:num w:numId="5">
    <w:abstractNumId w:val="24"/>
  </w:num>
  <w:num w:numId="6">
    <w:abstractNumId w:val="10"/>
  </w:num>
  <w:num w:numId="7">
    <w:abstractNumId w:val="22"/>
  </w:num>
  <w:num w:numId="8">
    <w:abstractNumId w:val="10"/>
  </w:num>
  <w:num w:numId="9">
    <w:abstractNumId w:val="10"/>
  </w:num>
  <w:num w:numId="10">
    <w:abstractNumId w:val="13"/>
  </w:num>
  <w:num w:numId="11">
    <w:abstractNumId w:val="15"/>
  </w:num>
  <w:num w:numId="12">
    <w:abstractNumId w:val="23"/>
  </w:num>
  <w:num w:numId="13">
    <w:abstractNumId w:val="14"/>
  </w:num>
  <w:num w:numId="14">
    <w:abstractNumId w:val="31"/>
  </w:num>
  <w:num w:numId="15">
    <w:abstractNumId w:val="1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28"/>
  </w:num>
  <w:num w:numId="32">
    <w:abstractNumId w:val="26"/>
  </w:num>
  <w:num w:numId="33">
    <w:abstractNumId w:val="25"/>
  </w:num>
  <w:num w:numId="34">
    <w:abstractNumId w:val="27"/>
  </w:num>
  <w:num w:numId="35">
    <w:abstractNumId w:val="16"/>
  </w:num>
  <w:num w:numId="36">
    <w:abstractNumId w:val="17"/>
  </w:num>
  <w:num w:numId="37">
    <w:abstractNumId w:val="30"/>
  </w:num>
  <w:num w:numId="38">
    <w:abstractNumId w:val="29"/>
  </w:num>
  <w:num w:numId="39">
    <w:abstractNumId w:val="32"/>
  </w:num>
  <w:num w:numId="40">
    <w:abstractNumId w:val="12"/>
  </w:num>
  <w:num w:numId="41">
    <w:abstractNumId w:val="19"/>
  </w:num>
  <w:num w:numId="42">
    <w:abstractNumId w:val="10"/>
  </w:num>
  <w:num w:numId="43">
    <w:abstractNumId w:val="10"/>
  </w:num>
  <w:num w:numId="44">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318"/>
    <w:rsid w:val="00002215"/>
    <w:rsid w:val="00003731"/>
    <w:rsid w:val="00007087"/>
    <w:rsid w:val="00021647"/>
    <w:rsid w:val="00023D9A"/>
    <w:rsid w:val="00027B3B"/>
    <w:rsid w:val="00031C13"/>
    <w:rsid w:val="00036B6E"/>
    <w:rsid w:val="000411D0"/>
    <w:rsid w:val="00041636"/>
    <w:rsid w:val="000442FD"/>
    <w:rsid w:val="00045C2D"/>
    <w:rsid w:val="0005679F"/>
    <w:rsid w:val="00062941"/>
    <w:rsid w:val="00065215"/>
    <w:rsid w:val="00071453"/>
    <w:rsid w:val="0007255A"/>
    <w:rsid w:val="00075937"/>
    <w:rsid w:val="000816F7"/>
    <w:rsid w:val="000823BC"/>
    <w:rsid w:val="0008753D"/>
    <w:rsid w:val="000940DC"/>
    <w:rsid w:val="00094BC3"/>
    <w:rsid w:val="000977B8"/>
    <w:rsid w:val="00097CAC"/>
    <w:rsid w:val="000A6985"/>
    <w:rsid w:val="000A7509"/>
    <w:rsid w:val="000B4094"/>
    <w:rsid w:val="000C63AA"/>
    <w:rsid w:val="000D0F66"/>
    <w:rsid w:val="000D3B7C"/>
    <w:rsid w:val="000D7348"/>
    <w:rsid w:val="000D77BF"/>
    <w:rsid w:val="000D7AA8"/>
    <w:rsid w:val="000E66BD"/>
    <w:rsid w:val="000F14D4"/>
    <w:rsid w:val="000F5FD5"/>
    <w:rsid w:val="000F73BA"/>
    <w:rsid w:val="001123DD"/>
    <w:rsid w:val="00121628"/>
    <w:rsid w:val="00121DA3"/>
    <w:rsid w:val="00122434"/>
    <w:rsid w:val="00126E42"/>
    <w:rsid w:val="00135473"/>
    <w:rsid w:val="001367D6"/>
    <w:rsid w:val="00137735"/>
    <w:rsid w:val="00137A59"/>
    <w:rsid w:val="00146560"/>
    <w:rsid w:val="001525F5"/>
    <w:rsid w:val="0015404D"/>
    <w:rsid w:val="00164BDB"/>
    <w:rsid w:val="00166739"/>
    <w:rsid w:val="00166B80"/>
    <w:rsid w:val="00171A50"/>
    <w:rsid w:val="0017350E"/>
    <w:rsid w:val="00173DDF"/>
    <w:rsid w:val="00174F0D"/>
    <w:rsid w:val="00180CAE"/>
    <w:rsid w:val="00180E2F"/>
    <w:rsid w:val="00181ABE"/>
    <w:rsid w:val="001829F7"/>
    <w:rsid w:val="00184F63"/>
    <w:rsid w:val="00190AB2"/>
    <w:rsid w:val="00190C86"/>
    <w:rsid w:val="00192551"/>
    <w:rsid w:val="00194E72"/>
    <w:rsid w:val="001A031E"/>
    <w:rsid w:val="001A0F59"/>
    <w:rsid w:val="001A17FD"/>
    <w:rsid w:val="001A718E"/>
    <w:rsid w:val="001B18E0"/>
    <w:rsid w:val="001B43F2"/>
    <w:rsid w:val="001B4621"/>
    <w:rsid w:val="001B472E"/>
    <w:rsid w:val="001B5173"/>
    <w:rsid w:val="001B5550"/>
    <w:rsid w:val="001B7B5C"/>
    <w:rsid w:val="001D462F"/>
    <w:rsid w:val="001E1348"/>
    <w:rsid w:val="001E576A"/>
    <w:rsid w:val="001E5F1E"/>
    <w:rsid w:val="001E6165"/>
    <w:rsid w:val="00200670"/>
    <w:rsid w:val="002013E7"/>
    <w:rsid w:val="00205E7D"/>
    <w:rsid w:val="00213EF3"/>
    <w:rsid w:val="00217301"/>
    <w:rsid w:val="00223A1A"/>
    <w:rsid w:val="00246A6B"/>
    <w:rsid w:val="0025005E"/>
    <w:rsid w:val="002505EC"/>
    <w:rsid w:val="00260748"/>
    <w:rsid w:val="00266255"/>
    <w:rsid w:val="00275F11"/>
    <w:rsid w:val="00276D27"/>
    <w:rsid w:val="00290B26"/>
    <w:rsid w:val="002B4BF6"/>
    <w:rsid w:val="002B5B9C"/>
    <w:rsid w:val="002C1470"/>
    <w:rsid w:val="002C51C5"/>
    <w:rsid w:val="002C6A5A"/>
    <w:rsid w:val="002D55D4"/>
    <w:rsid w:val="002D6D71"/>
    <w:rsid w:val="002D71A9"/>
    <w:rsid w:val="002D7CF8"/>
    <w:rsid w:val="002E340F"/>
    <w:rsid w:val="002F2549"/>
    <w:rsid w:val="003009E4"/>
    <w:rsid w:val="00301B68"/>
    <w:rsid w:val="00305894"/>
    <w:rsid w:val="003160ED"/>
    <w:rsid w:val="00316711"/>
    <w:rsid w:val="003170E7"/>
    <w:rsid w:val="0032170E"/>
    <w:rsid w:val="00323798"/>
    <w:rsid w:val="003238C0"/>
    <w:rsid w:val="00330B3F"/>
    <w:rsid w:val="003359F3"/>
    <w:rsid w:val="00337E79"/>
    <w:rsid w:val="00340876"/>
    <w:rsid w:val="003412B7"/>
    <w:rsid w:val="003434B5"/>
    <w:rsid w:val="00344AFD"/>
    <w:rsid w:val="00346FBA"/>
    <w:rsid w:val="00347C52"/>
    <w:rsid w:val="003536E3"/>
    <w:rsid w:val="0035564A"/>
    <w:rsid w:val="00371FA8"/>
    <w:rsid w:val="0037521B"/>
    <w:rsid w:val="00375227"/>
    <w:rsid w:val="003769AD"/>
    <w:rsid w:val="00382E25"/>
    <w:rsid w:val="00392120"/>
    <w:rsid w:val="00396000"/>
    <w:rsid w:val="00396BCB"/>
    <w:rsid w:val="00396C22"/>
    <w:rsid w:val="003A3E2D"/>
    <w:rsid w:val="003A6A67"/>
    <w:rsid w:val="003A7A1C"/>
    <w:rsid w:val="003B3711"/>
    <w:rsid w:val="003C102B"/>
    <w:rsid w:val="003C26F9"/>
    <w:rsid w:val="003C2AA8"/>
    <w:rsid w:val="003C3986"/>
    <w:rsid w:val="003D3543"/>
    <w:rsid w:val="003E0C9B"/>
    <w:rsid w:val="003F49CF"/>
    <w:rsid w:val="00405185"/>
    <w:rsid w:val="00405CBD"/>
    <w:rsid w:val="00410958"/>
    <w:rsid w:val="00411635"/>
    <w:rsid w:val="004151B7"/>
    <w:rsid w:val="00415DDD"/>
    <w:rsid w:val="00421116"/>
    <w:rsid w:val="00421393"/>
    <w:rsid w:val="00421B7A"/>
    <w:rsid w:val="00422C78"/>
    <w:rsid w:val="00432834"/>
    <w:rsid w:val="00435F68"/>
    <w:rsid w:val="0043641F"/>
    <w:rsid w:val="00437130"/>
    <w:rsid w:val="00442117"/>
    <w:rsid w:val="00443408"/>
    <w:rsid w:val="0044787E"/>
    <w:rsid w:val="00447AFA"/>
    <w:rsid w:val="004500D9"/>
    <w:rsid w:val="00451313"/>
    <w:rsid w:val="00452C77"/>
    <w:rsid w:val="00453734"/>
    <w:rsid w:val="00455373"/>
    <w:rsid w:val="0045696C"/>
    <w:rsid w:val="00457C55"/>
    <w:rsid w:val="00461AD1"/>
    <w:rsid w:val="00464793"/>
    <w:rsid w:val="004666C2"/>
    <w:rsid w:val="004679D9"/>
    <w:rsid w:val="0047280A"/>
    <w:rsid w:val="0047400C"/>
    <w:rsid w:val="00481559"/>
    <w:rsid w:val="0048509A"/>
    <w:rsid w:val="004925FF"/>
    <w:rsid w:val="004A379C"/>
    <w:rsid w:val="004B0581"/>
    <w:rsid w:val="004B13D0"/>
    <w:rsid w:val="004B1C54"/>
    <w:rsid w:val="004B77C2"/>
    <w:rsid w:val="004B7BFB"/>
    <w:rsid w:val="004C3D40"/>
    <w:rsid w:val="004C5145"/>
    <w:rsid w:val="004D5322"/>
    <w:rsid w:val="004D6446"/>
    <w:rsid w:val="004D6D11"/>
    <w:rsid w:val="004E2A84"/>
    <w:rsid w:val="004E5300"/>
    <w:rsid w:val="004E57DC"/>
    <w:rsid w:val="004E5908"/>
    <w:rsid w:val="004E7B8C"/>
    <w:rsid w:val="004F269B"/>
    <w:rsid w:val="004F2CBB"/>
    <w:rsid w:val="004F759B"/>
    <w:rsid w:val="00500460"/>
    <w:rsid w:val="005048B4"/>
    <w:rsid w:val="0050551C"/>
    <w:rsid w:val="00527D39"/>
    <w:rsid w:val="00534BE6"/>
    <w:rsid w:val="0054206C"/>
    <w:rsid w:val="00542AEA"/>
    <w:rsid w:val="0054375C"/>
    <w:rsid w:val="00547E1B"/>
    <w:rsid w:val="0055108F"/>
    <w:rsid w:val="005656B4"/>
    <w:rsid w:val="00565A11"/>
    <w:rsid w:val="0056755C"/>
    <w:rsid w:val="00571325"/>
    <w:rsid w:val="00572094"/>
    <w:rsid w:val="00572F33"/>
    <w:rsid w:val="00581634"/>
    <w:rsid w:val="00584BD8"/>
    <w:rsid w:val="00585BAC"/>
    <w:rsid w:val="005875F0"/>
    <w:rsid w:val="00592800"/>
    <w:rsid w:val="00592EDC"/>
    <w:rsid w:val="005A3763"/>
    <w:rsid w:val="005A3AF0"/>
    <w:rsid w:val="005B1CE6"/>
    <w:rsid w:val="005C088B"/>
    <w:rsid w:val="005C0EED"/>
    <w:rsid w:val="005C164F"/>
    <w:rsid w:val="005C38B9"/>
    <w:rsid w:val="005E2BAF"/>
    <w:rsid w:val="005E3338"/>
    <w:rsid w:val="005E51B9"/>
    <w:rsid w:val="005E57AF"/>
    <w:rsid w:val="005F0709"/>
    <w:rsid w:val="005F264F"/>
    <w:rsid w:val="005F527A"/>
    <w:rsid w:val="00600137"/>
    <w:rsid w:val="006029A9"/>
    <w:rsid w:val="00621933"/>
    <w:rsid w:val="00625511"/>
    <w:rsid w:val="00625AB2"/>
    <w:rsid w:val="0062775E"/>
    <w:rsid w:val="0063429C"/>
    <w:rsid w:val="00635A39"/>
    <w:rsid w:val="00641866"/>
    <w:rsid w:val="00641B62"/>
    <w:rsid w:val="00650926"/>
    <w:rsid w:val="0065106F"/>
    <w:rsid w:val="00655881"/>
    <w:rsid w:val="00655C98"/>
    <w:rsid w:val="00656593"/>
    <w:rsid w:val="00672840"/>
    <w:rsid w:val="006734E1"/>
    <w:rsid w:val="006755B1"/>
    <w:rsid w:val="006800AD"/>
    <w:rsid w:val="00685D72"/>
    <w:rsid w:val="00686397"/>
    <w:rsid w:val="00692AEB"/>
    <w:rsid w:val="006A05E8"/>
    <w:rsid w:val="006B1566"/>
    <w:rsid w:val="006B2C46"/>
    <w:rsid w:val="006B3BC4"/>
    <w:rsid w:val="006B7961"/>
    <w:rsid w:val="006C3FE8"/>
    <w:rsid w:val="006C4961"/>
    <w:rsid w:val="006C5699"/>
    <w:rsid w:val="006E0592"/>
    <w:rsid w:val="006F50AC"/>
    <w:rsid w:val="007147ED"/>
    <w:rsid w:val="007166E2"/>
    <w:rsid w:val="0072470A"/>
    <w:rsid w:val="00727C8B"/>
    <w:rsid w:val="00727F73"/>
    <w:rsid w:val="007306D4"/>
    <w:rsid w:val="007333E6"/>
    <w:rsid w:val="00735C28"/>
    <w:rsid w:val="00735E96"/>
    <w:rsid w:val="00753676"/>
    <w:rsid w:val="00763733"/>
    <w:rsid w:val="00764811"/>
    <w:rsid w:val="00764E8C"/>
    <w:rsid w:val="007709AD"/>
    <w:rsid w:val="007712AC"/>
    <w:rsid w:val="0077241F"/>
    <w:rsid w:val="00776E10"/>
    <w:rsid w:val="007802ED"/>
    <w:rsid w:val="00780714"/>
    <w:rsid w:val="007864E2"/>
    <w:rsid w:val="00786E4C"/>
    <w:rsid w:val="007925FC"/>
    <w:rsid w:val="007932C3"/>
    <w:rsid w:val="00793D31"/>
    <w:rsid w:val="00797946"/>
    <w:rsid w:val="007A2167"/>
    <w:rsid w:val="007A37C9"/>
    <w:rsid w:val="007A4574"/>
    <w:rsid w:val="007B1209"/>
    <w:rsid w:val="007B143A"/>
    <w:rsid w:val="007B58C7"/>
    <w:rsid w:val="007C128A"/>
    <w:rsid w:val="007C296E"/>
    <w:rsid w:val="007C604C"/>
    <w:rsid w:val="007C68C3"/>
    <w:rsid w:val="007C6DFF"/>
    <w:rsid w:val="007C71DE"/>
    <w:rsid w:val="007C76A6"/>
    <w:rsid w:val="007D122A"/>
    <w:rsid w:val="007D5BAE"/>
    <w:rsid w:val="007E02B9"/>
    <w:rsid w:val="007E2033"/>
    <w:rsid w:val="007E236A"/>
    <w:rsid w:val="007E4E1E"/>
    <w:rsid w:val="007E632C"/>
    <w:rsid w:val="007F21AE"/>
    <w:rsid w:val="008009C8"/>
    <w:rsid w:val="008012C5"/>
    <w:rsid w:val="00803546"/>
    <w:rsid w:val="00805DE6"/>
    <w:rsid w:val="00810181"/>
    <w:rsid w:val="00816FC1"/>
    <w:rsid w:val="00823507"/>
    <w:rsid w:val="00831D10"/>
    <w:rsid w:val="00850B74"/>
    <w:rsid w:val="0085296A"/>
    <w:rsid w:val="00883597"/>
    <w:rsid w:val="00883D09"/>
    <w:rsid w:val="00884207"/>
    <w:rsid w:val="0088608F"/>
    <w:rsid w:val="008901D6"/>
    <w:rsid w:val="008909D5"/>
    <w:rsid w:val="008936AB"/>
    <w:rsid w:val="008960E1"/>
    <w:rsid w:val="008A11A7"/>
    <w:rsid w:val="008A5A7C"/>
    <w:rsid w:val="008B2D5D"/>
    <w:rsid w:val="008B5D13"/>
    <w:rsid w:val="008C40BA"/>
    <w:rsid w:val="008D4B86"/>
    <w:rsid w:val="008D5726"/>
    <w:rsid w:val="008D5D7B"/>
    <w:rsid w:val="008D6A8C"/>
    <w:rsid w:val="008D7E99"/>
    <w:rsid w:val="008E0438"/>
    <w:rsid w:val="008E0DE5"/>
    <w:rsid w:val="008E1597"/>
    <w:rsid w:val="008E77DD"/>
    <w:rsid w:val="008F0BC9"/>
    <w:rsid w:val="00900817"/>
    <w:rsid w:val="00901311"/>
    <w:rsid w:val="009140D6"/>
    <w:rsid w:val="009158AE"/>
    <w:rsid w:val="00916D47"/>
    <w:rsid w:val="00917F45"/>
    <w:rsid w:val="00920ECD"/>
    <w:rsid w:val="00922E44"/>
    <w:rsid w:val="00930AC5"/>
    <w:rsid w:val="00932620"/>
    <w:rsid w:val="0093391F"/>
    <w:rsid w:val="00934208"/>
    <w:rsid w:val="00934CDB"/>
    <w:rsid w:val="0093643D"/>
    <w:rsid w:val="00936F2A"/>
    <w:rsid w:val="00937C95"/>
    <w:rsid w:val="0094175D"/>
    <w:rsid w:val="00945329"/>
    <w:rsid w:val="00946069"/>
    <w:rsid w:val="00952AE8"/>
    <w:rsid w:val="009621CF"/>
    <w:rsid w:val="00962E3C"/>
    <w:rsid w:val="00963AB8"/>
    <w:rsid w:val="009663BB"/>
    <w:rsid w:val="009673C1"/>
    <w:rsid w:val="0097139E"/>
    <w:rsid w:val="00975D26"/>
    <w:rsid w:val="0097691D"/>
    <w:rsid w:val="00984ECE"/>
    <w:rsid w:val="009906C4"/>
    <w:rsid w:val="00996398"/>
    <w:rsid w:val="009A1610"/>
    <w:rsid w:val="009A1696"/>
    <w:rsid w:val="009B230E"/>
    <w:rsid w:val="009B4789"/>
    <w:rsid w:val="009B736A"/>
    <w:rsid w:val="009B7864"/>
    <w:rsid w:val="009C1736"/>
    <w:rsid w:val="009C2256"/>
    <w:rsid w:val="009C2DB5"/>
    <w:rsid w:val="009C4801"/>
    <w:rsid w:val="009C7C5C"/>
    <w:rsid w:val="009D0425"/>
    <w:rsid w:val="009D0770"/>
    <w:rsid w:val="009D4FC1"/>
    <w:rsid w:val="009E0C21"/>
    <w:rsid w:val="009E29BF"/>
    <w:rsid w:val="009E37B6"/>
    <w:rsid w:val="009E6445"/>
    <w:rsid w:val="009F2AFB"/>
    <w:rsid w:val="009F3DAB"/>
    <w:rsid w:val="00A133D1"/>
    <w:rsid w:val="00A21A08"/>
    <w:rsid w:val="00A21F64"/>
    <w:rsid w:val="00A22A44"/>
    <w:rsid w:val="00A26B5B"/>
    <w:rsid w:val="00A3316C"/>
    <w:rsid w:val="00A335C9"/>
    <w:rsid w:val="00A357B8"/>
    <w:rsid w:val="00A362F9"/>
    <w:rsid w:val="00A41770"/>
    <w:rsid w:val="00A54F10"/>
    <w:rsid w:val="00A606E6"/>
    <w:rsid w:val="00A61B08"/>
    <w:rsid w:val="00A67C50"/>
    <w:rsid w:val="00A70AB8"/>
    <w:rsid w:val="00A72717"/>
    <w:rsid w:val="00A73BFB"/>
    <w:rsid w:val="00A82E8A"/>
    <w:rsid w:val="00A84D4E"/>
    <w:rsid w:val="00A87445"/>
    <w:rsid w:val="00A936CD"/>
    <w:rsid w:val="00AA17B7"/>
    <w:rsid w:val="00AA63C9"/>
    <w:rsid w:val="00AA6E00"/>
    <w:rsid w:val="00AB10F3"/>
    <w:rsid w:val="00AB2A13"/>
    <w:rsid w:val="00AB4FF5"/>
    <w:rsid w:val="00AC3A08"/>
    <w:rsid w:val="00AC6100"/>
    <w:rsid w:val="00AC6405"/>
    <w:rsid w:val="00AD120C"/>
    <w:rsid w:val="00AD51FC"/>
    <w:rsid w:val="00AD524C"/>
    <w:rsid w:val="00AD77BB"/>
    <w:rsid w:val="00AE1C1F"/>
    <w:rsid w:val="00AE371E"/>
    <w:rsid w:val="00AE590F"/>
    <w:rsid w:val="00AE5F4A"/>
    <w:rsid w:val="00AF0A82"/>
    <w:rsid w:val="00AF26D0"/>
    <w:rsid w:val="00AF3784"/>
    <w:rsid w:val="00AF55C8"/>
    <w:rsid w:val="00AF67CB"/>
    <w:rsid w:val="00B02918"/>
    <w:rsid w:val="00B031D2"/>
    <w:rsid w:val="00B04138"/>
    <w:rsid w:val="00B04F16"/>
    <w:rsid w:val="00B12FFE"/>
    <w:rsid w:val="00B25D07"/>
    <w:rsid w:val="00B30FF9"/>
    <w:rsid w:val="00B40004"/>
    <w:rsid w:val="00B4052E"/>
    <w:rsid w:val="00B42530"/>
    <w:rsid w:val="00B42D7F"/>
    <w:rsid w:val="00B440C7"/>
    <w:rsid w:val="00B44676"/>
    <w:rsid w:val="00B45C4D"/>
    <w:rsid w:val="00B47EFD"/>
    <w:rsid w:val="00B618B3"/>
    <w:rsid w:val="00B67012"/>
    <w:rsid w:val="00B67C8E"/>
    <w:rsid w:val="00B7012F"/>
    <w:rsid w:val="00B71BFA"/>
    <w:rsid w:val="00B72F02"/>
    <w:rsid w:val="00B836E9"/>
    <w:rsid w:val="00B87E4F"/>
    <w:rsid w:val="00B9264F"/>
    <w:rsid w:val="00B94E88"/>
    <w:rsid w:val="00BA1226"/>
    <w:rsid w:val="00BB1B99"/>
    <w:rsid w:val="00BC24C1"/>
    <w:rsid w:val="00BC3AFF"/>
    <w:rsid w:val="00BD5124"/>
    <w:rsid w:val="00BD796E"/>
    <w:rsid w:val="00BD7EC2"/>
    <w:rsid w:val="00BE62A1"/>
    <w:rsid w:val="00C00984"/>
    <w:rsid w:val="00C01A00"/>
    <w:rsid w:val="00C0460C"/>
    <w:rsid w:val="00C068A1"/>
    <w:rsid w:val="00C1138B"/>
    <w:rsid w:val="00C20E64"/>
    <w:rsid w:val="00C21315"/>
    <w:rsid w:val="00C25B67"/>
    <w:rsid w:val="00C3009B"/>
    <w:rsid w:val="00C374A7"/>
    <w:rsid w:val="00C41526"/>
    <w:rsid w:val="00C42A65"/>
    <w:rsid w:val="00C4591E"/>
    <w:rsid w:val="00C46DBD"/>
    <w:rsid w:val="00C4782E"/>
    <w:rsid w:val="00C5055E"/>
    <w:rsid w:val="00C60DCB"/>
    <w:rsid w:val="00C62D06"/>
    <w:rsid w:val="00C67444"/>
    <w:rsid w:val="00C70C85"/>
    <w:rsid w:val="00C75F31"/>
    <w:rsid w:val="00C75F4B"/>
    <w:rsid w:val="00C80222"/>
    <w:rsid w:val="00C81432"/>
    <w:rsid w:val="00C81EDA"/>
    <w:rsid w:val="00C86C1E"/>
    <w:rsid w:val="00C87699"/>
    <w:rsid w:val="00C91493"/>
    <w:rsid w:val="00C97AAF"/>
    <w:rsid w:val="00CA47B5"/>
    <w:rsid w:val="00CB0691"/>
    <w:rsid w:val="00CB0C3D"/>
    <w:rsid w:val="00CB7A70"/>
    <w:rsid w:val="00CC795F"/>
    <w:rsid w:val="00CD3AE8"/>
    <w:rsid w:val="00CD5551"/>
    <w:rsid w:val="00CD7467"/>
    <w:rsid w:val="00CE0BA7"/>
    <w:rsid w:val="00CE5078"/>
    <w:rsid w:val="00CE51A3"/>
    <w:rsid w:val="00CE7FBB"/>
    <w:rsid w:val="00CF08E1"/>
    <w:rsid w:val="00D0071D"/>
    <w:rsid w:val="00D04D16"/>
    <w:rsid w:val="00D05E6D"/>
    <w:rsid w:val="00D127A0"/>
    <w:rsid w:val="00D161A4"/>
    <w:rsid w:val="00D225A3"/>
    <w:rsid w:val="00D23227"/>
    <w:rsid w:val="00D25BA7"/>
    <w:rsid w:val="00D26315"/>
    <w:rsid w:val="00D316F7"/>
    <w:rsid w:val="00D45ABB"/>
    <w:rsid w:val="00D46BB0"/>
    <w:rsid w:val="00D46BBA"/>
    <w:rsid w:val="00D47389"/>
    <w:rsid w:val="00D52E3B"/>
    <w:rsid w:val="00D56BC6"/>
    <w:rsid w:val="00D60402"/>
    <w:rsid w:val="00D63E57"/>
    <w:rsid w:val="00D7488D"/>
    <w:rsid w:val="00D8005F"/>
    <w:rsid w:val="00D80342"/>
    <w:rsid w:val="00D826FD"/>
    <w:rsid w:val="00D91B2B"/>
    <w:rsid w:val="00D95257"/>
    <w:rsid w:val="00D95D07"/>
    <w:rsid w:val="00D96CF8"/>
    <w:rsid w:val="00DA4BB4"/>
    <w:rsid w:val="00DA5AB6"/>
    <w:rsid w:val="00DB235D"/>
    <w:rsid w:val="00DB2494"/>
    <w:rsid w:val="00DC23BD"/>
    <w:rsid w:val="00DC5C8D"/>
    <w:rsid w:val="00DC635D"/>
    <w:rsid w:val="00DE085C"/>
    <w:rsid w:val="00DE1E30"/>
    <w:rsid w:val="00DF181C"/>
    <w:rsid w:val="00DF6013"/>
    <w:rsid w:val="00DF6859"/>
    <w:rsid w:val="00E01440"/>
    <w:rsid w:val="00E016B2"/>
    <w:rsid w:val="00E02D07"/>
    <w:rsid w:val="00E05F06"/>
    <w:rsid w:val="00E11EE7"/>
    <w:rsid w:val="00E151B0"/>
    <w:rsid w:val="00E2481D"/>
    <w:rsid w:val="00E271F0"/>
    <w:rsid w:val="00E272A7"/>
    <w:rsid w:val="00E43284"/>
    <w:rsid w:val="00E4402B"/>
    <w:rsid w:val="00E567E6"/>
    <w:rsid w:val="00E637E8"/>
    <w:rsid w:val="00E744F7"/>
    <w:rsid w:val="00E81D3E"/>
    <w:rsid w:val="00E9111F"/>
    <w:rsid w:val="00E9783A"/>
    <w:rsid w:val="00EA3F5D"/>
    <w:rsid w:val="00EA6BAE"/>
    <w:rsid w:val="00EB2318"/>
    <w:rsid w:val="00EB3971"/>
    <w:rsid w:val="00EC3286"/>
    <w:rsid w:val="00EC6F85"/>
    <w:rsid w:val="00ED02AD"/>
    <w:rsid w:val="00ED643E"/>
    <w:rsid w:val="00EE0110"/>
    <w:rsid w:val="00EE40CC"/>
    <w:rsid w:val="00EE7FF5"/>
    <w:rsid w:val="00EF0E1D"/>
    <w:rsid w:val="00F00383"/>
    <w:rsid w:val="00F06D79"/>
    <w:rsid w:val="00F10EB5"/>
    <w:rsid w:val="00F129CD"/>
    <w:rsid w:val="00F224BB"/>
    <w:rsid w:val="00F26176"/>
    <w:rsid w:val="00F30675"/>
    <w:rsid w:val="00F33D6A"/>
    <w:rsid w:val="00F34B44"/>
    <w:rsid w:val="00F3522A"/>
    <w:rsid w:val="00F41B45"/>
    <w:rsid w:val="00F42E5A"/>
    <w:rsid w:val="00F47ECB"/>
    <w:rsid w:val="00F51065"/>
    <w:rsid w:val="00F54515"/>
    <w:rsid w:val="00F573BF"/>
    <w:rsid w:val="00F70B94"/>
    <w:rsid w:val="00F80EC6"/>
    <w:rsid w:val="00F827DC"/>
    <w:rsid w:val="00F83C8D"/>
    <w:rsid w:val="00F85A76"/>
    <w:rsid w:val="00F86169"/>
    <w:rsid w:val="00FA097E"/>
    <w:rsid w:val="00FA258C"/>
    <w:rsid w:val="00FA7622"/>
    <w:rsid w:val="00FB1901"/>
    <w:rsid w:val="00FB22C5"/>
    <w:rsid w:val="00FB44CC"/>
    <w:rsid w:val="00FB4949"/>
    <w:rsid w:val="00FC6860"/>
    <w:rsid w:val="00FC7E20"/>
    <w:rsid w:val="00FD16CA"/>
    <w:rsid w:val="00FD19DB"/>
    <w:rsid w:val="00FD2EED"/>
    <w:rsid w:val="00FD4381"/>
    <w:rsid w:val="00FD4419"/>
    <w:rsid w:val="00FE7C30"/>
    <w:rsid w:val="00FF2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097E"/>
    <w:rPr>
      <w:rFonts w:ascii="Palatino" w:hAnsi="Palatino"/>
      <w:sz w:val="26"/>
    </w:rPr>
  </w:style>
  <w:style w:type="paragraph" w:styleId="Heading1">
    <w:name w:val="heading 1"/>
    <w:basedOn w:val="Normal"/>
    <w:next w:val="standard"/>
    <w:link w:val="Heading1Char"/>
    <w:qFormat/>
    <w:pPr>
      <w:keepNext/>
      <w:numPr>
        <w:numId w:val="9"/>
      </w:numPr>
      <w:spacing w:before="120" w:after="120"/>
      <w:outlineLvl w:val="0"/>
    </w:pPr>
    <w:rPr>
      <w:rFonts w:ascii="Helvetica" w:hAnsi="Helvetica"/>
      <w:b/>
      <w:kern w:val="28"/>
      <w:szCs w:val="26"/>
    </w:rPr>
  </w:style>
  <w:style w:type="paragraph" w:styleId="Heading2">
    <w:name w:val="heading 2"/>
    <w:basedOn w:val="Normal"/>
    <w:next w:val="standard"/>
    <w:link w:val="Heading2Char"/>
    <w:qFormat/>
    <w:pPr>
      <w:keepNext/>
      <w:numPr>
        <w:ilvl w:val="1"/>
        <w:numId w:val="9"/>
      </w:numPr>
      <w:spacing w:before="120" w:after="120"/>
      <w:outlineLvl w:val="1"/>
    </w:pPr>
    <w:rPr>
      <w:rFonts w:ascii="Helvetica" w:hAnsi="Helvetica"/>
      <w:b/>
      <w:szCs w:val="26"/>
    </w:rPr>
  </w:style>
  <w:style w:type="paragraph" w:styleId="Heading3">
    <w:name w:val="heading 3"/>
    <w:basedOn w:val="Normal"/>
    <w:next w:val="standard"/>
    <w:link w:val="Heading3Char"/>
    <w:qFormat/>
    <w:pPr>
      <w:keepNext/>
      <w:numPr>
        <w:ilvl w:val="2"/>
        <w:numId w:val="9"/>
      </w:numPr>
      <w:tabs>
        <w:tab w:val="left" w:pos="1620"/>
      </w:tabs>
      <w:spacing w:before="120" w:after="120"/>
      <w:ind w:left="1620" w:hanging="900"/>
      <w:outlineLvl w:val="2"/>
    </w:pPr>
    <w:rPr>
      <w:rFonts w:ascii="Helvetica" w:hAnsi="Helvetica"/>
      <w:b/>
      <w:szCs w:val="26"/>
    </w:rPr>
  </w:style>
  <w:style w:type="paragraph" w:styleId="Heading4">
    <w:name w:val="heading 4"/>
    <w:basedOn w:val="Normal"/>
    <w:next w:val="standard"/>
    <w:link w:val="Heading4Char"/>
    <w:qFormat/>
    <w:pPr>
      <w:keepNext/>
      <w:numPr>
        <w:ilvl w:val="3"/>
        <w:numId w:val="9"/>
      </w:numPr>
      <w:tabs>
        <w:tab w:val="left" w:pos="1800"/>
      </w:tabs>
      <w:spacing w:before="120" w:after="120"/>
      <w:ind w:left="1800" w:hanging="1080"/>
      <w:outlineLvl w:val="3"/>
    </w:pPr>
    <w:rPr>
      <w:rFonts w:ascii="Helvetica" w:hAnsi="Helvetica"/>
      <w:b/>
      <w:szCs w:val="26"/>
    </w:rPr>
  </w:style>
  <w:style w:type="paragraph" w:styleId="Heading5">
    <w:name w:val="heading 5"/>
    <w:basedOn w:val="Normal"/>
    <w:next w:val="standard"/>
    <w:link w:val="Heading5Char"/>
    <w:qFormat/>
    <w:pPr>
      <w:numPr>
        <w:ilvl w:val="4"/>
        <w:numId w:val="9"/>
      </w:numPr>
      <w:tabs>
        <w:tab w:val="left" w:pos="1980"/>
      </w:tabs>
      <w:spacing w:before="120" w:after="120"/>
      <w:ind w:left="1980" w:hanging="1260"/>
      <w:outlineLvl w:val="4"/>
    </w:pPr>
    <w:rPr>
      <w:rFonts w:ascii="Helvetica" w:hAnsi="Helvetica"/>
      <w:b/>
      <w:szCs w:val="26"/>
    </w:rPr>
  </w:style>
  <w:style w:type="paragraph" w:styleId="Heading6">
    <w:name w:val="heading 6"/>
    <w:basedOn w:val="Normal"/>
    <w:next w:val="standard"/>
    <w:link w:val="Heading6Char"/>
    <w:qFormat/>
    <w:pPr>
      <w:numPr>
        <w:ilvl w:val="5"/>
        <w:numId w:val="9"/>
      </w:numPr>
      <w:tabs>
        <w:tab w:val="left" w:pos="2250"/>
      </w:tabs>
      <w:spacing w:before="120" w:after="120"/>
      <w:ind w:left="2250" w:hanging="1530"/>
      <w:outlineLvl w:val="5"/>
    </w:pPr>
    <w:rPr>
      <w:rFonts w:ascii="Helvetica" w:hAnsi="Helvetica" w:cs="Arial"/>
      <w:b/>
      <w:bCs/>
      <w:szCs w:val="26"/>
    </w:rPr>
  </w:style>
  <w:style w:type="paragraph" w:styleId="Heading7">
    <w:name w:val="heading 7"/>
    <w:basedOn w:val="Normal"/>
    <w:next w:val="standard"/>
    <w:link w:val="Heading7Char"/>
    <w:qFormat/>
    <w:pPr>
      <w:numPr>
        <w:ilvl w:val="6"/>
        <w:numId w:val="9"/>
      </w:numPr>
      <w:tabs>
        <w:tab w:val="left" w:pos="2520"/>
      </w:tabs>
      <w:spacing w:before="120" w:after="120"/>
      <w:ind w:left="2520" w:hanging="1800"/>
      <w:outlineLvl w:val="6"/>
    </w:pPr>
    <w:rPr>
      <w:rFonts w:ascii="Helvetica" w:hAnsi="Helvetica"/>
      <w:b/>
    </w:rPr>
  </w:style>
  <w:style w:type="paragraph" w:styleId="Heading8">
    <w:name w:val="heading 8"/>
    <w:basedOn w:val="Heading9"/>
    <w:next w:val="standard"/>
    <w:link w:val="Heading8Char"/>
    <w:qFormat/>
    <w:pPr>
      <w:outlineLvl w:val="7"/>
    </w:pPr>
  </w:style>
  <w:style w:type="paragraph" w:styleId="Heading9">
    <w:name w:val="heading 9"/>
    <w:basedOn w:val="Normal"/>
    <w:next w:val="standard"/>
    <w:link w:val="Heading9Char"/>
    <w:autoRedefine/>
    <w:qFormat/>
    <w:pPr>
      <w:numPr>
        <w:ilvl w:val="8"/>
        <w:numId w:val="9"/>
      </w:numPr>
      <w:tabs>
        <w:tab w:val="left" w:pos="2880"/>
      </w:tabs>
      <w:spacing w:before="120" w:after="120"/>
      <w:ind w:left="2880" w:hanging="2160"/>
      <w:outlineLvl w:val="8"/>
    </w:pPr>
    <w:rPr>
      <w:rFonts w:ascii="Helvetica" w:hAnsi="Helvetica"/>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basedOn w:val="Normal"/>
    <w:link w:val="standardChar"/>
    <w:pPr>
      <w:spacing w:line="360" w:lineRule="auto"/>
      <w:ind w:firstLine="720"/>
    </w:pPr>
  </w:style>
  <w:style w:type="paragraph" w:customStyle="1" w:styleId="sub1">
    <w:name w:val="sub1"/>
    <w:basedOn w:val="Normal"/>
    <w:pPr>
      <w:spacing w:line="360" w:lineRule="auto"/>
      <w:ind w:firstLine="720"/>
    </w:pPr>
  </w:style>
  <w:style w:type="paragraph" w:customStyle="1" w:styleId="sub2">
    <w:name w:val="sub2"/>
    <w:basedOn w:val="Normal"/>
    <w:pPr>
      <w:spacing w:line="360" w:lineRule="auto"/>
      <w:ind w:firstLine="720"/>
    </w:pPr>
  </w:style>
  <w:style w:type="paragraph" w:customStyle="1" w:styleId="sub3">
    <w:name w:val="sub3"/>
    <w:basedOn w:val="Normal"/>
    <w:pPr>
      <w:spacing w:line="360" w:lineRule="auto"/>
      <w:ind w:firstLine="720"/>
    </w:pPr>
  </w:style>
  <w:style w:type="paragraph" w:customStyle="1" w:styleId="sub4">
    <w:name w:val="sub4"/>
    <w:basedOn w:val="Normal"/>
    <w:pPr>
      <w:spacing w:line="360" w:lineRule="auto"/>
      <w:ind w:firstLine="720"/>
    </w:pPr>
  </w:style>
  <w:style w:type="paragraph" w:styleId="FootnoteText">
    <w:name w:val="footnote text"/>
    <w:basedOn w:val="Normal"/>
    <w:link w:val="FootnoteTextChar"/>
    <w:pPr>
      <w:spacing w:after="120"/>
    </w:pPr>
    <w:rPr>
      <w:sz w:val="24"/>
    </w:rPr>
  </w:style>
  <w:style w:type="character" w:styleId="FootnoteReference">
    <w:name w:val="footnote reference"/>
    <w:semiHidden/>
    <w:rPr>
      <w:sz w:val="24"/>
      <w:vertAlign w:val="superscript"/>
    </w:rPr>
  </w:style>
  <w:style w:type="paragraph" w:styleId="Subtitle">
    <w:name w:val="Subtitle"/>
    <w:basedOn w:val="Normal"/>
    <w:link w:val="SubtitleChar"/>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letter">
    <w:name w:val="letter"/>
    <w:basedOn w:val="num1"/>
    <w:pPr>
      <w:spacing w:after="120" w:line="240" w:lineRule="auto"/>
      <w:ind w:left="994" w:hanging="274"/>
    </w:pPr>
  </w:style>
  <w:style w:type="paragraph" w:customStyle="1" w:styleId="num1">
    <w:name w:val="num1"/>
    <w:basedOn w:val="Normal"/>
    <w:pPr>
      <w:tabs>
        <w:tab w:val="left" w:pos="-720"/>
      </w:tabs>
      <w:suppressAutoHyphens/>
      <w:spacing w:line="360" w:lineRule="auto"/>
      <w:ind w:firstLine="360"/>
    </w:pPr>
  </w:style>
  <w:style w:type="paragraph" w:styleId="TOC4">
    <w:name w:val="toc 4"/>
    <w:basedOn w:val="Normal"/>
    <w:next w:val="Normal"/>
    <w:uiPriority w:val="39"/>
    <w:pPr>
      <w:tabs>
        <w:tab w:val="left" w:pos="2430"/>
        <w:tab w:val="right" w:leader="dot" w:pos="9270"/>
      </w:tabs>
      <w:ind w:left="2430" w:hanging="810"/>
    </w:pPr>
    <w:rPr>
      <w:noProof/>
      <w:szCs w:val="26"/>
    </w:rPr>
  </w:style>
  <w:style w:type="paragraph" w:customStyle="1" w:styleId="main">
    <w:name w:val="main"/>
    <w:basedOn w:val="Normal"/>
    <w:link w:val="mainChar"/>
    <w:pPr>
      <w:jc w:val="center"/>
    </w:pPr>
    <w:rPr>
      <w:rFonts w:ascii="Helvetica" w:hAnsi="Helvetica"/>
      <w:b/>
    </w:rPr>
  </w:style>
  <w:style w:type="paragraph" w:customStyle="1" w:styleId="mainex">
    <w:name w:val="mainex"/>
    <w:basedOn w:val="main"/>
    <w:rPr>
      <w:spacing w:val="120"/>
    </w:rPr>
  </w:style>
  <w:style w:type="paragraph" w:styleId="Header">
    <w:name w:val="header"/>
    <w:basedOn w:val="Normal"/>
    <w:link w:val="HeaderChar"/>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link w:val="FooterChar"/>
    <w:uiPriority w:val="99"/>
    <w:pPr>
      <w:tabs>
        <w:tab w:val="center" w:pos="4320"/>
        <w:tab w:val="right" w:pos="8640"/>
      </w:tabs>
      <w:jc w:val="center"/>
    </w:pPr>
  </w:style>
  <w:style w:type="character" w:styleId="PageNumber">
    <w:name w:val="page number"/>
    <w:basedOn w:val="DefaultParagraphFont"/>
  </w:style>
  <w:style w:type="character" w:styleId="Hyperlink">
    <w:name w:val="Hyperlink"/>
    <w:uiPriority w:val="99"/>
    <w:rPr>
      <w:color w:val="0000FF"/>
      <w:u w:val="single"/>
    </w:rPr>
  </w:style>
  <w:style w:type="paragraph" w:styleId="BodyText">
    <w:name w:val="Body Text"/>
    <w:basedOn w:val="Normal"/>
    <w:link w:val="BodyTextChar"/>
    <w:pPr>
      <w:tabs>
        <w:tab w:val="left" w:pos="2160"/>
        <w:tab w:val="left" w:pos="3600"/>
      </w:tabs>
    </w:pPr>
    <w:rPr>
      <w:rFonts w:ascii="Times New Roman" w:hAnsi="Times New Roman"/>
      <w:sz w:val="24"/>
    </w:rPr>
  </w:style>
  <w:style w:type="character" w:styleId="FollowedHyperlink">
    <w:name w:val="FollowedHyperlink"/>
    <w:rPr>
      <w:color w:val="800080"/>
      <w:u w:val="single"/>
    </w:rPr>
  </w:style>
  <w:style w:type="paragraph" w:customStyle="1" w:styleId="dummy">
    <w:name w:val="dummy"/>
    <w:basedOn w:val="Heading1"/>
    <w:pPr>
      <w:numPr>
        <w:numId w:val="0"/>
      </w:numPr>
      <w:ind w:left="72"/>
      <w:outlineLvl w:val="9"/>
    </w:pPr>
  </w:style>
  <w:style w:type="paragraph" w:styleId="BlockText">
    <w:name w:val="Block Text"/>
    <w:basedOn w:val="Normal"/>
    <w:pPr>
      <w:ind w:left="720" w:right="720"/>
    </w:pPr>
    <w:rPr>
      <w:rFonts w:ascii="Times" w:hAnsi="Times"/>
      <w:sz w:val="24"/>
    </w:rPr>
  </w:style>
  <w:style w:type="paragraph" w:styleId="NormalIndent">
    <w:name w:val="Normal Indent"/>
    <w:basedOn w:val="Normal"/>
    <w:pPr>
      <w:spacing w:line="480" w:lineRule="auto"/>
      <w:ind w:firstLine="720"/>
    </w:pPr>
    <w:rPr>
      <w:rFonts w:ascii="Times" w:hAnsi="Times"/>
      <w:sz w:val="24"/>
    </w:rPr>
  </w:style>
  <w:style w:type="paragraph" w:styleId="BodyText3">
    <w:name w:val="Body Text 3"/>
    <w:basedOn w:val="Normal"/>
    <w:link w:val="BodyText3Char"/>
    <w:pPr>
      <w:overflowPunct w:val="0"/>
      <w:autoSpaceDE w:val="0"/>
      <w:autoSpaceDN w:val="0"/>
      <w:adjustRightInd w:val="0"/>
      <w:textAlignment w:val="baseline"/>
    </w:pPr>
    <w:rPr>
      <w:rFonts w:ascii="Times New Roman" w:hAnsi="Times New Roman"/>
      <w:sz w:val="24"/>
      <w:u w:val="single"/>
    </w:rPr>
  </w:style>
  <w:style w:type="paragraph" w:styleId="BodyText2">
    <w:name w:val="Body Text 2"/>
    <w:basedOn w:val="Normal"/>
    <w:link w:val="BodyText2Char"/>
    <w:pPr>
      <w:overflowPunct w:val="0"/>
      <w:autoSpaceDE w:val="0"/>
      <w:autoSpaceDN w:val="0"/>
      <w:adjustRightInd w:val="0"/>
      <w:spacing w:line="480" w:lineRule="auto"/>
      <w:ind w:firstLine="720"/>
      <w:textAlignment w:val="baseline"/>
    </w:pPr>
    <w:rPr>
      <w:rFonts w:ascii="Times" w:hAnsi="Times"/>
      <w:sz w:val="24"/>
    </w:rPr>
  </w:style>
  <w:style w:type="paragraph" w:customStyle="1" w:styleId="Quotation">
    <w:name w:val="Quotation"/>
    <w:basedOn w:val="BodyText"/>
    <w:next w:val="BodyText"/>
    <w:pPr>
      <w:tabs>
        <w:tab w:val="clear" w:pos="2160"/>
        <w:tab w:val="clear" w:pos="3600"/>
      </w:tabs>
      <w:spacing w:after="120"/>
      <w:ind w:left="1440" w:right="1440"/>
    </w:pPr>
    <w:rPr>
      <w:sz w:val="26"/>
    </w:rPr>
  </w:style>
  <w:style w:type="paragraph" w:styleId="BodyTextIndent2">
    <w:name w:val="Body Text Indent 2"/>
    <w:basedOn w:val="Normal"/>
    <w:link w:val="BodyTextIndent2Char"/>
    <w:pPr>
      <w:spacing w:after="120" w:line="480" w:lineRule="auto"/>
      <w:ind w:left="360"/>
    </w:pPr>
    <w:rPr>
      <w:rFonts w:ascii="Times New Roman" w:hAnsi="Times New Roman"/>
      <w:sz w:val="24"/>
      <w:szCs w:val="24"/>
    </w:rPr>
  </w:style>
  <w:style w:type="paragraph" w:styleId="PlainText">
    <w:name w:val="Plain Text"/>
    <w:basedOn w:val="Normal"/>
    <w:link w:val="PlainTextChar"/>
    <w:pPr>
      <w:spacing w:line="250" w:lineRule="exact"/>
    </w:pPr>
    <w:rPr>
      <w:rFonts w:ascii="Courier New" w:hAnsi="Courier New" w:cs="Courier New"/>
      <w:spacing w:val="-4"/>
      <w:sz w:val="24"/>
    </w:rPr>
  </w:style>
  <w:style w:type="paragraph" w:styleId="BodyTextIndent3">
    <w:name w:val="Body Text Indent 3"/>
    <w:basedOn w:val="Normal"/>
    <w:link w:val="BodyTextIndent3Char"/>
    <w:pPr>
      <w:ind w:left="720"/>
    </w:pPr>
    <w:rPr>
      <w:rFonts w:ascii="Times New Roman" w:hAnsi="Times New Roman"/>
      <w:snapToGrid w:val="0"/>
      <w:sz w:val="24"/>
    </w:rPr>
  </w:style>
  <w:style w:type="paragraph" w:customStyle="1" w:styleId="xl24">
    <w:name w:val="xl24"/>
    <w:basedOn w:val="Normal"/>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5">
    <w:name w:val="xl25"/>
    <w:basedOn w:val="Normal"/>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pPr>
      <w:spacing w:before="100" w:beforeAutospacing="1" w:after="100" w:afterAutospacing="1"/>
      <w:jc w:val="right"/>
    </w:pPr>
    <w:rPr>
      <w:rFonts w:ascii="Arial" w:eastAsia="Arial Unicode MS" w:hAnsi="Arial" w:cs="Arial"/>
      <w:b/>
      <w:bCs/>
      <w:sz w:val="24"/>
      <w:szCs w:val="24"/>
    </w:rPr>
  </w:style>
  <w:style w:type="paragraph" w:customStyle="1" w:styleId="xl27">
    <w:name w:val="xl27"/>
    <w:basedOn w:val="Normal"/>
    <w:pPr>
      <w:spacing w:before="100" w:beforeAutospacing="1" w:after="100" w:afterAutospacing="1"/>
      <w:jc w:val="center"/>
    </w:pPr>
    <w:rPr>
      <w:rFonts w:ascii="Arial" w:eastAsia="Arial Unicode MS" w:hAnsi="Arial" w:cs="Arial"/>
      <w:b/>
      <w:bCs/>
      <w:sz w:val="24"/>
      <w:szCs w:val="24"/>
    </w:rPr>
  </w:style>
  <w:style w:type="paragraph" w:customStyle="1" w:styleId="xl28">
    <w:name w:val="xl28"/>
    <w:basedOn w:val="Normal"/>
    <w:pPr>
      <w:pBdr>
        <w:top w:val="single" w:sz="8" w:space="0" w:color="auto"/>
        <w:left w:val="single" w:sz="8"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29">
    <w:name w:val="xl29"/>
    <w:basedOn w:val="Normal"/>
    <w:pPr>
      <w:pBdr>
        <w:top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0">
    <w:name w:val="xl30"/>
    <w:basedOn w:val="Normal"/>
    <w:pPr>
      <w:pBdr>
        <w:top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1">
    <w:name w:val="xl31"/>
    <w:basedOn w:val="Normal"/>
    <w:pPr>
      <w:pBdr>
        <w:left w:val="single" w:sz="8"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32">
    <w:name w:val="xl32"/>
    <w:basedOn w:val="Normal"/>
    <w:pPr>
      <w:pBdr>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7">
    <w:name w:val="xl37"/>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8">
    <w:name w:val="xl38"/>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9">
    <w:name w:val="xl39"/>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0">
    <w:name w:val="xl40"/>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1">
    <w:name w:val="xl41"/>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2">
    <w:name w:val="xl42"/>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3">
    <w:name w:val="xl43"/>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4">
    <w:name w:val="xl44"/>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5">
    <w:name w:val="xl45"/>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6">
    <w:name w:val="xl46"/>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7">
    <w:name w:val="xl47"/>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8">
    <w:name w:val="xl48"/>
    <w:basedOn w:val="Normal"/>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cs="Arial Unicode MS"/>
      <w:sz w:val="24"/>
      <w:szCs w:val="24"/>
    </w:rPr>
  </w:style>
  <w:style w:type="paragraph" w:customStyle="1" w:styleId="xl50">
    <w:name w:val="xl50"/>
    <w:basedOn w:val="Normal"/>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Arial Unicode MS" w:eastAsia="Arial Unicode MS" w:hAnsi="Arial Unicode MS" w:cs="Arial Unicode MS"/>
      <w:sz w:val="24"/>
      <w:szCs w:val="24"/>
    </w:rPr>
  </w:style>
  <w:style w:type="paragraph" w:customStyle="1" w:styleId="xl51">
    <w:name w:val="xl51"/>
    <w:basedOn w:val="Normal"/>
    <w:pPr>
      <w:spacing w:before="100" w:beforeAutospacing="1" w:after="100" w:afterAutospacing="1"/>
      <w:jc w:val="right"/>
    </w:pPr>
    <w:rPr>
      <w:rFonts w:ascii="Arial Unicode MS" w:eastAsia="Arial Unicode MS" w:hAnsi="Arial Unicode MS" w:cs="Arial Unicode MS"/>
      <w:sz w:val="24"/>
      <w:szCs w:val="24"/>
    </w:rPr>
  </w:style>
  <w:style w:type="paragraph" w:styleId="TOC1">
    <w:name w:val="toc 1"/>
    <w:basedOn w:val="Normal"/>
    <w:next w:val="Normal"/>
    <w:autoRedefine/>
    <w:uiPriority w:val="39"/>
    <w:rsid w:val="00BD5124"/>
    <w:pPr>
      <w:keepNext/>
      <w:keepLines/>
      <w:tabs>
        <w:tab w:val="left" w:pos="520"/>
        <w:tab w:val="left" w:pos="1080"/>
        <w:tab w:val="right" w:leader="dot" w:pos="9350"/>
      </w:tabs>
      <w:ind w:left="86"/>
    </w:pPr>
    <w:rPr>
      <w:noProof/>
      <w:szCs w:val="26"/>
    </w:rPr>
  </w:style>
  <w:style w:type="paragraph" w:styleId="TOC2">
    <w:name w:val="toc 2"/>
    <w:basedOn w:val="Normal"/>
    <w:next w:val="Normal"/>
    <w:autoRedefine/>
    <w:uiPriority w:val="39"/>
    <w:pPr>
      <w:tabs>
        <w:tab w:val="left" w:pos="1080"/>
        <w:tab w:val="right" w:leader="dot" w:pos="9350"/>
      </w:tabs>
      <w:ind w:left="1080" w:hanging="450"/>
    </w:pPr>
    <w:rPr>
      <w:noProof/>
      <w:szCs w:val="26"/>
    </w:rPr>
  </w:style>
  <w:style w:type="paragraph" w:styleId="TOC3">
    <w:name w:val="toc 3"/>
    <w:basedOn w:val="Normal"/>
    <w:next w:val="Normal"/>
    <w:autoRedefine/>
    <w:uiPriority w:val="39"/>
    <w:rsid w:val="003536E3"/>
    <w:pPr>
      <w:tabs>
        <w:tab w:val="left" w:pos="1800"/>
        <w:tab w:val="right" w:leader="dot" w:pos="9350"/>
      </w:tabs>
      <w:ind w:left="1800" w:hanging="720"/>
    </w:pPr>
    <w:rPr>
      <w:noProof/>
      <w:szCs w:val="24"/>
    </w:rPr>
  </w:style>
  <w:style w:type="paragraph" w:styleId="TOC5">
    <w:name w:val="toc 5"/>
    <w:basedOn w:val="Normal"/>
    <w:next w:val="Normal"/>
    <w:autoRedefine/>
    <w:semiHidden/>
    <w:pPr>
      <w:tabs>
        <w:tab w:val="left" w:pos="3060"/>
        <w:tab w:val="right" w:leader="dot" w:pos="9270"/>
      </w:tabs>
      <w:ind w:left="3060" w:hanging="990"/>
    </w:pPr>
    <w:rPr>
      <w:noProof/>
      <w:szCs w:val="24"/>
    </w:rPr>
  </w:style>
  <w:style w:type="paragraph" w:styleId="TOC6">
    <w:name w:val="toc 6"/>
    <w:basedOn w:val="Normal"/>
    <w:next w:val="Normal"/>
    <w:autoRedefine/>
    <w:semiHidden/>
    <w:pPr>
      <w:tabs>
        <w:tab w:val="left" w:pos="3690"/>
        <w:tab w:val="right" w:leader="dot" w:pos="9350"/>
      </w:tabs>
      <w:ind w:left="3690" w:hanging="1170"/>
    </w:pPr>
    <w:rPr>
      <w:noProof/>
      <w:szCs w:val="26"/>
    </w:rPr>
  </w:style>
  <w:style w:type="paragraph" w:styleId="TOC7">
    <w:name w:val="toc 7"/>
    <w:basedOn w:val="Normal"/>
    <w:next w:val="Normal"/>
    <w:autoRedefine/>
    <w:semiHidden/>
    <w:pPr>
      <w:ind w:left="1560"/>
    </w:pPr>
  </w:style>
  <w:style w:type="paragraph" w:styleId="TOC8">
    <w:name w:val="toc 8"/>
    <w:basedOn w:val="Normal"/>
    <w:next w:val="Normal"/>
    <w:autoRedefine/>
    <w:semiHidden/>
    <w:pPr>
      <w:ind w:left="1820"/>
    </w:pPr>
  </w:style>
  <w:style w:type="paragraph" w:styleId="TOC9">
    <w:name w:val="toc 9"/>
    <w:basedOn w:val="Normal"/>
    <w:next w:val="Normal"/>
    <w:autoRedefine/>
    <w:semiHidden/>
    <w:pPr>
      <w:ind w:left="2080"/>
    </w:pPr>
  </w:style>
  <w:style w:type="paragraph" w:customStyle="1" w:styleId="sub5">
    <w:name w:val="sub5"/>
    <w:basedOn w:val="sub4"/>
  </w:style>
  <w:style w:type="paragraph" w:customStyle="1" w:styleId="quote10">
    <w:name w:val="quote1"/>
    <w:basedOn w:val="Quote1"/>
    <w:pPr>
      <w:ind w:right="1080"/>
    </w:pPr>
  </w:style>
  <w:style w:type="paragraph" w:customStyle="1" w:styleId="quote3">
    <w:name w:val="quote3"/>
    <w:basedOn w:val="Quote1"/>
    <w:pPr>
      <w:ind w:right="1080"/>
    </w:pPr>
  </w:style>
  <w:style w:type="paragraph" w:customStyle="1" w:styleId="quote2">
    <w:name w:val="quote2"/>
    <w:basedOn w:val="quote3"/>
  </w:style>
  <w:style w:type="paragraph" w:customStyle="1" w:styleId="bullets">
    <w:name w:val="bullets"/>
    <w:basedOn w:val="sub1"/>
    <w:pPr>
      <w:numPr>
        <w:numId w:val="4"/>
      </w:numPr>
      <w:spacing w:after="120" w:line="240" w:lineRule="auto"/>
      <w:ind w:right="720"/>
    </w:pPr>
  </w:style>
  <w:style w:type="paragraph" w:customStyle="1" w:styleId="sub6">
    <w:name w:val="sub6"/>
    <w:basedOn w:val="sub4"/>
  </w:style>
  <w:style w:type="paragraph" w:customStyle="1" w:styleId="sub7">
    <w:name w:val="sub7"/>
    <w:basedOn w:val="sub4"/>
  </w:style>
  <w:style w:type="paragraph" w:customStyle="1" w:styleId="sub8">
    <w:name w:val="sub8"/>
    <w:basedOn w:val="sub7"/>
    <w:pPr>
      <w:ind w:firstLine="3787"/>
    </w:pPr>
  </w:style>
  <w:style w:type="character" w:customStyle="1" w:styleId="standardChar">
    <w:name w:val="standard Char"/>
    <w:link w:val="standard"/>
    <w:rPr>
      <w:rFonts w:ascii="Palatino" w:hAnsi="Palatino"/>
      <w:sz w:val="26"/>
      <w:lang w:val="en-US" w:eastAsia="en-US" w:bidi="ar-SA"/>
    </w:rPr>
  </w:style>
  <w:style w:type="paragraph" w:customStyle="1" w:styleId="Style1">
    <w:name w:val="Style1"/>
    <w:basedOn w:val="Heading7"/>
    <w:next w:val="sub6"/>
  </w:style>
  <w:style w:type="paragraph" w:customStyle="1" w:styleId="StyleHeading1Before0ptAfter0ptLinespacing15l">
    <w:name w:val="Style Heading 1 + Before:  0 pt After:  0 pt Line spacing:  1.5 l..."/>
    <w:basedOn w:val="Heading1"/>
    <w:autoRedefine/>
    <w:pPr>
      <w:spacing w:before="0" w:after="0" w:line="360" w:lineRule="auto"/>
    </w:pPr>
    <w:rPr>
      <w:bCs/>
    </w:rPr>
  </w:style>
  <w:style w:type="paragraph" w:styleId="BodyTextIndent">
    <w:name w:val="Body Text Indent"/>
    <w:basedOn w:val="Normal"/>
    <w:link w:val="BodyTextIndentChar"/>
    <w:pPr>
      <w:spacing w:after="120"/>
      <w:ind w:left="360"/>
    </w:pPr>
  </w:style>
  <w:style w:type="paragraph" w:customStyle="1" w:styleId="a1">
    <w:name w:val="a.1"/>
    <w:basedOn w:val="BodyTextIndent"/>
    <w:pPr>
      <w:numPr>
        <w:ilvl w:val="1"/>
        <w:numId w:val="5"/>
      </w:numPr>
      <w:ind w:right="1080"/>
    </w:pPr>
  </w:style>
  <w:style w:type="paragraph" w:customStyle="1" w:styleId="a2">
    <w:name w:val="a2"/>
    <w:basedOn w:val="BodyTextIndent"/>
    <w:pPr>
      <w:ind w:left="1166" w:right="1080" w:hanging="446"/>
    </w:pPr>
  </w:style>
  <w:style w:type="character" w:customStyle="1" w:styleId="mainChar">
    <w:name w:val="main Char"/>
    <w:link w:val="main"/>
    <w:rPr>
      <w:rFonts w:ascii="Helvetica" w:hAnsi="Helvetica"/>
      <w:b/>
      <w:sz w:val="26"/>
      <w:lang w:val="en-US" w:eastAsia="en-US" w:bidi="ar-SA"/>
    </w:rPr>
  </w:style>
  <w:style w:type="paragraph" w:customStyle="1" w:styleId="StyleHeading6Left05Hanging106">
    <w:name w:val="Style Heading 6 + Left:  0.5&quot; Hanging:  1.06&quot;"/>
    <w:basedOn w:val="Heading6"/>
    <w:pPr>
      <w:numPr>
        <w:numId w:val="7"/>
      </w:numPr>
    </w:pPr>
    <w:rPr>
      <w:rFonts w:cs="Times New Roman"/>
      <w:bCs w:val="0"/>
      <w:szCs w:val="20"/>
    </w:rPr>
  </w:style>
  <w:style w:type="character" w:customStyle="1" w:styleId="Heading1Char">
    <w:name w:val="Heading 1 Char"/>
    <w:link w:val="Heading1"/>
    <w:rsid w:val="0047280A"/>
    <w:rPr>
      <w:rFonts w:ascii="Helvetica" w:hAnsi="Helvetica"/>
      <w:b/>
      <w:kern w:val="28"/>
      <w:sz w:val="26"/>
      <w:szCs w:val="26"/>
    </w:rPr>
  </w:style>
  <w:style w:type="character" w:customStyle="1" w:styleId="Heading2Char">
    <w:name w:val="Heading 2 Char"/>
    <w:link w:val="Heading2"/>
    <w:rsid w:val="0047280A"/>
    <w:rPr>
      <w:rFonts w:ascii="Helvetica" w:hAnsi="Helvetica"/>
      <w:b/>
      <w:sz w:val="26"/>
      <w:szCs w:val="26"/>
    </w:rPr>
  </w:style>
  <w:style w:type="character" w:customStyle="1" w:styleId="Heading3Char">
    <w:name w:val="Heading 3 Char"/>
    <w:link w:val="Heading3"/>
    <w:rsid w:val="0047280A"/>
    <w:rPr>
      <w:rFonts w:ascii="Helvetica" w:hAnsi="Helvetica"/>
      <w:b/>
      <w:sz w:val="26"/>
      <w:szCs w:val="26"/>
    </w:rPr>
  </w:style>
  <w:style w:type="character" w:customStyle="1" w:styleId="Heading4Char">
    <w:name w:val="Heading 4 Char"/>
    <w:link w:val="Heading4"/>
    <w:rsid w:val="0047280A"/>
    <w:rPr>
      <w:rFonts w:ascii="Helvetica" w:hAnsi="Helvetica"/>
      <w:b/>
      <w:sz w:val="26"/>
      <w:szCs w:val="26"/>
    </w:rPr>
  </w:style>
  <w:style w:type="character" w:customStyle="1" w:styleId="Heading5Char">
    <w:name w:val="Heading 5 Char"/>
    <w:link w:val="Heading5"/>
    <w:rsid w:val="0047280A"/>
    <w:rPr>
      <w:rFonts w:ascii="Helvetica" w:hAnsi="Helvetica"/>
      <w:b/>
      <w:sz w:val="26"/>
      <w:szCs w:val="26"/>
    </w:rPr>
  </w:style>
  <w:style w:type="character" w:customStyle="1" w:styleId="Heading6Char">
    <w:name w:val="Heading 6 Char"/>
    <w:link w:val="Heading6"/>
    <w:rsid w:val="0047280A"/>
    <w:rPr>
      <w:rFonts w:ascii="Helvetica" w:hAnsi="Helvetica" w:cs="Arial"/>
      <w:b/>
      <w:bCs/>
      <w:sz w:val="26"/>
      <w:szCs w:val="26"/>
    </w:rPr>
  </w:style>
  <w:style w:type="character" w:customStyle="1" w:styleId="Heading7Char">
    <w:name w:val="Heading 7 Char"/>
    <w:link w:val="Heading7"/>
    <w:rsid w:val="0047280A"/>
    <w:rPr>
      <w:rFonts w:ascii="Helvetica" w:hAnsi="Helvetica"/>
      <w:b/>
      <w:sz w:val="26"/>
    </w:rPr>
  </w:style>
  <w:style w:type="character" w:customStyle="1" w:styleId="Heading8Char">
    <w:name w:val="Heading 8 Char"/>
    <w:link w:val="Heading8"/>
    <w:rsid w:val="0047280A"/>
    <w:rPr>
      <w:rFonts w:ascii="Helvetica" w:hAnsi="Helvetica"/>
      <w:b/>
      <w:sz w:val="26"/>
      <w:szCs w:val="24"/>
    </w:rPr>
  </w:style>
  <w:style w:type="character" w:customStyle="1" w:styleId="Heading9Char">
    <w:name w:val="Heading 9 Char"/>
    <w:link w:val="Heading9"/>
    <w:rsid w:val="0047280A"/>
    <w:rPr>
      <w:rFonts w:ascii="Helvetica" w:hAnsi="Helvetica"/>
      <w:b/>
      <w:sz w:val="26"/>
      <w:szCs w:val="24"/>
    </w:rPr>
  </w:style>
  <w:style w:type="character" w:customStyle="1" w:styleId="FootnoteTextChar">
    <w:name w:val="Footnote Text Char"/>
    <w:link w:val="FootnoteText"/>
    <w:rsid w:val="0047280A"/>
    <w:rPr>
      <w:rFonts w:ascii="Palatino" w:hAnsi="Palatino"/>
      <w:sz w:val="24"/>
    </w:rPr>
  </w:style>
  <w:style w:type="character" w:customStyle="1" w:styleId="SubtitleChar">
    <w:name w:val="Subtitle Char"/>
    <w:link w:val="Subtitle"/>
    <w:rsid w:val="0047280A"/>
    <w:rPr>
      <w:rFonts w:ascii="Arial" w:hAnsi="Arial"/>
      <w:sz w:val="26"/>
    </w:rPr>
  </w:style>
  <w:style w:type="paragraph" w:customStyle="1" w:styleId="Quote20">
    <w:name w:val="Quote2"/>
    <w:basedOn w:val="standard"/>
    <w:next w:val="standard"/>
    <w:rsid w:val="0047280A"/>
    <w:pPr>
      <w:spacing w:before="120" w:after="240" w:line="240" w:lineRule="auto"/>
      <w:ind w:left="720" w:right="720" w:firstLine="0"/>
    </w:pPr>
  </w:style>
  <w:style w:type="character" w:customStyle="1" w:styleId="HeaderChar">
    <w:name w:val="Header Char"/>
    <w:link w:val="Header"/>
    <w:rsid w:val="0047280A"/>
    <w:rPr>
      <w:rFonts w:ascii="Palatino" w:hAnsi="Palatino"/>
      <w:sz w:val="26"/>
    </w:rPr>
  </w:style>
  <w:style w:type="character" w:customStyle="1" w:styleId="FooterChar">
    <w:name w:val="Footer Char"/>
    <w:link w:val="Footer"/>
    <w:uiPriority w:val="99"/>
    <w:rsid w:val="0047280A"/>
    <w:rPr>
      <w:rFonts w:ascii="Palatino" w:hAnsi="Palatino"/>
      <w:sz w:val="26"/>
    </w:rPr>
  </w:style>
  <w:style w:type="character" w:customStyle="1" w:styleId="BodyTextChar">
    <w:name w:val="Body Text Char"/>
    <w:link w:val="BodyText"/>
    <w:rsid w:val="0047280A"/>
    <w:rPr>
      <w:sz w:val="24"/>
    </w:rPr>
  </w:style>
  <w:style w:type="character" w:customStyle="1" w:styleId="BodyText3Char">
    <w:name w:val="Body Text 3 Char"/>
    <w:link w:val="BodyText3"/>
    <w:rsid w:val="0047280A"/>
    <w:rPr>
      <w:sz w:val="24"/>
      <w:u w:val="single"/>
    </w:rPr>
  </w:style>
  <w:style w:type="character" w:customStyle="1" w:styleId="BodyText2Char">
    <w:name w:val="Body Text 2 Char"/>
    <w:link w:val="BodyText2"/>
    <w:rsid w:val="0047280A"/>
    <w:rPr>
      <w:rFonts w:ascii="Times" w:hAnsi="Times"/>
      <w:sz w:val="24"/>
    </w:rPr>
  </w:style>
  <w:style w:type="character" w:customStyle="1" w:styleId="BodyTextIndent2Char">
    <w:name w:val="Body Text Indent 2 Char"/>
    <w:link w:val="BodyTextIndent2"/>
    <w:rsid w:val="0047280A"/>
    <w:rPr>
      <w:sz w:val="24"/>
      <w:szCs w:val="24"/>
    </w:rPr>
  </w:style>
  <w:style w:type="character" w:customStyle="1" w:styleId="PlainTextChar">
    <w:name w:val="Plain Text Char"/>
    <w:link w:val="PlainText"/>
    <w:rsid w:val="0047280A"/>
    <w:rPr>
      <w:rFonts w:ascii="Courier New" w:hAnsi="Courier New" w:cs="Courier New"/>
      <w:spacing w:val="-4"/>
      <w:sz w:val="24"/>
    </w:rPr>
  </w:style>
  <w:style w:type="character" w:customStyle="1" w:styleId="BodyTextIndent3Char">
    <w:name w:val="Body Text Indent 3 Char"/>
    <w:link w:val="BodyTextIndent3"/>
    <w:rsid w:val="0047280A"/>
    <w:rPr>
      <w:snapToGrid w:val="0"/>
      <w:sz w:val="24"/>
    </w:rPr>
  </w:style>
  <w:style w:type="character" w:customStyle="1" w:styleId="BodyTextIndentChar">
    <w:name w:val="Body Text Indent Char"/>
    <w:link w:val="BodyTextIndent"/>
    <w:rsid w:val="0047280A"/>
    <w:rPr>
      <w:rFonts w:ascii="Palatino" w:hAnsi="Palatino"/>
      <w:sz w:val="26"/>
    </w:rPr>
  </w:style>
  <w:style w:type="paragraph" w:styleId="NoSpacing">
    <w:name w:val="No Spacing"/>
    <w:uiPriority w:val="1"/>
    <w:qFormat/>
    <w:rsid w:val="0047280A"/>
    <w:rPr>
      <w:rFonts w:ascii="Calibri" w:eastAsia="Calibri" w:hAnsi="Calibri"/>
      <w:sz w:val="22"/>
      <w:szCs w:val="22"/>
    </w:rPr>
  </w:style>
  <w:style w:type="character" w:styleId="CommentReference">
    <w:name w:val="annotation reference"/>
    <w:uiPriority w:val="99"/>
    <w:unhideWhenUsed/>
    <w:rsid w:val="0047280A"/>
    <w:rPr>
      <w:sz w:val="16"/>
      <w:szCs w:val="16"/>
    </w:rPr>
  </w:style>
  <w:style w:type="paragraph" w:styleId="CommentText">
    <w:name w:val="annotation text"/>
    <w:basedOn w:val="Normal"/>
    <w:link w:val="CommentTextChar"/>
    <w:uiPriority w:val="99"/>
    <w:unhideWhenUsed/>
    <w:rsid w:val="0047280A"/>
    <w:pPr>
      <w:spacing w:after="200" w:line="276" w:lineRule="auto"/>
    </w:pPr>
    <w:rPr>
      <w:rFonts w:ascii="Calibri" w:eastAsia="Calibri" w:hAnsi="Calibri" w:cs="Arial Unicode MS"/>
      <w:sz w:val="20"/>
      <w:lang w:val="x-none" w:eastAsia="x-none" w:bidi="lo-LA"/>
    </w:rPr>
  </w:style>
  <w:style w:type="character" w:customStyle="1" w:styleId="CommentTextChar">
    <w:name w:val="Comment Text Char"/>
    <w:link w:val="CommentText"/>
    <w:uiPriority w:val="99"/>
    <w:rsid w:val="0047280A"/>
    <w:rPr>
      <w:rFonts w:ascii="Calibri" w:eastAsia="Calibri" w:hAnsi="Calibri" w:cs="Arial Unicode MS"/>
      <w:lang w:val="x-none" w:eastAsia="x-none" w:bidi="lo-LA"/>
    </w:rPr>
  </w:style>
  <w:style w:type="paragraph" w:styleId="BalloonText">
    <w:name w:val="Balloon Text"/>
    <w:basedOn w:val="Normal"/>
    <w:link w:val="BalloonTextChar"/>
    <w:rsid w:val="0047280A"/>
    <w:rPr>
      <w:rFonts w:ascii="Tahoma" w:hAnsi="Tahoma" w:cs="Arial Unicode MS"/>
      <w:sz w:val="16"/>
      <w:szCs w:val="16"/>
      <w:lang w:val="x-none" w:eastAsia="x-none" w:bidi="lo-LA"/>
    </w:rPr>
  </w:style>
  <w:style w:type="character" w:customStyle="1" w:styleId="BalloonTextChar">
    <w:name w:val="Balloon Text Char"/>
    <w:link w:val="BalloonText"/>
    <w:rsid w:val="0047280A"/>
    <w:rPr>
      <w:rFonts w:ascii="Tahoma" w:hAnsi="Tahoma" w:cs="Arial Unicode MS"/>
      <w:sz w:val="16"/>
      <w:szCs w:val="16"/>
      <w:lang w:val="x-none" w:eastAsia="x-none" w:bidi="lo-LA"/>
    </w:rPr>
  </w:style>
  <w:style w:type="paragraph" w:styleId="CommentSubject">
    <w:name w:val="annotation subject"/>
    <w:basedOn w:val="CommentText"/>
    <w:next w:val="CommentText"/>
    <w:link w:val="CommentSubjectChar"/>
    <w:rsid w:val="0047280A"/>
    <w:pPr>
      <w:spacing w:after="0" w:line="240" w:lineRule="auto"/>
    </w:pPr>
    <w:rPr>
      <w:rFonts w:ascii="Palatino" w:hAnsi="Palatino"/>
      <w:b/>
      <w:bCs/>
    </w:rPr>
  </w:style>
  <w:style w:type="character" w:customStyle="1" w:styleId="CommentSubjectChar">
    <w:name w:val="Comment Subject Char"/>
    <w:link w:val="CommentSubject"/>
    <w:rsid w:val="0047280A"/>
    <w:rPr>
      <w:rFonts w:ascii="Palatino" w:eastAsia="Calibri" w:hAnsi="Palatino" w:cs="Arial Unicode MS"/>
      <w:b/>
      <w:bCs/>
      <w:lang w:val="x-none" w:eastAsia="x-none" w:bidi="lo-LA"/>
    </w:rPr>
  </w:style>
  <w:style w:type="paragraph" w:styleId="Quote">
    <w:name w:val="Quote"/>
    <w:basedOn w:val="Normal"/>
    <w:next w:val="Normal"/>
    <w:link w:val="QuoteChar"/>
    <w:uiPriority w:val="29"/>
    <w:qFormat/>
    <w:rsid w:val="0047280A"/>
    <w:rPr>
      <w:rFonts w:cs="Arial Unicode MS"/>
      <w:i/>
      <w:iCs/>
      <w:color w:val="000000"/>
      <w:lang w:val="x-none" w:eastAsia="x-none" w:bidi="lo-LA"/>
    </w:rPr>
  </w:style>
  <w:style w:type="character" w:customStyle="1" w:styleId="QuoteChar">
    <w:name w:val="Quote Char"/>
    <w:link w:val="Quote"/>
    <w:uiPriority w:val="29"/>
    <w:rsid w:val="0047280A"/>
    <w:rPr>
      <w:rFonts w:ascii="Palatino" w:hAnsi="Palatino" w:cs="Arial Unicode MS"/>
      <w:i/>
      <w:iCs/>
      <w:color w:val="000000"/>
      <w:sz w:val="26"/>
      <w:lang w:val="x-none" w:eastAsia="x-none" w:bidi="lo-LA"/>
    </w:rPr>
  </w:style>
  <w:style w:type="paragraph" w:styleId="IntenseQuote">
    <w:name w:val="Intense Quote"/>
    <w:basedOn w:val="Normal"/>
    <w:next w:val="Normal"/>
    <w:link w:val="IntenseQuoteChar"/>
    <w:uiPriority w:val="30"/>
    <w:qFormat/>
    <w:rsid w:val="0047280A"/>
    <w:pPr>
      <w:pBdr>
        <w:bottom w:val="single" w:sz="4" w:space="4" w:color="4F81BD"/>
      </w:pBdr>
      <w:spacing w:before="200" w:after="280"/>
      <w:ind w:left="936" w:right="936"/>
    </w:pPr>
    <w:rPr>
      <w:rFonts w:cs="Arial Unicode MS"/>
      <w:b/>
      <w:bCs/>
      <w:i/>
      <w:iCs/>
      <w:color w:val="4F81BD"/>
      <w:lang w:val="x-none" w:eastAsia="x-none" w:bidi="lo-LA"/>
    </w:rPr>
  </w:style>
  <w:style w:type="character" w:customStyle="1" w:styleId="IntenseQuoteChar">
    <w:name w:val="Intense Quote Char"/>
    <w:link w:val="IntenseQuote"/>
    <w:uiPriority w:val="30"/>
    <w:rsid w:val="0047280A"/>
    <w:rPr>
      <w:rFonts w:ascii="Palatino" w:hAnsi="Palatino" w:cs="Arial Unicode MS"/>
      <w:b/>
      <w:bCs/>
      <w:i/>
      <w:iCs/>
      <w:color w:val="4F81BD"/>
      <w:sz w:val="26"/>
      <w:lang w:val="x-none" w:eastAsia="x-none" w:bidi="lo-LA"/>
    </w:rPr>
  </w:style>
  <w:style w:type="paragraph" w:styleId="ListParagraph">
    <w:name w:val="List Paragraph"/>
    <w:basedOn w:val="Normal"/>
    <w:uiPriority w:val="34"/>
    <w:qFormat/>
    <w:rsid w:val="00C75F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097E"/>
    <w:rPr>
      <w:rFonts w:ascii="Palatino" w:hAnsi="Palatino"/>
      <w:sz w:val="26"/>
    </w:rPr>
  </w:style>
  <w:style w:type="paragraph" w:styleId="Heading1">
    <w:name w:val="heading 1"/>
    <w:basedOn w:val="Normal"/>
    <w:next w:val="standard"/>
    <w:link w:val="Heading1Char"/>
    <w:qFormat/>
    <w:pPr>
      <w:keepNext/>
      <w:numPr>
        <w:numId w:val="9"/>
      </w:numPr>
      <w:spacing w:before="120" w:after="120"/>
      <w:outlineLvl w:val="0"/>
    </w:pPr>
    <w:rPr>
      <w:rFonts w:ascii="Helvetica" w:hAnsi="Helvetica"/>
      <w:b/>
      <w:kern w:val="28"/>
      <w:szCs w:val="26"/>
    </w:rPr>
  </w:style>
  <w:style w:type="paragraph" w:styleId="Heading2">
    <w:name w:val="heading 2"/>
    <w:basedOn w:val="Normal"/>
    <w:next w:val="standard"/>
    <w:link w:val="Heading2Char"/>
    <w:qFormat/>
    <w:pPr>
      <w:keepNext/>
      <w:numPr>
        <w:ilvl w:val="1"/>
        <w:numId w:val="9"/>
      </w:numPr>
      <w:spacing w:before="120" w:after="120"/>
      <w:outlineLvl w:val="1"/>
    </w:pPr>
    <w:rPr>
      <w:rFonts w:ascii="Helvetica" w:hAnsi="Helvetica"/>
      <w:b/>
      <w:szCs w:val="26"/>
    </w:rPr>
  </w:style>
  <w:style w:type="paragraph" w:styleId="Heading3">
    <w:name w:val="heading 3"/>
    <w:basedOn w:val="Normal"/>
    <w:next w:val="standard"/>
    <w:link w:val="Heading3Char"/>
    <w:qFormat/>
    <w:pPr>
      <w:keepNext/>
      <w:numPr>
        <w:ilvl w:val="2"/>
        <w:numId w:val="9"/>
      </w:numPr>
      <w:tabs>
        <w:tab w:val="left" w:pos="1620"/>
      </w:tabs>
      <w:spacing w:before="120" w:after="120"/>
      <w:ind w:left="1620" w:hanging="900"/>
      <w:outlineLvl w:val="2"/>
    </w:pPr>
    <w:rPr>
      <w:rFonts w:ascii="Helvetica" w:hAnsi="Helvetica"/>
      <w:b/>
      <w:szCs w:val="26"/>
    </w:rPr>
  </w:style>
  <w:style w:type="paragraph" w:styleId="Heading4">
    <w:name w:val="heading 4"/>
    <w:basedOn w:val="Normal"/>
    <w:next w:val="standard"/>
    <w:link w:val="Heading4Char"/>
    <w:qFormat/>
    <w:pPr>
      <w:keepNext/>
      <w:numPr>
        <w:ilvl w:val="3"/>
        <w:numId w:val="9"/>
      </w:numPr>
      <w:tabs>
        <w:tab w:val="left" w:pos="1800"/>
      </w:tabs>
      <w:spacing w:before="120" w:after="120"/>
      <w:ind w:left="1800" w:hanging="1080"/>
      <w:outlineLvl w:val="3"/>
    </w:pPr>
    <w:rPr>
      <w:rFonts w:ascii="Helvetica" w:hAnsi="Helvetica"/>
      <w:b/>
      <w:szCs w:val="26"/>
    </w:rPr>
  </w:style>
  <w:style w:type="paragraph" w:styleId="Heading5">
    <w:name w:val="heading 5"/>
    <w:basedOn w:val="Normal"/>
    <w:next w:val="standard"/>
    <w:link w:val="Heading5Char"/>
    <w:qFormat/>
    <w:pPr>
      <w:numPr>
        <w:ilvl w:val="4"/>
        <w:numId w:val="9"/>
      </w:numPr>
      <w:tabs>
        <w:tab w:val="left" w:pos="1980"/>
      </w:tabs>
      <w:spacing w:before="120" w:after="120"/>
      <w:ind w:left="1980" w:hanging="1260"/>
      <w:outlineLvl w:val="4"/>
    </w:pPr>
    <w:rPr>
      <w:rFonts w:ascii="Helvetica" w:hAnsi="Helvetica"/>
      <w:b/>
      <w:szCs w:val="26"/>
    </w:rPr>
  </w:style>
  <w:style w:type="paragraph" w:styleId="Heading6">
    <w:name w:val="heading 6"/>
    <w:basedOn w:val="Normal"/>
    <w:next w:val="standard"/>
    <w:link w:val="Heading6Char"/>
    <w:qFormat/>
    <w:pPr>
      <w:numPr>
        <w:ilvl w:val="5"/>
        <w:numId w:val="9"/>
      </w:numPr>
      <w:tabs>
        <w:tab w:val="left" w:pos="2250"/>
      </w:tabs>
      <w:spacing w:before="120" w:after="120"/>
      <w:ind w:left="2250" w:hanging="1530"/>
      <w:outlineLvl w:val="5"/>
    </w:pPr>
    <w:rPr>
      <w:rFonts w:ascii="Helvetica" w:hAnsi="Helvetica" w:cs="Arial"/>
      <w:b/>
      <w:bCs/>
      <w:szCs w:val="26"/>
    </w:rPr>
  </w:style>
  <w:style w:type="paragraph" w:styleId="Heading7">
    <w:name w:val="heading 7"/>
    <w:basedOn w:val="Normal"/>
    <w:next w:val="standard"/>
    <w:link w:val="Heading7Char"/>
    <w:qFormat/>
    <w:pPr>
      <w:numPr>
        <w:ilvl w:val="6"/>
        <w:numId w:val="9"/>
      </w:numPr>
      <w:tabs>
        <w:tab w:val="left" w:pos="2520"/>
      </w:tabs>
      <w:spacing w:before="120" w:after="120"/>
      <w:ind w:left="2520" w:hanging="1800"/>
      <w:outlineLvl w:val="6"/>
    </w:pPr>
    <w:rPr>
      <w:rFonts w:ascii="Helvetica" w:hAnsi="Helvetica"/>
      <w:b/>
    </w:rPr>
  </w:style>
  <w:style w:type="paragraph" w:styleId="Heading8">
    <w:name w:val="heading 8"/>
    <w:basedOn w:val="Heading9"/>
    <w:next w:val="standard"/>
    <w:link w:val="Heading8Char"/>
    <w:qFormat/>
    <w:pPr>
      <w:outlineLvl w:val="7"/>
    </w:pPr>
  </w:style>
  <w:style w:type="paragraph" w:styleId="Heading9">
    <w:name w:val="heading 9"/>
    <w:basedOn w:val="Normal"/>
    <w:next w:val="standard"/>
    <w:link w:val="Heading9Char"/>
    <w:autoRedefine/>
    <w:qFormat/>
    <w:pPr>
      <w:numPr>
        <w:ilvl w:val="8"/>
        <w:numId w:val="9"/>
      </w:numPr>
      <w:tabs>
        <w:tab w:val="left" w:pos="2880"/>
      </w:tabs>
      <w:spacing w:before="120" w:after="120"/>
      <w:ind w:left="2880" w:hanging="2160"/>
      <w:outlineLvl w:val="8"/>
    </w:pPr>
    <w:rPr>
      <w:rFonts w:ascii="Helvetica" w:hAnsi="Helvetica"/>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basedOn w:val="Normal"/>
    <w:link w:val="standardChar"/>
    <w:pPr>
      <w:spacing w:line="360" w:lineRule="auto"/>
      <w:ind w:firstLine="720"/>
    </w:pPr>
  </w:style>
  <w:style w:type="paragraph" w:customStyle="1" w:styleId="sub1">
    <w:name w:val="sub1"/>
    <w:basedOn w:val="Normal"/>
    <w:pPr>
      <w:spacing w:line="360" w:lineRule="auto"/>
      <w:ind w:firstLine="720"/>
    </w:pPr>
  </w:style>
  <w:style w:type="paragraph" w:customStyle="1" w:styleId="sub2">
    <w:name w:val="sub2"/>
    <w:basedOn w:val="Normal"/>
    <w:pPr>
      <w:spacing w:line="360" w:lineRule="auto"/>
      <w:ind w:firstLine="720"/>
    </w:pPr>
  </w:style>
  <w:style w:type="paragraph" w:customStyle="1" w:styleId="sub3">
    <w:name w:val="sub3"/>
    <w:basedOn w:val="Normal"/>
    <w:pPr>
      <w:spacing w:line="360" w:lineRule="auto"/>
      <w:ind w:firstLine="720"/>
    </w:pPr>
  </w:style>
  <w:style w:type="paragraph" w:customStyle="1" w:styleId="sub4">
    <w:name w:val="sub4"/>
    <w:basedOn w:val="Normal"/>
    <w:pPr>
      <w:spacing w:line="360" w:lineRule="auto"/>
      <w:ind w:firstLine="720"/>
    </w:pPr>
  </w:style>
  <w:style w:type="paragraph" w:styleId="FootnoteText">
    <w:name w:val="footnote text"/>
    <w:basedOn w:val="Normal"/>
    <w:link w:val="FootnoteTextChar"/>
    <w:pPr>
      <w:spacing w:after="120"/>
    </w:pPr>
    <w:rPr>
      <w:sz w:val="24"/>
    </w:rPr>
  </w:style>
  <w:style w:type="character" w:styleId="FootnoteReference">
    <w:name w:val="footnote reference"/>
    <w:semiHidden/>
    <w:rPr>
      <w:sz w:val="24"/>
      <w:vertAlign w:val="superscript"/>
    </w:rPr>
  </w:style>
  <w:style w:type="paragraph" w:styleId="Subtitle">
    <w:name w:val="Subtitle"/>
    <w:basedOn w:val="Normal"/>
    <w:link w:val="SubtitleChar"/>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letter">
    <w:name w:val="letter"/>
    <w:basedOn w:val="num1"/>
    <w:pPr>
      <w:spacing w:after="120" w:line="240" w:lineRule="auto"/>
      <w:ind w:left="994" w:hanging="274"/>
    </w:pPr>
  </w:style>
  <w:style w:type="paragraph" w:customStyle="1" w:styleId="num1">
    <w:name w:val="num1"/>
    <w:basedOn w:val="Normal"/>
    <w:pPr>
      <w:tabs>
        <w:tab w:val="left" w:pos="-720"/>
      </w:tabs>
      <w:suppressAutoHyphens/>
      <w:spacing w:line="360" w:lineRule="auto"/>
      <w:ind w:firstLine="360"/>
    </w:pPr>
  </w:style>
  <w:style w:type="paragraph" w:styleId="TOC4">
    <w:name w:val="toc 4"/>
    <w:basedOn w:val="Normal"/>
    <w:next w:val="Normal"/>
    <w:uiPriority w:val="39"/>
    <w:pPr>
      <w:tabs>
        <w:tab w:val="left" w:pos="2430"/>
        <w:tab w:val="right" w:leader="dot" w:pos="9270"/>
      </w:tabs>
      <w:ind w:left="2430" w:hanging="810"/>
    </w:pPr>
    <w:rPr>
      <w:noProof/>
      <w:szCs w:val="26"/>
    </w:rPr>
  </w:style>
  <w:style w:type="paragraph" w:customStyle="1" w:styleId="main">
    <w:name w:val="main"/>
    <w:basedOn w:val="Normal"/>
    <w:link w:val="mainChar"/>
    <w:pPr>
      <w:jc w:val="center"/>
    </w:pPr>
    <w:rPr>
      <w:rFonts w:ascii="Helvetica" w:hAnsi="Helvetica"/>
      <w:b/>
    </w:rPr>
  </w:style>
  <w:style w:type="paragraph" w:customStyle="1" w:styleId="mainex">
    <w:name w:val="mainex"/>
    <w:basedOn w:val="main"/>
    <w:rPr>
      <w:spacing w:val="120"/>
    </w:rPr>
  </w:style>
  <w:style w:type="paragraph" w:styleId="Header">
    <w:name w:val="header"/>
    <w:basedOn w:val="Normal"/>
    <w:link w:val="HeaderChar"/>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link w:val="FooterChar"/>
    <w:uiPriority w:val="99"/>
    <w:pPr>
      <w:tabs>
        <w:tab w:val="center" w:pos="4320"/>
        <w:tab w:val="right" w:pos="8640"/>
      </w:tabs>
      <w:jc w:val="center"/>
    </w:pPr>
  </w:style>
  <w:style w:type="character" w:styleId="PageNumber">
    <w:name w:val="page number"/>
    <w:basedOn w:val="DefaultParagraphFont"/>
  </w:style>
  <w:style w:type="character" w:styleId="Hyperlink">
    <w:name w:val="Hyperlink"/>
    <w:uiPriority w:val="99"/>
    <w:rPr>
      <w:color w:val="0000FF"/>
      <w:u w:val="single"/>
    </w:rPr>
  </w:style>
  <w:style w:type="paragraph" w:styleId="BodyText">
    <w:name w:val="Body Text"/>
    <w:basedOn w:val="Normal"/>
    <w:link w:val="BodyTextChar"/>
    <w:pPr>
      <w:tabs>
        <w:tab w:val="left" w:pos="2160"/>
        <w:tab w:val="left" w:pos="3600"/>
      </w:tabs>
    </w:pPr>
    <w:rPr>
      <w:rFonts w:ascii="Times New Roman" w:hAnsi="Times New Roman"/>
      <w:sz w:val="24"/>
    </w:rPr>
  </w:style>
  <w:style w:type="character" w:styleId="FollowedHyperlink">
    <w:name w:val="FollowedHyperlink"/>
    <w:rPr>
      <w:color w:val="800080"/>
      <w:u w:val="single"/>
    </w:rPr>
  </w:style>
  <w:style w:type="paragraph" w:customStyle="1" w:styleId="dummy">
    <w:name w:val="dummy"/>
    <w:basedOn w:val="Heading1"/>
    <w:pPr>
      <w:numPr>
        <w:numId w:val="0"/>
      </w:numPr>
      <w:ind w:left="72"/>
      <w:outlineLvl w:val="9"/>
    </w:pPr>
  </w:style>
  <w:style w:type="paragraph" w:styleId="BlockText">
    <w:name w:val="Block Text"/>
    <w:basedOn w:val="Normal"/>
    <w:pPr>
      <w:ind w:left="720" w:right="720"/>
    </w:pPr>
    <w:rPr>
      <w:rFonts w:ascii="Times" w:hAnsi="Times"/>
      <w:sz w:val="24"/>
    </w:rPr>
  </w:style>
  <w:style w:type="paragraph" w:styleId="NormalIndent">
    <w:name w:val="Normal Indent"/>
    <w:basedOn w:val="Normal"/>
    <w:pPr>
      <w:spacing w:line="480" w:lineRule="auto"/>
      <w:ind w:firstLine="720"/>
    </w:pPr>
    <w:rPr>
      <w:rFonts w:ascii="Times" w:hAnsi="Times"/>
      <w:sz w:val="24"/>
    </w:rPr>
  </w:style>
  <w:style w:type="paragraph" w:styleId="BodyText3">
    <w:name w:val="Body Text 3"/>
    <w:basedOn w:val="Normal"/>
    <w:link w:val="BodyText3Char"/>
    <w:pPr>
      <w:overflowPunct w:val="0"/>
      <w:autoSpaceDE w:val="0"/>
      <w:autoSpaceDN w:val="0"/>
      <w:adjustRightInd w:val="0"/>
      <w:textAlignment w:val="baseline"/>
    </w:pPr>
    <w:rPr>
      <w:rFonts w:ascii="Times New Roman" w:hAnsi="Times New Roman"/>
      <w:sz w:val="24"/>
      <w:u w:val="single"/>
    </w:rPr>
  </w:style>
  <w:style w:type="paragraph" w:styleId="BodyText2">
    <w:name w:val="Body Text 2"/>
    <w:basedOn w:val="Normal"/>
    <w:link w:val="BodyText2Char"/>
    <w:pPr>
      <w:overflowPunct w:val="0"/>
      <w:autoSpaceDE w:val="0"/>
      <w:autoSpaceDN w:val="0"/>
      <w:adjustRightInd w:val="0"/>
      <w:spacing w:line="480" w:lineRule="auto"/>
      <w:ind w:firstLine="720"/>
      <w:textAlignment w:val="baseline"/>
    </w:pPr>
    <w:rPr>
      <w:rFonts w:ascii="Times" w:hAnsi="Times"/>
      <w:sz w:val="24"/>
    </w:rPr>
  </w:style>
  <w:style w:type="paragraph" w:customStyle="1" w:styleId="Quotation">
    <w:name w:val="Quotation"/>
    <w:basedOn w:val="BodyText"/>
    <w:next w:val="BodyText"/>
    <w:pPr>
      <w:tabs>
        <w:tab w:val="clear" w:pos="2160"/>
        <w:tab w:val="clear" w:pos="3600"/>
      </w:tabs>
      <w:spacing w:after="120"/>
      <w:ind w:left="1440" w:right="1440"/>
    </w:pPr>
    <w:rPr>
      <w:sz w:val="26"/>
    </w:rPr>
  </w:style>
  <w:style w:type="paragraph" w:styleId="BodyTextIndent2">
    <w:name w:val="Body Text Indent 2"/>
    <w:basedOn w:val="Normal"/>
    <w:link w:val="BodyTextIndent2Char"/>
    <w:pPr>
      <w:spacing w:after="120" w:line="480" w:lineRule="auto"/>
      <w:ind w:left="360"/>
    </w:pPr>
    <w:rPr>
      <w:rFonts w:ascii="Times New Roman" w:hAnsi="Times New Roman"/>
      <w:sz w:val="24"/>
      <w:szCs w:val="24"/>
    </w:rPr>
  </w:style>
  <w:style w:type="paragraph" w:styleId="PlainText">
    <w:name w:val="Plain Text"/>
    <w:basedOn w:val="Normal"/>
    <w:link w:val="PlainTextChar"/>
    <w:pPr>
      <w:spacing w:line="250" w:lineRule="exact"/>
    </w:pPr>
    <w:rPr>
      <w:rFonts w:ascii="Courier New" w:hAnsi="Courier New" w:cs="Courier New"/>
      <w:spacing w:val="-4"/>
      <w:sz w:val="24"/>
    </w:rPr>
  </w:style>
  <w:style w:type="paragraph" w:styleId="BodyTextIndent3">
    <w:name w:val="Body Text Indent 3"/>
    <w:basedOn w:val="Normal"/>
    <w:link w:val="BodyTextIndent3Char"/>
    <w:pPr>
      <w:ind w:left="720"/>
    </w:pPr>
    <w:rPr>
      <w:rFonts w:ascii="Times New Roman" w:hAnsi="Times New Roman"/>
      <w:snapToGrid w:val="0"/>
      <w:sz w:val="24"/>
    </w:rPr>
  </w:style>
  <w:style w:type="paragraph" w:customStyle="1" w:styleId="xl24">
    <w:name w:val="xl24"/>
    <w:basedOn w:val="Normal"/>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5">
    <w:name w:val="xl25"/>
    <w:basedOn w:val="Normal"/>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pPr>
      <w:spacing w:before="100" w:beforeAutospacing="1" w:after="100" w:afterAutospacing="1"/>
      <w:jc w:val="right"/>
    </w:pPr>
    <w:rPr>
      <w:rFonts w:ascii="Arial" w:eastAsia="Arial Unicode MS" w:hAnsi="Arial" w:cs="Arial"/>
      <w:b/>
      <w:bCs/>
      <w:sz w:val="24"/>
      <w:szCs w:val="24"/>
    </w:rPr>
  </w:style>
  <w:style w:type="paragraph" w:customStyle="1" w:styleId="xl27">
    <w:name w:val="xl27"/>
    <w:basedOn w:val="Normal"/>
    <w:pPr>
      <w:spacing w:before="100" w:beforeAutospacing="1" w:after="100" w:afterAutospacing="1"/>
      <w:jc w:val="center"/>
    </w:pPr>
    <w:rPr>
      <w:rFonts w:ascii="Arial" w:eastAsia="Arial Unicode MS" w:hAnsi="Arial" w:cs="Arial"/>
      <w:b/>
      <w:bCs/>
      <w:sz w:val="24"/>
      <w:szCs w:val="24"/>
    </w:rPr>
  </w:style>
  <w:style w:type="paragraph" w:customStyle="1" w:styleId="xl28">
    <w:name w:val="xl28"/>
    <w:basedOn w:val="Normal"/>
    <w:pPr>
      <w:pBdr>
        <w:top w:val="single" w:sz="8" w:space="0" w:color="auto"/>
        <w:left w:val="single" w:sz="8"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29">
    <w:name w:val="xl29"/>
    <w:basedOn w:val="Normal"/>
    <w:pPr>
      <w:pBdr>
        <w:top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0">
    <w:name w:val="xl30"/>
    <w:basedOn w:val="Normal"/>
    <w:pPr>
      <w:pBdr>
        <w:top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1">
    <w:name w:val="xl31"/>
    <w:basedOn w:val="Normal"/>
    <w:pPr>
      <w:pBdr>
        <w:left w:val="single" w:sz="8"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32">
    <w:name w:val="xl32"/>
    <w:basedOn w:val="Normal"/>
    <w:pPr>
      <w:pBdr>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7">
    <w:name w:val="xl37"/>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8">
    <w:name w:val="xl38"/>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9">
    <w:name w:val="xl39"/>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0">
    <w:name w:val="xl40"/>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1">
    <w:name w:val="xl41"/>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2">
    <w:name w:val="xl42"/>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3">
    <w:name w:val="xl43"/>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4">
    <w:name w:val="xl44"/>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5">
    <w:name w:val="xl45"/>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6">
    <w:name w:val="xl46"/>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7">
    <w:name w:val="xl47"/>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8">
    <w:name w:val="xl48"/>
    <w:basedOn w:val="Normal"/>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cs="Arial Unicode MS"/>
      <w:sz w:val="24"/>
      <w:szCs w:val="24"/>
    </w:rPr>
  </w:style>
  <w:style w:type="paragraph" w:customStyle="1" w:styleId="xl50">
    <w:name w:val="xl50"/>
    <w:basedOn w:val="Normal"/>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Arial Unicode MS" w:eastAsia="Arial Unicode MS" w:hAnsi="Arial Unicode MS" w:cs="Arial Unicode MS"/>
      <w:sz w:val="24"/>
      <w:szCs w:val="24"/>
    </w:rPr>
  </w:style>
  <w:style w:type="paragraph" w:customStyle="1" w:styleId="xl51">
    <w:name w:val="xl51"/>
    <w:basedOn w:val="Normal"/>
    <w:pPr>
      <w:spacing w:before="100" w:beforeAutospacing="1" w:after="100" w:afterAutospacing="1"/>
      <w:jc w:val="right"/>
    </w:pPr>
    <w:rPr>
      <w:rFonts w:ascii="Arial Unicode MS" w:eastAsia="Arial Unicode MS" w:hAnsi="Arial Unicode MS" w:cs="Arial Unicode MS"/>
      <w:sz w:val="24"/>
      <w:szCs w:val="24"/>
    </w:rPr>
  </w:style>
  <w:style w:type="paragraph" w:styleId="TOC1">
    <w:name w:val="toc 1"/>
    <w:basedOn w:val="Normal"/>
    <w:next w:val="Normal"/>
    <w:autoRedefine/>
    <w:uiPriority w:val="39"/>
    <w:rsid w:val="00BD5124"/>
    <w:pPr>
      <w:keepNext/>
      <w:keepLines/>
      <w:tabs>
        <w:tab w:val="left" w:pos="520"/>
        <w:tab w:val="left" w:pos="1080"/>
        <w:tab w:val="right" w:leader="dot" w:pos="9350"/>
      </w:tabs>
      <w:ind w:left="86"/>
    </w:pPr>
    <w:rPr>
      <w:noProof/>
      <w:szCs w:val="26"/>
    </w:rPr>
  </w:style>
  <w:style w:type="paragraph" w:styleId="TOC2">
    <w:name w:val="toc 2"/>
    <w:basedOn w:val="Normal"/>
    <w:next w:val="Normal"/>
    <w:autoRedefine/>
    <w:uiPriority w:val="39"/>
    <w:pPr>
      <w:tabs>
        <w:tab w:val="left" w:pos="1080"/>
        <w:tab w:val="right" w:leader="dot" w:pos="9350"/>
      </w:tabs>
      <w:ind w:left="1080" w:hanging="450"/>
    </w:pPr>
    <w:rPr>
      <w:noProof/>
      <w:szCs w:val="26"/>
    </w:rPr>
  </w:style>
  <w:style w:type="paragraph" w:styleId="TOC3">
    <w:name w:val="toc 3"/>
    <w:basedOn w:val="Normal"/>
    <w:next w:val="Normal"/>
    <w:autoRedefine/>
    <w:uiPriority w:val="39"/>
    <w:rsid w:val="003536E3"/>
    <w:pPr>
      <w:tabs>
        <w:tab w:val="left" w:pos="1800"/>
        <w:tab w:val="right" w:leader="dot" w:pos="9350"/>
      </w:tabs>
      <w:ind w:left="1800" w:hanging="720"/>
    </w:pPr>
    <w:rPr>
      <w:noProof/>
      <w:szCs w:val="24"/>
    </w:rPr>
  </w:style>
  <w:style w:type="paragraph" w:styleId="TOC5">
    <w:name w:val="toc 5"/>
    <w:basedOn w:val="Normal"/>
    <w:next w:val="Normal"/>
    <w:autoRedefine/>
    <w:semiHidden/>
    <w:pPr>
      <w:tabs>
        <w:tab w:val="left" w:pos="3060"/>
        <w:tab w:val="right" w:leader="dot" w:pos="9270"/>
      </w:tabs>
      <w:ind w:left="3060" w:hanging="990"/>
    </w:pPr>
    <w:rPr>
      <w:noProof/>
      <w:szCs w:val="24"/>
    </w:rPr>
  </w:style>
  <w:style w:type="paragraph" w:styleId="TOC6">
    <w:name w:val="toc 6"/>
    <w:basedOn w:val="Normal"/>
    <w:next w:val="Normal"/>
    <w:autoRedefine/>
    <w:semiHidden/>
    <w:pPr>
      <w:tabs>
        <w:tab w:val="left" w:pos="3690"/>
        <w:tab w:val="right" w:leader="dot" w:pos="9350"/>
      </w:tabs>
      <w:ind w:left="3690" w:hanging="1170"/>
    </w:pPr>
    <w:rPr>
      <w:noProof/>
      <w:szCs w:val="26"/>
    </w:rPr>
  </w:style>
  <w:style w:type="paragraph" w:styleId="TOC7">
    <w:name w:val="toc 7"/>
    <w:basedOn w:val="Normal"/>
    <w:next w:val="Normal"/>
    <w:autoRedefine/>
    <w:semiHidden/>
    <w:pPr>
      <w:ind w:left="1560"/>
    </w:pPr>
  </w:style>
  <w:style w:type="paragraph" w:styleId="TOC8">
    <w:name w:val="toc 8"/>
    <w:basedOn w:val="Normal"/>
    <w:next w:val="Normal"/>
    <w:autoRedefine/>
    <w:semiHidden/>
    <w:pPr>
      <w:ind w:left="1820"/>
    </w:pPr>
  </w:style>
  <w:style w:type="paragraph" w:styleId="TOC9">
    <w:name w:val="toc 9"/>
    <w:basedOn w:val="Normal"/>
    <w:next w:val="Normal"/>
    <w:autoRedefine/>
    <w:semiHidden/>
    <w:pPr>
      <w:ind w:left="2080"/>
    </w:pPr>
  </w:style>
  <w:style w:type="paragraph" w:customStyle="1" w:styleId="sub5">
    <w:name w:val="sub5"/>
    <w:basedOn w:val="sub4"/>
  </w:style>
  <w:style w:type="paragraph" w:customStyle="1" w:styleId="quote10">
    <w:name w:val="quote1"/>
    <w:basedOn w:val="Quote1"/>
    <w:pPr>
      <w:ind w:right="1080"/>
    </w:pPr>
  </w:style>
  <w:style w:type="paragraph" w:customStyle="1" w:styleId="quote3">
    <w:name w:val="quote3"/>
    <w:basedOn w:val="Quote1"/>
    <w:pPr>
      <w:ind w:right="1080"/>
    </w:pPr>
  </w:style>
  <w:style w:type="paragraph" w:customStyle="1" w:styleId="quote2">
    <w:name w:val="quote2"/>
    <w:basedOn w:val="quote3"/>
  </w:style>
  <w:style w:type="paragraph" w:customStyle="1" w:styleId="bullets">
    <w:name w:val="bullets"/>
    <w:basedOn w:val="sub1"/>
    <w:pPr>
      <w:numPr>
        <w:numId w:val="4"/>
      </w:numPr>
      <w:spacing w:after="120" w:line="240" w:lineRule="auto"/>
      <w:ind w:right="720"/>
    </w:pPr>
  </w:style>
  <w:style w:type="paragraph" w:customStyle="1" w:styleId="sub6">
    <w:name w:val="sub6"/>
    <w:basedOn w:val="sub4"/>
  </w:style>
  <w:style w:type="paragraph" w:customStyle="1" w:styleId="sub7">
    <w:name w:val="sub7"/>
    <w:basedOn w:val="sub4"/>
  </w:style>
  <w:style w:type="paragraph" w:customStyle="1" w:styleId="sub8">
    <w:name w:val="sub8"/>
    <w:basedOn w:val="sub7"/>
    <w:pPr>
      <w:ind w:firstLine="3787"/>
    </w:pPr>
  </w:style>
  <w:style w:type="character" w:customStyle="1" w:styleId="standardChar">
    <w:name w:val="standard Char"/>
    <w:link w:val="standard"/>
    <w:rPr>
      <w:rFonts w:ascii="Palatino" w:hAnsi="Palatino"/>
      <w:sz w:val="26"/>
      <w:lang w:val="en-US" w:eastAsia="en-US" w:bidi="ar-SA"/>
    </w:rPr>
  </w:style>
  <w:style w:type="paragraph" w:customStyle="1" w:styleId="Style1">
    <w:name w:val="Style1"/>
    <w:basedOn w:val="Heading7"/>
    <w:next w:val="sub6"/>
  </w:style>
  <w:style w:type="paragraph" w:customStyle="1" w:styleId="StyleHeading1Before0ptAfter0ptLinespacing15l">
    <w:name w:val="Style Heading 1 + Before:  0 pt After:  0 pt Line spacing:  1.5 l..."/>
    <w:basedOn w:val="Heading1"/>
    <w:autoRedefine/>
    <w:pPr>
      <w:spacing w:before="0" w:after="0" w:line="360" w:lineRule="auto"/>
    </w:pPr>
    <w:rPr>
      <w:bCs/>
    </w:rPr>
  </w:style>
  <w:style w:type="paragraph" w:styleId="BodyTextIndent">
    <w:name w:val="Body Text Indent"/>
    <w:basedOn w:val="Normal"/>
    <w:link w:val="BodyTextIndentChar"/>
    <w:pPr>
      <w:spacing w:after="120"/>
      <w:ind w:left="360"/>
    </w:pPr>
  </w:style>
  <w:style w:type="paragraph" w:customStyle="1" w:styleId="a1">
    <w:name w:val="a.1"/>
    <w:basedOn w:val="BodyTextIndent"/>
    <w:pPr>
      <w:numPr>
        <w:ilvl w:val="1"/>
        <w:numId w:val="5"/>
      </w:numPr>
      <w:ind w:right="1080"/>
    </w:pPr>
  </w:style>
  <w:style w:type="paragraph" w:customStyle="1" w:styleId="a2">
    <w:name w:val="a2"/>
    <w:basedOn w:val="BodyTextIndent"/>
    <w:pPr>
      <w:ind w:left="1166" w:right="1080" w:hanging="446"/>
    </w:pPr>
  </w:style>
  <w:style w:type="character" w:customStyle="1" w:styleId="mainChar">
    <w:name w:val="main Char"/>
    <w:link w:val="main"/>
    <w:rPr>
      <w:rFonts w:ascii="Helvetica" w:hAnsi="Helvetica"/>
      <w:b/>
      <w:sz w:val="26"/>
      <w:lang w:val="en-US" w:eastAsia="en-US" w:bidi="ar-SA"/>
    </w:rPr>
  </w:style>
  <w:style w:type="paragraph" w:customStyle="1" w:styleId="StyleHeading6Left05Hanging106">
    <w:name w:val="Style Heading 6 + Left:  0.5&quot; Hanging:  1.06&quot;"/>
    <w:basedOn w:val="Heading6"/>
    <w:pPr>
      <w:numPr>
        <w:numId w:val="7"/>
      </w:numPr>
    </w:pPr>
    <w:rPr>
      <w:rFonts w:cs="Times New Roman"/>
      <w:bCs w:val="0"/>
      <w:szCs w:val="20"/>
    </w:rPr>
  </w:style>
  <w:style w:type="character" w:customStyle="1" w:styleId="Heading1Char">
    <w:name w:val="Heading 1 Char"/>
    <w:link w:val="Heading1"/>
    <w:rsid w:val="0047280A"/>
    <w:rPr>
      <w:rFonts w:ascii="Helvetica" w:hAnsi="Helvetica"/>
      <w:b/>
      <w:kern w:val="28"/>
      <w:sz w:val="26"/>
      <w:szCs w:val="26"/>
    </w:rPr>
  </w:style>
  <w:style w:type="character" w:customStyle="1" w:styleId="Heading2Char">
    <w:name w:val="Heading 2 Char"/>
    <w:link w:val="Heading2"/>
    <w:rsid w:val="0047280A"/>
    <w:rPr>
      <w:rFonts w:ascii="Helvetica" w:hAnsi="Helvetica"/>
      <w:b/>
      <w:sz w:val="26"/>
      <w:szCs w:val="26"/>
    </w:rPr>
  </w:style>
  <w:style w:type="character" w:customStyle="1" w:styleId="Heading3Char">
    <w:name w:val="Heading 3 Char"/>
    <w:link w:val="Heading3"/>
    <w:rsid w:val="0047280A"/>
    <w:rPr>
      <w:rFonts w:ascii="Helvetica" w:hAnsi="Helvetica"/>
      <w:b/>
      <w:sz w:val="26"/>
      <w:szCs w:val="26"/>
    </w:rPr>
  </w:style>
  <w:style w:type="character" w:customStyle="1" w:styleId="Heading4Char">
    <w:name w:val="Heading 4 Char"/>
    <w:link w:val="Heading4"/>
    <w:rsid w:val="0047280A"/>
    <w:rPr>
      <w:rFonts w:ascii="Helvetica" w:hAnsi="Helvetica"/>
      <w:b/>
      <w:sz w:val="26"/>
      <w:szCs w:val="26"/>
    </w:rPr>
  </w:style>
  <w:style w:type="character" w:customStyle="1" w:styleId="Heading5Char">
    <w:name w:val="Heading 5 Char"/>
    <w:link w:val="Heading5"/>
    <w:rsid w:val="0047280A"/>
    <w:rPr>
      <w:rFonts w:ascii="Helvetica" w:hAnsi="Helvetica"/>
      <w:b/>
      <w:sz w:val="26"/>
      <w:szCs w:val="26"/>
    </w:rPr>
  </w:style>
  <w:style w:type="character" w:customStyle="1" w:styleId="Heading6Char">
    <w:name w:val="Heading 6 Char"/>
    <w:link w:val="Heading6"/>
    <w:rsid w:val="0047280A"/>
    <w:rPr>
      <w:rFonts w:ascii="Helvetica" w:hAnsi="Helvetica" w:cs="Arial"/>
      <w:b/>
      <w:bCs/>
      <w:sz w:val="26"/>
      <w:szCs w:val="26"/>
    </w:rPr>
  </w:style>
  <w:style w:type="character" w:customStyle="1" w:styleId="Heading7Char">
    <w:name w:val="Heading 7 Char"/>
    <w:link w:val="Heading7"/>
    <w:rsid w:val="0047280A"/>
    <w:rPr>
      <w:rFonts w:ascii="Helvetica" w:hAnsi="Helvetica"/>
      <w:b/>
      <w:sz w:val="26"/>
    </w:rPr>
  </w:style>
  <w:style w:type="character" w:customStyle="1" w:styleId="Heading8Char">
    <w:name w:val="Heading 8 Char"/>
    <w:link w:val="Heading8"/>
    <w:rsid w:val="0047280A"/>
    <w:rPr>
      <w:rFonts w:ascii="Helvetica" w:hAnsi="Helvetica"/>
      <w:b/>
      <w:sz w:val="26"/>
      <w:szCs w:val="24"/>
    </w:rPr>
  </w:style>
  <w:style w:type="character" w:customStyle="1" w:styleId="Heading9Char">
    <w:name w:val="Heading 9 Char"/>
    <w:link w:val="Heading9"/>
    <w:rsid w:val="0047280A"/>
    <w:rPr>
      <w:rFonts w:ascii="Helvetica" w:hAnsi="Helvetica"/>
      <w:b/>
      <w:sz w:val="26"/>
      <w:szCs w:val="24"/>
    </w:rPr>
  </w:style>
  <w:style w:type="character" w:customStyle="1" w:styleId="FootnoteTextChar">
    <w:name w:val="Footnote Text Char"/>
    <w:link w:val="FootnoteText"/>
    <w:rsid w:val="0047280A"/>
    <w:rPr>
      <w:rFonts w:ascii="Palatino" w:hAnsi="Palatino"/>
      <w:sz w:val="24"/>
    </w:rPr>
  </w:style>
  <w:style w:type="character" w:customStyle="1" w:styleId="SubtitleChar">
    <w:name w:val="Subtitle Char"/>
    <w:link w:val="Subtitle"/>
    <w:rsid w:val="0047280A"/>
    <w:rPr>
      <w:rFonts w:ascii="Arial" w:hAnsi="Arial"/>
      <w:sz w:val="26"/>
    </w:rPr>
  </w:style>
  <w:style w:type="paragraph" w:customStyle="1" w:styleId="Quote20">
    <w:name w:val="Quote2"/>
    <w:basedOn w:val="standard"/>
    <w:next w:val="standard"/>
    <w:rsid w:val="0047280A"/>
    <w:pPr>
      <w:spacing w:before="120" w:after="240" w:line="240" w:lineRule="auto"/>
      <w:ind w:left="720" w:right="720" w:firstLine="0"/>
    </w:pPr>
  </w:style>
  <w:style w:type="character" w:customStyle="1" w:styleId="HeaderChar">
    <w:name w:val="Header Char"/>
    <w:link w:val="Header"/>
    <w:rsid w:val="0047280A"/>
    <w:rPr>
      <w:rFonts w:ascii="Palatino" w:hAnsi="Palatino"/>
      <w:sz w:val="26"/>
    </w:rPr>
  </w:style>
  <w:style w:type="character" w:customStyle="1" w:styleId="FooterChar">
    <w:name w:val="Footer Char"/>
    <w:link w:val="Footer"/>
    <w:uiPriority w:val="99"/>
    <w:rsid w:val="0047280A"/>
    <w:rPr>
      <w:rFonts w:ascii="Palatino" w:hAnsi="Palatino"/>
      <w:sz w:val="26"/>
    </w:rPr>
  </w:style>
  <w:style w:type="character" w:customStyle="1" w:styleId="BodyTextChar">
    <w:name w:val="Body Text Char"/>
    <w:link w:val="BodyText"/>
    <w:rsid w:val="0047280A"/>
    <w:rPr>
      <w:sz w:val="24"/>
    </w:rPr>
  </w:style>
  <w:style w:type="character" w:customStyle="1" w:styleId="BodyText3Char">
    <w:name w:val="Body Text 3 Char"/>
    <w:link w:val="BodyText3"/>
    <w:rsid w:val="0047280A"/>
    <w:rPr>
      <w:sz w:val="24"/>
      <w:u w:val="single"/>
    </w:rPr>
  </w:style>
  <w:style w:type="character" w:customStyle="1" w:styleId="BodyText2Char">
    <w:name w:val="Body Text 2 Char"/>
    <w:link w:val="BodyText2"/>
    <w:rsid w:val="0047280A"/>
    <w:rPr>
      <w:rFonts w:ascii="Times" w:hAnsi="Times"/>
      <w:sz w:val="24"/>
    </w:rPr>
  </w:style>
  <w:style w:type="character" w:customStyle="1" w:styleId="BodyTextIndent2Char">
    <w:name w:val="Body Text Indent 2 Char"/>
    <w:link w:val="BodyTextIndent2"/>
    <w:rsid w:val="0047280A"/>
    <w:rPr>
      <w:sz w:val="24"/>
      <w:szCs w:val="24"/>
    </w:rPr>
  </w:style>
  <w:style w:type="character" w:customStyle="1" w:styleId="PlainTextChar">
    <w:name w:val="Plain Text Char"/>
    <w:link w:val="PlainText"/>
    <w:rsid w:val="0047280A"/>
    <w:rPr>
      <w:rFonts w:ascii="Courier New" w:hAnsi="Courier New" w:cs="Courier New"/>
      <w:spacing w:val="-4"/>
      <w:sz w:val="24"/>
    </w:rPr>
  </w:style>
  <w:style w:type="character" w:customStyle="1" w:styleId="BodyTextIndent3Char">
    <w:name w:val="Body Text Indent 3 Char"/>
    <w:link w:val="BodyTextIndent3"/>
    <w:rsid w:val="0047280A"/>
    <w:rPr>
      <w:snapToGrid w:val="0"/>
      <w:sz w:val="24"/>
    </w:rPr>
  </w:style>
  <w:style w:type="character" w:customStyle="1" w:styleId="BodyTextIndentChar">
    <w:name w:val="Body Text Indent Char"/>
    <w:link w:val="BodyTextIndent"/>
    <w:rsid w:val="0047280A"/>
    <w:rPr>
      <w:rFonts w:ascii="Palatino" w:hAnsi="Palatino"/>
      <w:sz w:val="26"/>
    </w:rPr>
  </w:style>
  <w:style w:type="paragraph" w:styleId="NoSpacing">
    <w:name w:val="No Spacing"/>
    <w:uiPriority w:val="1"/>
    <w:qFormat/>
    <w:rsid w:val="0047280A"/>
    <w:rPr>
      <w:rFonts w:ascii="Calibri" w:eastAsia="Calibri" w:hAnsi="Calibri"/>
      <w:sz w:val="22"/>
      <w:szCs w:val="22"/>
    </w:rPr>
  </w:style>
  <w:style w:type="character" w:styleId="CommentReference">
    <w:name w:val="annotation reference"/>
    <w:uiPriority w:val="99"/>
    <w:unhideWhenUsed/>
    <w:rsid w:val="0047280A"/>
    <w:rPr>
      <w:sz w:val="16"/>
      <w:szCs w:val="16"/>
    </w:rPr>
  </w:style>
  <w:style w:type="paragraph" w:styleId="CommentText">
    <w:name w:val="annotation text"/>
    <w:basedOn w:val="Normal"/>
    <w:link w:val="CommentTextChar"/>
    <w:uiPriority w:val="99"/>
    <w:unhideWhenUsed/>
    <w:rsid w:val="0047280A"/>
    <w:pPr>
      <w:spacing w:after="200" w:line="276" w:lineRule="auto"/>
    </w:pPr>
    <w:rPr>
      <w:rFonts w:ascii="Calibri" w:eastAsia="Calibri" w:hAnsi="Calibri" w:cs="Arial Unicode MS"/>
      <w:sz w:val="20"/>
      <w:lang w:val="x-none" w:eastAsia="x-none" w:bidi="lo-LA"/>
    </w:rPr>
  </w:style>
  <w:style w:type="character" w:customStyle="1" w:styleId="CommentTextChar">
    <w:name w:val="Comment Text Char"/>
    <w:link w:val="CommentText"/>
    <w:uiPriority w:val="99"/>
    <w:rsid w:val="0047280A"/>
    <w:rPr>
      <w:rFonts w:ascii="Calibri" w:eastAsia="Calibri" w:hAnsi="Calibri" w:cs="Arial Unicode MS"/>
      <w:lang w:val="x-none" w:eastAsia="x-none" w:bidi="lo-LA"/>
    </w:rPr>
  </w:style>
  <w:style w:type="paragraph" w:styleId="BalloonText">
    <w:name w:val="Balloon Text"/>
    <w:basedOn w:val="Normal"/>
    <w:link w:val="BalloonTextChar"/>
    <w:rsid w:val="0047280A"/>
    <w:rPr>
      <w:rFonts w:ascii="Tahoma" w:hAnsi="Tahoma" w:cs="Arial Unicode MS"/>
      <w:sz w:val="16"/>
      <w:szCs w:val="16"/>
      <w:lang w:val="x-none" w:eastAsia="x-none" w:bidi="lo-LA"/>
    </w:rPr>
  </w:style>
  <w:style w:type="character" w:customStyle="1" w:styleId="BalloonTextChar">
    <w:name w:val="Balloon Text Char"/>
    <w:link w:val="BalloonText"/>
    <w:rsid w:val="0047280A"/>
    <w:rPr>
      <w:rFonts w:ascii="Tahoma" w:hAnsi="Tahoma" w:cs="Arial Unicode MS"/>
      <w:sz w:val="16"/>
      <w:szCs w:val="16"/>
      <w:lang w:val="x-none" w:eastAsia="x-none" w:bidi="lo-LA"/>
    </w:rPr>
  </w:style>
  <w:style w:type="paragraph" w:styleId="CommentSubject">
    <w:name w:val="annotation subject"/>
    <w:basedOn w:val="CommentText"/>
    <w:next w:val="CommentText"/>
    <w:link w:val="CommentSubjectChar"/>
    <w:rsid w:val="0047280A"/>
    <w:pPr>
      <w:spacing w:after="0" w:line="240" w:lineRule="auto"/>
    </w:pPr>
    <w:rPr>
      <w:rFonts w:ascii="Palatino" w:hAnsi="Palatino"/>
      <w:b/>
      <w:bCs/>
    </w:rPr>
  </w:style>
  <w:style w:type="character" w:customStyle="1" w:styleId="CommentSubjectChar">
    <w:name w:val="Comment Subject Char"/>
    <w:link w:val="CommentSubject"/>
    <w:rsid w:val="0047280A"/>
    <w:rPr>
      <w:rFonts w:ascii="Palatino" w:eastAsia="Calibri" w:hAnsi="Palatino" w:cs="Arial Unicode MS"/>
      <w:b/>
      <w:bCs/>
      <w:lang w:val="x-none" w:eastAsia="x-none" w:bidi="lo-LA"/>
    </w:rPr>
  </w:style>
  <w:style w:type="paragraph" w:styleId="Quote">
    <w:name w:val="Quote"/>
    <w:basedOn w:val="Normal"/>
    <w:next w:val="Normal"/>
    <w:link w:val="QuoteChar"/>
    <w:uiPriority w:val="29"/>
    <w:qFormat/>
    <w:rsid w:val="0047280A"/>
    <w:rPr>
      <w:rFonts w:cs="Arial Unicode MS"/>
      <w:i/>
      <w:iCs/>
      <w:color w:val="000000"/>
      <w:lang w:val="x-none" w:eastAsia="x-none" w:bidi="lo-LA"/>
    </w:rPr>
  </w:style>
  <w:style w:type="character" w:customStyle="1" w:styleId="QuoteChar">
    <w:name w:val="Quote Char"/>
    <w:link w:val="Quote"/>
    <w:uiPriority w:val="29"/>
    <w:rsid w:val="0047280A"/>
    <w:rPr>
      <w:rFonts w:ascii="Palatino" w:hAnsi="Palatino" w:cs="Arial Unicode MS"/>
      <w:i/>
      <w:iCs/>
      <w:color w:val="000000"/>
      <w:sz w:val="26"/>
      <w:lang w:val="x-none" w:eastAsia="x-none" w:bidi="lo-LA"/>
    </w:rPr>
  </w:style>
  <w:style w:type="paragraph" w:styleId="IntenseQuote">
    <w:name w:val="Intense Quote"/>
    <w:basedOn w:val="Normal"/>
    <w:next w:val="Normal"/>
    <w:link w:val="IntenseQuoteChar"/>
    <w:uiPriority w:val="30"/>
    <w:qFormat/>
    <w:rsid w:val="0047280A"/>
    <w:pPr>
      <w:pBdr>
        <w:bottom w:val="single" w:sz="4" w:space="4" w:color="4F81BD"/>
      </w:pBdr>
      <w:spacing w:before="200" w:after="280"/>
      <w:ind w:left="936" w:right="936"/>
    </w:pPr>
    <w:rPr>
      <w:rFonts w:cs="Arial Unicode MS"/>
      <w:b/>
      <w:bCs/>
      <w:i/>
      <w:iCs/>
      <w:color w:val="4F81BD"/>
      <w:lang w:val="x-none" w:eastAsia="x-none" w:bidi="lo-LA"/>
    </w:rPr>
  </w:style>
  <w:style w:type="character" w:customStyle="1" w:styleId="IntenseQuoteChar">
    <w:name w:val="Intense Quote Char"/>
    <w:link w:val="IntenseQuote"/>
    <w:uiPriority w:val="30"/>
    <w:rsid w:val="0047280A"/>
    <w:rPr>
      <w:rFonts w:ascii="Palatino" w:hAnsi="Palatino" w:cs="Arial Unicode MS"/>
      <w:b/>
      <w:bCs/>
      <w:i/>
      <w:iCs/>
      <w:color w:val="4F81BD"/>
      <w:sz w:val="26"/>
      <w:lang w:val="x-none" w:eastAsia="x-none" w:bidi="lo-LA"/>
    </w:rPr>
  </w:style>
  <w:style w:type="paragraph" w:styleId="ListParagraph">
    <w:name w:val="List Paragraph"/>
    <w:basedOn w:val="Normal"/>
    <w:uiPriority w:val="34"/>
    <w:qFormat/>
    <w:rsid w:val="00C75F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37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mail.google.com/mail/u/0/?tab=wm"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docs.cpuc.ca.gov/PublishedDocs/Published/G000/M089/K639/89639080.pdf"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yperlink" Target="http://docs.cpuc.ca.gov/PublishedDocs/Published/G000/M089/K639/89639415.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7.xml"/><Relationship Id="rId10" Type="http://schemas.openxmlformats.org/officeDocument/2006/relationships/footer" Target="footer1.xml"/><Relationship Id="rId19" Type="http://schemas.openxmlformats.org/officeDocument/2006/relationships/hyperlink" Target="http://docs.cpuc.ca.gov/PublishedDocs/Published/G000/M089/K639/89639230.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9908</Words>
  <Characters>56481</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ALJ/MLC/tcg</vt:lpstr>
    </vt:vector>
  </TitlesOfParts>
  <Manager/>
  <Company/>
  <LinksUpToDate>false</LinksUpToDate>
  <CharactersWithSpaces>66257</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2014-04-09T18:11:00Z</cp:lastPrinted>
  <dcterms:created xsi:type="dcterms:W3CDTF">2014-04-09T20:32:00Z</dcterms:created>
  <dcterms:modified xsi:type="dcterms:W3CDTF">2014-04-09T22:34:00Z</dcterms:modified>
  <cp:category> </cp:category>
  <cp:contentStatus> </cp:contentStatus>
</cp:coreProperties>
</file>