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A5" w:rsidRDefault="000B0AA5" w:rsidP="00076B4A">
      <w:pPr>
        <w:tabs>
          <w:tab w:val="right" w:pos="9360"/>
        </w:tabs>
        <w:rPr>
          <w:szCs w:val="26"/>
        </w:rPr>
      </w:pPr>
      <w:bookmarkStart w:id="0" w:name="_GoBack"/>
      <w:bookmarkEnd w:id="0"/>
      <w:r>
        <w:t>COM/M</w:t>
      </w:r>
      <w:r w:rsidR="007E1B36">
        <w:t>P</w:t>
      </w:r>
      <w:r w:rsidR="001A33B3">
        <w:t>1/jt2</w:t>
      </w:r>
      <w:r>
        <w:tab/>
      </w:r>
      <w:r w:rsidRPr="00076B4A">
        <w:rPr>
          <w:rFonts w:ascii="Helvetica" w:hAnsi="Helvetica"/>
          <w:b/>
          <w:sz w:val="24"/>
          <w:szCs w:val="32"/>
        </w:rPr>
        <w:t>D</w:t>
      </w:r>
      <w:r w:rsidR="00076B4A" w:rsidRPr="00076B4A">
        <w:rPr>
          <w:rFonts w:ascii="Helvetica" w:hAnsi="Helvetica"/>
          <w:b/>
          <w:sz w:val="24"/>
          <w:szCs w:val="32"/>
        </w:rPr>
        <w:t>ate of Issuance  5/</w:t>
      </w:r>
      <w:r w:rsidR="00DD5434">
        <w:rPr>
          <w:rFonts w:ascii="Helvetica" w:hAnsi="Helvetica"/>
          <w:b/>
          <w:sz w:val="24"/>
          <w:szCs w:val="32"/>
        </w:rPr>
        <w:t>8</w:t>
      </w:r>
      <w:r w:rsidR="00076B4A" w:rsidRPr="00076B4A">
        <w:rPr>
          <w:rFonts w:ascii="Helvetica" w:hAnsi="Helvetica"/>
          <w:b/>
          <w:sz w:val="24"/>
          <w:szCs w:val="32"/>
        </w:rPr>
        <w:t>/2014</w:t>
      </w:r>
    </w:p>
    <w:p w:rsidR="000B0AA5" w:rsidRDefault="000B0AA5" w:rsidP="00C64DDF">
      <w:pPr>
        <w:tabs>
          <w:tab w:val="left" w:pos="6300"/>
          <w:tab w:val="right" w:pos="9360"/>
        </w:tabs>
        <w:rPr>
          <w:szCs w:val="26"/>
        </w:rPr>
      </w:pPr>
      <w:r>
        <w:rPr>
          <w:szCs w:val="26"/>
        </w:rPr>
        <w:tab/>
      </w:r>
    </w:p>
    <w:p w:rsidR="000B0AA5" w:rsidRDefault="000B0AA5">
      <w:pPr>
        <w:ind w:right="-180"/>
      </w:pPr>
    </w:p>
    <w:p w:rsidR="001A33B3" w:rsidRDefault="001A33B3">
      <w:pPr>
        <w:pStyle w:val="standard"/>
        <w:spacing w:line="240" w:lineRule="auto"/>
        <w:ind w:firstLine="0"/>
      </w:pPr>
    </w:p>
    <w:p w:rsidR="000B0AA5" w:rsidRDefault="000B0AA5">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0B0AA5" w:rsidRDefault="000B0AA5">
      <w:pPr>
        <w:pStyle w:val="standard"/>
        <w:spacing w:line="240" w:lineRule="auto"/>
        <w:ind w:firstLine="0"/>
      </w:pPr>
    </w:p>
    <w:tbl>
      <w:tblPr>
        <w:tblW w:w="0" w:type="auto"/>
        <w:tblLayout w:type="fixed"/>
        <w:tblLook w:val="0000" w:firstRow="0" w:lastRow="0" w:firstColumn="0" w:lastColumn="0" w:noHBand="0" w:noVBand="0"/>
      </w:tblPr>
      <w:tblGrid>
        <w:gridCol w:w="4968"/>
        <w:gridCol w:w="4590"/>
      </w:tblGrid>
      <w:tr w:rsidR="000B0AA5" w:rsidTr="00076B4A">
        <w:tc>
          <w:tcPr>
            <w:tcW w:w="4968" w:type="dxa"/>
            <w:tcBorders>
              <w:bottom w:val="single" w:sz="6" w:space="0" w:color="auto"/>
              <w:right w:val="single" w:sz="6" w:space="0" w:color="auto"/>
            </w:tcBorders>
            <w:vAlign w:val="center"/>
          </w:tcPr>
          <w:p w:rsidR="000B0AA5" w:rsidRDefault="00E5538A">
            <w:r>
              <w:t xml:space="preserve">Petition to Adopt, Amend, or Repeal a Regulation Pursuant to Pub. Util. Code </w:t>
            </w:r>
            <w:r>
              <w:rPr>
                <w:rFonts w:ascii="Book Antiqua" w:hAnsi="Book Antiqua"/>
              </w:rPr>
              <w:t>§</w:t>
            </w:r>
            <w:r>
              <w:t xml:space="preserve"> 1708.5. </w:t>
            </w:r>
          </w:p>
          <w:p w:rsidR="000B0AA5" w:rsidRDefault="000B0AA5">
            <w:pPr>
              <w:jc w:val="both"/>
            </w:pPr>
          </w:p>
        </w:tc>
        <w:tc>
          <w:tcPr>
            <w:tcW w:w="4590" w:type="dxa"/>
            <w:tcBorders>
              <w:left w:val="nil"/>
            </w:tcBorders>
          </w:tcPr>
          <w:p w:rsidR="000B0AA5" w:rsidRDefault="00E5538A">
            <w:pPr>
              <w:jc w:val="center"/>
            </w:pPr>
            <w:r>
              <w:t>Petition</w:t>
            </w:r>
            <w:r w:rsidR="000B0AA5">
              <w:t xml:space="preserve"> </w:t>
            </w:r>
            <w:r>
              <w:t>13</w:t>
            </w:r>
            <w:r w:rsidR="000B0AA5">
              <w:t>-1</w:t>
            </w:r>
            <w:r>
              <w:t>2</w:t>
            </w:r>
            <w:r w:rsidR="000B0AA5">
              <w:t>-00</w:t>
            </w:r>
            <w:r>
              <w:t>9</w:t>
            </w:r>
          </w:p>
          <w:p w:rsidR="000B0AA5" w:rsidRDefault="000B0AA5" w:rsidP="00E5538A">
            <w:pPr>
              <w:jc w:val="center"/>
            </w:pPr>
            <w:r>
              <w:t xml:space="preserve">(Filed </w:t>
            </w:r>
            <w:r w:rsidR="00E5538A">
              <w:t>December</w:t>
            </w:r>
            <w:r>
              <w:t xml:space="preserve"> </w:t>
            </w:r>
            <w:r w:rsidR="00E5538A">
              <w:t>17</w:t>
            </w:r>
            <w:r>
              <w:t>, 20</w:t>
            </w:r>
            <w:r w:rsidR="00E5538A">
              <w:t>13</w:t>
            </w:r>
            <w:r>
              <w:t>)</w:t>
            </w:r>
            <w:r w:rsidR="00E5538A">
              <w:t xml:space="preserve"> </w:t>
            </w:r>
          </w:p>
          <w:p w:rsidR="000B0AA5" w:rsidRDefault="000B0AA5">
            <w:pPr>
              <w:jc w:val="both"/>
            </w:pPr>
          </w:p>
        </w:tc>
      </w:tr>
      <w:tr w:rsidR="00436729" w:rsidTr="00076B4A">
        <w:tc>
          <w:tcPr>
            <w:tcW w:w="4968" w:type="dxa"/>
            <w:tcBorders>
              <w:top w:val="single" w:sz="6" w:space="0" w:color="auto"/>
              <w:bottom w:val="single" w:sz="6" w:space="0" w:color="auto"/>
              <w:right w:val="single" w:sz="6" w:space="0" w:color="auto"/>
            </w:tcBorders>
            <w:vAlign w:val="center"/>
          </w:tcPr>
          <w:p w:rsidR="001A33B3" w:rsidRDefault="001A33B3" w:rsidP="00D05E36"/>
          <w:p w:rsidR="00436729" w:rsidRDefault="00273936" w:rsidP="00D05E36">
            <w:r>
              <w:t xml:space="preserve">Order Instituting Rulemaking </w:t>
            </w:r>
            <w:r w:rsidR="00D05E36">
              <w:t>Regarding</w:t>
            </w:r>
            <w:r w:rsidR="00EC5349">
              <w:t xml:space="preserve"> </w:t>
            </w:r>
            <w:r w:rsidR="00D05E36">
              <w:t xml:space="preserve">the Applicability of </w:t>
            </w:r>
            <w:r>
              <w:t>the Commission’s Right</w:t>
            </w:r>
            <w:r w:rsidR="004D6BBB">
              <w:t>-</w:t>
            </w:r>
            <w:r w:rsidR="008A4AEF">
              <w:t>Of</w:t>
            </w:r>
            <w:r w:rsidR="004D6BBB">
              <w:t>-</w:t>
            </w:r>
            <w:r>
              <w:t xml:space="preserve">Way Rules to Commercial Mobile Radio Service </w:t>
            </w:r>
            <w:r w:rsidR="00B26C9E">
              <w:t>Carriers</w:t>
            </w:r>
            <w:r>
              <w:t>.</w:t>
            </w:r>
          </w:p>
          <w:p w:rsidR="001A33B3" w:rsidRDefault="001A33B3" w:rsidP="00D05E36"/>
        </w:tc>
        <w:tc>
          <w:tcPr>
            <w:tcW w:w="4590" w:type="dxa"/>
            <w:tcBorders>
              <w:left w:val="nil"/>
            </w:tcBorders>
          </w:tcPr>
          <w:p w:rsidR="00273936" w:rsidRDefault="00076B4A" w:rsidP="001A33B3">
            <w:pPr>
              <w:jc w:val="center"/>
            </w:pPr>
            <w:r>
              <w:t>FILED</w:t>
            </w:r>
          </w:p>
          <w:p w:rsidR="00076B4A" w:rsidRDefault="00076B4A" w:rsidP="001A33B3">
            <w:pPr>
              <w:jc w:val="center"/>
            </w:pPr>
            <w:r>
              <w:t>PUBLIC UTILITIES COMMISSION</w:t>
            </w:r>
          </w:p>
          <w:p w:rsidR="00076B4A" w:rsidRDefault="00076B4A" w:rsidP="001A33B3">
            <w:pPr>
              <w:jc w:val="center"/>
            </w:pPr>
            <w:r>
              <w:t>MAY 1, 2014</w:t>
            </w:r>
          </w:p>
          <w:p w:rsidR="00076B4A" w:rsidRDefault="006979BD" w:rsidP="001A33B3">
            <w:pPr>
              <w:jc w:val="center"/>
            </w:pPr>
            <w:r>
              <w:t>LOS ANGELES</w:t>
            </w:r>
            <w:r w:rsidR="00076B4A">
              <w:t>, CALIFORNIA</w:t>
            </w:r>
          </w:p>
          <w:p w:rsidR="00076B4A" w:rsidRDefault="00076B4A" w:rsidP="001A33B3">
            <w:pPr>
              <w:jc w:val="center"/>
            </w:pPr>
            <w:r>
              <w:t>RULEMAKING 14-05-001</w:t>
            </w:r>
          </w:p>
        </w:tc>
      </w:tr>
    </w:tbl>
    <w:p w:rsidR="000B0AA5" w:rsidRDefault="000B0AA5">
      <w:pPr>
        <w:suppressAutoHyphens/>
        <w:jc w:val="both"/>
      </w:pPr>
    </w:p>
    <w:p w:rsidR="000B0AA5" w:rsidRDefault="000B0AA5">
      <w:pPr>
        <w:jc w:val="both"/>
      </w:pPr>
    </w:p>
    <w:p w:rsidR="000B0AA5" w:rsidRDefault="000B0AA5">
      <w:pPr>
        <w:jc w:val="both"/>
      </w:pPr>
    </w:p>
    <w:p w:rsidR="000B0AA5" w:rsidRDefault="00D04831" w:rsidP="00076B4A">
      <w:pPr>
        <w:pStyle w:val="main"/>
        <w:tabs>
          <w:tab w:val="right" w:pos="9360"/>
        </w:tabs>
      </w:pPr>
      <w:bookmarkStart w:id="1" w:name="_Toc386441193"/>
      <w:r>
        <w:t xml:space="preserve">ORDER </w:t>
      </w:r>
      <w:r w:rsidR="00BC554D">
        <w:t>REGARDING</w:t>
      </w:r>
      <w:r w:rsidR="000B0AA5">
        <w:t xml:space="preserve"> </w:t>
      </w:r>
      <w:r w:rsidR="00E5538A">
        <w:t xml:space="preserve">PETITION </w:t>
      </w:r>
      <w:r w:rsidR="00EF4720">
        <w:t xml:space="preserve">FOR RULEMAKING </w:t>
      </w:r>
      <w:r w:rsidR="00CE6D23">
        <w:t>AND</w:t>
      </w:r>
      <w:r w:rsidR="00EC5349">
        <w:rPr>
          <w:rFonts w:cs="Helvetica"/>
        </w:rPr>
        <w:t> </w:t>
      </w:r>
      <w:r w:rsidR="00B26C9E">
        <w:t>ORDER</w:t>
      </w:r>
      <w:r w:rsidR="00EC5349">
        <w:rPr>
          <w:rFonts w:cs="Helvetica"/>
        </w:rPr>
        <w:t> </w:t>
      </w:r>
      <w:r w:rsidR="00B26C9E">
        <w:t xml:space="preserve">INSTITUTING </w:t>
      </w:r>
      <w:r w:rsidR="00E5538A">
        <w:t xml:space="preserve">RULEMAKING </w:t>
      </w:r>
      <w:r w:rsidR="00D05E36">
        <w:t xml:space="preserve">REGARDING THE APPLICABILITY OF </w:t>
      </w:r>
      <w:r w:rsidR="00EC5349">
        <w:t>THE</w:t>
      </w:r>
      <w:r w:rsidR="00B26C9E">
        <w:rPr>
          <w:rFonts w:cs="Helvetica"/>
        </w:rPr>
        <w:t> </w:t>
      </w:r>
      <w:r w:rsidR="00B26C9E">
        <w:t>COMMISSION’S</w:t>
      </w:r>
      <w:r w:rsidR="00B26C9E">
        <w:rPr>
          <w:rFonts w:cs="Helvetica"/>
        </w:rPr>
        <w:t> </w:t>
      </w:r>
      <w:r w:rsidR="00B26C9E">
        <w:t>RIGHT</w:t>
      </w:r>
      <w:r w:rsidR="004D6BBB">
        <w:t>-</w:t>
      </w:r>
      <w:r w:rsidR="00B26C9E">
        <w:t>OF</w:t>
      </w:r>
      <w:r w:rsidR="004D6BBB">
        <w:t>-</w:t>
      </w:r>
      <w:r w:rsidR="00B26C9E">
        <w:t>WAY RULES TO</w:t>
      </w:r>
      <w:r w:rsidR="00D05E36">
        <w:rPr>
          <w:rFonts w:cs="Helvetica"/>
        </w:rPr>
        <w:t> </w:t>
      </w:r>
      <w:r w:rsidR="00B26C9E">
        <w:t>COMMERCIAL</w:t>
      </w:r>
      <w:r w:rsidR="00B26C9E">
        <w:rPr>
          <w:rFonts w:cs="Helvetica"/>
        </w:rPr>
        <w:t> </w:t>
      </w:r>
      <w:r w:rsidR="00B26C9E">
        <w:t>MOBILE</w:t>
      </w:r>
      <w:r w:rsidR="00B26C9E">
        <w:rPr>
          <w:rFonts w:cs="Helvetica"/>
        </w:rPr>
        <w:t> </w:t>
      </w:r>
      <w:r w:rsidR="00B26C9E">
        <w:t>RADIO</w:t>
      </w:r>
      <w:r w:rsidR="00B26C9E">
        <w:rPr>
          <w:rFonts w:cs="Helvetica"/>
        </w:rPr>
        <w:t> </w:t>
      </w:r>
      <w:r w:rsidR="00B26C9E">
        <w:t>SERVICE</w:t>
      </w:r>
      <w:r w:rsidR="00B26C9E">
        <w:rPr>
          <w:rFonts w:cs="Helvetica"/>
        </w:rPr>
        <w:t> </w:t>
      </w:r>
      <w:r w:rsidR="00B26C9E">
        <w:t>CARRIERS</w:t>
      </w:r>
      <w:bookmarkEnd w:id="1"/>
      <w:r w:rsidR="00B26C9E">
        <w:t xml:space="preserve"> </w:t>
      </w:r>
    </w:p>
    <w:p w:rsidR="000B0AA5" w:rsidRDefault="000B0AA5">
      <w:pPr>
        <w:pStyle w:val="standard"/>
      </w:pPr>
    </w:p>
    <w:p w:rsidR="000B0AA5" w:rsidRDefault="000B0AA5" w:rsidP="00243B49">
      <w:pPr>
        <w:pStyle w:val="standard"/>
        <w:jc w:val="center"/>
      </w:pPr>
    </w:p>
    <w:p w:rsidR="000B0AA5" w:rsidRDefault="000B0AA5">
      <w:pPr>
        <w:pStyle w:val="standard"/>
        <w:spacing w:line="240" w:lineRule="auto"/>
        <w:sectPr w:rsidR="000B0AA5" w:rsidSect="008A0045">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rsidR="000B0AA5" w:rsidRPr="001E3AF9" w:rsidRDefault="000B0AA5" w:rsidP="006A0DD8">
      <w:pPr>
        <w:pStyle w:val="TOC1"/>
        <w:keepNext w:val="0"/>
        <w:widowControl w:val="0"/>
        <w:tabs>
          <w:tab w:val="clear" w:pos="520"/>
        </w:tabs>
        <w:spacing w:before="0" w:after="0" w:line="360" w:lineRule="auto"/>
        <w:ind w:right="0"/>
        <w:jc w:val="center"/>
        <w:rPr>
          <w:b/>
        </w:rPr>
      </w:pPr>
      <w:r w:rsidRPr="001E3AF9">
        <w:rPr>
          <w:b/>
        </w:rPr>
        <w:lastRenderedPageBreak/>
        <w:t>TABLE OF CONTENTS</w:t>
      </w:r>
    </w:p>
    <w:p w:rsidR="000B0AA5" w:rsidRDefault="000B0AA5" w:rsidP="006A0DD8">
      <w:pPr>
        <w:tabs>
          <w:tab w:val="center" w:pos="4680"/>
          <w:tab w:val="right" w:pos="9360"/>
        </w:tabs>
      </w:pPr>
      <w:r w:rsidRPr="001E3AF9">
        <w:rPr>
          <w:b/>
        </w:rPr>
        <w:t>Title</w:t>
      </w:r>
      <w:r>
        <w:t xml:space="preserve"> </w:t>
      </w:r>
      <w:r>
        <w:tab/>
      </w:r>
      <w:r>
        <w:tab/>
      </w:r>
      <w:r w:rsidRPr="001E3AF9">
        <w:rPr>
          <w:b/>
        </w:rPr>
        <w:t>Page</w:t>
      </w:r>
    </w:p>
    <w:p w:rsidR="000B0AA5" w:rsidRPr="001218C0" w:rsidRDefault="000B0AA5" w:rsidP="00C66721">
      <w:pPr>
        <w:rPr>
          <w:sz w:val="14"/>
          <w:szCs w:val="14"/>
        </w:rPr>
      </w:pPr>
    </w:p>
    <w:p w:rsidR="009920A0" w:rsidRPr="006B1C90" w:rsidRDefault="000B0AA5">
      <w:pPr>
        <w:pStyle w:val="TOC1"/>
        <w:rPr>
          <w:rFonts w:ascii="Calibri" w:hAnsi="Calibri"/>
          <w:sz w:val="22"/>
          <w:szCs w:val="22"/>
        </w:rPr>
      </w:pPr>
      <w:r>
        <w:fldChar w:fldCharType="begin"/>
      </w:r>
      <w:r>
        <w:instrText xml:space="preserve"> TOC \o "1-1" \t "Heading 2,2,Heading 3,3,Heading 4,4,Heading 5,5,Heading 8,8,Heading 9,9,main,1,mainex,1,Header,1,dummy,1,Appendix Page Headers,9,Level 2,2,Level 3,3,Subtitle,2" </w:instrText>
      </w:r>
      <w:r>
        <w:fldChar w:fldCharType="separate"/>
      </w:r>
      <w:r w:rsidR="009920A0">
        <w:t>ORDER REGARDING PETITION FOR RULEMAKING AND</w:t>
      </w:r>
      <w:r w:rsidR="009920A0" w:rsidRPr="00747376">
        <w:rPr>
          <w:rFonts w:cs="Helvetica"/>
        </w:rPr>
        <w:t> </w:t>
      </w:r>
      <w:r w:rsidR="009920A0">
        <w:t>ORDER</w:t>
      </w:r>
      <w:r w:rsidR="009920A0" w:rsidRPr="00747376">
        <w:rPr>
          <w:rFonts w:cs="Helvetica"/>
        </w:rPr>
        <w:t> </w:t>
      </w:r>
      <w:r w:rsidR="009920A0">
        <w:t>INSTITUTING RULEMAKING REGARDING THE APPLICABILITY OF THE</w:t>
      </w:r>
      <w:r w:rsidR="009920A0" w:rsidRPr="00747376">
        <w:rPr>
          <w:rFonts w:cs="Helvetica"/>
        </w:rPr>
        <w:t> </w:t>
      </w:r>
      <w:r w:rsidR="009920A0">
        <w:t>COMMISSION’S</w:t>
      </w:r>
      <w:r w:rsidR="009920A0" w:rsidRPr="00747376">
        <w:rPr>
          <w:rFonts w:cs="Helvetica"/>
        </w:rPr>
        <w:t> </w:t>
      </w:r>
      <w:r w:rsidR="009920A0">
        <w:t>RIGHT-OF-WAY RULES TO</w:t>
      </w:r>
      <w:r w:rsidR="009920A0" w:rsidRPr="00747376">
        <w:rPr>
          <w:rFonts w:cs="Helvetica"/>
        </w:rPr>
        <w:t> </w:t>
      </w:r>
      <w:r w:rsidR="009920A0">
        <w:t>COMMERCIAL</w:t>
      </w:r>
      <w:r w:rsidR="009920A0" w:rsidRPr="00747376">
        <w:rPr>
          <w:rFonts w:cs="Helvetica"/>
        </w:rPr>
        <w:t> </w:t>
      </w:r>
      <w:r w:rsidR="009920A0">
        <w:t>MOBILE</w:t>
      </w:r>
      <w:r w:rsidR="009920A0" w:rsidRPr="00747376">
        <w:rPr>
          <w:rFonts w:cs="Helvetica"/>
        </w:rPr>
        <w:t> </w:t>
      </w:r>
      <w:r w:rsidR="009920A0">
        <w:t>RADIO</w:t>
      </w:r>
      <w:r w:rsidR="009920A0" w:rsidRPr="00747376">
        <w:rPr>
          <w:rFonts w:cs="Helvetica"/>
        </w:rPr>
        <w:t> </w:t>
      </w:r>
      <w:r w:rsidR="009920A0">
        <w:t>SERVICE</w:t>
      </w:r>
      <w:r w:rsidR="009920A0" w:rsidRPr="00747376">
        <w:rPr>
          <w:rFonts w:cs="Helvetica"/>
        </w:rPr>
        <w:t> </w:t>
      </w:r>
      <w:r w:rsidR="009920A0">
        <w:t>CARRIERS</w:t>
      </w:r>
      <w:r w:rsidR="009920A0">
        <w:tab/>
      </w:r>
      <w:r w:rsidR="009920A0">
        <w:fldChar w:fldCharType="begin"/>
      </w:r>
      <w:r w:rsidR="009920A0">
        <w:instrText xml:space="preserve"> PAGEREF _Toc386441193 \h </w:instrText>
      </w:r>
      <w:r w:rsidR="009920A0">
        <w:fldChar w:fldCharType="separate"/>
      </w:r>
      <w:r w:rsidR="00FA6166">
        <w:t>1</w:t>
      </w:r>
      <w:r w:rsidR="009920A0">
        <w:fldChar w:fldCharType="end"/>
      </w:r>
    </w:p>
    <w:p w:rsidR="009920A0" w:rsidRPr="006B1C90" w:rsidRDefault="009920A0">
      <w:pPr>
        <w:pStyle w:val="TOC1"/>
        <w:rPr>
          <w:rFonts w:ascii="Calibri" w:hAnsi="Calibri"/>
          <w:sz w:val="22"/>
          <w:szCs w:val="22"/>
        </w:rPr>
      </w:pPr>
      <w:r>
        <w:t>1.</w:t>
      </w:r>
      <w:r w:rsidRPr="006B1C90">
        <w:rPr>
          <w:rFonts w:ascii="Calibri" w:hAnsi="Calibri"/>
          <w:sz w:val="22"/>
          <w:szCs w:val="22"/>
        </w:rPr>
        <w:tab/>
      </w:r>
      <w:r>
        <w:t>Summary</w:t>
      </w:r>
      <w:r>
        <w:tab/>
      </w:r>
      <w:r>
        <w:fldChar w:fldCharType="begin"/>
      </w:r>
      <w:r>
        <w:instrText xml:space="preserve"> PAGEREF _Toc386441194 \h </w:instrText>
      </w:r>
      <w:r>
        <w:fldChar w:fldCharType="separate"/>
      </w:r>
      <w:r w:rsidR="00FA6166">
        <w:t>2</w:t>
      </w:r>
      <w:r>
        <w:fldChar w:fldCharType="end"/>
      </w:r>
    </w:p>
    <w:p w:rsidR="009920A0" w:rsidRPr="006B1C90" w:rsidRDefault="009920A0">
      <w:pPr>
        <w:pStyle w:val="TOC1"/>
        <w:rPr>
          <w:rFonts w:ascii="Calibri" w:hAnsi="Calibri"/>
          <w:sz w:val="22"/>
          <w:szCs w:val="22"/>
        </w:rPr>
      </w:pPr>
      <w:r>
        <w:t>2.</w:t>
      </w:r>
      <w:r w:rsidRPr="006B1C90">
        <w:rPr>
          <w:rFonts w:ascii="Calibri" w:hAnsi="Calibri"/>
          <w:sz w:val="22"/>
          <w:szCs w:val="22"/>
        </w:rPr>
        <w:tab/>
      </w:r>
      <w:r>
        <w:t>Legal and Regulatory Background</w:t>
      </w:r>
      <w:r>
        <w:tab/>
      </w:r>
      <w:r>
        <w:fldChar w:fldCharType="begin"/>
      </w:r>
      <w:r>
        <w:instrText xml:space="preserve"> PAGEREF _Toc386441195 \h </w:instrText>
      </w:r>
      <w:r>
        <w:fldChar w:fldCharType="separate"/>
      </w:r>
      <w:r w:rsidR="00FA6166">
        <w:t>2</w:t>
      </w:r>
      <w:r>
        <w:fldChar w:fldCharType="end"/>
      </w:r>
    </w:p>
    <w:p w:rsidR="009920A0" w:rsidRPr="006B1C90" w:rsidRDefault="009920A0">
      <w:pPr>
        <w:pStyle w:val="TOC2"/>
        <w:rPr>
          <w:rFonts w:ascii="Calibri" w:hAnsi="Calibri"/>
          <w:sz w:val="22"/>
          <w:szCs w:val="22"/>
        </w:rPr>
      </w:pPr>
      <w:r>
        <w:t>2.1.</w:t>
      </w:r>
      <w:r w:rsidRPr="006B1C90">
        <w:rPr>
          <w:rFonts w:ascii="Calibri" w:hAnsi="Calibri"/>
          <w:sz w:val="22"/>
          <w:szCs w:val="22"/>
        </w:rPr>
        <w:tab/>
      </w:r>
      <w:r>
        <w:t>Federal Laws and Regulations</w:t>
      </w:r>
      <w:r>
        <w:tab/>
      </w:r>
      <w:r>
        <w:fldChar w:fldCharType="begin"/>
      </w:r>
      <w:r>
        <w:instrText xml:space="preserve"> PAGEREF _Toc386441196 \h </w:instrText>
      </w:r>
      <w:r>
        <w:fldChar w:fldCharType="separate"/>
      </w:r>
      <w:r w:rsidR="00FA6166">
        <w:t>2</w:t>
      </w:r>
      <w:r>
        <w:fldChar w:fldCharType="end"/>
      </w:r>
    </w:p>
    <w:p w:rsidR="009920A0" w:rsidRPr="006B1C90" w:rsidRDefault="009920A0">
      <w:pPr>
        <w:pStyle w:val="TOC2"/>
        <w:rPr>
          <w:rFonts w:ascii="Calibri" w:hAnsi="Calibri"/>
          <w:sz w:val="22"/>
          <w:szCs w:val="22"/>
        </w:rPr>
      </w:pPr>
      <w:r>
        <w:t>2.2.</w:t>
      </w:r>
      <w:r w:rsidRPr="006B1C90">
        <w:rPr>
          <w:rFonts w:ascii="Calibri" w:hAnsi="Calibri"/>
          <w:sz w:val="22"/>
          <w:szCs w:val="22"/>
        </w:rPr>
        <w:tab/>
      </w:r>
      <w:r>
        <w:t>Decision 98-10-058 and the Commission’s ROW Rules</w:t>
      </w:r>
      <w:r>
        <w:tab/>
      </w:r>
      <w:r>
        <w:fldChar w:fldCharType="begin"/>
      </w:r>
      <w:r>
        <w:instrText xml:space="preserve"> PAGEREF _Toc386441197 \h </w:instrText>
      </w:r>
      <w:r>
        <w:fldChar w:fldCharType="separate"/>
      </w:r>
      <w:r w:rsidR="00FA6166">
        <w:t>4</w:t>
      </w:r>
      <w:r>
        <w:fldChar w:fldCharType="end"/>
      </w:r>
    </w:p>
    <w:p w:rsidR="009920A0" w:rsidRPr="006B1C90" w:rsidRDefault="009920A0">
      <w:pPr>
        <w:pStyle w:val="TOC1"/>
        <w:rPr>
          <w:rFonts w:ascii="Calibri" w:hAnsi="Calibri"/>
          <w:sz w:val="22"/>
          <w:szCs w:val="22"/>
        </w:rPr>
      </w:pPr>
      <w:r>
        <w:t>3.</w:t>
      </w:r>
      <w:r w:rsidRPr="006B1C90">
        <w:rPr>
          <w:rFonts w:ascii="Calibri" w:hAnsi="Calibri"/>
          <w:sz w:val="22"/>
          <w:szCs w:val="22"/>
        </w:rPr>
        <w:tab/>
      </w:r>
      <w:r>
        <w:t>Procedural Background</w:t>
      </w:r>
      <w:r>
        <w:tab/>
      </w:r>
      <w:r>
        <w:fldChar w:fldCharType="begin"/>
      </w:r>
      <w:r>
        <w:instrText xml:space="preserve"> PAGEREF _Toc386441198 \h </w:instrText>
      </w:r>
      <w:r>
        <w:fldChar w:fldCharType="separate"/>
      </w:r>
      <w:r w:rsidR="00FA6166">
        <w:t>7</w:t>
      </w:r>
      <w:r>
        <w:fldChar w:fldCharType="end"/>
      </w:r>
    </w:p>
    <w:p w:rsidR="009920A0" w:rsidRPr="006B1C90" w:rsidRDefault="009920A0">
      <w:pPr>
        <w:pStyle w:val="TOC1"/>
        <w:rPr>
          <w:rFonts w:ascii="Calibri" w:hAnsi="Calibri"/>
          <w:sz w:val="22"/>
          <w:szCs w:val="22"/>
        </w:rPr>
      </w:pPr>
      <w:r>
        <w:t>4.</w:t>
      </w:r>
      <w:r w:rsidRPr="006B1C90">
        <w:rPr>
          <w:rFonts w:ascii="Calibri" w:hAnsi="Calibri"/>
          <w:sz w:val="22"/>
          <w:szCs w:val="22"/>
        </w:rPr>
        <w:tab/>
      </w:r>
      <w:r>
        <w:t>Summary of the Petition</w:t>
      </w:r>
      <w:r>
        <w:tab/>
      </w:r>
      <w:r>
        <w:fldChar w:fldCharType="begin"/>
      </w:r>
      <w:r>
        <w:instrText xml:space="preserve"> PAGEREF _Toc386441199 \h </w:instrText>
      </w:r>
      <w:r>
        <w:fldChar w:fldCharType="separate"/>
      </w:r>
      <w:r w:rsidR="00FA6166">
        <w:t>7</w:t>
      </w:r>
      <w:r>
        <w:fldChar w:fldCharType="end"/>
      </w:r>
    </w:p>
    <w:p w:rsidR="009920A0" w:rsidRPr="006B1C90" w:rsidRDefault="009920A0">
      <w:pPr>
        <w:pStyle w:val="TOC1"/>
        <w:rPr>
          <w:rFonts w:ascii="Calibri" w:hAnsi="Calibri"/>
          <w:sz w:val="22"/>
          <w:szCs w:val="22"/>
        </w:rPr>
      </w:pPr>
      <w:r>
        <w:t>5.</w:t>
      </w:r>
      <w:r w:rsidRPr="006B1C90">
        <w:rPr>
          <w:rFonts w:ascii="Calibri" w:hAnsi="Calibri"/>
          <w:sz w:val="22"/>
          <w:szCs w:val="22"/>
        </w:rPr>
        <w:tab/>
      </w:r>
      <w:r>
        <w:t>Responses to the Petition</w:t>
      </w:r>
      <w:r>
        <w:tab/>
      </w:r>
      <w:r>
        <w:fldChar w:fldCharType="begin"/>
      </w:r>
      <w:r>
        <w:instrText xml:space="preserve"> PAGEREF _Toc386441200 \h </w:instrText>
      </w:r>
      <w:r>
        <w:fldChar w:fldCharType="separate"/>
      </w:r>
      <w:r w:rsidR="00FA6166">
        <w:t>13</w:t>
      </w:r>
      <w:r>
        <w:fldChar w:fldCharType="end"/>
      </w:r>
    </w:p>
    <w:p w:rsidR="009920A0" w:rsidRPr="006B1C90" w:rsidRDefault="009920A0">
      <w:pPr>
        <w:pStyle w:val="TOC2"/>
        <w:rPr>
          <w:rFonts w:ascii="Calibri" w:hAnsi="Calibri"/>
          <w:sz w:val="22"/>
          <w:szCs w:val="22"/>
        </w:rPr>
      </w:pPr>
      <w:r>
        <w:t>5.1.</w:t>
      </w:r>
      <w:r w:rsidRPr="006B1C90">
        <w:rPr>
          <w:rFonts w:ascii="Calibri" w:hAnsi="Calibri"/>
          <w:sz w:val="22"/>
          <w:szCs w:val="22"/>
        </w:rPr>
        <w:tab/>
      </w:r>
      <w:r>
        <w:t>CTIA</w:t>
      </w:r>
      <w:r>
        <w:tab/>
      </w:r>
      <w:r>
        <w:fldChar w:fldCharType="begin"/>
      </w:r>
      <w:r>
        <w:instrText xml:space="preserve"> PAGEREF _Toc386441201 \h </w:instrText>
      </w:r>
      <w:r>
        <w:fldChar w:fldCharType="separate"/>
      </w:r>
      <w:r w:rsidR="00FA6166">
        <w:t>13</w:t>
      </w:r>
      <w:r>
        <w:fldChar w:fldCharType="end"/>
      </w:r>
    </w:p>
    <w:p w:rsidR="009920A0" w:rsidRPr="006B1C90" w:rsidRDefault="009920A0">
      <w:pPr>
        <w:pStyle w:val="TOC2"/>
        <w:rPr>
          <w:rFonts w:ascii="Calibri" w:hAnsi="Calibri"/>
          <w:sz w:val="22"/>
          <w:szCs w:val="22"/>
        </w:rPr>
      </w:pPr>
      <w:r>
        <w:t>5.2.</w:t>
      </w:r>
      <w:r w:rsidRPr="006B1C90">
        <w:rPr>
          <w:rFonts w:ascii="Calibri" w:hAnsi="Calibri"/>
          <w:sz w:val="22"/>
          <w:szCs w:val="22"/>
        </w:rPr>
        <w:tab/>
      </w:r>
      <w:r>
        <w:t>Google</w:t>
      </w:r>
      <w:r>
        <w:tab/>
      </w:r>
      <w:r>
        <w:fldChar w:fldCharType="begin"/>
      </w:r>
      <w:r>
        <w:instrText xml:space="preserve"> PAGEREF _Toc386441202 \h </w:instrText>
      </w:r>
      <w:r>
        <w:fldChar w:fldCharType="separate"/>
      </w:r>
      <w:r w:rsidR="00FA6166">
        <w:t>14</w:t>
      </w:r>
      <w:r>
        <w:fldChar w:fldCharType="end"/>
      </w:r>
    </w:p>
    <w:p w:rsidR="009920A0" w:rsidRPr="006B1C90" w:rsidRDefault="009920A0">
      <w:pPr>
        <w:pStyle w:val="TOC2"/>
        <w:rPr>
          <w:rFonts w:ascii="Calibri" w:hAnsi="Calibri"/>
          <w:sz w:val="22"/>
          <w:szCs w:val="22"/>
        </w:rPr>
      </w:pPr>
      <w:r>
        <w:t>5.3.</w:t>
      </w:r>
      <w:r w:rsidRPr="006B1C90">
        <w:rPr>
          <w:rFonts w:ascii="Calibri" w:hAnsi="Calibri"/>
          <w:sz w:val="22"/>
          <w:szCs w:val="22"/>
        </w:rPr>
        <w:tab/>
      </w:r>
      <w:r>
        <w:t>The Electric IOUs</w:t>
      </w:r>
      <w:r>
        <w:tab/>
      </w:r>
      <w:r>
        <w:fldChar w:fldCharType="begin"/>
      </w:r>
      <w:r>
        <w:instrText xml:space="preserve"> PAGEREF _Toc386441203 \h </w:instrText>
      </w:r>
      <w:r>
        <w:fldChar w:fldCharType="separate"/>
      </w:r>
      <w:r w:rsidR="00FA6166">
        <w:t>14</w:t>
      </w:r>
      <w:r>
        <w:fldChar w:fldCharType="end"/>
      </w:r>
    </w:p>
    <w:p w:rsidR="009920A0" w:rsidRPr="006B1C90" w:rsidRDefault="009920A0">
      <w:pPr>
        <w:pStyle w:val="TOC2"/>
        <w:rPr>
          <w:rFonts w:ascii="Calibri" w:hAnsi="Calibri"/>
          <w:sz w:val="22"/>
          <w:szCs w:val="22"/>
        </w:rPr>
      </w:pPr>
      <w:r>
        <w:t>5.4.</w:t>
      </w:r>
      <w:r w:rsidRPr="006B1C90">
        <w:rPr>
          <w:rFonts w:ascii="Calibri" w:hAnsi="Calibri"/>
          <w:sz w:val="22"/>
          <w:szCs w:val="22"/>
        </w:rPr>
        <w:tab/>
      </w:r>
      <w:r>
        <w:t>Safety and Enforcement Division</w:t>
      </w:r>
      <w:r>
        <w:tab/>
      </w:r>
      <w:r>
        <w:fldChar w:fldCharType="begin"/>
      </w:r>
      <w:r>
        <w:instrText xml:space="preserve"> PAGEREF _Toc386441204 \h </w:instrText>
      </w:r>
      <w:r>
        <w:fldChar w:fldCharType="separate"/>
      </w:r>
      <w:r w:rsidR="00FA6166">
        <w:t>16</w:t>
      </w:r>
      <w:r>
        <w:fldChar w:fldCharType="end"/>
      </w:r>
    </w:p>
    <w:p w:rsidR="009920A0" w:rsidRPr="006B1C90" w:rsidRDefault="009920A0">
      <w:pPr>
        <w:pStyle w:val="TOC1"/>
        <w:rPr>
          <w:rFonts w:ascii="Calibri" w:hAnsi="Calibri"/>
          <w:sz w:val="22"/>
          <w:szCs w:val="22"/>
        </w:rPr>
      </w:pPr>
      <w:r>
        <w:t>6.</w:t>
      </w:r>
      <w:r w:rsidRPr="006B1C90">
        <w:rPr>
          <w:rFonts w:ascii="Calibri" w:hAnsi="Calibri"/>
          <w:sz w:val="22"/>
          <w:szCs w:val="22"/>
        </w:rPr>
        <w:tab/>
      </w:r>
      <w:r>
        <w:t>Discussion</w:t>
      </w:r>
      <w:r>
        <w:tab/>
      </w:r>
      <w:r>
        <w:fldChar w:fldCharType="begin"/>
      </w:r>
      <w:r>
        <w:instrText xml:space="preserve"> PAGEREF _Toc386441205 \h </w:instrText>
      </w:r>
      <w:r>
        <w:fldChar w:fldCharType="separate"/>
      </w:r>
      <w:r w:rsidR="00FA6166">
        <w:t>17</w:t>
      </w:r>
      <w:r>
        <w:fldChar w:fldCharType="end"/>
      </w:r>
    </w:p>
    <w:p w:rsidR="009920A0" w:rsidRPr="006B1C90" w:rsidRDefault="009920A0">
      <w:pPr>
        <w:pStyle w:val="TOC1"/>
        <w:rPr>
          <w:rFonts w:ascii="Calibri" w:hAnsi="Calibri"/>
          <w:sz w:val="22"/>
          <w:szCs w:val="22"/>
        </w:rPr>
      </w:pPr>
      <w:r>
        <w:t>7.</w:t>
      </w:r>
      <w:r w:rsidRPr="006B1C90">
        <w:rPr>
          <w:rFonts w:ascii="Calibri" w:hAnsi="Calibri"/>
          <w:sz w:val="22"/>
          <w:szCs w:val="22"/>
        </w:rPr>
        <w:tab/>
      </w:r>
      <w:r>
        <w:t>Order Instituting Rulemaking Proceeding</w:t>
      </w:r>
      <w:r>
        <w:tab/>
      </w:r>
      <w:r>
        <w:fldChar w:fldCharType="begin"/>
      </w:r>
      <w:r>
        <w:instrText xml:space="preserve"> PAGEREF _Toc386441206 \h </w:instrText>
      </w:r>
      <w:r>
        <w:fldChar w:fldCharType="separate"/>
      </w:r>
      <w:r w:rsidR="00FA6166">
        <w:t>24</w:t>
      </w:r>
      <w:r>
        <w:fldChar w:fldCharType="end"/>
      </w:r>
    </w:p>
    <w:p w:rsidR="009920A0" w:rsidRPr="006B1C90" w:rsidRDefault="009920A0">
      <w:pPr>
        <w:pStyle w:val="TOC2"/>
        <w:rPr>
          <w:rFonts w:ascii="Calibri" w:hAnsi="Calibri"/>
          <w:sz w:val="22"/>
          <w:szCs w:val="22"/>
        </w:rPr>
      </w:pPr>
      <w:r>
        <w:t>7.1.</w:t>
      </w:r>
      <w:r w:rsidRPr="006B1C90">
        <w:rPr>
          <w:rFonts w:ascii="Calibri" w:hAnsi="Calibri"/>
          <w:sz w:val="22"/>
          <w:szCs w:val="22"/>
        </w:rPr>
        <w:tab/>
      </w:r>
      <w:r>
        <w:t>Preliminary Scoping Memo</w:t>
      </w:r>
      <w:r>
        <w:tab/>
      </w:r>
      <w:r>
        <w:fldChar w:fldCharType="begin"/>
      </w:r>
      <w:r>
        <w:instrText xml:space="preserve"> PAGEREF _Toc386441207 \h </w:instrText>
      </w:r>
      <w:r>
        <w:fldChar w:fldCharType="separate"/>
      </w:r>
      <w:r w:rsidR="00FA6166">
        <w:t>24</w:t>
      </w:r>
      <w:r>
        <w:fldChar w:fldCharType="end"/>
      </w:r>
    </w:p>
    <w:p w:rsidR="009920A0" w:rsidRPr="006B1C90" w:rsidRDefault="009920A0">
      <w:pPr>
        <w:pStyle w:val="TOC3"/>
        <w:rPr>
          <w:rFonts w:ascii="Calibri" w:hAnsi="Calibri"/>
          <w:sz w:val="22"/>
          <w:szCs w:val="22"/>
        </w:rPr>
      </w:pPr>
      <w:r>
        <w:t>7.1.1.</w:t>
      </w:r>
      <w:r w:rsidRPr="006B1C90">
        <w:rPr>
          <w:rFonts w:ascii="Calibri" w:hAnsi="Calibri"/>
          <w:sz w:val="22"/>
          <w:szCs w:val="22"/>
        </w:rPr>
        <w:tab/>
      </w:r>
      <w:r>
        <w:t>Scope</w:t>
      </w:r>
      <w:r>
        <w:tab/>
      </w:r>
      <w:r>
        <w:fldChar w:fldCharType="begin"/>
      </w:r>
      <w:r>
        <w:instrText xml:space="preserve"> PAGEREF _Toc386441208 \h </w:instrText>
      </w:r>
      <w:r>
        <w:fldChar w:fldCharType="separate"/>
      </w:r>
      <w:r w:rsidR="00FA6166">
        <w:t>24</w:t>
      </w:r>
      <w:r>
        <w:fldChar w:fldCharType="end"/>
      </w:r>
    </w:p>
    <w:p w:rsidR="009920A0" w:rsidRPr="006B1C90" w:rsidRDefault="009920A0">
      <w:pPr>
        <w:pStyle w:val="TOC3"/>
        <w:rPr>
          <w:rFonts w:ascii="Calibri" w:hAnsi="Calibri"/>
          <w:sz w:val="22"/>
          <w:szCs w:val="22"/>
        </w:rPr>
      </w:pPr>
      <w:r>
        <w:t>7.1.2.</w:t>
      </w:r>
      <w:r w:rsidRPr="006B1C90">
        <w:rPr>
          <w:rFonts w:ascii="Calibri" w:hAnsi="Calibri"/>
          <w:sz w:val="22"/>
          <w:szCs w:val="22"/>
        </w:rPr>
        <w:tab/>
      </w:r>
      <w:r>
        <w:t>Proceeding Schedule and Written Comments</w:t>
      </w:r>
      <w:r>
        <w:tab/>
      </w:r>
      <w:r>
        <w:fldChar w:fldCharType="begin"/>
      </w:r>
      <w:r>
        <w:instrText xml:space="preserve"> PAGEREF _Toc386441209 \h </w:instrText>
      </w:r>
      <w:r>
        <w:fldChar w:fldCharType="separate"/>
      </w:r>
      <w:r w:rsidR="00FA6166">
        <w:t>25</w:t>
      </w:r>
      <w:r>
        <w:fldChar w:fldCharType="end"/>
      </w:r>
    </w:p>
    <w:p w:rsidR="009920A0" w:rsidRPr="006B1C90" w:rsidRDefault="009920A0">
      <w:pPr>
        <w:pStyle w:val="TOC3"/>
        <w:rPr>
          <w:rFonts w:ascii="Calibri" w:hAnsi="Calibri"/>
          <w:sz w:val="22"/>
          <w:szCs w:val="22"/>
        </w:rPr>
      </w:pPr>
      <w:r>
        <w:t>7.1.3.</w:t>
      </w:r>
      <w:r w:rsidRPr="006B1C90">
        <w:rPr>
          <w:rFonts w:ascii="Calibri" w:hAnsi="Calibri"/>
          <w:sz w:val="22"/>
          <w:szCs w:val="22"/>
        </w:rPr>
        <w:tab/>
      </w:r>
      <w:r>
        <w:t>Proceeding Category and Need for Hearings</w:t>
      </w:r>
      <w:r>
        <w:tab/>
      </w:r>
      <w:r>
        <w:fldChar w:fldCharType="begin"/>
      </w:r>
      <w:r>
        <w:instrText xml:space="preserve"> PAGEREF _Toc386441210 \h </w:instrText>
      </w:r>
      <w:r>
        <w:fldChar w:fldCharType="separate"/>
      </w:r>
      <w:r w:rsidR="00FA6166">
        <w:t>27</w:t>
      </w:r>
      <w:r>
        <w:fldChar w:fldCharType="end"/>
      </w:r>
    </w:p>
    <w:p w:rsidR="009920A0" w:rsidRPr="006B1C90" w:rsidRDefault="009920A0">
      <w:pPr>
        <w:pStyle w:val="TOC3"/>
        <w:rPr>
          <w:rFonts w:ascii="Calibri" w:hAnsi="Calibri"/>
          <w:sz w:val="22"/>
          <w:szCs w:val="22"/>
        </w:rPr>
      </w:pPr>
      <w:r>
        <w:t>7.1.4.</w:t>
      </w:r>
      <w:r w:rsidRPr="006B1C90">
        <w:rPr>
          <w:rFonts w:ascii="Calibri" w:hAnsi="Calibri"/>
          <w:sz w:val="22"/>
          <w:szCs w:val="22"/>
        </w:rPr>
        <w:tab/>
      </w:r>
      <w:r>
        <w:t>Service of this OIR</w:t>
      </w:r>
      <w:r>
        <w:tab/>
      </w:r>
      <w:r>
        <w:fldChar w:fldCharType="begin"/>
      </w:r>
      <w:r>
        <w:instrText xml:space="preserve"> PAGEREF _Toc386441211 \h </w:instrText>
      </w:r>
      <w:r>
        <w:fldChar w:fldCharType="separate"/>
      </w:r>
      <w:r w:rsidR="00FA6166">
        <w:t>28</w:t>
      </w:r>
      <w:r>
        <w:fldChar w:fldCharType="end"/>
      </w:r>
    </w:p>
    <w:p w:rsidR="009920A0" w:rsidRPr="006B1C90" w:rsidRDefault="009920A0">
      <w:pPr>
        <w:pStyle w:val="TOC3"/>
        <w:rPr>
          <w:rFonts w:ascii="Calibri" w:hAnsi="Calibri"/>
          <w:sz w:val="22"/>
          <w:szCs w:val="22"/>
        </w:rPr>
      </w:pPr>
      <w:r>
        <w:t>7.1.5.</w:t>
      </w:r>
      <w:r w:rsidRPr="006B1C90">
        <w:rPr>
          <w:rFonts w:ascii="Calibri" w:hAnsi="Calibri"/>
          <w:sz w:val="22"/>
          <w:szCs w:val="22"/>
        </w:rPr>
        <w:tab/>
      </w:r>
      <w:r>
        <w:t>Participation and Service List</w:t>
      </w:r>
      <w:r>
        <w:tab/>
      </w:r>
      <w:r>
        <w:fldChar w:fldCharType="begin"/>
      </w:r>
      <w:r>
        <w:instrText xml:space="preserve"> PAGEREF _Toc386441212 \h </w:instrText>
      </w:r>
      <w:r>
        <w:fldChar w:fldCharType="separate"/>
      </w:r>
      <w:r w:rsidR="00FA6166">
        <w:t>28</w:t>
      </w:r>
      <w:r>
        <w:fldChar w:fldCharType="end"/>
      </w:r>
    </w:p>
    <w:p w:rsidR="009920A0" w:rsidRPr="006B1C90" w:rsidRDefault="009920A0">
      <w:pPr>
        <w:pStyle w:val="TOC3"/>
        <w:rPr>
          <w:rFonts w:ascii="Calibri" w:hAnsi="Calibri"/>
          <w:sz w:val="22"/>
          <w:szCs w:val="22"/>
        </w:rPr>
      </w:pPr>
      <w:r>
        <w:t>7.1.6.</w:t>
      </w:r>
      <w:r w:rsidRPr="006B1C90">
        <w:rPr>
          <w:rFonts w:ascii="Calibri" w:hAnsi="Calibri"/>
          <w:sz w:val="22"/>
          <w:szCs w:val="22"/>
        </w:rPr>
        <w:tab/>
      </w:r>
      <w:r>
        <w:t>Updating the Service List</w:t>
      </w:r>
      <w:r>
        <w:tab/>
      </w:r>
      <w:r>
        <w:fldChar w:fldCharType="begin"/>
      </w:r>
      <w:r>
        <w:instrText xml:space="preserve"> PAGEREF _Toc386441213 \h </w:instrText>
      </w:r>
      <w:r>
        <w:fldChar w:fldCharType="separate"/>
      </w:r>
      <w:r w:rsidR="00FA6166">
        <w:t>29</w:t>
      </w:r>
      <w:r>
        <w:fldChar w:fldCharType="end"/>
      </w:r>
    </w:p>
    <w:p w:rsidR="009920A0" w:rsidRPr="006B1C90" w:rsidRDefault="009920A0">
      <w:pPr>
        <w:pStyle w:val="TOC3"/>
        <w:rPr>
          <w:rFonts w:ascii="Calibri" w:hAnsi="Calibri"/>
          <w:sz w:val="22"/>
          <w:szCs w:val="22"/>
        </w:rPr>
      </w:pPr>
      <w:r>
        <w:t>7.1.7.</w:t>
      </w:r>
      <w:r w:rsidRPr="006B1C90">
        <w:rPr>
          <w:rFonts w:ascii="Calibri" w:hAnsi="Calibri"/>
          <w:sz w:val="22"/>
          <w:szCs w:val="22"/>
        </w:rPr>
        <w:tab/>
      </w:r>
      <w:r>
        <w:t>Filing and Serving Documents</w:t>
      </w:r>
      <w:r>
        <w:tab/>
      </w:r>
      <w:r>
        <w:fldChar w:fldCharType="begin"/>
      </w:r>
      <w:r>
        <w:instrText xml:space="preserve"> PAGEREF _Toc386441214 \h </w:instrText>
      </w:r>
      <w:r>
        <w:fldChar w:fldCharType="separate"/>
      </w:r>
      <w:r w:rsidR="00FA6166">
        <w:t>30</w:t>
      </w:r>
      <w:r>
        <w:fldChar w:fldCharType="end"/>
      </w:r>
    </w:p>
    <w:p w:rsidR="009920A0" w:rsidRPr="006B1C90" w:rsidRDefault="009920A0">
      <w:pPr>
        <w:pStyle w:val="TOC3"/>
        <w:rPr>
          <w:rFonts w:ascii="Calibri" w:hAnsi="Calibri"/>
          <w:sz w:val="22"/>
          <w:szCs w:val="22"/>
        </w:rPr>
      </w:pPr>
      <w:r>
        <w:t>7.1.8.</w:t>
      </w:r>
      <w:r w:rsidRPr="006B1C90">
        <w:rPr>
          <w:rFonts w:ascii="Calibri" w:hAnsi="Calibri"/>
          <w:sz w:val="22"/>
          <w:szCs w:val="22"/>
        </w:rPr>
        <w:tab/>
      </w:r>
      <w:r>
        <w:t>Public Advisor</w:t>
      </w:r>
      <w:r>
        <w:tab/>
      </w:r>
      <w:r>
        <w:fldChar w:fldCharType="begin"/>
      </w:r>
      <w:r>
        <w:instrText xml:space="preserve"> PAGEREF _Toc386441215 \h </w:instrText>
      </w:r>
      <w:r>
        <w:fldChar w:fldCharType="separate"/>
      </w:r>
      <w:r w:rsidR="00FA6166">
        <w:t>30</w:t>
      </w:r>
      <w:r>
        <w:fldChar w:fldCharType="end"/>
      </w:r>
    </w:p>
    <w:p w:rsidR="009920A0" w:rsidRPr="006B1C90" w:rsidRDefault="009920A0">
      <w:pPr>
        <w:pStyle w:val="TOC3"/>
        <w:rPr>
          <w:rFonts w:ascii="Calibri" w:hAnsi="Calibri"/>
          <w:sz w:val="22"/>
          <w:szCs w:val="22"/>
        </w:rPr>
      </w:pPr>
      <w:r>
        <w:t>7.1.9.</w:t>
      </w:r>
      <w:r w:rsidRPr="006B1C90">
        <w:rPr>
          <w:rFonts w:ascii="Calibri" w:hAnsi="Calibri"/>
          <w:sz w:val="22"/>
          <w:szCs w:val="22"/>
        </w:rPr>
        <w:tab/>
      </w:r>
      <w:r>
        <w:t>Intervenor Compensation</w:t>
      </w:r>
      <w:r>
        <w:tab/>
      </w:r>
      <w:r>
        <w:fldChar w:fldCharType="begin"/>
      </w:r>
      <w:r>
        <w:instrText xml:space="preserve"> PAGEREF _Toc386441216 \h </w:instrText>
      </w:r>
      <w:r>
        <w:fldChar w:fldCharType="separate"/>
      </w:r>
      <w:r w:rsidR="00FA6166">
        <w:t>31</w:t>
      </w:r>
      <w:r>
        <w:fldChar w:fldCharType="end"/>
      </w:r>
    </w:p>
    <w:p w:rsidR="009920A0" w:rsidRPr="006B1C90" w:rsidRDefault="009920A0">
      <w:pPr>
        <w:pStyle w:val="TOC3"/>
        <w:rPr>
          <w:rFonts w:ascii="Calibri" w:hAnsi="Calibri"/>
          <w:sz w:val="22"/>
          <w:szCs w:val="22"/>
        </w:rPr>
      </w:pPr>
      <w:r>
        <w:t>7.1.10.</w:t>
      </w:r>
      <w:r w:rsidRPr="006B1C90">
        <w:rPr>
          <w:rFonts w:ascii="Calibri" w:hAnsi="Calibri"/>
          <w:sz w:val="22"/>
          <w:szCs w:val="22"/>
        </w:rPr>
        <w:tab/>
      </w:r>
      <w:r>
        <w:t>Ex Parte Communications</w:t>
      </w:r>
      <w:r>
        <w:tab/>
      </w:r>
      <w:r>
        <w:fldChar w:fldCharType="begin"/>
      </w:r>
      <w:r>
        <w:instrText xml:space="preserve"> PAGEREF _Toc386441217 \h </w:instrText>
      </w:r>
      <w:r>
        <w:fldChar w:fldCharType="separate"/>
      </w:r>
      <w:r w:rsidR="00FA6166">
        <w:t>31</w:t>
      </w:r>
      <w:r>
        <w:fldChar w:fldCharType="end"/>
      </w:r>
    </w:p>
    <w:p w:rsidR="009920A0" w:rsidRPr="006B1C90" w:rsidRDefault="009920A0">
      <w:pPr>
        <w:pStyle w:val="TOC1"/>
        <w:rPr>
          <w:rFonts w:ascii="Calibri" w:hAnsi="Calibri"/>
          <w:sz w:val="22"/>
          <w:szCs w:val="22"/>
        </w:rPr>
      </w:pPr>
      <w:r>
        <w:t>8.</w:t>
      </w:r>
      <w:r w:rsidRPr="006B1C90">
        <w:rPr>
          <w:rFonts w:ascii="Calibri" w:hAnsi="Calibri"/>
          <w:sz w:val="22"/>
          <w:szCs w:val="22"/>
        </w:rPr>
        <w:tab/>
      </w:r>
      <w:r>
        <w:t>Assignment of the Proceeding</w:t>
      </w:r>
      <w:r>
        <w:tab/>
      </w:r>
      <w:r>
        <w:fldChar w:fldCharType="begin"/>
      </w:r>
      <w:r>
        <w:instrText xml:space="preserve"> PAGEREF _Toc386441218 \h </w:instrText>
      </w:r>
      <w:r>
        <w:fldChar w:fldCharType="separate"/>
      </w:r>
      <w:r w:rsidR="00FA6166">
        <w:t>31</w:t>
      </w:r>
      <w:r>
        <w:fldChar w:fldCharType="end"/>
      </w:r>
    </w:p>
    <w:p w:rsidR="009920A0" w:rsidRPr="006B1C90" w:rsidRDefault="009920A0">
      <w:pPr>
        <w:pStyle w:val="TOC1"/>
        <w:rPr>
          <w:rFonts w:ascii="Calibri" w:hAnsi="Calibri"/>
          <w:sz w:val="22"/>
          <w:szCs w:val="22"/>
        </w:rPr>
      </w:pPr>
      <w:r>
        <w:t>Findings of Fact</w:t>
      </w:r>
      <w:r>
        <w:tab/>
      </w:r>
      <w:r>
        <w:fldChar w:fldCharType="begin"/>
      </w:r>
      <w:r>
        <w:instrText xml:space="preserve"> PAGEREF _Toc386441219 \h </w:instrText>
      </w:r>
      <w:r>
        <w:fldChar w:fldCharType="separate"/>
      </w:r>
      <w:r w:rsidR="00FA6166">
        <w:t>31</w:t>
      </w:r>
      <w:r>
        <w:fldChar w:fldCharType="end"/>
      </w:r>
    </w:p>
    <w:p w:rsidR="009920A0" w:rsidRPr="006B1C90" w:rsidRDefault="009920A0">
      <w:pPr>
        <w:pStyle w:val="TOC1"/>
        <w:rPr>
          <w:rFonts w:ascii="Calibri" w:hAnsi="Calibri"/>
          <w:sz w:val="22"/>
          <w:szCs w:val="22"/>
        </w:rPr>
      </w:pPr>
      <w:r>
        <w:t>Conclusions of Law</w:t>
      </w:r>
      <w:r>
        <w:tab/>
      </w:r>
      <w:r>
        <w:fldChar w:fldCharType="begin"/>
      </w:r>
      <w:r>
        <w:instrText xml:space="preserve"> PAGEREF _Toc386441220 \h </w:instrText>
      </w:r>
      <w:r>
        <w:fldChar w:fldCharType="separate"/>
      </w:r>
      <w:r w:rsidR="00FA6166">
        <w:t>33</w:t>
      </w:r>
      <w:r>
        <w:fldChar w:fldCharType="end"/>
      </w:r>
    </w:p>
    <w:p w:rsidR="009920A0" w:rsidRPr="006B1C90" w:rsidRDefault="009920A0">
      <w:pPr>
        <w:pStyle w:val="TOC1"/>
        <w:rPr>
          <w:rFonts w:ascii="Calibri" w:hAnsi="Calibri"/>
          <w:sz w:val="22"/>
          <w:szCs w:val="22"/>
        </w:rPr>
      </w:pPr>
      <w:r>
        <w:t>ORDER</w:t>
      </w:r>
      <w:r>
        <w:tab/>
      </w:r>
      <w:r>
        <w:fldChar w:fldCharType="begin"/>
      </w:r>
      <w:r>
        <w:instrText xml:space="preserve"> PAGEREF _Toc386441221 \h </w:instrText>
      </w:r>
      <w:r>
        <w:fldChar w:fldCharType="separate"/>
      </w:r>
      <w:r w:rsidR="00FA6166">
        <w:t>34</w:t>
      </w:r>
      <w:r>
        <w:fldChar w:fldCharType="end"/>
      </w:r>
    </w:p>
    <w:p w:rsidR="009920A0" w:rsidRPr="006B1C90" w:rsidRDefault="009920A0">
      <w:pPr>
        <w:pStyle w:val="TOC1"/>
        <w:rPr>
          <w:rFonts w:ascii="Calibri" w:hAnsi="Calibri"/>
          <w:sz w:val="22"/>
          <w:szCs w:val="22"/>
        </w:rPr>
      </w:pPr>
      <w:r>
        <w:t>Appendix A:  AT&amp;T Mobility’s Proposed Revisions to the ROW Rules</w:t>
      </w:r>
      <w:r>
        <w:tab/>
      </w:r>
      <w:r>
        <w:fldChar w:fldCharType="begin"/>
      </w:r>
      <w:r>
        <w:instrText xml:space="preserve"> PAGEREF _Toc386441222 \h </w:instrText>
      </w:r>
      <w:r>
        <w:fldChar w:fldCharType="separate"/>
      </w:r>
      <w:r w:rsidR="00FA6166">
        <w:t>1</w:t>
      </w:r>
      <w:r>
        <w:fldChar w:fldCharType="end"/>
      </w:r>
    </w:p>
    <w:p w:rsidR="009920A0" w:rsidRPr="006B1C90" w:rsidRDefault="009920A0">
      <w:pPr>
        <w:pStyle w:val="TOC1"/>
        <w:rPr>
          <w:rFonts w:ascii="Calibri" w:hAnsi="Calibri"/>
          <w:sz w:val="22"/>
          <w:szCs w:val="22"/>
        </w:rPr>
      </w:pPr>
      <w:r>
        <w:t>Appendix B:  List of CMRS Carriers</w:t>
      </w:r>
      <w:r>
        <w:tab/>
      </w:r>
      <w:r>
        <w:fldChar w:fldCharType="begin"/>
      </w:r>
      <w:r>
        <w:instrText xml:space="preserve"> PAGEREF _Toc386441223 \h </w:instrText>
      </w:r>
      <w:r>
        <w:fldChar w:fldCharType="separate"/>
      </w:r>
      <w:r w:rsidR="00FA6166">
        <w:t>1</w:t>
      </w:r>
      <w:r>
        <w:fldChar w:fldCharType="end"/>
      </w:r>
    </w:p>
    <w:p w:rsidR="000B0AA5" w:rsidRDefault="000B0AA5" w:rsidP="002E3B0D">
      <w:pPr>
        <w:pStyle w:val="standard"/>
        <w:widowControl w:val="0"/>
        <w:spacing w:line="240" w:lineRule="auto"/>
        <w:ind w:firstLine="0"/>
        <w:sectPr w:rsidR="000B0AA5" w:rsidSect="006A76F9">
          <w:headerReference w:type="default" r:id="rId14"/>
          <w:footerReference w:type="default" r:id="rId15"/>
          <w:headerReference w:type="first" r:id="rId16"/>
          <w:footerReference w:type="first" r:id="rId17"/>
          <w:pgSz w:w="12240" w:h="15840" w:code="1"/>
          <w:pgMar w:top="1152" w:right="1440" w:bottom="1440" w:left="1440" w:header="720" w:footer="720" w:gutter="0"/>
          <w:pgNumType w:fmt="lowerRoman" w:start="1"/>
          <w:cols w:space="720"/>
          <w:titlePg/>
          <w:docGrid w:linePitch="354"/>
        </w:sectPr>
      </w:pPr>
      <w:r>
        <w:fldChar w:fldCharType="end"/>
      </w:r>
    </w:p>
    <w:p w:rsidR="000B0AA5" w:rsidRDefault="000B0AA5">
      <w:pPr>
        <w:pStyle w:val="standard"/>
        <w:spacing w:before="120" w:line="240" w:lineRule="auto"/>
        <w:ind w:firstLine="0"/>
        <w:sectPr w:rsidR="000B0AA5" w:rsidSect="00CC7D0E">
          <w:headerReference w:type="default" r:id="rId18"/>
          <w:footerReference w:type="first" r:id="rId19"/>
          <w:type w:val="continuous"/>
          <w:pgSz w:w="12240" w:h="15840" w:code="1"/>
          <w:pgMar w:top="1152" w:right="1440" w:bottom="1440" w:left="1440" w:header="720" w:footer="720" w:gutter="0"/>
          <w:pgNumType w:start="2"/>
          <w:cols w:space="720"/>
          <w:titlePg/>
        </w:sectPr>
      </w:pPr>
    </w:p>
    <w:p w:rsidR="00EF4720" w:rsidRPr="00EF4720" w:rsidRDefault="00D04831" w:rsidP="00CE5441">
      <w:pPr>
        <w:pStyle w:val="standard"/>
        <w:spacing w:line="240" w:lineRule="auto"/>
        <w:ind w:firstLine="0"/>
        <w:jc w:val="center"/>
        <w:rPr>
          <w:rFonts w:ascii="Helvetica" w:hAnsi="Helvetica" w:cs="Helvetica"/>
          <w:b/>
        </w:rPr>
      </w:pPr>
      <w:r>
        <w:rPr>
          <w:rFonts w:ascii="Helvetica" w:hAnsi="Helvetica" w:cs="Helvetica"/>
          <w:b/>
        </w:rPr>
        <w:lastRenderedPageBreak/>
        <w:t>ORDER</w:t>
      </w:r>
      <w:r w:rsidRPr="00EF4720">
        <w:rPr>
          <w:rFonts w:ascii="Helvetica" w:hAnsi="Helvetica" w:cs="Helvetica"/>
          <w:b/>
        </w:rPr>
        <w:t xml:space="preserve"> </w:t>
      </w:r>
      <w:r w:rsidR="00BC554D">
        <w:rPr>
          <w:rFonts w:ascii="Helvetica" w:hAnsi="Helvetica" w:cs="Helvetica"/>
          <w:b/>
        </w:rPr>
        <w:t>REGARDING</w:t>
      </w:r>
      <w:r w:rsidR="00EF4720" w:rsidRPr="00EF4720">
        <w:rPr>
          <w:rFonts w:ascii="Helvetica" w:hAnsi="Helvetica" w:cs="Helvetica"/>
          <w:b/>
        </w:rPr>
        <w:t xml:space="preserve"> PETITION FOR RULEMAKING AND ORDER</w:t>
      </w:r>
      <w:r w:rsidR="00EC5349">
        <w:rPr>
          <w:rFonts w:ascii="Helvetica" w:hAnsi="Helvetica" w:cs="Helvetica"/>
          <w:b/>
        </w:rPr>
        <w:t> </w:t>
      </w:r>
      <w:r w:rsidR="00EF4720" w:rsidRPr="00EF4720">
        <w:rPr>
          <w:rFonts w:ascii="Helvetica" w:hAnsi="Helvetica" w:cs="Helvetica"/>
          <w:b/>
        </w:rPr>
        <w:t xml:space="preserve">INSTITUTING RULEMAKING </w:t>
      </w:r>
      <w:r w:rsidR="00D05E36">
        <w:rPr>
          <w:rFonts w:ascii="Helvetica" w:hAnsi="Helvetica" w:cs="Helvetica"/>
          <w:b/>
        </w:rPr>
        <w:t xml:space="preserve">REGARDING THE APPLICABILITY OF </w:t>
      </w:r>
      <w:r w:rsidR="00EC5349" w:rsidRPr="00EC5349">
        <w:rPr>
          <w:rFonts w:ascii="Helvetica" w:hAnsi="Helvetica" w:cs="Helvetica"/>
          <w:b/>
        </w:rPr>
        <w:t>THE COMMISSION’S RIGHT-OF-WAY RULES TO COMMERCIAL MOBILE RADIO SERVICE CARRIERS</w:t>
      </w:r>
    </w:p>
    <w:p w:rsidR="000B0AA5" w:rsidRDefault="000B0AA5">
      <w:pPr>
        <w:pStyle w:val="main"/>
      </w:pPr>
    </w:p>
    <w:p w:rsidR="000B0AA5" w:rsidRDefault="000B0AA5" w:rsidP="005E2D5F">
      <w:pPr>
        <w:pStyle w:val="Heading1"/>
      </w:pPr>
      <w:bookmarkStart w:id="2" w:name="_Toc194913473"/>
      <w:bookmarkStart w:id="3" w:name="_Toc386441194"/>
      <w:bookmarkStart w:id="4" w:name="_Toc213645579"/>
      <w:r>
        <w:t>Summary</w:t>
      </w:r>
      <w:bookmarkEnd w:id="2"/>
      <w:bookmarkEnd w:id="3"/>
      <w:r>
        <w:t xml:space="preserve"> </w:t>
      </w:r>
      <w:bookmarkEnd w:id="4"/>
    </w:p>
    <w:p w:rsidR="00DD08A6" w:rsidRDefault="00E14501" w:rsidP="00BC5EA8">
      <w:pPr>
        <w:pStyle w:val="standard"/>
      </w:pPr>
      <w:r>
        <w:t xml:space="preserve">In response to </w:t>
      </w:r>
      <w:r w:rsidR="008D21F5">
        <w:t>the petition filed by AT&amp;T Mobility pursuant to Public</w:t>
      </w:r>
      <w:r w:rsidR="00D07D77">
        <w:t> </w:t>
      </w:r>
      <w:r w:rsidR="008D21F5">
        <w:t>Utilities Code Section</w:t>
      </w:r>
      <w:r w:rsidR="00DC3EC0">
        <w:t> </w:t>
      </w:r>
      <w:r w:rsidR="008D21F5">
        <w:t>170</w:t>
      </w:r>
      <w:r w:rsidR="00DC3EC0">
        <w:t>8.5</w:t>
      </w:r>
      <w:r>
        <w:t xml:space="preserve">, this </w:t>
      </w:r>
      <w:r w:rsidR="00EC67CE">
        <w:t>order</w:t>
      </w:r>
      <w:r>
        <w:t xml:space="preserve"> institutes a rulemaking proceeding to consider </w:t>
      </w:r>
      <w:r w:rsidR="0072028B">
        <w:t>if</w:t>
      </w:r>
      <w:r w:rsidR="00DC3EC0">
        <w:t xml:space="preserve"> t</w:t>
      </w:r>
      <w:r>
        <w:t xml:space="preserve">he rules </w:t>
      </w:r>
      <w:r w:rsidR="00BC554D">
        <w:t xml:space="preserve">for nondiscriminatory </w:t>
      </w:r>
      <w:r w:rsidR="00ED3C9F">
        <w:t>access to utility poles, ducts, conduit</w:t>
      </w:r>
      <w:r w:rsidR="00E11EA8">
        <w:t>s</w:t>
      </w:r>
      <w:r w:rsidR="00ED3C9F">
        <w:t>, and rights-of-way ad</w:t>
      </w:r>
      <w:r w:rsidR="00DC3EC0">
        <w:t xml:space="preserve">opted </w:t>
      </w:r>
      <w:r w:rsidR="008D21F5">
        <w:t>by D</w:t>
      </w:r>
      <w:r w:rsidR="00FA73D6">
        <w:t xml:space="preserve">ecision </w:t>
      </w:r>
      <w:r w:rsidR="008D21F5">
        <w:t>98</w:t>
      </w:r>
      <w:r w:rsidR="00DC3EC0">
        <w:noBreakHyphen/>
      </w:r>
      <w:r w:rsidR="008D21F5">
        <w:t>10</w:t>
      </w:r>
      <w:r w:rsidR="00DC3EC0">
        <w:noBreakHyphen/>
      </w:r>
      <w:r w:rsidR="008D21F5">
        <w:t xml:space="preserve">058 </w:t>
      </w:r>
      <w:r w:rsidR="0072028B">
        <w:t xml:space="preserve">should be amended to </w:t>
      </w:r>
      <w:r w:rsidR="00BC554D">
        <w:t xml:space="preserve">encompass </w:t>
      </w:r>
      <w:r w:rsidR="00FA73D6">
        <w:t xml:space="preserve">Commercial Mobile Radio Service </w:t>
      </w:r>
      <w:r w:rsidR="00BC554D">
        <w:t xml:space="preserve">(CMRS) </w:t>
      </w:r>
      <w:r w:rsidR="00FA73D6">
        <w:t>carriers</w:t>
      </w:r>
      <w:r w:rsidR="00F752BC">
        <w:t xml:space="preserve"> </w:t>
      </w:r>
      <w:r w:rsidR="00F752BC" w:rsidRPr="00E90F79">
        <w:rPr>
          <w:rStyle w:val="standardChar"/>
        </w:rPr>
        <w:t xml:space="preserve">in a </w:t>
      </w:r>
      <w:r w:rsidR="00F752BC">
        <w:rPr>
          <w:rStyle w:val="standardChar"/>
        </w:rPr>
        <w:t>manner</w:t>
      </w:r>
      <w:r w:rsidR="00F752BC" w:rsidRPr="00E90F79">
        <w:rPr>
          <w:rStyle w:val="standardChar"/>
        </w:rPr>
        <w:t xml:space="preserve"> that provides reasonable </w:t>
      </w:r>
      <w:r w:rsidR="00117075">
        <w:rPr>
          <w:rStyle w:val="standardChar"/>
        </w:rPr>
        <w:t>fees</w:t>
      </w:r>
      <w:r w:rsidR="00F752BC" w:rsidRPr="00E90F79">
        <w:rPr>
          <w:rStyle w:val="standardChar"/>
        </w:rPr>
        <w:t xml:space="preserve"> for </w:t>
      </w:r>
      <w:r w:rsidR="00F752BC">
        <w:rPr>
          <w:rStyle w:val="standardChar"/>
        </w:rPr>
        <w:t>CMRS pole attachments, protects public safety, and preserves the reliability of co-located utility facilities</w:t>
      </w:r>
      <w:r w:rsidR="00A95F57">
        <w:t>.</w:t>
      </w:r>
    </w:p>
    <w:p w:rsidR="000B0AA5" w:rsidRDefault="00CA3655" w:rsidP="005E2D5F">
      <w:pPr>
        <w:pStyle w:val="Heading1"/>
      </w:pPr>
      <w:bookmarkStart w:id="5" w:name="_Toc386441195"/>
      <w:r>
        <w:t xml:space="preserve">Legal </w:t>
      </w:r>
      <w:r w:rsidR="00D41DDC">
        <w:t xml:space="preserve">and Regulatory </w:t>
      </w:r>
      <w:r w:rsidR="000B0AA5">
        <w:t>Background</w:t>
      </w:r>
      <w:bookmarkEnd w:id="5"/>
      <w:r w:rsidR="000B0AA5">
        <w:t xml:space="preserve"> </w:t>
      </w:r>
    </w:p>
    <w:p w:rsidR="00840228" w:rsidRDefault="00DD677C" w:rsidP="00BD0D21">
      <w:pPr>
        <w:pStyle w:val="standard"/>
      </w:pPr>
      <w:r>
        <w:t xml:space="preserve">Laws and </w:t>
      </w:r>
      <w:r w:rsidR="00FE0575">
        <w:t>r</w:t>
      </w:r>
      <w:r>
        <w:t xml:space="preserve">egulations enacted at the federal </w:t>
      </w:r>
      <w:r w:rsidR="00E87950">
        <w:t xml:space="preserve">level </w:t>
      </w:r>
      <w:r>
        <w:t xml:space="preserve">and </w:t>
      </w:r>
      <w:r w:rsidR="00E87950">
        <w:t xml:space="preserve">the </w:t>
      </w:r>
      <w:r>
        <w:t xml:space="preserve">state level </w:t>
      </w:r>
      <w:r w:rsidR="0062612F">
        <w:t>enable</w:t>
      </w:r>
      <w:r w:rsidR="00147C97">
        <w:t xml:space="preserve"> </w:t>
      </w:r>
      <w:r w:rsidR="009D0533">
        <w:t xml:space="preserve">telecommunications </w:t>
      </w:r>
      <w:r w:rsidR="002D36D6">
        <w:t>carriers</w:t>
      </w:r>
      <w:r w:rsidR="009D0533">
        <w:t xml:space="preserve"> </w:t>
      </w:r>
      <w:r w:rsidR="0062612F">
        <w:t>to obtain</w:t>
      </w:r>
      <w:r w:rsidR="00147C97">
        <w:t xml:space="preserve"> nondiscriminatory access to </w:t>
      </w:r>
      <w:r w:rsidR="00D07D77">
        <w:t>the</w:t>
      </w:r>
      <w:r w:rsidR="00147C97">
        <w:t xml:space="preserve"> poles, ducts, conduits, and rights-of-way</w:t>
      </w:r>
      <w:r w:rsidR="00D07D77">
        <w:t xml:space="preserve"> that are owned or controlled by other utilities</w:t>
      </w:r>
      <w:r w:rsidR="00A95F57">
        <w:t>.</w:t>
      </w:r>
    </w:p>
    <w:p w:rsidR="005B2EF3" w:rsidRDefault="005B2EF3" w:rsidP="005B2EF3">
      <w:pPr>
        <w:pStyle w:val="Heading2"/>
      </w:pPr>
      <w:bookmarkStart w:id="6" w:name="_Toc386441196"/>
      <w:r>
        <w:t>Federal Laws and Regulations</w:t>
      </w:r>
      <w:bookmarkEnd w:id="6"/>
      <w:r>
        <w:t xml:space="preserve"> </w:t>
      </w:r>
    </w:p>
    <w:p w:rsidR="00E009F7" w:rsidRDefault="00E009F7" w:rsidP="00E009F7">
      <w:pPr>
        <w:pStyle w:val="standard"/>
      </w:pPr>
      <w:r>
        <w:t xml:space="preserve">At the federal level, </w:t>
      </w:r>
      <w:r w:rsidR="003A2C40">
        <w:t>a utility</w:t>
      </w:r>
      <w:r w:rsidR="003A2C40">
        <w:rPr>
          <w:rStyle w:val="FootnoteReference"/>
        </w:rPr>
        <w:footnoteReference w:id="2"/>
      </w:r>
      <w:r w:rsidR="003A2C40">
        <w:t xml:space="preserve"> is required by </w:t>
      </w:r>
      <w:r>
        <w:t>Title</w:t>
      </w:r>
      <w:r w:rsidR="003240F4">
        <w:t> </w:t>
      </w:r>
      <w:r>
        <w:t>47</w:t>
      </w:r>
      <w:r w:rsidR="0095032A">
        <w:t xml:space="preserve">, Section 224(f), </w:t>
      </w:r>
      <w:r>
        <w:t xml:space="preserve">of the United States Code </w:t>
      </w:r>
      <w:r w:rsidRPr="00CA3655">
        <w:rPr>
          <w:rStyle w:val="standardChar"/>
        </w:rPr>
        <w:t>(47</w:t>
      </w:r>
      <w:r w:rsidR="00512977">
        <w:rPr>
          <w:rStyle w:val="standardChar"/>
        </w:rPr>
        <w:t> </w:t>
      </w:r>
      <w:r w:rsidRPr="00CA3655">
        <w:rPr>
          <w:rStyle w:val="standardChar"/>
        </w:rPr>
        <w:t>U.S.C. § 224</w:t>
      </w:r>
      <w:r w:rsidR="00D07D77">
        <w:rPr>
          <w:rStyle w:val="standardChar"/>
        </w:rPr>
        <w:t>(f)</w:t>
      </w:r>
      <w:r w:rsidRPr="00CA3655">
        <w:rPr>
          <w:rStyle w:val="standardChar"/>
        </w:rPr>
        <w:t xml:space="preserve">) </w:t>
      </w:r>
      <w:r w:rsidR="00E87950">
        <w:rPr>
          <w:rStyle w:val="standardChar"/>
        </w:rPr>
        <w:t xml:space="preserve">to </w:t>
      </w:r>
      <w:r w:rsidR="005A1DD2" w:rsidRPr="00CA3655">
        <w:rPr>
          <w:rStyle w:val="standardChar"/>
        </w:rPr>
        <w:t xml:space="preserve">provide </w:t>
      </w:r>
      <w:r w:rsidR="00620AF0">
        <w:rPr>
          <w:rStyle w:val="standardChar"/>
        </w:rPr>
        <w:t>“</w:t>
      </w:r>
      <w:r w:rsidR="005A1DD2" w:rsidRPr="00CA3655">
        <w:rPr>
          <w:rStyle w:val="standardChar"/>
        </w:rPr>
        <w:t>any telecommunications carrier with nondiscriminatory access to any pole, duct, conduit, or right-of-way owned or controlled by</w:t>
      </w:r>
      <w:r w:rsidR="00E87950">
        <w:rPr>
          <w:rStyle w:val="standardChar"/>
        </w:rPr>
        <w:t xml:space="preserve">” the utility </w:t>
      </w:r>
      <w:r w:rsidR="00A01C47">
        <w:rPr>
          <w:rStyle w:val="standardChar"/>
        </w:rPr>
        <w:t xml:space="preserve">except in situations where an electric utility cannot provide access because </w:t>
      </w:r>
      <w:r w:rsidR="00E87950">
        <w:rPr>
          <w:rStyle w:val="standardChar"/>
        </w:rPr>
        <w:t>of</w:t>
      </w:r>
      <w:r w:rsidR="00A01C47">
        <w:rPr>
          <w:rStyle w:val="standardChar"/>
        </w:rPr>
        <w:t xml:space="preserve"> </w:t>
      </w:r>
      <w:r w:rsidR="003A2C40">
        <w:rPr>
          <w:rStyle w:val="standardChar"/>
        </w:rPr>
        <w:t>“</w:t>
      </w:r>
      <w:r w:rsidR="00A01C47">
        <w:rPr>
          <w:rStyle w:val="standardChar"/>
        </w:rPr>
        <w:t xml:space="preserve">insufficient capacity </w:t>
      </w:r>
      <w:r w:rsidR="003A2C40">
        <w:rPr>
          <w:rStyle w:val="standardChar"/>
        </w:rPr>
        <w:t>and</w:t>
      </w:r>
      <w:r w:rsidR="00A01C47">
        <w:rPr>
          <w:rStyle w:val="standardChar"/>
        </w:rPr>
        <w:t xml:space="preserve"> for reasons of safety, </w:t>
      </w:r>
      <w:r w:rsidR="00DB5F3B">
        <w:rPr>
          <w:rStyle w:val="standardChar"/>
        </w:rPr>
        <w:lastRenderedPageBreak/>
        <w:t>reliability</w:t>
      </w:r>
      <w:r w:rsidR="003A2C40">
        <w:rPr>
          <w:rStyle w:val="standardChar"/>
        </w:rPr>
        <w:t xml:space="preserve"> and generally applicable</w:t>
      </w:r>
      <w:r w:rsidR="00DB5F3B">
        <w:rPr>
          <w:rStyle w:val="standardChar"/>
        </w:rPr>
        <w:t xml:space="preserve"> </w:t>
      </w:r>
      <w:r w:rsidR="00A01C47">
        <w:rPr>
          <w:rStyle w:val="standardChar"/>
        </w:rPr>
        <w:t xml:space="preserve">engineering </w:t>
      </w:r>
      <w:r w:rsidR="006F292F">
        <w:rPr>
          <w:rStyle w:val="standardChar"/>
        </w:rPr>
        <w:t>principles</w:t>
      </w:r>
      <w:r w:rsidR="00A01C47">
        <w:rPr>
          <w:rStyle w:val="standardChar"/>
        </w:rPr>
        <w:t>.</w:t>
      </w:r>
      <w:r w:rsidR="006D2E50">
        <w:rPr>
          <w:rStyle w:val="standardChar"/>
        </w:rPr>
        <w:t>”</w:t>
      </w:r>
      <w:r w:rsidR="002C32CC">
        <w:rPr>
          <w:rStyle w:val="FootnoteReference"/>
        </w:rPr>
        <w:footnoteReference w:id="3"/>
      </w:r>
      <w:r w:rsidR="002C32CC">
        <w:rPr>
          <w:rStyle w:val="standardChar"/>
        </w:rPr>
        <w:t xml:space="preserve"> </w:t>
      </w:r>
      <w:r w:rsidR="00304C15">
        <w:rPr>
          <w:rStyle w:val="standardChar"/>
        </w:rPr>
        <w:t xml:space="preserve"> </w:t>
      </w:r>
      <w:r w:rsidR="00105812">
        <w:rPr>
          <w:rStyle w:val="standardChar"/>
        </w:rPr>
        <w:t>Section</w:t>
      </w:r>
      <w:r w:rsidR="0036156C" w:rsidRPr="00CA3655">
        <w:rPr>
          <w:rStyle w:val="standardChar"/>
        </w:rPr>
        <w:t> </w:t>
      </w:r>
      <w:r w:rsidR="00633B66">
        <w:rPr>
          <w:rStyle w:val="standardChar"/>
        </w:rPr>
        <w:t>224(b)(1) requires the Federal Communications Commission (FCC) to “</w:t>
      </w:r>
      <w:r w:rsidRPr="000C1438">
        <w:t xml:space="preserve">regulate the rates, terms, and conditions for </w:t>
      </w:r>
      <w:r w:rsidRPr="00633B66">
        <w:rPr>
          <w:b/>
          <w:u w:val="single"/>
        </w:rPr>
        <w:t>pole attachments</w:t>
      </w:r>
      <w:r w:rsidRPr="000C1438">
        <w:t xml:space="preserve"> to provide that such rates, terms, and conditions are just and reasonable, and shall adopt procedures</w:t>
      </w:r>
      <w:r w:rsidR="003A2C40">
        <w:t xml:space="preserve">… </w:t>
      </w:r>
      <w:r w:rsidRPr="000C1438">
        <w:t>to hear and resolve complaints concerning such rates, terms, and conditions.</w:t>
      </w:r>
      <w:r>
        <w:t xml:space="preserve">” </w:t>
      </w:r>
      <w:r w:rsidR="001A14BC">
        <w:t xml:space="preserve"> </w:t>
      </w:r>
      <w:r w:rsidR="00633B66">
        <w:t>(Emphasis added</w:t>
      </w:r>
      <w:r w:rsidR="00D92246">
        <w:t>.</w:t>
      </w:r>
      <w:r w:rsidR="00633B66">
        <w:t xml:space="preserve">)  </w:t>
      </w:r>
      <w:r w:rsidR="00ED3C9F">
        <w:t>Section 224(a)(4) defines the term “pole attachment” as “any attachment by a cable television system o</w:t>
      </w:r>
      <w:r w:rsidR="003A2C40">
        <w:t>r</w:t>
      </w:r>
      <w:r w:rsidR="00ED3C9F">
        <w:t xml:space="preserve"> provider of telecommunications service to a pole, duct, conduit, or right-of-way owned or controlled by a utility.”  </w:t>
      </w:r>
      <w:r w:rsidR="006F292F">
        <w:t xml:space="preserve">The FCC’s regulations for </w:t>
      </w:r>
      <w:r w:rsidR="0095032A">
        <w:t xml:space="preserve">nondiscriminatory </w:t>
      </w:r>
      <w:r w:rsidR="006F292F">
        <w:t xml:space="preserve">pole attachments are set forth in Title 47, </w:t>
      </w:r>
      <w:r w:rsidR="0095032A" w:rsidRPr="00CA3655">
        <w:rPr>
          <w:rStyle w:val="standardChar"/>
        </w:rPr>
        <w:t>§§ </w:t>
      </w:r>
      <w:r w:rsidR="006F292F">
        <w:t>1.1401 </w:t>
      </w:r>
      <w:r w:rsidR="006F292F">
        <w:noBreakHyphen/>
        <w:t xml:space="preserve"> 1.1424, of the Code of Federal Regulations </w:t>
      </w:r>
      <w:r w:rsidR="006F292F" w:rsidRPr="00CA3655">
        <w:rPr>
          <w:rStyle w:val="standardChar"/>
        </w:rPr>
        <w:t>(</w:t>
      </w:r>
      <w:r w:rsidR="006F292F">
        <w:t xml:space="preserve">47 C.F.R. </w:t>
      </w:r>
      <w:r w:rsidR="006F292F" w:rsidRPr="00346198">
        <w:t>§</w:t>
      </w:r>
      <w:r w:rsidR="006F292F">
        <w:t>§ </w:t>
      </w:r>
      <w:r w:rsidR="006F292F" w:rsidRPr="00346198">
        <w:t>1.140</w:t>
      </w:r>
      <w:r w:rsidR="006F292F">
        <w:t>1-1.1424)</w:t>
      </w:r>
      <w:r w:rsidR="00D92246">
        <w:t>.</w:t>
      </w:r>
    </w:p>
    <w:p w:rsidR="0099333F" w:rsidRDefault="00D92246" w:rsidP="0099333F">
      <w:pPr>
        <w:pStyle w:val="standard"/>
      </w:pPr>
      <w:r>
        <w:t xml:space="preserve">A state may preempt </w:t>
      </w:r>
      <w:r w:rsidR="00EE7441">
        <w:t>the FCC’s</w:t>
      </w:r>
      <w:r w:rsidR="00FF3BD6">
        <w:t xml:space="preserve"> </w:t>
      </w:r>
      <w:r>
        <w:t>regulation of pole attachments</w:t>
      </w:r>
      <w:r w:rsidR="008E2DFF">
        <w:t xml:space="preserve"> in certain circumstances</w:t>
      </w:r>
      <w:r w:rsidR="00834E52">
        <w:t xml:space="preserve">.  </w:t>
      </w:r>
      <w:r w:rsidR="00304C15">
        <w:t>Specifically</w:t>
      </w:r>
      <w:r w:rsidR="00834E52">
        <w:t xml:space="preserve">, </w:t>
      </w:r>
      <w:r w:rsidR="00E11EA8" w:rsidRPr="00CA3655">
        <w:rPr>
          <w:rStyle w:val="standardChar"/>
        </w:rPr>
        <w:t>47</w:t>
      </w:r>
      <w:r w:rsidR="00E11EA8">
        <w:rPr>
          <w:rStyle w:val="standardChar"/>
        </w:rPr>
        <w:t> </w:t>
      </w:r>
      <w:r w:rsidR="00E11EA8" w:rsidRPr="00CA3655">
        <w:rPr>
          <w:rStyle w:val="standardChar"/>
        </w:rPr>
        <w:t>U.S.C.</w:t>
      </w:r>
      <w:r w:rsidR="00E11EA8">
        <w:rPr>
          <w:rStyle w:val="standardChar"/>
        </w:rPr>
        <w:t> </w:t>
      </w:r>
      <w:r w:rsidR="00FE0575" w:rsidRPr="00CA3655">
        <w:rPr>
          <w:rStyle w:val="standardChar"/>
        </w:rPr>
        <w:t>§</w:t>
      </w:r>
      <w:r w:rsidR="00FE0575">
        <w:rPr>
          <w:rStyle w:val="standardChar"/>
        </w:rPr>
        <w:t> </w:t>
      </w:r>
      <w:r w:rsidR="00FE0575" w:rsidRPr="00CA3655">
        <w:rPr>
          <w:rStyle w:val="standardChar"/>
        </w:rPr>
        <w:t>2</w:t>
      </w:r>
      <w:r>
        <w:rPr>
          <w:rStyle w:val="standardChar"/>
        </w:rPr>
        <w:t>2</w:t>
      </w:r>
      <w:r w:rsidR="00FE0575" w:rsidRPr="00CA3655">
        <w:rPr>
          <w:rStyle w:val="standardChar"/>
        </w:rPr>
        <w:t xml:space="preserve">4(c)(1) </w:t>
      </w:r>
      <w:r w:rsidR="00834E52">
        <w:rPr>
          <w:rStyle w:val="standardChar"/>
        </w:rPr>
        <w:t xml:space="preserve">provides that “[n]othing in this section shall be construed to apply to, or to give the [FCC] jurisdiction </w:t>
      </w:r>
      <w:r w:rsidR="00FE0575" w:rsidRPr="00CA3655">
        <w:rPr>
          <w:rStyle w:val="standardChar"/>
        </w:rPr>
        <w:t>with respect to rates, terms, and conditions, or access to poles, ducts, conduits, and rights-of-way</w:t>
      </w:r>
      <w:r w:rsidR="00834E52">
        <w:rPr>
          <w:rStyle w:val="standardChar"/>
        </w:rPr>
        <w:t xml:space="preserve">… </w:t>
      </w:r>
      <w:r w:rsidR="00FE0575" w:rsidRPr="00CA3655">
        <w:rPr>
          <w:rStyle w:val="standardChar"/>
        </w:rPr>
        <w:t xml:space="preserve">for pole attachments in any case where such matters are regulated by a State."  </w:t>
      </w:r>
      <w:r w:rsidR="0099333F">
        <w:t xml:space="preserve">In order for a state to establish its jurisdiction, the state must </w:t>
      </w:r>
      <w:r w:rsidR="006F292F">
        <w:t xml:space="preserve">certify to the FCC that the state has enacted regulations that meet </w:t>
      </w:r>
      <w:r w:rsidR="0099333F">
        <w:t xml:space="preserve">the </w:t>
      </w:r>
      <w:r w:rsidR="0034556F">
        <w:t xml:space="preserve">following </w:t>
      </w:r>
      <w:r w:rsidR="0099333F">
        <w:t xml:space="preserve">conditions </w:t>
      </w:r>
      <w:r w:rsidR="0034556F">
        <w:t xml:space="preserve">set forth in </w:t>
      </w:r>
      <w:r w:rsidR="00ED3C9F" w:rsidRPr="00CA3655">
        <w:rPr>
          <w:rStyle w:val="standardChar"/>
        </w:rPr>
        <w:t>47</w:t>
      </w:r>
      <w:r w:rsidR="00ED3C9F">
        <w:rPr>
          <w:rStyle w:val="standardChar"/>
        </w:rPr>
        <w:t> </w:t>
      </w:r>
      <w:r w:rsidR="00ED3C9F" w:rsidRPr="00CA3655">
        <w:rPr>
          <w:rStyle w:val="standardChar"/>
        </w:rPr>
        <w:t>U.S.C.</w:t>
      </w:r>
      <w:r w:rsidR="00ED3C9F">
        <w:rPr>
          <w:rStyle w:val="standardChar"/>
        </w:rPr>
        <w:t> </w:t>
      </w:r>
      <w:r w:rsidR="0099333F">
        <w:t>§§ 224(c)(2) and (3):</w:t>
      </w:r>
    </w:p>
    <w:p w:rsidR="0099333F" w:rsidRPr="00CA3655" w:rsidRDefault="0099333F" w:rsidP="00EE7441">
      <w:pPr>
        <w:pStyle w:val="standard"/>
        <w:tabs>
          <w:tab w:val="left" w:pos="1260"/>
        </w:tabs>
        <w:spacing w:after="80" w:line="240" w:lineRule="auto"/>
        <w:ind w:left="1267" w:right="720" w:hanging="547"/>
        <w:rPr>
          <w:rStyle w:val="standardChar"/>
        </w:rPr>
      </w:pPr>
      <w:r w:rsidRPr="00CA3655">
        <w:rPr>
          <w:rStyle w:val="standardChar"/>
        </w:rPr>
        <w:t xml:space="preserve">(2) </w:t>
      </w:r>
      <w:r>
        <w:rPr>
          <w:rStyle w:val="standardChar"/>
        </w:rPr>
        <w:tab/>
      </w:r>
      <w:r w:rsidRPr="00CA3655">
        <w:rPr>
          <w:rStyle w:val="standardChar"/>
        </w:rPr>
        <w:t xml:space="preserve">Each </w:t>
      </w:r>
      <w:r w:rsidRPr="00CA3655">
        <w:t>State</w:t>
      </w:r>
      <w:r w:rsidRPr="00CA3655">
        <w:rPr>
          <w:rStyle w:val="standardChar"/>
        </w:rPr>
        <w:t xml:space="preserve"> which regulates the rates, terms, and conditions for pole attachment shall certify to the </w:t>
      </w:r>
      <w:r w:rsidR="003D6BE3">
        <w:rPr>
          <w:rStyle w:val="standardChar"/>
        </w:rPr>
        <w:t xml:space="preserve">[FCC] </w:t>
      </w:r>
      <w:r w:rsidRPr="00CA3655">
        <w:rPr>
          <w:rStyle w:val="standardChar"/>
        </w:rPr>
        <w:t>that - -</w:t>
      </w:r>
    </w:p>
    <w:p w:rsidR="0099333F" w:rsidRPr="00CA3655" w:rsidRDefault="0099333F" w:rsidP="0099333F">
      <w:pPr>
        <w:pStyle w:val="standard"/>
        <w:tabs>
          <w:tab w:val="left" w:pos="1980"/>
        </w:tabs>
        <w:spacing w:after="80" w:line="240" w:lineRule="auto"/>
        <w:ind w:left="1987" w:right="720" w:hanging="547"/>
        <w:rPr>
          <w:rStyle w:val="standardChar"/>
        </w:rPr>
      </w:pPr>
      <w:r w:rsidRPr="00CA3655">
        <w:rPr>
          <w:rStyle w:val="standardChar"/>
        </w:rPr>
        <w:t xml:space="preserve">(A) </w:t>
      </w:r>
      <w:r>
        <w:rPr>
          <w:rStyle w:val="standardChar"/>
        </w:rPr>
        <w:tab/>
      </w:r>
      <w:r w:rsidR="003D6BE3">
        <w:rPr>
          <w:rStyle w:val="standardChar"/>
        </w:rPr>
        <w:t>i</w:t>
      </w:r>
      <w:r w:rsidRPr="00CA3655">
        <w:rPr>
          <w:rStyle w:val="standardChar"/>
        </w:rPr>
        <w:t>t regulates such rates, terms, and conditions; and</w:t>
      </w:r>
    </w:p>
    <w:p w:rsidR="0099333F" w:rsidRPr="00CA3655" w:rsidRDefault="0099333F" w:rsidP="0099333F">
      <w:pPr>
        <w:pStyle w:val="standard"/>
        <w:tabs>
          <w:tab w:val="left" w:pos="1980"/>
        </w:tabs>
        <w:spacing w:after="80" w:line="240" w:lineRule="auto"/>
        <w:ind w:left="1987" w:right="720" w:hanging="547"/>
        <w:rPr>
          <w:rStyle w:val="standardChar"/>
        </w:rPr>
      </w:pPr>
      <w:r w:rsidRPr="00CA3655">
        <w:rPr>
          <w:rStyle w:val="standardChar"/>
        </w:rPr>
        <w:t xml:space="preserve">(B) </w:t>
      </w:r>
      <w:r>
        <w:rPr>
          <w:rStyle w:val="standardChar"/>
        </w:rPr>
        <w:tab/>
      </w:r>
      <w:r w:rsidR="003D6BE3">
        <w:rPr>
          <w:rStyle w:val="standardChar"/>
        </w:rPr>
        <w:t>i</w:t>
      </w:r>
      <w:r w:rsidRPr="00CA3655">
        <w:rPr>
          <w:rStyle w:val="standardChar"/>
        </w:rPr>
        <w:t>n so regulating such rates terms, and conditions, the State has the authority to consider and does consider the interests of the subscribers of the services offered via such attachment, as well as the interests of the consumers of the utility service.</w:t>
      </w:r>
    </w:p>
    <w:p w:rsidR="0099333F" w:rsidRPr="00CA3655" w:rsidRDefault="0099333F" w:rsidP="00EE7441">
      <w:pPr>
        <w:pStyle w:val="standard"/>
        <w:keepNext/>
        <w:tabs>
          <w:tab w:val="left" w:pos="1260"/>
        </w:tabs>
        <w:spacing w:after="80" w:line="240" w:lineRule="auto"/>
        <w:ind w:left="1267" w:right="720" w:hanging="547"/>
      </w:pPr>
      <w:r w:rsidRPr="00CA3655">
        <w:lastRenderedPageBreak/>
        <w:t xml:space="preserve">(3) </w:t>
      </w:r>
      <w:r>
        <w:tab/>
      </w:r>
      <w:r w:rsidRPr="00CA3655">
        <w:t>For purposes of this subsection, a State shall not be considered to regulate the rates, terms, and conditions for pole attachments</w:t>
      </w:r>
      <w:r w:rsidR="00EE7441">
        <w:t> </w:t>
      </w:r>
      <w:r w:rsidR="00943440">
        <w:t xml:space="preserve">- </w:t>
      </w:r>
      <w:r w:rsidRPr="00CA3655">
        <w:t>-</w:t>
      </w:r>
    </w:p>
    <w:p w:rsidR="0099333F" w:rsidRPr="00CA3655" w:rsidRDefault="0099333F" w:rsidP="0099333F">
      <w:pPr>
        <w:pStyle w:val="standard"/>
        <w:tabs>
          <w:tab w:val="left" w:pos="1980"/>
        </w:tabs>
        <w:spacing w:after="80" w:line="240" w:lineRule="auto"/>
        <w:ind w:left="1987" w:right="720" w:hanging="547"/>
        <w:rPr>
          <w:rStyle w:val="standardChar"/>
        </w:rPr>
      </w:pPr>
      <w:r w:rsidRPr="00CA3655">
        <w:rPr>
          <w:rStyle w:val="standardChar"/>
        </w:rPr>
        <w:t xml:space="preserve">(A) </w:t>
      </w:r>
      <w:r>
        <w:rPr>
          <w:rStyle w:val="standardChar"/>
        </w:rPr>
        <w:tab/>
      </w:r>
      <w:r w:rsidR="003D6BE3">
        <w:rPr>
          <w:rStyle w:val="standardChar"/>
        </w:rPr>
        <w:t>u</w:t>
      </w:r>
      <w:r w:rsidRPr="00CA3655">
        <w:rPr>
          <w:rStyle w:val="standardChar"/>
        </w:rPr>
        <w:t>nless the State has issued and made effective rules and regulations implementing the State's regulatory authority over pole attachments; and</w:t>
      </w:r>
    </w:p>
    <w:p w:rsidR="0099333F" w:rsidRPr="00CA3655" w:rsidRDefault="0099333F" w:rsidP="0099333F">
      <w:pPr>
        <w:pStyle w:val="standard"/>
        <w:tabs>
          <w:tab w:val="left" w:pos="1980"/>
        </w:tabs>
        <w:spacing w:after="80" w:line="240" w:lineRule="auto"/>
        <w:ind w:left="1987" w:right="720" w:hanging="547"/>
        <w:rPr>
          <w:rStyle w:val="standardChar"/>
        </w:rPr>
      </w:pPr>
      <w:r w:rsidRPr="00CA3655">
        <w:rPr>
          <w:rStyle w:val="standardChar"/>
        </w:rPr>
        <w:t xml:space="preserve">(B) </w:t>
      </w:r>
      <w:r>
        <w:rPr>
          <w:rStyle w:val="standardChar"/>
        </w:rPr>
        <w:tab/>
      </w:r>
      <w:r w:rsidR="003D6BE3">
        <w:rPr>
          <w:rStyle w:val="standardChar"/>
        </w:rPr>
        <w:t>w</w:t>
      </w:r>
      <w:r w:rsidRPr="00CA3655">
        <w:rPr>
          <w:rStyle w:val="standardChar"/>
        </w:rPr>
        <w:t>ith respect to any individual matter, unless the State takes final action on a co</w:t>
      </w:r>
      <w:r w:rsidR="00943440">
        <w:rPr>
          <w:rStyle w:val="standardChar"/>
        </w:rPr>
        <w:t xml:space="preserve">mplaint regarding such matter - </w:t>
      </w:r>
      <w:r w:rsidRPr="00CA3655">
        <w:rPr>
          <w:rStyle w:val="standardChar"/>
        </w:rPr>
        <w:t>-</w:t>
      </w:r>
    </w:p>
    <w:p w:rsidR="0099333F" w:rsidRPr="00CA3655" w:rsidRDefault="0099333F" w:rsidP="00FB6CE5">
      <w:pPr>
        <w:pStyle w:val="standard"/>
        <w:tabs>
          <w:tab w:val="left" w:pos="2610"/>
        </w:tabs>
        <w:spacing w:after="80" w:line="240" w:lineRule="auto"/>
        <w:ind w:left="2606" w:right="900" w:hanging="446"/>
        <w:rPr>
          <w:rStyle w:val="standardChar"/>
        </w:rPr>
      </w:pPr>
      <w:r w:rsidRPr="00CA3655">
        <w:rPr>
          <w:rStyle w:val="standardChar"/>
        </w:rPr>
        <w:t>i.</w:t>
      </w:r>
      <w:r>
        <w:rPr>
          <w:rStyle w:val="standardChar"/>
        </w:rPr>
        <w:t xml:space="preserve"> </w:t>
      </w:r>
      <w:r>
        <w:rPr>
          <w:rStyle w:val="standardChar"/>
        </w:rPr>
        <w:tab/>
      </w:r>
      <w:r w:rsidR="003D6BE3">
        <w:rPr>
          <w:rStyle w:val="standardChar"/>
        </w:rPr>
        <w:t>w</w:t>
      </w:r>
      <w:r w:rsidRPr="00CA3655">
        <w:rPr>
          <w:rStyle w:val="standardChar"/>
        </w:rPr>
        <w:t>ithin 180 days after the complaint is filed with the State or</w:t>
      </w:r>
    </w:p>
    <w:p w:rsidR="0099333F" w:rsidRPr="00CA3655" w:rsidRDefault="0099333F" w:rsidP="00FB6CE5">
      <w:pPr>
        <w:pStyle w:val="standard"/>
        <w:tabs>
          <w:tab w:val="left" w:pos="2610"/>
        </w:tabs>
        <w:spacing w:after="200" w:line="240" w:lineRule="auto"/>
        <w:ind w:left="2606" w:right="900" w:hanging="446"/>
        <w:rPr>
          <w:rStyle w:val="standardChar"/>
        </w:rPr>
      </w:pPr>
      <w:r w:rsidRPr="00CA3655">
        <w:rPr>
          <w:rStyle w:val="standardChar"/>
        </w:rPr>
        <w:t xml:space="preserve">ii. </w:t>
      </w:r>
      <w:r>
        <w:rPr>
          <w:rStyle w:val="standardChar"/>
        </w:rPr>
        <w:tab/>
      </w:r>
      <w:r w:rsidR="003D6BE3">
        <w:rPr>
          <w:rStyle w:val="standardChar"/>
        </w:rPr>
        <w:t>w</w:t>
      </w:r>
      <w:r w:rsidRPr="00CA3655">
        <w:rPr>
          <w:rStyle w:val="standardChar"/>
        </w:rPr>
        <w:t>ithin the application period prescribed for such final action in such rules and regulations of the State, if the prescribed period does not extend beyond 360 days after the filing of such complaint.</w:t>
      </w:r>
    </w:p>
    <w:p w:rsidR="0099333F" w:rsidRPr="00CA3655" w:rsidRDefault="00756F69" w:rsidP="0099333F">
      <w:pPr>
        <w:pStyle w:val="standard"/>
        <w:rPr>
          <w:rStyle w:val="standardChar"/>
        </w:rPr>
      </w:pPr>
      <w:r>
        <w:rPr>
          <w:rStyle w:val="standardChar"/>
        </w:rPr>
        <w:t xml:space="preserve">A state’s regulation of pole attachments does not have to conform to the FCC’s rules.  </w:t>
      </w:r>
      <w:r w:rsidR="004866EC">
        <w:rPr>
          <w:rStyle w:val="standardChar"/>
        </w:rPr>
        <w:t>As set forth in 47 U.S.C.</w:t>
      </w:r>
      <w:r w:rsidR="004866EC" w:rsidRPr="004866EC">
        <w:rPr>
          <w:rStyle w:val="standardChar"/>
        </w:rPr>
        <w:t xml:space="preserve"> </w:t>
      </w:r>
      <w:r w:rsidR="004866EC" w:rsidRPr="00CA3655">
        <w:rPr>
          <w:rStyle w:val="standardChar"/>
        </w:rPr>
        <w:t>§</w:t>
      </w:r>
      <w:r w:rsidR="004866EC">
        <w:rPr>
          <w:rStyle w:val="standardChar"/>
        </w:rPr>
        <w:t> </w:t>
      </w:r>
      <w:r w:rsidR="004866EC" w:rsidRPr="00CA3655">
        <w:rPr>
          <w:rStyle w:val="standardChar"/>
        </w:rPr>
        <w:t>25</w:t>
      </w:r>
      <w:r w:rsidR="004866EC">
        <w:rPr>
          <w:rStyle w:val="standardChar"/>
        </w:rPr>
        <w:t>3(b), a</w:t>
      </w:r>
      <w:r w:rsidR="00AF30C9">
        <w:rPr>
          <w:rStyle w:val="standardChar"/>
        </w:rPr>
        <w:t xml:space="preserve"> state </w:t>
      </w:r>
      <w:r w:rsidR="006F292F">
        <w:rPr>
          <w:rStyle w:val="standardChar"/>
        </w:rPr>
        <w:t>may</w:t>
      </w:r>
      <w:r w:rsidR="00AF30C9">
        <w:rPr>
          <w:rStyle w:val="standardChar"/>
        </w:rPr>
        <w:t xml:space="preserve"> adopt </w:t>
      </w:r>
      <w:r w:rsidR="0099333F" w:rsidRPr="00CA3655">
        <w:rPr>
          <w:rStyle w:val="standardChar"/>
        </w:rPr>
        <w:t>"on a competitively neutral basis and consistent with Section</w:t>
      </w:r>
      <w:r w:rsidR="0099333F">
        <w:rPr>
          <w:rStyle w:val="standardChar"/>
        </w:rPr>
        <w:t> </w:t>
      </w:r>
      <w:r w:rsidR="0099333F" w:rsidRPr="00CA3655">
        <w:rPr>
          <w:rStyle w:val="standardChar"/>
        </w:rPr>
        <w:t>254, requirements necessary to preserve and advance universal service, protect the public safety and welfare, ensure the continued quality of telecommunications services, and safeguard the rights of consumers."  In addition, §</w:t>
      </w:r>
      <w:r w:rsidR="0099333F">
        <w:rPr>
          <w:rStyle w:val="standardChar"/>
        </w:rPr>
        <w:t> </w:t>
      </w:r>
      <w:r w:rsidR="0099333F" w:rsidRPr="00CA3655">
        <w:rPr>
          <w:rStyle w:val="standardChar"/>
        </w:rPr>
        <w:t xml:space="preserve">253 recognizes the authority of state and local governments to manage public </w:t>
      </w:r>
      <w:r w:rsidR="0062612F">
        <w:rPr>
          <w:rStyle w:val="standardChar"/>
        </w:rPr>
        <w:t>right</w:t>
      </w:r>
      <w:r w:rsidR="001F22E3">
        <w:rPr>
          <w:rStyle w:val="standardChar"/>
        </w:rPr>
        <w:t>s</w:t>
      </w:r>
      <w:r w:rsidR="0062612F">
        <w:rPr>
          <w:rStyle w:val="standardChar"/>
        </w:rPr>
        <w:t>-of-way (</w:t>
      </w:r>
      <w:r w:rsidR="0099333F" w:rsidRPr="00CA3655">
        <w:rPr>
          <w:rStyle w:val="standardChar"/>
        </w:rPr>
        <w:t>ROW</w:t>
      </w:r>
      <w:r w:rsidR="0062612F">
        <w:rPr>
          <w:rStyle w:val="standardChar"/>
        </w:rPr>
        <w:t>)</w:t>
      </w:r>
      <w:r w:rsidR="0099333F" w:rsidRPr="00CA3655">
        <w:rPr>
          <w:rStyle w:val="standardChar"/>
        </w:rPr>
        <w:t xml:space="preserve"> and to require </w:t>
      </w:r>
      <w:r w:rsidR="0068566D">
        <w:rPr>
          <w:rStyle w:val="standardChar"/>
        </w:rPr>
        <w:t>just</w:t>
      </w:r>
      <w:r w:rsidR="0099333F" w:rsidRPr="00CA3655">
        <w:rPr>
          <w:rStyle w:val="standardChar"/>
        </w:rPr>
        <w:t xml:space="preserve"> and reasonable compensation for the use of such ROW.</w:t>
      </w:r>
      <w:r>
        <w:rPr>
          <w:rStyle w:val="standardChar"/>
        </w:rPr>
        <w:t xml:space="preserve">  </w:t>
      </w:r>
      <w:r w:rsidR="00AF30C9">
        <w:rPr>
          <w:rStyle w:val="standardChar"/>
        </w:rPr>
        <w:t xml:space="preserve">However, a </w:t>
      </w:r>
      <w:r w:rsidR="00AF30C9" w:rsidRPr="00CA3655">
        <w:rPr>
          <w:rStyle w:val="standardChar"/>
        </w:rPr>
        <w:t>state</w:t>
      </w:r>
      <w:r w:rsidR="00AF30C9">
        <w:rPr>
          <w:rStyle w:val="standardChar"/>
        </w:rPr>
        <w:t xml:space="preserve">’s discretion to regulate </w:t>
      </w:r>
      <w:r w:rsidR="00AF30C9" w:rsidRPr="00CA3655">
        <w:rPr>
          <w:rStyle w:val="standardChar"/>
        </w:rPr>
        <w:t>pole attachments is circumscribed by § 253</w:t>
      </w:r>
      <w:r w:rsidR="00FA0A0B">
        <w:rPr>
          <w:rStyle w:val="standardChar"/>
        </w:rPr>
        <w:t>(a)</w:t>
      </w:r>
      <w:r w:rsidR="00AF30C9">
        <w:rPr>
          <w:rStyle w:val="standardChar"/>
        </w:rPr>
        <w:t>,</w:t>
      </w:r>
      <w:r w:rsidR="00AF30C9" w:rsidRPr="00CA3655">
        <w:rPr>
          <w:rStyle w:val="standardChar"/>
        </w:rPr>
        <w:t xml:space="preserve"> which </w:t>
      </w:r>
      <w:r w:rsidR="00AF30C9">
        <w:rPr>
          <w:rStyle w:val="standardChar"/>
        </w:rPr>
        <w:t xml:space="preserve">bars </w:t>
      </w:r>
      <w:r w:rsidR="00AF30C9" w:rsidRPr="00CA3655">
        <w:rPr>
          <w:rStyle w:val="standardChar"/>
        </w:rPr>
        <w:t xml:space="preserve">all state or local </w:t>
      </w:r>
      <w:r w:rsidR="003A2C40">
        <w:rPr>
          <w:rStyle w:val="standardChar"/>
        </w:rPr>
        <w:t>regulations</w:t>
      </w:r>
      <w:r w:rsidR="00AF30C9" w:rsidRPr="00CA3655">
        <w:rPr>
          <w:rStyle w:val="standardChar"/>
        </w:rPr>
        <w:t xml:space="preserve"> that "have the effect of prohibiting the ability of any entity to provide any interstate or intrastate telecommunications service."  </w:t>
      </w:r>
    </w:p>
    <w:p w:rsidR="005B2EF3" w:rsidRDefault="005B2EF3" w:rsidP="005B2EF3">
      <w:pPr>
        <w:pStyle w:val="Heading2"/>
      </w:pPr>
      <w:bookmarkStart w:id="7" w:name="_Toc386441197"/>
      <w:r>
        <w:t xml:space="preserve">Decision </w:t>
      </w:r>
      <w:r w:rsidR="001623CE">
        <w:t xml:space="preserve">(D.) </w:t>
      </w:r>
      <w:r>
        <w:t>98-10-058 and the Commission’s ROW Rules</w:t>
      </w:r>
      <w:bookmarkEnd w:id="7"/>
    </w:p>
    <w:p w:rsidR="00DF0412" w:rsidRDefault="00001CB4" w:rsidP="00DF0412">
      <w:pPr>
        <w:pStyle w:val="standard"/>
      </w:pPr>
      <w:r w:rsidRPr="005B69DB">
        <w:t xml:space="preserve">Public Utilities Code </w:t>
      </w:r>
      <w:r w:rsidR="006F292F">
        <w:t>s</w:t>
      </w:r>
      <w:r>
        <w:t>ections (Pub. Util. Code</w:t>
      </w:r>
      <w:r w:rsidR="006F292F">
        <w:t> </w:t>
      </w:r>
      <w:r w:rsidRPr="005B69DB">
        <w:t>§§</w:t>
      </w:r>
      <w:r>
        <w:t xml:space="preserve">) 701, </w:t>
      </w:r>
      <w:r w:rsidRPr="005B69DB">
        <w:t>767</w:t>
      </w:r>
      <w:r>
        <w:t xml:space="preserve">, and 1702 </w:t>
      </w:r>
      <w:r w:rsidR="00E101BE">
        <w:t xml:space="preserve">authorize </w:t>
      </w:r>
      <w:r w:rsidR="00B913FC">
        <w:t>t</w:t>
      </w:r>
      <w:r w:rsidR="00FE0575" w:rsidRPr="005B69DB">
        <w:t xml:space="preserve">he </w:t>
      </w:r>
      <w:r w:rsidR="005B12EB">
        <w:t xml:space="preserve">California Public Utilities Commission (Commission) </w:t>
      </w:r>
      <w:r w:rsidRPr="00070AF6">
        <w:t>to regulate public utilities</w:t>
      </w:r>
      <w:r w:rsidR="00F704BB">
        <w:t xml:space="preserve"> and to e</w:t>
      </w:r>
      <w:r w:rsidR="00650017">
        <w:t>stablish</w:t>
      </w:r>
      <w:r>
        <w:t xml:space="preserve"> reasonable </w:t>
      </w:r>
      <w:r w:rsidR="00F704BB">
        <w:t>rates</w:t>
      </w:r>
      <w:r w:rsidR="00D91751">
        <w:t xml:space="preserve">, </w:t>
      </w:r>
      <w:r>
        <w:t>terms</w:t>
      </w:r>
      <w:r w:rsidR="00D91751">
        <w:t>,</w:t>
      </w:r>
      <w:r>
        <w:t xml:space="preserve"> and conditions for joint use of utility</w:t>
      </w:r>
      <w:r w:rsidR="00E101BE">
        <w:t xml:space="preserve"> </w:t>
      </w:r>
      <w:r w:rsidR="0057652D">
        <w:t>poles, ducts, conduits, and ROW (together, “utility ROW”)</w:t>
      </w:r>
      <w:r w:rsidR="00943440">
        <w:t>.</w:t>
      </w:r>
    </w:p>
    <w:p w:rsidR="00CD2A49" w:rsidRDefault="00FE0575" w:rsidP="006979BD">
      <w:pPr>
        <w:pStyle w:val="standard"/>
        <w:rPr>
          <w:rStyle w:val="standardChar"/>
        </w:rPr>
      </w:pPr>
      <w:r>
        <w:lastRenderedPageBreak/>
        <w:t xml:space="preserve">In D.98-10-058, the </w:t>
      </w:r>
      <w:r w:rsidR="00CD000C">
        <w:t xml:space="preserve">Commission adopted rules </w:t>
      </w:r>
      <w:r w:rsidR="0057652D">
        <w:t xml:space="preserve">to provide </w:t>
      </w:r>
      <w:r w:rsidR="006F292F">
        <w:t xml:space="preserve">facilities-based </w:t>
      </w:r>
      <w:r w:rsidR="0057652D">
        <w:t xml:space="preserve">competitive local carriers </w:t>
      </w:r>
      <w:r w:rsidR="006F292F">
        <w:t xml:space="preserve">(CLCs) </w:t>
      </w:r>
      <w:r w:rsidR="0057652D">
        <w:t xml:space="preserve">and cable TV companies with </w:t>
      </w:r>
      <w:r w:rsidR="0057652D" w:rsidRPr="00A00D7B">
        <w:t xml:space="preserve">nondiscriminatory access to </w:t>
      </w:r>
      <w:r w:rsidR="0057652D">
        <w:t>utility ROW that is owned or controlled by (1) </w:t>
      </w:r>
      <w:r w:rsidR="0057652D" w:rsidRPr="00A00D7B">
        <w:t xml:space="preserve">large and midsized incumbent local exchange carriers </w:t>
      </w:r>
      <w:r w:rsidR="0057652D">
        <w:t>consisting of</w:t>
      </w:r>
      <w:r w:rsidR="0057652D" w:rsidRPr="00A00D7B">
        <w:t xml:space="preserve"> Pacific Bell</w:t>
      </w:r>
      <w:r w:rsidR="00462018">
        <w:t xml:space="preserve"> Telephone Company (Pacific Bell)</w:t>
      </w:r>
      <w:r w:rsidR="0057652D">
        <w:t xml:space="preserve">, </w:t>
      </w:r>
      <w:r w:rsidR="0057652D" w:rsidRPr="00A00D7B">
        <w:t>GTE</w:t>
      </w:r>
      <w:r w:rsidR="00462018">
        <w:t> </w:t>
      </w:r>
      <w:r w:rsidR="0057652D" w:rsidRPr="00A00D7B">
        <w:t>California Incorporated (GTEC), Roseville Telephone Company (RTC)</w:t>
      </w:r>
      <w:r w:rsidR="0057652D">
        <w:t>,</w:t>
      </w:r>
      <w:r w:rsidR="0057652D" w:rsidRPr="00A00D7B">
        <w:t xml:space="preserve"> and Citizens Telecommunications Company of California</w:t>
      </w:r>
      <w:r w:rsidR="001B5820">
        <w:t xml:space="preserve"> Inc.</w:t>
      </w:r>
      <w:r w:rsidR="0057652D">
        <w:rPr>
          <w:rStyle w:val="FootnoteReference"/>
        </w:rPr>
        <w:footnoteReference w:id="4"/>
      </w:r>
      <w:r w:rsidR="0057652D">
        <w:t xml:space="preserve">; and (2) major </w:t>
      </w:r>
      <w:r w:rsidR="0057652D" w:rsidRPr="00A00D7B">
        <w:t xml:space="preserve">investor-owned electric utilities </w:t>
      </w:r>
      <w:r w:rsidR="0057652D">
        <w:t xml:space="preserve">consisting of </w:t>
      </w:r>
      <w:r w:rsidR="0057652D" w:rsidRPr="00A00D7B">
        <w:t>Pacific Gas and Electric Company (PG&amp;E)</w:t>
      </w:r>
      <w:r w:rsidR="0057652D">
        <w:t>,</w:t>
      </w:r>
      <w:r w:rsidR="0057652D" w:rsidRPr="00A00D7B">
        <w:t xml:space="preserve"> Southern California Edison Company (</w:t>
      </w:r>
      <w:r w:rsidR="006F292F">
        <w:t>SCE</w:t>
      </w:r>
      <w:r w:rsidR="0057652D" w:rsidRPr="00A00D7B">
        <w:t>)</w:t>
      </w:r>
      <w:r w:rsidR="0057652D">
        <w:t>,</w:t>
      </w:r>
      <w:r w:rsidR="0057652D" w:rsidRPr="00A00D7B">
        <w:t xml:space="preserve"> and San</w:t>
      </w:r>
      <w:r w:rsidR="0057652D">
        <w:t> </w:t>
      </w:r>
      <w:r w:rsidR="0057652D" w:rsidRPr="00A00D7B">
        <w:t xml:space="preserve">Diego Gas &amp; Electric Company (SDG&amp;E).  </w:t>
      </w:r>
      <w:r w:rsidR="006F292F">
        <w:t>D.98</w:t>
      </w:r>
      <w:r w:rsidR="006F292F">
        <w:noBreakHyphen/>
        <w:t xml:space="preserve">10-058 </w:t>
      </w:r>
      <w:r w:rsidR="00D64278">
        <w:t xml:space="preserve">also </w:t>
      </w:r>
      <w:r w:rsidR="00B913FC">
        <w:t xml:space="preserve">provided </w:t>
      </w:r>
      <w:r>
        <w:t>certifi</w:t>
      </w:r>
      <w:r w:rsidR="00B913FC">
        <w:t xml:space="preserve">cation </w:t>
      </w:r>
      <w:r>
        <w:t>to the FCC that the Commission regulates the rate</w:t>
      </w:r>
      <w:r w:rsidR="003A2C40">
        <w:t>s</w:t>
      </w:r>
      <w:r>
        <w:t xml:space="preserve">, terms, and conditions </w:t>
      </w:r>
      <w:r w:rsidR="00A704A0">
        <w:t>for</w:t>
      </w:r>
      <w:r>
        <w:t xml:space="preserve"> </w:t>
      </w:r>
      <w:r w:rsidR="001B5820">
        <w:t xml:space="preserve">nondiscriminatory </w:t>
      </w:r>
      <w:r>
        <w:t xml:space="preserve">access to </w:t>
      </w:r>
      <w:r w:rsidR="00A704A0">
        <w:t xml:space="preserve">utility </w:t>
      </w:r>
      <w:r>
        <w:t xml:space="preserve">ROW in conformance with </w:t>
      </w:r>
      <w:r w:rsidR="00BF2E2B">
        <w:t>47 U.S.C</w:t>
      </w:r>
      <w:r w:rsidR="007F5962">
        <w:t>.</w:t>
      </w:r>
      <w:r w:rsidR="00BF2E2B">
        <w:t> </w:t>
      </w:r>
      <w:r>
        <w:t>§§ 224(c)(2) and (3).</w:t>
      </w:r>
      <w:r w:rsidR="0027108D">
        <w:rPr>
          <w:rStyle w:val="FootnoteReference"/>
        </w:rPr>
        <w:footnoteReference w:id="5"/>
      </w:r>
      <w:r w:rsidR="00756F69">
        <w:t xml:space="preserve">  As a result of these actions, </w:t>
      </w:r>
      <w:r w:rsidR="00CD2A49">
        <w:rPr>
          <w:rStyle w:val="standardChar"/>
        </w:rPr>
        <w:t xml:space="preserve">the </w:t>
      </w:r>
      <w:r w:rsidR="00CD2A49" w:rsidRPr="00CA3655">
        <w:rPr>
          <w:rStyle w:val="standardChar"/>
        </w:rPr>
        <w:t>Commission</w:t>
      </w:r>
      <w:r w:rsidR="00CD2A49">
        <w:rPr>
          <w:rStyle w:val="standardChar"/>
        </w:rPr>
        <w:t xml:space="preserve"> </w:t>
      </w:r>
      <w:r w:rsidR="00CD2A49" w:rsidRPr="00CA3655">
        <w:rPr>
          <w:rStyle w:val="standardChar"/>
        </w:rPr>
        <w:t xml:space="preserve">has </w:t>
      </w:r>
      <w:r w:rsidR="00CD2A49">
        <w:rPr>
          <w:rStyle w:val="standardChar"/>
        </w:rPr>
        <w:t>preempt</w:t>
      </w:r>
      <w:r w:rsidR="003A4E9A">
        <w:rPr>
          <w:rStyle w:val="standardChar"/>
        </w:rPr>
        <w:t>ed</w:t>
      </w:r>
      <w:r w:rsidR="00CD2A49">
        <w:rPr>
          <w:rStyle w:val="standardChar"/>
        </w:rPr>
        <w:t xml:space="preserve"> FCC regulation of </w:t>
      </w:r>
      <w:r w:rsidR="001372EF">
        <w:rPr>
          <w:rStyle w:val="standardChar"/>
        </w:rPr>
        <w:t xml:space="preserve">pole attachments </w:t>
      </w:r>
      <w:r w:rsidR="0027108D">
        <w:rPr>
          <w:rStyle w:val="standardChar"/>
        </w:rPr>
        <w:t>in California</w:t>
      </w:r>
      <w:r w:rsidR="00943440">
        <w:rPr>
          <w:rStyle w:val="standardChar"/>
        </w:rPr>
        <w:t>.</w:t>
      </w:r>
    </w:p>
    <w:p w:rsidR="00BD0D21" w:rsidRDefault="001B5820" w:rsidP="006979BD">
      <w:pPr>
        <w:pStyle w:val="standard"/>
      </w:pPr>
      <w:r>
        <w:t xml:space="preserve">The Commission’s </w:t>
      </w:r>
      <w:r w:rsidR="003544C5">
        <w:t xml:space="preserve">adopted rules </w:t>
      </w:r>
      <w:r w:rsidR="003A2C40">
        <w:t xml:space="preserve">for pole attachments </w:t>
      </w:r>
      <w:r w:rsidR="009E6C9E">
        <w:t>(referred to hereafter as the “ROW</w:t>
      </w:r>
      <w:r>
        <w:t> </w:t>
      </w:r>
      <w:r w:rsidR="009E6C9E">
        <w:t xml:space="preserve">Rules”) </w:t>
      </w:r>
      <w:r w:rsidR="00943440">
        <w:t>address the following matters:</w:t>
      </w:r>
    </w:p>
    <w:p w:rsidR="003544C5" w:rsidRDefault="003544C5" w:rsidP="00F752BC">
      <w:pPr>
        <w:pStyle w:val="standard"/>
        <w:tabs>
          <w:tab w:val="left" w:pos="1440"/>
        </w:tabs>
        <w:spacing w:after="120" w:line="240" w:lineRule="auto"/>
        <w:ind w:left="1440" w:right="540" w:hanging="360"/>
      </w:pPr>
      <w:r>
        <w:t xml:space="preserve">1.  </w:t>
      </w:r>
      <w:r>
        <w:tab/>
        <w:t xml:space="preserve">Requests for </w:t>
      </w:r>
      <w:r w:rsidR="00915804">
        <w:t>i</w:t>
      </w:r>
      <w:r>
        <w:t>nformation by facilities-based CLCs and cable</w:t>
      </w:r>
      <w:r w:rsidR="00F752BC">
        <w:t> </w:t>
      </w:r>
      <w:r>
        <w:t xml:space="preserve">TV companies regarding the availability of </w:t>
      </w:r>
      <w:r w:rsidR="00D65007">
        <w:t>a utility’s ROW</w:t>
      </w:r>
      <w:r w:rsidR="00943440">
        <w:t>.</w:t>
      </w:r>
    </w:p>
    <w:p w:rsidR="003544C5" w:rsidRDefault="00915804" w:rsidP="00F704BB">
      <w:pPr>
        <w:pStyle w:val="standard"/>
        <w:tabs>
          <w:tab w:val="left" w:pos="1440"/>
        </w:tabs>
        <w:spacing w:after="120" w:line="240" w:lineRule="auto"/>
        <w:ind w:left="1440" w:right="720" w:hanging="360"/>
      </w:pPr>
      <w:r>
        <w:t xml:space="preserve">2. </w:t>
      </w:r>
      <w:r>
        <w:tab/>
        <w:t xml:space="preserve">Requests </w:t>
      </w:r>
      <w:r w:rsidR="00D65007">
        <w:t xml:space="preserve">to </w:t>
      </w:r>
      <w:r>
        <w:t xml:space="preserve">access </w:t>
      </w:r>
      <w:r w:rsidR="00D65007">
        <w:t xml:space="preserve">a </w:t>
      </w:r>
      <w:r w:rsidR="00B9035C">
        <w:t>utility</w:t>
      </w:r>
      <w:r w:rsidR="00D65007">
        <w:t>’s</w:t>
      </w:r>
      <w:r w:rsidR="00B9035C">
        <w:t xml:space="preserve"> </w:t>
      </w:r>
      <w:r w:rsidR="00D65007">
        <w:t xml:space="preserve">ROW </w:t>
      </w:r>
      <w:r w:rsidR="00B9035C">
        <w:t>by CLCs and cable</w:t>
      </w:r>
      <w:r w:rsidR="00D65007">
        <w:t> </w:t>
      </w:r>
      <w:r w:rsidR="00B9035C">
        <w:t>TV companies</w:t>
      </w:r>
      <w:r w:rsidR="00F9004B">
        <w:t>, including</w:t>
      </w:r>
      <w:r w:rsidR="00D65007">
        <w:t xml:space="preserve"> </w:t>
      </w:r>
      <w:r w:rsidR="00F9004B">
        <w:t xml:space="preserve">the contents of </w:t>
      </w:r>
      <w:r w:rsidR="00650017">
        <w:t xml:space="preserve">the </w:t>
      </w:r>
      <w:r w:rsidR="00F9004B">
        <w:t>requests; deadlines for utility responses</w:t>
      </w:r>
      <w:r w:rsidR="00F10199">
        <w:t xml:space="preserve"> and the contents of utility responses</w:t>
      </w:r>
      <w:r w:rsidR="00F9004B">
        <w:t xml:space="preserve">; timeframe for </w:t>
      </w:r>
      <w:r w:rsidR="00D65007">
        <w:t xml:space="preserve">the </w:t>
      </w:r>
      <w:r w:rsidR="00F9004B">
        <w:t xml:space="preserve">completion of make ready work by the utility; </w:t>
      </w:r>
      <w:r w:rsidR="00A42540">
        <w:t>and the use of qualified personnel to perform make ready work, rearrangements, at</w:t>
      </w:r>
      <w:r w:rsidR="00943440">
        <w:t>tachments, and installations.</w:t>
      </w:r>
    </w:p>
    <w:p w:rsidR="00A42540" w:rsidRDefault="00A42540" w:rsidP="00F704BB">
      <w:pPr>
        <w:pStyle w:val="standard"/>
        <w:tabs>
          <w:tab w:val="left" w:pos="1440"/>
        </w:tabs>
        <w:spacing w:after="120" w:line="240" w:lineRule="auto"/>
        <w:ind w:left="1440" w:right="720" w:hanging="360"/>
      </w:pPr>
      <w:r>
        <w:t xml:space="preserve">3. </w:t>
      </w:r>
      <w:r>
        <w:tab/>
        <w:t xml:space="preserve">Protections for proprietary information. </w:t>
      </w:r>
    </w:p>
    <w:p w:rsidR="0077187B" w:rsidRDefault="0077187B" w:rsidP="00F704BB">
      <w:pPr>
        <w:pStyle w:val="standard"/>
        <w:tabs>
          <w:tab w:val="left" w:pos="1440"/>
        </w:tabs>
        <w:spacing w:after="120" w:line="240" w:lineRule="auto"/>
        <w:ind w:left="1440" w:right="720" w:hanging="360"/>
      </w:pPr>
      <w:r>
        <w:t xml:space="preserve">4. </w:t>
      </w:r>
      <w:r>
        <w:tab/>
      </w:r>
      <w:r w:rsidR="003A2C40">
        <w:t>Fees</w:t>
      </w:r>
      <w:r>
        <w:t xml:space="preserve"> and contracts for access</w:t>
      </w:r>
      <w:r w:rsidR="00D65007">
        <w:t xml:space="preserve"> to utility ROW</w:t>
      </w:r>
      <w:r>
        <w:t xml:space="preserve">. </w:t>
      </w:r>
    </w:p>
    <w:p w:rsidR="0077187B" w:rsidRDefault="0077187B" w:rsidP="00F704BB">
      <w:pPr>
        <w:pStyle w:val="standard"/>
        <w:tabs>
          <w:tab w:val="left" w:pos="1440"/>
        </w:tabs>
        <w:spacing w:after="120" w:line="240" w:lineRule="auto"/>
        <w:ind w:left="1440" w:right="720" w:hanging="360"/>
      </w:pPr>
      <w:r>
        <w:lastRenderedPageBreak/>
        <w:t xml:space="preserve">5. </w:t>
      </w:r>
      <w:r>
        <w:tab/>
        <w:t xml:space="preserve">Reservations of </w:t>
      </w:r>
      <w:r w:rsidR="00D65007">
        <w:t xml:space="preserve">ROW </w:t>
      </w:r>
      <w:r>
        <w:t xml:space="preserve">capacity for future use. </w:t>
      </w:r>
    </w:p>
    <w:p w:rsidR="0027108D" w:rsidRDefault="0077187B" w:rsidP="00F704BB">
      <w:pPr>
        <w:pStyle w:val="standard"/>
        <w:tabs>
          <w:tab w:val="left" w:pos="1440"/>
        </w:tabs>
        <w:spacing w:after="120" w:line="240" w:lineRule="auto"/>
        <w:ind w:left="1440" w:right="720" w:hanging="360"/>
      </w:pPr>
      <w:r>
        <w:t xml:space="preserve">6. </w:t>
      </w:r>
      <w:r>
        <w:tab/>
      </w:r>
      <w:r w:rsidR="0027108D">
        <w:t xml:space="preserve">Access to customer premises.  </w:t>
      </w:r>
    </w:p>
    <w:p w:rsidR="0077187B" w:rsidRDefault="0027108D" w:rsidP="00F704BB">
      <w:pPr>
        <w:pStyle w:val="standard"/>
        <w:tabs>
          <w:tab w:val="left" w:pos="1440"/>
        </w:tabs>
        <w:spacing w:after="120" w:line="240" w:lineRule="auto"/>
        <w:ind w:left="1440" w:right="720" w:hanging="360"/>
      </w:pPr>
      <w:r>
        <w:t xml:space="preserve">7. </w:t>
      </w:r>
      <w:r>
        <w:tab/>
      </w:r>
      <w:r w:rsidR="0077187B">
        <w:t>Procedures for expedited resolution of disputes.</w:t>
      </w:r>
    </w:p>
    <w:p w:rsidR="0077187B" w:rsidRDefault="0027108D" w:rsidP="00F704BB">
      <w:pPr>
        <w:pStyle w:val="standard"/>
        <w:tabs>
          <w:tab w:val="left" w:pos="1440"/>
        </w:tabs>
        <w:spacing w:after="200" w:line="240" w:lineRule="auto"/>
        <w:ind w:left="1440" w:right="720" w:hanging="360"/>
      </w:pPr>
      <w:r>
        <w:t>8</w:t>
      </w:r>
      <w:r w:rsidR="0077187B">
        <w:t xml:space="preserve">. </w:t>
      </w:r>
      <w:r w:rsidR="0077187B">
        <w:tab/>
        <w:t>Safety standards for a</w:t>
      </w:r>
      <w:r w:rsidR="0077187B" w:rsidRPr="0061748D">
        <w:rPr>
          <w:rStyle w:val="standardChar"/>
          <w:sz w:val="28"/>
        </w:rPr>
        <w:t>ccess to util</w:t>
      </w:r>
      <w:r w:rsidR="00A42862">
        <w:rPr>
          <w:rStyle w:val="standardChar"/>
          <w:sz w:val="28"/>
        </w:rPr>
        <w:t xml:space="preserve">ity </w:t>
      </w:r>
      <w:r w:rsidR="00D65007">
        <w:rPr>
          <w:rStyle w:val="standardChar"/>
          <w:sz w:val="28"/>
        </w:rPr>
        <w:t>ROW</w:t>
      </w:r>
      <w:r w:rsidR="00650017">
        <w:rPr>
          <w:rStyle w:val="standardChar"/>
          <w:sz w:val="28"/>
        </w:rPr>
        <w:t xml:space="preserve">, including </w:t>
      </w:r>
      <w:r w:rsidR="00D65007">
        <w:rPr>
          <w:rStyle w:val="standardChar"/>
          <w:sz w:val="28"/>
        </w:rPr>
        <w:t>pole attachments.</w:t>
      </w:r>
      <w:r>
        <w:rPr>
          <w:rStyle w:val="FootnoteReference"/>
        </w:rPr>
        <w:footnoteReference w:id="6"/>
      </w:r>
    </w:p>
    <w:p w:rsidR="00CA3655" w:rsidRPr="00CA3655" w:rsidRDefault="009A5BB2" w:rsidP="00CA3655">
      <w:pPr>
        <w:pStyle w:val="standard"/>
        <w:rPr>
          <w:rStyle w:val="standardChar"/>
        </w:rPr>
      </w:pPr>
      <w:r>
        <w:t xml:space="preserve">Of importance to today’s </w:t>
      </w:r>
      <w:r w:rsidR="009920A0">
        <w:t>order</w:t>
      </w:r>
      <w:r w:rsidR="00F704BB">
        <w:t>, D.98</w:t>
      </w:r>
      <w:r w:rsidR="00F704BB">
        <w:noBreakHyphen/>
        <w:t>10</w:t>
      </w:r>
      <w:r w:rsidR="00F704BB">
        <w:noBreakHyphen/>
        <w:t>058 excluded C</w:t>
      </w:r>
      <w:r>
        <w:t xml:space="preserve">ommercial </w:t>
      </w:r>
      <w:r w:rsidR="00F704BB">
        <w:t>Mobile R</w:t>
      </w:r>
      <w:r>
        <w:t xml:space="preserve">adio </w:t>
      </w:r>
      <w:r w:rsidR="00F704BB">
        <w:t>S</w:t>
      </w:r>
      <w:r>
        <w:t xml:space="preserve">ervice (CMRS) </w:t>
      </w:r>
      <w:r w:rsidR="00650017">
        <w:t>carriers</w:t>
      </w:r>
      <w:r w:rsidR="00C128C3">
        <w:rPr>
          <w:rStyle w:val="FootnoteReference"/>
        </w:rPr>
        <w:footnoteReference w:id="7"/>
      </w:r>
      <w:r>
        <w:t xml:space="preserve"> from the ROW Rules adopted by </w:t>
      </w:r>
      <w:r w:rsidR="00395417">
        <w:t>the Decision</w:t>
      </w:r>
      <w:r>
        <w:t>.</w:t>
      </w:r>
      <w:r w:rsidR="0060475E">
        <w:rPr>
          <w:rStyle w:val="FootnoteReference"/>
        </w:rPr>
        <w:footnoteReference w:id="8"/>
      </w:r>
      <w:r>
        <w:t xml:space="preserve">  While the Commission </w:t>
      </w:r>
      <w:r w:rsidR="00395417">
        <w:t>recognized</w:t>
      </w:r>
      <w:r>
        <w:t xml:space="preserve"> that </w:t>
      </w:r>
      <w:r w:rsidR="00B052D3">
        <w:rPr>
          <w:rStyle w:val="standardChar"/>
        </w:rPr>
        <w:t>CMRS carrier</w:t>
      </w:r>
      <w:r w:rsidRPr="00CA3655">
        <w:rPr>
          <w:rStyle w:val="standardChar"/>
        </w:rPr>
        <w:t>s should not be subjected to unfair discrimination</w:t>
      </w:r>
      <w:r>
        <w:rPr>
          <w:rStyle w:val="standardChar"/>
        </w:rPr>
        <w:t xml:space="preserve"> pursuant to </w:t>
      </w:r>
      <w:r w:rsidR="00395417">
        <w:rPr>
          <w:rStyle w:val="standardChar"/>
        </w:rPr>
        <w:t>47 U.S.C. </w:t>
      </w:r>
      <w:r w:rsidR="00CA3655" w:rsidRPr="00CA3655">
        <w:rPr>
          <w:rStyle w:val="standardChar"/>
        </w:rPr>
        <w:t>224(f)(1),</w:t>
      </w:r>
      <w:r>
        <w:rPr>
          <w:rStyle w:val="standardChar"/>
        </w:rPr>
        <w:t xml:space="preserve"> the focus of D.98</w:t>
      </w:r>
      <w:r w:rsidR="00F752BC">
        <w:rPr>
          <w:rStyle w:val="standardChar"/>
        </w:rPr>
        <w:noBreakHyphen/>
      </w:r>
      <w:r>
        <w:rPr>
          <w:rStyle w:val="standardChar"/>
        </w:rPr>
        <w:t>10</w:t>
      </w:r>
      <w:r w:rsidR="00F752BC">
        <w:rPr>
          <w:rStyle w:val="standardChar"/>
        </w:rPr>
        <w:noBreakHyphen/>
      </w:r>
      <w:r>
        <w:rPr>
          <w:rStyle w:val="standardChar"/>
        </w:rPr>
        <w:t xml:space="preserve">058 was </w:t>
      </w:r>
      <w:r w:rsidR="00CA3655" w:rsidRPr="00CA3655">
        <w:rPr>
          <w:rStyle w:val="standardChar"/>
        </w:rPr>
        <w:t xml:space="preserve">on wireline local exchange service, not CMRS.  </w:t>
      </w:r>
      <w:r>
        <w:rPr>
          <w:rStyle w:val="standardChar"/>
        </w:rPr>
        <w:t xml:space="preserve">The Commission </w:t>
      </w:r>
      <w:r w:rsidR="00FE5603">
        <w:rPr>
          <w:rStyle w:val="standardChar"/>
        </w:rPr>
        <w:t xml:space="preserve">also </w:t>
      </w:r>
      <w:r w:rsidR="007C78FA">
        <w:rPr>
          <w:rStyle w:val="standardChar"/>
        </w:rPr>
        <w:t xml:space="preserve">held that </w:t>
      </w:r>
      <w:r>
        <w:rPr>
          <w:rStyle w:val="standardChar"/>
        </w:rPr>
        <w:t>the</w:t>
      </w:r>
      <w:r w:rsidR="00CA3655" w:rsidRPr="00CA3655">
        <w:rPr>
          <w:rStyle w:val="standardChar"/>
        </w:rPr>
        <w:t xml:space="preserve"> rationale </w:t>
      </w:r>
      <w:r w:rsidR="00936B7B">
        <w:rPr>
          <w:rStyle w:val="standardChar"/>
        </w:rPr>
        <w:t>for</w:t>
      </w:r>
      <w:r w:rsidR="00CA3655" w:rsidRPr="00CA3655">
        <w:rPr>
          <w:rStyle w:val="standardChar"/>
        </w:rPr>
        <w:t xml:space="preserve"> the pole</w:t>
      </w:r>
      <w:r w:rsidR="00E346A6">
        <w:rPr>
          <w:rStyle w:val="standardChar"/>
        </w:rPr>
        <w:noBreakHyphen/>
      </w:r>
      <w:r w:rsidR="00CA3655" w:rsidRPr="00CA3655">
        <w:rPr>
          <w:rStyle w:val="standardChar"/>
        </w:rPr>
        <w:t xml:space="preserve">attachment rates and access requirements </w:t>
      </w:r>
      <w:r>
        <w:rPr>
          <w:rStyle w:val="standardChar"/>
        </w:rPr>
        <w:t>adopted in D.98</w:t>
      </w:r>
      <w:r w:rsidR="007C78FA">
        <w:rPr>
          <w:rStyle w:val="standardChar"/>
        </w:rPr>
        <w:noBreakHyphen/>
      </w:r>
      <w:r>
        <w:rPr>
          <w:rStyle w:val="standardChar"/>
        </w:rPr>
        <w:t>10</w:t>
      </w:r>
      <w:r w:rsidR="0054739E">
        <w:rPr>
          <w:rStyle w:val="standardChar"/>
        </w:rPr>
        <w:noBreakHyphen/>
      </w:r>
      <w:r>
        <w:rPr>
          <w:rStyle w:val="standardChar"/>
        </w:rPr>
        <w:t xml:space="preserve">058 </w:t>
      </w:r>
      <w:r w:rsidR="00CA3655" w:rsidRPr="00CA3655">
        <w:rPr>
          <w:rStyle w:val="standardChar"/>
        </w:rPr>
        <w:t xml:space="preserve">with respect to </w:t>
      </w:r>
      <w:r w:rsidR="00FE5603">
        <w:rPr>
          <w:rStyle w:val="standardChar"/>
        </w:rPr>
        <w:t xml:space="preserve">wireline </w:t>
      </w:r>
      <w:r w:rsidR="00CA3655" w:rsidRPr="00CA3655">
        <w:rPr>
          <w:rStyle w:val="standardChar"/>
        </w:rPr>
        <w:t xml:space="preserve">local exchange service may not apply </w:t>
      </w:r>
      <w:r w:rsidR="007C78FA">
        <w:rPr>
          <w:rStyle w:val="standardChar"/>
        </w:rPr>
        <w:t>to</w:t>
      </w:r>
      <w:r w:rsidR="00CA3655" w:rsidRPr="00CA3655">
        <w:rPr>
          <w:rStyle w:val="standardChar"/>
        </w:rPr>
        <w:t xml:space="preserve"> CMRS</w:t>
      </w:r>
      <w:r w:rsidR="007C78FA">
        <w:rPr>
          <w:rStyle w:val="standardChar"/>
        </w:rPr>
        <w:t> </w:t>
      </w:r>
      <w:r w:rsidR="00CA3655" w:rsidRPr="00CA3655">
        <w:rPr>
          <w:rStyle w:val="standardChar"/>
        </w:rPr>
        <w:t xml:space="preserve">service.  </w:t>
      </w:r>
      <w:r w:rsidR="004443C1">
        <w:rPr>
          <w:rStyle w:val="standardChar"/>
        </w:rPr>
        <w:t>For example, the Commission noted that</w:t>
      </w:r>
      <w:r w:rsidR="002E5DD6">
        <w:rPr>
          <w:rStyle w:val="standardChar"/>
        </w:rPr>
        <w:t>,</w:t>
      </w:r>
      <w:r w:rsidR="004443C1">
        <w:rPr>
          <w:rStyle w:val="standardChar"/>
        </w:rPr>
        <w:t xml:space="preserve"> </w:t>
      </w:r>
      <w:r w:rsidR="00FE5603">
        <w:rPr>
          <w:rStyle w:val="standardChar"/>
        </w:rPr>
        <w:t xml:space="preserve">unlike wireline local exchange carriers, </w:t>
      </w:r>
      <w:r w:rsidR="00B052D3">
        <w:rPr>
          <w:rStyle w:val="standardChar"/>
        </w:rPr>
        <w:t>CMRS</w:t>
      </w:r>
      <w:r w:rsidR="00FE5603">
        <w:rPr>
          <w:rStyle w:val="standardChar"/>
        </w:rPr>
        <w:t> </w:t>
      </w:r>
      <w:r w:rsidR="00B052D3">
        <w:rPr>
          <w:rStyle w:val="standardChar"/>
        </w:rPr>
        <w:t>carrier</w:t>
      </w:r>
      <w:r w:rsidR="0060475E">
        <w:rPr>
          <w:rStyle w:val="standardChar"/>
        </w:rPr>
        <w:t>s</w:t>
      </w:r>
      <w:r w:rsidR="00CA3655" w:rsidRPr="00CA3655">
        <w:rPr>
          <w:rStyle w:val="standardChar"/>
        </w:rPr>
        <w:t xml:space="preserve"> </w:t>
      </w:r>
      <w:r w:rsidR="004443C1">
        <w:rPr>
          <w:rStyle w:val="standardChar"/>
        </w:rPr>
        <w:t xml:space="preserve">often seek </w:t>
      </w:r>
      <w:r w:rsidR="003B5E05">
        <w:rPr>
          <w:rStyle w:val="standardChar"/>
        </w:rPr>
        <w:t>to install antennas on the top of existing poles</w:t>
      </w:r>
      <w:r w:rsidR="00E346A6">
        <w:rPr>
          <w:rStyle w:val="standardChar"/>
        </w:rPr>
        <w:t xml:space="preserve">, </w:t>
      </w:r>
      <w:r w:rsidR="00D65007">
        <w:rPr>
          <w:rStyle w:val="standardChar"/>
        </w:rPr>
        <w:t xml:space="preserve">which </w:t>
      </w:r>
      <w:r w:rsidR="00CA3655" w:rsidRPr="00CA3655">
        <w:rPr>
          <w:rStyle w:val="standardChar"/>
        </w:rPr>
        <w:t xml:space="preserve">raises safety </w:t>
      </w:r>
      <w:r w:rsidR="00E346A6">
        <w:rPr>
          <w:rStyle w:val="standardChar"/>
        </w:rPr>
        <w:t>issues</w:t>
      </w:r>
      <w:r w:rsidR="00CA3655" w:rsidRPr="00CA3655">
        <w:rPr>
          <w:rStyle w:val="standardChar"/>
        </w:rPr>
        <w:t xml:space="preserve">.  </w:t>
      </w:r>
      <w:r>
        <w:rPr>
          <w:rStyle w:val="standardChar"/>
        </w:rPr>
        <w:t xml:space="preserve">The Commission concluded that </w:t>
      </w:r>
      <w:r w:rsidR="00E346A6">
        <w:rPr>
          <w:rStyle w:val="standardChar"/>
        </w:rPr>
        <w:t xml:space="preserve">it needed </w:t>
      </w:r>
      <w:r w:rsidR="008023A8">
        <w:rPr>
          <w:rStyle w:val="standardChar"/>
        </w:rPr>
        <w:t xml:space="preserve">more information </w:t>
      </w:r>
      <w:r w:rsidR="003B5E05">
        <w:rPr>
          <w:rStyle w:val="standardChar"/>
        </w:rPr>
        <w:t>about</w:t>
      </w:r>
      <w:r w:rsidR="00CA3655" w:rsidRPr="00CA3655">
        <w:rPr>
          <w:rStyle w:val="standardChar"/>
        </w:rPr>
        <w:t xml:space="preserve"> </w:t>
      </w:r>
      <w:r w:rsidR="00E346A6">
        <w:rPr>
          <w:rStyle w:val="standardChar"/>
        </w:rPr>
        <w:t xml:space="preserve">the </w:t>
      </w:r>
      <w:r w:rsidR="00CA3655" w:rsidRPr="00CA3655">
        <w:rPr>
          <w:rStyle w:val="standardChar"/>
        </w:rPr>
        <w:t>safety, reliability</w:t>
      </w:r>
      <w:r w:rsidR="008023A8">
        <w:rPr>
          <w:rStyle w:val="standardChar"/>
        </w:rPr>
        <w:t>,</w:t>
      </w:r>
      <w:r w:rsidR="00CA3655" w:rsidRPr="00CA3655">
        <w:rPr>
          <w:rStyle w:val="standardChar"/>
        </w:rPr>
        <w:t xml:space="preserve"> and access </w:t>
      </w:r>
      <w:r w:rsidR="00E346A6">
        <w:rPr>
          <w:rStyle w:val="standardChar"/>
        </w:rPr>
        <w:t xml:space="preserve">needs of </w:t>
      </w:r>
      <w:r w:rsidR="00E346A6">
        <w:rPr>
          <w:rStyle w:val="standardChar"/>
        </w:rPr>
        <w:lastRenderedPageBreak/>
        <w:t>CMRS</w:t>
      </w:r>
      <w:r w:rsidR="00936B7B">
        <w:rPr>
          <w:rStyle w:val="standardChar"/>
        </w:rPr>
        <w:t> </w:t>
      </w:r>
      <w:r w:rsidR="00573F07">
        <w:rPr>
          <w:rStyle w:val="standardChar"/>
        </w:rPr>
        <w:t>pole attachments</w:t>
      </w:r>
      <w:r w:rsidR="00F64D87">
        <w:rPr>
          <w:rStyle w:val="FootnoteReference"/>
        </w:rPr>
        <w:footnoteReference w:id="9"/>
      </w:r>
      <w:r w:rsidR="00E346A6">
        <w:rPr>
          <w:rStyle w:val="standardChar"/>
        </w:rPr>
        <w:t xml:space="preserve"> in order to make an informed decision about</w:t>
      </w:r>
      <w:r w:rsidR="00CA3655" w:rsidRPr="00CA3655">
        <w:rPr>
          <w:rStyle w:val="standardChar"/>
        </w:rPr>
        <w:t xml:space="preserve"> the applicability of </w:t>
      </w:r>
      <w:r w:rsidR="00E346A6">
        <w:rPr>
          <w:rStyle w:val="standardChar"/>
        </w:rPr>
        <w:t xml:space="preserve">the </w:t>
      </w:r>
      <w:r w:rsidR="00CA3655" w:rsidRPr="00CA3655">
        <w:rPr>
          <w:rStyle w:val="standardChar"/>
        </w:rPr>
        <w:t xml:space="preserve">ROW </w:t>
      </w:r>
      <w:r w:rsidR="004443C1">
        <w:rPr>
          <w:rStyle w:val="standardChar"/>
        </w:rPr>
        <w:t>Ru</w:t>
      </w:r>
      <w:r w:rsidR="00CA3655" w:rsidRPr="00CA3655">
        <w:rPr>
          <w:rStyle w:val="standardChar"/>
        </w:rPr>
        <w:t xml:space="preserve">les to CMRS </w:t>
      </w:r>
      <w:r w:rsidR="00FE5603">
        <w:rPr>
          <w:rStyle w:val="standardChar"/>
        </w:rPr>
        <w:t>carriers</w:t>
      </w:r>
      <w:r w:rsidR="00CA3655" w:rsidRPr="00CA3655">
        <w:rPr>
          <w:rStyle w:val="standardChar"/>
        </w:rPr>
        <w:t xml:space="preserve">.  </w:t>
      </w:r>
      <w:r>
        <w:rPr>
          <w:rStyle w:val="standardChar"/>
        </w:rPr>
        <w:t xml:space="preserve">The Commission then deferred </w:t>
      </w:r>
      <w:r w:rsidR="00CA3655" w:rsidRPr="00CA3655">
        <w:rPr>
          <w:rStyle w:val="standardChar"/>
        </w:rPr>
        <w:t>th</w:t>
      </w:r>
      <w:r w:rsidR="00E346A6">
        <w:rPr>
          <w:rStyle w:val="standardChar"/>
        </w:rPr>
        <w:t xml:space="preserve">is matter </w:t>
      </w:r>
      <w:r w:rsidR="00CA3655" w:rsidRPr="00CA3655">
        <w:rPr>
          <w:rStyle w:val="standardChar"/>
        </w:rPr>
        <w:t>to a later phase of the proceeding</w:t>
      </w:r>
      <w:r w:rsidR="00FE5603">
        <w:rPr>
          <w:rStyle w:val="standardChar"/>
        </w:rPr>
        <w:t>,</w:t>
      </w:r>
      <w:r w:rsidR="00B23B91">
        <w:rPr>
          <w:rStyle w:val="FootnoteReference"/>
        </w:rPr>
        <w:footnoteReference w:id="10"/>
      </w:r>
      <w:r w:rsidR="00FE5603">
        <w:rPr>
          <w:rStyle w:val="standardChar"/>
        </w:rPr>
        <w:t xml:space="preserve"> but </w:t>
      </w:r>
      <w:r>
        <w:rPr>
          <w:rStyle w:val="standardChar"/>
        </w:rPr>
        <w:t xml:space="preserve">the proceeding was closed before the Commission took up this </w:t>
      </w:r>
      <w:r w:rsidR="00E346A6">
        <w:rPr>
          <w:rStyle w:val="standardChar"/>
        </w:rPr>
        <w:t>matter</w:t>
      </w:r>
      <w:r>
        <w:rPr>
          <w:rStyle w:val="standardChar"/>
        </w:rPr>
        <w:t xml:space="preserve">.  </w:t>
      </w:r>
    </w:p>
    <w:p w:rsidR="00CA3655" w:rsidRDefault="00CA3655" w:rsidP="00521032">
      <w:pPr>
        <w:pStyle w:val="Heading1"/>
      </w:pPr>
      <w:bookmarkStart w:id="8" w:name="_Toc386441198"/>
      <w:r>
        <w:t>Procedural Background</w:t>
      </w:r>
      <w:bookmarkEnd w:id="8"/>
      <w:r>
        <w:t xml:space="preserve"> </w:t>
      </w:r>
    </w:p>
    <w:p w:rsidR="00CA3655" w:rsidRDefault="0077114B">
      <w:pPr>
        <w:pStyle w:val="standard"/>
      </w:pPr>
      <w:r>
        <w:t>AT&amp;T Mobility (hereafter, AT&amp;T Mobility</w:t>
      </w:r>
      <w:r w:rsidR="00EE4F9F">
        <w:t xml:space="preserve"> or AT&amp;T</w:t>
      </w:r>
      <w:r>
        <w:t>)</w:t>
      </w:r>
      <w:r w:rsidR="003F6355">
        <w:rPr>
          <w:rStyle w:val="FootnoteReference"/>
        </w:rPr>
        <w:footnoteReference w:id="11"/>
      </w:r>
      <w:r>
        <w:t xml:space="preserve"> filed Petition (P.) 13</w:t>
      </w:r>
      <w:r>
        <w:noBreakHyphen/>
        <w:t>12</w:t>
      </w:r>
      <w:r>
        <w:noBreakHyphen/>
        <w:t>009 on December</w:t>
      </w:r>
      <w:r w:rsidR="00D65007">
        <w:t> </w:t>
      </w:r>
      <w:r>
        <w:t>17, 2013.  Notice of the Petition appeared in the Commission’s Daily Calendar on December</w:t>
      </w:r>
      <w:r w:rsidR="0064418A">
        <w:t> </w:t>
      </w:r>
      <w:r>
        <w:t xml:space="preserve">19, 2013.  </w:t>
      </w:r>
      <w:r w:rsidR="00DB7850">
        <w:t xml:space="preserve">Responses were </w:t>
      </w:r>
      <w:r w:rsidR="002A4A07">
        <w:t xml:space="preserve">filed on </w:t>
      </w:r>
      <w:r w:rsidR="00DB7850">
        <w:t xml:space="preserve">January 16, 2014, by CTIA-The Wireless Association (CTIA); Google Inc. (Google); </w:t>
      </w:r>
      <w:r w:rsidR="00B140D3">
        <w:t xml:space="preserve">a coalition of investor owned electric utilities consisting of </w:t>
      </w:r>
      <w:r w:rsidR="001709EF">
        <w:t>PG&amp;E</w:t>
      </w:r>
      <w:r w:rsidR="00DB7850">
        <w:t xml:space="preserve">, </w:t>
      </w:r>
      <w:r w:rsidR="001709EF">
        <w:t>SCE, and SDG&amp;E</w:t>
      </w:r>
      <w:r w:rsidR="001763DA">
        <w:t xml:space="preserve"> </w:t>
      </w:r>
      <w:r w:rsidR="00DB7850">
        <w:t>(</w:t>
      </w:r>
      <w:r w:rsidR="00B140D3">
        <w:t xml:space="preserve">together, </w:t>
      </w:r>
      <w:r w:rsidR="00DB7850">
        <w:t xml:space="preserve">the “Electric </w:t>
      </w:r>
      <w:r w:rsidR="00B140D3">
        <w:t>IOUs</w:t>
      </w:r>
      <w:r w:rsidR="00DB7850">
        <w:t xml:space="preserve">”); </w:t>
      </w:r>
      <w:r w:rsidR="002A4A07">
        <w:t>and the Commission’s Safety and Enforcement Division (SED).  Replies were filed on January</w:t>
      </w:r>
      <w:r w:rsidR="00D65007">
        <w:t> </w:t>
      </w:r>
      <w:r w:rsidR="002A4A07">
        <w:t xml:space="preserve">27, 2014, by AT&amp;T, CTIA, and the </w:t>
      </w:r>
      <w:r w:rsidR="00B140D3">
        <w:t>Electric IOUs</w:t>
      </w:r>
      <w:r w:rsidR="00943440">
        <w:t>.</w:t>
      </w:r>
    </w:p>
    <w:p w:rsidR="000B0AA5" w:rsidRDefault="000B0AA5" w:rsidP="00694779">
      <w:pPr>
        <w:pStyle w:val="Heading1"/>
      </w:pPr>
      <w:bookmarkStart w:id="9" w:name="_Toc386441199"/>
      <w:r w:rsidRPr="005E2D5F">
        <w:t>Summary</w:t>
      </w:r>
      <w:r>
        <w:t xml:space="preserve"> of the Petition</w:t>
      </w:r>
      <w:bookmarkEnd w:id="9"/>
    </w:p>
    <w:p w:rsidR="00B85C67" w:rsidRDefault="003F6355" w:rsidP="003F6355">
      <w:pPr>
        <w:pStyle w:val="standard"/>
      </w:pPr>
      <w:r>
        <w:t xml:space="preserve">AT&amp;T filed P.13-12-009 pursuant to Pub. Util. Code </w:t>
      </w:r>
      <w:r>
        <w:rPr>
          <w:rFonts w:ascii="Book Antiqua" w:hAnsi="Book Antiqua"/>
        </w:rPr>
        <w:t>§</w:t>
      </w:r>
      <w:r>
        <w:t> 1708.5</w:t>
      </w:r>
      <w:r w:rsidR="00B23B91">
        <w:t>.  This statute</w:t>
      </w:r>
      <w:r w:rsidR="00392DDB">
        <w:t xml:space="preserve"> </w:t>
      </w:r>
      <w:r w:rsidR="000D3B27">
        <w:t xml:space="preserve">allows </w:t>
      </w:r>
      <w:r w:rsidR="00392DDB">
        <w:t xml:space="preserve">“interested persons </w:t>
      </w:r>
      <w:r w:rsidR="000D3B27">
        <w:t xml:space="preserve">to petition the commission to adopt, amend, or repeal a regulation.”  </w:t>
      </w:r>
      <w:r w:rsidR="00132A3B">
        <w:t xml:space="preserve">In </w:t>
      </w:r>
      <w:r w:rsidR="001709EF">
        <w:t>its</w:t>
      </w:r>
      <w:r w:rsidR="00132A3B">
        <w:t xml:space="preserve"> Petition, </w:t>
      </w:r>
      <w:r w:rsidR="00EE4F9F">
        <w:t>AT&amp;T</w:t>
      </w:r>
      <w:r>
        <w:t xml:space="preserve"> </w:t>
      </w:r>
      <w:r w:rsidR="006976A3">
        <w:t xml:space="preserve">requests that </w:t>
      </w:r>
      <w:r w:rsidR="00132A3B">
        <w:t xml:space="preserve">the </w:t>
      </w:r>
      <w:r>
        <w:t>Commission</w:t>
      </w:r>
      <w:r w:rsidR="00C4106E">
        <w:t xml:space="preserve"> </w:t>
      </w:r>
      <w:r w:rsidR="00441A8B">
        <w:t>amend the</w:t>
      </w:r>
      <w:r w:rsidR="00C4106E">
        <w:t xml:space="preserve"> </w:t>
      </w:r>
      <w:r w:rsidR="007229C4">
        <w:t>ROW</w:t>
      </w:r>
      <w:r w:rsidR="001763DA">
        <w:t> </w:t>
      </w:r>
      <w:r w:rsidR="007229C4">
        <w:t xml:space="preserve">Rules </w:t>
      </w:r>
      <w:r>
        <w:t xml:space="preserve">adopted </w:t>
      </w:r>
      <w:r w:rsidR="00C128C3">
        <w:t>by</w:t>
      </w:r>
      <w:r>
        <w:t xml:space="preserve"> D.</w:t>
      </w:r>
      <w:r w:rsidRPr="000367EC">
        <w:t>98-10-058</w:t>
      </w:r>
      <w:r w:rsidR="002E358C">
        <w:t xml:space="preserve"> </w:t>
      </w:r>
      <w:r w:rsidR="003874CA">
        <w:t xml:space="preserve">so that the </w:t>
      </w:r>
      <w:r w:rsidR="00B353A7">
        <w:t>r</w:t>
      </w:r>
      <w:r w:rsidR="003874CA">
        <w:t xml:space="preserve">ules </w:t>
      </w:r>
      <w:r w:rsidR="00441A8B">
        <w:t xml:space="preserve">apply </w:t>
      </w:r>
      <w:r w:rsidR="00267800">
        <w:t>t</w:t>
      </w:r>
      <w:r w:rsidR="002E358C">
        <w:t xml:space="preserve">o </w:t>
      </w:r>
      <w:r w:rsidR="00B052D3">
        <w:t>CMRS carrier</w:t>
      </w:r>
      <w:r w:rsidR="002E358C">
        <w:t>s</w:t>
      </w:r>
      <w:r w:rsidR="00441A8B">
        <w:t xml:space="preserve"> </w:t>
      </w:r>
      <w:r w:rsidR="00441A8B">
        <w:lastRenderedPageBreak/>
        <w:t>going forward</w:t>
      </w:r>
      <w:r>
        <w:t xml:space="preserve">.  </w:t>
      </w:r>
      <w:r w:rsidR="00837EBA">
        <w:t xml:space="preserve">Appendix A of the Petition sets forth </w:t>
      </w:r>
      <w:r w:rsidR="0011597E">
        <w:t>AT&amp;T’s</w:t>
      </w:r>
      <w:r w:rsidR="00837EBA">
        <w:t xml:space="preserve"> proposed changes to the </w:t>
      </w:r>
      <w:r w:rsidR="00B23B91">
        <w:t xml:space="preserve">text of the </w:t>
      </w:r>
      <w:r w:rsidR="00837EBA">
        <w:t xml:space="preserve">ROW Rules.  Generally, the proposed </w:t>
      </w:r>
      <w:r w:rsidR="00C128C3">
        <w:t>changes</w:t>
      </w:r>
      <w:r w:rsidR="00837EBA">
        <w:t xml:space="preserve"> add the term “CMRS</w:t>
      </w:r>
      <w:r w:rsidR="00BD7BE9">
        <w:t> </w:t>
      </w:r>
      <w:r w:rsidR="0011597E">
        <w:t>provider</w:t>
      </w:r>
      <w:r w:rsidR="00837EBA">
        <w:t>” to the operative provisions of the ROW Rules.</w:t>
      </w:r>
      <w:r w:rsidR="0011597E">
        <w:rPr>
          <w:rStyle w:val="FootnoteReference"/>
        </w:rPr>
        <w:footnoteReference w:id="12"/>
      </w:r>
      <w:r w:rsidR="00837EBA">
        <w:t xml:space="preserve">  Appendix A of today’s </w:t>
      </w:r>
      <w:r w:rsidR="009920A0">
        <w:t xml:space="preserve">order </w:t>
      </w:r>
      <w:r w:rsidR="00837EBA">
        <w:t xml:space="preserve">shows the ROW Rules with AT&amp;T’s proposed </w:t>
      </w:r>
      <w:r w:rsidR="00C128C3">
        <w:t>changes</w:t>
      </w:r>
      <w:r w:rsidR="00943440">
        <w:t>.</w:t>
      </w:r>
    </w:p>
    <w:p w:rsidR="00B6424E" w:rsidRDefault="00B6424E" w:rsidP="00B6424E">
      <w:pPr>
        <w:pStyle w:val="standard"/>
      </w:pPr>
      <w:r>
        <w:t xml:space="preserve">AT&amp;T </w:t>
      </w:r>
      <w:r w:rsidR="001709EF">
        <w:t>states</w:t>
      </w:r>
      <w:r>
        <w:t xml:space="preserve"> that D.98</w:t>
      </w:r>
      <w:r>
        <w:noBreakHyphen/>
        <w:t>10</w:t>
      </w:r>
      <w:r>
        <w:noBreakHyphen/>
        <w:t>058</w:t>
      </w:r>
      <w:r w:rsidR="003A1715">
        <w:t xml:space="preserve"> </w:t>
      </w:r>
      <w:r w:rsidR="000A1317">
        <w:t xml:space="preserve">took three actions that together </w:t>
      </w:r>
      <w:r w:rsidR="00C128C3">
        <w:t>hinder the ability of</w:t>
      </w:r>
      <w:r w:rsidR="000A1317">
        <w:t xml:space="preserve"> </w:t>
      </w:r>
      <w:r w:rsidR="00B052D3">
        <w:t>CMRS</w:t>
      </w:r>
      <w:r w:rsidR="00CB504E">
        <w:t> </w:t>
      </w:r>
      <w:r w:rsidR="00B052D3">
        <w:t>carrier</w:t>
      </w:r>
      <w:r w:rsidR="000A1317">
        <w:t xml:space="preserve">s </w:t>
      </w:r>
      <w:r w:rsidR="00C128C3">
        <w:t xml:space="preserve">obtain </w:t>
      </w:r>
      <w:r w:rsidR="000A1317">
        <w:t>nondiscriminat</w:t>
      </w:r>
      <w:r w:rsidR="007D4FCE">
        <w:t xml:space="preserve">ory </w:t>
      </w:r>
      <w:r w:rsidR="00C128C3">
        <w:t xml:space="preserve">access to utility </w:t>
      </w:r>
      <w:r w:rsidR="007D4FCE">
        <w:t>pole</w:t>
      </w:r>
      <w:r w:rsidR="00C128C3">
        <w:t>s</w:t>
      </w:r>
      <w:r w:rsidR="007D4FCE">
        <w:t xml:space="preserve"> </w:t>
      </w:r>
      <w:r w:rsidR="000A1317">
        <w:t xml:space="preserve">in </w:t>
      </w:r>
      <w:smartTag w:uri="urn:schemas-microsoft-com:office:smarttags" w:element="State">
        <w:smartTag w:uri="urn:schemas-microsoft-com:office:smarttags" w:element="place">
          <w:r w:rsidR="000A1317">
            <w:t>California</w:t>
          </w:r>
        </w:smartTag>
      </w:smartTag>
      <w:r w:rsidR="000A1317">
        <w:t xml:space="preserve">.  First, the </w:t>
      </w:r>
      <w:r w:rsidR="00B353A7">
        <w:t>d</w:t>
      </w:r>
      <w:r w:rsidR="003A1715">
        <w:t xml:space="preserve">ecision </w:t>
      </w:r>
      <w:r w:rsidR="000A1317">
        <w:t>adopted ROW</w:t>
      </w:r>
      <w:r w:rsidR="00EE4F9F">
        <w:t> </w:t>
      </w:r>
      <w:r w:rsidR="000A1317">
        <w:t xml:space="preserve">Rules </w:t>
      </w:r>
      <w:r w:rsidR="00CB504E">
        <w:t>for</w:t>
      </w:r>
      <w:r>
        <w:t xml:space="preserve"> nondiscriminatory </w:t>
      </w:r>
      <w:r w:rsidR="007D4FCE">
        <w:t>pole attachments</w:t>
      </w:r>
      <w:r w:rsidR="00CB504E">
        <w:t xml:space="preserve">. </w:t>
      </w:r>
      <w:r>
        <w:t xml:space="preserve"> </w:t>
      </w:r>
      <w:r w:rsidR="000A1317">
        <w:t xml:space="preserve">Second, the </w:t>
      </w:r>
      <w:r w:rsidR="00B353A7">
        <w:t>d</w:t>
      </w:r>
      <w:r w:rsidR="003A1715">
        <w:t xml:space="preserve">ecision </w:t>
      </w:r>
      <w:r w:rsidR="00CB504E">
        <w:t xml:space="preserve">excluded CMRS carriers from the adopted </w:t>
      </w:r>
      <w:r w:rsidR="00936B7B">
        <w:t>rules</w:t>
      </w:r>
      <w:r w:rsidR="00B353A7">
        <w:t>.  Finally, the d</w:t>
      </w:r>
      <w:r w:rsidR="00CB504E">
        <w:t xml:space="preserve">ecision certified </w:t>
      </w:r>
      <w:r w:rsidR="00CF1D06">
        <w:t xml:space="preserve">to the FCC </w:t>
      </w:r>
      <w:r w:rsidR="00CB504E">
        <w:t xml:space="preserve">that the Commission has adopted regulations for nondiscriminatory </w:t>
      </w:r>
      <w:r w:rsidR="007D4FCE">
        <w:t>pole</w:t>
      </w:r>
      <w:r w:rsidR="00CF1D06">
        <w:t> </w:t>
      </w:r>
      <w:r w:rsidR="007D4FCE">
        <w:t xml:space="preserve">attachments </w:t>
      </w:r>
      <w:r w:rsidR="00CB504E">
        <w:t xml:space="preserve">and thereby preempted the </w:t>
      </w:r>
      <w:r w:rsidR="00CF1D06">
        <w:t xml:space="preserve">FCC’s </w:t>
      </w:r>
      <w:r w:rsidR="00C5261C">
        <w:t>regulation</w:t>
      </w:r>
      <w:r w:rsidR="00CF1D06">
        <w:t xml:space="preserve"> of </w:t>
      </w:r>
      <w:r w:rsidR="00A34709">
        <w:t>pole</w:t>
      </w:r>
      <w:r w:rsidR="00CF1D06">
        <w:t> </w:t>
      </w:r>
      <w:r w:rsidR="00A34709">
        <w:t>attachments</w:t>
      </w:r>
      <w:r w:rsidR="001709EF">
        <w:t xml:space="preserve"> in California</w:t>
      </w:r>
      <w:r>
        <w:t xml:space="preserve">.  </w:t>
      </w:r>
      <w:r w:rsidR="003A1715">
        <w:t xml:space="preserve">As a result of these actions, </w:t>
      </w:r>
      <w:r w:rsidR="00716F8E">
        <w:t xml:space="preserve">if </w:t>
      </w:r>
      <w:r w:rsidR="00B052D3">
        <w:t>CMRS</w:t>
      </w:r>
      <w:r w:rsidR="00CB504E">
        <w:t> </w:t>
      </w:r>
      <w:r w:rsidR="00B052D3">
        <w:t>carrier</w:t>
      </w:r>
      <w:r>
        <w:t xml:space="preserve">s </w:t>
      </w:r>
      <w:r w:rsidR="00716F8E">
        <w:t xml:space="preserve">in </w:t>
      </w:r>
      <w:smartTag w:uri="urn:schemas-microsoft-com:office:smarttags" w:element="State">
        <w:smartTag w:uri="urn:schemas-microsoft-com:office:smarttags" w:element="place">
          <w:r w:rsidR="00716F8E">
            <w:t>California</w:t>
          </w:r>
        </w:smartTag>
      </w:smartTag>
      <w:r w:rsidR="00716F8E">
        <w:t xml:space="preserve"> </w:t>
      </w:r>
      <w:r>
        <w:t xml:space="preserve">are faced with unreasonable demands for </w:t>
      </w:r>
      <w:r w:rsidR="00A34709">
        <w:t>pole</w:t>
      </w:r>
      <w:r w:rsidR="00CF1D06">
        <w:t> </w:t>
      </w:r>
      <w:r w:rsidR="00A34709">
        <w:t>attachments</w:t>
      </w:r>
      <w:r w:rsidR="00CB504E">
        <w:t xml:space="preserve">, </w:t>
      </w:r>
      <w:r>
        <w:t xml:space="preserve">they cannot seek relief </w:t>
      </w:r>
      <w:r w:rsidR="00716F8E">
        <w:t>at</w:t>
      </w:r>
      <w:r>
        <w:t xml:space="preserve"> the FCC because th</w:t>
      </w:r>
      <w:r w:rsidR="003A1715">
        <w:t>e</w:t>
      </w:r>
      <w:r>
        <w:t xml:space="preserve"> Commission has certified that it regulat</w:t>
      </w:r>
      <w:r w:rsidR="00C26A0D">
        <w:t xml:space="preserve">es </w:t>
      </w:r>
      <w:r w:rsidR="00A34709">
        <w:t>pole</w:t>
      </w:r>
      <w:r w:rsidR="00CF1D06">
        <w:t> </w:t>
      </w:r>
      <w:r w:rsidR="00A34709">
        <w:t>attachments</w:t>
      </w:r>
      <w:r w:rsidR="00CB504E">
        <w:t>.</w:t>
      </w:r>
      <w:r>
        <w:t xml:space="preserve">  </w:t>
      </w:r>
      <w:r w:rsidR="00716F8E">
        <w:t xml:space="preserve">At the same time, </w:t>
      </w:r>
      <w:r w:rsidR="00B052D3">
        <w:t>CMRS</w:t>
      </w:r>
      <w:r w:rsidR="005F03AA">
        <w:t> </w:t>
      </w:r>
      <w:r w:rsidR="00B052D3">
        <w:t>carrier</w:t>
      </w:r>
      <w:r w:rsidR="00716F8E">
        <w:t xml:space="preserve">s cannot </w:t>
      </w:r>
      <w:r>
        <w:t>seek relief at th</w:t>
      </w:r>
      <w:r w:rsidR="00716F8E">
        <w:t>e</w:t>
      </w:r>
      <w:r>
        <w:t xml:space="preserve"> Commission</w:t>
      </w:r>
      <w:r w:rsidR="00716F8E">
        <w:t xml:space="preserve"> </w:t>
      </w:r>
      <w:r>
        <w:t>because th</w:t>
      </w:r>
      <w:r w:rsidR="00716F8E">
        <w:t xml:space="preserve">e ROW Rules </w:t>
      </w:r>
      <w:r>
        <w:t xml:space="preserve">do not </w:t>
      </w:r>
      <w:r w:rsidR="00716F8E">
        <w:t xml:space="preserve">encompass </w:t>
      </w:r>
      <w:r w:rsidR="00B052D3">
        <w:t>CMRS carrier</w:t>
      </w:r>
      <w:r w:rsidR="00716F8E">
        <w:t>s.</w:t>
      </w:r>
      <w:r>
        <w:t xml:space="preserve">  AT&amp;T requests that the Commission rectify this situation by amending its ROW</w:t>
      </w:r>
      <w:r w:rsidR="00716F8E">
        <w:t> </w:t>
      </w:r>
      <w:r>
        <w:t xml:space="preserve">Rules to </w:t>
      </w:r>
      <w:r w:rsidR="00EE4F9F">
        <w:t>include</w:t>
      </w:r>
      <w:r>
        <w:t xml:space="preserve"> </w:t>
      </w:r>
      <w:r w:rsidR="00B052D3">
        <w:t>CMRS</w:t>
      </w:r>
      <w:r w:rsidR="005F03AA">
        <w:t> </w:t>
      </w:r>
      <w:r w:rsidR="00B052D3">
        <w:t>carrier</w:t>
      </w:r>
      <w:r w:rsidR="00716F8E">
        <w:t>s</w:t>
      </w:r>
      <w:r>
        <w:t>.</w:t>
      </w:r>
    </w:p>
    <w:p w:rsidR="005F03AA" w:rsidRPr="00776D08" w:rsidRDefault="00001CB4" w:rsidP="005F03AA">
      <w:pPr>
        <w:pStyle w:val="standard"/>
        <w:rPr>
          <w:rStyle w:val="StandardQuotationChar"/>
        </w:rPr>
      </w:pPr>
      <w:r>
        <w:t xml:space="preserve">AT&amp;T </w:t>
      </w:r>
      <w:r w:rsidR="00CF1D06">
        <w:t>acknowledges</w:t>
      </w:r>
      <w:r>
        <w:t xml:space="preserve"> that D.98-10-058 excluded </w:t>
      </w:r>
      <w:r w:rsidR="00B052D3">
        <w:t>CMRS carrier</w:t>
      </w:r>
      <w:r>
        <w:t xml:space="preserve">s from the ROW Rules due to an insufficient record at that time </w:t>
      </w:r>
      <w:r w:rsidR="00EE4F9F">
        <w:t>regarding</w:t>
      </w:r>
      <w:r>
        <w:t xml:space="preserve"> the safety, reliability, and special access needs </w:t>
      </w:r>
      <w:r w:rsidR="00B23B91">
        <w:t>of</w:t>
      </w:r>
      <w:r>
        <w:t xml:space="preserve"> </w:t>
      </w:r>
      <w:r w:rsidR="00B23B91">
        <w:t>CMRS</w:t>
      </w:r>
      <w:r>
        <w:t xml:space="preserve"> pole attachments.  </w:t>
      </w:r>
      <w:r w:rsidR="00CF1D06">
        <w:t xml:space="preserve">These </w:t>
      </w:r>
      <w:r w:rsidR="001F32F9">
        <w:t xml:space="preserve">issues </w:t>
      </w:r>
      <w:r w:rsidR="00CF1D06">
        <w:t>were resolved in D.07-02-030 and D.08-10-017</w:t>
      </w:r>
      <w:r w:rsidR="001F32F9">
        <w:t>, according to AT&amp;T.</w:t>
      </w:r>
      <w:r w:rsidR="000B25AB">
        <w:rPr>
          <w:rStyle w:val="FootnoteReference"/>
        </w:rPr>
        <w:footnoteReference w:id="13"/>
      </w:r>
      <w:r w:rsidR="001F32F9">
        <w:t xml:space="preserve">  </w:t>
      </w:r>
      <w:r>
        <w:t>In D.07</w:t>
      </w:r>
      <w:r>
        <w:noBreakHyphen/>
        <w:t>02</w:t>
      </w:r>
      <w:r w:rsidR="004367FC">
        <w:noBreakHyphen/>
      </w:r>
      <w:r>
        <w:t xml:space="preserve">030, </w:t>
      </w:r>
      <w:r w:rsidR="005F03AA">
        <w:t>the Commission</w:t>
      </w:r>
      <w:r>
        <w:t xml:space="preserve"> adopted a settlement agreement </w:t>
      </w:r>
      <w:r w:rsidR="003A2B87">
        <w:t xml:space="preserve">that amended </w:t>
      </w:r>
      <w:r w:rsidR="003A2B87">
        <w:lastRenderedPageBreak/>
        <w:t>General</w:t>
      </w:r>
      <w:r w:rsidR="00CF1D06">
        <w:t> </w:t>
      </w:r>
      <w:r w:rsidR="003A2B87">
        <w:t xml:space="preserve">Order </w:t>
      </w:r>
      <w:r w:rsidR="00D9279E">
        <w:t xml:space="preserve">(GO) </w:t>
      </w:r>
      <w:r w:rsidR="003A2B87">
        <w:t>95 to include a new Rule</w:t>
      </w:r>
      <w:r w:rsidR="001E62F7">
        <w:t> </w:t>
      </w:r>
      <w:r w:rsidR="003A2B87">
        <w:t xml:space="preserve">94 </w:t>
      </w:r>
      <w:r w:rsidR="00936B7B">
        <w:t xml:space="preserve">that addresses </w:t>
      </w:r>
      <w:r>
        <w:t>the safety, reliability</w:t>
      </w:r>
      <w:r w:rsidR="00410E60">
        <w:t>,</w:t>
      </w:r>
      <w:r>
        <w:t xml:space="preserve"> and access needs of wireless </w:t>
      </w:r>
      <w:r w:rsidR="00BA783B">
        <w:t xml:space="preserve">pole </w:t>
      </w:r>
      <w:r>
        <w:t>attachments</w:t>
      </w:r>
      <w:r w:rsidR="002F6CDD">
        <w:t xml:space="preserve"> other than pole</w:t>
      </w:r>
      <w:r w:rsidR="00BA783B">
        <w:noBreakHyphen/>
      </w:r>
      <w:r w:rsidR="002F6CDD">
        <w:t>top antennas</w:t>
      </w:r>
      <w:r>
        <w:t xml:space="preserve">.  </w:t>
      </w:r>
      <w:r w:rsidR="005F03AA">
        <w:t>In D.08</w:t>
      </w:r>
      <w:r w:rsidR="005F03AA">
        <w:noBreakHyphen/>
        <w:t>10</w:t>
      </w:r>
      <w:r w:rsidR="005F03AA">
        <w:noBreakHyphen/>
        <w:t>017, the Commission adopted a settlement agreement that modified GO 95 to incorporate construction standards for pole</w:t>
      </w:r>
      <w:r w:rsidR="005F03AA">
        <w:noBreakHyphen/>
        <w:t xml:space="preserve">top antennas installed on utility poles with power lines operating at zero to 50,000 volts.  </w:t>
      </w:r>
      <w:r w:rsidR="00F12FD9">
        <w:t>AT&amp;T calls attention to t</w:t>
      </w:r>
      <w:r w:rsidR="005F03AA">
        <w:t>he Commission</w:t>
      </w:r>
      <w:r w:rsidR="00F12FD9">
        <w:t xml:space="preserve">’s finding </w:t>
      </w:r>
      <w:r w:rsidR="005F03AA">
        <w:t>in D.08</w:t>
      </w:r>
      <w:r w:rsidR="005F03AA">
        <w:noBreakHyphen/>
        <w:t>10</w:t>
      </w:r>
      <w:r w:rsidR="005F03AA">
        <w:noBreakHyphen/>
        <w:t>017 that the adopted construction standards for pole</w:t>
      </w:r>
      <w:r w:rsidR="00CF1D06">
        <w:noBreakHyphen/>
      </w:r>
      <w:r w:rsidR="005F03AA">
        <w:t>top antennas will:</w:t>
      </w:r>
    </w:p>
    <w:p w:rsidR="005F03AA" w:rsidRPr="00776D08" w:rsidRDefault="005F03AA" w:rsidP="00295973">
      <w:pPr>
        <w:pStyle w:val="Quotation"/>
        <w:spacing w:after="200"/>
        <w:ind w:left="1080" w:right="1080"/>
        <w:rPr>
          <w:rStyle w:val="StandardQuotationChar"/>
        </w:rPr>
      </w:pPr>
      <w:r>
        <w:rPr>
          <w:rStyle w:val="StandardQuotationChar"/>
        </w:rPr>
        <w:t>[A]</w:t>
      </w:r>
      <w:r w:rsidRPr="00776D08">
        <w:rPr>
          <w:rStyle w:val="StandardQuotationChar"/>
        </w:rPr>
        <w:t>dvance the Commission’s goal of expanding the State’s wireless infrastructure; will protect the safety of workers and the public; and allow pole-top antennas to be installed in a manner that is compatible with facilities attached to joint-use poles by electric utilities, telecommunications providers, and cable service providers.</w:t>
      </w:r>
      <w:r>
        <w:rPr>
          <w:rStyle w:val="StandardQuotationChar"/>
        </w:rPr>
        <w:t xml:space="preserve"> (</w:t>
      </w:r>
      <w:r>
        <w:t>D.08</w:t>
      </w:r>
      <w:r>
        <w:noBreakHyphen/>
        <w:t>10</w:t>
      </w:r>
      <w:r>
        <w:noBreakHyphen/>
        <w:t>017 at 14.)</w:t>
      </w:r>
    </w:p>
    <w:p w:rsidR="00FF4A4D" w:rsidRDefault="000260D6" w:rsidP="00FF4A4D">
      <w:pPr>
        <w:pStyle w:val="standard"/>
      </w:pPr>
      <w:r>
        <w:t xml:space="preserve">Rule 6.3(b) of the Commission’s Rules of Practice and Procedure (Rule 6.3(b)) requires a petition filed pursuant to Pub. Util. Code </w:t>
      </w:r>
      <w:r>
        <w:rPr>
          <w:rFonts w:ascii="Book Antiqua" w:hAnsi="Book Antiqua"/>
        </w:rPr>
        <w:t>§</w:t>
      </w:r>
      <w:r>
        <w:t xml:space="preserve"> 1708.5 to </w:t>
      </w:r>
      <w:r w:rsidR="00FF4A4D">
        <w:t xml:space="preserve">state the justification for the requested relief.  AT&amp;T offers four justifications.  First, </w:t>
      </w:r>
      <w:r w:rsidR="00AE3040">
        <w:t>AT&amp;T posits that</w:t>
      </w:r>
      <w:r w:rsidR="005876FA">
        <w:t>,</w:t>
      </w:r>
      <w:r w:rsidR="00AE3040">
        <w:t xml:space="preserve"> </w:t>
      </w:r>
      <w:r w:rsidR="00FF4A4D">
        <w:t xml:space="preserve">by granting the Petition, the </w:t>
      </w:r>
      <w:r w:rsidR="00FF4A4D" w:rsidRPr="001679D7">
        <w:t xml:space="preserve">Commission </w:t>
      </w:r>
      <w:r w:rsidR="005876FA">
        <w:t>can</w:t>
      </w:r>
      <w:r w:rsidR="00FF4A4D">
        <w:t xml:space="preserve"> </w:t>
      </w:r>
      <w:r w:rsidR="00CE65C1">
        <w:t xml:space="preserve">fulfill its promise </w:t>
      </w:r>
      <w:r w:rsidR="00FF4A4D" w:rsidRPr="001679D7">
        <w:t xml:space="preserve">in </w:t>
      </w:r>
      <w:r w:rsidR="00FF4A4D">
        <w:t>D.98</w:t>
      </w:r>
      <w:r w:rsidR="007F3F86">
        <w:noBreakHyphen/>
      </w:r>
      <w:r w:rsidR="00FF4A4D">
        <w:t xml:space="preserve">10-058 </w:t>
      </w:r>
      <w:r w:rsidR="00CE65C1">
        <w:t xml:space="preserve">to consider </w:t>
      </w:r>
      <w:r w:rsidR="00FF4A4D">
        <w:t xml:space="preserve">the applicability of its ROW Rules to </w:t>
      </w:r>
      <w:r w:rsidR="00B052D3">
        <w:t>CMRS</w:t>
      </w:r>
      <w:r w:rsidR="00CE65C1">
        <w:t> </w:t>
      </w:r>
      <w:r w:rsidR="00B052D3">
        <w:t>carrier</w:t>
      </w:r>
      <w:r w:rsidR="00FF4A4D">
        <w:t>s.</w:t>
      </w:r>
      <w:r w:rsidR="00FF4A4D">
        <w:rPr>
          <w:rStyle w:val="FootnoteReference"/>
        </w:rPr>
        <w:footnoteReference w:id="14"/>
      </w:r>
    </w:p>
    <w:p w:rsidR="00B728F5" w:rsidRDefault="00B728F5" w:rsidP="00B728F5">
      <w:pPr>
        <w:pStyle w:val="standard"/>
      </w:pPr>
      <w:r>
        <w:t>Second, the Commission has previously found that wireless services provide significant public benefits.</w:t>
      </w:r>
      <w:r>
        <w:rPr>
          <w:rStyle w:val="FootnoteReference"/>
        </w:rPr>
        <w:footnoteReference w:id="15"/>
      </w:r>
      <w:r>
        <w:t xml:space="preserve">  AT&amp;T avers that its proposed modifications of the ROW Rules will facilitate the widespread deployment of broadband wireless services and thereby result i</w:t>
      </w:r>
      <w:r w:rsidR="00943440">
        <w:t>n significant public benefits.</w:t>
      </w:r>
    </w:p>
    <w:p w:rsidR="00B728F5" w:rsidRDefault="00B728F5" w:rsidP="00B728F5">
      <w:pPr>
        <w:pStyle w:val="standard"/>
      </w:pPr>
      <w:r>
        <w:t xml:space="preserve">Third, AT&amp;T claims that it has faced significant barriers </w:t>
      </w:r>
      <w:r w:rsidR="00F12FD9">
        <w:t xml:space="preserve">for its pole attachments </w:t>
      </w:r>
      <w:r>
        <w:t xml:space="preserve">in </w:t>
      </w:r>
      <w:smartTag w:uri="urn:schemas-microsoft-com:office:smarttags" w:element="State">
        <w:smartTag w:uri="urn:schemas-microsoft-com:office:smarttags" w:element="place">
          <w:r>
            <w:t>California</w:t>
          </w:r>
        </w:smartTag>
      </w:smartTag>
      <w:r>
        <w:t xml:space="preserve">.  For example, AT&amp;T represents </w:t>
      </w:r>
      <w:r w:rsidR="00EB7829">
        <w:t xml:space="preserve">that the rates </w:t>
      </w:r>
      <w:r w:rsidR="00EB7829">
        <w:lastRenderedPageBreak/>
        <w:t>demanded for pole</w:t>
      </w:r>
      <w:r w:rsidR="00EB7829">
        <w:noBreakHyphen/>
        <w:t xml:space="preserve">top attachments generally exceed the maximum rate allowed by California and federal law; </w:t>
      </w:r>
      <w:r>
        <w:t>that</w:t>
      </w:r>
      <w:r w:rsidR="00EB7829">
        <w:t xml:space="preserve"> AT&amp;T </w:t>
      </w:r>
      <w:r>
        <w:t xml:space="preserve">has been unable to reach agreements </w:t>
      </w:r>
      <w:r w:rsidR="00EB7829">
        <w:t>for pole</w:t>
      </w:r>
      <w:r w:rsidR="00EB7829">
        <w:noBreakHyphen/>
        <w:t xml:space="preserve">top attachments </w:t>
      </w:r>
      <w:r>
        <w:t xml:space="preserve">with </w:t>
      </w:r>
      <w:r w:rsidR="00EB7829">
        <w:t>several</w:t>
      </w:r>
      <w:r>
        <w:t xml:space="preserve"> utilities</w:t>
      </w:r>
      <w:r w:rsidR="00FB0471">
        <w:t xml:space="preserve">; </w:t>
      </w:r>
      <w:r w:rsidR="00EB7829">
        <w:t>and that</w:t>
      </w:r>
      <w:r w:rsidR="00FB0471">
        <w:t xml:space="preserve"> </w:t>
      </w:r>
      <w:r w:rsidR="00410E60">
        <w:t xml:space="preserve">one </w:t>
      </w:r>
      <w:r w:rsidR="00C52D5D">
        <w:t xml:space="preserve">utility forced </w:t>
      </w:r>
      <w:r w:rsidR="00FB0471">
        <w:t xml:space="preserve">AT&amp;T </w:t>
      </w:r>
      <w:r w:rsidR="00C52D5D">
        <w:t xml:space="preserve">to spend more than </w:t>
      </w:r>
      <w:r w:rsidR="00410E60">
        <w:t>a</w:t>
      </w:r>
      <w:r w:rsidR="00C52D5D">
        <w:t xml:space="preserve"> year </w:t>
      </w:r>
      <w:r>
        <w:t>negotiat</w:t>
      </w:r>
      <w:r w:rsidR="00C52D5D">
        <w:t>ing a pole-attachment agreement</w:t>
      </w:r>
      <w:r w:rsidR="00943440">
        <w:t>.</w:t>
      </w:r>
    </w:p>
    <w:p w:rsidR="002A6093" w:rsidRDefault="00D95DB4" w:rsidP="00244F6F">
      <w:pPr>
        <w:pStyle w:val="standard"/>
      </w:pPr>
      <w:r>
        <w:t xml:space="preserve">Finally, </w:t>
      </w:r>
      <w:r w:rsidR="00EE4F9F">
        <w:t>AT&amp;T</w:t>
      </w:r>
      <w:r w:rsidR="00FF4A4D">
        <w:t xml:space="preserve"> </w:t>
      </w:r>
      <w:r>
        <w:t>argues</w:t>
      </w:r>
      <w:r w:rsidR="00FF4A4D">
        <w:t xml:space="preserve"> that </w:t>
      </w:r>
      <w:r>
        <w:t xml:space="preserve">the relief sought in its Petition </w:t>
      </w:r>
      <w:r w:rsidR="00FF4A4D">
        <w:t xml:space="preserve">will bring the Commission’s ROW Rules for </w:t>
      </w:r>
      <w:r w:rsidR="00B052D3">
        <w:t>CMRS carrier</w:t>
      </w:r>
      <w:r>
        <w:t xml:space="preserve">s </w:t>
      </w:r>
      <w:r w:rsidR="00FF4A4D">
        <w:t xml:space="preserve">into conformance with federal law. </w:t>
      </w:r>
      <w:r w:rsidR="000F274E">
        <w:t xml:space="preserve"> AT&amp;T states that since D.98-10-058 was issued, the </w:t>
      </w:r>
      <w:r w:rsidR="002A6093">
        <w:t xml:space="preserve">FCC has </w:t>
      </w:r>
      <w:r w:rsidR="00F12FD9">
        <w:t>held</w:t>
      </w:r>
      <w:r w:rsidR="002A6093">
        <w:t xml:space="preserve"> that </w:t>
      </w:r>
      <w:r w:rsidR="007C1AF9">
        <w:t>the benefits and protections of 47 U.S.C. </w:t>
      </w:r>
      <w:r w:rsidR="007C1AF9" w:rsidRPr="00CA3655">
        <w:rPr>
          <w:rStyle w:val="standardChar"/>
        </w:rPr>
        <w:t>§ 224</w:t>
      </w:r>
      <w:r w:rsidR="00EB3DA2">
        <w:rPr>
          <w:rStyle w:val="standardChar"/>
        </w:rPr>
        <w:t xml:space="preserve"> apply to CMRS carriers and </w:t>
      </w:r>
      <w:r w:rsidR="002A6093" w:rsidRPr="00244F6F">
        <w:t>all</w:t>
      </w:r>
      <w:r w:rsidR="002A6093">
        <w:t xml:space="preserve"> wireless attachments, including </w:t>
      </w:r>
      <w:r w:rsidR="002A6093" w:rsidRPr="00244F6F">
        <w:t>pole</w:t>
      </w:r>
      <w:r w:rsidR="001709EF">
        <w:noBreakHyphen/>
      </w:r>
      <w:r w:rsidR="002A6093" w:rsidRPr="00244F6F">
        <w:t>top</w:t>
      </w:r>
      <w:r w:rsidR="002A6093">
        <w:t xml:space="preserve"> antennas.</w:t>
      </w:r>
      <w:r w:rsidR="002A6093">
        <w:rPr>
          <w:rStyle w:val="FootnoteReference"/>
        </w:rPr>
        <w:footnoteReference w:id="16"/>
      </w:r>
    </w:p>
    <w:p w:rsidR="00323EEC" w:rsidRDefault="00EE4F9F" w:rsidP="00244F6F">
      <w:pPr>
        <w:pStyle w:val="standard"/>
      </w:pPr>
      <w:r>
        <w:t>AT&amp;T</w:t>
      </w:r>
      <w:r w:rsidR="00323EEC">
        <w:t xml:space="preserve"> </w:t>
      </w:r>
      <w:r w:rsidR="00B7467D">
        <w:t xml:space="preserve">interprets federal law as preempting </w:t>
      </w:r>
      <w:r w:rsidR="00323EEC">
        <w:t>state regulations that are not competitively neutral</w:t>
      </w:r>
      <w:r w:rsidR="00B7467D">
        <w:t xml:space="preserve"> with respect to </w:t>
      </w:r>
      <w:r w:rsidR="00EB3DA2">
        <w:t>pole attachments</w:t>
      </w:r>
      <w:r w:rsidR="00323EEC">
        <w:t xml:space="preserve">.  </w:t>
      </w:r>
      <w:r w:rsidR="00B7467D">
        <w:t>AT&amp;T believes t</w:t>
      </w:r>
      <w:r w:rsidR="00323EEC">
        <w:t xml:space="preserve">he Commission’s </w:t>
      </w:r>
      <w:r w:rsidR="00B7467D">
        <w:t>ROW Rules</w:t>
      </w:r>
      <w:r w:rsidR="00323EEC">
        <w:t xml:space="preserve"> run afoul of this prohibition because they discriminate against </w:t>
      </w:r>
      <w:r w:rsidR="00B052D3">
        <w:t>CMRS carrier</w:t>
      </w:r>
      <w:r w:rsidR="00323EEC">
        <w:t xml:space="preserve">s.  </w:t>
      </w:r>
      <w:r w:rsidR="00B7467D">
        <w:t>AT&amp;T</w:t>
      </w:r>
      <w:r w:rsidR="001576CF">
        <w:t xml:space="preserve"> warns</w:t>
      </w:r>
      <w:r w:rsidR="00B7467D">
        <w:t xml:space="preserve"> that t</w:t>
      </w:r>
      <w:r w:rsidR="00323EEC">
        <w:t>he Commission must remedy this defect or risk federal preemption.</w:t>
      </w:r>
      <w:r w:rsidR="00943440">
        <w:t xml:space="preserve"> </w:t>
      </w:r>
    </w:p>
    <w:p w:rsidR="00CE7F3F" w:rsidRDefault="00CE7F3F" w:rsidP="00244F6F">
      <w:pPr>
        <w:pStyle w:val="standard"/>
      </w:pPr>
      <w:r>
        <w:t xml:space="preserve">AT&amp;T </w:t>
      </w:r>
      <w:r w:rsidR="001709EF">
        <w:t>disputes</w:t>
      </w:r>
      <w:r>
        <w:t xml:space="preserve"> the objections raised by SED and the </w:t>
      </w:r>
      <w:r w:rsidR="00B140D3">
        <w:t>Electric</w:t>
      </w:r>
      <w:r w:rsidR="00A62E70">
        <w:t> </w:t>
      </w:r>
      <w:r w:rsidR="00B140D3">
        <w:t>IOUs</w:t>
      </w:r>
      <w:r>
        <w:t xml:space="preserve">.  </w:t>
      </w:r>
      <w:r w:rsidR="00482AB0">
        <w:t xml:space="preserve">With respect to SED’s concern, summarized below, </w:t>
      </w:r>
      <w:r w:rsidR="00596C59">
        <w:t xml:space="preserve">that the Petition </w:t>
      </w:r>
      <w:r w:rsidR="00A62E70">
        <w:t xml:space="preserve">does not define </w:t>
      </w:r>
      <w:r w:rsidR="00596C59">
        <w:t>“</w:t>
      </w:r>
      <w:r w:rsidR="00DF340E">
        <w:t xml:space="preserve">CMRS </w:t>
      </w:r>
      <w:r w:rsidR="00410E60">
        <w:t>p</w:t>
      </w:r>
      <w:r w:rsidR="00B052D3">
        <w:t>rovider</w:t>
      </w:r>
      <w:r w:rsidR="00596C59">
        <w:t xml:space="preserve">” </w:t>
      </w:r>
      <w:r w:rsidR="00A62E70">
        <w:t>adequately</w:t>
      </w:r>
      <w:r w:rsidR="00596C59">
        <w:t>, AT&amp;T replies that the Petition</w:t>
      </w:r>
      <w:r w:rsidR="00A62E70">
        <w:t xml:space="preserve">’s </w:t>
      </w:r>
      <w:r w:rsidR="00596C59">
        <w:t>definition of “CMRS </w:t>
      </w:r>
      <w:r w:rsidR="00410E60">
        <w:t>p</w:t>
      </w:r>
      <w:r w:rsidR="00596C59">
        <w:t xml:space="preserve">rovider” </w:t>
      </w:r>
      <w:r w:rsidR="00A62E70">
        <w:t xml:space="preserve">is similar to the definition in </w:t>
      </w:r>
      <w:r w:rsidR="00596C59">
        <w:t>D.98</w:t>
      </w:r>
      <w:r w:rsidR="00E51A3F">
        <w:noBreakHyphen/>
      </w:r>
      <w:r w:rsidR="001338EF">
        <w:t>09</w:t>
      </w:r>
      <w:r w:rsidR="00E51A3F">
        <w:noBreakHyphen/>
      </w:r>
      <w:r w:rsidR="00596C59">
        <w:t>0</w:t>
      </w:r>
      <w:r w:rsidR="001338EF">
        <w:t>24</w:t>
      </w:r>
      <w:r w:rsidR="00A62E70">
        <w:t>.</w:t>
      </w:r>
      <w:r w:rsidR="00596C59">
        <w:rPr>
          <w:rStyle w:val="FootnoteReference"/>
        </w:rPr>
        <w:footnoteReference w:id="17"/>
      </w:r>
    </w:p>
    <w:p w:rsidR="00A237ED" w:rsidRDefault="00565FB3" w:rsidP="00A237ED">
      <w:pPr>
        <w:pStyle w:val="standard"/>
      </w:pPr>
      <w:r>
        <w:t xml:space="preserve">With respect to SED’s </w:t>
      </w:r>
      <w:r w:rsidR="00237637">
        <w:t xml:space="preserve">and the Electric IOUs’ </w:t>
      </w:r>
      <w:r>
        <w:t>concern</w:t>
      </w:r>
      <w:r w:rsidR="00C40198">
        <w:t>, summarized below,</w:t>
      </w:r>
      <w:r>
        <w:t xml:space="preserve"> that </w:t>
      </w:r>
      <w:r w:rsidR="00C52D5D">
        <w:t>CMRS</w:t>
      </w:r>
      <w:r w:rsidR="00A84BFA">
        <w:t xml:space="preserve"> pole attachments pose significant safety issues</w:t>
      </w:r>
      <w:r>
        <w:t xml:space="preserve">, AT&amp;T replies that safety </w:t>
      </w:r>
      <w:r w:rsidR="001338EF">
        <w:t>issues</w:t>
      </w:r>
      <w:r>
        <w:t xml:space="preserve"> were </w:t>
      </w:r>
      <w:r w:rsidR="00C52D5D">
        <w:t>resolved</w:t>
      </w:r>
      <w:r>
        <w:t xml:space="preserve"> in two Commission </w:t>
      </w:r>
      <w:r w:rsidR="00A84BFA">
        <w:t>decisions</w:t>
      </w:r>
      <w:r>
        <w:t xml:space="preserve">.  </w:t>
      </w:r>
      <w:r w:rsidR="00E83837">
        <w:t xml:space="preserve">As noted previously, </w:t>
      </w:r>
      <w:r w:rsidR="00A84BFA">
        <w:lastRenderedPageBreak/>
        <w:t>D.07</w:t>
      </w:r>
      <w:r w:rsidR="00A84BFA">
        <w:noBreakHyphen/>
        <w:t>02</w:t>
      </w:r>
      <w:r w:rsidR="00A84BFA">
        <w:noBreakHyphen/>
        <w:t xml:space="preserve">030 </w:t>
      </w:r>
      <w:r w:rsidR="001709EF">
        <w:t xml:space="preserve">addressed </w:t>
      </w:r>
      <w:r w:rsidR="00652782">
        <w:t xml:space="preserve">safety issues related to wireless </w:t>
      </w:r>
      <w:r w:rsidR="00E83A71">
        <w:t xml:space="preserve">pole </w:t>
      </w:r>
      <w:r w:rsidR="00652782">
        <w:t>attachments</w:t>
      </w:r>
      <w:r w:rsidR="00EB3DA2">
        <w:t xml:space="preserve"> (with the </w:t>
      </w:r>
      <w:r w:rsidR="00652782">
        <w:t>exception of pole</w:t>
      </w:r>
      <w:r w:rsidR="00652782">
        <w:noBreakHyphen/>
        <w:t>top antennas</w:t>
      </w:r>
      <w:r w:rsidR="00EB3DA2">
        <w:t>) and</w:t>
      </w:r>
      <w:r w:rsidR="00BF0F27">
        <w:t xml:space="preserve"> </w:t>
      </w:r>
      <w:r w:rsidR="00A84BFA">
        <w:t>D.08</w:t>
      </w:r>
      <w:r w:rsidR="00A84BFA">
        <w:noBreakHyphen/>
        <w:t>10</w:t>
      </w:r>
      <w:r w:rsidR="00A84BFA">
        <w:noBreakHyphen/>
        <w:t xml:space="preserve">017 </w:t>
      </w:r>
      <w:r w:rsidR="001709EF">
        <w:t xml:space="preserve">addressed </w:t>
      </w:r>
      <w:r w:rsidR="00BF0F27">
        <w:t>safety issues related to pole</w:t>
      </w:r>
      <w:r w:rsidR="00BF0F27">
        <w:noBreakHyphen/>
        <w:t>top antennas</w:t>
      </w:r>
      <w:r>
        <w:t xml:space="preserve">. </w:t>
      </w:r>
      <w:r w:rsidR="00B659D5">
        <w:t xml:space="preserve"> </w:t>
      </w:r>
      <w:r w:rsidR="00A237ED">
        <w:t xml:space="preserve">AT&amp;T states that the Electric IOUs and SED’s predecessor division, the Consumer Protection and Safety Division, were parties to </w:t>
      </w:r>
      <w:r w:rsidR="00A84BFA">
        <w:t xml:space="preserve">the proceedings that produced these decisions </w:t>
      </w:r>
      <w:r w:rsidR="00A237ED">
        <w:t xml:space="preserve">and </w:t>
      </w:r>
      <w:r w:rsidR="00A84BFA">
        <w:t>offer</w:t>
      </w:r>
      <w:r w:rsidR="00A237ED">
        <w:t xml:space="preserve"> no justification for re</w:t>
      </w:r>
      <w:r w:rsidR="00E67C9E">
        <w:noBreakHyphen/>
      </w:r>
      <w:r w:rsidR="00A237ED">
        <w:t>litigating safety issues.</w:t>
      </w:r>
    </w:p>
    <w:p w:rsidR="002E2C83" w:rsidRDefault="00E16007" w:rsidP="00244F6F">
      <w:pPr>
        <w:pStyle w:val="standard"/>
      </w:pPr>
      <w:r>
        <w:t>In response to SED’s concern</w:t>
      </w:r>
      <w:r w:rsidR="003E111E">
        <w:t>, summarized below,</w:t>
      </w:r>
      <w:r>
        <w:t xml:space="preserve"> that </w:t>
      </w:r>
      <w:r w:rsidR="00DC6F89">
        <w:t xml:space="preserve">amending the ROW Rules to include CMRS carriers </w:t>
      </w:r>
      <w:r>
        <w:t xml:space="preserve">would force pole owners to allow </w:t>
      </w:r>
      <w:r w:rsidR="00DC6F89">
        <w:t>pole</w:t>
      </w:r>
      <w:r w:rsidR="00360F15">
        <w:noBreakHyphen/>
      </w:r>
      <w:r w:rsidR="00DC6F89">
        <w:t xml:space="preserve">top </w:t>
      </w:r>
      <w:r>
        <w:t>extensions,</w:t>
      </w:r>
      <w:r w:rsidR="005F3997">
        <w:t xml:space="preserve"> AT&amp;T</w:t>
      </w:r>
      <w:r>
        <w:t xml:space="preserve"> replies that the </w:t>
      </w:r>
      <w:r w:rsidR="00EC194A">
        <w:t xml:space="preserve">purpose of its </w:t>
      </w:r>
      <w:r w:rsidR="00DC6F89">
        <w:t xml:space="preserve">Petition </w:t>
      </w:r>
      <w:r w:rsidR="00EC194A">
        <w:t xml:space="preserve">is to obtain </w:t>
      </w:r>
      <w:r w:rsidR="00360F15">
        <w:t xml:space="preserve">pole attachments </w:t>
      </w:r>
      <w:r w:rsidR="00EC194A">
        <w:t xml:space="preserve">for CMRS carriers </w:t>
      </w:r>
      <w:r w:rsidR="00DC6F89">
        <w:t>at reasonable rates, terms</w:t>
      </w:r>
      <w:r w:rsidR="00360F15">
        <w:t>,</w:t>
      </w:r>
      <w:r w:rsidR="00DC6F89">
        <w:t xml:space="preserve"> and conditions.  </w:t>
      </w:r>
      <w:r w:rsidR="0098478A">
        <w:t>The Petition would not alter the Commission’s safety rules for pole attachments.</w:t>
      </w:r>
    </w:p>
    <w:p w:rsidR="008633FD" w:rsidRDefault="00AB09DF" w:rsidP="001709EF">
      <w:pPr>
        <w:pStyle w:val="standard"/>
      </w:pPr>
      <w:r>
        <w:t xml:space="preserve">In response to the </w:t>
      </w:r>
      <w:r w:rsidR="00B140D3">
        <w:t>Electric IOUs</w:t>
      </w:r>
      <w:r w:rsidR="00E17179">
        <w:t xml:space="preserve">’ objection, summarized below, </w:t>
      </w:r>
      <w:r>
        <w:t xml:space="preserve">that there is no need </w:t>
      </w:r>
      <w:r w:rsidR="00FB4EE3">
        <w:t>for</w:t>
      </w:r>
      <w:r>
        <w:t xml:space="preserve"> a rulemaking proceeding because </w:t>
      </w:r>
      <w:r w:rsidR="00B052D3">
        <w:t>CMRS</w:t>
      </w:r>
      <w:r w:rsidR="00FB4EE3">
        <w:t> </w:t>
      </w:r>
      <w:r w:rsidR="00B052D3">
        <w:t>carrier</w:t>
      </w:r>
      <w:r>
        <w:t xml:space="preserve">s may file </w:t>
      </w:r>
      <w:r w:rsidR="008633FD">
        <w:t xml:space="preserve">a complaint at the Commission if they </w:t>
      </w:r>
      <w:r w:rsidR="00FB4EE3">
        <w:t xml:space="preserve">cannot </w:t>
      </w:r>
      <w:r w:rsidR="00360F15">
        <w:t>obtain pole attachments</w:t>
      </w:r>
      <w:r w:rsidR="008633FD">
        <w:t xml:space="preserve">, AT&amp;T replies that such a complaint would be </w:t>
      </w:r>
      <w:r w:rsidR="00360F15">
        <w:t>problematic</w:t>
      </w:r>
      <w:r w:rsidR="008633FD">
        <w:t xml:space="preserve">.  AT&amp;T </w:t>
      </w:r>
      <w:r w:rsidR="0098478A">
        <w:t>expects</w:t>
      </w:r>
      <w:r w:rsidR="008633FD">
        <w:t xml:space="preserve"> that if it did file a complaint against a utility, the utility would argue that </w:t>
      </w:r>
      <w:r w:rsidR="0098478A">
        <w:t xml:space="preserve">the complaint should be dismissed </w:t>
      </w:r>
      <w:r w:rsidR="008633FD">
        <w:t>because CMRS </w:t>
      </w:r>
      <w:r w:rsidR="00E17179">
        <w:t>carriers</w:t>
      </w:r>
      <w:r w:rsidR="008633FD">
        <w:t xml:space="preserve"> have no right to attach at reasonable rates, terms</w:t>
      </w:r>
      <w:r w:rsidR="001163EF">
        <w:t>,</w:t>
      </w:r>
      <w:r w:rsidR="008633FD">
        <w:t xml:space="preserve"> and conditions u</w:t>
      </w:r>
      <w:r w:rsidR="00E17179">
        <w:t>nder the Commission’s ROW</w:t>
      </w:r>
      <w:r w:rsidR="00360F15">
        <w:t> </w:t>
      </w:r>
      <w:r w:rsidR="00E17179">
        <w:t>Rules</w:t>
      </w:r>
      <w:r w:rsidR="008633FD">
        <w:t xml:space="preserve">.  </w:t>
      </w:r>
      <w:r w:rsidR="0033509A">
        <w:t xml:space="preserve">AT&amp;T </w:t>
      </w:r>
      <w:r w:rsidR="00C7429A">
        <w:t>adds</w:t>
      </w:r>
      <w:r w:rsidR="0033509A">
        <w:t xml:space="preserve"> that t</w:t>
      </w:r>
      <w:r w:rsidR="008633FD">
        <w:t>he ROW Rules were developed to facilitate negotiated agreements</w:t>
      </w:r>
      <w:r w:rsidR="0019113A">
        <w:t>.</w:t>
      </w:r>
      <w:r w:rsidR="008633FD">
        <w:rPr>
          <w:rStyle w:val="FootnoteReference"/>
        </w:rPr>
        <w:footnoteReference w:id="18"/>
      </w:r>
      <w:r w:rsidR="008633FD">
        <w:t xml:space="preserve"> </w:t>
      </w:r>
      <w:r w:rsidR="0019113A">
        <w:t xml:space="preserve"> </w:t>
      </w:r>
      <w:r w:rsidR="0033509A">
        <w:t xml:space="preserve">Thus, </w:t>
      </w:r>
      <w:r w:rsidR="00360F15">
        <w:t>extending</w:t>
      </w:r>
      <w:r w:rsidR="0033509A">
        <w:t xml:space="preserve"> the </w:t>
      </w:r>
      <w:r w:rsidR="00FF5E4C">
        <w:t>rules</w:t>
      </w:r>
      <w:r w:rsidR="008633FD">
        <w:t xml:space="preserve"> </w:t>
      </w:r>
      <w:r w:rsidR="0033509A">
        <w:t>to CMRS</w:t>
      </w:r>
      <w:r w:rsidR="00C7429A">
        <w:t> carriers</w:t>
      </w:r>
      <w:r w:rsidR="0033509A">
        <w:t xml:space="preserve"> </w:t>
      </w:r>
      <w:r w:rsidR="008633FD">
        <w:t xml:space="preserve">would </w:t>
      </w:r>
      <w:r w:rsidR="00C7429A">
        <w:t xml:space="preserve">reduce </w:t>
      </w:r>
      <w:r w:rsidR="008633FD">
        <w:t xml:space="preserve">the </w:t>
      </w:r>
      <w:r w:rsidR="00C7429A">
        <w:t>potential for litigation</w:t>
      </w:r>
      <w:r w:rsidR="008633FD">
        <w:t xml:space="preserve">. </w:t>
      </w:r>
    </w:p>
    <w:p w:rsidR="00FB185F" w:rsidRDefault="008618AA" w:rsidP="00FB185F">
      <w:pPr>
        <w:pStyle w:val="standard"/>
      </w:pPr>
      <w:r>
        <w:t xml:space="preserve">In response to the </w:t>
      </w:r>
      <w:r w:rsidR="00B140D3">
        <w:t>Electric IOUs</w:t>
      </w:r>
      <w:r w:rsidR="00C41AA5">
        <w:t>’</w:t>
      </w:r>
      <w:r>
        <w:t xml:space="preserve"> </w:t>
      </w:r>
      <w:r w:rsidR="00DE2CD1">
        <w:t>objection, summarized below,</w:t>
      </w:r>
      <w:r>
        <w:t xml:space="preserve"> </w:t>
      </w:r>
      <w:r w:rsidR="0005416E">
        <w:t xml:space="preserve">that </w:t>
      </w:r>
      <w:r w:rsidR="001709EF">
        <w:t>AT&amp;T’s </w:t>
      </w:r>
      <w:r w:rsidR="00AA2915">
        <w:t xml:space="preserve">Petition does not provide </w:t>
      </w:r>
      <w:r>
        <w:t xml:space="preserve">a </w:t>
      </w:r>
      <w:r w:rsidRPr="008618AA">
        <w:t>factual</w:t>
      </w:r>
      <w:r>
        <w:t xml:space="preserve"> basis </w:t>
      </w:r>
      <w:r w:rsidR="00AA2915">
        <w:t>for the requested relief</w:t>
      </w:r>
      <w:r>
        <w:t>, AT&amp;T replies that Rule</w:t>
      </w:r>
      <w:r w:rsidR="0005416E">
        <w:t> </w:t>
      </w:r>
      <w:r>
        <w:t>6.3(b)</w:t>
      </w:r>
      <w:r w:rsidR="00360F15">
        <w:t xml:space="preserve"> does not require “facts.”  Rather, Rule 6.3(b) </w:t>
      </w:r>
      <w:r>
        <w:t xml:space="preserve">requires a </w:t>
      </w:r>
      <w:r>
        <w:lastRenderedPageBreak/>
        <w:t xml:space="preserve">petition </w:t>
      </w:r>
      <w:r w:rsidR="00AA2915">
        <w:t>to</w:t>
      </w:r>
      <w:r>
        <w:t xml:space="preserve"> “</w:t>
      </w:r>
      <w:r w:rsidRPr="008618AA">
        <w:t>concisely state the justification for the requested relief</w:t>
      </w:r>
      <w:r>
        <w:t xml:space="preserve">.”  </w:t>
      </w:r>
      <w:r w:rsidR="00FB185F">
        <w:t xml:space="preserve">AT&amp;T asserts that the justification in its Petition </w:t>
      </w:r>
      <w:r w:rsidR="0019113A">
        <w:t xml:space="preserve">exceeds </w:t>
      </w:r>
      <w:r w:rsidR="00FB185F">
        <w:t xml:space="preserve">what </w:t>
      </w:r>
      <w:r w:rsidR="00B760BD">
        <w:t xml:space="preserve">is required by </w:t>
      </w:r>
      <w:r w:rsidR="00FB185F">
        <w:t>Rule</w:t>
      </w:r>
      <w:r w:rsidR="0019113A">
        <w:t> </w:t>
      </w:r>
      <w:r w:rsidR="00FB185F">
        <w:t>6.3(b):</w:t>
      </w:r>
    </w:p>
    <w:p w:rsidR="00FB185F" w:rsidRPr="005F3997" w:rsidRDefault="00FB185F" w:rsidP="00D87159">
      <w:pPr>
        <w:pStyle w:val="StandardBullet"/>
        <w:spacing w:before="0"/>
        <w:ind w:left="1440"/>
      </w:pPr>
      <w:r w:rsidRPr="005F3997">
        <w:t>AT&amp;T has been unable to reach pole</w:t>
      </w:r>
      <w:r w:rsidR="003C45B2">
        <w:noBreakHyphen/>
      </w:r>
      <w:r w:rsidRPr="005F3997">
        <w:t>top attachment agreements with certain utilities</w:t>
      </w:r>
      <w:r w:rsidR="004E3D44">
        <w:t>.</w:t>
      </w:r>
      <w:r w:rsidRPr="005F3997">
        <w:t xml:space="preserve"> </w:t>
      </w:r>
      <w:r w:rsidR="00943440">
        <w:t xml:space="preserve"> </w:t>
      </w:r>
      <w:r w:rsidRPr="005F3997">
        <w:t xml:space="preserve">(Petition at 8.) </w:t>
      </w:r>
    </w:p>
    <w:p w:rsidR="00FB185F" w:rsidRPr="005F3997" w:rsidRDefault="00FB185F" w:rsidP="00D87159">
      <w:pPr>
        <w:pStyle w:val="StandardBullet"/>
        <w:spacing w:before="0"/>
        <w:ind w:left="1440"/>
      </w:pPr>
      <w:r w:rsidRPr="005F3997">
        <w:t xml:space="preserve">In one case, AT&amp;T was forced to engage in negotiations extending over a year. </w:t>
      </w:r>
      <w:r w:rsidR="00943440">
        <w:t xml:space="preserve"> </w:t>
      </w:r>
      <w:r w:rsidR="00CE14C8" w:rsidRPr="005F3997">
        <w:t>(Petition at 8 </w:t>
      </w:r>
      <w:r w:rsidR="00CE14C8" w:rsidRPr="005F3997">
        <w:noBreakHyphen/>
        <w:t> 9.)</w:t>
      </w:r>
    </w:p>
    <w:p w:rsidR="00FB185F" w:rsidRPr="005F3997" w:rsidRDefault="00FB185F" w:rsidP="00D87159">
      <w:pPr>
        <w:pStyle w:val="StandardBullet"/>
        <w:spacing w:before="0"/>
        <w:ind w:left="1440"/>
      </w:pPr>
      <w:r w:rsidRPr="005F3997">
        <w:t>The rates demanded for pole</w:t>
      </w:r>
      <w:r w:rsidR="003C45B2">
        <w:noBreakHyphen/>
      </w:r>
      <w:r w:rsidRPr="005F3997">
        <w:t xml:space="preserve">top access generally exceed the </w:t>
      </w:r>
      <w:r w:rsidRPr="00D76B61">
        <w:t>maximum</w:t>
      </w:r>
      <w:r w:rsidRPr="005F3997">
        <w:t xml:space="preserve"> allowable pole</w:t>
      </w:r>
      <w:r w:rsidR="003C45B2">
        <w:noBreakHyphen/>
      </w:r>
      <w:r w:rsidRPr="005F3997">
        <w:t xml:space="preserve">attachment rate as defined by </w:t>
      </w:r>
      <w:smartTag w:uri="urn:schemas-microsoft-com:office:smarttags" w:element="State">
        <w:smartTag w:uri="urn:schemas-microsoft-com:office:smarttags" w:element="place">
          <w:r w:rsidRPr="005F3997">
            <w:t>California</w:t>
          </w:r>
        </w:smartTag>
      </w:smartTag>
      <w:r w:rsidRPr="005F3997">
        <w:t xml:space="preserve"> and federal law.</w:t>
      </w:r>
      <w:r w:rsidR="00B760BD" w:rsidRPr="005F3997">
        <w:t xml:space="preserve"> </w:t>
      </w:r>
      <w:r w:rsidR="00943440">
        <w:t xml:space="preserve"> </w:t>
      </w:r>
      <w:r w:rsidR="00B760BD" w:rsidRPr="005F3997">
        <w:t>(Petition at 9.)</w:t>
      </w:r>
    </w:p>
    <w:p w:rsidR="00FB185F" w:rsidRPr="005F3997" w:rsidRDefault="00FB185F" w:rsidP="00D87159">
      <w:pPr>
        <w:pStyle w:val="StandardBullet"/>
        <w:spacing w:before="0"/>
        <w:ind w:left="1440"/>
      </w:pPr>
      <w:r w:rsidRPr="005F3997">
        <w:t>The Commission</w:t>
      </w:r>
      <w:r w:rsidR="00915A72">
        <w:t>’s</w:t>
      </w:r>
      <w:r w:rsidRPr="005F3997">
        <w:t xml:space="preserve"> ROW Rules are inconsistent with federal law, which grants access rights for wireless attachments at reasonable rates, terms and conditions.</w:t>
      </w:r>
      <w:r w:rsidR="00B760BD" w:rsidRPr="005F3997">
        <w:t xml:space="preserve"> </w:t>
      </w:r>
      <w:r w:rsidR="00943440">
        <w:t xml:space="preserve"> </w:t>
      </w:r>
      <w:r w:rsidR="00B760BD" w:rsidRPr="005F3997">
        <w:t>(Petition at 9.)</w:t>
      </w:r>
    </w:p>
    <w:p w:rsidR="00FB185F" w:rsidRPr="005F3997" w:rsidRDefault="00FB185F" w:rsidP="00D87159">
      <w:pPr>
        <w:pStyle w:val="StandardBullet"/>
        <w:ind w:left="1440"/>
      </w:pPr>
      <w:r w:rsidRPr="005F3997">
        <w:t xml:space="preserve">The Commission addressed </w:t>
      </w:r>
      <w:r w:rsidR="006B44C8">
        <w:t>the safety</w:t>
      </w:r>
      <w:r w:rsidR="00BD280B">
        <w:t xml:space="preserve"> </w:t>
      </w:r>
      <w:r w:rsidR="006B44C8">
        <w:t xml:space="preserve">of </w:t>
      </w:r>
      <w:r w:rsidRPr="005F3997">
        <w:t>wireless attachment</w:t>
      </w:r>
      <w:r w:rsidR="006B44C8">
        <w:t xml:space="preserve">s </w:t>
      </w:r>
      <w:r w:rsidRPr="005F3997">
        <w:t xml:space="preserve">in </w:t>
      </w:r>
      <w:r w:rsidR="006B44C8">
        <w:t>D.08-10-0</w:t>
      </w:r>
      <w:r w:rsidR="00EB3DA2">
        <w:t>17</w:t>
      </w:r>
      <w:r w:rsidR="006B44C8">
        <w:t xml:space="preserve"> and D.07</w:t>
      </w:r>
      <w:r w:rsidR="006B44C8">
        <w:noBreakHyphen/>
        <w:t>02</w:t>
      </w:r>
      <w:r w:rsidR="006B44C8">
        <w:noBreakHyphen/>
        <w:t xml:space="preserve">030.  </w:t>
      </w:r>
      <w:r w:rsidR="00B760BD" w:rsidRPr="005F3997">
        <w:t>(Petition at 9.)</w:t>
      </w:r>
    </w:p>
    <w:p w:rsidR="00FB185F" w:rsidRPr="005F3997" w:rsidRDefault="00FB185F" w:rsidP="00D87159">
      <w:pPr>
        <w:pStyle w:val="StandardBullet"/>
        <w:ind w:left="1440"/>
      </w:pPr>
      <w:r w:rsidRPr="005F3997">
        <w:t xml:space="preserve">The Commission should complete the task it deferred in </w:t>
      </w:r>
      <w:r w:rsidR="00580314">
        <w:t>D.98</w:t>
      </w:r>
      <w:r w:rsidR="00580314">
        <w:noBreakHyphen/>
        <w:t>10</w:t>
      </w:r>
      <w:r w:rsidR="00580314">
        <w:noBreakHyphen/>
        <w:t>058</w:t>
      </w:r>
      <w:r w:rsidR="001709EF">
        <w:t xml:space="preserve"> of</w:t>
      </w:r>
      <w:r w:rsidR="00580314">
        <w:t xml:space="preserve"> c</w:t>
      </w:r>
      <w:r w:rsidRPr="005F3997">
        <w:t>onsidering the applicability of its ROW</w:t>
      </w:r>
      <w:r w:rsidR="00580314">
        <w:t> </w:t>
      </w:r>
      <w:r w:rsidRPr="005F3997">
        <w:t xml:space="preserve">Rules to </w:t>
      </w:r>
      <w:r w:rsidR="00EB3DA2">
        <w:t>CMRS carriers</w:t>
      </w:r>
      <w:r w:rsidRPr="005F3997">
        <w:t>.</w:t>
      </w:r>
      <w:r w:rsidR="00B760BD" w:rsidRPr="005F3997">
        <w:t xml:space="preserve"> </w:t>
      </w:r>
      <w:r w:rsidR="00943440">
        <w:t xml:space="preserve"> </w:t>
      </w:r>
      <w:r w:rsidR="00B760BD" w:rsidRPr="005F3997">
        <w:t>(Petition at 10.)</w:t>
      </w:r>
    </w:p>
    <w:p w:rsidR="00FB185F" w:rsidRPr="005F3997" w:rsidRDefault="003C45B2" w:rsidP="004E3D44">
      <w:pPr>
        <w:pStyle w:val="StandardBullet"/>
        <w:spacing w:after="200"/>
        <w:ind w:left="1440"/>
      </w:pPr>
      <w:r>
        <w:t xml:space="preserve">Extending the ROW Rules to </w:t>
      </w:r>
      <w:r w:rsidR="00FB185F" w:rsidRPr="005F3997">
        <w:t xml:space="preserve">wireless attachments would </w:t>
      </w:r>
      <w:r w:rsidR="00580314">
        <w:t>provide significant public benefits</w:t>
      </w:r>
      <w:r w:rsidR="00B760BD" w:rsidRPr="005F3997">
        <w:t xml:space="preserve">. </w:t>
      </w:r>
      <w:r w:rsidR="00943440">
        <w:t xml:space="preserve"> </w:t>
      </w:r>
      <w:r w:rsidR="00B760BD" w:rsidRPr="005F3997">
        <w:t>(Petition at 9 – 10</w:t>
      </w:r>
      <w:r w:rsidR="00C26A0D">
        <w:t xml:space="preserve">.)  </w:t>
      </w:r>
    </w:p>
    <w:p w:rsidR="00C41AA5" w:rsidRDefault="00C41AA5" w:rsidP="00C41AA5">
      <w:pPr>
        <w:pStyle w:val="standard"/>
      </w:pPr>
      <w:r>
        <w:t xml:space="preserve">In response to the </w:t>
      </w:r>
      <w:r w:rsidR="00B140D3">
        <w:t>Electric IOUs</w:t>
      </w:r>
      <w:r>
        <w:t>’ concern</w:t>
      </w:r>
      <w:r w:rsidR="00237637">
        <w:t>, summarized below,</w:t>
      </w:r>
      <w:r>
        <w:t xml:space="preserve"> that different </w:t>
      </w:r>
      <w:r w:rsidR="00EB3DA2">
        <w:t>fees</w:t>
      </w:r>
      <w:r>
        <w:t xml:space="preserve"> should apply to </w:t>
      </w:r>
      <w:r w:rsidR="009B4529">
        <w:t>CMRS</w:t>
      </w:r>
      <w:r>
        <w:t xml:space="preserve"> </w:t>
      </w:r>
      <w:r w:rsidR="009B4529">
        <w:t xml:space="preserve">pole </w:t>
      </w:r>
      <w:r>
        <w:t>attachments compared to wireline attachments, AT&amp;T </w:t>
      </w:r>
      <w:r w:rsidR="001709EF">
        <w:t>asserts</w:t>
      </w:r>
      <w:r>
        <w:t xml:space="preserve"> that </w:t>
      </w:r>
      <w:r w:rsidR="009B4529">
        <w:t>CMRS pole</w:t>
      </w:r>
      <w:r w:rsidR="00AD1B64">
        <w:t xml:space="preserve"> attachments must be charged the same </w:t>
      </w:r>
      <w:r w:rsidR="00EB3DA2">
        <w:t>fees</w:t>
      </w:r>
      <w:r w:rsidR="00AD1B64">
        <w:t xml:space="preserve"> as other attachments pursuant to 47 U.S.C. </w:t>
      </w:r>
      <w:r w:rsidR="00AD1B64">
        <w:rPr>
          <w:rFonts w:ascii="Book Antiqua" w:hAnsi="Book Antiqua"/>
        </w:rPr>
        <w:t>§</w:t>
      </w:r>
      <w:r w:rsidR="00AD1B64">
        <w:t> 224 and the FCC’s regulations.  However, A</w:t>
      </w:r>
      <w:r>
        <w:t xml:space="preserve">T&amp;T </w:t>
      </w:r>
      <w:r w:rsidR="00EA3E17">
        <w:t>concedes</w:t>
      </w:r>
      <w:r w:rsidR="00237637">
        <w:t xml:space="preserve"> </w:t>
      </w:r>
      <w:r>
        <w:t xml:space="preserve">that the current </w:t>
      </w:r>
      <w:r w:rsidR="00E35E71">
        <w:t xml:space="preserve">pole rental </w:t>
      </w:r>
      <w:r>
        <w:t>rate is based on th</w:t>
      </w:r>
      <w:r w:rsidR="001709EF">
        <w:t>e use of one foot of pole space</w:t>
      </w:r>
      <w:r>
        <w:t xml:space="preserve">.  AT&amp;T states that if </w:t>
      </w:r>
      <w:r w:rsidR="00B052D3">
        <w:t>CMRS</w:t>
      </w:r>
      <w:r w:rsidR="00BC4714">
        <w:t> </w:t>
      </w:r>
      <w:r w:rsidR="00B052D3">
        <w:t>carrier</w:t>
      </w:r>
      <w:r>
        <w:t xml:space="preserve">s use more than one foot of pole space, they would pay more.  </w:t>
      </w:r>
      <w:r w:rsidR="00BC4714">
        <w:t>AT&amp;T recommends that proposed</w:t>
      </w:r>
      <w:r>
        <w:t xml:space="preserve"> rate adjustments can be </w:t>
      </w:r>
      <w:r w:rsidR="00BC4714">
        <w:t>submitted</w:t>
      </w:r>
      <w:r>
        <w:t xml:space="preserve"> in written comments</w:t>
      </w:r>
      <w:r w:rsidR="00943440">
        <w:t>.</w:t>
      </w:r>
    </w:p>
    <w:p w:rsidR="009A639E" w:rsidRDefault="005E35D0" w:rsidP="009A639E">
      <w:pPr>
        <w:pStyle w:val="standard"/>
      </w:pPr>
      <w:r>
        <w:t xml:space="preserve">AT&amp;T opposes </w:t>
      </w:r>
      <w:r w:rsidR="009A639E">
        <w:t>Google</w:t>
      </w:r>
      <w:r>
        <w:t>’s</w:t>
      </w:r>
      <w:r w:rsidR="009A639E">
        <w:t xml:space="preserve"> request</w:t>
      </w:r>
      <w:r>
        <w:t xml:space="preserve">, summarized below, to expand the scope of </w:t>
      </w:r>
      <w:r w:rsidR="004D6BBB">
        <w:t>the</w:t>
      </w:r>
      <w:r>
        <w:t xml:space="preserve"> </w:t>
      </w:r>
      <w:r w:rsidR="004D6BBB">
        <w:t xml:space="preserve">proposed </w:t>
      </w:r>
      <w:r>
        <w:t xml:space="preserve">rulemaking proceeding </w:t>
      </w:r>
      <w:r w:rsidR="009A639E">
        <w:t xml:space="preserve">to include </w:t>
      </w:r>
      <w:r w:rsidR="00C5455A">
        <w:t xml:space="preserve">all </w:t>
      </w:r>
      <w:r w:rsidR="009A639E">
        <w:t>broadband providers, regardless of the</w:t>
      </w:r>
      <w:r w:rsidR="00C5455A">
        <w:t>ir regulatory status o</w:t>
      </w:r>
      <w:r w:rsidR="00E35E71">
        <w:t>r</w:t>
      </w:r>
      <w:r w:rsidR="00C5455A">
        <w:t xml:space="preserve"> the</w:t>
      </w:r>
      <w:r w:rsidR="009A639E">
        <w:t xml:space="preserve"> technologies they use</w:t>
      </w:r>
      <w:r>
        <w:t>.</w:t>
      </w:r>
      <w:r w:rsidR="009A639E">
        <w:t xml:space="preserve">  </w:t>
      </w:r>
      <w:r>
        <w:t xml:space="preserve">AT&amp;T </w:t>
      </w:r>
      <w:r w:rsidR="00C5455A">
        <w:t xml:space="preserve">replies </w:t>
      </w:r>
      <w:r>
        <w:lastRenderedPageBreak/>
        <w:t xml:space="preserve">that </w:t>
      </w:r>
      <w:r w:rsidR="009A639E">
        <w:t xml:space="preserve">Google’s request should be filed as a separate petition, and should not be allowed to complicate or slow the relief sought </w:t>
      </w:r>
      <w:r>
        <w:t>by AT&amp;T in its Petition</w:t>
      </w:r>
      <w:r w:rsidR="009A639E">
        <w:t>.</w:t>
      </w:r>
    </w:p>
    <w:p w:rsidR="000B0AA5" w:rsidRDefault="000B0AA5" w:rsidP="00894886">
      <w:pPr>
        <w:pStyle w:val="Heading1"/>
      </w:pPr>
      <w:bookmarkStart w:id="10" w:name="_Toc386441200"/>
      <w:r>
        <w:t>Responses to the Petition</w:t>
      </w:r>
      <w:bookmarkEnd w:id="10"/>
      <w:r>
        <w:t xml:space="preserve"> </w:t>
      </w:r>
    </w:p>
    <w:p w:rsidR="000B0AA5" w:rsidRDefault="00BA40A5" w:rsidP="005E2D5F">
      <w:pPr>
        <w:pStyle w:val="Heading2"/>
      </w:pPr>
      <w:bookmarkStart w:id="11" w:name="_Toc386441201"/>
      <w:r>
        <w:t>CTIA</w:t>
      </w:r>
      <w:bookmarkEnd w:id="11"/>
    </w:p>
    <w:p w:rsidR="00BA40A5" w:rsidRDefault="0058650A" w:rsidP="00BA40A5">
      <w:pPr>
        <w:pStyle w:val="standard"/>
        <w:rPr>
          <w:szCs w:val="24"/>
        </w:rPr>
      </w:pPr>
      <w:r>
        <w:t xml:space="preserve">CTIA agrees with AT&amp;T that the Commission’s ROW Rules fail to </w:t>
      </w:r>
      <w:r w:rsidR="007D2021">
        <w:t xml:space="preserve">provide </w:t>
      </w:r>
      <w:r>
        <w:t>CMRS carriers</w:t>
      </w:r>
      <w:r w:rsidRPr="008C619A">
        <w:t xml:space="preserve"> </w:t>
      </w:r>
      <w:r w:rsidR="007D2021">
        <w:t xml:space="preserve">with nondiscriminatory </w:t>
      </w:r>
      <w:r w:rsidR="00EB3DA2">
        <w:t xml:space="preserve">access to utility </w:t>
      </w:r>
      <w:r w:rsidR="008D221A">
        <w:t>pole</w:t>
      </w:r>
      <w:r w:rsidR="00EB3DA2">
        <w:t>s</w:t>
      </w:r>
      <w:r w:rsidRPr="005807AD">
        <w:rPr>
          <w:rFonts w:eastAsia="Calibri"/>
        </w:rPr>
        <w:t>.</w:t>
      </w:r>
      <w:r>
        <w:rPr>
          <w:rFonts w:eastAsia="Calibri"/>
        </w:rPr>
        <w:t xml:space="preserve">  </w:t>
      </w:r>
      <w:r w:rsidR="007E1B36">
        <w:rPr>
          <w:szCs w:val="24"/>
        </w:rPr>
        <w:t xml:space="preserve">CTIA </w:t>
      </w:r>
      <w:r w:rsidR="003C0CD1">
        <w:rPr>
          <w:szCs w:val="24"/>
        </w:rPr>
        <w:t>opines</w:t>
      </w:r>
      <w:r w:rsidR="007E1B36">
        <w:rPr>
          <w:szCs w:val="24"/>
        </w:rPr>
        <w:t xml:space="preserve"> that g</w:t>
      </w:r>
      <w:r w:rsidR="00BA40A5">
        <w:rPr>
          <w:rFonts w:eastAsia="Calibri"/>
          <w:szCs w:val="24"/>
        </w:rPr>
        <w:t xml:space="preserve">ranting the Petition will </w:t>
      </w:r>
      <w:r w:rsidR="000F63AC">
        <w:rPr>
          <w:rFonts w:eastAsia="Calibri"/>
          <w:szCs w:val="24"/>
        </w:rPr>
        <w:t>help</w:t>
      </w:r>
      <w:r w:rsidR="00BA40A5">
        <w:rPr>
          <w:rFonts w:eastAsia="Calibri"/>
          <w:szCs w:val="24"/>
        </w:rPr>
        <w:t xml:space="preserve"> the Commission </w:t>
      </w:r>
      <w:r w:rsidR="000F63AC">
        <w:rPr>
          <w:rFonts w:eastAsia="Calibri"/>
          <w:szCs w:val="24"/>
        </w:rPr>
        <w:t xml:space="preserve">fulfill </w:t>
      </w:r>
      <w:r w:rsidR="00BA40A5">
        <w:rPr>
          <w:rFonts w:eastAsia="Calibri"/>
          <w:szCs w:val="24"/>
        </w:rPr>
        <w:t xml:space="preserve">its obligation </w:t>
      </w:r>
      <w:r w:rsidR="00663446">
        <w:rPr>
          <w:rFonts w:eastAsia="Calibri"/>
          <w:szCs w:val="24"/>
        </w:rPr>
        <w:t>under Pub. </w:t>
      </w:r>
      <w:r w:rsidR="007E1B36">
        <w:rPr>
          <w:rFonts w:eastAsia="Calibri"/>
          <w:szCs w:val="24"/>
        </w:rPr>
        <w:t xml:space="preserve">Util. Code </w:t>
      </w:r>
      <w:r w:rsidR="00EB3DA2" w:rsidRPr="00CA3655">
        <w:rPr>
          <w:rStyle w:val="standardChar"/>
        </w:rPr>
        <w:t>§§</w:t>
      </w:r>
      <w:r w:rsidR="007E1B36" w:rsidRPr="00CA3655">
        <w:rPr>
          <w:rStyle w:val="standardChar"/>
        </w:rPr>
        <w:t> </w:t>
      </w:r>
      <w:r w:rsidR="007E1B36" w:rsidRPr="00722942">
        <w:rPr>
          <w:szCs w:val="24"/>
        </w:rPr>
        <w:t>709 and 5810</w:t>
      </w:r>
      <w:r w:rsidR="007E1B36">
        <w:rPr>
          <w:szCs w:val="24"/>
        </w:rPr>
        <w:t xml:space="preserve"> </w:t>
      </w:r>
      <w:r w:rsidR="00BA40A5">
        <w:rPr>
          <w:rFonts w:eastAsia="Calibri"/>
          <w:szCs w:val="24"/>
        </w:rPr>
        <w:t>to facilitate the deployment of telecommunications services, including broadband.</w:t>
      </w:r>
      <w:r w:rsidR="007D2021">
        <w:rPr>
          <w:rFonts w:eastAsia="Calibri"/>
          <w:szCs w:val="24"/>
        </w:rPr>
        <w:t xml:space="preserve">  Conversely, denying AT&amp;T’s Petition would conflict with </w:t>
      </w:r>
      <w:r w:rsidR="007D2021" w:rsidRPr="005807AD">
        <w:rPr>
          <w:rFonts w:eastAsia="Calibri"/>
          <w:szCs w:val="24"/>
        </w:rPr>
        <w:t>the FCC</w:t>
      </w:r>
      <w:r w:rsidR="007D2021">
        <w:rPr>
          <w:rFonts w:eastAsia="Calibri"/>
          <w:szCs w:val="24"/>
        </w:rPr>
        <w:t xml:space="preserve">’s determination </w:t>
      </w:r>
      <w:r w:rsidR="003C0CD1">
        <w:rPr>
          <w:rFonts w:eastAsia="Calibri"/>
          <w:szCs w:val="24"/>
        </w:rPr>
        <w:t xml:space="preserve">in </w:t>
      </w:r>
      <w:r w:rsidR="005D0D58">
        <w:rPr>
          <w:rFonts w:eastAsia="Calibri"/>
          <w:szCs w:val="24"/>
        </w:rPr>
        <w:t xml:space="preserve">FCC 11-50, at paragraph 153, </w:t>
      </w:r>
      <w:r w:rsidR="007D2021">
        <w:rPr>
          <w:rFonts w:eastAsia="Calibri"/>
          <w:szCs w:val="24"/>
        </w:rPr>
        <w:t xml:space="preserve">that </w:t>
      </w:r>
      <w:r w:rsidR="007D2021" w:rsidRPr="005807AD">
        <w:rPr>
          <w:rFonts w:eastAsia="Calibri"/>
          <w:szCs w:val="24"/>
        </w:rPr>
        <w:t xml:space="preserve">the benefits and protections of </w:t>
      </w:r>
      <w:r w:rsidR="007D2021">
        <w:rPr>
          <w:rFonts w:eastAsia="Calibri"/>
          <w:szCs w:val="24"/>
        </w:rPr>
        <w:t>47 U.S.C. </w:t>
      </w:r>
      <w:r w:rsidR="007D2021" w:rsidRPr="00CA3655">
        <w:rPr>
          <w:rStyle w:val="standardChar"/>
        </w:rPr>
        <w:t>§ </w:t>
      </w:r>
      <w:r w:rsidR="007D2021" w:rsidRPr="005807AD">
        <w:rPr>
          <w:rFonts w:eastAsia="Calibri"/>
          <w:szCs w:val="24"/>
        </w:rPr>
        <w:t xml:space="preserve">224 apply to </w:t>
      </w:r>
      <w:r w:rsidR="007D2021" w:rsidRPr="005807AD">
        <w:rPr>
          <w:rFonts w:eastAsia="Calibri"/>
          <w:iCs/>
          <w:szCs w:val="24"/>
        </w:rPr>
        <w:t xml:space="preserve">all </w:t>
      </w:r>
      <w:r w:rsidR="007D2021" w:rsidRPr="005807AD">
        <w:rPr>
          <w:rFonts w:eastAsia="Calibri"/>
          <w:szCs w:val="24"/>
        </w:rPr>
        <w:t>wireless attachments</w:t>
      </w:r>
      <w:r w:rsidR="00943440">
        <w:rPr>
          <w:szCs w:val="24"/>
        </w:rPr>
        <w:t>.</w:t>
      </w:r>
    </w:p>
    <w:p w:rsidR="003E2000" w:rsidRDefault="003E2000" w:rsidP="003E2000">
      <w:pPr>
        <w:pStyle w:val="standard"/>
      </w:pPr>
      <w:r w:rsidRPr="00FD4875">
        <w:t xml:space="preserve">CTIA </w:t>
      </w:r>
      <w:r w:rsidR="00AB1FC8">
        <w:t xml:space="preserve">disagrees with </w:t>
      </w:r>
      <w:r w:rsidRPr="00FD4875">
        <w:t>SED’s concern</w:t>
      </w:r>
      <w:r w:rsidR="00AB1FC8">
        <w:t>, summarized below,</w:t>
      </w:r>
      <w:r w:rsidRPr="00FD4875">
        <w:t xml:space="preserve"> that the Petition lacks details </w:t>
      </w:r>
      <w:r w:rsidRPr="0028383A">
        <w:rPr>
          <w:rFonts w:eastAsia="Calibri"/>
        </w:rPr>
        <w:t xml:space="preserve">regarding the </w:t>
      </w:r>
      <w:r w:rsidR="00672703">
        <w:rPr>
          <w:rFonts w:eastAsia="Calibri"/>
        </w:rPr>
        <w:t xml:space="preserve">identity of the CMRS carriers that would be covered by the amended ROW Rules.  </w:t>
      </w:r>
      <w:r w:rsidR="00DE21D2">
        <w:rPr>
          <w:rFonts w:eastAsia="Calibri"/>
        </w:rPr>
        <w:t xml:space="preserve">CTIA replies </w:t>
      </w:r>
      <w:r w:rsidR="00B2480A">
        <w:rPr>
          <w:rFonts w:eastAsia="Calibri"/>
        </w:rPr>
        <w:t xml:space="preserve">that all CMRS carriers must identify themselves to the </w:t>
      </w:r>
      <w:r w:rsidRPr="0028383A">
        <w:rPr>
          <w:rFonts w:eastAsia="Calibri"/>
        </w:rPr>
        <w:t xml:space="preserve">Commission </w:t>
      </w:r>
      <w:r w:rsidR="00B2480A">
        <w:rPr>
          <w:rFonts w:eastAsia="Calibri"/>
        </w:rPr>
        <w:t>using the</w:t>
      </w:r>
      <w:r w:rsidRPr="0028383A">
        <w:rPr>
          <w:rFonts w:eastAsia="Calibri"/>
        </w:rPr>
        <w:t xml:space="preserve"> </w:t>
      </w:r>
      <w:r w:rsidR="00B2480A">
        <w:rPr>
          <w:rFonts w:eastAsia="Calibri"/>
        </w:rPr>
        <w:t>Wireless Identification Registration form that wa</w:t>
      </w:r>
      <w:r w:rsidR="00943440">
        <w:rPr>
          <w:rFonts w:eastAsia="Calibri"/>
        </w:rPr>
        <w:t>s first adopted by D.94-10-031.</w:t>
      </w:r>
    </w:p>
    <w:p w:rsidR="003E2000" w:rsidRPr="0028383A" w:rsidRDefault="00F5644C" w:rsidP="003E2000">
      <w:pPr>
        <w:pStyle w:val="standard"/>
        <w:rPr>
          <w:rFonts w:eastAsia="Calibri"/>
        </w:rPr>
      </w:pPr>
      <w:r>
        <w:t xml:space="preserve">CTIA disagrees with the </w:t>
      </w:r>
      <w:r w:rsidR="00B140D3">
        <w:t>Electric IOUs</w:t>
      </w:r>
      <w:r>
        <w:t>’ assertion</w:t>
      </w:r>
      <w:r w:rsidR="005302CB">
        <w:t>, summarized below,</w:t>
      </w:r>
      <w:r>
        <w:t xml:space="preserve"> that </w:t>
      </w:r>
      <w:r w:rsidR="008D221A">
        <w:t>it is unnecessary to amend the ROW Rules to apply to</w:t>
      </w:r>
      <w:r w:rsidR="00FF1A31">
        <w:t xml:space="preserve"> CMRS</w:t>
      </w:r>
      <w:r w:rsidR="008D221A">
        <w:t> </w:t>
      </w:r>
      <w:r w:rsidR="00FF1A31">
        <w:t xml:space="preserve">carriers </w:t>
      </w:r>
      <w:r w:rsidR="003E2000" w:rsidRPr="0028383A">
        <w:rPr>
          <w:rFonts w:eastAsia="Calibri"/>
          <w:szCs w:val="24"/>
        </w:rPr>
        <w:t xml:space="preserve">because </w:t>
      </w:r>
      <w:r w:rsidR="008D221A">
        <w:rPr>
          <w:rFonts w:eastAsia="Calibri"/>
          <w:szCs w:val="24"/>
        </w:rPr>
        <w:t>they</w:t>
      </w:r>
      <w:r w:rsidR="005302CB">
        <w:rPr>
          <w:rFonts w:eastAsia="Calibri"/>
          <w:szCs w:val="24"/>
        </w:rPr>
        <w:t xml:space="preserve"> </w:t>
      </w:r>
      <w:r w:rsidR="00B140D3">
        <w:rPr>
          <w:rFonts w:eastAsia="Calibri"/>
          <w:szCs w:val="24"/>
        </w:rPr>
        <w:t xml:space="preserve">may file complaints at </w:t>
      </w:r>
      <w:r w:rsidR="003E2000" w:rsidRPr="0028383A">
        <w:rPr>
          <w:rFonts w:eastAsia="Calibri"/>
          <w:szCs w:val="24"/>
        </w:rPr>
        <w:t xml:space="preserve">the Commission </w:t>
      </w:r>
      <w:r w:rsidR="005D0D58">
        <w:rPr>
          <w:rFonts w:eastAsia="Calibri"/>
          <w:szCs w:val="24"/>
        </w:rPr>
        <w:t>if they have difficulty obtaining pole</w:t>
      </w:r>
      <w:r w:rsidR="00B2480A">
        <w:rPr>
          <w:rFonts w:eastAsia="Calibri"/>
          <w:szCs w:val="24"/>
        </w:rPr>
        <w:t xml:space="preserve"> attachments</w:t>
      </w:r>
      <w:r>
        <w:rPr>
          <w:rFonts w:eastAsia="Calibri"/>
          <w:szCs w:val="24"/>
        </w:rPr>
        <w:t>.</w:t>
      </w:r>
      <w:r w:rsidR="003E2000" w:rsidRPr="0028383A">
        <w:rPr>
          <w:rFonts w:eastAsia="Calibri"/>
          <w:szCs w:val="24"/>
        </w:rPr>
        <w:t xml:space="preserve"> </w:t>
      </w:r>
      <w:r>
        <w:rPr>
          <w:rFonts w:eastAsia="Calibri"/>
          <w:szCs w:val="24"/>
        </w:rPr>
        <w:t xml:space="preserve"> CTIA replies that </w:t>
      </w:r>
      <w:r w:rsidR="00A651AE">
        <w:rPr>
          <w:rFonts w:eastAsia="Calibri"/>
          <w:szCs w:val="24"/>
        </w:rPr>
        <w:t xml:space="preserve">without </w:t>
      </w:r>
      <w:r w:rsidR="003E2000" w:rsidRPr="0028383A">
        <w:rPr>
          <w:rFonts w:eastAsia="Calibri"/>
          <w:szCs w:val="24"/>
        </w:rPr>
        <w:t>a set of rules applicable to CMRS</w:t>
      </w:r>
      <w:r w:rsidR="005D0D58">
        <w:rPr>
          <w:rFonts w:eastAsia="Calibri"/>
          <w:szCs w:val="24"/>
        </w:rPr>
        <w:t> </w:t>
      </w:r>
      <w:r w:rsidR="00881740">
        <w:rPr>
          <w:rFonts w:eastAsia="Calibri"/>
          <w:szCs w:val="24"/>
        </w:rPr>
        <w:t>carriers</w:t>
      </w:r>
      <w:r w:rsidR="003E2000" w:rsidRPr="0028383A">
        <w:rPr>
          <w:rFonts w:eastAsia="Calibri"/>
          <w:szCs w:val="24"/>
        </w:rPr>
        <w:t>, there will be nothing for the Commission to enforce in a complaint proceeding.</w:t>
      </w:r>
      <w:r w:rsidR="00645400">
        <w:rPr>
          <w:rFonts w:eastAsia="Calibri"/>
          <w:szCs w:val="24"/>
        </w:rPr>
        <w:t xml:space="preserve">  </w:t>
      </w:r>
      <w:r>
        <w:rPr>
          <w:rFonts w:eastAsia="Calibri"/>
        </w:rPr>
        <w:t xml:space="preserve">CTIA </w:t>
      </w:r>
      <w:r w:rsidR="00FF1A31">
        <w:rPr>
          <w:rFonts w:eastAsia="Calibri"/>
        </w:rPr>
        <w:t>adds</w:t>
      </w:r>
      <w:r>
        <w:rPr>
          <w:rFonts w:eastAsia="Calibri"/>
        </w:rPr>
        <w:t xml:space="preserve"> that e</w:t>
      </w:r>
      <w:r w:rsidR="003E2000" w:rsidRPr="0028383A">
        <w:rPr>
          <w:rFonts w:eastAsia="Calibri"/>
        </w:rPr>
        <w:t xml:space="preserve">ven if such complaints </w:t>
      </w:r>
      <w:r w:rsidR="008D221A">
        <w:rPr>
          <w:rFonts w:eastAsia="Calibri"/>
        </w:rPr>
        <w:t xml:space="preserve">were an option, </w:t>
      </w:r>
      <w:r w:rsidR="003E2000" w:rsidRPr="0028383A">
        <w:rPr>
          <w:rFonts w:eastAsia="Calibri"/>
        </w:rPr>
        <w:t xml:space="preserve">case-by-case adjudication </w:t>
      </w:r>
      <w:r w:rsidR="008D221A">
        <w:rPr>
          <w:rFonts w:eastAsia="Calibri"/>
        </w:rPr>
        <w:t>w</w:t>
      </w:r>
      <w:r w:rsidR="003E2000" w:rsidRPr="0028383A">
        <w:rPr>
          <w:rFonts w:eastAsia="Calibri"/>
        </w:rPr>
        <w:t xml:space="preserve">ould </w:t>
      </w:r>
      <w:r w:rsidR="00015AD2">
        <w:rPr>
          <w:rFonts w:eastAsia="Calibri"/>
        </w:rPr>
        <w:t xml:space="preserve">hinder the ability of </w:t>
      </w:r>
      <w:r w:rsidR="00B052D3">
        <w:rPr>
          <w:rFonts w:eastAsia="Calibri"/>
        </w:rPr>
        <w:t>CMRS carrier</w:t>
      </w:r>
      <w:r w:rsidR="003E2000" w:rsidRPr="0028383A">
        <w:rPr>
          <w:rFonts w:eastAsia="Calibri"/>
        </w:rPr>
        <w:t>s to meet growing demand for wireles</w:t>
      </w:r>
      <w:r w:rsidR="006965D1">
        <w:rPr>
          <w:rFonts w:eastAsia="Calibri"/>
        </w:rPr>
        <w:t>s services, including broadband</w:t>
      </w:r>
      <w:r w:rsidR="003E2000" w:rsidRPr="0028383A">
        <w:rPr>
          <w:rFonts w:eastAsia="Calibri"/>
        </w:rPr>
        <w:t>.</w:t>
      </w:r>
      <w:r w:rsidR="003E2000">
        <w:rPr>
          <w:rFonts w:eastAsia="Calibri"/>
        </w:rPr>
        <w:t xml:space="preserve">  </w:t>
      </w:r>
    </w:p>
    <w:p w:rsidR="00BA40A5" w:rsidRDefault="00BA40A5" w:rsidP="005E2D5F">
      <w:pPr>
        <w:pStyle w:val="Heading2"/>
      </w:pPr>
      <w:bookmarkStart w:id="12" w:name="_Toc386441202"/>
      <w:r>
        <w:lastRenderedPageBreak/>
        <w:t>Google</w:t>
      </w:r>
      <w:bookmarkEnd w:id="12"/>
      <w:r>
        <w:t xml:space="preserve"> </w:t>
      </w:r>
    </w:p>
    <w:p w:rsidR="00BA40A5" w:rsidRPr="001D46A5" w:rsidRDefault="004F1A8A" w:rsidP="008543EE">
      <w:pPr>
        <w:pStyle w:val="standard"/>
      </w:pPr>
      <w:r>
        <w:rPr>
          <w:highlight w:val="white"/>
        </w:rPr>
        <w:t xml:space="preserve">Google supports </w:t>
      </w:r>
      <w:r w:rsidR="005A20CB">
        <w:rPr>
          <w:highlight w:val="white"/>
        </w:rPr>
        <w:t xml:space="preserve">AT&amp;T’s </w:t>
      </w:r>
      <w:r w:rsidR="003C0CD1">
        <w:rPr>
          <w:highlight w:val="white"/>
        </w:rPr>
        <w:t>Petition</w:t>
      </w:r>
      <w:r w:rsidR="005A20CB">
        <w:rPr>
          <w:highlight w:val="white"/>
        </w:rPr>
        <w:t xml:space="preserve"> to amend </w:t>
      </w:r>
      <w:r w:rsidR="00BA40A5" w:rsidRPr="001D46A5">
        <w:rPr>
          <w:highlight w:val="white"/>
        </w:rPr>
        <w:t xml:space="preserve">the </w:t>
      </w:r>
      <w:r w:rsidR="00BA40A5">
        <w:rPr>
          <w:highlight w:val="white"/>
        </w:rPr>
        <w:t>ROW</w:t>
      </w:r>
      <w:r w:rsidR="005A20CB">
        <w:rPr>
          <w:highlight w:val="white"/>
        </w:rPr>
        <w:t> </w:t>
      </w:r>
      <w:r w:rsidR="00BA40A5">
        <w:rPr>
          <w:highlight w:val="white"/>
        </w:rPr>
        <w:t xml:space="preserve">Rules to include </w:t>
      </w:r>
      <w:r w:rsidR="00B052D3">
        <w:rPr>
          <w:highlight w:val="white"/>
        </w:rPr>
        <w:t>CMRS</w:t>
      </w:r>
      <w:r w:rsidR="00B23108">
        <w:rPr>
          <w:highlight w:val="white"/>
        </w:rPr>
        <w:t> </w:t>
      </w:r>
      <w:r w:rsidR="00B052D3">
        <w:rPr>
          <w:highlight w:val="white"/>
        </w:rPr>
        <w:t>carrier</w:t>
      </w:r>
      <w:r w:rsidR="00833385">
        <w:rPr>
          <w:highlight w:val="white"/>
        </w:rPr>
        <w:t>s</w:t>
      </w:r>
      <w:r w:rsidR="00BA40A5" w:rsidRPr="001D46A5">
        <w:rPr>
          <w:highlight w:val="white"/>
        </w:rPr>
        <w:t xml:space="preserve">.  </w:t>
      </w:r>
      <w:r w:rsidR="00833385">
        <w:rPr>
          <w:highlight w:val="white"/>
        </w:rPr>
        <w:t xml:space="preserve">But Google urges the Commission to go even further.  </w:t>
      </w:r>
      <w:r w:rsidR="00BA40A5" w:rsidRPr="00FF6104">
        <w:t xml:space="preserve">Like AT&amp;T, Google </w:t>
      </w:r>
      <w:r w:rsidR="000F07A2">
        <w:t xml:space="preserve">represents </w:t>
      </w:r>
      <w:r w:rsidR="00833385">
        <w:t xml:space="preserve">that it </w:t>
      </w:r>
      <w:r w:rsidR="00BA40A5" w:rsidRPr="00FF6104">
        <w:t xml:space="preserve">has </w:t>
      </w:r>
      <w:r w:rsidR="00396AEB">
        <w:t xml:space="preserve">difficulty </w:t>
      </w:r>
      <w:r w:rsidR="00BA40A5" w:rsidRPr="00FF6104">
        <w:t xml:space="preserve">building broadband </w:t>
      </w:r>
      <w:r w:rsidR="005A20CB">
        <w:t>infrastructure</w:t>
      </w:r>
      <w:r w:rsidR="00BA40A5" w:rsidRPr="00FF6104">
        <w:t xml:space="preserve"> without </w:t>
      </w:r>
      <w:r w:rsidR="00B23108">
        <w:t>access to utility ROW</w:t>
      </w:r>
      <w:r w:rsidR="00BA40A5" w:rsidRPr="00FF6104">
        <w:t xml:space="preserve">. </w:t>
      </w:r>
      <w:r w:rsidR="00BA40A5">
        <w:t xml:space="preserve"> </w:t>
      </w:r>
      <w:r w:rsidR="00BA40A5" w:rsidRPr="001D46A5">
        <w:rPr>
          <w:highlight w:val="white"/>
        </w:rPr>
        <w:t>Google</w:t>
      </w:r>
      <w:r w:rsidR="00BA40A5">
        <w:rPr>
          <w:highlight w:val="white"/>
        </w:rPr>
        <w:t xml:space="preserve"> </w:t>
      </w:r>
      <w:r w:rsidR="00506E9C">
        <w:rPr>
          <w:highlight w:val="white"/>
        </w:rPr>
        <w:t xml:space="preserve">states </w:t>
      </w:r>
      <w:r w:rsidR="00BA40A5" w:rsidRPr="001D46A5">
        <w:rPr>
          <w:highlight w:val="white"/>
        </w:rPr>
        <w:t xml:space="preserve">that </w:t>
      </w:r>
      <w:r w:rsidR="005A5191">
        <w:rPr>
          <w:highlight w:val="white"/>
        </w:rPr>
        <w:t>amending</w:t>
      </w:r>
      <w:r w:rsidR="00BA40A5" w:rsidRPr="001D46A5">
        <w:rPr>
          <w:highlight w:val="white"/>
        </w:rPr>
        <w:t xml:space="preserve"> the ROW</w:t>
      </w:r>
      <w:r w:rsidR="00BF5F83">
        <w:rPr>
          <w:highlight w:val="white"/>
        </w:rPr>
        <w:t> </w:t>
      </w:r>
      <w:r w:rsidR="00BA40A5" w:rsidRPr="001D46A5">
        <w:rPr>
          <w:highlight w:val="white"/>
        </w:rPr>
        <w:t xml:space="preserve">Rules to </w:t>
      </w:r>
      <w:r w:rsidR="004A7EAB">
        <w:t xml:space="preserve">embrace </w:t>
      </w:r>
      <w:r w:rsidR="004E6361">
        <w:t xml:space="preserve">all providers of broadband service, </w:t>
      </w:r>
      <w:r w:rsidR="00BA40A5" w:rsidRPr="001D46A5">
        <w:t xml:space="preserve">regardless of the technologies they use, would </w:t>
      </w:r>
      <w:r w:rsidR="008543EE">
        <w:t>speed</w:t>
      </w:r>
      <w:r w:rsidR="004A7EAB">
        <w:t xml:space="preserve"> </w:t>
      </w:r>
      <w:r w:rsidR="008543EE">
        <w:t xml:space="preserve">the </w:t>
      </w:r>
      <w:r w:rsidR="00BA40A5" w:rsidRPr="001D46A5">
        <w:t>deployment of broadband services</w:t>
      </w:r>
      <w:r w:rsidR="008543EE">
        <w:t xml:space="preserve"> throughout California; </w:t>
      </w:r>
      <w:r w:rsidR="00BA40A5" w:rsidRPr="001D46A5">
        <w:t>promot</w:t>
      </w:r>
      <w:r w:rsidR="004A7EAB">
        <w:t xml:space="preserve">e </w:t>
      </w:r>
      <w:r w:rsidR="00BA40A5" w:rsidRPr="001D46A5">
        <w:t>competition and consumer choice among broadband providers</w:t>
      </w:r>
      <w:r w:rsidR="008543EE">
        <w:t xml:space="preserve">; </w:t>
      </w:r>
      <w:r w:rsidR="004E6361">
        <w:t xml:space="preserve">and </w:t>
      </w:r>
      <w:r w:rsidR="008543EE">
        <w:t xml:space="preserve">further </w:t>
      </w:r>
      <w:r w:rsidR="00BA40A5">
        <w:rPr>
          <w:highlight w:val="white"/>
        </w:rPr>
        <w:t>California</w:t>
      </w:r>
      <w:r w:rsidR="00BA40A5" w:rsidRPr="001D46A5">
        <w:rPr>
          <w:highlight w:val="white"/>
        </w:rPr>
        <w:t>’s policy of creating a level playing field that does not disadvantage one service provider or technology over another</w:t>
      </w:r>
      <w:r w:rsidR="004A7EAB">
        <w:rPr>
          <w:highlight w:val="white"/>
        </w:rPr>
        <w:t>.</w:t>
      </w:r>
      <w:r w:rsidR="00BA40A5" w:rsidRPr="001D46A5">
        <w:rPr>
          <w:highlight w:val="white"/>
          <w:vertAlign w:val="superscript"/>
        </w:rPr>
        <w:footnoteReference w:id="19"/>
      </w:r>
    </w:p>
    <w:p w:rsidR="00CD6407" w:rsidRDefault="00D422A2" w:rsidP="005E2D5F">
      <w:pPr>
        <w:pStyle w:val="Heading2"/>
      </w:pPr>
      <w:bookmarkStart w:id="13" w:name="_Toc386441203"/>
      <w:r>
        <w:t xml:space="preserve">The </w:t>
      </w:r>
      <w:r w:rsidR="00B140D3">
        <w:t>Electric IOUs</w:t>
      </w:r>
      <w:bookmarkEnd w:id="13"/>
    </w:p>
    <w:p w:rsidR="00D422A2" w:rsidRDefault="006D41AF" w:rsidP="00D422A2">
      <w:pPr>
        <w:pStyle w:val="standard"/>
      </w:pPr>
      <w:r>
        <w:t xml:space="preserve">The </w:t>
      </w:r>
      <w:r w:rsidR="00B140D3">
        <w:t>Electric IOUs</w:t>
      </w:r>
      <w:r>
        <w:t xml:space="preserve"> oppose AT&amp;T</w:t>
      </w:r>
      <w:r w:rsidR="004D3B84">
        <w:t>’s P</w:t>
      </w:r>
      <w:r>
        <w:t>etition</w:t>
      </w:r>
      <w:r w:rsidR="00FA4BF6">
        <w:t xml:space="preserve">.  They </w:t>
      </w:r>
      <w:r w:rsidR="001720F5">
        <w:t xml:space="preserve">see </w:t>
      </w:r>
      <w:r w:rsidR="00FA4BF6">
        <w:t xml:space="preserve">no need </w:t>
      </w:r>
      <w:r>
        <w:t>to amend the ROW</w:t>
      </w:r>
      <w:r w:rsidR="00383A61">
        <w:t> </w:t>
      </w:r>
      <w:r>
        <w:t xml:space="preserve">Rules to include </w:t>
      </w:r>
      <w:r w:rsidR="00B052D3">
        <w:t>CMRS</w:t>
      </w:r>
      <w:r w:rsidR="004D3B84">
        <w:t> </w:t>
      </w:r>
      <w:r w:rsidR="00B052D3">
        <w:t>carrier</w:t>
      </w:r>
      <w:r>
        <w:t>s</w:t>
      </w:r>
      <w:r w:rsidR="00FA4BF6">
        <w:t xml:space="preserve"> </w:t>
      </w:r>
      <w:r w:rsidR="004D3B84">
        <w:t xml:space="preserve">because </w:t>
      </w:r>
      <w:r w:rsidR="00B052D3">
        <w:t>CMRS</w:t>
      </w:r>
      <w:r w:rsidR="00613E10">
        <w:t> </w:t>
      </w:r>
      <w:r w:rsidR="00B052D3">
        <w:t>carrier</w:t>
      </w:r>
      <w:r w:rsidR="00EC1AE2">
        <w:t xml:space="preserve">s </w:t>
      </w:r>
      <w:r w:rsidR="00613E10">
        <w:t xml:space="preserve">have reached </w:t>
      </w:r>
      <w:r w:rsidR="00D422A2">
        <w:t>agreements with electric utilities</w:t>
      </w:r>
      <w:r w:rsidR="00EC1AE2">
        <w:t xml:space="preserve"> that provide access to utility poles </w:t>
      </w:r>
      <w:r w:rsidR="00FA4BF6">
        <w:t>statewide</w:t>
      </w:r>
      <w:r w:rsidR="00EC1AE2">
        <w:t xml:space="preserve">.  </w:t>
      </w:r>
      <w:r w:rsidR="0055538F">
        <w:t xml:space="preserve">The </w:t>
      </w:r>
      <w:r w:rsidR="00B140D3">
        <w:t>Electric IOUs</w:t>
      </w:r>
      <w:r w:rsidR="0055538F">
        <w:t xml:space="preserve"> suggest that if </w:t>
      </w:r>
      <w:r w:rsidR="00B052D3">
        <w:t>CMRS</w:t>
      </w:r>
      <w:r w:rsidR="003512BE">
        <w:t> </w:t>
      </w:r>
      <w:r w:rsidR="00B052D3">
        <w:t>carrier</w:t>
      </w:r>
      <w:r w:rsidR="0055538F">
        <w:t xml:space="preserve">s have </w:t>
      </w:r>
      <w:r w:rsidR="00673EB2">
        <w:t xml:space="preserve">difficulty </w:t>
      </w:r>
      <w:r w:rsidR="0029582C">
        <w:t>reaching</w:t>
      </w:r>
      <w:r w:rsidR="00673EB2">
        <w:t xml:space="preserve"> pole</w:t>
      </w:r>
      <w:r w:rsidR="00673EB2">
        <w:noBreakHyphen/>
        <w:t xml:space="preserve">attachment agreements, </w:t>
      </w:r>
      <w:r w:rsidR="0055538F">
        <w:t xml:space="preserve">they may </w:t>
      </w:r>
      <w:r w:rsidR="00702D7D">
        <w:t>file complaint</w:t>
      </w:r>
      <w:r w:rsidR="003512BE">
        <w:t>s</w:t>
      </w:r>
      <w:r w:rsidR="00702D7D">
        <w:t xml:space="preserve"> at </w:t>
      </w:r>
      <w:r w:rsidR="00D422A2">
        <w:t>the Commission.</w:t>
      </w:r>
    </w:p>
    <w:p w:rsidR="00BD7344" w:rsidRDefault="00941FD4" w:rsidP="00A65D81">
      <w:pPr>
        <w:pStyle w:val="standard"/>
      </w:pPr>
      <w:r>
        <w:t>T</w:t>
      </w:r>
      <w:r w:rsidR="00D422A2">
        <w:t xml:space="preserve">he </w:t>
      </w:r>
      <w:r w:rsidR="00B140D3">
        <w:t>Electric IOUs</w:t>
      </w:r>
      <w:r>
        <w:t xml:space="preserve"> </w:t>
      </w:r>
      <w:r w:rsidR="003020CA">
        <w:t>allege</w:t>
      </w:r>
      <w:r>
        <w:t xml:space="preserve"> that </w:t>
      </w:r>
      <w:r w:rsidR="00173791">
        <w:t xml:space="preserve">AT&amp;T’s </w:t>
      </w:r>
      <w:r w:rsidR="00D422A2">
        <w:t xml:space="preserve">Petition </w:t>
      </w:r>
      <w:r w:rsidR="003512BE">
        <w:t>has t</w:t>
      </w:r>
      <w:r w:rsidR="00D422A2">
        <w:t xml:space="preserve">wo </w:t>
      </w:r>
      <w:r>
        <w:t xml:space="preserve">additional </w:t>
      </w:r>
      <w:r w:rsidR="00D422A2">
        <w:t xml:space="preserve">defects.  First, </w:t>
      </w:r>
      <w:r w:rsidR="00A040BE">
        <w:t xml:space="preserve">they </w:t>
      </w:r>
      <w:r w:rsidR="00173791">
        <w:t>argue</w:t>
      </w:r>
      <w:r w:rsidR="00A040BE">
        <w:t xml:space="preserve"> that </w:t>
      </w:r>
      <w:r w:rsidR="00D422A2">
        <w:t>AT&amp;T has failed to provide specific facts justifying the need to amend the ROW Rules</w:t>
      </w:r>
      <w:r w:rsidR="00A65D81">
        <w:t xml:space="preserve"> as required by Rule </w:t>
      </w:r>
      <w:r w:rsidR="00A65D81" w:rsidRPr="00065B3E">
        <w:rPr>
          <w:rFonts w:ascii="Palatino Linotype" w:hAnsi="Palatino Linotype"/>
        </w:rPr>
        <w:t>6.3(b)</w:t>
      </w:r>
      <w:r w:rsidR="00D422A2">
        <w:t xml:space="preserve">.  </w:t>
      </w:r>
      <w:r w:rsidR="0055378D">
        <w:t xml:space="preserve">Although </w:t>
      </w:r>
      <w:r w:rsidR="00BD7344">
        <w:t>AT&amp;T claims there are significant barriers to deploying wireless services</w:t>
      </w:r>
      <w:r w:rsidR="00702D7D">
        <w:t xml:space="preserve"> in California</w:t>
      </w:r>
      <w:r w:rsidR="00BD7344">
        <w:t>, AT&amp;T</w:t>
      </w:r>
      <w:r w:rsidR="00702D7D">
        <w:t> </w:t>
      </w:r>
      <w:r w:rsidR="00A040BE">
        <w:t xml:space="preserve">did not </w:t>
      </w:r>
      <w:r w:rsidR="00BD7344">
        <w:t xml:space="preserve">provide any </w:t>
      </w:r>
      <w:r w:rsidR="00702D7D">
        <w:t>evidence</w:t>
      </w:r>
      <w:r w:rsidR="00BD7344">
        <w:t xml:space="preserve"> to support </w:t>
      </w:r>
      <w:r w:rsidR="00A040BE">
        <w:t>its claim</w:t>
      </w:r>
      <w:r w:rsidR="00943440">
        <w:t>.</w:t>
      </w:r>
    </w:p>
    <w:p w:rsidR="009518AC" w:rsidRDefault="00C26A20" w:rsidP="00D422A2">
      <w:pPr>
        <w:pStyle w:val="standard"/>
      </w:pPr>
      <w:r>
        <w:t>S</w:t>
      </w:r>
      <w:r w:rsidR="0055378D">
        <w:t>econd</w:t>
      </w:r>
      <w:r>
        <w:t xml:space="preserve">, </w:t>
      </w:r>
      <w:r w:rsidR="0035401D">
        <w:t xml:space="preserve">AT&amp;T’s proposed </w:t>
      </w:r>
      <w:r w:rsidR="007B2876">
        <w:t xml:space="preserve">amendments </w:t>
      </w:r>
      <w:r w:rsidR="00BA7B04">
        <w:t xml:space="preserve">to the ROW Rules </w:t>
      </w:r>
      <w:r w:rsidR="0035401D">
        <w:t xml:space="preserve">consist mainly of inserting the words “CMRS providers” into the </w:t>
      </w:r>
      <w:r w:rsidR="00BA7B04">
        <w:t>rules</w:t>
      </w:r>
      <w:r w:rsidR="0035401D">
        <w:t xml:space="preserve">.  The </w:t>
      </w:r>
      <w:r w:rsidR="00B140D3">
        <w:t>Electric IOUs</w:t>
      </w:r>
      <w:r w:rsidR="0035401D">
        <w:t xml:space="preserve"> </w:t>
      </w:r>
      <w:r w:rsidR="00B441B4">
        <w:t xml:space="preserve">argue that </w:t>
      </w:r>
      <w:r w:rsidR="00B23108">
        <w:t>the</w:t>
      </w:r>
      <w:r w:rsidR="0035401D">
        <w:t xml:space="preserve"> </w:t>
      </w:r>
      <w:r w:rsidR="00D422A2">
        <w:t xml:space="preserve">proposed </w:t>
      </w:r>
      <w:r w:rsidR="00B441B4">
        <w:t xml:space="preserve">amendments </w:t>
      </w:r>
      <w:r w:rsidR="00483BDB">
        <w:t xml:space="preserve">would treat </w:t>
      </w:r>
      <w:r w:rsidR="00173791">
        <w:t>CMRS</w:t>
      </w:r>
      <w:r w:rsidR="00483BDB">
        <w:t xml:space="preserve"> attachments the same as </w:t>
      </w:r>
      <w:r w:rsidR="00483BDB">
        <w:lastRenderedPageBreak/>
        <w:t xml:space="preserve">wireline attachments, even though there are significant differences between the two types of attachments.  </w:t>
      </w:r>
      <w:r w:rsidR="00D10AF5">
        <w:t>For</w:t>
      </w:r>
      <w:r w:rsidR="007D2635">
        <w:t xml:space="preserve"> </w:t>
      </w:r>
      <w:r w:rsidR="00D10AF5">
        <w:t>example</w:t>
      </w:r>
      <w:r w:rsidR="007D2635">
        <w:t xml:space="preserve">, </w:t>
      </w:r>
      <w:r w:rsidR="0035401D">
        <w:t>D.98</w:t>
      </w:r>
      <w:r w:rsidR="0035401D">
        <w:noBreakHyphen/>
        <w:t>10</w:t>
      </w:r>
      <w:r w:rsidR="0035401D">
        <w:noBreakHyphen/>
        <w:t>058</w:t>
      </w:r>
      <w:r w:rsidR="007D2635">
        <w:t xml:space="preserve"> adopted a</w:t>
      </w:r>
      <w:r w:rsidR="00BF155C">
        <w:t>n annual</w:t>
      </w:r>
      <w:r w:rsidR="007D2635">
        <w:t xml:space="preserve"> </w:t>
      </w:r>
      <w:r w:rsidR="00BB2EE7">
        <w:t>pole</w:t>
      </w:r>
      <w:r w:rsidR="00BF155C">
        <w:t> </w:t>
      </w:r>
      <w:r w:rsidR="003020CA">
        <w:t xml:space="preserve">rental </w:t>
      </w:r>
      <w:r w:rsidR="007D2635">
        <w:t xml:space="preserve">fee for wireline attachments equal to </w:t>
      </w:r>
      <w:r w:rsidR="00D422A2">
        <w:t xml:space="preserve">7.4% </w:t>
      </w:r>
      <w:r w:rsidR="007D2635">
        <w:t xml:space="preserve">of the </w:t>
      </w:r>
      <w:r w:rsidR="00D422A2">
        <w:t xml:space="preserve">annual cost of </w:t>
      </w:r>
      <w:r w:rsidR="00D10AF5">
        <w:t xml:space="preserve">pole </w:t>
      </w:r>
      <w:r w:rsidR="00D422A2">
        <w:t>ownership</w:t>
      </w:r>
      <w:r w:rsidR="00BF155C">
        <w:t xml:space="preserve">, based on the Decision’s finding that </w:t>
      </w:r>
      <w:r w:rsidR="00FA4BF6">
        <w:t xml:space="preserve">the </w:t>
      </w:r>
      <w:r w:rsidR="00D422A2">
        <w:t xml:space="preserve">7.4% factor represents </w:t>
      </w:r>
      <w:r w:rsidR="00BF155C">
        <w:t>one foot of pole space that is typically used for a wireline attachment</w:t>
      </w:r>
      <w:r w:rsidR="00D422A2">
        <w:t>.</w:t>
      </w:r>
      <w:r w:rsidR="00D422A2">
        <w:rPr>
          <w:rStyle w:val="FootnoteReference"/>
          <w:szCs w:val="24"/>
        </w:rPr>
        <w:footnoteReference w:id="20"/>
      </w:r>
      <w:r w:rsidR="00D422A2">
        <w:t xml:space="preserve">  </w:t>
      </w:r>
      <w:r w:rsidR="0035401D">
        <w:t xml:space="preserve">The </w:t>
      </w:r>
      <w:r w:rsidR="00B140D3">
        <w:t>Electric</w:t>
      </w:r>
      <w:r w:rsidR="00D10AF5">
        <w:t> </w:t>
      </w:r>
      <w:r w:rsidR="00B140D3">
        <w:t>IOUs</w:t>
      </w:r>
      <w:r w:rsidR="0035401D">
        <w:t xml:space="preserve"> assert that </w:t>
      </w:r>
      <w:r w:rsidR="00D10AF5">
        <w:t>AT&amp;T’s</w:t>
      </w:r>
      <w:r w:rsidR="0035401D">
        <w:t xml:space="preserve"> </w:t>
      </w:r>
      <w:r w:rsidR="00D422A2">
        <w:t>Petition lacks evidence that the 7.4%</w:t>
      </w:r>
      <w:r w:rsidR="00690245">
        <w:t> </w:t>
      </w:r>
      <w:r w:rsidR="00D422A2">
        <w:t xml:space="preserve">factor is reasonable for </w:t>
      </w:r>
      <w:r w:rsidR="00173791">
        <w:t>CMRS</w:t>
      </w:r>
      <w:r w:rsidR="00D422A2">
        <w:t xml:space="preserve"> attachments that </w:t>
      </w:r>
      <w:r w:rsidR="00BB21F4">
        <w:t xml:space="preserve">typically </w:t>
      </w:r>
      <w:r w:rsidR="00B3441F">
        <w:t xml:space="preserve">use </w:t>
      </w:r>
      <w:r w:rsidR="00D422A2">
        <w:t>more than one foot of pole</w:t>
      </w:r>
      <w:r w:rsidR="00BF155C">
        <w:t> </w:t>
      </w:r>
      <w:r w:rsidR="00D422A2">
        <w:t>space</w:t>
      </w:r>
      <w:r w:rsidR="008B0623">
        <w:t xml:space="preserve"> or when </w:t>
      </w:r>
      <w:r w:rsidR="0086037F">
        <w:t>CMRS</w:t>
      </w:r>
      <w:r w:rsidR="00D422A2">
        <w:t xml:space="preserve"> attachments require pole replacements, pole reconfiguration (e.g., pole-top extensions), and</w:t>
      </w:r>
      <w:r w:rsidR="008B0623">
        <w:t>/or</w:t>
      </w:r>
      <w:r w:rsidR="00D422A2">
        <w:t xml:space="preserve"> ancillary equipment to account for </w:t>
      </w:r>
      <w:r w:rsidR="00690245">
        <w:t xml:space="preserve">the </w:t>
      </w:r>
      <w:r w:rsidR="00BB2EE7">
        <w:t xml:space="preserve">load </w:t>
      </w:r>
      <w:r w:rsidR="00D422A2">
        <w:t xml:space="preserve">added </w:t>
      </w:r>
      <w:r w:rsidR="00BB2EE7">
        <w:t xml:space="preserve">by </w:t>
      </w:r>
      <w:r w:rsidR="0086037F">
        <w:t xml:space="preserve">CMRS </w:t>
      </w:r>
      <w:r w:rsidR="00943440">
        <w:t>attachments.</w:t>
      </w:r>
    </w:p>
    <w:p w:rsidR="00D422A2" w:rsidRDefault="002C70A3" w:rsidP="00D422A2">
      <w:pPr>
        <w:pStyle w:val="standard"/>
      </w:pPr>
      <w:r>
        <w:t xml:space="preserve">The </w:t>
      </w:r>
      <w:r w:rsidR="00B140D3">
        <w:t>Electric IOUs</w:t>
      </w:r>
      <w:r>
        <w:t xml:space="preserve"> contend that </w:t>
      </w:r>
      <w:r w:rsidR="009518AC">
        <w:t>because</w:t>
      </w:r>
      <w:r w:rsidR="00D422A2">
        <w:t xml:space="preserve"> of the significant differences between </w:t>
      </w:r>
      <w:r w:rsidR="0086037F">
        <w:t xml:space="preserve">CMRS </w:t>
      </w:r>
      <w:r w:rsidR="00690245">
        <w:t xml:space="preserve">and </w:t>
      </w:r>
      <w:r w:rsidR="00D422A2">
        <w:t>wire</w:t>
      </w:r>
      <w:r w:rsidR="000F471B">
        <w:t xml:space="preserve">line </w:t>
      </w:r>
      <w:r w:rsidR="00D422A2">
        <w:t xml:space="preserve">attachments, any </w:t>
      </w:r>
      <w:r w:rsidR="009518AC">
        <w:t xml:space="preserve">amendments to </w:t>
      </w:r>
      <w:r w:rsidR="00D422A2">
        <w:t>the ROW</w:t>
      </w:r>
      <w:r w:rsidR="009518AC">
        <w:t> </w:t>
      </w:r>
      <w:r w:rsidR="00D422A2">
        <w:t>Rules should involve more than simply inserting the words “CMRS providers</w:t>
      </w:r>
      <w:r w:rsidR="009518AC">
        <w:t>.</w:t>
      </w:r>
      <w:r w:rsidR="00D422A2">
        <w:t xml:space="preserve">”  </w:t>
      </w:r>
      <w:r w:rsidR="00936BB6">
        <w:t>T</w:t>
      </w:r>
      <w:r w:rsidR="000D700D">
        <w:t xml:space="preserve">he </w:t>
      </w:r>
      <w:r w:rsidR="00B140D3">
        <w:t>Electric</w:t>
      </w:r>
      <w:r w:rsidR="00D10AF5">
        <w:t> </w:t>
      </w:r>
      <w:r w:rsidR="00B140D3">
        <w:t>IOUs</w:t>
      </w:r>
      <w:r w:rsidR="00936BB6">
        <w:t xml:space="preserve"> </w:t>
      </w:r>
      <w:r w:rsidR="00FA4BF6">
        <w:t>advise</w:t>
      </w:r>
      <w:r w:rsidR="00936BB6">
        <w:t xml:space="preserve"> that the ROW R</w:t>
      </w:r>
      <w:r w:rsidR="00D422A2">
        <w:t xml:space="preserve">ules </w:t>
      </w:r>
      <w:r w:rsidR="00FA4BF6">
        <w:t>should</w:t>
      </w:r>
      <w:r w:rsidR="00D422A2">
        <w:t xml:space="preserve"> be </w:t>
      </w:r>
      <w:r w:rsidR="00690245">
        <w:t>amended</w:t>
      </w:r>
      <w:r w:rsidR="00D422A2">
        <w:t xml:space="preserve"> </w:t>
      </w:r>
      <w:r w:rsidR="00FA4BF6">
        <w:t>to</w:t>
      </w:r>
      <w:r w:rsidR="00D422A2">
        <w:t xml:space="preserve"> provide </w:t>
      </w:r>
      <w:r w:rsidR="00FA4BF6">
        <w:t>ROW </w:t>
      </w:r>
      <w:r w:rsidR="00D422A2">
        <w:t xml:space="preserve">pricing based on the space needs of each </w:t>
      </w:r>
      <w:r w:rsidR="00FA4BF6">
        <w:t>CMRS installation</w:t>
      </w:r>
      <w:r w:rsidR="00D422A2">
        <w:t xml:space="preserve">, similar to the pricing </w:t>
      </w:r>
      <w:r w:rsidR="00936BB6">
        <w:t>formula</w:t>
      </w:r>
      <w:r w:rsidR="002C3988">
        <w:t>s</w:t>
      </w:r>
      <w:r w:rsidR="00936BB6">
        <w:t xml:space="preserve"> </w:t>
      </w:r>
      <w:r w:rsidR="00D422A2">
        <w:t xml:space="preserve">adopted </w:t>
      </w:r>
      <w:r w:rsidR="002C3988">
        <w:t>by the FCC</w:t>
      </w:r>
      <w:r w:rsidR="002C3988">
        <w:rPr>
          <w:rStyle w:val="FootnoteReference"/>
          <w:szCs w:val="24"/>
        </w:rPr>
        <w:footnoteReference w:id="21"/>
      </w:r>
      <w:r w:rsidR="002C3988">
        <w:t xml:space="preserve"> and by </w:t>
      </w:r>
      <w:r w:rsidR="00D422A2">
        <w:t>D.98</w:t>
      </w:r>
      <w:r w:rsidR="00B37F75">
        <w:noBreakHyphen/>
      </w:r>
      <w:r w:rsidR="00D422A2">
        <w:t>10</w:t>
      </w:r>
      <w:r w:rsidR="00B37F75">
        <w:noBreakHyphen/>
      </w:r>
      <w:r w:rsidR="00D422A2">
        <w:t>058 for attachments to support structures other than poles.</w:t>
      </w:r>
      <w:r w:rsidR="00D422A2">
        <w:rPr>
          <w:rStyle w:val="FootnoteReference"/>
          <w:szCs w:val="24"/>
        </w:rPr>
        <w:footnoteReference w:id="22"/>
      </w:r>
    </w:p>
    <w:p w:rsidR="00E84AB6" w:rsidRDefault="00B37F75" w:rsidP="00E84AB6">
      <w:pPr>
        <w:pStyle w:val="standard"/>
      </w:pPr>
      <w:r>
        <w:t xml:space="preserve">The </w:t>
      </w:r>
      <w:r w:rsidR="00B140D3">
        <w:t>Electric IOUs</w:t>
      </w:r>
      <w:r>
        <w:t xml:space="preserve"> </w:t>
      </w:r>
      <w:r w:rsidR="00B976E0">
        <w:t xml:space="preserve">share </w:t>
      </w:r>
      <w:r w:rsidR="00DA3AFB">
        <w:t>SED</w:t>
      </w:r>
      <w:r w:rsidR="00483480">
        <w:t xml:space="preserve">’s </w:t>
      </w:r>
      <w:r w:rsidR="00B976E0">
        <w:t>concern</w:t>
      </w:r>
      <w:r w:rsidR="00483480">
        <w:t>, summarized below,</w:t>
      </w:r>
      <w:r w:rsidR="00DA3AFB">
        <w:t xml:space="preserve"> that AT&amp;T’s</w:t>
      </w:r>
      <w:r w:rsidR="00924F50">
        <w:t> </w:t>
      </w:r>
      <w:r w:rsidR="00DA3AFB">
        <w:t xml:space="preserve">Petition does not </w:t>
      </w:r>
      <w:r w:rsidR="00B976E0">
        <w:t xml:space="preserve">address safety issues adequately.  </w:t>
      </w:r>
      <w:r w:rsidR="00E84AB6">
        <w:t xml:space="preserve">The </w:t>
      </w:r>
      <w:r w:rsidR="00B140D3">
        <w:t>Electric IOUs</w:t>
      </w:r>
      <w:r w:rsidR="00E84AB6">
        <w:t xml:space="preserve"> state that compared to </w:t>
      </w:r>
      <w:r w:rsidR="00D71C7D">
        <w:t>wireline attachments</w:t>
      </w:r>
      <w:r w:rsidR="00E84AB6">
        <w:t xml:space="preserve">, </w:t>
      </w:r>
      <w:r w:rsidR="0086037F">
        <w:t xml:space="preserve">CMRS </w:t>
      </w:r>
      <w:r w:rsidR="00E84AB6">
        <w:t xml:space="preserve">attachments are more </w:t>
      </w:r>
      <w:r w:rsidR="00E84AB6">
        <w:lastRenderedPageBreak/>
        <w:t xml:space="preserve">complex and require more equipment and spacing, which creates safety and reliability issues.  </w:t>
      </w:r>
      <w:r w:rsidR="0086037F">
        <w:t>CMRS p</w:t>
      </w:r>
      <w:r w:rsidR="00D10AF5">
        <w:t>ole</w:t>
      </w:r>
      <w:r w:rsidR="00D10AF5">
        <w:noBreakHyphen/>
        <w:t>top attachments</w:t>
      </w:r>
      <w:r w:rsidR="00690245">
        <w:t xml:space="preserve"> </w:t>
      </w:r>
      <w:r w:rsidR="00D10AF5">
        <w:t xml:space="preserve">involve unique safety </w:t>
      </w:r>
      <w:r w:rsidR="00020843">
        <w:t xml:space="preserve">and reliability </w:t>
      </w:r>
      <w:r w:rsidR="002C3988">
        <w:t>i</w:t>
      </w:r>
      <w:r w:rsidR="00D10AF5">
        <w:t xml:space="preserve">ssues because </w:t>
      </w:r>
      <w:r w:rsidR="00690245">
        <w:t xml:space="preserve">their location </w:t>
      </w:r>
      <w:r w:rsidR="003B05AB">
        <w:t>above</w:t>
      </w:r>
      <w:r w:rsidR="00690245">
        <w:t xml:space="preserve"> power lines.  </w:t>
      </w:r>
      <w:r w:rsidR="00E84AB6">
        <w:t>For example, pole</w:t>
      </w:r>
      <w:r w:rsidR="00E84AB6">
        <w:noBreakHyphen/>
        <w:t>top antennas may require de</w:t>
      </w:r>
      <w:r w:rsidR="00E84AB6">
        <w:noBreakHyphen/>
        <w:t xml:space="preserve">energization of </w:t>
      </w:r>
      <w:r w:rsidR="00D71C7D">
        <w:t>the power lines</w:t>
      </w:r>
      <w:r w:rsidR="00E84AB6">
        <w:t xml:space="preserve"> </w:t>
      </w:r>
      <w:r w:rsidR="00D71C7D">
        <w:t xml:space="preserve">attached to the pole </w:t>
      </w:r>
      <w:r w:rsidR="00E84AB6">
        <w:t>when maintenance work is performed on the antennas</w:t>
      </w:r>
      <w:r w:rsidR="00D71C7D">
        <w:t xml:space="preserve">; and </w:t>
      </w:r>
      <w:r w:rsidR="00D10AF5">
        <w:t xml:space="preserve">some types of </w:t>
      </w:r>
      <w:r w:rsidR="00E84AB6">
        <w:t>electric facilities</w:t>
      </w:r>
      <w:r w:rsidR="008A4B13">
        <w:t xml:space="preserve"> </w:t>
      </w:r>
      <w:r w:rsidR="00E84AB6">
        <w:t xml:space="preserve">preclude installation of wireless equipment above.  </w:t>
      </w:r>
      <w:r w:rsidR="00A80245">
        <w:t xml:space="preserve">The </w:t>
      </w:r>
      <w:r w:rsidR="00B140D3">
        <w:t>Electric</w:t>
      </w:r>
      <w:r w:rsidR="00D10AF5">
        <w:t> </w:t>
      </w:r>
      <w:r w:rsidR="00B140D3">
        <w:t>IOUs</w:t>
      </w:r>
      <w:r w:rsidR="00A80245">
        <w:t xml:space="preserve"> state that d</w:t>
      </w:r>
      <w:r w:rsidR="00E84AB6">
        <w:t xml:space="preserve">ue to safety and reliability impacts, </w:t>
      </w:r>
      <w:r w:rsidR="00A80245">
        <w:t>e</w:t>
      </w:r>
      <w:r w:rsidR="00E84AB6">
        <w:t xml:space="preserve">lectric </w:t>
      </w:r>
      <w:r w:rsidR="00A80245">
        <w:t>u</w:t>
      </w:r>
      <w:r w:rsidR="00E84AB6">
        <w:t xml:space="preserve">tilities must have final approval for any </w:t>
      </w:r>
      <w:r w:rsidR="00D71C7D">
        <w:t>CMRS</w:t>
      </w:r>
      <w:r w:rsidR="00E84AB6">
        <w:t xml:space="preserve"> </w:t>
      </w:r>
      <w:r w:rsidR="00924F50">
        <w:t>installations</w:t>
      </w:r>
      <w:r w:rsidR="00E84AB6">
        <w:t xml:space="preserve"> above </w:t>
      </w:r>
      <w:r w:rsidR="00D71C7D">
        <w:t>power</w:t>
      </w:r>
      <w:r w:rsidR="00E84AB6">
        <w:t xml:space="preserve"> lines.  </w:t>
      </w:r>
    </w:p>
    <w:p w:rsidR="00DA3AFB" w:rsidRDefault="007C1C17" w:rsidP="00DA3AFB">
      <w:pPr>
        <w:pStyle w:val="standard"/>
      </w:pPr>
      <w:r>
        <w:t xml:space="preserve">The </w:t>
      </w:r>
      <w:r w:rsidR="00B140D3">
        <w:t>Electric IOUs</w:t>
      </w:r>
      <w:r>
        <w:t xml:space="preserve"> agree with SED’s position, summarized below, that </w:t>
      </w:r>
      <w:r w:rsidR="001A0D97">
        <w:t>redefining the term</w:t>
      </w:r>
      <w:r>
        <w:t xml:space="preserve"> “Useable Space” </w:t>
      </w:r>
      <w:r w:rsidR="001A0D97">
        <w:t xml:space="preserve">to include pole tops </w:t>
      </w:r>
      <w:r w:rsidR="008E6FD3">
        <w:t>has safety implications</w:t>
      </w:r>
      <w:r>
        <w:t xml:space="preserve">.  </w:t>
      </w:r>
      <w:r w:rsidR="00924F50">
        <w:t>The Electric IOUs explain that i</w:t>
      </w:r>
      <w:r>
        <w:t xml:space="preserve">n many situations there is a no “Useable Space” at the top of a pole, </w:t>
      </w:r>
      <w:r w:rsidR="000A7D05">
        <w:t>t</w:t>
      </w:r>
      <w:r>
        <w:t>hus necessitating pole extensions that exacerbate pole</w:t>
      </w:r>
      <w:r>
        <w:noBreakHyphen/>
        <w:t xml:space="preserve">loading issues.  </w:t>
      </w:r>
      <w:r w:rsidR="007614E0">
        <w:t xml:space="preserve">The </w:t>
      </w:r>
      <w:r w:rsidR="00B140D3">
        <w:t>Electric IOUs</w:t>
      </w:r>
      <w:r w:rsidR="007614E0">
        <w:t xml:space="preserve"> suggest that the Commission should be </w:t>
      </w:r>
      <w:r w:rsidR="000A7D05">
        <w:t>cautious</w:t>
      </w:r>
      <w:r w:rsidR="007614E0">
        <w:t xml:space="preserve"> about granting </w:t>
      </w:r>
      <w:r w:rsidR="00B052D3">
        <w:t>CMRS</w:t>
      </w:r>
      <w:r w:rsidR="001A0D97">
        <w:t> </w:t>
      </w:r>
      <w:r w:rsidR="00B052D3">
        <w:t>carrier</w:t>
      </w:r>
      <w:r w:rsidR="007614E0">
        <w:t xml:space="preserve">s expanded access to pole tops given the safety issues involved, especially in light of the many alternatives available to </w:t>
      </w:r>
      <w:r w:rsidR="00B052D3">
        <w:t>CMRS carrier</w:t>
      </w:r>
      <w:r w:rsidR="007614E0">
        <w:t xml:space="preserve">s for locating their wireless facilities, including buildings, </w:t>
      </w:r>
      <w:r w:rsidR="00D71C7D">
        <w:t xml:space="preserve">cell towers, and </w:t>
      </w:r>
      <w:r w:rsidR="007614E0">
        <w:t xml:space="preserve">the </w:t>
      </w:r>
      <w:r w:rsidR="00020843">
        <w:t xml:space="preserve">customary </w:t>
      </w:r>
      <w:r w:rsidR="007614E0">
        <w:t>communication</w:t>
      </w:r>
      <w:r w:rsidR="00020843">
        <w:t>s</w:t>
      </w:r>
      <w:r w:rsidR="007614E0">
        <w:t xml:space="preserve"> zone </w:t>
      </w:r>
      <w:r w:rsidR="00020843">
        <w:t>on</w:t>
      </w:r>
      <w:r w:rsidR="007614E0">
        <w:t xml:space="preserve"> </w:t>
      </w:r>
      <w:r w:rsidR="00D71C7D">
        <w:t xml:space="preserve">utility </w:t>
      </w:r>
      <w:r w:rsidR="007614E0">
        <w:t>poles</w:t>
      </w:r>
      <w:r w:rsidR="00020843">
        <w:t xml:space="preserve"> located below power lines</w:t>
      </w:r>
      <w:r w:rsidR="007614E0">
        <w:t>.</w:t>
      </w:r>
    </w:p>
    <w:p w:rsidR="000B0AA5" w:rsidRDefault="000B0AA5" w:rsidP="005E2D5F">
      <w:pPr>
        <w:pStyle w:val="Heading2"/>
      </w:pPr>
      <w:bookmarkStart w:id="14" w:name="_Toc386441204"/>
      <w:r>
        <w:t>Safety and Enforcement Division</w:t>
      </w:r>
      <w:bookmarkEnd w:id="14"/>
      <w:r>
        <w:t xml:space="preserve"> </w:t>
      </w:r>
    </w:p>
    <w:p w:rsidR="00A47351" w:rsidRDefault="00AD3FCA" w:rsidP="00AD3FCA">
      <w:pPr>
        <w:pStyle w:val="standard"/>
      </w:pPr>
      <w:r>
        <w:t xml:space="preserve">SED </w:t>
      </w:r>
      <w:r w:rsidR="005A5191">
        <w:t xml:space="preserve">opposes </w:t>
      </w:r>
      <w:r w:rsidR="008E6FD3">
        <w:t>AT&amp;T’s</w:t>
      </w:r>
      <w:r w:rsidR="005A5191">
        <w:t xml:space="preserve"> Petition.  </w:t>
      </w:r>
      <w:r w:rsidR="00B21CB1">
        <w:t>SED</w:t>
      </w:r>
      <w:r w:rsidR="00614CAB">
        <w:t xml:space="preserve"> </w:t>
      </w:r>
      <w:r w:rsidR="00A47351">
        <w:t xml:space="preserve">states that the Petition </w:t>
      </w:r>
      <w:r w:rsidR="00924F50">
        <w:t>would</w:t>
      </w:r>
      <w:r w:rsidR="00716258">
        <w:t xml:space="preserve"> </w:t>
      </w:r>
      <w:r w:rsidR="00A47351">
        <w:t xml:space="preserve">make it easier for </w:t>
      </w:r>
      <w:r w:rsidR="00B052D3">
        <w:t>CMRS</w:t>
      </w:r>
      <w:r w:rsidR="00716258">
        <w:t> </w:t>
      </w:r>
      <w:r w:rsidR="00B052D3">
        <w:t>carrier</w:t>
      </w:r>
      <w:r w:rsidR="00A47351">
        <w:t xml:space="preserve">s to attach wireless antennas and </w:t>
      </w:r>
      <w:r w:rsidR="00716258">
        <w:t xml:space="preserve">equipment </w:t>
      </w:r>
      <w:r w:rsidR="00A47351">
        <w:t xml:space="preserve">to utility poles.  This raises safety issues because the proliferation of </w:t>
      </w:r>
      <w:r w:rsidR="00E003EE">
        <w:t>CMRS</w:t>
      </w:r>
      <w:r w:rsidR="00A47351">
        <w:t xml:space="preserve"> attachments increases the risk that utility poles will become overloaded</w:t>
      </w:r>
      <w:r w:rsidR="00716258">
        <w:t xml:space="preserve"> and fail</w:t>
      </w:r>
      <w:r w:rsidR="00CE65C1">
        <w:t>, w</w:t>
      </w:r>
      <w:r w:rsidR="00A47351">
        <w:t>hich</w:t>
      </w:r>
      <w:r w:rsidR="00CE65C1">
        <w:t xml:space="preserve"> </w:t>
      </w:r>
      <w:r w:rsidR="00A47351">
        <w:t xml:space="preserve">could damage </w:t>
      </w:r>
      <w:r w:rsidR="00716258">
        <w:t>adjacent</w:t>
      </w:r>
      <w:r w:rsidR="00A47351">
        <w:t xml:space="preserve"> property, kill or injure </w:t>
      </w:r>
      <w:r w:rsidR="00716258">
        <w:t>people nearby</w:t>
      </w:r>
      <w:r w:rsidR="00A47351">
        <w:t xml:space="preserve">, and ignite dangerous wildfires.  </w:t>
      </w:r>
      <w:r w:rsidR="00E12F40">
        <w:t xml:space="preserve">SED </w:t>
      </w:r>
      <w:r w:rsidR="005A5191">
        <w:t xml:space="preserve">asserts </w:t>
      </w:r>
      <w:r w:rsidR="00E12F40">
        <w:t xml:space="preserve">that </w:t>
      </w:r>
      <w:r w:rsidR="00E12F40" w:rsidRPr="00695264">
        <w:t xml:space="preserve">the safety implications of </w:t>
      </w:r>
      <w:r w:rsidR="00E12F40">
        <w:t xml:space="preserve">allowing a potentially </w:t>
      </w:r>
      <w:r w:rsidR="00E12F40" w:rsidRPr="00695264">
        <w:t xml:space="preserve">large number of </w:t>
      </w:r>
      <w:r w:rsidR="00E12F40">
        <w:t xml:space="preserve">CMRS carriers to attach wireless facilities to utility poles </w:t>
      </w:r>
      <w:r w:rsidR="00E12F40" w:rsidRPr="00695264">
        <w:t xml:space="preserve">must be examined before the Commission </w:t>
      </w:r>
      <w:r w:rsidR="00E12F40">
        <w:t xml:space="preserve">grants </w:t>
      </w:r>
      <w:r w:rsidR="00E003EE">
        <w:t>AT&amp;T’s</w:t>
      </w:r>
      <w:r w:rsidR="00E12F40">
        <w:t xml:space="preserve"> Petition.   </w:t>
      </w:r>
    </w:p>
    <w:p w:rsidR="00AD3FCA" w:rsidRDefault="00872ACA" w:rsidP="00AD3FCA">
      <w:pPr>
        <w:pStyle w:val="standard"/>
      </w:pPr>
      <w:r>
        <w:lastRenderedPageBreak/>
        <w:t>T</w:t>
      </w:r>
      <w:r w:rsidR="001C530C">
        <w:t xml:space="preserve">o </w:t>
      </w:r>
      <w:r w:rsidR="0093040E">
        <w:t xml:space="preserve">prevent </w:t>
      </w:r>
      <w:r w:rsidR="001C530C">
        <w:t>overloaded</w:t>
      </w:r>
      <w:r w:rsidR="009C3B3A">
        <w:t xml:space="preserve"> </w:t>
      </w:r>
      <w:r w:rsidR="0093040E">
        <w:t xml:space="preserve">utility poles, </w:t>
      </w:r>
      <w:r>
        <w:t xml:space="preserve">SED states that </w:t>
      </w:r>
      <w:r w:rsidR="001612AF">
        <w:t>t</w:t>
      </w:r>
      <w:r w:rsidR="00FD440F">
        <w:t xml:space="preserve">he </w:t>
      </w:r>
      <w:r w:rsidR="00AD3FCA">
        <w:t>Commission</w:t>
      </w:r>
      <w:r w:rsidR="00FD440F">
        <w:t>’s</w:t>
      </w:r>
      <w:r w:rsidR="00AD3FCA">
        <w:t xml:space="preserve"> regulations </w:t>
      </w:r>
      <w:r w:rsidR="00FD440F">
        <w:t xml:space="preserve">require </w:t>
      </w:r>
      <w:r w:rsidR="0093040E">
        <w:t xml:space="preserve">pole </w:t>
      </w:r>
      <w:r w:rsidR="00FD440F">
        <w:t xml:space="preserve">attachments </w:t>
      </w:r>
      <w:r w:rsidR="0093040E">
        <w:t xml:space="preserve">to </w:t>
      </w:r>
      <w:r w:rsidR="00FD440F">
        <w:t xml:space="preserve">be properly engineered and </w:t>
      </w:r>
      <w:r w:rsidR="00AD3FCA">
        <w:t xml:space="preserve">documented.  </w:t>
      </w:r>
      <w:r w:rsidR="0020655E">
        <w:t>This will be problematic</w:t>
      </w:r>
      <w:r w:rsidR="001612AF">
        <w:t xml:space="preserve"> if the Petition is granted</w:t>
      </w:r>
      <w:r w:rsidR="0020655E">
        <w:t xml:space="preserve">, </w:t>
      </w:r>
      <w:r w:rsidR="001612AF">
        <w:t xml:space="preserve">in </w:t>
      </w:r>
      <w:r w:rsidR="0020655E">
        <w:t>SED</w:t>
      </w:r>
      <w:r w:rsidR="001612AF">
        <w:t>’s opinion</w:t>
      </w:r>
      <w:r w:rsidR="0020655E">
        <w:t xml:space="preserve">, because </w:t>
      </w:r>
      <w:r w:rsidR="0093040E">
        <w:t>the</w:t>
      </w:r>
      <w:r w:rsidR="0020655E">
        <w:t xml:space="preserve"> </w:t>
      </w:r>
      <w:r w:rsidR="0093040E">
        <w:t xml:space="preserve">Petition would </w:t>
      </w:r>
      <w:r w:rsidR="000A7D05">
        <w:t>not</w:t>
      </w:r>
      <w:r>
        <w:t xml:space="preserve"> require </w:t>
      </w:r>
      <w:r w:rsidR="00110A45">
        <w:t xml:space="preserve">CMRS carriers to disclose their </w:t>
      </w:r>
      <w:r w:rsidR="00AD3FCA" w:rsidRPr="00695264">
        <w:t>identit</w:t>
      </w:r>
      <w:r w:rsidR="0057141D">
        <w:t>y</w:t>
      </w:r>
      <w:r w:rsidR="00AD3FCA" w:rsidRPr="00695264">
        <w:t xml:space="preserve"> or </w:t>
      </w:r>
      <w:r>
        <w:t xml:space="preserve">specify </w:t>
      </w:r>
      <w:r w:rsidR="00AD3FCA" w:rsidRPr="00695264">
        <w:t xml:space="preserve">how they would </w:t>
      </w:r>
      <w:r w:rsidR="00AD3FCA">
        <w:t>interact with</w:t>
      </w:r>
      <w:r w:rsidR="00AD3FCA" w:rsidRPr="00695264">
        <w:t xml:space="preserve"> pol</w:t>
      </w:r>
      <w:r w:rsidR="001623CE">
        <w:t>e owners and Commission staff.</w:t>
      </w:r>
    </w:p>
    <w:p w:rsidR="00AD3FCA" w:rsidRDefault="00646529" w:rsidP="004F2AE6">
      <w:pPr>
        <w:pStyle w:val="standard"/>
      </w:pPr>
      <w:r>
        <w:t xml:space="preserve">SED is also </w:t>
      </w:r>
      <w:r w:rsidR="00924F50">
        <w:t>concerned</w:t>
      </w:r>
      <w:r>
        <w:t xml:space="preserve"> </w:t>
      </w:r>
      <w:r w:rsidR="00D57248">
        <w:t xml:space="preserve">about the </w:t>
      </w:r>
      <w:r w:rsidR="00CB5B64">
        <w:t xml:space="preserve">proposal in </w:t>
      </w:r>
      <w:r w:rsidR="00E003EE">
        <w:t xml:space="preserve">AT&amp;T’s </w:t>
      </w:r>
      <w:r w:rsidR="00D57248">
        <w:t xml:space="preserve">Petition </w:t>
      </w:r>
      <w:r w:rsidR="00CB5B64">
        <w:t>to expand the</w:t>
      </w:r>
      <w:r w:rsidR="00AD3FCA" w:rsidRPr="00DE1B35">
        <w:t xml:space="preserve"> definition of </w:t>
      </w:r>
      <w:r w:rsidR="00D57248">
        <w:t>“</w:t>
      </w:r>
      <w:r w:rsidR="00AD3FCA" w:rsidRPr="00DE1B35">
        <w:t>Usable Space</w:t>
      </w:r>
      <w:r w:rsidR="00D57248">
        <w:t>” in the ROW Rules</w:t>
      </w:r>
      <w:r w:rsidR="00CB5B64">
        <w:t xml:space="preserve"> to include </w:t>
      </w:r>
      <w:r w:rsidR="00AD3FCA" w:rsidRPr="00DE1B35">
        <w:t>“</w:t>
      </w:r>
      <w:r w:rsidR="00AD3FCA" w:rsidRPr="00DE1B35">
        <w:rPr>
          <w:bCs/>
        </w:rPr>
        <w:t>any attachment at the top of the pole or on a pole top extension</w:t>
      </w:r>
      <w:r w:rsidR="00AD3FCA" w:rsidRPr="00DE1B35">
        <w:t>.</w:t>
      </w:r>
      <w:r w:rsidR="001623CE">
        <w:t>”</w:t>
      </w:r>
      <w:r w:rsidR="00AD3FCA">
        <w:rPr>
          <w:rStyle w:val="FootnoteReference"/>
          <w:rFonts w:ascii="Times New Roman" w:hAnsi="Times New Roman"/>
        </w:rPr>
        <w:footnoteReference w:id="23"/>
      </w:r>
      <w:r w:rsidR="00AD3FCA" w:rsidRPr="00DE1B35">
        <w:t xml:space="preserve">  </w:t>
      </w:r>
      <w:r w:rsidR="008B67F1">
        <w:t xml:space="preserve">SED believes the revised definition of “Usable Space” could </w:t>
      </w:r>
      <w:r w:rsidR="00924F50">
        <w:t>force</w:t>
      </w:r>
      <w:r w:rsidR="008B67F1">
        <w:t xml:space="preserve"> </w:t>
      </w:r>
      <w:r w:rsidR="00AD3FCA" w:rsidRPr="00DE1B35">
        <w:t>pole owner</w:t>
      </w:r>
      <w:r w:rsidR="008B67F1">
        <w:t>s</w:t>
      </w:r>
      <w:r w:rsidR="00AD3FCA" w:rsidRPr="00DE1B35">
        <w:t xml:space="preserve"> to allow </w:t>
      </w:r>
      <w:r w:rsidR="00B052D3">
        <w:t>CMRS</w:t>
      </w:r>
      <w:r w:rsidR="00CB5B64">
        <w:t> </w:t>
      </w:r>
      <w:r w:rsidR="00B052D3">
        <w:t>carrier</w:t>
      </w:r>
      <w:r w:rsidR="008B67F1">
        <w:t xml:space="preserve">s </w:t>
      </w:r>
      <w:r w:rsidR="00AD3FCA" w:rsidRPr="00DE1B35">
        <w:t>to install pole top extensions</w:t>
      </w:r>
      <w:r w:rsidR="008B67F1">
        <w:t xml:space="preserve">, even </w:t>
      </w:r>
      <w:r w:rsidR="00924F50">
        <w:t>if</w:t>
      </w:r>
      <w:r w:rsidR="008B67F1">
        <w:t xml:space="preserve"> doing so is not the safest option </w:t>
      </w:r>
      <w:r w:rsidR="00924F50">
        <w:t>in terms of</w:t>
      </w:r>
      <w:r w:rsidR="008B67F1">
        <w:t xml:space="preserve"> pole loading</w:t>
      </w:r>
      <w:r w:rsidR="001623CE">
        <w:t>.</w:t>
      </w:r>
    </w:p>
    <w:p w:rsidR="00AD3FCA" w:rsidRPr="008C6421" w:rsidRDefault="002D29FE" w:rsidP="00AD3FCA">
      <w:pPr>
        <w:pStyle w:val="standard"/>
      </w:pPr>
      <w:r>
        <w:t xml:space="preserve">If the Commission decides to open a rulemaking proceeding in response to </w:t>
      </w:r>
      <w:r w:rsidR="00267E43">
        <w:t>AT&amp;T’s</w:t>
      </w:r>
      <w:r>
        <w:t xml:space="preserve"> Petition, SED </w:t>
      </w:r>
      <w:r w:rsidR="00924F50">
        <w:t>opines</w:t>
      </w:r>
      <w:r>
        <w:t xml:space="preserve"> that the </w:t>
      </w:r>
      <w:r w:rsidR="00267E43">
        <w:t>p</w:t>
      </w:r>
      <w:r>
        <w:t xml:space="preserve">roceeding should not be used by </w:t>
      </w:r>
      <w:r w:rsidR="00B052D3">
        <w:t>CMRS</w:t>
      </w:r>
      <w:r w:rsidR="00267E43">
        <w:t> </w:t>
      </w:r>
      <w:r w:rsidR="00B052D3">
        <w:t>carrier</w:t>
      </w:r>
      <w:r>
        <w:t xml:space="preserve">s </w:t>
      </w:r>
      <w:r w:rsidR="00AD3FCA" w:rsidRPr="008C6421">
        <w:t>to expand the</w:t>
      </w:r>
      <w:r w:rsidR="00DC1BE0">
        <w:t>ir</w:t>
      </w:r>
      <w:r w:rsidR="00AD3FCA" w:rsidRPr="008C6421">
        <w:t xml:space="preserve"> pole-attachment rights beyond </w:t>
      </w:r>
      <w:r w:rsidR="00E003EE">
        <w:t>existing federal and state laws</w:t>
      </w:r>
      <w:r w:rsidR="00680D8B">
        <w:t xml:space="preserve"> or to narrow </w:t>
      </w:r>
      <w:r w:rsidR="00267E43">
        <w:t xml:space="preserve">the </w:t>
      </w:r>
      <w:r w:rsidR="00680D8B">
        <w:t>Commission’s safety jurisdiction</w:t>
      </w:r>
      <w:r w:rsidR="001623CE">
        <w:t>.</w:t>
      </w:r>
    </w:p>
    <w:p w:rsidR="000B0AA5" w:rsidRDefault="000B0AA5" w:rsidP="00894886">
      <w:pPr>
        <w:pStyle w:val="Heading1"/>
      </w:pPr>
      <w:bookmarkStart w:id="15" w:name="_Toc386441205"/>
      <w:r w:rsidRPr="00894886">
        <w:t>Discussion</w:t>
      </w:r>
      <w:bookmarkEnd w:id="15"/>
      <w:r>
        <w:t xml:space="preserve"> </w:t>
      </w:r>
    </w:p>
    <w:p w:rsidR="00C52498" w:rsidRDefault="00F60217" w:rsidP="00525024">
      <w:pPr>
        <w:pStyle w:val="standard"/>
      </w:pPr>
      <w:r>
        <w:t xml:space="preserve">A threshold issue is whether </w:t>
      </w:r>
      <w:r w:rsidR="00AF065A">
        <w:t xml:space="preserve">AT&amp;T’s </w:t>
      </w:r>
      <w:r>
        <w:t>Petition complies with Rules</w:t>
      </w:r>
      <w:r w:rsidR="00AF065A">
        <w:t> </w:t>
      </w:r>
      <w:r>
        <w:t>6.3(a) and 6.3(b) of the Commission’s Rules of Practice and Procedure</w:t>
      </w:r>
      <w:r w:rsidR="00020843">
        <w:t xml:space="preserve"> (Rules)</w:t>
      </w:r>
      <w:r w:rsidR="002067F7">
        <w:t>.  Rule </w:t>
      </w:r>
      <w:r>
        <w:t xml:space="preserve">6.3(a) </w:t>
      </w:r>
      <w:r w:rsidR="00BC7A42">
        <w:t>states</w:t>
      </w:r>
      <w:r>
        <w:t xml:space="preserve">, in </w:t>
      </w:r>
      <w:r w:rsidR="00EB0542">
        <w:t>relevant</w:t>
      </w:r>
      <w:r>
        <w:t xml:space="preserve"> part, as follows:</w:t>
      </w:r>
    </w:p>
    <w:p w:rsidR="00F60217" w:rsidRDefault="00F60217" w:rsidP="003B0E80">
      <w:pPr>
        <w:pStyle w:val="StandardQuotation"/>
        <w:spacing w:before="0"/>
      </w:pPr>
      <w:r>
        <w:t xml:space="preserve">The proposed regulation must apply to an entire class of entities or activities over which the Commission has jurisdiction and must apply to future conduct.  </w:t>
      </w:r>
    </w:p>
    <w:p w:rsidR="00F60217" w:rsidRDefault="009D027F" w:rsidP="00525024">
      <w:pPr>
        <w:pStyle w:val="standard"/>
      </w:pPr>
      <w:r>
        <w:t>AT&amp;T’s Petition seeks to open a rulemaking proceeding for the purpose of amending the ROW Rules adopted by D.98</w:t>
      </w:r>
      <w:r>
        <w:noBreakHyphen/>
        <w:t>10</w:t>
      </w:r>
      <w:r>
        <w:noBreakHyphen/>
        <w:t xml:space="preserve">058 so that the Rules </w:t>
      </w:r>
      <w:r w:rsidR="0000611A">
        <w:t xml:space="preserve">(an entire class of activities) </w:t>
      </w:r>
      <w:r>
        <w:t xml:space="preserve">apply to </w:t>
      </w:r>
      <w:r w:rsidR="00B052D3">
        <w:t>CMRS carrier</w:t>
      </w:r>
      <w:r>
        <w:t xml:space="preserve">s </w:t>
      </w:r>
      <w:r w:rsidR="0000611A">
        <w:t xml:space="preserve">(an entire class of entities) </w:t>
      </w:r>
      <w:r>
        <w:t xml:space="preserve">going </w:t>
      </w:r>
      <w:r>
        <w:lastRenderedPageBreak/>
        <w:t xml:space="preserve">forward.  </w:t>
      </w:r>
      <w:r w:rsidR="004B5D25">
        <w:t>T</w:t>
      </w:r>
      <w:r w:rsidR="00DE272D">
        <w:t xml:space="preserve">he Commission has </w:t>
      </w:r>
      <w:r w:rsidR="003B0E80">
        <w:t xml:space="preserve">relevant </w:t>
      </w:r>
      <w:r w:rsidR="00DE272D">
        <w:t xml:space="preserve">jurisdiction </w:t>
      </w:r>
      <w:r w:rsidR="00094C0F">
        <w:t xml:space="preserve">pursuant to the federal and state laws cited in </w:t>
      </w:r>
      <w:r w:rsidR="004B5D25">
        <w:t>D.98</w:t>
      </w:r>
      <w:r w:rsidR="00BC7A42">
        <w:noBreakHyphen/>
      </w:r>
      <w:r w:rsidR="004B5D25">
        <w:t xml:space="preserve">10-058 and previously in today’s </w:t>
      </w:r>
      <w:r w:rsidR="009920A0">
        <w:t>order</w:t>
      </w:r>
      <w:r w:rsidR="004B5D25">
        <w:t>.</w:t>
      </w:r>
      <w:r w:rsidR="00D11117">
        <w:rPr>
          <w:rStyle w:val="FootnoteReference"/>
        </w:rPr>
        <w:footnoteReference w:id="24"/>
      </w:r>
      <w:r w:rsidR="004B5D25">
        <w:t xml:space="preserve">  </w:t>
      </w:r>
      <w:r w:rsidR="00943343">
        <w:t xml:space="preserve">Therefore, we find that </w:t>
      </w:r>
      <w:r w:rsidR="002D08C2">
        <w:t>AT&amp;T’s</w:t>
      </w:r>
      <w:r w:rsidR="00943343">
        <w:t xml:space="preserve"> Petition complies with Rule 6.3(a).</w:t>
      </w:r>
    </w:p>
    <w:p w:rsidR="00943343" w:rsidRDefault="00943343" w:rsidP="006139FA">
      <w:pPr>
        <w:pStyle w:val="standard"/>
        <w:keepNext/>
      </w:pPr>
      <w:r>
        <w:t xml:space="preserve">Rule 6.3(b) states, in </w:t>
      </w:r>
      <w:r w:rsidR="00EB0542">
        <w:t>relevant</w:t>
      </w:r>
      <w:r>
        <w:t xml:space="preserve"> part, as follows:</w:t>
      </w:r>
    </w:p>
    <w:p w:rsidR="00943343" w:rsidRDefault="00943343" w:rsidP="001623CE">
      <w:pPr>
        <w:pStyle w:val="StandardQuotation"/>
        <w:keepLines/>
        <w:spacing w:before="0"/>
        <w:ind w:left="720" w:right="720"/>
      </w:pPr>
      <w:r>
        <w:t xml:space="preserve">A petition must concisely state the justification for the requested relief, and if adoption or amendment of a regulation is sought, the petition must include specific proposed wording for that regulation.  In addition, a petition must state whether the issues raised in the petition have, to the petitioner’s knowledge, ever been litigated before the Commission, and if so, when and how the Commission resolved the issues, including the name and case number of the proceeding (if known).  A petition that contains factual assertions must be verified.  Unverified factual assertions will be given only the weight of argument.  </w:t>
      </w:r>
    </w:p>
    <w:p w:rsidR="00943343" w:rsidRDefault="0021238E" w:rsidP="00525024">
      <w:pPr>
        <w:pStyle w:val="standard"/>
      </w:pPr>
      <w:r>
        <w:t>We find that AT&amp;T’s Petition complies with Rule</w:t>
      </w:r>
      <w:r w:rsidR="00384C41">
        <w:t> </w:t>
      </w:r>
      <w:r>
        <w:t xml:space="preserve">6.3(b).  </w:t>
      </w:r>
      <w:r w:rsidR="00924F50">
        <w:t xml:space="preserve">The Petition states that </w:t>
      </w:r>
      <w:r>
        <w:t>the requested relief is justified because it will align the Commission’s ROW</w:t>
      </w:r>
      <w:r w:rsidR="00924F50">
        <w:t> </w:t>
      </w:r>
      <w:r>
        <w:t>Rules with federal requirements with respect to wireless pole attachments; provide significant public benefits; and allow the Commission to complete the task it deferred in D.98-10-098</w:t>
      </w:r>
      <w:r w:rsidR="00112798">
        <w:t xml:space="preserve"> of </w:t>
      </w:r>
      <w:r>
        <w:t xml:space="preserve">considering the applicability of </w:t>
      </w:r>
      <w:r w:rsidR="00384C41">
        <w:t xml:space="preserve">the </w:t>
      </w:r>
      <w:r>
        <w:t>ROW</w:t>
      </w:r>
      <w:r w:rsidR="00924F50">
        <w:t> </w:t>
      </w:r>
      <w:r>
        <w:t xml:space="preserve">Rules to </w:t>
      </w:r>
      <w:r w:rsidR="00B052D3">
        <w:t>CMRS carrier</w:t>
      </w:r>
      <w:r>
        <w:t>s.</w:t>
      </w:r>
      <w:r w:rsidR="00924F50">
        <w:rPr>
          <w:rStyle w:val="FootnoteReference"/>
        </w:rPr>
        <w:footnoteReference w:id="25"/>
      </w:r>
      <w:r>
        <w:t xml:space="preserve">  </w:t>
      </w:r>
      <w:r w:rsidR="00EB2284">
        <w:t>As required by Rule 6.3(b), t</w:t>
      </w:r>
      <w:r>
        <w:t xml:space="preserve">he Petition </w:t>
      </w:r>
      <w:r w:rsidR="00EB2284">
        <w:t>(1)</w:t>
      </w:r>
      <w:r w:rsidR="00112798">
        <w:t> </w:t>
      </w:r>
      <w:r>
        <w:t>include</w:t>
      </w:r>
      <w:r w:rsidR="00EB2284">
        <w:t>s</w:t>
      </w:r>
      <w:r>
        <w:t xml:space="preserve"> specific proposed wording for the amended ROW</w:t>
      </w:r>
      <w:r w:rsidR="00EB2284">
        <w:t> </w:t>
      </w:r>
      <w:r>
        <w:t>Rules</w:t>
      </w:r>
      <w:r w:rsidR="003B0E80">
        <w:t>;</w:t>
      </w:r>
      <w:r w:rsidR="00EB2284">
        <w:t xml:space="preserve"> and (2)</w:t>
      </w:r>
      <w:r w:rsidR="00112798">
        <w:t> </w:t>
      </w:r>
      <w:r w:rsidR="00EB2284">
        <w:t>states that the issues</w:t>
      </w:r>
      <w:r w:rsidR="00112798">
        <w:t xml:space="preserve"> raised in the P</w:t>
      </w:r>
      <w:r w:rsidR="00EB2284">
        <w:t>etition were resolved in D.08</w:t>
      </w:r>
      <w:r w:rsidR="00112798">
        <w:noBreakHyphen/>
      </w:r>
      <w:r w:rsidR="00EB2284">
        <w:t>10</w:t>
      </w:r>
      <w:r w:rsidR="00112798">
        <w:noBreakHyphen/>
      </w:r>
      <w:r w:rsidR="00EB2284">
        <w:t>017 and D.07</w:t>
      </w:r>
      <w:r w:rsidR="0010223B">
        <w:noBreakHyphen/>
      </w:r>
      <w:r w:rsidR="00EB2284">
        <w:t>02</w:t>
      </w:r>
      <w:r w:rsidR="0010223B">
        <w:noBreakHyphen/>
      </w:r>
      <w:r w:rsidR="00EB2284">
        <w:t>030.</w:t>
      </w:r>
      <w:r w:rsidR="00EB2284">
        <w:rPr>
          <w:rStyle w:val="FootnoteReference"/>
        </w:rPr>
        <w:footnoteReference w:id="26"/>
      </w:r>
    </w:p>
    <w:p w:rsidR="00D00FBE" w:rsidRDefault="00EB0542" w:rsidP="00525024">
      <w:pPr>
        <w:pStyle w:val="standard"/>
      </w:pPr>
      <w:r>
        <w:t>We next consider the merits of A</w:t>
      </w:r>
      <w:r w:rsidR="003A3CB3">
        <w:t>T</w:t>
      </w:r>
      <w:r>
        <w:t>&amp;T’s Petition</w:t>
      </w:r>
      <w:r w:rsidR="00EA75F8">
        <w:t xml:space="preserve"> </w:t>
      </w:r>
      <w:r w:rsidR="00AF065A">
        <w:t xml:space="preserve">to open a rulemaking </w:t>
      </w:r>
      <w:r w:rsidR="00924F50">
        <w:t xml:space="preserve">proceeding </w:t>
      </w:r>
      <w:r w:rsidR="00AF065A">
        <w:t>to amend the ROW Rules adopted by D.98</w:t>
      </w:r>
      <w:r w:rsidR="00AF065A">
        <w:noBreakHyphen/>
        <w:t>10</w:t>
      </w:r>
      <w:r w:rsidR="00AF065A">
        <w:noBreakHyphen/>
        <w:t>058 to encompass CMRS</w:t>
      </w:r>
      <w:r w:rsidR="00924F50">
        <w:t> </w:t>
      </w:r>
      <w:r w:rsidR="00AF065A">
        <w:t xml:space="preserve">carriers.  </w:t>
      </w:r>
      <w:r w:rsidR="00346B0E">
        <w:t>W</w:t>
      </w:r>
      <w:r w:rsidR="003A3CB3">
        <w:t xml:space="preserve">e agree with AT&amp;T that </w:t>
      </w:r>
      <w:r w:rsidR="00924F50">
        <w:t xml:space="preserve">CMRS carriers have a right under </w:t>
      </w:r>
      <w:r w:rsidR="00D12954">
        <w:lastRenderedPageBreak/>
        <w:t xml:space="preserve">federal law </w:t>
      </w:r>
      <w:r w:rsidR="00AB788A">
        <w:t xml:space="preserve">and FCC regulations </w:t>
      </w:r>
      <w:r w:rsidR="00924F50">
        <w:t xml:space="preserve">to </w:t>
      </w:r>
      <w:r w:rsidR="00D12954">
        <w:t xml:space="preserve">nondiscriminatory </w:t>
      </w:r>
      <w:r w:rsidR="00346B0E">
        <w:t xml:space="preserve">pole attachments </w:t>
      </w:r>
      <w:r w:rsidR="00D12954">
        <w:t>except in situations where there is insufficient capacity</w:t>
      </w:r>
      <w:r w:rsidR="008F2950">
        <w:t xml:space="preserve">, adverse effects on </w:t>
      </w:r>
      <w:r w:rsidR="00D12954">
        <w:t>safety</w:t>
      </w:r>
      <w:r w:rsidR="008F2950">
        <w:t xml:space="preserve"> or </w:t>
      </w:r>
      <w:r w:rsidR="00D12954">
        <w:t>reliability</w:t>
      </w:r>
      <w:r w:rsidR="00900CB4">
        <w:t>, and/or engineering constraints</w:t>
      </w:r>
      <w:r w:rsidR="00D12954">
        <w:t>.</w:t>
      </w:r>
      <w:r w:rsidR="00D12954">
        <w:rPr>
          <w:rStyle w:val="FootnoteReference"/>
        </w:rPr>
        <w:footnoteReference w:id="27"/>
      </w:r>
      <w:r w:rsidR="00D12954">
        <w:t xml:space="preserve">  </w:t>
      </w:r>
      <w:r w:rsidR="004936D2">
        <w:t>In D.98</w:t>
      </w:r>
      <w:r w:rsidR="004936D2">
        <w:noBreakHyphen/>
        <w:t>10</w:t>
      </w:r>
      <w:r w:rsidR="004936D2">
        <w:noBreakHyphen/>
        <w:t xml:space="preserve">058, the Commission asserted jurisdiction under federal law to regulate nondiscriminatory </w:t>
      </w:r>
      <w:r w:rsidR="008E44A2">
        <w:t>pole attachments</w:t>
      </w:r>
      <w:r w:rsidR="00D00FBE">
        <w:t>.</w:t>
      </w:r>
      <w:r w:rsidR="004936D2">
        <w:rPr>
          <w:rStyle w:val="FootnoteReference"/>
        </w:rPr>
        <w:footnoteReference w:id="28"/>
      </w:r>
      <w:r w:rsidR="004936D2">
        <w:t xml:space="preserve"> </w:t>
      </w:r>
      <w:r w:rsidR="00D00FBE">
        <w:t xml:space="preserve"> By asserting such jurisdiction, the Commission </w:t>
      </w:r>
      <w:r w:rsidR="00C73E8D">
        <w:t xml:space="preserve">assumed the </w:t>
      </w:r>
      <w:r w:rsidR="00D00FBE">
        <w:t xml:space="preserve">obligation to promulgate rules </w:t>
      </w:r>
      <w:r w:rsidR="00924F50">
        <w:t>for</w:t>
      </w:r>
      <w:r w:rsidR="00D00FBE">
        <w:t xml:space="preserve"> nondiscriminatory </w:t>
      </w:r>
      <w:r w:rsidR="008E44A2">
        <w:t>pole attachments</w:t>
      </w:r>
      <w:r w:rsidR="002D7269">
        <w:t xml:space="preserve"> </w:t>
      </w:r>
      <w:r w:rsidR="00C62860">
        <w:t xml:space="preserve">that apply to CMRS carriers.  </w:t>
      </w:r>
    </w:p>
    <w:p w:rsidR="001A293E" w:rsidRDefault="00C73E8D" w:rsidP="00525024">
      <w:pPr>
        <w:pStyle w:val="standard"/>
      </w:pPr>
      <w:r>
        <w:t xml:space="preserve">In addition to legal </w:t>
      </w:r>
      <w:r w:rsidR="005E4FA3">
        <w:t>considerations</w:t>
      </w:r>
      <w:r>
        <w:t xml:space="preserve">, there are public </w:t>
      </w:r>
      <w:r w:rsidR="000E2F2C">
        <w:t>interest</w:t>
      </w:r>
      <w:r>
        <w:t xml:space="preserve"> reasons to provide CMRS</w:t>
      </w:r>
      <w:r w:rsidR="000E2F2C">
        <w:t> </w:t>
      </w:r>
      <w:r>
        <w:t xml:space="preserve">carriers with </w:t>
      </w:r>
      <w:r w:rsidR="00512DA1">
        <w:t xml:space="preserve">access to </w:t>
      </w:r>
      <w:r>
        <w:t xml:space="preserve">nondiscriminatory </w:t>
      </w:r>
      <w:r w:rsidR="00BF7CAA">
        <w:t>pole attachments</w:t>
      </w:r>
      <w:r>
        <w:t xml:space="preserve">.  </w:t>
      </w:r>
      <w:r w:rsidR="006C68D7">
        <w:t xml:space="preserve">The Commission has recognized that </w:t>
      </w:r>
      <w:r w:rsidR="001D1A78">
        <w:t>investment in</w:t>
      </w:r>
      <w:r w:rsidR="00564C76">
        <w:t xml:space="preserve"> wireless </w:t>
      </w:r>
      <w:r w:rsidR="000E2F2C">
        <w:t>infrastructure</w:t>
      </w:r>
      <w:r w:rsidR="00564C76">
        <w:t xml:space="preserve"> </w:t>
      </w:r>
      <w:r w:rsidR="005E4FA3">
        <w:t>has</w:t>
      </w:r>
      <w:r w:rsidR="00564C76">
        <w:t xml:space="preserve"> significant public benefits, including </w:t>
      </w:r>
      <w:r w:rsidR="00882B77">
        <w:t xml:space="preserve">increased </w:t>
      </w:r>
      <w:r w:rsidR="007661D6">
        <w:t xml:space="preserve">service </w:t>
      </w:r>
      <w:r w:rsidR="00882B77">
        <w:t>reliability</w:t>
      </w:r>
      <w:r w:rsidR="00564C76">
        <w:t xml:space="preserve">, greater </w:t>
      </w:r>
      <w:r w:rsidR="000E2F2C">
        <w:t xml:space="preserve">geographic </w:t>
      </w:r>
      <w:r w:rsidR="00564C76">
        <w:t xml:space="preserve">coverage, faster broadband, and </w:t>
      </w:r>
      <w:r w:rsidR="001D1A78">
        <w:t xml:space="preserve">enhanced </w:t>
      </w:r>
      <w:r w:rsidR="00564C76">
        <w:t>public safety.</w:t>
      </w:r>
      <w:r w:rsidR="00564C76">
        <w:rPr>
          <w:rStyle w:val="FootnoteReference"/>
        </w:rPr>
        <w:footnoteReference w:id="29"/>
      </w:r>
      <w:r w:rsidR="00564C76">
        <w:t xml:space="preserve">  Moreover, </w:t>
      </w:r>
      <w:r w:rsidR="00203A76">
        <w:t xml:space="preserve">it is the policy of the </w:t>
      </w:r>
      <w:r w:rsidR="006B11CD">
        <w:t>State</w:t>
      </w:r>
      <w:r w:rsidR="004B2A55">
        <w:t> </w:t>
      </w:r>
      <w:r w:rsidR="006B11CD">
        <w:t>of</w:t>
      </w:r>
      <w:r w:rsidR="004B2A55">
        <w:t> </w:t>
      </w:r>
      <w:smartTag w:uri="urn:schemas-microsoft-com:office:smarttags" w:element="State">
        <w:smartTag w:uri="urn:schemas-microsoft-com:office:smarttags" w:element="place">
          <w:r w:rsidR="00E60F16">
            <w:t>California</w:t>
          </w:r>
        </w:smartTag>
      </w:smartTag>
      <w:r w:rsidR="00E60F16">
        <w:t xml:space="preserve"> </w:t>
      </w:r>
      <w:r w:rsidR="00020843">
        <w:t xml:space="preserve">pursuant to Pub. Util. Code </w:t>
      </w:r>
      <w:r w:rsidR="00020843">
        <w:rPr>
          <w:rFonts w:ascii="Book Antiqua" w:hAnsi="Book Antiqua"/>
        </w:rPr>
        <w:t>§</w:t>
      </w:r>
      <w:r w:rsidR="00020843">
        <w:t xml:space="preserve"> 709 </w:t>
      </w:r>
      <w:r w:rsidR="00E60F16">
        <w:t>to</w:t>
      </w:r>
      <w:r w:rsidR="001A293E">
        <w:t>:</w:t>
      </w:r>
    </w:p>
    <w:p w:rsidR="001A293E" w:rsidRPr="00CD23B9" w:rsidRDefault="001A293E" w:rsidP="00D87159">
      <w:pPr>
        <w:pStyle w:val="StandardBullet"/>
        <w:spacing w:before="0"/>
        <w:ind w:left="1440"/>
      </w:pPr>
      <w:r w:rsidRPr="00CD23B9">
        <w:t>Provide affordable</w:t>
      </w:r>
      <w:r w:rsidR="00213946">
        <w:t xml:space="preserve">, </w:t>
      </w:r>
      <w:r w:rsidRPr="00CD23B9">
        <w:t>high quality telecommunications services to all Californians.</w:t>
      </w:r>
      <w:r w:rsidR="005A397E" w:rsidRPr="00CD23B9">
        <w:t xml:space="preserve"> </w:t>
      </w:r>
      <w:r w:rsidR="008F0015">
        <w:t xml:space="preserve"> </w:t>
      </w:r>
      <w:r w:rsidR="005A397E" w:rsidRPr="00CD23B9">
        <w:t>(§ 709(a)</w:t>
      </w:r>
      <w:r w:rsidR="001623CE">
        <w:t>.</w:t>
      </w:r>
      <w:r w:rsidR="005A397E" w:rsidRPr="00CD23B9">
        <w:t>)</w:t>
      </w:r>
    </w:p>
    <w:p w:rsidR="001A293E" w:rsidRPr="00CD23B9" w:rsidRDefault="00661203" w:rsidP="00D87159">
      <w:pPr>
        <w:pStyle w:val="StandardBullet"/>
        <w:keepLines/>
        <w:spacing w:before="0"/>
        <w:ind w:left="1440"/>
      </w:pPr>
      <w:r w:rsidRPr="00CD23B9">
        <w:t>Encourage the deployment of new technologies and the equitable provision of services in a way that efficiently meets consumer need</w:t>
      </w:r>
      <w:r w:rsidR="000E1800">
        <w:t>s</w:t>
      </w:r>
      <w:r w:rsidRPr="00CD23B9">
        <w:t xml:space="preserve"> and encourages the ubiquitous availability of a wide choice of state-of-the art services. </w:t>
      </w:r>
      <w:r w:rsidR="008F0015">
        <w:t xml:space="preserve"> </w:t>
      </w:r>
      <w:r w:rsidR="005A397E" w:rsidRPr="00CD23B9">
        <w:t>(§ 709(c)</w:t>
      </w:r>
      <w:r w:rsidR="001623CE">
        <w:t>.</w:t>
      </w:r>
      <w:r w:rsidR="005A397E" w:rsidRPr="00CD23B9">
        <w:t>)</w:t>
      </w:r>
    </w:p>
    <w:p w:rsidR="00661203" w:rsidRPr="00CD23B9" w:rsidRDefault="00661203" w:rsidP="00D87159">
      <w:pPr>
        <w:pStyle w:val="StandardBullet"/>
        <w:keepLines/>
        <w:spacing w:before="0"/>
        <w:ind w:left="1440"/>
      </w:pPr>
      <w:r w:rsidRPr="00CD23B9">
        <w:t>Bridge the digital divide by encouraging expanded access to state-of-the art technologies for rural, inner-city, low-income, and disabled Californians.</w:t>
      </w:r>
      <w:r w:rsidR="005A397E" w:rsidRPr="00CD23B9">
        <w:t xml:space="preserve"> </w:t>
      </w:r>
      <w:r w:rsidR="008F0015">
        <w:t xml:space="preserve"> </w:t>
      </w:r>
      <w:r w:rsidR="005A397E" w:rsidRPr="00CD23B9">
        <w:t>(§ 709(d)</w:t>
      </w:r>
      <w:r w:rsidR="001623CE">
        <w:t>.</w:t>
      </w:r>
      <w:r w:rsidR="005A397E" w:rsidRPr="00CD23B9">
        <w:t>)</w:t>
      </w:r>
    </w:p>
    <w:p w:rsidR="00661203" w:rsidRPr="00CD23B9" w:rsidRDefault="005A397E" w:rsidP="00D87159">
      <w:pPr>
        <w:pStyle w:val="StandardBullet"/>
        <w:keepLines/>
        <w:spacing w:before="0"/>
        <w:ind w:left="1440"/>
      </w:pPr>
      <w:r w:rsidRPr="00CD23B9">
        <w:t>Promote economic growth, job creation, and the substantial social benefits that result from the rapid implementation of information and communications technologies by adequate investment in the necessary infrastructure.</w:t>
      </w:r>
      <w:r w:rsidR="008F0015">
        <w:t xml:space="preserve"> </w:t>
      </w:r>
      <w:r w:rsidRPr="00CD23B9">
        <w:t xml:space="preserve"> (§ 709(e)</w:t>
      </w:r>
      <w:r w:rsidR="001623CE">
        <w:t>.</w:t>
      </w:r>
      <w:r w:rsidRPr="00CD23B9">
        <w:t>)</w:t>
      </w:r>
    </w:p>
    <w:p w:rsidR="005A397E" w:rsidRPr="00CD23B9" w:rsidRDefault="005A397E" w:rsidP="00D87159">
      <w:pPr>
        <w:pStyle w:val="StandardBullet"/>
        <w:keepLines/>
        <w:spacing w:before="0" w:after="200"/>
        <w:ind w:left="1440"/>
      </w:pPr>
      <w:r w:rsidRPr="00CD23B9">
        <w:lastRenderedPageBreak/>
        <w:t xml:space="preserve">Remove barriers to open and competitive markets and promote fair product and price competition in a way that encourages greater efficiency, lower prices, and more consumer choice. </w:t>
      </w:r>
      <w:r w:rsidR="008F0015">
        <w:t xml:space="preserve"> </w:t>
      </w:r>
      <w:r w:rsidRPr="00CD23B9">
        <w:t>(§ 709(</w:t>
      </w:r>
      <w:r w:rsidR="00066185">
        <w:t>g</w:t>
      </w:r>
      <w:r w:rsidRPr="00CD23B9">
        <w:t>)</w:t>
      </w:r>
      <w:r w:rsidR="001623CE">
        <w:t>.</w:t>
      </w:r>
      <w:r w:rsidRPr="00CD23B9">
        <w:t>)</w:t>
      </w:r>
      <w:r w:rsidR="00A1092E" w:rsidRPr="00CD23B9">
        <w:t xml:space="preserve"> </w:t>
      </w:r>
    </w:p>
    <w:p w:rsidR="003C67A1" w:rsidRPr="001D46A5" w:rsidRDefault="003C67A1" w:rsidP="003C67A1">
      <w:pPr>
        <w:pStyle w:val="standard"/>
      </w:pPr>
      <w:r>
        <w:rPr>
          <w:highlight w:val="white"/>
        </w:rPr>
        <w:t xml:space="preserve">A related and equally important goal of the State of </w:t>
      </w:r>
      <w:smartTag w:uri="urn:schemas-microsoft-com:office:smarttags" w:element="place">
        <w:smartTag w:uri="urn:schemas-microsoft-com:office:smarttags" w:element="State">
          <w:r>
            <w:rPr>
              <w:highlight w:val="white"/>
            </w:rPr>
            <w:t>California</w:t>
          </w:r>
        </w:smartTag>
      </w:smartTag>
      <w:r>
        <w:rPr>
          <w:highlight w:val="white"/>
        </w:rPr>
        <w:t xml:space="preserve"> is the w</w:t>
      </w:r>
      <w:r w:rsidRPr="001D46A5">
        <w:rPr>
          <w:highlight w:val="white"/>
        </w:rPr>
        <w:t xml:space="preserve">idespread </w:t>
      </w:r>
      <w:r w:rsidR="00606AC8">
        <w:rPr>
          <w:highlight w:val="white"/>
        </w:rPr>
        <w:t>deployment</w:t>
      </w:r>
      <w:r w:rsidRPr="001D46A5">
        <w:rPr>
          <w:highlight w:val="white"/>
        </w:rPr>
        <w:t xml:space="preserve"> and use of broadband services.</w:t>
      </w:r>
      <w:r w:rsidRPr="00FE32A6">
        <w:rPr>
          <w:position w:val="2"/>
          <w:highlight w:val="white"/>
          <w:vertAlign w:val="superscript"/>
        </w:rPr>
        <w:footnoteReference w:id="30"/>
      </w:r>
      <w:r w:rsidRPr="001D46A5">
        <w:rPr>
          <w:highlight w:val="white"/>
        </w:rPr>
        <w:t xml:space="preserve">  </w:t>
      </w:r>
      <w:r w:rsidR="00B00802">
        <w:t xml:space="preserve">Like electricity a century ago, broadband is a foundation for </w:t>
      </w:r>
      <w:r w:rsidR="00CA026A">
        <w:t xml:space="preserve">improved education, </w:t>
      </w:r>
      <w:r w:rsidR="00663790">
        <w:t xml:space="preserve">new industries, </w:t>
      </w:r>
      <w:r w:rsidR="00B00802">
        <w:t>economic growth, job</w:t>
      </w:r>
      <w:r w:rsidR="000E2F2C">
        <w:t> </w:t>
      </w:r>
      <w:r w:rsidR="00B00802">
        <w:t>creation, global competitiveness</w:t>
      </w:r>
      <w:r w:rsidR="00411123">
        <w:t>,</w:t>
      </w:r>
      <w:r w:rsidR="00B00802">
        <w:t xml:space="preserve"> and a better way of life.  </w:t>
      </w:r>
      <w:r w:rsidR="00D662F0" w:rsidRPr="00F72616">
        <w:rPr>
          <w:rFonts w:eastAsia="Calibri"/>
        </w:rPr>
        <w:t xml:space="preserve">The Commission has recognized the </w:t>
      </w:r>
      <w:r w:rsidR="00D662F0">
        <w:rPr>
          <w:rFonts w:eastAsia="Calibri"/>
        </w:rPr>
        <w:t>critical role of broadband communications in the lives of people and society at large.</w:t>
      </w:r>
      <w:r w:rsidR="00D662F0">
        <w:rPr>
          <w:rStyle w:val="FootnoteReference"/>
          <w:szCs w:val="24"/>
        </w:rPr>
        <w:footnoteReference w:id="31"/>
      </w:r>
      <w:r w:rsidR="00D662F0" w:rsidRPr="008C619A">
        <w:rPr>
          <w:szCs w:val="24"/>
        </w:rPr>
        <w:t xml:space="preserve"> </w:t>
      </w:r>
      <w:r w:rsidR="00D662F0">
        <w:rPr>
          <w:szCs w:val="24"/>
        </w:rPr>
        <w:t xml:space="preserve"> </w:t>
      </w:r>
    </w:p>
    <w:p w:rsidR="009551D7" w:rsidRDefault="003F7575" w:rsidP="00525024">
      <w:pPr>
        <w:pStyle w:val="standard"/>
      </w:pPr>
      <w:r>
        <w:rPr>
          <w:highlight w:val="white"/>
        </w:rPr>
        <w:t>Adopting</w:t>
      </w:r>
      <w:r w:rsidR="00426383" w:rsidRPr="00B3245C">
        <w:rPr>
          <w:highlight w:val="white"/>
        </w:rPr>
        <w:t xml:space="preserve"> rules that </w:t>
      </w:r>
      <w:r w:rsidR="00512DA1">
        <w:rPr>
          <w:highlight w:val="white"/>
        </w:rPr>
        <w:t>enable</w:t>
      </w:r>
      <w:r w:rsidR="00426383" w:rsidRPr="00B3245C">
        <w:rPr>
          <w:highlight w:val="white"/>
        </w:rPr>
        <w:t xml:space="preserve"> CMRS carriers </w:t>
      </w:r>
      <w:r w:rsidR="00512DA1">
        <w:rPr>
          <w:highlight w:val="white"/>
        </w:rPr>
        <w:t>to obtain</w:t>
      </w:r>
      <w:r w:rsidR="00426383" w:rsidRPr="00B3245C">
        <w:rPr>
          <w:highlight w:val="white"/>
        </w:rPr>
        <w:t xml:space="preserve"> </w:t>
      </w:r>
      <w:r>
        <w:rPr>
          <w:highlight w:val="white"/>
        </w:rPr>
        <w:t xml:space="preserve">nondiscriminatory </w:t>
      </w:r>
      <w:r w:rsidR="00BF7CAA">
        <w:rPr>
          <w:highlight w:val="white"/>
        </w:rPr>
        <w:t xml:space="preserve">pole attachments </w:t>
      </w:r>
      <w:r w:rsidR="00826811">
        <w:t>may</w:t>
      </w:r>
      <w:r w:rsidR="00426383" w:rsidRPr="00426383">
        <w:t xml:space="preserve"> facilitate </w:t>
      </w:r>
      <w:r w:rsidR="00426383" w:rsidRPr="003B3AEB">
        <w:rPr>
          <w:highlight w:val="white"/>
        </w:rPr>
        <w:t>competitive</w:t>
      </w:r>
      <w:r w:rsidR="00426383" w:rsidRPr="00426383">
        <w:t xml:space="preserve"> entry</w:t>
      </w:r>
      <w:r w:rsidR="00426383">
        <w:t>, spur investment</w:t>
      </w:r>
      <w:r w:rsidR="00E0330F">
        <w:t xml:space="preserve"> in wireless infrastructure</w:t>
      </w:r>
      <w:r w:rsidR="00426383">
        <w:t xml:space="preserve">, and ultimately </w:t>
      </w:r>
      <w:r w:rsidR="00DA0D0D" w:rsidRPr="00426383">
        <w:t xml:space="preserve">help to achieve the State of </w:t>
      </w:r>
      <w:smartTag w:uri="urn:schemas-microsoft-com:office:smarttags" w:element="State">
        <w:smartTag w:uri="urn:schemas-microsoft-com:office:smarttags" w:element="place">
          <w:r w:rsidR="00DA0D0D" w:rsidRPr="00426383">
            <w:t>California</w:t>
          </w:r>
        </w:smartTag>
      </w:smartTag>
      <w:r w:rsidR="00DA0D0D" w:rsidRPr="00426383">
        <w:t xml:space="preserve">’s ambitious goals </w:t>
      </w:r>
      <w:r w:rsidR="00DA0D0D">
        <w:t>for telecommunications services</w:t>
      </w:r>
      <w:r w:rsidR="00411123">
        <w:t>, particularly broadband</w:t>
      </w:r>
      <w:r w:rsidR="00426383" w:rsidRPr="00426383">
        <w:t>.</w:t>
      </w:r>
      <w:r w:rsidR="009551D7">
        <w:t xml:space="preserve">  </w:t>
      </w:r>
      <w:r w:rsidR="001868BF">
        <w:t>Conversely</w:t>
      </w:r>
      <w:r w:rsidR="009551D7">
        <w:t xml:space="preserve">, </w:t>
      </w:r>
      <w:r w:rsidR="001868BF">
        <w:t xml:space="preserve">the </w:t>
      </w:r>
      <w:r w:rsidR="00512DA1">
        <w:t xml:space="preserve">inability </w:t>
      </w:r>
      <w:r w:rsidR="00CA4F95">
        <w:t xml:space="preserve">to </w:t>
      </w:r>
      <w:r w:rsidR="00512DA1">
        <w:t xml:space="preserve">obtain </w:t>
      </w:r>
      <w:r w:rsidR="009551D7">
        <w:t xml:space="preserve">nondiscriminatory </w:t>
      </w:r>
      <w:r w:rsidR="00512DA1">
        <w:t>pole attachments</w:t>
      </w:r>
      <w:r w:rsidR="009551D7">
        <w:t xml:space="preserve"> may </w:t>
      </w:r>
      <w:r w:rsidR="00E0330F">
        <w:t>discourage</w:t>
      </w:r>
      <w:r w:rsidR="009551D7">
        <w:t xml:space="preserve"> investments by CMRS</w:t>
      </w:r>
      <w:r w:rsidR="00CA4F95">
        <w:t> </w:t>
      </w:r>
      <w:r w:rsidR="009551D7">
        <w:t>carriers</w:t>
      </w:r>
      <w:r w:rsidR="00E0330F">
        <w:t xml:space="preserve"> </w:t>
      </w:r>
      <w:r w:rsidR="00606AC8">
        <w:t xml:space="preserve">to the detriment of </w:t>
      </w:r>
      <w:smartTag w:uri="urn:schemas-microsoft-com:office:smarttags" w:element="State">
        <w:smartTag w:uri="urn:schemas-microsoft-com:office:smarttags" w:element="place">
          <w:r w:rsidR="00606AC8">
            <w:t>California</w:t>
          </w:r>
        </w:smartTag>
      </w:smartTag>
      <w:r w:rsidR="00606AC8">
        <w:t xml:space="preserve">.  </w:t>
      </w:r>
    </w:p>
    <w:p w:rsidR="00794ACA" w:rsidRDefault="008845BC" w:rsidP="00525024">
      <w:pPr>
        <w:pStyle w:val="standard"/>
      </w:pPr>
      <w:r>
        <w:t xml:space="preserve">For the preceding reasons, we will grant AT&amp;T’s Petition to </w:t>
      </w:r>
      <w:r w:rsidR="00512DA1">
        <w:t xml:space="preserve">the extent the Petition seeks to </w:t>
      </w:r>
      <w:r>
        <w:t>open a rulemaking proceeding</w:t>
      </w:r>
      <w:r w:rsidR="00512DA1">
        <w:t xml:space="preserve"> </w:t>
      </w:r>
      <w:r>
        <w:t xml:space="preserve">to consider whether </w:t>
      </w:r>
      <w:r w:rsidR="00D662F0">
        <w:t xml:space="preserve">and how </w:t>
      </w:r>
      <w:r>
        <w:t>the ROW</w:t>
      </w:r>
      <w:r w:rsidR="00D223F8">
        <w:t> </w:t>
      </w:r>
      <w:r>
        <w:t>Rules adopted by D.98</w:t>
      </w:r>
      <w:r w:rsidR="00F13953">
        <w:noBreakHyphen/>
      </w:r>
      <w:r>
        <w:t>10</w:t>
      </w:r>
      <w:r w:rsidR="00F13953">
        <w:noBreakHyphen/>
      </w:r>
      <w:r>
        <w:t xml:space="preserve">058 should be </w:t>
      </w:r>
      <w:r w:rsidR="00D27A3D">
        <w:t>amended</w:t>
      </w:r>
      <w:r>
        <w:t xml:space="preserve"> to include CMRS</w:t>
      </w:r>
      <w:r w:rsidR="00B93511">
        <w:t> </w:t>
      </w:r>
      <w:r>
        <w:t>carriers</w:t>
      </w:r>
      <w:r w:rsidR="00512DA1">
        <w:t xml:space="preserve">.  The scope of the rulemaking proceeding is described in more </w:t>
      </w:r>
      <w:r w:rsidR="00512DA1">
        <w:lastRenderedPageBreak/>
        <w:t xml:space="preserve">detail below.  </w:t>
      </w:r>
      <w:r w:rsidR="001E182B">
        <w:t xml:space="preserve">Today’s </w:t>
      </w:r>
      <w:r w:rsidR="009920A0">
        <w:t xml:space="preserve">order </w:t>
      </w:r>
      <w:r w:rsidR="001E182B">
        <w:t xml:space="preserve">does not </w:t>
      </w:r>
      <w:r w:rsidR="008C2F6E">
        <w:t>decide</w:t>
      </w:r>
      <w:r w:rsidR="001E182B">
        <w:t xml:space="preserve"> whether </w:t>
      </w:r>
      <w:r w:rsidR="00D27A3D">
        <w:t>the ROW</w:t>
      </w:r>
      <w:r w:rsidR="00B93511">
        <w:t> </w:t>
      </w:r>
      <w:r w:rsidR="00D27A3D">
        <w:t>Rules should be amended</w:t>
      </w:r>
      <w:r w:rsidR="008C2F6E">
        <w:t xml:space="preserve"> or any other issues within the scope of the rulemaking proceeding.  </w:t>
      </w:r>
      <w:r>
        <w:t xml:space="preserve"> </w:t>
      </w:r>
    </w:p>
    <w:p w:rsidR="000479BD" w:rsidRDefault="009A7F0A" w:rsidP="009A7F0A">
      <w:pPr>
        <w:pStyle w:val="standard"/>
      </w:pPr>
      <w:r>
        <w:t xml:space="preserve">We </w:t>
      </w:r>
      <w:r w:rsidR="00AB34BE">
        <w:t xml:space="preserve">are not persuaded by </w:t>
      </w:r>
      <w:r>
        <w:t xml:space="preserve">the </w:t>
      </w:r>
      <w:r w:rsidR="00B140D3">
        <w:t>Electric IOUs</w:t>
      </w:r>
      <w:r w:rsidR="00AB34BE">
        <w:t>’ argument</w:t>
      </w:r>
      <w:r>
        <w:t xml:space="preserve"> that there is no need </w:t>
      </w:r>
      <w:r w:rsidR="00C2172A">
        <w:t>for</w:t>
      </w:r>
      <w:r w:rsidR="00AB34BE">
        <w:t xml:space="preserve"> a rulemaking proceeding </w:t>
      </w:r>
      <w:r w:rsidR="000A3CB1">
        <w:t xml:space="preserve">because </w:t>
      </w:r>
      <w:r>
        <w:t>CMRS</w:t>
      </w:r>
      <w:r w:rsidR="000A3CB1">
        <w:t> </w:t>
      </w:r>
      <w:r>
        <w:t xml:space="preserve">carriers </w:t>
      </w:r>
      <w:r w:rsidR="008723E5">
        <w:t xml:space="preserve">have successfully negotiated </w:t>
      </w:r>
      <w:r w:rsidR="004561ED">
        <w:t>pole</w:t>
      </w:r>
      <w:r w:rsidR="00606AC8">
        <w:noBreakHyphen/>
      </w:r>
      <w:r w:rsidR="004561ED">
        <w:t xml:space="preserve">attachment </w:t>
      </w:r>
      <w:r w:rsidR="008723E5">
        <w:t xml:space="preserve">agreements </w:t>
      </w:r>
      <w:r>
        <w:t>with electric utilities</w:t>
      </w:r>
      <w:r w:rsidR="008723E5">
        <w:t xml:space="preserve">.  </w:t>
      </w:r>
      <w:r w:rsidR="001F4285">
        <w:t xml:space="preserve">Setting aside AT&amp;T’s claim that it has experienced inordinate difficulty in </w:t>
      </w:r>
      <w:r w:rsidR="004561ED">
        <w:t>negotiating pole</w:t>
      </w:r>
      <w:r w:rsidR="00993916">
        <w:noBreakHyphen/>
      </w:r>
      <w:r w:rsidR="004561ED">
        <w:t>attachment agreements</w:t>
      </w:r>
      <w:r w:rsidR="001F4285">
        <w:t xml:space="preserve">, </w:t>
      </w:r>
      <w:r w:rsidR="00F95841">
        <w:t>federal law requires either the FCC o</w:t>
      </w:r>
      <w:r w:rsidR="00723B61">
        <w:t>r</w:t>
      </w:r>
      <w:r w:rsidR="00F95841">
        <w:t xml:space="preserve"> the states to </w:t>
      </w:r>
      <w:r w:rsidR="00BF07A7">
        <w:t xml:space="preserve">regulate the rates, terms, and conditions </w:t>
      </w:r>
      <w:r w:rsidR="00F87B9F">
        <w:t xml:space="preserve">for </w:t>
      </w:r>
      <w:r w:rsidR="00C2172A">
        <w:t xml:space="preserve">nondiscriminatory </w:t>
      </w:r>
      <w:r w:rsidR="00606AC8">
        <w:t>pole</w:t>
      </w:r>
      <w:r w:rsidR="00512DA1">
        <w:t> </w:t>
      </w:r>
      <w:r w:rsidR="00606AC8">
        <w:t>attachments</w:t>
      </w:r>
      <w:r w:rsidR="00F87B9F">
        <w:t>.</w:t>
      </w:r>
      <w:r w:rsidR="000479BD">
        <w:rPr>
          <w:rStyle w:val="FootnoteReference"/>
        </w:rPr>
        <w:footnoteReference w:id="32"/>
      </w:r>
      <w:r w:rsidR="00F87B9F">
        <w:t xml:space="preserve">  </w:t>
      </w:r>
      <w:r w:rsidR="00C2172A">
        <w:t>As a general principle, w</w:t>
      </w:r>
      <w:r w:rsidR="00BF07A7">
        <w:t xml:space="preserve">e believe that such regulation </w:t>
      </w:r>
      <w:r w:rsidR="00C2172A">
        <w:t>is best accomplished at</w:t>
      </w:r>
      <w:r w:rsidR="00BF07A7">
        <w:t xml:space="preserve"> the state level</w:t>
      </w:r>
      <w:r w:rsidR="00D975B8">
        <w:t xml:space="preserve"> </w:t>
      </w:r>
      <w:r w:rsidR="00AF6B51">
        <w:t xml:space="preserve">in </w:t>
      </w:r>
      <w:smartTag w:uri="urn:schemas-microsoft-com:office:smarttags" w:element="State">
        <w:smartTag w:uri="urn:schemas-microsoft-com:office:smarttags" w:element="place">
          <w:r w:rsidR="00AF6B51">
            <w:t>California</w:t>
          </w:r>
        </w:smartTag>
      </w:smartTag>
      <w:r w:rsidR="00AF6B51">
        <w:t xml:space="preserve"> </w:t>
      </w:r>
      <w:r w:rsidR="00D975B8">
        <w:t xml:space="preserve">so that we may tailor </w:t>
      </w:r>
      <w:r w:rsidR="00EF7024">
        <w:t>the</w:t>
      </w:r>
      <w:r w:rsidR="00D975B8">
        <w:t xml:space="preserve"> regulat</w:t>
      </w:r>
      <w:r w:rsidR="00AF6B51">
        <w:t>ory</w:t>
      </w:r>
      <w:r w:rsidR="00EF7024">
        <w:t xml:space="preserve"> framework </w:t>
      </w:r>
      <w:r w:rsidR="00476D6A">
        <w:t xml:space="preserve">to </w:t>
      </w:r>
      <w:r w:rsidR="00CF5A27">
        <w:t xml:space="preserve">advance </w:t>
      </w:r>
      <w:r w:rsidR="00D975B8">
        <w:t xml:space="preserve">the public </w:t>
      </w:r>
      <w:r w:rsidR="00606AC8">
        <w:t>interest</w:t>
      </w:r>
      <w:r w:rsidR="00D975B8">
        <w:t xml:space="preserve"> goals identified previously</w:t>
      </w:r>
      <w:r w:rsidR="00BF07A7">
        <w:t xml:space="preserve">.  </w:t>
      </w:r>
    </w:p>
    <w:p w:rsidR="003C67A1" w:rsidRDefault="00C93F03" w:rsidP="00525024">
      <w:pPr>
        <w:pStyle w:val="standard"/>
      </w:pPr>
      <w:r>
        <w:t xml:space="preserve">We are not persuaded by the </w:t>
      </w:r>
      <w:r w:rsidR="00B140D3">
        <w:t>Electric IOUs</w:t>
      </w:r>
      <w:r>
        <w:t xml:space="preserve"> that </w:t>
      </w:r>
      <w:r w:rsidR="00082E84">
        <w:t>AT&amp;T’s</w:t>
      </w:r>
      <w:r>
        <w:t xml:space="preserve"> Petition should be denied because AT&amp;T </w:t>
      </w:r>
      <w:r w:rsidR="00512DA1">
        <w:t xml:space="preserve">allegedly </w:t>
      </w:r>
      <w:r w:rsidR="00AB0023">
        <w:t>failed to provide specific facts justifying the need to amend the ROW</w:t>
      </w:r>
      <w:r w:rsidR="00357330">
        <w:t> </w:t>
      </w:r>
      <w:r w:rsidR="00AB0023">
        <w:t>Rules as required by Rule </w:t>
      </w:r>
      <w:r w:rsidR="00AB0023" w:rsidRPr="00065B3E">
        <w:rPr>
          <w:rFonts w:ascii="Palatino Linotype" w:hAnsi="Palatino Linotype"/>
        </w:rPr>
        <w:t>6.3(b)</w:t>
      </w:r>
      <w:r w:rsidR="00AB0023">
        <w:t>.  We agree with AT&amp;T that Rule</w:t>
      </w:r>
      <w:r w:rsidR="00094AF6">
        <w:t> </w:t>
      </w:r>
      <w:r w:rsidR="00AB0023">
        <w:t xml:space="preserve">6.3(b) does not require </w:t>
      </w:r>
      <w:r w:rsidR="00684C08">
        <w:t xml:space="preserve">a petition to provide </w:t>
      </w:r>
      <w:r w:rsidR="00AB0023">
        <w:t xml:space="preserve">“facts” </w:t>
      </w:r>
      <w:r w:rsidR="00684C08">
        <w:t>to justify the relief requested by the petition.  Rather, Rule</w:t>
      </w:r>
      <w:r w:rsidR="00094AF6">
        <w:t> </w:t>
      </w:r>
      <w:r w:rsidR="00684C08">
        <w:t xml:space="preserve">6.3(b) </w:t>
      </w:r>
      <w:r w:rsidR="000B1AD9">
        <w:t xml:space="preserve">requires a petition </w:t>
      </w:r>
      <w:r w:rsidR="00684C08">
        <w:t xml:space="preserve">to “concisely state the justification for the relief requested.”  We find that AT&amp;T has met this requirement for the reasons stated previously.  </w:t>
      </w:r>
    </w:p>
    <w:p w:rsidR="005B7F80" w:rsidRDefault="00035304" w:rsidP="00525024">
      <w:pPr>
        <w:pStyle w:val="standard"/>
      </w:pPr>
      <w:r>
        <w:t xml:space="preserve">We disagree with the </w:t>
      </w:r>
      <w:r w:rsidR="00B140D3">
        <w:t>Electric IOUs</w:t>
      </w:r>
      <w:r>
        <w:t xml:space="preserve"> and SED that </w:t>
      </w:r>
      <w:r w:rsidR="00082E84">
        <w:t>AT&amp;T’s</w:t>
      </w:r>
      <w:r>
        <w:t xml:space="preserve"> Petition should be denied because it allegedly does not provide enough detail to ensure that CMRS</w:t>
      </w:r>
      <w:r w:rsidR="00C01DB7">
        <w:t> </w:t>
      </w:r>
      <w:r w:rsidR="00D80EFA">
        <w:t xml:space="preserve">pole attachments do not adversely affect </w:t>
      </w:r>
      <w:r w:rsidR="00D101C1">
        <w:t xml:space="preserve">public safety </w:t>
      </w:r>
      <w:r w:rsidR="00D80EFA">
        <w:t>or</w:t>
      </w:r>
      <w:r w:rsidR="00D101C1">
        <w:t xml:space="preserve"> the reliability of </w:t>
      </w:r>
      <w:r w:rsidR="000A0A17">
        <w:t>other</w:t>
      </w:r>
      <w:r w:rsidR="00E52FFA">
        <w:t xml:space="preserve"> </w:t>
      </w:r>
      <w:r w:rsidR="00615013">
        <w:t xml:space="preserve">utility </w:t>
      </w:r>
      <w:r w:rsidR="00E52FFA">
        <w:t>facilities</w:t>
      </w:r>
      <w:r>
        <w:t xml:space="preserve">.  </w:t>
      </w:r>
      <w:r w:rsidR="00321276">
        <w:t>The ROW</w:t>
      </w:r>
      <w:r w:rsidR="00FB4550">
        <w:t> </w:t>
      </w:r>
      <w:r w:rsidR="00321276">
        <w:t xml:space="preserve">Rules adopted by D.98-10-058 require </w:t>
      </w:r>
      <w:r w:rsidR="00D80EFA">
        <w:t xml:space="preserve">pole attachments </w:t>
      </w:r>
      <w:r w:rsidR="00321276">
        <w:t>to comply with GO</w:t>
      </w:r>
      <w:r w:rsidR="0097245D">
        <w:t> </w:t>
      </w:r>
      <w:r w:rsidR="00321276">
        <w:t>95</w:t>
      </w:r>
      <w:r w:rsidR="00BB3031">
        <w:t xml:space="preserve">, </w:t>
      </w:r>
      <w:r w:rsidR="00321276">
        <w:t>GO</w:t>
      </w:r>
      <w:r w:rsidR="0097245D">
        <w:t> </w:t>
      </w:r>
      <w:r w:rsidR="00321276">
        <w:t xml:space="preserve">128, </w:t>
      </w:r>
      <w:r w:rsidR="00BB3031">
        <w:t xml:space="preserve">and other applicable </w:t>
      </w:r>
      <w:r w:rsidR="00082E84">
        <w:t xml:space="preserve">local, </w:t>
      </w:r>
      <w:r w:rsidR="00082E84">
        <w:lastRenderedPageBreak/>
        <w:t xml:space="preserve">state, and federal </w:t>
      </w:r>
      <w:r w:rsidR="00BB3031">
        <w:t>standards.</w:t>
      </w:r>
      <w:r w:rsidR="00BB3031">
        <w:rPr>
          <w:rStyle w:val="FootnoteReference"/>
        </w:rPr>
        <w:footnoteReference w:id="33"/>
      </w:r>
      <w:r w:rsidR="00BB3031">
        <w:t xml:space="preserve">  </w:t>
      </w:r>
      <w:r w:rsidR="00A84AD4">
        <w:t xml:space="preserve">A primary purpose of these standards is to ensure that utility facilities are safe and do not interfere with each other.  </w:t>
      </w:r>
      <w:r w:rsidR="00BB3031">
        <w:t>T</w:t>
      </w:r>
      <w:r w:rsidR="005B7F80">
        <w:t>he ROW</w:t>
      </w:r>
      <w:r w:rsidR="00BB3031">
        <w:t> </w:t>
      </w:r>
      <w:r w:rsidR="005B7F80">
        <w:t>Rules</w:t>
      </w:r>
      <w:r w:rsidR="00BB3031">
        <w:t xml:space="preserve"> also </w:t>
      </w:r>
      <w:r w:rsidR="00AD23A5">
        <w:t>authorize the utilities that own poles, ducts, conduit</w:t>
      </w:r>
      <w:r w:rsidR="00DC710A">
        <w:t>s</w:t>
      </w:r>
      <w:r w:rsidR="00AD23A5">
        <w:t xml:space="preserve">, and other support structures </w:t>
      </w:r>
      <w:r w:rsidR="005B7F80">
        <w:t xml:space="preserve">to </w:t>
      </w:r>
      <w:r w:rsidR="00F4014D">
        <w:t xml:space="preserve">impose restrictions </w:t>
      </w:r>
      <w:r w:rsidR="000A0A17">
        <w:t xml:space="preserve">on pole attachments that are necessary to ensure the safety and reliability of the utility’s </w:t>
      </w:r>
      <w:r w:rsidR="00CB38D3">
        <w:t>facilities</w:t>
      </w:r>
      <w:r w:rsidR="00910DAF">
        <w:t>:</w:t>
      </w:r>
    </w:p>
    <w:p w:rsidR="005B7F80" w:rsidRDefault="005B7F80" w:rsidP="005B7F80">
      <w:pPr>
        <w:pStyle w:val="StandardQuotation"/>
        <w:spacing w:before="0" w:after="120"/>
      </w:pPr>
      <w:r>
        <w:t>We generally agree that the incumbent utility, particularly electric utilities, should be permitted to impose restrictions and conditions which are necessary to ensure the safety and engineering reliability of its facilities.</w:t>
      </w:r>
      <w:r w:rsidR="00C01DB7">
        <w:t xml:space="preserve"> </w:t>
      </w:r>
      <w:r>
        <w:t xml:space="preserve"> In the interest of public health and safety, the utility must be able to exercise necessary control over access to its facilities to avoid creating conditions which could risk accident or injury to workers or the public.  The utility must also be permitted to impose necessary restrictions to protect the engineering reliability and integrity </w:t>
      </w:r>
      <w:r w:rsidR="008F0015">
        <w:t>of its facilities.</w:t>
      </w:r>
    </w:p>
    <w:p w:rsidR="005B7F80" w:rsidRDefault="005B7F80" w:rsidP="00082E84">
      <w:pPr>
        <w:pStyle w:val="StandardQuotation"/>
        <w:spacing w:before="0"/>
      </w:pPr>
      <w:r>
        <w:t>Telecommunications carriers must obtain express written authorization from the incumbent utility and must comply with applicable notification and safety rules before attempting to make a new attachment or modifying existing attachments.  Any unauthorized new attachments or modifications of existing attachments are strictly prohibited.  Before an attachment to a utility pole or support structure is made, we shall require successful completion of a fully executed contract.</w:t>
      </w:r>
      <w:r w:rsidR="00082E84">
        <w:t xml:space="preserve"> </w:t>
      </w:r>
      <w:r w:rsidR="008F0015">
        <w:t xml:space="preserve"> </w:t>
      </w:r>
      <w:r w:rsidR="00082E84">
        <w:t>(D.98</w:t>
      </w:r>
      <w:r w:rsidR="00082E84">
        <w:noBreakHyphen/>
        <w:t>10</w:t>
      </w:r>
      <w:r w:rsidR="00082E84">
        <w:noBreakHyphen/>
        <w:t>058, S</w:t>
      </w:r>
      <w:r w:rsidR="008F0015">
        <w:t>ection VII.A.2.)</w:t>
      </w:r>
    </w:p>
    <w:p w:rsidR="00BB3031" w:rsidRDefault="00BB3031" w:rsidP="00525024">
      <w:pPr>
        <w:pStyle w:val="standard"/>
      </w:pPr>
      <w:r>
        <w:t xml:space="preserve">As noted by AT&amp;T, since the ROW Rules were adopted in 1998, the Commission has twice amended GO 95 to incorporate standards for the safe </w:t>
      </w:r>
      <w:r w:rsidR="00357330">
        <w:t xml:space="preserve">attachment </w:t>
      </w:r>
      <w:r>
        <w:t xml:space="preserve">of wireless facilities </w:t>
      </w:r>
      <w:r w:rsidR="00B20943">
        <w:t>to</w:t>
      </w:r>
      <w:r>
        <w:t xml:space="preserve"> utility poles, including pole</w:t>
      </w:r>
      <w:r w:rsidR="00993916">
        <w:noBreakHyphen/>
      </w:r>
      <w:r>
        <w:t>top installations.</w:t>
      </w:r>
      <w:r>
        <w:rPr>
          <w:rStyle w:val="FootnoteReference"/>
        </w:rPr>
        <w:footnoteReference w:id="34"/>
      </w:r>
      <w:r>
        <w:t xml:space="preserve">  </w:t>
      </w:r>
      <w:r w:rsidR="00CE11F7">
        <w:lastRenderedPageBreak/>
        <w:t xml:space="preserve">Neither the Electric IOUs nor SED have identified any deficiencies in the Commission’s safety regulations for CMRS </w:t>
      </w:r>
      <w:r w:rsidR="00B20943">
        <w:t>pole attachments</w:t>
      </w:r>
      <w:r w:rsidR="00CE11F7">
        <w:t>.</w:t>
      </w:r>
      <w:r w:rsidR="002126E5">
        <w:rPr>
          <w:rStyle w:val="FootnoteReference"/>
        </w:rPr>
        <w:footnoteReference w:id="35"/>
      </w:r>
      <w:r w:rsidR="002126E5">
        <w:t xml:space="preserve">  </w:t>
      </w:r>
    </w:p>
    <w:p w:rsidR="005F6E37" w:rsidRDefault="005B7F80" w:rsidP="00525024">
      <w:pPr>
        <w:pStyle w:val="standard"/>
      </w:pPr>
      <w:r>
        <w:t xml:space="preserve">We </w:t>
      </w:r>
      <w:r w:rsidR="00D43DF3">
        <w:t xml:space="preserve">emphasize that we </w:t>
      </w:r>
      <w:r>
        <w:t xml:space="preserve">do not reach any </w:t>
      </w:r>
      <w:r w:rsidR="00C33210">
        <w:t xml:space="preserve">final </w:t>
      </w:r>
      <w:r>
        <w:t xml:space="preserve">conclusions in today’s </w:t>
      </w:r>
      <w:r w:rsidR="009920A0">
        <w:t xml:space="preserve">order </w:t>
      </w:r>
      <w:r>
        <w:t xml:space="preserve">regarding the safety of CMRS </w:t>
      </w:r>
      <w:r w:rsidR="00B20943">
        <w:t>pole attachments</w:t>
      </w:r>
      <w:r>
        <w:t xml:space="preserve">.  </w:t>
      </w:r>
      <w:r w:rsidR="00341798">
        <w:t>We intend to consider the safety ramifications of CMRS</w:t>
      </w:r>
      <w:r w:rsidR="005C33A5">
        <w:t> </w:t>
      </w:r>
      <w:r w:rsidR="00B20943">
        <w:t xml:space="preserve">pole attachments </w:t>
      </w:r>
      <w:r w:rsidR="00341798">
        <w:t xml:space="preserve">in the </w:t>
      </w:r>
      <w:r w:rsidR="00D0061D">
        <w:t xml:space="preserve">rulemaking proceeding </w:t>
      </w:r>
      <w:r w:rsidR="00C827B0">
        <w:t xml:space="preserve">that is instituted </w:t>
      </w:r>
      <w:r w:rsidR="00C33210">
        <w:t>by</w:t>
      </w:r>
      <w:r w:rsidR="00C827B0">
        <w:t xml:space="preserve"> today’s </w:t>
      </w:r>
      <w:r w:rsidR="009920A0">
        <w:t>order</w:t>
      </w:r>
      <w:r w:rsidR="00341798">
        <w:t xml:space="preserve">.  </w:t>
      </w:r>
      <w:r w:rsidR="00D12BEF">
        <w:t>We encourage the Electric</w:t>
      </w:r>
      <w:r w:rsidR="00B20943">
        <w:t> IOUs</w:t>
      </w:r>
      <w:r w:rsidR="00D12BEF">
        <w:t xml:space="preserve">, SED, and other parties to raise their safety concerns in the rulemaking proceeding.  </w:t>
      </w:r>
      <w:r w:rsidR="00341798">
        <w:t>We will not amend the ROW Rules to include CMRS</w:t>
      </w:r>
      <w:r w:rsidR="00B20943">
        <w:t> </w:t>
      </w:r>
      <w:r w:rsidR="00341798">
        <w:t xml:space="preserve">carriers unless we are </w:t>
      </w:r>
      <w:r w:rsidR="00B20943">
        <w:t>confident</w:t>
      </w:r>
      <w:r w:rsidR="00341798">
        <w:t xml:space="preserve"> that the amended Rules </w:t>
      </w:r>
      <w:r w:rsidR="00D12BEF">
        <w:t>(1)</w:t>
      </w:r>
      <w:r w:rsidR="00B20943">
        <w:t> </w:t>
      </w:r>
      <w:r w:rsidR="00D12BEF">
        <w:t xml:space="preserve">protect worker and public safety, and (2) preserve the reliability of </w:t>
      </w:r>
      <w:r w:rsidR="00B20943">
        <w:t xml:space="preserve">co-located </w:t>
      </w:r>
      <w:r w:rsidR="00D12BEF">
        <w:t xml:space="preserve">utility </w:t>
      </w:r>
      <w:r w:rsidR="00B20943">
        <w:t>facilities</w:t>
      </w:r>
      <w:r w:rsidR="00D12BEF">
        <w:t xml:space="preserve">. </w:t>
      </w:r>
      <w:r w:rsidR="00341798">
        <w:t xml:space="preserve">  </w:t>
      </w:r>
    </w:p>
    <w:p w:rsidR="005B7F80" w:rsidRDefault="000B1AD9" w:rsidP="004F326F">
      <w:pPr>
        <w:pStyle w:val="standard"/>
        <w:rPr>
          <w:highlight w:val="white"/>
        </w:rPr>
      </w:pPr>
      <w:r>
        <w:rPr>
          <w:highlight w:val="white"/>
        </w:rPr>
        <w:t>Finally, w</w:t>
      </w:r>
      <w:r w:rsidR="00194D95">
        <w:rPr>
          <w:highlight w:val="white"/>
        </w:rPr>
        <w:t xml:space="preserve">e decline to adopt Google’s recommendation </w:t>
      </w:r>
      <w:r w:rsidR="00F45F84">
        <w:rPr>
          <w:highlight w:val="white"/>
        </w:rPr>
        <w:t xml:space="preserve">to </w:t>
      </w:r>
      <w:r w:rsidR="00194D95">
        <w:rPr>
          <w:highlight w:val="white"/>
        </w:rPr>
        <w:t xml:space="preserve">expand the scope of the rulemaking proceeding to include all providers of broadband service, regardless of </w:t>
      </w:r>
      <w:r w:rsidR="00C33210">
        <w:rPr>
          <w:highlight w:val="white"/>
        </w:rPr>
        <w:t xml:space="preserve">their regulatory status or </w:t>
      </w:r>
      <w:r w:rsidR="00194D95">
        <w:rPr>
          <w:highlight w:val="white"/>
        </w:rPr>
        <w:t xml:space="preserve">the technologies they use.  </w:t>
      </w:r>
      <w:r w:rsidR="00310883">
        <w:rPr>
          <w:highlight w:val="white"/>
        </w:rPr>
        <w:t xml:space="preserve">Google did not </w:t>
      </w:r>
      <w:r w:rsidR="007464F5">
        <w:rPr>
          <w:highlight w:val="white"/>
        </w:rPr>
        <w:t>present</w:t>
      </w:r>
      <w:r w:rsidR="00310883">
        <w:rPr>
          <w:highlight w:val="white"/>
        </w:rPr>
        <w:t xml:space="preserve"> all of the information contemplated by Rule 6.3(b), including </w:t>
      </w:r>
      <w:r w:rsidR="007464F5">
        <w:rPr>
          <w:highlight w:val="white"/>
        </w:rPr>
        <w:t xml:space="preserve">the </w:t>
      </w:r>
      <w:r w:rsidR="00310883">
        <w:rPr>
          <w:highlight w:val="white"/>
        </w:rPr>
        <w:t xml:space="preserve">specific proposed wording to amend the ROW Rules </w:t>
      </w:r>
      <w:r w:rsidR="00422229">
        <w:rPr>
          <w:highlight w:val="white"/>
        </w:rPr>
        <w:t xml:space="preserve">to achieve Google’s objectives </w:t>
      </w:r>
      <w:r w:rsidR="00310883">
        <w:rPr>
          <w:highlight w:val="white"/>
        </w:rPr>
        <w:t xml:space="preserve">or whether the issues raised by Google have been litigated </w:t>
      </w:r>
      <w:r w:rsidR="00422229">
        <w:rPr>
          <w:highlight w:val="white"/>
        </w:rPr>
        <w:t xml:space="preserve">previously </w:t>
      </w:r>
      <w:r w:rsidR="00310883">
        <w:rPr>
          <w:highlight w:val="white"/>
        </w:rPr>
        <w:t xml:space="preserve">before the Commission.  </w:t>
      </w:r>
      <w:r w:rsidR="00DB179F">
        <w:rPr>
          <w:highlight w:val="white"/>
        </w:rPr>
        <w:t xml:space="preserve">As a result, </w:t>
      </w:r>
      <w:r w:rsidR="00677FA1">
        <w:rPr>
          <w:highlight w:val="white"/>
        </w:rPr>
        <w:t>we do not have a sufficient record to render an informed decision on</w:t>
      </w:r>
      <w:r w:rsidR="00DB179F">
        <w:rPr>
          <w:highlight w:val="white"/>
        </w:rPr>
        <w:t xml:space="preserve"> Google’s </w:t>
      </w:r>
      <w:r w:rsidR="00250541">
        <w:rPr>
          <w:highlight w:val="white"/>
        </w:rPr>
        <w:t>proposal</w:t>
      </w:r>
      <w:r w:rsidR="00DB179F">
        <w:rPr>
          <w:highlight w:val="white"/>
        </w:rPr>
        <w:t xml:space="preserve"> to </w:t>
      </w:r>
      <w:r w:rsidR="00F45F84">
        <w:rPr>
          <w:highlight w:val="white"/>
        </w:rPr>
        <w:t>expand</w:t>
      </w:r>
      <w:r w:rsidR="00DB179F">
        <w:rPr>
          <w:highlight w:val="white"/>
        </w:rPr>
        <w:t xml:space="preserve"> the scope of the </w:t>
      </w:r>
      <w:r w:rsidR="00DB179F">
        <w:rPr>
          <w:highlight w:val="white"/>
        </w:rPr>
        <w:lastRenderedPageBreak/>
        <w:t xml:space="preserve">rulemaking proceeding.  </w:t>
      </w:r>
      <w:r w:rsidR="00310883">
        <w:rPr>
          <w:highlight w:val="white"/>
        </w:rPr>
        <w:t>Google may remedy these deficiencies by filing a complete petition pursuant to Pub</w:t>
      </w:r>
      <w:r w:rsidR="00DB179F">
        <w:rPr>
          <w:highlight w:val="white"/>
        </w:rPr>
        <w:t>.</w:t>
      </w:r>
      <w:r w:rsidR="00310883">
        <w:rPr>
          <w:highlight w:val="white"/>
        </w:rPr>
        <w:t xml:space="preserve"> Util. Code </w:t>
      </w:r>
      <w:r w:rsidR="00310883">
        <w:rPr>
          <w:rFonts w:ascii="Book Antiqua" w:hAnsi="Book Antiqua"/>
          <w:highlight w:val="white"/>
        </w:rPr>
        <w:t>§</w:t>
      </w:r>
      <w:r w:rsidR="00310883">
        <w:rPr>
          <w:highlight w:val="white"/>
        </w:rPr>
        <w:t> 1708.5 and Rule</w:t>
      </w:r>
      <w:r w:rsidR="00DB179F">
        <w:rPr>
          <w:highlight w:val="white"/>
        </w:rPr>
        <w:t> </w:t>
      </w:r>
      <w:r w:rsidR="00310883">
        <w:rPr>
          <w:highlight w:val="white"/>
        </w:rPr>
        <w:t>6.3.</w:t>
      </w:r>
      <w:r w:rsidR="00DC69E9">
        <w:rPr>
          <w:rStyle w:val="FootnoteReference"/>
          <w:highlight w:val="white"/>
        </w:rPr>
        <w:footnoteReference w:id="36"/>
      </w:r>
      <w:r w:rsidR="00310883">
        <w:rPr>
          <w:highlight w:val="white"/>
        </w:rPr>
        <w:t xml:space="preserve">    </w:t>
      </w:r>
    </w:p>
    <w:p w:rsidR="00250541" w:rsidRDefault="00250541" w:rsidP="00894886">
      <w:pPr>
        <w:pStyle w:val="Heading1"/>
      </w:pPr>
      <w:bookmarkStart w:id="16" w:name="_Toc299027050"/>
      <w:bookmarkStart w:id="17" w:name="_Toc303747152"/>
      <w:bookmarkStart w:id="18" w:name="_Toc303762866"/>
      <w:bookmarkStart w:id="19" w:name="_Toc304180097"/>
      <w:bookmarkStart w:id="20" w:name="_Toc304185751"/>
      <w:bookmarkStart w:id="21" w:name="_Toc304186697"/>
      <w:bookmarkStart w:id="22" w:name="_Toc304187419"/>
      <w:bookmarkStart w:id="23" w:name="_Toc304187735"/>
      <w:bookmarkStart w:id="24" w:name="_Toc304207549"/>
      <w:bookmarkStart w:id="25" w:name="_Toc308154996"/>
      <w:bookmarkStart w:id="26" w:name="_Toc308154997"/>
      <w:bookmarkStart w:id="27" w:name="_Toc308154998"/>
      <w:bookmarkStart w:id="28" w:name="_Toc308154999"/>
      <w:bookmarkStart w:id="29" w:name="_Toc308155000"/>
      <w:bookmarkStart w:id="30" w:name="_Toc308155003"/>
      <w:bookmarkStart w:id="31" w:name="_Toc308155005"/>
      <w:bookmarkStart w:id="32" w:name="_Toc308155011"/>
      <w:bookmarkStart w:id="33" w:name="_Toc38644120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t>Order Instituting Rulemaking Proceeding</w:t>
      </w:r>
      <w:bookmarkEnd w:id="33"/>
    </w:p>
    <w:p w:rsidR="00250541" w:rsidRPr="00250541" w:rsidRDefault="00AB12EB" w:rsidP="00250541">
      <w:pPr>
        <w:pStyle w:val="standard"/>
        <w:rPr>
          <w:highlight w:val="white"/>
        </w:rPr>
      </w:pPr>
      <w:r>
        <w:rPr>
          <w:highlight w:val="white"/>
        </w:rPr>
        <w:t xml:space="preserve">For the preceding reasons, </w:t>
      </w:r>
      <w:r w:rsidR="0064469B">
        <w:rPr>
          <w:highlight w:val="white"/>
        </w:rPr>
        <w:t xml:space="preserve">we hereby </w:t>
      </w:r>
      <w:r w:rsidR="007F705A">
        <w:rPr>
          <w:highlight w:val="white"/>
        </w:rPr>
        <w:t xml:space="preserve">institute </w:t>
      </w:r>
      <w:r w:rsidR="0064469B">
        <w:rPr>
          <w:highlight w:val="white"/>
        </w:rPr>
        <w:t xml:space="preserve">a rulemaking proceeding pursuant to Pub. Util. Code </w:t>
      </w:r>
      <w:r w:rsidR="0064469B">
        <w:rPr>
          <w:rFonts w:ascii="Book Antiqua" w:hAnsi="Book Antiqua"/>
          <w:highlight w:val="white"/>
        </w:rPr>
        <w:t>§</w:t>
      </w:r>
      <w:r w:rsidR="0064469B">
        <w:rPr>
          <w:highlight w:val="white"/>
        </w:rPr>
        <w:t> 1708.5.</w:t>
      </w:r>
      <w:r>
        <w:rPr>
          <w:highlight w:val="white"/>
        </w:rPr>
        <w:t xml:space="preserve">  </w:t>
      </w:r>
      <w:r w:rsidR="00221F60">
        <w:t>T</w:t>
      </w:r>
      <w:r>
        <w:t xml:space="preserve">his Order Instituting Rulemaking (OIR) contains a preliminary scoping memo </w:t>
      </w:r>
      <w:r w:rsidR="00221F60">
        <w:t xml:space="preserve">pursuant to Rule 7.1(d) </w:t>
      </w:r>
      <w:r>
        <w:t xml:space="preserve">that sets forth the scope and schedule of this rulemaking proceeding, preliminarily determines the category </w:t>
      </w:r>
      <w:r w:rsidR="00221F60">
        <w:t>of</w:t>
      </w:r>
      <w:r>
        <w:t xml:space="preserve"> th</w:t>
      </w:r>
      <w:r w:rsidR="00221F60">
        <w:t>e</w:t>
      </w:r>
      <w:r>
        <w:t xml:space="preserve"> proceeding and the need for hearings, and addresses other matters that are </w:t>
      </w:r>
      <w:r w:rsidR="007F705A">
        <w:t>customarily</w:t>
      </w:r>
      <w:r>
        <w:t xml:space="preserve"> t</w:t>
      </w:r>
      <w:r w:rsidR="00B20943">
        <w:t xml:space="preserve">he subject of scoping memos.   </w:t>
      </w:r>
    </w:p>
    <w:p w:rsidR="000B0AA5" w:rsidRDefault="00DF6890" w:rsidP="00250541">
      <w:pPr>
        <w:pStyle w:val="Heading2"/>
      </w:pPr>
      <w:bookmarkStart w:id="34" w:name="_Toc386441207"/>
      <w:r w:rsidRPr="00894886">
        <w:t>Preliminary</w:t>
      </w:r>
      <w:r>
        <w:t xml:space="preserve"> Scoping Memo</w:t>
      </w:r>
      <w:bookmarkEnd w:id="34"/>
    </w:p>
    <w:p w:rsidR="00DF6890" w:rsidRDefault="00DF6890" w:rsidP="00250541">
      <w:pPr>
        <w:pStyle w:val="Heading3"/>
      </w:pPr>
      <w:bookmarkStart w:id="35" w:name="_Toc386441208"/>
      <w:r>
        <w:t>Scope</w:t>
      </w:r>
      <w:bookmarkEnd w:id="35"/>
    </w:p>
    <w:p w:rsidR="00DF6890" w:rsidRDefault="0094131B" w:rsidP="00084A3D">
      <w:pPr>
        <w:pStyle w:val="standard"/>
      </w:pPr>
      <w:r>
        <w:t xml:space="preserve">The scope of this rulemaking proceeding is to </w:t>
      </w:r>
      <w:r w:rsidR="00E15A82">
        <w:t xml:space="preserve">consider whether and how </w:t>
      </w:r>
      <w:r w:rsidR="005C33A5">
        <w:t>the ROW</w:t>
      </w:r>
      <w:r w:rsidR="0068566D">
        <w:t> </w:t>
      </w:r>
      <w:r w:rsidR="005C33A5">
        <w:t>Rules adopted by D.98</w:t>
      </w:r>
      <w:r w:rsidR="005C33A5">
        <w:noBreakHyphen/>
        <w:t>10</w:t>
      </w:r>
      <w:r w:rsidR="005C33A5">
        <w:noBreakHyphen/>
        <w:t xml:space="preserve">058 </w:t>
      </w:r>
      <w:r w:rsidR="00E15A82">
        <w:t xml:space="preserve">should be amended </w:t>
      </w:r>
      <w:r w:rsidR="005C33A5">
        <w:t xml:space="preserve">to </w:t>
      </w:r>
      <w:r w:rsidR="00E15A82">
        <w:t xml:space="preserve">encompass </w:t>
      </w:r>
      <w:r w:rsidR="005C33A5">
        <w:t>CMRS carriers</w:t>
      </w:r>
      <w:r w:rsidR="001553FF">
        <w:t xml:space="preserve">.  The adopted </w:t>
      </w:r>
      <w:r w:rsidR="00221F60">
        <w:t>amendments,</w:t>
      </w:r>
      <w:r w:rsidR="001553FF">
        <w:t xml:space="preserve"> if any, </w:t>
      </w:r>
      <w:r w:rsidR="006146E8">
        <w:t xml:space="preserve">should (1) </w:t>
      </w:r>
      <w:r w:rsidR="00FF6187">
        <w:t xml:space="preserve">provide </w:t>
      </w:r>
      <w:r w:rsidR="007E607A">
        <w:t>just</w:t>
      </w:r>
      <w:r w:rsidR="006146E8">
        <w:t xml:space="preserve"> and reasonable </w:t>
      </w:r>
      <w:r w:rsidR="00117075">
        <w:t>fees</w:t>
      </w:r>
      <w:r w:rsidR="006146E8">
        <w:t xml:space="preserve"> for </w:t>
      </w:r>
      <w:r w:rsidR="00FF6187">
        <w:t xml:space="preserve">CMRS </w:t>
      </w:r>
      <w:r w:rsidR="006146E8">
        <w:t>pole attachments</w:t>
      </w:r>
      <w:r w:rsidR="00FF6187">
        <w:rPr>
          <w:rStyle w:val="FootnoteReference"/>
        </w:rPr>
        <w:footnoteReference w:id="37"/>
      </w:r>
      <w:r w:rsidR="006146E8">
        <w:t xml:space="preserve">; (2) </w:t>
      </w:r>
      <w:r w:rsidR="001E331C">
        <w:t xml:space="preserve">protect worker </w:t>
      </w:r>
      <w:r w:rsidR="001553FF">
        <w:t>and public safety</w:t>
      </w:r>
      <w:r w:rsidR="006146E8">
        <w:t>;</w:t>
      </w:r>
      <w:r w:rsidR="001553FF">
        <w:t xml:space="preserve"> and </w:t>
      </w:r>
      <w:r w:rsidR="00231550">
        <w:t>(</w:t>
      </w:r>
      <w:r w:rsidR="006146E8">
        <w:t>3</w:t>
      </w:r>
      <w:r w:rsidR="00231550">
        <w:t>) </w:t>
      </w:r>
      <w:r w:rsidR="001553FF">
        <w:t>preserve</w:t>
      </w:r>
      <w:r w:rsidR="001E331C">
        <w:t xml:space="preserve"> the reliability of </w:t>
      </w:r>
      <w:r w:rsidR="00FF6187">
        <w:t>co-located</w:t>
      </w:r>
      <w:r w:rsidR="001E331C">
        <w:t xml:space="preserve"> utility </w:t>
      </w:r>
      <w:r w:rsidR="00FF6187">
        <w:t>facilities</w:t>
      </w:r>
      <w:r w:rsidR="001E331C">
        <w:t>.</w:t>
      </w:r>
      <w:r w:rsidR="005C33A5">
        <w:t xml:space="preserve">  </w:t>
      </w:r>
      <w:r>
        <w:t>The following issues are within the scope of this proceeding:</w:t>
      </w:r>
    </w:p>
    <w:p w:rsidR="0094304F" w:rsidRDefault="0094304F" w:rsidP="00D87159">
      <w:pPr>
        <w:pStyle w:val="StandardBullet"/>
        <w:tabs>
          <w:tab w:val="clear" w:pos="1440"/>
          <w:tab w:val="left" w:pos="1080"/>
        </w:tabs>
        <w:spacing w:before="0" w:after="80"/>
        <w:ind w:left="1080"/>
      </w:pPr>
      <w:r>
        <w:t>The specific amendments to the text of the ROW Rules adopted by D.98</w:t>
      </w:r>
      <w:r>
        <w:noBreakHyphen/>
        <w:t>10</w:t>
      </w:r>
      <w:r>
        <w:noBreakHyphen/>
        <w:t xml:space="preserve">058 that provide a regulatory framework for nondiscriminatory CMRS pole attachments.  </w:t>
      </w:r>
    </w:p>
    <w:p w:rsidR="00306608" w:rsidRDefault="007E607A" w:rsidP="005B73BE">
      <w:pPr>
        <w:pStyle w:val="StandardBullet"/>
        <w:tabs>
          <w:tab w:val="clear" w:pos="1440"/>
          <w:tab w:val="left" w:pos="1080"/>
        </w:tabs>
        <w:spacing w:before="0"/>
        <w:ind w:left="1080"/>
      </w:pPr>
      <w:r>
        <w:lastRenderedPageBreak/>
        <w:t xml:space="preserve">The specific amount(s), formula(s), or guideline(s) for </w:t>
      </w:r>
      <w:r w:rsidR="00306608">
        <w:t>CMRS</w:t>
      </w:r>
      <w:r w:rsidR="00247A34">
        <w:t> </w:t>
      </w:r>
      <w:r>
        <w:t>pole</w:t>
      </w:r>
      <w:r w:rsidR="006807CF">
        <w:noBreakHyphen/>
      </w:r>
      <w:r>
        <w:t>attachment</w:t>
      </w:r>
      <w:r w:rsidR="00117075">
        <w:t xml:space="preserve"> fee</w:t>
      </w:r>
      <w:r>
        <w:t>s</w:t>
      </w:r>
      <w:r w:rsidR="00306608">
        <w:t xml:space="preserve"> that reflect the space requirements</w:t>
      </w:r>
      <w:r w:rsidR="00247A34">
        <w:t xml:space="preserve"> </w:t>
      </w:r>
      <w:r w:rsidR="00306608">
        <w:t>and other characteristics of CMRS installations.</w:t>
      </w:r>
    </w:p>
    <w:p w:rsidR="0094131B" w:rsidRDefault="004E1635" w:rsidP="005B73BE">
      <w:pPr>
        <w:pStyle w:val="StandardBullet"/>
        <w:tabs>
          <w:tab w:val="clear" w:pos="1440"/>
          <w:tab w:val="left" w:pos="1080"/>
        </w:tabs>
        <w:spacing w:before="0"/>
        <w:ind w:left="1080"/>
      </w:pPr>
      <w:r>
        <w:t>Additional</w:t>
      </w:r>
      <w:r w:rsidR="00EE54E0">
        <w:t xml:space="preserve"> r</w:t>
      </w:r>
      <w:r w:rsidR="00E42C7F">
        <w:t xml:space="preserve">ules and standards </w:t>
      </w:r>
      <w:r w:rsidR="00EE54E0">
        <w:t>that are necessary</w:t>
      </w:r>
      <w:r>
        <w:t>, if any,</w:t>
      </w:r>
      <w:r w:rsidR="00EE54E0">
        <w:t xml:space="preserve"> </w:t>
      </w:r>
      <w:r w:rsidR="003B0B7E">
        <w:t xml:space="preserve">to ensure that </w:t>
      </w:r>
      <w:r w:rsidR="0094131B">
        <w:t>CMRS</w:t>
      </w:r>
      <w:r w:rsidR="00702F54">
        <w:t> </w:t>
      </w:r>
      <w:r w:rsidR="007E607A">
        <w:t>pole attachments</w:t>
      </w:r>
      <w:r w:rsidR="00702F54">
        <w:t xml:space="preserve"> </w:t>
      </w:r>
      <w:r w:rsidR="003B0B7E">
        <w:t xml:space="preserve">are designed, constructed, and maintained to </w:t>
      </w:r>
      <w:r w:rsidR="00702F54">
        <w:t xml:space="preserve">(i) </w:t>
      </w:r>
      <w:r w:rsidR="003B0B7E">
        <w:t xml:space="preserve">protect </w:t>
      </w:r>
      <w:r w:rsidR="0068566D">
        <w:t xml:space="preserve">worker and </w:t>
      </w:r>
      <w:r w:rsidR="00EE54E0">
        <w:t>public safety</w:t>
      </w:r>
      <w:r w:rsidR="00702F54">
        <w:t>,</w:t>
      </w:r>
      <w:r w:rsidR="00EE54E0">
        <w:t xml:space="preserve"> and </w:t>
      </w:r>
      <w:r w:rsidR="00702F54">
        <w:t>(ii) preserve</w:t>
      </w:r>
      <w:r w:rsidR="00032F03">
        <w:t xml:space="preserve"> </w:t>
      </w:r>
      <w:r w:rsidR="003B0B7E">
        <w:t xml:space="preserve">the reliability of </w:t>
      </w:r>
      <w:r w:rsidR="00FF6187">
        <w:t>co-located</w:t>
      </w:r>
      <w:r w:rsidR="00702F54">
        <w:t xml:space="preserve"> utility </w:t>
      </w:r>
      <w:r w:rsidR="00FF6187">
        <w:t>facilities</w:t>
      </w:r>
      <w:r w:rsidR="00702F54">
        <w:t xml:space="preserve"> </w:t>
      </w:r>
      <w:r w:rsidR="00945950">
        <w:t xml:space="preserve">(e.g., </w:t>
      </w:r>
      <w:r w:rsidR="003B0B7E">
        <w:t>power lines</w:t>
      </w:r>
      <w:r w:rsidR="00945950">
        <w:t>, telephone lines, etc</w:t>
      </w:r>
      <w:r w:rsidR="0094131B">
        <w:t>.</w:t>
      </w:r>
      <w:r w:rsidR="00945950">
        <w:t>)</w:t>
      </w:r>
    </w:p>
    <w:p w:rsidR="00FC28EA" w:rsidRDefault="00FC28EA" w:rsidP="005B73BE">
      <w:pPr>
        <w:pStyle w:val="StandardBullet"/>
        <w:tabs>
          <w:tab w:val="clear" w:pos="1440"/>
          <w:tab w:val="left" w:pos="1080"/>
        </w:tabs>
        <w:spacing w:before="0"/>
        <w:ind w:left="1080"/>
      </w:pPr>
      <w:r>
        <w:t xml:space="preserve">The definition of “CMRS provider” </w:t>
      </w:r>
      <w:r w:rsidR="0094304F">
        <w:t xml:space="preserve">included in </w:t>
      </w:r>
      <w:r>
        <w:t>the ROW Rules.</w:t>
      </w:r>
    </w:p>
    <w:p w:rsidR="0094131B" w:rsidRDefault="0094131B" w:rsidP="00D87159">
      <w:pPr>
        <w:pStyle w:val="StandardBullet"/>
        <w:tabs>
          <w:tab w:val="clear" w:pos="1440"/>
          <w:tab w:val="left" w:pos="1080"/>
        </w:tabs>
        <w:spacing w:before="0" w:after="200"/>
        <w:ind w:left="1080"/>
      </w:pPr>
      <w:r>
        <w:t xml:space="preserve">Certification </w:t>
      </w:r>
      <w:r w:rsidR="004E75AD">
        <w:t xml:space="preserve">of </w:t>
      </w:r>
      <w:r w:rsidR="0068566D">
        <w:t>the adopted</w:t>
      </w:r>
      <w:r>
        <w:t xml:space="preserve"> </w:t>
      </w:r>
      <w:r w:rsidR="004A6A0A">
        <w:t>amend</w:t>
      </w:r>
      <w:r w:rsidR="0068566D">
        <w:t xml:space="preserve">ments to </w:t>
      </w:r>
      <w:r w:rsidR="006807CF">
        <w:t xml:space="preserve">the </w:t>
      </w:r>
      <w:r>
        <w:t>ROW Rules</w:t>
      </w:r>
      <w:r w:rsidR="0068566D">
        <w:t>, if any,</w:t>
      </w:r>
      <w:r>
        <w:t xml:space="preserve"> </w:t>
      </w:r>
      <w:r w:rsidR="004E75AD">
        <w:t>in accordance with 47</w:t>
      </w:r>
      <w:r w:rsidR="004A6A0A">
        <w:t> </w:t>
      </w:r>
      <w:r w:rsidR="004E75AD">
        <w:t>U.S.C. 224(c)</w:t>
      </w:r>
      <w:r>
        <w:t>.</w:t>
      </w:r>
    </w:p>
    <w:p w:rsidR="00E71857" w:rsidRDefault="00E71857" w:rsidP="00E71857">
      <w:pPr>
        <w:pStyle w:val="standard"/>
      </w:pPr>
      <w:r>
        <w:t>Consistent with Rule 6.3(a), any amend</w:t>
      </w:r>
      <w:r w:rsidR="00445303">
        <w:t xml:space="preserve">ments to the </w:t>
      </w:r>
      <w:r>
        <w:t>ROW</w:t>
      </w:r>
      <w:r w:rsidR="001745B7">
        <w:t> </w:t>
      </w:r>
      <w:r>
        <w:t xml:space="preserve">Rules adopted in this </w:t>
      </w:r>
      <w:r w:rsidR="001745B7">
        <w:t xml:space="preserve">rulemaking </w:t>
      </w:r>
      <w:r>
        <w:t xml:space="preserve">proceeding will apply prospectively.  The scope of this proceeding excludes </w:t>
      </w:r>
      <w:r w:rsidR="007F141D">
        <w:t xml:space="preserve">the </w:t>
      </w:r>
      <w:r w:rsidR="00E11BDB">
        <w:t xml:space="preserve">contractual </w:t>
      </w:r>
      <w:r w:rsidR="007F141D">
        <w:t xml:space="preserve">rates, terms, and conditions for </w:t>
      </w:r>
      <w:r>
        <w:t xml:space="preserve">existing CMRS </w:t>
      </w:r>
      <w:r w:rsidR="00A1283A">
        <w:t>installations</w:t>
      </w:r>
      <w:r>
        <w:t xml:space="preserve">.  </w:t>
      </w:r>
      <w:r w:rsidR="00881872">
        <w:t xml:space="preserve">The assigned Commissioner may refine the scope of this proceeding, as appropriate, in the </w:t>
      </w:r>
      <w:r w:rsidR="00BF5B29">
        <w:t>S</w:t>
      </w:r>
      <w:r w:rsidR="00881872">
        <w:t xml:space="preserve">coping </w:t>
      </w:r>
      <w:r w:rsidR="00BF5B29">
        <w:t>M</w:t>
      </w:r>
      <w:r w:rsidR="00881872">
        <w:t>emo</w:t>
      </w:r>
      <w:r w:rsidR="004E1635">
        <w:t xml:space="preserve"> issued pursuant to Rule 7.3</w:t>
      </w:r>
      <w:r w:rsidR="00514CE5">
        <w:t>(a)</w:t>
      </w:r>
      <w:r w:rsidR="008F0015">
        <w:t>.</w:t>
      </w:r>
    </w:p>
    <w:p w:rsidR="00DF6890" w:rsidRDefault="00972835" w:rsidP="00250541">
      <w:pPr>
        <w:pStyle w:val="Heading3"/>
      </w:pPr>
      <w:bookmarkStart w:id="36" w:name="_Toc386441209"/>
      <w:r>
        <w:t xml:space="preserve">Proceeding </w:t>
      </w:r>
      <w:r w:rsidR="00DF6890">
        <w:t>Schedule</w:t>
      </w:r>
      <w:r>
        <w:t xml:space="preserve"> and Written Comments</w:t>
      </w:r>
      <w:bookmarkEnd w:id="36"/>
    </w:p>
    <w:p w:rsidR="00892055" w:rsidRDefault="00510097" w:rsidP="005B73BE">
      <w:pPr>
        <w:pStyle w:val="standard"/>
        <w:spacing w:after="160"/>
      </w:pPr>
      <w:r>
        <w:t xml:space="preserve">The preliminary schedule is summarized below.  </w:t>
      </w:r>
      <w:r w:rsidR="001745B7">
        <w:t>The schedule</w:t>
      </w:r>
      <w:r>
        <w:t xml:space="preserve"> may be </w:t>
      </w:r>
      <w:r w:rsidR="00167325">
        <w:t xml:space="preserve">revised </w:t>
      </w:r>
      <w:r>
        <w:t>by the assigned Commission</w:t>
      </w:r>
      <w:r w:rsidR="00951D0C">
        <w:t>er</w:t>
      </w:r>
      <w:r>
        <w:t xml:space="preserve"> or the assigned Administrative Law Judge (ALJ)</w:t>
      </w:r>
      <w:r w:rsidR="001745B7">
        <w:t xml:space="preserve"> </w:t>
      </w:r>
      <w:r w:rsidR="00951D0C">
        <w:t>to develop an adequate record, provide due process, and conduct th</w:t>
      </w:r>
      <w:r w:rsidR="004A6A0A">
        <w:t>is</w:t>
      </w:r>
      <w:r w:rsidR="00951D0C">
        <w:t xml:space="preserve"> </w:t>
      </w:r>
      <w:r w:rsidR="00FC28EA">
        <w:t xml:space="preserve">rulemaking </w:t>
      </w:r>
      <w:r w:rsidR="00951D0C">
        <w:t>proceeding in an</w:t>
      </w:r>
      <w:r w:rsidR="001623CE">
        <w:t xml:space="preserve"> orderly and efficient manner.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231"/>
      </w:tblGrid>
      <w:tr w:rsidR="00B4715B" w:rsidRPr="000219AA" w:rsidTr="000219AA">
        <w:trPr>
          <w:cantSplit/>
          <w:tblHeader/>
          <w:jc w:val="center"/>
        </w:trPr>
        <w:tc>
          <w:tcPr>
            <w:tcW w:w="8019" w:type="dxa"/>
            <w:gridSpan w:val="2"/>
            <w:shd w:val="clear" w:color="auto" w:fill="F3F3F3"/>
          </w:tcPr>
          <w:p w:rsidR="00B4715B" w:rsidRPr="000219AA" w:rsidRDefault="00B4715B" w:rsidP="00BB04C7">
            <w:pPr>
              <w:pStyle w:val="standard"/>
              <w:keepNext/>
              <w:widowControl w:val="0"/>
              <w:spacing w:before="40" w:after="40" w:line="240" w:lineRule="auto"/>
              <w:ind w:firstLine="0"/>
              <w:jc w:val="center"/>
              <w:rPr>
                <w:b/>
              </w:rPr>
            </w:pPr>
            <w:r w:rsidRPr="000219AA">
              <w:rPr>
                <w:b/>
              </w:rPr>
              <w:t>Preliminary Schedule</w:t>
            </w:r>
            <w:r w:rsidR="004E1635">
              <w:rPr>
                <w:b/>
              </w:rPr>
              <w:t xml:space="preserve"> for the Proceeding</w:t>
            </w:r>
          </w:p>
        </w:tc>
      </w:tr>
      <w:tr w:rsidR="00B4715B" w:rsidRPr="000219AA" w:rsidTr="000219AA">
        <w:trPr>
          <w:cantSplit/>
          <w:tblHeader/>
          <w:jc w:val="center"/>
        </w:trPr>
        <w:tc>
          <w:tcPr>
            <w:tcW w:w="4788" w:type="dxa"/>
            <w:shd w:val="clear" w:color="auto" w:fill="F3F3F3"/>
            <w:vAlign w:val="center"/>
          </w:tcPr>
          <w:p w:rsidR="00B4715B" w:rsidRPr="000219AA" w:rsidRDefault="00B4715B" w:rsidP="00BB04C7">
            <w:pPr>
              <w:pStyle w:val="standard"/>
              <w:keepNext/>
              <w:widowControl w:val="0"/>
              <w:spacing w:before="40" w:after="40" w:line="240" w:lineRule="auto"/>
              <w:ind w:firstLine="0"/>
              <w:jc w:val="center"/>
              <w:rPr>
                <w:b/>
              </w:rPr>
            </w:pPr>
            <w:r w:rsidRPr="000219AA">
              <w:rPr>
                <w:b/>
              </w:rPr>
              <w:t>Event</w:t>
            </w:r>
          </w:p>
        </w:tc>
        <w:tc>
          <w:tcPr>
            <w:tcW w:w="3231" w:type="dxa"/>
            <w:shd w:val="clear" w:color="auto" w:fill="F3F3F3"/>
            <w:vAlign w:val="center"/>
          </w:tcPr>
          <w:p w:rsidR="00B4715B" w:rsidRPr="000219AA" w:rsidRDefault="00B4715B" w:rsidP="00BB04C7">
            <w:pPr>
              <w:pStyle w:val="standard"/>
              <w:keepNext/>
              <w:widowControl w:val="0"/>
              <w:spacing w:before="40" w:line="240" w:lineRule="auto"/>
              <w:ind w:firstLine="0"/>
              <w:jc w:val="center"/>
              <w:rPr>
                <w:b/>
              </w:rPr>
            </w:pPr>
            <w:r w:rsidRPr="000219AA">
              <w:rPr>
                <w:b/>
              </w:rPr>
              <w:t>Date</w:t>
            </w:r>
          </w:p>
          <w:p w:rsidR="0094528D" w:rsidRPr="000219AA" w:rsidRDefault="0094528D" w:rsidP="005B73BE">
            <w:pPr>
              <w:pStyle w:val="standard"/>
              <w:keepNext/>
              <w:widowControl w:val="0"/>
              <w:spacing w:after="20" w:line="240" w:lineRule="auto"/>
              <w:ind w:firstLine="0"/>
              <w:jc w:val="center"/>
              <w:rPr>
                <w:b/>
              </w:rPr>
            </w:pPr>
            <w:r w:rsidRPr="000219AA">
              <w:rPr>
                <w:b/>
              </w:rPr>
              <w:t>(Measured from the Date this OIR Is Issued)</w:t>
            </w:r>
          </w:p>
        </w:tc>
      </w:tr>
      <w:tr w:rsidR="00B4715B" w:rsidTr="000219AA">
        <w:trPr>
          <w:cantSplit/>
          <w:jc w:val="center"/>
        </w:trPr>
        <w:tc>
          <w:tcPr>
            <w:tcW w:w="4788" w:type="dxa"/>
            <w:shd w:val="clear" w:color="auto" w:fill="auto"/>
            <w:vAlign w:val="center"/>
          </w:tcPr>
          <w:p w:rsidR="00B4715B" w:rsidRDefault="004D457D" w:rsidP="005B73BE">
            <w:pPr>
              <w:pStyle w:val="standard"/>
              <w:widowControl w:val="0"/>
              <w:spacing w:before="40" w:after="20" w:line="240" w:lineRule="auto"/>
              <w:ind w:firstLine="0"/>
            </w:pPr>
            <w:r>
              <w:t>All</w:t>
            </w:r>
            <w:r w:rsidR="006807CF">
              <w:t>-</w:t>
            </w:r>
            <w:r>
              <w:t xml:space="preserve">Party </w:t>
            </w:r>
            <w:r w:rsidR="00A2661C">
              <w:t>Meeting(</w:t>
            </w:r>
            <w:r w:rsidR="002F4FE6">
              <w:t>s)</w:t>
            </w:r>
            <w:r>
              <w:t xml:space="preserve"> </w:t>
            </w:r>
            <w:r w:rsidR="0094528D">
              <w:t>Arranged by AT&amp;T Mobility</w:t>
            </w:r>
          </w:p>
        </w:tc>
        <w:tc>
          <w:tcPr>
            <w:tcW w:w="3231" w:type="dxa"/>
            <w:shd w:val="clear" w:color="auto" w:fill="auto"/>
            <w:vAlign w:val="center"/>
          </w:tcPr>
          <w:p w:rsidR="00B4715B" w:rsidRDefault="0094528D" w:rsidP="005B73BE">
            <w:pPr>
              <w:pStyle w:val="standard"/>
              <w:widowControl w:val="0"/>
              <w:spacing w:before="40" w:after="20" w:line="240" w:lineRule="auto"/>
              <w:ind w:firstLine="0"/>
              <w:jc w:val="center"/>
            </w:pPr>
            <w:r>
              <w:t>Completed With</w:t>
            </w:r>
            <w:r w:rsidR="004A6A0A">
              <w:t>in</w:t>
            </w:r>
            <w:r>
              <w:t xml:space="preserve"> </w:t>
            </w:r>
            <w:r w:rsidR="00F07B1E">
              <w:t>50</w:t>
            </w:r>
            <w:r w:rsidR="004A6A0A">
              <w:t> </w:t>
            </w:r>
            <w:r>
              <w:t xml:space="preserve">Days </w:t>
            </w:r>
          </w:p>
        </w:tc>
      </w:tr>
      <w:tr w:rsidR="00B4715B" w:rsidTr="000219AA">
        <w:trPr>
          <w:cantSplit/>
          <w:jc w:val="center"/>
        </w:trPr>
        <w:tc>
          <w:tcPr>
            <w:tcW w:w="4788" w:type="dxa"/>
            <w:shd w:val="clear" w:color="auto" w:fill="auto"/>
            <w:vAlign w:val="center"/>
          </w:tcPr>
          <w:p w:rsidR="00B4715B" w:rsidRDefault="00E11BDB" w:rsidP="005B73BE">
            <w:pPr>
              <w:pStyle w:val="standard"/>
              <w:widowControl w:val="0"/>
              <w:spacing w:before="40" w:after="20" w:line="240" w:lineRule="auto"/>
              <w:ind w:firstLine="0"/>
            </w:pPr>
            <w:r>
              <w:t xml:space="preserve">Combined Opening Comments and </w:t>
            </w:r>
            <w:r w:rsidR="00BA2056">
              <w:t xml:space="preserve">Prehearing Conference </w:t>
            </w:r>
            <w:r>
              <w:t xml:space="preserve">Statements </w:t>
            </w:r>
            <w:r w:rsidR="00BD7172">
              <w:t>Filed and Served</w:t>
            </w:r>
          </w:p>
        </w:tc>
        <w:tc>
          <w:tcPr>
            <w:tcW w:w="3231" w:type="dxa"/>
            <w:shd w:val="clear" w:color="auto" w:fill="auto"/>
            <w:vAlign w:val="center"/>
          </w:tcPr>
          <w:p w:rsidR="00B4715B" w:rsidRDefault="00F07B1E" w:rsidP="002C6FF7">
            <w:pPr>
              <w:pStyle w:val="standard"/>
              <w:widowControl w:val="0"/>
              <w:spacing w:before="40" w:after="20" w:line="240" w:lineRule="auto"/>
              <w:ind w:firstLine="0"/>
              <w:jc w:val="center"/>
            </w:pPr>
            <w:r>
              <w:t>60</w:t>
            </w:r>
            <w:r w:rsidR="005B73BE">
              <w:t> </w:t>
            </w:r>
            <w:r w:rsidR="0094528D">
              <w:t>Days</w:t>
            </w:r>
          </w:p>
        </w:tc>
      </w:tr>
      <w:tr w:rsidR="00B4715B" w:rsidTr="000219AA">
        <w:trPr>
          <w:cantSplit/>
          <w:jc w:val="center"/>
        </w:trPr>
        <w:tc>
          <w:tcPr>
            <w:tcW w:w="4788" w:type="dxa"/>
            <w:shd w:val="clear" w:color="auto" w:fill="auto"/>
            <w:vAlign w:val="center"/>
          </w:tcPr>
          <w:p w:rsidR="00B4715B" w:rsidRDefault="004D457D" w:rsidP="005B73BE">
            <w:pPr>
              <w:pStyle w:val="standard"/>
              <w:widowControl w:val="0"/>
              <w:spacing w:before="40" w:after="20" w:line="240" w:lineRule="auto"/>
              <w:ind w:firstLine="0"/>
            </w:pPr>
            <w:r>
              <w:t>Reply Comments</w:t>
            </w:r>
            <w:r w:rsidR="00BD7172">
              <w:t xml:space="preserve"> Filed and Served</w:t>
            </w:r>
          </w:p>
        </w:tc>
        <w:tc>
          <w:tcPr>
            <w:tcW w:w="3231" w:type="dxa"/>
            <w:shd w:val="clear" w:color="auto" w:fill="auto"/>
            <w:vAlign w:val="center"/>
          </w:tcPr>
          <w:p w:rsidR="00B4715B" w:rsidRDefault="00F07B1E" w:rsidP="005B73BE">
            <w:pPr>
              <w:pStyle w:val="standard"/>
              <w:widowControl w:val="0"/>
              <w:spacing w:before="40" w:after="20" w:line="240" w:lineRule="auto"/>
              <w:ind w:firstLine="0"/>
              <w:jc w:val="center"/>
            </w:pPr>
            <w:r>
              <w:t>70</w:t>
            </w:r>
            <w:r w:rsidR="0094528D">
              <w:t xml:space="preserve"> Days</w:t>
            </w:r>
          </w:p>
        </w:tc>
      </w:tr>
      <w:tr w:rsidR="00B4715B" w:rsidTr="000219AA">
        <w:trPr>
          <w:cantSplit/>
          <w:jc w:val="center"/>
        </w:trPr>
        <w:tc>
          <w:tcPr>
            <w:tcW w:w="4788" w:type="dxa"/>
            <w:shd w:val="clear" w:color="auto" w:fill="auto"/>
            <w:vAlign w:val="center"/>
          </w:tcPr>
          <w:p w:rsidR="00B4715B" w:rsidRDefault="004D457D" w:rsidP="005B73BE">
            <w:pPr>
              <w:pStyle w:val="standard"/>
              <w:widowControl w:val="0"/>
              <w:spacing w:before="40" w:after="20" w:line="240" w:lineRule="auto"/>
              <w:ind w:firstLine="0"/>
            </w:pPr>
            <w:r>
              <w:lastRenderedPageBreak/>
              <w:t>P</w:t>
            </w:r>
            <w:r w:rsidR="00FC28EA">
              <w:t>rehearing Conference</w:t>
            </w:r>
            <w:r w:rsidR="001745B7">
              <w:t xml:space="preserve"> (PHC)</w:t>
            </w:r>
          </w:p>
        </w:tc>
        <w:tc>
          <w:tcPr>
            <w:tcW w:w="3231" w:type="dxa"/>
            <w:shd w:val="clear" w:color="auto" w:fill="auto"/>
            <w:vAlign w:val="center"/>
          </w:tcPr>
          <w:p w:rsidR="00B4715B" w:rsidRDefault="0094528D" w:rsidP="005B73BE">
            <w:pPr>
              <w:pStyle w:val="standard"/>
              <w:widowControl w:val="0"/>
              <w:spacing w:before="40" w:after="20" w:line="240" w:lineRule="auto"/>
              <w:ind w:firstLine="0"/>
              <w:jc w:val="center"/>
            </w:pPr>
            <w:r>
              <w:t>To Be Determined</w:t>
            </w:r>
          </w:p>
        </w:tc>
      </w:tr>
      <w:tr w:rsidR="00B4715B" w:rsidTr="000219AA">
        <w:trPr>
          <w:cantSplit/>
          <w:jc w:val="center"/>
        </w:trPr>
        <w:tc>
          <w:tcPr>
            <w:tcW w:w="4788" w:type="dxa"/>
            <w:shd w:val="clear" w:color="auto" w:fill="auto"/>
            <w:vAlign w:val="center"/>
          </w:tcPr>
          <w:p w:rsidR="00B4715B" w:rsidRDefault="004D457D" w:rsidP="005B73BE">
            <w:pPr>
              <w:pStyle w:val="standard"/>
              <w:widowControl w:val="0"/>
              <w:spacing w:before="40" w:after="20" w:line="240" w:lineRule="auto"/>
              <w:ind w:firstLine="0"/>
            </w:pPr>
            <w:r>
              <w:t>Evidentiary Hearings and Briefs, if Necessary</w:t>
            </w:r>
          </w:p>
        </w:tc>
        <w:tc>
          <w:tcPr>
            <w:tcW w:w="3231" w:type="dxa"/>
            <w:shd w:val="clear" w:color="auto" w:fill="auto"/>
            <w:vAlign w:val="center"/>
          </w:tcPr>
          <w:p w:rsidR="00B4715B" w:rsidRDefault="0094528D" w:rsidP="005B73BE">
            <w:pPr>
              <w:pStyle w:val="standard"/>
              <w:widowControl w:val="0"/>
              <w:spacing w:before="40" w:after="20" w:line="240" w:lineRule="auto"/>
              <w:ind w:firstLine="0"/>
              <w:jc w:val="center"/>
            </w:pPr>
            <w:r>
              <w:t>To Be Determined</w:t>
            </w:r>
          </w:p>
        </w:tc>
      </w:tr>
      <w:tr w:rsidR="002F5222" w:rsidTr="000219AA">
        <w:trPr>
          <w:cantSplit/>
          <w:jc w:val="center"/>
        </w:trPr>
        <w:tc>
          <w:tcPr>
            <w:tcW w:w="4788" w:type="dxa"/>
            <w:shd w:val="clear" w:color="auto" w:fill="auto"/>
            <w:vAlign w:val="center"/>
          </w:tcPr>
          <w:p w:rsidR="002F5222" w:rsidRDefault="002F5222" w:rsidP="005B73BE">
            <w:pPr>
              <w:pStyle w:val="standard"/>
              <w:widowControl w:val="0"/>
              <w:spacing w:before="40" w:after="20" w:line="240" w:lineRule="auto"/>
              <w:ind w:firstLine="0"/>
            </w:pPr>
            <w:r>
              <w:t>Projected Submission Date</w:t>
            </w:r>
          </w:p>
        </w:tc>
        <w:tc>
          <w:tcPr>
            <w:tcW w:w="3231" w:type="dxa"/>
            <w:shd w:val="clear" w:color="auto" w:fill="auto"/>
            <w:vAlign w:val="center"/>
          </w:tcPr>
          <w:p w:rsidR="002F5222" w:rsidRDefault="0094528D" w:rsidP="005B73BE">
            <w:pPr>
              <w:pStyle w:val="standard"/>
              <w:widowControl w:val="0"/>
              <w:spacing w:before="40" w:after="20" w:line="240" w:lineRule="auto"/>
              <w:ind w:firstLine="0"/>
              <w:jc w:val="center"/>
            </w:pPr>
            <w:r>
              <w:t>To Be Determined</w:t>
            </w:r>
          </w:p>
        </w:tc>
      </w:tr>
    </w:tbl>
    <w:p w:rsidR="00892055" w:rsidRDefault="00892055" w:rsidP="00927509">
      <w:pPr>
        <w:pStyle w:val="standard"/>
        <w:spacing w:line="240" w:lineRule="auto"/>
      </w:pPr>
    </w:p>
    <w:p w:rsidR="002F4FE6" w:rsidRDefault="005C7031" w:rsidP="007D4CD3">
      <w:pPr>
        <w:pStyle w:val="standard"/>
      </w:pPr>
      <w:r>
        <w:t xml:space="preserve">AT&amp;T shall </w:t>
      </w:r>
      <w:r w:rsidR="007B1C1E">
        <w:t>organize</w:t>
      </w:r>
      <w:r>
        <w:t xml:space="preserve"> and </w:t>
      </w:r>
      <w:r w:rsidR="007B1C1E">
        <w:t>chair</w:t>
      </w:r>
      <w:r>
        <w:t xml:space="preserve"> at least one all-party</w:t>
      </w:r>
      <w:r w:rsidR="00A2661C">
        <w:t xml:space="preserve"> meeting </w:t>
      </w:r>
      <w:r>
        <w:t xml:space="preserve">where the parties shall work collaboratively to </w:t>
      </w:r>
      <w:r w:rsidR="00436933">
        <w:t xml:space="preserve">(1) identify areas of consensus regarding </w:t>
      </w:r>
      <w:r w:rsidR="008A0AF8">
        <w:t xml:space="preserve">matters </w:t>
      </w:r>
      <w:r w:rsidR="00937763">
        <w:t>within the scope of this proceeding</w:t>
      </w:r>
      <w:r w:rsidR="00436933">
        <w:t xml:space="preserve">, (2) identify disputed issues, and (3) reach an agreement, if possible, on the </w:t>
      </w:r>
      <w:r w:rsidR="00937763">
        <w:t xml:space="preserve">schedule for this proceeding and </w:t>
      </w:r>
      <w:r w:rsidR="00436933">
        <w:t>appropriate procedure</w:t>
      </w:r>
      <w:r w:rsidR="00386519">
        <w:t>s</w:t>
      </w:r>
      <w:r w:rsidR="00436933">
        <w:t xml:space="preserve"> for resolving disputed issues.  </w:t>
      </w:r>
      <w:r w:rsidR="00A2661C">
        <w:t>AT&amp;T may select co</w:t>
      </w:r>
      <w:r w:rsidR="00937763">
        <w:noBreakHyphen/>
      </w:r>
      <w:r w:rsidR="00A2661C">
        <w:t>chairs to help with these tasks.</w:t>
      </w:r>
      <w:r w:rsidR="00F57407">
        <w:rPr>
          <w:rStyle w:val="FootnoteReference"/>
        </w:rPr>
        <w:footnoteReference w:id="38"/>
      </w:r>
      <w:r w:rsidR="00A2661C">
        <w:t xml:space="preserve">  </w:t>
      </w:r>
      <w:r w:rsidR="00F07B1E">
        <w:t xml:space="preserve">The parties are strongly encouraged to hold additional meetings to settle disputed issues, if appropriate.   </w:t>
      </w:r>
    </w:p>
    <w:p w:rsidR="001008D9" w:rsidRDefault="007868F4" w:rsidP="007D4CD3">
      <w:pPr>
        <w:pStyle w:val="standard"/>
      </w:pPr>
      <w:r>
        <w:t xml:space="preserve">The combined </w:t>
      </w:r>
      <w:r w:rsidR="00A5661E">
        <w:t xml:space="preserve">opening </w:t>
      </w:r>
      <w:r>
        <w:t>comments</w:t>
      </w:r>
      <w:r w:rsidR="00BA2056">
        <w:t xml:space="preserve"> and </w:t>
      </w:r>
      <w:r w:rsidR="00FE048C">
        <w:t>PHC</w:t>
      </w:r>
      <w:r w:rsidR="00BA2056">
        <w:t xml:space="preserve"> </w:t>
      </w:r>
      <w:r>
        <w:t>statements due on Day</w:t>
      </w:r>
      <w:r w:rsidR="00FE048C">
        <w:t> </w:t>
      </w:r>
      <w:r>
        <w:t>60 should address the following matters:</w:t>
      </w:r>
    </w:p>
    <w:p w:rsidR="007868F4" w:rsidRDefault="004C404D" w:rsidP="00D87159">
      <w:pPr>
        <w:pStyle w:val="StandardBullet"/>
        <w:tabs>
          <w:tab w:val="clear" w:pos="1440"/>
          <w:tab w:val="left" w:pos="1080"/>
        </w:tabs>
        <w:spacing w:before="0"/>
        <w:ind w:left="1080"/>
      </w:pPr>
      <w:r>
        <w:t>The</w:t>
      </w:r>
      <w:r w:rsidR="007868F4">
        <w:t xml:space="preserve"> matters set forth in Rule</w:t>
      </w:r>
      <w:r>
        <w:t> </w:t>
      </w:r>
      <w:r w:rsidR="007868F4">
        <w:t>6.2.</w:t>
      </w:r>
    </w:p>
    <w:p w:rsidR="004C404D" w:rsidRDefault="009413A3" w:rsidP="00754D20">
      <w:pPr>
        <w:pStyle w:val="StandardBullet"/>
        <w:tabs>
          <w:tab w:val="clear" w:pos="1440"/>
          <w:tab w:val="left" w:pos="1080"/>
        </w:tabs>
        <w:ind w:left="1080"/>
      </w:pPr>
      <w:r>
        <w:t>The party’s positions and recommendations</w:t>
      </w:r>
      <w:r w:rsidR="00FC28EA">
        <w:t>, if any,</w:t>
      </w:r>
      <w:r>
        <w:t xml:space="preserve"> regarding matters </w:t>
      </w:r>
      <w:r w:rsidR="00513424">
        <w:t>within the scope of this proceeding</w:t>
      </w:r>
      <w:r w:rsidR="004C404D">
        <w:t>, including:</w:t>
      </w:r>
    </w:p>
    <w:p w:rsidR="004C404D" w:rsidRDefault="00924DBE" w:rsidP="00FE048C">
      <w:pPr>
        <w:pStyle w:val="StandardBullet"/>
        <w:keepNext/>
        <w:numPr>
          <w:ilvl w:val="0"/>
          <w:numId w:val="42"/>
        </w:numPr>
        <w:spacing w:before="40" w:after="40"/>
        <w:ind w:left="1800"/>
      </w:pPr>
      <w:r>
        <w:t>S</w:t>
      </w:r>
      <w:r w:rsidR="004C404D">
        <w:t xml:space="preserve">pecific amount(s), formula(s), and/or guidelines for just and reasonable CMRS </w:t>
      </w:r>
      <w:r w:rsidR="00551CBB">
        <w:t>pole</w:t>
      </w:r>
      <w:r w:rsidR="006807CF">
        <w:noBreakHyphen/>
      </w:r>
      <w:r w:rsidR="00551CBB">
        <w:t>attachment</w:t>
      </w:r>
      <w:r w:rsidR="00117075">
        <w:t xml:space="preserve"> fees</w:t>
      </w:r>
      <w:r w:rsidR="004C404D">
        <w:t>.</w:t>
      </w:r>
    </w:p>
    <w:p w:rsidR="004C404D" w:rsidRDefault="004C404D" w:rsidP="00FE048C">
      <w:pPr>
        <w:pStyle w:val="StandardBullet"/>
        <w:numPr>
          <w:ilvl w:val="0"/>
          <w:numId w:val="42"/>
        </w:numPr>
        <w:spacing w:before="40" w:after="120"/>
        <w:ind w:left="1800"/>
      </w:pPr>
      <w:r>
        <w:t>Specific new safety</w:t>
      </w:r>
      <w:r w:rsidR="00551CBB">
        <w:t>, reliability,</w:t>
      </w:r>
      <w:r>
        <w:t xml:space="preserve"> and</w:t>
      </w:r>
      <w:r w:rsidR="00551CBB">
        <w:t>/or</w:t>
      </w:r>
      <w:r>
        <w:t xml:space="preserve"> engineering standards for CMRS </w:t>
      </w:r>
      <w:r w:rsidR="00551CBB">
        <w:t>pole attachments</w:t>
      </w:r>
      <w:r>
        <w:t xml:space="preserve">, in addition to </w:t>
      </w:r>
      <w:r w:rsidR="00924DBE">
        <w:t xml:space="preserve">the </w:t>
      </w:r>
      <w:r>
        <w:t>existing standards set forth in GO 95, GO 128, and D.98</w:t>
      </w:r>
      <w:r>
        <w:noBreakHyphen/>
        <w:t>10</w:t>
      </w:r>
      <w:r>
        <w:noBreakHyphen/>
        <w:t>058 at Section VII.B and Appendix A, Section XI.</w:t>
      </w:r>
    </w:p>
    <w:p w:rsidR="00BD339F" w:rsidRDefault="00924DBE" w:rsidP="00D87159">
      <w:pPr>
        <w:pStyle w:val="StandardBullet"/>
        <w:tabs>
          <w:tab w:val="clear" w:pos="1440"/>
          <w:tab w:val="left" w:pos="1080"/>
        </w:tabs>
        <w:spacing w:after="80"/>
        <w:ind w:left="1080"/>
      </w:pPr>
      <w:r>
        <w:lastRenderedPageBreak/>
        <w:t>Specific p</w:t>
      </w:r>
      <w:r w:rsidR="004A6A0A">
        <w:t xml:space="preserve">roposed </w:t>
      </w:r>
      <w:r w:rsidR="006518E2">
        <w:t>amendments</w:t>
      </w:r>
      <w:r w:rsidR="00A876D0">
        <w:t xml:space="preserve"> to the text of the ROW Rules</w:t>
      </w:r>
      <w:r w:rsidR="00940E32">
        <w:t xml:space="preserve"> that implement the party’s recommendations</w:t>
      </w:r>
      <w:r w:rsidR="004C404D">
        <w:t xml:space="preserve">.  </w:t>
      </w:r>
    </w:p>
    <w:p w:rsidR="004B228D" w:rsidRDefault="00A876D0" w:rsidP="00D87159">
      <w:pPr>
        <w:pStyle w:val="StandardBullet"/>
        <w:tabs>
          <w:tab w:val="clear" w:pos="1440"/>
          <w:tab w:val="left" w:pos="1080"/>
        </w:tabs>
        <w:spacing w:before="0" w:after="80"/>
        <w:ind w:left="1080"/>
      </w:pPr>
      <w:r w:rsidRPr="004B228D">
        <w:t xml:space="preserve">The process, procedures, and schedule for addressing </w:t>
      </w:r>
      <w:r w:rsidR="00513424">
        <w:t>issues with</w:t>
      </w:r>
      <w:r w:rsidR="00924DBE">
        <w:t>in</w:t>
      </w:r>
      <w:r w:rsidR="00513424">
        <w:t xml:space="preserve"> the scope of this proceeding, including </w:t>
      </w:r>
      <w:r w:rsidR="004B228D" w:rsidRPr="004B228D">
        <w:t xml:space="preserve">all major events contemplated by the party, such as </w:t>
      </w:r>
      <w:r w:rsidR="0077093A">
        <w:t xml:space="preserve">additional </w:t>
      </w:r>
      <w:r w:rsidR="004B228D" w:rsidRPr="004B228D">
        <w:t xml:space="preserve">comments, workshops, workshop reports, </w:t>
      </w:r>
      <w:r w:rsidR="00D46F5A">
        <w:t xml:space="preserve">mediation, </w:t>
      </w:r>
      <w:r w:rsidR="004B228D">
        <w:t xml:space="preserve">discovery cutoff, evidentiary </w:t>
      </w:r>
      <w:r w:rsidR="004B228D" w:rsidRPr="004B228D">
        <w:t xml:space="preserve">hearings and/or briefs, and other </w:t>
      </w:r>
      <w:r w:rsidR="00924DBE">
        <w:t>events</w:t>
      </w:r>
      <w:r w:rsidR="004B228D" w:rsidRPr="004B228D">
        <w:t xml:space="preserve">. </w:t>
      </w:r>
    </w:p>
    <w:p w:rsidR="00C81FBA" w:rsidRDefault="00C81FBA" w:rsidP="00D87159">
      <w:pPr>
        <w:pStyle w:val="StandardBullet"/>
        <w:tabs>
          <w:tab w:val="clear" w:pos="1440"/>
          <w:tab w:val="left" w:pos="1080"/>
        </w:tabs>
        <w:spacing w:before="0" w:after="80"/>
        <w:ind w:left="1080"/>
      </w:pPr>
      <w:r>
        <w:t xml:space="preserve">Whether Commission-assisted alternative dispute resolution, such as mediation, would be useful in resolving disputed issues.  </w:t>
      </w:r>
    </w:p>
    <w:p w:rsidR="004B228D" w:rsidRPr="004B228D" w:rsidRDefault="004B228D" w:rsidP="00D87159">
      <w:pPr>
        <w:pStyle w:val="StandardBullet"/>
        <w:tabs>
          <w:tab w:val="clear" w:pos="1440"/>
          <w:tab w:val="left" w:pos="1080"/>
        </w:tabs>
        <w:spacing w:before="0" w:after="80"/>
        <w:ind w:left="1080"/>
      </w:pPr>
      <w:r w:rsidRPr="004B228D">
        <w:t xml:space="preserve">Whether an evidentiary hearing is needed.  Any party who believes an evidentiary hearing is needed </w:t>
      </w:r>
      <w:r w:rsidR="00D46F5A">
        <w:t>must</w:t>
      </w:r>
      <w:r w:rsidRPr="004B228D">
        <w:t xml:space="preserve"> (i)</w:t>
      </w:r>
      <w:r w:rsidR="00D97E8D">
        <w:t> </w:t>
      </w:r>
      <w:r w:rsidRPr="004B228D">
        <w:t>identify and describe the material factual issues that will be litigated; and (ii)</w:t>
      </w:r>
      <w:r w:rsidR="00754D20">
        <w:t> </w:t>
      </w:r>
      <w:r w:rsidRPr="004B228D">
        <w:t xml:space="preserve">provide a schedule for all hearing-related events. </w:t>
      </w:r>
    </w:p>
    <w:p w:rsidR="004B228D" w:rsidRPr="004B228D" w:rsidRDefault="004B228D" w:rsidP="00D87159">
      <w:pPr>
        <w:pStyle w:val="StandardBullet"/>
        <w:tabs>
          <w:tab w:val="clear" w:pos="1440"/>
          <w:tab w:val="left" w:pos="1080"/>
        </w:tabs>
        <w:spacing w:before="0" w:after="200"/>
        <w:ind w:left="1080"/>
      </w:pPr>
      <w:r w:rsidRPr="004B228D">
        <w:t xml:space="preserve">Any other matters that are relevant to the scope, schedule, </w:t>
      </w:r>
      <w:r w:rsidR="00D46F5A">
        <w:t>or</w:t>
      </w:r>
      <w:r w:rsidRPr="004B228D">
        <w:t xml:space="preserve"> conduct of this rulemaking proceeding. </w:t>
      </w:r>
    </w:p>
    <w:p w:rsidR="00EF689C" w:rsidRDefault="007D4CD3" w:rsidP="007D4CD3">
      <w:pPr>
        <w:pStyle w:val="standard"/>
      </w:pPr>
      <w:r>
        <w:t xml:space="preserve">The assigned Commissioner </w:t>
      </w:r>
      <w:r w:rsidR="00C976A4">
        <w:t>and/</w:t>
      </w:r>
      <w:r>
        <w:t xml:space="preserve">or </w:t>
      </w:r>
      <w:r w:rsidR="00EF689C">
        <w:t xml:space="preserve">assigned </w:t>
      </w:r>
      <w:r w:rsidR="00C976A4">
        <w:t>ALJ</w:t>
      </w:r>
      <w:r>
        <w:t xml:space="preserve"> will schedule a PHC as soon as practicable.  </w:t>
      </w:r>
      <w:r w:rsidR="00BA2056">
        <w:t xml:space="preserve">Consistent with Rule 6.2 </w:t>
      </w:r>
      <w:r w:rsidR="00BB3EA0">
        <w:t xml:space="preserve">and the statutory deadline for quasi-legislative </w:t>
      </w:r>
      <w:r w:rsidR="00CE13FF">
        <w:t>proceedings</w:t>
      </w:r>
      <w:r w:rsidR="00BB3EA0">
        <w:t xml:space="preserve"> set forth in </w:t>
      </w:r>
      <w:r w:rsidR="00CE13FF">
        <w:t xml:space="preserve">Pub. Util. Code </w:t>
      </w:r>
      <w:r w:rsidR="00BB3EA0">
        <w:rPr>
          <w:rFonts w:ascii="Book Antiqua" w:hAnsi="Book Antiqua"/>
        </w:rPr>
        <w:t>§ </w:t>
      </w:r>
      <w:r w:rsidR="00BB3EA0">
        <w:t xml:space="preserve">1701.5(b), we expect this proceeding to conclude </w:t>
      </w:r>
      <w:r w:rsidR="00972835">
        <w:t xml:space="preserve">no later than 18 months from the date the Scoping Memo is issued pursuant to Rule 7.3(a).  </w:t>
      </w:r>
      <w:r w:rsidR="008D01BE">
        <w:t xml:space="preserve">The final schedule for this proceeding will be established by the assigned Commissioner in a </w:t>
      </w:r>
      <w:r w:rsidR="00BB3EA0">
        <w:t>S</w:t>
      </w:r>
      <w:r w:rsidR="008D01BE">
        <w:t>coping</w:t>
      </w:r>
      <w:r w:rsidR="00CE13FF">
        <w:t> </w:t>
      </w:r>
      <w:r w:rsidR="00BB3EA0">
        <w:t>M</w:t>
      </w:r>
      <w:r w:rsidR="008D01BE">
        <w:t>emo issued pursuant to Rule</w:t>
      </w:r>
      <w:r w:rsidR="00BB3EA0">
        <w:t> </w:t>
      </w:r>
      <w:r w:rsidR="008D01BE">
        <w:t xml:space="preserve">7.3(a).  </w:t>
      </w:r>
    </w:p>
    <w:p w:rsidR="00DF6890" w:rsidRDefault="00C92BDA" w:rsidP="00250541">
      <w:pPr>
        <w:pStyle w:val="Heading3"/>
      </w:pPr>
      <w:bookmarkStart w:id="37" w:name="_Toc386441210"/>
      <w:r>
        <w:t xml:space="preserve">Proceeding </w:t>
      </w:r>
      <w:r w:rsidR="00DF6890">
        <w:t xml:space="preserve">Category </w:t>
      </w:r>
      <w:r w:rsidR="007D4CD3">
        <w:t>and Need for Hearings</w:t>
      </w:r>
      <w:bookmarkEnd w:id="37"/>
      <w:r w:rsidR="007D4CD3">
        <w:t xml:space="preserve"> </w:t>
      </w:r>
    </w:p>
    <w:p w:rsidR="007D4CD3" w:rsidRDefault="0083455A" w:rsidP="007D4CD3">
      <w:pPr>
        <w:pStyle w:val="standard"/>
      </w:pPr>
      <w:r>
        <w:t>Pursuant to Rule 7</w:t>
      </w:r>
      <w:r w:rsidR="006807CF">
        <w:t>.</w:t>
      </w:r>
      <w:r>
        <w:t>1(d), w</w:t>
      </w:r>
      <w:r w:rsidR="00BE228E">
        <w:t xml:space="preserve">e preliminarily determine that </w:t>
      </w:r>
      <w:r w:rsidR="00551CBB">
        <w:t xml:space="preserve">(1) </w:t>
      </w:r>
      <w:r w:rsidR="00BE228E">
        <w:t xml:space="preserve">the category for this </w:t>
      </w:r>
      <w:r w:rsidR="00551CBB">
        <w:t xml:space="preserve">rulemaking </w:t>
      </w:r>
      <w:r w:rsidR="00BE228E">
        <w:t xml:space="preserve">proceeding is </w:t>
      </w:r>
      <w:r w:rsidR="00E71857">
        <w:t>quasi-legislative</w:t>
      </w:r>
      <w:r w:rsidR="007F6CC6">
        <w:t xml:space="preserve"> </w:t>
      </w:r>
      <w:r w:rsidR="007D4CD3">
        <w:t>as that term is defined in Rule</w:t>
      </w:r>
      <w:r w:rsidR="007F6CC6">
        <w:t> </w:t>
      </w:r>
      <w:r w:rsidR="007D4CD3">
        <w:t>1.3</w:t>
      </w:r>
      <w:r w:rsidR="00BE228E">
        <w:t>(d</w:t>
      </w:r>
      <w:r w:rsidR="00551CBB">
        <w:t xml:space="preserve">), and (2) there is no need </w:t>
      </w:r>
      <w:r w:rsidR="00BE228E">
        <w:t>for evidentiary hearings</w:t>
      </w:r>
      <w:r w:rsidR="00551CBB">
        <w:t xml:space="preserve"> in this proceeding</w:t>
      </w:r>
      <w:r w:rsidR="007D4CD3">
        <w:t xml:space="preserve">.  </w:t>
      </w:r>
      <w:r w:rsidR="006E596C">
        <w:t xml:space="preserve">As permitted by Rule 6.2, parties may address these preliminary determinations (and all other determinations in this preliminary scoping memo) in their </w:t>
      </w:r>
      <w:r w:rsidR="00BC0A25">
        <w:t xml:space="preserve">written </w:t>
      </w:r>
      <w:r w:rsidR="006E596C">
        <w:t>comments</w:t>
      </w:r>
      <w:r w:rsidR="00BC0A25">
        <w:t xml:space="preserve"> that are filed and served in accordance with the previously identified schedule for this proceeding</w:t>
      </w:r>
      <w:r w:rsidR="006E596C">
        <w:t>.  The assigned Commission</w:t>
      </w:r>
      <w:r>
        <w:t>er</w:t>
      </w:r>
      <w:r w:rsidR="006E596C">
        <w:t xml:space="preserve"> </w:t>
      </w:r>
      <w:r w:rsidR="00551CBB">
        <w:t>will</w:t>
      </w:r>
      <w:r w:rsidR="006E596C">
        <w:t xml:space="preserve"> make a final </w:t>
      </w:r>
      <w:r w:rsidR="006E596C">
        <w:lastRenderedPageBreak/>
        <w:t xml:space="preserve">determination regarding the category </w:t>
      </w:r>
      <w:r>
        <w:t xml:space="preserve">of this proceeding </w:t>
      </w:r>
      <w:r w:rsidR="006E596C">
        <w:t xml:space="preserve">and </w:t>
      </w:r>
      <w:r w:rsidR="00CE13FF">
        <w:t xml:space="preserve">the </w:t>
      </w:r>
      <w:r w:rsidR="006E596C">
        <w:t>need for hearing</w:t>
      </w:r>
      <w:r>
        <w:t>s</w:t>
      </w:r>
      <w:r w:rsidR="006E596C">
        <w:t xml:space="preserve"> in a Scoping Memo issued pursuant to Rule</w:t>
      </w:r>
      <w:r>
        <w:t>s 7.1(</w:t>
      </w:r>
      <w:r w:rsidR="00BC0A25">
        <w:t>d</w:t>
      </w:r>
      <w:r>
        <w:t xml:space="preserve">) and </w:t>
      </w:r>
      <w:r w:rsidR="006E596C">
        <w:t xml:space="preserve"> 7.3(a). </w:t>
      </w:r>
    </w:p>
    <w:p w:rsidR="00C92BDA" w:rsidRDefault="00270B53" w:rsidP="00250541">
      <w:pPr>
        <w:pStyle w:val="Heading3"/>
      </w:pPr>
      <w:bookmarkStart w:id="38" w:name="_Toc386441211"/>
      <w:r>
        <w:t xml:space="preserve">Service of </w:t>
      </w:r>
      <w:r w:rsidR="00C92BDA">
        <w:t>t</w:t>
      </w:r>
      <w:r>
        <w:t>h</w:t>
      </w:r>
      <w:r w:rsidR="00250541">
        <w:t>is</w:t>
      </w:r>
      <w:r>
        <w:t xml:space="preserve"> </w:t>
      </w:r>
      <w:r w:rsidR="00972835">
        <w:t>OIR</w:t>
      </w:r>
      <w:bookmarkEnd w:id="38"/>
      <w:r w:rsidR="00250541">
        <w:t xml:space="preserve"> </w:t>
      </w:r>
    </w:p>
    <w:p w:rsidR="008C5F5B" w:rsidRDefault="00551CBB" w:rsidP="00A01278">
      <w:pPr>
        <w:pStyle w:val="standard"/>
      </w:pPr>
      <w:r>
        <w:t xml:space="preserve">The Executive Director shall serve </w:t>
      </w:r>
      <w:r w:rsidR="00C439FA">
        <w:t xml:space="preserve">a notice of availability of </w:t>
      </w:r>
      <w:r>
        <w:t xml:space="preserve">this OIR </w:t>
      </w:r>
      <w:r w:rsidR="00270B53">
        <w:t xml:space="preserve">on </w:t>
      </w:r>
      <w:r w:rsidR="008C5F5B">
        <w:t>the following:</w:t>
      </w:r>
    </w:p>
    <w:p w:rsidR="008C5F5B" w:rsidRDefault="008C5F5B" w:rsidP="006A1D4B">
      <w:pPr>
        <w:pStyle w:val="StandardBullet"/>
        <w:tabs>
          <w:tab w:val="clear" w:pos="1440"/>
          <w:tab w:val="left" w:pos="1080"/>
        </w:tabs>
        <w:spacing w:before="0" w:after="80"/>
        <w:ind w:left="1080" w:right="540"/>
      </w:pPr>
      <w:r>
        <w:t xml:space="preserve">The e-mail and postal addresses provided by each </w:t>
      </w:r>
      <w:r w:rsidR="00AE3040">
        <w:t>CMRS</w:t>
      </w:r>
      <w:r>
        <w:t> </w:t>
      </w:r>
      <w:r w:rsidR="00AE3040">
        <w:t xml:space="preserve">carrier that has </w:t>
      </w:r>
      <w:r w:rsidR="001A57F7">
        <w:t xml:space="preserve">a utility </w:t>
      </w:r>
      <w:r w:rsidR="00A713D2">
        <w:t>identification n</w:t>
      </w:r>
      <w:r w:rsidR="001A57F7">
        <w:t>umber issued by the Commission</w:t>
      </w:r>
      <w:r>
        <w:t>.</w:t>
      </w:r>
    </w:p>
    <w:p w:rsidR="008C5F5B" w:rsidRDefault="008C5F5B" w:rsidP="00236232">
      <w:pPr>
        <w:pStyle w:val="StandardBullet"/>
        <w:tabs>
          <w:tab w:val="clear" w:pos="1440"/>
          <w:tab w:val="left" w:pos="1080"/>
        </w:tabs>
        <w:spacing w:before="0" w:after="200"/>
        <w:ind w:left="1080" w:right="540"/>
      </w:pPr>
      <w:r>
        <w:t xml:space="preserve">The e-mail and postal addresses </w:t>
      </w:r>
      <w:r w:rsidR="00236232">
        <w:t xml:space="preserve">provided by </w:t>
      </w:r>
      <w:r w:rsidR="000E3FFF">
        <w:t xml:space="preserve">each person and entity listed </w:t>
      </w:r>
      <w:r>
        <w:t xml:space="preserve">on the </w:t>
      </w:r>
      <w:r w:rsidR="00AE3040">
        <w:t xml:space="preserve">official </w:t>
      </w:r>
      <w:r w:rsidR="00270B53">
        <w:t>service list</w:t>
      </w:r>
      <w:r w:rsidR="00C439FA">
        <w:t>s</w:t>
      </w:r>
      <w:r w:rsidR="00CD45D2">
        <w:t xml:space="preserve"> </w:t>
      </w:r>
      <w:r>
        <w:t xml:space="preserve">for </w:t>
      </w:r>
      <w:r w:rsidR="00B76151">
        <w:t>P.13</w:t>
      </w:r>
      <w:r w:rsidR="00AE3040">
        <w:noBreakHyphen/>
      </w:r>
      <w:r w:rsidR="00B76151">
        <w:t>12</w:t>
      </w:r>
      <w:r w:rsidR="00AE3040">
        <w:noBreakHyphen/>
      </w:r>
      <w:r w:rsidR="00B76151">
        <w:t>009, R.</w:t>
      </w:r>
      <w:r w:rsidR="00270B53">
        <w:t>08</w:t>
      </w:r>
      <w:r w:rsidR="007F6CC6">
        <w:noBreakHyphen/>
      </w:r>
      <w:r w:rsidR="00270B53">
        <w:t>11</w:t>
      </w:r>
      <w:r w:rsidR="007F6CC6">
        <w:noBreakHyphen/>
      </w:r>
      <w:r w:rsidR="00270B53">
        <w:t>005</w:t>
      </w:r>
      <w:r w:rsidR="00CE13FF">
        <w:t>,</w:t>
      </w:r>
      <w:r w:rsidR="00270B53">
        <w:t xml:space="preserve"> and the </w:t>
      </w:r>
      <w:r w:rsidR="00CE13FF">
        <w:t xml:space="preserve">consolidated </w:t>
      </w:r>
      <w:r w:rsidR="0000710D">
        <w:t xml:space="preserve">dockets of </w:t>
      </w:r>
      <w:r w:rsidR="00270B53">
        <w:t>R</w:t>
      </w:r>
      <w:r w:rsidR="00B76151">
        <w:t>.</w:t>
      </w:r>
      <w:r w:rsidR="00270B53">
        <w:t>95</w:t>
      </w:r>
      <w:r w:rsidR="0000710D">
        <w:noBreakHyphen/>
      </w:r>
      <w:r w:rsidR="00270B53">
        <w:t>04</w:t>
      </w:r>
      <w:r w:rsidR="0000710D">
        <w:noBreakHyphen/>
      </w:r>
      <w:r w:rsidR="00270B53">
        <w:t xml:space="preserve">043 and </w:t>
      </w:r>
      <w:r w:rsidR="00551CBB">
        <w:t>I.</w:t>
      </w:r>
      <w:r w:rsidR="00270B53">
        <w:t>95</w:t>
      </w:r>
      <w:r w:rsidR="00B76151">
        <w:noBreakHyphen/>
      </w:r>
      <w:r w:rsidR="00270B53">
        <w:t>04</w:t>
      </w:r>
      <w:r w:rsidR="00B76151">
        <w:noBreakHyphen/>
      </w:r>
      <w:r w:rsidR="00270B53">
        <w:t xml:space="preserve">044. </w:t>
      </w:r>
      <w:r w:rsidR="00A01278">
        <w:t xml:space="preserve"> </w:t>
      </w:r>
    </w:p>
    <w:p w:rsidR="00B76151" w:rsidRDefault="00A01278" w:rsidP="008C5F5B">
      <w:pPr>
        <w:pStyle w:val="standard"/>
      </w:pPr>
      <w:r>
        <w:t xml:space="preserve">Such service </w:t>
      </w:r>
      <w:r w:rsidR="00CE13FF">
        <w:t>does not</w:t>
      </w:r>
      <w:r w:rsidR="00B76151">
        <w:t xml:space="preserve"> </w:t>
      </w:r>
      <w:r>
        <w:t>confer party status in th</w:t>
      </w:r>
      <w:r w:rsidR="00551CBB">
        <w:t xml:space="preserve">is rulemaking </w:t>
      </w:r>
      <w:r>
        <w:t>proceeding</w:t>
      </w:r>
      <w:r w:rsidR="00B76151">
        <w:t xml:space="preserve"> or </w:t>
      </w:r>
      <w:r>
        <w:t xml:space="preserve">result in </w:t>
      </w:r>
      <w:r w:rsidR="00B76151">
        <w:t>any</w:t>
      </w:r>
      <w:r>
        <w:t xml:space="preserve"> person or entity being placed on the service list for </w:t>
      </w:r>
      <w:r w:rsidR="00551CBB">
        <w:t xml:space="preserve">this </w:t>
      </w:r>
      <w:r w:rsidR="00B76151">
        <w:t>proceed</w:t>
      </w:r>
      <w:r>
        <w:t xml:space="preserve">ing.  </w:t>
      </w:r>
    </w:p>
    <w:p w:rsidR="00C92BDA" w:rsidRDefault="00011684" w:rsidP="009562A2">
      <w:pPr>
        <w:pStyle w:val="Heading3"/>
      </w:pPr>
      <w:bookmarkStart w:id="39" w:name="_Toc386441212"/>
      <w:r>
        <w:t xml:space="preserve">Participation and </w:t>
      </w:r>
      <w:r w:rsidR="00C92BDA">
        <w:t>Service List</w:t>
      </w:r>
      <w:bookmarkEnd w:id="39"/>
      <w:r w:rsidR="00C92BDA">
        <w:t xml:space="preserve"> </w:t>
      </w:r>
    </w:p>
    <w:p w:rsidR="008E0803" w:rsidRDefault="008E0803" w:rsidP="00C266B3">
      <w:pPr>
        <w:pStyle w:val="standard"/>
      </w:pPr>
      <w:r>
        <w:t xml:space="preserve">Petitioner AT&amp;T Mobility and </w:t>
      </w:r>
      <w:r w:rsidR="000C020D">
        <w:t>everyone</w:t>
      </w:r>
      <w:r>
        <w:t xml:space="preserve"> who filed </w:t>
      </w:r>
      <w:r w:rsidR="006E1DA0">
        <w:t xml:space="preserve">a </w:t>
      </w:r>
      <w:r>
        <w:t xml:space="preserve">response to the Petition are automatically parties to this </w:t>
      </w:r>
      <w:r w:rsidR="005B73BE">
        <w:t xml:space="preserve">newly instituted rulemaking </w:t>
      </w:r>
      <w:r>
        <w:t xml:space="preserve">proceeding pursuant to Rule 1.4(a)(1) and (2).  </w:t>
      </w:r>
      <w:r w:rsidR="00EA7063">
        <w:t xml:space="preserve">Any person or entity that files comments in this </w:t>
      </w:r>
      <w:r w:rsidR="006E1DA0">
        <w:t xml:space="preserve">rulemaking </w:t>
      </w:r>
      <w:r w:rsidR="00EA7063">
        <w:t>proceeding pursuant to Rule 1.4(a)(2)</w:t>
      </w:r>
      <w:r w:rsidR="00EA7063">
        <w:rPr>
          <w:rStyle w:val="FootnoteReference"/>
        </w:rPr>
        <w:footnoteReference w:id="39"/>
      </w:r>
      <w:r w:rsidR="00EA7063">
        <w:t xml:space="preserve"> will automatically </w:t>
      </w:r>
      <w:r w:rsidR="000C020D">
        <w:t>become</w:t>
      </w:r>
      <w:r w:rsidR="00EA7063">
        <w:t xml:space="preserve"> </w:t>
      </w:r>
      <w:r w:rsidR="006E1DA0">
        <w:t xml:space="preserve">a </w:t>
      </w:r>
      <w:r w:rsidR="00EA7063">
        <w:t>part</w:t>
      </w:r>
      <w:r w:rsidR="006E1DA0">
        <w:t>y</w:t>
      </w:r>
      <w:r w:rsidR="00EA7063">
        <w:t xml:space="preserve">.  </w:t>
      </w:r>
      <w:r w:rsidR="006E1DA0">
        <w:t xml:space="preserve">Other persons and entities may request party status in </w:t>
      </w:r>
      <w:r>
        <w:t>this proceeding by motion pursuant to Rule</w:t>
      </w:r>
      <w:r w:rsidR="00CA6511">
        <w:t> </w:t>
      </w:r>
      <w:r>
        <w:t xml:space="preserve">1.4(a)(3) or (4). </w:t>
      </w:r>
    </w:p>
    <w:p w:rsidR="004B0715" w:rsidRDefault="008E0803" w:rsidP="004B0715">
      <w:pPr>
        <w:pStyle w:val="standard"/>
      </w:pPr>
      <w:r>
        <w:t>A</w:t>
      </w:r>
      <w:r w:rsidR="004B0715">
        <w:t xml:space="preserve">ny person </w:t>
      </w:r>
      <w:r w:rsidR="00D12941">
        <w:t xml:space="preserve">or entity </w:t>
      </w:r>
      <w:r>
        <w:t xml:space="preserve">that wants to monitor this proceeding </w:t>
      </w:r>
      <w:r w:rsidR="004B0715">
        <w:t>may be added to the official service list</w:t>
      </w:r>
      <w:r w:rsidR="00E75DD1">
        <w:t xml:space="preserve"> for this proceeding </w:t>
      </w:r>
      <w:r>
        <w:t xml:space="preserve">as “Information Only” </w:t>
      </w:r>
      <w:r w:rsidR="00E75DD1">
        <w:t xml:space="preserve">by sending a </w:t>
      </w:r>
      <w:r w:rsidR="004B0715">
        <w:t xml:space="preserve">request to the </w:t>
      </w:r>
      <w:r w:rsidR="00011684">
        <w:t xml:space="preserve">Commission’s </w:t>
      </w:r>
      <w:r w:rsidR="004B0715">
        <w:t>Process Office</w:t>
      </w:r>
      <w:r w:rsidR="0078172A">
        <w:t xml:space="preserve"> by </w:t>
      </w:r>
      <w:r w:rsidR="004B0715">
        <w:t>e</w:t>
      </w:r>
      <w:r w:rsidR="0078172A">
        <w:noBreakHyphen/>
      </w:r>
      <w:r w:rsidR="004B0715">
        <w:t>mail (</w:t>
      </w:r>
      <w:r w:rsidR="004B0715" w:rsidRPr="00AC2850">
        <w:t>Process_Office@cpuc.ca.gov</w:t>
      </w:r>
      <w:r w:rsidR="004B0715">
        <w:t xml:space="preserve">) or </w:t>
      </w:r>
      <w:r w:rsidR="00E75DD1">
        <w:t xml:space="preserve">by </w:t>
      </w:r>
      <w:r w:rsidR="004B0715">
        <w:t>letter (Process</w:t>
      </w:r>
      <w:r w:rsidR="00E75DD1">
        <w:t> </w:t>
      </w:r>
      <w:r w:rsidR="004B0715">
        <w:t xml:space="preserve">Office, California Public </w:t>
      </w:r>
      <w:r w:rsidR="004B0715">
        <w:lastRenderedPageBreak/>
        <w:t>Utilities Commission, 505 Van</w:t>
      </w:r>
      <w:r w:rsidR="00E75DD1">
        <w:t> </w:t>
      </w:r>
      <w:r w:rsidR="004B0715">
        <w:t>Ness Avenue, San</w:t>
      </w:r>
      <w:r w:rsidR="00E75DD1">
        <w:t> </w:t>
      </w:r>
      <w:r w:rsidR="004B0715">
        <w:t>Francisco, CA 94102)</w:t>
      </w:r>
      <w:r w:rsidR="0078172A">
        <w:t xml:space="preserve">.  The request must </w:t>
      </w:r>
      <w:r w:rsidR="00E75DD1">
        <w:t>i</w:t>
      </w:r>
      <w:r w:rsidR="004B0715">
        <w:t>nclude the following information:</w:t>
      </w:r>
    </w:p>
    <w:p w:rsidR="004B0715" w:rsidRDefault="004B0715" w:rsidP="00D87159">
      <w:pPr>
        <w:pStyle w:val="standard"/>
        <w:numPr>
          <w:ilvl w:val="1"/>
          <w:numId w:val="41"/>
        </w:numPr>
        <w:spacing w:after="80" w:line="240" w:lineRule="auto"/>
      </w:pPr>
      <w:r>
        <w:t xml:space="preserve">Docket Number of this </w:t>
      </w:r>
      <w:r w:rsidR="00677855">
        <w:t>r</w:t>
      </w:r>
      <w:r>
        <w:t>ulemaking</w:t>
      </w:r>
      <w:r w:rsidR="00677855">
        <w:t xml:space="preserve"> proceeding</w:t>
      </w:r>
      <w:r>
        <w:t>.</w:t>
      </w:r>
    </w:p>
    <w:p w:rsidR="004B0715" w:rsidRDefault="004B0715" w:rsidP="00D87159">
      <w:pPr>
        <w:pStyle w:val="standard"/>
        <w:numPr>
          <w:ilvl w:val="1"/>
          <w:numId w:val="41"/>
        </w:numPr>
        <w:spacing w:after="80" w:line="240" w:lineRule="auto"/>
      </w:pPr>
      <w:r>
        <w:t xml:space="preserve">Name </w:t>
      </w:r>
      <w:r w:rsidR="004143D2">
        <w:t xml:space="preserve">of the person </w:t>
      </w:r>
      <w:r>
        <w:t xml:space="preserve">(and </w:t>
      </w:r>
      <w:r w:rsidR="004143D2">
        <w:t xml:space="preserve">the </w:t>
      </w:r>
      <w:r w:rsidR="00AF15C2">
        <w:t>entity</w:t>
      </w:r>
      <w:r>
        <w:t xml:space="preserve"> represented, if applicable).</w:t>
      </w:r>
    </w:p>
    <w:p w:rsidR="00551CBB" w:rsidRDefault="00551CBB" w:rsidP="00D87159">
      <w:pPr>
        <w:pStyle w:val="standard"/>
        <w:numPr>
          <w:ilvl w:val="1"/>
          <w:numId w:val="41"/>
        </w:numPr>
        <w:spacing w:after="80" w:line="240" w:lineRule="auto"/>
      </w:pPr>
      <w:r>
        <w:t>E-mail address</w:t>
      </w:r>
      <w:r w:rsidR="006807CF">
        <w:t xml:space="preserve"> (if available)</w:t>
      </w:r>
      <w:r>
        <w:t xml:space="preserve">. </w:t>
      </w:r>
    </w:p>
    <w:p w:rsidR="004B0715" w:rsidRDefault="00677855" w:rsidP="00D87159">
      <w:pPr>
        <w:pStyle w:val="standard"/>
        <w:numPr>
          <w:ilvl w:val="1"/>
          <w:numId w:val="41"/>
        </w:numPr>
        <w:spacing w:after="80" w:line="240" w:lineRule="auto"/>
      </w:pPr>
      <w:r>
        <w:t>Postal a</w:t>
      </w:r>
      <w:r w:rsidR="004B0715">
        <w:t>ddress.</w:t>
      </w:r>
    </w:p>
    <w:p w:rsidR="004B0715" w:rsidRDefault="004B0715" w:rsidP="00D87159">
      <w:pPr>
        <w:pStyle w:val="standard"/>
        <w:numPr>
          <w:ilvl w:val="1"/>
          <w:numId w:val="41"/>
        </w:numPr>
        <w:spacing w:after="80" w:line="240" w:lineRule="auto"/>
      </w:pPr>
      <w:r>
        <w:t xml:space="preserve">Telephone </w:t>
      </w:r>
      <w:r w:rsidR="00677855">
        <w:t>n</w:t>
      </w:r>
      <w:r>
        <w:t>umber</w:t>
      </w:r>
      <w:r w:rsidR="001D7EF0">
        <w:t>.</w:t>
      </w:r>
    </w:p>
    <w:p w:rsidR="004B0715" w:rsidRDefault="00677855" w:rsidP="00D87159">
      <w:pPr>
        <w:pStyle w:val="standard"/>
        <w:numPr>
          <w:ilvl w:val="1"/>
          <w:numId w:val="41"/>
        </w:numPr>
        <w:spacing w:after="200" w:line="240" w:lineRule="auto"/>
      </w:pPr>
      <w:r>
        <w:t>Desired s</w:t>
      </w:r>
      <w:r w:rsidR="004B0715">
        <w:t>tatus (State Service or Information Only).</w:t>
      </w:r>
      <w:r w:rsidR="004B0715">
        <w:rPr>
          <w:rStyle w:val="FootnoteReference"/>
        </w:rPr>
        <w:footnoteReference w:id="40"/>
      </w:r>
    </w:p>
    <w:p w:rsidR="00AF15C2" w:rsidRDefault="00AF15C2" w:rsidP="00AF15C2">
      <w:pPr>
        <w:pStyle w:val="standard"/>
      </w:pPr>
      <w:r>
        <w:t xml:space="preserve">The Commission’s practice is to list only one representative per party in the “Parties” category of the official service list.  Other representatives for the same party may be placed on the service list in the “State Service” category or the “Information Only” category. </w:t>
      </w:r>
    </w:p>
    <w:p w:rsidR="00011684" w:rsidRPr="00713C96" w:rsidRDefault="00011684" w:rsidP="00E75DD1">
      <w:pPr>
        <w:pStyle w:val="standard"/>
      </w:pPr>
      <w:r>
        <w:t xml:space="preserve">To ensure receipt of all documents, requests to be added to the service list should be sent to the Process Office as soon as practical.  The Commission’s Process Office will publish the official service list </w:t>
      </w:r>
      <w:r w:rsidR="00677855">
        <w:t>on</w:t>
      </w:r>
      <w:r>
        <w:t xml:space="preserve"> the Commission’s website (</w:t>
      </w:r>
      <w:r w:rsidRPr="00713C96">
        <w:rPr>
          <w:u w:val="single"/>
        </w:rPr>
        <w:t>www.cpuc.ca.gov</w:t>
      </w:r>
      <w:r>
        <w:t xml:space="preserve">) and will update the list as necessary.  </w:t>
      </w:r>
    </w:p>
    <w:p w:rsidR="001D7EF0" w:rsidRDefault="001D7EF0" w:rsidP="009562A2">
      <w:pPr>
        <w:pStyle w:val="Heading3"/>
      </w:pPr>
      <w:bookmarkStart w:id="40" w:name="_Toc386441213"/>
      <w:r>
        <w:t>Updating the Service List</w:t>
      </w:r>
      <w:bookmarkEnd w:id="40"/>
      <w:r>
        <w:t xml:space="preserve">  </w:t>
      </w:r>
    </w:p>
    <w:p w:rsidR="001D7EF0" w:rsidRPr="00D140F1" w:rsidRDefault="00840110" w:rsidP="001D7EF0">
      <w:pPr>
        <w:pStyle w:val="standard"/>
      </w:pPr>
      <w:r>
        <w:t xml:space="preserve">Each person </w:t>
      </w:r>
      <w:r w:rsidR="00997EED">
        <w:t xml:space="preserve">on </w:t>
      </w:r>
      <w:r w:rsidR="001D7EF0">
        <w:t>the official service list</w:t>
      </w:r>
      <w:r w:rsidR="00997EED">
        <w:t xml:space="preserve"> </w:t>
      </w:r>
      <w:r>
        <w:t xml:space="preserve">is responsible for ensuring that the </w:t>
      </w:r>
      <w:r w:rsidR="001D7EF0">
        <w:t xml:space="preserve">information </w:t>
      </w:r>
      <w:r w:rsidR="00997EED">
        <w:t>they</w:t>
      </w:r>
      <w:r w:rsidR="001D7EF0">
        <w:t xml:space="preserve"> have provided is </w:t>
      </w:r>
      <w:r w:rsidR="00370BDA">
        <w:t xml:space="preserve">correct and </w:t>
      </w:r>
      <w:r w:rsidR="001D7EF0">
        <w:t xml:space="preserve">up-to-date.  </w:t>
      </w:r>
      <w:r w:rsidR="00997EED">
        <w:t xml:space="preserve">This information can be changed, corrected, </w:t>
      </w:r>
      <w:r w:rsidR="006807CF">
        <w:t>and</w:t>
      </w:r>
      <w:r w:rsidR="00997EED">
        <w:t xml:space="preserve"> updated by sending an e-mail or letter to the </w:t>
      </w:r>
      <w:r w:rsidR="001D7EF0">
        <w:t>Process</w:t>
      </w:r>
      <w:r w:rsidR="00765756">
        <w:t> </w:t>
      </w:r>
      <w:r w:rsidR="001D7EF0">
        <w:t xml:space="preserve">Office, </w:t>
      </w:r>
      <w:r w:rsidR="00997EED">
        <w:t xml:space="preserve">with a </w:t>
      </w:r>
      <w:r w:rsidR="001D7EF0">
        <w:t>copy to everyone on the official service list.</w:t>
      </w:r>
    </w:p>
    <w:p w:rsidR="00DF6890" w:rsidRDefault="00C976A4" w:rsidP="00250541">
      <w:pPr>
        <w:pStyle w:val="Heading3"/>
      </w:pPr>
      <w:bookmarkStart w:id="41" w:name="_Toc386441214"/>
      <w:r>
        <w:lastRenderedPageBreak/>
        <w:t xml:space="preserve">Filing and </w:t>
      </w:r>
      <w:r w:rsidR="001D7EF0">
        <w:t>Serving</w:t>
      </w:r>
      <w:r w:rsidR="00DF6890">
        <w:t xml:space="preserve"> Documents</w:t>
      </w:r>
      <w:bookmarkEnd w:id="41"/>
    </w:p>
    <w:p w:rsidR="005514BE" w:rsidRDefault="006C09B6" w:rsidP="005514BE">
      <w:pPr>
        <w:pStyle w:val="standard"/>
      </w:pPr>
      <w:r>
        <w:t xml:space="preserve">All pleadings in this proceeding shall be filed and served in conformance with Article 1 of the Commission’s Rules of Practice and Procedure.  </w:t>
      </w:r>
      <w:r w:rsidR="00C976A4">
        <w:t>The assigned Commissioner and</w:t>
      </w:r>
      <w:r w:rsidR="00765756">
        <w:t xml:space="preserve"> the </w:t>
      </w:r>
      <w:r w:rsidR="00C976A4">
        <w:t>assigned ALJ may establish additional requirements for filing and/or serving documents</w:t>
      </w:r>
      <w:r w:rsidR="005B4C64">
        <w:t xml:space="preserve"> in this proceeding</w:t>
      </w:r>
      <w:r w:rsidR="00C976A4">
        <w:t xml:space="preserve">.  </w:t>
      </w:r>
    </w:p>
    <w:p w:rsidR="00CB6F4E" w:rsidRDefault="00FA6A64" w:rsidP="00CB6F4E">
      <w:pPr>
        <w:pStyle w:val="standard"/>
      </w:pPr>
      <w:r w:rsidRPr="00E53211">
        <w:t>The Commission encourages electronic filing and service. (Rules</w:t>
      </w:r>
      <w:r>
        <w:t> </w:t>
      </w:r>
      <w:r w:rsidRPr="00E53211">
        <w:t>1.10 and 1.13</w:t>
      </w:r>
      <w:r>
        <w:t>.)</w:t>
      </w:r>
      <w:r w:rsidRPr="00E53211">
        <w:t xml:space="preserve">  </w:t>
      </w:r>
      <w:r w:rsidR="005514BE" w:rsidRPr="00E53211">
        <w:t xml:space="preserve">Rule 1.10 provides for </w:t>
      </w:r>
      <w:r w:rsidR="00083D04">
        <w:t xml:space="preserve">concurrent </w:t>
      </w:r>
      <w:r w:rsidR="00790F21">
        <w:t xml:space="preserve">e-mail </w:t>
      </w:r>
      <w:r w:rsidR="005514BE" w:rsidRPr="00E53211">
        <w:t xml:space="preserve">service of documents, in a searchable format, </w:t>
      </w:r>
      <w:r w:rsidR="00083D04">
        <w:t>to all person</w:t>
      </w:r>
      <w:r w:rsidR="005B4C64">
        <w:t>s</w:t>
      </w:r>
      <w:r w:rsidR="00083D04">
        <w:t xml:space="preserve"> on the service list </w:t>
      </w:r>
      <w:r w:rsidR="005B4C64">
        <w:t xml:space="preserve">who </w:t>
      </w:r>
      <w:r w:rsidR="00742A7A">
        <w:t xml:space="preserve">provided </w:t>
      </w:r>
      <w:r w:rsidR="005514BE" w:rsidRPr="00E53211">
        <w:t>an e</w:t>
      </w:r>
      <w:r w:rsidR="005514BE" w:rsidRPr="00E53211">
        <w:noBreakHyphen/>
        <w:t xml:space="preserve">mail address.  If no e-mail address was provided, service must be made by </w:t>
      </w:r>
      <w:smartTag w:uri="urn:schemas-microsoft-com:office:smarttags" w:element="country-region">
        <w:smartTag w:uri="urn:schemas-microsoft-com:office:smarttags" w:element="place">
          <w:r w:rsidR="005514BE" w:rsidRPr="00E53211">
            <w:t>U</w:t>
          </w:r>
          <w:r w:rsidR="005514BE">
            <w:t>.</w:t>
          </w:r>
          <w:r w:rsidR="005514BE" w:rsidRPr="00E53211">
            <w:t>S</w:t>
          </w:r>
          <w:r w:rsidR="005514BE">
            <w:t>.</w:t>
          </w:r>
        </w:smartTag>
      </w:smartTag>
      <w:r w:rsidR="00742A7A">
        <w:t> </w:t>
      </w:r>
      <w:r w:rsidR="005514BE" w:rsidRPr="00E53211">
        <w:t>mail</w:t>
      </w:r>
      <w:r w:rsidR="00790F21">
        <w:t xml:space="preserve"> o</w:t>
      </w:r>
      <w:r w:rsidR="005B4C64">
        <w:t>r</w:t>
      </w:r>
      <w:r w:rsidR="00790F21">
        <w:t xml:space="preserve"> similar means, except that p</w:t>
      </w:r>
      <w:r w:rsidR="005514BE" w:rsidRPr="00E53211">
        <w:t xml:space="preserve">aper service is not required on those in the </w:t>
      </w:r>
      <w:r w:rsidR="00770650">
        <w:t>I</w:t>
      </w:r>
      <w:r w:rsidR="005514BE" w:rsidRPr="00E53211">
        <w:t>nformation</w:t>
      </w:r>
      <w:r w:rsidR="00770650">
        <w:t> O</w:t>
      </w:r>
      <w:r w:rsidR="005514BE" w:rsidRPr="00E53211">
        <w:t>nly category without an e</w:t>
      </w:r>
      <w:r w:rsidR="00790F21">
        <w:noBreakHyphen/>
      </w:r>
      <w:r w:rsidR="005514BE" w:rsidRPr="00E53211">
        <w:t xml:space="preserve">mail address.  </w:t>
      </w:r>
    </w:p>
    <w:p w:rsidR="005514BE" w:rsidRDefault="005514BE" w:rsidP="005514BE">
      <w:pPr>
        <w:pStyle w:val="standard"/>
      </w:pPr>
      <w:r w:rsidRPr="00E53211">
        <w:t>E-mail communication</w:t>
      </w:r>
      <w:r w:rsidR="009379CC">
        <w:t>s</w:t>
      </w:r>
      <w:r w:rsidRPr="00E53211">
        <w:t xml:space="preserve"> </w:t>
      </w:r>
      <w:r w:rsidR="00835CE6">
        <w:t xml:space="preserve">in </w:t>
      </w:r>
      <w:r w:rsidRPr="00E53211">
        <w:t xml:space="preserve">this </w:t>
      </w:r>
      <w:r w:rsidR="009379CC">
        <w:t xml:space="preserve">proceeding </w:t>
      </w:r>
      <w:r w:rsidRPr="00E53211">
        <w:t xml:space="preserve">should include on the subject line </w:t>
      </w:r>
      <w:r w:rsidR="009379CC">
        <w:t>the docket number for this proceeding and a brief description of the contents of the e</w:t>
      </w:r>
      <w:r w:rsidR="00770650">
        <w:t>-</w:t>
      </w:r>
      <w:r w:rsidR="009379CC">
        <w:t>mail</w:t>
      </w:r>
      <w:r w:rsidR="00835CE6">
        <w:t xml:space="preserve"> (e.g., motion for party status, </w:t>
      </w:r>
      <w:r w:rsidR="00765756">
        <w:t>opening</w:t>
      </w:r>
      <w:r w:rsidR="00835CE6">
        <w:t xml:space="preserve"> comments, etc.)</w:t>
      </w:r>
      <w:r w:rsidR="009379CC">
        <w:t xml:space="preserve">.  </w:t>
      </w:r>
    </w:p>
    <w:p w:rsidR="005514BE" w:rsidRDefault="005514BE" w:rsidP="005514BE">
      <w:pPr>
        <w:pStyle w:val="standard"/>
      </w:pPr>
      <w:r w:rsidRPr="0049700B">
        <w:t xml:space="preserve">Questions about the Commission’s filing and service procedures </w:t>
      </w:r>
      <w:r w:rsidR="004A4CF1">
        <w:t>may</w:t>
      </w:r>
      <w:r w:rsidRPr="0049700B">
        <w:t xml:space="preserve"> be directed to the Commission’s Docket Office by telephone at (415) 703-2121, by e</w:t>
      </w:r>
      <w:r w:rsidRPr="0049700B">
        <w:noBreakHyphen/>
        <w:t xml:space="preserve">mail at </w:t>
      </w:r>
      <w:hyperlink r:id="rId20" w:history="1">
        <w:r w:rsidRPr="00765756">
          <w:rPr>
            <w:rStyle w:val="Hyperlink"/>
            <w:color w:val="auto"/>
            <w:u w:val="none"/>
          </w:rPr>
          <w:t>efile-help@cpuc.ca.gov</w:t>
        </w:r>
      </w:hyperlink>
      <w:r w:rsidRPr="0049700B">
        <w:t>, or by letter to Docket Office, California Public Utilities Commission, 505</w:t>
      </w:r>
      <w:r w:rsidR="00477CC5">
        <w:t> </w:t>
      </w:r>
      <w:r w:rsidRPr="0049700B">
        <w:t>Van</w:t>
      </w:r>
      <w:r w:rsidR="00477CC5">
        <w:t> </w:t>
      </w:r>
      <w:r w:rsidRPr="0049700B">
        <w:t>Ness</w:t>
      </w:r>
      <w:r w:rsidR="00477CC5">
        <w:t> </w:t>
      </w:r>
      <w:r w:rsidRPr="0049700B">
        <w:t>Avenue, San</w:t>
      </w:r>
      <w:r w:rsidR="00477CC5">
        <w:t> </w:t>
      </w:r>
      <w:r w:rsidRPr="0049700B">
        <w:t>Francisco, CA  94102.</w:t>
      </w:r>
    </w:p>
    <w:p w:rsidR="00DF6890" w:rsidRDefault="00DF6890" w:rsidP="00250541">
      <w:pPr>
        <w:pStyle w:val="Heading3"/>
      </w:pPr>
      <w:bookmarkStart w:id="42" w:name="_Toc386441215"/>
      <w:r>
        <w:t>Public Advisor</w:t>
      </w:r>
      <w:bookmarkEnd w:id="42"/>
    </w:p>
    <w:p w:rsidR="00AE7631" w:rsidRDefault="001D7EF0" w:rsidP="005B4C64">
      <w:pPr>
        <w:pStyle w:val="standard"/>
        <w:spacing w:after="120"/>
      </w:pPr>
      <w:r>
        <w:t>Any</w:t>
      </w:r>
      <w:r w:rsidR="005B4C64">
        <w:t>one</w:t>
      </w:r>
      <w:r>
        <w:t xml:space="preserve"> interested in participating in this </w:t>
      </w:r>
      <w:r w:rsidR="00316DBB">
        <w:t xml:space="preserve">proceeding </w:t>
      </w:r>
      <w:r>
        <w:t xml:space="preserve">who is unfamiliar with the Commission’s procedures </w:t>
      </w:r>
      <w:r w:rsidR="00316DBB">
        <w:t>may</w:t>
      </w:r>
      <w:r>
        <w:t xml:space="preserve"> </w:t>
      </w:r>
      <w:r w:rsidR="0067349E">
        <w:t xml:space="preserve">obtain assistance by </w:t>
      </w:r>
      <w:r w:rsidR="007A5CD0">
        <w:t xml:space="preserve">calling or </w:t>
      </w:r>
      <w:r w:rsidR="0067349E">
        <w:t>e</w:t>
      </w:r>
      <w:r w:rsidR="00AE7631">
        <w:noBreakHyphen/>
      </w:r>
      <w:r w:rsidR="0067349E">
        <w:t xml:space="preserve">mailing the </w:t>
      </w:r>
      <w:r>
        <w:t>Commission’s Public</w:t>
      </w:r>
      <w:r w:rsidR="00316DBB">
        <w:t> </w:t>
      </w:r>
      <w:r>
        <w:t>Advisor</w:t>
      </w:r>
      <w:r w:rsidR="0067349E">
        <w:t xml:space="preserve"> </w:t>
      </w:r>
      <w:r w:rsidR="00AE7631">
        <w:t xml:space="preserve">in </w:t>
      </w:r>
      <w:smartTag w:uri="urn:schemas-microsoft-com:office:smarttags" w:element="place">
        <w:smartTag w:uri="urn:schemas-microsoft-com:office:smarttags" w:element="City">
          <w:r w:rsidR="00AE7631">
            <w:t>San Francisco</w:t>
          </w:r>
        </w:smartTag>
      </w:smartTag>
      <w:r w:rsidR="00AE7631">
        <w:t xml:space="preserve"> or Los Angles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3172"/>
        <w:gridCol w:w="3422"/>
      </w:tblGrid>
      <w:tr w:rsidR="00AE7631" w:rsidRPr="0072278D" w:rsidTr="0072278D">
        <w:trPr>
          <w:jc w:val="center"/>
        </w:trPr>
        <w:tc>
          <w:tcPr>
            <w:tcW w:w="9576" w:type="dxa"/>
            <w:gridSpan w:val="3"/>
            <w:shd w:val="clear" w:color="auto" w:fill="F3F3F3"/>
          </w:tcPr>
          <w:p w:rsidR="00AE7631" w:rsidRPr="0072278D" w:rsidRDefault="00AE7631" w:rsidP="00D02173">
            <w:pPr>
              <w:pStyle w:val="standard"/>
              <w:keepNext/>
              <w:widowControl w:val="0"/>
              <w:spacing w:before="40" w:after="40" w:line="240" w:lineRule="auto"/>
              <w:ind w:firstLine="0"/>
              <w:jc w:val="center"/>
              <w:rPr>
                <w:b/>
              </w:rPr>
            </w:pPr>
            <w:r w:rsidRPr="0072278D">
              <w:rPr>
                <w:b/>
              </w:rPr>
              <w:lastRenderedPageBreak/>
              <w:t>Contact Information for the Public Advisor</w:t>
            </w:r>
          </w:p>
        </w:tc>
      </w:tr>
      <w:tr w:rsidR="00AE7631" w:rsidRPr="0072278D" w:rsidTr="0072278D">
        <w:trPr>
          <w:jc w:val="center"/>
        </w:trPr>
        <w:tc>
          <w:tcPr>
            <w:tcW w:w="2982" w:type="dxa"/>
            <w:shd w:val="clear" w:color="auto" w:fill="auto"/>
          </w:tcPr>
          <w:p w:rsidR="00AE7631" w:rsidRPr="0072278D" w:rsidRDefault="00AE7631" w:rsidP="00D02173">
            <w:pPr>
              <w:pStyle w:val="standard"/>
              <w:keepNext/>
              <w:widowControl w:val="0"/>
              <w:spacing w:before="40" w:after="40" w:line="240" w:lineRule="auto"/>
              <w:ind w:firstLine="0"/>
              <w:jc w:val="center"/>
              <w:rPr>
                <w:b/>
              </w:rPr>
            </w:pPr>
          </w:p>
        </w:tc>
        <w:tc>
          <w:tcPr>
            <w:tcW w:w="3172" w:type="dxa"/>
            <w:shd w:val="clear" w:color="auto" w:fill="auto"/>
          </w:tcPr>
          <w:p w:rsidR="00AE7631" w:rsidRPr="0072278D" w:rsidRDefault="00AE7631" w:rsidP="00D02173">
            <w:pPr>
              <w:pStyle w:val="standard"/>
              <w:keepNext/>
              <w:widowControl w:val="0"/>
              <w:spacing w:before="40" w:after="40" w:line="240" w:lineRule="auto"/>
              <w:ind w:firstLine="0"/>
              <w:jc w:val="center"/>
              <w:rPr>
                <w:b/>
              </w:rPr>
            </w:pPr>
            <w:smartTag w:uri="urn:schemas-microsoft-com:office:smarttags" w:element="City">
              <w:smartTag w:uri="urn:schemas-microsoft-com:office:smarttags" w:element="place">
                <w:r w:rsidRPr="0072278D">
                  <w:rPr>
                    <w:b/>
                  </w:rPr>
                  <w:t>San Francisco</w:t>
                </w:r>
              </w:smartTag>
            </w:smartTag>
          </w:p>
        </w:tc>
        <w:tc>
          <w:tcPr>
            <w:tcW w:w="3422" w:type="dxa"/>
            <w:shd w:val="clear" w:color="auto" w:fill="auto"/>
          </w:tcPr>
          <w:p w:rsidR="00AE7631" w:rsidRPr="0072278D" w:rsidRDefault="00AE7631" w:rsidP="00D02173">
            <w:pPr>
              <w:pStyle w:val="standard"/>
              <w:keepNext/>
              <w:widowControl w:val="0"/>
              <w:spacing w:before="40" w:after="40" w:line="240" w:lineRule="auto"/>
              <w:ind w:firstLine="0"/>
              <w:jc w:val="center"/>
              <w:rPr>
                <w:b/>
              </w:rPr>
            </w:pPr>
            <w:smartTag w:uri="urn:schemas-microsoft-com:office:smarttags" w:element="City">
              <w:smartTag w:uri="urn:schemas-microsoft-com:office:smarttags" w:element="place">
                <w:r w:rsidRPr="0072278D">
                  <w:rPr>
                    <w:b/>
                  </w:rPr>
                  <w:t>Los Angeles</w:t>
                </w:r>
              </w:smartTag>
            </w:smartTag>
          </w:p>
        </w:tc>
      </w:tr>
      <w:tr w:rsidR="00AE7631" w:rsidTr="0072278D">
        <w:trPr>
          <w:jc w:val="center"/>
        </w:trPr>
        <w:tc>
          <w:tcPr>
            <w:tcW w:w="2982" w:type="dxa"/>
            <w:shd w:val="clear" w:color="auto" w:fill="auto"/>
          </w:tcPr>
          <w:p w:rsidR="00AE7631" w:rsidRDefault="00AE7631" w:rsidP="00D02173">
            <w:pPr>
              <w:pStyle w:val="standard"/>
              <w:keepNext/>
              <w:widowControl w:val="0"/>
              <w:spacing w:before="40" w:after="40" w:line="240" w:lineRule="auto"/>
              <w:ind w:firstLine="0"/>
            </w:pPr>
            <w:r>
              <w:t>Toll Free Number</w:t>
            </w:r>
          </w:p>
        </w:tc>
        <w:tc>
          <w:tcPr>
            <w:tcW w:w="3172" w:type="dxa"/>
            <w:shd w:val="clear" w:color="auto" w:fill="auto"/>
          </w:tcPr>
          <w:p w:rsidR="00AE7631" w:rsidRDefault="007A5CD0" w:rsidP="00D02173">
            <w:pPr>
              <w:pStyle w:val="standard"/>
              <w:keepNext/>
              <w:widowControl w:val="0"/>
              <w:spacing w:before="40" w:after="40" w:line="240" w:lineRule="auto"/>
              <w:ind w:firstLine="0"/>
              <w:jc w:val="center"/>
            </w:pPr>
            <w:r>
              <w:t>(866) 849</w:t>
            </w:r>
            <w:r>
              <w:noBreakHyphen/>
              <w:t>8390</w:t>
            </w:r>
          </w:p>
        </w:tc>
        <w:tc>
          <w:tcPr>
            <w:tcW w:w="3422" w:type="dxa"/>
            <w:shd w:val="clear" w:color="auto" w:fill="auto"/>
          </w:tcPr>
          <w:p w:rsidR="00AE7631" w:rsidRDefault="007A5CD0" w:rsidP="00D02173">
            <w:pPr>
              <w:pStyle w:val="standard"/>
              <w:keepNext/>
              <w:widowControl w:val="0"/>
              <w:spacing w:before="40" w:after="40" w:line="240" w:lineRule="auto"/>
              <w:ind w:firstLine="0"/>
              <w:jc w:val="center"/>
            </w:pPr>
            <w:r>
              <w:t>(866) 849</w:t>
            </w:r>
            <w:r>
              <w:noBreakHyphen/>
              <w:t>8391</w:t>
            </w:r>
          </w:p>
        </w:tc>
      </w:tr>
      <w:tr w:rsidR="00AE7631" w:rsidTr="0072278D">
        <w:trPr>
          <w:jc w:val="center"/>
        </w:trPr>
        <w:tc>
          <w:tcPr>
            <w:tcW w:w="2982" w:type="dxa"/>
            <w:shd w:val="clear" w:color="auto" w:fill="auto"/>
          </w:tcPr>
          <w:p w:rsidR="00AE7631" w:rsidRDefault="00AE7631" w:rsidP="00D02173">
            <w:pPr>
              <w:pStyle w:val="standard"/>
              <w:keepNext/>
              <w:widowControl w:val="0"/>
              <w:spacing w:before="40" w:after="40" w:line="240" w:lineRule="auto"/>
              <w:ind w:firstLine="0"/>
            </w:pPr>
            <w:r>
              <w:t>Regular Number</w:t>
            </w:r>
          </w:p>
        </w:tc>
        <w:tc>
          <w:tcPr>
            <w:tcW w:w="3172" w:type="dxa"/>
            <w:shd w:val="clear" w:color="auto" w:fill="auto"/>
          </w:tcPr>
          <w:p w:rsidR="00AE7631" w:rsidRDefault="00AE7631" w:rsidP="00D02173">
            <w:pPr>
              <w:pStyle w:val="standard"/>
              <w:keepNext/>
              <w:widowControl w:val="0"/>
              <w:spacing w:before="40" w:after="40" w:line="240" w:lineRule="auto"/>
              <w:ind w:firstLine="0"/>
              <w:jc w:val="center"/>
            </w:pPr>
            <w:r>
              <w:t>(415) 703</w:t>
            </w:r>
            <w:r>
              <w:noBreakHyphen/>
              <w:t>2074</w:t>
            </w:r>
          </w:p>
        </w:tc>
        <w:tc>
          <w:tcPr>
            <w:tcW w:w="3422" w:type="dxa"/>
            <w:shd w:val="clear" w:color="auto" w:fill="auto"/>
          </w:tcPr>
          <w:p w:rsidR="00AE7631" w:rsidRDefault="007A5CD0" w:rsidP="00D02173">
            <w:pPr>
              <w:pStyle w:val="standard"/>
              <w:keepNext/>
              <w:widowControl w:val="0"/>
              <w:spacing w:before="40" w:after="40" w:line="240" w:lineRule="auto"/>
              <w:ind w:firstLine="0"/>
              <w:jc w:val="center"/>
            </w:pPr>
            <w:r>
              <w:t>(213) 576-7055</w:t>
            </w:r>
          </w:p>
        </w:tc>
      </w:tr>
      <w:tr w:rsidR="00AE7631" w:rsidTr="0072278D">
        <w:trPr>
          <w:jc w:val="center"/>
        </w:trPr>
        <w:tc>
          <w:tcPr>
            <w:tcW w:w="2982" w:type="dxa"/>
            <w:shd w:val="clear" w:color="auto" w:fill="auto"/>
          </w:tcPr>
          <w:p w:rsidR="00AE7631" w:rsidRDefault="00AE7631" w:rsidP="00D02173">
            <w:pPr>
              <w:pStyle w:val="standard"/>
              <w:keepNext/>
              <w:widowControl w:val="0"/>
              <w:spacing w:before="40" w:after="40" w:line="240" w:lineRule="auto"/>
              <w:ind w:firstLine="0"/>
            </w:pPr>
            <w:r>
              <w:t>TTY-Toll Free Number</w:t>
            </w:r>
          </w:p>
        </w:tc>
        <w:tc>
          <w:tcPr>
            <w:tcW w:w="3172" w:type="dxa"/>
            <w:shd w:val="clear" w:color="auto" w:fill="auto"/>
          </w:tcPr>
          <w:p w:rsidR="00AE7631" w:rsidRDefault="007A5CD0" w:rsidP="00D02173">
            <w:pPr>
              <w:pStyle w:val="standard"/>
              <w:keepNext/>
              <w:widowControl w:val="0"/>
              <w:spacing w:before="40" w:after="40" w:line="240" w:lineRule="auto"/>
              <w:ind w:firstLine="0"/>
              <w:jc w:val="center"/>
            </w:pPr>
            <w:r>
              <w:t>(866) 836-7825</w:t>
            </w:r>
          </w:p>
        </w:tc>
        <w:tc>
          <w:tcPr>
            <w:tcW w:w="3422" w:type="dxa"/>
            <w:shd w:val="clear" w:color="auto" w:fill="auto"/>
          </w:tcPr>
          <w:p w:rsidR="00AE7631" w:rsidRDefault="007A5CD0" w:rsidP="00D02173">
            <w:pPr>
              <w:pStyle w:val="standard"/>
              <w:keepNext/>
              <w:widowControl w:val="0"/>
              <w:spacing w:before="40" w:after="40" w:line="240" w:lineRule="auto"/>
              <w:ind w:firstLine="0"/>
              <w:jc w:val="center"/>
            </w:pPr>
            <w:r>
              <w:t>(866) 836-7825</w:t>
            </w:r>
          </w:p>
        </w:tc>
      </w:tr>
      <w:tr w:rsidR="00AE7631" w:rsidTr="0072278D">
        <w:trPr>
          <w:jc w:val="center"/>
        </w:trPr>
        <w:tc>
          <w:tcPr>
            <w:tcW w:w="2982" w:type="dxa"/>
            <w:shd w:val="clear" w:color="auto" w:fill="auto"/>
          </w:tcPr>
          <w:p w:rsidR="00AE7631" w:rsidRDefault="00AE7631" w:rsidP="0072278D">
            <w:pPr>
              <w:pStyle w:val="standard"/>
              <w:widowControl w:val="0"/>
              <w:spacing w:before="40" w:after="40" w:line="240" w:lineRule="auto"/>
              <w:ind w:firstLine="0"/>
            </w:pPr>
            <w:r>
              <w:t>E-mail Address</w:t>
            </w:r>
          </w:p>
        </w:tc>
        <w:tc>
          <w:tcPr>
            <w:tcW w:w="3172" w:type="dxa"/>
            <w:shd w:val="clear" w:color="auto" w:fill="auto"/>
          </w:tcPr>
          <w:p w:rsidR="00AE7631" w:rsidRPr="00765756" w:rsidRDefault="00FA6166" w:rsidP="0072278D">
            <w:pPr>
              <w:pStyle w:val="standard"/>
              <w:widowControl w:val="0"/>
              <w:spacing w:before="40" w:after="40" w:line="240" w:lineRule="auto"/>
              <w:ind w:firstLine="0"/>
              <w:jc w:val="center"/>
              <w:rPr>
                <w:sz w:val="24"/>
                <w:szCs w:val="24"/>
              </w:rPr>
            </w:pPr>
            <w:hyperlink r:id="rId21" w:history="1">
              <w:r w:rsidR="00AE7631" w:rsidRPr="00765756">
                <w:rPr>
                  <w:rStyle w:val="Hyperlink"/>
                  <w:color w:val="auto"/>
                  <w:sz w:val="24"/>
                  <w:szCs w:val="24"/>
                  <w:u w:val="none"/>
                </w:rPr>
                <w:t>public.advisor@cpuc.ca.gov</w:t>
              </w:r>
            </w:hyperlink>
          </w:p>
        </w:tc>
        <w:tc>
          <w:tcPr>
            <w:tcW w:w="3422" w:type="dxa"/>
            <w:shd w:val="clear" w:color="auto" w:fill="auto"/>
          </w:tcPr>
          <w:p w:rsidR="00AE7631" w:rsidRPr="0072278D" w:rsidRDefault="00FA6166" w:rsidP="0072278D">
            <w:pPr>
              <w:pStyle w:val="standard"/>
              <w:widowControl w:val="0"/>
              <w:spacing w:before="40" w:after="40" w:line="240" w:lineRule="auto"/>
              <w:ind w:firstLine="0"/>
              <w:jc w:val="center"/>
              <w:rPr>
                <w:sz w:val="24"/>
                <w:szCs w:val="24"/>
              </w:rPr>
            </w:pPr>
            <w:hyperlink r:id="rId22" w:history="1">
              <w:r w:rsidR="00AE7631" w:rsidRPr="00765756">
                <w:rPr>
                  <w:rStyle w:val="Hyperlink"/>
                  <w:color w:val="auto"/>
                  <w:sz w:val="24"/>
                  <w:szCs w:val="24"/>
                  <w:u w:val="none"/>
                </w:rPr>
                <w:t>public.advisor.la@cpuc.ca.gov</w:t>
              </w:r>
            </w:hyperlink>
          </w:p>
        </w:tc>
      </w:tr>
    </w:tbl>
    <w:p w:rsidR="00AE7631" w:rsidRDefault="00AE7631" w:rsidP="007A5CD0">
      <w:pPr>
        <w:pStyle w:val="standard"/>
        <w:spacing w:line="240" w:lineRule="auto"/>
      </w:pPr>
    </w:p>
    <w:p w:rsidR="00DF6890" w:rsidRDefault="00DF6890" w:rsidP="00250541">
      <w:pPr>
        <w:pStyle w:val="Heading3"/>
      </w:pPr>
      <w:bookmarkStart w:id="43" w:name="_Toc386441216"/>
      <w:r>
        <w:t>Intervenor Compensation</w:t>
      </w:r>
      <w:bookmarkEnd w:id="43"/>
    </w:p>
    <w:p w:rsidR="00142E70" w:rsidRPr="000F7DBE" w:rsidRDefault="00050AD7" w:rsidP="00D02173">
      <w:pPr>
        <w:pStyle w:val="standard"/>
        <w:keepLines/>
      </w:pPr>
      <w:r>
        <w:t xml:space="preserve">In accordance with Rule 17.1, </w:t>
      </w:r>
      <w:r w:rsidR="004F18AB">
        <w:t xml:space="preserve">notices of intent to </w:t>
      </w:r>
      <w:r w:rsidR="00142E70">
        <w:t xml:space="preserve">claim intervenor compensation in this </w:t>
      </w:r>
      <w:r w:rsidR="00551CBB">
        <w:t xml:space="preserve">rulemaking </w:t>
      </w:r>
      <w:r w:rsidR="00DD75BF">
        <w:t xml:space="preserve">proceeding </w:t>
      </w:r>
      <w:r w:rsidR="00142E70">
        <w:t xml:space="preserve">shall </w:t>
      </w:r>
      <w:r w:rsidR="004F18AB">
        <w:t xml:space="preserve">be filed and served </w:t>
      </w:r>
      <w:r w:rsidR="00142E70">
        <w:t>no later than 30</w:t>
      </w:r>
      <w:r w:rsidR="00316DBB">
        <w:t> </w:t>
      </w:r>
      <w:r w:rsidR="00142E70">
        <w:t xml:space="preserve">days after the date of the </w:t>
      </w:r>
      <w:r w:rsidR="0067349E">
        <w:t xml:space="preserve">PHC or as otherwise directed by the assigned Commissioner or </w:t>
      </w:r>
      <w:r w:rsidR="00551CBB">
        <w:t xml:space="preserve">the </w:t>
      </w:r>
      <w:r w:rsidR="0067349E">
        <w:t>assigned</w:t>
      </w:r>
      <w:r w:rsidR="00551CBB">
        <w:t> </w:t>
      </w:r>
      <w:r w:rsidR="0067349E">
        <w:t>ALJ</w:t>
      </w:r>
      <w:r>
        <w:t xml:space="preserve">.  </w:t>
      </w:r>
    </w:p>
    <w:p w:rsidR="00DF6890" w:rsidRDefault="00DF6890" w:rsidP="00250541">
      <w:pPr>
        <w:pStyle w:val="Heading3"/>
      </w:pPr>
      <w:bookmarkStart w:id="44" w:name="_Toc386441217"/>
      <w:r>
        <w:t>Ex Parte Communications</w:t>
      </w:r>
      <w:bookmarkEnd w:id="44"/>
    </w:p>
    <w:p w:rsidR="00142E70" w:rsidRPr="000F7DBE" w:rsidRDefault="00142E70" w:rsidP="00142E70">
      <w:pPr>
        <w:pStyle w:val="standard"/>
      </w:pPr>
      <w:bookmarkStart w:id="45" w:name="_Toc67119027"/>
      <w:bookmarkStart w:id="46" w:name="_Toc194913488"/>
      <w:bookmarkStart w:id="47" w:name="_Toc211146028"/>
      <w:bookmarkStart w:id="48" w:name="_Toc220803781"/>
      <w:bookmarkStart w:id="49" w:name="_Toc67119028"/>
      <w:r>
        <w:t>Communications with decision</w:t>
      </w:r>
      <w:r w:rsidR="00DC7E81">
        <w:t xml:space="preserve"> </w:t>
      </w:r>
      <w:r>
        <w:t xml:space="preserve">makers and advisors in this </w:t>
      </w:r>
      <w:r w:rsidR="00316DBB">
        <w:t>r</w:t>
      </w:r>
      <w:r>
        <w:t>ulemaking</w:t>
      </w:r>
      <w:r w:rsidR="00316DBB">
        <w:t xml:space="preserve"> proceeding</w:t>
      </w:r>
      <w:r>
        <w:t xml:space="preserve"> are governed by Article 8 of the Rules of Practice and Procedure.</w:t>
      </w:r>
    </w:p>
    <w:p w:rsidR="000B0AA5" w:rsidRDefault="000B0AA5" w:rsidP="003A1715">
      <w:pPr>
        <w:pStyle w:val="Heading1"/>
      </w:pPr>
      <w:bookmarkStart w:id="50" w:name="_Toc261439206"/>
      <w:bookmarkStart w:id="51" w:name="_Toc261847960"/>
      <w:bookmarkStart w:id="52" w:name="_Toc261928477"/>
      <w:bookmarkStart w:id="53" w:name="_Toc194913489"/>
      <w:bookmarkStart w:id="54" w:name="_Toc211146029"/>
      <w:bookmarkStart w:id="55" w:name="_Toc220803782"/>
      <w:bookmarkStart w:id="56" w:name="_Toc386441218"/>
      <w:bookmarkEnd w:id="45"/>
      <w:bookmarkEnd w:id="46"/>
      <w:bookmarkEnd w:id="47"/>
      <w:bookmarkEnd w:id="48"/>
      <w:bookmarkEnd w:id="50"/>
      <w:bookmarkEnd w:id="51"/>
      <w:bookmarkEnd w:id="52"/>
      <w:r>
        <w:t>Assignment of the Proceeding</w:t>
      </w:r>
      <w:bookmarkEnd w:id="49"/>
      <w:bookmarkEnd w:id="53"/>
      <w:bookmarkEnd w:id="54"/>
      <w:bookmarkEnd w:id="55"/>
      <w:bookmarkEnd w:id="56"/>
    </w:p>
    <w:p w:rsidR="000B0AA5" w:rsidRDefault="00142E70">
      <w:pPr>
        <w:pStyle w:val="standard"/>
      </w:pPr>
      <w:r>
        <w:t xml:space="preserve">For </w:t>
      </w:r>
      <w:r w:rsidR="00316DBB">
        <w:t>AT&amp;T’s</w:t>
      </w:r>
      <w:r>
        <w:t xml:space="preserve"> Petition </w:t>
      </w:r>
      <w:r w:rsidR="00316DBB">
        <w:t>13-12-009</w:t>
      </w:r>
      <w:r>
        <w:t xml:space="preserve">, </w:t>
      </w:r>
      <w:r w:rsidR="000B0AA5" w:rsidRPr="00F74F2E">
        <w:t>Mich</w:t>
      </w:r>
      <w:r w:rsidR="002C101C">
        <w:t>a</w:t>
      </w:r>
      <w:r w:rsidR="000B0AA5" w:rsidRPr="00F74F2E">
        <w:t xml:space="preserve">el </w:t>
      </w:r>
      <w:r w:rsidR="002C101C">
        <w:t xml:space="preserve">R. Peevey </w:t>
      </w:r>
      <w:r w:rsidR="000B0AA5">
        <w:t xml:space="preserve">is the assigned Commissioner and Timothy Kenney is the assigned </w:t>
      </w:r>
      <w:r w:rsidR="001623CE">
        <w:t>ALJ.</w:t>
      </w:r>
      <w:r w:rsidR="00C61CCC">
        <w:t xml:space="preserve"> </w:t>
      </w:r>
    </w:p>
    <w:p w:rsidR="000B0AA5" w:rsidRDefault="000B0AA5" w:rsidP="005E2D5F">
      <w:pPr>
        <w:pStyle w:val="dummy"/>
      </w:pPr>
      <w:bookmarkStart w:id="57" w:name="_Toc194913490"/>
      <w:bookmarkStart w:id="58" w:name="_Toc220803783"/>
      <w:bookmarkStart w:id="59" w:name="_Toc386441219"/>
      <w:r>
        <w:t>Findings of Fact</w:t>
      </w:r>
      <w:bookmarkEnd w:id="57"/>
      <w:bookmarkEnd w:id="58"/>
      <w:bookmarkEnd w:id="59"/>
    </w:p>
    <w:p w:rsidR="003B3AEB" w:rsidRDefault="003B3AEB" w:rsidP="00DC7E81">
      <w:pPr>
        <w:pStyle w:val="num1"/>
        <w:keepNext/>
        <w:rPr>
          <w:rStyle w:val="standardChar"/>
        </w:rPr>
      </w:pPr>
      <w:r>
        <w:rPr>
          <w:rStyle w:val="standardChar"/>
        </w:rPr>
        <w:t xml:space="preserve">The ROW Rules adopted by D.98-10-058 (ROW Rules) are designed primarily for wireline pole attachments and exclude CMRS carriers. </w:t>
      </w:r>
    </w:p>
    <w:p w:rsidR="00DD08A6" w:rsidRDefault="00267800" w:rsidP="00B8646C">
      <w:pPr>
        <w:pStyle w:val="num1"/>
        <w:rPr>
          <w:rStyle w:val="standardChar"/>
        </w:rPr>
      </w:pPr>
      <w:r>
        <w:rPr>
          <w:rStyle w:val="standardChar"/>
        </w:rPr>
        <w:t xml:space="preserve">In P.13-12-009, </w:t>
      </w:r>
      <w:r>
        <w:t>AT&amp;T </w:t>
      </w:r>
      <w:r w:rsidR="00B9740C">
        <w:t>asks</w:t>
      </w:r>
      <w:r>
        <w:t xml:space="preserve"> the Commission </w:t>
      </w:r>
      <w:r w:rsidR="00B9740C">
        <w:t xml:space="preserve">to </w:t>
      </w:r>
      <w:r w:rsidR="00B4304D">
        <w:t xml:space="preserve">open a rulemaking proceeding </w:t>
      </w:r>
      <w:r w:rsidR="003B3AEB">
        <w:t>to amend</w:t>
      </w:r>
      <w:r w:rsidR="00B4304D">
        <w:t xml:space="preserve"> </w:t>
      </w:r>
      <w:r>
        <w:t>the ROW</w:t>
      </w:r>
      <w:r w:rsidR="009A551F">
        <w:t> </w:t>
      </w:r>
      <w:r>
        <w:t xml:space="preserve">Rules </w:t>
      </w:r>
      <w:r w:rsidR="00576650">
        <w:t>to encompass</w:t>
      </w:r>
      <w:r>
        <w:t xml:space="preserve"> CMRS</w:t>
      </w:r>
      <w:r w:rsidR="00576650">
        <w:t> </w:t>
      </w:r>
      <w:r>
        <w:t xml:space="preserve">carriers. </w:t>
      </w:r>
    </w:p>
    <w:p w:rsidR="004456E7" w:rsidRPr="00B8646C" w:rsidRDefault="00BC710D" w:rsidP="00B8646C">
      <w:pPr>
        <w:pStyle w:val="num1"/>
      </w:pPr>
      <w:r w:rsidRPr="00B8646C">
        <w:lastRenderedPageBreak/>
        <w:t xml:space="preserve">CMRS pole attachments may </w:t>
      </w:r>
      <w:r w:rsidR="00486325" w:rsidRPr="00B8646C">
        <w:t xml:space="preserve">differ from </w:t>
      </w:r>
      <w:r w:rsidRPr="00B8646C">
        <w:t xml:space="preserve">wireline pole attachments in terms of </w:t>
      </w:r>
      <w:r w:rsidR="001F6223">
        <w:t>pole-top location</w:t>
      </w:r>
      <w:r w:rsidRPr="00B8646C">
        <w:t xml:space="preserve">, space requirements, position relative to </w:t>
      </w:r>
      <w:r w:rsidR="00B9740C" w:rsidRPr="00B8646C">
        <w:t>power lines</w:t>
      </w:r>
      <w:r w:rsidRPr="00B8646C">
        <w:t xml:space="preserve">, and other characteristics.  </w:t>
      </w:r>
      <w:r w:rsidR="004456E7" w:rsidRPr="00B8646C">
        <w:t xml:space="preserve">As a result, CMRS pole attachments may have different safety, reliability, and pricing issues compared to wireline </w:t>
      </w:r>
      <w:r w:rsidR="005D121C" w:rsidRPr="00B8646C">
        <w:t>pole</w:t>
      </w:r>
      <w:r w:rsidR="00576650">
        <w:t> </w:t>
      </w:r>
      <w:r w:rsidR="004456E7" w:rsidRPr="00B8646C">
        <w:t xml:space="preserve">attachments.   </w:t>
      </w:r>
    </w:p>
    <w:p w:rsidR="00816E57" w:rsidRDefault="00B4304D" w:rsidP="00B8646C">
      <w:pPr>
        <w:pStyle w:val="num1"/>
      </w:pPr>
      <w:r>
        <w:t xml:space="preserve">Investment in </w:t>
      </w:r>
      <w:r w:rsidR="00947F69">
        <w:t xml:space="preserve">CMRS </w:t>
      </w:r>
      <w:r w:rsidR="00816E57">
        <w:t xml:space="preserve">infrastructure provides significant public benefits, including </w:t>
      </w:r>
      <w:r>
        <w:t>more</w:t>
      </w:r>
      <w:r w:rsidR="00816E57">
        <w:t xml:space="preserve"> </w:t>
      </w:r>
      <w:r>
        <w:t xml:space="preserve">reliable </w:t>
      </w:r>
      <w:r w:rsidR="00816E57">
        <w:t xml:space="preserve">service, expanded geographic </w:t>
      </w:r>
      <w:r w:rsidR="0067349E">
        <w:t>coverage</w:t>
      </w:r>
      <w:r w:rsidR="00816E57">
        <w:t xml:space="preserve">, greater deployment of broadband service, and </w:t>
      </w:r>
      <w:r>
        <w:t xml:space="preserve">enhanced public safety. </w:t>
      </w:r>
      <w:r w:rsidR="00816E57">
        <w:t xml:space="preserve">  </w:t>
      </w:r>
    </w:p>
    <w:p w:rsidR="003B3AEB" w:rsidRPr="00816E57" w:rsidRDefault="003B3AEB" w:rsidP="00B8646C">
      <w:pPr>
        <w:pStyle w:val="num1"/>
      </w:pPr>
      <w:r>
        <w:rPr>
          <w:highlight w:val="white"/>
        </w:rPr>
        <w:t>Adopting</w:t>
      </w:r>
      <w:r w:rsidRPr="00B3245C">
        <w:rPr>
          <w:highlight w:val="white"/>
        </w:rPr>
        <w:t xml:space="preserve"> rules that </w:t>
      </w:r>
      <w:r>
        <w:rPr>
          <w:highlight w:val="white"/>
        </w:rPr>
        <w:t>enable</w:t>
      </w:r>
      <w:r w:rsidRPr="00B3245C">
        <w:rPr>
          <w:highlight w:val="white"/>
        </w:rPr>
        <w:t xml:space="preserve"> CMRS carriers </w:t>
      </w:r>
      <w:r>
        <w:rPr>
          <w:highlight w:val="white"/>
        </w:rPr>
        <w:t>to obtain</w:t>
      </w:r>
      <w:r w:rsidRPr="00B3245C">
        <w:rPr>
          <w:highlight w:val="white"/>
        </w:rPr>
        <w:t xml:space="preserve"> </w:t>
      </w:r>
      <w:r>
        <w:rPr>
          <w:highlight w:val="white"/>
        </w:rPr>
        <w:t>nondiscriminatory pole</w:t>
      </w:r>
      <w:r w:rsidR="00DC7E81">
        <w:rPr>
          <w:highlight w:val="white"/>
        </w:rPr>
        <w:t> </w:t>
      </w:r>
      <w:r>
        <w:rPr>
          <w:highlight w:val="white"/>
        </w:rPr>
        <w:t xml:space="preserve">attachments </w:t>
      </w:r>
      <w:r>
        <w:t>may</w:t>
      </w:r>
      <w:r w:rsidRPr="00426383">
        <w:t xml:space="preserve"> facilitate </w:t>
      </w:r>
      <w:r w:rsidRPr="003B3AEB">
        <w:rPr>
          <w:highlight w:val="white"/>
        </w:rPr>
        <w:t>competitive</w:t>
      </w:r>
      <w:r w:rsidRPr="00426383">
        <w:t xml:space="preserve"> entry</w:t>
      </w:r>
      <w:r>
        <w:t xml:space="preserve">, spur investment in wireless infrastructure, and ultimately </w:t>
      </w:r>
      <w:r w:rsidRPr="00426383">
        <w:t xml:space="preserve">help to achieve the State of </w:t>
      </w:r>
      <w:smartTag w:uri="urn:schemas-microsoft-com:office:smarttags" w:element="State">
        <w:smartTag w:uri="urn:schemas-microsoft-com:office:smarttags" w:element="place">
          <w:r w:rsidRPr="00426383">
            <w:t>California</w:t>
          </w:r>
        </w:smartTag>
      </w:smartTag>
      <w:r w:rsidRPr="00426383">
        <w:t xml:space="preserve">’s ambitious goals </w:t>
      </w:r>
      <w:r>
        <w:t>for telecommunications services, particularly broadband</w:t>
      </w:r>
      <w:r w:rsidRPr="00426383">
        <w:t>.</w:t>
      </w:r>
      <w:r>
        <w:t xml:space="preserve">  Conversely, the inability to obtain nondiscriminatory pole attachments may discourage investments by CMRS carriers to the detriment of </w:t>
      </w:r>
      <w:smartTag w:uri="urn:schemas-microsoft-com:office:smarttags" w:element="State">
        <w:smartTag w:uri="urn:schemas-microsoft-com:office:smarttags" w:element="place">
          <w:r>
            <w:t>California</w:t>
          </w:r>
        </w:smartTag>
      </w:smartTag>
      <w:r>
        <w:t>.</w:t>
      </w:r>
    </w:p>
    <w:p w:rsidR="00270244" w:rsidRPr="00B8646C" w:rsidRDefault="00B8646C" w:rsidP="00B8646C">
      <w:pPr>
        <w:pStyle w:val="num1"/>
      </w:pPr>
      <w:r>
        <w:t>Google</w:t>
      </w:r>
      <w:r w:rsidR="00947F69">
        <w:t>’s</w:t>
      </w:r>
      <w:r w:rsidR="008546E5">
        <w:t xml:space="preserve"> </w:t>
      </w:r>
      <w:r>
        <w:t xml:space="preserve">response to </w:t>
      </w:r>
      <w:r w:rsidR="005D121C" w:rsidRPr="00B8646C">
        <w:t>P.13-12-009</w:t>
      </w:r>
      <w:r>
        <w:t xml:space="preserve"> seeks </w:t>
      </w:r>
      <w:r w:rsidR="005D121C" w:rsidRPr="00B8646C">
        <w:t xml:space="preserve">to expand the scope of the rulemaking </w:t>
      </w:r>
      <w:r w:rsidR="001F6223">
        <w:t xml:space="preserve">proceeding </w:t>
      </w:r>
      <w:r w:rsidR="008546E5">
        <w:t xml:space="preserve">sought by </w:t>
      </w:r>
      <w:r w:rsidR="00C1238D">
        <w:t>AT&amp;T</w:t>
      </w:r>
      <w:r w:rsidR="008546E5">
        <w:t xml:space="preserve"> </w:t>
      </w:r>
      <w:r w:rsidR="005D121C" w:rsidRPr="00B8646C">
        <w:t xml:space="preserve">to include </w:t>
      </w:r>
      <w:r w:rsidR="00947F69">
        <w:t>every provider of broadband service</w:t>
      </w:r>
      <w:r w:rsidR="00D43598">
        <w:t>,</w:t>
      </w:r>
      <w:r w:rsidR="0070504F">
        <w:t xml:space="preserve"> regardless of their regulatory status or the technology they use</w:t>
      </w:r>
      <w:r w:rsidR="005D121C" w:rsidRPr="00B8646C">
        <w:t xml:space="preserve">.  However, Google did not provide all the information contemplated by Rule 6.3(b), including </w:t>
      </w:r>
      <w:r w:rsidR="003B3AEB">
        <w:t xml:space="preserve">(i) </w:t>
      </w:r>
      <w:r w:rsidR="005D121C" w:rsidRPr="00B8646C">
        <w:t>specific proposed wording to amend the ROW</w:t>
      </w:r>
      <w:r w:rsidR="00576650">
        <w:t> </w:t>
      </w:r>
      <w:r w:rsidR="005D121C" w:rsidRPr="00B8646C">
        <w:t xml:space="preserve">Rules </w:t>
      </w:r>
      <w:r w:rsidR="008546E5">
        <w:t>to achieve Google’s objective</w:t>
      </w:r>
      <w:r w:rsidR="003B3AEB">
        <w:t xml:space="preserve">, and (ii) a statement regarding </w:t>
      </w:r>
      <w:r w:rsidR="005D121C" w:rsidRPr="00B8646C">
        <w:t xml:space="preserve">whether the issues raised by Google have ever been litigated before the Commission.  </w:t>
      </w:r>
    </w:p>
    <w:p w:rsidR="000B0AA5" w:rsidRDefault="000B0AA5" w:rsidP="005E2D5F">
      <w:pPr>
        <w:pStyle w:val="dummy"/>
      </w:pPr>
      <w:bookmarkStart w:id="60" w:name="_Toc194913491"/>
      <w:bookmarkStart w:id="61" w:name="_Toc220803784"/>
      <w:bookmarkStart w:id="62" w:name="_Toc386441220"/>
      <w:r>
        <w:lastRenderedPageBreak/>
        <w:t>Conclusions of Law</w:t>
      </w:r>
      <w:bookmarkEnd w:id="60"/>
      <w:bookmarkEnd w:id="61"/>
      <w:bookmarkEnd w:id="62"/>
    </w:p>
    <w:p w:rsidR="00267800" w:rsidRDefault="00267800" w:rsidP="00E67C9E">
      <w:pPr>
        <w:pStyle w:val="num1"/>
        <w:keepNext/>
        <w:numPr>
          <w:ilvl w:val="0"/>
          <w:numId w:val="44"/>
        </w:numPr>
        <w:rPr>
          <w:rStyle w:val="standardChar"/>
        </w:rPr>
      </w:pPr>
      <w:r>
        <w:rPr>
          <w:rStyle w:val="standardChar"/>
        </w:rPr>
        <w:t xml:space="preserve">The contents of P.13-12-009 </w:t>
      </w:r>
      <w:r w:rsidR="00DC7E81">
        <w:rPr>
          <w:rStyle w:val="standardChar"/>
        </w:rPr>
        <w:t xml:space="preserve">comply with </w:t>
      </w:r>
      <w:r>
        <w:rPr>
          <w:rStyle w:val="standardChar"/>
        </w:rPr>
        <w:t>Rule</w:t>
      </w:r>
      <w:r w:rsidR="00275091">
        <w:rPr>
          <w:rStyle w:val="standardChar"/>
        </w:rPr>
        <w:t>s</w:t>
      </w:r>
      <w:r>
        <w:rPr>
          <w:rStyle w:val="standardChar"/>
        </w:rPr>
        <w:t> </w:t>
      </w:r>
      <w:r w:rsidR="00275091">
        <w:rPr>
          <w:rStyle w:val="standardChar"/>
        </w:rPr>
        <w:t xml:space="preserve">6.3(a) and </w:t>
      </w:r>
      <w:r>
        <w:rPr>
          <w:rStyle w:val="standardChar"/>
        </w:rPr>
        <w:t xml:space="preserve">6.3(b).  </w:t>
      </w:r>
    </w:p>
    <w:p w:rsidR="00DD08A6" w:rsidRPr="00B8646C" w:rsidRDefault="00267800" w:rsidP="00492E07">
      <w:pPr>
        <w:pStyle w:val="num1"/>
        <w:numPr>
          <w:ilvl w:val="0"/>
          <w:numId w:val="44"/>
        </w:numPr>
        <w:rPr>
          <w:rStyle w:val="standardChar"/>
        </w:rPr>
      </w:pPr>
      <w:r>
        <w:rPr>
          <w:rStyle w:val="standardChar"/>
        </w:rPr>
        <w:t xml:space="preserve">A utility is required by </w:t>
      </w:r>
      <w:r w:rsidR="00C97FC2" w:rsidRPr="00CA3655">
        <w:rPr>
          <w:rStyle w:val="standardChar"/>
        </w:rPr>
        <w:t>47</w:t>
      </w:r>
      <w:r w:rsidR="00C97FC2">
        <w:rPr>
          <w:rStyle w:val="standardChar"/>
        </w:rPr>
        <w:t> </w:t>
      </w:r>
      <w:r w:rsidR="00C97FC2" w:rsidRPr="00CA3655">
        <w:rPr>
          <w:rStyle w:val="standardChar"/>
        </w:rPr>
        <w:t>U.S.C. § 224</w:t>
      </w:r>
      <w:r w:rsidR="001F6223">
        <w:rPr>
          <w:rStyle w:val="standardChar"/>
        </w:rPr>
        <w:t>(f)</w:t>
      </w:r>
      <w:r>
        <w:rPr>
          <w:rStyle w:val="standardChar"/>
        </w:rPr>
        <w:t xml:space="preserve"> to </w:t>
      </w:r>
      <w:r w:rsidR="00950909">
        <w:rPr>
          <w:rStyle w:val="standardChar"/>
        </w:rPr>
        <w:t xml:space="preserve">provide </w:t>
      </w:r>
      <w:r w:rsidR="00C97FC2" w:rsidRPr="00CA3655">
        <w:rPr>
          <w:rStyle w:val="standardChar"/>
        </w:rPr>
        <w:t>telecommunications carrier</w:t>
      </w:r>
      <w:r>
        <w:rPr>
          <w:rStyle w:val="standardChar"/>
        </w:rPr>
        <w:t>s</w:t>
      </w:r>
      <w:r w:rsidR="00C97FC2" w:rsidRPr="00CA3655">
        <w:rPr>
          <w:rStyle w:val="standardChar"/>
        </w:rPr>
        <w:t xml:space="preserve"> with nondiscriminatory access to any pole, duct, conduit, or right-of-way </w:t>
      </w:r>
      <w:r w:rsidR="00FA05B8">
        <w:rPr>
          <w:rStyle w:val="standardChar"/>
        </w:rPr>
        <w:t>(</w:t>
      </w:r>
      <w:r w:rsidR="00EE3AE6">
        <w:rPr>
          <w:rStyle w:val="standardChar"/>
        </w:rPr>
        <w:t xml:space="preserve">together, </w:t>
      </w:r>
      <w:r w:rsidR="00FA05B8">
        <w:rPr>
          <w:rStyle w:val="standardChar"/>
        </w:rPr>
        <w:t>“pole</w:t>
      </w:r>
      <w:r w:rsidR="00275091">
        <w:rPr>
          <w:rStyle w:val="standardChar"/>
        </w:rPr>
        <w:t> </w:t>
      </w:r>
      <w:r w:rsidR="00FA05B8">
        <w:rPr>
          <w:rStyle w:val="standardChar"/>
        </w:rPr>
        <w:t xml:space="preserve">attachments”) </w:t>
      </w:r>
      <w:r w:rsidR="00C97FC2" w:rsidRPr="00CA3655">
        <w:rPr>
          <w:rStyle w:val="standardChar"/>
        </w:rPr>
        <w:t>owned or controlled by</w:t>
      </w:r>
      <w:r w:rsidR="00C97FC2">
        <w:rPr>
          <w:rStyle w:val="standardChar"/>
        </w:rPr>
        <w:t xml:space="preserve"> the utility except in situations where an electric utility cannot provide access because of insufficient capacity or for reasons of safety, reliability, or </w:t>
      </w:r>
      <w:r w:rsidR="00F04117">
        <w:rPr>
          <w:rStyle w:val="standardChar"/>
        </w:rPr>
        <w:t xml:space="preserve">engineering </w:t>
      </w:r>
      <w:r w:rsidR="006F292F">
        <w:rPr>
          <w:rStyle w:val="standardChar"/>
        </w:rPr>
        <w:t>principles</w:t>
      </w:r>
      <w:r w:rsidR="00C97FC2">
        <w:rPr>
          <w:rStyle w:val="standardChar"/>
        </w:rPr>
        <w:t>.</w:t>
      </w:r>
      <w:r w:rsidR="007C2A37">
        <w:rPr>
          <w:rStyle w:val="standardChar"/>
        </w:rPr>
        <w:t xml:space="preserve"> </w:t>
      </w:r>
    </w:p>
    <w:p w:rsidR="00FA05B8" w:rsidRPr="00E90F79" w:rsidRDefault="00FA05B8" w:rsidP="00FA05B8">
      <w:pPr>
        <w:pStyle w:val="num1"/>
        <w:numPr>
          <w:ilvl w:val="0"/>
          <w:numId w:val="44"/>
        </w:numPr>
        <w:rPr>
          <w:rStyle w:val="standardChar"/>
        </w:rPr>
      </w:pPr>
      <w:r>
        <w:rPr>
          <w:rStyle w:val="standardChar"/>
        </w:rPr>
        <w:t xml:space="preserve">In FCC 11-50, </w:t>
      </w:r>
      <w:r w:rsidRPr="00E90F79">
        <w:rPr>
          <w:rStyle w:val="standardChar"/>
        </w:rPr>
        <w:t>the FCC held that the benefits and protections of 47 U.S.C. </w:t>
      </w:r>
      <w:r w:rsidRPr="00CA3655">
        <w:rPr>
          <w:rStyle w:val="standardChar"/>
        </w:rPr>
        <w:t>§ 224</w:t>
      </w:r>
      <w:r w:rsidR="0023005B">
        <w:rPr>
          <w:rStyle w:val="standardChar"/>
        </w:rPr>
        <w:t xml:space="preserve"> apply to </w:t>
      </w:r>
      <w:r w:rsidR="0023005B" w:rsidRPr="00E90F79">
        <w:rPr>
          <w:rStyle w:val="standardChar"/>
        </w:rPr>
        <w:t xml:space="preserve">CMRS carriers </w:t>
      </w:r>
      <w:r w:rsidR="0023005B">
        <w:rPr>
          <w:rStyle w:val="standardChar"/>
        </w:rPr>
        <w:t xml:space="preserve">and </w:t>
      </w:r>
      <w:r w:rsidRPr="00E90F79">
        <w:rPr>
          <w:rStyle w:val="standardChar"/>
        </w:rPr>
        <w:t xml:space="preserve">wireless </w:t>
      </w:r>
      <w:r>
        <w:rPr>
          <w:rStyle w:val="standardChar"/>
        </w:rPr>
        <w:t>pole </w:t>
      </w:r>
      <w:r w:rsidR="0023005B">
        <w:rPr>
          <w:rStyle w:val="standardChar"/>
        </w:rPr>
        <w:t>attachments</w:t>
      </w:r>
      <w:r w:rsidRPr="00E90F79">
        <w:rPr>
          <w:rStyle w:val="standardChar"/>
        </w:rPr>
        <w:t>.</w:t>
      </w:r>
    </w:p>
    <w:p w:rsidR="009B4692" w:rsidRPr="00E90F79" w:rsidRDefault="00576650" w:rsidP="00492E07">
      <w:pPr>
        <w:pStyle w:val="num1"/>
        <w:numPr>
          <w:ilvl w:val="0"/>
          <w:numId w:val="44"/>
        </w:numPr>
        <w:rPr>
          <w:rStyle w:val="standardChar"/>
        </w:rPr>
      </w:pPr>
      <w:r>
        <w:rPr>
          <w:rStyle w:val="standardChar"/>
        </w:rPr>
        <w:t xml:space="preserve">States are authorized by </w:t>
      </w:r>
      <w:r w:rsidR="001F6223">
        <w:rPr>
          <w:rStyle w:val="standardChar"/>
        </w:rPr>
        <w:t>47 U.S.C. § 224(c)</w:t>
      </w:r>
      <w:r w:rsidR="009B4692" w:rsidRPr="00E90F79">
        <w:rPr>
          <w:rStyle w:val="standardChar"/>
        </w:rPr>
        <w:t xml:space="preserve"> to preempt </w:t>
      </w:r>
      <w:r w:rsidR="001F6223">
        <w:rPr>
          <w:rStyle w:val="standardChar"/>
        </w:rPr>
        <w:t>FCC</w:t>
      </w:r>
      <w:r w:rsidR="009B4692" w:rsidRPr="00E90F79">
        <w:rPr>
          <w:rStyle w:val="standardChar"/>
        </w:rPr>
        <w:t xml:space="preserve"> regulation of </w:t>
      </w:r>
      <w:r w:rsidR="00EE3AE6">
        <w:rPr>
          <w:rStyle w:val="standardChar"/>
        </w:rPr>
        <w:t xml:space="preserve">nondiscriminatory </w:t>
      </w:r>
      <w:r w:rsidR="00FA05B8">
        <w:rPr>
          <w:rStyle w:val="standardChar"/>
        </w:rPr>
        <w:t>pole attachments</w:t>
      </w:r>
      <w:r w:rsidR="00FA05B8" w:rsidRPr="00E90F79">
        <w:rPr>
          <w:rStyle w:val="standardChar"/>
        </w:rPr>
        <w:t xml:space="preserve"> </w:t>
      </w:r>
      <w:r w:rsidR="009B4692" w:rsidRPr="00E90F79">
        <w:rPr>
          <w:rStyle w:val="standardChar"/>
        </w:rPr>
        <w:t xml:space="preserve">if specified conditions are satisfied.  </w:t>
      </w:r>
    </w:p>
    <w:p w:rsidR="00DD08A6" w:rsidRPr="00E90F79" w:rsidRDefault="00481906" w:rsidP="00492E07">
      <w:pPr>
        <w:pStyle w:val="num1"/>
        <w:numPr>
          <w:ilvl w:val="0"/>
          <w:numId w:val="44"/>
        </w:numPr>
        <w:rPr>
          <w:rStyle w:val="standardChar"/>
        </w:rPr>
      </w:pPr>
      <w:r w:rsidRPr="00E90F79">
        <w:rPr>
          <w:rStyle w:val="standardChar"/>
        </w:rPr>
        <w:t xml:space="preserve">In D.98-10-058, the Commission (i) adopted rules </w:t>
      </w:r>
      <w:r w:rsidR="00FA05B8">
        <w:rPr>
          <w:rStyle w:val="standardChar"/>
        </w:rPr>
        <w:t xml:space="preserve">for </w:t>
      </w:r>
      <w:r w:rsidR="00EE3AE6">
        <w:rPr>
          <w:rStyle w:val="standardChar"/>
        </w:rPr>
        <w:t xml:space="preserve">nondiscriminatory </w:t>
      </w:r>
      <w:r w:rsidR="00FA05B8">
        <w:rPr>
          <w:rStyle w:val="standardChar"/>
        </w:rPr>
        <w:t>pole attachments;</w:t>
      </w:r>
      <w:r w:rsidRPr="00E90F79">
        <w:rPr>
          <w:rStyle w:val="standardChar"/>
        </w:rPr>
        <w:t xml:space="preserve"> (ii)</w:t>
      </w:r>
      <w:r w:rsidR="00FA05B8">
        <w:rPr>
          <w:rStyle w:val="standardChar"/>
        </w:rPr>
        <w:t> </w:t>
      </w:r>
      <w:r w:rsidRPr="00E90F79">
        <w:rPr>
          <w:rStyle w:val="standardChar"/>
        </w:rPr>
        <w:t xml:space="preserve">asserted state preemption of </w:t>
      </w:r>
      <w:r w:rsidR="001F1661">
        <w:rPr>
          <w:rStyle w:val="standardChar"/>
        </w:rPr>
        <w:t>FCC</w:t>
      </w:r>
      <w:r w:rsidRPr="00E90F79">
        <w:rPr>
          <w:rStyle w:val="standardChar"/>
        </w:rPr>
        <w:t xml:space="preserve"> regulation of </w:t>
      </w:r>
      <w:r w:rsidR="00EE3AE6">
        <w:rPr>
          <w:rStyle w:val="standardChar"/>
        </w:rPr>
        <w:t xml:space="preserve">nondiscriminatory </w:t>
      </w:r>
      <w:r w:rsidR="00FA05B8">
        <w:rPr>
          <w:rStyle w:val="standardChar"/>
        </w:rPr>
        <w:t>pole attachments</w:t>
      </w:r>
      <w:r w:rsidR="001F1661">
        <w:rPr>
          <w:rStyle w:val="standardChar"/>
        </w:rPr>
        <w:t xml:space="preserve"> in California</w:t>
      </w:r>
      <w:r w:rsidRPr="00E90F79">
        <w:rPr>
          <w:rStyle w:val="standardChar"/>
        </w:rPr>
        <w:t xml:space="preserve">; and (iii) certified that the Commission had satisfied the conditions </w:t>
      </w:r>
      <w:r w:rsidR="00FA05B8">
        <w:rPr>
          <w:rStyle w:val="standardChar"/>
        </w:rPr>
        <w:t>in 47 U.S.C.</w:t>
      </w:r>
      <w:r w:rsidR="00FA05B8" w:rsidRPr="00E90F79">
        <w:rPr>
          <w:rStyle w:val="standardChar"/>
        </w:rPr>
        <w:t> </w:t>
      </w:r>
      <w:r w:rsidR="00FA05B8" w:rsidRPr="00CA3655">
        <w:rPr>
          <w:rStyle w:val="standardChar"/>
        </w:rPr>
        <w:t>§ 224</w:t>
      </w:r>
      <w:r w:rsidR="00FA05B8">
        <w:rPr>
          <w:rStyle w:val="standardChar"/>
        </w:rPr>
        <w:t xml:space="preserve">(c) </w:t>
      </w:r>
      <w:r w:rsidRPr="00E90F79">
        <w:rPr>
          <w:rStyle w:val="standardChar"/>
        </w:rPr>
        <w:t xml:space="preserve">for preemption of </w:t>
      </w:r>
      <w:r w:rsidR="001F1661">
        <w:rPr>
          <w:rStyle w:val="standardChar"/>
        </w:rPr>
        <w:t>FCC</w:t>
      </w:r>
      <w:r w:rsidRPr="00E90F79">
        <w:rPr>
          <w:rStyle w:val="standardChar"/>
        </w:rPr>
        <w:t xml:space="preserve"> regulation</w:t>
      </w:r>
      <w:r w:rsidR="00FA05B8">
        <w:rPr>
          <w:rStyle w:val="standardChar"/>
        </w:rPr>
        <w:t xml:space="preserve"> </w:t>
      </w:r>
      <w:r w:rsidR="00FA05B8" w:rsidRPr="00E90F79">
        <w:rPr>
          <w:rStyle w:val="standardChar"/>
        </w:rPr>
        <w:t xml:space="preserve">of </w:t>
      </w:r>
      <w:r w:rsidR="00EE3AE6">
        <w:rPr>
          <w:rStyle w:val="standardChar"/>
        </w:rPr>
        <w:t xml:space="preserve">nondiscriminatory </w:t>
      </w:r>
      <w:r w:rsidR="00FA05B8">
        <w:rPr>
          <w:rStyle w:val="standardChar"/>
        </w:rPr>
        <w:t>pole attachments</w:t>
      </w:r>
      <w:r w:rsidRPr="00E90F79">
        <w:rPr>
          <w:rStyle w:val="standardChar"/>
        </w:rPr>
        <w:t xml:space="preserve">.  </w:t>
      </w:r>
    </w:p>
    <w:p w:rsidR="00481906" w:rsidRPr="00E90F79" w:rsidRDefault="00481906" w:rsidP="00492E07">
      <w:pPr>
        <w:pStyle w:val="num1"/>
        <w:numPr>
          <w:ilvl w:val="0"/>
          <w:numId w:val="44"/>
        </w:numPr>
        <w:rPr>
          <w:rStyle w:val="standardChar"/>
        </w:rPr>
      </w:pPr>
      <w:r w:rsidRPr="00E90F79">
        <w:rPr>
          <w:rStyle w:val="standardChar"/>
        </w:rPr>
        <w:t xml:space="preserve">The </w:t>
      </w:r>
      <w:r w:rsidR="00FA05B8">
        <w:rPr>
          <w:rStyle w:val="standardChar"/>
        </w:rPr>
        <w:t>rule</w:t>
      </w:r>
      <w:r w:rsidR="00275091">
        <w:rPr>
          <w:rStyle w:val="standardChar"/>
        </w:rPr>
        <w:t>s</w:t>
      </w:r>
      <w:r w:rsidR="00FA05B8">
        <w:rPr>
          <w:rStyle w:val="standardChar"/>
        </w:rPr>
        <w:t xml:space="preserve"> </w:t>
      </w:r>
      <w:r w:rsidR="00275091" w:rsidRPr="00E90F79">
        <w:rPr>
          <w:rStyle w:val="standardChar"/>
        </w:rPr>
        <w:t>adopted by D.98</w:t>
      </w:r>
      <w:r w:rsidR="00275091">
        <w:rPr>
          <w:rStyle w:val="standardChar"/>
        </w:rPr>
        <w:noBreakHyphen/>
      </w:r>
      <w:r w:rsidR="00275091" w:rsidRPr="00E90F79">
        <w:rPr>
          <w:rStyle w:val="standardChar"/>
        </w:rPr>
        <w:t>10</w:t>
      </w:r>
      <w:r w:rsidR="00F57B6B">
        <w:rPr>
          <w:rStyle w:val="standardChar"/>
        </w:rPr>
        <w:noBreakHyphen/>
      </w:r>
      <w:r w:rsidR="00275091" w:rsidRPr="00E90F79">
        <w:rPr>
          <w:rStyle w:val="standardChar"/>
        </w:rPr>
        <w:t xml:space="preserve">058 </w:t>
      </w:r>
      <w:r w:rsidR="00FA05B8">
        <w:rPr>
          <w:rStyle w:val="standardChar"/>
        </w:rPr>
        <w:t>for nondiscriminatory pole</w:t>
      </w:r>
      <w:r w:rsidR="00EE3AE6">
        <w:rPr>
          <w:rStyle w:val="standardChar"/>
        </w:rPr>
        <w:t> </w:t>
      </w:r>
      <w:r w:rsidR="00FA05B8">
        <w:rPr>
          <w:rStyle w:val="standardChar"/>
        </w:rPr>
        <w:t>attachments (</w:t>
      </w:r>
      <w:r w:rsidR="00275091">
        <w:rPr>
          <w:rStyle w:val="standardChar"/>
        </w:rPr>
        <w:t>the “</w:t>
      </w:r>
      <w:r w:rsidR="00FA05B8">
        <w:rPr>
          <w:rStyle w:val="standardChar"/>
        </w:rPr>
        <w:t>ROW</w:t>
      </w:r>
      <w:r w:rsidR="00275091">
        <w:rPr>
          <w:rStyle w:val="standardChar"/>
        </w:rPr>
        <w:t> </w:t>
      </w:r>
      <w:r w:rsidR="00FA05B8">
        <w:rPr>
          <w:rStyle w:val="standardChar"/>
        </w:rPr>
        <w:t>Rules</w:t>
      </w:r>
      <w:r w:rsidR="00275091">
        <w:rPr>
          <w:rStyle w:val="standardChar"/>
        </w:rPr>
        <w:t>”</w:t>
      </w:r>
      <w:r w:rsidR="00FA05B8">
        <w:rPr>
          <w:rStyle w:val="standardChar"/>
        </w:rPr>
        <w:t xml:space="preserve">) </w:t>
      </w:r>
      <w:r w:rsidRPr="00E90F79">
        <w:rPr>
          <w:rStyle w:val="standardChar"/>
        </w:rPr>
        <w:t xml:space="preserve">do not </w:t>
      </w:r>
      <w:r w:rsidR="00FA05B8">
        <w:rPr>
          <w:rStyle w:val="standardChar"/>
        </w:rPr>
        <w:t>apply</w:t>
      </w:r>
      <w:r w:rsidRPr="00E90F79">
        <w:rPr>
          <w:rStyle w:val="standardChar"/>
        </w:rPr>
        <w:t xml:space="preserve"> to CMRS carriers.</w:t>
      </w:r>
    </w:p>
    <w:p w:rsidR="00CE4FF5" w:rsidRDefault="00AA046A" w:rsidP="00492E07">
      <w:pPr>
        <w:pStyle w:val="num1"/>
        <w:numPr>
          <w:ilvl w:val="0"/>
          <w:numId w:val="44"/>
        </w:numPr>
        <w:rPr>
          <w:rStyle w:val="standardChar"/>
        </w:rPr>
      </w:pPr>
      <w:r w:rsidRPr="00E90F79">
        <w:rPr>
          <w:rStyle w:val="standardChar"/>
        </w:rPr>
        <w:t xml:space="preserve">It is in the public interest to institute a rulemaking proceeding to </w:t>
      </w:r>
      <w:r w:rsidR="00B95D2D">
        <w:rPr>
          <w:rStyle w:val="standardChar"/>
        </w:rPr>
        <w:t xml:space="preserve">consider </w:t>
      </w:r>
      <w:r w:rsidR="00F57B6B">
        <w:rPr>
          <w:rStyle w:val="standardChar"/>
        </w:rPr>
        <w:t xml:space="preserve">whether and how </w:t>
      </w:r>
      <w:r w:rsidRPr="00E90F79">
        <w:rPr>
          <w:rStyle w:val="standardChar"/>
        </w:rPr>
        <w:t>the ROW</w:t>
      </w:r>
      <w:r w:rsidR="00EE3AE6">
        <w:rPr>
          <w:rStyle w:val="standardChar"/>
        </w:rPr>
        <w:t> </w:t>
      </w:r>
      <w:r w:rsidRPr="00E90F79">
        <w:rPr>
          <w:rStyle w:val="standardChar"/>
        </w:rPr>
        <w:t>Rules adopted by D.98-10-058</w:t>
      </w:r>
      <w:r w:rsidR="00B95D2D">
        <w:rPr>
          <w:rStyle w:val="standardChar"/>
        </w:rPr>
        <w:t xml:space="preserve"> should be amended to apply to </w:t>
      </w:r>
      <w:r w:rsidRPr="00E90F79">
        <w:rPr>
          <w:rStyle w:val="standardChar"/>
        </w:rPr>
        <w:t>CMRS</w:t>
      </w:r>
      <w:r w:rsidR="00FA05B8">
        <w:rPr>
          <w:rStyle w:val="standardChar"/>
        </w:rPr>
        <w:t> </w:t>
      </w:r>
      <w:r w:rsidRPr="00E90F79">
        <w:rPr>
          <w:rStyle w:val="standardChar"/>
        </w:rPr>
        <w:t xml:space="preserve">carriers in a </w:t>
      </w:r>
      <w:r w:rsidR="001F1661">
        <w:rPr>
          <w:rStyle w:val="standardChar"/>
        </w:rPr>
        <w:t>manner</w:t>
      </w:r>
      <w:r w:rsidRPr="00E90F79">
        <w:rPr>
          <w:rStyle w:val="standardChar"/>
        </w:rPr>
        <w:t xml:space="preserve"> that provides reasonable </w:t>
      </w:r>
      <w:r w:rsidR="00873FAF">
        <w:rPr>
          <w:rStyle w:val="standardChar"/>
        </w:rPr>
        <w:t>fees</w:t>
      </w:r>
      <w:r w:rsidRPr="00E90F79">
        <w:rPr>
          <w:rStyle w:val="standardChar"/>
        </w:rPr>
        <w:t xml:space="preserve"> for </w:t>
      </w:r>
      <w:r w:rsidR="00B95D2D">
        <w:rPr>
          <w:rStyle w:val="standardChar"/>
        </w:rPr>
        <w:t>CMRS pole</w:t>
      </w:r>
      <w:r w:rsidR="00F57B6B">
        <w:rPr>
          <w:rStyle w:val="standardChar"/>
        </w:rPr>
        <w:t> </w:t>
      </w:r>
      <w:r w:rsidR="00B95D2D">
        <w:rPr>
          <w:rStyle w:val="standardChar"/>
        </w:rPr>
        <w:t>attachments</w:t>
      </w:r>
      <w:r w:rsidR="00693A26">
        <w:rPr>
          <w:rStyle w:val="standardChar"/>
        </w:rPr>
        <w:t xml:space="preserve">, protects worker and public safety, and </w:t>
      </w:r>
      <w:r w:rsidR="001E331C">
        <w:rPr>
          <w:rStyle w:val="standardChar"/>
        </w:rPr>
        <w:t>preserves</w:t>
      </w:r>
      <w:r w:rsidR="00693A26">
        <w:rPr>
          <w:rStyle w:val="standardChar"/>
        </w:rPr>
        <w:t xml:space="preserve"> the reliability of </w:t>
      </w:r>
      <w:r w:rsidR="00B95D2D">
        <w:rPr>
          <w:rStyle w:val="standardChar"/>
        </w:rPr>
        <w:t>co</w:t>
      </w:r>
      <w:r w:rsidR="00FA05B8">
        <w:rPr>
          <w:rStyle w:val="standardChar"/>
        </w:rPr>
        <w:noBreakHyphen/>
      </w:r>
      <w:r w:rsidR="00B95D2D">
        <w:rPr>
          <w:rStyle w:val="standardChar"/>
        </w:rPr>
        <w:t xml:space="preserve">located </w:t>
      </w:r>
      <w:r w:rsidR="00693A26">
        <w:rPr>
          <w:rStyle w:val="standardChar"/>
        </w:rPr>
        <w:t xml:space="preserve">utility </w:t>
      </w:r>
      <w:r w:rsidR="00B95D2D">
        <w:rPr>
          <w:rStyle w:val="standardChar"/>
        </w:rPr>
        <w:t>facilities</w:t>
      </w:r>
      <w:r w:rsidRPr="00E90F79">
        <w:rPr>
          <w:rStyle w:val="standardChar"/>
        </w:rPr>
        <w:t xml:space="preserve">. </w:t>
      </w:r>
    </w:p>
    <w:p w:rsidR="00901B37" w:rsidRPr="00E90F79" w:rsidRDefault="00901B37" w:rsidP="00B8646C">
      <w:pPr>
        <w:pStyle w:val="num1"/>
        <w:numPr>
          <w:ilvl w:val="0"/>
          <w:numId w:val="44"/>
        </w:numPr>
        <w:rPr>
          <w:rStyle w:val="standardChar"/>
        </w:rPr>
      </w:pPr>
      <w:r>
        <w:rPr>
          <w:rStyle w:val="standardChar"/>
        </w:rPr>
        <w:t xml:space="preserve">Google’s request to </w:t>
      </w:r>
      <w:r w:rsidR="00F44BCB">
        <w:rPr>
          <w:rStyle w:val="standardChar"/>
        </w:rPr>
        <w:t>expand</w:t>
      </w:r>
      <w:r>
        <w:rPr>
          <w:rStyle w:val="standardChar"/>
        </w:rPr>
        <w:t xml:space="preserve"> the scope of th</w:t>
      </w:r>
      <w:r w:rsidR="00356DE4">
        <w:rPr>
          <w:rStyle w:val="standardChar"/>
        </w:rPr>
        <w:t xml:space="preserve">e rulemaking proceeding instituted by today’s </w:t>
      </w:r>
      <w:r w:rsidR="009920A0">
        <w:rPr>
          <w:rStyle w:val="standardChar"/>
        </w:rPr>
        <w:t xml:space="preserve">order </w:t>
      </w:r>
      <w:r w:rsidR="00944CB7">
        <w:rPr>
          <w:rStyle w:val="standardChar"/>
        </w:rPr>
        <w:t xml:space="preserve">lacks the information contemplated by Rule 6.3 </w:t>
      </w:r>
      <w:r>
        <w:rPr>
          <w:rStyle w:val="standardChar"/>
        </w:rPr>
        <w:t>and, therefore, should be denied.</w:t>
      </w:r>
    </w:p>
    <w:p w:rsidR="000B0AA5" w:rsidRPr="00E90F79" w:rsidRDefault="000B0AA5" w:rsidP="00972835">
      <w:pPr>
        <w:pStyle w:val="num1"/>
        <w:keepLines w:val="0"/>
        <w:numPr>
          <w:ilvl w:val="0"/>
          <w:numId w:val="44"/>
        </w:numPr>
        <w:rPr>
          <w:rStyle w:val="standardChar"/>
        </w:rPr>
      </w:pPr>
      <w:r w:rsidRPr="00E90F79">
        <w:rPr>
          <w:rStyle w:val="standardChar"/>
        </w:rPr>
        <w:lastRenderedPageBreak/>
        <w:t xml:space="preserve">The following order should be effective immediately so </w:t>
      </w:r>
      <w:r w:rsidR="00E90F79">
        <w:rPr>
          <w:rStyle w:val="standardChar"/>
        </w:rPr>
        <w:t xml:space="preserve">that the rulemaking instituted by the order may commence forthwith.  </w:t>
      </w:r>
    </w:p>
    <w:p w:rsidR="000B0AA5" w:rsidRDefault="000B0AA5">
      <w:pPr>
        <w:pStyle w:val="standard"/>
      </w:pPr>
    </w:p>
    <w:p w:rsidR="000B0AA5" w:rsidRDefault="000B0AA5">
      <w:pPr>
        <w:pStyle w:val="mainex"/>
        <w:keepNext/>
        <w:keepLines/>
      </w:pPr>
      <w:bookmarkStart w:id="63" w:name="_Toc194913492"/>
      <w:bookmarkStart w:id="64" w:name="_Toc220803785"/>
      <w:bookmarkStart w:id="65" w:name="_Toc386441221"/>
      <w:r>
        <w:t>ORDER</w:t>
      </w:r>
      <w:bookmarkEnd w:id="63"/>
      <w:bookmarkEnd w:id="64"/>
      <w:bookmarkEnd w:id="65"/>
    </w:p>
    <w:p w:rsidR="000B0AA5" w:rsidRDefault="000B0AA5">
      <w:pPr>
        <w:pStyle w:val="standard"/>
        <w:keepNext/>
        <w:keepLines/>
      </w:pPr>
    </w:p>
    <w:p w:rsidR="000B0AA5" w:rsidRDefault="000B0AA5">
      <w:pPr>
        <w:pStyle w:val="standard"/>
        <w:keepNext/>
        <w:keepLines/>
      </w:pPr>
      <w:r>
        <w:rPr>
          <w:b/>
        </w:rPr>
        <w:t>IT IS ORDERED</w:t>
      </w:r>
      <w:r>
        <w:t xml:space="preserve"> that:</w:t>
      </w:r>
    </w:p>
    <w:p w:rsidR="00DD08A6" w:rsidRDefault="00C81FBA" w:rsidP="00CB504E">
      <w:pPr>
        <w:pStyle w:val="num1"/>
        <w:numPr>
          <w:ilvl w:val="0"/>
          <w:numId w:val="45"/>
        </w:numPr>
      </w:pPr>
      <w:r>
        <w:t>A rulemaking proceeding is inst</w:t>
      </w:r>
      <w:r w:rsidR="00DC058F">
        <w:t xml:space="preserve">ituted </w:t>
      </w:r>
      <w:r>
        <w:t xml:space="preserve">to </w:t>
      </w:r>
      <w:r w:rsidR="0070382F">
        <w:t xml:space="preserve">consider </w:t>
      </w:r>
      <w:r w:rsidR="004D0512">
        <w:t xml:space="preserve">whether and how </w:t>
      </w:r>
      <w:r w:rsidR="00412B37">
        <w:t xml:space="preserve">the </w:t>
      </w:r>
      <w:r>
        <w:t>rules adopted by Decision</w:t>
      </w:r>
      <w:r w:rsidR="00412B37">
        <w:t> </w:t>
      </w:r>
      <w:r>
        <w:t>98</w:t>
      </w:r>
      <w:r>
        <w:noBreakHyphen/>
        <w:t>10</w:t>
      </w:r>
      <w:r>
        <w:noBreakHyphen/>
        <w:t>058</w:t>
      </w:r>
      <w:r w:rsidR="00412B37">
        <w:t xml:space="preserve"> should be amended</w:t>
      </w:r>
      <w:r w:rsidR="001F6223">
        <w:t xml:space="preserve"> </w:t>
      </w:r>
      <w:r>
        <w:t xml:space="preserve">to </w:t>
      </w:r>
      <w:r w:rsidR="001F6223">
        <w:t>apply to</w:t>
      </w:r>
      <w:r>
        <w:t xml:space="preserve"> </w:t>
      </w:r>
      <w:r w:rsidR="00412B37">
        <w:t>C</w:t>
      </w:r>
      <w:r>
        <w:t xml:space="preserve">ommercial </w:t>
      </w:r>
      <w:r w:rsidR="00412B37">
        <w:t>M</w:t>
      </w:r>
      <w:r>
        <w:t xml:space="preserve">obile </w:t>
      </w:r>
      <w:r w:rsidR="00412B37">
        <w:t>R</w:t>
      </w:r>
      <w:r>
        <w:t xml:space="preserve">adio </w:t>
      </w:r>
      <w:r w:rsidR="00412B37">
        <w:t>S</w:t>
      </w:r>
      <w:r>
        <w:t xml:space="preserve">ervice </w:t>
      </w:r>
      <w:r w:rsidR="001F6223">
        <w:t xml:space="preserve">(CMRS) </w:t>
      </w:r>
      <w:r>
        <w:t xml:space="preserve">carriers </w:t>
      </w:r>
      <w:r w:rsidR="001F6223" w:rsidRPr="00E90F79">
        <w:rPr>
          <w:rStyle w:val="standardChar"/>
        </w:rPr>
        <w:t xml:space="preserve">in a </w:t>
      </w:r>
      <w:r w:rsidR="001F6223">
        <w:rPr>
          <w:rStyle w:val="standardChar"/>
        </w:rPr>
        <w:t>manner</w:t>
      </w:r>
      <w:r w:rsidR="001F6223" w:rsidRPr="00E90F79">
        <w:rPr>
          <w:rStyle w:val="standardChar"/>
        </w:rPr>
        <w:t xml:space="preserve"> that provides reasonable </w:t>
      </w:r>
      <w:r w:rsidR="00873FAF">
        <w:rPr>
          <w:rStyle w:val="standardChar"/>
        </w:rPr>
        <w:t>fees</w:t>
      </w:r>
      <w:r w:rsidR="001F6223" w:rsidRPr="00E90F79">
        <w:rPr>
          <w:rStyle w:val="standardChar"/>
        </w:rPr>
        <w:t xml:space="preserve"> for </w:t>
      </w:r>
      <w:r w:rsidR="001F6223">
        <w:rPr>
          <w:rStyle w:val="standardChar"/>
        </w:rPr>
        <w:t>CMRS pole attachments, protects worker and public safety, and preserves the reliability of co-located utility facilities</w:t>
      </w:r>
      <w:r>
        <w:t>.</w:t>
      </w:r>
      <w:r w:rsidR="003854C3">
        <w:t xml:space="preserve">  The assigned Commission</w:t>
      </w:r>
      <w:r w:rsidR="00CE71E6">
        <w:t>er</w:t>
      </w:r>
      <w:r w:rsidR="003854C3">
        <w:t xml:space="preserve"> may </w:t>
      </w:r>
      <w:r w:rsidR="00CE71E6">
        <w:t xml:space="preserve">determine the specific issues that are within the scope of this proceeding.  </w:t>
      </w:r>
    </w:p>
    <w:p w:rsidR="004106D3" w:rsidRDefault="004106D3" w:rsidP="004D3CC3">
      <w:pPr>
        <w:pStyle w:val="num1"/>
      </w:pPr>
      <w:r>
        <w:t xml:space="preserve">The preliminary schedule for this </w:t>
      </w:r>
      <w:r w:rsidR="00356DE4">
        <w:t xml:space="preserve">rulemaking </w:t>
      </w:r>
      <w:r>
        <w:t xml:space="preserve">proceeding </w:t>
      </w:r>
      <w:r w:rsidR="000E663C">
        <w:t xml:space="preserve">is </w:t>
      </w:r>
      <w:r>
        <w:t>set fo</w:t>
      </w:r>
      <w:r w:rsidR="000E663C">
        <w:t>r</w:t>
      </w:r>
      <w:r>
        <w:t>th in the body of this Order.</w:t>
      </w:r>
      <w:r w:rsidR="006E3673">
        <w:t xml:space="preserve">  The assigned Commissioner and/or the assigned Administrative Law Judge may modify the proceeding schedule</w:t>
      </w:r>
      <w:r w:rsidR="00FE25A6">
        <w:t xml:space="preserve"> </w:t>
      </w:r>
      <w:r w:rsidR="006E3673">
        <w:t>for the reasonable, efficient, and orderly conduct of this proceeding.</w:t>
      </w:r>
    </w:p>
    <w:p w:rsidR="00490124" w:rsidRDefault="00490124" w:rsidP="001709EF">
      <w:pPr>
        <w:pStyle w:val="num1"/>
      </w:pPr>
      <w:r>
        <w:t>Th</w:t>
      </w:r>
      <w:r w:rsidR="004D3CC3">
        <w:t xml:space="preserve">e </w:t>
      </w:r>
      <w:r>
        <w:t>preliminary categor</w:t>
      </w:r>
      <w:r w:rsidR="004D3CC3">
        <w:t xml:space="preserve">y for this </w:t>
      </w:r>
      <w:r w:rsidR="0070382F">
        <w:t xml:space="preserve">rulemaking </w:t>
      </w:r>
      <w:r w:rsidR="004D3CC3">
        <w:t xml:space="preserve">proceeding is </w:t>
      </w:r>
      <w:r>
        <w:t>quasi</w:t>
      </w:r>
      <w:r>
        <w:noBreakHyphen/>
        <w:t>legislative.</w:t>
      </w:r>
      <w:r w:rsidR="0070382F">
        <w:t xml:space="preserve">  </w:t>
      </w:r>
      <w:r w:rsidR="0054744D">
        <w:t xml:space="preserve">There is no </w:t>
      </w:r>
      <w:r w:rsidR="0070382F">
        <w:t xml:space="preserve">preliminary need </w:t>
      </w:r>
      <w:r w:rsidR="0054744D">
        <w:t xml:space="preserve">for </w:t>
      </w:r>
      <w:r>
        <w:t>a</w:t>
      </w:r>
      <w:r w:rsidR="005D2FE7">
        <w:t xml:space="preserve">n evidentiary </w:t>
      </w:r>
      <w:r>
        <w:t xml:space="preserve">hearing </w:t>
      </w:r>
      <w:r w:rsidR="005D2FE7">
        <w:t xml:space="preserve">in this </w:t>
      </w:r>
      <w:r w:rsidR="00B61BAF">
        <w:t xml:space="preserve">rulemaking </w:t>
      </w:r>
      <w:r w:rsidR="005D2FE7">
        <w:t>proceeding</w:t>
      </w:r>
      <w:r>
        <w:t xml:space="preserve">.  </w:t>
      </w:r>
    </w:p>
    <w:p w:rsidR="000E3FFF" w:rsidRDefault="007F6CC6" w:rsidP="007F705A">
      <w:pPr>
        <w:pStyle w:val="num1"/>
      </w:pPr>
      <w:r>
        <w:t xml:space="preserve">The Executive Director </w:t>
      </w:r>
      <w:r w:rsidR="00EE60D8">
        <w:t xml:space="preserve">shall </w:t>
      </w:r>
      <w:r>
        <w:t xml:space="preserve">serve </w:t>
      </w:r>
      <w:r w:rsidR="008E46FD">
        <w:t xml:space="preserve">a notice of availability of </w:t>
      </w:r>
      <w:r>
        <w:t xml:space="preserve">this Order on </w:t>
      </w:r>
      <w:r w:rsidR="000E3FFF">
        <w:t>the following:</w:t>
      </w:r>
    </w:p>
    <w:p w:rsidR="000E3FFF" w:rsidRDefault="00EE60D8" w:rsidP="001745C9">
      <w:pPr>
        <w:pStyle w:val="num1"/>
        <w:numPr>
          <w:ilvl w:val="0"/>
          <w:numId w:val="0"/>
        </w:numPr>
        <w:tabs>
          <w:tab w:val="left" w:pos="1260"/>
        </w:tabs>
        <w:spacing w:after="80" w:line="240" w:lineRule="auto"/>
        <w:ind w:left="1267" w:right="720" w:hanging="547"/>
      </w:pPr>
      <w:r>
        <w:t>(i)</w:t>
      </w:r>
      <w:r w:rsidR="0027424A">
        <w:t> </w:t>
      </w:r>
      <w:r w:rsidR="001745C9">
        <w:tab/>
      </w:r>
      <w:r w:rsidR="000E3FFF">
        <w:t xml:space="preserve">The e-mail and postal addresses provided by each </w:t>
      </w:r>
      <w:r w:rsidR="00AF15C2">
        <w:t xml:space="preserve">Commercial Mobile Radio Service </w:t>
      </w:r>
      <w:r w:rsidR="00BC3AA7">
        <w:t xml:space="preserve">(CMRS) </w:t>
      </w:r>
      <w:r w:rsidR="005563ED">
        <w:t>carrier</w:t>
      </w:r>
      <w:r w:rsidR="00AF15C2">
        <w:t xml:space="preserve"> </w:t>
      </w:r>
      <w:r w:rsidR="00234FDC">
        <w:t>with</w:t>
      </w:r>
      <w:r w:rsidR="00972222">
        <w:t xml:space="preserve"> a </w:t>
      </w:r>
      <w:r w:rsidR="00A713D2">
        <w:t xml:space="preserve">utility </w:t>
      </w:r>
      <w:r w:rsidR="00972222">
        <w:t xml:space="preserve">identification </w:t>
      </w:r>
      <w:r w:rsidR="00A713D2">
        <w:t>number issued by the Commission</w:t>
      </w:r>
      <w:r w:rsidR="000E3FFF">
        <w:t xml:space="preserve">. </w:t>
      </w:r>
      <w:r w:rsidR="00BC3AA7">
        <w:t xml:space="preserve"> A list of these CMRS carriers is provided in </w:t>
      </w:r>
      <w:r w:rsidR="00AA1360">
        <w:t>Appendix</w:t>
      </w:r>
      <w:r w:rsidR="00224C70">
        <w:t> </w:t>
      </w:r>
      <w:r w:rsidR="00BC3AA7">
        <w:t>B of this Order.</w:t>
      </w:r>
    </w:p>
    <w:p w:rsidR="007F6CC6" w:rsidRDefault="00EE60D8" w:rsidP="001745C9">
      <w:pPr>
        <w:pStyle w:val="num1"/>
        <w:numPr>
          <w:ilvl w:val="0"/>
          <w:numId w:val="0"/>
        </w:numPr>
        <w:tabs>
          <w:tab w:val="left" w:pos="1260"/>
        </w:tabs>
        <w:spacing w:after="80" w:line="240" w:lineRule="auto"/>
        <w:ind w:left="1267" w:right="720" w:hanging="547"/>
      </w:pPr>
      <w:r>
        <w:t>(ii)</w:t>
      </w:r>
      <w:r w:rsidR="008E46FD">
        <w:t> </w:t>
      </w:r>
      <w:r w:rsidR="001745C9">
        <w:tab/>
      </w:r>
      <w:r w:rsidR="000E3FFF">
        <w:t xml:space="preserve">The e-mail and postal addresses </w:t>
      </w:r>
      <w:r w:rsidR="0093043A">
        <w:t xml:space="preserve">provided by </w:t>
      </w:r>
      <w:r w:rsidR="000E3FFF">
        <w:t xml:space="preserve">each person and entity </w:t>
      </w:r>
      <w:r w:rsidR="001745C9">
        <w:t xml:space="preserve">on </w:t>
      </w:r>
      <w:r>
        <w:t xml:space="preserve">the </w:t>
      </w:r>
      <w:r w:rsidR="00CD45D2">
        <w:t>official service list</w:t>
      </w:r>
      <w:r w:rsidR="008E46FD">
        <w:t>s</w:t>
      </w:r>
      <w:r w:rsidR="00CD45D2">
        <w:t xml:space="preserve"> for </w:t>
      </w:r>
      <w:r w:rsidR="007F6CC6">
        <w:t>Petition 13</w:t>
      </w:r>
      <w:r>
        <w:noBreakHyphen/>
      </w:r>
      <w:r w:rsidR="004A5724">
        <w:t>12</w:t>
      </w:r>
      <w:r>
        <w:noBreakHyphen/>
      </w:r>
      <w:r w:rsidR="007F6CC6">
        <w:t>00</w:t>
      </w:r>
      <w:r w:rsidR="004A5724">
        <w:t xml:space="preserve">9, </w:t>
      </w:r>
      <w:r w:rsidR="007F6CC6">
        <w:t>Rulemaking</w:t>
      </w:r>
      <w:r w:rsidR="001745C9">
        <w:t> </w:t>
      </w:r>
      <w:r w:rsidR="007F6CC6">
        <w:t>08</w:t>
      </w:r>
      <w:r w:rsidR="0027424A">
        <w:noBreakHyphen/>
      </w:r>
      <w:r w:rsidR="007F6CC6">
        <w:t>11</w:t>
      </w:r>
      <w:r w:rsidR="0027424A">
        <w:noBreakHyphen/>
      </w:r>
      <w:r w:rsidR="007F6CC6">
        <w:t xml:space="preserve">005, </w:t>
      </w:r>
      <w:r>
        <w:t xml:space="preserve">and the consolidated </w:t>
      </w:r>
      <w:r w:rsidR="00C55D79">
        <w:t xml:space="preserve">dockets of </w:t>
      </w:r>
      <w:r w:rsidR="007F6CC6">
        <w:t>Rulemaking</w:t>
      </w:r>
      <w:r>
        <w:t> </w:t>
      </w:r>
      <w:r w:rsidR="007F6CC6">
        <w:t>95</w:t>
      </w:r>
      <w:r w:rsidR="00E635EE">
        <w:noBreakHyphen/>
      </w:r>
      <w:r w:rsidR="007F6CC6">
        <w:t>04</w:t>
      </w:r>
      <w:r w:rsidR="00E635EE">
        <w:noBreakHyphen/>
      </w:r>
      <w:r w:rsidR="007F6CC6">
        <w:t>043 and Investigation</w:t>
      </w:r>
      <w:r w:rsidR="004A5724">
        <w:t> </w:t>
      </w:r>
      <w:r w:rsidR="007F6CC6">
        <w:t>95</w:t>
      </w:r>
      <w:r w:rsidR="00E635EE">
        <w:noBreakHyphen/>
      </w:r>
      <w:r w:rsidR="007F6CC6">
        <w:t>04</w:t>
      </w:r>
      <w:r w:rsidR="00E635EE">
        <w:noBreakHyphen/>
      </w:r>
      <w:r w:rsidR="007F6CC6">
        <w:t>044.</w:t>
      </w:r>
    </w:p>
    <w:p w:rsidR="007F6CC6" w:rsidRDefault="00055850" w:rsidP="00EE60D8">
      <w:pPr>
        <w:pStyle w:val="num1"/>
      </w:pPr>
      <w:r>
        <w:lastRenderedPageBreak/>
        <w:t xml:space="preserve">The deadline </w:t>
      </w:r>
      <w:r w:rsidR="00E97829">
        <w:t xml:space="preserve">in this rulemaking proceeding </w:t>
      </w:r>
      <w:r>
        <w:t>to file and serve n</w:t>
      </w:r>
      <w:r w:rsidR="00F038F5">
        <w:t xml:space="preserve">otices of </w:t>
      </w:r>
      <w:r w:rsidR="007F6CC6" w:rsidRPr="0035687C">
        <w:t xml:space="preserve">intent to claim intervenor compensation </w:t>
      </w:r>
      <w:r>
        <w:t>is</w:t>
      </w:r>
      <w:r w:rsidR="00F44BCB">
        <w:t xml:space="preserve"> 30</w:t>
      </w:r>
      <w:r>
        <w:t> </w:t>
      </w:r>
      <w:r w:rsidR="00F44BCB">
        <w:t xml:space="preserve">days after the date of the prehearing conference or as otherwise directed by the assigned Commissioner or </w:t>
      </w:r>
      <w:r w:rsidR="00E97829">
        <w:t xml:space="preserve">the </w:t>
      </w:r>
      <w:r w:rsidR="00EE60D8">
        <w:t xml:space="preserve">assigned </w:t>
      </w:r>
      <w:r w:rsidR="00F44BCB">
        <w:t>Administrative</w:t>
      </w:r>
      <w:r w:rsidR="00FE25A6">
        <w:t> </w:t>
      </w:r>
      <w:r w:rsidR="00F44BCB">
        <w:t xml:space="preserve">Law Judge. </w:t>
      </w:r>
      <w:r w:rsidR="002603F9">
        <w:t xml:space="preserve"> </w:t>
      </w:r>
    </w:p>
    <w:p w:rsidR="002603F9" w:rsidRDefault="002603F9" w:rsidP="00EE60D8">
      <w:pPr>
        <w:pStyle w:val="num1"/>
      </w:pPr>
      <w:r>
        <w:t>The request by Google Inc.</w:t>
      </w:r>
      <w:r w:rsidR="004400D0">
        <w:t xml:space="preserve"> to expand the scope of this rulemaking proceeding is denied. </w:t>
      </w:r>
    </w:p>
    <w:p w:rsidR="00DD08A6" w:rsidRDefault="00191262" w:rsidP="00492E07">
      <w:pPr>
        <w:pStyle w:val="num1"/>
      </w:pPr>
      <w:r>
        <w:t xml:space="preserve">Petition 13-12-009 is granted to the extent set forth above.  </w:t>
      </w:r>
      <w:r w:rsidR="004A5724">
        <w:t xml:space="preserve">The Petition is denied in all other respects. </w:t>
      </w:r>
    </w:p>
    <w:p w:rsidR="00191262" w:rsidRDefault="00191262" w:rsidP="00492E07">
      <w:pPr>
        <w:pStyle w:val="num1"/>
      </w:pPr>
      <w:r>
        <w:t xml:space="preserve">Petition 13-12-009 is closed. </w:t>
      </w:r>
    </w:p>
    <w:p w:rsidR="000B0AA5" w:rsidRDefault="000B0AA5" w:rsidP="00A439B5">
      <w:pPr>
        <w:pStyle w:val="standard"/>
        <w:keepNext/>
      </w:pPr>
      <w:r>
        <w:t xml:space="preserve">This </w:t>
      </w:r>
      <w:r w:rsidR="000F7000">
        <w:t>O</w:t>
      </w:r>
      <w:r>
        <w:t>rder is effective today.</w:t>
      </w:r>
    </w:p>
    <w:p w:rsidR="000B0AA5" w:rsidRDefault="000B0AA5">
      <w:pPr>
        <w:pStyle w:val="standard"/>
      </w:pPr>
      <w:r>
        <w:t xml:space="preserve">Dated </w:t>
      </w:r>
      <w:r w:rsidR="002E1571" w:rsidRPr="002E1571">
        <w:t>May 1, 2014</w:t>
      </w:r>
      <w:r>
        <w:t xml:space="preserve">, at </w:t>
      </w:r>
      <w:r w:rsidR="00E52398">
        <w:t>Los Angeles</w:t>
      </w:r>
      <w:r>
        <w:t>, California.</w:t>
      </w:r>
    </w:p>
    <w:p w:rsidR="002E1571" w:rsidRDefault="002E1571">
      <w:pPr>
        <w:pStyle w:val="standard"/>
      </w:pPr>
    </w:p>
    <w:p w:rsidR="002E1571" w:rsidRDefault="002E1571">
      <w:pPr>
        <w:pStyle w:val="standard"/>
      </w:pPr>
    </w:p>
    <w:p w:rsidR="002E1571" w:rsidRPr="00462B40" w:rsidRDefault="002E1571" w:rsidP="00B0232C">
      <w:pPr>
        <w:keepNext/>
        <w:keepLines/>
        <w:autoSpaceDE w:val="0"/>
        <w:autoSpaceDN w:val="0"/>
        <w:adjustRightInd w:val="0"/>
        <w:ind w:left="4320"/>
        <w:rPr>
          <w:rFonts w:cs="Palatino"/>
          <w:szCs w:val="26"/>
        </w:rPr>
      </w:pPr>
      <w:r w:rsidRPr="00462B40">
        <w:rPr>
          <w:rFonts w:cs="Palatino"/>
          <w:szCs w:val="26"/>
        </w:rPr>
        <w:t>MICHAEL R. PEEVEY</w:t>
      </w:r>
    </w:p>
    <w:p w:rsidR="002E1571" w:rsidRPr="00462B40" w:rsidRDefault="002E1571" w:rsidP="00B0232C">
      <w:pPr>
        <w:keepNext/>
        <w:keepLines/>
        <w:autoSpaceDE w:val="0"/>
        <w:autoSpaceDN w:val="0"/>
        <w:adjustRightInd w:val="0"/>
        <w:ind w:firstLine="720"/>
        <w:rPr>
          <w:rFonts w:cs="Palatino"/>
          <w:szCs w:val="26"/>
        </w:rPr>
      </w:pPr>
      <w:r w:rsidRPr="00462B40">
        <w:rPr>
          <w:rFonts w:cs="Palatino"/>
          <w:szCs w:val="26"/>
        </w:rPr>
        <w:tab/>
      </w:r>
      <w:r w:rsidRPr="00462B40">
        <w:rPr>
          <w:rFonts w:cs="Palatino"/>
          <w:szCs w:val="26"/>
        </w:rPr>
        <w:tab/>
      </w:r>
      <w:r w:rsidRPr="00462B40">
        <w:rPr>
          <w:rFonts w:cs="Palatino"/>
          <w:szCs w:val="26"/>
        </w:rPr>
        <w:tab/>
      </w:r>
      <w:r w:rsidRPr="00462B40">
        <w:rPr>
          <w:rFonts w:cs="Palatino"/>
          <w:szCs w:val="26"/>
        </w:rPr>
        <w:tab/>
      </w:r>
      <w:r w:rsidRPr="00462B40">
        <w:rPr>
          <w:rFonts w:cs="Palatino"/>
          <w:szCs w:val="26"/>
        </w:rPr>
        <w:tab/>
        <w:t xml:space="preserve">                        President</w:t>
      </w:r>
    </w:p>
    <w:p w:rsidR="002E1571" w:rsidRPr="00462B40" w:rsidRDefault="002E1571" w:rsidP="00B0232C">
      <w:pPr>
        <w:keepNext/>
        <w:keepLines/>
        <w:autoSpaceDE w:val="0"/>
        <w:autoSpaceDN w:val="0"/>
        <w:adjustRightInd w:val="0"/>
        <w:ind w:left="4320"/>
        <w:rPr>
          <w:rFonts w:cs="Courier New"/>
          <w:szCs w:val="26"/>
        </w:rPr>
      </w:pPr>
      <w:r w:rsidRPr="00462B40">
        <w:rPr>
          <w:rFonts w:cs="Courier New"/>
          <w:szCs w:val="26"/>
        </w:rPr>
        <w:t>MICHEL PETER FLORIO</w:t>
      </w:r>
    </w:p>
    <w:p w:rsidR="002E1571" w:rsidRPr="00462B40" w:rsidRDefault="002E1571" w:rsidP="00B0232C">
      <w:pPr>
        <w:keepNext/>
        <w:keepLines/>
        <w:autoSpaceDE w:val="0"/>
        <w:autoSpaceDN w:val="0"/>
        <w:adjustRightInd w:val="0"/>
        <w:ind w:left="4320"/>
        <w:rPr>
          <w:rFonts w:cs="Courier New"/>
          <w:szCs w:val="26"/>
        </w:rPr>
      </w:pPr>
      <w:r w:rsidRPr="00462B40">
        <w:rPr>
          <w:rFonts w:cs="Courier New"/>
          <w:szCs w:val="26"/>
        </w:rPr>
        <w:t>CATHERINE J.K. SANDOVAL</w:t>
      </w:r>
    </w:p>
    <w:p w:rsidR="002E1571" w:rsidRPr="00462B40" w:rsidRDefault="002E1571" w:rsidP="00B0232C">
      <w:pPr>
        <w:keepNext/>
        <w:keepLines/>
        <w:autoSpaceDE w:val="0"/>
        <w:autoSpaceDN w:val="0"/>
        <w:adjustRightInd w:val="0"/>
        <w:ind w:left="4320"/>
        <w:rPr>
          <w:rFonts w:cs="Courier New"/>
          <w:szCs w:val="26"/>
        </w:rPr>
      </w:pPr>
      <w:r w:rsidRPr="00462B40">
        <w:rPr>
          <w:rFonts w:cs="Courier New"/>
          <w:szCs w:val="26"/>
        </w:rPr>
        <w:t>CARLA J. PETERMAN</w:t>
      </w:r>
    </w:p>
    <w:p w:rsidR="002E1571" w:rsidRPr="00462B40" w:rsidRDefault="002E1571" w:rsidP="00B0232C">
      <w:pPr>
        <w:keepNext/>
        <w:keepLines/>
        <w:autoSpaceDE w:val="0"/>
        <w:autoSpaceDN w:val="0"/>
        <w:adjustRightInd w:val="0"/>
        <w:ind w:left="4320"/>
        <w:rPr>
          <w:rFonts w:cs="Courier New"/>
          <w:szCs w:val="26"/>
        </w:rPr>
      </w:pPr>
      <w:r w:rsidRPr="00462B40">
        <w:rPr>
          <w:rFonts w:cs="Courier New"/>
          <w:szCs w:val="26"/>
        </w:rPr>
        <w:t>MICHAEL PICKER</w:t>
      </w:r>
    </w:p>
    <w:p w:rsidR="002E1571" w:rsidRPr="00462B40" w:rsidRDefault="002E1571" w:rsidP="00B0232C">
      <w:pPr>
        <w:keepNext/>
        <w:keepLines/>
        <w:spacing w:line="360" w:lineRule="auto"/>
        <w:ind w:firstLine="720"/>
        <w:rPr>
          <w:color w:val="000000"/>
          <w:sz w:val="22"/>
        </w:rPr>
      </w:pPr>
      <w:r w:rsidRPr="00462B40">
        <w:tab/>
      </w:r>
      <w:r w:rsidRPr="00462B40">
        <w:tab/>
      </w:r>
      <w:r w:rsidRPr="00462B40">
        <w:tab/>
      </w:r>
      <w:r w:rsidRPr="00462B40">
        <w:tab/>
      </w:r>
      <w:r w:rsidRPr="00462B40">
        <w:tab/>
      </w:r>
      <w:r w:rsidRPr="00462B40">
        <w:tab/>
      </w:r>
      <w:r w:rsidRPr="00462B40">
        <w:tab/>
        <w:t xml:space="preserve">     Commissioners</w:t>
      </w:r>
    </w:p>
    <w:p w:rsidR="002E1571" w:rsidRDefault="002E1571">
      <w:pPr>
        <w:pStyle w:val="standard"/>
      </w:pPr>
      <w:r>
        <w:t xml:space="preserve"> </w:t>
      </w:r>
    </w:p>
    <w:p w:rsidR="000B0AA5" w:rsidRDefault="000B0AA5">
      <w:pPr>
        <w:pStyle w:val="standard"/>
      </w:pPr>
    </w:p>
    <w:p w:rsidR="000B0AA5" w:rsidRDefault="000B0AA5">
      <w:pPr>
        <w:pStyle w:val="standard"/>
        <w:tabs>
          <w:tab w:val="left" w:pos="1080"/>
        </w:tabs>
        <w:spacing w:line="240" w:lineRule="auto"/>
        <w:sectPr w:rsidR="000B0AA5" w:rsidSect="00CC7D0E">
          <w:headerReference w:type="default" r:id="rId23"/>
          <w:footerReference w:type="default" r:id="rId24"/>
          <w:headerReference w:type="first" r:id="rId25"/>
          <w:footerReference w:type="first" r:id="rId26"/>
          <w:pgSz w:w="12240" w:h="15840" w:code="1"/>
          <w:pgMar w:top="1152" w:right="1440" w:bottom="1440" w:left="1440" w:header="720" w:footer="720" w:gutter="0"/>
          <w:pgNumType w:start="2"/>
          <w:cols w:space="720"/>
        </w:sectPr>
      </w:pPr>
    </w:p>
    <w:p w:rsidR="000B0AA5" w:rsidRDefault="000B0AA5">
      <w:pPr>
        <w:pStyle w:val="standard"/>
      </w:pPr>
    </w:p>
    <w:p w:rsidR="000B0AA5" w:rsidRDefault="000B0AA5">
      <w:pPr>
        <w:pStyle w:val="standard"/>
        <w:spacing w:line="240" w:lineRule="auto"/>
      </w:pPr>
      <w:bookmarkStart w:id="66" w:name="_Toc268621592"/>
    </w:p>
    <w:p w:rsidR="000B0AA5" w:rsidRPr="00E9643A" w:rsidRDefault="00C97FC2" w:rsidP="00C97FC2">
      <w:pPr>
        <w:pStyle w:val="main"/>
      </w:pPr>
      <w:bookmarkStart w:id="67" w:name="_Toc384302404"/>
      <w:bookmarkStart w:id="68" w:name="_Toc386441222"/>
      <w:r>
        <w:t xml:space="preserve">Appendix A:  </w:t>
      </w:r>
      <w:r w:rsidR="007F3F86">
        <w:t xml:space="preserve">AT&amp;T Mobility’s </w:t>
      </w:r>
      <w:r w:rsidR="00D81B0E">
        <w:t xml:space="preserve">Proposed </w:t>
      </w:r>
      <w:r w:rsidR="000B0AA5" w:rsidRPr="00E9643A">
        <w:t xml:space="preserve">Revisions to </w:t>
      </w:r>
      <w:r w:rsidR="004E4F42">
        <w:t xml:space="preserve">the </w:t>
      </w:r>
      <w:r w:rsidR="00D81B0E">
        <w:t>ROW Rules</w:t>
      </w:r>
      <w:bookmarkEnd w:id="67"/>
      <w:bookmarkEnd w:id="68"/>
    </w:p>
    <w:p w:rsidR="000B0AA5" w:rsidRDefault="000B0AA5">
      <w:pPr>
        <w:pStyle w:val="standard"/>
        <w:spacing w:line="240" w:lineRule="auto"/>
      </w:pPr>
    </w:p>
    <w:p w:rsidR="000B0AA5" w:rsidRDefault="00D81B0E" w:rsidP="004E4F42">
      <w:pPr>
        <w:pStyle w:val="standard"/>
        <w:spacing w:line="240" w:lineRule="auto"/>
        <w:ind w:left="540" w:right="540" w:firstLine="0"/>
        <w:jc w:val="center"/>
      </w:pPr>
      <w:r>
        <w:t>AT&amp;T</w:t>
      </w:r>
      <w:r w:rsidR="009B19F9">
        <w:t xml:space="preserve"> Mobility</w:t>
      </w:r>
      <w:r>
        <w:t xml:space="preserve">’s proposed </w:t>
      </w:r>
      <w:r w:rsidR="000B0AA5">
        <w:t xml:space="preserve">revisions to </w:t>
      </w:r>
      <w:r>
        <w:t xml:space="preserve">the ROW Rules </w:t>
      </w:r>
      <w:r w:rsidR="004E4F42">
        <w:t>adopted by D</w:t>
      </w:r>
      <w:r w:rsidR="00055850">
        <w:t xml:space="preserve">ecision </w:t>
      </w:r>
      <w:r w:rsidR="004E4F42">
        <w:t>98</w:t>
      </w:r>
      <w:r w:rsidR="004E4F42">
        <w:noBreakHyphen/>
        <w:t>10</w:t>
      </w:r>
      <w:r w:rsidR="004E4F42">
        <w:noBreakHyphen/>
        <w:t xml:space="preserve">058 </w:t>
      </w:r>
      <w:r w:rsidR="000B0AA5">
        <w:t xml:space="preserve">are shown below </w:t>
      </w:r>
      <w:r w:rsidR="009B19F9">
        <w:t>with</w:t>
      </w:r>
      <w:r w:rsidR="000B0AA5">
        <w:t xml:space="preserve"> </w:t>
      </w:r>
      <w:r w:rsidR="00094215">
        <w:t>bold font</w:t>
      </w:r>
      <w:r w:rsidR="009B19F9">
        <w:t xml:space="preserve">, </w:t>
      </w:r>
      <w:r w:rsidR="00094215">
        <w:t>underline for new text</w:t>
      </w:r>
      <w:r w:rsidR="009B19F9">
        <w:t>,</w:t>
      </w:r>
      <w:r w:rsidR="00094215">
        <w:t xml:space="preserve"> and </w:t>
      </w:r>
      <w:r w:rsidR="000B0AA5">
        <w:t>strike</w:t>
      </w:r>
      <w:r w:rsidR="00094215">
        <w:t>through for deleted text</w:t>
      </w:r>
      <w:r w:rsidR="000B0AA5">
        <w:t>.</w:t>
      </w:r>
    </w:p>
    <w:p w:rsidR="00094215" w:rsidRDefault="00094215" w:rsidP="004E4F42">
      <w:pPr>
        <w:pStyle w:val="standard"/>
        <w:spacing w:line="240" w:lineRule="auto"/>
        <w:ind w:left="540" w:right="540" w:firstLine="0"/>
        <w:jc w:val="center"/>
      </w:pPr>
    </w:p>
    <w:p w:rsidR="000B0AA5" w:rsidRDefault="000B0AA5">
      <w:pPr>
        <w:pStyle w:val="standard"/>
        <w:spacing w:line="240" w:lineRule="auto"/>
      </w:pPr>
    </w:p>
    <w:p w:rsidR="00094215" w:rsidRDefault="00094215">
      <w:pPr>
        <w:pStyle w:val="standard"/>
        <w:spacing w:line="240" w:lineRule="auto"/>
        <w:sectPr w:rsidR="00094215" w:rsidSect="00D81B0E">
          <w:footerReference w:type="default" r:id="rId27"/>
          <w:pgSz w:w="12240" w:h="15840"/>
          <w:pgMar w:top="1440" w:right="1440" w:bottom="1440" w:left="1440" w:header="720" w:footer="720" w:gutter="0"/>
          <w:pgNumType w:start="1"/>
          <w:cols w:space="720"/>
        </w:sectPr>
      </w:pPr>
    </w:p>
    <w:p w:rsidR="00094215" w:rsidRDefault="00094215">
      <w:pPr>
        <w:pStyle w:val="standard"/>
        <w:spacing w:line="240" w:lineRule="auto"/>
      </w:pPr>
    </w:p>
    <w:p w:rsidR="00D313F5" w:rsidRDefault="00D313F5" w:rsidP="00D313F5">
      <w:pPr>
        <w:jc w:val="center"/>
        <w:rPr>
          <w:rFonts w:ascii="Palatino Linotype" w:hAnsi="Palatino Linotype"/>
          <w:b/>
          <w:szCs w:val="26"/>
        </w:rPr>
      </w:pPr>
      <w:r>
        <w:rPr>
          <w:rFonts w:ascii="Palatino Linotype" w:hAnsi="Palatino Linotype"/>
          <w:b/>
          <w:szCs w:val="26"/>
        </w:rPr>
        <w:t>APPENDIX A</w:t>
      </w:r>
    </w:p>
    <w:p w:rsidR="00D313F5" w:rsidRDefault="00D313F5" w:rsidP="00D313F5">
      <w:pPr>
        <w:jc w:val="center"/>
        <w:rPr>
          <w:rFonts w:ascii="Palatino Linotype" w:hAnsi="Palatino Linotype"/>
          <w:b/>
          <w:szCs w:val="26"/>
        </w:rPr>
      </w:pPr>
    </w:p>
    <w:p w:rsidR="00D313F5" w:rsidRDefault="00D313F5" w:rsidP="00D313F5">
      <w:pPr>
        <w:jc w:val="center"/>
        <w:rPr>
          <w:rFonts w:ascii="Palatino Linotype" w:hAnsi="Palatino Linotype"/>
          <w:b/>
          <w:szCs w:val="26"/>
          <w:u w:val="single"/>
        </w:rPr>
      </w:pPr>
      <w:r>
        <w:rPr>
          <w:rFonts w:ascii="Palatino Linotype" w:hAnsi="Palatino Linotype"/>
          <w:b/>
          <w:szCs w:val="26"/>
          <w:u w:val="single"/>
        </w:rPr>
        <w:t xml:space="preserve">COMMISSION-ADOPTED RULES GOVERNING ACCESS </w:t>
      </w:r>
    </w:p>
    <w:p w:rsidR="00D313F5" w:rsidRDefault="00D313F5" w:rsidP="00D313F5">
      <w:pPr>
        <w:jc w:val="center"/>
        <w:rPr>
          <w:rFonts w:ascii="Palatino Linotype" w:hAnsi="Palatino Linotype"/>
          <w:b/>
          <w:szCs w:val="26"/>
          <w:u w:val="single"/>
        </w:rPr>
      </w:pPr>
      <w:r>
        <w:rPr>
          <w:rFonts w:ascii="Palatino Linotype" w:hAnsi="Palatino Linotype"/>
          <w:b/>
          <w:szCs w:val="26"/>
          <w:u w:val="single"/>
        </w:rPr>
        <w:t xml:space="preserve">TO RIGHTS-OF-WAY AND SUPPORT STRUCTURES OF </w:t>
      </w:r>
    </w:p>
    <w:p w:rsidR="00D313F5" w:rsidRDefault="00D313F5" w:rsidP="00D313F5">
      <w:pPr>
        <w:jc w:val="center"/>
        <w:rPr>
          <w:rFonts w:ascii="Palatino Linotype" w:hAnsi="Palatino Linotype"/>
          <w:szCs w:val="26"/>
        </w:rPr>
      </w:pPr>
      <w:r>
        <w:rPr>
          <w:rFonts w:ascii="Palatino Linotype" w:hAnsi="Palatino Linotype"/>
          <w:b/>
          <w:szCs w:val="26"/>
          <w:u w:val="single"/>
        </w:rPr>
        <w:t>INCUMBENT TELEPHONE AND ELECTRIC UTILITIES</w:t>
      </w:r>
    </w:p>
    <w:p w:rsidR="00D313F5" w:rsidRDefault="00D313F5" w:rsidP="00D313F5">
      <w:pPr>
        <w:rPr>
          <w:rFonts w:ascii="Palatino Linotype" w:hAnsi="Palatino Linotype"/>
          <w:szCs w:val="26"/>
        </w:rPr>
      </w:pPr>
    </w:p>
    <w:p w:rsidR="00D313F5" w:rsidRDefault="00D313F5" w:rsidP="00DF4446">
      <w:pPr>
        <w:pStyle w:val="ListParagraph"/>
        <w:numPr>
          <w:ilvl w:val="0"/>
          <w:numId w:val="11"/>
        </w:numPr>
        <w:spacing w:after="120"/>
        <w:ind w:left="720"/>
        <w:contextualSpacing/>
        <w:rPr>
          <w:rFonts w:ascii="Palatino Linotype" w:hAnsi="Palatino Linotype"/>
          <w:caps/>
          <w:sz w:val="26"/>
          <w:szCs w:val="26"/>
        </w:rPr>
      </w:pPr>
      <w:r>
        <w:rPr>
          <w:rFonts w:ascii="Palatino Linotype" w:hAnsi="Palatino Linotype"/>
          <w:caps/>
          <w:sz w:val="26"/>
          <w:szCs w:val="26"/>
        </w:rPr>
        <w:t>Purpose and scope of rules</w:t>
      </w:r>
    </w:p>
    <w:p w:rsidR="00D313F5" w:rsidRDefault="00D313F5" w:rsidP="00DF4446">
      <w:pPr>
        <w:pStyle w:val="ListParagraph"/>
        <w:numPr>
          <w:ilvl w:val="0"/>
          <w:numId w:val="11"/>
        </w:numPr>
        <w:spacing w:after="120"/>
        <w:ind w:left="720"/>
        <w:contextualSpacing/>
        <w:rPr>
          <w:rFonts w:ascii="Palatino Linotype" w:hAnsi="Palatino Linotype"/>
          <w:caps/>
          <w:sz w:val="26"/>
          <w:szCs w:val="26"/>
        </w:rPr>
      </w:pPr>
      <w:r>
        <w:rPr>
          <w:rFonts w:ascii="Palatino Linotype" w:hAnsi="Palatino Linotype"/>
          <w:caps/>
          <w:sz w:val="26"/>
          <w:szCs w:val="26"/>
        </w:rPr>
        <w:t>Definitions</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REQUESTS FOR INFORMATION</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REQUESTS FOR ACCESS TO RIGHTS OF WAY AND SUPPORT STRUCTURES</w:t>
      </w:r>
    </w:p>
    <w:p w:rsidR="00D313F5" w:rsidRDefault="00D313F5" w:rsidP="00DF4446">
      <w:pPr>
        <w:pStyle w:val="ListParagraph"/>
        <w:numPr>
          <w:ilvl w:val="0"/>
          <w:numId w:val="12"/>
        </w:numPr>
        <w:spacing w:after="120"/>
        <w:ind w:left="1440" w:hanging="720"/>
        <w:contextualSpacing/>
        <w:rPr>
          <w:rFonts w:ascii="Palatino Linotype" w:hAnsi="Palatino Linotype"/>
          <w:sz w:val="26"/>
          <w:szCs w:val="26"/>
        </w:rPr>
      </w:pPr>
      <w:r>
        <w:rPr>
          <w:rFonts w:ascii="Palatino Linotype" w:hAnsi="Palatino Linotype"/>
          <w:sz w:val="26"/>
          <w:szCs w:val="26"/>
        </w:rPr>
        <w:t>INFORMATION REQUIREMENTS OF REQUESTS FOR ACCESS</w:t>
      </w:r>
    </w:p>
    <w:p w:rsidR="00D313F5" w:rsidRDefault="00D313F5" w:rsidP="00DF4446">
      <w:pPr>
        <w:pStyle w:val="ListParagraph"/>
        <w:numPr>
          <w:ilvl w:val="0"/>
          <w:numId w:val="12"/>
        </w:numPr>
        <w:spacing w:after="120"/>
        <w:ind w:left="1440" w:hanging="720"/>
        <w:contextualSpacing/>
        <w:rPr>
          <w:rFonts w:ascii="Palatino Linotype" w:hAnsi="Palatino Linotype"/>
          <w:sz w:val="26"/>
          <w:szCs w:val="26"/>
        </w:rPr>
      </w:pPr>
      <w:r>
        <w:rPr>
          <w:rFonts w:ascii="Palatino Linotype" w:hAnsi="Palatino Linotype"/>
          <w:sz w:val="26"/>
          <w:szCs w:val="26"/>
        </w:rPr>
        <w:t>RESPONSES TO REQUESTS FOR ACCESS</w:t>
      </w:r>
    </w:p>
    <w:p w:rsidR="00D313F5" w:rsidRDefault="00D313F5" w:rsidP="00DF4446">
      <w:pPr>
        <w:pStyle w:val="ListParagraph"/>
        <w:numPr>
          <w:ilvl w:val="0"/>
          <w:numId w:val="12"/>
        </w:numPr>
        <w:spacing w:after="120"/>
        <w:ind w:left="1440" w:hanging="720"/>
        <w:contextualSpacing/>
        <w:rPr>
          <w:rFonts w:ascii="Palatino Linotype" w:hAnsi="Palatino Linotype"/>
          <w:sz w:val="26"/>
          <w:szCs w:val="26"/>
        </w:rPr>
      </w:pPr>
      <w:r>
        <w:rPr>
          <w:rFonts w:ascii="Palatino Linotype" w:hAnsi="Palatino Linotype"/>
          <w:sz w:val="26"/>
          <w:szCs w:val="26"/>
        </w:rPr>
        <w:t>TIME FOR COMPLETION OF MAKE READY WORK</w:t>
      </w:r>
    </w:p>
    <w:p w:rsidR="00D313F5" w:rsidRDefault="00D313F5" w:rsidP="00DF4446">
      <w:pPr>
        <w:pStyle w:val="ListParagraph"/>
        <w:numPr>
          <w:ilvl w:val="0"/>
          <w:numId w:val="12"/>
        </w:numPr>
        <w:spacing w:after="120"/>
        <w:ind w:left="1440" w:hanging="720"/>
        <w:contextualSpacing/>
        <w:rPr>
          <w:rFonts w:ascii="Palatino Linotype" w:hAnsi="Palatino Linotype"/>
          <w:sz w:val="26"/>
          <w:szCs w:val="26"/>
        </w:rPr>
      </w:pPr>
      <w:r>
        <w:rPr>
          <w:rFonts w:ascii="Palatino Linotype" w:hAnsi="Palatino Linotype"/>
          <w:sz w:val="26"/>
          <w:szCs w:val="26"/>
        </w:rPr>
        <w:t>USE OF THIRD PARTY CONTRACTORS</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NONDISCLOSURE</w:t>
      </w:r>
    </w:p>
    <w:p w:rsidR="00D313F5" w:rsidRDefault="00D313F5" w:rsidP="00DF4446">
      <w:pPr>
        <w:pStyle w:val="ListParagraph"/>
        <w:numPr>
          <w:ilvl w:val="0"/>
          <w:numId w:val="13"/>
        </w:numPr>
        <w:spacing w:after="120"/>
        <w:ind w:left="1440" w:hanging="720"/>
        <w:contextualSpacing/>
        <w:rPr>
          <w:rFonts w:ascii="Palatino Linotype" w:hAnsi="Palatino Linotype"/>
          <w:sz w:val="26"/>
          <w:szCs w:val="26"/>
        </w:rPr>
      </w:pPr>
      <w:r>
        <w:rPr>
          <w:rFonts w:ascii="Palatino Linotype" w:hAnsi="Palatino Linotype"/>
          <w:sz w:val="26"/>
          <w:szCs w:val="26"/>
        </w:rPr>
        <w:t>DUTY NOT A DISCLOSE PROPRIETARY INFORMATION</w:t>
      </w:r>
    </w:p>
    <w:p w:rsidR="00D313F5" w:rsidRDefault="00D313F5" w:rsidP="00DF4446">
      <w:pPr>
        <w:pStyle w:val="ListParagraph"/>
        <w:numPr>
          <w:ilvl w:val="0"/>
          <w:numId w:val="13"/>
        </w:numPr>
        <w:spacing w:after="120"/>
        <w:ind w:left="1440" w:hanging="720"/>
        <w:contextualSpacing/>
        <w:rPr>
          <w:rFonts w:ascii="Palatino Linotype" w:hAnsi="Palatino Linotype"/>
          <w:sz w:val="26"/>
          <w:szCs w:val="26"/>
        </w:rPr>
      </w:pPr>
      <w:r>
        <w:rPr>
          <w:rFonts w:ascii="Palatino Linotype" w:hAnsi="Palatino Linotype"/>
          <w:sz w:val="26"/>
          <w:szCs w:val="26"/>
        </w:rPr>
        <w:t>SANCTIONS FOR VIOLATIONS OF NONDISCLOSURE AGREEMENTS</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PRICING AND TARIFFS GOVERNING ACCESS</w:t>
      </w:r>
    </w:p>
    <w:p w:rsidR="00D313F5" w:rsidRDefault="00D313F5" w:rsidP="00DF4446">
      <w:pPr>
        <w:pStyle w:val="ListParagraph"/>
        <w:numPr>
          <w:ilvl w:val="0"/>
          <w:numId w:val="14"/>
        </w:numPr>
        <w:spacing w:after="120"/>
        <w:ind w:left="1440" w:hanging="720"/>
        <w:contextualSpacing/>
        <w:rPr>
          <w:rFonts w:ascii="Palatino Linotype" w:hAnsi="Palatino Linotype"/>
          <w:sz w:val="26"/>
          <w:szCs w:val="26"/>
        </w:rPr>
      </w:pPr>
      <w:r>
        <w:rPr>
          <w:rFonts w:ascii="Palatino Linotype" w:hAnsi="Palatino Linotype"/>
          <w:sz w:val="26"/>
          <w:szCs w:val="26"/>
        </w:rPr>
        <w:t>GENERAL PRINCIPLE OF NONDISCRIMINATION</w:t>
      </w:r>
    </w:p>
    <w:p w:rsidR="00D313F5" w:rsidRDefault="00D313F5" w:rsidP="00DF4446">
      <w:pPr>
        <w:pStyle w:val="ListParagraph"/>
        <w:numPr>
          <w:ilvl w:val="0"/>
          <w:numId w:val="14"/>
        </w:numPr>
        <w:spacing w:after="120"/>
        <w:ind w:left="1440" w:hanging="720"/>
        <w:contextualSpacing/>
        <w:rPr>
          <w:rFonts w:ascii="Palatino Linotype" w:hAnsi="Palatino Linotype"/>
          <w:sz w:val="26"/>
          <w:szCs w:val="26"/>
        </w:rPr>
      </w:pPr>
      <w:r>
        <w:rPr>
          <w:rFonts w:ascii="Palatino Linotype" w:hAnsi="Palatino Linotype"/>
          <w:sz w:val="26"/>
          <w:szCs w:val="26"/>
        </w:rPr>
        <w:t>MANNER OF PRICING ACCESS</w:t>
      </w:r>
    </w:p>
    <w:p w:rsidR="00D313F5" w:rsidRDefault="00D313F5" w:rsidP="00DF4446">
      <w:pPr>
        <w:pStyle w:val="ListParagraph"/>
        <w:numPr>
          <w:ilvl w:val="0"/>
          <w:numId w:val="14"/>
        </w:numPr>
        <w:spacing w:after="120"/>
        <w:ind w:left="1440" w:hanging="720"/>
        <w:contextualSpacing/>
        <w:rPr>
          <w:rFonts w:ascii="Palatino Linotype" w:hAnsi="Palatino Linotype"/>
          <w:sz w:val="26"/>
          <w:szCs w:val="26"/>
        </w:rPr>
      </w:pPr>
      <w:r>
        <w:rPr>
          <w:rFonts w:ascii="Palatino Linotype" w:hAnsi="Palatino Linotype"/>
          <w:sz w:val="26"/>
          <w:szCs w:val="26"/>
        </w:rPr>
        <w:t>CONTRACTS</w:t>
      </w:r>
    </w:p>
    <w:p w:rsidR="00D313F5" w:rsidRDefault="00D313F5" w:rsidP="00DF4446">
      <w:pPr>
        <w:pStyle w:val="ListParagraph"/>
        <w:numPr>
          <w:ilvl w:val="0"/>
          <w:numId w:val="14"/>
        </w:numPr>
        <w:spacing w:after="120"/>
        <w:ind w:left="1440" w:hanging="720"/>
        <w:contextualSpacing/>
        <w:rPr>
          <w:rFonts w:ascii="Palatino Linotype" w:hAnsi="Palatino Linotype"/>
          <w:sz w:val="26"/>
          <w:szCs w:val="26"/>
        </w:rPr>
      </w:pPr>
      <w:r>
        <w:rPr>
          <w:rFonts w:ascii="Palatino Linotype" w:hAnsi="Palatino Linotype"/>
          <w:sz w:val="26"/>
          <w:szCs w:val="26"/>
        </w:rPr>
        <w:t>UNAUTHORIZED ATTACHMENTS</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RESERVATIONS OF CAPACITY FOR FUTURE USE</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MODIFICATIONS OF EXISTING SUPPORT STRUCTURES</w:t>
      </w:r>
    </w:p>
    <w:p w:rsidR="00D313F5" w:rsidRDefault="00D313F5" w:rsidP="00DF4446">
      <w:pPr>
        <w:pStyle w:val="ListParagraph"/>
        <w:numPr>
          <w:ilvl w:val="0"/>
          <w:numId w:val="15"/>
        </w:numPr>
        <w:spacing w:after="120"/>
        <w:ind w:left="1440" w:hanging="720"/>
        <w:contextualSpacing/>
        <w:rPr>
          <w:rFonts w:ascii="Palatino Linotype" w:hAnsi="Palatino Linotype"/>
          <w:sz w:val="26"/>
          <w:szCs w:val="26"/>
        </w:rPr>
      </w:pPr>
      <w:r>
        <w:rPr>
          <w:rFonts w:ascii="Palatino Linotype" w:hAnsi="Palatino Linotype"/>
          <w:sz w:val="26"/>
          <w:szCs w:val="26"/>
        </w:rPr>
        <w:t>NOTIFICATION TO PARTIES ON OR IN SUPPORT STRUCTURES</w:t>
      </w:r>
    </w:p>
    <w:p w:rsidR="00D313F5" w:rsidRDefault="00D313F5" w:rsidP="00DF4446">
      <w:pPr>
        <w:pStyle w:val="ListParagraph"/>
        <w:numPr>
          <w:ilvl w:val="0"/>
          <w:numId w:val="15"/>
        </w:numPr>
        <w:spacing w:after="120"/>
        <w:ind w:left="1440" w:hanging="720"/>
        <w:contextualSpacing/>
        <w:rPr>
          <w:rFonts w:ascii="Palatino Linotype" w:hAnsi="Palatino Linotype"/>
          <w:sz w:val="26"/>
          <w:szCs w:val="26"/>
        </w:rPr>
      </w:pPr>
      <w:r>
        <w:rPr>
          <w:rFonts w:ascii="Palatino Linotype" w:hAnsi="Palatino Linotype"/>
          <w:sz w:val="26"/>
          <w:szCs w:val="26"/>
        </w:rPr>
        <w:t>NOTIFICATION GENERALLY</w:t>
      </w:r>
    </w:p>
    <w:p w:rsidR="00D313F5" w:rsidRDefault="00D313F5" w:rsidP="00DF4446">
      <w:pPr>
        <w:pStyle w:val="ListParagraph"/>
        <w:numPr>
          <w:ilvl w:val="0"/>
          <w:numId w:val="15"/>
        </w:numPr>
        <w:spacing w:after="120"/>
        <w:ind w:left="1440" w:hanging="720"/>
        <w:contextualSpacing/>
        <w:rPr>
          <w:rFonts w:ascii="Palatino Linotype" w:hAnsi="Palatino Linotype"/>
          <w:sz w:val="26"/>
          <w:szCs w:val="26"/>
        </w:rPr>
      </w:pPr>
      <w:r>
        <w:rPr>
          <w:rFonts w:ascii="Palatino Linotype" w:hAnsi="Palatino Linotype"/>
          <w:sz w:val="26"/>
          <w:szCs w:val="26"/>
        </w:rPr>
        <w:t>SHARING THE COST OF MODIFICATIONS</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EXPENDITED DISPUTE RESOLUTION PROCEDURES</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ACCESS TO CUSTOMER PREMISES</w:t>
      </w:r>
    </w:p>
    <w:p w:rsidR="00D313F5" w:rsidRDefault="00D313F5" w:rsidP="00DF4446">
      <w:pPr>
        <w:pStyle w:val="ListParagraph"/>
        <w:numPr>
          <w:ilvl w:val="0"/>
          <w:numId w:val="11"/>
        </w:numPr>
        <w:spacing w:after="120"/>
        <w:ind w:left="720"/>
        <w:contextualSpacing/>
        <w:rPr>
          <w:rFonts w:ascii="Palatino Linotype" w:hAnsi="Palatino Linotype"/>
          <w:sz w:val="26"/>
          <w:szCs w:val="26"/>
        </w:rPr>
      </w:pPr>
      <w:r>
        <w:rPr>
          <w:rFonts w:ascii="Palatino Linotype" w:hAnsi="Palatino Linotype"/>
          <w:sz w:val="26"/>
          <w:szCs w:val="26"/>
        </w:rPr>
        <w:t>SAFETY</w:t>
      </w:r>
    </w:p>
    <w:p w:rsidR="00D313F5" w:rsidRDefault="00D313F5" w:rsidP="00D313F5">
      <w:pPr>
        <w:pStyle w:val="ListParagraph"/>
        <w:spacing w:after="120"/>
        <w:ind w:left="0"/>
        <w:rPr>
          <w:rFonts w:ascii="Palatino Linotype" w:hAnsi="Palatino Linotype"/>
          <w:sz w:val="26"/>
          <w:szCs w:val="26"/>
        </w:rPr>
      </w:pPr>
    </w:p>
    <w:p w:rsidR="00D313F5" w:rsidRDefault="00D313F5" w:rsidP="00D313F5">
      <w:pPr>
        <w:rPr>
          <w:rFonts w:ascii="Palatino Linotype" w:hAnsi="Palatino Linotype"/>
          <w:szCs w:val="26"/>
        </w:rPr>
        <w:sectPr w:rsidR="00D313F5" w:rsidSect="00D81B0E">
          <w:footerReference w:type="default" r:id="rId28"/>
          <w:pgSz w:w="12240" w:h="15840"/>
          <w:pgMar w:top="1440" w:right="1440" w:bottom="1440" w:left="1440" w:header="720" w:footer="720" w:gutter="0"/>
          <w:pgNumType w:start="1"/>
          <w:cols w:space="720"/>
        </w:sectPr>
      </w:pPr>
    </w:p>
    <w:p w:rsidR="00D313F5" w:rsidRPr="00E35516" w:rsidRDefault="00D313F5" w:rsidP="00DF4446">
      <w:pPr>
        <w:pStyle w:val="ListParagraph"/>
        <w:numPr>
          <w:ilvl w:val="0"/>
          <w:numId w:val="16"/>
        </w:numPr>
        <w:spacing w:after="120"/>
        <w:ind w:left="720"/>
        <w:contextualSpacing/>
        <w:rPr>
          <w:rFonts w:ascii="Palatino Linotype" w:hAnsi="Palatino Linotype"/>
        </w:rPr>
      </w:pPr>
      <w:r w:rsidRPr="00E35516">
        <w:rPr>
          <w:rFonts w:ascii="Palatino Linotype" w:hAnsi="Palatino Linotype"/>
        </w:rPr>
        <w:lastRenderedPageBreak/>
        <w:t>PURPOSE AND SCOPE OF RULES</w:t>
      </w: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 xml:space="preserve">These rules govern access to public utility rights-of-way and support structures by telecommunications carriers, </w:t>
      </w:r>
      <w:r w:rsidRPr="00E35516">
        <w:rPr>
          <w:rFonts w:ascii="Palatino Linotype" w:hAnsi="Palatino Linotype"/>
          <w:b/>
          <w:sz w:val="24"/>
          <w:szCs w:val="24"/>
          <w:u w:val="single"/>
        </w:rPr>
        <w:t>Commercial Mobile Radio Service (CMRS) providers</w:t>
      </w:r>
      <w:r w:rsidRPr="00E35516">
        <w:rPr>
          <w:rFonts w:ascii="Palatino Linotype" w:hAnsi="Palatino Linotype"/>
          <w:sz w:val="24"/>
          <w:szCs w:val="24"/>
        </w:rPr>
        <w:t>, and cable TV companies in California, and are issued pursuant to the Commission’s jurisdiction over access to utility rights of way and support structures under the Federal Communications Act, 47 U.S.C. § 224(c)(1) and subject to California Public Utilities Code §§ 767, 767.5, 767.7, 768, 768.5 and 8001 through 8057.  These rules are to be applied as guidelines by parties in negotiating rights of way access agreements.  Parties may mutually agree on terms which deviate from these rules, but in the event of negotiating disputes submitted for Commission resolution, the adopted rules will be deemed presumptively reasonable.  The burden of proof shall be on the party advocating a deviation from the rules to show the deviation is reasonable, and is not unduly discriminatory or anticompetitive.</w:t>
      </w:r>
    </w:p>
    <w:p w:rsidR="00D313F5" w:rsidRPr="00E35516" w:rsidRDefault="00D313F5" w:rsidP="00DF4446">
      <w:pPr>
        <w:pStyle w:val="ListParagraph"/>
        <w:numPr>
          <w:ilvl w:val="0"/>
          <w:numId w:val="16"/>
        </w:numPr>
        <w:spacing w:before="240" w:after="120"/>
        <w:ind w:left="720"/>
        <w:contextualSpacing/>
        <w:rPr>
          <w:rFonts w:ascii="Palatino Linotype" w:hAnsi="Palatino Linotype"/>
        </w:rPr>
      </w:pPr>
      <w:r w:rsidRPr="00E35516">
        <w:rPr>
          <w:rFonts w:ascii="Palatino Linotype" w:hAnsi="Palatino Linotype"/>
        </w:rPr>
        <w:t>DEFINITIONS</w:t>
      </w: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“Public utility” or “utility” includes any person, firm or corporation, privately owned, that is an electric, or telephone utility which owns or controls, or in combination jointly owns or controls, support structures or rights-of-way used or useful, in whole or in part, for telecommunications purposes.</w:t>
      </w:r>
    </w:p>
    <w:p w:rsidR="00D313F5" w:rsidRPr="00055850" w:rsidRDefault="00D313F5" w:rsidP="00D313F5">
      <w:pPr>
        <w:ind w:left="720" w:righ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“Support structure” includes, but is not limited to, a utility distribution pole, anchor, duct, conduit, manhole, or handhole.</w:t>
      </w:r>
    </w:p>
    <w:p w:rsidR="00D313F5" w:rsidRPr="00055850" w:rsidRDefault="00D313F5" w:rsidP="00D313F5">
      <w:pPr>
        <w:ind w:left="720" w:righ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“Pole attachment” means any attachment to surplus space, or use of excess capacity, by a telecommunications carrier for a communications system on or in any support structure owned, controlled, or used by a public utility.</w:t>
      </w:r>
    </w:p>
    <w:p w:rsidR="00D313F5" w:rsidRPr="00055850" w:rsidRDefault="00D313F5" w:rsidP="00D313F5">
      <w:pPr>
        <w:ind w:left="720" w:righ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“Surplus space” means that portion of the usable space on a utility pole which has the necessary clearance from other pole users, as required by the orders and regulations of the Commission, to allow its use by a telecommunications carrier for a pole attachment.</w:t>
      </w:r>
    </w:p>
    <w:p w:rsidR="00D313F5" w:rsidRPr="00055850" w:rsidRDefault="00D313F5" w:rsidP="00D313F5">
      <w:pPr>
        <w:ind w:lef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“Excess capacity” means volume or capacity in a duct, conduit, or support structure other than a utility pole or anchor which can be used, pursuant to the orders and regulations of the Commission, for a pole attachment.</w:t>
      </w:r>
    </w:p>
    <w:p w:rsidR="00D313F5" w:rsidRPr="00055850" w:rsidRDefault="00D313F5" w:rsidP="00D313F5">
      <w:pPr>
        <w:ind w:left="720" w:right="720"/>
        <w:rPr>
          <w:rFonts w:ascii="Palatino Linotype" w:hAnsi="Palatino Linotype"/>
          <w:sz w:val="20"/>
        </w:rPr>
      </w:pPr>
    </w:p>
    <w:p w:rsidR="00D313F5" w:rsidRPr="00E35516" w:rsidRDefault="00D313F5" w:rsidP="00055850">
      <w:pPr>
        <w:keepLines/>
        <w:ind w:left="720"/>
        <w:rPr>
          <w:rFonts w:ascii="Palatino Linotype" w:hAnsi="Palatino Linotype"/>
          <w:sz w:val="24"/>
          <w:szCs w:val="24"/>
        </w:rPr>
      </w:pPr>
      <w:r w:rsidRPr="00E35516">
        <w:rPr>
          <w:rFonts w:ascii="Palatino Linotype" w:hAnsi="Palatino Linotype"/>
          <w:sz w:val="24"/>
          <w:szCs w:val="24"/>
        </w:rPr>
        <w:lastRenderedPageBreak/>
        <w:t xml:space="preserve">“Usable space” means the total distance between the top of the utility pole </w:t>
      </w:r>
      <w:r w:rsidRPr="00E35516">
        <w:rPr>
          <w:rFonts w:ascii="Palatino Linotype" w:hAnsi="Palatino Linotype"/>
          <w:b/>
          <w:sz w:val="24"/>
          <w:szCs w:val="24"/>
          <w:u w:val="single"/>
        </w:rPr>
        <w:t>(including any attachment at the top of the pole or on a pole top extension)</w:t>
      </w:r>
      <w:r w:rsidRPr="00E35516">
        <w:rPr>
          <w:rFonts w:ascii="Palatino Linotype" w:hAnsi="Palatino Linotype"/>
          <w:sz w:val="24"/>
          <w:szCs w:val="24"/>
        </w:rPr>
        <w:t xml:space="preserve"> and the lowest possible attachment point that provides the minimum allowable vertical clearance.</w:t>
      </w:r>
    </w:p>
    <w:p w:rsidR="00D313F5" w:rsidRPr="00055850" w:rsidRDefault="00D313F5" w:rsidP="00D313F5">
      <w:pPr>
        <w:ind w:left="720" w:righ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“Minimum allowable vertical clearance” means the minimum clearance for communication conductors along rights-of-way or other areas as specified in the orders and regulations of the Commission.</w:t>
      </w:r>
    </w:p>
    <w:p w:rsidR="00D313F5" w:rsidRPr="00055850" w:rsidRDefault="00D313F5" w:rsidP="00D313F5">
      <w:pPr>
        <w:ind w:lef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“Rearrangements” means work performed, at the request of a telecommunications carrier, to, on, or in an existing support structure to create such surplus space or excess capacity as is necessary to make it usable for a pole attachment.  When an existing support structure does not contain adequate surplus space or excess capacity and cannot be so rearranged as to create the required surplus space or excess capacity for a pole attachment, “rearrangements” shall include replacement, at the request of a telecommunications carrier, of the support structure in order to provide adequate surplus space or excess capacity.  This definition is not intended to limit the circumstances where a telecommunications carrier may request replacement of an existing structure with a different or larger support structure.</w:t>
      </w:r>
    </w:p>
    <w:p w:rsidR="00D313F5" w:rsidRPr="00055850" w:rsidRDefault="00D313F5" w:rsidP="00D313F5">
      <w:pPr>
        <w:ind w:left="720" w:righ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“Annual cost of ownership” means the sum of the annual capital costs and annual operation costs of the support structure which shall be the average costs of all similar support structures owned by the public utility.  The basis for computation of annual capital costs shall be historical capital cost less depreciation.  The accounts upon which the historical capital costs are determined shall include a credit for all reimbursed capital costs of the public utility.  Depreciation shall be based upon the average service life of the support structure.  As used in this definition, “annual cost of ownership” shall not include costs for any property not necessary for a pole attachment.</w:t>
      </w:r>
    </w:p>
    <w:p w:rsidR="00D313F5" w:rsidRPr="00055850" w:rsidRDefault="00D313F5" w:rsidP="00D313F5">
      <w:pPr>
        <w:ind w:left="720" w:righ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 xml:space="preserve">“Telecommunications carrier” generally means any provider of telecommunications services that has been granted a certificate of public convenience and necessity by the California Public Utilities Commission.  These rules, however, exclude </w:t>
      </w:r>
      <w:r w:rsidRPr="00E35516">
        <w:rPr>
          <w:rFonts w:ascii="Palatino Linotype" w:hAnsi="Palatino Linotype"/>
          <w:b/>
          <w:strike/>
          <w:sz w:val="24"/>
          <w:szCs w:val="24"/>
        </w:rPr>
        <w:t xml:space="preserve">Commercial </w:t>
      </w:r>
      <w:smartTag w:uri="urn:schemas-microsoft-com:office:smarttags" w:element="place">
        <w:r w:rsidRPr="00E35516">
          <w:rPr>
            <w:rFonts w:ascii="Palatino Linotype" w:hAnsi="Palatino Linotype"/>
            <w:b/>
            <w:strike/>
            <w:sz w:val="24"/>
            <w:szCs w:val="24"/>
          </w:rPr>
          <w:t>Mobile</w:t>
        </w:r>
      </w:smartTag>
      <w:r w:rsidRPr="00E35516">
        <w:rPr>
          <w:rFonts w:ascii="Palatino Linotype" w:hAnsi="Palatino Linotype"/>
          <w:b/>
          <w:strike/>
          <w:sz w:val="24"/>
          <w:szCs w:val="24"/>
        </w:rPr>
        <w:t xml:space="preserve"> Radio Service (CMRS) providers and</w:t>
      </w:r>
      <w:r w:rsidRPr="00E35516">
        <w:rPr>
          <w:rFonts w:ascii="Palatino Linotype" w:hAnsi="Palatino Linotype"/>
          <w:sz w:val="24"/>
          <w:szCs w:val="24"/>
        </w:rPr>
        <w:t xml:space="preserve"> interexchange carriers from the definition of “telecommunications carrier.”</w:t>
      </w:r>
    </w:p>
    <w:p w:rsidR="00D313F5" w:rsidRPr="00055850" w:rsidRDefault="00D313F5" w:rsidP="00D313F5">
      <w:pPr>
        <w:ind w:left="720"/>
        <w:rPr>
          <w:rFonts w:ascii="Palatino Linotype" w:hAnsi="Palatino Linotype"/>
          <w:sz w:val="20"/>
        </w:rPr>
      </w:pPr>
    </w:p>
    <w:p w:rsidR="00D313F5" w:rsidRPr="00E35516" w:rsidRDefault="00D313F5" w:rsidP="00055850">
      <w:pPr>
        <w:keepLines/>
        <w:ind w:left="720"/>
        <w:rPr>
          <w:rFonts w:ascii="Palatino Linotype" w:hAnsi="Palatino Linotype"/>
          <w:b/>
          <w:sz w:val="24"/>
          <w:szCs w:val="24"/>
          <w:u w:val="single"/>
        </w:rPr>
      </w:pPr>
      <w:r w:rsidRPr="00E35516">
        <w:rPr>
          <w:rFonts w:ascii="Palatino Linotype" w:hAnsi="Palatino Linotype"/>
          <w:b/>
          <w:sz w:val="24"/>
          <w:szCs w:val="24"/>
          <w:u w:val="single"/>
        </w:rPr>
        <w:t xml:space="preserve">“Commercial </w:t>
      </w:r>
      <w:smartTag w:uri="urn:schemas-microsoft-com:office:smarttags" w:element="place">
        <w:r w:rsidRPr="00E35516">
          <w:rPr>
            <w:rFonts w:ascii="Palatino Linotype" w:hAnsi="Palatino Linotype"/>
            <w:b/>
            <w:sz w:val="24"/>
            <w:szCs w:val="24"/>
            <w:u w:val="single"/>
          </w:rPr>
          <w:t>Mobile</w:t>
        </w:r>
      </w:smartTag>
      <w:r w:rsidRPr="00E35516">
        <w:rPr>
          <w:rFonts w:ascii="Palatino Linotype" w:hAnsi="Palatino Linotype"/>
          <w:b/>
          <w:sz w:val="24"/>
          <w:szCs w:val="24"/>
          <w:u w:val="single"/>
        </w:rPr>
        <w:t xml:space="preserve"> Radio Service (CMRS) provider” generally refers to a provider of cellular services, personal communications services, wide-area specialized mobile radio services, and two-way radiotelephone services.</w:t>
      </w:r>
    </w:p>
    <w:p w:rsidR="00D313F5" w:rsidRPr="00055850" w:rsidRDefault="00D313F5" w:rsidP="00D313F5">
      <w:pPr>
        <w:ind w:left="720" w:righ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“Cable TV company” as used in these rules refers to a privately owned company, that provides cable service as defined in the PU Code and is not certified to provide telecommunications service.</w:t>
      </w:r>
    </w:p>
    <w:p w:rsidR="00D313F5" w:rsidRPr="00055850" w:rsidRDefault="00D313F5" w:rsidP="00D313F5">
      <w:pPr>
        <w:ind w:lef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“Right of way” means the right of competing providers to obtain access to the distribution poles, ducts, conduits, and other support structures of a utility which are necessary to reach customers for telecommunications purposes.</w:t>
      </w:r>
    </w:p>
    <w:p w:rsidR="00D313F5" w:rsidRPr="00055850" w:rsidRDefault="00D313F5" w:rsidP="00D313F5">
      <w:pPr>
        <w:ind w:left="720" w:righ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“Make ready work” means the process of completing rearrangements on or in a support structure to create such surplus space or excess capacity as is necessary to make it usable for a pole attachment.</w:t>
      </w:r>
    </w:p>
    <w:p w:rsidR="00D313F5" w:rsidRPr="00055850" w:rsidRDefault="00D313F5" w:rsidP="00D313F5">
      <w:pPr>
        <w:ind w:lef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“Modifications” means the process of changing or modifying, in whole or in part, support structures or rights of way to accommodate more or different pole attachments.</w:t>
      </w:r>
    </w:p>
    <w:p w:rsidR="00D313F5" w:rsidRPr="00055850" w:rsidRDefault="00D313F5" w:rsidP="00D313F5">
      <w:pPr>
        <w:ind w:left="720"/>
        <w:rPr>
          <w:rFonts w:ascii="Palatino Linotype" w:hAnsi="Palatino Linotype"/>
          <w:sz w:val="20"/>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 xml:space="preserve">“Incumbent local exchange carrier” refers to Pacific Bell and GTE California, Inc., Roseville Telephone Company, and Citizens Telecommunications Company of </w:t>
      </w:r>
      <w:smartTag w:uri="urn:schemas-microsoft-com:office:smarttags" w:element="State">
        <w:smartTag w:uri="urn:schemas-microsoft-com:office:smarttags" w:element="place">
          <w:r w:rsidRPr="00E35516">
            <w:rPr>
              <w:rFonts w:ascii="Palatino Linotype" w:hAnsi="Palatino Linotype"/>
              <w:sz w:val="24"/>
              <w:szCs w:val="24"/>
            </w:rPr>
            <w:t>California</w:t>
          </w:r>
        </w:smartTag>
      </w:smartTag>
      <w:r w:rsidRPr="00E35516">
        <w:rPr>
          <w:rFonts w:ascii="Palatino Linotype" w:hAnsi="Palatino Linotype"/>
          <w:sz w:val="24"/>
          <w:szCs w:val="24"/>
        </w:rPr>
        <w:t>, for purposes of these rules, unless explicitly indicated otherwise.</w:t>
      </w:r>
    </w:p>
    <w:p w:rsidR="00D313F5" w:rsidRPr="00E35516" w:rsidRDefault="00D313F5" w:rsidP="00DF4446">
      <w:pPr>
        <w:pStyle w:val="ListParagraph"/>
        <w:keepNext/>
        <w:numPr>
          <w:ilvl w:val="0"/>
          <w:numId w:val="16"/>
        </w:numPr>
        <w:spacing w:before="240" w:after="120"/>
        <w:ind w:left="720" w:right="720"/>
        <w:contextualSpacing/>
        <w:rPr>
          <w:rFonts w:ascii="Palatino Linotype" w:hAnsi="Palatino Linotype"/>
        </w:rPr>
      </w:pPr>
      <w:r w:rsidRPr="00E35516">
        <w:rPr>
          <w:rFonts w:ascii="Palatino Linotype" w:hAnsi="Palatino Linotype"/>
        </w:rPr>
        <w:t>REQUESTS FOR INFORMATION</w:t>
      </w: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 xml:space="preserve">A utility shall promptly respond in writing to a written request for information (“request for information”) from a telecommunications carrier, </w:t>
      </w:r>
      <w:r w:rsidRPr="00E35516">
        <w:rPr>
          <w:rFonts w:ascii="Palatino Linotype" w:hAnsi="Palatino Linotype"/>
          <w:b/>
          <w:sz w:val="24"/>
          <w:szCs w:val="24"/>
          <w:u w:val="single"/>
        </w:rPr>
        <w:t>CMRS provider,</w:t>
      </w:r>
      <w:r w:rsidRPr="00E35516">
        <w:rPr>
          <w:rFonts w:ascii="Palatino Linotype" w:hAnsi="Palatino Linotype"/>
          <w:sz w:val="24"/>
          <w:szCs w:val="24"/>
        </w:rPr>
        <w:t xml:space="preserve"> or cable TV company regarding the availability of surplus space or excess capacity on or in the utility’s support structures and rights of way.  The utility shall respond to requests for information as quickly as possible consistent with applicable legal, safety, and reliability requirements, which, in the case of Pacific or GTEC, shall not exceed 10 business days if no field survey is required and shall not exceed 20 business days if a field-based survey of support structures is required.  In the event the request involves more than 500 poles or 5 miles of conduit, the parties shall negotiate a mutually satisfactory longer response time.</w:t>
      </w:r>
    </w:p>
    <w:p w:rsidR="00D313F5" w:rsidRPr="00E35516" w:rsidRDefault="00D313F5" w:rsidP="00D313F5">
      <w:pPr>
        <w:ind w:left="720" w:right="720"/>
        <w:rPr>
          <w:rFonts w:ascii="Palatino Linotype" w:hAnsi="Palatino Linotype"/>
          <w:sz w:val="24"/>
          <w:szCs w:val="24"/>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 xml:space="preserve">Within the applicable time limit set forth in paragraph III.A and subject to execution of pertinent nondisclosure agreements, the utility shall provide access to maps, and currently available records such as drawings, plans and any other information which it uses in its daily transaction of business necessary for evaluating the availability of surplus space or excess capacity on support </w:t>
      </w:r>
      <w:r w:rsidRPr="00E35516">
        <w:rPr>
          <w:rFonts w:ascii="Palatino Linotype" w:hAnsi="Palatino Linotype"/>
          <w:sz w:val="24"/>
          <w:szCs w:val="24"/>
        </w:rPr>
        <w:lastRenderedPageBreak/>
        <w:t>structures and for evaluating access to a specified area of the utility’s rights of way identified by the carrier.</w:t>
      </w:r>
    </w:p>
    <w:p w:rsidR="00D313F5" w:rsidRPr="00E35516" w:rsidRDefault="00D313F5" w:rsidP="00D313F5">
      <w:pPr>
        <w:ind w:left="720" w:right="720"/>
        <w:rPr>
          <w:rFonts w:ascii="Palatino Linotype" w:hAnsi="Palatino Linotype"/>
          <w:sz w:val="24"/>
          <w:szCs w:val="24"/>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The utility may charge for the actual costs incurred for copies and any preparation of maps, drawings or plans necessary for evaluating the availability of surplus space or excess capacity on support structures and for evaluating access to a utility’s rights of way.</w:t>
      </w:r>
    </w:p>
    <w:p w:rsidR="00D313F5" w:rsidRPr="00E35516" w:rsidRDefault="00D313F5" w:rsidP="00D313F5">
      <w:pPr>
        <w:ind w:left="720"/>
        <w:rPr>
          <w:rFonts w:ascii="Palatino Linotype" w:hAnsi="Palatino Linotype"/>
          <w:sz w:val="24"/>
          <w:szCs w:val="24"/>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Within 20 business days of a request, anyone who attaches to a utility</w:t>
      </w:r>
      <w:r w:rsidRPr="00E35516">
        <w:rPr>
          <w:rFonts w:ascii="Palatino Linotype" w:hAnsi="Palatino Linotype"/>
          <w:sz w:val="24"/>
          <w:szCs w:val="24"/>
        </w:rPr>
        <w:noBreakHyphen/>
        <w:t>owned pole shall allow the pole owner access to maps, and any currently available records such as drawings, plans, and any other information which is used in the daily transaction of business necessary for the owner to review attachments to its poles.</w:t>
      </w:r>
    </w:p>
    <w:p w:rsidR="00D313F5" w:rsidRPr="00E35516" w:rsidRDefault="00D313F5" w:rsidP="00D313F5">
      <w:pPr>
        <w:ind w:left="720" w:right="720"/>
        <w:rPr>
          <w:rFonts w:ascii="Palatino Linotype" w:hAnsi="Palatino Linotype"/>
          <w:sz w:val="24"/>
          <w:szCs w:val="24"/>
        </w:rPr>
      </w:pPr>
    </w:p>
    <w:p w:rsidR="00D313F5" w:rsidRPr="00E35516" w:rsidRDefault="00D313F5" w:rsidP="00D313F5">
      <w:pPr>
        <w:ind w:left="720"/>
        <w:rPr>
          <w:rFonts w:ascii="Palatino Linotype" w:hAnsi="Palatino Linotype"/>
          <w:sz w:val="24"/>
          <w:szCs w:val="24"/>
        </w:rPr>
      </w:pPr>
      <w:r w:rsidRPr="00E35516">
        <w:rPr>
          <w:rFonts w:ascii="Palatino Linotype" w:hAnsi="Palatino Linotype"/>
          <w:sz w:val="24"/>
          <w:szCs w:val="24"/>
        </w:rPr>
        <w:t>The utility may request up-front payments of its estimated costs for any of the work contemplated by Rule III.C., Rule IV.A. and Rule IV.B.  The utility’s estimate will be adjusted to reflect actual cost upon completion of the requested tasks.</w:t>
      </w:r>
    </w:p>
    <w:p w:rsidR="00D313F5" w:rsidRDefault="00D313F5" w:rsidP="00DF4446">
      <w:pPr>
        <w:pStyle w:val="ListParagraph"/>
        <w:keepNext/>
        <w:numPr>
          <w:ilvl w:val="0"/>
          <w:numId w:val="16"/>
        </w:numPr>
        <w:spacing w:before="240"/>
        <w:ind w:left="720" w:right="720"/>
        <w:contextualSpacing/>
        <w:rPr>
          <w:rFonts w:ascii="Palatino Linotype" w:hAnsi="Palatino Linotype"/>
        </w:rPr>
      </w:pPr>
      <w:r w:rsidRPr="00E35516">
        <w:rPr>
          <w:rFonts w:ascii="Palatino Linotype" w:hAnsi="Palatino Linotype"/>
        </w:rPr>
        <w:t>REQUESTS FOR ACCESS TO RIGHTS OF WAY AND SUPPORT STRUCTURES</w:t>
      </w:r>
    </w:p>
    <w:p w:rsidR="00E35516" w:rsidRPr="00E35516" w:rsidRDefault="00E35516" w:rsidP="00E35516">
      <w:pPr>
        <w:pStyle w:val="ListParagraph"/>
        <w:keepNext/>
        <w:spacing w:before="240"/>
        <w:ind w:left="0" w:right="720"/>
        <w:contextualSpacing/>
        <w:rPr>
          <w:rFonts w:ascii="Palatino Linotype" w:hAnsi="Palatino Linotype"/>
          <w:sz w:val="16"/>
          <w:szCs w:val="16"/>
        </w:rPr>
      </w:pPr>
    </w:p>
    <w:p w:rsidR="00D313F5" w:rsidRPr="00E35516" w:rsidRDefault="00D313F5" w:rsidP="00DF4446">
      <w:pPr>
        <w:pStyle w:val="ListParagraph"/>
        <w:numPr>
          <w:ilvl w:val="0"/>
          <w:numId w:val="17"/>
        </w:numPr>
        <w:spacing w:before="120"/>
        <w:ind w:left="1440" w:right="720" w:hanging="720"/>
        <w:contextualSpacing/>
        <w:rPr>
          <w:rFonts w:ascii="Palatino Linotype" w:hAnsi="Palatino Linotype"/>
        </w:rPr>
      </w:pPr>
      <w:r w:rsidRPr="00E35516">
        <w:rPr>
          <w:rFonts w:ascii="Palatino Linotype" w:hAnsi="Palatino Linotype"/>
        </w:rPr>
        <w:t>INFORMATION REQUIREMENTS OF REQUESTS FOR ACCESS</w:t>
      </w:r>
    </w:p>
    <w:p w:rsidR="00D313F5" w:rsidRPr="00E35516" w:rsidRDefault="00D313F5" w:rsidP="00055850">
      <w:pPr>
        <w:pStyle w:val="ListParagraph"/>
        <w:spacing w:before="120" w:after="120"/>
        <w:ind w:left="1440" w:right="720"/>
        <w:rPr>
          <w:rFonts w:ascii="Palatino Linotype" w:hAnsi="Palatino Linotype"/>
        </w:rPr>
      </w:pPr>
      <w:r w:rsidRPr="00E35516">
        <w:rPr>
          <w:rFonts w:ascii="Palatino Linotype" w:hAnsi="Palatino Linotype"/>
        </w:rPr>
        <w:t>The request for access shall contain the following:</w:t>
      </w:r>
    </w:p>
    <w:p w:rsidR="00D313F5" w:rsidRPr="00E35516" w:rsidRDefault="00D313F5" w:rsidP="00DF4446">
      <w:pPr>
        <w:pStyle w:val="ListParagraph"/>
        <w:numPr>
          <w:ilvl w:val="0"/>
          <w:numId w:val="18"/>
        </w:numPr>
        <w:spacing w:before="240"/>
        <w:ind w:left="1800"/>
        <w:contextualSpacing/>
        <w:rPr>
          <w:rFonts w:ascii="Palatino Linotype" w:hAnsi="Palatino Linotype"/>
        </w:rPr>
      </w:pPr>
      <w:r w:rsidRPr="00E35516">
        <w:rPr>
          <w:rFonts w:ascii="Palatino Linotype" w:hAnsi="Palatino Linotype"/>
        </w:rPr>
        <w:t xml:space="preserve">Information for contacting the carrier, </w:t>
      </w:r>
      <w:r w:rsidRPr="00E35516">
        <w:rPr>
          <w:rFonts w:ascii="Palatino Linotype" w:hAnsi="Palatino Linotype"/>
          <w:b/>
          <w:u w:val="single"/>
        </w:rPr>
        <w:t>CMRS provider,</w:t>
      </w:r>
      <w:r w:rsidRPr="00E35516">
        <w:rPr>
          <w:rFonts w:ascii="Palatino Linotype" w:hAnsi="Palatino Linotype"/>
        </w:rPr>
        <w:t xml:space="preserve"> or cable TV company, including project engineer, and name and address of person to be billed.</w:t>
      </w:r>
    </w:p>
    <w:p w:rsidR="00D313F5" w:rsidRPr="00E35516" w:rsidRDefault="00D313F5" w:rsidP="00DF4446">
      <w:pPr>
        <w:pStyle w:val="ListParagraph"/>
        <w:numPr>
          <w:ilvl w:val="0"/>
          <w:numId w:val="18"/>
        </w:numPr>
        <w:spacing w:before="240"/>
        <w:ind w:left="1800"/>
        <w:contextualSpacing/>
        <w:rPr>
          <w:rFonts w:ascii="Palatino Linotype" w:hAnsi="Palatino Linotype"/>
        </w:rPr>
      </w:pPr>
      <w:r w:rsidRPr="00E35516">
        <w:rPr>
          <w:rFonts w:ascii="Palatino Linotype" w:hAnsi="Palatino Linotype"/>
        </w:rPr>
        <w:t>Loading information, which includes grade and size of attachment, size of cable, average span length, wind loading of their equipment, vertical loading, and bending movement.</w:t>
      </w:r>
    </w:p>
    <w:p w:rsidR="00D313F5" w:rsidRPr="00E35516" w:rsidRDefault="00D313F5" w:rsidP="00DF4446">
      <w:pPr>
        <w:pStyle w:val="ListParagraph"/>
        <w:numPr>
          <w:ilvl w:val="0"/>
          <w:numId w:val="18"/>
        </w:numPr>
        <w:spacing w:before="240"/>
        <w:ind w:left="1800"/>
        <w:contextualSpacing/>
        <w:rPr>
          <w:rFonts w:ascii="Palatino Linotype" w:hAnsi="Palatino Linotype"/>
        </w:rPr>
      </w:pPr>
      <w:r w:rsidRPr="00E35516">
        <w:rPr>
          <w:rFonts w:ascii="Palatino Linotype" w:hAnsi="Palatino Linotype"/>
        </w:rPr>
        <w:t>Copy of property lease or right-of-way document.</w:t>
      </w:r>
    </w:p>
    <w:p w:rsidR="00D313F5" w:rsidRPr="00E35516" w:rsidRDefault="00D313F5" w:rsidP="00D313F5">
      <w:pPr>
        <w:pStyle w:val="ListParagraph"/>
        <w:spacing w:before="240" w:after="120"/>
        <w:ind w:left="1440"/>
        <w:contextualSpacing/>
        <w:rPr>
          <w:rFonts w:ascii="Palatino Linotype" w:hAnsi="Palatino Linotype"/>
        </w:rPr>
      </w:pPr>
    </w:p>
    <w:p w:rsidR="00D313F5" w:rsidRPr="00E35516" w:rsidRDefault="00D313F5" w:rsidP="00055850">
      <w:pPr>
        <w:pStyle w:val="ListParagraph"/>
        <w:keepNext/>
        <w:numPr>
          <w:ilvl w:val="0"/>
          <w:numId w:val="17"/>
        </w:numPr>
        <w:spacing w:before="240"/>
        <w:ind w:left="1440" w:right="720" w:hanging="720"/>
        <w:contextualSpacing/>
        <w:rPr>
          <w:rFonts w:ascii="Palatino Linotype" w:hAnsi="Palatino Linotype"/>
        </w:rPr>
      </w:pPr>
      <w:r w:rsidRPr="00E35516">
        <w:rPr>
          <w:rFonts w:ascii="Palatino Linotype" w:hAnsi="Palatino Linotype"/>
        </w:rPr>
        <w:t>RESPONSES TO REQUESTS FOR ACCESS</w:t>
      </w:r>
    </w:p>
    <w:p w:rsidR="00D313F5" w:rsidRPr="00E35516" w:rsidRDefault="00D313F5" w:rsidP="00492E07">
      <w:pPr>
        <w:pStyle w:val="ListParagraph"/>
        <w:numPr>
          <w:ilvl w:val="0"/>
          <w:numId w:val="19"/>
        </w:numPr>
        <w:spacing w:before="240"/>
        <w:contextualSpacing/>
        <w:rPr>
          <w:rFonts w:ascii="Palatino Linotype" w:hAnsi="Palatino Linotype"/>
        </w:rPr>
      </w:pPr>
      <w:r w:rsidRPr="00E35516">
        <w:rPr>
          <w:rFonts w:ascii="Palatino Linotype" w:hAnsi="Palatino Linotype"/>
        </w:rPr>
        <w:t xml:space="preserve">A utility shall respond in writing to the written request of a telecommunications carrier, </w:t>
      </w:r>
      <w:r w:rsidRPr="00E35516">
        <w:rPr>
          <w:rFonts w:ascii="Palatino Linotype" w:hAnsi="Palatino Linotype"/>
          <w:b/>
          <w:u w:val="single"/>
        </w:rPr>
        <w:t>CMRS provider,</w:t>
      </w:r>
      <w:r w:rsidRPr="00E35516">
        <w:rPr>
          <w:rFonts w:ascii="Palatino Linotype" w:hAnsi="Palatino Linotype"/>
        </w:rPr>
        <w:t xml:space="preserve"> or cable TV company for access (“request for access”) to its rights of way and support structures as quickly as possible, which, in the case of Pacific or GTEC, shall not exceed 45 days.  The response shall affirmatively state whether the utility will grant access or, if it intends to deny access, shall state all of </w:t>
      </w:r>
      <w:r w:rsidRPr="00E35516">
        <w:rPr>
          <w:rFonts w:ascii="Palatino Linotype" w:hAnsi="Palatino Linotype"/>
        </w:rPr>
        <w:lastRenderedPageBreak/>
        <w:t>the reasons why it is denying such access.  Failure of Pacific or GTEC to respond within 45 days shall be deemed an acceptance of the request for access.</w:t>
      </w:r>
    </w:p>
    <w:p w:rsidR="00D313F5" w:rsidRPr="00E35516" w:rsidRDefault="00D313F5" w:rsidP="00492E07">
      <w:pPr>
        <w:pStyle w:val="ListParagraph"/>
        <w:numPr>
          <w:ilvl w:val="0"/>
          <w:numId w:val="19"/>
        </w:numPr>
        <w:spacing w:before="240"/>
        <w:contextualSpacing/>
        <w:rPr>
          <w:rFonts w:ascii="Palatino Linotype" w:hAnsi="Palatino Linotype"/>
        </w:rPr>
      </w:pPr>
      <w:r w:rsidRPr="00E35516">
        <w:rPr>
          <w:rFonts w:ascii="Palatino Linotype" w:hAnsi="Palatino Linotype"/>
        </w:rPr>
        <w:t xml:space="preserve">If, pursuant to a request for access, the utility has notified the telecommunication carrier, </w:t>
      </w:r>
      <w:r w:rsidRPr="00E35516">
        <w:rPr>
          <w:rFonts w:ascii="Palatino Linotype" w:hAnsi="Palatino Linotype"/>
          <w:b/>
          <w:u w:val="single"/>
        </w:rPr>
        <w:t>CMRS provider,</w:t>
      </w:r>
      <w:r w:rsidRPr="00E35516">
        <w:rPr>
          <w:rFonts w:ascii="Palatino Linotype" w:hAnsi="Palatino Linotype"/>
        </w:rPr>
        <w:t xml:space="preserve"> or cable TV company that both adequate space and strength are available for the attachment, and the entity seeking access advises the utility in writing that it wants to make the attachment, the utility shall provide this entity with a list of the rearrangements or changes required to accommodate the entity’s facilities and an estimate of the time required and the cost to perform the utility’s portion of such rearrangements or changes.</w:t>
      </w:r>
    </w:p>
    <w:p w:rsidR="00D313F5" w:rsidRPr="00E35516" w:rsidRDefault="00D313F5" w:rsidP="00F11AC6">
      <w:pPr>
        <w:pStyle w:val="ListParagraph"/>
        <w:numPr>
          <w:ilvl w:val="0"/>
          <w:numId w:val="19"/>
        </w:numPr>
        <w:spacing w:before="240" w:after="120"/>
        <w:contextualSpacing/>
        <w:rPr>
          <w:rFonts w:ascii="Palatino Linotype" w:hAnsi="Palatino Linotype"/>
        </w:rPr>
      </w:pPr>
      <w:r w:rsidRPr="00E35516">
        <w:rPr>
          <w:rFonts w:ascii="Palatino Linotype" w:hAnsi="Palatino Linotype"/>
        </w:rPr>
        <w:t xml:space="preserve">If the utility does not own the property on which its support structures are located, the telecommunication carrier, </w:t>
      </w:r>
      <w:r w:rsidRPr="00E35516">
        <w:rPr>
          <w:rFonts w:ascii="Palatino Linotype" w:hAnsi="Palatino Linotype"/>
          <w:b/>
          <w:u w:val="single"/>
        </w:rPr>
        <w:t>CMRS provider,</w:t>
      </w:r>
      <w:r w:rsidRPr="00E35516">
        <w:rPr>
          <w:rFonts w:ascii="Palatino Linotype" w:hAnsi="Palatino Linotype"/>
        </w:rPr>
        <w:t xml:space="preserve"> or cable TV company must obtain written permission from the owner of that property before attaching or installing its facilities.  The telecommunication carrier, </w:t>
      </w:r>
      <w:r w:rsidRPr="00E35516">
        <w:rPr>
          <w:rFonts w:ascii="Palatino Linotype" w:hAnsi="Palatino Linotype"/>
          <w:b/>
          <w:u w:val="single"/>
        </w:rPr>
        <w:t>CMRS provider,</w:t>
      </w:r>
      <w:r w:rsidRPr="00E35516">
        <w:rPr>
          <w:rFonts w:ascii="Palatino Linotype" w:hAnsi="Palatino Linotype"/>
        </w:rPr>
        <w:t xml:space="preserve"> or cable TV company by using such facilities shall defend and indemnify the owner of the utility facilities, if its franchise or other rights to use the real property are challenged as a result of the telecommunication carrier’s, </w:t>
      </w:r>
      <w:r w:rsidRPr="00E35516">
        <w:rPr>
          <w:rFonts w:ascii="Palatino Linotype" w:hAnsi="Palatino Linotype"/>
          <w:b/>
          <w:u w:val="single"/>
        </w:rPr>
        <w:t>CMRS provider’s,</w:t>
      </w:r>
      <w:r w:rsidRPr="00E35516">
        <w:rPr>
          <w:rFonts w:ascii="Palatino Linotype" w:hAnsi="Palatino Linotype"/>
        </w:rPr>
        <w:t xml:space="preserve"> or the cable TV company’s use or attachment.</w:t>
      </w:r>
    </w:p>
    <w:p w:rsidR="00F11AC6" w:rsidRPr="00E35516" w:rsidRDefault="00F11AC6" w:rsidP="00F11AC6">
      <w:pPr>
        <w:pStyle w:val="ListParagraph"/>
        <w:spacing w:before="240" w:after="120"/>
        <w:ind w:left="1440"/>
        <w:contextualSpacing/>
        <w:rPr>
          <w:rFonts w:ascii="Palatino Linotype" w:hAnsi="Palatino Linotype"/>
        </w:rPr>
      </w:pPr>
    </w:p>
    <w:p w:rsidR="00D313F5" w:rsidRPr="00E35516" w:rsidRDefault="00D313F5" w:rsidP="00DF4446">
      <w:pPr>
        <w:pStyle w:val="ListParagraph"/>
        <w:numPr>
          <w:ilvl w:val="0"/>
          <w:numId w:val="17"/>
        </w:numPr>
        <w:spacing w:before="240"/>
        <w:ind w:left="1440" w:right="720" w:hanging="720"/>
        <w:contextualSpacing/>
        <w:rPr>
          <w:rFonts w:ascii="Palatino Linotype" w:hAnsi="Palatino Linotype"/>
        </w:rPr>
      </w:pPr>
      <w:r w:rsidRPr="00E35516">
        <w:rPr>
          <w:rFonts w:ascii="Palatino Linotype" w:hAnsi="Palatino Linotype"/>
        </w:rPr>
        <w:t>TIME FOR COMPLETION OF MAKE READY WORK</w:t>
      </w:r>
    </w:p>
    <w:p w:rsidR="00D313F5" w:rsidRPr="00E35516" w:rsidRDefault="00D313F5" w:rsidP="00492E07">
      <w:pPr>
        <w:pStyle w:val="ListParagraph"/>
        <w:numPr>
          <w:ilvl w:val="0"/>
          <w:numId w:val="20"/>
        </w:numPr>
        <w:spacing w:before="240"/>
        <w:contextualSpacing/>
        <w:rPr>
          <w:rFonts w:ascii="Palatino Linotype" w:hAnsi="Palatino Linotype"/>
        </w:rPr>
      </w:pPr>
      <w:r w:rsidRPr="00E35516">
        <w:rPr>
          <w:rFonts w:ascii="Palatino Linotype" w:hAnsi="Palatino Linotype"/>
        </w:rPr>
        <w:t xml:space="preserve">If a utility is required to perform make ready work on its poles, ducts or conduit to accommodate a carrier’s, </w:t>
      </w:r>
      <w:r w:rsidRPr="00E35516">
        <w:rPr>
          <w:rFonts w:ascii="Palatino Linotype" w:hAnsi="Palatino Linotype"/>
          <w:b/>
          <w:u w:val="single"/>
        </w:rPr>
        <w:t>CMRS provider’s,</w:t>
      </w:r>
      <w:r w:rsidRPr="00E35516">
        <w:rPr>
          <w:rFonts w:ascii="Palatino Linotype" w:hAnsi="Palatino Linotype"/>
        </w:rPr>
        <w:t xml:space="preserve"> or a cable TV company’s request for access, the utility shall perform such work at the requesting entity’s sole expense.  Such work shall be completed as quickly as possible consistent with applicable legal, safety, and reliability requirements, which, in the case of Pacific or GTEC shall occur within 30 business days of receipt of an advance payment for such work.  If the work involves more than 500 poles or 5 miles of conduit, the parties will negotiate a mutually satisfactory longer time frame to complete such make ready work.</w:t>
      </w:r>
    </w:p>
    <w:p w:rsidR="00F11AC6" w:rsidRPr="00E35516" w:rsidRDefault="00F11AC6" w:rsidP="00F11AC6">
      <w:pPr>
        <w:pStyle w:val="ListParagraph"/>
        <w:spacing w:before="240"/>
        <w:ind w:left="1440"/>
        <w:contextualSpacing/>
        <w:rPr>
          <w:rFonts w:ascii="Palatino Linotype" w:hAnsi="Palatino Linotype"/>
        </w:rPr>
      </w:pPr>
    </w:p>
    <w:p w:rsidR="00D313F5" w:rsidRPr="00E35516" w:rsidRDefault="00D313F5" w:rsidP="00DF4446">
      <w:pPr>
        <w:pStyle w:val="ListParagraph"/>
        <w:keepNext/>
        <w:numPr>
          <w:ilvl w:val="0"/>
          <w:numId w:val="17"/>
        </w:numPr>
        <w:spacing w:before="240"/>
        <w:ind w:left="1440" w:right="720" w:hanging="720"/>
        <w:contextualSpacing/>
        <w:rPr>
          <w:rFonts w:ascii="Palatino Linotype" w:hAnsi="Palatino Linotype"/>
        </w:rPr>
      </w:pPr>
      <w:r w:rsidRPr="00E35516">
        <w:rPr>
          <w:rFonts w:ascii="Palatino Linotype" w:hAnsi="Palatino Linotype"/>
        </w:rPr>
        <w:t>USE OF THIRD PARTY CONTRACTORS</w:t>
      </w:r>
    </w:p>
    <w:p w:rsidR="00D313F5" w:rsidRPr="00E35516" w:rsidRDefault="00D313F5" w:rsidP="00055850">
      <w:pPr>
        <w:pStyle w:val="ListParagraph"/>
        <w:numPr>
          <w:ilvl w:val="0"/>
          <w:numId w:val="21"/>
        </w:numPr>
        <w:spacing w:before="240" w:after="120"/>
        <w:contextualSpacing/>
        <w:rPr>
          <w:rFonts w:ascii="Palatino Linotype" w:hAnsi="Palatino Linotype"/>
        </w:rPr>
      </w:pPr>
      <w:r w:rsidRPr="00E35516">
        <w:rPr>
          <w:rFonts w:ascii="Palatino Linotype" w:hAnsi="Palatino Linotype"/>
        </w:rPr>
        <w:t xml:space="preserve">The ILEC shall maintain a list of contractors that are qualified to respond to requests for information and requests for access, as well as to perform make ready work and attachment and installation of wire communications, </w:t>
      </w:r>
      <w:r w:rsidRPr="00E35516">
        <w:rPr>
          <w:rFonts w:ascii="Palatino Linotype" w:hAnsi="Palatino Linotype"/>
          <w:b/>
          <w:u w:val="single"/>
        </w:rPr>
        <w:t>CMRS facilities,</w:t>
      </w:r>
      <w:r w:rsidRPr="00E35516">
        <w:rPr>
          <w:rFonts w:ascii="Palatino Linotype" w:hAnsi="Palatino Linotype"/>
        </w:rPr>
        <w:t xml:space="preserve"> or cable</w:t>
      </w:r>
      <w:r w:rsidR="008C5287" w:rsidRPr="00E35516">
        <w:rPr>
          <w:rFonts w:ascii="Palatino Linotype" w:hAnsi="Palatino Linotype"/>
        </w:rPr>
        <w:t> </w:t>
      </w:r>
      <w:r w:rsidRPr="00E35516">
        <w:rPr>
          <w:rFonts w:ascii="Palatino Linotype" w:hAnsi="Palatino Linotype"/>
        </w:rPr>
        <w:t xml:space="preserve">TV facilities on the utility’s support structures.  This requirement shall not apply to electric </w:t>
      </w:r>
      <w:r w:rsidRPr="00E35516">
        <w:rPr>
          <w:rFonts w:ascii="Palatino Linotype" w:hAnsi="Palatino Linotype"/>
        </w:rPr>
        <w:lastRenderedPageBreak/>
        <w:t>utilities.  This requirement shall not affect the discretion of a utility to use its own employees.</w:t>
      </w:r>
    </w:p>
    <w:p w:rsidR="00D313F5" w:rsidRPr="00E35516" w:rsidRDefault="00D313F5" w:rsidP="00492E07">
      <w:pPr>
        <w:pStyle w:val="ListParagraph"/>
        <w:numPr>
          <w:ilvl w:val="0"/>
          <w:numId w:val="21"/>
        </w:numPr>
        <w:spacing w:before="240"/>
        <w:contextualSpacing/>
        <w:rPr>
          <w:rFonts w:ascii="Palatino Linotype" w:hAnsi="Palatino Linotype"/>
        </w:rPr>
      </w:pPr>
      <w:r w:rsidRPr="00E35516">
        <w:rPr>
          <w:rFonts w:ascii="Palatino Linotype" w:hAnsi="Palatino Linotype"/>
        </w:rPr>
        <w:t xml:space="preserve">A telecommunications carrier, </w:t>
      </w:r>
      <w:r w:rsidRPr="00E35516">
        <w:rPr>
          <w:rFonts w:ascii="Palatino Linotype" w:hAnsi="Palatino Linotype"/>
          <w:b/>
          <w:u w:val="single"/>
        </w:rPr>
        <w:t>CMRS provider,</w:t>
      </w:r>
      <w:r w:rsidRPr="00E35516">
        <w:rPr>
          <w:rFonts w:ascii="Palatino Linotype" w:hAnsi="Palatino Linotype"/>
        </w:rPr>
        <w:t xml:space="preserve"> or cable TV company may use its own personnel to attach or install the carrier’s communications facilities in or on a utility’s facilities, provided that in the utility’s reasonable judgment, the carrier’s, </w:t>
      </w:r>
      <w:r w:rsidRPr="00E35516">
        <w:rPr>
          <w:rFonts w:ascii="Palatino Linotype" w:hAnsi="Palatino Linotype"/>
          <w:b/>
          <w:u w:val="single"/>
        </w:rPr>
        <w:t>CMRS provider’s,</w:t>
      </w:r>
      <w:r w:rsidRPr="00E35516">
        <w:rPr>
          <w:rFonts w:ascii="Palatino Linotype" w:hAnsi="Palatino Linotype"/>
        </w:rPr>
        <w:t xml:space="preserve"> or cable TV company’s personnel or agents demonstrate that they are trained and qualified to work on or in the utility’s facilities.  To use its own personnel or contractors on electric utility poles, the telecommunications carrier, </w:t>
      </w:r>
      <w:r w:rsidRPr="00E35516">
        <w:rPr>
          <w:rFonts w:ascii="Palatino Linotype" w:hAnsi="Palatino Linotype"/>
          <w:b/>
          <w:u w:val="single"/>
        </w:rPr>
        <w:t>CMRS provider,</w:t>
      </w:r>
      <w:r w:rsidRPr="00E35516">
        <w:rPr>
          <w:rFonts w:ascii="Palatino Linotype" w:hAnsi="Palatino Linotype"/>
        </w:rPr>
        <w:t xml:space="preserve"> or cable TV company must give 48 hours advance notice to the electric utility, unless an electrical shutdown is required.  If an electrical shutdown is required, the telecommunications carrier, </w:t>
      </w:r>
      <w:r w:rsidRPr="00E35516">
        <w:rPr>
          <w:rFonts w:ascii="Palatino Linotype" w:hAnsi="Palatino Linotype"/>
          <w:b/>
          <w:u w:val="single"/>
        </w:rPr>
        <w:t>CMRS provider,</w:t>
      </w:r>
      <w:r w:rsidRPr="00E35516">
        <w:rPr>
          <w:rFonts w:ascii="Palatino Linotype" w:hAnsi="Palatino Linotype"/>
        </w:rPr>
        <w:t xml:space="preserve"> or cable TV company must arrange a specific schedule with the electric utility.  The telecommunications carrier, </w:t>
      </w:r>
      <w:r w:rsidRPr="00E35516">
        <w:rPr>
          <w:rFonts w:ascii="Palatino Linotype" w:hAnsi="Palatino Linotype"/>
          <w:b/>
          <w:u w:val="single"/>
        </w:rPr>
        <w:t>CMRS provider,</w:t>
      </w:r>
      <w:r w:rsidRPr="00E35516">
        <w:rPr>
          <w:rFonts w:ascii="Palatino Linotype" w:hAnsi="Palatino Linotype"/>
        </w:rPr>
        <w:t xml:space="preserve"> or cable</w:t>
      </w:r>
      <w:r w:rsidR="008C5287" w:rsidRPr="00E35516">
        <w:rPr>
          <w:rFonts w:ascii="Palatino Linotype" w:hAnsi="Palatino Linotype"/>
        </w:rPr>
        <w:t> </w:t>
      </w:r>
      <w:r w:rsidRPr="00E35516">
        <w:rPr>
          <w:rFonts w:ascii="Palatino Linotype" w:hAnsi="Palatino Linotype"/>
        </w:rPr>
        <w:t xml:space="preserve">TV company is responsible for all costs associated with an electrical shutdown.  The inspection will be paid for by the attaching entity.  The telecommunications carrier, </w:t>
      </w:r>
      <w:r w:rsidRPr="00E35516">
        <w:rPr>
          <w:rFonts w:ascii="Palatino Linotype" w:hAnsi="Palatino Linotype"/>
          <w:b/>
          <w:u w:val="single"/>
        </w:rPr>
        <w:t>CMRS</w:t>
      </w:r>
      <w:r w:rsidR="008C5287" w:rsidRPr="00E35516">
        <w:rPr>
          <w:rFonts w:ascii="Palatino Linotype" w:hAnsi="Palatino Linotype"/>
          <w:b/>
          <w:u w:val="single"/>
        </w:rPr>
        <w:t> </w:t>
      </w:r>
      <w:r w:rsidRPr="00E35516">
        <w:rPr>
          <w:rFonts w:ascii="Palatino Linotype" w:hAnsi="Palatino Linotype"/>
          <w:b/>
          <w:u w:val="single"/>
        </w:rPr>
        <w:t>provider,</w:t>
      </w:r>
      <w:r w:rsidRPr="00E35516">
        <w:rPr>
          <w:rFonts w:ascii="Palatino Linotype" w:hAnsi="Palatino Linotype"/>
        </w:rPr>
        <w:t xml:space="preserve"> or cable TV company must allow the electric utility, in the utility’s discretion to inspect the </w:t>
      </w:r>
      <w:r w:rsidRPr="00E35516">
        <w:rPr>
          <w:rFonts w:ascii="Palatino Linotype" w:hAnsi="Palatino Linotype"/>
          <w:b/>
          <w:strike/>
        </w:rPr>
        <w:t>telecommunication’s</w:t>
      </w:r>
      <w:r w:rsidRPr="00E35516">
        <w:rPr>
          <w:rFonts w:ascii="Palatino Linotype" w:hAnsi="Palatino Linotype"/>
        </w:rPr>
        <w:t xml:space="preserve"> attachment to the support structure.  This provision shall not apply to electric underground facilities containing energized electric supply cables.  Work involving electric underground facilities containing energized electric supply cables or the rearranging of overhead electric facilities will be conducted as required by the electric utility at its sole discretion.  In no event shall the telecommunications, </w:t>
      </w:r>
      <w:r w:rsidRPr="00E35516">
        <w:rPr>
          <w:rFonts w:ascii="Palatino Linotype" w:hAnsi="Palatino Linotype"/>
          <w:b/>
          <w:u w:val="single"/>
        </w:rPr>
        <w:t>CMRS provider,</w:t>
      </w:r>
      <w:r w:rsidRPr="00E35516">
        <w:rPr>
          <w:rFonts w:ascii="Palatino Linotype" w:hAnsi="Palatino Linotype"/>
        </w:rPr>
        <w:t xml:space="preserve"> or cable TV company or their respective contractor, interfere with the electric utility’s equipment or service.</w:t>
      </w:r>
    </w:p>
    <w:p w:rsidR="00D313F5" w:rsidRPr="00E35516" w:rsidRDefault="00D313F5" w:rsidP="00492E07">
      <w:pPr>
        <w:pStyle w:val="ListParagraph"/>
        <w:numPr>
          <w:ilvl w:val="0"/>
          <w:numId w:val="21"/>
        </w:numPr>
        <w:spacing w:before="240" w:after="120"/>
        <w:contextualSpacing/>
        <w:rPr>
          <w:rFonts w:ascii="Palatino Linotype" w:hAnsi="Palatino Linotype"/>
        </w:rPr>
      </w:pPr>
      <w:r w:rsidRPr="00E35516">
        <w:rPr>
          <w:rFonts w:ascii="Palatino Linotype" w:hAnsi="Palatino Linotype"/>
        </w:rPr>
        <w:t xml:space="preserve">Incumbent utilities should adopt written guidelines to ensure that telecommunication carriers’, </w:t>
      </w:r>
      <w:r w:rsidRPr="00E35516">
        <w:rPr>
          <w:rFonts w:ascii="Palatino Linotype" w:hAnsi="Palatino Linotype"/>
          <w:b/>
          <w:u w:val="single"/>
        </w:rPr>
        <w:t>CMRS provider’s,</w:t>
      </w:r>
      <w:r w:rsidRPr="00E35516">
        <w:rPr>
          <w:rFonts w:ascii="Palatino Linotype" w:hAnsi="Palatino Linotype"/>
        </w:rPr>
        <w:t xml:space="preserve"> and cable TV companies’ personnel and third-party contractors are qualified.  These guidelines must be reasonable and objective, and must apply equally to the incumbent utility’s own personnel or the incumbent utility’s own third-party contractors.  Incumbent utilities must seek industry input when drafting such guidelines.</w:t>
      </w:r>
    </w:p>
    <w:p w:rsidR="00D313F5" w:rsidRPr="00E35516" w:rsidRDefault="00D313F5" w:rsidP="00D313F5">
      <w:pPr>
        <w:pStyle w:val="ListParagraph"/>
        <w:spacing w:before="240" w:after="120"/>
        <w:ind w:left="1440"/>
        <w:contextualSpacing/>
        <w:rPr>
          <w:rFonts w:ascii="Palatino Linotype" w:hAnsi="Palatino Linotype"/>
        </w:rPr>
      </w:pPr>
    </w:p>
    <w:p w:rsidR="00D313F5" w:rsidRPr="00E35516" w:rsidRDefault="00D313F5" w:rsidP="00DF4446">
      <w:pPr>
        <w:pStyle w:val="ListParagraph"/>
        <w:keepNext/>
        <w:numPr>
          <w:ilvl w:val="0"/>
          <w:numId w:val="16"/>
        </w:numPr>
        <w:spacing w:after="120"/>
        <w:ind w:left="720"/>
        <w:contextualSpacing/>
        <w:rPr>
          <w:rFonts w:ascii="Palatino Linotype" w:hAnsi="Palatino Linotype"/>
        </w:rPr>
      </w:pPr>
      <w:r w:rsidRPr="00E35516">
        <w:rPr>
          <w:rFonts w:ascii="Palatino Linotype" w:hAnsi="Palatino Linotype"/>
        </w:rPr>
        <w:lastRenderedPageBreak/>
        <w:t>NONDISCLOSURE</w:t>
      </w:r>
    </w:p>
    <w:p w:rsidR="008C5287" w:rsidRPr="00E35516" w:rsidRDefault="008C5287" w:rsidP="00E35516">
      <w:pPr>
        <w:pStyle w:val="ListParagraph"/>
        <w:keepNext/>
        <w:suppressAutoHyphens/>
        <w:spacing w:before="240"/>
        <w:ind w:left="0" w:right="720"/>
        <w:contextualSpacing/>
        <w:rPr>
          <w:rFonts w:ascii="Palatino Linotype" w:hAnsi="Palatino Linotype"/>
          <w:sz w:val="16"/>
          <w:szCs w:val="16"/>
        </w:rPr>
      </w:pPr>
    </w:p>
    <w:p w:rsidR="00D313F5" w:rsidRPr="00E35516" w:rsidRDefault="00D313F5" w:rsidP="00DF4446">
      <w:pPr>
        <w:pStyle w:val="ListParagraph"/>
        <w:keepNext/>
        <w:numPr>
          <w:ilvl w:val="0"/>
          <w:numId w:val="22"/>
        </w:numPr>
        <w:spacing w:before="240"/>
        <w:ind w:left="1440" w:right="720" w:hanging="720"/>
        <w:contextualSpacing/>
        <w:rPr>
          <w:rFonts w:ascii="Palatino Linotype" w:hAnsi="Palatino Linotype"/>
        </w:rPr>
      </w:pPr>
      <w:r w:rsidRPr="00E35516">
        <w:rPr>
          <w:rFonts w:ascii="Palatino Linotype" w:hAnsi="Palatino Linotype"/>
        </w:rPr>
        <w:t>DUTY NOT TO DISCLOSE PROPRIETARY INFORMATION</w:t>
      </w:r>
    </w:p>
    <w:p w:rsidR="00D313F5" w:rsidRPr="00E35516" w:rsidRDefault="00D313F5" w:rsidP="00492E07">
      <w:pPr>
        <w:pStyle w:val="ListParagraph"/>
        <w:numPr>
          <w:ilvl w:val="0"/>
          <w:numId w:val="23"/>
        </w:numPr>
        <w:spacing w:before="240" w:after="120"/>
        <w:contextualSpacing/>
        <w:rPr>
          <w:rFonts w:ascii="Palatino Linotype" w:hAnsi="Palatino Linotype"/>
        </w:rPr>
      </w:pPr>
      <w:r w:rsidRPr="00E35516">
        <w:rPr>
          <w:rFonts w:ascii="Palatino Linotype" w:hAnsi="Palatino Linotype"/>
        </w:rPr>
        <w:t xml:space="preserve">The utility and entities seeking access to poles or other support structures may provide reciprocal standard nondisclosure agreements that permit either party to designate as proprietary information any portion of a request for information or a response thereto, regarding the availability of surplus space or excess capacity on or in its support structures, or of a request for access to such surplus space or excess capacity, as well as any maps, plans, drawings or other information, including those that disclose the telecommunications carrier’s, </w:t>
      </w:r>
      <w:r w:rsidRPr="00E35516">
        <w:rPr>
          <w:rFonts w:ascii="Palatino Linotype" w:hAnsi="Palatino Linotype"/>
          <w:b/>
          <w:u w:val="single"/>
        </w:rPr>
        <w:t>CMRS</w:t>
      </w:r>
      <w:r w:rsidR="00055850">
        <w:rPr>
          <w:rFonts w:ascii="Palatino Linotype" w:hAnsi="Palatino Linotype"/>
          <w:b/>
          <w:u w:val="single"/>
        </w:rPr>
        <w:t> </w:t>
      </w:r>
      <w:r w:rsidRPr="00E35516">
        <w:rPr>
          <w:rFonts w:ascii="Palatino Linotype" w:hAnsi="Palatino Linotype"/>
          <w:b/>
          <w:u w:val="single"/>
        </w:rPr>
        <w:t>provider’s,</w:t>
      </w:r>
      <w:r w:rsidRPr="00E35516">
        <w:rPr>
          <w:rFonts w:ascii="Palatino Linotype" w:hAnsi="Palatino Linotype"/>
        </w:rPr>
        <w:t xml:space="preserve"> or cable TV company’s plans for where it intends to compete against an incumbent telephone utility.  Each party shall have a duty not to disclose any information which the other contracting party has designated as proprietary except to personnel within the utility that have an actual, verifiable “need to know” in order to respond to requests for information or requests for access.</w:t>
      </w:r>
    </w:p>
    <w:p w:rsidR="008C5287" w:rsidRPr="00E35516" w:rsidRDefault="008C5287" w:rsidP="008C5287">
      <w:pPr>
        <w:pStyle w:val="ListParagraph"/>
        <w:spacing w:before="240" w:after="120"/>
        <w:ind w:left="1440"/>
        <w:contextualSpacing/>
        <w:rPr>
          <w:rFonts w:ascii="Palatino Linotype" w:hAnsi="Palatino Linotype"/>
        </w:rPr>
      </w:pPr>
    </w:p>
    <w:p w:rsidR="00D313F5" w:rsidRPr="00E35516" w:rsidRDefault="00D313F5" w:rsidP="00DF4446">
      <w:pPr>
        <w:pStyle w:val="ListParagraph"/>
        <w:numPr>
          <w:ilvl w:val="0"/>
          <w:numId w:val="22"/>
        </w:numPr>
        <w:spacing w:before="240" w:after="120"/>
        <w:ind w:left="1440" w:right="720" w:hanging="720"/>
        <w:contextualSpacing/>
        <w:rPr>
          <w:rFonts w:ascii="Palatino Linotype" w:hAnsi="Palatino Linotype"/>
        </w:rPr>
      </w:pPr>
      <w:r w:rsidRPr="00E35516">
        <w:rPr>
          <w:rFonts w:ascii="Palatino Linotype" w:hAnsi="Palatino Linotype"/>
        </w:rPr>
        <w:t>SANCTIONS FOR VIOLATIONS OF NONDISCLOSURE AGREEMENTS</w:t>
      </w:r>
    </w:p>
    <w:p w:rsidR="00D313F5" w:rsidRPr="00E35516" w:rsidRDefault="00D313F5" w:rsidP="00492E07">
      <w:pPr>
        <w:pStyle w:val="ListParagraph"/>
        <w:numPr>
          <w:ilvl w:val="0"/>
          <w:numId w:val="24"/>
        </w:numPr>
        <w:spacing w:before="240"/>
        <w:contextualSpacing/>
        <w:rPr>
          <w:rFonts w:ascii="Palatino Linotype" w:hAnsi="Palatino Linotype"/>
        </w:rPr>
      </w:pPr>
      <w:r w:rsidRPr="00E35516">
        <w:rPr>
          <w:rFonts w:ascii="Palatino Linotype" w:hAnsi="Palatino Linotype"/>
        </w:rPr>
        <w:t xml:space="preserve">Each party shall take every precaution necessary to prevent employees in its field offices or other offices responsible for making or responding to requests for information or requests for access from disclosing any proprietary information of the other party.  Under no circumstances may a party disclose such information to marketing, sales or customer representative personnel.  Proprietary information shall be disclosed only to personnel in the utility’s field offices or other offices responsible for making or responding to such requests who have an actual, verifiable “need to know” for purposes of responding to such requests.  Such personnel shall be advised of their duty not to disclose such information to any other person who does not have a “need to know” such information.  Violation of the duty not to disclose proprietary information shall be cause for imposition of such sanctions as, in the Commission’s </w:t>
      </w:r>
      <w:r w:rsidR="00055850" w:rsidRPr="00E35516">
        <w:rPr>
          <w:rFonts w:ascii="Palatino Linotype" w:hAnsi="Palatino Linotype"/>
        </w:rPr>
        <w:t>judgment</w:t>
      </w:r>
      <w:r w:rsidRPr="00E35516">
        <w:rPr>
          <w:rFonts w:ascii="Palatino Linotype" w:hAnsi="Palatino Linotype"/>
        </w:rPr>
        <w:t>, are necessary to deter the party from breaching its duty not to disclose proprietary information in the future.  Any violation of the duty not to disclose proprietary information will be accompanied by findings of fact that permit a party whose proprietary information has improperly been disclosed to seek further remedies in a civil action.</w:t>
      </w:r>
    </w:p>
    <w:p w:rsidR="008C5287" w:rsidRPr="00E35516" w:rsidRDefault="008C5287" w:rsidP="008C5287">
      <w:pPr>
        <w:pStyle w:val="ListParagraph"/>
        <w:spacing w:before="240"/>
        <w:ind w:left="1440"/>
        <w:contextualSpacing/>
        <w:rPr>
          <w:rFonts w:ascii="Palatino Linotype" w:hAnsi="Palatino Linotype"/>
        </w:rPr>
      </w:pPr>
    </w:p>
    <w:p w:rsidR="00D313F5" w:rsidRPr="00E35516" w:rsidRDefault="00D313F5" w:rsidP="00DF4446">
      <w:pPr>
        <w:pStyle w:val="ListParagraph"/>
        <w:keepNext/>
        <w:numPr>
          <w:ilvl w:val="0"/>
          <w:numId w:val="16"/>
        </w:numPr>
        <w:spacing w:before="240"/>
        <w:ind w:left="720" w:right="720"/>
        <w:contextualSpacing/>
        <w:rPr>
          <w:rFonts w:ascii="Palatino Linotype" w:hAnsi="Palatino Linotype"/>
        </w:rPr>
      </w:pPr>
      <w:r w:rsidRPr="00E35516">
        <w:rPr>
          <w:rFonts w:ascii="Palatino Linotype" w:hAnsi="Palatino Linotype"/>
        </w:rPr>
        <w:t>PRICING AND TARIFFS GOVERNING ACCESS</w:t>
      </w:r>
    </w:p>
    <w:p w:rsidR="008C5287" w:rsidRPr="00E35516" w:rsidRDefault="008C5287" w:rsidP="00E35516">
      <w:pPr>
        <w:pStyle w:val="ListParagraph"/>
        <w:suppressAutoHyphens/>
        <w:spacing w:before="240"/>
        <w:ind w:left="0" w:right="720"/>
        <w:contextualSpacing/>
        <w:rPr>
          <w:rFonts w:ascii="Palatino Linotype" w:hAnsi="Palatino Linotype"/>
          <w:sz w:val="16"/>
          <w:szCs w:val="16"/>
        </w:rPr>
      </w:pPr>
    </w:p>
    <w:p w:rsidR="00D313F5" w:rsidRPr="00E35516" w:rsidRDefault="00D313F5" w:rsidP="00DF4446">
      <w:pPr>
        <w:pStyle w:val="ListParagraph"/>
        <w:keepNext/>
        <w:numPr>
          <w:ilvl w:val="0"/>
          <w:numId w:val="25"/>
        </w:numPr>
        <w:spacing w:before="240"/>
        <w:ind w:left="1440" w:right="720" w:hanging="720"/>
        <w:contextualSpacing/>
        <w:rPr>
          <w:rFonts w:ascii="Palatino Linotype" w:hAnsi="Palatino Linotype"/>
        </w:rPr>
      </w:pPr>
      <w:r w:rsidRPr="00E35516">
        <w:rPr>
          <w:rFonts w:ascii="Palatino Linotype" w:hAnsi="Palatino Linotype"/>
        </w:rPr>
        <w:t>GENERAL PRINCIPLE OF NONDISCRIMINATION</w:t>
      </w:r>
    </w:p>
    <w:p w:rsidR="00D313F5" w:rsidRPr="00E35516" w:rsidRDefault="00D313F5" w:rsidP="00492E07">
      <w:pPr>
        <w:pStyle w:val="ListParagraph"/>
        <w:numPr>
          <w:ilvl w:val="0"/>
          <w:numId w:val="26"/>
        </w:numPr>
        <w:spacing w:before="240"/>
        <w:contextualSpacing/>
        <w:rPr>
          <w:rFonts w:ascii="Palatino Linotype" w:hAnsi="Palatino Linotype"/>
        </w:rPr>
      </w:pPr>
      <w:r w:rsidRPr="00E35516">
        <w:rPr>
          <w:rFonts w:ascii="Palatino Linotype" w:hAnsi="Palatino Linotype"/>
        </w:rPr>
        <w:t>A utility shall grant access to its rights-of-way and support structures to telecommunications carriers</w:t>
      </w:r>
      <w:r w:rsidRPr="00E35516">
        <w:rPr>
          <w:rFonts w:ascii="Palatino Linotype" w:hAnsi="Palatino Linotype"/>
          <w:b/>
        </w:rPr>
        <w:t xml:space="preserve">, </w:t>
      </w:r>
      <w:r w:rsidRPr="00E35516">
        <w:rPr>
          <w:rFonts w:ascii="Palatino Linotype" w:hAnsi="Palatino Linotype"/>
          <w:b/>
          <w:u w:val="single"/>
        </w:rPr>
        <w:t>CMRS providers</w:t>
      </w:r>
      <w:r w:rsidRPr="00E35516">
        <w:rPr>
          <w:rFonts w:ascii="Palatino Linotype" w:hAnsi="Palatino Linotype"/>
          <w:b/>
        </w:rPr>
        <w:t xml:space="preserve">, </w:t>
      </w:r>
      <w:r w:rsidRPr="00E35516">
        <w:rPr>
          <w:rFonts w:ascii="Palatino Linotype" w:hAnsi="Palatino Linotype"/>
          <w:b/>
          <w:strike/>
        </w:rPr>
        <w:t>or cable TV company</w:t>
      </w:r>
      <w:r w:rsidRPr="00E35516">
        <w:rPr>
          <w:rFonts w:ascii="Palatino Linotype" w:hAnsi="Palatino Linotype"/>
        </w:rPr>
        <w:t xml:space="preserve"> and cable TV companies on a nondiscriminatory basis.  Nondiscriminatory access is access on a first-come, first</w:t>
      </w:r>
      <w:r w:rsidRPr="00E35516">
        <w:rPr>
          <w:rFonts w:ascii="Palatino Linotype" w:hAnsi="Palatino Linotype"/>
        </w:rPr>
        <w:noBreakHyphen/>
        <w:t xml:space="preserve">served basis; access that can be restricted only on consistently applied nondiscriminatory principles relating to capacity constraints, and safety, engineering, and reliability requirements.  Electric utilities’ use of its own facilities for internal communications in support of its utility function shall not be considered to establish a comparison for nondiscriminatory access.  A utility shall have the ability to negotiate with a telecommunications carrier, </w:t>
      </w:r>
      <w:r w:rsidRPr="00E35516">
        <w:rPr>
          <w:rFonts w:ascii="Palatino Linotype" w:hAnsi="Palatino Linotype"/>
          <w:b/>
          <w:u w:val="single"/>
        </w:rPr>
        <w:t>CMRS provider,</w:t>
      </w:r>
      <w:r w:rsidRPr="00E35516">
        <w:rPr>
          <w:rFonts w:ascii="Palatino Linotype" w:hAnsi="Palatino Linotype"/>
        </w:rPr>
        <w:t xml:space="preserve"> or cable</w:t>
      </w:r>
      <w:r w:rsidR="008C5287" w:rsidRPr="00E35516">
        <w:rPr>
          <w:rFonts w:ascii="Palatino Linotype" w:hAnsi="Palatino Linotype"/>
        </w:rPr>
        <w:t> </w:t>
      </w:r>
      <w:r w:rsidRPr="00E35516">
        <w:rPr>
          <w:rFonts w:ascii="Palatino Linotype" w:hAnsi="Palatino Linotype"/>
        </w:rPr>
        <w:t>TV company the price for access to its rights of way and support structures.</w:t>
      </w:r>
    </w:p>
    <w:p w:rsidR="00D313F5" w:rsidRPr="00E35516" w:rsidRDefault="00D313F5" w:rsidP="00492E07">
      <w:pPr>
        <w:pStyle w:val="ListParagraph"/>
        <w:numPr>
          <w:ilvl w:val="0"/>
          <w:numId w:val="26"/>
        </w:numPr>
        <w:spacing w:before="120" w:after="120"/>
        <w:contextualSpacing/>
        <w:rPr>
          <w:rFonts w:ascii="Palatino Linotype" w:hAnsi="Palatino Linotype"/>
        </w:rPr>
      </w:pPr>
      <w:r w:rsidRPr="00E35516">
        <w:rPr>
          <w:rFonts w:ascii="Palatino Linotype" w:hAnsi="Palatino Linotype"/>
        </w:rPr>
        <w:t xml:space="preserve">A utility shall grant access to its rights-of-way and support structures to telecommunications carriers, </w:t>
      </w:r>
      <w:r w:rsidRPr="00E35516">
        <w:rPr>
          <w:rFonts w:ascii="Palatino Linotype" w:hAnsi="Palatino Linotype"/>
          <w:b/>
          <w:u w:val="single"/>
        </w:rPr>
        <w:t>CMRS providers,</w:t>
      </w:r>
      <w:r w:rsidRPr="00E35516">
        <w:rPr>
          <w:rFonts w:ascii="Palatino Linotype" w:hAnsi="Palatino Linotype"/>
        </w:rPr>
        <w:t xml:space="preserve"> and cable TV companies on a nondiscriminatory basis, access to or use of the right-of-way, where such right-of-way is located on private property and safety, engineering, and reliability requirements.  Electric utilities’ use of their own facilities for internal communications in support of their utility function shall not be considered to establish a comparison for nondiscriminatory access.  A utility shall have the ability to negotiate with a telecommunications carrier, </w:t>
      </w:r>
      <w:r w:rsidRPr="00E35516">
        <w:rPr>
          <w:rFonts w:ascii="Palatino Linotype" w:hAnsi="Palatino Linotype"/>
          <w:b/>
          <w:u w:val="single"/>
        </w:rPr>
        <w:t>CMRS provider,</w:t>
      </w:r>
      <w:r w:rsidRPr="00E35516">
        <w:rPr>
          <w:rFonts w:ascii="Palatino Linotype" w:hAnsi="Palatino Linotype"/>
        </w:rPr>
        <w:t xml:space="preserve"> or cable</w:t>
      </w:r>
      <w:r w:rsidR="008C5287" w:rsidRPr="00E35516">
        <w:rPr>
          <w:rFonts w:ascii="Palatino Linotype" w:hAnsi="Palatino Linotype"/>
        </w:rPr>
        <w:t> </w:t>
      </w:r>
      <w:r w:rsidRPr="00E35516">
        <w:rPr>
          <w:rFonts w:ascii="Palatino Linotype" w:hAnsi="Palatino Linotype"/>
        </w:rPr>
        <w:t>TV company the price for access to its rights</w:t>
      </w:r>
      <w:r w:rsidRPr="00E35516">
        <w:rPr>
          <w:rFonts w:ascii="Palatino Linotype" w:hAnsi="Palatino Linotype"/>
        </w:rPr>
        <w:noBreakHyphen/>
        <w:t>of</w:t>
      </w:r>
      <w:r w:rsidRPr="00E35516">
        <w:rPr>
          <w:rFonts w:ascii="Palatino Linotype" w:hAnsi="Palatino Linotype"/>
        </w:rPr>
        <w:noBreakHyphen/>
        <w:t>way and support structures.</w:t>
      </w:r>
    </w:p>
    <w:p w:rsidR="008C5287" w:rsidRPr="00055850" w:rsidRDefault="008C5287" w:rsidP="008C5287">
      <w:pPr>
        <w:pStyle w:val="ListParagraph"/>
        <w:spacing w:before="120" w:after="120"/>
        <w:ind w:left="1440"/>
        <w:contextualSpacing/>
        <w:rPr>
          <w:rFonts w:ascii="Palatino Linotype" w:hAnsi="Palatino Linotype"/>
          <w:sz w:val="20"/>
          <w:szCs w:val="20"/>
        </w:rPr>
      </w:pPr>
    </w:p>
    <w:p w:rsidR="00D313F5" w:rsidRPr="00E35516" w:rsidRDefault="00D313F5" w:rsidP="00DF4446">
      <w:pPr>
        <w:pStyle w:val="ListParagraph"/>
        <w:keepNext/>
        <w:numPr>
          <w:ilvl w:val="0"/>
          <w:numId w:val="25"/>
        </w:numPr>
        <w:spacing w:before="240"/>
        <w:ind w:left="1440" w:right="720" w:hanging="720"/>
        <w:contextualSpacing/>
        <w:rPr>
          <w:rFonts w:ascii="Palatino Linotype" w:hAnsi="Palatino Linotype"/>
        </w:rPr>
      </w:pPr>
      <w:r w:rsidRPr="00E35516">
        <w:rPr>
          <w:rFonts w:ascii="Palatino Linotype" w:hAnsi="Palatino Linotype"/>
        </w:rPr>
        <w:t>MANNER OF PRICING ACCESS</w:t>
      </w:r>
    </w:p>
    <w:p w:rsidR="00D313F5" w:rsidRPr="00E35516" w:rsidRDefault="00D313F5" w:rsidP="00492E07">
      <w:pPr>
        <w:pStyle w:val="ListParagraph"/>
        <w:numPr>
          <w:ilvl w:val="0"/>
          <w:numId w:val="27"/>
        </w:numPr>
        <w:spacing w:before="240"/>
        <w:contextualSpacing/>
        <w:rPr>
          <w:rFonts w:ascii="Palatino Linotype" w:hAnsi="Palatino Linotype"/>
        </w:rPr>
      </w:pPr>
      <w:r w:rsidRPr="00E35516">
        <w:rPr>
          <w:rFonts w:ascii="Palatino Linotype" w:hAnsi="Palatino Linotype"/>
        </w:rPr>
        <w:t xml:space="preserve">Whenever a public utility and a telecommunications carrier,  </w:t>
      </w:r>
      <w:r w:rsidRPr="00E35516">
        <w:rPr>
          <w:rFonts w:ascii="Palatino Linotype" w:hAnsi="Palatino Linotype"/>
          <w:b/>
          <w:u w:val="single"/>
        </w:rPr>
        <w:t>CMRS provider,</w:t>
      </w:r>
      <w:r w:rsidRPr="00E35516">
        <w:rPr>
          <w:rFonts w:ascii="Palatino Linotype" w:hAnsi="Palatino Linotype"/>
        </w:rPr>
        <w:t xml:space="preserve"> or cable TV company, or associations, therefore, are unable to agree upon the terms, conditions, or annual compensation for pole attachments or the terms, conditions, or costs of rearrangements, the Commission shall establish and enforce the rates, terms and conditions for pole attachments and rearrangements so as to assure a public utility the recovery of both of the following:</w:t>
      </w:r>
    </w:p>
    <w:p w:rsidR="00D313F5" w:rsidRPr="00E35516" w:rsidRDefault="00D313F5" w:rsidP="00DF4446">
      <w:pPr>
        <w:pStyle w:val="ListParagraph"/>
        <w:numPr>
          <w:ilvl w:val="0"/>
          <w:numId w:val="28"/>
        </w:numPr>
        <w:spacing w:before="120" w:after="120"/>
        <w:ind w:left="2707" w:hanging="547"/>
        <w:contextualSpacing/>
        <w:rPr>
          <w:rFonts w:ascii="Palatino Linotype" w:hAnsi="Palatino Linotype"/>
        </w:rPr>
      </w:pPr>
      <w:r w:rsidRPr="00E35516">
        <w:rPr>
          <w:rFonts w:ascii="Palatino Linotype" w:hAnsi="Palatino Linotype"/>
        </w:rPr>
        <w:lastRenderedPageBreak/>
        <w:t>A one-time reimbursement for actual costs incurred by the public utility for rearrangements performed at the request of the telecommunications carrier.</w:t>
      </w:r>
    </w:p>
    <w:p w:rsidR="00D313F5" w:rsidRPr="00E35516" w:rsidRDefault="00D313F5" w:rsidP="00DF4446">
      <w:pPr>
        <w:pStyle w:val="ListParagraph"/>
        <w:numPr>
          <w:ilvl w:val="0"/>
          <w:numId w:val="28"/>
        </w:numPr>
        <w:spacing w:before="120" w:after="120"/>
        <w:ind w:left="2707" w:hanging="547"/>
        <w:contextualSpacing/>
        <w:rPr>
          <w:rFonts w:ascii="Palatino Linotype" w:hAnsi="Palatino Linotype"/>
        </w:rPr>
      </w:pPr>
      <w:r w:rsidRPr="00E35516">
        <w:rPr>
          <w:rFonts w:ascii="Palatino Linotype" w:hAnsi="Palatino Linotype"/>
        </w:rPr>
        <w:t>An annual recurring fee computed as follows:</w:t>
      </w:r>
    </w:p>
    <w:p w:rsidR="00D313F5" w:rsidRPr="00E35516" w:rsidRDefault="00D313F5" w:rsidP="00DF4446">
      <w:pPr>
        <w:pStyle w:val="ListParagraph"/>
        <w:numPr>
          <w:ilvl w:val="0"/>
          <w:numId w:val="29"/>
        </w:numPr>
        <w:spacing w:before="240"/>
        <w:ind w:hanging="540"/>
        <w:contextualSpacing/>
        <w:rPr>
          <w:rFonts w:ascii="Palatino Linotype" w:hAnsi="Palatino Linotype"/>
        </w:rPr>
      </w:pPr>
      <w:r w:rsidRPr="00E35516">
        <w:rPr>
          <w:rFonts w:ascii="Palatino Linotype" w:hAnsi="Palatino Linotype"/>
        </w:rPr>
        <w:t xml:space="preserve">For each pole and supporting anchor actually used by the telecommunications carrier, </w:t>
      </w:r>
      <w:r w:rsidRPr="00E35516">
        <w:rPr>
          <w:rFonts w:ascii="Palatino Linotype" w:hAnsi="Palatino Linotype"/>
          <w:b/>
          <w:u w:val="single"/>
        </w:rPr>
        <w:t>CMRS provider,</w:t>
      </w:r>
      <w:r w:rsidRPr="00E35516">
        <w:rPr>
          <w:rFonts w:ascii="Palatino Linotype" w:hAnsi="Palatino Linotype"/>
        </w:rPr>
        <w:t xml:space="preserve"> or cable</w:t>
      </w:r>
      <w:r w:rsidR="008C5287" w:rsidRPr="00E35516">
        <w:rPr>
          <w:rFonts w:ascii="Palatino Linotype" w:hAnsi="Palatino Linotype"/>
        </w:rPr>
        <w:t> </w:t>
      </w:r>
      <w:r w:rsidRPr="00E35516">
        <w:rPr>
          <w:rFonts w:ascii="Palatino Linotype" w:hAnsi="Palatino Linotype"/>
        </w:rPr>
        <w:t>TV company, the annual fee shall be two dollars and fifty cents ($2.50) or 7.4 percent of the public utility’s annual cost of ownership for the pole and supporting anchor, whichever is greater, except that if a public utility applies for establishment of a fee in excess of two dollars and fifty cents ($2.50) under this rule, the annual fee shall be 7.4 percent of the public utility’s annual cost of ownership for the pole and supporting anchor.</w:t>
      </w:r>
    </w:p>
    <w:p w:rsidR="00D313F5" w:rsidRPr="00E35516" w:rsidRDefault="00D313F5" w:rsidP="00DF4446">
      <w:pPr>
        <w:pStyle w:val="ListParagraph"/>
        <w:numPr>
          <w:ilvl w:val="0"/>
          <w:numId w:val="29"/>
        </w:numPr>
        <w:spacing w:before="240"/>
        <w:ind w:hanging="540"/>
        <w:contextualSpacing/>
        <w:rPr>
          <w:rFonts w:ascii="Palatino Linotype" w:hAnsi="Palatino Linotype"/>
        </w:rPr>
      </w:pPr>
      <w:r w:rsidRPr="00E35516">
        <w:rPr>
          <w:rFonts w:ascii="Palatino Linotype" w:hAnsi="Palatino Linotype"/>
        </w:rPr>
        <w:t>For support structures used by the telecommunications carrier or cable TV company, other than poles or anchors, a percentage of the annual cost of ownership for the support structure, computed by dividing the volume or capacity rendered unusable by the telecommunications carrier’s or cable TV company’s equipment by the total usable volume or capacity.  As used in this paragraph, “total usable volume or capacity” means all volume or capacity in which the public utility’s line, plant, or system could legally be located, including the volume or capacity rendered unusable by the telecommunications carrier’s or cable TV company’s equipment.</w:t>
      </w:r>
    </w:p>
    <w:p w:rsidR="00D313F5" w:rsidRPr="00E35516" w:rsidRDefault="00D313F5" w:rsidP="00D313F5">
      <w:pPr>
        <w:spacing w:before="240"/>
        <w:ind w:left="2700" w:hanging="540"/>
        <w:rPr>
          <w:rFonts w:ascii="Palatino Linotype" w:hAnsi="Palatino Linotype"/>
          <w:sz w:val="24"/>
          <w:szCs w:val="24"/>
        </w:rPr>
      </w:pPr>
      <w:r w:rsidRPr="00E35516">
        <w:rPr>
          <w:rFonts w:ascii="Palatino Linotype" w:hAnsi="Palatino Linotype"/>
          <w:sz w:val="24"/>
          <w:szCs w:val="24"/>
        </w:rPr>
        <w:t>c.</w:t>
      </w:r>
      <w:r w:rsidRPr="00E35516">
        <w:rPr>
          <w:rFonts w:ascii="Palatino Linotype" w:hAnsi="Palatino Linotype"/>
          <w:sz w:val="24"/>
          <w:szCs w:val="24"/>
        </w:rPr>
        <w:tab/>
        <w:t xml:space="preserve">A utility may not charge a telecommunications carrier, </w:t>
      </w:r>
      <w:r w:rsidRPr="00E35516">
        <w:rPr>
          <w:rFonts w:ascii="Palatino Linotype" w:hAnsi="Palatino Linotype"/>
          <w:b/>
          <w:sz w:val="24"/>
          <w:szCs w:val="24"/>
          <w:u w:val="single"/>
        </w:rPr>
        <w:t>CMRS provider,</w:t>
      </w:r>
      <w:r w:rsidRPr="00E35516">
        <w:rPr>
          <w:rFonts w:ascii="Palatino Linotype" w:hAnsi="Palatino Linotype"/>
          <w:sz w:val="24"/>
          <w:szCs w:val="24"/>
        </w:rPr>
        <w:t xml:space="preserve"> or cable TV company a higher rate for access to its rights of way and support structures than it would charge a similarly situated cable television corporation for access to the same rights of way and support structures.</w:t>
      </w:r>
    </w:p>
    <w:p w:rsidR="00D313F5" w:rsidRPr="00E35516" w:rsidRDefault="00D313F5" w:rsidP="00D313F5">
      <w:pPr>
        <w:spacing w:before="240"/>
        <w:ind w:left="1440" w:right="720" w:hanging="720"/>
        <w:rPr>
          <w:rFonts w:ascii="Palatino Linotype" w:hAnsi="Palatino Linotype"/>
          <w:sz w:val="24"/>
          <w:szCs w:val="24"/>
        </w:rPr>
      </w:pPr>
      <w:r w:rsidRPr="00E35516">
        <w:rPr>
          <w:rFonts w:ascii="Palatino Linotype" w:hAnsi="Palatino Linotype"/>
          <w:sz w:val="24"/>
          <w:szCs w:val="24"/>
        </w:rPr>
        <w:t>C.</w:t>
      </w:r>
      <w:r w:rsidRPr="00E35516">
        <w:rPr>
          <w:rFonts w:ascii="Palatino Linotype" w:hAnsi="Palatino Linotype"/>
          <w:sz w:val="24"/>
          <w:szCs w:val="24"/>
        </w:rPr>
        <w:tab/>
        <w:t>CONTRACTS</w:t>
      </w:r>
    </w:p>
    <w:p w:rsidR="00D313F5" w:rsidRPr="00E35516" w:rsidRDefault="00D313F5" w:rsidP="00D313F5">
      <w:pPr>
        <w:spacing w:before="120"/>
        <w:ind w:left="1800" w:hanging="360"/>
        <w:rPr>
          <w:rFonts w:ascii="Palatino Linotype" w:hAnsi="Palatino Linotype"/>
          <w:sz w:val="24"/>
          <w:szCs w:val="24"/>
        </w:rPr>
      </w:pPr>
      <w:r w:rsidRPr="00E35516">
        <w:rPr>
          <w:rFonts w:ascii="Palatino Linotype" w:hAnsi="Palatino Linotype"/>
          <w:sz w:val="24"/>
          <w:szCs w:val="24"/>
        </w:rPr>
        <w:t>1.</w:t>
      </w:r>
      <w:r w:rsidRPr="00E35516">
        <w:rPr>
          <w:rFonts w:ascii="Palatino Linotype" w:hAnsi="Palatino Linotype"/>
          <w:sz w:val="24"/>
          <w:szCs w:val="24"/>
        </w:rPr>
        <w:tab/>
        <w:t xml:space="preserve">A utility that provides or has negotiated an agreement with a telecommunications carrier, </w:t>
      </w:r>
      <w:r w:rsidRPr="00E35516">
        <w:rPr>
          <w:rFonts w:ascii="Palatino Linotype" w:hAnsi="Palatino Linotype"/>
          <w:b/>
          <w:sz w:val="24"/>
          <w:szCs w:val="24"/>
          <w:u w:val="single"/>
        </w:rPr>
        <w:t>CMRS provider,</w:t>
      </w:r>
      <w:r w:rsidRPr="00E35516">
        <w:rPr>
          <w:rFonts w:ascii="Palatino Linotype" w:hAnsi="Palatino Linotype"/>
          <w:sz w:val="24"/>
          <w:szCs w:val="24"/>
        </w:rPr>
        <w:t xml:space="preserve"> or cable TV company to provide access to its support structures shall file with the Commission the executed contract showing:</w:t>
      </w:r>
    </w:p>
    <w:p w:rsidR="00D313F5" w:rsidRPr="00E35516" w:rsidRDefault="00D313F5" w:rsidP="00D313F5">
      <w:pPr>
        <w:spacing w:before="120" w:after="120"/>
        <w:ind w:left="2707" w:hanging="547"/>
        <w:rPr>
          <w:rFonts w:ascii="Palatino Linotype" w:hAnsi="Palatino Linotype"/>
          <w:sz w:val="24"/>
          <w:szCs w:val="24"/>
        </w:rPr>
      </w:pPr>
      <w:r w:rsidRPr="00E35516">
        <w:rPr>
          <w:rFonts w:ascii="Palatino Linotype" w:hAnsi="Palatino Linotype"/>
          <w:sz w:val="24"/>
          <w:szCs w:val="24"/>
        </w:rPr>
        <w:t>a.</w:t>
      </w:r>
      <w:r w:rsidRPr="00E35516">
        <w:rPr>
          <w:rFonts w:ascii="Palatino Linotype" w:hAnsi="Palatino Linotype"/>
          <w:sz w:val="24"/>
          <w:szCs w:val="24"/>
        </w:rPr>
        <w:tab/>
        <w:t>The annual fee for attaching to a pole and supporting anchor.</w:t>
      </w:r>
    </w:p>
    <w:p w:rsidR="00D313F5" w:rsidRPr="00E35516" w:rsidRDefault="00D313F5" w:rsidP="00D313F5">
      <w:pPr>
        <w:spacing w:before="120" w:after="120"/>
        <w:ind w:left="2707" w:hanging="547"/>
        <w:rPr>
          <w:rFonts w:ascii="Palatino Linotype" w:hAnsi="Palatino Linotype"/>
          <w:sz w:val="24"/>
          <w:szCs w:val="24"/>
        </w:rPr>
      </w:pPr>
      <w:r w:rsidRPr="00E35516">
        <w:rPr>
          <w:rFonts w:ascii="Palatino Linotype" w:hAnsi="Palatino Linotype"/>
          <w:sz w:val="24"/>
          <w:szCs w:val="24"/>
        </w:rPr>
        <w:lastRenderedPageBreak/>
        <w:t>b.</w:t>
      </w:r>
      <w:r w:rsidRPr="00E35516">
        <w:rPr>
          <w:rFonts w:ascii="Palatino Linotype" w:hAnsi="Palatino Linotype"/>
          <w:sz w:val="24"/>
          <w:szCs w:val="24"/>
        </w:rPr>
        <w:tab/>
        <w:t>The annual fee per linear foot for use of conduit.</w:t>
      </w:r>
    </w:p>
    <w:p w:rsidR="00D313F5" w:rsidRPr="00E35516" w:rsidRDefault="00D313F5" w:rsidP="00D313F5">
      <w:pPr>
        <w:spacing w:before="120" w:after="120"/>
        <w:ind w:left="2707" w:hanging="547"/>
        <w:rPr>
          <w:rFonts w:ascii="Palatino Linotype" w:hAnsi="Palatino Linotype"/>
          <w:sz w:val="24"/>
          <w:szCs w:val="24"/>
        </w:rPr>
      </w:pPr>
      <w:r w:rsidRPr="00E35516">
        <w:rPr>
          <w:rFonts w:ascii="Palatino Linotype" w:hAnsi="Palatino Linotype"/>
          <w:sz w:val="24"/>
          <w:szCs w:val="24"/>
        </w:rPr>
        <w:t>c.</w:t>
      </w:r>
      <w:r w:rsidRPr="00E35516">
        <w:rPr>
          <w:rFonts w:ascii="Palatino Linotype" w:hAnsi="Palatino Linotype"/>
          <w:sz w:val="24"/>
          <w:szCs w:val="24"/>
        </w:rPr>
        <w:tab/>
        <w:t>Unit costs for all make ready and rearrangements work.</w:t>
      </w:r>
    </w:p>
    <w:p w:rsidR="00D313F5" w:rsidRPr="00E35516" w:rsidRDefault="00D313F5" w:rsidP="00D313F5">
      <w:pPr>
        <w:spacing w:before="120" w:after="120"/>
        <w:ind w:left="2707" w:hanging="547"/>
        <w:rPr>
          <w:rFonts w:ascii="Palatino Linotype" w:hAnsi="Palatino Linotype"/>
          <w:sz w:val="24"/>
          <w:szCs w:val="24"/>
        </w:rPr>
      </w:pPr>
      <w:r w:rsidRPr="00E35516">
        <w:rPr>
          <w:rFonts w:ascii="Palatino Linotype" w:hAnsi="Palatino Linotype"/>
          <w:sz w:val="24"/>
          <w:szCs w:val="24"/>
        </w:rPr>
        <w:t>d.</w:t>
      </w:r>
      <w:r w:rsidRPr="00E35516">
        <w:rPr>
          <w:rFonts w:ascii="Palatino Linotype" w:hAnsi="Palatino Linotype"/>
          <w:sz w:val="24"/>
          <w:szCs w:val="24"/>
        </w:rPr>
        <w:tab/>
        <w:t>All terms and conditions governing access to its rights of way and support structures.</w:t>
      </w:r>
    </w:p>
    <w:p w:rsidR="00D313F5" w:rsidRPr="00E35516" w:rsidRDefault="00D313F5" w:rsidP="00D313F5">
      <w:pPr>
        <w:spacing w:before="120" w:after="120"/>
        <w:ind w:left="2707" w:hanging="547"/>
        <w:rPr>
          <w:rFonts w:ascii="Palatino Linotype" w:hAnsi="Palatino Linotype"/>
          <w:sz w:val="24"/>
          <w:szCs w:val="24"/>
        </w:rPr>
      </w:pPr>
      <w:r w:rsidRPr="00E35516">
        <w:rPr>
          <w:rFonts w:ascii="Palatino Linotype" w:hAnsi="Palatino Linotype"/>
          <w:sz w:val="24"/>
          <w:szCs w:val="24"/>
        </w:rPr>
        <w:t>e.</w:t>
      </w:r>
      <w:r w:rsidRPr="00E35516">
        <w:rPr>
          <w:rFonts w:ascii="Palatino Linotype" w:hAnsi="Palatino Linotype"/>
          <w:sz w:val="24"/>
          <w:szCs w:val="24"/>
        </w:rPr>
        <w:tab/>
        <w:t>The fee for copies or preparation of maps, drawings and plans for attachment to or use of support structures.</w:t>
      </w:r>
    </w:p>
    <w:p w:rsidR="00D313F5" w:rsidRPr="00E35516" w:rsidRDefault="00D313F5" w:rsidP="00D313F5">
      <w:pPr>
        <w:spacing w:before="120"/>
        <w:ind w:left="1800" w:hanging="360"/>
        <w:rPr>
          <w:rFonts w:ascii="Palatino Linotype" w:hAnsi="Palatino Linotype"/>
          <w:sz w:val="24"/>
          <w:szCs w:val="24"/>
        </w:rPr>
      </w:pPr>
      <w:r w:rsidRPr="00E35516">
        <w:rPr>
          <w:rFonts w:ascii="Palatino Linotype" w:hAnsi="Palatino Linotype"/>
          <w:sz w:val="24"/>
          <w:szCs w:val="24"/>
        </w:rPr>
        <w:t>2.</w:t>
      </w:r>
      <w:r w:rsidRPr="00E35516">
        <w:rPr>
          <w:rFonts w:ascii="Palatino Linotype" w:hAnsi="Palatino Linotype"/>
          <w:sz w:val="24"/>
          <w:szCs w:val="24"/>
        </w:rPr>
        <w:tab/>
        <w:t xml:space="preserve">A utility entering into contracts with telecommunications carriers, </w:t>
      </w:r>
      <w:r w:rsidRPr="00E35516">
        <w:rPr>
          <w:rFonts w:ascii="Palatino Linotype" w:hAnsi="Palatino Linotype"/>
          <w:b/>
          <w:sz w:val="24"/>
          <w:szCs w:val="24"/>
          <w:u w:val="single"/>
        </w:rPr>
        <w:t>CMRS providers,</w:t>
      </w:r>
      <w:r w:rsidRPr="00E35516">
        <w:rPr>
          <w:rFonts w:ascii="Palatino Linotype" w:hAnsi="Palatino Linotype"/>
          <w:sz w:val="24"/>
          <w:szCs w:val="24"/>
        </w:rPr>
        <w:t xml:space="preserve"> or cable TV companies or cable TV company for access to its support structures, shall file such contracts with the Commission pursuant to General Order 96, available for full public inspection, and extended on a nondiscriminatory basis to all other similarly situated telecommunications carriers, </w:t>
      </w:r>
      <w:r w:rsidRPr="00E35516">
        <w:rPr>
          <w:rFonts w:ascii="Palatino Linotype" w:hAnsi="Palatino Linotype"/>
          <w:b/>
          <w:sz w:val="24"/>
          <w:szCs w:val="24"/>
          <w:u w:val="single"/>
        </w:rPr>
        <w:t>CMRS providers,</w:t>
      </w:r>
      <w:r w:rsidRPr="00E35516">
        <w:rPr>
          <w:rFonts w:ascii="Palatino Linotype" w:hAnsi="Palatino Linotype"/>
          <w:sz w:val="24"/>
          <w:szCs w:val="24"/>
        </w:rPr>
        <w:t xml:space="preserve"> or cable</w:t>
      </w:r>
      <w:r w:rsidR="00AB0997" w:rsidRPr="00E35516">
        <w:rPr>
          <w:rFonts w:ascii="Palatino Linotype" w:hAnsi="Palatino Linotype"/>
          <w:sz w:val="24"/>
          <w:szCs w:val="24"/>
        </w:rPr>
        <w:t> </w:t>
      </w:r>
      <w:r w:rsidRPr="00E35516">
        <w:rPr>
          <w:rFonts w:ascii="Palatino Linotype" w:hAnsi="Palatino Linotype"/>
          <w:sz w:val="24"/>
          <w:szCs w:val="24"/>
        </w:rPr>
        <w:t>TV companies.  If the contracts are mutually negotiated and submitted as being pursuant to the terms of 251 and 252 of TA</w:t>
      </w:r>
      <w:r w:rsidR="00AB0997" w:rsidRPr="00E35516">
        <w:rPr>
          <w:rFonts w:ascii="Palatino Linotype" w:hAnsi="Palatino Linotype"/>
          <w:sz w:val="24"/>
          <w:szCs w:val="24"/>
        </w:rPr>
        <w:t> </w:t>
      </w:r>
      <w:r w:rsidRPr="00E35516">
        <w:rPr>
          <w:rFonts w:ascii="Palatino Linotype" w:hAnsi="Palatino Linotype"/>
          <w:sz w:val="24"/>
          <w:szCs w:val="24"/>
        </w:rPr>
        <w:t>96, they shall be reviewed consistent with the provisions of Resolution</w:t>
      </w:r>
      <w:r w:rsidR="00AB0997" w:rsidRPr="00E35516">
        <w:rPr>
          <w:rFonts w:ascii="Palatino Linotype" w:hAnsi="Palatino Linotype"/>
          <w:sz w:val="24"/>
          <w:szCs w:val="24"/>
        </w:rPr>
        <w:t> </w:t>
      </w:r>
      <w:r w:rsidRPr="00E35516">
        <w:rPr>
          <w:rFonts w:ascii="Palatino Linotype" w:hAnsi="Palatino Linotype"/>
          <w:sz w:val="24"/>
          <w:szCs w:val="24"/>
        </w:rPr>
        <w:t>ALJ</w:t>
      </w:r>
      <w:r w:rsidR="00AB0997" w:rsidRPr="00E35516">
        <w:rPr>
          <w:rFonts w:ascii="Palatino Linotype" w:hAnsi="Palatino Linotype"/>
          <w:sz w:val="24"/>
          <w:szCs w:val="24"/>
        </w:rPr>
        <w:noBreakHyphen/>
      </w:r>
      <w:r w:rsidRPr="00E35516">
        <w:rPr>
          <w:rFonts w:ascii="Palatino Linotype" w:hAnsi="Palatino Linotype"/>
          <w:sz w:val="24"/>
          <w:szCs w:val="24"/>
        </w:rPr>
        <w:t>174.</w:t>
      </w:r>
    </w:p>
    <w:p w:rsidR="00D313F5" w:rsidRPr="00E35516" w:rsidRDefault="00D313F5" w:rsidP="00D313F5">
      <w:pPr>
        <w:spacing w:before="240"/>
        <w:ind w:left="1440" w:right="720" w:hanging="720"/>
        <w:rPr>
          <w:rFonts w:ascii="Palatino Linotype" w:hAnsi="Palatino Linotype"/>
          <w:sz w:val="24"/>
          <w:szCs w:val="24"/>
        </w:rPr>
      </w:pPr>
      <w:r w:rsidRPr="00E35516">
        <w:rPr>
          <w:rFonts w:ascii="Palatino Linotype" w:hAnsi="Palatino Linotype"/>
          <w:sz w:val="24"/>
          <w:szCs w:val="24"/>
        </w:rPr>
        <w:t>D.</w:t>
      </w:r>
      <w:r w:rsidRPr="00E35516">
        <w:rPr>
          <w:rFonts w:ascii="Palatino Linotype" w:hAnsi="Palatino Linotype"/>
          <w:sz w:val="24"/>
          <w:szCs w:val="24"/>
        </w:rPr>
        <w:tab/>
        <w:t>UNAUTHORIZED ATTACHMENTS</w:t>
      </w:r>
    </w:p>
    <w:p w:rsidR="00D313F5" w:rsidRPr="00E35516" w:rsidRDefault="00D313F5" w:rsidP="00D313F5">
      <w:pPr>
        <w:spacing w:before="120" w:after="120"/>
        <w:ind w:left="1980" w:hanging="540"/>
        <w:rPr>
          <w:rFonts w:ascii="Palatino Linotype" w:hAnsi="Palatino Linotype"/>
          <w:sz w:val="24"/>
          <w:szCs w:val="24"/>
        </w:rPr>
      </w:pPr>
      <w:r w:rsidRPr="00E35516">
        <w:rPr>
          <w:rFonts w:ascii="Palatino Linotype" w:hAnsi="Palatino Linotype"/>
          <w:sz w:val="24"/>
          <w:szCs w:val="24"/>
        </w:rPr>
        <w:t>1.</w:t>
      </w:r>
      <w:r w:rsidRPr="00E35516">
        <w:rPr>
          <w:rFonts w:ascii="Palatino Linotype" w:hAnsi="Palatino Linotype"/>
          <w:sz w:val="24"/>
          <w:szCs w:val="24"/>
        </w:rPr>
        <w:tab/>
        <w:t>No party may attach to the right of way or support structure of another utility without the express written authorization from the utility.</w:t>
      </w:r>
    </w:p>
    <w:p w:rsidR="00D313F5" w:rsidRPr="00E35516" w:rsidRDefault="00D313F5" w:rsidP="00D313F5">
      <w:pPr>
        <w:spacing w:before="120" w:after="120"/>
        <w:ind w:left="1980" w:hanging="540"/>
        <w:rPr>
          <w:rFonts w:ascii="Palatino Linotype" w:hAnsi="Palatino Linotype"/>
          <w:sz w:val="24"/>
          <w:szCs w:val="24"/>
        </w:rPr>
      </w:pPr>
      <w:r w:rsidRPr="00E35516">
        <w:rPr>
          <w:rFonts w:ascii="Palatino Linotype" w:hAnsi="Palatino Linotype"/>
          <w:sz w:val="24"/>
          <w:szCs w:val="24"/>
        </w:rPr>
        <w:t>2.</w:t>
      </w:r>
      <w:r w:rsidRPr="00E35516">
        <w:rPr>
          <w:rFonts w:ascii="Palatino Linotype" w:hAnsi="Palatino Linotype"/>
          <w:sz w:val="24"/>
          <w:szCs w:val="24"/>
        </w:rPr>
        <w:tab/>
        <w:t>For every violation of the duty to obtain approval before attaching, the owner or operator of the unauthorized attachment shall pay to the utility a penalty of $500 for each violation.  This fee is in addition to all other costs which are part of the attacher’s responsibility.  Each unauthorized pole attachment shall count as a separate violation for assessing the penalty.</w:t>
      </w:r>
    </w:p>
    <w:p w:rsidR="00D313F5" w:rsidRPr="00E35516" w:rsidRDefault="00D313F5" w:rsidP="00D313F5">
      <w:pPr>
        <w:spacing w:before="120" w:after="120"/>
        <w:ind w:left="1980" w:hanging="540"/>
        <w:rPr>
          <w:rFonts w:ascii="Palatino Linotype" w:hAnsi="Palatino Linotype"/>
          <w:sz w:val="24"/>
          <w:szCs w:val="24"/>
        </w:rPr>
      </w:pPr>
      <w:r w:rsidRPr="00E35516">
        <w:rPr>
          <w:rFonts w:ascii="Palatino Linotype" w:hAnsi="Palatino Linotype"/>
          <w:sz w:val="24"/>
          <w:szCs w:val="24"/>
        </w:rPr>
        <w:t>3.</w:t>
      </w:r>
      <w:r w:rsidRPr="00E35516">
        <w:rPr>
          <w:rFonts w:ascii="Palatino Linotype" w:hAnsi="Palatino Linotype"/>
          <w:sz w:val="24"/>
          <w:szCs w:val="24"/>
        </w:rPr>
        <w:tab/>
        <w:t>Any violation of the duty to obtain permission before attaching shall be cause for imposition of sanctions as, in the Commissioner’s judgment, are necessary to deter the party from in the future breaching its duty to obtain permission before attaching will be accompanied by findings of fact that permit the pole owner to seek further remedies in a civil action.</w:t>
      </w:r>
    </w:p>
    <w:p w:rsidR="00D313F5" w:rsidRPr="00E35516" w:rsidRDefault="00D313F5" w:rsidP="00D313F5">
      <w:pPr>
        <w:spacing w:before="120" w:after="120"/>
        <w:ind w:left="1980" w:hanging="540"/>
        <w:rPr>
          <w:rFonts w:ascii="Palatino Linotype" w:hAnsi="Palatino Linotype"/>
          <w:sz w:val="24"/>
          <w:szCs w:val="24"/>
        </w:rPr>
      </w:pPr>
      <w:r w:rsidRPr="00E35516">
        <w:rPr>
          <w:rFonts w:ascii="Palatino Linotype" w:hAnsi="Palatino Linotype"/>
          <w:sz w:val="24"/>
          <w:szCs w:val="24"/>
        </w:rPr>
        <w:t>4.</w:t>
      </w:r>
      <w:r w:rsidRPr="00E35516">
        <w:rPr>
          <w:rFonts w:ascii="Palatino Linotype" w:hAnsi="Palatino Linotype"/>
          <w:sz w:val="24"/>
          <w:szCs w:val="24"/>
        </w:rPr>
        <w:tab/>
        <w:t>This Section D applies to existing attachments as of the effective date of these rules.</w:t>
      </w:r>
    </w:p>
    <w:p w:rsidR="00D313F5" w:rsidRPr="00E35516" w:rsidRDefault="00D313F5" w:rsidP="00E35516">
      <w:pPr>
        <w:keepNext/>
        <w:suppressAutoHyphens/>
        <w:spacing w:before="240"/>
        <w:ind w:left="720" w:hanging="720"/>
        <w:rPr>
          <w:rFonts w:ascii="Palatino Linotype" w:hAnsi="Palatino Linotype"/>
          <w:sz w:val="24"/>
          <w:szCs w:val="24"/>
        </w:rPr>
      </w:pPr>
      <w:r w:rsidRPr="00E35516">
        <w:rPr>
          <w:rFonts w:ascii="Palatino Linotype" w:hAnsi="Palatino Linotype"/>
          <w:sz w:val="24"/>
          <w:szCs w:val="24"/>
        </w:rPr>
        <w:lastRenderedPageBreak/>
        <w:t>VII.</w:t>
      </w:r>
      <w:r w:rsidRPr="00E35516">
        <w:rPr>
          <w:rFonts w:ascii="Palatino Linotype" w:hAnsi="Palatino Linotype"/>
          <w:sz w:val="24"/>
          <w:szCs w:val="24"/>
        </w:rPr>
        <w:tab/>
        <w:t>RESERVATIONS OF CAPACITY FOR FUTURE USE</w:t>
      </w:r>
    </w:p>
    <w:p w:rsidR="00D313F5" w:rsidRPr="00E35516" w:rsidRDefault="00D313F5" w:rsidP="00DF4446">
      <w:pPr>
        <w:pStyle w:val="ListParagraph"/>
        <w:numPr>
          <w:ilvl w:val="0"/>
          <w:numId w:val="30"/>
        </w:numPr>
        <w:suppressAutoHyphens/>
        <w:spacing w:before="120" w:after="120"/>
        <w:ind w:left="1267" w:hanging="547"/>
        <w:contextualSpacing/>
        <w:rPr>
          <w:rFonts w:ascii="Palatino Linotype" w:hAnsi="Palatino Linotype"/>
        </w:rPr>
      </w:pPr>
      <w:r w:rsidRPr="00E35516">
        <w:rPr>
          <w:rFonts w:ascii="Palatino Linotype" w:hAnsi="Palatino Linotype"/>
        </w:rPr>
        <w:t xml:space="preserve">No utility shall adopt, enforce or purport to enforce against a telecommunications carrier, </w:t>
      </w:r>
      <w:r w:rsidRPr="00E35516">
        <w:rPr>
          <w:rFonts w:ascii="Palatino Linotype" w:hAnsi="Palatino Linotype"/>
          <w:b/>
          <w:u w:val="single"/>
        </w:rPr>
        <w:t>CMRS provider,</w:t>
      </w:r>
      <w:r w:rsidRPr="00E35516">
        <w:rPr>
          <w:rFonts w:ascii="Palatino Linotype" w:hAnsi="Palatino Linotype"/>
        </w:rPr>
        <w:t xml:space="preserve"> or cable TV company any “hold off,” moratorium, reservation of rights or other policy by which it refuses to make currently unused space or capacity on or in its support structures available to telecommunications carriers, </w:t>
      </w:r>
      <w:r w:rsidRPr="00E35516">
        <w:rPr>
          <w:rFonts w:ascii="Palatino Linotype" w:hAnsi="Palatino Linotype"/>
          <w:b/>
          <w:u w:val="single"/>
        </w:rPr>
        <w:t>CMRS providers,</w:t>
      </w:r>
      <w:r w:rsidRPr="00E35516">
        <w:rPr>
          <w:rFonts w:ascii="Palatino Linotype" w:hAnsi="Palatino Linotype"/>
        </w:rPr>
        <w:t xml:space="preserve"> or cable TV companies requesting access to such support structures, except as provided for in Part C below.</w:t>
      </w:r>
    </w:p>
    <w:p w:rsidR="00D313F5" w:rsidRPr="00E35516" w:rsidRDefault="00D313F5" w:rsidP="00DF4446">
      <w:pPr>
        <w:pStyle w:val="ListParagraph"/>
        <w:numPr>
          <w:ilvl w:val="0"/>
          <w:numId w:val="30"/>
        </w:numPr>
        <w:suppressAutoHyphens/>
        <w:spacing w:before="120" w:after="120"/>
        <w:ind w:left="1267" w:hanging="547"/>
        <w:contextualSpacing/>
        <w:rPr>
          <w:rFonts w:ascii="Palatino Linotype" w:hAnsi="Palatino Linotype"/>
        </w:rPr>
      </w:pPr>
      <w:r w:rsidRPr="00E35516">
        <w:rPr>
          <w:rFonts w:ascii="Palatino Linotype" w:hAnsi="Palatino Linotype"/>
        </w:rPr>
        <w:t>All access to a utility’s support structures and rights of way shall be subject to the requirements of Public Utilities Code § 851 and General Order 69C.  Instead of capacity reclamation, our preferred outcome is for the expansion of existing support structures to accommodate the need for additional attachments.</w:t>
      </w:r>
    </w:p>
    <w:p w:rsidR="00D313F5" w:rsidRPr="00E35516" w:rsidRDefault="00D313F5" w:rsidP="00DF4446">
      <w:pPr>
        <w:pStyle w:val="ListParagraph"/>
        <w:numPr>
          <w:ilvl w:val="0"/>
          <w:numId w:val="30"/>
        </w:numPr>
        <w:suppressAutoHyphens/>
        <w:spacing w:before="120" w:after="120"/>
        <w:ind w:left="1267" w:hanging="547"/>
        <w:contextualSpacing/>
        <w:rPr>
          <w:rFonts w:ascii="Palatino Linotype" w:hAnsi="Palatino Linotype"/>
        </w:rPr>
      </w:pPr>
      <w:r w:rsidRPr="00E35516">
        <w:rPr>
          <w:rFonts w:ascii="Palatino Linotype" w:hAnsi="Palatino Linotype"/>
        </w:rPr>
        <w:t xml:space="preserve">Notwithstanding the provisions of Paragraphs VII.A and VII.B, an electric utility may reserve space for up to 12 months on its support structures required to serve core utility customers where it demonstrates that:  (i) prior to a request for access having been made, it had a bona fide development plan in place prior to the request and that the specific reservation of attachment capacity is reasonably and specifically needed for the immediate provision (within one year of the request) of its core utility service, (ii) there is no other feasible solution to meeting its immediately foreseeable needs, (iii) there is no available technological means of increasing the capacity of the support structure for additional attachments, and (iv) it has attempted to negotiate a cooperative solution to the capacity problem in good faith with the party seeking the attachment.  An ILEC may earmark space for imminent use where construction is planned to begin within nine months of a request for access.  A CLC, </w:t>
      </w:r>
      <w:r w:rsidRPr="00E35516">
        <w:rPr>
          <w:rFonts w:ascii="Palatino Linotype" w:hAnsi="Palatino Linotype"/>
          <w:b/>
          <w:u w:val="single"/>
        </w:rPr>
        <w:t>CMRS provider,</w:t>
      </w:r>
      <w:r w:rsidRPr="00E35516">
        <w:rPr>
          <w:rFonts w:ascii="Palatino Linotype" w:hAnsi="Palatino Linotype"/>
        </w:rPr>
        <w:t xml:space="preserve"> or cable</w:t>
      </w:r>
      <w:r w:rsidR="00E35516" w:rsidRPr="00E35516">
        <w:rPr>
          <w:rFonts w:ascii="Palatino Linotype" w:hAnsi="Palatino Linotype"/>
        </w:rPr>
        <w:t> </w:t>
      </w:r>
      <w:r w:rsidRPr="00E35516">
        <w:rPr>
          <w:rFonts w:ascii="Palatino Linotype" w:hAnsi="Palatino Linotype"/>
        </w:rPr>
        <w:t>TV company must likewise use space within nine months of the date when a request for access is granted, or else will become subject to reversion of its access.</w:t>
      </w:r>
    </w:p>
    <w:p w:rsidR="00E35516" w:rsidRPr="00E35516" w:rsidRDefault="00E35516" w:rsidP="00E35516">
      <w:pPr>
        <w:pStyle w:val="ListParagraph"/>
        <w:suppressAutoHyphens/>
        <w:spacing w:before="120" w:after="120"/>
        <w:contextualSpacing/>
        <w:rPr>
          <w:rFonts w:ascii="Palatino Linotype" w:hAnsi="Palatino Linotype"/>
        </w:rPr>
      </w:pPr>
    </w:p>
    <w:p w:rsidR="00D313F5" w:rsidRPr="00E35516" w:rsidRDefault="00D313F5" w:rsidP="00DF4446">
      <w:pPr>
        <w:pStyle w:val="ListParagraph"/>
        <w:keepNext/>
        <w:numPr>
          <w:ilvl w:val="0"/>
          <w:numId w:val="31"/>
        </w:numPr>
        <w:suppressAutoHyphens/>
        <w:spacing w:before="240"/>
        <w:ind w:left="720" w:right="720"/>
        <w:contextualSpacing/>
        <w:rPr>
          <w:rFonts w:ascii="Palatino Linotype" w:hAnsi="Palatino Linotype"/>
        </w:rPr>
      </w:pPr>
      <w:r w:rsidRPr="00E35516">
        <w:rPr>
          <w:rFonts w:ascii="Palatino Linotype" w:hAnsi="Palatino Linotype"/>
        </w:rPr>
        <w:t>MODIFICATIONS OF EXISTING SUPPORT STRUCTURES</w:t>
      </w:r>
    </w:p>
    <w:p w:rsidR="00E35516" w:rsidRPr="00E35516" w:rsidRDefault="00E35516" w:rsidP="00E35516">
      <w:pPr>
        <w:pStyle w:val="ListParagraph"/>
        <w:suppressAutoHyphens/>
        <w:spacing w:before="240"/>
        <w:ind w:left="0" w:right="720"/>
        <w:contextualSpacing/>
        <w:rPr>
          <w:rFonts w:ascii="Palatino Linotype" w:hAnsi="Palatino Linotype"/>
          <w:sz w:val="16"/>
          <w:szCs w:val="16"/>
        </w:rPr>
      </w:pPr>
    </w:p>
    <w:p w:rsidR="00D313F5" w:rsidRPr="00E35516" w:rsidRDefault="00D313F5" w:rsidP="00DF4446">
      <w:pPr>
        <w:pStyle w:val="ListParagraph"/>
        <w:keepNext/>
        <w:numPr>
          <w:ilvl w:val="0"/>
          <w:numId w:val="32"/>
        </w:numPr>
        <w:suppressAutoHyphens/>
        <w:spacing w:before="240"/>
        <w:ind w:left="1260" w:right="720" w:hanging="540"/>
        <w:contextualSpacing/>
        <w:rPr>
          <w:rFonts w:ascii="Palatino Linotype" w:hAnsi="Palatino Linotype"/>
        </w:rPr>
      </w:pPr>
      <w:r w:rsidRPr="00E35516">
        <w:rPr>
          <w:rFonts w:ascii="Palatino Linotype" w:hAnsi="Palatino Linotype"/>
        </w:rPr>
        <w:t>NOTIFICATION TO PARTIES ON OR IN SUPPORT STRUCTURES</w:t>
      </w:r>
    </w:p>
    <w:p w:rsidR="00D313F5" w:rsidRPr="00E35516" w:rsidRDefault="00D313F5" w:rsidP="00DF4446">
      <w:pPr>
        <w:pStyle w:val="ListParagraph"/>
        <w:numPr>
          <w:ilvl w:val="0"/>
          <w:numId w:val="33"/>
        </w:numPr>
        <w:suppressAutoHyphens/>
        <w:spacing w:before="240"/>
        <w:ind w:left="1980" w:hanging="540"/>
        <w:contextualSpacing/>
        <w:rPr>
          <w:rFonts w:ascii="Palatino Linotype" w:hAnsi="Palatino Linotype"/>
        </w:rPr>
      </w:pPr>
      <w:r w:rsidRPr="00E35516">
        <w:rPr>
          <w:rFonts w:ascii="Palatino Linotype" w:hAnsi="Palatino Linotype"/>
        </w:rPr>
        <w:t>Absent a private agreement establishing notification procedures, written notification of a modification should be provided to parties with attachments on or in the support structure to be modified at least 60 days prior to the commencement of the modification.  Notification shall not be required for emergency modifications or routine maintenance activities.</w:t>
      </w:r>
    </w:p>
    <w:p w:rsidR="00E35516" w:rsidRPr="00E35516" w:rsidRDefault="00E35516" w:rsidP="00E35516">
      <w:pPr>
        <w:pStyle w:val="ListParagraph"/>
        <w:suppressAutoHyphens/>
        <w:spacing w:before="240"/>
        <w:ind w:left="1440"/>
        <w:contextualSpacing/>
        <w:rPr>
          <w:rFonts w:ascii="Palatino Linotype" w:hAnsi="Palatino Linotype"/>
        </w:rPr>
      </w:pPr>
    </w:p>
    <w:p w:rsidR="00D313F5" w:rsidRPr="00E35516" w:rsidRDefault="00D313F5" w:rsidP="00DF4446">
      <w:pPr>
        <w:pStyle w:val="ListParagraph"/>
        <w:keepNext/>
        <w:numPr>
          <w:ilvl w:val="0"/>
          <w:numId w:val="32"/>
        </w:numPr>
        <w:suppressAutoHyphens/>
        <w:spacing w:before="240"/>
        <w:ind w:left="1260" w:right="720" w:hanging="540"/>
        <w:contextualSpacing/>
        <w:rPr>
          <w:rFonts w:ascii="Palatino Linotype" w:hAnsi="Palatino Linotype"/>
        </w:rPr>
      </w:pPr>
      <w:r w:rsidRPr="00E35516">
        <w:rPr>
          <w:rFonts w:ascii="Palatino Linotype" w:hAnsi="Palatino Linotype"/>
        </w:rPr>
        <w:t>NOTIFICATION GENERALLY</w:t>
      </w:r>
    </w:p>
    <w:p w:rsidR="00D313F5" w:rsidRPr="00E35516" w:rsidRDefault="00D313F5" w:rsidP="00DF4446">
      <w:pPr>
        <w:pStyle w:val="ListParagraph"/>
        <w:numPr>
          <w:ilvl w:val="0"/>
          <w:numId w:val="34"/>
        </w:numPr>
        <w:suppressAutoHyphens/>
        <w:spacing w:before="240"/>
        <w:ind w:left="1980" w:hanging="540"/>
        <w:contextualSpacing/>
        <w:rPr>
          <w:rFonts w:ascii="Palatino Linotype" w:hAnsi="Palatino Linotype"/>
        </w:rPr>
      </w:pPr>
      <w:r w:rsidRPr="00E35516">
        <w:rPr>
          <w:rFonts w:ascii="Palatino Linotype" w:hAnsi="Palatino Linotype"/>
        </w:rPr>
        <w:t>Utilities and telecommunications carriers shall cooperate to develop a means by which notice of planned modifications to utility support structures may be published in a centralized, uniformly accessible location (e.g., a “web page” on the Internet).</w:t>
      </w:r>
    </w:p>
    <w:p w:rsidR="00E35516" w:rsidRPr="00E35516" w:rsidRDefault="00E35516" w:rsidP="00E35516">
      <w:pPr>
        <w:pStyle w:val="ListParagraph"/>
        <w:suppressAutoHyphens/>
        <w:spacing w:before="240"/>
        <w:ind w:left="1440"/>
        <w:contextualSpacing/>
        <w:rPr>
          <w:rFonts w:ascii="Palatino Linotype" w:hAnsi="Palatino Linotype"/>
        </w:rPr>
      </w:pPr>
    </w:p>
    <w:p w:rsidR="00D313F5" w:rsidRPr="00E35516" w:rsidRDefault="00D313F5" w:rsidP="00DF4446">
      <w:pPr>
        <w:pStyle w:val="ListParagraph"/>
        <w:keepNext/>
        <w:numPr>
          <w:ilvl w:val="0"/>
          <w:numId w:val="32"/>
        </w:numPr>
        <w:suppressAutoHyphens/>
        <w:spacing w:before="240"/>
        <w:ind w:left="1260" w:right="720" w:hanging="540"/>
        <w:contextualSpacing/>
        <w:rPr>
          <w:rFonts w:ascii="Palatino Linotype" w:hAnsi="Palatino Linotype"/>
        </w:rPr>
      </w:pPr>
      <w:r w:rsidRPr="00E35516">
        <w:rPr>
          <w:rFonts w:ascii="Palatino Linotype" w:hAnsi="Palatino Linotype"/>
        </w:rPr>
        <w:t>SHARING THE COST OF MODIFICATIONS</w:t>
      </w:r>
    </w:p>
    <w:p w:rsidR="00D313F5" w:rsidRPr="00E35516" w:rsidRDefault="00D313F5" w:rsidP="00DF4446">
      <w:pPr>
        <w:pStyle w:val="ListParagraph"/>
        <w:numPr>
          <w:ilvl w:val="0"/>
          <w:numId w:val="35"/>
        </w:numPr>
        <w:suppressAutoHyphens/>
        <w:spacing w:before="240"/>
        <w:ind w:left="1980" w:hanging="540"/>
        <w:contextualSpacing/>
        <w:rPr>
          <w:rFonts w:ascii="Palatino Linotype" w:hAnsi="Palatino Linotype"/>
        </w:rPr>
      </w:pPr>
      <w:r w:rsidRPr="00E35516">
        <w:rPr>
          <w:rFonts w:ascii="Palatino Linotype" w:hAnsi="Palatino Linotype"/>
        </w:rPr>
        <w:t>The costs of support structure capacity expansions and other modifications shall be shared only by all the parties attaching to utility support structures which are specifically benefiting from the modifications on a proportionate basis corresponding to the share of usable space occupied by each benefiting carrier.  In the event an energy utility incurs additional costs for trenching and installation of conduit due of safety or reliability requirements which are more elaborate than a telecommunications-only trench, the telecommunications carriers should not pay more than they would have incurred for their own independent trench.  Disputes regarding the sharing of the cost of capacity expansions and modifications shall be subject to the dispute resolution procedures contained in these rules.</w:t>
      </w:r>
    </w:p>
    <w:p w:rsidR="00E35516" w:rsidRPr="00E35516" w:rsidRDefault="00E35516" w:rsidP="00E35516">
      <w:pPr>
        <w:pStyle w:val="ListParagraph"/>
        <w:suppressAutoHyphens/>
        <w:spacing w:before="240"/>
        <w:ind w:left="1440"/>
        <w:contextualSpacing/>
        <w:rPr>
          <w:rFonts w:ascii="Palatino Linotype" w:hAnsi="Palatino Linotype"/>
        </w:rPr>
      </w:pPr>
    </w:p>
    <w:p w:rsidR="00D313F5" w:rsidRPr="00E35516" w:rsidRDefault="00D313F5" w:rsidP="00055850">
      <w:pPr>
        <w:pStyle w:val="ListParagraph"/>
        <w:keepNext/>
        <w:numPr>
          <w:ilvl w:val="0"/>
          <w:numId w:val="31"/>
        </w:numPr>
        <w:suppressAutoHyphens/>
        <w:spacing w:before="240"/>
        <w:ind w:left="720" w:right="720"/>
        <w:contextualSpacing/>
        <w:rPr>
          <w:rFonts w:ascii="Palatino Linotype" w:hAnsi="Palatino Linotype"/>
        </w:rPr>
      </w:pPr>
      <w:r w:rsidRPr="00E35516">
        <w:rPr>
          <w:rFonts w:ascii="Palatino Linotype" w:hAnsi="Palatino Linotype"/>
        </w:rPr>
        <w:lastRenderedPageBreak/>
        <w:t>EXPEDITED DISPUTE RESOLUTION PROCEDURES</w:t>
      </w:r>
    </w:p>
    <w:p w:rsidR="00E35516" w:rsidRPr="00E35516" w:rsidRDefault="00E35516" w:rsidP="00055850">
      <w:pPr>
        <w:pStyle w:val="ListParagraph"/>
        <w:keepNext/>
        <w:suppressAutoHyphens/>
        <w:spacing w:before="240"/>
        <w:ind w:left="0" w:right="720"/>
        <w:contextualSpacing/>
        <w:rPr>
          <w:rFonts w:ascii="Palatino Linotype" w:hAnsi="Palatino Linotype"/>
          <w:sz w:val="16"/>
          <w:szCs w:val="16"/>
        </w:rPr>
      </w:pPr>
    </w:p>
    <w:p w:rsidR="00D313F5" w:rsidRDefault="00D313F5" w:rsidP="00055850">
      <w:pPr>
        <w:pStyle w:val="ListParagraph"/>
        <w:keepNext/>
        <w:numPr>
          <w:ilvl w:val="0"/>
          <w:numId w:val="36"/>
        </w:numPr>
        <w:suppressAutoHyphens/>
        <w:spacing w:before="240"/>
        <w:ind w:left="1260" w:hanging="540"/>
        <w:contextualSpacing/>
        <w:rPr>
          <w:rFonts w:ascii="Palatino Linotype" w:hAnsi="Palatino Linotype"/>
        </w:rPr>
      </w:pPr>
      <w:r w:rsidRPr="00E35516">
        <w:rPr>
          <w:rFonts w:ascii="Palatino Linotype" w:hAnsi="Palatino Linotype"/>
        </w:rPr>
        <w:t>Parties to a dispute involving access to utility rights of way and support structures may invoke the Commission’s dispute resolution procedures, but must first attempt in good faith to resolve the dispute.  Disputes involving initial access to utility rights of way and support structures shall be heard and resolved through the following expedited dispute resolution procedure.</w:t>
      </w:r>
    </w:p>
    <w:p w:rsidR="00055850" w:rsidRPr="00055850" w:rsidRDefault="00055850" w:rsidP="00055850">
      <w:pPr>
        <w:pStyle w:val="ListParagraph"/>
        <w:keepNext/>
        <w:suppressAutoHyphens/>
        <w:spacing w:before="240"/>
        <w:contextualSpacing/>
        <w:rPr>
          <w:rFonts w:ascii="Palatino Linotype" w:hAnsi="Palatino Linotype"/>
          <w:sz w:val="16"/>
          <w:szCs w:val="16"/>
        </w:rPr>
      </w:pPr>
    </w:p>
    <w:p w:rsidR="00D313F5" w:rsidRDefault="00D313F5" w:rsidP="00055850">
      <w:pPr>
        <w:pStyle w:val="ListParagraph"/>
        <w:keepLines/>
        <w:numPr>
          <w:ilvl w:val="0"/>
          <w:numId w:val="37"/>
        </w:numPr>
        <w:suppressAutoHyphens/>
        <w:spacing w:before="240"/>
        <w:ind w:left="1987" w:hanging="547"/>
        <w:contextualSpacing/>
        <w:rPr>
          <w:rFonts w:ascii="Palatino Linotype" w:hAnsi="Palatino Linotype"/>
        </w:rPr>
      </w:pPr>
      <w:r w:rsidRPr="00E35516">
        <w:rPr>
          <w:rFonts w:ascii="Palatino Linotype" w:hAnsi="Palatino Linotype"/>
        </w:rPr>
        <w:t>Following denial of a request for access, parties shall escalate the dispute to the executive level within each company.  After 5 business days, any party to the dispute may file a formal application requesting Commission arbitration.  The arbitration shall be deemed to begin on the date of the filing before the Commission of the request for arbitration.  Parties to the arbitration may continue to negotiate an agreement prior to and during the arbitration hearings.  The party requesting arbitration shall provide a copy of the request to the other party or parties not later than the day the Commission receives the request.</w:t>
      </w:r>
    </w:p>
    <w:p w:rsidR="009B19F9" w:rsidRPr="00E35516" w:rsidRDefault="009B19F9" w:rsidP="009B19F9">
      <w:pPr>
        <w:pStyle w:val="ListParagraph"/>
        <w:suppressAutoHyphens/>
        <w:spacing w:before="240"/>
        <w:ind w:left="1440"/>
        <w:contextualSpacing/>
        <w:rPr>
          <w:rFonts w:ascii="Palatino Linotype" w:hAnsi="Palatino Linotype"/>
        </w:rPr>
      </w:pP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b/>
        </w:rPr>
      </w:pPr>
      <w:r w:rsidRPr="00E35516">
        <w:rPr>
          <w:rFonts w:ascii="Palatino Linotype" w:hAnsi="Palatino Linotype"/>
          <w:b/>
        </w:rPr>
        <w:t>Content</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A request for arbitration must contain:</w:t>
      </w:r>
    </w:p>
    <w:p w:rsidR="00D313F5" w:rsidRPr="00E35516" w:rsidRDefault="00D313F5" w:rsidP="00DF4446">
      <w:pPr>
        <w:pStyle w:val="ListParagraph"/>
        <w:numPr>
          <w:ilvl w:val="1"/>
          <w:numId w:val="28"/>
        </w:numPr>
        <w:suppressAutoHyphens/>
        <w:ind w:left="2700" w:hanging="540"/>
        <w:contextualSpacing/>
        <w:rPr>
          <w:rFonts w:ascii="Palatino Linotype" w:hAnsi="Palatino Linotype"/>
        </w:rPr>
      </w:pPr>
      <w:r w:rsidRPr="00E35516">
        <w:rPr>
          <w:rFonts w:ascii="Palatino Linotype" w:hAnsi="Palatino Linotype"/>
        </w:rPr>
        <w:t>A statement of all unresolved issues.</w:t>
      </w:r>
    </w:p>
    <w:p w:rsidR="00D313F5" w:rsidRPr="00E35516" w:rsidRDefault="00D313F5" w:rsidP="00DF4446">
      <w:pPr>
        <w:pStyle w:val="ListParagraph"/>
        <w:numPr>
          <w:ilvl w:val="1"/>
          <w:numId w:val="28"/>
        </w:numPr>
        <w:suppressAutoHyphens/>
        <w:spacing w:before="240"/>
        <w:ind w:left="2700" w:hanging="540"/>
        <w:contextualSpacing/>
        <w:rPr>
          <w:rFonts w:ascii="Palatino Linotype" w:hAnsi="Palatino Linotype"/>
        </w:rPr>
      </w:pPr>
      <w:r w:rsidRPr="00E35516">
        <w:rPr>
          <w:rFonts w:ascii="Palatino Linotype" w:hAnsi="Palatino Linotype"/>
        </w:rPr>
        <w:t>A description of each party’s position on the unresolved issues.</w:t>
      </w:r>
    </w:p>
    <w:p w:rsidR="00D313F5" w:rsidRPr="00E35516" w:rsidRDefault="00D313F5" w:rsidP="00DF4446">
      <w:pPr>
        <w:pStyle w:val="ListParagraph"/>
        <w:numPr>
          <w:ilvl w:val="1"/>
          <w:numId w:val="28"/>
        </w:numPr>
        <w:suppressAutoHyphens/>
        <w:spacing w:before="240"/>
        <w:ind w:left="2700" w:hanging="540"/>
        <w:contextualSpacing/>
        <w:rPr>
          <w:rFonts w:ascii="Palatino Linotype" w:hAnsi="Palatino Linotype"/>
        </w:rPr>
      </w:pPr>
      <w:r w:rsidRPr="00E35516">
        <w:rPr>
          <w:rFonts w:ascii="Palatino Linotype" w:hAnsi="Palatino Linotype"/>
        </w:rPr>
        <w:t>A proposed agreement addressing all issues, including those upon which the parties have reached an agreement and those that are in dispute.  Wherever possible, the petitioner should rely on the fundamental organization of clauses and subjects contained in an agreement previously arbitrated and approved by this Commission.</w:t>
      </w:r>
    </w:p>
    <w:p w:rsidR="00D313F5" w:rsidRPr="00E35516" w:rsidRDefault="00D313F5" w:rsidP="00DF4446">
      <w:pPr>
        <w:pStyle w:val="ListParagraph"/>
        <w:numPr>
          <w:ilvl w:val="1"/>
          <w:numId w:val="28"/>
        </w:numPr>
        <w:suppressAutoHyphens/>
        <w:spacing w:before="240"/>
        <w:ind w:left="2700" w:hanging="540"/>
        <w:contextualSpacing/>
        <w:rPr>
          <w:rFonts w:ascii="Palatino Linotype" w:hAnsi="Palatino Linotype"/>
        </w:rPr>
      </w:pPr>
      <w:r w:rsidRPr="00E35516">
        <w:rPr>
          <w:rFonts w:ascii="Palatino Linotype" w:hAnsi="Palatino Linotype"/>
        </w:rPr>
        <w:t>Direct testimony supporting the requester’s position on factual predicates underlying disputed issues.</w:t>
      </w:r>
    </w:p>
    <w:p w:rsidR="00D313F5" w:rsidRDefault="00D313F5" w:rsidP="00DF4446">
      <w:pPr>
        <w:pStyle w:val="ListParagraph"/>
        <w:numPr>
          <w:ilvl w:val="1"/>
          <w:numId w:val="28"/>
        </w:numPr>
        <w:suppressAutoHyphens/>
        <w:spacing w:before="240" w:after="120"/>
        <w:ind w:left="2707" w:hanging="547"/>
        <w:contextualSpacing/>
        <w:rPr>
          <w:rFonts w:ascii="Palatino Linotype" w:hAnsi="Palatino Linotype"/>
        </w:rPr>
      </w:pPr>
      <w:r w:rsidRPr="00E35516">
        <w:rPr>
          <w:rFonts w:ascii="Palatino Linotype" w:hAnsi="Palatino Linotype"/>
        </w:rPr>
        <w:t>Documentation that the request complies with the time requirements in the preceding rule.</w:t>
      </w:r>
    </w:p>
    <w:p w:rsidR="009B19F9" w:rsidRPr="00E35516" w:rsidRDefault="009B19F9" w:rsidP="009B19F9">
      <w:pPr>
        <w:pStyle w:val="ListParagraph"/>
        <w:suppressAutoHyphens/>
        <w:spacing w:before="240" w:after="120"/>
        <w:ind w:left="2160"/>
        <w:contextualSpacing/>
        <w:rPr>
          <w:rFonts w:ascii="Palatino Linotype" w:hAnsi="Palatino Linotype"/>
        </w:rPr>
      </w:pPr>
    </w:p>
    <w:p w:rsidR="00D313F5" w:rsidRPr="00E35516" w:rsidRDefault="00D313F5" w:rsidP="00DF4446">
      <w:pPr>
        <w:pStyle w:val="ListParagraph"/>
        <w:numPr>
          <w:ilvl w:val="0"/>
          <w:numId w:val="37"/>
        </w:numPr>
        <w:suppressAutoHyphens/>
        <w:spacing w:before="240"/>
        <w:ind w:left="1987" w:hanging="547"/>
        <w:contextualSpacing/>
        <w:rPr>
          <w:rFonts w:ascii="Palatino Linotype" w:hAnsi="Palatino Linotype"/>
        </w:rPr>
      </w:pPr>
      <w:r w:rsidRPr="00E35516">
        <w:rPr>
          <w:rFonts w:ascii="Palatino Linotype" w:hAnsi="Palatino Linotype"/>
          <w:b/>
        </w:rPr>
        <w:t>Appointment of Arbitrator</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 xml:space="preserve">Upon receipt of a request for arbitration, the Commission’s President or a designee in consultation with the Chief Administrative Law Judge, shall appoint and immediately notify the parties of the </w:t>
      </w:r>
      <w:r w:rsidRPr="00E35516">
        <w:rPr>
          <w:rFonts w:ascii="Palatino Linotype" w:hAnsi="Palatino Linotype"/>
          <w:sz w:val="24"/>
          <w:szCs w:val="24"/>
        </w:rPr>
        <w:lastRenderedPageBreak/>
        <w:t>identity of an Arbitrator to facilitate resolution of the issues raised by the request.  The Assigned Commissioner may act as Arbitrator if he/she chooses.  The Arbitrator must attend all arbitration meetings, conferences, and hearings.</w:t>
      </w: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b/>
        </w:rPr>
      </w:pPr>
      <w:r w:rsidRPr="00E35516">
        <w:rPr>
          <w:rFonts w:ascii="Palatino Linotype" w:hAnsi="Palatino Linotype"/>
          <w:b/>
        </w:rPr>
        <w:t>Discovery</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Discovery should begin as soon as possible prior to or after filing of the request for negotiation and should be completed before a request for arbitration is filed.  For good cause, the Arbitrator or Administrative Law Judge assigned to Law and Motion may compel response to a data request; in such cases, the response normally will be required in three working days or less.</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b/>
        </w:rPr>
      </w:pPr>
      <w:smartTag w:uri="urn:schemas-microsoft-com:office:smarttags" w:element="place">
        <w:r w:rsidRPr="00E35516">
          <w:rPr>
            <w:rFonts w:ascii="Palatino Linotype" w:hAnsi="Palatino Linotype"/>
            <w:b/>
          </w:rPr>
          <w:t>Opportunity</w:t>
        </w:r>
      </w:smartTag>
      <w:r w:rsidRPr="00E35516">
        <w:rPr>
          <w:rFonts w:ascii="Palatino Linotype" w:hAnsi="Palatino Linotype"/>
          <w:b/>
        </w:rPr>
        <w:t xml:space="preserve"> to Respond</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Pursuant to Subsection 252(b)(3), any party to a negotiation which did not make the request for arbitration (“respondent”) may file a response with the Commission within 15 days of the request for arbitration.  In the response, the respondent shall address each issue listed in the request, describe the respondent’s position on these issues, and identify and present any additional issues for which the respondent seeks resolution and provide such additional information and evidence necessary for the Commission’s review.  Building upon the contract language proposed by the applicant and using the form of agreement selected by the applicant, the respondent shall include, in the response, a single-text “mark-up” document containing the language upon which the parties agree and, where they disagree, both the applicant’s proposed language (bolded) and the respondent’s proposed language (underscored).  Finally, the response should contain any direct testimony supporting the respondent’s position on underlying factual predicates.  On the same day that it files its response before the Commission, the respondent must serve a copy of the Response and all supporting documentation on any other party to the negotiation.</w:t>
      </w: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Revised Statement of Unresolved Issues</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 xml:space="preserve">Within 3 days of receiving the response, the applicant and respondent shall jointly file a revised statement of unresolved issues that removes from the list presented in the initial petition those issues which are no longer in dispute based on the contract language offered by the respondent in the mark-up document and adds to the </w:t>
      </w:r>
      <w:r w:rsidRPr="00E35516">
        <w:rPr>
          <w:rFonts w:ascii="Palatino Linotype" w:hAnsi="Palatino Linotype"/>
          <w:sz w:val="24"/>
          <w:szCs w:val="24"/>
        </w:rPr>
        <w:lastRenderedPageBreak/>
        <w:t>list only those other issues which now appear to be in dispute based on the mark-up document and other portions of the response.</w:t>
      </w: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Initial Arbitration Meeting</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An Arbitrator may call an initial meeting for purposes such as setting a schedule, simplifying issues, or resolving the scope and timing of discovery.</w:t>
      </w: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Arbitration Conference and Hearing</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Within 7 days after the filing of a response to the request for arbitration, the arbitration conference and hearing shall begin.  The conduct of the conference and hearing shall be noticed on the Commission calendar and notice shall be provided to all parties on the service list.</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Limitation of Issues</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The Arbitrator shall limit the arbitration to the resolution of issues raised in the application, the response, and the revised statement of unresolved issues (where applicable).  In resolving the issues raised, the Arbitrator may take into account any issues already resolved between the parties.</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Arbitrator’s Reliance on Experts</w:t>
      </w:r>
    </w:p>
    <w:p w:rsidR="00D313F5" w:rsidRPr="00E35516" w:rsidRDefault="00D313F5" w:rsidP="00D313F5">
      <w:pPr>
        <w:suppressAutoHyphens/>
        <w:ind w:left="1987"/>
        <w:rPr>
          <w:rFonts w:ascii="Palatino Linotype" w:hAnsi="Palatino Linotype"/>
          <w:sz w:val="24"/>
          <w:szCs w:val="24"/>
        </w:rPr>
      </w:pPr>
      <w:r w:rsidRPr="00E35516">
        <w:rPr>
          <w:rFonts w:ascii="Palatino Linotype" w:hAnsi="Palatino Linotype"/>
          <w:sz w:val="24"/>
          <w:szCs w:val="24"/>
        </w:rPr>
        <w:t>The Arbitrator may rely on experts retained by, or on the Staff of the Commission.  Such expert(s) may assist the Arbitrator throughout the arbitration process.</w:t>
      </w: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Close of Arbitration</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The arbitration shall consist of mark-up conferences and limited evidentiary hearings.  At the mark-up conferences, the arbitrator will hear the concerns of the parties, determine whether the parties can further resolve their differences, and identify factual issues that may require limited evidentiary hearings.  The arbitrator will also announce his or her rulings at the conferences as the issues are resolved.  The conference and hearing process shall conclude within 3 days of the hearing’s commencement, unless the Arbitrator determines otherwise.</w:t>
      </w: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Expedited Stenographic Record</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An expedited stenographic record of each evidentiary hearing shall be made.  The cost of preparation of the expedited transcript shall be borne in equal shares by the parties.</w:t>
      </w: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lastRenderedPageBreak/>
        <w:t>Authority of the Arbitrator</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In addition to authority granted elsewhere in these rules, the Arbitrator shall have the same authority to conduct the arbitration process as an Administrative Law Judge has in conducting hearings under the Rules of Practice and Procedure.  The Arbitrator shall have the authority to change the arbitration schedule contained in these rules.</w:t>
      </w:r>
    </w:p>
    <w:p w:rsidR="00D313F5" w:rsidRPr="00E35516" w:rsidRDefault="00D313F5" w:rsidP="00055850">
      <w:pPr>
        <w:suppressAutoHyphens/>
        <w:ind w:left="1980"/>
        <w:rPr>
          <w:rFonts w:ascii="Palatino Linotype" w:hAnsi="Palatino Linotype"/>
        </w:rPr>
      </w:pPr>
      <w:r w:rsidRPr="00E35516">
        <w:rPr>
          <w:rFonts w:ascii="Palatino Linotype" w:hAnsi="Palatino Linotype"/>
          <w:b/>
        </w:rPr>
        <w:t>Participation Open to the Public</w:t>
      </w:r>
      <w:r w:rsidRPr="00E35516">
        <w:rPr>
          <w:rFonts w:ascii="Palatino Linotype" w:hAnsi="Palatino Linotype"/>
        </w:rPr>
        <w:t xml:space="preserve"> Participation in the arbitration conferences and </w:t>
      </w:r>
      <w:r w:rsidRPr="00055850">
        <w:rPr>
          <w:rFonts w:ascii="Palatino Linotype" w:hAnsi="Palatino Linotype"/>
          <w:sz w:val="24"/>
          <w:szCs w:val="24"/>
        </w:rPr>
        <w:t>hearings</w:t>
      </w:r>
      <w:r w:rsidRPr="00E35516">
        <w:rPr>
          <w:rFonts w:ascii="Palatino Linotype" w:hAnsi="Palatino Linotype"/>
        </w:rPr>
        <w:t xml:space="preserve"> is strictly limited to the parties negotiating a ROW agreement pursuant to the terms of these adopted rules.</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Arbitration Open to the Public</w:t>
      </w:r>
    </w:p>
    <w:p w:rsidR="00D313F5" w:rsidRPr="00E35516" w:rsidRDefault="00D313F5" w:rsidP="00055850">
      <w:pPr>
        <w:keepLines/>
        <w:suppressAutoHyphens/>
        <w:ind w:left="1987"/>
        <w:rPr>
          <w:rFonts w:ascii="Palatino Linotype" w:hAnsi="Palatino Linotype"/>
          <w:sz w:val="24"/>
          <w:szCs w:val="24"/>
        </w:rPr>
      </w:pPr>
      <w:r w:rsidRPr="00E35516">
        <w:rPr>
          <w:rFonts w:ascii="Palatino Linotype" w:hAnsi="Palatino Linotype"/>
          <w:sz w:val="24"/>
          <w:szCs w:val="24"/>
        </w:rPr>
        <w:t>Though participation at arbitration conferences and hearings is strictly limited to the parties that were negotiating the agreements being arbitrated, the general public is permitted to attend arbitration hearings unless circumstances dictate that a hearing, or portion thereof, be conducted in closed session.  Any party to an arbitration seeking a closed session must make a written request to the Arbitrator describing the circumstances compelling a closed session.  The Arbitrator shall consult with the assigned Commissioner and rule on such request before hearings begin.</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Filing of Draft Arbitrator’s Report</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Within 15 days following the hearings, the Arbitrator, after consultation with the Assigned Commissioner, shall file a Draft Arbitrator’s Report.  The Draft Arbitrator’s Report will include (a) a concise summary of the issues resolved by the Arbitrator, and (b) a reasoned articulation of the basis for the decision.</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Filing of Post-Hearing Briefs and Comments on the Draft Arbitrator’s Report</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 xml:space="preserve">Each party to the arbitration may file a post-hearing brief within 7 days of the end of the mark-up conferences and hearings unless the Arbitrator rules otherwise.  Post-hearing briefs shall present a party’s argument in support of adopting its recommended position with all supporting evidence and legal authorities cited therein.  The length of post-hearing briefs may be limited by the Arbitrator and shall otherwise comply with the Commission’s Rules of Practice and Procedure.  Each party and any member of the public may file </w:t>
      </w:r>
      <w:r w:rsidRPr="00E35516">
        <w:rPr>
          <w:rFonts w:ascii="Palatino Linotype" w:hAnsi="Palatino Linotype"/>
          <w:sz w:val="24"/>
          <w:szCs w:val="24"/>
        </w:rPr>
        <w:lastRenderedPageBreak/>
        <w:t>comments on the Draft arbitrator’s Report within 10 days of its release.  Such comments shall not exceed 20 pages.</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Filing of the Final Arbitrator’s Report</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The arbitrator shall file the Final Arbitrator’s Report no later than 15 days after the filing date for comments.  Prior to the report’s release, the Telecommunications Division will review the report and prepare a matrix comparing the outcomes in the report to those adopted in prior Commission arbitration decisions, highlighting variances from prior Commission policy.  Whenever the Assigned Commissioner is not acting as the arbitrator, the Assigned Commissioner will participate in the release of the Final Arbitrator’s Report consistent with the Commission’s filing of Proposed Decisions as set forth in Rule 77.1 of the Commission’s Rules of Practice and Procedure.</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Filing of Arbitrated Agreement</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Within 7 days of the filing of the Final Arbitrator’s Report, the parties shall file the entire agreement for approval.</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Commission Review of Arbitrated Agreement</w:t>
      </w:r>
    </w:p>
    <w:p w:rsidR="00D313F5" w:rsidRPr="00E35516" w:rsidRDefault="00D313F5" w:rsidP="009B19F9">
      <w:pPr>
        <w:keepLines/>
        <w:suppressAutoHyphens/>
        <w:ind w:left="1987"/>
        <w:rPr>
          <w:rFonts w:ascii="Palatino Linotype" w:hAnsi="Palatino Linotype"/>
          <w:sz w:val="24"/>
          <w:szCs w:val="24"/>
        </w:rPr>
      </w:pPr>
      <w:r w:rsidRPr="00E35516">
        <w:rPr>
          <w:rFonts w:ascii="Palatino Linotype" w:hAnsi="Palatino Linotype"/>
          <w:sz w:val="24"/>
          <w:szCs w:val="24"/>
        </w:rPr>
        <w:t>Within 30 days following filing of the arbitrated agreement, the Commission shall issue a decision approving or rejecting the arbitrated agreement (including those parts arrived at through negotiations) pursuant to Subsection 252(e) and all its subparts.</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Standards for Review</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The Commission may reject arbitrated agreements or portions thereof that do not meet the requirements of the Commission, including, but not limited to, quality of service standards adopted by the Commission.</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Written Findings</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The Commission’s decision approving or rejecting an arbitration agreement shall contain written findings.  In the event of rejection, the Commission shall address the deficiencies of the arbitrated agreement in writing and may state what modifications of such agreement would make the agreement acceptable to the Commission.</w:t>
      </w:r>
    </w:p>
    <w:p w:rsidR="00D313F5" w:rsidRPr="00E35516" w:rsidRDefault="00D313F5" w:rsidP="00DF4446">
      <w:pPr>
        <w:pStyle w:val="ListParagraph"/>
        <w:keepNext/>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b/>
        </w:rPr>
        <w:t>Application for Rehearing</w:t>
      </w:r>
    </w:p>
    <w:p w:rsidR="00D313F5" w:rsidRPr="00E35516" w:rsidRDefault="00D313F5" w:rsidP="00D313F5">
      <w:pPr>
        <w:suppressAutoHyphens/>
        <w:ind w:left="1980"/>
        <w:rPr>
          <w:rFonts w:ascii="Palatino Linotype" w:hAnsi="Palatino Linotype"/>
          <w:sz w:val="24"/>
          <w:szCs w:val="24"/>
        </w:rPr>
      </w:pPr>
      <w:r w:rsidRPr="00E35516">
        <w:rPr>
          <w:rFonts w:ascii="Palatino Linotype" w:hAnsi="Palatino Linotype"/>
          <w:sz w:val="24"/>
          <w:szCs w:val="24"/>
        </w:rPr>
        <w:t>A party wishing to appeal a Commission decision approving an arbitration must first seek administrative review pursuant to the Commission’s Rules of Practice and Procedure.</w:t>
      </w:r>
    </w:p>
    <w:p w:rsidR="00D313F5" w:rsidRPr="00E35516" w:rsidRDefault="00D313F5" w:rsidP="00DF4446">
      <w:pPr>
        <w:pStyle w:val="ListParagraph"/>
        <w:numPr>
          <w:ilvl w:val="0"/>
          <w:numId w:val="37"/>
        </w:numPr>
        <w:suppressAutoHyphens/>
        <w:spacing w:before="120"/>
        <w:ind w:left="1987" w:hanging="547"/>
        <w:contextualSpacing/>
        <w:rPr>
          <w:rFonts w:ascii="Palatino Linotype" w:hAnsi="Palatino Linotype"/>
        </w:rPr>
      </w:pPr>
      <w:r w:rsidRPr="00E35516">
        <w:rPr>
          <w:rFonts w:ascii="Palatino Linotype" w:hAnsi="Palatino Linotype"/>
        </w:rPr>
        <w:lastRenderedPageBreak/>
        <w:t>The party identified by the arbitrator as the “losing party” shall reimburse the party identified by the arbitrator as the “prevailing party” for all costs of the arbitration, including the reasonable attorney and expert witness fees incurred by the prevailing party.</w:t>
      </w:r>
    </w:p>
    <w:p w:rsidR="00E35516" w:rsidRPr="00E35516" w:rsidRDefault="00E35516" w:rsidP="00E35516">
      <w:pPr>
        <w:pStyle w:val="ListParagraph"/>
        <w:suppressAutoHyphens/>
        <w:spacing w:before="120"/>
        <w:ind w:left="1440"/>
        <w:contextualSpacing/>
        <w:rPr>
          <w:rFonts w:ascii="Palatino Linotype" w:hAnsi="Palatino Linotype"/>
        </w:rPr>
      </w:pPr>
    </w:p>
    <w:p w:rsidR="00D313F5" w:rsidRPr="00E35516" w:rsidRDefault="00D313F5" w:rsidP="00055850">
      <w:pPr>
        <w:pStyle w:val="ListParagraph"/>
        <w:keepNext/>
        <w:numPr>
          <w:ilvl w:val="0"/>
          <w:numId w:val="31"/>
        </w:numPr>
        <w:suppressAutoHyphens/>
        <w:spacing w:before="240"/>
        <w:ind w:left="720" w:right="720"/>
        <w:contextualSpacing/>
        <w:rPr>
          <w:rFonts w:ascii="Palatino Linotype" w:hAnsi="Palatino Linotype"/>
        </w:rPr>
      </w:pPr>
      <w:r w:rsidRPr="00E35516">
        <w:rPr>
          <w:rFonts w:ascii="Palatino Linotype" w:hAnsi="Palatino Linotype"/>
        </w:rPr>
        <w:t>ACCESS TO CUSTOMER PREMISES</w:t>
      </w:r>
    </w:p>
    <w:p w:rsidR="00E35516" w:rsidRPr="00E35516" w:rsidRDefault="00E35516" w:rsidP="00055850">
      <w:pPr>
        <w:pStyle w:val="ListParagraph"/>
        <w:keepNext/>
        <w:suppressAutoHyphens/>
        <w:spacing w:before="240"/>
        <w:ind w:left="0" w:right="720"/>
        <w:contextualSpacing/>
        <w:rPr>
          <w:rFonts w:ascii="Palatino Linotype" w:hAnsi="Palatino Linotype"/>
          <w:sz w:val="16"/>
          <w:szCs w:val="16"/>
        </w:rPr>
      </w:pPr>
    </w:p>
    <w:p w:rsidR="00D313F5" w:rsidRPr="00E35516" w:rsidRDefault="00D313F5" w:rsidP="00055850">
      <w:pPr>
        <w:pStyle w:val="ListParagraph"/>
        <w:keepNext/>
        <w:keepLines/>
        <w:numPr>
          <w:ilvl w:val="2"/>
          <w:numId w:val="28"/>
        </w:numPr>
        <w:suppressAutoHyphens/>
        <w:spacing w:before="240"/>
        <w:ind w:left="1267" w:hanging="547"/>
        <w:contextualSpacing/>
        <w:rPr>
          <w:rFonts w:ascii="Palatino Linotype" w:hAnsi="Palatino Linotype"/>
        </w:rPr>
      </w:pPr>
      <w:r w:rsidRPr="00E35516">
        <w:rPr>
          <w:rFonts w:ascii="Palatino Linotype" w:hAnsi="Palatino Linotype"/>
        </w:rPr>
        <w:t>No carrier may use its ownership or control of any right of way or support structure to impede the access of a telecommunications carrier or cable</w:t>
      </w:r>
      <w:r w:rsidR="00055850">
        <w:rPr>
          <w:rFonts w:ascii="Palatino Linotype" w:hAnsi="Palatino Linotype"/>
        </w:rPr>
        <w:t> </w:t>
      </w:r>
      <w:r w:rsidRPr="00E35516">
        <w:rPr>
          <w:rFonts w:ascii="Palatino Linotype" w:hAnsi="Palatino Linotype"/>
        </w:rPr>
        <w:t>TV company to a customer’s premises.</w:t>
      </w:r>
    </w:p>
    <w:p w:rsidR="00D313F5" w:rsidRPr="00E35516" w:rsidRDefault="00D313F5" w:rsidP="00DF4446">
      <w:pPr>
        <w:pStyle w:val="ListParagraph"/>
        <w:numPr>
          <w:ilvl w:val="2"/>
          <w:numId w:val="28"/>
        </w:numPr>
        <w:suppressAutoHyphens/>
        <w:spacing w:before="240"/>
        <w:ind w:left="1260" w:hanging="540"/>
        <w:contextualSpacing/>
        <w:rPr>
          <w:rFonts w:ascii="Palatino Linotype" w:hAnsi="Palatino Linotype"/>
        </w:rPr>
      </w:pPr>
      <w:r w:rsidRPr="00E35516">
        <w:rPr>
          <w:rFonts w:ascii="Palatino Linotype" w:hAnsi="Palatino Linotype"/>
        </w:rPr>
        <w:t>A carrier shall provide access, when technically feasible, to building entrance facilities it owns or controls, up to the applicable minimum point of entry (MPOE) for that property, on a nondiscriminatory, first</w:t>
      </w:r>
      <w:r w:rsidRPr="00E35516">
        <w:rPr>
          <w:rFonts w:ascii="Palatino Linotype" w:hAnsi="Palatino Linotype"/>
        </w:rPr>
        <w:noBreakHyphen/>
        <w:t>come, first</w:t>
      </w:r>
      <w:r w:rsidRPr="00E35516">
        <w:rPr>
          <w:rFonts w:ascii="Palatino Linotype" w:hAnsi="Palatino Linotype"/>
        </w:rPr>
        <w:noBreakHyphen/>
        <w:t>served basis, provided that the requesting telecommunications carrier or cable TV provider has first obtained all necessary access and/or use rights from the underlying property owners(s).</w:t>
      </w:r>
    </w:p>
    <w:p w:rsidR="00D313F5" w:rsidRPr="00E35516" w:rsidRDefault="00D313F5" w:rsidP="00DF4446">
      <w:pPr>
        <w:pStyle w:val="ListParagraph"/>
        <w:numPr>
          <w:ilvl w:val="2"/>
          <w:numId w:val="28"/>
        </w:numPr>
        <w:suppressAutoHyphens/>
        <w:spacing w:before="240"/>
        <w:ind w:left="1260" w:hanging="540"/>
        <w:contextualSpacing/>
        <w:rPr>
          <w:rFonts w:ascii="Palatino Linotype" w:hAnsi="Palatino Linotype"/>
        </w:rPr>
      </w:pPr>
      <w:r w:rsidRPr="00E35516">
        <w:rPr>
          <w:rFonts w:ascii="Palatino Linotype" w:hAnsi="Palatino Linotype"/>
        </w:rPr>
        <w:t>A carrier will have 60 days to renegotiate a contract deemed discriminatory by the Commission in response to a formal complaint.  Failing to do so, this carrier will become subject to a fine ranging from $500 to $20,000 per day beyond the 60-day limit for renegotiation until the discriminatory provisions of the arrangement have been eliminated.</w:t>
      </w:r>
    </w:p>
    <w:p w:rsidR="00E35516" w:rsidRPr="00E35516" w:rsidRDefault="00E35516" w:rsidP="00E35516">
      <w:pPr>
        <w:pStyle w:val="ListParagraph"/>
        <w:suppressAutoHyphens/>
        <w:spacing w:before="240"/>
        <w:contextualSpacing/>
        <w:rPr>
          <w:rFonts w:ascii="Palatino Linotype" w:hAnsi="Palatino Linotype"/>
        </w:rPr>
      </w:pPr>
    </w:p>
    <w:p w:rsidR="00D313F5" w:rsidRDefault="00D313F5" w:rsidP="00DF4446">
      <w:pPr>
        <w:pStyle w:val="ListParagraph"/>
        <w:numPr>
          <w:ilvl w:val="0"/>
          <w:numId w:val="31"/>
        </w:numPr>
        <w:suppressAutoHyphens/>
        <w:spacing w:before="240"/>
        <w:ind w:left="720" w:right="720"/>
        <w:contextualSpacing/>
        <w:rPr>
          <w:rFonts w:ascii="Palatino Linotype" w:hAnsi="Palatino Linotype"/>
        </w:rPr>
      </w:pPr>
      <w:r w:rsidRPr="00E35516">
        <w:rPr>
          <w:rFonts w:ascii="Palatino Linotype" w:hAnsi="Palatino Linotype"/>
        </w:rPr>
        <w:t>SAFETY</w:t>
      </w:r>
    </w:p>
    <w:p w:rsidR="00E35516" w:rsidRPr="00E35516" w:rsidRDefault="00E35516" w:rsidP="00E35516">
      <w:pPr>
        <w:pStyle w:val="ListParagraph"/>
        <w:suppressAutoHyphens/>
        <w:spacing w:before="240"/>
        <w:ind w:left="0" w:right="720"/>
        <w:contextualSpacing/>
        <w:rPr>
          <w:rFonts w:ascii="Palatino Linotype" w:hAnsi="Palatino Linotype"/>
          <w:sz w:val="16"/>
          <w:szCs w:val="16"/>
        </w:rPr>
      </w:pPr>
    </w:p>
    <w:p w:rsidR="00D313F5" w:rsidRPr="00E35516" w:rsidRDefault="00D313F5" w:rsidP="00DF4446">
      <w:pPr>
        <w:pStyle w:val="ListParagraph"/>
        <w:numPr>
          <w:ilvl w:val="0"/>
          <w:numId w:val="38"/>
        </w:numPr>
        <w:suppressAutoHyphens/>
        <w:spacing w:before="240"/>
        <w:ind w:left="1260" w:hanging="540"/>
        <w:contextualSpacing/>
        <w:rPr>
          <w:rFonts w:ascii="Palatino Linotype" w:hAnsi="Palatino Linotype"/>
        </w:rPr>
      </w:pPr>
      <w:r w:rsidRPr="00E35516">
        <w:rPr>
          <w:rFonts w:ascii="Palatino Linotype" w:hAnsi="Palatino Linotype"/>
        </w:rPr>
        <w:t>Access to utility rights of way and support structures shall be governed at all times by the provisions of Commission General Order Nos. 95 and 128 and by Cal/OSHA Title 8.  Where necessary and appropriate, said General Orders shall be supplemented by the National Electric Safety Code, and any reasonable and justifiable safety and construction standards which are required by the utility.</w:t>
      </w:r>
    </w:p>
    <w:p w:rsidR="00D313F5" w:rsidRPr="00E35516" w:rsidRDefault="00D313F5" w:rsidP="00DF4446">
      <w:pPr>
        <w:pStyle w:val="ListParagraph"/>
        <w:numPr>
          <w:ilvl w:val="0"/>
          <w:numId w:val="38"/>
        </w:numPr>
        <w:suppressAutoHyphens/>
        <w:spacing w:before="240"/>
        <w:ind w:left="1260" w:hanging="540"/>
        <w:contextualSpacing/>
        <w:rPr>
          <w:rFonts w:ascii="Palatino Linotype" w:hAnsi="Palatino Linotype"/>
        </w:rPr>
      </w:pPr>
      <w:r w:rsidRPr="00E35516">
        <w:rPr>
          <w:rFonts w:ascii="Palatino Linotype" w:hAnsi="Palatino Linotype"/>
        </w:rPr>
        <w:t>The incumbent utility shall not be liable for work that is performed by a third party without notice and supervision, work that does not pass inspection, or equipment that contains some dangerous defect that the incumbent utility cannot reasonably be expected to detect through a visual inspection.  The incumbent utility and its customers shall be immunized from financial damages in these instances.</w:t>
      </w:r>
    </w:p>
    <w:p w:rsidR="00D313F5" w:rsidRPr="00E35516" w:rsidRDefault="00D313F5" w:rsidP="00D313F5">
      <w:pPr>
        <w:suppressAutoHyphens/>
        <w:ind w:right="720"/>
        <w:rPr>
          <w:rFonts w:ascii="Palatino Linotype" w:hAnsi="Palatino Linotype"/>
          <w:sz w:val="24"/>
          <w:szCs w:val="24"/>
        </w:rPr>
      </w:pPr>
    </w:p>
    <w:p w:rsidR="00D313F5" w:rsidRPr="00E35516" w:rsidRDefault="00D313F5" w:rsidP="00D313F5">
      <w:pPr>
        <w:suppressAutoHyphens/>
        <w:ind w:right="720"/>
        <w:rPr>
          <w:rFonts w:ascii="Palatino Linotype" w:hAnsi="Palatino Linotype"/>
          <w:sz w:val="24"/>
          <w:szCs w:val="24"/>
        </w:rPr>
      </w:pPr>
    </w:p>
    <w:p w:rsidR="00D313F5" w:rsidRPr="00E35516" w:rsidRDefault="00D313F5" w:rsidP="00D313F5">
      <w:pPr>
        <w:suppressAutoHyphens/>
        <w:jc w:val="center"/>
        <w:rPr>
          <w:rFonts w:ascii="Palatino Linotype" w:hAnsi="Palatino Linotype"/>
          <w:b/>
          <w:sz w:val="24"/>
          <w:szCs w:val="24"/>
        </w:rPr>
      </w:pPr>
      <w:r w:rsidRPr="00E35516">
        <w:rPr>
          <w:rFonts w:ascii="Palatino Linotype" w:hAnsi="Palatino Linotype"/>
          <w:b/>
          <w:sz w:val="24"/>
          <w:szCs w:val="24"/>
        </w:rPr>
        <w:t>(END OF APPENDIX A)</w:t>
      </w:r>
    </w:p>
    <w:bookmarkEnd w:id="66"/>
    <w:p w:rsidR="00D313F5" w:rsidRDefault="00D313F5" w:rsidP="00D313F5">
      <w:pPr>
        <w:pStyle w:val="standard"/>
        <w:rPr>
          <w:sz w:val="24"/>
          <w:szCs w:val="24"/>
        </w:rPr>
      </w:pPr>
    </w:p>
    <w:p w:rsidR="00BC3AA7" w:rsidRDefault="00BC3AA7" w:rsidP="00D313F5">
      <w:pPr>
        <w:pStyle w:val="standard"/>
        <w:rPr>
          <w:sz w:val="24"/>
          <w:szCs w:val="24"/>
        </w:rPr>
        <w:sectPr w:rsidR="00BC3AA7" w:rsidSect="00094215">
          <w:headerReference w:type="even" r:id="rId29"/>
          <w:pgSz w:w="12240" w:h="15840"/>
          <w:pgMar w:top="1440" w:right="1440" w:bottom="1440" w:left="1440" w:header="720" w:footer="720" w:gutter="0"/>
          <w:cols w:space="720"/>
          <w:docGrid w:linePitch="360"/>
        </w:sectPr>
      </w:pPr>
    </w:p>
    <w:p w:rsidR="00BC3AA7" w:rsidRDefault="00BC3AA7" w:rsidP="00D313F5">
      <w:pPr>
        <w:pStyle w:val="standard"/>
        <w:rPr>
          <w:sz w:val="24"/>
          <w:szCs w:val="24"/>
        </w:rPr>
      </w:pPr>
    </w:p>
    <w:p w:rsidR="00BC3AA7" w:rsidRPr="00E9643A" w:rsidRDefault="00BC3AA7" w:rsidP="00BC3AA7">
      <w:pPr>
        <w:pStyle w:val="main"/>
      </w:pPr>
      <w:bookmarkStart w:id="69" w:name="_Toc386441223"/>
      <w:r>
        <w:t>Appendix B:  List of CMRS Carriers</w:t>
      </w:r>
      <w:bookmarkEnd w:id="69"/>
      <w:r>
        <w:t xml:space="preserve"> </w:t>
      </w:r>
    </w:p>
    <w:p w:rsidR="00BC3AA7" w:rsidRDefault="00BC3AA7" w:rsidP="00D313F5">
      <w:pPr>
        <w:pStyle w:val="standard"/>
        <w:rPr>
          <w:sz w:val="24"/>
          <w:szCs w:val="24"/>
        </w:rPr>
      </w:pPr>
    </w:p>
    <w:p w:rsidR="000E281A" w:rsidRDefault="00BC3AA7" w:rsidP="00BC3AA7">
      <w:pPr>
        <w:pStyle w:val="standard"/>
        <w:spacing w:line="240" w:lineRule="auto"/>
        <w:ind w:firstLine="0"/>
        <w:jc w:val="center"/>
        <w:rPr>
          <w:sz w:val="24"/>
          <w:szCs w:val="24"/>
        </w:rPr>
      </w:pPr>
      <w:r>
        <w:rPr>
          <w:sz w:val="24"/>
          <w:szCs w:val="24"/>
        </w:rPr>
        <w:t xml:space="preserve">List of CMRS Carriers </w:t>
      </w:r>
      <w:r w:rsidR="000E281A">
        <w:rPr>
          <w:sz w:val="24"/>
          <w:szCs w:val="24"/>
        </w:rPr>
        <w:t xml:space="preserve">with a </w:t>
      </w:r>
    </w:p>
    <w:p w:rsidR="00BC3AA7" w:rsidRDefault="00BC3AA7" w:rsidP="00BC3AA7">
      <w:pPr>
        <w:pStyle w:val="standard"/>
        <w:spacing w:line="240" w:lineRule="auto"/>
        <w:ind w:firstLine="0"/>
        <w:jc w:val="center"/>
        <w:rPr>
          <w:sz w:val="24"/>
          <w:szCs w:val="24"/>
        </w:rPr>
      </w:pPr>
      <w:r>
        <w:rPr>
          <w:sz w:val="24"/>
          <w:szCs w:val="24"/>
        </w:rPr>
        <w:t>Commission</w:t>
      </w:r>
      <w:r w:rsidR="000E281A">
        <w:rPr>
          <w:sz w:val="24"/>
          <w:szCs w:val="24"/>
        </w:rPr>
        <w:t>-I</w:t>
      </w:r>
      <w:r>
        <w:rPr>
          <w:sz w:val="24"/>
          <w:szCs w:val="24"/>
        </w:rPr>
        <w:t>ssue</w:t>
      </w:r>
      <w:r w:rsidR="0035124D">
        <w:rPr>
          <w:sz w:val="24"/>
          <w:szCs w:val="24"/>
        </w:rPr>
        <w:t>d</w:t>
      </w:r>
      <w:r>
        <w:rPr>
          <w:sz w:val="24"/>
          <w:szCs w:val="24"/>
        </w:rPr>
        <w:t xml:space="preserve"> Utility Identification Number</w:t>
      </w:r>
    </w:p>
    <w:p w:rsidR="00BC3AA7" w:rsidRDefault="00BC3AA7" w:rsidP="00BC3AA7">
      <w:pPr>
        <w:pStyle w:val="standard"/>
        <w:spacing w:line="240" w:lineRule="auto"/>
        <w:ind w:firstLine="0"/>
        <w:jc w:val="center"/>
        <w:rPr>
          <w:sz w:val="24"/>
          <w:szCs w:val="24"/>
        </w:rPr>
      </w:pPr>
    </w:p>
    <w:p w:rsidR="00BC3AA7" w:rsidRDefault="00BC3AA7" w:rsidP="00BC3AA7">
      <w:pPr>
        <w:pStyle w:val="standard"/>
        <w:spacing w:line="240" w:lineRule="auto"/>
        <w:ind w:firstLine="0"/>
        <w:rPr>
          <w:sz w:val="24"/>
          <w:szCs w:val="24"/>
        </w:rPr>
      </w:pPr>
    </w:p>
    <w:p w:rsidR="00BC3AA7" w:rsidRDefault="00BC3AA7" w:rsidP="00BC3AA7">
      <w:pPr>
        <w:pStyle w:val="standard"/>
        <w:spacing w:line="240" w:lineRule="auto"/>
        <w:ind w:firstLine="0"/>
        <w:rPr>
          <w:sz w:val="24"/>
          <w:szCs w:val="24"/>
        </w:rPr>
        <w:sectPr w:rsidR="00BC3AA7" w:rsidSect="0035124D">
          <w:footerReference w:type="default" r:id="rId30"/>
          <w:pgSz w:w="12240" w:h="15840"/>
          <w:pgMar w:top="1440" w:right="1440" w:bottom="1440" w:left="1440" w:header="720" w:footer="720" w:gutter="0"/>
          <w:pgNumType w:start="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5968"/>
      </w:tblGrid>
      <w:tr w:rsidR="0035124D" w:rsidRPr="003A3DE4" w:rsidTr="003A3DE4">
        <w:trPr>
          <w:cantSplit/>
          <w:trHeight w:val="288"/>
          <w:tblHeader/>
          <w:jc w:val="center"/>
        </w:trPr>
        <w:tc>
          <w:tcPr>
            <w:tcW w:w="6762" w:type="dxa"/>
            <w:gridSpan w:val="2"/>
            <w:shd w:val="clear" w:color="auto" w:fill="BFBFBF"/>
          </w:tcPr>
          <w:p w:rsidR="0035124D" w:rsidRPr="003A3DE4" w:rsidRDefault="0035124D" w:rsidP="003A3DE4">
            <w:pPr>
              <w:pStyle w:val="standard"/>
              <w:widowControl w:val="0"/>
              <w:spacing w:before="20" w:after="20" w:line="240" w:lineRule="auto"/>
              <w:ind w:firstLine="0"/>
              <w:jc w:val="center"/>
              <w:rPr>
                <w:b/>
                <w:sz w:val="24"/>
                <w:szCs w:val="24"/>
              </w:rPr>
            </w:pPr>
            <w:r w:rsidRPr="003A3DE4">
              <w:rPr>
                <w:b/>
                <w:sz w:val="24"/>
                <w:szCs w:val="24"/>
              </w:rPr>
              <w:lastRenderedPageBreak/>
              <w:t xml:space="preserve">List of CMRS Carriers </w:t>
            </w:r>
            <w:r w:rsidR="000E281A" w:rsidRPr="003A3DE4">
              <w:rPr>
                <w:b/>
                <w:sz w:val="24"/>
                <w:szCs w:val="24"/>
              </w:rPr>
              <w:t xml:space="preserve">with a </w:t>
            </w:r>
            <w:r w:rsidRPr="003A3DE4">
              <w:rPr>
                <w:b/>
                <w:sz w:val="24"/>
                <w:szCs w:val="24"/>
              </w:rPr>
              <w:t>Commission</w:t>
            </w:r>
            <w:r w:rsidR="000E281A" w:rsidRPr="003A3DE4">
              <w:rPr>
                <w:b/>
                <w:sz w:val="24"/>
                <w:szCs w:val="24"/>
              </w:rPr>
              <w:noBreakHyphen/>
            </w:r>
            <w:r w:rsidRPr="003A3DE4">
              <w:rPr>
                <w:b/>
                <w:sz w:val="24"/>
                <w:szCs w:val="24"/>
              </w:rPr>
              <w:t>Issued</w:t>
            </w:r>
            <w:r w:rsidR="000E281A" w:rsidRPr="003A3DE4">
              <w:rPr>
                <w:b/>
                <w:sz w:val="24"/>
                <w:szCs w:val="24"/>
              </w:rPr>
              <w:t> </w:t>
            </w:r>
            <w:r w:rsidRPr="003A3DE4">
              <w:rPr>
                <w:b/>
                <w:sz w:val="24"/>
                <w:szCs w:val="24"/>
              </w:rPr>
              <w:t>Utility Identification Number</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Cellco Partnership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GTE Mobilnet of Ca., Ltd. Ptnrshp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Los Angeles Smsa Limited Partnership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Sacramento Valley Ltd. Partnership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Fresno Msa Ltd. Partnership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GTE Mobilnet of Santa Barbara</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New Cingular Wireless PCS,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Santa Barbara Cellular Systems, Ltd.</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AT&amp;T Mobility Wireless Operations Holdings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WWC License,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California Rsa No. 3 Ltd. Partnership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Verizon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Modoc RSA Limited Partnership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California Rsa No. 4 Ltd. Partnership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United States Cellular Corporation</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T-Mobile West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New Cingular Wireless Pcs,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Cricket 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Metropcs California,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Accessible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California Valley Broadband,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North American Cellular Telephone,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Nova Cellular West,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Digital Communications Network,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Cellular Systems Int'l Ltd.</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Digital Cellular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Robo Wireless,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Galaxy Cellular Communications</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29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Cybernet Communications</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Body Wise Communications Advantage</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Tracfone Wireless</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Everything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Fisher Wireless Services,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Working Assets Funding Service,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lastRenderedPageBreak/>
              <w:t>35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Onstar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Virgin Mobile USA, LP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Consumer Cellular, Incorporated</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Nextel Boost of California,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PNG Telecommunications,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Movida 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Globalstar USA,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Ztar Mobile,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Helio,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44</w:t>
            </w:r>
          </w:p>
        </w:tc>
        <w:tc>
          <w:tcPr>
            <w:tcW w:w="5968" w:type="dxa"/>
            <w:shd w:val="clear" w:color="auto" w:fill="auto"/>
            <w:noWrap/>
            <w:hideMark/>
          </w:tcPr>
          <w:p w:rsidR="0035124D" w:rsidRPr="003A3DE4" w:rsidRDefault="00435B7B" w:rsidP="003A3DE4">
            <w:pPr>
              <w:pStyle w:val="standard"/>
              <w:widowControl w:val="0"/>
              <w:spacing w:before="20" w:after="20" w:line="240" w:lineRule="auto"/>
              <w:ind w:firstLine="0"/>
              <w:rPr>
                <w:sz w:val="24"/>
                <w:szCs w:val="24"/>
              </w:rPr>
            </w:pPr>
            <w:r>
              <w:rPr>
                <w:sz w:val="24"/>
                <w:szCs w:val="24"/>
              </w:rPr>
              <w:t>Granite Telecommu</w:t>
            </w:r>
            <w:r w:rsidR="0035124D" w:rsidRPr="003A3DE4">
              <w:rPr>
                <w:sz w:val="24"/>
                <w:szCs w:val="24"/>
              </w:rPr>
              <w:t>nications,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Treyspan,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Total Call Mobile,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Credit Union Wireless</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Coast To Coast Cellular,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49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Affinity Mobile,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Nosva Limited Partnership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I-Wireless,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Touchtone 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DeltaCom,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CTC Communications Corp.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Telscape 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Greatcall,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Lightyear Network Solutions,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Airpeak Communications</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59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Atrium Wireless Partners,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MCI Communications Services,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Nexus 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WDT Wireless Telecommunications,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St Messaging,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Conexions,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Telava Mobile,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Ernest 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Mitel Netsolutions,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68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Truphone,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lastRenderedPageBreak/>
              <w:t>69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U.S. Telepacific Corp.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Americatel Corporation</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Mother Lode Internet,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Medallion Telecom,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France Telecom Corporate Solutions,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TDS Long Distance Corporation</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BullsEye Telecom,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NTT Docomo USA,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TC Telephone,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Tag Mobile,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79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Budget PrePay,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Flash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Safari 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US Connect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Q Link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PrepaYd Wireless,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Midwestern Telecommunications,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Global Connection Inc</w:t>
            </w:r>
            <w:r w:rsidR="00435B7B">
              <w:rPr>
                <w:sz w:val="24"/>
                <w:szCs w:val="24"/>
              </w:rPr>
              <w:t>.</w:t>
            </w:r>
            <w:r w:rsidRPr="003A3DE4">
              <w:rPr>
                <w:sz w:val="24"/>
                <w:szCs w:val="24"/>
              </w:rPr>
              <w:t xml:space="preserve"> of America</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EZ Reach Mobile,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Curatel,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89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Cintex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Ciao Telecom,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Wall Street Network Solutions,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Reunion Wireless Services,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Lycamobile USA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Enhanced Communications Network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Telefonica USA,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Bandwidth.com,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Connectto World,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Clear Choice PCS,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99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Boomerang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Blue Jay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MCImetro Access Transmission Services,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Verizon California,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lastRenderedPageBreak/>
              <w:t>103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Solavei,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UVNV,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 xml:space="preserve">105 </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Telrite Corporation</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Silicon Business System</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Tri-M Communications,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Red Pocket,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109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Puretalk Holdings,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ItsOn,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365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Air Voice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MCC Telephony of the West,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Free Mobile,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PLDT (US) Mobility,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BCN Telecom,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Sage Telecom Communications,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2"/>
                <w:szCs w:val="22"/>
              </w:rPr>
            </w:pPr>
            <w:r w:rsidRPr="003A3DE4">
              <w:rPr>
                <w:sz w:val="22"/>
                <w:szCs w:val="22"/>
              </w:rPr>
              <w:t>American Broadband and Telecommunications Company</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119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AmeriMex Communications Corp.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Tempo Telecom,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Aio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Ready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Zoommediaplus,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Ting,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James Robert McKeown</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126</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Wirelessco, LP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127</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Sprint Telephony PCS, LP</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128</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Nextel of California,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129</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Flat West Wireless,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130</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Madera Radio Dispatch</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131</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Fresno Mobile Radio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132</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American Messaging Services, LLC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133</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Velocita Wireless</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134</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USA Mobility Wireless, Inc.</w:t>
            </w:r>
          </w:p>
        </w:tc>
      </w:tr>
      <w:tr w:rsidR="0035124D" w:rsidRPr="003A3DE4" w:rsidTr="003A3DE4">
        <w:trPr>
          <w:trHeight w:val="288"/>
          <w:jc w:val="center"/>
        </w:trPr>
        <w:tc>
          <w:tcPr>
            <w:tcW w:w="794" w:type="dxa"/>
            <w:shd w:val="clear" w:color="auto" w:fill="auto"/>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135</w:t>
            </w:r>
          </w:p>
        </w:tc>
        <w:tc>
          <w:tcPr>
            <w:tcW w:w="5968" w:type="dxa"/>
            <w:shd w:val="clear" w:color="auto" w:fill="auto"/>
            <w:noWrap/>
            <w:hideMark/>
          </w:tcPr>
          <w:p w:rsidR="0035124D" w:rsidRPr="003A3DE4" w:rsidRDefault="0035124D" w:rsidP="003A3DE4">
            <w:pPr>
              <w:pStyle w:val="standard"/>
              <w:widowControl w:val="0"/>
              <w:spacing w:before="20" w:after="20" w:line="240" w:lineRule="auto"/>
              <w:ind w:firstLine="0"/>
              <w:rPr>
                <w:sz w:val="24"/>
                <w:szCs w:val="24"/>
              </w:rPr>
            </w:pPr>
            <w:r w:rsidRPr="003A3DE4">
              <w:rPr>
                <w:sz w:val="24"/>
                <w:szCs w:val="24"/>
              </w:rPr>
              <w:t>Telefonica USA, Inc.</w:t>
            </w:r>
          </w:p>
        </w:tc>
      </w:tr>
    </w:tbl>
    <w:p w:rsidR="0035124D" w:rsidRPr="00E35516" w:rsidRDefault="0035124D" w:rsidP="0035124D">
      <w:pPr>
        <w:suppressAutoHyphens/>
        <w:spacing w:before="240"/>
        <w:jc w:val="center"/>
        <w:rPr>
          <w:sz w:val="24"/>
          <w:szCs w:val="24"/>
        </w:rPr>
      </w:pPr>
      <w:r w:rsidRPr="00E35516">
        <w:rPr>
          <w:rFonts w:ascii="Palatino Linotype" w:hAnsi="Palatino Linotype"/>
          <w:b/>
          <w:sz w:val="24"/>
          <w:szCs w:val="24"/>
        </w:rPr>
        <w:t xml:space="preserve">(END OF APPENDIX </w:t>
      </w:r>
      <w:r>
        <w:rPr>
          <w:rFonts w:ascii="Palatino Linotype" w:hAnsi="Palatino Linotype"/>
          <w:b/>
          <w:sz w:val="24"/>
          <w:szCs w:val="24"/>
        </w:rPr>
        <w:t>B</w:t>
      </w:r>
      <w:r w:rsidRPr="00E35516">
        <w:rPr>
          <w:rFonts w:ascii="Palatino Linotype" w:hAnsi="Palatino Linotype"/>
          <w:b/>
          <w:sz w:val="24"/>
          <w:szCs w:val="24"/>
        </w:rPr>
        <w:t>)</w:t>
      </w:r>
      <w:r>
        <w:rPr>
          <w:rFonts w:ascii="Palatino Linotype" w:hAnsi="Palatino Linotype"/>
          <w:b/>
          <w:sz w:val="24"/>
          <w:szCs w:val="24"/>
        </w:rPr>
        <w:t xml:space="preserve"> </w:t>
      </w:r>
    </w:p>
    <w:sectPr w:rsidR="0035124D" w:rsidRPr="00E35516" w:rsidSect="0066628B">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C2" w:rsidRDefault="00A00AC2">
      <w:r>
        <w:separator/>
      </w:r>
    </w:p>
    <w:p w:rsidR="00A00AC2" w:rsidRDefault="00A00AC2"/>
    <w:p w:rsidR="00A00AC2" w:rsidRDefault="00A00AC2"/>
    <w:p w:rsidR="00A00AC2" w:rsidRDefault="00A00AC2"/>
  </w:endnote>
  <w:endnote w:type="continuationSeparator" w:id="0">
    <w:p w:rsidR="00A00AC2" w:rsidRDefault="00A00AC2">
      <w:r>
        <w:continuationSeparator/>
      </w:r>
    </w:p>
    <w:p w:rsidR="00A00AC2" w:rsidRDefault="00A00AC2"/>
    <w:p w:rsidR="00A00AC2" w:rsidRDefault="00A00AC2"/>
    <w:p w:rsidR="00A00AC2" w:rsidRDefault="00A00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Bold-Caps">
    <w:altName w:val="Lucida Sans Unico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Default="00B02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232C" w:rsidRDefault="00B0232C">
    <w:pPr>
      <w:pStyle w:val="Footer"/>
    </w:pPr>
  </w:p>
  <w:p w:rsidR="00B0232C" w:rsidRDefault="00B0232C"/>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Pr="00094215" w:rsidRDefault="00B0232C" w:rsidP="00094215">
    <w:pPr>
      <w:pStyle w:val="Footer"/>
    </w:pPr>
    <w:r>
      <w:t>A-</w:t>
    </w:r>
    <w:r>
      <w:fldChar w:fldCharType="begin"/>
    </w:r>
    <w:r>
      <w:instrText xml:space="preserve"> PAGE   \* MERGEFORMAT </w:instrText>
    </w:r>
    <w:r>
      <w:fldChar w:fldCharType="separate"/>
    </w:r>
    <w:r w:rsidR="00FA6166">
      <w:rPr>
        <w:noProof/>
      </w:rPr>
      <w:t>19</w:t>
    </w:r>
    <w:r>
      <w:rPr>
        <w:noProof/>
      </w:rPr>
      <w:fldChar w:fldCharType="end"/>
    </w:r>
    <w:r>
      <w:rPr>
        <w:noProof/>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Pr="0066628B" w:rsidRDefault="00B0232C" w:rsidP="0066628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8B" w:rsidRPr="0066628B" w:rsidRDefault="0066628B" w:rsidP="0066628B">
    <w:pPr>
      <w:pStyle w:val="Footer"/>
    </w:pPr>
    <w:r>
      <w:t>B-</w:t>
    </w:r>
    <w:r>
      <w:fldChar w:fldCharType="begin"/>
    </w:r>
    <w:r>
      <w:instrText xml:space="preserve"> PAGE   \* MERGEFORMAT </w:instrText>
    </w:r>
    <w:r>
      <w:fldChar w:fldCharType="separate"/>
    </w:r>
    <w:r w:rsidR="00FA6166">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Default="00B02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232C" w:rsidRDefault="00B0232C">
    <w:pPr>
      <w:pStyle w:val="Footer"/>
      <w:framePr w:w="542" w:wrap="around" w:vAnchor="text" w:hAnchor="page" w:x="5842" w:y="-37"/>
      <w:rPr>
        <w:rStyle w:val="PageNumber"/>
      </w:rPr>
    </w:pPr>
    <w:r>
      <w:rPr>
        <w:rStyle w:val="PageNumber"/>
      </w:rPr>
      <w:t>-     -</w:t>
    </w:r>
  </w:p>
  <w:p w:rsidR="00B0232C" w:rsidRDefault="00B0232C">
    <w:pPr>
      <w:pStyle w:val="Footer"/>
      <w:jc w:val="left"/>
    </w:pPr>
  </w:p>
  <w:p w:rsidR="00B0232C" w:rsidRDefault="00B023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Default="00B0232C" w:rsidP="006B13D5">
    <w:pPr>
      <w:pStyle w:val="Footer"/>
      <w:tabs>
        <w:tab w:val="clear" w:pos="4320"/>
        <w:tab w:val="center" w:pos="4680"/>
      </w:tabs>
      <w:jc w:val="left"/>
    </w:pPr>
    <w:r w:rsidRPr="00076B4A">
      <w:rPr>
        <w:rFonts w:ascii="Tahoma" w:hAnsi="Tahoma" w:cs="Tahoma"/>
        <w:sz w:val="17"/>
        <w:szCs w:val="17"/>
      </w:rPr>
      <w:t>90904541</w:t>
    </w:r>
    <w:r>
      <w:tab/>
      <w:t xml:space="preserve">- </w:t>
    </w:r>
    <w:r>
      <w:rPr>
        <w:rStyle w:val="PageNumber"/>
      </w:rPr>
      <w:fldChar w:fldCharType="begin"/>
    </w:r>
    <w:r>
      <w:rPr>
        <w:rStyle w:val="PageNumber"/>
      </w:rPr>
      <w:instrText xml:space="preserve"> PAGE </w:instrText>
    </w:r>
    <w:r>
      <w:rPr>
        <w:rStyle w:val="PageNumber"/>
      </w:rPr>
      <w:fldChar w:fldCharType="separate"/>
    </w:r>
    <w:r w:rsidR="00FA6166">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Default="00B0232C">
    <w:pPr>
      <w:pStyle w:val="Footer"/>
      <w:framePr w:wrap="around" w:vAnchor="text" w:hAnchor="margin" w:xAlign="center" w:y="1"/>
      <w:jc w:val="left"/>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r>
      <w:rPr>
        <w:rStyle w:val="PageNumber"/>
      </w:rPr>
      <w:t xml:space="preserve"> -</w:t>
    </w:r>
  </w:p>
  <w:p w:rsidR="00B0232C" w:rsidRDefault="00B0232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Default="00B02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6166">
      <w:rPr>
        <w:rStyle w:val="PageNumber"/>
        <w:noProof/>
      </w:rPr>
      <w:t>i</w:t>
    </w:r>
    <w:r>
      <w:rPr>
        <w:rStyle w:val="PageNumber"/>
      </w:rPr>
      <w:fldChar w:fldCharType="end"/>
    </w:r>
  </w:p>
  <w:p w:rsidR="00B0232C" w:rsidRDefault="00B0232C">
    <w:pPr>
      <w:pStyle w:val="Footer"/>
    </w:pPr>
    <w:r>
      <w:t xml:space="preserve">- </w:t>
    </w:r>
    <w:r>
      <w:rPr>
        <w:rStyle w:val="PageNumber"/>
      </w:rPr>
      <w:t xml:space="preserve"> -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Default="00B0232C">
    <w:pPr>
      <w:pStyle w:val="Footer"/>
      <w:rPr>
        <w:szCs w:val="26"/>
      </w:rPr>
    </w:pPr>
  </w:p>
  <w:p w:rsidR="00B0232C" w:rsidRDefault="00B0232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Default="00B0232C">
    <w:pPr>
      <w:tabs>
        <w:tab w:val="left" w:pos="468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FA6166">
      <w:rPr>
        <w:rStyle w:val="PageNumber"/>
        <w:noProof/>
      </w:rPr>
      <w:t>35</w:t>
    </w:r>
    <w:r>
      <w:rPr>
        <w:rStyle w:val="PageNumber"/>
      </w:rPr>
      <w:fldChar w:fldCharType="end"/>
    </w:r>
    <w:r>
      <w:rPr>
        <w:rStyle w:val="PageNumber"/>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Default="00B02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232C" w:rsidRDefault="00B0232C">
    <w:pPr>
      <w:pStyle w:val="Footer"/>
    </w:pPr>
    <w:r>
      <w:t xml:space="preserve">- </w:t>
    </w:r>
    <w:r>
      <w:rPr>
        <w:rStyle w:val="PageNumber"/>
      </w:rPr>
      <w:t xml:space="preserve"> -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Pr="00094215" w:rsidRDefault="00B0232C" w:rsidP="00094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C2" w:rsidRDefault="00A00AC2">
      <w:pPr>
        <w:spacing w:after="60"/>
      </w:pPr>
      <w:r>
        <w:separator/>
      </w:r>
    </w:p>
  </w:footnote>
  <w:footnote w:type="continuationSeparator" w:id="0">
    <w:p w:rsidR="00A00AC2" w:rsidRDefault="00A00AC2">
      <w:pPr>
        <w:spacing w:after="60"/>
      </w:pPr>
      <w:r>
        <w:continuationSeparator/>
      </w:r>
      <w:r>
        <w:t xml:space="preserve">  </w:t>
      </w:r>
    </w:p>
  </w:footnote>
  <w:footnote w:type="continuationNotice" w:id="1">
    <w:p w:rsidR="00A00AC2" w:rsidRPr="001C0ECE" w:rsidRDefault="00A00AC2" w:rsidP="001C0ECE">
      <w:pPr>
        <w:spacing w:before="120"/>
        <w:jc w:val="right"/>
        <w:rPr>
          <w:b/>
        </w:rPr>
      </w:pPr>
      <w:r w:rsidRPr="001C0ECE">
        <w:rPr>
          <w:b/>
          <w:i/>
          <w:sz w:val="22"/>
        </w:rPr>
        <w:t xml:space="preserve">Footnote continued on next page </w:t>
      </w:r>
    </w:p>
  </w:footnote>
  <w:footnote w:id="2">
    <w:p w:rsidR="00B0232C" w:rsidRDefault="00B0232C" w:rsidP="003A2C40">
      <w:pPr>
        <w:pStyle w:val="FootnoteText"/>
      </w:pPr>
      <w:r>
        <w:rPr>
          <w:rStyle w:val="FootnoteReference"/>
        </w:rPr>
        <w:footnoteRef/>
      </w:r>
      <w:r>
        <w:t xml:space="preserve"> </w:t>
      </w:r>
      <w:r>
        <w:tab/>
        <w:t>47 U.S.C. § 224 (a)(1) defines the term “utility” as “any person who is a local exchange carrier or an electric, gas, water, steam, or other public utility, and who owns or controls poles, ducts, conduits, or rights-of-way used, in whole or in part, for any wire communications.”</w:t>
      </w:r>
    </w:p>
  </w:footnote>
  <w:footnote w:id="3">
    <w:p w:rsidR="00B0232C" w:rsidRDefault="00B0232C" w:rsidP="002C32CC">
      <w:pPr>
        <w:pStyle w:val="FootnoteText"/>
      </w:pPr>
      <w:r>
        <w:rPr>
          <w:rStyle w:val="FootnoteReference"/>
        </w:rPr>
        <w:footnoteRef/>
      </w:r>
      <w:r>
        <w:t xml:space="preserve"> </w:t>
      </w:r>
      <w:r>
        <w:tab/>
        <w:t>See also 47 U.S.C. § 251(b)(4).</w:t>
      </w:r>
    </w:p>
  </w:footnote>
  <w:footnote w:id="4">
    <w:p w:rsidR="00B0232C" w:rsidRDefault="00B0232C" w:rsidP="0057652D">
      <w:pPr>
        <w:pStyle w:val="FootnoteText"/>
      </w:pPr>
      <w:r>
        <w:rPr>
          <w:rStyle w:val="FootnoteReference"/>
        </w:rPr>
        <w:footnoteRef/>
      </w:r>
      <w:r>
        <w:t xml:space="preserve"> </w:t>
      </w:r>
      <w:r>
        <w:tab/>
        <w:t>Pacific Bell is now commonly known as AT&amp;T California.  GTEC is now known as Verizon California Inc.  RTC is now known as SureWest Telephone.</w:t>
      </w:r>
    </w:p>
  </w:footnote>
  <w:footnote w:id="5">
    <w:p w:rsidR="00B0232C" w:rsidRDefault="00B0232C" w:rsidP="0027108D">
      <w:pPr>
        <w:pStyle w:val="FootnoteText"/>
      </w:pPr>
      <w:r>
        <w:rPr>
          <w:rStyle w:val="FootnoteReference"/>
        </w:rPr>
        <w:footnoteRef/>
      </w:r>
      <w:r>
        <w:t xml:space="preserve"> </w:t>
      </w:r>
      <w:r>
        <w:tab/>
        <w:t>D.98-10-058, Section II.</w:t>
      </w:r>
    </w:p>
  </w:footnote>
  <w:footnote w:id="6">
    <w:p w:rsidR="00B0232C" w:rsidRDefault="00B0232C" w:rsidP="0027108D">
      <w:pPr>
        <w:pStyle w:val="FootnoteText"/>
      </w:pPr>
      <w:r>
        <w:rPr>
          <w:rStyle w:val="FootnoteReference"/>
        </w:rPr>
        <w:footnoteRef/>
      </w:r>
      <w:r>
        <w:t xml:space="preserve"> </w:t>
      </w:r>
      <w:r>
        <w:tab/>
        <w:t xml:space="preserve">The ROW Rules are set forth in D.98-10-058, Appendix A. </w:t>
      </w:r>
      <w:r w:rsidRPr="001D366F">
        <w:t xml:space="preserve"> </w:t>
      </w:r>
      <w:r>
        <w:t>The ROW Rules are administered by the Commission in the form of “preferred outcomes.”  (D.98</w:t>
      </w:r>
      <w:r>
        <w:noBreakHyphen/>
        <w:t>10</w:t>
      </w:r>
      <w:r>
        <w:noBreakHyphen/>
        <w:t>058, Section II.B).  Parties negotiating ROW agreements may depart from these preferred outcomes, but in resolving any ROW dispute the Commission will consider how closely each party has conformed to the preferred outcomes. (</w:t>
      </w:r>
      <w:r w:rsidRPr="00943440">
        <w:rPr>
          <w:i/>
        </w:rPr>
        <w:t>Ibid.</w:t>
      </w:r>
      <w:r>
        <w:t xml:space="preserve">) </w:t>
      </w:r>
    </w:p>
  </w:footnote>
  <w:footnote w:id="7">
    <w:p w:rsidR="00B0232C" w:rsidRDefault="00B0232C" w:rsidP="00C128C3">
      <w:pPr>
        <w:pStyle w:val="FootnoteText"/>
      </w:pPr>
      <w:r>
        <w:rPr>
          <w:rStyle w:val="FootnoteReference"/>
        </w:rPr>
        <w:footnoteRef/>
      </w:r>
      <w:r>
        <w:t xml:space="preserve"> </w:t>
      </w:r>
      <w:r>
        <w:tab/>
        <w:t xml:space="preserve">CMRS carriers are “telephone corporations” and therefore public utilities subject to the Commission’s jurisdiction under Pub. Util. Code </w:t>
      </w:r>
      <w:r>
        <w:rPr>
          <w:rFonts w:ascii="Book Antiqua" w:hAnsi="Book Antiqua"/>
        </w:rPr>
        <w:t>§§</w:t>
      </w:r>
      <w:r>
        <w:t xml:space="preserve"> 216, 233, and 234.  In 1993, 47 U.S.C. </w:t>
      </w:r>
      <w:r>
        <w:rPr>
          <w:rFonts w:ascii="Book Antiqua" w:hAnsi="Book Antiqua"/>
        </w:rPr>
        <w:t>§</w:t>
      </w:r>
      <w:r>
        <w:t> 332(c)(3)(A) was amended to restrict state jurisdiction over CMRS carriers to “other terms and conditions” of CMRS service.  These “other terms and conditions” include facility siting and public safety.</w:t>
      </w:r>
    </w:p>
  </w:footnote>
  <w:footnote w:id="8">
    <w:p w:rsidR="00B0232C" w:rsidRDefault="00B0232C">
      <w:pPr>
        <w:pStyle w:val="FootnoteText"/>
      </w:pPr>
      <w:r>
        <w:rPr>
          <w:rStyle w:val="FootnoteReference"/>
        </w:rPr>
        <w:footnoteRef/>
      </w:r>
      <w:r>
        <w:t xml:space="preserve"> </w:t>
      </w:r>
      <w:r>
        <w:tab/>
        <w:t xml:space="preserve">CMRS includes cellular services, personal communications services, wide-area specialized mobile services, radio telephone services, and many other wireless services.  (D.96-12-071, 70 CPUC 2d 61, 65.)  In the common vernacular, the term “CMRS” is used interchangeably with the terms “wireless” and “cellular.” </w:t>
      </w:r>
    </w:p>
  </w:footnote>
  <w:footnote w:id="9">
    <w:p w:rsidR="00B0232C" w:rsidRDefault="00B0232C">
      <w:pPr>
        <w:pStyle w:val="FootnoteText"/>
      </w:pPr>
      <w:r>
        <w:rPr>
          <w:rStyle w:val="FootnoteReference"/>
        </w:rPr>
        <w:footnoteRef/>
      </w:r>
      <w:r>
        <w:t xml:space="preserve"> </w:t>
      </w:r>
      <w:r>
        <w:tab/>
        <w:t xml:space="preserve">Today’s decision uses the definition of “pole attachment” in the ROW Rules, Part II.  This definition of “pole attachment” is generally consistent with the definition of “pole attachment” in 47 U.S.C. </w:t>
      </w:r>
      <w:r>
        <w:rPr>
          <w:rFonts w:ascii="Book Antiqua" w:hAnsi="Book Antiqua"/>
        </w:rPr>
        <w:t>§</w:t>
      </w:r>
      <w:r>
        <w:t> 224(a)(4).</w:t>
      </w:r>
    </w:p>
  </w:footnote>
  <w:footnote w:id="10">
    <w:p w:rsidR="00B0232C" w:rsidRDefault="00B0232C">
      <w:pPr>
        <w:pStyle w:val="FootnoteText"/>
      </w:pPr>
      <w:r>
        <w:rPr>
          <w:rStyle w:val="FootnoteReference"/>
        </w:rPr>
        <w:footnoteRef/>
      </w:r>
      <w:r>
        <w:t xml:space="preserve"> </w:t>
      </w:r>
      <w:r>
        <w:tab/>
        <w:t>D.98-10-058 was issued in the consolidated dockets of Rulemaking (R.) 95-04-043 and Investigation (I.) 95-04-044.</w:t>
      </w:r>
    </w:p>
  </w:footnote>
  <w:footnote w:id="11">
    <w:p w:rsidR="00B0232C" w:rsidRDefault="00B0232C" w:rsidP="003F6355">
      <w:pPr>
        <w:pStyle w:val="FootnoteText"/>
      </w:pPr>
      <w:r>
        <w:rPr>
          <w:rStyle w:val="FootnoteReference"/>
        </w:rPr>
        <w:footnoteRef/>
      </w:r>
      <w:r>
        <w:t xml:space="preserve"> </w:t>
      </w:r>
      <w:r>
        <w:tab/>
        <w:t xml:space="preserve">As used in P.13-12-009 and today’s decision, “AT&amp;T Mobility” refers to, collectively, AT&amp;T Mobility Wireless Operations Holdings, Inc. (U-3021-C); </w:t>
      </w:r>
      <w:r w:rsidRPr="00437B45">
        <w:t>New Cingular Wireless PCS, LLC (U-3060-C)</w:t>
      </w:r>
      <w:r>
        <w:t xml:space="preserve"> d/b/a AT&amp;T Mobility</w:t>
      </w:r>
      <w:r w:rsidRPr="00437B45">
        <w:t xml:space="preserve">; </w:t>
      </w:r>
      <w:r>
        <w:t xml:space="preserve">and </w:t>
      </w:r>
      <w:r w:rsidRPr="00437B45">
        <w:t>Santa Barbara Cellular Systems, Ltd. (U-3015-C).</w:t>
      </w:r>
    </w:p>
  </w:footnote>
  <w:footnote w:id="12">
    <w:p w:rsidR="00B0232C" w:rsidRDefault="00B0232C">
      <w:pPr>
        <w:pStyle w:val="FootnoteText"/>
      </w:pPr>
      <w:r>
        <w:rPr>
          <w:rStyle w:val="FootnoteReference"/>
        </w:rPr>
        <w:footnoteRef/>
      </w:r>
      <w:r>
        <w:t xml:space="preserve"> </w:t>
      </w:r>
      <w:r>
        <w:tab/>
        <w:t xml:space="preserve">Today’s decision uses the terms “CMRS carrier” and “CMRS provider” interchangeably.  </w:t>
      </w:r>
    </w:p>
  </w:footnote>
  <w:footnote w:id="13">
    <w:p w:rsidR="00B0232C" w:rsidRDefault="00B0232C" w:rsidP="000B25AB">
      <w:pPr>
        <w:pStyle w:val="FootnoteText"/>
      </w:pPr>
      <w:r>
        <w:rPr>
          <w:rStyle w:val="FootnoteReference"/>
        </w:rPr>
        <w:footnoteRef/>
      </w:r>
      <w:r>
        <w:t xml:space="preserve"> </w:t>
      </w:r>
      <w:r>
        <w:tab/>
        <w:t>D.07-02-030 and D.08-10-017 were issued in R.05</w:t>
      </w:r>
      <w:r>
        <w:noBreakHyphen/>
        <w:t>02</w:t>
      </w:r>
      <w:r>
        <w:noBreakHyphen/>
        <w:t>023 and R.07</w:t>
      </w:r>
      <w:r>
        <w:noBreakHyphen/>
        <w:t>12</w:t>
      </w:r>
      <w:r>
        <w:noBreakHyphen/>
        <w:t>001, respectively.</w:t>
      </w:r>
    </w:p>
  </w:footnote>
  <w:footnote w:id="14">
    <w:p w:rsidR="00B0232C" w:rsidRPr="006049B4" w:rsidRDefault="00B0232C" w:rsidP="00FF4A4D">
      <w:pPr>
        <w:pStyle w:val="FootnoteText"/>
      </w:pPr>
      <w:r>
        <w:rPr>
          <w:rStyle w:val="FootnoteReference"/>
        </w:rPr>
        <w:footnoteRef/>
      </w:r>
      <w:r>
        <w:t xml:space="preserve"> </w:t>
      </w:r>
      <w:r>
        <w:tab/>
        <w:t>D.98-10-058, Section III.F.2.</w:t>
      </w:r>
    </w:p>
  </w:footnote>
  <w:footnote w:id="15">
    <w:p w:rsidR="00B0232C" w:rsidRDefault="00B0232C" w:rsidP="00B728F5">
      <w:pPr>
        <w:pStyle w:val="FootnoteText"/>
      </w:pPr>
      <w:r>
        <w:rPr>
          <w:rStyle w:val="FootnoteReference"/>
        </w:rPr>
        <w:footnoteRef/>
      </w:r>
      <w:r>
        <w:t xml:space="preserve"> </w:t>
      </w:r>
      <w:r>
        <w:tab/>
        <w:t>D.08-10-017 at 2 – 3.</w:t>
      </w:r>
    </w:p>
  </w:footnote>
  <w:footnote w:id="16">
    <w:p w:rsidR="00B0232C" w:rsidRDefault="00B0232C" w:rsidP="002A6093">
      <w:pPr>
        <w:pStyle w:val="FootnoteText"/>
      </w:pPr>
      <w:r>
        <w:rPr>
          <w:rStyle w:val="FootnoteReference"/>
        </w:rPr>
        <w:footnoteRef/>
      </w:r>
      <w:r>
        <w:t xml:space="preserve"> </w:t>
      </w:r>
      <w:r>
        <w:tab/>
      </w:r>
      <w:r w:rsidRPr="00E14A10">
        <w:rPr>
          <w:i/>
        </w:rPr>
        <w:t>Report and Order and Order on Reconsideration</w:t>
      </w:r>
      <w:r>
        <w:t>, FCC 11-50 (released April 7, 2011) (hereafter, “FCC 11</w:t>
      </w:r>
      <w:r>
        <w:noBreakHyphen/>
        <w:t xml:space="preserve">50”) at </w:t>
      </w:r>
      <w:r>
        <w:rPr>
          <w:rFonts w:ascii="Book Antiqua" w:hAnsi="Book Antiqua"/>
        </w:rPr>
        <w:t>¶¶</w:t>
      </w:r>
      <w:r>
        <w:t> 12, 77, 136, and 153.</w:t>
      </w:r>
    </w:p>
  </w:footnote>
  <w:footnote w:id="17">
    <w:p w:rsidR="00B0232C" w:rsidRPr="00F6326C" w:rsidRDefault="00B0232C" w:rsidP="00596C59">
      <w:pPr>
        <w:pStyle w:val="FootnoteText"/>
      </w:pPr>
      <w:r>
        <w:rPr>
          <w:rStyle w:val="FootnoteReference"/>
        </w:rPr>
        <w:footnoteRef/>
      </w:r>
      <w:r>
        <w:t xml:space="preserve"> </w:t>
      </w:r>
      <w:r>
        <w:tab/>
      </w:r>
      <w:r w:rsidRPr="007D69F4">
        <w:t>D.98-09-024</w:t>
      </w:r>
      <w:r>
        <w:t xml:space="preserve"> at</w:t>
      </w:r>
      <w:r w:rsidRPr="007D69F4">
        <w:t xml:space="preserve"> f</w:t>
      </w:r>
      <w:r>
        <w:t>ootnote</w:t>
      </w:r>
      <w:r w:rsidRPr="007D69F4">
        <w:t xml:space="preserve"> 1</w:t>
      </w:r>
      <w:r>
        <w:t xml:space="preserve">.  (“CMRS includes cellular services, personal communications services, wide-area specialized mobile radio services, and two-way radiotelephone services.”) </w:t>
      </w:r>
    </w:p>
  </w:footnote>
  <w:footnote w:id="18">
    <w:p w:rsidR="00B0232C" w:rsidRDefault="00B0232C" w:rsidP="008633FD">
      <w:pPr>
        <w:pStyle w:val="FootnoteText"/>
      </w:pPr>
      <w:r>
        <w:rPr>
          <w:rStyle w:val="FootnoteReference"/>
        </w:rPr>
        <w:footnoteRef/>
      </w:r>
      <w:r>
        <w:t xml:space="preserve"> </w:t>
      </w:r>
      <w:r>
        <w:tab/>
        <w:t>D.98-10-058 at 12 </w:t>
      </w:r>
      <w:r>
        <w:noBreakHyphen/>
        <w:t> 14.</w:t>
      </w:r>
    </w:p>
  </w:footnote>
  <w:footnote w:id="19">
    <w:p w:rsidR="00B0232C" w:rsidRPr="002067F7" w:rsidRDefault="00B0232C" w:rsidP="002B720B">
      <w:pPr>
        <w:pStyle w:val="FootnoteText"/>
      </w:pPr>
      <w:r w:rsidRPr="00D25F95">
        <w:rPr>
          <w:rFonts w:ascii="Palatino Linotype" w:hAnsi="Palatino Linotype"/>
          <w:vertAlign w:val="superscript"/>
        </w:rPr>
        <w:footnoteRef/>
      </w:r>
      <w:r w:rsidRPr="00D25F95">
        <w:rPr>
          <w:rFonts w:ascii="Palatino Linotype" w:hAnsi="Palatino Linotype"/>
        </w:rPr>
        <w:t xml:space="preserve"> </w:t>
      </w:r>
      <w:r w:rsidRPr="00D25F95">
        <w:rPr>
          <w:rFonts w:ascii="Palatino Linotype" w:hAnsi="Palatino Linotype"/>
        </w:rPr>
        <w:tab/>
      </w:r>
      <w:r w:rsidRPr="002067F7">
        <w:t>Pub. Util. Code § 5810(a)(2)(A).</w:t>
      </w:r>
    </w:p>
  </w:footnote>
  <w:footnote w:id="20">
    <w:p w:rsidR="00B0232C" w:rsidRPr="002067F7" w:rsidRDefault="00B0232C" w:rsidP="00D422A2">
      <w:pPr>
        <w:pStyle w:val="FootnoteText"/>
      </w:pPr>
      <w:r w:rsidRPr="00065B3E">
        <w:rPr>
          <w:rStyle w:val="FootnoteReference"/>
          <w:rFonts w:ascii="Palatino Linotype" w:hAnsi="Palatino Linotype"/>
        </w:rPr>
        <w:footnoteRef/>
      </w:r>
      <w:r w:rsidRPr="00065B3E">
        <w:rPr>
          <w:rFonts w:ascii="Palatino Linotype" w:hAnsi="Palatino Linotype"/>
        </w:rPr>
        <w:t xml:space="preserve"> </w:t>
      </w:r>
      <w:r>
        <w:rPr>
          <w:rFonts w:ascii="Palatino Linotype" w:hAnsi="Palatino Linotype"/>
        </w:rPr>
        <w:tab/>
      </w:r>
      <w:r w:rsidRPr="002067F7">
        <w:t>D.98-10-058 at 56.</w:t>
      </w:r>
    </w:p>
  </w:footnote>
  <w:footnote w:id="21">
    <w:p w:rsidR="00B0232C" w:rsidRPr="002067F7" w:rsidRDefault="00B0232C" w:rsidP="002C3988">
      <w:pPr>
        <w:pStyle w:val="FootnoteText"/>
      </w:pPr>
      <w:r w:rsidRPr="00065B3E">
        <w:rPr>
          <w:rStyle w:val="FootnoteReference"/>
          <w:rFonts w:ascii="Palatino Linotype" w:hAnsi="Palatino Linotype"/>
        </w:rPr>
        <w:footnoteRef/>
      </w:r>
      <w:r w:rsidRPr="00065B3E">
        <w:rPr>
          <w:rFonts w:ascii="Palatino Linotype" w:hAnsi="Palatino Linotype"/>
        </w:rPr>
        <w:t xml:space="preserve"> </w:t>
      </w:r>
      <w:r>
        <w:rPr>
          <w:rFonts w:ascii="Palatino Linotype" w:hAnsi="Palatino Linotype"/>
        </w:rPr>
        <w:tab/>
      </w:r>
      <w:r w:rsidRPr="002067F7">
        <w:t>47 C.F.R. §1.1409.</w:t>
      </w:r>
    </w:p>
  </w:footnote>
  <w:footnote w:id="22">
    <w:p w:rsidR="00B0232C" w:rsidRPr="002067F7" w:rsidRDefault="00B0232C" w:rsidP="00D422A2">
      <w:pPr>
        <w:pStyle w:val="FootnoteText"/>
      </w:pPr>
      <w:r w:rsidRPr="00065B3E">
        <w:rPr>
          <w:rStyle w:val="FootnoteReference"/>
          <w:rFonts w:ascii="Palatino Linotype" w:hAnsi="Palatino Linotype"/>
        </w:rPr>
        <w:footnoteRef/>
      </w:r>
      <w:r w:rsidRPr="00065B3E">
        <w:rPr>
          <w:rFonts w:ascii="Palatino Linotype" w:hAnsi="Palatino Linotype"/>
        </w:rPr>
        <w:t xml:space="preserve"> </w:t>
      </w:r>
      <w:r>
        <w:rPr>
          <w:rFonts w:ascii="Palatino Linotype" w:hAnsi="Palatino Linotype"/>
        </w:rPr>
        <w:tab/>
      </w:r>
      <w:r w:rsidRPr="002067F7">
        <w:t>ROW Rules, Sectio</w:t>
      </w:r>
      <w:r>
        <w:t>n VI.</w:t>
      </w:r>
      <w:r w:rsidRPr="002067F7">
        <w:t>B.1.b.(2).</w:t>
      </w:r>
      <w:r>
        <w:t xml:space="preserve"> </w:t>
      </w:r>
      <w:r w:rsidRPr="002067F7">
        <w:t xml:space="preserve"> (Pricing based on “a percentage of the annual cost of ownership for the support structure, computed by dividing the volume or capacity rendered unusable by the telecommunications carrier’s or cable TV company’s equipment by the tota</w:t>
      </w:r>
      <w:r>
        <w:t>l usable volume or capacity.”)</w:t>
      </w:r>
    </w:p>
  </w:footnote>
  <w:footnote w:id="23">
    <w:p w:rsidR="00B0232C" w:rsidRPr="009E6219" w:rsidRDefault="00B0232C" w:rsidP="00AD3FCA">
      <w:pPr>
        <w:pStyle w:val="FootnoteText"/>
        <w:rPr>
          <w:szCs w:val="24"/>
        </w:rPr>
      </w:pPr>
      <w:r w:rsidRPr="009E6219">
        <w:rPr>
          <w:rStyle w:val="FootnoteReference"/>
          <w:szCs w:val="24"/>
        </w:rPr>
        <w:footnoteRef/>
      </w:r>
      <w:r>
        <w:rPr>
          <w:szCs w:val="24"/>
        </w:rPr>
        <w:tab/>
        <w:t xml:space="preserve">Petition </w:t>
      </w:r>
      <w:r w:rsidRPr="009E6219">
        <w:rPr>
          <w:szCs w:val="24"/>
        </w:rPr>
        <w:t>at App</w:t>
      </w:r>
      <w:r>
        <w:rPr>
          <w:szCs w:val="24"/>
        </w:rPr>
        <w:t>endi</w:t>
      </w:r>
      <w:r w:rsidRPr="009E6219">
        <w:rPr>
          <w:szCs w:val="24"/>
        </w:rPr>
        <w:t>x A, p</w:t>
      </w:r>
      <w:r>
        <w:rPr>
          <w:szCs w:val="24"/>
        </w:rPr>
        <w:t xml:space="preserve">age </w:t>
      </w:r>
      <w:r w:rsidRPr="009E6219">
        <w:rPr>
          <w:szCs w:val="24"/>
        </w:rPr>
        <w:t>2.</w:t>
      </w:r>
    </w:p>
  </w:footnote>
  <w:footnote w:id="24">
    <w:p w:rsidR="00B0232C" w:rsidRDefault="00B0232C">
      <w:pPr>
        <w:pStyle w:val="FootnoteText"/>
      </w:pPr>
      <w:r>
        <w:rPr>
          <w:rStyle w:val="FootnoteReference"/>
        </w:rPr>
        <w:footnoteRef/>
      </w:r>
      <w:r>
        <w:t xml:space="preserve"> </w:t>
      </w:r>
      <w:r>
        <w:tab/>
        <w:t>See D.98-10-058, Section II, and today’s decision, Section 2.</w:t>
      </w:r>
    </w:p>
  </w:footnote>
  <w:footnote w:id="25">
    <w:p w:rsidR="00B0232C" w:rsidRDefault="00B0232C">
      <w:pPr>
        <w:pStyle w:val="FootnoteText"/>
      </w:pPr>
      <w:r>
        <w:rPr>
          <w:rStyle w:val="FootnoteReference"/>
        </w:rPr>
        <w:footnoteRef/>
      </w:r>
      <w:r>
        <w:t xml:space="preserve"> </w:t>
      </w:r>
      <w:r>
        <w:tab/>
        <w:t>P.13-12-009, Section III.</w:t>
      </w:r>
    </w:p>
  </w:footnote>
  <w:footnote w:id="26">
    <w:p w:rsidR="00B0232C" w:rsidRDefault="00B0232C">
      <w:pPr>
        <w:pStyle w:val="FootnoteText"/>
      </w:pPr>
      <w:r>
        <w:rPr>
          <w:rStyle w:val="FootnoteReference"/>
        </w:rPr>
        <w:footnoteRef/>
      </w:r>
      <w:r>
        <w:t xml:space="preserve"> </w:t>
      </w:r>
      <w:r>
        <w:tab/>
        <w:t>P.13-12-009 at 1, 7, 8, 12, and Appendix A.</w:t>
      </w:r>
    </w:p>
  </w:footnote>
  <w:footnote w:id="27">
    <w:p w:rsidR="00B0232C" w:rsidRDefault="00B0232C">
      <w:pPr>
        <w:pStyle w:val="FootnoteText"/>
      </w:pPr>
      <w:r>
        <w:rPr>
          <w:rStyle w:val="FootnoteReference"/>
        </w:rPr>
        <w:footnoteRef/>
      </w:r>
      <w:r>
        <w:t xml:space="preserve"> </w:t>
      </w:r>
      <w:r>
        <w:tab/>
        <w:t xml:space="preserve">47 U.S.C. </w:t>
      </w:r>
      <w:r>
        <w:rPr>
          <w:rFonts w:ascii="Book Antiqua" w:hAnsi="Book Antiqua"/>
        </w:rPr>
        <w:t>§</w:t>
      </w:r>
      <w:r>
        <w:t xml:space="preserve"> 224(f); 47 C.F.R. </w:t>
      </w:r>
      <w:r w:rsidRPr="00346198">
        <w:t>§</w:t>
      </w:r>
      <w:r>
        <w:t>§ </w:t>
      </w:r>
      <w:r w:rsidRPr="00346198">
        <w:t>1.140</w:t>
      </w:r>
      <w:r>
        <w:t>1-1.1424; and FCC 11-50 at ¶¶ 12, 74-77, and 153.</w:t>
      </w:r>
    </w:p>
  </w:footnote>
  <w:footnote w:id="28">
    <w:p w:rsidR="00B0232C" w:rsidRDefault="00B0232C">
      <w:pPr>
        <w:pStyle w:val="FootnoteText"/>
      </w:pPr>
      <w:r>
        <w:rPr>
          <w:rStyle w:val="FootnoteReference"/>
        </w:rPr>
        <w:footnoteRef/>
      </w:r>
      <w:r>
        <w:t xml:space="preserve"> </w:t>
      </w:r>
      <w:r>
        <w:tab/>
        <w:t>D.98-10-058, Conclusions of Law 1 </w:t>
      </w:r>
      <w:r>
        <w:noBreakHyphen/>
        <w:t xml:space="preserve"> 3.  </w:t>
      </w:r>
    </w:p>
  </w:footnote>
  <w:footnote w:id="29">
    <w:p w:rsidR="00B0232C" w:rsidRDefault="00B0232C" w:rsidP="00564C76">
      <w:pPr>
        <w:pStyle w:val="FootnoteText"/>
      </w:pPr>
      <w:r>
        <w:rPr>
          <w:rStyle w:val="FootnoteReference"/>
        </w:rPr>
        <w:footnoteRef/>
      </w:r>
      <w:r>
        <w:t xml:space="preserve"> </w:t>
      </w:r>
      <w:r>
        <w:tab/>
        <w:t>D.08-10-017 at 2 - 3.</w:t>
      </w:r>
    </w:p>
  </w:footnote>
  <w:footnote w:id="30">
    <w:p w:rsidR="00B0232C" w:rsidRPr="00BB7B40" w:rsidRDefault="00B0232C" w:rsidP="003C67A1">
      <w:pPr>
        <w:pStyle w:val="FootnoteText"/>
      </w:pPr>
      <w:r w:rsidRPr="00065B3E">
        <w:rPr>
          <w:rFonts w:ascii="Palatino Linotype" w:hAnsi="Palatino Linotype"/>
          <w:szCs w:val="24"/>
          <w:vertAlign w:val="superscript"/>
        </w:rPr>
        <w:footnoteRef/>
      </w:r>
      <w:r w:rsidRPr="00BB7B40">
        <w:t xml:space="preserve"> </w:t>
      </w:r>
      <w:r w:rsidRPr="00BB7B40">
        <w:tab/>
      </w:r>
      <w:r>
        <w:t xml:space="preserve">There are several </w:t>
      </w:r>
      <w:smartTag w:uri="urn:schemas-microsoft-com:office:smarttags" w:element="State">
        <w:smartTag w:uri="urn:schemas-microsoft-com:office:smarttags" w:element="place">
          <w:r>
            <w:t>California</w:t>
          </w:r>
        </w:smartTag>
      </w:smartTag>
      <w:r>
        <w:t xml:space="preserve"> </w:t>
      </w:r>
      <w:r w:rsidRPr="00BB7B40">
        <w:t>programs to help close the digital divide</w:t>
      </w:r>
      <w:r>
        <w:t xml:space="preserve">.  The </w:t>
      </w:r>
      <w:r w:rsidRPr="00BB7B40">
        <w:t>California Advanced Services Fund</w:t>
      </w:r>
      <w:r>
        <w:t xml:space="preserve"> i</w:t>
      </w:r>
      <w:r w:rsidRPr="00BB7B40">
        <w:t>ncreas</w:t>
      </w:r>
      <w:r>
        <w:t>es</w:t>
      </w:r>
      <w:r w:rsidRPr="00BB7B40">
        <w:t xml:space="preserve"> geographic access to broadband</w:t>
      </w:r>
      <w:r>
        <w:t>.  T</w:t>
      </w:r>
      <w:r w:rsidRPr="00BB7B40">
        <w:t xml:space="preserve">he California Emerging Technology Fund </w:t>
      </w:r>
      <w:r>
        <w:t xml:space="preserve">promotes </w:t>
      </w:r>
      <w:r w:rsidRPr="00BB7B40">
        <w:t>access to broadband</w:t>
      </w:r>
      <w:r>
        <w:t xml:space="preserve">.  And </w:t>
      </w:r>
      <w:r w:rsidRPr="00BB7B40">
        <w:t>the California Lifeline program</w:t>
      </w:r>
      <w:r>
        <w:t xml:space="preserve"> provides </w:t>
      </w:r>
      <w:r w:rsidRPr="00BB7B40">
        <w:t xml:space="preserve">free or reduced cost </w:t>
      </w:r>
      <w:r>
        <w:t>cell phones</w:t>
      </w:r>
      <w:r w:rsidRPr="00BB7B40">
        <w:t xml:space="preserve"> </w:t>
      </w:r>
      <w:r>
        <w:t xml:space="preserve">to </w:t>
      </w:r>
      <w:r w:rsidRPr="00BB7B40">
        <w:t>low</w:t>
      </w:r>
      <w:r>
        <w:t>-</w:t>
      </w:r>
      <w:r w:rsidRPr="00BB7B40">
        <w:t xml:space="preserve">income households </w:t>
      </w:r>
      <w:r>
        <w:t xml:space="preserve">to enable </w:t>
      </w:r>
      <w:r w:rsidRPr="00BB7B40">
        <w:t>access to</w:t>
      </w:r>
      <w:r>
        <w:t xml:space="preserve"> </w:t>
      </w:r>
      <w:r w:rsidRPr="00BB7B40">
        <w:t xml:space="preserve">wireless voice, text, and internet.   </w:t>
      </w:r>
    </w:p>
  </w:footnote>
  <w:footnote w:id="31">
    <w:p w:rsidR="00B0232C" w:rsidRPr="002067F7" w:rsidRDefault="00B0232C" w:rsidP="00D662F0">
      <w:pPr>
        <w:pStyle w:val="FootnoteText"/>
      </w:pPr>
      <w:r w:rsidRPr="00722942">
        <w:rPr>
          <w:rStyle w:val="FootnoteReference"/>
          <w:szCs w:val="24"/>
        </w:rPr>
        <w:footnoteRef/>
      </w:r>
      <w:r w:rsidRPr="00722942">
        <w:rPr>
          <w:szCs w:val="24"/>
        </w:rPr>
        <w:t xml:space="preserve"> </w:t>
      </w:r>
      <w:r w:rsidRPr="00722942">
        <w:rPr>
          <w:szCs w:val="24"/>
        </w:rPr>
        <w:tab/>
      </w:r>
      <w:r w:rsidRPr="002067F7">
        <w:t xml:space="preserve">D.07-03-014 at 5. </w:t>
      </w:r>
      <w:r>
        <w:t xml:space="preserve"> </w:t>
      </w:r>
      <w:r w:rsidRPr="002067F7">
        <w:t xml:space="preserve">(“Advanced video and broadband systems are critical to social and economic development in our state.”)  </w:t>
      </w:r>
    </w:p>
  </w:footnote>
  <w:footnote w:id="32">
    <w:p w:rsidR="00B0232C" w:rsidRDefault="00B0232C">
      <w:pPr>
        <w:pStyle w:val="FootnoteText"/>
      </w:pPr>
      <w:r>
        <w:rPr>
          <w:rStyle w:val="FootnoteReference"/>
        </w:rPr>
        <w:footnoteRef/>
      </w:r>
      <w:r>
        <w:t xml:space="preserve"> </w:t>
      </w:r>
      <w:r>
        <w:tab/>
        <w:t xml:space="preserve">47 U.S.C. </w:t>
      </w:r>
      <w:r w:rsidRPr="00BB7B40">
        <w:t>§</w:t>
      </w:r>
      <w:r>
        <w:t> 224(b) and (c).</w:t>
      </w:r>
    </w:p>
  </w:footnote>
  <w:footnote w:id="33">
    <w:p w:rsidR="00B0232C" w:rsidRDefault="00B0232C">
      <w:pPr>
        <w:pStyle w:val="FootnoteText"/>
      </w:pPr>
      <w:r>
        <w:rPr>
          <w:rStyle w:val="FootnoteReference"/>
        </w:rPr>
        <w:footnoteRef/>
      </w:r>
      <w:r>
        <w:t xml:space="preserve"> </w:t>
      </w:r>
      <w:r>
        <w:tab/>
        <w:t xml:space="preserve">D.98-10-058, Section VII.A.2. and Appendix A, Section XI.  </w:t>
      </w:r>
    </w:p>
  </w:footnote>
  <w:footnote w:id="34">
    <w:p w:rsidR="00B0232C" w:rsidRDefault="00B0232C" w:rsidP="00BB3031">
      <w:pPr>
        <w:pStyle w:val="FootnoteText"/>
      </w:pPr>
      <w:r>
        <w:rPr>
          <w:rStyle w:val="FootnoteReference"/>
        </w:rPr>
        <w:footnoteRef/>
      </w:r>
      <w:r>
        <w:t xml:space="preserve"> </w:t>
      </w:r>
      <w:r>
        <w:tab/>
        <w:t xml:space="preserve">D.08-10-017 and D.07-02-030. </w:t>
      </w:r>
    </w:p>
  </w:footnote>
  <w:footnote w:id="35">
    <w:p w:rsidR="00B0232C" w:rsidRDefault="00B0232C" w:rsidP="002126E5">
      <w:pPr>
        <w:pStyle w:val="FootnoteText"/>
      </w:pPr>
      <w:r>
        <w:rPr>
          <w:rStyle w:val="FootnoteReference"/>
        </w:rPr>
        <w:footnoteRef/>
      </w:r>
      <w:r>
        <w:t xml:space="preserve"> </w:t>
      </w:r>
      <w:r>
        <w:tab/>
        <w:t xml:space="preserve">The Electric IOUs and SED do not mention the public safety </w:t>
      </w:r>
      <w:r w:rsidRPr="009D1500">
        <w:t>benefits</w:t>
      </w:r>
      <w:r>
        <w:t xml:space="preserve"> of wireless infrastructure.  (See, for example, </w:t>
      </w:r>
      <w:r w:rsidRPr="00C12EDC">
        <w:t>D.08-10-017</w:t>
      </w:r>
      <w:r>
        <w:t xml:space="preserve"> at </w:t>
      </w:r>
      <w:r w:rsidRPr="00C12EDC">
        <w:t>3</w:t>
      </w:r>
      <w:r>
        <w:t xml:space="preserve">:  </w:t>
      </w:r>
      <w:r w:rsidRPr="00C12EDC">
        <w:t>“</w:t>
      </w:r>
      <w:r>
        <w:t>[E]</w:t>
      </w:r>
      <w:r w:rsidRPr="00C12EDC">
        <w:t>xpanding wireless infrastructure will strengthen the public safety network by enhancing the ability of public-safety agencies to receive the public’s calls during emergencies and communicate critical safety information among first responders.”)</w:t>
      </w:r>
    </w:p>
  </w:footnote>
  <w:footnote w:id="36">
    <w:p w:rsidR="00B0232C" w:rsidRDefault="00B0232C">
      <w:pPr>
        <w:pStyle w:val="FootnoteText"/>
      </w:pPr>
      <w:r>
        <w:rPr>
          <w:rStyle w:val="FootnoteReference"/>
        </w:rPr>
        <w:footnoteRef/>
      </w:r>
      <w:r>
        <w:t xml:space="preserve"> </w:t>
      </w:r>
      <w:r>
        <w:tab/>
        <w:t xml:space="preserve">If Google elects to file a petition, we encourage Google to address in its petition the Commission’s authority to enforce the Commission’s regulations with respect to Google’s pole attachments, including the ROW Rules, GO 95, and GO 128.   </w:t>
      </w:r>
    </w:p>
  </w:footnote>
  <w:footnote w:id="37">
    <w:p w:rsidR="00B0232C" w:rsidRDefault="00B0232C" w:rsidP="00FF6187">
      <w:pPr>
        <w:pStyle w:val="FootnoteText"/>
      </w:pPr>
      <w:r>
        <w:rPr>
          <w:rStyle w:val="FootnoteReference"/>
        </w:rPr>
        <w:footnoteRef/>
      </w:r>
      <w:r>
        <w:t xml:space="preserve"> </w:t>
      </w:r>
      <w:r>
        <w:tab/>
        <w:t xml:space="preserve">This OIR uses the definition of “pole attachment” set forth in the ROW Rules adopted by D.98-10-058, Appendix A, Section II.   </w:t>
      </w:r>
    </w:p>
  </w:footnote>
  <w:footnote w:id="38">
    <w:p w:rsidR="00B0232C" w:rsidRDefault="00B0232C">
      <w:pPr>
        <w:pStyle w:val="FootnoteText"/>
      </w:pPr>
      <w:r>
        <w:rPr>
          <w:rStyle w:val="FootnoteReference"/>
        </w:rPr>
        <w:footnoteRef/>
      </w:r>
      <w:r>
        <w:t xml:space="preserve"> </w:t>
      </w:r>
      <w:r>
        <w:tab/>
        <w:t xml:space="preserve">A potential template for conducting the all-party meeting(s) is provided in Appendix D of the </w:t>
      </w:r>
      <w:r w:rsidRPr="00F57407">
        <w:rPr>
          <w:i/>
        </w:rPr>
        <w:t>Phase 3, Track 3 Technical Panel Report For Workshops Held June - September 2013</w:t>
      </w:r>
      <w:r>
        <w:t xml:space="preserve"> that was filed in R.08-11-005 on September 23, 2013.</w:t>
      </w:r>
    </w:p>
  </w:footnote>
  <w:footnote w:id="39">
    <w:p w:rsidR="00B0232C" w:rsidRDefault="00B0232C" w:rsidP="00EA7063">
      <w:pPr>
        <w:pStyle w:val="FootnoteText"/>
      </w:pPr>
      <w:r>
        <w:rPr>
          <w:rStyle w:val="FootnoteReference"/>
        </w:rPr>
        <w:footnoteRef/>
      </w:r>
      <w:r>
        <w:t xml:space="preserve"> </w:t>
      </w:r>
      <w:r>
        <w:tab/>
        <w:t xml:space="preserve">The due date for filing and serving comments in this rulemaking proceeding is set forth previously in this preliminary scoping memo.  </w:t>
      </w:r>
    </w:p>
  </w:footnote>
  <w:footnote w:id="40">
    <w:p w:rsidR="00B0232C" w:rsidRDefault="00B0232C" w:rsidP="004B0715">
      <w:pPr>
        <w:pStyle w:val="FootnoteText"/>
        <w:spacing w:after="120"/>
      </w:pPr>
      <w:r>
        <w:rPr>
          <w:rStyle w:val="FootnoteReference"/>
        </w:rPr>
        <w:footnoteRef/>
      </w:r>
      <w:r>
        <w:t xml:space="preserve"> </w:t>
      </w:r>
      <w:r>
        <w:tab/>
        <w:t xml:space="preserve">Non-parties, other than those eligible for addition to the service list as “State Service,” </w:t>
      </w:r>
      <w:r w:rsidRPr="00ED0B8D">
        <w:t>must provide an e-mail address in order to receive service of documents that are not required to be served by hard copy. (See Rule 1.10(b).)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DF" w:rsidRDefault="00B01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DF" w:rsidRDefault="00B01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Default="00B0232C" w:rsidP="001F23DD">
    <w:pPr>
      <w:pStyle w:val="Header"/>
      <w:tabs>
        <w:tab w:val="clear" w:pos="864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Default="00B0232C" w:rsidP="001A33B3">
    <w:pPr>
      <w:pStyle w:val="Header"/>
      <w:tabs>
        <w:tab w:val="clear" w:pos="8640"/>
        <w:tab w:val="right" w:pos="9360"/>
      </w:tabs>
    </w:pPr>
    <w:r w:rsidRPr="00D106BF">
      <w:rPr>
        <w:sz w:val="26"/>
        <w:szCs w:val="26"/>
      </w:rPr>
      <w:t>P</w:t>
    </w:r>
    <w:r>
      <w:rPr>
        <w:sz w:val="26"/>
        <w:szCs w:val="26"/>
      </w:rPr>
      <w:t>.13-12-009/R. ______  COM/MP1/jt2</w:t>
    </w:r>
    <w:r w:rsidRPr="00D106BF">
      <w:rPr>
        <w:sz w:val="26"/>
        <w:szCs w:val="26"/>
      </w:rPr>
      <w:tab/>
    </w:r>
    <w:r w:rsidRPr="00243B49">
      <w:rPr>
        <w:rFonts w:ascii="Helvetica" w:hAnsi="Helvetica"/>
        <w:b/>
        <w:sz w:val="28"/>
        <w:szCs w:val="28"/>
      </w:rPr>
      <w:t>PROPOSED DECISION</w:t>
    </w:r>
  </w:p>
  <w:p w:rsidR="00B0232C" w:rsidRDefault="00B0232C">
    <w:pPr>
      <w:pStyle w:val="Header"/>
      <w:rPr>
        <w:sz w:val="24"/>
        <w:szCs w:val="24"/>
      </w:rPr>
    </w:pPr>
  </w:p>
  <w:p w:rsidR="00B0232C" w:rsidRDefault="00B0232C">
    <w:pPr>
      <w:pStyle w:val="Header"/>
      <w:rPr>
        <w:sz w:val="24"/>
        <w:szCs w:val="24"/>
      </w:rPr>
    </w:pPr>
  </w:p>
  <w:p w:rsidR="00B0232C" w:rsidRDefault="00B0232C">
    <w:pPr>
      <w:pStyle w:val="standard"/>
      <w:spacing w:after="80" w:line="240" w:lineRule="auto"/>
      <w:ind w:firstLine="0"/>
      <w:jc w:val="center"/>
      <w:outlineLvl w:val="0"/>
      <w:rPr>
        <w:b/>
      </w:rPr>
    </w:pPr>
    <w:r>
      <w:rPr>
        <w:b/>
      </w:rPr>
      <w:t>TABLE OF CONTENTS (cont.)</w:t>
    </w:r>
  </w:p>
  <w:p w:rsidR="00B0232C" w:rsidRDefault="00B0232C">
    <w:pPr>
      <w:pStyle w:val="standard"/>
      <w:tabs>
        <w:tab w:val="left" w:pos="900"/>
        <w:tab w:val="right" w:pos="9360"/>
      </w:tabs>
      <w:spacing w:before="60" w:after="200" w:line="240" w:lineRule="auto"/>
      <w:ind w:firstLine="0"/>
    </w:pPr>
    <w:r>
      <w:tab/>
    </w:r>
    <w:r w:rsidRPr="00DA1676">
      <w:rPr>
        <w:b/>
      </w:rPr>
      <w:t>Title</w:t>
    </w:r>
    <w:r>
      <w:tab/>
    </w:r>
    <w:r w:rsidRPr="00DA1676">
      <w:rPr>
        <w:b/>
      </w:rPr>
      <w:t>Page</w:t>
    </w:r>
    <w:r>
      <w:t xml:space="preserve"> </w:t>
    </w:r>
  </w:p>
  <w:p w:rsidR="00B0232C" w:rsidRDefault="00B0232C" w:rsidP="00905DAE">
    <w:pPr>
      <w:pStyle w:val="standard"/>
      <w:tabs>
        <w:tab w:val="left" w:pos="900"/>
        <w:tab w:val="right" w:pos="9360"/>
      </w:tabs>
      <w:spacing w:after="200" w:line="240" w:lineRule="auto"/>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Default="00B0232C" w:rsidP="001F23DD">
    <w:pPr>
      <w:pStyle w:val="Header"/>
      <w:tabs>
        <w:tab w:val="clear" w:pos="8640"/>
        <w:tab w:val="right" w:pos="9360"/>
      </w:tabs>
    </w:pPr>
    <w:r w:rsidRPr="00D106BF">
      <w:rPr>
        <w:sz w:val="26"/>
        <w:szCs w:val="26"/>
      </w:rPr>
      <w:t>P</w:t>
    </w:r>
    <w:r>
      <w:rPr>
        <w:sz w:val="26"/>
        <w:szCs w:val="26"/>
      </w:rPr>
      <w:t>.13-12-009/R.14-05-001  COM/MP1/jt2</w:t>
    </w:r>
  </w:p>
  <w:p w:rsidR="00B0232C" w:rsidRPr="001218C0" w:rsidRDefault="00B0232C" w:rsidP="001F23DD">
    <w:pPr>
      <w:pStyle w:val="Header"/>
      <w:tabs>
        <w:tab w:val="clear" w:pos="8640"/>
        <w:tab w:val="right" w:pos="9360"/>
      </w:tabs>
      <w:rPr>
        <w:sz w:val="16"/>
        <w:szCs w:val="16"/>
      </w:rPr>
    </w:pPr>
  </w:p>
  <w:p w:rsidR="00B0232C" w:rsidRPr="001218C0" w:rsidRDefault="00B0232C" w:rsidP="001F23DD">
    <w:pPr>
      <w:pStyle w:val="Header"/>
      <w:tabs>
        <w:tab w:val="clear" w:pos="8640"/>
        <w:tab w:val="right" w:pos="9360"/>
      </w:tabs>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Default="00B0232C">
    <w:pPr>
      <w:pStyle w:val="Header"/>
      <w:tabs>
        <w:tab w:val="clear" w:pos="8640"/>
        <w:tab w:val="right" w:pos="9180"/>
      </w:tabs>
      <w:rPr>
        <w:b/>
        <w:sz w:val="24"/>
        <w:szCs w:val="24"/>
      </w:rPr>
    </w:pPr>
    <w:r>
      <w:t xml:space="preserve">R.08-11-005   COM/MF1/gd2   </w:t>
    </w:r>
    <w:r>
      <w:tab/>
    </w:r>
    <w:r>
      <w:tab/>
    </w:r>
    <w:r w:rsidRPr="001E3AF9">
      <w:rPr>
        <w:b/>
      </w:rPr>
      <w:t>PROPOSED DECISION (Rev. 1)</w:t>
    </w:r>
  </w:p>
  <w:p w:rsidR="00B0232C" w:rsidRDefault="00B0232C">
    <w:pPr>
      <w:pStyle w:val="Header"/>
      <w:tabs>
        <w:tab w:val="clear" w:pos="8640"/>
        <w:tab w:val="right" w:pos="9360"/>
      </w:tabs>
      <w:rPr>
        <w:noProof/>
        <w:sz w:val="24"/>
        <w:szCs w:val="24"/>
      </w:rPr>
    </w:pPr>
  </w:p>
  <w:p w:rsidR="00B0232C" w:rsidRDefault="00B0232C">
    <w:pPr>
      <w:pStyle w:val="Header"/>
    </w:pPr>
  </w:p>
  <w:p w:rsidR="00B0232C" w:rsidRDefault="00B0232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Default="00B0232C" w:rsidP="001A33B3">
    <w:pPr>
      <w:pStyle w:val="Header"/>
      <w:tabs>
        <w:tab w:val="clear" w:pos="8640"/>
        <w:tab w:val="right" w:pos="9360"/>
      </w:tabs>
    </w:pPr>
    <w:r w:rsidRPr="00D106BF">
      <w:rPr>
        <w:sz w:val="26"/>
        <w:szCs w:val="26"/>
      </w:rPr>
      <w:t>P</w:t>
    </w:r>
    <w:r>
      <w:rPr>
        <w:sz w:val="26"/>
        <w:szCs w:val="26"/>
      </w:rPr>
      <w:t>.13-12-009/R.14-05-001  COM/MP1/jt2</w:t>
    </w:r>
  </w:p>
  <w:p w:rsidR="00B0232C" w:rsidRPr="001A14BC" w:rsidRDefault="00B0232C" w:rsidP="001A33B3">
    <w:pPr>
      <w:pStyle w:val="Header"/>
      <w:tabs>
        <w:tab w:val="clear" w:pos="8640"/>
        <w:tab w:val="right" w:pos="9360"/>
      </w:tabs>
      <w:rPr>
        <w:sz w:val="26"/>
      </w:rPr>
    </w:pPr>
  </w:p>
  <w:p w:rsidR="00B0232C" w:rsidRPr="001A14BC" w:rsidRDefault="00B0232C">
    <w:pPr>
      <w:pStyle w:val="Header"/>
      <w:rPr>
        <w:sz w:val="26"/>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Default="00B0232C" w:rsidP="000C239B">
    <w:pPr>
      <w:tabs>
        <w:tab w:val="right" w:pos="9270"/>
      </w:tabs>
      <w:ind w:right="-180"/>
      <w:rPr>
        <w:rFonts w:ascii="Helvetica" w:hAnsi="Helvetica"/>
        <w:b/>
        <w:sz w:val="28"/>
        <w:szCs w:val="28"/>
      </w:rPr>
    </w:pPr>
    <w:r>
      <w:t>R.08-11-005  COM/MF1/gd2</w:t>
    </w:r>
    <w:r>
      <w:tab/>
    </w:r>
    <w:r w:rsidRPr="00243B49">
      <w:rPr>
        <w:rFonts w:ascii="Helvetica" w:hAnsi="Helvetica"/>
        <w:b/>
        <w:sz w:val="28"/>
        <w:szCs w:val="28"/>
      </w:rPr>
      <w:t>PROPOSED DECISION</w:t>
    </w:r>
    <w:r>
      <w:rPr>
        <w:rFonts w:ascii="Helvetica" w:hAnsi="Helvetica"/>
        <w:b/>
        <w:sz w:val="28"/>
        <w:szCs w:val="28"/>
      </w:rPr>
      <w:t xml:space="preserve"> (Rev. 1)</w:t>
    </w:r>
  </w:p>
  <w:p w:rsidR="00B0232C" w:rsidRDefault="00B0232C">
    <w:pPr>
      <w:pStyle w:val="Header"/>
    </w:pPr>
  </w:p>
  <w:p w:rsidR="00B0232C" w:rsidRDefault="00B0232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2C" w:rsidRDefault="00B023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8C4FC"/>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5A143A7A"/>
    <w:lvl w:ilvl="0">
      <w:start w:val="1"/>
      <w:numFmt w:val="decimal"/>
      <w:pStyle w:val="ListNumber3"/>
      <w:lvlText w:val="%1."/>
      <w:lvlJc w:val="left"/>
      <w:pPr>
        <w:tabs>
          <w:tab w:val="num" w:pos="1440"/>
        </w:tabs>
        <w:ind w:left="1440" w:hanging="360"/>
      </w:pPr>
      <w:rPr>
        <w:rFonts w:cs="Times New Roman"/>
      </w:rPr>
    </w:lvl>
  </w:abstractNum>
  <w:abstractNum w:abstractNumId="2">
    <w:nsid w:val="FFFFFF7E"/>
    <w:multiLevelType w:val="singleLevel"/>
    <w:tmpl w:val="FA288C7C"/>
    <w:lvl w:ilvl="0">
      <w:start w:val="1"/>
      <w:numFmt w:val="decimal"/>
      <w:pStyle w:val="StandardNumber"/>
      <w:lvlText w:val="%1."/>
      <w:lvlJc w:val="left"/>
      <w:pPr>
        <w:tabs>
          <w:tab w:val="num" w:pos="1080"/>
        </w:tabs>
        <w:ind w:left="1080" w:hanging="360"/>
      </w:pPr>
      <w:rPr>
        <w:rFonts w:cs="Times New Roman"/>
      </w:rPr>
    </w:lvl>
  </w:abstractNum>
  <w:abstractNum w:abstractNumId="3">
    <w:nsid w:val="FFFFFF7F"/>
    <w:multiLevelType w:val="singleLevel"/>
    <w:tmpl w:val="2EAA893C"/>
    <w:lvl w:ilvl="0">
      <w:start w:val="1"/>
      <w:numFmt w:val="bullet"/>
      <w:pStyle w:val="ListNumber2"/>
      <w:lvlText w:val=""/>
      <w:lvlJc w:val="left"/>
      <w:pPr>
        <w:ind w:left="1440" w:hanging="360"/>
      </w:pPr>
      <w:rPr>
        <w:rFonts w:ascii="Symbol" w:hAnsi="Symbol" w:hint="default"/>
      </w:rPr>
    </w:lvl>
  </w:abstractNum>
  <w:abstractNum w:abstractNumId="4">
    <w:nsid w:val="02077B80"/>
    <w:multiLevelType w:val="hybridMultilevel"/>
    <w:tmpl w:val="6EA41E6E"/>
    <w:lvl w:ilvl="0" w:tplc="AF305374">
      <w:start w:val="1"/>
      <w:numFmt w:val="decimal"/>
      <w:lvlText w:val="%1."/>
      <w:lvlJc w:val="left"/>
      <w:pPr>
        <w:ind w:left="1800" w:hanging="360"/>
      </w:pPr>
    </w:lvl>
    <w:lvl w:ilvl="1" w:tplc="15CA4B86">
      <w:start w:val="1"/>
      <w:numFmt w:val="lowerLetter"/>
      <w:lvlText w:val="%2."/>
      <w:lvlJc w:val="left"/>
      <w:pPr>
        <w:ind w:left="2520" w:hanging="360"/>
      </w:pPr>
    </w:lvl>
    <w:lvl w:ilvl="2" w:tplc="DE6EDD9A">
      <w:start w:val="1"/>
      <w:numFmt w:val="lowerRoman"/>
      <w:lvlText w:val="%3."/>
      <w:lvlJc w:val="right"/>
      <w:pPr>
        <w:ind w:left="3240" w:hanging="180"/>
      </w:pPr>
    </w:lvl>
    <w:lvl w:ilvl="3" w:tplc="F8A6BF5C">
      <w:start w:val="1"/>
      <w:numFmt w:val="decimal"/>
      <w:lvlText w:val="%4."/>
      <w:lvlJc w:val="left"/>
      <w:pPr>
        <w:ind w:left="3960" w:hanging="360"/>
      </w:pPr>
    </w:lvl>
    <w:lvl w:ilvl="4" w:tplc="C4F6A9C8">
      <w:start w:val="1"/>
      <w:numFmt w:val="lowerLetter"/>
      <w:lvlText w:val="%5."/>
      <w:lvlJc w:val="left"/>
      <w:pPr>
        <w:ind w:left="4680" w:hanging="360"/>
      </w:pPr>
    </w:lvl>
    <w:lvl w:ilvl="5" w:tplc="FC1A17F8">
      <w:start w:val="1"/>
      <w:numFmt w:val="lowerRoman"/>
      <w:lvlText w:val="%6."/>
      <w:lvlJc w:val="right"/>
      <w:pPr>
        <w:ind w:left="5400" w:hanging="180"/>
      </w:pPr>
    </w:lvl>
    <w:lvl w:ilvl="6" w:tplc="03566D20">
      <w:start w:val="1"/>
      <w:numFmt w:val="decimal"/>
      <w:lvlText w:val="%7."/>
      <w:lvlJc w:val="left"/>
      <w:pPr>
        <w:ind w:left="6120" w:hanging="360"/>
      </w:pPr>
    </w:lvl>
    <w:lvl w:ilvl="7" w:tplc="067E719A">
      <w:start w:val="1"/>
      <w:numFmt w:val="lowerLetter"/>
      <w:lvlText w:val="%8."/>
      <w:lvlJc w:val="left"/>
      <w:pPr>
        <w:ind w:left="6840" w:hanging="360"/>
      </w:pPr>
    </w:lvl>
    <w:lvl w:ilvl="8" w:tplc="AAA2A57E">
      <w:start w:val="1"/>
      <w:numFmt w:val="lowerRoman"/>
      <w:lvlText w:val="%9."/>
      <w:lvlJc w:val="right"/>
      <w:pPr>
        <w:ind w:left="7560" w:hanging="180"/>
      </w:pPr>
    </w:lvl>
  </w:abstractNum>
  <w:abstractNum w:abstractNumId="5">
    <w:nsid w:val="035A3BB5"/>
    <w:multiLevelType w:val="multilevel"/>
    <w:tmpl w:val="B6847EAA"/>
    <w:name w:val="HeadingStyles||Heading|3|3|0|1|0|45||1|0|37||mpNA||mpNA||mpNA||mpNA||mpNA||mpNA||mpNA||"/>
    <w:lvl w:ilvl="0">
      <w:start w:val="3"/>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auto"/>
        <w:u w:val="none"/>
        <w:vertAlign w:val="baseline"/>
      </w:rPr>
    </w:lvl>
    <w:lvl w:ilvl="1">
      <w:start w:val="1"/>
      <w:numFmt w:val="upperLetter"/>
      <w:lvlText w:val="%2."/>
      <w:lvlJc w:val="left"/>
      <w:pPr>
        <w:tabs>
          <w:tab w:val="num" w:pos="1320"/>
        </w:tabs>
        <w:ind w:left="1320" w:hanging="720"/>
      </w:pPr>
      <w:rPr>
        <w:rFonts w:ascii="Times New Roman" w:hAnsi="Times New Roman" w:cs="Times New Roman" w:hint="default"/>
        <w:b/>
        <w:i w:val="0"/>
        <w:caps w:val="0"/>
        <w:strike w:val="0"/>
        <w:dstrike w:val="0"/>
        <w:vanish w:val="0"/>
        <w:color w:val="auto"/>
        <w:u w:val="none"/>
        <w:vertAlign w:val="baseline"/>
      </w:rPr>
    </w:lvl>
    <w:lvl w:ilvl="2">
      <w:start w:val="1"/>
      <w:numFmt w:val="decimal"/>
      <w:lvlText w:val="(%3)"/>
      <w:lvlJc w:val="left"/>
      <w:pPr>
        <w:tabs>
          <w:tab w:val="num" w:pos="2160"/>
        </w:tabs>
        <w:ind w:left="2160" w:hanging="720"/>
      </w:pPr>
      <w:rPr>
        <w:rFonts w:cs="Times New Roman" w:hint="default"/>
        <w:b/>
        <w:i w:val="0"/>
        <w:caps w:val="0"/>
        <w:strike w:val="0"/>
        <w:dstrike w:val="0"/>
        <w:vanish w:val="0"/>
        <w:color w:val="000000"/>
        <w:u w:val="none"/>
        <w:vertAlign w:val="baseline"/>
      </w:rPr>
    </w:lvl>
    <w:lvl w:ilvl="3">
      <w:start w:val="1"/>
      <w:numFmt w:val="bullet"/>
      <w:lvlText w:val=""/>
      <w:lvlJc w:val="left"/>
      <w:pPr>
        <w:tabs>
          <w:tab w:val="num" w:pos="1080"/>
        </w:tabs>
        <w:ind w:left="1080" w:hanging="360"/>
      </w:pPr>
      <w:rPr>
        <w:rFonts w:ascii="Symbol" w:hAnsi="Symbol" w:hint="default"/>
        <w:b/>
        <w:i w:val="0"/>
        <w:caps w:val="0"/>
        <w:strike w:val="0"/>
        <w:dstrike w:val="0"/>
        <w:vanish w:val="0"/>
        <w:color w:val="auto"/>
        <w:u w:val="none"/>
        <w:vertAlign w:val="baseline"/>
      </w:rPr>
    </w:lvl>
    <w:lvl w:ilvl="4">
      <w:start w:val="1"/>
      <w:numFmt w:val="decimal"/>
      <w:lvlText w:val="(%5)"/>
      <w:lvlJc w:val="left"/>
      <w:pPr>
        <w:tabs>
          <w:tab w:val="num" w:pos="3600"/>
        </w:tabs>
        <w:ind w:left="3600" w:hanging="720"/>
      </w:pPr>
      <w:rPr>
        <w:rFonts w:cs="Times New Roman" w:hint="default"/>
        <w:b w:val="0"/>
        <w:i w:val="0"/>
        <w:caps w:val="0"/>
        <w:strike w:val="0"/>
        <w:dstrike w:val="0"/>
        <w:vanish w:val="0"/>
        <w:color w:val="000000"/>
        <w:u w:val="none"/>
        <w:vertAlign w:val="baseline"/>
      </w:rPr>
    </w:lvl>
    <w:lvl w:ilvl="5">
      <w:start w:val="1"/>
      <w:numFmt w:val="lowerLetter"/>
      <w:lvlText w:val="(%6)"/>
      <w:lvlJc w:val="left"/>
      <w:pPr>
        <w:tabs>
          <w:tab w:val="num" w:pos="4320"/>
        </w:tabs>
        <w:ind w:left="4320" w:hanging="720"/>
      </w:pPr>
      <w:rPr>
        <w:rFonts w:cs="Times New Roman"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cs="Times New Roman"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cs="Times New Roman"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cs="Times New Roman" w:hint="default"/>
        <w:b w:val="0"/>
        <w:i w:val="0"/>
        <w:caps w:val="0"/>
        <w:strike w:val="0"/>
        <w:dstrike w:val="0"/>
        <w:vanish w:val="0"/>
        <w:color w:val="000000"/>
        <w:u w:val="none"/>
        <w:vertAlign w:val="baseline"/>
      </w:rPr>
    </w:lvl>
  </w:abstractNum>
  <w:abstractNum w:abstractNumId="6">
    <w:nsid w:val="058909FA"/>
    <w:multiLevelType w:val="hybridMultilevel"/>
    <w:tmpl w:val="FE688AEC"/>
    <w:name w:val="zzmpPUC||PUC|3|1|0|1|2|41||1|2|37||1|2|32||1|2|33||1|2|32||1|2|32||1|2|32||1|2|32||1|2|32||42222"/>
    <w:lvl w:ilvl="0" w:tplc="79486476">
      <w:start w:val="1"/>
      <w:numFmt w:val="lowerLetter"/>
      <w:lvlText w:val="%1."/>
      <w:lvlJc w:val="left"/>
      <w:pPr>
        <w:tabs>
          <w:tab w:val="num" w:pos="1440"/>
        </w:tabs>
        <w:ind w:left="1440" w:hanging="576"/>
      </w:pPr>
      <w:rPr>
        <w:rFonts w:cs="Times New Roman" w:hint="default"/>
      </w:rPr>
    </w:lvl>
    <w:lvl w:ilvl="1" w:tplc="956CE398" w:tentative="1">
      <w:start w:val="1"/>
      <w:numFmt w:val="lowerLetter"/>
      <w:lvlText w:val="%2."/>
      <w:lvlJc w:val="left"/>
      <w:pPr>
        <w:tabs>
          <w:tab w:val="num" w:pos="1440"/>
        </w:tabs>
        <w:ind w:left="1440" w:hanging="360"/>
      </w:pPr>
      <w:rPr>
        <w:rFonts w:cs="Times New Roman"/>
      </w:rPr>
    </w:lvl>
    <w:lvl w:ilvl="2" w:tplc="D13EE5C8" w:tentative="1">
      <w:start w:val="1"/>
      <w:numFmt w:val="lowerRoman"/>
      <w:lvlText w:val="%3."/>
      <w:lvlJc w:val="right"/>
      <w:pPr>
        <w:tabs>
          <w:tab w:val="num" w:pos="2160"/>
        </w:tabs>
        <w:ind w:left="2160" w:hanging="180"/>
      </w:pPr>
      <w:rPr>
        <w:rFonts w:cs="Times New Roman"/>
      </w:rPr>
    </w:lvl>
    <w:lvl w:ilvl="3" w:tplc="E9923EEA" w:tentative="1">
      <w:start w:val="1"/>
      <w:numFmt w:val="decimal"/>
      <w:lvlText w:val="%4."/>
      <w:lvlJc w:val="left"/>
      <w:pPr>
        <w:tabs>
          <w:tab w:val="num" w:pos="2880"/>
        </w:tabs>
        <w:ind w:left="2880" w:hanging="360"/>
      </w:pPr>
      <w:rPr>
        <w:rFonts w:cs="Times New Roman"/>
      </w:rPr>
    </w:lvl>
    <w:lvl w:ilvl="4" w:tplc="05D29E36" w:tentative="1">
      <w:start w:val="1"/>
      <w:numFmt w:val="lowerLetter"/>
      <w:lvlText w:val="%5."/>
      <w:lvlJc w:val="left"/>
      <w:pPr>
        <w:tabs>
          <w:tab w:val="num" w:pos="3600"/>
        </w:tabs>
        <w:ind w:left="3600" w:hanging="360"/>
      </w:pPr>
      <w:rPr>
        <w:rFonts w:cs="Times New Roman"/>
      </w:rPr>
    </w:lvl>
    <w:lvl w:ilvl="5" w:tplc="FA401A12" w:tentative="1">
      <w:start w:val="1"/>
      <w:numFmt w:val="lowerRoman"/>
      <w:lvlText w:val="%6."/>
      <w:lvlJc w:val="right"/>
      <w:pPr>
        <w:tabs>
          <w:tab w:val="num" w:pos="4320"/>
        </w:tabs>
        <w:ind w:left="4320" w:hanging="180"/>
      </w:pPr>
      <w:rPr>
        <w:rFonts w:cs="Times New Roman"/>
      </w:rPr>
    </w:lvl>
    <w:lvl w:ilvl="6" w:tplc="79D0A1A6" w:tentative="1">
      <w:start w:val="1"/>
      <w:numFmt w:val="decimal"/>
      <w:lvlText w:val="%7."/>
      <w:lvlJc w:val="left"/>
      <w:pPr>
        <w:tabs>
          <w:tab w:val="num" w:pos="5040"/>
        </w:tabs>
        <w:ind w:left="5040" w:hanging="360"/>
      </w:pPr>
      <w:rPr>
        <w:rFonts w:cs="Times New Roman"/>
      </w:rPr>
    </w:lvl>
    <w:lvl w:ilvl="7" w:tplc="C97656CE" w:tentative="1">
      <w:start w:val="1"/>
      <w:numFmt w:val="lowerLetter"/>
      <w:lvlText w:val="%8."/>
      <w:lvlJc w:val="left"/>
      <w:pPr>
        <w:tabs>
          <w:tab w:val="num" w:pos="5760"/>
        </w:tabs>
        <w:ind w:left="5760" w:hanging="360"/>
      </w:pPr>
      <w:rPr>
        <w:rFonts w:cs="Times New Roman"/>
      </w:rPr>
    </w:lvl>
    <w:lvl w:ilvl="8" w:tplc="B30C7B62" w:tentative="1">
      <w:start w:val="1"/>
      <w:numFmt w:val="lowerRoman"/>
      <w:lvlText w:val="%9."/>
      <w:lvlJc w:val="right"/>
      <w:pPr>
        <w:tabs>
          <w:tab w:val="num" w:pos="6480"/>
        </w:tabs>
        <w:ind w:left="6480" w:hanging="180"/>
      </w:pPr>
      <w:rPr>
        <w:rFonts w:cs="Times New Roman"/>
      </w:rPr>
    </w:lvl>
  </w:abstractNum>
  <w:abstractNum w:abstractNumId="7">
    <w:nsid w:val="09287DEC"/>
    <w:multiLevelType w:val="multilevel"/>
    <w:tmpl w:val="948C5C90"/>
    <w:lvl w:ilvl="0">
      <w:start w:val="1"/>
      <w:numFmt w:val="decimal"/>
      <w:pStyle w:val="ListNumber"/>
      <w:lvlText w:val="%1"/>
      <w:lvlJc w:val="left"/>
      <w:pPr>
        <w:ind w:left="432" w:hanging="432"/>
      </w:pPr>
      <w:rPr>
        <w:rFonts w:hint="default"/>
        <w:b/>
        <w:i w:val="0"/>
        <w:sz w:val="26"/>
      </w:rPr>
    </w:lvl>
    <w:lvl w:ilvl="1">
      <w:start w:val="1"/>
      <w:numFmt w:val="decimal"/>
      <w:lvlText w:val="%1.%2"/>
      <w:lvlJc w:val="left"/>
      <w:pPr>
        <w:ind w:left="576" w:hanging="576"/>
      </w:pPr>
      <w:rPr>
        <w:rFonts w:hint="default"/>
        <w:b/>
        <w:i w:val="0"/>
        <w:sz w:val="26"/>
      </w:rPr>
    </w:lvl>
    <w:lvl w:ilvl="2">
      <w:start w:val="1"/>
      <w:numFmt w:val="decimal"/>
      <w:lvlText w:val="%1.%2.%3"/>
      <w:lvlJc w:val="left"/>
      <w:pPr>
        <w:ind w:left="720" w:hanging="720"/>
      </w:pPr>
      <w:rPr>
        <w:rFonts w:hint="default"/>
        <w:b/>
        <w:i w:val="0"/>
        <w:sz w:val="26"/>
      </w:rPr>
    </w:lvl>
    <w:lvl w:ilvl="3">
      <w:start w:val="1"/>
      <w:numFmt w:val="decimal"/>
      <w:lvlText w:val="%1.%2.%3.%4"/>
      <w:lvlJc w:val="left"/>
      <w:pPr>
        <w:ind w:left="864" w:hanging="864"/>
      </w:pPr>
      <w:rPr>
        <w:rFonts w:hint="default"/>
        <w:b/>
        <w:i w:val="0"/>
        <w:sz w:val="26"/>
      </w:rPr>
    </w:lvl>
    <w:lvl w:ilvl="4">
      <w:start w:val="1"/>
      <w:numFmt w:val="decimal"/>
      <w:lvlText w:val="%1.%2.%3.%4.%5"/>
      <w:lvlJc w:val="left"/>
      <w:pPr>
        <w:ind w:left="1008" w:hanging="1008"/>
      </w:pPr>
      <w:rPr>
        <w:rFonts w:hint="default"/>
        <w:b/>
        <w:i w:val="0"/>
        <w:sz w:val="26"/>
        <w:szCs w:val="26"/>
      </w:rPr>
    </w:lvl>
    <w:lvl w:ilvl="5">
      <w:start w:val="1"/>
      <w:numFmt w:val="decimal"/>
      <w:lvlText w:val="%1.%2.%3.%4.%5.%6"/>
      <w:lvlJc w:val="left"/>
      <w:pPr>
        <w:ind w:left="1152" w:hanging="1152"/>
      </w:pPr>
      <w:rPr>
        <w:rFonts w:hint="default"/>
        <w:b/>
        <w:i w:val="0"/>
        <w:sz w:val="26"/>
        <w:szCs w:val="26"/>
      </w:rPr>
    </w:lvl>
    <w:lvl w:ilvl="6">
      <w:start w:val="1"/>
      <w:numFmt w:val="decimal"/>
      <w:lvlText w:val="%1.%2.%3.%4.%5.%6.%7"/>
      <w:lvlJc w:val="left"/>
      <w:pPr>
        <w:ind w:left="1296" w:hanging="1296"/>
      </w:pPr>
      <w:rPr>
        <w:rFonts w:hint="default"/>
        <w:b/>
        <w:i w:val="0"/>
        <w:sz w:val="26"/>
      </w:rPr>
    </w:lvl>
    <w:lvl w:ilvl="7">
      <w:start w:val="1"/>
      <w:numFmt w:val="decimal"/>
      <w:lvlText w:val="%1.%2.%3.%4.%5.%6.%7.%8"/>
      <w:lvlJc w:val="left"/>
      <w:pPr>
        <w:ind w:left="1440" w:hanging="1440"/>
      </w:pPr>
      <w:rPr>
        <w:rFonts w:hint="default"/>
        <w:b/>
        <w:i w:val="0"/>
        <w:sz w:val="26"/>
      </w:rPr>
    </w:lvl>
    <w:lvl w:ilvl="8">
      <w:start w:val="1"/>
      <w:numFmt w:val="decimal"/>
      <w:lvlText w:val="%1.%2.%3.%4.%5.%6.%7.%8.%9"/>
      <w:lvlJc w:val="left"/>
      <w:pPr>
        <w:ind w:left="1584" w:hanging="1584"/>
      </w:pPr>
      <w:rPr>
        <w:rFonts w:hint="default"/>
        <w:b/>
        <w:i w:val="0"/>
        <w:sz w:val="26"/>
      </w:rPr>
    </w:lvl>
  </w:abstractNum>
  <w:abstractNum w:abstractNumId="8">
    <w:nsid w:val="0E994445"/>
    <w:multiLevelType w:val="multilevel"/>
    <w:tmpl w:val="1FE01F2C"/>
    <w:lvl w:ilvl="0">
      <w:start w:val="1"/>
      <w:numFmt w:val="upperRoman"/>
      <w:pStyle w:val="BriefHead1"/>
      <w:lvlText w:val="%1."/>
      <w:lvlJc w:val="left"/>
      <w:pPr>
        <w:tabs>
          <w:tab w:val="num" w:pos="432"/>
        </w:tabs>
        <w:ind w:left="1584" w:hanging="1584"/>
      </w:pPr>
      <w:rPr>
        <w:rFonts w:cs="Times New Roman" w:hint="default"/>
        <w:b/>
        <w:bCs/>
        <w:i w:val="0"/>
        <w:iCs w:val="0"/>
      </w:rPr>
    </w:lvl>
    <w:lvl w:ilvl="1">
      <w:start w:val="1"/>
      <w:numFmt w:val="upperLetter"/>
      <w:pStyle w:val="BriefHead2"/>
      <w:suff w:val="space"/>
      <w:lvlText w:val="%2."/>
      <w:lvlJc w:val="left"/>
      <w:pPr>
        <w:ind w:left="1944" w:hanging="1080"/>
      </w:pPr>
      <w:rPr>
        <w:rFonts w:cs="Times New Roman" w:hint="default"/>
        <w:b/>
        <w:bCs/>
        <w:i w:val="0"/>
        <w:iCs w:val="0"/>
      </w:rPr>
    </w:lvl>
    <w:lvl w:ilvl="2">
      <w:start w:val="1"/>
      <w:numFmt w:val="decimal"/>
      <w:pStyle w:val="BriefHead3"/>
      <w:suff w:val="space"/>
      <w:lvlText w:val="%3."/>
      <w:lvlJc w:val="right"/>
      <w:pPr>
        <w:ind w:left="2304" w:hanging="144"/>
      </w:pPr>
      <w:rPr>
        <w:rFonts w:cs="Times New Roman" w:hint="default"/>
        <w:b/>
        <w:bCs/>
        <w:i w:val="0"/>
        <w:iCs w:val="0"/>
      </w:rPr>
    </w:lvl>
    <w:lvl w:ilvl="3">
      <w:start w:val="1"/>
      <w:numFmt w:val="lowerLetter"/>
      <w:pStyle w:val="BriefMGRAHead"/>
      <w:suff w:val="space"/>
      <w:lvlText w:val="%4)"/>
      <w:lvlJc w:val="left"/>
      <w:pPr>
        <w:ind w:left="3024" w:hanging="1728"/>
      </w:pPr>
      <w:rPr>
        <w:rFonts w:cs="Times New Roman" w:hint="default"/>
      </w:rPr>
    </w:lvl>
    <w:lvl w:ilvl="4">
      <w:start w:val="1"/>
      <w:numFmt w:val="lowerLetter"/>
      <w:lvlText w:val="%5."/>
      <w:lvlJc w:val="left"/>
      <w:pPr>
        <w:tabs>
          <w:tab w:val="num" w:pos="3744"/>
        </w:tabs>
        <w:ind w:left="3744" w:hanging="360"/>
      </w:pPr>
      <w:rPr>
        <w:rFonts w:cs="Times New Roman" w:hint="default"/>
      </w:rPr>
    </w:lvl>
    <w:lvl w:ilvl="5">
      <w:start w:val="1"/>
      <w:numFmt w:val="lowerRoman"/>
      <w:lvlText w:val="%6."/>
      <w:lvlJc w:val="right"/>
      <w:pPr>
        <w:tabs>
          <w:tab w:val="num" w:pos="4464"/>
        </w:tabs>
        <w:ind w:left="4464" w:hanging="180"/>
      </w:pPr>
      <w:rPr>
        <w:rFonts w:cs="Times New Roman" w:hint="default"/>
      </w:rPr>
    </w:lvl>
    <w:lvl w:ilvl="6">
      <w:start w:val="1"/>
      <w:numFmt w:val="decimal"/>
      <w:lvlText w:val="%7."/>
      <w:lvlJc w:val="left"/>
      <w:pPr>
        <w:tabs>
          <w:tab w:val="num" w:pos="5184"/>
        </w:tabs>
        <w:ind w:left="5184" w:hanging="360"/>
      </w:pPr>
      <w:rPr>
        <w:rFonts w:cs="Times New Roman" w:hint="default"/>
      </w:rPr>
    </w:lvl>
    <w:lvl w:ilvl="7">
      <w:start w:val="1"/>
      <w:numFmt w:val="lowerLetter"/>
      <w:lvlText w:val="%8."/>
      <w:lvlJc w:val="left"/>
      <w:pPr>
        <w:tabs>
          <w:tab w:val="num" w:pos="5904"/>
        </w:tabs>
        <w:ind w:left="5904" w:hanging="360"/>
      </w:pPr>
      <w:rPr>
        <w:rFonts w:cs="Times New Roman" w:hint="default"/>
      </w:rPr>
    </w:lvl>
    <w:lvl w:ilvl="8">
      <w:start w:val="1"/>
      <w:numFmt w:val="lowerRoman"/>
      <w:lvlText w:val="%9."/>
      <w:lvlJc w:val="right"/>
      <w:pPr>
        <w:tabs>
          <w:tab w:val="num" w:pos="6624"/>
        </w:tabs>
        <w:ind w:left="6624" w:hanging="180"/>
      </w:pPr>
      <w:rPr>
        <w:rFonts w:cs="Times New Roman" w:hint="default"/>
      </w:rPr>
    </w:lvl>
  </w:abstractNum>
  <w:abstractNum w:abstractNumId="9">
    <w:nsid w:val="179C7C26"/>
    <w:multiLevelType w:val="hybridMultilevel"/>
    <w:tmpl w:val="2BE0C000"/>
    <w:lvl w:ilvl="0" w:tplc="898A0726">
      <w:start w:val="1"/>
      <w:numFmt w:val="upperLetter"/>
      <w:lvlText w:val="%1."/>
      <w:lvlJc w:val="left"/>
      <w:pPr>
        <w:ind w:left="1080" w:hanging="360"/>
      </w:pPr>
    </w:lvl>
    <w:lvl w:ilvl="1" w:tplc="90DA9126">
      <w:start w:val="1"/>
      <w:numFmt w:val="lowerLetter"/>
      <w:lvlText w:val="%2."/>
      <w:lvlJc w:val="left"/>
      <w:pPr>
        <w:ind w:left="1800" w:hanging="360"/>
      </w:pPr>
    </w:lvl>
    <w:lvl w:ilvl="2" w:tplc="D576A008">
      <w:start w:val="1"/>
      <w:numFmt w:val="lowerRoman"/>
      <w:lvlText w:val="%3."/>
      <w:lvlJc w:val="right"/>
      <w:pPr>
        <w:ind w:left="2520" w:hanging="180"/>
      </w:pPr>
    </w:lvl>
    <w:lvl w:ilvl="3" w:tplc="00E0F8C0">
      <w:start w:val="1"/>
      <w:numFmt w:val="decimal"/>
      <w:lvlText w:val="%4."/>
      <w:lvlJc w:val="left"/>
      <w:pPr>
        <w:ind w:left="3240" w:hanging="360"/>
      </w:pPr>
    </w:lvl>
    <w:lvl w:ilvl="4" w:tplc="6EA04A28">
      <w:start w:val="1"/>
      <w:numFmt w:val="lowerLetter"/>
      <w:lvlText w:val="%5."/>
      <w:lvlJc w:val="left"/>
      <w:pPr>
        <w:ind w:left="3960" w:hanging="360"/>
      </w:pPr>
    </w:lvl>
    <w:lvl w:ilvl="5" w:tplc="5A886E8E">
      <w:start w:val="1"/>
      <w:numFmt w:val="lowerRoman"/>
      <w:lvlText w:val="%6."/>
      <w:lvlJc w:val="right"/>
      <w:pPr>
        <w:ind w:left="4680" w:hanging="180"/>
      </w:pPr>
    </w:lvl>
    <w:lvl w:ilvl="6" w:tplc="C2A2507C">
      <w:start w:val="1"/>
      <w:numFmt w:val="decimal"/>
      <w:lvlText w:val="%7."/>
      <w:lvlJc w:val="left"/>
      <w:pPr>
        <w:ind w:left="5400" w:hanging="360"/>
      </w:pPr>
    </w:lvl>
    <w:lvl w:ilvl="7" w:tplc="2B04A12C">
      <w:start w:val="1"/>
      <w:numFmt w:val="lowerLetter"/>
      <w:lvlText w:val="%8."/>
      <w:lvlJc w:val="left"/>
      <w:pPr>
        <w:ind w:left="6120" w:hanging="360"/>
      </w:pPr>
    </w:lvl>
    <w:lvl w:ilvl="8" w:tplc="97BA23B2">
      <w:start w:val="1"/>
      <w:numFmt w:val="lowerRoman"/>
      <w:lvlText w:val="%9."/>
      <w:lvlJc w:val="right"/>
      <w:pPr>
        <w:ind w:left="6840" w:hanging="180"/>
      </w:pPr>
    </w:lvl>
  </w:abstractNum>
  <w:abstractNum w:abstractNumId="10">
    <w:nsid w:val="19593413"/>
    <w:multiLevelType w:val="hybridMultilevel"/>
    <w:tmpl w:val="B8485A48"/>
    <w:lvl w:ilvl="0" w:tplc="A2089E2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CFC3872"/>
    <w:multiLevelType w:val="multilevel"/>
    <w:tmpl w:val="BB64748A"/>
    <w:lvl w:ilvl="0">
      <w:start w:val="1"/>
      <w:numFmt w:val="upperRoman"/>
      <w:lvlRestart w:val="0"/>
      <w:pStyle w:val="Level1"/>
      <w:lvlText w:val="%1."/>
      <w:lvlJc w:val="left"/>
      <w:pPr>
        <w:tabs>
          <w:tab w:val="num" w:pos="720"/>
        </w:tabs>
      </w:pPr>
      <w:rPr>
        <w:rFonts w:cs="Times New Roman"/>
        <w:b/>
        <w:i w:val="0"/>
        <w:u w:val="none"/>
      </w:rPr>
    </w:lvl>
    <w:lvl w:ilvl="1">
      <w:start w:val="1"/>
      <w:numFmt w:val="upperLetter"/>
      <w:pStyle w:val="Level2"/>
      <w:lvlText w:val="%2."/>
      <w:lvlJc w:val="left"/>
      <w:pPr>
        <w:tabs>
          <w:tab w:val="num" w:pos="1440"/>
        </w:tabs>
        <w:ind w:firstLine="720"/>
      </w:pPr>
      <w:rPr>
        <w:rFonts w:cs="Times New Roman"/>
        <w:b/>
        <w:i w:val="0"/>
        <w:u w:val="none"/>
      </w:rPr>
    </w:lvl>
    <w:lvl w:ilvl="2">
      <w:start w:val="1"/>
      <w:numFmt w:val="decimal"/>
      <w:pStyle w:val="Level3"/>
      <w:lvlText w:val="%3."/>
      <w:lvlJc w:val="left"/>
      <w:pPr>
        <w:tabs>
          <w:tab w:val="num" w:pos="2880"/>
        </w:tabs>
        <w:ind w:firstLine="2160"/>
      </w:pPr>
      <w:rPr>
        <w:rFonts w:cs="Times New Roman"/>
        <w:b w:val="0"/>
        <w:i w:val="0"/>
        <w:u w:val="none"/>
      </w:rPr>
    </w:lvl>
    <w:lvl w:ilvl="3">
      <w:start w:val="1"/>
      <w:numFmt w:val="lowerLetter"/>
      <w:pStyle w:val="Level4"/>
      <w:lvlText w:val="(%4)"/>
      <w:lvlJc w:val="left"/>
      <w:pPr>
        <w:tabs>
          <w:tab w:val="num" w:pos="3600"/>
        </w:tabs>
        <w:ind w:firstLine="2880"/>
      </w:pPr>
      <w:rPr>
        <w:rFonts w:cs="Times New Roman"/>
        <w:b w:val="0"/>
        <w:i w:val="0"/>
        <w:u w:val="none"/>
      </w:rPr>
    </w:lvl>
    <w:lvl w:ilvl="4">
      <w:start w:val="1"/>
      <w:numFmt w:val="lowerRoman"/>
      <w:pStyle w:val="Level5"/>
      <w:lvlText w:val="(%5)"/>
      <w:lvlJc w:val="left"/>
      <w:pPr>
        <w:tabs>
          <w:tab w:val="num" w:pos="4320"/>
        </w:tabs>
        <w:ind w:firstLine="3600"/>
      </w:pPr>
      <w:rPr>
        <w:rFonts w:cs="Times New Roman"/>
        <w:b w:val="0"/>
        <w:i w:val="0"/>
        <w:u w:val="none"/>
      </w:rPr>
    </w:lvl>
    <w:lvl w:ilvl="5">
      <w:start w:val="1"/>
      <w:numFmt w:val="upperLetter"/>
      <w:pStyle w:val="Level6"/>
      <w:lvlText w:val="(%6)"/>
      <w:lvlJc w:val="left"/>
      <w:pPr>
        <w:tabs>
          <w:tab w:val="num" w:pos="5040"/>
        </w:tabs>
        <w:ind w:firstLine="4320"/>
      </w:pPr>
      <w:rPr>
        <w:rFonts w:cs="Times New Roman"/>
        <w:b w:val="0"/>
        <w:i w:val="0"/>
        <w:u w:val="none"/>
      </w:rPr>
    </w:lvl>
    <w:lvl w:ilvl="6">
      <w:start w:val="1"/>
      <w:numFmt w:val="decimal"/>
      <w:pStyle w:val="Level7"/>
      <w:lvlText w:val="%7)"/>
      <w:lvlJc w:val="left"/>
      <w:pPr>
        <w:tabs>
          <w:tab w:val="num" w:pos="5760"/>
        </w:tabs>
        <w:ind w:firstLine="5040"/>
      </w:pPr>
      <w:rPr>
        <w:rFonts w:cs="Times New Roman"/>
        <w:b w:val="0"/>
        <w:i w:val="0"/>
        <w:u w:val="none"/>
      </w:rPr>
    </w:lvl>
    <w:lvl w:ilvl="7">
      <w:start w:val="1"/>
      <w:numFmt w:val="lowerLetter"/>
      <w:pStyle w:val="Level8"/>
      <w:lvlText w:val="%8)"/>
      <w:lvlJc w:val="left"/>
      <w:pPr>
        <w:tabs>
          <w:tab w:val="num" w:pos="6480"/>
        </w:tabs>
        <w:ind w:firstLine="5760"/>
      </w:pPr>
      <w:rPr>
        <w:rFonts w:cs="Times New Roman"/>
        <w:b w:val="0"/>
        <w:i w:val="0"/>
        <w:u w:val="none"/>
      </w:rPr>
    </w:lvl>
    <w:lvl w:ilvl="8">
      <w:start w:val="1"/>
      <w:numFmt w:val="lowerRoman"/>
      <w:pStyle w:val="Level9"/>
      <w:lvlText w:val="%9)"/>
      <w:lvlJc w:val="left"/>
      <w:pPr>
        <w:tabs>
          <w:tab w:val="num" w:pos="7200"/>
        </w:tabs>
        <w:ind w:firstLine="6480"/>
      </w:pPr>
      <w:rPr>
        <w:rFonts w:cs="Times New Roman"/>
        <w:b w:val="0"/>
        <w:i w:val="0"/>
        <w:u w:val="none"/>
      </w:rPr>
    </w:lvl>
  </w:abstractNum>
  <w:abstractNum w:abstractNumId="12">
    <w:nsid w:val="1EDB688B"/>
    <w:multiLevelType w:val="hybridMultilevel"/>
    <w:tmpl w:val="CF8EFBCC"/>
    <w:name w:val="zzmpPUC||PUC|3|1|0|1|2|41||1|2|37||1|2|32||1|2|33||1|2|32||1|2|32||1|2|32||1|2|32||1|2|32||4"/>
    <w:lvl w:ilvl="0" w:tplc="860CE828">
      <w:start w:val="1"/>
      <w:numFmt w:val="lowerRoman"/>
      <w:lvlText w:val="%1."/>
      <w:lvlJc w:val="left"/>
      <w:pPr>
        <w:tabs>
          <w:tab w:val="num" w:pos="1296"/>
        </w:tabs>
        <w:ind w:left="1296" w:hanging="576"/>
      </w:pPr>
      <w:rPr>
        <w:rFonts w:cs="Times New Roman" w:hint="default"/>
      </w:rPr>
    </w:lvl>
    <w:lvl w:ilvl="1" w:tplc="E26AA20A" w:tentative="1">
      <w:start w:val="1"/>
      <w:numFmt w:val="lowerLetter"/>
      <w:lvlText w:val="%2."/>
      <w:lvlJc w:val="left"/>
      <w:pPr>
        <w:tabs>
          <w:tab w:val="num" w:pos="1440"/>
        </w:tabs>
        <w:ind w:left="1440" w:hanging="360"/>
      </w:pPr>
      <w:rPr>
        <w:rFonts w:cs="Times New Roman"/>
      </w:rPr>
    </w:lvl>
    <w:lvl w:ilvl="2" w:tplc="ECE0DB70" w:tentative="1">
      <w:start w:val="1"/>
      <w:numFmt w:val="lowerRoman"/>
      <w:lvlText w:val="%3."/>
      <w:lvlJc w:val="right"/>
      <w:pPr>
        <w:tabs>
          <w:tab w:val="num" w:pos="2160"/>
        </w:tabs>
        <w:ind w:left="2160" w:hanging="180"/>
      </w:pPr>
      <w:rPr>
        <w:rFonts w:cs="Times New Roman"/>
      </w:rPr>
    </w:lvl>
    <w:lvl w:ilvl="3" w:tplc="F2E49652" w:tentative="1">
      <w:start w:val="1"/>
      <w:numFmt w:val="decimal"/>
      <w:lvlText w:val="%4."/>
      <w:lvlJc w:val="left"/>
      <w:pPr>
        <w:tabs>
          <w:tab w:val="num" w:pos="2880"/>
        </w:tabs>
        <w:ind w:left="2880" w:hanging="360"/>
      </w:pPr>
      <w:rPr>
        <w:rFonts w:cs="Times New Roman"/>
      </w:rPr>
    </w:lvl>
    <w:lvl w:ilvl="4" w:tplc="62860AB8" w:tentative="1">
      <w:start w:val="1"/>
      <w:numFmt w:val="lowerLetter"/>
      <w:lvlText w:val="%5."/>
      <w:lvlJc w:val="left"/>
      <w:pPr>
        <w:tabs>
          <w:tab w:val="num" w:pos="3600"/>
        </w:tabs>
        <w:ind w:left="3600" w:hanging="360"/>
      </w:pPr>
      <w:rPr>
        <w:rFonts w:cs="Times New Roman"/>
      </w:rPr>
    </w:lvl>
    <w:lvl w:ilvl="5" w:tplc="A1B2B212" w:tentative="1">
      <w:start w:val="1"/>
      <w:numFmt w:val="lowerRoman"/>
      <w:lvlText w:val="%6."/>
      <w:lvlJc w:val="right"/>
      <w:pPr>
        <w:tabs>
          <w:tab w:val="num" w:pos="4320"/>
        </w:tabs>
        <w:ind w:left="4320" w:hanging="180"/>
      </w:pPr>
      <w:rPr>
        <w:rFonts w:cs="Times New Roman"/>
      </w:rPr>
    </w:lvl>
    <w:lvl w:ilvl="6" w:tplc="F1780AF2" w:tentative="1">
      <w:start w:val="1"/>
      <w:numFmt w:val="decimal"/>
      <w:lvlText w:val="%7."/>
      <w:lvlJc w:val="left"/>
      <w:pPr>
        <w:tabs>
          <w:tab w:val="num" w:pos="5040"/>
        </w:tabs>
        <w:ind w:left="5040" w:hanging="360"/>
      </w:pPr>
      <w:rPr>
        <w:rFonts w:cs="Times New Roman"/>
      </w:rPr>
    </w:lvl>
    <w:lvl w:ilvl="7" w:tplc="56CEAF1E" w:tentative="1">
      <w:start w:val="1"/>
      <w:numFmt w:val="lowerLetter"/>
      <w:lvlText w:val="%8."/>
      <w:lvlJc w:val="left"/>
      <w:pPr>
        <w:tabs>
          <w:tab w:val="num" w:pos="5760"/>
        </w:tabs>
        <w:ind w:left="5760" w:hanging="360"/>
      </w:pPr>
      <w:rPr>
        <w:rFonts w:cs="Times New Roman"/>
      </w:rPr>
    </w:lvl>
    <w:lvl w:ilvl="8" w:tplc="8EEA3352" w:tentative="1">
      <w:start w:val="1"/>
      <w:numFmt w:val="lowerRoman"/>
      <w:lvlText w:val="%9."/>
      <w:lvlJc w:val="right"/>
      <w:pPr>
        <w:tabs>
          <w:tab w:val="num" w:pos="6480"/>
        </w:tabs>
        <w:ind w:left="6480" w:hanging="180"/>
      </w:pPr>
      <w:rPr>
        <w:rFonts w:cs="Times New Roman"/>
      </w:rPr>
    </w:lvl>
  </w:abstractNum>
  <w:abstractNum w:abstractNumId="13">
    <w:nsid w:val="21C828DD"/>
    <w:multiLevelType w:val="singleLevel"/>
    <w:tmpl w:val="F72A9324"/>
    <w:lvl w:ilvl="0">
      <w:start w:val="1"/>
      <w:numFmt w:val="decimal"/>
      <w:pStyle w:val="num1"/>
      <w:lvlText w:val="%1."/>
      <w:lvlJc w:val="right"/>
      <w:pPr>
        <w:tabs>
          <w:tab w:val="num" w:pos="720"/>
        </w:tabs>
        <w:ind w:left="0" w:firstLine="504"/>
      </w:pPr>
      <w:rPr>
        <w:rFonts w:cs="Times New Roman" w:hint="default"/>
      </w:rPr>
    </w:lvl>
  </w:abstractNum>
  <w:abstractNum w:abstractNumId="14">
    <w:nsid w:val="22722067"/>
    <w:multiLevelType w:val="hybridMultilevel"/>
    <w:tmpl w:val="E1DA25AE"/>
    <w:lvl w:ilvl="0" w:tplc="E020CFE4">
      <w:start w:val="1"/>
      <w:numFmt w:val="bullet"/>
      <w:pStyle w:val="StandardBullet"/>
      <w:lvlText w:val=""/>
      <w:lvlJc w:val="left"/>
      <w:pPr>
        <w:ind w:left="720" w:hanging="360"/>
      </w:pPr>
      <w:rPr>
        <w:rFonts w:ascii="Symbol" w:hAnsi="Symbol" w:hint="default"/>
      </w:rPr>
    </w:lvl>
    <w:lvl w:ilvl="1" w:tplc="1CA66150" w:tentative="1">
      <w:start w:val="1"/>
      <w:numFmt w:val="bullet"/>
      <w:lvlText w:val="o"/>
      <w:lvlJc w:val="left"/>
      <w:pPr>
        <w:ind w:left="1440" w:hanging="360"/>
      </w:pPr>
      <w:rPr>
        <w:rFonts w:ascii="Courier New" w:hAnsi="Courier New" w:cs="Courier New" w:hint="default"/>
      </w:rPr>
    </w:lvl>
    <w:lvl w:ilvl="2" w:tplc="BCD6050A" w:tentative="1">
      <w:start w:val="1"/>
      <w:numFmt w:val="bullet"/>
      <w:lvlText w:val=""/>
      <w:lvlJc w:val="left"/>
      <w:pPr>
        <w:ind w:left="2160" w:hanging="360"/>
      </w:pPr>
      <w:rPr>
        <w:rFonts w:ascii="Wingdings" w:hAnsi="Wingdings" w:hint="default"/>
      </w:rPr>
    </w:lvl>
    <w:lvl w:ilvl="3" w:tplc="CBA647D2" w:tentative="1">
      <w:start w:val="1"/>
      <w:numFmt w:val="bullet"/>
      <w:lvlText w:val=""/>
      <w:lvlJc w:val="left"/>
      <w:pPr>
        <w:ind w:left="2880" w:hanging="360"/>
      </w:pPr>
      <w:rPr>
        <w:rFonts w:ascii="Symbol" w:hAnsi="Symbol" w:hint="default"/>
      </w:rPr>
    </w:lvl>
    <w:lvl w:ilvl="4" w:tplc="A262F5B8" w:tentative="1">
      <w:start w:val="1"/>
      <w:numFmt w:val="bullet"/>
      <w:lvlText w:val="o"/>
      <w:lvlJc w:val="left"/>
      <w:pPr>
        <w:ind w:left="3600" w:hanging="360"/>
      </w:pPr>
      <w:rPr>
        <w:rFonts w:ascii="Courier New" w:hAnsi="Courier New" w:cs="Courier New" w:hint="default"/>
      </w:rPr>
    </w:lvl>
    <w:lvl w:ilvl="5" w:tplc="14C4F7D6" w:tentative="1">
      <w:start w:val="1"/>
      <w:numFmt w:val="bullet"/>
      <w:lvlText w:val=""/>
      <w:lvlJc w:val="left"/>
      <w:pPr>
        <w:ind w:left="4320" w:hanging="360"/>
      </w:pPr>
      <w:rPr>
        <w:rFonts w:ascii="Wingdings" w:hAnsi="Wingdings" w:hint="default"/>
      </w:rPr>
    </w:lvl>
    <w:lvl w:ilvl="6" w:tplc="84D43BC2" w:tentative="1">
      <w:start w:val="1"/>
      <w:numFmt w:val="bullet"/>
      <w:lvlText w:val=""/>
      <w:lvlJc w:val="left"/>
      <w:pPr>
        <w:ind w:left="5040" w:hanging="360"/>
      </w:pPr>
      <w:rPr>
        <w:rFonts w:ascii="Symbol" w:hAnsi="Symbol" w:hint="default"/>
      </w:rPr>
    </w:lvl>
    <w:lvl w:ilvl="7" w:tplc="FCF255AA" w:tentative="1">
      <w:start w:val="1"/>
      <w:numFmt w:val="bullet"/>
      <w:lvlText w:val="o"/>
      <w:lvlJc w:val="left"/>
      <w:pPr>
        <w:ind w:left="5760" w:hanging="360"/>
      </w:pPr>
      <w:rPr>
        <w:rFonts w:ascii="Courier New" w:hAnsi="Courier New" w:cs="Courier New" w:hint="default"/>
      </w:rPr>
    </w:lvl>
    <w:lvl w:ilvl="8" w:tplc="F72AB274" w:tentative="1">
      <w:start w:val="1"/>
      <w:numFmt w:val="bullet"/>
      <w:lvlText w:val=""/>
      <w:lvlJc w:val="left"/>
      <w:pPr>
        <w:ind w:left="6480" w:hanging="360"/>
      </w:pPr>
      <w:rPr>
        <w:rFonts w:ascii="Wingdings" w:hAnsi="Wingdings" w:hint="default"/>
      </w:rPr>
    </w:lvl>
  </w:abstractNum>
  <w:abstractNum w:abstractNumId="15">
    <w:nsid w:val="229F6258"/>
    <w:multiLevelType w:val="hybridMultilevel"/>
    <w:tmpl w:val="251E3F98"/>
    <w:name w:val="zzmpPUC||PUC|3|1|0|1|2|41||1|2|37||1|2|32||1|2|33||1|2|32||1|2|32||1|2|32||1|2|32||1|2|32||4222"/>
    <w:lvl w:ilvl="0" w:tplc="04090001">
      <w:start w:val="1"/>
      <w:numFmt w:val="lowerRoman"/>
      <w:lvlText w:val="%1."/>
      <w:lvlJc w:val="left"/>
      <w:pPr>
        <w:tabs>
          <w:tab w:val="num" w:pos="1296"/>
        </w:tabs>
        <w:ind w:left="1296" w:hanging="576"/>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
    <w:nsid w:val="2D3C087F"/>
    <w:multiLevelType w:val="hybridMultilevel"/>
    <w:tmpl w:val="865C032E"/>
    <w:lvl w:ilvl="0" w:tplc="4394E9C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2F3D7CD6"/>
    <w:multiLevelType w:val="hybridMultilevel"/>
    <w:tmpl w:val="4168AD98"/>
    <w:lvl w:ilvl="0" w:tplc="915AA84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354D11F2"/>
    <w:multiLevelType w:val="hybridMultilevel"/>
    <w:tmpl w:val="E5E29724"/>
    <w:lvl w:ilvl="0" w:tplc="E0B4D718">
      <w:start w:val="1"/>
      <w:numFmt w:val="decimal"/>
      <w:lvlText w:val="%1."/>
      <w:lvlJc w:val="left"/>
      <w:pPr>
        <w:ind w:left="2520" w:hanging="360"/>
      </w:pPr>
      <w:rPr>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9">
    <w:nsid w:val="39F23473"/>
    <w:multiLevelType w:val="multilevel"/>
    <w:tmpl w:val="B2201ED6"/>
    <w:name w:val="zzmpPleading1||Pleading1|2|1|1|1|4|41||1|4|33||1|4|33||1|4|36||1|4|32||1|4|32||1|4|32||1|4|32||1|4|32||2"/>
    <w:lvl w:ilvl="0">
      <w:start w:val="3"/>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auto"/>
        <w:u w:val="none"/>
        <w:vertAlign w:val="baseline"/>
      </w:rPr>
    </w:lvl>
    <w:lvl w:ilvl="1">
      <w:start w:val="1"/>
      <w:numFmt w:val="upperLetter"/>
      <w:lvlText w:val="%2."/>
      <w:lvlJc w:val="left"/>
      <w:pPr>
        <w:tabs>
          <w:tab w:val="num" w:pos="1320"/>
        </w:tabs>
        <w:ind w:left="1320" w:hanging="720"/>
      </w:pPr>
      <w:rPr>
        <w:rFonts w:ascii="Times New Roman" w:hAnsi="Times New Roman" w:cs="Times New Roman" w:hint="default"/>
        <w:b/>
        <w:i w:val="0"/>
        <w:caps w:val="0"/>
        <w:strike w:val="0"/>
        <w:dstrike w:val="0"/>
        <w:vanish w:val="0"/>
        <w:color w:val="auto"/>
        <w:u w:val="none"/>
        <w:vertAlign w:val="baseline"/>
      </w:rPr>
    </w:lvl>
    <w:lvl w:ilvl="2">
      <w:start w:val="1"/>
      <w:numFmt w:val="decimal"/>
      <w:lvlText w:val="(%3)"/>
      <w:lvlJc w:val="left"/>
      <w:pPr>
        <w:tabs>
          <w:tab w:val="num" w:pos="2160"/>
        </w:tabs>
        <w:ind w:left="2160" w:hanging="720"/>
      </w:pPr>
      <w:rPr>
        <w:rFonts w:cs="Times New Roman" w:hint="default"/>
        <w:b/>
        <w:i w:val="0"/>
        <w:caps w:val="0"/>
        <w:strike w:val="0"/>
        <w:dstrike w:val="0"/>
        <w:vanish w:val="0"/>
        <w:color w:val="000000"/>
        <w:u w:val="none"/>
        <w:vertAlign w:val="baseline"/>
      </w:rPr>
    </w:lvl>
    <w:lvl w:ilvl="3">
      <w:start w:val="1"/>
      <w:numFmt w:val="bullet"/>
      <w:lvlText w:val=""/>
      <w:lvlJc w:val="left"/>
      <w:pPr>
        <w:tabs>
          <w:tab w:val="num" w:pos="1080"/>
        </w:tabs>
        <w:ind w:left="1080" w:hanging="360"/>
      </w:pPr>
      <w:rPr>
        <w:rFonts w:ascii="Symbol" w:hAnsi="Symbol" w:hint="default"/>
        <w:b/>
        <w:i w:val="0"/>
        <w:caps w:val="0"/>
        <w:strike w:val="0"/>
        <w:dstrike w:val="0"/>
        <w:vanish w:val="0"/>
        <w:color w:val="auto"/>
        <w:u w:val="none"/>
        <w:vertAlign w:val="baseline"/>
      </w:rPr>
    </w:lvl>
    <w:lvl w:ilvl="4">
      <w:start w:val="1"/>
      <w:numFmt w:val="decimal"/>
      <w:lvlText w:val="(%5)"/>
      <w:lvlJc w:val="left"/>
      <w:pPr>
        <w:tabs>
          <w:tab w:val="num" w:pos="3600"/>
        </w:tabs>
        <w:ind w:left="3600" w:hanging="720"/>
      </w:pPr>
      <w:rPr>
        <w:rFonts w:cs="Times New Roman" w:hint="default"/>
        <w:b w:val="0"/>
        <w:i w:val="0"/>
        <w:caps w:val="0"/>
        <w:strike w:val="0"/>
        <w:dstrike w:val="0"/>
        <w:vanish w:val="0"/>
        <w:color w:val="000000"/>
        <w:u w:val="none"/>
        <w:vertAlign w:val="baseline"/>
      </w:rPr>
    </w:lvl>
    <w:lvl w:ilvl="5">
      <w:start w:val="1"/>
      <w:numFmt w:val="lowerLetter"/>
      <w:lvlText w:val="(%6)"/>
      <w:lvlJc w:val="left"/>
      <w:pPr>
        <w:tabs>
          <w:tab w:val="num" w:pos="4320"/>
        </w:tabs>
        <w:ind w:left="4320" w:hanging="720"/>
      </w:pPr>
      <w:rPr>
        <w:rFonts w:cs="Times New Roman"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cs="Times New Roman"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cs="Times New Roman"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cs="Times New Roman" w:hint="default"/>
        <w:b w:val="0"/>
        <w:i w:val="0"/>
        <w:caps w:val="0"/>
        <w:strike w:val="0"/>
        <w:dstrike w:val="0"/>
        <w:vanish w:val="0"/>
        <w:color w:val="000000"/>
        <w:u w:val="none"/>
        <w:vertAlign w:val="baseline"/>
      </w:rPr>
    </w:lvl>
  </w:abstractNum>
  <w:abstractNum w:abstractNumId="20">
    <w:nsid w:val="3B685662"/>
    <w:multiLevelType w:val="multilevel"/>
    <w:tmpl w:val="280A77B8"/>
    <w:name w:val="zzmpPleading1||Pleading1|2|1|1|1|4|41||1|4|33||1|4|33||1|4|36||1|4|32||1|4|32||1|4|32||1|4|32||1|4|32||24"/>
    <w:lvl w:ilvl="0">
      <w:start w:val="1"/>
      <w:numFmt w:val="upperRoman"/>
      <w:lvlRestart w:val="0"/>
      <w:lvlText w:val="%1."/>
      <w:lvlJc w:val="left"/>
      <w:pPr>
        <w:tabs>
          <w:tab w:val="num" w:pos="720"/>
        </w:tabs>
        <w:ind w:left="720" w:hanging="720"/>
      </w:pPr>
      <w:rPr>
        <w:rFonts w:ascii="Times New Roman" w:hAnsi="Times New Roman" w:cs="Times New Roman"/>
        <w:b/>
        <w:i w:val="0"/>
        <w:caps/>
        <w:smallCaps w:val="0"/>
        <w:sz w:val="26"/>
        <w:u w:val="none"/>
      </w:rPr>
    </w:lvl>
    <w:lvl w:ilvl="1">
      <w:start w:val="1"/>
      <w:numFmt w:val="upperLetter"/>
      <w:lvlText w:val="%2."/>
      <w:lvlJc w:val="left"/>
      <w:pPr>
        <w:tabs>
          <w:tab w:val="num" w:pos="1440"/>
        </w:tabs>
        <w:ind w:left="1440" w:hanging="720"/>
      </w:pPr>
      <w:rPr>
        <w:rFonts w:cs="Times New Roman"/>
        <w:b/>
        <w:i w:val="0"/>
        <w:caps w:val="0"/>
        <w:sz w:val="24"/>
        <w:szCs w:val="24"/>
        <w:u w:val="none"/>
      </w:rPr>
    </w:lvl>
    <w:lvl w:ilvl="2">
      <w:start w:val="1"/>
      <w:numFmt w:val="decimal"/>
      <w:lvlText w:val="%3."/>
      <w:lvlJc w:val="left"/>
      <w:pPr>
        <w:tabs>
          <w:tab w:val="num" w:pos="2160"/>
        </w:tabs>
        <w:ind w:left="2160" w:hanging="720"/>
      </w:pPr>
      <w:rPr>
        <w:rFonts w:cs="Times New Roman"/>
        <w:b w:val="0"/>
        <w:i w:val="0"/>
        <w:caps w:val="0"/>
        <w:u w:val="none"/>
      </w:rPr>
    </w:lvl>
    <w:lvl w:ilvl="3">
      <w:start w:val="1"/>
      <w:numFmt w:val="lowerLetter"/>
      <w:lvlText w:val="%4."/>
      <w:lvlJc w:val="left"/>
      <w:pPr>
        <w:tabs>
          <w:tab w:val="num" w:pos="2880"/>
        </w:tabs>
        <w:ind w:left="2880" w:hanging="720"/>
      </w:pPr>
      <w:rPr>
        <w:rFonts w:cs="Times New Roman"/>
        <w:b w:val="0"/>
        <w:i w:val="0"/>
        <w:caps w:val="0"/>
        <w:u w:val="none"/>
      </w:rPr>
    </w:lvl>
    <w:lvl w:ilvl="4">
      <w:start w:val="1"/>
      <w:numFmt w:val="decimal"/>
      <w:lvlText w:val="(%5)"/>
      <w:lvlJc w:val="left"/>
      <w:pPr>
        <w:tabs>
          <w:tab w:val="num" w:pos="3600"/>
        </w:tabs>
        <w:ind w:left="3600" w:hanging="720"/>
      </w:pPr>
      <w:rPr>
        <w:rFonts w:cs="Times New Roman"/>
        <w:b w:val="0"/>
        <w:i w:val="0"/>
        <w:caps w:val="0"/>
        <w:u w:val="none"/>
      </w:rPr>
    </w:lvl>
    <w:lvl w:ilvl="5">
      <w:start w:val="1"/>
      <w:numFmt w:val="lowerLetter"/>
      <w:lvlText w:val="(%6)"/>
      <w:lvlJc w:val="left"/>
      <w:pPr>
        <w:tabs>
          <w:tab w:val="num" w:pos="4320"/>
        </w:tabs>
        <w:ind w:left="4320" w:hanging="720"/>
      </w:pPr>
      <w:rPr>
        <w:rFonts w:cs="Times New Roman"/>
        <w:b w:val="0"/>
        <w:i w:val="0"/>
        <w:caps w:val="0"/>
        <w:u w:val="none"/>
      </w:rPr>
    </w:lvl>
    <w:lvl w:ilvl="6">
      <w:start w:val="1"/>
      <w:numFmt w:val="lowerRoman"/>
      <w:lvlText w:val="(%7)"/>
      <w:lvlJc w:val="left"/>
      <w:pPr>
        <w:tabs>
          <w:tab w:val="num" w:pos="5040"/>
        </w:tabs>
        <w:ind w:left="5040" w:hanging="720"/>
      </w:pPr>
      <w:rPr>
        <w:rFonts w:cs="Times New Roman"/>
        <w:b w:val="0"/>
        <w:i w:val="0"/>
        <w:caps w:val="0"/>
        <w:u w:val="none"/>
      </w:rPr>
    </w:lvl>
    <w:lvl w:ilvl="7">
      <w:start w:val="1"/>
      <w:numFmt w:val="lowerLetter"/>
      <w:lvlText w:val="%8)"/>
      <w:lvlJc w:val="left"/>
      <w:pPr>
        <w:tabs>
          <w:tab w:val="num" w:pos="5760"/>
        </w:tabs>
        <w:ind w:left="5760" w:hanging="720"/>
      </w:pPr>
      <w:rPr>
        <w:rFonts w:cs="Times New Roman"/>
        <w:b w:val="0"/>
        <w:i w:val="0"/>
        <w:caps w:val="0"/>
        <w:u w:val="none"/>
      </w:rPr>
    </w:lvl>
    <w:lvl w:ilvl="8">
      <w:start w:val="1"/>
      <w:numFmt w:val="lowerRoman"/>
      <w:lvlText w:val="%9)"/>
      <w:lvlJc w:val="left"/>
      <w:pPr>
        <w:tabs>
          <w:tab w:val="num" w:pos="6480"/>
        </w:tabs>
        <w:ind w:left="6480" w:hanging="720"/>
      </w:pPr>
      <w:rPr>
        <w:rFonts w:cs="Times New Roman"/>
        <w:b w:val="0"/>
        <w:i w:val="0"/>
        <w:caps w:val="0"/>
        <w:u w:val="none"/>
      </w:rPr>
    </w:lvl>
  </w:abstractNum>
  <w:abstractNum w:abstractNumId="21">
    <w:nsid w:val="3C710026"/>
    <w:multiLevelType w:val="hybridMultilevel"/>
    <w:tmpl w:val="063A41B8"/>
    <w:lvl w:ilvl="0" w:tplc="4230A094">
      <w:start w:val="8"/>
      <w:numFmt w:val="upperRoman"/>
      <w:lvlText w:val="%1."/>
      <w:lvlJc w:val="left"/>
      <w:pPr>
        <w:ind w:left="1080" w:hanging="720"/>
      </w:pPr>
    </w:lvl>
    <w:lvl w:ilvl="1" w:tplc="FDBEF368">
      <w:start w:val="1"/>
      <w:numFmt w:val="lowerLetter"/>
      <w:lvlText w:val="%2."/>
      <w:lvlJc w:val="left"/>
      <w:pPr>
        <w:ind w:left="1440" w:hanging="360"/>
      </w:pPr>
    </w:lvl>
    <w:lvl w:ilvl="2" w:tplc="8872DED0">
      <w:start w:val="1"/>
      <w:numFmt w:val="lowerRoman"/>
      <w:lvlText w:val="%3."/>
      <w:lvlJc w:val="right"/>
      <w:pPr>
        <w:ind w:left="2160" w:hanging="180"/>
      </w:pPr>
    </w:lvl>
    <w:lvl w:ilvl="3" w:tplc="96781DBA">
      <w:start w:val="1"/>
      <w:numFmt w:val="decimal"/>
      <w:lvlText w:val="%4."/>
      <w:lvlJc w:val="left"/>
      <w:pPr>
        <w:ind w:left="2880" w:hanging="360"/>
      </w:pPr>
    </w:lvl>
    <w:lvl w:ilvl="4" w:tplc="DBA4BE30">
      <w:start w:val="1"/>
      <w:numFmt w:val="lowerLetter"/>
      <w:lvlText w:val="%5."/>
      <w:lvlJc w:val="left"/>
      <w:pPr>
        <w:ind w:left="3600" w:hanging="360"/>
      </w:pPr>
    </w:lvl>
    <w:lvl w:ilvl="5" w:tplc="D0420CAC">
      <w:start w:val="1"/>
      <w:numFmt w:val="lowerRoman"/>
      <w:lvlText w:val="%6."/>
      <w:lvlJc w:val="right"/>
      <w:pPr>
        <w:ind w:left="4320" w:hanging="180"/>
      </w:pPr>
    </w:lvl>
    <w:lvl w:ilvl="6" w:tplc="A2DAF550">
      <w:start w:val="1"/>
      <w:numFmt w:val="decimal"/>
      <w:lvlText w:val="%7."/>
      <w:lvlJc w:val="left"/>
      <w:pPr>
        <w:ind w:left="5040" w:hanging="360"/>
      </w:pPr>
    </w:lvl>
    <w:lvl w:ilvl="7" w:tplc="80969296">
      <w:start w:val="1"/>
      <w:numFmt w:val="lowerLetter"/>
      <w:lvlText w:val="%8."/>
      <w:lvlJc w:val="left"/>
      <w:pPr>
        <w:ind w:left="5760" w:hanging="360"/>
      </w:pPr>
    </w:lvl>
    <w:lvl w:ilvl="8" w:tplc="2B8E75DC">
      <w:start w:val="1"/>
      <w:numFmt w:val="lowerRoman"/>
      <w:lvlText w:val="%9."/>
      <w:lvlJc w:val="right"/>
      <w:pPr>
        <w:ind w:left="6480" w:hanging="180"/>
      </w:pPr>
    </w:lvl>
  </w:abstractNum>
  <w:abstractNum w:abstractNumId="22">
    <w:nsid w:val="3D233B40"/>
    <w:multiLevelType w:val="hybridMultilevel"/>
    <w:tmpl w:val="3F2AB0AE"/>
    <w:lvl w:ilvl="0" w:tplc="1ADE25E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D564195"/>
    <w:multiLevelType w:val="hybridMultilevel"/>
    <w:tmpl w:val="DB9CA574"/>
    <w:lvl w:ilvl="0" w:tplc="C6A88E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3F4E5E7F"/>
    <w:multiLevelType w:val="hybridMultilevel"/>
    <w:tmpl w:val="F31408B0"/>
    <w:name w:val="zzmpPUC||PUC|3|1|0|1|2|41||1|2|37||1|2|32||1|2|33||1|2|32||1|2|32||1|2|32||1|2|32||1|2|32||422"/>
    <w:lvl w:ilvl="0" w:tplc="11425060">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F8D54C0"/>
    <w:multiLevelType w:val="multilevel"/>
    <w:tmpl w:val="3A369AB6"/>
    <w:name w:val="Brief/Motion Left11"/>
    <w:lvl w:ilvl="0">
      <w:start w:val="3"/>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auto"/>
        <w:u w:val="none"/>
        <w:vertAlign w:val="baseline"/>
      </w:rPr>
    </w:lvl>
    <w:lvl w:ilvl="1">
      <w:start w:val="1"/>
      <w:numFmt w:val="upperLetter"/>
      <w:lvlText w:val="%2."/>
      <w:lvlJc w:val="left"/>
      <w:pPr>
        <w:tabs>
          <w:tab w:val="num" w:pos="1320"/>
        </w:tabs>
        <w:ind w:left="1320" w:hanging="720"/>
      </w:pPr>
      <w:rPr>
        <w:rFonts w:ascii="Times New Roman" w:hAnsi="Times New Roman" w:cs="Times New Roman" w:hint="default"/>
        <w:b/>
        <w:i w:val="0"/>
        <w:caps w:val="0"/>
        <w:strike w:val="0"/>
        <w:dstrike w:val="0"/>
        <w:vanish w:val="0"/>
        <w:color w:val="auto"/>
        <w:u w:val="none"/>
        <w:vertAlign w:val="baseline"/>
      </w:rPr>
    </w:lvl>
    <w:lvl w:ilvl="2">
      <w:start w:val="5"/>
      <w:numFmt w:val="decimal"/>
      <w:lvlText w:val="(%3)"/>
      <w:lvlJc w:val="left"/>
      <w:pPr>
        <w:tabs>
          <w:tab w:val="num" w:pos="2160"/>
        </w:tabs>
        <w:ind w:left="2160" w:hanging="720"/>
      </w:pPr>
      <w:rPr>
        <w:rFonts w:cs="Times New Roman" w:hint="default"/>
        <w:b/>
        <w:i w:val="0"/>
        <w:caps w:val="0"/>
        <w:strike w:val="0"/>
        <w:dstrike w:val="0"/>
        <w:vanish w:val="0"/>
        <w:color w:val="000000"/>
        <w:u w:val="none"/>
        <w:vertAlign w:val="baseline"/>
      </w:rPr>
    </w:lvl>
    <w:lvl w:ilvl="3">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000000"/>
        <w:u w:val="none"/>
        <w:vertAlign w:val="baseline"/>
      </w:rPr>
    </w:lvl>
    <w:lvl w:ilvl="4">
      <w:start w:val="1"/>
      <w:numFmt w:val="decimal"/>
      <w:lvlText w:val="(%5)"/>
      <w:lvlJc w:val="left"/>
      <w:pPr>
        <w:tabs>
          <w:tab w:val="num" w:pos="3600"/>
        </w:tabs>
        <w:ind w:left="3600" w:hanging="720"/>
      </w:pPr>
      <w:rPr>
        <w:rFonts w:cs="Times New Roman" w:hint="default"/>
        <w:b w:val="0"/>
        <w:i w:val="0"/>
        <w:caps w:val="0"/>
        <w:strike w:val="0"/>
        <w:dstrike w:val="0"/>
        <w:vanish w:val="0"/>
        <w:color w:val="000000"/>
        <w:u w:val="none"/>
        <w:vertAlign w:val="baseline"/>
      </w:rPr>
    </w:lvl>
    <w:lvl w:ilvl="5">
      <w:start w:val="1"/>
      <w:numFmt w:val="lowerLetter"/>
      <w:lvlText w:val="(%6)"/>
      <w:lvlJc w:val="left"/>
      <w:pPr>
        <w:tabs>
          <w:tab w:val="num" w:pos="4320"/>
        </w:tabs>
        <w:ind w:left="4320" w:hanging="720"/>
      </w:pPr>
      <w:rPr>
        <w:rFonts w:cs="Times New Roman"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cs="Times New Roman"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cs="Times New Roman"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cs="Times New Roman" w:hint="default"/>
        <w:b w:val="0"/>
        <w:i w:val="0"/>
        <w:caps w:val="0"/>
        <w:strike w:val="0"/>
        <w:dstrike w:val="0"/>
        <w:vanish w:val="0"/>
        <w:color w:val="000000"/>
        <w:u w:val="none"/>
        <w:vertAlign w:val="baseline"/>
      </w:rPr>
    </w:lvl>
  </w:abstractNum>
  <w:abstractNum w:abstractNumId="26">
    <w:nsid w:val="4056642A"/>
    <w:multiLevelType w:val="hybridMultilevel"/>
    <w:tmpl w:val="D5745694"/>
    <w:lvl w:ilvl="0" w:tplc="034CC4E2">
      <w:start w:val="1"/>
      <w:numFmt w:val="decimal"/>
      <w:lvlText w:val="%1."/>
      <w:lvlJc w:val="left"/>
      <w:pPr>
        <w:ind w:left="1800" w:hanging="360"/>
      </w:pPr>
    </w:lvl>
    <w:lvl w:ilvl="1" w:tplc="B64AD3CE">
      <w:start w:val="1"/>
      <w:numFmt w:val="lowerLetter"/>
      <w:lvlText w:val="%2."/>
      <w:lvlJc w:val="left"/>
      <w:pPr>
        <w:ind w:left="2520" w:hanging="360"/>
      </w:pPr>
    </w:lvl>
    <w:lvl w:ilvl="2" w:tplc="3C68B800">
      <w:start w:val="1"/>
      <w:numFmt w:val="lowerRoman"/>
      <w:lvlText w:val="%3."/>
      <w:lvlJc w:val="right"/>
      <w:pPr>
        <w:ind w:left="3240" w:hanging="180"/>
      </w:pPr>
    </w:lvl>
    <w:lvl w:ilvl="3" w:tplc="64466616">
      <w:start w:val="1"/>
      <w:numFmt w:val="decimal"/>
      <w:lvlText w:val="%4."/>
      <w:lvlJc w:val="left"/>
      <w:pPr>
        <w:ind w:left="3960" w:hanging="360"/>
      </w:pPr>
    </w:lvl>
    <w:lvl w:ilvl="4" w:tplc="DD6030D8">
      <w:start w:val="1"/>
      <w:numFmt w:val="lowerLetter"/>
      <w:lvlText w:val="%5."/>
      <w:lvlJc w:val="left"/>
      <w:pPr>
        <w:ind w:left="4680" w:hanging="360"/>
      </w:pPr>
    </w:lvl>
    <w:lvl w:ilvl="5" w:tplc="1B0C0F9A">
      <w:start w:val="1"/>
      <w:numFmt w:val="lowerRoman"/>
      <w:lvlText w:val="%6."/>
      <w:lvlJc w:val="right"/>
      <w:pPr>
        <w:ind w:left="5400" w:hanging="180"/>
      </w:pPr>
    </w:lvl>
    <w:lvl w:ilvl="6" w:tplc="0BCA9926">
      <w:start w:val="1"/>
      <w:numFmt w:val="decimal"/>
      <w:lvlText w:val="%7."/>
      <w:lvlJc w:val="left"/>
      <w:pPr>
        <w:ind w:left="6120" w:hanging="360"/>
      </w:pPr>
    </w:lvl>
    <w:lvl w:ilvl="7" w:tplc="BF5A85E8">
      <w:start w:val="1"/>
      <w:numFmt w:val="lowerLetter"/>
      <w:lvlText w:val="%8."/>
      <w:lvlJc w:val="left"/>
      <w:pPr>
        <w:ind w:left="6840" w:hanging="360"/>
      </w:pPr>
    </w:lvl>
    <w:lvl w:ilvl="8" w:tplc="BE80E686">
      <w:start w:val="1"/>
      <w:numFmt w:val="lowerRoman"/>
      <w:lvlText w:val="%9."/>
      <w:lvlJc w:val="right"/>
      <w:pPr>
        <w:ind w:left="7560" w:hanging="180"/>
      </w:pPr>
    </w:lvl>
  </w:abstractNum>
  <w:abstractNum w:abstractNumId="27">
    <w:nsid w:val="42F73F5D"/>
    <w:multiLevelType w:val="multilevel"/>
    <w:tmpl w:val="263AD43C"/>
    <w:name w:val="Outline Left2"/>
    <w:lvl w:ilvl="0">
      <w:start w:val="3"/>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auto"/>
        <w:u w:val="none"/>
        <w:vertAlign w:val="baseline"/>
      </w:rPr>
    </w:lvl>
    <w:lvl w:ilvl="1">
      <w:start w:val="1"/>
      <w:numFmt w:val="upperLetter"/>
      <w:lvlText w:val="%2."/>
      <w:lvlJc w:val="left"/>
      <w:pPr>
        <w:tabs>
          <w:tab w:val="num" w:pos="1320"/>
        </w:tabs>
        <w:ind w:left="1320" w:hanging="720"/>
      </w:pPr>
      <w:rPr>
        <w:rFonts w:ascii="Times New Roman" w:hAnsi="Times New Roman" w:cs="Times New Roman" w:hint="default"/>
        <w:b/>
        <w:i w:val="0"/>
        <w:caps w:val="0"/>
        <w:strike w:val="0"/>
        <w:dstrike w:val="0"/>
        <w:vanish w:val="0"/>
        <w:color w:val="auto"/>
        <w:u w:val="none"/>
        <w:vertAlign w:val="baseline"/>
      </w:rPr>
    </w:lvl>
    <w:lvl w:ilvl="2">
      <w:start w:val="1"/>
      <w:numFmt w:val="decimal"/>
      <w:lvlText w:val="(%3)"/>
      <w:lvlJc w:val="left"/>
      <w:pPr>
        <w:tabs>
          <w:tab w:val="num" w:pos="2160"/>
        </w:tabs>
        <w:ind w:left="2160" w:hanging="720"/>
      </w:pPr>
      <w:rPr>
        <w:rFonts w:cs="Times New Roman" w:hint="default"/>
        <w:b/>
        <w:i w:val="0"/>
        <w:caps w:val="0"/>
        <w:strike w:val="0"/>
        <w:dstrike w:val="0"/>
        <w:vanish w:val="0"/>
        <w:color w:val="000000"/>
        <w:u w:val="none"/>
        <w:vertAlign w:val="baseline"/>
      </w:rPr>
    </w:lvl>
    <w:lvl w:ilvl="3">
      <w:start w:val="1"/>
      <w:numFmt w:val="bullet"/>
      <w:lvlText w:val=""/>
      <w:lvlJc w:val="left"/>
      <w:pPr>
        <w:tabs>
          <w:tab w:val="num" w:pos="1080"/>
        </w:tabs>
        <w:ind w:left="1080" w:hanging="360"/>
      </w:pPr>
      <w:rPr>
        <w:rFonts w:ascii="Symbol" w:hAnsi="Symbol" w:hint="default"/>
        <w:b/>
        <w:i w:val="0"/>
        <w:caps w:val="0"/>
        <w:strike w:val="0"/>
        <w:dstrike w:val="0"/>
        <w:vanish w:val="0"/>
        <w:color w:val="auto"/>
        <w:u w:val="none"/>
        <w:vertAlign w:val="baseline"/>
      </w:rPr>
    </w:lvl>
    <w:lvl w:ilvl="4">
      <w:start w:val="1"/>
      <w:numFmt w:val="decimal"/>
      <w:lvlText w:val="(%5)"/>
      <w:lvlJc w:val="left"/>
      <w:pPr>
        <w:tabs>
          <w:tab w:val="num" w:pos="3600"/>
        </w:tabs>
        <w:ind w:left="3600" w:hanging="720"/>
      </w:pPr>
      <w:rPr>
        <w:rFonts w:cs="Times New Roman" w:hint="default"/>
        <w:b w:val="0"/>
        <w:i w:val="0"/>
        <w:caps w:val="0"/>
        <w:strike w:val="0"/>
        <w:dstrike w:val="0"/>
        <w:vanish w:val="0"/>
        <w:color w:val="000000"/>
        <w:u w:val="none"/>
        <w:vertAlign w:val="baseline"/>
      </w:rPr>
    </w:lvl>
    <w:lvl w:ilvl="5">
      <w:start w:val="1"/>
      <w:numFmt w:val="lowerLetter"/>
      <w:lvlText w:val="(%6)"/>
      <w:lvlJc w:val="left"/>
      <w:pPr>
        <w:tabs>
          <w:tab w:val="num" w:pos="4320"/>
        </w:tabs>
        <w:ind w:left="4320" w:hanging="720"/>
      </w:pPr>
      <w:rPr>
        <w:rFonts w:cs="Times New Roman" w:hint="default"/>
        <w:b w:val="0"/>
        <w:i w:val="0"/>
        <w:caps w:val="0"/>
        <w:strike w:val="0"/>
        <w:dstrike w:val="0"/>
        <w:vanish w:val="0"/>
        <w:color w:val="000000"/>
        <w:u w:val="none"/>
        <w:vertAlign w:val="baseline"/>
      </w:rPr>
    </w:lvl>
    <w:lvl w:ilvl="6">
      <w:start w:val="1"/>
      <w:numFmt w:val="lowerRoman"/>
      <w:lvlText w:val="(%7)"/>
      <w:lvlJc w:val="left"/>
      <w:pPr>
        <w:tabs>
          <w:tab w:val="num" w:pos="5040"/>
        </w:tabs>
        <w:ind w:left="5040" w:hanging="720"/>
      </w:pPr>
      <w:rPr>
        <w:rFonts w:cs="Times New Roman" w:hint="default"/>
        <w:b w:val="0"/>
        <w:i w:val="0"/>
        <w:caps w:val="0"/>
        <w:strike w:val="0"/>
        <w:dstrike w:val="0"/>
        <w:vanish w:val="0"/>
        <w:color w:val="000000"/>
        <w:u w:val="none"/>
        <w:vertAlign w:val="baseline"/>
      </w:rPr>
    </w:lvl>
    <w:lvl w:ilvl="7">
      <w:start w:val="1"/>
      <w:numFmt w:val="lowerLetter"/>
      <w:lvlText w:val="%8)"/>
      <w:lvlJc w:val="left"/>
      <w:pPr>
        <w:tabs>
          <w:tab w:val="num" w:pos="5760"/>
        </w:tabs>
        <w:ind w:left="5760" w:hanging="720"/>
      </w:pPr>
      <w:rPr>
        <w:rFonts w:cs="Times New Roman" w:hint="default"/>
        <w:b w:val="0"/>
        <w:i w:val="0"/>
        <w:caps w:val="0"/>
        <w:strike w:val="0"/>
        <w:dstrike w:val="0"/>
        <w:vanish w:val="0"/>
        <w:color w:val="000000"/>
        <w:u w:val="none"/>
        <w:vertAlign w:val="baseline"/>
      </w:rPr>
    </w:lvl>
    <w:lvl w:ilvl="8">
      <w:start w:val="1"/>
      <w:numFmt w:val="lowerRoman"/>
      <w:lvlText w:val="%9)"/>
      <w:lvlJc w:val="left"/>
      <w:pPr>
        <w:tabs>
          <w:tab w:val="num" w:pos="6480"/>
        </w:tabs>
        <w:ind w:left="6480" w:hanging="720"/>
      </w:pPr>
      <w:rPr>
        <w:rFonts w:cs="Times New Roman" w:hint="default"/>
        <w:b w:val="0"/>
        <w:i w:val="0"/>
        <w:caps w:val="0"/>
        <w:strike w:val="0"/>
        <w:dstrike w:val="0"/>
        <w:vanish w:val="0"/>
        <w:color w:val="000000"/>
        <w:u w:val="none"/>
        <w:vertAlign w:val="baseline"/>
      </w:rPr>
    </w:lvl>
  </w:abstractNum>
  <w:abstractNum w:abstractNumId="28">
    <w:nsid w:val="433D2FD4"/>
    <w:multiLevelType w:val="multilevel"/>
    <w:tmpl w:val="2BF22A62"/>
    <w:styleLink w:val="Style1"/>
    <w:lvl w:ilvl="0">
      <w:start w:val="1"/>
      <w:numFmt w:val="decimal"/>
      <w:pStyle w:val="Heading1"/>
      <w:lvlText w:val="%1."/>
      <w:lvlJc w:val="left"/>
      <w:pPr>
        <w:tabs>
          <w:tab w:val="num" w:pos="576"/>
        </w:tabs>
        <w:ind w:left="576" w:hanging="720"/>
      </w:pPr>
      <w:rPr>
        <w:rFonts w:hint="default"/>
        <w:b/>
        <w:i w:val="0"/>
        <w:sz w:val="26"/>
      </w:rPr>
    </w:lvl>
    <w:lvl w:ilvl="1">
      <w:start w:val="1"/>
      <w:numFmt w:val="decimal"/>
      <w:pStyle w:val="Heading2"/>
      <w:lvlText w:val="%1.%2."/>
      <w:lvlJc w:val="left"/>
      <w:pPr>
        <w:tabs>
          <w:tab w:val="num" w:pos="1440"/>
        </w:tabs>
        <w:ind w:left="1440" w:hanging="720"/>
      </w:pPr>
      <w:rPr>
        <w:rFonts w:hint="default"/>
        <w:b/>
        <w:i w:val="0"/>
        <w:sz w:val="26"/>
      </w:rPr>
    </w:lvl>
    <w:lvl w:ilvl="2">
      <w:start w:val="1"/>
      <w:numFmt w:val="decimal"/>
      <w:pStyle w:val="Heading3"/>
      <w:lvlText w:val="%1.%2.%3."/>
      <w:lvlJc w:val="left"/>
      <w:pPr>
        <w:tabs>
          <w:tab w:val="num" w:pos="1584"/>
        </w:tabs>
        <w:ind w:left="1584" w:hanging="864"/>
      </w:pPr>
      <w:rPr>
        <w:rFonts w:hint="default"/>
        <w:b/>
        <w:i w:val="0"/>
        <w:sz w:val="26"/>
      </w:rPr>
    </w:lvl>
    <w:lvl w:ilvl="3">
      <w:start w:val="1"/>
      <w:numFmt w:val="decimal"/>
      <w:pStyle w:val="Heading4"/>
      <w:lvlText w:val="%1.%2.%3.%4"/>
      <w:lvlJc w:val="left"/>
      <w:pPr>
        <w:tabs>
          <w:tab w:val="num" w:pos="1728"/>
        </w:tabs>
        <w:ind w:left="1728" w:hanging="1008"/>
      </w:pPr>
      <w:rPr>
        <w:rFonts w:hint="default"/>
        <w:b/>
        <w:i w:val="0"/>
        <w:sz w:val="26"/>
      </w:rPr>
    </w:lvl>
    <w:lvl w:ilvl="4">
      <w:start w:val="1"/>
      <w:numFmt w:val="decimal"/>
      <w:pStyle w:val="Heading5"/>
      <w:lvlText w:val="%1.%2.%3.%4.%5"/>
      <w:lvlJc w:val="left"/>
      <w:pPr>
        <w:tabs>
          <w:tab w:val="num" w:pos="1872"/>
        </w:tabs>
        <w:ind w:left="1872" w:hanging="1152"/>
      </w:pPr>
      <w:rPr>
        <w:rFonts w:hint="default"/>
        <w:b/>
        <w:i w:val="0"/>
        <w:sz w:val="26"/>
        <w:szCs w:val="26"/>
      </w:rPr>
    </w:lvl>
    <w:lvl w:ilvl="5">
      <w:start w:val="1"/>
      <w:numFmt w:val="decimal"/>
      <w:pStyle w:val="Heading6"/>
      <w:lvlText w:val="%1.%2.%3.%4.%5.%6"/>
      <w:lvlJc w:val="left"/>
      <w:pPr>
        <w:tabs>
          <w:tab w:val="num" w:pos="2376"/>
        </w:tabs>
        <w:ind w:left="2376" w:hanging="1656"/>
      </w:pPr>
      <w:rPr>
        <w:rFonts w:hint="default"/>
        <w:b/>
        <w:i w:val="0"/>
        <w:sz w:val="26"/>
        <w:szCs w:val="26"/>
      </w:rPr>
    </w:lvl>
    <w:lvl w:ilvl="6">
      <w:numFmt w:val="none"/>
      <w:lvlText w:val=""/>
      <w:lvlJc w:val="left"/>
      <w:pPr>
        <w:tabs>
          <w:tab w:val="num" w:pos="2592"/>
        </w:tabs>
        <w:ind w:left="2592" w:hanging="1872"/>
      </w:pPr>
      <w:rPr>
        <w:rFonts w:hint="default"/>
        <w:b/>
        <w:i w:val="0"/>
        <w:sz w:val="26"/>
      </w:rPr>
    </w:lvl>
    <w:lvl w:ilvl="7">
      <w:numFmt w:val="none"/>
      <w:lvlText w:val=""/>
      <w:lvlJc w:val="left"/>
      <w:pPr>
        <w:tabs>
          <w:tab w:val="num" w:pos="2880"/>
        </w:tabs>
        <w:ind w:left="2880" w:hanging="2160"/>
      </w:pPr>
      <w:rPr>
        <w:rFonts w:hint="default"/>
        <w:b/>
        <w:i w:val="0"/>
        <w:sz w:val="26"/>
      </w:rPr>
    </w:lvl>
    <w:lvl w:ilvl="8">
      <w:numFmt w:val="none"/>
      <w:lvlText w:val=""/>
      <w:lvlJc w:val="left"/>
      <w:pPr>
        <w:tabs>
          <w:tab w:val="num" w:pos="3240"/>
        </w:tabs>
        <w:ind w:left="3240" w:hanging="2520"/>
      </w:pPr>
      <w:rPr>
        <w:rFonts w:hint="default"/>
        <w:b/>
        <w:i w:val="0"/>
        <w:sz w:val="26"/>
      </w:rPr>
    </w:lvl>
  </w:abstractNum>
  <w:abstractNum w:abstractNumId="29">
    <w:nsid w:val="435F42E0"/>
    <w:multiLevelType w:val="hybridMultilevel"/>
    <w:tmpl w:val="497A5E8C"/>
    <w:lvl w:ilvl="0" w:tplc="F574E82A">
      <w:start w:val="1"/>
      <w:numFmt w:val="decimal"/>
      <w:lvlText w:val="%1."/>
      <w:lvlJc w:val="left"/>
      <w:pPr>
        <w:ind w:left="1800" w:hanging="360"/>
      </w:pPr>
    </w:lvl>
    <w:lvl w:ilvl="1" w:tplc="3A787892">
      <w:start w:val="1"/>
      <w:numFmt w:val="lowerLetter"/>
      <w:lvlText w:val="%2."/>
      <w:lvlJc w:val="left"/>
      <w:pPr>
        <w:ind w:left="2520" w:hanging="360"/>
      </w:pPr>
    </w:lvl>
    <w:lvl w:ilvl="2" w:tplc="F90CE3EC">
      <w:start w:val="1"/>
      <w:numFmt w:val="lowerRoman"/>
      <w:lvlText w:val="%3."/>
      <w:lvlJc w:val="right"/>
      <w:pPr>
        <w:ind w:left="3240" w:hanging="180"/>
      </w:pPr>
    </w:lvl>
    <w:lvl w:ilvl="3" w:tplc="9B3A8C3E">
      <w:start w:val="1"/>
      <w:numFmt w:val="decimal"/>
      <w:lvlText w:val="%4."/>
      <w:lvlJc w:val="left"/>
      <w:pPr>
        <w:ind w:left="3960" w:hanging="360"/>
      </w:pPr>
    </w:lvl>
    <w:lvl w:ilvl="4" w:tplc="AF96A01E">
      <w:start w:val="1"/>
      <w:numFmt w:val="lowerLetter"/>
      <w:lvlText w:val="%5."/>
      <w:lvlJc w:val="left"/>
      <w:pPr>
        <w:ind w:left="4680" w:hanging="360"/>
      </w:pPr>
    </w:lvl>
    <w:lvl w:ilvl="5" w:tplc="4CD8536C">
      <w:start w:val="1"/>
      <w:numFmt w:val="lowerRoman"/>
      <w:lvlText w:val="%6."/>
      <w:lvlJc w:val="right"/>
      <w:pPr>
        <w:ind w:left="5400" w:hanging="180"/>
      </w:pPr>
    </w:lvl>
    <w:lvl w:ilvl="6" w:tplc="E74A9054">
      <w:start w:val="1"/>
      <w:numFmt w:val="decimal"/>
      <w:lvlText w:val="%7."/>
      <w:lvlJc w:val="left"/>
      <w:pPr>
        <w:ind w:left="6120" w:hanging="360"/>
      </w:pPr>
    </w:lvl>
    <w:lvl w:ilvl="7" w:tplc="8CD8E634">
      <w:start w:val="1"/>
      <w:numFmt w:val="lowerLetter"/>
      <w:lvlText w:val="%8."/>
      <w:lvlJc w:val="left"/>
      <w:pPr>
        <w:ind w:left="6840" w:hanging="360"/>
      </w:pPr>
    </w:lvl>
    <w:lvl w:ilvl="8" w:tplc="056EBD84">
      <w:start w:val="1"/>
      <w:numFmt w:val="lowerRoman"/>
      <w:lvlText w:val="%9."/>
      <w:lvlJc w:val="right"/>
      <w:pPr>
        <w:ind w:left="7560" w:hanging="180"/>
      </w:pPr>
    </w:lvl>
  </w:abstractNum>
  <w:abstractNum w:abstractNumId="30">
    <w:nsid w:val="45AD354D"/>
    <w:multiLevelType w:val="hybridMultilevel"/>
    <w:tmpl w:val="FDC8A87C"/>
    <w:name w:val="zzmpPleading1||Pleading1|2|1|1|1|4|41||1|4|33||1|4|33||1|4|36||1|4|32||1|4|32||1|4|32||1|4|32||1|4|32||26"/>
    <w:lvl w:ilvl="0" w:tplc="A51EF14A">
      <w:start w:val="1"/>
      <w:numFmt w:val="decimal"/>
      <w:lvlText w:val="%1."/>
      <w:lvlJc w:val="left"/>
      <w:pPr>
        <w:tabs>
          <w:tab w:val="num" w:pos="1440"/>
        </w:tabs>
        <w:ind w:left="1440" w:hanging="576"/>
      </w:pPr>
      <w:rPr>
        <w:rFonts w:cs="Times New Roman" w:hint="default"/>
      </w:rPr>
    </w:lvl>
    <w:lvl w:ilvl="1" w:tplc="04090019">
      <w:start w:val="3"/>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5C43EFF"/>
    <w:multiLevelType w:val="hybridMultilevel"/>
    <w:tmpl w:val="0B02965A"/>
    <w:name w:val="zzmpPUC||PUC|3|1|0|1|2|41||1|2|37||1|2|32||1|2|33||1|2|32||1|2|32||1|2|32||1|2|32||1|2|32||2"/>
    <w:lvl w:ilvl="0" w:tplc="6EDA0ED2">
      <w:start w:val="1"/>
      <w:numFmt w:val="lowerRoman"/>
      <w:lvlText w:val="%1."/>
      <w:lvlJc w:val="left"/>
      <w:pPr>
        <w:tabs>
          <w:tab w:val="num" w:pos="0"/>
        </w:tabs>
      </w:pPr>
      <w:rPr>
        <w:rFonts w:cs="Times New Roman" w:hint="default"/>
      </w:rPr>
    </w:lvl>
    <w:lvl w:ilvl="1" w:tplc="FB9403D8" w:tentative="1">
      <w:start w:val="1"/>
      <w:numFmt w:val="lowerLetter"/>
      <w:lvlText w:val="%2."/>
      <w:lvlJc w:val="left"/>
      <w:pPr>
        <w:tabs>
          <w:tab w:val="num" w:pos="1440"/>
        </w:tabs>
        <w:ind w:left="1440" w:hanging="360"/>
      </w:pPr>
      <w:rPr>
        <w:rFonts w:cs="Times New Roman"/>
      </w:rPr>
    </w:lvl>
    <w:lvl w:ilvl="2" w:tplc="ACC0E87C" w:tentative="1">
      <w:start w:val="1"/>
      <w:numFmt w:val="lowerRoman"/>
      <w:lvlText w:val="%3."/>
      <w:lvlJc w:val="right"/>
      <w:pPr>
        <w:tabs>
          <w:tab w:val="num" w:pos="2160"/>
        </w:tabs>
        <w:ind w:left="2160" w:hanging="180"/>
      </w:pPr>
      <w:rPr>
        <w:rFonts w:cs="Times New Roman"/>
      </w:rPr>
    </w:lvl>
    <w:lvl w:ilvl="3" w:tplc="82AC8E60" w:tentative="1">
      <w:start w:val="1"/>
      <w:numFmt w:val="decimal"/>
      <w:lvlText w:val="%4."/>
      <w:lvlJc w:val="left"/>
      <w:pPr>
        <w:tabs>
          <w:tab w:val="num" w:pos="2880"/>
        </w:tabs>
        <w:ind w:left="2880" w:hanging="360"/>
      </w:pPr>
      <w:rPr>
        <w:rFonts w:cs="Times New Roman"/>
      </w:rPr>
    </w:lvl>
    <w:lvl w:ilvl="4" w:tplc="9CAA8CA6" w:tentative="1">
      <w:start w:val="1"/>
      <w:numFmt w:val="lowerLetter"/>
      <w:lvlText w:val="%5."/>
      <w:lvlJc w:val="left"/>
      <w:pPr>
        <w:tabs>
          <w:tab w:val="num" w:pos="3600"/>
        </w:tabs>
        <w:ind w:left="3600" w:hanging="360"/>
      </w:pPr>
      <w:rPr>
        <w:rFonts w:cs="Times New Roman"/>
      </w:rPr>
    </w:lvl>
    <w:lvl w:ilvl="5" w:tplc="2580188C" w:tentative="1">
      <w:start w:val="1"/>
      <w:numFmt w:val="lowerRoman"/>
      <w:lvlText w:val="%6."/>
      <w:lvlJc w:val="right"/>
      <w:pPr>
        <w:tabs>
          <w:tab w:val="num" w:pos="4320"/>
        </w:tabs>
        <w:ind w:left="4320" w:hanging="180"/>
      </w:pPr>
      <w:rPr>
        <w:rFonts w:cs="Times New Roman"/>
      </w:rPr>
    </w:lvl>
    <w:lvl w:ilvl="6" w:tplc="339094FA" w:tentative="1">
      <w:start w:val="1"/>
      <w:numFmt w:val="decimal"/>
      <w:lvlText w:val="%7."/>
      <w:lvlJc w:val="left"/>
      <w:pPr>
        <w:tabs>
          <w:tab w:val="num" w:pos="5040"/>
        </w:tabs>
        <w:ind w:left="5040" w:hanging="360"/>
      </w:pPr>
      <w:rPr>
        <w:rFonts w:cs="Times New Roman"/>
      </w:rPr>
    </w:lvl>
    <w:lvl w:ilvl="7" w:tplc="CC1CC99E" w:tentative="1">
      <w:start w:val="1"/>
      <w:numFmt w:val="lowerLetter"/>
      <w:lvlText w:val="%8."/>
      <w:lvlJc w:val="left"/>
      <w:pPr>
        <w:tabs>
          <w:tab w:val="num" w:pos="5760"/>
        </w:tabs>
        <w:ind w:left="5760" w:hanging="360"/>
      </w:pPr>
      <w:rPr>
        <w:rFonts w:cs="Times New Roman"/>
      </w:rPr>
    </w:lvl>
    <w:lvl w:ilvl="8" w:tplc="640EC1CA" w:tentative="1">
      <w:start w:val="1"/>
      <w:numFmt w:val="lowerRoman"/>
      <w:lvlText w:val="%9."/>
      <w:lvlJc w:val="right"/>
      <w:pPr>
        <w:tabs>
          <w:tab w:val="num" w:pos="6480"/>
        </w:tabs>
        <w:ind w:left="6480" w:hanging="180"/>
      </w:pPr>
      <w:rPr>
        <w:rFonts w:cs="Times New Roman"/>
      </w:rPr>
    </w:lvl>
  </w:abstractNum>
  <w:abstractNum w:abstractNumId="32">
    <w:nsid w:val="47426E91"/>
    <w:multiLevelType w:val="hybridMultilevel"/>
    <w:tmpl w:val="59A464C4"/>
    <w:lvl w:ilvl="0" w:tplc="0BF6380C">
      <w:start w:val="1"/>
      <w:numFmt w:val="upperRoman"/>
      <w:lvlText w:val="%1."/>
      <w:lvlJc w:val="left"/>
      <w:pPr>
        <w:ind w:left="1080" w:hanging="720"/>
      </w:pPr>
      <w:rPr>
        <w:rFonts w:ascii="Times New Roman" w:hAnsi="Times New Roman" w:cs="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8CD2FE5"/>
    <w:multiLevelType w:val="hybridMultilevel"/>
    <w:tmpl w:val="2F7E8286"/>
    <w:lvl w:ilvl="0" w:tplc="3A564C5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4950524E"/>
    <w:multiLevelType w:val="multilevel"/>
    <w:tmpl w:val="0409001D"/>
    <w:name w:val="zzmpPleading1||Pleading1|2|1|1|1|4|41||1|4|33||1|4|33||1|4|32||1|4|32||1|4|32||1|4|32||1|4|32||1|4|32||"/>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4A5F75DB"/>
    <w:multiLevelType w:val="hybridMultilevel"/>
    <w:tmpl w:val="AE6CFA24"/>
    <w:lvl w:ilvl="0" w:tplc="B71C6050">
      <w:start w:val="1"/>
      <w:numFmt w:val="decimal"/>
      <w:lvlText w:val="%1."/>
      <w:lvlJc w:val="left"/>
      <w:pPr>
        <w:ind w:left="1800" w:hanging="360"/>
      </w:pPr>
    </w:lvl>
    <w:lvl w:ilvl="1" w:tplc="42FE8BB2">
      <w:start w:val="1"/>
      <w:numFmt w:val="lowerLetter"/>
      <w:lvlText w:val="%2."/>
      <w:lvlJc w:val="left"/>
      <w:pPr>
        <w:ind w:left="2520" w:hanging="360"/>
      </w:pPr>
    </w:lvl>
    <w:lvl w:ilvl="2" w:tplc="AE7C661E">
      <w:start w:val="1"/>
      <w:numFmt w:val="lowerRoman"/>
      <w:lvlText w:val="%3."/>
      <w:lvlJc w:val="right"/>
      <w:pPr>
        <w:ind w:left="3240" w:hanging="180"/>
      </w:pPr>
    </w:lvl>
    <w:lvl w:ilvl="3" w:tplc="E4F07AF2">
      <w:start w:val="1"/>
      <w:numFmt w:val="decimal"/>
      <w:lvlText w:val="%4."/>
      <w:lvlJc w:val="left"/>
      <w:pPr>
        <w:ind w:left="3960" w:hanging="360"/>
      </w:pPr>
    </w:lvl>
    <w:lvl w:ilvl="4" w:tplc="2E04A8CE">
      <w:start w:val="1"/>
      <w:numFmt w:val="lowerLetter"/>
      <w:lvlText w:val="%5."/>
      <w:lvlJc w:val="left"/>
      <w:pPr>
        <w:ind w:left="4680" w:hanging="360"/>
      </w:pPr>
    </w:lvl>
    <w:lvl w:ilvl="5" w:tplc="51745AD2">
      <w:start w:val="1"/>
      <w:numFmt w:val="lowerRoman"/>
      <w:lvlText w:val="%6."/>
      <w:lvlJc w:val="right"/>
      <w:pPr>
        <w:ind w:left="5400" w:hanging="180"/>
      </w:pPr>
    </w:lvl>
    <w:lvl w:ilvl="6" w:tplc="B0B822AA">
      <w:start w:val="1"/>
      <w:numFmt w:val="decimal"/>
      <w:lvlText w:val="%7."/>
      <w:lvlJc w:val="left"/>
      <w:pPr>
        <w:ind w:left="6120" w:hanging="360"/>
      </w:pPr>
    </w:lvl>
    <w:lvl w:ilvl="7" w:tplc="474A5FE4">
      <w:start w:val="1"/>
      <w:numFmt w:val="lowerLetter"/>
      <w:lvlText w:val="%8."/>
      <w:lvlJc w:val="left"/>
      <w:pPr>
        <w:ind w:left="6840" w:hanging="360"/>
      </w:pPr>
    </w:lvl>
    <w:lvl w:ilvl="8" w:tplc="09D6A5B6">
      <w:start w:val="1"/>
      <w:numFmt w:val="lowerRoman"/>
      <w:lvlText w:val="%9."/>
      <w:lvlJc w:val="right"/>
      <w:pPr>
        <w:ind w:left="7560" w:hanging="180"/>
      </w:pPr>
    </w:lvl>
  </w:abstractNum>
  <w:abstractNum w:abstractNumId="36">
    <w:nsid w:val="4F9D12B7"/>
    <w:multiLevelType w:val="hybridMultilevel"/>
    <w:tmpl w:val="F47E45D6"/>
    <w:lvl w:ilvl="0" w:tplc="1C5C396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55F4377B"/>
    <w:multiLevelType w:val="multilevel"/>
    <w:tmpl w:val="929CF992"/>
    <w:name w:val="zzmpEZEPleadin||EZE Pleading1|3|1|1|1|4|41||1|4|33||1|4|33||1|4|33||1|4|33||1|4|33||1|4|33||1|4|33||1|4|33||"/>
    <w:lvl w:ilvl="0">
      <w:start w:val="1"/>
      <w:numFmt w:val="upperRoman"/>
      <w:pStyle w:val="EZEPleadinL1"/>
      <w:lvlText w:val="%1."/>
      <w:lvlJc w:val="left"/>
      <w:pPr>
        <w:tabs>
          <w:tab w:val="num" w:pos="720"/>
        </w:tabs>
        <w:ind w:left="720" w:hanging="720"/>
      </w:pPr>
      <w:rPr>
        <w:rFonts w:ascii="Times New Roman" w:hAnsi="Times New Roman" w:cs="Times New Roman"/>
        <w:b/>
        <w:i w:val="0"/>
        <w:caps w:val="0"/>
        <w:color w:val="auto"/>
        <w:sz w:val="24"/>
        <w:u w:val="none"/>
      </w:rPr>
    </w:lvl>
    <w:lvl w:ilvl="1">
      <w:start w:val="1"/>
      <w:numFmt w:val="upperLetter"/>
      <w:pStyle w:val="EZEPleadinL2"/>
      <w:lvlText w:val="%2."/>
      <w:lvlJc w:val="left"/>
      <w:pPr>
        <w:tabs>
          <w:tab w:val="num" w:pos="1440"/>
        </w:tabs>
        <w:ind w:left="1440" w:hanging="720"/>
      </w:pPr>
      <w:rPr>
        <w:rFonts w:ascii="Times New Roman" w:hAnsi="Times New Roman" w:cs="Times New Roman"/>
        <w:b/>
        <w:i w:val="0"/>
        <w:caps w:val="0"/>
        <w:color w:val="auto"/>
        <w:sz w:val="24"/>
        <w:u w:val="none"/>
      </w:rPr>
    </w:lvl>
    <w:lvl w:ilvl="2">
      <w:start w:val="1"/>
      <w:numFmt w:val="decimal"/>
      <w:pStyle w:val="EZEPleadinL3"/>
      <w:lvlText w:val="%3."/>
      <w:lvlJc w:val="left"/>
      <w:pPr>
        <w:tabs>
          <w:tab w:val="num" w:pos="2160"/>
        </w:tabs>
        <w:ind w:left="2160" w:hanging="720"/>
      </w:pPr>
      <w:rPr>
        <w:rFonts w:ascii="Times New Roman" w:hAnsi="Times New Roman" w:cs="Times New Roman"/>
        <w:b/>
        <w:i w:val="0"/>
        <w:caps w:val="0"/>
        <w:sz w:val="24"/>
        <w:u w:val="none"/>
      </w:rPr>
    </w:lvl>
    <w:lvl w:ilvl="3">
      <w:start w:val="1"/>
      <w:numFmt w:val="lowerLetter"/>
      <w:pStyle w:val="EZEPleadinL4"/>
      <w:lvlText w:val="%4."/>
      <w:lvlJc w:val="left"/>
      <w:pPr>
        <w:tabs>
          <w:tab w:val="num" w:pos="2880"/>
        </w:tabs>
        <w:ind w:left="2880" w:hanging="720"/>
      </w:pPr>
      <w:rPr>
        <w:rFonts w:ascii="Times New Roman" w:hAnsi="Times New Roman" w:cs="Times New Roman"/>
        <w:b/>
        <w:i w:val="0"/>
        <w:caps w:val="0"/>
        <w:sz w:val="24"/>
        <w:u w:val="none"/>
      </w:rPr>
    </w:lvl>
    <w:lvl w:ilvl="4">
      <w:start w:val="1"/>
      <w:numFmt w:val="decimal"/>
      <w:pStyle w:val="EZEPleadinL5"/>
      <w:lvlText w:val="(%5)"/>
      <w:lvlJc w:val="left"/>
      <w:pPr>
        <w:tabs>
          <w:tab w:val="num" w:pos="3600"/>
        </w:tabs>
        <w:ind w:left="3600" w:hanging="720"/>
      </w:pPr>
      <w:rPr>
        <w:rFonts w:ascii="Times New Roman" w:hAnsi="Times New Roman" w:cs="Times New Roman"/>
        <w:b/>
        <w:i w:val="0"/>
        <w:caps w:val="0"/>
        <w:sz w:val="24"/>
        <w:u w:val="none"/>
      </w:rPr>
    </w:lvl>
    <w:lvl w:ilvl="5">
      <w:start w:val="1"/>
      <w:numFmt w:val="lowerLetter"/>
      <w:pStyle w:val="EZEPleadinL6"/>
      <w:lvlText w:val="(%6)"/>
      <w:lvlJc w:val="left"/>
      <w:pPr>
        <w:tabs>
          <w:tab w:val="num" w:pos="4320"/>
        </w:tabs>
        <w:ind w:left="4320" w:hanging="720"/>
      </w:pPr>
      <w:rPr>
        <w:rFonts w:ascii="Times New Roman" w:hAnsi="Times New Roman" w:cs="Times New Roman"/>
        <w:b/>
        <w:i w:val="0"/>
        <w:caps w:val="0"/>
        <w:sz w:val="24"/>
        <w:u w:val="none"/>
      </w:rPr>
    </w:lvl>
    <w:lvl w:ilvl="6">
      <w:start w:val="1"/>
      <w:numFmt w:val="lowerRoman"/>
      <w:pStyle w:val="EZEPleadinL7"/>
      <w:lvlText w:val="(%7)"/>
      <w:lvlJc w:val="left"/>
      <w:pPr>
        <w:tabs>
          <w:tab w:val="num" w:pos="5040"/>
        </w:tabs>
        <w:ind w:left="5040" w:hanging="720"/>
      </w:pPr>
      <w:rPr>
        <w:rFonts w:ascii="Times New Roman" w:hAnsi="Times New Roman" w:cs="Times New Roman"/>
        <w:b/>
        <w:i w:val="0"/>
        <w:caps w:val="0"/>
        <w:sz w:val="24"/>
        <w:u w:val="none"/>
      </w:rPr>
    </w:lvl>
    <w:lvl w:ilvl="7">
      <w:start w:val="1"/>
      <w:numFmt w:val="lowerLetter"/>
      <w:pStyle w:val="EZEPleadinL8"/>
      <w:lvlText w:val="%8)"/>
      <w:lvlJc w:val="left"/>
      <w:pPr>
        <w:tabs>
          <w:tab w:val="num" w:pos="5760"/>
        </w:tabs>
        <w:ind w:left="5760" w:hanging="720"/>
      </w:pPr>
      <w:rPr>
        <w:rFonts w:ascii="Times New Roman" w:hAnsi="Times New Roman" w:cs="Times New Roman"/>
        <w:b/>
        <w:i w:val="0"/>
        <w:caps w:val="0"/>
        <w:sz w:val="24"/>
        <w:u w:val="none"/>
      </w:rPr>
    </w:lvl>
    <w:lvl w:ilvl="8">
      <w:start w:val="1"/>
      <w:numFmt w:val="lowerRoman"/>
      <w:pStyle w:val="EZEPleadinL9"/>
      <w:lvlText w:val="%9)"/>
      <w:lvlJc w:val="left"/>
      <w:pPr>
        <w:tabs>
          <w:tab w:val="num" w:pos="6480"/>
        </w:tabs>
        <w:ind w:left="6480" w:hanging="720"/>
      </w:pPr>
      <w:rPr>
        <w:rFonts w:ascii="Times New Roman" w:hAnsi="Times New Roman" w:cs="Times New Roman"/>
        <w:b/>
        <w:i w:val="0"/>
        <w:caps w:val="0"/>
        <w:sz w:val="24"/>
        <w:u w:val="none"/>
      </w:rPr>
    </w:lvl>
  </w:abstractNum>
  <w:abstractNum w:abstractNumId="38">
    <w:nsid w:val="572D30D5"/>
    <w:multiLevelType w:val="hybridMultilevel"/>
    <w:tmpl w:val="CE16B854"/>
    <w:lvl w:ilvl="0" w:tplc="54EE94D0">
      <w:start w:val="1"/>
      <w:numFmt w:val="lowerLetter"/>
      <w:lvlText w:val="%1."/>
      <w:lvlJc w:val="left"/>
      <w:pPr>
        <w:ind w:left="2520" w:hanging="360"/>
      </w:pPr>
    </w:lvl>
    <w:lvl w:ilvl="1" w:tplc="9C5C10D6">
      <w:start w:val="1"/>
      <w:numFmt w:val="lowerLetter"/>
      <w:lvlText w:val="%2."/>
      <w:lvlJc w:val="left"/>
      <w:pPr>
        <w:ind w:left="3240" w:hanging="360"/>
      </w:pPr>
    </w:lvl>
    <w:lvl w:ilvl="2" w:tplc="41084786">
      <w:start w:val="1"/>
      <w:numFmt w:val="upperLetter"/>
      <w:lvlText w:val="%3."/>
      <w:lvlJc w:val="left"/>
      <w:pPr>
        <w:ind w:left="4140" w:hanging="360"/>
      </w:pPr>
    </w:lvl>
    <w:lvl w:ilvl="3" w:tplc="4AD8B794">
      <w:start w:val="1"/>
      <w:numFmt w:val="decimal"/>
      <w:lvlText w:val="%4."/>
      <w:lvlJc w:val="left"/>
      <w:pPr>
        <w:ind w:left="4680" w:hanging="360"/>
      </w:pPr>
    </w:lvl>
    <w:lvl w:ilvl="4" w:tplc="27007C92">
      <w:start w:val="1"/>
      <w:numFmt w:val="lowerLetter"/>
      <w:lvlText w:val="%5."/>
      <w:lvlJc w:val="left"/>
      <w:pPr>
        <w:ind w:left="5400" w:hanging="360"/>
      </w:pPr>
    </w:lvl>
    <w:lvl w:ilvl="5" w:tplc="8D044298">
      <w:start w:val="1"/>
      <w:numFmt w:val="lowerRoman"/>
      <w:lvlText w:val="%6."/>
      <w:lvlJc w:val="right"/>
      <w:pPr>
        <w:ind w:left="6120" w:hanging="180"/>
      </w:pPr>
    </w:lvl>
    <w:lvl w:ilvl="6" w:tplc="39F6F426">
      <w:start w:val="1"/>
      <w:numFmt w:val="decimal"/>
      <w:lvlText w:val="%7."/>
      <w:lvlJc w:val="left"/>
      <w:pPr>
        <w:ind w:left="6840" w:hanging="360"/>
      </w:pPr>
    </w:lvl>
    <w:lvl w:ilvl="7" w:tplc="1CE86E32">
      <w:start w:val="1"/>
      <w:numFmt w:val="lowerLetter"/>
      <w:lvlText w:val="%8."/>
      <w:lvlJc w:val="left"/>
      <w:pPr>
        <w:ind w:left="7560" w:hanging="360"/>
      </w:pPr>
    </w:lvl>
    <w:lvl w:ilvl="8" w:tplc="0C0C7690">
      <w:start w:val="1"/>
      <w:numFmt w:val="lowerRoman"/>
      <w:lvlText w:val="%9."/>
      <w:lvlJc w:val="right"/>
      <w:pPr>
        <w:ind w:left="8280" w:hanging="180"/>
      </w:pPr>
    </w:lvl>
  </w:abstractNum>
  <w:abstractNum w:abstractNumId="39">
    <w:nsid w:val="59B65F87"/>
    <w:multiLevelType w:val="hybridMultilevel"/>
    <w:tmpl w:val="D4BA6CB2"/>
    <w:lvl w:ilvl="0" w:tplc="4E0C7482">
      <w:start w:val="1"/>
      <w:numFmt w:val="upperLetter"/>
      <w:lvlText w:val="%1."/>
      <w:lvlJc w:val="left"/>
      <w:pPr>
        <w:ind w:left="1080" w:hanging="360"/>
      </w:pPr>
    </w:lvl>
    <w:lvl w:ilvl="1" w:tplc="04090019">
      <w:start w:val="1"/>
      <w:numFmt w:val="lowerLetter"/>
      <w:lvlText w:val="%2."/>
      <w:lvlJc w:val="left"/>
      <w:pPr>
        <w:ind w:left="1800" w:hanging="360"/>
      </w:pPr>
    </w:lvl>
    <w:lvl w:ilvl="2" w:tplc="DD209040">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5B337F98"/>
    <w:multiLevelType w:val="hybridMultilevel"/>
    <w:tmpl w:val="7A823712"/>
    <w:lvl w:ilvl="0" w:tplc="F6CA4DB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nsid w:val="5B6F700D"/>
    <w:multiLevelType w:val="hybridMultilevel"/>
    <w:tmpl w:val="CA8E51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E91367"/>
    <w:multiLevelType w:val="hybridMultilevel"/>
    <w:tmpl w:val="8A207614"/>
    <w:lvl w:ilvl="0" w:tplc="F52AE3C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nsid w:val="5D944DBE"/>
    <w:multiLevelType w:val="multilevel"/>
    <w:tmpl w:val="40A2ECA4"/>
    <w:name w:val="zzmpPleading1||Pleading1|2|1|1|1|4|41||1|4|33||1|4|33||1|4|33||1|4|32||1|4|32||1|4|32||1|4|32||1|4|32||"/>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728"/>
        </w:tabs>
        <w:ind w:left="1728" w:hanging="1008"/>
      </w:pPr>
      <w:rPr>
        <w:rFonts w:cs="Times New Roman" w:hint="default"/>
        <w:b/>
        <w:i w:val="0"/>
      </w:rPr>
    </w:lvl>
    <w:lvl w:ilvl="2">
      <w:start w:val="1"/>
      <w:numFmt w:val="decimal"/>
      <w:lvlText w:val="%1.%2.%3."/>
      <w:lvlJc w:val="left"/>
      <w:pPr>
        <w:tabs>
          <w:tab w:val="num" w:pos="1728"/>
        </w:tabs>
        <w:ind w:left="1728" w:hanging="1008"/>
      </w:pPr>
      <w:rPr>
        <w:rFonts w:cs="Times New Roman" w:hint="default"/>
        <w:b/>
        <w:i w:val="0"/>
      </w:rPr>
    </w:lvl>
    <w:lvl w:ilvl="3">
      <w:start w:val="1"/>
      <w:numFmt w:val="decimal"/>
      <w:lvlText w:val="%1.%2.%3.%4"/>
      <w:lvlJc w:val="left"/>
      <w:pPr>
        <w:tabs>
          <w:tab w:val="num" w:pos="2160"/>
        </w:tabs>
        <w:ind w:left="2160" w:hanging="1440"/>
      </w:pPr>
      <w:rPr>
        <w:rFonts w:cs="Times New Roman" w:hint="default"/>
        <w:b/>
        <w:i w:val="0"/>
      </w:rPr>
    </w:lvl>
    <w:lvl w:ilvl="4">
      <w:start w:val="1"/>
      <w:numFmt w:val="decimal"/>
      <w:lvlText w:val="%1.%2.%3.%4.%5"/>
      <w:lvlJc w:val="left"/>
      <w:pPr>
        <w:tabs>
          <w:tab w:val="num" w:pos="2520"/>
        </w:tabs>
        <w:ind w:left="2520" w:hanging="1800"/>
      </w:pPr>
      <w:rPr>
        <w:rFonts w:cs="Times New Roman" w:hint="default"/>
        <w:b/>
        <w:i w:val="0"/>
      </w:rPr>
    </w:lvl>
    <w:lvl w:ilvl="5">
      <w:start w:val="1"/>
      <w:numFmt w:val="decimal"/>
      <w:lvlText w:val="%1.%2.%3.%4.%5.%6"/>
      <w:lvlJc w:val="left"/>
      <w:pPr>
        <w:tabs>
          <w:tab w:val="num" w:pos="2520"/>
        </w:tabs>
        <w:ind w:left="2520" w:hanging="1800"/>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44">
    <w:nsid w:val="5EBC1A34"/>
    <w:multiLevelType w:val="hybridMultilevel"/>
    <w:tmpl w:val="46BCFEC8"/>
    <w:lvl w:ilvl="0" w:tplc="F8BA926E">
      <w:start w:val="1"/>
      <w:numFmt w:val="upperLetter"/>
      <w:lvlText w:val="%1."/>
      <w:lvlJc w:val="left"/>
      <w:pPr>
        <w:ind w:left="1080" w:hanging="360"/>
      </w:pPr>
    </w:lvl>
    <w:lvl w:ilvl="1" w:tplc="1DB4CC0E">
      <w:start w:val="1"/>
      <w:numFmt w:val="lowerLetter"/>
      <w:lvlText w:val="%2."/>
      <w:lvlJc w:val="left"/>
      <w:pPr>
        <w:ind w:left="1800" w:hanging="360"/>
      </w:pPr>
    </w:lvl>
    <w:lvl w:ilvl="2" w:tplc="C5F6E21C">
      <w:start w:val="1"/>
      <w:numFmt w:val="lowerRoman"/>
      <w:lvlText w:val="%3."/>
      <w:lvlJc w:val="right"/>
      <w:pPr>
        <w:ind w:left="2520" w:hanging="180"/>
      </w:pPr>
    </w:lvl>
    <w:lvl w:ilvl="3" w:tplc="D976272A">
      <w:start w:val="1"/>
      <w:numFmt w:val="decimal"/>
      <w:lvlText w:val="%4."/>
      <w:lvlJc w:val="left"/>
      <w:pPr>
        <w:ind w:left="3240" w:hanging="360"/>
      </w:pPr>
    </w:lvl>
    <w:lvl w:ilvl="4" w:tplc="FCD4D8EC">
      <w:start w:val="1"/>
      <w:numFmt w:val="lowerLetter"/>
      <w:lvlText w:val="%5."/>
      <w:lvlJc w:val="left"/>
      <w:pPr>
        <w:ind w:left="3960" w:hanging="360"/>
      </w:pPr>
    </w:lvl>
    <w:lvl w:ilvl="5" w:tplc="5A26C660">
      <w:start w:val="1"/>
      <w:numFmt w:val="lowerRoman"/>
      <w:lvlText w:val="%6."/>
      <w:lvlJc w:val="right"/>
      <w:pPr>
        <w:ind w:left="4680" w:hanging="180"/>
      </w:pPr>
    </w:lvl>
    <w:lvl w:ilvl="6" w:tplc="0C22BDCA">
      <w:start w:val="1"/>
      <w:numFmt w:val="decimal"/>
      <w:lvlText w:val="%7."/>
      <w:lvlJc w:val="left"/>
      <w:pPr>
        <w:ind w:left="5400" w:hanging="360"/>
      </w:pPr>
    </w:lvl>
    <w:lvl w:ilvl="7" w:tplc="6C7E9944">
      <w:start w:val="1"/>
      <w:numFmt w:val="lowerLetter"/>
      <w:lvlText w:val="%8."/>
      <w:lvlJc w:val="left"/>
      <w:pPr>
        <w:ind w:left="6120" w:hanging="360"/>
      </w:pPr>
    </w:lvl>
    <w:lvl w:ilvl="8" w:tplc="42FE9E0A">
      <w:start w:val="1"/>
      <w:numFmt w:val="lowerRoman"/>
      <w:lvlText w:val="%9."/>
      <w:lvlJc w:val="right"/>
      <w:pPr>
        <w:ind w:left="6840" w:hanging="180"/>
      </w:pPr>
    </w:lvl>
  </w:abstractNum>
  <w:abstractNum w:abstractNumId="45">
    <w:nsid w:val="609039F7"/>
    <w:multiLevelType w:val="singleLevel"/>
    <w:tmpl w:val="A72A5EEC"/>
    <w:name w:val="zzmpPUC||PUC|3|1|0|1|2|41||1|2|37||1|2|32||1|2|33||1|2|32||1|2|32||1|2|32||1|2|32||1|2|32||"/>
    <w:lvl w:ilvl="0">
      <w:start w:val="1"/>
      <w:numFmt w:val="decimal"/>
      <w:lvlText w:val="%1."/>
      <w:legacy w:legacy="1" w:legacySpace="144" w:legacyIndent="0"/>
      <w:lvlJc w:val="left"/>
      <w:rPr>
        <w:rFonts w:ascii="Times New Roman" w:hAnsi="Times New Roman" w:cs="Times New Roman" w:hint="default"/>
      </w:rPr>
    </w:lvl>
  </w:abstractNum>
  <w:abstractNum w:abstractNumId="46">
    <w:nsid w:val="617E6988"/>
    <w:multiLevelType w:val="hybridMultilevel"/>
    <w:tmpl w:val="D8327F1C"/>
    <w:lvl w:ilvl="0" w:tplc="A4D404E8">
      <w:start w:val="1"/>
      <w:numFmt w:val="upperLetter"/>
      <w:lvlText w:val="%1."/>
      <w:lvlJc w:val="left"/>
      <w:pPr>
        <w:ind w:left="1080" w:hanging="360"/>
      </w:pPr>
    </w:lvl>
    <w:lvl w:ilvl="1" w:tplc="A59A8AC6">
      <w:start w:val="1"/>
      <w:numFmt w:val="lowerLetter"/>
      <w:lvlText w:val="%2."/>
      <w:lvlJc w:val="left"/>
      <w:pPr>
        <w:ind w:left="1800" w:hanging="360"/>
      </w:pPr>
    </w:lvl>
    <w:lvl w:ilvl="2" w:tplc="32C8AE96">
      <w:start w:val="1"/>
      <w:numFmt w:val="lowerRoman"/>
      <w:lvlText w:val="%3."/>
      <w:lvlJc w:val="right"/>
      <w:pPr>
        <w:ind w:left="2520" w:hanging="180"/>
      </w:pPr>
    </w:lvl>
    <w:lvl w:ilvl="3" w:tplc="25F8F9AA">
      <w:start w:val="1"/>
      <w:numFmt w:val="decimal"/>
      <w:lvlText w:val="%4."/>
      <w:lvlJc w:val="left"/>
      <w:pPr>
        <w:ind w:left="3240" w:hanging="360"/>
      </w:pPr>
    </w:lvl>
    <w:lvl w:ilvl="4" w:tplc="A59E1C46">
      <w:start w:val="1"/>
      <w:numFmt w:val="lowerLetter"/>
      <w:lvlText w:val="%5."/>
      <w:lvlJc w:val="left"/>
      <w:pPr>
        <w:ind w:left="3960" w:hanging="360"/>
      </w:pPr>
    </w:lvl>
    <w:lvl w:ilvl="5" w:tplc="22406BDA">
      <w:start w:val="1"/>
      <w:numFmt w:val="lowerRoman"/>
      <w:lvlText w:val="%6."/>
      <w:lvlJc w:val="right"/>
      <w:pPr>
        <w:ind w:left="4680" w:hanging="180"/>
      </w:pPr>
    </w:lvl>
    <w:lvl w:ilvl="6" w:tplc="1C1EF5BC">
      <w:start w:val="1"/>
      <w:numFmt w:val="decimal"/>
      <w:lvlText w:val="%7."/>
      <w:lvlJc w:val="left"/>
      <w:pPr>
        <w:ind w:left="5400" w:hanging="360"/>
      </w:pPr>
    </w:lvl>
    <w:lvl w:ilvl="7" w:tplc="CEAC3E9A">
      <w:start w:val="1"/>
      <w:numFmt w:val="lowerLetter"/>
      <w:lvlText w:val="%8."/>
      <w:lvlJc w:val="left"/>
      <w:pPr>
        <w:ind w:left="6120" w:hanging="360"/>
      </w:pPr>
    </w:lvl>
    <w:lvl w:ilvl="8" w:tplc="2990D4D6">
      <w:start w:val="1"/>
      <w:numFmt w:val="lowerRoman"/>
      <w:lvlText w:val="%9."/>
      <w:lvlJc w:val="right"/>
      <w:pPr>
        <w:ind w:left="6840" w:hanging="180"/>
      </w:pPr>
    </w:lvl>
  </w:abstractNum>
  <w:abstractNum w:abstractNumId="47">
    <w:nsid w:val="622872BE"/>
    <w:multiLevelType w:val="hybridMultilevel"/>
    <w:tmpl w:val="D1A0918C"/>
    <w:lvl w:ilvl="0" w:tplc="D7A68A5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623D0D61"/>
    <w:multiLevelType w:val="hybridMultilevel"/>
    <w:tmpl w:val="0FF4493A"/>
    <w:lvl w:ilvl="0" w:tplc="1E4239E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657A351D"/>
    <w:multiLevelType w:val="hybridMultilevel"/>
    <w:tmpl w:val="3B7A24A6"/>
    <w:lvl w:ilvl="0" w:tplc="04090005">
      <w:start w:val="1"/>
      <w:numFmt w:val="bullet"/>
      <w:lvlText w:val=""/>
      <w:lvlJc w:val="left"/>
      <w:pPr>
        <w:ind w:left="720" w:hanging="360"/>
      </w:pPr>
      <w:rPr>
        <w:rFonts w:ascii="Wingdings" w:hAnsi="Wingdings" w:hint="default"/>
      </w:rPr>
    </w:lvl>
    <w:lvl w:ilvl="1" w:tplc="37EA61CE" w:tentative="1">
      <w:start w:val="1"/>
      <w:numFmt w:val="bullet"/>
      <w:lvlText w:val="o"/>
      <w:lvlJc w:val="left"/>
      <w:pPr>
        <w:ind w:left="1440" w:hanging="360"/>
      </w:pPr>
      <w:rPr>
        <w:rFonts w:ascii="Courier New" w:hAnsi="Courier New" w:cs="Courier New" w:hint="default"/>
      </w:rPr>
    </w:lvl>
    <w:lvl w:ilvl="2" w:tplc="84FAE240" w:tentative="1">
      <w:start w:val="1"/>
      <w:numFmt w:val="bullet"/>
      <w:lvlText w:val=""/>
      <w:lvlJc w:val="left"/>
      <w:pPr>
        <w:ind w:left="2160" w:hanging="360"/>
      </w:pPr>
      <w:rPr>
        <w:rFonts w:ascii="Wingdings" w:hAnsi="Wingdings" w:hint="default"/>
      </w:rPr>
    </w:lvl>
    <w:lvl w:ilvl="3" w:tplc="61649D0C" w:tentative="1">
      <w:start w:val="1"/>
      <w:numFmt w:val="bullet"/>
      <w:lvlText w:val=""/>
      <w:lvlJc w:val="left"/>
      <w:pPr>
        <w:ind w:left="2880" w:hanging="360"/>
      </w:pPr>
      <w:rPr>
        <w:rFonts w:ascii="Symbol" w:hAnsi="Symbol" w:hint="default"/>
      </w:rPr>
    </w:lvl>
    <w:lvl w:ilvl="4" w:tplc="537AFE1C" w:tentative="1">
      <w:start w:val="1"/>
      <w:numFmt w:val="bullet"/>
      <w:lvlText w:val="o"/>
      <w:lvlJc w:val="left"/>
      <w:pPr>
        <w:ind w:left="3600" w:hanging="360"/>
      </w:pPr>
      <w:rPr>
        <w:rFonts w:ascii="Courier New" w:hAnsi="Courier New" w:cs="Courier New" w:hint="default"/>
      </w:rPr>
    </w:lvl>
    <w:lvl w:ilvl="5" w:tplc="0F8A9E44" w:tentative="1">
      <w:start w:val="1"/>
      <w:numFmt w:val="bullet"/>
      <w:lvlText w:val=""/>
      <w:lvlJc w:val="left"/>
      <w:pPr>
        <w:ind w:left="4320" w:hanging="360"/>
      </w:pPr>
      <w:rPr>
        <w:rFonts w:ascii="Wingdings" w:hAnsi="Wingdings" w:hint="default"/>
      </w:rPr>
    </w:lvl>
    <w:lvl w:ilvl="6" w:tplc="19623F08" w:tentative="1">
      <w:start w:val="1"/>
      <w:numFmt w:val="bullet"/>
      <w:lvlText w:val=""/>
      <w:lvlJc w:val="left"/>
      <w:pPr>
        <w:ind w:left="5040" w:hanging="360"/>
      </w:pPr>
      <w:rPr>
        <w:rFonts w:ascii="Symbol" w:hAnsi="Symbol" w:hint="default"/>
      </w:rPr>
    </w:lvl>
    <w:lvl w:ilvl="7" w:tplc="AB7C5650" w:tentative="1">
      <w:start w:val="1"/>
      <w:numFmt w:val="bullet"/>
      <w:lvlText w:val="o"/>
      <w:lvlJc w:val="left"/>
      <w:pPr>
        <w:ind w:left="5760" w:hanging="360"/>
      </w:pPr>
      <w:rPr>
        <w:rFonts w:ascii="Courier New" w:hAnsi="Courier New" w:cs="Courier New" w:hint="default"/>
      </w:rPr>
    </w:lvl>
    <w:lvl w:ilvl="8" w:tplc="B76C23A0" w:tentative="1">
      <w:start w:val="1"/>
      <w:numFmt w:val="bullet"/>
      <w:lvlText w:val=""/>
      <w:lvlJc w:val="left"/>
      <w:pPr>
        <w:ind w:left="6480" w:hanging="360"/>
      </w:pPr>
      <w:rPr>
        <w:rFonts w:ascii="Wingdings" w:hAnsi="Wingdings" w:hint="default"/>
      </w:rPr>
    </w:lvl>
  </w:abstractNum>
  <w:abstractNum w:abstractNumId="50">
    <w:nsid w:val="65D313FF"/>
    <w:multiLevelType w:val="hybridMultilevel"/>
    <w:tmpl w:val="15E444BC"/>
    <w:lvl w:ilvl="0" w:tplc="5BC4FD14">
      <w:start w:val="1"/>
      <w:numFmt w:val="decimal"/>
      <w:lvlText w:val="(%1)"/>
      <w:lvlJc w:val="left"/>
      <w:pPr>
        <w:ind w:left="3240" w:hanging="360"/>
      </w:pPr>
    </w:lvl>
    <w:lvl w:ilvl="1" w:tplc="7436BA5C">
      <w:start w:val="1"/>
      <w:numFmt w:val="lowerLetter"/>
      <w:lvlText w:val="%2."/>
      <w:lvlJc w:val="left"/>
      <w:pPr>
        <w:ind w:left="3960" w:hanging="360"/>
      </w:pPr>
    </w:lvl>
    <w:lvl w:ilvl="2" w:tplc="E73815B6">
      <w:start w:val="1"/>
      <w:numFmt w:val="lowerRoman"/>
      <w:lvlText w:val="%3."/>
      <w:lvlJc w:val="right"/>
      <w:pPr>
        <w:ind w:left="4680" w:hanging="180"/>
      </w:pPr>
    </w:lvl>
    <w:lvl w:ilvl="3" w:tplc="6DC220A0">
      <w:start w:val="1"/>
      <w:numFmt w:val="decimal"/>
      <w:lvlText w:val="%4."/>
      <w:lvlJc w:val="left"/>
      <w:pPr>
        <w:ind w:left="5400" w:hanging="360"/>
      </w:pPr>
    </w:lvl>
    <w:lvl w:ilvl="4" w:tplc="02C6A14A">
      <w:start w:val="1"/>
      <w:numFmt w:val="lowerLetter"/>
      <w:lvlText w:val="%5."/>
      <w:lvlJc w:val="left"/>
      <w:pPr>
        <w:ind w:left="6120" w:hanging="360"/>
      </w:pPr>
    </w:lvl>
    <w:lvl w:ilvl="5" w:tplc="07BADA84">
      <w:start w:val="1"/>
      <w:numFmt w:val="lowerRoman"/>
      <w:lvlText w:val="%6."/>
      <w:lvlJc w:val="right"/>
      <w:pPr>
        <w:ind w:left="6840" w:hanging="180"/>
      </w:pPr>
    </w:lvl>
    <w:lvl w:ilvl="6" w:tplc="81C86C08">
      <w:start w:val="1"/>
      <w:numFmt w:val="decimal"/>
      <w:lvlText w:val="%7."/>
      <w:lvlJc w:val="left"/>
      <w:pPr>
        <w:ind w:left="7560" w:hanging="360"/>
      </w:pPr>
    </w:lvl>
    <w:lvl w:ilvl="7" w:tplc="FFEA66F6">
      <w:start w:val="1"/>
      <w:numFmt w:val="lowerLetter"/>
      <w:lvlText w:val="%8."/>
      <w:lvlJc w:val="left"/>
      <w:pPr>
        <w:ind w:left="8280" w:hanging="360"/>
      </w:pPr>
    </w:lvl>
    <w:lvl w:ilvl="8" w:tplc="813070F0">
      <w:start w:val="1"/>
      <w:numFmt w:val="lowerRoman"/>
      <w:lvlText w:val="%9."/>
      <w:lvlJc w:val="right"/>
      <w:pPr>
        <w:ind w:left="9000" w:hanging="180"/>
      </w:pPr>
    </w:lvl>
  </w:abstractNum>
  <w:abstractNum w:abstractNumId="51">
    <w:nsid w:val="674641DF"/>
    <w:multiLevelType w:val="hybridMultilevel"/>
    <w:tmpl w:val="2012DC70"/>
    <w:lvl w:ilvl="0" w:tplc="80ACEC0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2">
    <w:nsid w:val="68652BCB"/>
    <w:multiLevelType w:val="hybridMultilevel"/>
    <w:tmpl w:val="AE407DF2"/>
    <w:name w:val="Brief/Motion Left"/>
    <w:lvl w:ilvl="0" w:tplc="0FF20924">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3">
    <w:nsid w:val="688A4BF0"/>
    <w:multiLevelType w:val="multilevel"/>
    <w:tmpl w:val="2AEE37AA"/>
    <w:name w:val="zzmpPUC||PUC|3|1|0|1|2|41||1|2|37||1|2|32||1|2|33||1|2|32||1|2|32||1|2|32||1|2|32||1|2|32||5"/>
    <w:lvl w:ilvl="0">
      <w:start w:val="1"/>
      <w:numFmt w:val="upperLetter"/>
      <w:lvlText w:val="Appendix %1:"/>
      <w:lvlJc w:val="center"/>
      <w:pPr>
        <w:tabs>
          <w:tab w:val="num" w:pos="720"/>
        </w:tabs>
        <w:ind w:left="720" w:hanging="432"/>
      </w:pPr>
      <w:rPr>
        <w:rFonts w:cs="Times New Roman" w:hint="default"/>
        <w:b/>
      </w:rPr>
    </w:lvl>
    <w:lvl w:ilvl="1">
      <w:start w:val="1"/>
      <w:numFmt w:val="lowerRoman"/>
      <w:lvlText w:val="%1.%2."/>
      <w:lvlJc w:val="left"/>
      <w:pPr>
        <w:tabs>
          <w:tab w:val="num" w:pos="1728"/>
        </w:tabs>
        <w:ind w:left="1728" w:hanging="1008"/>
      </w:pPr>
      <w:rPr>
        <w:rFonts w:cs="Times New Roman" w:hint="default"/>
        <w:b/>
        <w:i w:val="0"/>
      </w:rPr>
    </w:lvl>
    <w:lvl w:ilvl="2">
      <w:start w:val="1"/>
      <w:numFmt w:val="decimal"/>
      <w:lvlText w:val="%1.%2.%3."/>
      <w:lvlJc w:val="left"/>
      <w:pPr>
        <w:tabs>
          <w:tab w:val="num" w:pos="1728"/>
        </w:tabs>
        <w:ind w:left="1728" w:hanging="1008"/>
      </w:pPr>
      <w:rPr>
        <w:rFonts w:cs="Times New Roman" w:hint="default"/>
        <w:b/>
        <w:i w:val="0"/>
      </w:rPr>
    </w:lvl>
    <w:lvl w:ilvl="3">
      <w:start w:val="1"/>
      <w:numFmt w:val="decimal"/>
      <w:lvlText w:val="%1.%2.%3.%4"/>
      <w:lvlJc w:val="left"/>
      <w:pPr>
        <w:tabs>
          <w:tab w:val="num" w:pos="2160"/>
        </w:tabs>
        <w:ind w:left="2160" w:hanging="1440"/>
      </w:pPr>
      <w:rPr>
        <w:rFonts w:cs="Times New Roman" w:hint="default"/>
        <w:b/>
        <w:i w:val="0"/>
      </w:rPr>
    </w:lvl>
    <w:lvl w:ilvl="4">
      <w:start w:val="1"/>
      <w:numFmt w:val="decimal"/>
      <w:lvlText w:val="%1.%2.%3.%4.%5"/>
      <w:lvlJc w:val="left"/>
      <w:pPr>
        <w:tabs>
          <w:tab w:val="num" w:pos="2520"/>
        </w:tabs>
        <w:ind w:left="2520" w:hanging="1800"/>
      </w:pPr>
      <w:rPr>
        <w:rFonts w:cs="Times New Roman" w:hint="default"/>
        <w:b/>
        <w:i w:val="0"/>
      </w:rPr>
    </w:lvl>
    <w:lvl w:ilvl="5">
      <w:start w:val="1"/>
      <w:numFmt w:val="decimal"/>
      <w:lvlText w:val="%1.%2.%3.%4.%5.%6"/>
      <w:lvlJc w:val="left"/>
      <w:pPr>
        <w:tabs>
          <w:tab w:val="num" w:pos="2520"/>
        </w:tabs>
        <w:ind w:left="2520" w:hanging="1800"/>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start w:val="1"/>
      <w:numFmt w:val="upperLetter"/>
      <w:lvlText w:val="Appendix %9:"/>
      <w:lvlJc w:val="left"/>
      <w:pPr>
        <w:tabs>
          <w:tab w:val="num" w:pos="360"/>
        </w:tabs>
      </w:pPr>
      <w:rPr>
        <w:rFonts w:cs="Times New Roman" w:hint="default"/>
      </w:rPr>
    </w:lvl>
  </w:abstractNum>
  <w:abstractNum w:abstractNumId="54">
    <w:nsid w:val="6A4C2FDC"/>
    <w:multiLevelType w:val="hybridMultilevel"/>
    <w:tmpl w:val="98543EBA"/>
    <w:lvl w:ilvl="0" w:tplc="AEC43026">
      <w:start w:val="1"/>
      <w:numFmt w:val="upperLetter"/>
      <w:lvlText w:val="%1."/>
      <w:lvlJc w:val="left"/>
      <w:pPr>
        <w:ind w:left="1080" w:hanging="360"/>
      </w:pPr>
    </w:lvl>
    <w:lvl w:ilvl="1" w:tplc="7EA609F4">
      <w:start w:val="1"/>
      <w:numFmt w:val="lowerLetter"/>
      <w:lvlText w:val="%2."/>
      <w:lvlJc w:val="left"/>
      <w:pPr>
        <w:ind w:left="1800" w:hanging="360"/>
      </w:pPr>
    </w:lvl>
    <w:lvl w:ilvl="2" w:tplc="58A4148E">
      <w:start w:val="1"/>
      <w:numFmt w:val="lowerRoman"/>
      <w:lvlText w:val="%3."/>
      <w:lvlJc w:val="right"/>
      <w:pPr>
        <w:ind w:left="2520" w:hanging="180"/>
      </w:pPr>
    </w:lvl>
    <w:lvl w:ilvl="3" w:tplc="CD501EB2">
      <w:start w:val="1"/>
      <w:numFmt w:val="decimal"/>
      <w:lvlText w:val="%4."/>
      <w:lvlJc w:val="left"/>
      <w:pPr>
        <w:ind w:left="3240" w:hanging="360"/>
      </w:pPr>
    </w:lvl>
    <w:lvl w:ilvl="4" w:tplc="0C4E55C8">
      <w:start w:val="1"/>
      <w:numFmt w:val="lowerLetter"/>
      <w:lvlText w:val="%5."/>
      <w:lvlJc w:val="left"/>
      <w:pPr>
        <w:ind w:left="3960" w:hanging="360"/>
      </w:pPr>
    </w:lvl>
    <w:lvl w:ilvl="5" w:tplc="4EE8808C">
      <w:start w:val="1"/>
      <w:numFmt w:val="lowerRoman"/>
      <w:lvlText w:val="%6."/>
      <w:lvlJc w:val="right"/>
      <w:pPr>
        <w:ind w:left="4680" w:hanging="180"/>
      </w:pPr>
    </w:lvl>
    <w:lvl w:ilvl="6" w:tplc="F8A09424">
      <w:start w:val="1"/>
      <w:numFmt w:val="decimal"/>
      <w:lvlText w:val="%7."/>
      <w:lvlJc w:val="left"/>
      <w:pPr>
        <w:ind w:left="5400" w:hanging="360"/>
      </w:pPr>
    </w:lvl>
    <w:lvl w:ilvl="7" w:tplc="96CCAEF6">
      <w:start w:val="1"/>
      <w:numFmt w:val="lowerLetter"/>
      <w:lvlText w:val="%8."/>
      <w:lvlJc w:val="left"/>
      <w:pPr>
        <w:ind w:left="6120" w:hanging="360"/>
      </w:pPr>
    </w:lvl>
    <w:lvl w:ilvl="8" w:tplc="8E2E277C">
      <w:start w:val="1"/>
      <w:numFmt w:val="lowerRoman"/>
      <w:lvlText w:val="%9."/>
      <w:lvlJc w:val="right"/>
      <w:pPr>
        <w:ind w:left="6840" w:hanging="180"/>
      </w:pPr>
    </w:lvl>
  </w:abstractNum>
  <w:abstractNum w:abstractNumId="55">
    <w:nsid w:val="6BD339FF"/>
    <w:multiLevelType w:val="hybridMultilevel"/>
    <w:tmpl w:val="17580296"/>
    <w:name w:val="zzmpPleading1||Pleading1|2|1|1|1|4|41||1|4|33||1|4|33||1|4|36||1|4|32||1|4|32||1|4|32||1|4|32||1|4|32||272"/>
    <w:lvl w:ilvl="0" w:tplc="23E689B6">
      <w:start w:val="1"/>
      <w:numFmt w:val="bullet"/>
      <w:lvlText w:val=""/>
      <w:lvlJc w:val="left"/>
      <w:pPr>
        <w:tabs>
          <w:tab w:val="num" w:pos="1332"/>
        </w:tabs>
        <w:ind w:left="1332" w:hanging="432"/>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6">
    <w:nsid w:val="6CE9732C"/>
    <w:multiLevelType w:val="hybridMultilevel"/>
    <w:tmpl w:val="7E9EDC84"/>
    <w:name w:val="zzmpPUC||PUC|3|1|0|1|2|41||1|2|37||1|2|32||1|2|33||1|2|32||1|2|32||1|2|32||1|2|32||1|2|32||42"/>
    <w:lvl w:ilvl="0" w:tplc="F5F08A70">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72817D46"/>
    <w:multiLevelType w:val="hybridMultilevel"/>
    <w:tmpl w:val="939A25FE"/>
    <w:name w:val="zzmpPUC||PUC|3|1|0|1|2|41||1|2|37||1|2|32||1|2|33||1|2|32||1|2|32||1|2|32||1|2|32||1|2|32||43"/>
    <w:lvl w:ilvl="0" w:tplc="ED268282">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729E7981"/>
    <w:multiLevelType w:val="hybridMultilevel"/>
    <w:tmpl w:val="E84C7228"/>
    <w:lvl w:ilvl="0" w:tplc="ED26828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pStyle w:val="DeclStyle"/>
      <w:lvlText w:val="%3."/>
      <w:lvlJc w:val="left"/>
      <w:pPr>
        <w:tabs>
          <w:tab w:val="num" w:pos="1620"/>
        </w:tabs>
        <w:ind w:left="1620" w:hanging="360"/>
      </w:pPr>
      <w:rPr>
        <w:rFonts w:hint="default"/>
        <w:b w:val="0"/>
        <w:i w:val="0"/>
      </w:rPr>
    </w:lvl>
    <w:lvl w:ilvl="3" w:tplc="0409000F">
      <w:start w:val="1"/>
      <w:numFmt w:val="upperLetter"/>
      <w:lvlText w:val="%4."/>
      <w:lvlJc w:val="left"/>
      <w:pPr>
        <w:tabs>
          <w:tab w:val="num" w:pos="1440"/>
        </w:tabs>
        <w:ind w:left="720"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7246767"/>
    <w:multiLevelType w:val="hybridMultilevel"/>
    <w:tmpl w:val="65A4D80A"/>
    <w:name w:val="zzmpPUC||PUC|3|1|0|1|2|41||1|2|37||1|2|32||1|2|33||1|2|32||1|2|32||1|2|32||1|2|32||1|2|32||3"/>
    <w:lvl w:ilvl="0" w:tplc="FFFFFFFF">
      <w:start w:val="1"/>
      <w:numFmt w:val="lowerRoman"/>
      <w:lvlText w:val="%1."/>
      <w:lvlJc w:val="left"/>
      <w:pPr>
        <w:tabs>
          <w:tab w:val="num" w:pos="0"/>
        </w:tabs>
        <w:ind w:left="144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1F9AB7CA"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7B1D5917"/>
    <w:multiLevelType w:val="hybridMultilevel"/>
    <w:tmpl w:val="10B68CE4"/>
    <w:name w:val="zzmpPUC||PUC|3|1|0|1|2|41||1|2|37||1|2|32||1|2|33||1|2|32||1|2|32||1|2|32||1|2|32||1|2|32||423"/>
    <w:lvl w:ilvl="0" w:tplc="C78AB59A">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7B3502A2"/>
    <w:multiLevelType w:val="hybridMultilevel"/>
    <w:tmpl w:val="C21894B8"/>
    <w:name w:val="zzmpPleading1||Pleading1|2|1|1|1|4|41||1|4|33||1|4|33||1|4|33||1|4|33||1|4|33||1|4|33||1|4|33||1|4|33||"/>
    <w:lvl w:ilvl="0" w:tplc="ED268282">
      <w:start w:val="31"/>
      <w:numFmt w:val="bullet"/>
      <w:lvlText w:val=""/>
      <w:lvlJc w:val="left"/>
      <w:pPr>
        <w:ind w:left="1800" w:hanging="360"/>
      </w:pPr>
      <w:rPr>
        <w:rFonts w:ascii="Symbol" w:eastAsia="Times New Roman" w:hAnsi="Symbol" w:hint="default"/>
        <w:u w:val="none"/>
      </w:rPr>
    </w:lvl>
    <w:lvl w:ilvl="1" w:tplc="04090019" w:tentative="1">
      <w:start w:val="1"/>
      <w:numFmt w:val="bullet"/>
      <w:lvlText w:val="o"/>
      <w:lvlJc w:val="left"/>
      <w:pPr>
        <w:ind w:left="2520" w:hanging="360"/>
      </w:pPr>
      <w:rPr>
        <w:rFonts w:ascii="Courier New" w:hAnsi="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62">
    <w:nsid w:val="7CCE4556"/>
    <w:multiLevelType w:val="hybridMultilevel"/>
    <w:tmpl w:val="1B94620C"/>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63">
    <w:nsid w:val="7D307C8D"/>
    <w:multiLevelType w:val="hybridMultilevel"/>
    <w:tmpl w:val="05B433F4"/>
    <w:name w:val="zzmpPUC||PUC|3|1|0|1|2|41||1|2|37||1|2|32||1|2|33||1|2|32||1|2|32||1|2|32||1|2|32||1|2|32||44"/>
    <w:lvl w:ilvl="0" w:tplc="B93E0786">
      <w:start w:val="1"/>
      <w:numFmt w:val="lowerRoman"/>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7EB06EF8"/>
    <w:multiLevelType w:val="hybridMultilevel"/>
    <w:tmpl w:val="83E2D670"/>
    <w:lvl w:ilvl="0" w:tplc="04090001">
      <w:start w:val="1"/>
      <w:numFmt w:val="upperRoman"/>
      <w:lvlText w:val="%1."/>
      <w:lvlJc w:val="left"/>
      <w:pPr>
        <w:ind w:left="1080" w:hanging="72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0"/>
  </w:num>
  <w:num w:numId="6">
    <w:abstractNumId w:val="34"/>
  </w:num>
  <w:num w:numId="7">
    <w:abstractNumId w:val="11"/>
  </w:num>
  <w:num w:numId="8">
    <w:abstractNumId w:val="8"/>
  </w:num>
  <w:num w:numId="9">
    <w:abstractNumId w:val="58"/>
  </w:num>
  <w:num w:numId="10">
    <w:abstractNumId w:val="1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8"/>
  </w:num>
  <w:num w:numId="41">
    <w:abstractNumId w:val="41"/>
  </w:num>
  <w:num w:numId="42">
    <w:abstractNumId w:val="49"/>
  </w:num>
  <w:num w:numId="43">
    <w:abstractNumId w:val="13"/>
  </w:num>
  <w:num w:numId="44">
    <w:abstractNumId w:val="13"/>
    <w:lvlOverride w:ilvl="0">
      <w:startOverride w:val="1"/>
    </w:lvlOverride>
  </w:num>
  <w:num w:numId="45">
    <w:abstractNumId w:val="13"/>
    <w:lvlOverride w:ilvl="0">
      <w:startOverride w:val="1"/>
    </w:lvlOverride>
  </w:num>
  <w:num w:numId="46">
    <w:abstractNumId w:val="14"/>
  </w:num>
  <w:num w:numId="47">
    <w:abstractNumId w:val="14"/>
  </w:num>
  <w:num w:numId="48">
    <w:abstractNumId w:val="14"/>
  </w:num>
  <w:num w:numId="49">
    <w:abstractNumId w:val="15"/>
  </w:num>
  <w:num w:numId="50">
    <w:abstractNumId w:val="10"/>
  </w:num>
  <w:num w:numId="51">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FFD"/>
    <w:rsid w:val="00000C5B"/>
    <w:rsid w:val="00001BB3"/>
    <w:rsid w:val="00001CB4"/>
    <w:rsid w:val="00001D61"/>
    <w:rsid w:val="0000228F"/>
    <w:rsid w:val="00002991"/>
    <w:rsid w:val="00003D9B"/>
    <w:rsid w:val="000041AF"/>
    <w:rsid w:val="00005089"/>
    <w:rsid w:val="00005389"/>
    <w:rsid w:val="00005D36"/>
    <w:rsid w:val="0000611A"/>
    <w:rsid w:val="00006172"/>
    <w:rsid w:val="00006AF8"/>
    <w:rsid w:val="00006E30"/>
    <w:rsid w:val="00006EE9"/>
    <w:rsid w:val="0000710D"/>
    <w:rsid w:val="00011684"/>
    <w:rsid w:val="0001194A"/>
    <w:rsid w:val="00011ED8"/>
    <w:rsid w:val="00012A2E"/>
    <w:rsid w:val="00015204"/>
    <w:rsid w:val="00015AD2"/>
    <w:rsid w:val="000160B2"/>
    <w:rsid w:val="000160F9"/>
    <w:rsid w:val="000166AB"/>
    <w:rsid w:val="0001719C"/>
    <w:rsid w:val="0001747A"/>
    <w:rsid w:val="00017FE9"/>
    <w:rsid w:val="0002068F"/>
    <w:rsid w:val="00020843"/>
    <w:rsid w:val="00020893"/>
    <w:rsid w:val="00021810"/>
    <w:rsid w:val="000219AA"/>
    <w:rsid w:val="0002320F"/>
    <w:rsid w:val="00023E47"/>
    <w:rsid w:val="0002445F"/>
    <w:rsid w:val="00024A02"/>
    <w:rsid w:val="000250CD"/>
    <w:rsid w:val="000260D6"/>
    <w:rsid w:val="000260F3"/>
    <w:rsid w:val="000265EF"/>
    <w:rsid w:val="00026883"/>
    <w:rsid w:val="000268C2"/>
    <w:rsid w:val="00026CB7"/>
    <w:rsid w:val="000270C5"/>
    <w:rsid w:val="00030E24"/>
    <w:rsid w:val="000310FF"/>
    <w:rsid w:val="000321CD"/>
    <w:rsid w:val="000321CF"/>
    <w:rsid w:val="00032B47"/>
    <w:rsid w:val="00032DEF"/>
    <w:rsid w:val="00032EA8"/>
    <w:rsid w:val="00032F03"/>
    <w:rsid w:val="000347C9"/>
    <w:rsid w:val="00034F4E"/>
    <w:rsid w:val="00035304"/>
    <w:rsid w:val="00036742"/>
    <w:rsid w:val="000368E8"/>
    <w:rsid w:val="00036E2E"/>
    <w:rsid w:val="00040084"/>
    <w:rsid w:val="00042801"/>
    <w:rsid w:val="00042983"/>
    <w:rsid w:val="00043080"/>
    <w:rsid w:val="00043DCD"/>
    <w:rsid w:val="0004464D"/>
    <w:rsid w:val="00044B10"/>
    <w:rsid w:val="00044D94"/>
    <w:rsid w:val="00044EDB"/>
    <w:rsid w:val="000456A0"/>
    <w:rsid w:val="00045A82"/>
    <w:rsid w:val="000463DE"/>
    <w:rsid w:val="000467B0"/>
    <w:rsid w:val="0004716B"/>
    <w:rsid w:val="0004733F"/>
    <w:rsid w:val="0004791C"/>
    <w:rsid w:val="000479BD"/>
    <w:rsid w:val="00047A43"/>
    <w:rsid w:val="000505AE"/>
    <w:rsid w:val="00050862"/>
    <w:rsid w:val="000509A6"/>
    <w:rsid w:val="00050A31"/>
    <w:rsid w:val="00050AD7"/>
    <w:rsid w:val="00050BA7"/>
    <w:rsid w:val="0005177B"/>
    <w:rsid w:val="00051ED7"/>
    <w:rsid w:val="00052766"/>
    <w:rsid w:val="000532AF"/>
    <w:rsid w:val="00053375"/>
    <w:rsid w:val="00053BF8"/>
    <w:rsid w:val="0005416E"/>
    <w:rsid w:val="00055850"/>
    <w:rsid w:val="0005654F"/>
    <w:rsid w:val="000566DB"/>
    <w:rsid w:val="0005676D"/>
    <w:rsid w:val="00056E15"/>
    <w:rsid w:val="000577A3"/>
    <w:rsid w:val="00057A1F"/>
    <w:rsid w:val="00060105"/>
    <w:rsid w:val="00060E4D"/>
    <w:rsid w:val="000611DE"/>
    <w:rsid w:val="00062081"/>
    <w:rsid w:val="000626A4"/>
    <w:rsid w:val="000628C9"/>
    <w:rsid w:val="00063199"/>
    <w:rsid w:val="0006360F"/>
    <w:rsid w:val="00063995"/>
    <w:rsid w:val="0006403E"/>
    <w:rsid w:val="000647D9"/>
    <w:rsid w:val="00065924"/>
    <w:rsid w:val="00065B3E"/>
    <w:rsid w:val="00065ED2"/>
    <w:rsid w:val="00066185"/>
    <w:rsid w:val="000662F9"/>
    <w:rsid w:val="00066A75"/>
    <w:rsid w:val="0006795F"/>
    <w:rsid w:val="00070D5B"/>
    <w:rsid w:val="000711A6"/>
    <w:rsid w:val="00071945"/>
    <w:rsid w:val="00072633"/>
    <w:rsid w:val="0007265C"/>
    <w:rsid w:val="00072A68"/>
    <w:rsid w:val="00072E8E"/>
    <w:rsid w:val="000747E2"/>
    <w:rsid w:val="00074AF4"/>
    <w:rsid w:val="00075E2C"/>
    <w:rsid w:val="00076B4A"/>
    <w:rsid w:val="00076BAD"/>
    <w:rsid w:val="0007778A"/>
    <w:rsid w:val="00081A81"/>
    <w:rsid w:val="00082114"/>
    <w:rsid w:val="00082E84"/>
    <w:rsid w:val="00083D04"/>
    <w:rsid w:val="00084566"/>
    <w:rsid w:val="00084A3D"/>
    <w:rsid w:val="00084A65"/>
    <w:rsid w:val="00085286"/>
    <w:rsid w:val="000870BF"/>
    <w:rsid w:val="00090CB9"/>
    <w:rsid w:val="00091232"/>
    <w:rsid w:val="000915A7"/>
    <w:rsid w:val="0009166A"/>
    <w:rsid w:val="0009187B"/>
    <w:rsid w:val="00091CBA"/>
    <w:rsid w:val="000929B3"/>
    <w:rsid w:val="000931F4"/>
    <w:rsid w:val="00093FC8"/>
    <w:rsid w:val="00094215"/>
    <w:rsid w:val="00094AF6"/>
    <w:rsid w:val="00094C0F"/>
    <w:rsid w:val="00095894"/>
    <w:rsid w:val="000961B0"/>
    <w:rsid w:val="000969DA"/>
    <w:rsid w:val="00096F0B"/>
    <w:rsid w:val="00096F6C"/>
    <w:rsid w:val="00097868"/>
    <w:rsid w:val="00097F91"/>
    <w:rsid w:val="000A010E"/>
    <w:rsid w:val="000A0A17"/>
    <w:rsid w:val="000A0D91"/>
    <w:rsid w:val="000A1317"/>
    <w:rsid w:val="000A15B2"/>
    <w:rsid w:val="000A18E8"/>
    <w:rsid w:val="000A1AAD"/>
    <w:rsid w:val="000A1EB5"/>
    <w:rsid w:val="000A2276"/>
    <w:rsid w:val="000A2583"/>
    <w:rsid w:val="000A3134"/>
    <w:rsid w:val="000A36F5"/>
    <w:rsid w:val="000A3CB1"/>
    <w:rsid w:val="000A4519"/>
    <w:rsid w:val="000A4863"/>
    <w:rsid w:val="000A5A45"/>
    <w:rsid w:val="000A7D05"/>
    <w:rsid w:val="000A7D9C"/>
    <w:rsid w:val="000A7E5C"/>
    <w:rsid w:val="000B045D"/>
    <w:rsid w:val="000B0853"/>
    <w:rsid w:val="000B0AA5"/>
    <w:rsid w:val="000B0B84"/>
    <w:rsid w:val="000B1AD9"/>
    <w:rsid w:val="000B1B7F"/>
    <w:rsid w:val="000B25AB"/>
    <w:rsid w:val="000B2C35"/>
    <w:rsid w:val="000B2FA5"/>
    <w:rsid w:val="000B3D7A"/>
    <w:rsid w:val="000B4711"/>
    <w:rsid w:val="000B4CAC"/>
    <w:rsid w:val="000B5EC9"/>
    <w:rsid w:val="000B6176"/>
    <w:rsid w:val="000B6D64"/>
    <w:rsid w:val="000B6DD6"/>
    <w:rsid w:val="000B7037"/>
    <w:rsid w:val="000B7BF1"/>
    <w:rsid w:val="000C020D"/>
    <w:rsid w:val="000C0764"/>
    <w:rsid w:val="000C0949"/>
    <w:rsid w:val="000C239B"/>
    <w:rsid w:val="000C2538"/>
    <w:rsid w:val="000C2E38"/>
    <w:rsid w:val="000C2EB6"/>
    <w:rsid w:val="000C41D6"/>
    <w:rsid w:val="000C4953"/>
    <w:rsid w:val="000C4D9C"/>
    <w:rsid w:val="000C523E"/>
    <w:rsid w:val="000C528A"/>
    <w:rsid w:val="000C5410"/>
    <w:rsid w:val="000C6E19"/>
    <w:rsid w:val="000D0392"/>
    <w:rsid w:val="000D05C1"/>
    <w:rsid w:val="000D124C"/>
    <w:rsid w:val="000D12DC"/>
    <w:rsid w:val="000D1B58"/>
    <w:rsid w:val="000D1CF0"/>
    <w:rsid w:val="000D320C"/>
    <w:rsid w:val="000D3503"/>
    <w:rsid w:val="000D3B27"/>
    <w:rsid w:val="000D3F50"/>
    <w:rsid w:val="000D42BF"/>
    <w:rsid w:val="000D4432"/>
    <w:rsid w:val="000D4646"/>
    <w:rsid w:val="000D4A97"/>
    <w:rsid w:val="000D4B30"/>
    <w:rsid w:val="000D53B3"/>
    <w:rsid w:val="000D700D"/>
    <w:rsid w:val="000D7A7D"/>
    <w:rsid w:val="000E00D3"/>
    <w:rsid w:val="000E0491"/>
    <w:rsid w:val="000E15FB"/>
    <w:rsid w:val="000E1729"/>
    <w:rsid w:val="000E1800"/>
    <w:rsid w:val="000E21B2"/>
    <w:rsid w:val="000E281A"/>
    <w:rsid w:val="000E294A"/>
    <w:rsid w:val="000E2F2C"/>
    <w:rsid w:val="000E2F90"/>
    <w:rsid w:val="000E386E"/>
    <w:rsid w:val="000E397E"/>
    <w:rsid w:val="000E3FFF"/>
    <w:rsid w:val="000E4529"/>
    <w:rsid w:val="000E4F64"/>
    <w:rsid w:val="000E52A9"/>
    <w:rsid w:val="000E56BB"/>
    <w:rsid w:val="000E5BC6"/>
    <w:rsid w:val="000E6359"/>
    <w:rsid w:val="000E6601"/>
    <w:rsid w:val="000E663C"/>
    <w:rsid w:val="000E70DF"/>
    <w:rsid w:val="000E7407"/>
    <w:rsid w:val="000E7549"/>
    <w:rsid w:val="000E75DA"/>
    <w:rsid w:val="000E75ED"/>
    <w:rsid w:val="000E7A49"/>
    <w:rsid w:val="000F011A"/>
    <w:rsid w:val="000F021D"/>
    <w:rsid w:val="000F0449"/>
    <w:rsid w:val="000F07A2"/>
    <w:rsid w:val="000F1968"/>
    <w:rsid w:val="000F1F99"/>
    <w:rsid w:val="000F2017"/>
    <w:rsid w:val="000F2743"/>
    <w:rsid w:val="000F274E"/>
    <w:rsid w:val="000F39DD"/>
    <w:rsid w:val="000F3A3C"/>
    <w:rsid w:val="000F471B"/>
    <w:rsid w:val="000F553D"/>
    <w:rsid w:val="000F63AC"/>
    <w:rsid w:val="000F7000"/>
    <w:rsid w:val="000F707C"/>
    <w:rsid w:val="000F74C5"/>
    <w:rsid w:val="000F78B7"/>
    <w:rsid w:val="001008D9"/>
    <w:rsid w:val="00100AE6"/>
    <w:rsid w:val="00101AF4"/>
    <w:rsid w:val="0010223B"/>
    <w:rsid w:val="001023D4"/>
    <w:rsid w:val="001024FA"/>
    <w:rsid w:val="0010305F"/>
    <w:rsid w:val="0010348A"/>
    <w:rsid w:val="00103EF3"/>
    <w:rsid w:val="001044A4"/>
    <w:rsid w:val="00104ABB"/>
    <w:rsid w:val="00104CDA"/>
    <w:rsid w:val="00104E63"/>
    <w:rsid w:val="00105715"/>
    <w:rsid w:val="00105812"/>
    <w:rsid w:val="00106A33"/>
    <w:rsid w:val="00107078"/>
    <w:rsid w:val="00107D7F"/>
    <w:rsid w:val="00110A45"/>
    <w:rsid w:val="0011128F"/>
    <w:rsid w:val="00111EF2"/>
    <w:rsid w:val="00112798"/>
    <w:rsid w:val="00112AC1"/>
    <w:rsid w:val="00113100"/>
    <w:rsid w:val="00113223"/>
    <w:rsid w:val="00113249"/>
    <w:rsid w:val="00113641"/>
    <w:rsid w:val="00113A5C"/>
    <w:rsid w:val="00113FF6"/>
    <w:rsid w:val="00114064"/>
    <w:rsid w:val="001146ED"/>
    <w:rsid w:val="00114704"/>
    <w:rsid w:val="00114A62"/>
    <w:rsid w:val="00114F4C"/>
    <w:rsid w:val="001150DF"/>
    <w:rsid w:val="0011552F"/>
    <w:rsid w:val="0011597E"/>
    <w:rsid w:val="001163EF"/>
    <w:rsid w:val="00116D63"/>
    <w:rsid w:val="00116E43"/>
    <w:rsid w:val="00116E84"/>
    <w:rsid w:val="00117075"/>
    <w:rsid w:val="0011728F"/>
    <w:rsid w:val="00120378"/>
    <w:rsid w:val="001205AF"/>
    <w:rsid w:val="001209EB"/>
    <w:rsid w:val="00120C60"/>
    <w:rsid w:val="001215F0"/>
    <w:rsid w:val="001218C0"/>
    <w:rsid w:val="00123441"/>
    <w:rsid w:val="00123F36"/>
    <w:rsid w:val="00124051"/>
    <w:rsid w:val="0012439A"/>
    <w:rsid w:val="0012454F"/>
    <w:rsid w:val="00125485"/>
    <w:rsid w:val="00125CBC"/>
    <w:rsid w:val="00125F70"/>
    <w:rsid w:val="001268E2"/>
    <w:rsid w:val="00126C64"/>
    <w:rsid w:val="00127B2F"/>
    <w:rsid w:val="0013006C"/>
    <w:rsid w:val="00130615"/>
    <w:rsid w:val="00130CA6"/>
    <w:rsid w:val="001313FD"/>
    <w:rsid w:val="001315A6"/>
    <w:rsid w:val="00132213"/>
    <w:rsid w:val="00132A3B"/>
    <w:rsid w:val="00132C91"/>
    <w:rsid w:val="00132FB0"/>
    <w:rsid w:val="0013310A"/>
    <w:rsid w:val="001338EF"/>
    <w:rsid w:val="00133947"/>
    <w:rsid w:val="00134559"/>
    <w:rsid w:val="0013489E"/>
    <w:rsid w:val="00134A94"/>
    <w:rsid w:val="00135588"/>
    <w:rsid w:val="001367A5"/>
    <w:rsid w:val="00136F65"/>
    <w:rsid w:val="001372EF"/>
    <w:rsid w:val="00137CFE"/>
    <w:rsid w:val="00141226"/>
    <w:rsid w:val="00142531"/>
    <w:rsid w:val="00142E70"/>
    <w:rsid w:val="00143D84"/>
    <w:rsid w:val="001445FA"/>
    <w:rsid w:val="00147BBF"/>
    <w:rsid w:val="00147C97"/>
    <w:rsid w:val="0015026E"/>
    <w:rsid w:val="00150896"/>
    <w:rsid w:val="00150AE2"/>
    <w:rsid w:val="00151459"/>
    <w:rsid w:val="00151635"/>
    <w:rsid w:val="0015224A"/>
    <w:rsid w:val="001523F3"/>
    <w:rsid w:val="00152C39"/>
    <w:rsid w:val="0015324A"/>
    <w:rsid w:val="0015362B"/>
    <w:rsid w:val="00153738"/>
    <w:rsid w:val="001539CA"/>
    <w:rsid w:val="00153BBD"/>
    <w:rsid w:val="00155237"/>
    <w:rsid w:val="001553FF"/>
    <w:rsid w:val="00155732"/>
    <w:rsid w:val="00155C15"/>
    <w:rsid w:val="00155CB6"/>
    <w:rsid w:val="00156C37"/>
    <w:rsid w:val="001576CF"/>
    <w:rsid w:val="00157D1A"/>
    <w:rsid w:val="00160950"/>
    <w:rsid w:val="00160BC6"/>
    <w:rsid w:val="001611EC"/>
    <w:rsid w:val="001612AF"/>
    <w:rsid w:val="00161842"/>
    <w:rsid w:val="001623CE"/>
    <w:rsid w:val="001629DE"/>
    <w:rsid w:val="00164019"/>
    <w:rsid w:val="00164B33"/>
    <w:rsid w:val="0016711D"/>
    <w:rsid w:val="0016714E"/>
    <w:rsid w:val="00167325"/>
    <w:rsid w:val="00167601"/>
    <w:rsid w:val="001679D7"/>
    <w:rsid w:val="00167D97"/>
    <w:rsid w:val="001709D4"/>
    <w:rsid w:val="001709EF"/>
    <w:rsid w:val="001720F5"/>
    <w:rsid w:val="0017223B"/>
    <w:rsid w:val="001723B5"/>
    <w:rsid w:val="00173439"/>
    <w:rsid w:val="00173791"/>
    <w:rsid w:val="00173943"/>
    <w:rsid w:val="00173AEF"/>
    <w:rsid w:val="00173F63"/>
    <w:rsid w:val="001745B7"/>
    <w:rsid w:val="001745C9"/>
    <w:rsid w:val="00174655"/>
    <w:rsid w:val="0017545C"/>
    <w:rsid w:val="001757DD"/>
    <w:rsid w:val="001763DA"/>
    <w:rsid w:val="00176834"/>
    <w:rsid w:val="0017795B"/>
    <w:rsid w:val="001802EC"/>
    <w:rsid w:val="00180A94"/>
    <w:rsid w:val="00180AD8"/>
    <w:rsid w:val="00181DCA"/>
    <w:rsid w:val="001826C4"/>
    <w:rsid w:val="00182F6C"/>
    <w:rsid w:val="001831DA"/>
    <w:rsid w:val="001833DA"/>
    <w:rsid w:val="00183624"/>
    <w:rsid w:val="001845D9"/>
    <w:rsid w:val="00184794"/>
    <w:rsid w:val="00184798"/>
    <w:rsid w:val="00184962"/>
    <w:rsid w:val="00184E5D"/>
    <w:rsid w:val="00186318"/>
    <w:rsid w:val="001868BF"/>
    <w:rsid w:val="00186F9C"/>
    <w:rsid w:val="00187C54"/>
    <w:rsid w:val="0019113A"/>
    <w:rsid w:val="00191262"/>
    <w:rsid w:val="001914A4"/>
    <w:rsid w:val="00191DED"/>
    <w:rsid w:val="001926A4"/>
    <w:rsid w:val="00194C6F"/>
    <w:rsid w:val="00194D95"/>
    <w:rsid w:val="00196DC8"/>
    <w:rsid w:val="0019769E"/>
    <w:rsid w:val="001978A2"/>
    <w:rsid w:val="00197C2A"/>
    <w:rsid w:val="001A0A33"/>
    <w:rsid w:val="001A0D76"/>
    <w:rsid w:val="001A0D97"/>
    <w:rsid w:val="001A0DE4"/>
    <w:rsid w:val="001A14BC"/>
    <w:rsid w:val="001A2004"/>
    <w:rsid w:val="001A293E"/>
    <w:rsid w:val="001A2940"/>
    <w:rsid w:val="001A332B"/>
    <w:rsid w:val="001A33B3"/>
    <w:rsid w:val="001A4072"/>
    <w:rsid w:val="001A57F7"/>
    <w:rsid w:val="001A65B4"/>
    <w:rsid w:val="001A6D7C"/>
    <w:rsid w:val="001A72AF"/>
    <w:rsid w:val="001A72B1"/>
    <w:rsid w:val="001A7870"/>
    <w:rsid w:val="001A79C4"/>
    <w:rsid w:val="001A7C97"/>
    <w:rsid w:val="001B0BBA"/>
    <w:rsid w:val="001B10CA"/>
    <w:rsid w:val="001B133B"/>
    <w:rsid w:val="001B16FC"/>
    <w:rsid w:val="001B1D0B"/>
    <w:rsid w:val="001B1F39"/>
    <w:rsid w:val="001B20A2"/>
    <w:rsid w:val="001B3D6C"/>
    <w:rsid w:val="001B4200"/>
    <w:rsid w:val="001B4CF2"/>
    <w:rsid w:val="001B5820"/>
    <w:rsid w:val="001B5B8B"/>
    <w:rsid w:val="001B7596"/>
    <w:rsid w:val="001C0384"/>
    <w:rsid w:val="001C06A0"/>
    <w:rsid w:val="001C0B27"/>
    <w:rsid w:val="001C0ECE"/>
    <w:rsid w:val="001C1ADA"/>
    <w:rsid w:val="001C3106"/>
    <w:rsid w:val="001C3462"/>
    <w:rsid w:val="001C4F42"/>
    <w:rsid w:val="001C530C"/>
    <w:rsid w:val="001C58F3"/>
    <w:rsid w:val="001C6E46"/>
    <w:rsid w:val="001C78B3"/>
    <w:rsid w:val="001D0036"/>
    <w:rsid w:val="001D0A49"/>
    <w:rsid w:val="001D0E0C"/>
    <w:rsid w:val="001D1A78"/>
    <w:rsid w:val="001D23FC"/>
    <w:rsid w:val="001D29FB"/>
    <w:rsid w:val="001D2EBE"/>
    <w:rsid w:val="001D302B"/>
    <w:rsid w:val="001D3C28"/>
    <w:rsid w:val="001D3EDB"/>
    <w:rsid w:val="001D40B8"/>
    <w:rsid w:val="001D493F"/>
    <w:rsid w:val="001D54E8"/>
    <w:rsid w:val="001D55C8"/>
    <w:rsid w:val="001D6F54"/>
    <w:rsid w:val="001D75DE"/>
    <w:rsid w:val="001D7A26"/>
    <w:rsid w:val="001D7EF0"/>
    <w:rsid w:val="001E008C"/>
    <w:rsid w:val="001E03BE"/>
    <w:rsid w:val="001E05C7"/>
    <w:rsid w:val="001E0AB9"/>
    <w:rsid w:val="001E0C65"/>
    <w:rsid w:val="001E0EC7"/>
    <w:rsid w:val="001E0F32"/>
    <w:rsid w:val="001E13C2"/>
    <w:rsid w:val="001E16A1"/>
    <w:rsid w:val="001E182B"/>
    <w:rsid w:val="001E1906"/>
    <w:rsid w:val="001E22B6"/>
    <w:rsid w:val="001E2650"/>
    <w:rsid w:val="001E2D66"/>
    <w:rsid w:val="001E331C"/>
    <w:rsid w:val="001E3AF9"/>
    <w:rsid w:val="001E3DFB"/>
    <w:rsid w:val="001E4449"/>
    <w:rsid w:val="001E456B"/>
    <w:rsid w:val="001E49FB"/>
    <w:rsid w:val="001E5050"/>
    <w:rsid w:val="001E6277"/>
    <w:rsid w:val="001E62F7"/>
    <w:rsid w:val="001E6E66"/>
    <w:rsid w:val="001E725D"/>
    <w:rsid w:val="001E7B4E"/>
    <w:rsid w:val="001F03B3"/>
    <w:rsid w:val="001F1661"/>
    <w:rsid w:val="001F16A8"/>
    <w:rsid w:val="001F1702"/>
    <w:rsid w:val="001F1A42"/>
    <w:rsid w:val="001F22E3"/>
    <w:rsid w:val="001F23DD"/>
    <w:rsid w:val="001F2723"/>
    <w:rsid w:val="001F32F9"/>
    <w:rsid w:val="001F4285"/>
    <w:rsid w:val="001F4AB8"/>
    <w:rsid w:val="001F4C81"/>
    <w:rsid w:val="001F545B"/>
    <w:rsid w:val="001F572A"/>
    <w:rsid w:val="001F6223"/>
    <w:rsid w:val="001F639D"/>
    <w:rsid w:val="00200C49"/>
    <w:rsid w:val="00201151"/>
    <w:rsid w:val="00201502"/>
    <w:rsid w:val="0020332A"/>
    <w:rsid w:val="002035C8"/>
    <w:rsid w:val="00203A76"/>
    <w:rsid w:val="00205DA2"/>
    <w:rsid w:val="00205FE9"/>
    <w:rsid w:val="0020655E"/>
    <w:rsid w:val="002067F7"/>
    <w:rsid w:val="0021027C"/>
    <w:rsid w:val="00210458"/>
    <w:rsid w:val="002107B2"/>
    <w:rsid w:val="00211DFE"/>
    <w:rsid w:val="00212039"/>
    <w:rsid w:val="00212109"/>
    <w:rsid w:val="0021238E"/>
    <w:rsid w:val="0021242B"/>
    <w:rsid w:val="002126E5"/>
    <w:rsid w:val="00213946"/>
    <w:rsid w:val="002153E1"/>
    <w:rsid w:val="002161B7"/>
    <w:rsid w:val="0021621A"/>
    <w:rsid w:val="002169DE"/>
    <w:rsid w:val="00217462"/>
    <w:rsid w:val="00217DA5"/>
    <w:rsid w:val="00217FEA"/>
    <w:rsid w:val="00220853"/>
    <w:rsid w:val="00221C1E"/>
    <w:rsid w:val="00221CD9"/>
    <w:rsid w:val="00221E42"/>
    <w:rsid w:val="00221F60"/>
    <w:rsid w:val="0022250C"/>
    <w:rsid w:val="002239AF"/>
    <w:rsid w:val="00223A80"/>
    <w:rsid w:val="00223C04"/>
    <w:rsid w:val="00223E08"/>
    <w:rsid w:val="00224C70"/>
    <w:rsid w:val="00224F38"/>
    <w:rsid w:val="00225869"/>
    <w:rsid w:val="00225C76"/>
    <w:rsid w:val="00225D99"/>
    <w:rsid w:val="00225DB8"/>
    <w:rsid w:val="00225EA5"/>
    <w:rsid w:val="00227028"/>
    <w:rsid w:val="002273C3"/>
    <w:rsid w:val="002273EA"/>
    <w:rsid w:val="002274D6"/>
    <w:rsid w:val="002275F4"/>
    <w:rsid w:val="0023005B"/>
    <w:rsid w:val="00230919"/>
    <w:rsid w:val="00231050"/>
    <w:rsid w:val="0023154C"/>
    <w:rsid w:val="00231550"/>
    <w:rsid w:val="00231F48"/>
    <w:rsid w:val="0023229E"/>
    <w:rsid w:val="002322BA"/>
    <w:rsid w:val="002325D2"/>
    <w:rsid w:val="00232DC1"/>
    <w:rsid w:val="00233AD8"/>
    <w:rsid w:val="00233CDB"/>
    <w:rsid w:val="00234880"/>
    <w:rsid w:val="00234D8E"/>
    <w:rsid w:val="00234E55"/>
    <w:rsid w:val="00234FDC"/>
    <w:rsid w:val="0023538D"/>
    <w:rsid w:val="00235E0E"/>
    <w:rsid w:val="0023612F"/>
    <w:rsid w:val="00236232"/>
    <w:rsid w:val="00236262"/>
    <w:rsid w:val="0023626C"/>
    <w:rsid w:val="002368E8"/>
    <w:rsid w:val="00237637"/>
    <w:rsid w:val="0023796B"/>
    <w:rsid w:val="00240878"/>
    <w:rsid w:val="002421C3"/>
    <w:rsid w:val="00242A7E"/>
    <w:rsid w:val="00242D45"/>
    <w:rsid w:val="002437C5"/>
    <w:rsid w:val="00243887"/>
    <w:rsid w:val="002438CC"/>
    <w:rsid w:val="00243B49"/>
    <w:rsid w:val="00244A19"/>
    <w:rsid w:val="00244C8B"/>
    <w:rsid w:val="00244DB9"/>
    <w:rsid w:val="00244F6F"/>
    <w:rsid w:val="00245070"/>
    <w:rsid w:val="002462EE"/>
    <w:rsid w:val="002465E5"/>
    <w:rsid w:val="00247A34"/>
    <w:rsid w:val="00247F95"/>
    <w:rsid w:val="00250541"/>
    <w:rsid w:val="0025226B"/>
    <w:rsid w:val="00252939"/>
    <w:rsid w:val="00252AA7"/>
    <w:rsid w:val="0025324A"/>
    <w:rsid w:val="002532A4"/>
    <w:rsid w:val="002532FA"/>
    <w:rsid w:val="00253869"/>
    <w:rsid w:val="0025408A"/>
    <w:rsid w:val="00255291"/>
    <w:rsid w:val="002554DF"/>
    <w:rsid w:val="00255876"/>
    <w:rsid w:val="00255B73"/>
    <w:rsid w:val="002561C7"/>
    <w:rsid w:val="00256475"/>
    <w:rsid w:val="0025694B"/>
    <w:rsid w:val="00257CDE"/>
    <w:rsid w:val="002603F9"/>
    <w:rsid w:val="002615AA"/>
    <w:rsid w:val="00261871"/>
    <w:rsid w:val="00261991"/>
    <w:rsid w:val="00261FF7"/>
    <w:rsid w:val="00263714"/>
    <w:rsid w:val="00263A7C"/>
    <w:rsid w:val="002640DD"/>
    <w:rsid w:val="002641AD"/>
    <w:rsid w:val="00264B2E"/>
    <w:rsid w:val="00264C8E"/>
    <w:rsid w:val="00264E27"/>
    <w:rsid w:val="00264E4F"/>
    <w:rsid w:val="00265D38"/>
    <w:rsid w:val="002675DF"/>
    <w:rsid w:val="00267800"/>
    <w:rsid w:val="00267C08"/>
    <w:rsid w:val="00267D48"/>
    <w:rsid w:val="00267E43"/>
    <w:rsid w:val="002701D9"/>
    <w:rsid w:val="00270244"/>
    <w:rsid w:val="00270790"/>
    <w:rsid w:val="002708B7"/>
    <w:rsid w:val="002708DB"/>
    <w:rsid w:val="002709B0"/>
    <w:rsid w:val="00270B53"/>
    <w:rsid w:val="0027108D"/>
    <w:rsid w:val="002717D6"/>
    <w:rsid w:val="00272283"/>
    <w:rsid w:val="00272361"/>
    <w:rsid w:val="002725BE"/>
    <w:rsid w:val="00272E7C"/>
    <w:rsid w:val="00273936"/>
    <w:rsid w:val="0027424A"/>
    <w:rsid w:val="002742F9"/>
    <w:rsid w:val="00275091"/>
    <w:rsid w:val="00276443"/>
    <w:rsid w:val="002765ED"/>
    <w:rsid w:val="00276850"/>
    <w:rsid w:val="0028016B"/>
    <w:rsid w:val="002802E5"/>
    <w:rsid w:val="00280696"/>
    <w:rsid w:val="002807B1"/>
    <w:rsid w:val="0028214A"/>
    <w:rsid w:val="0028286D"/>
    <w:rsid w:val="00282D80"/>
    <w:rsid w:val="00283546"/>
    <w:rsid w:val="0028383A"/>
    <w:rsid w:val="00284099"/>
    <w:rsid w:val="002844F6"/>
    <w:rsid w:val="002851F9"/>
    <w:rsid w:val="00285268"/>
    <w:rsid w:val="0028543C"/>
    <w:rsid w:val="0028686E"/>
    <w:rsid w:val="00286A67"/>
    <w:rsid w:val="002873BA"/>
    <w:rsid w:val="00287B86"/>
    <w:rsid w:val="00287DB0"/>
    <w:rsid w:val="002907DD"/>
    <w:rsid w:val="00290AAD"/>
    <w:rsid w:val="00290BD0"/>
    <w:rsid w:val="00290E87"/>
    <w:rsid w:val="00291566"/>
    <w:rsid w:val="00292973"/>
    <w:rsid w:val="002929BC"/>
    <w:rsid w:val="002931DE"/>
    <w:rsid w:val="00293974"/>
    <w:rsid w:val="00293B50"/>
    <w:rsid w:val="00293CB4"/>
    <w:rsid w:val="002945B0"/>
    <w:rsid w:val="00294A94"/>
    <w:rsid w:val="00295464"/>
    <w:rsid w:val="002956E6"/>
    <w:rsid w:val="002957F7"/>
    <w:rsid w:val="0029582C"/>
    <w:rsid w:val="00295973"/>
    <w:rsid w:val="002962AB"/>
    <w:rsid w:val="00296E8C"/>
    <w:rsid w:val="002970A4"/>
    <w:rsid w:val="002974C9"/>
    <w:rsid w:val="00297A19"/>
    <w:rsid w:val="002A0362"/>
    <w:rsid w:val="002A1D12"/>
    <w:rsid w:val="002A2798"/>
    <w:rsid w:val="002A3402"/>
    <w:rsid w:val="002A36B6"/>
    <w:rsid w:val="002A4A07"/>
    <w:rsid w:val="002A6093"/>
    <w:rsid w:val="002A613D"/>
    <w:rsid w:val="002A62FA"/>
    <w:rsid w:val="002A68D7"/>
    <w:rsid w:val="002A6CF2"/>
    <w:rsid w:val="002A7924"/>
    <w:rsid w:val="002A7FBA"/>
    <w:rsid w:val="002B1CA2"/>
    <w:rsid w:val="002B1DAC"/>
    <w:rsid w:val="002B2922"/>
    <w:rsid w:val="002B311A"/>
    <w:rsid w:val="002B446F"/>
    <w:rsid w:val="002B4823"/>
    <w:rsid w:val="002B49AC"/>
    <w:rsid w:val="002B4EE8"/>
    <w:rsid w:val="002B53F9"/>
    <w:rsid w:val="002B5604"/>
    <w:rsid w:val="002B57E8"/>
    <w:rsid w:val="002B5FCE"/>
    <w:rsid w:val="002B61A9"/>
    <w:rsid w:val="002B61E7"/>
    <w:rsid w:val="002B6D25"/>
    <w:rsid w:val="002B720B"/>
    <w:rsid w:val="002C0102"/>
    <w:rsid w:val="002C0FC9"/>
    <w:rsid w:val="002C101C"/>
    <w:rsid w:val="002C2365"/>
    <w:rsid w:val="002C2417"/>
    <w:rsid w:val="002C2453"/>
    <w:rsid w:val="002C32CC"/>
    <w:rsid w:val="002C3988"/>
    <w:rsid w:val="002C3B98"/>
    <w:rsid w:val="002C5CE0"/>
    <w:rsid w:val="002C5F5D"/>
    <w:rsid w:val="002C60CC"/>
    <w:rsid w:val="002C6FF7"/>
    <w:rsid w:val="002C70A3"/>
    <w:rsid w:val="002C70A6"/>
    <w:rsid w:val="002D0311"/>
    <w:rsid w:val="002D0435"/>
    <w:rsid w:val="002D081B"/>
    <w:rsid w:val="002D08C2"/>
    <w:rsid w:val="002D0E98"/>
    <w:rsid w:val="002D1611"/>
    <w:rsid w:val="002D18BC"/>
    <w:rsid w:val="002D2559"/>
    <w:rsid w:val="002D29C0"/>
    <w:rsid w:val="002D29FE"/>
    <w:rsid w:val="002D2CB6"/>
    <w:rsid w:val="002D31DA"/>
    <w:rsid w:val="002D33F8"/>
    <w:rsid w:val="002D36D6"/>
    <w:rsid w:val="002D3A5E"/>
    <w:rsid w:val="002D4742"/>
    <w:rsid w:val="002D4C83"/>
    <w:rsid w:val="002D5122"/>
    <w:rsid w:val="002D5434"/>
    <w:rsid w:val="002D5C1B"/>
    <w:rsid w:val="002D5F0E"/>
    <w:rsid w:val="002D63A9"/>
    <w:rsid w:val="002D71F9"/>
    <w:rsid w:val="002D7269"/>
    <w:rsid w:val="002E0E50"/>
    <w:rsid w:val="002E0E59"/>
    <w:rsid w:val="002E11B4"/>
    <w:rsid w:val="002E1571"/>
    <w:rsid w:val="002E2C83"/>
    <w:rsid w:val="002E3411"/>
    <w:rsid w:val="002E358C"/>
    <w:rsid w:val="002E3B0D"/>
    <w:rsid w:val="002E3D16"/>
    <w:rsid w:val="002E3E86"/>
    <w:rsid w:val="002E4132"/>
    <w:rsid w:val="002E534F"/>
    <w:rsid w:val="002E5DD6"/>
    <w:rsid w:val="002E6705"/>
    <w:rsid w:val="002E74FF"/>
    <w:rsid w:val="002E7B27"/>
    <w:rsid w:val="002F0296"/>
    <w:rsid w:val="002F1305"/>
    <w:rsid w:val="002F1456"/>
    <w:rsid w:val="002F1675"/>
    <w:rsid w:val="002F2377"/>
    <w:rsid w:val="002F284E"/>
    <w:rsid w:val="002F2CDF"/>
    <w:rsid w:val="002F4E12"/>
    <w:rsid w:val="002F4FE6"/>
    <w:rsid w:val="002F5222"/>
    <w:rsid w:val="002F5A4E"/>
    <w:rsid w:val="002F5FCA"/>
    <w:rsid w:val="002F6102"/>
    <w:rsid w:val="002F65C7"/>
    <w:rsid w:val="002F6CDD"/>
    <w:rsid w:val="002F7D29"/>
    <w:rsid w:val="0030050A"/>
    <w:rsid w:val="00300A5C"/>
    <w:rsid w:val="003019C2"/>
    <w:rsid w:val="00301A9D"/>
    <w:rsid w:val="00301CCC"/>
    <w:rsid w:val="003020CA"/>
    <w:rsid w:val="00302A00"/>
    <w:rsid w:val="00303225"/>
    <w:rsid w:val="003033CC"/>
    <w:rsid w:val="00303B44"/>
    <w:rsid w:val="00304238"/>
    <w:rsid w:val="0030462C"/>
    <w:rsid w:val="00304C12"/>
    <w:rsid w:val="00304C15"/>
    <w:rsid w:val="003061A1"/>
    <w:rsid w:val="00306608"/>
    <w:rsid w:val="003066C1"/>
    <w:rsid w:val="00307573"/>
    <w:rsid w:val="00307FAE"/>
    <w:rsid w:val="0031054A"/>
    <w:rsid w:val="00310883"/>
    <w:rsid w:val="0031164E"/>
    <w:rsid w:val="00311C90"/>
    <w:rsid w:val="003122BC"/>
    <w:rsid w:val="0031239B"/>
    <w:rsid w:val="00312E44"/>
    <w:rsid w:val="00313101"/>
    <w:rsid w:val="00314079"/>
    <w:rsid w:val="00314DE3"/>
    <w:rsid w:val="003156CA"/>
    <w:rsid w:val="00315CDC"/>
    <w:rsid w:val="00316DBB"/>
    <w:rsid w:val="00316DDE"/>
    <w:rsid w:val="00317154"/>
    <w:rsid w:val="0031799B"/>
    <w:rsid w:val="00320C5F"/>
    <w:rsid w:val="00321276"/>
    <w:rsid w:val="003222F8"/>
    <w:rsid w:val="00322DA0"/>
    <w:rsid w:val="00322F8E"/>
    <w:rsid w:val="00323EEC"/>
    <w:rsid w:val="003240F4"/>
    <w:rsid w:val="00324418"/>
    <w:rsid w:val="003244DD"/>
    <w:rsid w:val="00325223"/>
    <w:rsid w:val="00325E19"/>
    <w:rsid w:val="0032611D"/>
    <w:rsid w:val="00326A0D"/>
    <w:rsid w:val="00326E95"/>
    <w:rsid w:val="00327861"/>
    <w:rsid w:val="003300B7"/>
    <w:rsid w:val="00330266"/>
    <w:rsid w:val="003319F4"/>
    <w:rsid w:val="00331FA4"/>
    <w:rsid w:val="00332864"/>
    <w:rsid w:val="00332A01"/>
    <w:rsid w:val="00333D47"/>
    <w:rsid w:val="00333FC3"/>
    <w:rsid w:val="0033509A"/>
    <w:rsid w:val="00335986"/>
    <w:rsid w:val="00335D8D"/>
    <w:rsid w:val="00335EF2"/>
    <w:rsid w:val="0033615E"/>
    <w:rsid w:val="00336992"/>
    <w:rsid w:val="00336C76"/>
    <w:rsid w:val="00336E90"/>
    <w:rsid w:val="00340F16"/>
    <w:rsid w:val="00341798"/>
    <w:rsid w:val="00341EA7"/>
    <w:rsid w:val="00342859"/>
    <w:rsid w:val="00342C7E"/>
    <w:rsid w:val="00342F33"/>
    <w:rsid w:val="00343116"/>
    <w:rsid w:val="003436C9"/>
    <w:rsid w:val="0034380F"/>
    <w:rsid w:val="00343B9A"/>
    <w:rsid w:val="0034498E"/>
    <w:rsid w:val="00344F3C"/>
    <w:rsid w:val="0034507F"/>
    <w:rsid w:val="0034556F"/>
    <w:rsid w:val="003458D6"/>
    <w:rsid w:val="003463DA"/>
    <w:rsid w:val="00346B0E"/>
    <w:rsid w:val="00347711"/>
    <w:rsid w:val="003478A2"/>
    <w:rsid w:val="00347ABD"/>
    <w:rsid w:val="0035070C"/>
    <w:rsid w:val="00350F08"/>
    <w:rsid w:val="0035124D"/>
    <w:rsid w:val="003512BE"/>
    <w:rsid w:val="00351EE9"/>
    <w:rsid w:val="0035401D"/>
    <w:rsid w:val="003544C5"/>
    <w:rsid w:val="00354B4F"/>
    <w:rsid w:val="00355C76"/>
    <w:rsid w:val="0035605E"/>
    <w:rsid w:val="00356727"/>
    <w:rsid w:val="0035685C"/>
    <w:rsid w:val="00356DE4"/>
    <w:rsid w:val="00357330"/>
    <w:rsid w:val="0036050B"/>
    <w:rsid w:val="00360A75"/>
    <w:rsid w:val="00360F15"/>
    <w:rsid w:val="0036156C"/>
    <w:rsid w:val="00361D43"/>
    <w:rsid w:val="00361FD4"/>
    <w:rsid w:val="003629F9"/>
    <w:rsid w:val="003632CF"/>
    <w:rsid w:val="00363A1E"/>
    <w:rsid w:val="00363D23"/>
    <w:rsid w:val="00363DD0"/>
    <w:rsid w:val="003642DE"/>
    <w:rsid w:val="003643CD"/>
    <w:rsid w:val="0036458C"/>
    <w:rsid w:val="00366260"/>
    <w:rsid w:val="003663F0"/>
    <w:rsid w:val="003669B3"/>
    <w:rsid w:val="00366B83"/>
    <w:rsid w:val="0036724B"/>
    <w:rsid w:val="003672E7"/>
    <w:rsid w:val="00370503"/>
    <w:rsid w:val="00370833"/>
    <w:rsid w:val="00370BDA"/>
    <w:rsid w:val="00370D17"/>
    <w:rsid w:val="00370D96"/>
    <w:rsid w:val="00371187"/>
    <w:rsid w:val="003711D9"/>
    <w:rsid w:val="003711ED"/>
    <w:rsid w:val="0037126C"/>
    <w:rsid w:val="003716AA"/>
    <w:rsid w:val="003728BA"/>
    <w:rsid w:val="00372C40"/>
    <w:rsid w:val="00372E37"/>
    <w:rsid w:val="003730A1"/>
    <w:rsid w:val="003733CF"/>
    <w:rsid w:val="00374498"/>
    <w:rsid w:val="003747CA"/>
    <w:rsid w:val="0037550A"/>
    <w:rsid w:val="0037657B"/>
    <w:rsid w:val="00377488"/>
    <w:rsid w:val="003777CA"/>
    <w:rsid w:val="00377A43"/>
    <w:rsid w:val="0038094A"/>
    <w:rsid w:val="003814E3"/>
    <w:rsid w:val="00381BB4"/>
    <w:rsid w:val="003822E4"/>
    <w:rsid w:val="0038296C"/>
    <w:rsid w:val="00383A61"/>
    <w:rsid w:val="00383A8D"/>
    <w:rsid w:val="00384669"/>
    <w:rsid w:val="00384C41"/>
    <w:rsid w:val="003854C3"/>
    <w:rsid w:val="003855B9"/>
    <w:rsid w:val="00385663"/>
    <w:rsid w:val="003857CC"/>
    <w:rsid w:val="00385B32"/>
    <w:rsid w:val="00385DBE"/>
    <w:rsid w:val="00386519"/>
    <w:rsid w:val="003871A1"/>
    <w:rsid w:val="003874CA"/>
    <w:rsid w:val="003903BC"/>
    <w:rsid w:val="00390A90"/>
    <w:rsid w:val="00390D6D"/>
    <w:rsid w:val="00390ED8"/>
    <w:rsid w:val="003916FF"/>
    <w:rsid w:val="00391766"/>
    <w:rsid w:val="00392199"/>
    <w:rsid w:val="00392DDB"/>
    <w:rsid w:val="00392FCB"/>
    <w:rsid w:val="003932C7"/>
    <w:rsid w:val="0039356F"/>
    <w:rsid w:val="00393C19"/>
    <w:rsid w:val="00393DD4"/>
    <w:rsid w:val="00395134"/>
    <w:rsid w:val="00395417"/>
    <w:rsid w:val="00396143"/>
    <w:rsid w:val="00396644"/>
    <w:rsid w:val="003969D4"/>
    <w:rsid w:val="00396AEB"/>
    <w:rsid w:val="00397907"/>
    <w:rsid w:val="003A142F"/>
    <w:rsid w:val="003A1715"/>
    <w:rsid w:val="003A1997"/>
    <w:rsid w:val="003A1BC6"/>
    <w:rsid w:val="003A1D27"/>
    <w:rsid w:val="003A2B87"/>
    <w:rsid w:val="003A2C40"/>
    <w:rsid w:val="003A3592"/>
    <w:rsid w:val="003A3CB3"/>
    <w:rsid w:val="003A3DE4"/>
    <w:rsid w:val="003A42DE"/>
    <w:rsid w:val="003A4E9A"/>
    <w:rsid w:val="003A505A"/>
    <w:rsid w:val="003A5A1E"/>
    <w:rsid w:val="003A69DF"/>
    <w:rsid w:val="003A6D7E"/>
    <w:rsid w:val="003A758F"/>
    <w:rsid w:val="003A7C8C"/>
    <w:rsid w:val="003B05AB"/>
    <w:rsid w:val="003B08F0"/>
    <w:rsid w:val="003B0AFC"/>
    <w:rsid w:val="003B0B7E"/>
    <w:rsid w:val="003B0E80"/>
    <w:rsid w:val="003B1DE2"/>
    <w:rsid w:val="003B256A"/>
    <w:rsid w:val="003B3506"/>
    <w:rsid w:val="003B357D"/>
    <w:rsid w:val="003B3AEB"/>
    <w:rsid w:val="003B5257"/>
    <w:rsid w:val="003B57B3"/>
    <w:rsid w:val="003B5E05"/>
    <w:rsid w:val="003B5F47"/>
    <w:rsid w:val="003B6597"/>
    <w:rsid w:val="003B666A"/>
    <w:rsid w:val="003B7893"/>
    <w:rsid w:val="003B7B1C"/>
    <w:rsid w:val="003B7F64"/>
    <w:rsid w:val="003C0204"/>
    <w:rsid w:val="003C0CD1"/>
    <w:rsid w:val="003C1E6F"/>
    <w:rsid w:val="003C2176"/>
    <w:rsid w:val="003C33A8"/>
    <w:rsid w:val="003C3939"/>
    <w:rsid w:val="003C40C9"/>
    <w:rsid w:val="003C45B2"/>
    <w:rsid w:val="003C476A"/>
    <w:rsid w:val="003C4BF2"/>
    <w:rsid w:val="003C55D5"/>
    <w:rsid w:val="003C584A"/>
    <w:rsid w:val="003C5966"/>
    <w:rsid w:val="003C6676"/>
    <w:rsid w:val="003C67A1"/>
    <w:rsid w:val="003C6A89"/>
    <w:rsid w:val="003C6BAE"/>
    <w:rsid w:val="003D0406"/>
    <w:rsid w:val="003D0C02"/>
    <w:rsid w:val="003D1319"/>
    <w:rsid w:val="003D13E4"/>
    <w:rsid w:val="003D1989"/>
    <w:rsid w:val="003D29FC"/>
    <w:rsid w:val="003D3001"/>
    <w:rsid w:val="003D30C9"/>
    <w:rsid w:val="003D31E5"/>
    <w:rsid w:val="003D4C7D"/>
    <w:rsid w:val="003D4D93"/>
    <w:rsid w:val="003D4F59"/>
    <w:rsid w:val="003D5B49"/>
    <w:rsid w:val="003D5C25"/>
    <w:rsid w:val="003D6BE3"/>
    <w:rsid w:val="003D7B98"/>
    <w:rsid w:val="003D7D21"/>
    <w:rsid w:val="003E101F"/>
    <w:rsid w:val="003E111E"/>
    <w:rsid w:val="003E2000"/>
    <w:rsid w:val="003E22EA"/>
    <w:rsid w:val="003E267F"/>
    <w:rsid w:val="003E3014"/>
    <w:rsid w:val="003E321C"/>
    <w:rsid w:val="003E376C"/>
    <w:rsid w:val="003E46FC"/>
    <w:rsid w:val="003E4F3B"/>
    <w:rsid w:val="003E6321"/>
    <w:rsid w:val="003E63F6"/>
    <w:rsid w:val="003E733A"/>
    <w:rsid w:val="003E77B1"/>
    <w:rsid w:val="003E77CF"/>
    <w:rsid w:val="003F0BCD"/>
    <w:rsid w:val="003F162F"/>
    <w:rsid w:val="003F174F"/>
    <w:rsid w:val="003F2441"/>
    <w:rsid w:val="003F5225"/>
    <w:rsid w:val="003F5B6F"/>
    <w:rsid w:val="003F6054"/>
    <w:rsid w:val="003F6355"/>
    <w:rsid w:val="003F6368"/>
    <w:rsid w:val="003F6686"/>
    <w:rsid w:val="003F7460"/>
    <w:rsid w:val="003F7575"/>
    <w:rsid w:val="003F7C61"/>
    <w:rsid w:val="0040044C"/>
    <w:rsid w:val="004014DD"/>
    <w:rsid w:val="004017A0"/>
    <w:rsid w:val="004017D5"/>
    <w:rsid w:val="004019FC"/>
    <w:rsid w:val="00402AC0"/>
    <w:rsid w:val="00402AE5"/>
    <w:rsid w:val="00402BF8"/>
    <w:rsid w:val="00402C83"/>
    <w:rsid w:val="00402DF8"/>
    <w:rsid w:val="00403467"/>
    <w:rsid w:val="0040409E"/>
    <w:rsid w:val="00404F13"/>
    <w:rsid w:val="00404F8F"/>
    <w:rsid w:val="00405DDD"/>
    <w:rsid w:val="0040624C"/>
    <w:rsid w:val="00406A54"/>
    <w:rsid w:val="00407694"/>
    <w:rsid w:val="00407BA4"/>
    <w:rsid w:val="004106D3"/>
    <w:rsid w:val="00410E60"/>
    <w:rsid w:val="00411123"/>
    <w:rsid w:val="0041123C"/>
    <w:rsid w:val="00411557"/>
    <w:rsid w:val="00411D3D"/>
    <w:rsid w:val="004121B8"/>
    <w:rsid w:val="00412B37"/>
    <w:rsid w:val="00413D3D"/>
    <w:rsid w:val="00413F48"/>
    <w:rsid w:val="004143D2"/>
    <w:rsid w:val="00414AFE"/>
    <w:rsid w:val="004157A5"/>
    <w:rsid w:val="00415DC7"/>
    <w:rsid w:val="004205EF"/>
    <w:rsid w:val="00420898"/>
    <w:rsid w:val="004208D8"/>
    <w:rsid w:val="00421A1F"/>
    <w:rsid w:val="00421B23"/>
    <w:rsid w:val="004221BB"/>
    <w:rsid w:val="00422229"/>
    <w:rsid w:val="00422597"/>
    <w:rsid w:val="004231B2"/>
    <w:rsid w:val="004237B7"/>
    <w:rsid w:val="0042497C"/>
    <w:rsid w:val="00424C8F"/>
    <w:rsid w:val="004255CE"/>
    <w:rsid w:val="00426383"/>
    <w:rsid w:val="004264EE"/>
    <w:rsid w:val="00431071"/>
    <w:rsid w:val="004312FF"/>
    <w:rsid w:val="00431CEA"/>
    <w:rsid w:val="00431D1B"/>
    <w:rsid w:val="00431FFB"/>
    <w:rsid w:val="00432556"/>
    <w:rsid w:val="0043323F"/>
    <w:rsid w:val="0043334F"/>
    <w:rsid w:val="00433B5A"/>
    <w:rsid w:val="00433D1A"/>
    <w:rsid w:val="004341F5"/>
    <w:rsid w:val="004343E6"/>
    <w:rsid w:val="00435B7B"/>
    <w:rsid w:val="00435F87"/>
    <w:rsid w:val="00436729"/>
    <w:rsid w:val="004367FC"/>
    <w:rsid w:val="00436933"/>
    <w:rsid w:val="004369C2"/>
    <w:rsid w:val="004374E8"/>
    <w:rsid w:val="004400D0"/>
    <w:rsid w:val="0044095F"/>
    <w:rsid w:val="0044186F"/>
    <w:rsid w:val="00441A8B"/>
    <w:rsid w:val="00442581"/>
    <w:rsid w:val="00442709"/>
    <w:rsid w:val="00442DF1"/>
    <w:rsid w:val="00443052"/>
    <w:rsid w:val="004431D1"/>
    <w:rsid w:val="00443A87"/>
    <w:rsid w:val="00444100"/>
    <w:rsid w:val="004443C1"/>
    <w:rsid w:val="00444578"/>
    <w:rsid w:val="00444F3F"/>
    <w:rsid w:val="004450C1"/>
    <w:rsid w:val="00445303"/>
    <w:rsid w:val="004456E7"/>
    <w:rsid w:val="00445AC1"/>
    <w:rsid w:val="00445CAE"/>
    <w:rsid w:val="00446929"/>
    <w:rsid w:val="00446960"/>
    <w:rsid w:val="00447091"/>
    <w:rsid w:val="00447796"/>
    <w:rsid w:val="004478DE"/>
    <w:rsid w:val="00447B5C"/>
    <w:rsid w:val="004502B5"/>
    <w:rsid w:val="0045141C"/>
    <w:rsid w:val="00451822"/>
    <w:rsid w:val="00451AF6"/>
    <w:rsid w:val="00453DF2"/>
    <w:rsid w:val="004545E5"/>
    <w:rsid w:val="004546F5"/>
    <w:rsid w:val="00454758"/>
    <w:rsid w:val="00455592"/>
    <w:rsid w:val="0045568C"/>
    <w:rsid w:val="00455A49"/>
    <w:rsid w:val="004561ED"/>
    <w:rsid w:val="00456FDF"/>
    <w:rsid w:val="00457688"/>
    <w:rsid w:val="00457AE5"/>
    <w:rsid w:val="00457C00"/>
    <w:rsid w:val="00457CEA"/>
    <w:rsid w:val="00457D91"/>
    <w:rsid w:val="00460500"/>
    <w:rsid w:val="00460A1E"/>
    <w:rsid w:val="00462018"/>
    <w:rsid w:val="004621D7"/>
    <w:rsid w:val="004642F9"/>
    <w:rsid w:val="00464E2D"/>
    <w:rsid w:val="0046618A"/>
    <w:rsid w:val="0046647E"/>
    <w:rsid w:val="0046666F"/>
    <w:rsid w:val="00467538"/>
    <w:rsid w:val="00467667"/>
    <w:rsid w:val="00467B4A"/>
    <w:rsid w:val="00470130"/>
    <w:rsid w:val="004707F1"/>
    <w:rsid w:val="004715F1"/>
    <w:rsid w:val="0047171E"/>
    <w:rsid w:val="0047190B"/>
    <w:rsid w:val="00471D5E"/>
    <w:rsid w:val="00471F45"/>
    <w:rsid w:val="004724C8"/>
    <w:rsid w:val="00472B3A"/>
    <w:rsid w:val="00472E7C"/>
    <w:rsid w:val="00472FFC"/>
    <w:rsid w:val="00473577"/>
    <w:rsid w:val="004737C2"/>
    <w:rsid w:val="0047420A"/>
    <w:rsid w:val="004745CF"/>
    <w:rsid w:val="00474A71"/>
    <w:rsid w:val="00474B20"/>
    <w:rsid w:val="0047673E"/>
    <w:rsid w:val="00476974"/>
    <w:rsid w:val="00476AB6"/>
    <w:rsid w:val="00476D6A"/>
    <w:rsid w:val="00476F46"/>
    <w:rsid w:val="004772C6"/>
    <w:rsid w:val="00477CC5"/>
    <w:rsid w:val="00480CCC"/>
    <w:rsid w:val="00480F4E"/>
    <w:rsid w:val="004811F0"/>
    <w:rsid w:val="00481906"/>
    <w:rsid w:val="00482AB0"/>
    <w:rsid w:val="00482C48"/>
    <w:rsid w:val="00483480"/>
    <w:rsid w:val="0048396C"/>
    <w:rsid w:val="00483BDB"/>
    <w:rsid w:val="00483C3C"/>
    <w:rsid w:val="00483F38"/>
    <w:rsid w:val="00483F4F"/>
    <w:rsid w:val="00484100"/>
    <w:rsid w:val="00484146"/>
    <w:rsid w:val="004843D1"/>
    <w:rsid w:val="004848C0"/>
    <w:rsid w:val="0048499D"/>
    <w:rsid w:val="004855C6"/>
    <w:rsid w:val="00485669"/>
    <w:rsid w:val="00486325"/>
    <w:rsid w:val="004866EC"/>
    <w:rsid w:val="0048673B"/>
    <w:rsid w:val="004875E3"/>
    <w:rsid w:val="00487668"/>
    <w:rsid w:val="0048770D"/>
    <w:rsid w:val="00487C3C"/>
    <w:rsid w:val="00490124"/>
    <w:rsid w:val="00490AC5"/>
    <w:rsid w:val="00490FC5"/>
    <w:rsid w:val="004918DE"/>
    <w:rsid w:val="00491C03"/>
    <w:rsid w:val="00492C33"/>
    <w:rsid w:val="00492E07"/>
    <w:rsid w:val="00492E7F"/>
    <w:rsid w:val="00492ED0"/>
    <w:rsid w:val="00492F78"/>
    <w:rsid w:val="004931B6"/>
    <w:rsid w:val="004936D2"/>
    <w:rsid w:val="0049390A"/>
    <w:rsid w:val="00493A24"/>
    <w:rsid w:val="00493B8D"/>
    <w:rsid w:val="00493C94"/>
    <w:rsid w:val="0049530A"/>
    <w:rsid w:val="004954E6"/>
    <w:rsid w:val="004979CF"/>
    <w:rsid w:val="004A0611"/>
    <w:rsid w:val="004A0C7E"/>
    <w:rsid w:val="004A0F45"/>
    <w:rsid w:val="004A12E3"/>
    <w:rsid w:val="004A19D0"/>
    <w:rsid w:val="004A27EE"/>
    <w:rsid w:val="004A29AA"/>
    <w:rsid w:val="004A2DD8"/>
    <w:rsid w:val="004A322F"/>
    <w:rsid w:val="004A3838"/>
    <w:rsid w:val="004A4155"/>
    <w:rsid w:val="004A4CF1"/>
    <w:rsid w:val="004A51CA"/>
    <w:rsid w:val="004A5724"/>
    <w:rsid w:val="004A5A02"/>
    <w:rsid w:val="004A6A0A"/>
    <w:rsid w:val="004A6CBB"/>
    <w:rsid w:val="004A7253"/>
    <w:rsid w:val="004A7EAB"/>
    <w:rsid w:val="004B002B"/>
    <w:rsid w:val="004B00EA"/>
    <w:rsid w:val="004B0715"/>
    <w:rsid w:val="004B07B6"/>
    <w:rsid w:val="004B105A"/>
    <w:rsid w:val="004B228D"/>
    <w:rsid w:val="004B2A55"/>
    <w:rsid w:val="004B34CB"/>
    <w:rsid w:val="004B39C3"/>
    <w:rsid w:val="004B4ADA"/>
    <w:rsid w:val="004B4C88"/>
    <w:rsid w:val="004B4F5D"/>
    <w:rsid w:val="004B503C"/>
    <w:rsid w:val="004B59B7"/>
    <w:rsid w:val="004B5D25"/>
    <w:rsid w:val="004B70A4"/>
    <w:rsid w:val="004B7111"/>
    <w:rsid w:val="004B720F"/>
    <w:rsid w:val="004B775E"/>
    <w:rsid w:val="004C0048"/>
    <w:rsid w:val="004C0DD6"/>
    <w:rsid w:val="004C2419"/>
    <w:rsid w:val="004C2CED"/>
    <w:rsid w:val="004C35B0"/>
    <w:rsid w:val="004C363D"/>
    <w:rsid w:val="004C36AC"/>
    <w:rsid w:val="004C3A1C"/>
    <w:rsid w:val="004C404D"/>
    <w:rsid w:val="004C43C3"/>
    <w:rsid w:val="004C47BA"/>
    <w:rsid w:val="004C4BA1"/>
    <w:rsid w:val="004C550A"/>
    <w:rsid w:val="004C68F8"/>
    <w:rsid w:val="004C7161"/>
    <w:rsid w:val="004D0512"/>
    <w:rsid w:val="004D1444"/>
    <w:rsid w:val="004D1601"/>
    <w:rsid w:val="004D1E45"/>
    <w:rsid w:val="004D29A1"/>
    <w:rsid w:val="004D34B6"/>
    <w:rsid w:val="004D3B84"/>
    <w:rsid w:val="004D3CC3"/>
    <w:rsid w:val="004D3F4A"/>
    <w:rsid w:val="004D457D"/>
    <w:rsid w:val="004D45CF"/>
    <w:rsid w:val="004D488D"/>
    <w:rsid w:val="004D539A"/>
    <w:rsid w:val="004D54A8"/>
    <w:rsid w:val="004D6A63"/>
    <w:rsid w:val="004D6A64"/>
    <w:rsid w:val="004D6BBB"/>
    <w:rsid w:val="004D6C7A"/>
    <w:rsid w:val="004D7051"/>
    <w:rsid w:val="004E0AFF"/>
    <w:rsid w:val="004E1635"/>
    <w:rsid w:val="004E1778"/>
    <w:rsid w:val="004E1C2D"/>
    <w:rsid w:val="004E1D8E"/>
    <w:rsid w:val="004E26B4"/>
    <w:rsid w:val="004E3080"/>
    <w:rsid w:val="004E34F2"/>
    <w:rsid w:val="004E3D44"/>
    <w:rsid w:val="004E3D9B"/>
    <w:rsid w:val="004E4CCA"/>
    <w:rsid w:val="004E4F42"/>
    <w:rsid w:val="004E6361"/>
    <w:rsid w:val="004E6853"/>
    <w:rsid w:val="004E6916"/>
    <w:rsid w:val="004E6F80"/>
    <w:rsid w:val="004E754A"/>
    <w:rsid w:val="004E75AD"/>
    <w:rsid w:val="004E7A6A"/>
    <w:rsid w:val="004F0A36"/>
    <w:rsid w:val="004F0ECF"/>
    <w:rsid w:val="004F1830"/>
    <w:rsid w:val="004F18AB"/>
    <w:rsid w:val="004F1A8A"/>
    <w:rsid w:val="004F2A9E"/>
    <w:rsid w:val="004F2AE6"/>
    <w:rsid w:val="004F2D4A"/>
    <w:rsid w:val="004F2D75"/>
    <w:rsid w:val="004F317B"/>
    <w:rsid w:val="004F326F"/>
    <w:rsid w:val="004F3C00"/>
    <w:rsid w:val="004F3F8C"/>
    <w:rsid w:val="004F4217"/>
    <w:rsid w:val="004F4BE6"/>
    <w:rsid w:val="004F4CF1"/>
    <w:rsid w:val="004F4E2E"/>
    <w:rsid w:val="004F5DE3"/>
    <w:rsid w:val="004F6061"/>
    <w:rsid w:val="004F6959"/>
    <w:rsid w:val="004F6CB6"/>
    <w:rsid w:val="004F6E1F"/>
    <w:rsid w:val="004F73BB"/>
    <w:rsid w:val="005013C0"/>
    <w:rsid w:val="00501D58"/>
    <w:rsid w:val="00502387"/>
    <w:rsid w:val="005048C3"/>
    <w:rsid w:val="005054C6"/>
    <w:rsid w:val="0050552A"/>
    <w:rsid w:val="0050562B"/>
    <w:rsid w:val="0050666C"/>
    <w:rsid w:val="00506E9C"/>
    <w:rsid w:val="00506F59"/>
    <w:rsid w:val="005070BD"/>
    <w:rsid w:val="005077A6"/>
    <w:rsid w:val="00507E27"/>
    <w:rsid w:val="00510097"/>
    <w:rsid w:val="00510428"/>
    <w:rsid w:val="00510EB5"/>
    <w:rsid w:val="00511157"/>
    <w:rsid w:val="005111C7"/>
    <w:rsid w:val="00511398"/>
    <w:rsid w:val="00511CA0"/>
    <w:rsid w:val="005125CE"/>
    <w:rsid w:val="0051279A"/>
    <w:rsid w:val="00512977"/>
    <w:rsid w:val="00512979"/>
    <w:rsid w:val="00512DA1"/>
    <w:rsid w:val="00513424"/>
    <w:rsid w:val="00514164"/>
    <w:rsid w:val="005147AB"/>
    <w:rsid w:val="00514AE5"/>
    <w:rsid w:val="00514CE5"/>
    <w:rsid w:val="00515309"/>
    <w:rsid w:val="005158CF"/>
    <w:rsid w:val="00515BC3"/>
    <w:rsid w:val="00516C61"/>
    <w:rsid w:val="00517244"/>
    <w:rsid w:val="005176E8"/>
    <w:rsid w:val="00517D22"/>
    <w:rsid w:val="005201ED"/>
    <w:rsid w:val="00520A54"/>
    <w:rsid w:val="00521032"/>
    <w:rsid w:val="005211A5"/>
    <w:rsid w:val="00521B11"/>
    <w:rsid w:val="005225C2"/>
    <w:rsid w:val="00522790"/>
    <w:rsid w:val="005227C9"/>
    <w:rsid w:val="00523BE0"/>
    <w:rsid w:val="0052436F"/>
    <w:rsid w:val="00525024"/>
    <w:rsid w:val="00526406"/>
    <w:rsid w:val="00526911"/>
    <w:rsid w:val="00526CB2"/>
    <w:rsid w:val="00527761"/>
    <w:rsid w:val="00527BB6"/>
    <w:rsid w:val="00527D8E"/>
    <w:rsid w:val="00527FF6"/>
    <w:rsid w:val="005302CB"/>
    <w:rsid w:val="0053076F"/>
    <w:rsid w:val="00531220"/>
    <w:rsid w:val="00531874"/>
    <w:rsid w:val="00531A7E"/>
    <w:rsid w:val="00531DE0"/>
    <w:rsid w:val="005323E1"/>
    <w:rsid w:val="0053266E"/>
    <w:rsid w:val="005328B9"/>
    <w:rsid w:val="0053577D"/>
    <w:rsid w:val="00536BC3"/>
    <w:rsid w:val="005375B9"/>
    <w:rsid w:val="00540395"/>
    <w:rsid w:val="005403C2"/>
    <w:rsid w:val="005406B3"/>
    <w:rsid w:val="00540B10"/>
    <w:rsid w:val="00540B2F"/>
    <w:rsid w:val="00540DA5"/>
    <w:rsid w:val="00540E81"/>
    <w:rsid w:val="0054103C"/>
    <w:rsid w:val="005412DC"/>
    <w:rsid w:val="0054169F"/>
    <w:rsid w:val="00541BE2"/>
    <w:rsid w:val="0054251E"/>
    <w:rsid w:val="00542E3B"/>
    <w:rsid w:val="0054392D"/>
    <w:rsid w:val="00543AC7"/>
    <w:rsid w:val="00544192"/>
    <w:rsid w:val="005441FC"/>
    <w:rsid w:val="005446CC"/>
    <w:rsid w:val="00544847"/>
    <w:rsid w:val="00544909"/>
    <w:rsid w:val="0054509E"/>
    <w:rsid w:val="005451FB"/>
    <w:rsid w:val="00545635"/>
    <w:rsid w:val="005457D1"/>
    <w:rsid w:val="005459F2"/>
    <w:rsid w:val="00545A4B"/>
    <w:rsid w:val="0054739E"/>
    <w:rsid w:val="0054744D"/>
    <w:rsid w:val="00547E4A"/>
    <w:rsid w:val="00550149"/>
    <w:rsid w:val="005507C4"/>
    <w:rsid w:val="00550D14"/>
    <w:rsid w:val="0055143F"/>
    <w:rsid w:val="005514BE"/>
    <w:rsid w:val="00551510"/>
    <w:rsid w:val="00551CBB"/>
    <w:rsid w:val="00552968"/>
    <w:rsid w:val="00552FE5"/>
    <w:rsid w:val="0055378D"/>
    <w:rsid w:val="00554361"/>
    <w:rsid w:val="0055538F"/>
    <w:rsid w:val="00555EED"/>
    <w:rsid w:val="005560D7"/>
    <w:rsid w:val="005563ED"/>
    <w:rsid w:val="0055642E"/>
    <w:rsid w:val="00556FEB"/>
    <w:rsid w:val="005571FA"/>
    <w:rsid w:val="00557658"/>
    <w:rsid w:val="00560032"/>
    <w:rsid w:val="00560665"/>
    <w:rsid w:val="00560726"/>
    <w:rsid w:val="005620C8"/>
    <w:rsid w:val="0056230B"/>
    <w:rsid w:val="00562AD2"/>
    <w:rsid w:val="00563991"/>
    <w:rsid w:val="00564628"/>
    <w:rsid w:val="00564C76"/>
    <w:rsid w:val="0056534B"/>
    <w:rsid w:val="005659CC"/>
    <w:rsid w:val="00565FB3"/>
    <w:rsid w:val="00566224"/>
    <w:rsid w:val="0056651E"/>
    <w:rsid w:val="005668CF"/>
    <w:rsid w:val="0056713D"/>
    <w:rsid w:val="005700A6"/>
    <w:rsid w:val="005709C3"/>
    <w:rsid w:val="00570BB8"/>
    <w:rsid w:val="00571061"/>
    <w:rsid w:val="0057141D"/>
    <w:rsid w:val="00571BEF"/>
    <w:rsid w:val="00571F12"/>
    <w:rsid w:val="00572CBA"/>
    <w:rsid w:val="0057325A"/>
    <w:rsid w:val="00573C3A"/>
    <w:rsid w:val="00573F07"/>
    <w:rsid w:val="0057652D"/>
    <w:rsid w:val="00576650"/>
    <w:rsid w:val="0057689D"/>
    <w:rsid w:val="00576C09"/>
    <w:rsid w:val="005772D2"/>
    <w:rsid w:val="00577966"/>
    <w:rsid w:val="00580314"/>
    <w:rsid w:val="0058062B"/>
    <w:rsid w:val="005807AD"/>
    <w:rsid w:val="005808CA"/>
    <w:rsid w:val="00580AB5"/>
    <w:rsid w:val="00582312"/>
    <w:rsid w:val="00582A1C"/>
    <w:rsid w:val="00583C01"/>
    <w:rsid w:val="00584DAE"/>
    <w:rsid w:val="0058650A"/>
    <w:rsid w:val="005876FA"/>
    <w:rsid w:val="00587E8E"/>
    <w:rsid w:val="0059086C"/>
    <w:rsid w:val="00591E48"/>
    <w:rsid w:val="00592A62"/>
    <w:rsid w:val="005933E8"/>
    <w:rsid w:val="00593434"/>
    <w:rsid w:val="00593900"/>
    <w:rsid w:val="0059449D"/>
    <w:rsid w:val="00594AD1"/>
    <w:rsid w:val="00594C0F"/>
    <w:rsid w:val="0059581B"/>
    <w:rsid w:val="005958FA"/>
    <w:rsid w:val="005967F5"/>
    <w:rsid w:val="00596B3E"/>
    <w:rsid w:val="00596C59"/>
    <w:rsid w:val="005971AD"/>
    <w:rsid w:val="0059767B"/>
    <w:rsid w:val="00597B35"/>
    <w:rsid w:val="00597F30"/>
    <w:rsid w:val="005A0199"/>
    <w:rsid w:val="005A14E2"/>
    <w:rsid w:val="005A1DD2"/>
    <w:rsid w:val="005A1EE6"/>
    <w:rsid w:val="005A20CB"/>
    <w:rsid w:val="005A2226"/>
    <w:rsid w:val="005A397E"/>
    <w:rsid w:val="005A4CD4"/>
    <w:rsid w:val="005A5191"/>
    <w:rsid w:val="005A52D9"/>
    <w:rsid w:val="005A59E4"/>
    <w:rsid w:val="005A5A73"/>
    <w:rsid w:val="005A5B71"/>
    <w:rsid w:val="005A5EDA"/>
    <w:rsid w:val="005A6830"/>
    <w:rsid w:val="005A6B31"/>
    <w:rsid w:val="005B03DE"/>
    <w:rsid w:val="005B08DD"/>
    <w:rsid w:val="005B0CF2"/>
    <w:rsid w:val="005B1141"/>
    <w:rsid w:val="005B12EB"/>
    <w:rsid w:val="005B1DB3"/>
    <w:rsid w:val="005B2864"/>
    <w:rsid w:val="005B2CAC"/>
    <w:rsid w:val="005B2DAF"/>
    <w:rsid w:val="005B2EF3"/>
    <w:rsid w:val="005B335D"/>
    <w:rsid w:val="005B38A1"/>
    <w:rsid w:val="005B38B9"/>
    <w:rsid w:val="005B3E21"/>
    <w:rsid w:val="005B4C64"/>
    <w:rsid w:val="005B5AA2"/>
    <w:rsid w:val="005B637F"/>
    <w:rsid w:val="005B69DB"/>
    <w:rsid w:val="005B69E9"/>
    <w:rsid w:val="005B73BE"/>
    <w:rsid w:val="005B7F80"/>
    <w:rsid w:val="005C00CE"/>
    <w:rsid w:val="005C0579"/>
    <w:rsid w:val="005C0AD1"/>
    <w:rsid w:val="005C0B3E"/>
    <w:rsid w:val="005C0F77"/>
    <w:rsid w:val="005C19DC"/>
    <w:rsid w:val="005C1EA2"/>
    <w:rsid w:val="005C29E4"/>
    <w:rsid w:val="005C2D01"/>
    <w:rsid w:val="005C2FB6"/>
    <w:rsid w:val="005C33A5"/>
    <w:rsid w:val="005C38DE"/>
    <w:rsid w:val="005C3DC4"/>
    <w:rsid w:val="005C4B67"/>
    <w:rsid w:val="005C4D94"/>
    <w:rsid w:val="005C4E8C"/>
    <w:rsid w:val="005C64BD"/>
    <w:rsid w:val="005C6512"/>
    <w:rsid w:val="005C7031"/>
    <w:rsid w:val="005C7253"/>
    <w:rsid w:val="005C726D"/>
    <w:rsid w:val="005D01BA"/>
    <w:rsid w:val="005D04BB"/>
    <w:rsid w:val="005D05B1"/>
    <w:rsid w:val="005D0C42"/>
    <w:rsid w:val="005D0D3D"/>
    <w:rsid w:val="005D0D58"/>
    <w:rsid w:val="005D121C"/>
    <w:rsid w:val="005D1CB0"/>
    <w:rsid w:val="005D2145"/>
    <w:rsid w:val="005D2646"/>
    <w:rsid w:val="005D2FE7"/>
    <w:rsid w:val="005D3557"/>
    <w:rsid w:val="005D3D16"/>
    <w:rsid w:val="005D446B"/>
    <w:rsid w:val="005D487F"/>
    <w:rsid w:val="005D5B0A"/>
    <w:rsid w:val="005D625A"/>
    <w:rsid w:val="005D705D"/>
    <w:rsid w:val="005D7D33"/>
    <w:rsid w:val="005E094E"/>
    <w:rsid w:val="005E0FD9"/>
    <w:rsid w:val="005E1421"/>
    <w:rsid w:val="005E15F1"/>
    <w:rsid w:val="005E2056"/>
    <w:rsid w:val="005E20A1"/>
    <w:rsid w:val="005E2D5F"/>
    <w:rsid w:val="005E3461"/>
    <w:rsid w:val="005E35D0"/>
    <w:rsid w:val="005E368E"/>
    <w:rsid w:val="005E3EE5"/>
    <w:rsid w:val="005E48AA"/>
    <w:rsid w:val="005E4FA3"/>
    <w:rsid w:val="005E63FA"/>
    <w:rsid w:val="005E6473"/>
    <w:rsid w:val="005E64A2"/>
    <w:rsid w:val="005E66BB"/>
    <w:rsid w:val="005E6992"/>
    <w:rsid w:val="005E6CC9"/>
    <w:rsid w:val="005E7A8D"/>
    <w:rsid w:val="005F003A"/>
    <w:rsid w:val="005F03AA"/>
    <w:rsid w:val="005F045B"/>
    <w:rsid w:val="005F0CF5"/>
    <w:rsid w:val="005F0EED"/>
    <w:rsid w:val="005F112A"/>
    <w:rsid w:val="005F15F7"/>
    <w:rsid w:val="005F180A"/>
    <w:rsid w:val="005F1E05"/>
    <w:rsid w:val="005F249B"/>
    <w:rsid w:val="005F251E"/>
    <w:rsid w:val="005F2D39"/>
    <w:rsid w:val="005F3450"/>
    <w:rsid w:val="005F3997"/>
    <w:rsid w:val="005F3C00"/>
    <w:rsid w:val="005F3FC1"/>
    <w:rsid w:val="005F5EF7"/>
    <w:rsid w:val="005F62F8"/>
    <w:rsid w:val="005F6E37"/>
    <w:rsid w:val="005F70C1"/>
    <w:rsid w:val="005F71CF"/>
    <w:rsid w:val="005F72DB"/>
    <w:rsid w:val="005F7BC5"/>
    <w:rsid w:val="005F7CD0"/>
    <w:rsid w:val="005F7D4D"/>
    <w:rsid w:val="00600DD7"/>
    <w:rsid w:val="00601246"/>
    <w:rsid w:val="006012F0"/>
    <w:rsid w:val="00602D21"/>
    <w:rsid w:val="00602EBE"/>
    <w:rsid w:val="0060327F"/>
    <w:rsid w:val="006034B7"/>
    <w:rsid w:val="006041FF"/>
    <w:rsid w:val="00604499"/>
    <w:rsid w:val="0060475E"/>
    <w:rsid w:val="0060490A"/>
    <w:rsid w:val="00606164"/>
    <w:rsid w:val="00606A01"/>
    <w:rsid w:val="00606AC8"/>
    <w:rsid w:val="00607452"/>
    <w:rsid w:val="00607503"/>
    <w:rsid w:val="006079C9"/>
    <w:rsid w:val="006105ED"/>
    <w:rsid w:val="00610C2B"/>
    <w:rsid w:val="00610F2B"/>
    <w:rsid w:val="006110F2"/>
    <w:rsid w:val="00611358"/>
    <w:rsid w:val="006119DF"/>
    <w:rsid w:val="0061324F"/>
    <w:rsid w:val="00613598"/>
    <w:rsid w:val="006139FA"/>
    <w:rsid w:val="00613E10"/>
    <w:rsid w:val="00614209"/>
    <w:rsid w:val="006146E8"/>
    <w:rsid w:val="006149B8"/>
    <w:rsid w:val="00614CAB"/>
    <w:rsid w:val="00614EAF"/>
    <w:rsid w:val="00615013"/>
    <w:rsid w:val="006154FB"/>
    <w:rsid w:val="00615C27"/>
    <w:rsid w:val="00615CC1"/>
    <w:rsid w:val="00616F26"/>
    <w:rsid w:val="006200D7"/>
    <w:rsid w:val="0062079F"/>
    <w:rsid w:val="00620AF0"/>
    <w:rsid w:val="006219B5"/>
    <w:rsid w:val="00621ECD"/>
    <w:rsid w:val="006235C9"/>
    <w:rsid w:val="00624BF0"/>
    <w:rsid w:val="006252C4"/>
    <w:rsid w:val="0062534F"/>
    <w:rsid w:val="006253EA"/>
    <w:rsid w:val="0062568A"/>
    <w:rsid w:val="00625C63"/>
    <w:rsid w:val="0062612F"/>
    <w:rsid w:val="00626397"/>
    <w:rsid w:val="00627370"/>
    <w:rsid w:val="006278A4"/>
    <w:rsid w:val="00630837"/>
    <w:rsid w:val="00630CC1"/>
    <w:rsid w:val="006310E1"/>
    <w:rsid w:val="00631BC5"/>
    <w:rsid w:val="00632256"/>
    <w:rsid w:val="0063228E"/>
    <w:rsid w:val="006326D4"/>
    <w:rsid w:val="00632709"/>
    <w:rsid w:val="00632AA9"/>
    <w:rsid w:val="006333AA"/>
    <w:rsid w:val="00633B66"/>
    <w:rsid w:val="00634668"/>
    <w:rsid w:val="006347DE"/>
    <w:rsid w:val="0063516F"/>
    <w:rsid w:val="0063535E"/>
    <w:rsid w:val="006353CF"/>
    <w:rsid w:val="006356B6"/>
    <w:rsid w:val="00635BB3"/>
    <w:rsid w:val="00637737"/>
    <w:rsid w:val="006377F1"/>
    <w:rsid w:val="00637A37"/>
    <w:rsid w:val="00637E57"/>
    <w:rsid w:val="00640481"/>
    <w:rsid w:val="006414B5"/>
    <w:rsid w:val="0064170B"/>
    <w:rsid w:val="00641D00"/>
    <w:rsid w:val="00641D92"/>
    <w:rsid w:val="006439DF"/>
    <w:rsid w:val="00643E75"/>
    <w:rsid w:val="00643EB3"/>
    <w:rsid w:val="00643FDF"/>
    <w:rsid w:val="0064418A"/>
    <w:rsid w:val="0064469B"/>
    <w:rsid w:val="00645400"/>
    <w:rsid w:val="00645BC8"/>
    <w:rsid w:val="00646529"/>
    <w:rsid w:val="00646BD4"/>
    <w:rsid w:val="0064739C"/>
    <w:rsid w:val="006476ED"/>
    <w:rsid w:val="00650017"/>
    <w:rsid w:val="006501FD"/>
    <w:rsid w:val="00650770"/>
    <w:rsid w:val="0065179A"/>
    <w:rsid w:val="006518E2"/>
    <w:rsid w:val="006518F8"/>
    <w:rsid w:val="00652782"/>
    <w:rsid w:val="006528E1"/>
    <w:rsid w:val="006532AD"/>
    <w:rsid w:val="0065350E"/>
    <w:rsid w:val="00653681"/>
    <w:rsid w:val="00653784"/>
    <w:rsid w:val="006548CF"/>
    <w:rsid w:val="006565AB"/>
    <w:rsid w:val="00656897"/>
    <w:rsid w:val="00656B24"/>
    <w:rsid w:val="006571E0"/>
    <w:rsid w:val="00657848"/>
    <w:rsid w:val="00660E34"/>
    <w:rsid w:val="00660EEE"/>
    <w:rsid w:val="00661203"/>
    <w:rsid w:val="006622FA"/>
    <w:rsid w:val="00662738"/>
    <w:rsid w:val="00663446"/>
    <w:rsid w:val="00663790"/>
    <w:rsid w:val="00663F15"/>
    <w:rsid w:val="00664163"/>
    <w:rsid w:val="00664B0C"/>
    <w:rsid w:val="00665AD4"/>
    <w:rsid w:val="00665FFE"/>
    <w:rsid w:val="0066628B"/>
    <w:rsid w:val="006668B0"/>
    <w:rsid w:val="00667B3B"/>
    <w:rsid w:val="0067009E"/>
    <w:rsid w:val="00671176"/>
    <w:rsid w:val="00671329"/>
    <w:rsid w:val="0067144E"/>
    <w:rsid w:val="00672703"/>
    <w:rsid w:val="00672C8F"/>
    <w:rsid w:val="0067349E"/>
    <w:rsid w:val="00673EB2"/>
    <w:rsid w:val="00673EBF"/>
    <w:rsid w:val="006748E1"/>
    <w:rsid w:val="00675316"/>
    <w:rsid w:val="00675B23"/>
    <w:rsid w:val="00675B54"/>
    <w:rsid w:val="00675D38"/>
    <w:rsid w:val="0067607B"/>
    <w:rsid w:val="00676CE9"/>
    <w:rsid w:val="00676F97"/>
    <w:rsid w:val="006773BE"/>
    <w:rsid w:val="00677855"/>
    <w:rsid w:val="00677B24"/>
    <w:rsid w:val="00677F1C"/>
    <w:rsid w:val="00677F8B"/>
    <w:rsid w:val="00677FA1"/>
    <w:rsid w:val="006807CF"/>
    <w:rsid w:val="00680C10"/>
    <w:rsid w:val="00680D8B"/>
    <w:rsid w:val="00682265"/>
    <w:rsid w:val="0068295C"/>
    <w:rsid w:val="00682B92"/>
    <w:rsid w:val="006839EC"/>
    <w:rsid w:val="006840EA"/>
    <w:rsid w:val="00684B6D"/>
    <w:rsid w:val="00684C08"/>
    <w:rsid w:val="0068566D"/>
    <w:rsid w:val="00685A67"/>
    <w:rsid w:val="00686102"/>
    <w:rsid w:val="0068631A"/>
    <w:rsid w:val="006863DB"/>
    <w:rsid w:val="0068676D"/>
    <w:rsid w:val="00686DD3"/>
    <w:rsid w:val="00686DE6"/>
    <w:rsid w:val="00687AD6"/>
    <w:rsid w:val="00690245"/>
    <w:rsid w:val="00690636"/>
    <w:rsid w:val="0069082D"/>
    <w:rsid w:val="00691FB2"/>
    <w:rsid w:val="00692494"/>
    <w:rsid w:val="00692B23"/>
    <w:rsid w:val="00693A26"/>
    <w:rsid w:val="0069404F"/>
    <w:rsid w:val="00694779"/>
    <w:rsid w:val="00694B71"/>
    <w:rsid w:val="00695523"/>
    <w:rsid w:val="006959DF"/>
    <w:rsid w:val="006965D1"/>
    <w:rsid w:val="006968DD"/>
    <w:rsid w:val="00696958"/>
    <w:rsid w:val="006976A3"/>
    <w:rsid w:val="006976E4"/>
    <w:rsid w:val="006979BD"/>
    <w:rsid w:val="006979D5"/>
    <w:rsid w:val="00697DF9"/>
    <w:rsid w:val="006A0DD8"/>
    <w:rsid w:val="006A1D4B"/>
    <w:rsid w:val="006A2499"/>
    <w:rsid w:val="006A43CB"/>
    <w:rsid w:val="006A467D"/>
    <w:rsid w:val="006A4AC7"/>
    <w:rsid w:val="006A512C"/>
    <w:rsid w:val="006A51A7"/>
    <w:rsid w:val="006A536B"/>
    <w:rsid w:val="006A5490"/>
    <w:rsid w:val="006A600C"/>
    <w:rsid w:val="006A6296"/>
    <w:rsid w:val="006A6737"/>
    <w:rsid w:val="006A6D36"/>
    <w:rsid w:val="006A727B"/>
    <w:rsid w:val="006A76F9"/>
    <w:rsid w:val="006B11CD"/>
    <w:rsid w:val="006B13D5"/>
    <w:rsid w:val="006B17EE"/>
    <w:rsid w:val="006B19DE"/>
    <w:rsid w:val="006B1AC5"/>
    <w:rsid w:val="006B1C2E"/>
    <w:rsid w:val="006B1C90"/>
    <w:rsid w:val="006B2B04"/>
    <w:rsid w:val="006B2ED2"/>
    <w:rsid w:val="006B380A"/>
    <w:rsid w:val="006B44C8"/>
    <w:rsid w:val="006B66B0"/>
    <w:rsid w:val="006B6AFC"/>
    <w:rsid w:val="006B7864"/>
    <w:rsid w:val="006C09B6"/>
    <w:rsid w:val="006C118C"/>
    <w:rsid w:val="006C1BC9"/>
    <w:rsid w:val="006C1C9B"/>
    <w:rsid w:val="006C229B"/>
    <w:rsid w:val="006C2587"/>
    <w:rsid w:val="006C2D52"/>
    <w:rsid w:val="006C34A8"/>
    <w:rsid w:val="006C4495"/>
    <w:rsid w:val="006C452A"/>
    <w:rsid w:val="006C4A73"/>
    <w:rsid w:val="006C5171"/>
    <w:rsid w:val="006C5B39"/>
    <w:rsid w:val="006C5ECC"/>
    <w:rsid w:val="006C5F19"/>
    <w:rsid w:val="006C6406"/>
    <w:rsid w:val="006C6753"/>
    <w:rsid w:val="006C68D7"/>
    <w:rsid w:val="006C6955"/>
    <w:rsid w:val="006C69E2"/>
    <w:rsid w:val="006C7F70"/>
    <w:rsid w:val="006D07F4"/>
    <w:rsid w:val="006D1469"/>
    <w:rsid w:val="006D1FDE"/>
    <w:rsid w:val="006D28B6"/>
    <w:rsid w:val="006D2AFD"/>
    <w:rsid w:val="006D2E50"/>
    <w:rsid w:val="006D340F"/>
    <w:rsid w:val="006D367C"/>
    <w:rsid w:val="006D38FA"/>
    <w:rsid w:val="006D3B73"/>
    <w:rsid w:val="006D41AF"/>
    <w:rsid w:val="006D525D"/>
    <w:rsid w:val="006D657F"/>
    <w:rsid w:val="006D6C7E"/>
    <w:rsid w:val="006E0802"/>
    <w:rsid w:val="006E0A96"/>
    <w:rsid w:val="006E14E2"/>
    <w:rsid w:val="006E1853"/>
    <w:rsid w:val="006E1B37"/>
    <w:rsid w:val="006E1DA0"/>
    <w:rsid w:val="006E2177"/>
    <w:rsid w:val="006E2A71"/>
    <w:rsid w:val="006E2AFB"/>
    <w:rsid w:val="006E2FDA"/>
    <w:rsid w:val="006E3035"/>
    <w:rsid w:val="006E35FE"/>
    <w:rsid w:val="006E3673"/>
    <w:rsid w:val="006E39F8"/>
    <w:rsid w:val="006E3E0A"/>
    <w:rsid w:val="006E405A"/>
    <w:rsid w:val="006E4C92"/>
    <w:rsid w:val="006E596C"/>
    <w:rsid w:val="006E6FFF"/>
    <w:rsid w:val="006E707E"/>
    <w:rsid w:val="006E71EA"/>
    <w:rsid w:val="006E7A02"/>
    <w:rsid w:val="006E7A5A"/>
    <w:rsid w:val="006F0374"/>
    <w:rsid w:val="006F04F3"/>
    <w:rsid w:val="006F07D9"/>
    <w:rsid w:val="006F0F6A"/>
    <w:rsid w:val="006F1AB5"/>
    <w:rsid w:val="006F1E16"/>
    <w:rsid w:val="006F292F"/>
    <w:rsid w:val="006F36E7"/>
    <w:rsid w:val="006F3B71"/>
    <w:rsid w:val="006F4153"/>
    <w:rsid w:val="006F495B"/>
    <w:rsid w:val="006F4BB3"/>
    <w:rsid w:val="006F57A5"/>
    <w:rsid w:val="006F580E"/>
    <w:rsid w:val="006F60DF"/>
    <w:rsid w:val="006F697F"/>
    <w:rsid w:val="006F7D66"/>
    <w:rsid w:val="007012A7"/>
    <w:rsid w:val="00701C92"/>
    <w:rsid w:val="00701ED3"/>
    <w:rsid w:val="0070222A"/>
    <w:rsid w:val="0070227F"/>
    <w:rsid w:val="00702D7D"/>
    <w:rsid w:val="00702F54"/>
    <w:rsid w:val="007036CE"/>
    <w:rsid w:val="0070382F"/>
    <w:rsid w:val="00703EAC"/>
    <w:rsid w:val="00704938"/>
    <w:rsid w:val="0070504F"/>
    <w:rsid w:val="0070599B"/>
    <w:rsid w:val="00705C70"/>
    <w:rsid w:val="00705F9D"/>
    <w:rsid w:val="0070648A"/>
    <w:rsid w:val="00706A60"/>
    <w:rsid w:val="0070738F"/>
    <w:rsid w:val="00707630"/>
    <w:rsid w:val="007078F3"/>
    <w:rsid w:val="00707E2C"/>
    <w:rsid w:val="00710219"/>
    <w:rsid w:val="00711052"/>
    <w:rsid w:val="0071107B"/>
    <w:rsid w:val="00712955"/>
    <w:rsid w:val="00712ADF"/>
    <w:rsid w:val="00712B08"/>
    <w:rsid w:val="007130F7"/>
    <w:rsid w:val="00713D24"/>
    <w:rsid w:val="00714353"/>
    <w:rsid w:val="0071444A"/>
    <w:rsid w:val="0071471B"/>
    <w:rsid w:val="00715BEF"/>
    <w:rsid w:val="00716258"/>
    <w:rsid w:val="0071656E"/>
    <w:rsid w:val="00716F8E"/>
    <w:rsid w:val="00717952"/>
    <w:rsid w:val="0072028B"/>
    <w:rsid w:val="007210F6"/>
    <w:rsid w:val="007212AD"/>
    <w:rsid w:val="0072278D"/>
    <w:rsid w:val="00722942"/>
    <w:rsid w:val="007229C4"/>
    <w:rsid w:val="00723B61"/>
    <w:rsid w:val="00723B82"/>
    <w:rsid w:val="00723D3E"/>
    <w:rsid w:val="0072467B"/>
    <w:rsid w:val="0072467E"/>
    <w:rsid w:val="00724762"/>
    <w:rsid w:val="00724923"/>
    <w:rsid w:val="007250BA"/>
    <w:rsid w:val="0072546E"/>
    <w:rsid w:val="007255F3"/>
    <w:rsid w:val="00725890"/>
    <w:rsid w:val="00725FD6"/>
    <w:rsid w:val="0072779B"/>
    <w:rsid w:val="00727CB2"/>
    <w:rsid w:val="00730D39"/>
    <w:rsid w:val="00731322"/>
    <w:rsid w:val="0073179A"/>
    <w:rsid w:val="00731C0B"/>
    <w:rsid w:val="00732A18"/>
    <w:rsid w:val="00732B8B"/>
    <w:rsid w:val="00732E65"/>
    <w:rsid w:val="007331CE"/>
    <w:rsid w:val="0073354D"/>
    <w:rsid w:val="00733FF3"/>
    <w:rsid w:val="007343AD"/>
    <w:rsid w:val="00734D0B"/>
    <w:rsid w:val="00734EB9"/>
    <w:rsid w:val="0073551B"/>
    <w:rsid w:val="00735B4A"/>
    <w:rsid w:val="00735D24"/>
    <w:rsid w:val="00736329"/>
    <w:rsid w:val="00737A8F"/>
    <w:rsid w:val="007407DC"/>
    <w:rsid w:val="00740CA0"/>
    <w:rsid w:val="00740D24"/>
    <w:rsid w:val="00741D82"/>
    <w:rsid w:val="00741DC2"/>
    <w:rsid w:val="00742A7A"/>
    <w:rsid w:val="00745615"/>
    <w:rsid w:val="00745945"/>
    <w:rsid w:val="007464F5"/>
    <w:rsid w:val="00746FC2"/>
    <w:rsid w:val="0074791D"/>
    <w:rsid w:val="00747C53"/>
    <w:rsid w:val="00747D4C"/>
    <w:rsid w:val="0075008A"/>
    <w:rsid w:val="007501C8"/>
    <w:rsid w:val="00750324"/>
    <w:rsid w:val="007504CE"/>
    <w:rsid w:val="007516FB"/>
    <w:rsid w:val="007517FC"/>
    <w:rsid w:val="00751936"/>
    <w:rsid w:val="00751B59"/>
    <w:rsid w:val="00752D94"/>
    <w:rsid w:val="00753EE4"/>
    <w:rsid w:val="007547ED"/>
    <w:rsid w:val="00754D20"/>
    <w:rsid w:val="00755348"/>
    <w:rsid w:val="00755801"/>
    <w:rsid w:val="00755E87"/>
    <w:rsid w:val="00756911"/>
    <w:rsid w:val="00756F69"/>
    <w:rsid w:val="00757027"/>
    <w:rsid w:val="00757365"/>
    <w:rsid w:val="007575A0"/>
    <w:rsid w:val="007579CD"/>
    <w:rsid w:val="007603A8"/>
    <w:rsid w:val="00760718"/>
    <w:rsid w:val="00760E28"/>
    <w:rsid w:val="007614E0"/>
    <w:rsid w:val="00763E95"/>
    <w:rsid w:val="0076403F"/>
    <w:rsid w:val="00764861"/>
    <w:rsid w:val="007653A0"/>
    <w:rsid w:val="00765756"/>
    <w:rsid w:val="007661D6"/>
    <w:rsid w:val="00766226"/>
    <w:rsid w:val="00767C70"/>
    <w:rsid w:val="00770317"/>
    <w:rsid w:val="00770650"/>
    <w:rsid w:val="0077093A"/>
    <w:rsid w:val="00770F7F"/>
    <w:rsid w:val="0077114B"/>
    <w:rsid w:val="0077187B"/>
    <w:rsid w:val="00771F1D"/>
    <w:rsid w:val="00772043"/>
    <w:rsid w:val="007746D5"/>
    <w:rsid w:val="007749A1"/>
    <w:rsid w:val="00774A8A"/>
    <w:rsid w:val="00774B31"/>
    <w:rsid w:val="00774B36"/>
    <w:rsid w:val="0077510F"/>
    <w:rsid w:val="00775F37"/>
    <w:rsid w:val="007766B9"/>
    <w:rsid w:val="00776D08"/>
    <w:rsid w:val="00776DC5"/>
    <w:rsid w:val="007771B8"/>
    <w:rsid w:val="007772A0"/>
    <w:rsid w:val="007773A2"/>
    <w:rsid w:val="00780701"/>
    <w:rsid w:val="0078172A"/>
    <w:rsid w:val="0078191C"/>
    <w:rsid w:val="007824B0"/>
    <w:rsid w:val="00782EB7"/>
    <w:rsid w:val="00783198"/>
    <w:rsid w:val="007840E1"/>
    <w:rsid w:val="007849AF"/>
    <w:rsid w:val="00784E88"/>
    <w:rsid w:val="007857AF"/>
    <w:rsid w:val="007868F4"/>
    <w:rsid w:val="00787413"/>
    <w:rsid w:val="00787B9A"/>
    <w:rsid w:val="00787E55"/>
    <w:rsid w:val="00790B9F"/>
    <w:rsid w:val="00790E1D"/>
    <w:rsid w:val="00790F21"/>
    <w:rsid w:val="00791192"/>
    <w:rsid w:val="0079153C"/>
    <w:rsid w:val="007916DC"/>
    <w:rsid w:val="00792A62"/>
    <w:rsid w:val="0079303F"/>
    <w:rsid w:val="00793968"/>
    <w:rsid w:val="0079401F"/>
    <w:rsid w:val="00794ACA"/>
    <w:rsid w:val="007950B2"/>
    <w:rsid w:val="00795A13"/>
    <w:rsid w:val="0079627C"/>
    <w:rsid w:val="007A02FC"/>
    <w:rsid w:val="007A0507"/>
    <w:rsid w:val="007A0A0B"/>
    <w:rsid w:val="007A1FB9"/>
    <w:rsid w:val="007A5354"/>
    <w:rsid w:val="007A5CD0"/>
    <w:rsid w:val="007A5D1E"/>
    <w:rsid w:val="007A7E4A"/>
    <w:rsid w:val="007B0249"/>
    <w:rsid w:val="007B04F9"/>
    <w:rsid w:val="007B067D"/>
    <w:rsid w:val="007B1B56"/>
    <w:rsid w:val="007B1C1E"/>
    <w:rsid w:val="007B1F80"/>
    <w:rsid w:val="007B2206"/>
    <w:rsid w:val="007B24D3"/>
    <w:rsid w:val="007B2876"/>
    <w:rsid w:val="007B2E9D"/>
    <w:rsid w:val="007B306B"/>
    <w:rsid w:val="007B3F80"/>
    <w:rsid w:val="007B5788"/>
    <w:rsid w:val="007B58D6"/>
    <w:rsid w:val="007B5DDA"/>
    <w:rsid w:val="007B613B"/>
    <w:rsid w:val="007B708B"/>
    <w:rsid w:val="007C0C70"/>
    <w:rsid w:val="007C120E"/>
    <w:rsid w:val="007C1AF9"/>
    <w:rsid w:val="007C1C17"/>
    <w:rsid w:val="007C22E3"/>
    <w:rsid w:val="007C2503"/>
    <w:rsid w:val="007C2A37"/>
    <w:rsid w:val="007C308A"/>
    <w:rsid w:val="007C3D69"/>
    <w:rsid w:val="007C3DEA"/>
    <w:rsid w:val="007C4598"/>
    <w:rsid w:val="007C4C0F"/>
    <w:rsid w:val="007C56C7"/>
    <w:rsid w:val="007C6435"/>
    <w:rsid w:val="007C6DB5"/>
    <w:rsid w:val="007C72BC"/>
    <w:rsid w:val="007C78FA"/>
    <w:rsid w:val="007D048E"/>
    <w:rsid w:val="007D076E"/>
    <w:rsid w:val="007D2021"/>
    <w:rsid w:val="007D213E"/>
    <w:rsid w:val="007D2635"/>
    <w:rsid w:val="007D273B"/>
    <w:rsid w:val="007D27DD"/>
    <w:rsid w:val="007D2C6A"/>
    <w:rsid w:val="007D3B10"/>
    <w:rsid w:val="007D4982"/>
    <w:rsid w:val="007D4A48"/>
    <w:rsid w:val="007D4CD3"/>
    <w:rsid w:val="007D4FCE"/>
    <w:rsid w:val="007D5689"/>
    <w:rsid w:val="007D6491"/>
    <w:rsid w:val="007D6A47"/>
    <w:rsid w:val="007D71CD"/>
    <w:rsid w:val="007E10AE"/>
    <w:rsid w:val="007E1516"/>
    <w:rsid w:val="007E171C"/>
    <w:rsid w:val="007E1B36"/>
    <w:rsid w:val="007E1E51"/>
    <w:rsid w:val="007E2EDD"/>
    <w:rsid w:val="007E348C"/>
    <w:rsid w:val="007E3D00"/>
    <w:rsid w:val="007E48CD"/>
    <w:rsid w:val="007E5B9A"/>
    <w:rsid w:val="007E5D9C"/>
    <w:rsid w:val="007E607A"/>
    <w:rsid w:val="007E6B5B"/>
    <w:rsid w:val="007E6BC7"/>
    <w:rsid w:val="007E75FE"/>
    <w:rsid w:val="007E7C75"/>
    <w:rsid w:val="007F0EE6"/>
    <w:rsid w:val="007F141D"/>
    <w:rsid w:val="007F1BB4"/>
    <w:rsid w:val="007F2237"/>
    <w:rsid w:val="007F3F86"/>
    <w:rsid w:val="007F4C3F"/>
    <w:rsid w:val="007F4DDE"/>
    <w:rsid w:val="007F5410"/>
    <w:rsid w:val="007F5962"/>
    <w:rsid w:val="007F6CC6"/>
    <w:rsid w:val="007F6DD6"/>
    <w:rsid w:val="007F705A"/>
    <w:rsid w:val="007F762E"/>
    <w:rsid w:val="007F7AA2"/>
    <w:rsid w:val="007F7AE3"/>
    <w:rsid w:val="007F7B65"/>
    <w:rsid w:val="008003F0"/>
    <w:rsid w:val="00800E6E"/>
    <w:rsid w:val="008013C9"/>
    <w:rsid w:val="00801552"/>
    <w:rsid w:val="00801CEC"/>
    <w:rsid w:val="008023A8"/>
    <w:rsid w:val="00802B9C"/>
    <w:rsid w:val="00802E5F"/>
    <w:rsid w:val="00803CBE"/>
    <w:rsid w:val="008044B0"/>
    <w:rsid w:val="00804628"/>
    <w:rsid w:val="0080465E"/>
    <w:rsid w:val="008046BE"/>
    <w:rsid w:val="00805F8E"/>
    <w:rsid w:val="00806533"/>
    <w:rsid w:val="00806671"/>
    <w:rsid w:val="00806BD3"/>
    <w:rsid w:val="00806D19"/>
    <w:rsid w:val="008070F8"/>
    <w:rsid w:val="0080776D"/>
    <w:rsid w:val="00807C7E"/>
    <w:rsid w:val="00807E14"/>
    <w:rsid w:val="00807FE2"/>
    <w:rsid w:val="008106C3"/>
    <w:rsid w:val="0081250E"/>
    <w:rsid w:val="00812806"/>
    <w:rsid w:val="00813455"/>
    <w:rsid w:val="00813525"/>
    <w:rsid w:val="00813A4B"/>
    <w:rsid w:val="008146EC"/>
    <w:rsid w:val="0081540A"/>
    <w:rsid w:val="00815591"/>
    <w:rsid w:val="00815717"/>
    <w:rsid w:val="00815E6A"/>
    <w:rsid w:val="008161CE"/>
    <w:rsid w:val="00816D11"/>
    <w:rsid w:val="00816E57"/>
    <w:rsid w:val="00817184"/>
    <w:rsid w:val="00817292"/>
    <w:rsid w:val="008175D4"/>
    <w:rsid w:val="008175E2"/>
    <w:rsid w:val="00823619"/>
    <w:rsid w:val="0082436A"/>
    <w:rsid w:val="0082508D"/>
    <w:rsid w:val="008250C9"/>
    <w:rsid w:val="008253E7"/>
    <w:rsid w:val="008254E0"/>
    <w:rsid w:val="0082616B"/>
    <w:rsid w:val="008262DB"/>
    <w:rsid w:val="00826811"/>
    <w:rsid w:val="00826B39"/>
    <w:rsid w:val="00827AF1"/>
    <w:rsid w:val="00827D86"/>
    <w:rsid w:val="00827DED"/>
    <w:rsid w:val="008307B6"/>
    <w:rsid w:val="008308E4"/>
    <w:rsid w:val="00830F03"/>
    <w:rsid w:val="00833385"/>
    <w:rsid w:val="0083455A"/>
    <w:rsid w:val="00834E52"/>
    <w:rsid w:val="00834E53"/>
    <w:rsid w:val="00834E6F"/>
    <w:rsid w:val="00834F40"/>
    <w:rsid w:val="00835496"/>
    <w:rsid w:val="00835610"/>
    <w:rsid w:val="00835CE6"/>
    <w:rsid w:val="0083658A"/>
    <w:rsid w:val="0083682B"/>
    <w:rsid w:val="00837408"/>
    <w:rsid w:val="00837844"/>
    <w:rsid w:val="00837EBA"/>
    <w:rsid w:val="00840110"/>
    <w:rsid w:val="00840228"/>
    <w:rsid w:val="00840798"/>
    <w:rsid w:val="008409B1"/>
    <w:rsid w:val="00840DC6"/>
    <w:rsid w:val="008416FE"/>
    <w:rsid w:val="008419C1"/>
    <w:rsid w:val="00841E01"/>
    <w:rsid w:val="00841EFB"/>
    <w:rsid w:val="00842B55"/>
    <w:rsid w:val="0084326C"/>
    <w:rsid w:val="008432B0"/>
    <w:rsid w:val="0084366E"/>
    <w:rsid w:val="008436BE"/>
    <w:rsid w:val="00843877"/>
    <w:rsid w:val="0084458E"/>
    <w:rsid w:val="0084529E"/>
    <w:rsid w:val="00845E44"/>
    <w:rsid w:val="0084603E"/>
    <w:rsid w:val="00846F30"/>
    <w:rsid w:val="00847268"/>
    <w:rsid w:val="008472B2"/>
    <w:rsid w:val="008473BF"/>
    <w:rsid w:val="0084773C"/>
    <w:rsid w:val="008478DA"/>
    <w:rsid w:val="0085058A"/>
    <w:rsid w:val="0085064E"/>
    <w:rsid w:val="00850D13"/>
    <w:rsid w:val="00851251"/>
    <w:rsid w:val="008526D9"/>
    <w:rsid w:val="008543EE"/>
    <w:rsid w:val="008546E5"/>
    <w:rsid w:val="00854E4E"/>
    <w:rsid w:val="00855FA4"/>
    <w:rsid w:val="00856001"/>
    <w:rsid w:val="008561C3"/>
    <w:rsid w:val="00856208"/>
    <w:rsid w:val="00856284"/>
    <w:rsid w:val="00856411"/>
    <w:rsid w:val="00856468"/>
    <w:rsid w:val="00856683"/>
    <w:rsid w:val="00857A8D"/>
    <w:rsid w:val="008600FE"/>
    <w:rsid w:val="0086037F"/>
    <w:rsid w:val="008604E1"/>
    <w:rsid w:val="008607B8"/>
    <w:rsid w:val="00861061"/>
    <w:rsid w:val="0086151C"/>
    <w:rsid w:val="008618AA"/>
    <w:rsid w:val="008619E7"/>
    <w:rsid w:val="00861BA0"/>
    <w:rsid w:val="00861DA4"/>
    <w:rsid w:val="00861F45"/>
    <w:rsid w:val="00862C7B"/>
    <w:rsid w:val="00862D92"/>
    <w:rsid w:val="00862F53"/>
    <w:rsid w:val="008633FD"/>
    <w:rsid w:val="008639D5"/>
    <w:rsid w:val="00863C0D"/>
    <w:rsid w:val="008640E0"/>
    <w:rsid w:val="0086582B"/>
    <w:rsid w:val="00865C62"/>
    <w:rsid w:val="00866114"/>
    <w:rsid w:val="0086674C"/>
    <w:rsid w:val="00867674"/>
    <w:rsid w:val="00867976"/>
    <w:rsid w:val="00867C00"/>
    <w:rsid w:val="00867EB4"/>
    <w:rsid w:val="00870546"/>
    <w:rsid w:val="00870C21"/>
    <w:rsid w:val="0087173E"/>
    <w:rsid w:val="00872087"/>
    <w:rsid w:val="008721B6"/>
    <w:rsid w:val="008723E5"/>
    <w:rsid w:val="00872ACA"/>
    <w:rsid w:val="00873FAF"/>
    <w:rsid w:val="00876962"/>
    <w:rsid w:val="00877B2E"/>
    <w:rsid w:val="00877B5A"/>
    <w:rsid w:val="00877F21"/>
    <w:rsid w:val="00880250"/>
    <w:rsid w:val="00880490"/>
    <w:rsid w:val="00880D23"/>
    <w:rsid w:val="00881740"/>
    <w:rsid w:val="00881872"/>
    <w:rsid w:val="00881B0C"/>
    <w:rsid w:val="00881CF8"/>
    <w:rsid w:val="00882B77"/>
    <w:rsid w:val="00883202"/>
    <w:rsid w:val="00883377"/>
    <w:rsid w:val="008837B6"/>
    <w:rsid w:val="00883831"/>
    <w:rsid w:val="00883F27"/>
    <w:rsid w:val="008845BC"/>
    <w:rsid w:val="008852B0"/>
    <w:rsid w:val="00885348"/>
    <w:rsid w:val="0088583F"/>
    <w:rsid w:val="00886B25"/>
    <w:rsid w:val="00886C94"/>
    <w:rsid w:val="00887601"/>
    <w:rsid w:val="00890C17"/>
    <w:rsid w:val="00890FBC"/>
    <w:rsid w:val="00891398"/>
    <w:rsid w:val="008916C9"/>
    <w:rsid w:val="00891F0F"/>
    <w:rsid w:val="00892055"/>
    <w:rsid w:val="008928FE"/>
    <w:rsid w:val="00892968"/>
    <w:rsid w:val="008929A0"/>
    <w:rsid w:val="008936F4"/>
    <w:rsid w:val="00894886"/>
    <w:rsid w:val="00894A11"/>
    <w:rsid w:val="008950A9"/>
    <w:rsid w:val="00895D8B"/>
    <w:rsid w:val="00896CB1"/>
    <w:rsid w:val="00896E6C"/>
    <w:rsid w:val="008A0045"/>
    <w:rsid w:val="008A00E4"/>
    <w:rsid w:val="008A0AF8"/>
    <w:rsid w:val="008A0C98"/>
    <w:rsid w:val="008A125F"/>
    <w:rsid w:val="008A142A"/>
    <w:rsid w:val="008A1B40"/>
    <w:rsid w:val="008A4AEF"/>
    <w:rsid w:val="008A4B13"/>
    <w:rsid w:val="008A5376"/>
    <w:rsid w:val="008A53AA"/>
    <w:rsid w:val="008A54C3"/>
    <w:rsid w:val="008A5600"/>
    <w:rsid w:val="008A57CA"/>
    <w:rsid w:val="008A7429"/>
    <w:rsid w:val="008A76CA"/>
    <w:rsid w:val="008A77B6"/>
    <w:rsid w:val="008A7FC8"/>
    <w:rsid w:val="008B009F"/>
    <w:rsid w:val="008B023A"/>
    <w:rsid w:val="008B0623"/>
    <w:rsid w:val="008B0634"/>
    <w:rsid w:val="008B1008"/>
    <w:rsid w:val="008B12CC"/>
    <w:rsid w:val="008B17B0"/>
    <w:rsid w:val="008B1FE7"/>
    <w:rsid w:val="008B2754"/>
    <w:rsid w:val="008B322B"/>
    <w:rsid w:val="008B3717"/>
    <w:rsid w:val="008B37FB"/>
    <w:rsid w:val="008B3900"/>
    <w:rsid w:val="008B48C8"/>
    <w:rsid w:val="008B502A"/>
    <w:rsid w:val="008B6162"/>
    <w:rsid w:val="008B67F1"/>
    <w:rsid w:val="008B719A"/>
    <w:rsid w:val="008C19E5"/>
    <w:rsid w:val="008C2F6E"/>
    <w:rsid w:val="008C3FCC"/>
    <w:rsid w:val="008C4296"/>
    <w:rsid w:val="008C5287"/>
    <w:rsid w:val="008C5600"/>
    <w:rsid w:val="008C5ECD"/>
    <w:rsid w:val="008C5F5B"/>
    <w:rsid w:val="008C6493"/>
    <w:rsid w:val="008C67E5"/>
    <w:rsid w:val="008C6882"/>
    <w:rsid w:val="008D01BE"/>
    <w:rsid w:val="008D02BD"/>
    <w:rsid w:val="008D0932"/>
    <w:rsid w:val="008D0F21"/>
    <w:rsid w:val="008D1CFB"/>
    <w:rsid w:val="008D21F5"/>
    <w:rsid w:val="008D221A"/>
    <w:rsid w:val="008D236A"/>
    <w:rsid w:val="008D2977"/>
    <w:rsid w:val="008D308B"/>
    <w:rsid w:val="008D3290"/>
    <w:rsid w:val="008D334F"/>
    <w:rsid w:val="008D3A3B"/>
    <w:rsid w:val="008D3AF9"/>
    <w:rsid w:val="008D3EC1"/>
    <w:rsid w:val="008D425D"/>
    <w:rsid w:val="008D4D3E"/>
    <w:rsid w:val="008D4DA2"/>
    <w:rsid w:val="008D63BA"/>
    <w:rsid w:val="008D6A73"/>
    <w:rsid w:val="008D6E1F"/>
    <w:rsid w:val="008D7880"/>
    <w:rsid w:val="008E0342"/>
    <w:rsid w:val="008E0803"/>
    <w:rsid w:val="008E0E27"/>
    <w:rsid w:val="008E11F0"/>
    <w:rsid w:val="008E19EC"/>
    <w:rsid w:val="008E1E70"/>
    <w:rsid w:val="008E2043"/>
    <w:rsid w:val="008E2133"/>
    <w:rsid w:val="008E2268"/>
    <w:rsid w:val="008E2DFF"/>
    <w:rsid w:val="008E3125"/>
    <w:rsid w:val="008E4052"/>
    <w:rsid w:val="008E44A2"/>
    <w:rsid w:val="008E4687"/>
    <w:rsid w:val="008E46FD"/>
    <w:rsid w:val="008E4A9E"/>
    <w:rsid w:val="008E57C2"/>
    <w:rsid w:val="008E62CA"/>
    <w:rsid w:val="008E6455"/>
    <w:rsid w:val="008E6FD3"/>
    <w:rsid w:val="008E7C5D"/>
    <w:rsid w:val="008E7CE4"/>
    <w:rsid w:val="008F0015"/>
    <w:rsid w:val="008F077E"/>
    <w:rsid w:val="008F07E9"/>
    <w:rsid w:val="008F0D5D"/>
    <w:rsid w:val="008F18E9"/>
    <w:rsid w:val="008F1DD9"/>
    <w:rsid w:val="008F2633"/>
    <w:rsid w:val="008F2950"/>
    <w:rsid w:val="008F2ACA"/>
    <w:rsid w:val="008F2E7E"/>
    <w:rsid w:val="008F4170"/>
    <w:rsid w:val="008F422A"/>
    <w:rsid w:val="008F4813"/>
    <w:rsid w:val="008F4BE0"/>
    <w:rsid w:val="008F4DF4"/>
    <w:rsid w:val="008F56AF"/>
    <w:rsid w:val="008F63DF"/>
    <w:rsid w:val="008F6713"/>
    <w:rsid w:val="008F7248"/>
    <w:rsid w:val="008F7786"/>
    <w:rsid w:val="008F7BB9"/>
    <w:rsid w:val="00900AFD"/>
    <w:rsid w:val="00900CB4"/>
    <w:rsid w:val="00900E53"/>
    <w:rsid w:val="00901746"/>
    <w:rsid w:val="00901B22"/>
    <w:rsid w:val="00901B37"/>
    <w:rsid w:val="00901BCB"/>
    <w:rsid w:val="00901EF2"/>
    <w:rsid w:val="00901FB1"/>
    <w:rsid w:val="009038DA"/>
    <w:rsid w:val="009044A5"/>
    <w:rsid w:val="00904626"/>
    <w:rsid w:val="009052F3"/>
    <w:rsid w:val="00905437"/>
    <w:rsid w:val="0090583A"/>
    <w:rsid w:val="00905AAC"/>
    <w:rsid w:val="00905C0E"/>
    <w:rsid w:val="00905DAE"/>
    <w:rsid w:val="00905FEB"/>
    <w:rsid w:val="00905FF1"/>
    <w:rsid w:val="009066FE"/>
    <w:rsid w:val="0090681F"/>
    <w:rsid w:val="0090768E"/>
    <w:rsid w:val="00907B65"/>
    <w:rsid w:val="009108EC"/>
    <w:rsid w:val="00910DAF"/>
    <w:rsid w:val="0091105D"/>
    <w:rsid w:val="009112B1"/>
    <w:rsid w:val="00911DD0"/>
    <w:rsid w:val="00911E4D"/>
    <w:rsid w:val="009121ED"/>
    <w:rsid w:val="0091233D"/>
    <w:rsid w:val="0091266C"/>
    <w:rsid w:val="00912F20"/>
    <w:rsid w:val="00914780"/>
    <w:rsid w:val="00914E74"/>
    <w:rsid w:val="009155DA"/>
    <w:rsid w:val="009155E5"/>
    <w:rsid w:val="00915804"/>
    <w:rsid w:val="00915A72"/>
    <w:rsid w:val="00915E8B"/>
    <w:rsid w:val="009162E0"/>
    <w:rsid w:val="00916515"/>
    <w:rsid w:val="00916818"/>
    <w:rsid w:val="00916AD0"/>
    <w:rsid w:val="00916AD4"/>
    <w:rsid w:val="00917003"/>
    <w:rsid w:val="009170EA"/>
    <w:rsid w:val="0091776A"/>
    <w:rsid w:val="00917B69"/>
    <w:rsid w:val="009209BD"/>
    <w:rsid w:val="00921BE1"/>
    <w:rsid w:val="00922517"/>
    <w:rsid w:val="00922C72"/>
    <w:rsid w:val="00923023"/>
    <w:rsid w:val="0092304B"/>
    <w:rsid w:val="009237A7"/>
    <w:rsid w:val="0092450D"/>
    <w:rsid w:val="00924DBE"/>
    <w:rsid w:val="00924F50"/>
    <w:rsid w:val="0092737C"/>
    <w:rsid w:val="00927509"/>
    <w:rsid w:val="00927625"/>
    <w:rsid w:val="009278AC"/>
    <w:rsid w:val="00927FB7"/>
    <w:rsid w:val="0093040E"/>
    <w:rsid w:val="0093043A"/>
    <w:rsid w:val="00931C8E"/>
    <w:rsid w:val="00932E78"/>
    <w:rsid w:val="009334C2"/>
    <w:rsid w:val="009337F6"/>
    <w:rsid w:val="00933AD8"/>
    <w:rsid w:val="00933EB3"/>
    <w:rsid w:val="009341DA"/>
    <w:rsid w:val="009345F4"/>
    <w:rsid w:val="0093480C"/>
    <w:rsid w:val="0093506A"/>
    <w:rsid w:val="00935F19"/>
    <w:rsid w:val="00936B7B"/>
    <w:rsid w:val="00936BB6"/>
    <w:rsid w:val="009371BD"/>
    <w:rsid w:val="00937763"/>
    <w:rsid w:val="009379CC"/>
    <w:rsid w:val="00940E32"/>
    <w:rsid w:val="0094131B"/>
    <w:rsid w:val="009413A3"/>
    <w:rsid w:val="009415B1"/>
    <w:rsid w:val="00941747"/>
    <w:rsid w:val="00941FD4"/>
    <w:rsid w:val="009427BC"/>
    <w:rsid w:val="00942D42"/>
    <w:rsid w:val="00942F1D"/>
    <w:rsid w:val="0094304F"/>
    <w:rsid w:val="00943343"/>
    <w:rsid w:val="00943440"/>
    <w:rsid w:val="009434B5"/>
    <w:rsid w:val="00943B3B"/>
    <w:rsid w:val="00943E70"/>
    <w:rsid w:val="00944CB7"/>
    <w:rsid w:val="00945264"/>
    <w:rsid w:val="0094528D"/>
    <w:rsid w:val="0094537B"/>
    <w:rsid w:val="0094552F"/>
    <w:rsid w:val="00945950"/>
    <w:rsid w:val="00945B87"/>
    <w:rsid w:val="0094624F"/>
    <w:rsid w:val="00946ECA"/>
    <w:rsid w:val="00947F69"/>
    <w:rsid w:val="0095032A"/>
    <w:rsid w:val="00950791"/>
    <w:rsid w:val="00950909"/>
    <w:rsid w:val="0095168C"/>
    <w:rsid w:val="009518AC"/>
    <w:rsid w:val="009518DA"/>
    <w:rsid w:val="00951C3F"/>
    <w:rsid w:val="00951D0C"/>
    <w:rsid w:val="0095204B"/>
    <w:rsid w:val="00952AF4"/>
    <w:rsid w:val="009534E2"/>
    <w:rsid w:val="00953DAB"/>
    <w:rsid w:val="009546C4"/>
    <w:rsid w:val="009551D7"/>
    <w:rsid w:val="009555B0"/>
    <w:rsid w:val="0095609A"/>
    <w:rsid w:val="00956219"/>
    <w:rsid w:val="009562A2"/>
    <w:rsid w:val="0095715E"/>
    <w:rsid w:val="009578ED"/>
    <w:rsid w:val="00957F5D"/>
    <w:rsid w:val="00961B8A"/>
    <w:rsid w:val="009621BA"/>
    <w:rsid w:val="00962449"/>
    <w:rsid w:val="00962FAA"/>
    <w:rsid w:val="0096310A"/>
    <w:rsid w:val="00963C60"/>
    <w:rsid w:val="009640A5"/>
    <w:rsid w:val="0096483F"/>
    <w:rsid w:val="0096515B"/>
    <w:rsid w:val="0096668D"/>
    <w:rsid w:val="00966707"/>
    <w:rsid w:val="00966E9B"/>
    <w:rsid w:val="00967EF4"/>
    <w:rsid w:val="00970FBB"/>
    <w:rsid w:val="00971D4F"/>
    <w:rsid w:val="00971ED4"/>
    <w:rsid w:val="00972041"/>
    <w:rsid w:val="00972222"/>
    <w:rsid w:val="0097245D"/>
    <w:rsid w:val="009727BA"/>
    <w:rsid w:val="009727D3"/>
    <w:rsid w:val="00972835"/>
    <w:rsid w:val="009733CB"/>
    <w:rsid w:val="00973CAD"/>
    <w:rsid w:val="00973D4D"/>
    <w:rsid w:val="00974268"/>
    <w:rsid w:val="00975C0A"/>
    <w:rsid w:val="0097628B"/>
    <w:rsid w:val="00977D1F"/>
    <w:rsid w:val="00980395"/>
    <w:rsid w:val="00980568"/>
    <w:rsid w:val="0098260D"/>
    <w:rsid w:val="0098478A"/>
    <w:rsid w:val="009852AF"/>
    <w:rsid w:val="009854EE"/>
    <w:rsid w:val="0098561A"/>
    <w:rsid w:val="009860CF"/>
    <w:rsid w:val="00986F1C"/>
    <w:rsid w:val="009870F6"/>
    <w:rsid w:val="009876FA"/>
    <w:rsid w:val="00987F55"/>
    <w:rsid w:val="0099160C"/>
    <w:rsid w:val="009919A9"/>
    <w:rsid w:val="009920A0"/>
    <w:rsid w:val="0099257E"/>
    <w:rsid w:val="0099333F"/>
    <w:rsid w:val="0099349F"/>
    <w:rsid w:val="00993916"/>
    <w:rsid w:val="00994881"/>
    <w:rsid w:val="00994909"/>
    <w:rsid w:val="00996B3B"/>
    <w:rsid w:val="00996E9F"/>
    <w:rsid w:val="00996EFE"/>
    <w:rsid w:val="00997149"/>
    <w:rsid w:val="00997AD8"/>
    <w:rsid w:val="00997EED"/>
    <w:rsid w:val="009A01AB"/>
    <w:rsid w:val="009A048B"/>
    <w:rsid w:val="009A0FD7"/>
    <w:rsid w:val="009A1379"/>
    <w:rsid w:val="009A167E"/>
    <w:rsid w:val="009A18EB"/>
    <w:rsid w:val="009A20ED"/>
    <w:rsid w:val="009A2130"/>
    <w:rsid w:val="009A334D"/>
    <w:rsid w:val="009A4909"/>
    <w:rsid w:val="009A551F"/>
    <w:rsid w:val="009A58B1"/>
    <w:rsid w:val="009A5BB2"/>
    <w:rsid w:val="009A639E"/>
    <w:rsid w:val="009A644F"/>
    <w:rsid w:val="009A6D2D"/>
    <w:rsid w:val="009A7F0A"/>
    <w:rsid w:val="009B04C3"/>
    <w:rsid w:val="009B0763"/>
    <w:rsid w:val="009B0E4A"/>
    <w:rsid w:val="009B0FCF"/>
    <w:rsid w:val="009B1595"/>
    <w:rsid w:val="009B19F9"/>
    <w:rsid w:val="009B1B83"/>
    <w:rsid w:val="009B246F"/>
    <w:rsid w:val="009B28F2"/>
    <w:rsid w:val="009B3682"/>
    <w:rsid w:val="009B4202"/>
    <w:rsid w:val="009B43D5"/>
    <w:rsid w:val="009B4484"/>
    <w:rsid w:val="009B4529"/>
    <w:rsid w:val="009B4692"/>
    <w:rsid w:val="009B586D"/>
    <w:rsid w:val="009B6228"/>
    <w:rsid w:val="009B6D2B"/>
    <w:rsid w:val="009B7642"/>
    <w:rsid w:val="009B79C7"/>
    <w:rsid w:val="009C00DD"/>
    <w:rsid w:val="009C0A3A"/>
    <w:rsid w:val="009C1184"/>
    <w:rsid w:val="009C198B"/>
    <w:rsid w:val="009C1E1F"/>
    <w:rsid w:val="009C239B"/>
    <w:rsid w:val="009C3B3A"/>
    <w:rsid w:val="009C3BF1"/>
    <w:rsid w:val="009C42A5"/>
    <w:rsid w:val="009C44A0"/>
    <w:rsid w:val="009C4926"/>
    <w:rsid w:val="009C5044"/>
    <w:rsid w:val="009C50A6"/>
    <w:rsid w:val="009C5878"/>
    <w:rsid w:val="009C5B6F"/>
    <w:rsid w:val="009C60E5"/>
    <w:rsid w:val="009C7696"/>
    <w:rsid w:val="009C795D"/>
    <w:rsid w:val="009C7E28"/>
    <w:rsid w:val="009C7FF1"/>
    <w:rsid w:val="009D0072"/>
    <w:rsid w:val="009D027F"/>
    <w:rsid w:val="009D0533"/>
    <w:rsid w:val="009D0C21"/>
    <w:rsid w:val="009D13FF"/>
    <w:rsid w:val="009D1500"/>
    <w:rsid w:val="009D263F"/>
    <w:rsid w:val="009D2A66"/>
    <w:rsid w:val="009D4322"/>
    <w:rsid w:val="009D4603"/>
    <w:rsid w:val="009D4A65"/>
    <w:rsid w:val="009D4EE5"/>
    <w:rsid w:val="009D6A2D"/>
    <w:rsid w:val="009D72E1"/>
    <w:rsid w:val="009D7BBE"/>
    <w:rsid w:val="009E04AD"/>
    <w:rsid w:val="009E1294"/>
    <w:rsid w:val="009E20DA"/>
    <w:rsid w:val="009E237E"/>
    <w:rsid w:val="009E36EE"/>
    <w:rsid w:val="009E37D7"/>
    <w:rsid w:val="009E3A25"/>
    <w:rsid w:val="009E42C1"/>
    <w:rsid w:val="009E4757"/>
    <w:rsid w:val="009E4D03"/>
    <w:rsid w:val="009E4E74"/>
    <w:rsid w:val="009E55A1"/>
    <w:rsid w:val="009E563C"/>
    <w:rsid w:val="009E6219"/>
    <w:rsid w:val="009E6C9E"/>
    <w:rsid w:val="009F195A"/>
    <w:rsid w:val="009F35E1"/>
    <w:rsid w:val="009F3A64"/>
    <w:rsid w:val="009F4881"/>
    <w:rsid w:val="009F5039"/>
    <w:rsid w:val="009F5BB9"/>
    <w:rsid w:val="009F5C0E"/>
    <w:rsid w:val="009F5DAD"/>
    <w:rsid w:val="009F6918"/>
    <w:rsid w:val="009F71C0"/>
    <w:rsid w:val="009F739F"/>
    <w:rsid w:val="009F74DB"/>
    <w:rsid w:val="00A00344"/>
    <w:rsid w:val="00A00570"/>
    <w:rsid w:val="00A00AC2"/>
    <w:rsid w:val="00A00CBC"/>
    <w:rsid w:val="00A00D7B"/>
    <w:rsid w:val="00A00EFB"/>
    <w:rsid w:val="00A0117A"/>
    <w:rsid w:val="00A01278"/>
    <w:rsid w:val="00A01BF4"/>
    <w:rsid w:val="00A01C47"/>
    <w:rsid w:val="00A0234F"/>
    <w:rsid w:val="00A023E2"/>
    <w:rsid w:val="00A040BE"/>
    <w:rsid w:val="00A04B69"/>
    <w:rsid w:val="00A051F6"/>
    <w:rsid w:val="00A0524B"/>
    <w:rsid w:val="00A066D3"/>
    <w:rsid w:val="00A06A88"/>
    <w:rsid w:val="00A06C12"/>
    <w:rsid w:val="00A06C32"/>
    <w:rsid w:val="00A06F59"/>
    <w:rsid w:val="00A075FB"/>
    <w:rsid w:val="00A1030D"/>
    <w:rsid w:val="00A10323"/>
    <w:rsid w:val="00A10487"/>
    <w:rsid w:val="00A1089B"/>
    <w:rsid w:val="00A108FC"/>
    <w:rsid w:val="00A1092E"/>
    <w:rsid w:val="00A110C0"/>
    <w:rsid w:val="00A11AA7"/>
    <w:rsid w:val="00A11CE6"/>
    <w:rsid w:val="00A127B8"/>
    <w:rsid w:val="00A1283A"/>
    <w:rsid w:val="00A13164"/>
    <w:rsid w:val="00A13550"/>
    <w:rsid w:val="00A14107"/>
    <w:rsid w:val="00A148A8"/>
    <w:rsid w:val="00A14C62"/>
    <w:rsid w:val="00A14E88"/>
    <w:rsid w:val="00A1634B"/>
    <w:rsid w:val="00A16CDD"/>
    <w:rsid w:val="00A16CEC"/>
    <w:rsid w:val="00A17A55"/>
    <w:rsid w:val="00A208A1"/>
    <w:rsid w:val="00A21F02"/>
    <w:rsid w:val="00A237ED"/>
    <w:rsid w:val="00A23A3A"/>
    <w:rsid w:val="00A23C6B"/>
    <w:rsid w:val="00A252F1"/>
    <w:rsid w:val="00A2563D"/>
    <w:rsid w:val="00A25C98"/>
    <w:rsid w:val="00A2632F"/>
    <w:rsid w:val="00A26536"/>
    <w:rsid w:val="00A2661C"/>
    <w:rsid w:val="00A26B77"/>
    <w:rsid w:val="00A26C23"/>
    <w:rsid w:val="00A279D8"/>
    <w:rsid w:val="00A27B77"/>
    <w:rsid w:val="00A30136"/>
    <w:rsid w:val="00A302D0"/>
    <w:rsid w:val="00A31613"/>
    <w:rsid w:val="00A328F0"/>
    <w:rsid w:val="00A3295C"/>
    <w:rsid w:val="00A3397B"/>
    <w:rsid w:val="00A33C68"/>
    <w:rsid w:val="00A33D97"/>
    <w:rsid w:val="00A34645"/>
    <w:rsid w:val="00A346F1"/>
    <w:rsid w:val="00A34709"/>
    <w:rsid w:val="00A34CCF"/>
    <w:rsid w:val="00A3567E"/>
    <w:rsid w:val="00A35775"/>
    <w:rsid w:val="00A36204"/>
    <w:rsid w:val="00A366A7"/>
    <w:rsid w:val="00A36704"/>
    <w:rsid w:val="00A3678B"/>
    <w:rsid w:val="00A36D79"/>
    <w:rsid w:val="00A36F48"/>
    <w:rsid w:val="00A40B55"/>
    <w:rsid w:val="00A423DA"/>
    <w:rsid w:val="00A42540"/>
    <w:rsid w:val="00A42862"/>
    <w:rsid w:val="00A42A9E"/>
    <w:rsid w:val="00A42E52"/>
    <w:rsid w:val="00A42E79"/>
    <w:rsid w:val="00A439B5"/>
    <w:rsid w:val="00A443CB"/>
    <w:rsid w:val="00A45103"/>
    <w:rsid w:val="00A45183"/>
    <w:rsid w:val="00A45AEA"/>
    <w:rsid w:val="00A45EF2"/>
    <w:rsid w:val="00A45FEE"/>
    <w:rsid w:val="00A4622B"/>
    <w:rsid w:val="00A46570"/>
    <w:rsid w:val="00A47351"/>
    <w:rsid w:val="00A47412"/>
    <w:rsid w:val="00A47845"/>
    <w:rsid w:val="00A47C4F"/>
    <w:rsid w:val="00A47D5F"/>
    <w:rsid w:val="00A47F36"/>
    <w:rsid w:val="00A47F67"/>
    <w:rsid w:val="00A51409"/>
    <w:rsid w:val="00A5157D"/>
    <w:rsid w:val="00A53697"/>
    <w:rsid w:val="00A54259"/>
    <w:rsid w:val="00A5459B"/>
    <w:rsid w:val="00A54912"/>
    <w:rsid w:val="00A54D95"/>
    <w:rsid w:val="00A55093"/>
    <w:rsid w:val="00A550D8"/>
    <w:rsid w:val="00A5565B"/>
    <w:rsid w:val="00A558E2"/>
    <w:rsid w:val="00A559C9"/>
    <w:rsid w:val="00A56212"/>
    <w:rsid w:val="00A5661E"/>
    <w:rsid w:val="00A56B6A"/>
    <w:rsid w:val="00A56C55"/>
    <w:rsid w:val="00A60DE8"/>
    <w:rsid w:val="00A626B9"/>
    <w:rsid w:val="00A62E70"/>
    <w:rsid w:val="00A63F97"/>
    <w:rsid w:val="00A6449A"/>
    <w:rsid w:val="00A64AD2"/>
    <w:rsid w:val="00A651AE"/>
    <w:rsid w:val="00A65376"/>
    <w:rsid w:val="00A65D81"/>
    <w:rsid w:val="00A665F1"/>
    <w:rsid w:val="00A66628"/>
    <w:rsid w:val="00A66896"/>
    <w:rsid w:val="00A66BB0"/>
    <w:rsid w:val="00A67D3B"/>
    <w:rsid w:val="00A704A0"/>
    <w:rsid w:val="00A7083E"/>
    <w:rsid w:val="00A713D2"/>
    <w:rsid w:val="00A71A37"/>
    <w:rsid w:val="00A7245C"/>
    <w:rsid w:val="00A72907"/>
    <w:rsid w:val="00A72A67"/>
    <w:rsid w:val="00A72C69"/>
    <w:rsid w:val="00A73100"/>
    <w:rsid w:val="00A73983"/>
    <w:rsid w:val="00A73B34"/>
    <w:rsid w:val="00A74793"/>
    <w:rsid w:val="00A75415"/>
    <w:rsid w:val="00A75C83"/>
    <w:rsid w:val="00A76338"/>
    <w:rsid w:val="00A766DB"/>
    <w:rsid w:val="00A7691D"/>
    <w:rsid w:val="00A76B65"/>
    <w:rsid w:val="00A77A67"/>
    <w:rsid w:val="00A77A9B"/>
    <w:rsid w:val="00A77F93"/>
    <w:rsid w:val="00A80245"/>
    <w:rsid w:val="00A813FF"/>
    <w:rsid w:val="00A82AF4"/>
    <w:rsid w:val="00A82B93"/>
    <w:rsid w:val="00A84AD4"/>
    <w:rsid w:val="00A84BFA"/>
    <w:rsid w:val="00A84D0E"/>
    <w:rsid w:val="00A85932"/>
    <w:rsid w:val="00A85DB0"/>
    <w:rsid w:val="00A862D9"/>
    <w:rsid w:val="00A8648E"/>
    <w:rsid w:val="00A876D0"/>
    <w:rsid w:val="00A87839"/>
    <w:rsid w:val="00A87E7E"/>
    <w:rsid w:val="00A90392"/>
    <w:rsid w:val="00A903E8"/>
    <w:rsid w:val="00A9053E"/>
    <w:rsid w:val="00A91262"/>
    <w:rsid w:val="00A917C0"/>
    <w:rsid w:val="00A918DD"/>
    <w:rsid w:val="00A92E41"/>
    <w:rsid w:val="00A93846"/>
    <w:rsid w:val="00A9474A"/>
    <w:rsid w:val="00A94AD5"/>
    <w:rsid w:val="00A94F92"/>
    <w:rsid w:val="00A950CC"/>
    <w:rsid w:val="00A951AE"/>
    <w:rsid w:val="00A95276"/>
    <w:rsid w:val="00A95F57"/>
    <w:rsid w:val="00A961A5"/>
    <w:rsid w:val="00A968FE"/>
    <w:rsid w:val="00A97DCC"/>
    <w:rsid w:val="00A97FF1"/>
    <w:rsid w:val="00AA046A"/>
    <w:rsid w:val="00AA1360"/>
    <w:rsid w:val="00AA1364"/>
    <w:rsid w:val="00AA13F5"/>
    <w:rsid w:val="00AA2346"/>
    <w:rsid w:val="00AA23A9"/>
    <w:rsid w:val="00AA252F"/>
    <w:rsid w:val="00AA266E"/>
    <w:rsid w:val="00AA2915"/>
    <w:rsid w:val="00AA2D8D"/>
    <w:rsid w:val="00AA34ED"/>
    <w:rsid w:val="00AA3B40"/>
    <w:rsid w:val="00AA3C18"/>
    <w:rsid w:val="00AA46BB"/>
    <w:rsid w:val="00AA6163"/>
    <w:rsid w:val="00AA74AA"/>
    <w:rsid w:val="00AA751F"/>
    <w:rsid w:val="00AA7AD8"/>
    <w:rsid w:val="00AB0023"/>
    <w:rsid w:val="00AB0044"/>
    <w:rsid w:val="00AB019F"/>
    <w:rsid w:val="00AB0997"/>
    <w:rsid w:val="00AB09DF"/>
    <w:rsid w:val="00AB0A0C"/>
    <w:rsid w:val="00AB0AC9"/>
    <w:rsid w:val="00AB12EB"/>
    <w:rsid w:val="00AB1613"/>
    <w:rsid w:val="00AB1C3C"/>
    <w:rsid w:val="00AB1FC8"/>
    <w:rsid w:val="00AB27F6"/>
    <w:rsid w:val="00AB2A78"/>
    <w:rsid w:val="00AB34BE"/>
    <w:rsid w:val="00AB3CE2"/>
    <w:rsid w:val="00AB432F"/>
    <w:rsid w:val="00AB4A21"/>
    <w:rsid w:val="00AB4D70"/>
    <w:rsid w:val="00AB6126"/>
    <w:rsid w:val="00AB6475"/>
    <w:rsid w:val="00AB66AC"/>
    <w:rsid w:val="00AB7619"/>
    <w:rsid w:val="00AB788A"/>
    <w:rsid w:val="00AC00AF"/>
    <w:rsid w:val="00AC0223"/>
    <w:rsid w:val="00AC05F1"/>
    <w:rsid w:val="00AC1734"/>
    <w:rsid w:val="00AC2850"/>
    <w:rsid w:val="00AC2DA8"/>
    <w:rsid w:val="00AC2DD5"/>
    <w:rsid w:val="00AC3CE0"/>
    <w:rsid w:val="00AC433E"/>
    <w:rsid w:val="00AC464F"/>
    <w:rsid w:val="00AC4A22"/>
    <w:rsid w:val="00AC53FF"/>
    <w:rsid w:val="00AC585E"/>
    <w:rsid w:val="00AC775B"/>
    <w:rsid w:val="00AC7DCB"/>
    <w:rsid w:val="00AD0080"/>
    <w:rsid w:val="00AD08E6"/>
    <w:rsid w:val="00AD0FE5"/>
    <w:rsid w:val="00AD138C"/>
    <w:rsid w:val="00AD1B64"/>
    <w:rsid w:val="00AD1F48"/>
    <w:rsid w:val="00AD2228"/>
    <w:rsid w:val="00AD238D"/>
    <w:rsid w:val="00AD23A5"/>
    <w:rsid w:val="00AD3200"/>
    <w:rsid w:val="00AD32D6"/>
    <w:rsid w:val="00AD3FCA"/>
    <w:rsid w:val="00AD5402"/>
    <w:rsid w:val="00AD6538"/>
    <w:rsid w:val="00AD7013"/>
    <w:rsid w:val="00AD713E"/>
    <w:rsid w:val="00AE0221"/>
    <w:rsid w:val="00AE0BA4"/>
    <w:rsid w:val="00AE15F8"/>
    <w:rsid w:val="00AE27CD"/>
    <w:rsid w:val="00AE281C"/>
    <w:rsid w:val="00AE3040"/>
    <w:rsid w:val="00AE3656"/>
    <w:rsid w:val="00AE4204"/>
    <w:rsid w:val="00AE4D86"/>
    <w:rsid w:val="00AE4E87"/>
    <w:rsid w:val="00AE5676"/>
    <w:rsid w:val="00AE5760"/>
    <w:rsid w:val="00AE5DCA"/>
    <w:rsid w:val="00AE61D5"/>
    <w:rsid w:val="00AE663F"/>
    <w:rsid w:val="00AE716D"/>
    <w:rsid w:val="00AE7631"/>
    <w:rsid w:val="00AE79F5"/>
    <w:rsid w:val="00AF00E5"/>
    <w:rsid w:val="00AF0327"/>
    <w:rsid w:val="00AF065A"/>
    <w:rsid w:val="00AF0ACD"/>
    <w:rsid w:val="00AF0C4A"/>
    <w:rsid w:val="00AF15C2"/>
    <w:rsid w:val="00AF1894"/>
    <w:rsid w:val="00AF2200"/>
    <w:rsid w:val="00AF30C9"/>
    <w:rsid w:val="00AF372C"/>
    <w:rsid w:val="00AF40AE"/>
    <w:rsid w:val="00AF426D"/>
    <w:rsid w:val="00AF50CE"/>
    <w:rsid w:val="00AF5367"/>
    <w:rsid w:val="00AF59A2"/>
    <w:rsid w:val="00AF6B51"/>
    <w:rsid w:val="00AF714A"/>
    <w:rsid w:val="00AF725E"/>
    <w:rsid w:val="00AF7BCB"/>
    <w:rsid w:val="00AF7CF6"/>
    <w:rsid w:val="00B000FD"/>
    <w:rsid w:val="00B00134"/>
    <w:rsid w:val="00B00802"/>
    <w:rsid w:val="00B00DA7"/>
    <w:rsid w:val="00B015DF"/>
    <w:rsid w:val="00B01910"/>
    <w:rsid w:val="00B01C4F"/>
    <w:rsid w:val="00B0232C"/>
    <w:rsid w:val="00B02523"/>
    <w:rsid w:val="00B02795"/>
    <w:rsid w:val="00B027D8"/>
    <w:rsid w:val="00B02880"/>
    <w:rsid w:val="00B02E3F"/>
    <w:rsid w:val="00B030A7"/>
    <w:rsid w:val="00B03A9D"/>
    <w:rsid w:val="00B0425A"/>
    <w:rsid w:val="00B04428"/>
    <w:rsid w:val="00B052D3"/>
    <w:rsid w:val="00B05C25"/>
    <w:rsid w:val="00B0668B"/>
    <w:rsid w:val="00B06780"/>
    <w:rsid w:val="00B06885"/>
    <w:rsid w:val="00B076CC"/>
    <w:rsid w:val="00B078A5"/>
    <w:rsid w:val="00B07CCE"/>
    <w:rsid w:val="00B10A82"/>
    <w:rsid w:val="00B10C46"/>
    <w:rsid w:val="00B10F13"/>
    <w:rsid w:val="00B11045"/>
    <w:rsid w:val="00B11212"/>
    <w:rsid w:val="00B115D5"/>
    <w:rsid w:val="00B11912"/>
    <w:rsid w:val="00B11B4B"/>
    <w:rsid w:val="00B131EC"/>
    <w:rsid w:val="00B13304"/>
    <w:rsid w:val="00B13465"/>
    <w:rsid w:val="00B134AD"/>
    <w:rsid w:val="00B13981"/>
    <w:rsid w:val="00B140D3"/>
    <w:rsid w:val="00B141FA"/>
    <w:rsid w:val="00B151C7"/>
    <w:rsid w:val="00B15B0D"/>
    <w:rsid w:val="00B1761F"/>
    <w:rsid w:val="00B17C78"/>
    <w:rsid w:val="00B204A6"/>
    <w:rsid w:val="00B20943"/>
    <w:rsid w:val="00B20E04"/>
    <w:rsid w:val="00B21585"/>
    <w:rsid w:val="00B21903"/>
    <w:rsid w:val="00B21CB1"/>
    <w:rsid w:val="00B21D0A"/>
    <w:rsid w:val="00B21F53"/>
    <w:rsid w:val="00B228A1"/>
    <w:rsid w:val="00B228BF"/>
    <w:rsid w:val="00B230E2"/>
    <w:rsid w:val="00B23108"/>
    <w:rsid w:val="00B2365B"/>
    <w:rsid w:val="00B23B91"/>
    <w:rsid w:val="00B2454C"/>
    <w:rsid w:val="00B2480A"/>
    <w:rsid w:val="00B24F65"/>
    <w:rsid w:val="00B26C9E"/>
    <w:rsid w:val="00B27488"/>
    <w:rsid w:val="00B27FAB"/>
    <w:rsid w:val="00B30546"/>
    <w:rsid w:val="00B3071A"/>
    <w:rsid w:val="00B309D4"/>
    <w:rsid w:val="00B31F05"/>
    <w:rsid w:val="00B31F2C"/>
    <w:rsid w:val="00B3245C"/>
    <w:rsid w:val="00B3298B"/>
    <w:rsid w:val="00B333F0"/>
    <w:rsid w:val="00B33E0F"/>
    <w:rsid w:val="00B3441F"/>
    <w:rsid w:val="00B349B4"/>
    <w:rsid w:val="00B353A7"/>
    <w:rsid w:val="00B35BFE"/>
    <w:rsid w:val="00B3625D"/>
    <w:rsid w:val="00B37F75"/>
    <w:rsid w:val="00B40334"/>
    <w:rsid w:val="00B40B48"/>
    <w:rsid w:val="00B40FF2"/>
    <w:rsid w:val="00B41CB5"/>
    <w:rsid w:val="00B424CC"/>
    <w:rsid w:val="00B427D7"/>
    <w:rsid w:val="00B42861"/>
    <w:rsid w:val="00B42A29"/>
    <w:rsid w:val="00B4304D"/>
    <w:rsid w:val="00B43434"/>
    <w:rsid w:val="00B43707"/>
    <w:rsid w:val="00B441B4"/>
    <w:rsid w:val="00B455B6"/>
    <w:rsid w:val="00B45925"/>
    <w:rsid w:val="00B45988"/>
    <w:rsid w:val="00B45D56"/>
    <w:rsid w:val="00B4604D"/>
    <w:rsid w:val="00B4715B"/>
    <w:rsid w:val="00B47D46"/>
    <w:rsid w:val="00B47DDA"/>
    <w:rsid w:val="00B502CC"/>
    <w:rsid w:val="00B517BF"/>
    <w:rsid w:val="00B5180B"/>
    <w:rsid w:val="00B51A88"/>
    <w:rsid w:val="00B5258F"/>
    <w:rsid w:val="00B52C4A"/>
    <w:rsid w:val="00B5352E"/>
    <w:rsid w:val="00B538F0"/>
    <w:rsid w:val="00B53C2E"/>
    <w:rsid w:val="00B53D3C"/>
    <w:rsid w:val="00B53EE4"/>
    <w:rsid w:val="00B54FC9"/>
    <w:rsid w:val="00B5502A"/>
    <w:rsid w:val="00B5564C"/>
    <w:rsid w:val="00B55DC1"/>
    <w:rsid w:val="00B55FBC"/>
    <w:rsid w:val="00B56A9A"/>
    <w:rsid w:val="00B56BF2"/>
    <w:rsid w:val="00B56C20"/>
    <w:rsid w:val="00B5718C"/>
    <w:rsid w:val="00B57756"/>
    <w:rsid w:val="00B579C3"/>
    <w:rsid w:val="00B57EC7"/>
    <w:rsid w:val="00B57F4D"/>
    <w:rsid w:val="00B611A4"/>
    <w:rsid w:val="00B61BAF"/>
    <w:rsid w:val="00B61BD1"/>
    <w:rsid w:val="00B625CB"/>
    <w:rsid w:val="00B625E3"/>
    <w:rsid w:val="00B631F2"/>
    <w:rsid w:val="00B6395C"/>
    <w:rsid w:val="00B6424E"/>
    <w:rsid w:val="00B650D4"/>
    <w:rsid w:val="00B65315"/>
    <w:rsid w:val="00B659D5"/>
    <w:rsid w:val="00B65F3F"/>
    <w:rsid w:val="00B67BED"/>
    <w:rsid w:val="00B70640"/>
    <w:rsid w:val="00B70CC1"/>
    <w:rsid w:val="00B713BE"/>
    <w:rsid w:val="00B726A0"/>
    <w:rsid w:val="00B72811"/>
    <w:rsid w:val="00B728F5"/>
    <w:rsid w:val="00B7297B"/>
    <w:rsid w:val="00B72B7D"/>
    <w:rsid w:val="00B7377A"/>
    <w:rsid w:val="00B7467D"/>
    <w:rsid w:val="00B747CB"/>
    <w:rsid w:val="00B74BAB"/>
    <w:rsid w:val="00B755D7"/>
    <w:rsid w:val="00B75C87"/>
    <w:rsid w:val="00B75C96"/>
    <w:rsid w:val="00B760BD"/>
    <w:rsid w:val="00B76151"/>
    <w:rsid w:val="00B77178"/>
    <w:rsid w:val="00B77FCB"/>
    <w:rsid w:val="00B8062A"/>
    <w:rsid w:val="00B810EA"/>
    <w:rsid w:val="00B8116E"/>
    <w:rsid w:val="00B81F63"/>
    <w:rsid w:val="00B823F3"/>
    <w:rsid w:val="00B8253D"/>
    <w:rsid w:val="00B836DF"/>
    <w:rsid w:val="00B85261"/>
    <w:rsid w:val="00B859AD"/>
    <w:rsid w:val="00B85C67"/>
    <w:rsid w:val="00B86094"/>
    <w:rsid w:val="00B8646C"/>
    <w:rsid w:val="00B86EFB"/>
    <w:rsid w:val="00B87847"/>
    <w:rsid w:val="00B87B05"/>
    <w:rsid w:val="00B9035C"/>
    <w:rsid w:val="00B9036A"/>
    <w:rsid w:val="00B90723"/>
    <w:rsid w:val="00B913FC"/>
    <w:rsid w:val="00B91744"/>
    <w:rsid w:val="00B91971"/>
    <w:rsid w:val="00B91B17"/>
    <w:rsid w:val="00B91EFC"/>
    <w:rsid w:val="00B929EC"/>
    <w:rsid w:val="00B92CDA"/>
    <w:rsid w:val="00B93511"/>
    <w:rsid w:val="00B94BF0"/>
    <w:rsid w:val="00B95161"/>
    <w:rsid w:val="00B95D2D"/>
    <w:rsid w:val="00B9740C"/>
    <w:rsid w:val="00B976E0"/>
    <w:rsid w:val="00BA0AED"/>
    <w:rsid w:val="00BA0E01"/>
    <w:rsid w:val="00BA10F4"/>
    <w:rsid w:val="00BA14FE"/>
    <w:rsid w:val="00BA1601"/>
    <w:rsid w:val="00BA18A2"/>
    <w:rsid w:val="00BA2056"/>
    <w:rsid w:val="00BA246D"/>
    <w:rsid w:val="00BA25F2"/>
    <w:rsid w:val="00BA26D7"/>
    <w:rsid w:val="00BA2A66"/>
    <w:rsid w:val="00BA40A5"/>
    <w:rsid w:val="00BA4B22"/>
    <w:rsid w:val="00BA4B2F"/>
    <w:rsid w:val="00BA591A"/>
    <w:rsid w:val="00BA637F"/>
    <w:rsid w:val="00BA65F0"/>
    <w:rsid w:val="00BA6BB3"/>
    <w:rsid w:val="00BA6E21"/>
    <w:rsid w:val="00BA754A"/>
    <w:rsid w:val="00BA783B"/>
    <w:rsid w:val="00BA7B04"/>
    <w:rsid w:val="00BB0015"/>
    <w:rsid w:val="00BB03A6"/>
    <w:rsid w:val="00BB04C7"/>
    <w:rsid w:val="00BB0E30"/>
    <w:rsid w:val="00BB1833"/>
    <w:rsid w:val="00BB21F4"/>
    <w:rsid w:val="00BB2482"/>
    <w:rsid w:val="00BB258C"/>
    <w:rsid w:val="00BB2632"/>
    <w:rsid w:val="00BB2EE7"/>
    <w:rsid w:val="00BB3031"/>
    <w:rsid w:val="00BB3274"/>
    <w:rsid w:val="00BB3610"/>
    <w:rsid w:val="00BB3EA0"/>
    <w:rsid w:val="00BB44BE"/>
    <w:rsid w:val="00BB4FE7"/>
    <w:rsid w:val="00BB5186"/>
    <w:rsid w:val="00BB57EC"/>
    <w:rsid w:val="00BB6336"/>
    <w:rsid w:val="00BB75C4"/>
    <w:rsid w:val="00BB7B40"/>
    <w:rsid w:val="00BC0124"/>
    <w:rsid w:val="00BC0217"/>
    <w:rsid w:val="00BC0A25"/>
    <w:rsid w:val="00BC0E52"/>
    <w:rsid w:val="00BC1148"/>
    <w:rsid w:val="00BC17DE"/>
    <w:rsid w:val="00BC22C6"/>
    <w:rsid w:val="00BC3AA7"/>
    <w:rsid w:val="00BC4146"/>
    <w:rsid w:val="00BC41FB"/>
    <w:rsid w:val="00BC4714"/>
    <w:rsid w:val="00BC49E2"/>
    <w:rsid w:val="00BC4F2B"/>
    <w:rsid w:val="00BC4F6B"/>
    <w:rsid w:val="00BC505A"/>
    <w:rsid w:val="00BC554D"/>
    <w:rsid w:val="00BC5603"/>
    <w:rsid w:val="00BC5B47"/>
    <w:rsid w:val="00BC5CD4"/>
    <w:rsid w:val="00BC5EA8"/>
    <w:rsid w:val="00BC5ED8"/>
    <w:rsid w:val="00BC680E"/>
    <w:rsid w:val="00BC6CDC"/>
    <w:rsid w:val="00BC710D"/>
    <w:rsid w:val="00BC740C"/>
    <w:rsid w:val="00BC7A42"/>
    <w:rsid w:val="00BC7F46"/>
    <w:rsid w:val="00BD01D7"/>
    <w:rsid w:val="00BD066B"/>
    <w:rsid w:val="00BD0D21"/>
    <w:rsid w:val="00BD280B"/>
    <w:rsid w:val="00BD318A"/>
    <w:rsid w:val="00BD339F"/>
    <w:rsid w:val="00BD4092"/>
    <w:rsid w:val="00BD422F"/>
    <w:rsid w:val="00BD4719"/>
    <w:rsid w:val="00BD4D34"/>
    <w:rsid w:val="00BD6482"/>
    <w:rsid w:val="00BD6687"/>
    <w:rsid w:val="00BD6B46"/>
    <w:rsid w:val="00BD6E00"/>
    <w:rsid w:val="00BD7172"/>
    <w:rsid w:val="00BD7344"/>
    <w:rsid w:val="00BD745E"/>
    <w:rsid w:val="00BD7A7D"/>
    <w:rsid w:val="00BD7BE9"/>
    <w:rsid w:val="00BE0114"/>
    <w:rsid w:val="00BE0F5E"/>
    <w:rsid w:val="00BE0F95"/>
    <w:rsid w:val="00BE1283"/>
    <w:rsid w:val="00BE139F"/>
    <w:rsid w:val="00BE149D"/>
    <w:rsid w:val="00BE1BF4"/>
    <w:rsid w:val="00BE21FD"/>
    <w:rsid w:val="00BE228E"/>
    <w:rsid w:val="00BE2F2D"/>
    <w:rsid w:val="00BE3259"/>
    <w:rsid w:val="00BE35B8"/>
    <w:rsid w:val="00BE5112"/>
    <w:rsid w:val="00BE759E"/>
    <w:rsid w:val="00BE768D"/>
    <w:rsid w:val="00BE7D34"/>
    <w:rsid w:val="00BF07A7"/>
    <w:rsid w:val="00BF0B08"/>
    <w:rsid w:val="00BF0CAC"/>
    <w:rsid w:val="00BF0F27"/>
    <w:rsid w:val="00BF155C"/>
    <w:rsid w:val="00BF2BC1"/>
    <w:rsid w:val="00BF2E2B"/>
    <w:rsid w:val="00BF41B7"/>
    <w:rsid w:val="00BF4584"/>
    <w:rsid w:val="00BF466C"/>
    <w:rsid w:val="00BF491C"/>
    <w:rsid w:val="00BF4B5E"/>
    <w:rsid w:val="00BF4EE0"/>
    <w:rsid w:val="00BF52AE"/>
    <w:rsid w:val="00BF5826"/>
    <w:rsid w:val="00BF5B29"/>
    <w:rsid w:val="00BF5F83"/>
    <w:rsid w:val="00BF6640"/>
    <w:rsid w:val="00BF6654"/>
    <w:rsid w:val="00BF780F"/>
    <w:rsid w:val="00BF7CAA"/>
    <w:rsid w:val="00C00001"/>
    <w:rsid w:val="00C008A5"/>
    <w:rsid w:val="00C00BED"/>
    <w:rsid w:val="00C010B5"/>
    <w:rsid w:val="00C01DB7"/>
    <w:rsid w:val="00C01F2F"/>
    <w:rsid w:val="00C02003"/>
    <w:rsid w:val="00C0277D"/>
    <w:rsid w:val="00C031C6"/>
    <w:rsid w:val="00C053A3"/>
    <w:rsid w:val="00C05E2D"/>
    <w:rsid w:val="00C06637"/>
    <w:rsid w:val="00C06EC5"/>
    <w:rsid w:val="00C06F36"/>
    <w:rsid w:val="00C10205"/>
    <w:rsid w:val="00C1238D"/>
    <w:rsid w:val="00C128C3"/>
    <w:rsid w:val="00C132AD"/>
    <w:rsid w:val="00C14A37"/>
    <w:rsid w:val="00C15293"/>
    <w:rsid w:val="00C15C46"/>
    <w:rsid w:val="00C15D9F"/>
    <w:rsid w:val="00C16C27"/>
    <w:rsid w:val="00C16CC8"/>
    <w:rsid w:val="00C16DC5"/>
    <w:rsid w:val="00C170E3"/>
    <w:rsid w:val="00C17469"/>
    <w:rsid w:val="00C17672"/>
    <w:rsid w:val="00C2054A"/>
    <w:rsid w:val="00C20584"/>
    <w:rsid w:val="00C20AB5"/>
    <w:rsid w:val="00C2172A"/>
    <w:rsid w:val="00C21F4C"/>
    <w:rsid w:val="00C22269"/>
    <w:rsid w:val="00C2314E"/>
    <w:rsid w:val="00C238BC"/>
    <w:rsid w:val="00C23C75"/>
    <w:rsid w:val="00C2535B"/>
    <w:rsid w:val="00C25A99"/>
    <w:rsid w:val="00C25D61"/>
    <w:rsid w:val="00C25D77"/>
    <w:rsid w:val="00C26083"/>
    <w:rsid w:val="00C266B3"/>
    <w:rsid w:val="00C26A0D"/>
    <w:rsid w:val="00C26A20"/>
    <w:rsid w:val="00C27B6F"/>
    <w:rsid w:val="00C30346"/>
    <w:rsid w:val="00C30422"/>
    <w:rsid w:val="00C314C5"/>
    <w:rsid w:val="00C31557"/>
    <w:rsid w:val="00C31F02"/>
    <w:rsid w:val="00C321B7"/>
    <w:rsid w:val="00C33210"/>
    <w:rsid w:val="00C33D7C"/>
    <w:rsid w:val="00C34497"/>
    <w:rsid w:val="00C34C07"/>
    <w:rsid w:val="00C3631A"/>
    <w:rsid w:val="00C37C70"/>
    <w:rsid w:val="00C40198"/>
    <w:rsid w:val="00C4106E"/>
    <w:rsid w:val="00C41AA5"/>
    <w:rsid w:val="00C42958"/>
    <w:rsid w:val="00C42CC3"/>
    <w:rsid w:val="00C439FA"/>
    <w:rsid w:val="00C45710"/>
    <w:rsid w:val="00C46EFA"/>
    <w:rsid w:val="00C474A2"/>
    <w:rsid w:val="00C4772E"/>
    <w:rsid w:val="00C50677"/>
    <w:rsid w:val="00C51370"/>
    <w:rsid w:val="00C515A9"/>
    <w:rsid w:val="00C51818"/>
    <w:rsid w:val="00C52498"/>
    <w:rsid w:val="00C5261C"/>
    <w:rsid w:val="00C5284B"/>
    <w:rsid w:val="00C52D5D"/>
    <w:rsid w:val="00C53021"/>
    <w:rsid w:val="00C532CA"/>
    <w:rsid w:val="00C5414E"/>
    <w:rsid w:val="00C5455A"/>
    <w:rsid w:val="00C547BB"/>
    <w:rsid w:val="00C55D79"/>
    <w:rsid w:val="00C6024B"/>
    <w:rsid w:val="00C61CCC"/>
    <w:rsid w:val="00C62437"/>
    <w:rsid w:val="00C62860"/>
    <w:rsid w:val="00C628BF"/>
    <w:rsid w:val="00C62CAD"/>
    <w:rsid w:val="00C6416E"/>
    <w:rsid w:val="00C6483E"/>
    <w:rsid w:val="00C64A54"/>
    <w:rsid w:val="00C64DDF"/>
    <w:rsid w:val="00C64F1A"/>
    <w:rsid w:val="00C64F50"/>
    <w:rsid w:val="00C64FA0"/>
    <w:rsid w:val="00C650AF"/>
    <w:rsid w:val="00C65D2E"/>
    <w:rsid w:val="00C66721"/>
    <w:rsid w:val="00C67C30"/>
    <w:rsid w:val="00C67D5A"/>
    <w:rsid w:val="00C708C5"/>
    <w:rsid w:val="00C71416"/>
    <w:rsid w:val="00C71477"/>
    <w:rsid w:val="00C728DB"/>
    <w:rsid w:val="00C73189"/>
    <w:rsid w:val="00C73E8D"/>
    <w:rsid w:val="00C741ED"/>
    <w:rsid w:val="00C7429A"/>
    <w:rsid w:val="00C74542"/>
    <w:rsid w:val="00C74C77"/>
    <w:rsid w:val="00C74DD5"/>
    <w:rsid w:val="00C7502E"/>
    <w:rsid w:val="00C760D9"/>
    <w:rsid w:val="00C80103"/>
    <w:rsid w:val="00C8041A"/>
    <w:rsid w:val="00C80F53"/>
    <w:rsid w:val="00C8134D"/>
    <w:rsid w:val="00C81FBA"/>
    <w:rsid w:val="00C82037"/>
    <w:rsid w:val="00C82446"/>
    <w:rsid w:val="00C826E9"/>
    <w:rsid w:val="00C827B0"/>
    <w:rsid w:val="00C8313C"/>
    <w:rsid w:val="00C84047"/>
    <w:rsid w:val="00C84814"/>
    <w:rsid w:val="00C84BD9"/>
    <w:rsid w:val="00C84BEF"/>
    <w:rsid w:val="00C85BD2"/>
    <w:rsid w:val="00C8610E"/>
    <w:rsid w:val="00C86866"/>
    <w:rsid w:val="00C86E95"/>
    <w:rsid w:val="00C87BB9"/>
    <w:rsid w:val="00C90099"/>
    <w:rsid w:val="00C90571"/>
    <w:rsid w:val="00C91D21"/>
    <w:rsid w:val="00C9279F"/>
    <w:rsid w:val="00C92BDA"/>
    <w:rsid w:val="00C92DB7"/>
    <w:rsid w:val="00C93C69"/>
    <w:rsid w:val="00C93F03"/>
    <w:rsid w:val="00C940D2"/>
    <w:rsid w:val="00C944FE"/>
    <w:rsid w:val="00C94F11"/>
    <w:rsid w:val="00C952AB"/>
    <w:rsid w:val="00C96992"/>
    <w:rsid w:val="00C96EF3"/>
    <w:rsid w:val="00C96F65"/>
    <w:rsid w:val="00C97272"/>
    <w:rsid w:val="00C973D5"/>
    <w:rsid w:val="00C976A4"/>
    <w:rsid w:val="00C97C69"/>
    <w:rsid w:val="00C97FC2"/>
    <w:rsid w:val="00CA026A"/>
    <w:rsid w:val="00CA0422"/>
    <w:rsid w:val="00CA04A3"/>
    <w:rsid w:val="00CA0A02"/>
    <w:rsid w:val="00CA0F04"/>
    <w:rsid w:val="00CA110B"/>
    <w:rsid w:val="00CA1368"/>
    <w:rsid w:val="00CA1DBC"/>
    <w:rsid w:val="00CA1F06"/>
    <w:rsid w:val="00CA2C98"/>
    <w:rsid w:val="00CA3655"/>
    <w:rsid w:val="00CA3BB8"/>
    <w:rsid w:val="00CA431E"/>
    <w:rsid w:val="00CA486B"/>
    <w:rsid w:val="00CA48FC"/>
    <w:rsid w:val="00CA4F95"/>
    <w:rsid w:val="00CA54CB"/>
    <w:rsid w:val="00CA5982"/>
    <w:rsid w:val="00CA627A"/>
    <w:rsid w:val="00CA6511"/>
    <w:rsid w:val="00CA682D"/>
    <w:rsid w:val="00CA7494"/>
    <w:rsid w:val="00CB08DA"/>
    <w:rsid w:val="00CB1768"/>
    <w:rsid w:val="00CB19C7"/>
    <w:rsid w:val="00CB336D"/>
    <w:rsid w:val="00CB35D4"/>
    <w:rsid w:val="00CB3617"/>
    <w:rsid w:val="00CB38D3"/>
    <w:rsid w:val="00CB46D8"/>
    <w:rsid w:val="00CB504E"/>
    <w:rsid w:val="00CB522E"/>
    <w:rsid w:val="00CB56B2"/>
    <w:rsid w:val="00CB5A74"/>
    <w:rsid w:val="00CB5B64"/>
    <w:rsid w:val="00CB69B5"/>
    <w:rsid w:val="00CB6F4E"/>
    <w:rsid w:val="00CB7ECE"/>
    <w:rsid w:val="00CC098E"/>
    <w:rsid w:val="00CC18C2"/>
    <w:rsid w:val="00CC1B95"/>
    <w:rsid w:val="00CC2271"/>
    <w:rsid w:val="00CC267C"/>
    <w:rsid w:val="00CC2C6B"/>
    <w:rsid w:val="00CC2CE0"/>
    <w:rsid w:val="00CC37B9"/>
    <w:rsid w:val="00CC4023"/>
    <w:rsid w:val="00CC432C"/>
    <w:rsid w:val="00CC521D"/>
    <w:rsid w:val="00CC5A82"/>
    <w:rsid w:val="00CC5CA9"/>
    <w:rsid w:val="00CC7D0E"/>
    <w:rsid w:val="00CD000C"/>
    <w:rsid w:val="00CD085A"/>
    <w:rsid w:val="00CD14B5"/>
    <w:rsid w:val="00CD16EA"/>
    <w:rsid w:val="00CD23B9"/>
    <w:rsid w:val="00CD2A49"/>
    <w:rsid w:val="00CD2E23"/>
    <w:rsid w:val="00CD2FF9"/>
    <w:rsid w:val="00CD300B"/>
    <w:rsid w:val="00CD303C"/>
    <w:rsid w:val="00CD3797"/>
    <w:rsid w:val="00CD3CA4"/>
    <w:rsid w:val="00CD3D6C"/>
    <w:rsid w:val="00CD431D"/>
    <w:rsid w:val="00CD4369"/>
    <w:rsid w:val="00CD45D2"/>
    <w:rsid w:val="00CD4950"/>
    <w:rsid w:val="00CD5E49"/>
    <w:rsid w:val="00CD6407"/>
    <w:rsid w:val="00CD6570"/>
    <w:rsid w:val="00CD6865"/>
    <w:rsid w:val="00CD7D48"/>
    <w:rsid w:val="00CE11F7"/>
    <w:rsid w:val="00CE1301"/>
    <w:rsid w:val="00CE13FF"/>
    <w:rsid w:val="00CE14C8"/>
    <w:rsid w:val="00CE25FE"/>
    <w:rsid w:val="00CE2BFD"/>
    <w:rsid w:val="00CE2C4A"/>
    <w:rsid w:val="00CE2FC2"/>
    <w:rsid w:val="00CE40D1"/>
    <w:rsid w:val="00CE45AB"/>
    <w:rsid w:val="00CE4FF5"/>
    <w:rsid w:val="00CE5441"/>
    <w:rsid w:val="00CE57AB"/>
    <w:rsid w:val="00CE57C9"/>
    <w:rsid w:val="00CE606D"/>
    <w:rsid w:val="00CE6472"/>
    <w:rsid w:val="00CE65C1"/>
    <w:rsid w:val="00CE678C"/>
    <w:rsid w:val="00CE6D23"/>
    <w:rsid w:val="00CE7098"/>
    <w:rsid w:val="00CE71E6"/>
    <w:rsid w:val="00CE71F4"/>
    <w:rsid w:val="00CE7B5E"/>
    <w:rsid w:val="00CE7EDA"/>
    <w:rsid w:val="00CE7F21"/>
    <w:rsid w:val="00CE7F3F"/>
    <w:rsid w:val="00CF0654"/>
    <w:rsid w:val="00CF0C4B"/>
    <w:rsid w:val="00CF115F"/>
    <w:rsid w:val="00CF1D06"/>
    <w:rsid w:val="00CF1FAE"/>
    <w:rsid w:val="00CF3029"/>
    <w:rsid w:val="00CF349C"/>
    <w:rsid w:val="00CF4300"/>
    <w:rsid w:val="00CF45E0"/>
    <w:rsid w:val="00CF5A27"/>
    <w:rsid w:val="00CF5B47"/>
    <w:rsid w:val="00CF606F"/>
    <w:rsid w:val="00CF67AE"/>
    <w:rsid w:val="00D0061D"/>
    <w:rsid w:val="00D00B70"/>
    <w:rsid w:val="00D00FBE"/>
    <w:rsid w:val="00D016CE"/>
    <w:rsid w:val="00D01A9F"/>
    <w:rsid w:val="00D01ED2"/>
    <w:rsid w:val="00D01EE1"/>
    <w:rsid w:val="00D02173"/>
    <w:rsid w:val="00D02558"/>
    <w:rsid w:val="00D02B62"/>
    <w:rsid w:val="00D02BB0"/>
    <w:rsid w:val="00D03003"/>
    <w:rsid w:val="00D03097"/>
    <w:rsid w:val="00D03884"/>
    <w:rsid w:val="00D03A1B"/>
    <w:rsid w:val="00D03F67"/>
    <w:rsid w:val="00D03F71"/>
    <w:rsid w:val="00D04831"/>
    <w:rsid w:val="00D04F55"/>
    <w:rsid w:val="00D057C9"/>
    <w:rsid w:val="00D058D3"/>
    <w:rsid w:val="00D05CB5"/>
    <w:rsid w:val="00D05E36"/>
    <w:rsid w:val="00D07D77"/>
    <w:rsid w:val="00D100AC"/>
    <w:rsid w:val="00D101C1"/>
    <w:rsid w:val="00D10210"/>
    <w:rsid w:val="00D106BF"/>
    <w:rsid w:val="00D10AF5"/>
    <w:rsid w:val="00D11117"/>
    <w:rsid w:val="00D111BE"/>
    <w:rsid w:val="00D11E52"/>
    <w:rsid w:val="00D11EE1"/>
    <w:rsid w:val="00D1202C"/>
    <w:rsid w:val="00D12941"/>
    <w:rsid w:val="00D12954"/>
    <w:rsid w:val="00D12BEF"/>
    <w:rsid w:val="00D13E4D"/>
    <w:rsid w:val="00D14078"/>
    <w:rsid w:val="00D14694"/>
    <w:rsid w:val="00D147CC"/>
    <w:rsid w:val="00D157EF"/>
    <w:rsid w:val="00D15B84"/>
    <w:rsid w:val="00D160A4"/>
    <w:rsid w:val="00D169FA"/>
    <w:rsid w:val="00D16C36"/>
    <w:rsid w:val="00D174E1"/>
    <w:rsid w:val="00D202E3"/>
    <w:rsid w:val="00D213A6"/>
    <w:rsid w:val="00D213C5"/>
    <w:rsid w:val="00D2161C"/>
    <w:rsid w:val="00D223F8"/>
    <w:rsid w:val="00D23113"/>
    <w:rsid w:val="00D24617"/>
    <w:rsid w:val="00D24B48"/>
    <w:rsid w:val="00D24D02"/>
    <w:rsid w:val="00D258D0"/>
    <w:rsid w:val="00D25D03"/>
    <w:rsid w:val="00D25F95"/>
    <w:rsid w:val="00D26F9F"/>
    <w:rsid w:val="00D27598"/>
    <w:rsid w:val="00D2769A"/>
    <w:rsid w:val="00D27A3D"/>
    <w:rsid w:val="00D27E72"/>
    <w:rsid w:val="00D27EE7"/>
    <w:rsid w:val="00D30B1F"/>
    <w:rsid w:val="00D30C64"/>
    <w:rsid w:val="00D313F5"/>
    <w:rsid w:val="00D3231E"/>
    <w:rsid w:val="00D32398"/>
    <w:rsid w:val="00D328EF"/>
    <w:rsid w:val="00D32C79"/>
    <w:rsid w:val="00D32D1A"/>
    <w:rsid w:val="00D33065"/>
    <w:rsid w:val="00D33248"/>
    <w:rsid w:val="00D34371"/>
    <w:rsid w:val="00D3490F"/>
    <w:rsid w:val="00D35230"/>
    <w:rsid w:val="00D37251"/>
    <w:rsid w:val="00D37321"/>
    <w:rsid w:val="00D37688"/>
    <w:rsid w:val="00D40012"/>
    <w:rsid w:val="00D40DE9"/>
    <w:rsid w:val="00D40FD5"/>
    <w:rsid w:val="00D4147C"/>
    <w:rsid w:val="00D41AA5"/>
    <w:rsid w:val="00D41DDC"/>
    <w:rsid w:val="00D42027"/>
    <w:rsid w:val="00D422A2"/>
    <w:rsid w:val="00D4244F"/>
    <w:rsid w:val="00D42755"/>
    <w:rsid w:val="00D42C51"/>
    <w:rsid w:val="00D43598"/>
    <w:rsid w:val="00D43678"/>
    <w:rsid w:val="00D436A2"/>
    <w:rsid w:val="00D43DF3"/>
    <w:rsid w:val="00D44705"/>
    <w:rsid w:val="00D4579B"/>
    <w:rsid w:val="00D45C5A"/>
    <w:rsid w:val="00D46337"/>
    <w:rsid w:val="00D46F5A"/>
    <w:rsid w:val="00D46FC7"/>
    <w:rsid w:val="00D47362"/>
    <w:rsid w:val="00D5054A"/>
    <w:rsid w:val="00D50947"/>
    <w:rsid w:val="00D50F63"/>
    <w:rsid w:val="00D51659"/>
    <w:rsid w:val="00D538C3"/>
    <w:rsid w:val="00D5443F"/>
    <w:rsid w:val="00D547AA"/>
    <w:rsid w:val="00D54A3F"/>
    <w:rsid w:val="00D54E9F"/>
    <w:rsid w:val="00D56701"/>
    <w:rsid w:val="00D56C8C"/>
    <w:rsid w:val="00D56DAD"/>
    <w:rsid w:val="00D570A3"/>
    <w:rsid w:val="00D57248"/>
    <w:rsid w:val="00D573DB"/>
    <w:rsid w:val="00D57FA2"/>
    <w:rsid w:val="00D602D8"/>
    <w:rsid w:val="00D603FD"/>
    <w:rsid w:val="00D60425"/>
    <w:rsid w:val="00D60F85"/>
    <w:rsid w:val="00D620D4"/>
    <w:rsid w:val="00D626F1"/>
    <w:rsid w:val="00D6281B"/>
    <w:rsid w:val="00D6322A"/>
    <w:rsid w:val="00D6329C"/>
    <w:rsid w:val="00D632E4"/>
    <w:rsid w:val="00D63AD8"/>
    <w:rsid w:val="00D63B29"/>
    <w:rsid w:val="00D63B58"/>
    <w:rsid w:val="00D63EA9"/>
    <w:rsid w:val="00D64112"/>
    <w:rsid w:val="00D641B5"/>
    <w:rsid w:val="00D641DB"/>
    <w:rsid w:val="00D64278"/>
    <w:rsid w:val="00D64517"/>
    <w:rsid w:val="00D65007"/>
    <w:rsid w:val="00D65CF0"/>
    <w:rsid w:val="00D65D0F"/>
    <w:rsid w:val="00D662F0"/>
    <w:rsid w:val="00D668EE"/>
    <w:rsid w:val="00D677D8"/>
    <w:rsid w:val="00D6791E"/>
    <w:rsid w:val="00D711D2"/>
    <w:rsid w:val="00D71B28"/>
    <w:rsid w:val="00D71C2B"/>
    <w:rsid w:val="00D71C7D"/>
    <w:rsid w:val="00D722DE"/>
    <w:rsid w:val="00D723FB"/>
    <w:rsid w:val="00D7323F"/>
    <w:rsid w:val="00D73AF4"/>
    <w:rsid w:val="00D74933"/>
    <w:rsid w:val="00D766A6"/>
    <w:rsid w:val="00D767C2"/>
    <w:rsid w:val="00D7694D"/>
    <w:rsid w:val="00D76B59"/>
    <w:rsid w:val="00D76B61"/>
    <w:rsid w:val="00D76C0F"/>
    <w:rsid w:val="00D77623"/>
    <w:rsid w:val="00D8009E"/>
    <w:rsid w:val="00D80EFA"/>
    <w:rsid w:val="00D811BE"/>
    <w:rsid w:val="00D81515"/>
    <w:rsid w:val="00D81B0E"/>
    <w:rsid w:val="00D81B55"/>
    <w:rsid w:val="00D83904"/>
    <w:rsid w:val="00D84093"/>
    <w:rsid w:val="00D840E0"/>
    <w:rsid w:val="00D84791"/>
    <w:rsid w:val="00D847F4"/>
    <w:rsid w:val="00D8682C"/>
    <w:rsid w:val="00D86A4D"/>
    <w:rsid w:val="00D86CA8"/>
    <w:rsid w:val="00D87159"/>
    <w:rsid w:val="00D8717A"/>
    <w:rsid w:val="00D87618"/>
    <w:rsid w:val="00D9046D"/>
    <w:rsid w:val="00D904C1"/>
    <w:rsid w:val="00D91359"/>
    <w:rsid w:val="00D91751"/>
    <w:rsid w:val="00D92246"/>
    <w:rsid w:val="00D9244C"/>
    <w:rsid w:val="00D9279E"/>
    <w:rsid w:val="00D9479F"/>
    <w:rsid w:val="00D94F11"/>
    <w:rsid w:val="00D950AB"/>
    <w:rsid w:val="00D9525D"/>
    <w:rsid w:val="00D95DB4"/>
    <w:rsid w:val="00D96965"/>
    <w:rsid w:val="00D972C1"/>
    <w:rsid w:val="00D97492"/>
    <w:rsid w:val="00D97542"/>
    <w:rsid w:val="00D975B8"/>
    <w:rsid w:val="00D97B38"/>
    <w:rsid w:val="00D97E1B"/>
    <w:rsid w:val="00D97E8D"/>
    <w:rsid w:val="00DA0A3A"/>
    <w:rsid w:val="00DA0D0D"/>
    <w:rsid w:val="00DA1606"/>
    <w:rsid w:val="00DA1676"/>
    <w:rsid w:val="00DA2820"/>
    <w:rsid w:val="00DA2970"/>
    <w:rsid w:val="00DA31A1"/>
    <w:rsid w:val="00DA36F3"/>
    <w:rsid w:val="00DA3AFB"/>
    <w:rsid w:val="00DA4277"/>
    <w:rsid w:val="00DA4BF2"/>
    <w:rsid w:val="00DA4F8D"/>
    <w:rsid w:val="00DA5672"/>
    <w:rsid w:val="00DA6184"/>
    <w:rsid w:val="00DA7D0A"/>
    <w:rsid w:val="00DB0AE4"/>
    <w:rsid w:val="00DB0E03"/>
    <w:rsid w:val="00DB179F"/>
    <w:rsid w:val="00DB3240"/>
    <w:rsid w:val="00DB36B6"/>
    <w:rsid w:val="00DB37C5"/>
    <w:rsid w:val="00DB3C6F"/>
    <w:rsid w:val="00DB4491"/>
    <w:rsid w:val="00DB5024"/>
    <w:rsid w:val="00DB5F3B"/>
    <w:rsid w:val="00DB6908"/>
    <w:rsid w:val="00DB708D"/>
    <w:rsid w:val="00DB70A8"/>
    <w:rsid w:val="00DB7503"/>
    <w:rsid w:val="00DB76F8"/>
    <w:rsid w:val="00DB7850"/>
    <w:rsid w:val="00DC058F"/>
    <w:rsid w:val="00DC0671"/>
    <w:rsid w:val="00DC17DE"/>
    <w:rsid w:val="00DC1BE0"/>
    <w:rsid w:val="00DC28EE"/>
    <w:rsid w:val="00DC2E04"/>
    <w:rsid w:val="00DC2FB5"/>
    <w:rsid w:val="00DC359F"/>
    <w:rsid w:val="00DC3626"/>
    <w:rsid w:val="00DC3636"/>
    <w:rsid w:val="00DC3A0C"/>
    <w:rsid w:val="00DC3EC0"/>
    <w:rsid w:val="00DC4617"/>
    <w:rsid w:val="00DC4E55"/>
    <w:rsid w:val="00DC5784"/>
    <w:rsid w:val="00DC69E9"/>
    <w:rsid w:val="00DC6F89"/>
    <w:rsid w:val="00DC710A"/>
    <w:rsid w:val="00DC7E81"/>
    <w:rsid w:val="00DD0146"/>
    <w:rsid w:val="00DD04C9"/>
    <w:rsid w:val="00DD08A6"/>
    <w:rsid w:val="00DD1B8B"/>
    <w:rsid w:val="00DD259A"/>
    <w:rsid w:val="00DD2BAE"/>
    <w:rsid w:val="00DD2EED"/>
    <w:rsid w:val="00DD34F8"/>
    <w:rsid w:val="00DD444E"/>
    <w:rsid w:val="00DD453B"/>
    <w:rsid w:val="00DD5434"/>
    <w:rsid w:val="00DD677C"/>
    <w:rsid w:val="00DD6DB7"/>
    <w:rsid w:val="00DD6FFF"/>
    <w:rsid w:val="00DD72AE"/>
    <w:rsid w:val="00DD75BF"/>
    <w:rsid w:val="00DE034E"/>
    <w:rsid w:val="00DE03F3"/>
    <w:rsid w:val="00DE0E5B"/>
    <w:rsid w:val="00DE14CD"/>
    <w:rsid w:val="00DE1C44"/>
    <w:rsid w:val="00DE2067"/>
    <w:rsid w:val="00DE21D2"/>
    <w:rsid w:val="00DE272D"/>
    <w:rsid w:val="00DE2CD1"/>
    <w:rsid w:val="00DE39BE"/>
    <w:rsid w:val="00DE3CC5"/>
    <w:rsid w:val="00DE4D60"/>
    <w:rsid w:val="00DE5733"/>
    <w:rsid w:val="00DE5F70"/>
    <w:rsid w:val="00DE6929"/>
    <w:rsid w:val="00DE7836"/>
    <w:rsid w:val="00DE78EB"/>
    <w:rsid w:val="00DE7D48"/>
    <w:rsid w:val="00DF0412"/>
    <w:rsid w:val="00DF05A5"/>
    <w:rsid w:val="00DF1998"/>
    <w:rsid w:val="00DF2AD0"/>
    <w:rsid w:val="00DF340E"/>
    <w:rsid w:val="00DF34E6"/>
    <w:rsid w:val="00DF35B4"/>
    <w:rsid w:val="00DF41E5"/>
    <w:rsid w:val="00DF4446"/>
    <w:rsid w:val="00DF459B"/>
    <w:rsid w:val="00DF4BC0"/>
    <w:rsid w:val="00DF56D2"/>
    <w:rsid w:val="00DF5CED"/>
    <w:rsid w:val="00DF638D"/>
    <w:rsid w:val="00DF6890"/>
    <w:rsid w:val="00DF785D"/>
    <w:rsid w:val="00DF793B"/>
    <w:rsid w:val="00E00072"/>
    <w:rsid w:val="00E003EE"/>
    <w:rsid w:val="00E009F7"/>
    <w:rsid w:val="00E02691"/>
    <w:rsid w:val="00E02772"/>
    <w:rsid w:val="00E0330F"/>
    <w:rsid w:val="00E03CB0"/>
    <w:rsid w:val="00E04080"/>
    <w:rsid w:val="00E043B5"/>
    <w:rsid w:val="00E04874"/>
    <w:rsid w:val="00E04DA5"/>
    <w:rsid w:val="00E054C5"/>
    <w:rsid w:val="00E0596B"/>
    <w:rsid w:val="00E05D9B"/>
    <w:rsid w:val="00E06112"/>
    <w:rsid w:val="00E0630D"/>
    <w:rsid w:val="00E063E7"/>
    <w:rsid w:val="00E066B6"/>
    <w:rsid w:val="00E06823"/>
    <w:rsid w:val="00E101BE"/>
    <w:rsid w:val="00E11BDB"/>
    <w:rsid w:val="00E11EA8"/>
    <w:rsid w:val="00E12F40"/>
    <w:rsid w:val="00E14501"/>
    <w:rsid w:val="00E1489A"/>
    <w:rsid w:val="00E15A82"/>
    <w:rsid w:val="00E15B8D"/>
    <w:rsid w:val="00E16007"/>
    <w:rsid w:val="00E16161"/>
    <w:rsid w:val="00E16201"/>
    <w:rsid w:val="00E17179"/>
    <w:rsid w:val="00E21966"/>
    <w:rsid w:val="00E23219"/>
    <w:rsid w:val="00E23233"/>
    <w:rsid w:val="00E23BE9"/>
    <w:rsid w:val="00E24BBF"/>
    <w:rsid w:val="00E25530"/>
    <w:rsid w:val="00E25C6F"/>
    <w:rsid w:val="00E25D07"/>
    <w:rsid w:val="00E25E2A"/>
    <w:rsid w:val="00E26A8D"/>
    <w:rsid w:val="00E26D09"/>
    <w:rsid w:val="00E2720C"/>
    <w:rsid w:val="00E2766D"/>
    <w:rsid w:val="00E30C84"/>
    <w:rsid w:val="00E30F7D"/>
    <w:rsid w:val="00E31A89"/>
    <w:rsid w:val="00E329B5"/>
    <w:rsid w:val="00E33579"/>
    <w:rsid w:val="00E33943"/>
    <w:rsid w:val="00E3394F"/>
    <w:rsid w:val="00E33B0E"/>
    <w:rsid w:val="00E346A6"/>
    <w:rsid w:val="00E34997"/>
    <w:rsid w:val="00E35516"/>
    <w:rsid w:val="00E355A0"/>
    <w:rsid w:val="00E358CD"/>
    <w:rsid w:val="00E35E71"/>
    <w:rsid w:val="00E35EE0"/>
    <w:rsid w:val="00E36144"/>
    <w:rsid w:val="00E362B5"/>
    <w:rsid w:val="00E36FE4"/>
    <w:rsid w:val="00E374F1"/>
    <w:rsid w:val="00E40070"/>
    <w:rsid w:val="00E400B8"/>
    <w:rsid w:val="00E41742"/>
    <w:rsid w:val="00E4187C"/>
    <w:rsid w:val="00E41B5E"/>
    <w:rsid w:val="00E41B80"/>
    <w:rsid w:val="00E41E4F"/>
    <w:rsid w:val="00E42618"/>
    <w:rsid w:val="00E42C7F"/>
    <w:rsid w:val="00E4318B"/>
    <w:rsid w:val="00E4449E"/>
    <w:rsid w:val="00E44996"/>
    <w:rsid w:val="00E451B9"/>
    <w:rsid w:val="00E45270"/>
    <w:rsid w:val="00E46764"/>
    <w:rsid w:val="00E46B50"/>
    <w:rsid w:val="00E47638"/>
    <w:rsid w:val="00E47E9D"/>
    <w:rsid w:val="00E500E7"/>
    <w:rsid w:val="00E5029D"/>
    <w:rsid w:val="00E5039E"/>
    <w:rsid w:val="00E5055B"/>
    <w:rsid w:val="00E50FF1"/>
    <w:rsid w:val="00E513FF"/>
    <w:rsid w:val="00E51494"/>
    <w:rsid w:val="00E51A3F"/>
    <w:rsid w:val="00E51B0B"/>
    <w:rsid w:val="00E52398"/>
    <w:rsid w:val="00E52FFA"/>
    <w:rsid w:val="00E551D3"/>
    <w:rsid w:val="00E5538A"/>
    <w:rsid w:val="00E5599F"/>
    <w:rsid w:val="00E56142"/>
    <w:rsid w:val="00E5631F"/>
    <w:rsid w:val="00E57582"/>
    <w:rsid w:val="00E57C20"/>
    <w:rsid w:val="00E57E39"/>
    <w:rsid w:val="00E606DC"/>
    <w:rsid w:val="00E60844"/>
    <w:rsid w:val="00E60F16"/>
    <w:rsid w:val="00E61E1E"/>
    <w:rsid w:val="00E61E7A"/>
    <w:rsid w:val="00E61F11"/>
    <w:rsid w:val="00E62E82"/>
    <w:rsid w:val="00E63114"/>
    <w:rsid w:val="00E63135"/>
    <w:rsid w:val="00E6353B"/>
    <w:rsid w:val="00E635EE"/>
    <w:rsid w:val="00E63728"/>
    <w:rsid w:val="00E63CC6"/>
    <w:rsid w:val="00E6432C"/>
    <w:rsid w:val="00E64BE8"/>
    <w:rsid w:val="00E65009"/>
    <w:rsid w:val="00E65287"/>
    <w:rsid w:val="00E65CDF"/>
    <w:rsid w:val="00E65E51"/>
    <w:rsid w:val="00E65E6C"/>
    <w:rsid w:val="00E65F0F"/>
    <w:rsid w:val="00E66B5A"/>
    <w:rsid w:val="00E66BB1"/>
    <w:rsid w:val="00E67091"/>
    <w:rsid w:val="00E67400"/>
    <w:rsid w:val="00E678E1"/>
    <w:rsid w:val="00E67C9E"/>
    <w:rsid w:val="00E70022"/>
    <w:rsid w:val="00E70ED1"/>
    <w:rsid w:val="00E7141D"/>
    <w:rsid w:val="00E71857"/>
    <w:rsid w:val="00E7197B"/>
    <w:rsid w:val="00E734C6"/>
    <w:rsid w:val="00E74EC2"/>
    <w:rsid w:val="00E75B2A"/>
    <w:rsid w:val="00E75DD1"/>
    <w:rsid w:val="00E80BEE"/>
    <w:rsid w:val="00E80ED7"/>
    <w:rsid w:val="00E80FD7"/>
    <w:rsid w:val="00E81BF7"/>
    <w:rsid w:val="00E81C37"/>
    <w:rsid w:val="00E82A6D"/>
    <w:rsid w:val="00E82D03"/>
    <w:rsid w:val="00E83370"/>
    <w:rsid w:val="00E83837"/>
    <w:rsid w:val="00E83A71"/>
    <w:rsid w:val="00E83D0C"/>
    <w:rsid w:val="00E84168"/>
    <w:rsid w:val="00E845E0"/>
    <w:rsid w:val="00E84708"/>
    <w:rsid w:val="00E848B6"/>
    <w:rsid w:val="00E84AB6"/>
    <w:rsid w:val="00E8671B"/>
    <w:rsid w:val="00E87049"/>
    <w:rsid w:val="00E87128"/>
    <w:rsid w:val="00E87950"/>
    <w:rsid w:val="00E87CE1"/>
    <w:rsid w:val="00E90095"/>
    <w:rsid w:val="00E903E0"/>
    <w:rsid w:val="00E906A2"/>
    <w:rsid w:val="00E90F79"/>
    <w:rsid w:val="00E91244"/>
    <w:rsid w:val="00E91F59"/>
    <w:rsid w:val="00E924E1"/>
    <w:rsid w:val="00E92E07"/>
    <w:rsid w:val="00E9375A"/>
    <w:rsid w:val="00E938FC"/>
    <w:rsid w:val="00E94022"/>
    <w:rsid w:val="00E94FFD"/>
    <w:rsid w:val="00E95054"/>
    <w:rsid w:val="00E95AAD"/>
    <w:rsid w:val="00E9643A"/>
    <w:rsid w:val="00E96A9F"/>
    <w:rsid w:val="00E96ED7"/>
    <w:rsid w:val="00E97101"/>
    <w:rsid w:val="00E97829"/>
    <w:rsid w:val="00E97A50"/>
    <w:rsid w:val="00E97A9B"/>
    <w:rsid w:val="00E97BC4"/>
    <w:rsid w:val="00EA0584"/>
    <w:rsid w:val="00EA0E0D"/>
    <w:rsid w:val="00EA11B9"/>
    <w:rsid w:val="00EA3785"/>
    <w:rsid w:val="00EA3E17"/>
    <w:rsid w:val="00EA3F39"/>
    <w:rsid w:val="00EA45A0"/>
    <w:rsid w:val="00EA4792"/>
    <w:rsid w:val="00EA522F"/>
    <w:rsid w:val="00EA5252"/>
    <w:rsid w:val="00EA5D70"/>
    <w:rsid w:val="00EA6BF2"/>
    <w:rsid w:val="00EA7063"/>
    <w:rsid w:val="00EA7379"/>
    <w:rsid w:val="00EA75F8"/>
    <w:rsid w:val="00EB0542"/>
    <w:rsid w:val="00EB0D35"/>
    <w:rsid w:val="00EB2284"/>
    <w:rsid w:val="00EB2F04"/>
    <w:rsid w:val="00EB3418"/>
    <w:rsid w:val="00EB388B"/>
    <w:rsid w:val="00EB3DA2"/>
    <w:rsid w:val="00EB3E9E"/>
    <w:rsid w:val="00EB4148"/>
    <w:rsid w:val="00EB4287"/>
    <w:rsid w:val="00EB5604"/>
    <w:rsid w:val="00EB58F2"/>
    <w:rsid w:val="00EB5BCE"/>
    <w:rsid w:val="00EB72FF"/>
    <w:rsid w:val="00EB7829"/>
    <w:rsid w:val="00EB7934"/>
    <w:rsid w:val="00EC0968"/>
    <w:rsid w:val="00EC0E28"/>
    <w:rsid w:val="00EC0FC0"/>
    <w:rsid w:val="00EC194A"/>
    <w:rsid w:val="00EC1AE2"/>
    <w:rsid w:val="00EC2046"/>
    <w:rsid w:val="00EC2175"/>
    <w:rsid w:val="00EC3293"/>
    <w:rsid w:val="00EC478B"/>
    <w:rsid w:val="00EC5349"/>
    <w:rsid w:val="00EC54BB"/>
    <w:rsid w:val="00EC60E1"/>
    <w:rsid w:val="00EC616F"/>
    <w:rsid w:val="00EC67CE"/>
    <w:rsid w:val="00EC6A16"/>
    <w:rsid w:val="00EC6B1B"/>
    <w:rsid w:val="00EC6DDA"/>
    <w:rsid w:val="00ED2158"/>
    <w:rsid w:val="00ED263F"/>
    <w:rsid w:val="00ED272B"/>
    <w:rsid w:val="00ED2757"/>
    <w:rsid w:val="00ED2EDF"/>
    <w:rsid w:val="00ED3A0B"/>
    <w:rsid w:val="00ED3C9F"/>
    <w:rsid w:val="00ED3F2C"/>
    <w:rsid w:val="00ED4B87"/>
    <w:rsid w:val="00ED5FF8"/>
    <w:rsid w:val="00ED657A"/>
    <w:rsid w:val="00ED6639"/>
    <w:rsid w:val="00ED6A48"/>
    <w:rsid w:val="00ED730D"/>
    <w:rsid w:val="00EE05D5"/>
    <w:rsid w:val="00EE1402"/>
    <w:rsid w:val="00EE3522"/>
    <w:rsid w:val="00EE3897"/>
    <w:rsid w:val="00EE3AE6"/>
    <w:rsid w:val="00EE3F8A"/>
    <w:rsid w:val="00EE4AAD"/>
    <w:rsid w:val="00EE4C91"/>
    <w:rsid w:val="00EE4F9F"/>
    <w:rsid w:val="00EE50DB"/>
    <w:rsid w:val="00EE52D8"/>
    <w:rsid w:val="00EE54E0"/>
    <w:rsid w:val="00EE56F6"/>
    <w:rsid w:val="00EE5EB2"/>
    <w:rsid w:val="00EE60D8"/>
    <w:rsid w:val="00EE6BA2"/>
    <w:rsid w:val="00EE6D4D"/>
    <w:rsid w:val="00EE7441"/>
    <w:rsid w:val="00EF089D"/>
    <w:rsid w:val="00EF0EA8"/>
    <w:rsid w:val="00EF1234"/>
    <w:rsid w:val="00EF1718"/>
    <w:rsid w:val="00EF3C03"/>
    <w:rsid w:val="00EF44D4"/>
    <w:rsid w:val="00EF4720"/>
    <w:rsid w:val="00EF473A"/>
    <w:rsid w:val="00EF4C13"/>
    <w:rsid w:val="00EF4FBE"/>
    <w:rsid w:val="00EF55CE"/>
    <w:rsid w:val="00EF620E"/>
    <w:rsid w:val="00EF6308"/>
    <w:rsid w:val="00EF671D"/>
    <w:rsid w:val="00EF689C"/>
    <w:rsid w:val="00EF6BF4"/>
    <w:rsid w:val="00EF6C8D"/>
    <w:rsid w:val="00EF6E84"/>
    <w:rsid w:val="00EF7024"/>
    <w:rsid w:val="00EF79AF"/>
    <w:rsid w:val="00F0148C"/>
    <w:rsid w:val="00F028C6"/>
    <w:rsid w:val="00F0293B"/>
    <w:rsid w:val="00F035AA"/>
    <w:rsid w:val="00F038F5"/>
    <w:rsid w:val="00F03F0F"/>
    <w:rsid w:val="00F04117"/>
    <w:rsid w:val="00F056F1"/>
    <w:rsid w:val="00F0619D"/>
    <w:rsid w:val="00F061D4"/>
    <w:rsid w:val="00F06625"/>
    <w:rsid w:val="00F06929"/>
    <w:rsid w:val="00F06A3C"/>
    <w:rsid w:val="00F07397"/>
    <w:rsid w:val="00F07B1E"/>
    <w:rsid w:val="00F07C17"/>
    <w:rsid w:val="00F07DE7"/>
    <w:rsid w:val="00F10199"/>
    <w:rsid w:val="00F11AC6"/>
    <w:rsid w:val="00F11D7A"/>
    <w:rsid w:val="00F124AA"/>
    <w:rsid w:val="00F1299B"/>
    <w:rsid w:val="00F12D54"/>
    <w:rsid w:val="00F12FD9"/>
    <w:rsid w:val="00F13812"/>
    <w:rsid w:val="00F13953"/>
    <w:rsid w:val="00F13A40"/>
    <w:rsid w:val="00F13ACF"/>
    <w:rsid w:val="00F13B3E"/>
    <w:rsid w:val="00F13F68"/>
    <w:rsid w:val="00F14723"/>
    <w:rsid w:val="00F15206"/>
    <w:rsid w:val="00F16C34"/>
    <w:rsid w:val="00F16EC9"/>
    <w:rsid w:val="00F17889"/>
    <w:rsid w:val="00F17F5D"/>
    <w:rsid w:val="00F20B41"/>
    <w:rsid w:val="00F21DC2"/>
    <w:rsid w:val="00F2244E"/>
    <w:rsid w:val="00F2293F"/>
    <w:rsid w:val="00F22A85"/>
    <w:rsid w:val="00F22C5A"/>
    <w:rsid w:val="00F23722"/>
    <w:rsid w:val="00F23CE6"/>
    <w:rsid w:val="00F25BCE"/>
    <w:rsid w:val="00F27C0A"/>
    <w:rsid w:val="00F30672"/>
    <w:rsid w:val="00F30F94"/>
    <w:rsid w:val="00F318C7"/>
    <w:rsid w:val="00F31C0D"/>
    <w:rsid w:val="00F331B8"/>
    <w:rsid w:val="00F333D0"/>
    <w:rsid w:val="00F33B2A"/>
    <w:rsid w:val="00F33F36"/>
    <w:rsid w:val="00F340C4"/>
    <w:rsid w:val="00F34542"/>
    <w:rsid w:val="00F34A58"/>
    <w:rsid w:val="00F3744E"/>
    <w:rsid w:val="00F4014D"/>
    <w:rsid w:val="00F40EA7"/>
    <w:rsid w:val="00F4126F"/>
    <w:rsid w:val="00F4140B"/>
    <w:rsid w:val="00F42BB6"/>
    <w:rsid w:val="00F42C20"/>
    <w:rsid w:val="00F43B9F"/>
    <w:rsid w:val="00F44133"/>
    <w:rsid w:val="00F4438D"/>
    <w:rsid w:val="00F4487E"/>
    <w:rsid w:val="00F44BCB"/>
    <w:rsid w:val="00F44CCF"/>
    <w:rsid w:val="00F45413"/>
    <w:rsid w:val="00F45F84"/>
    <w:rsid w:val="00F45FDF"/>
    <w:rsid w:val="00F4754F"/>
    <w:rsid w:val="00F47A25"/>
    <w:rsid w:val="00F47C4B"/>
    <w:rsid w:val="00F50D43"/>
    <w:rsid w:val="00F51354"/>
    <w:rsid w:val="00F51816"/>
    <w:rsid w:val="00F519A2"/>
    <w:rsid w:val="00F51A44"/>
    <w:rsid w:val="00F51FD1"/>
    <w:rsid w:val="00F521D9"/>
    <w:rsid w:val="00F527D1"/>
    <w:rsid w:val="00F528F0"/>
    <w:rsid w:val="00F532CC"/>
    <w:rsid w:val="00F53625"/>
    <w:rsid w:val="00F53980"/>
    <w:rsid w:val="00F54364"/>
    <w:rsid w:val="00F54721"/>
    <w:rsid w:val="00F552A2"/>
    <w:rsid w:val="00F55625"/>
    <w:rsid w:val="00F5644C"/>
    <w:rsid w:val="00F56CA9"/>
    <w:rsid w:val="00F56F64"/>
    <w:rsid w:val="00F57407"/>
    <w:rsid w:val="00F57B6B"/>
    <w:rsid w:val="00F57E1A"/>
    <w:rsid w:val="00F60217"/>
    <w:rsid w:val="00F60580"/>
    <w:rsid w:val="00F60626"/>
    <w:rsid w:val="00F6093E"/>
    <w:rsid w:val="00F61067"/>
    <w:rsid w:val="00F61756"/>
    <w:rsid w:val="00F625EE"/>
    <w:rsid w:val="00F63964"/>
    <w:rsid w:val="00F63BE7"/>
    <w:rsid w:val="00F63EE9"/>
    <w:rsid w:val="00F64103"/>
    <w:rsid w:val="00F643BE"/>
    <w:rsid w:val="00F643FA"/>
    <w:rsid w:val="00F64CCC"/>
    <w:rsid w:val="00F64CDF"/>
    <w:rsid w:val="00F64D87"/>
    <w:rsid w:val="00F65012"/>
    <w:rsid w:val="00F6519B"/>
    <w:rsid w:val="00F65D5C"/>
    <w:rsid w:val="00F66424"/>
    <w:rsid w:val="00F66999"/>
    <w:rsid w:val="00F67E76"/>
    <w:rsid w:val="00F704BB"/>
    <w:rsid w:val="00F7067B"/>
    <w:rsid w:val="00F70AFC"/>
    <w:rsid w:val="00F7106E"/>
    <w:rsid w:val="00F71880"/>
    <w:rsid w:val="00F71D78"/>
    <w:rsid w:val="00F72616"/>
    <w:rsid w:val="00F72658"/>
    <w:rsid w:val="00F7295C"/>
    <w:rsid w:val="00F73BD6"/>
    <w:rsid w:val="00F73FF6"/>
    <w:rsid w:val="00F74338"/>
    <w:rsid w:val="00F7457D"/>
    <w:rsid w:val="00F746DA"/>
    <w:rsid w:val="00F7495A"/>
    <w:rsid w:val="00F74F2E"/>
    <w:rsid w:val="00F74F4F"/>
    <w:rsid w:val="00F75068"/>
    <w:rsid w:val="00F752BC"/>
    <w:rsid w:val="00F76293"/>
    <w:rsid w:val="00F7650A"/>
    <w:rsid w:val="00F7655D"/>
    <w:rsid w:val="00F76EC8"/>
    <w:rsid w:val="00F77831"/>
    <w:rsid w:val="00F77C89"/>
    <w:rsid w:val="00F80945"/>
    <w:rsid w:val="00F81A0E"/>
    <w:rsid w:val="00F81F46"/>
    <w:rsid w:val="00F821EA"/>
    <w:rsid w:val="00F82371"/>
    <w:rsid w:val="00F83728"/>
    <w:rsid w:val="00F845DA"/>
    <w:rsid w:val="00F84B10"/>
    <w:rsid w:val="00F84B3E"/>
    <w:rsid w:val="00F84B6E"/>
    <w:rsid w:val="00F85920"/>
    <w:rsid w:val="00F859E3"/>
    <w:rsid w:val="00F85E21"/>
    <w:rsid w:val="00F86026"/>
    <w:rsid w:val="00F86CC3"/>
    <w:rsid w:val="00F87B9F"/>
    <w:rsid w:val="00F9004B"/>
    <w:rsid w:val="00F9070A"/>
    <w:rsid w:val="00F91A84"/>
    <w:rsid w:val="00F920C7"/>
    <w:rsid w:val="00F9297E"/>
    <w:rsid w:val="00F92CC4"/>
    <w:rsid w:val="00F943C0"/>
    <w:rsid w:val="00F94B26"/>
    <w:rsid w:val="00F956FA"/>
    <w:rsid w:val="00F95841"/>
    <w:rsid w:val="00F95988"/>
    <w:rsid w:val="00F960D3"/>
    <w:rsid w:val="00F96574"/>
    <w:rsid w:val="00F965B3"/>
    <w:rsid w:val="00F97D03"/>
    <w:rsid w:val="00F97E90"/>
    <w:rsid w:val="00FA0539"/>
    <w:rsid w:val="00FA05B8"/>
    <w:rsid w:val="00FA0A0B"/>
    <w:rsid w:val="00FA19D1"/>
    <w:rsid w:val="00FA297A"/>
    <w:rsid w:val="00FA3003"/>
    <w:rsid w:val="00FA3F70"/>
    <w:rsid w:val="00FA4BF6"/>
    <w:rsid w:val="00FA56CD"/>
    <w:rsid w:val="00FA5874"/>
    <w:rsid w:val="00FA6166"/>
    <w:rsid w:val="00FA65DD"/>
    <w:rsid w:val="00FA665A"/>
    <w:rsid w:val="00FA6A64"/>
    <w:rsid w:val="00FA73D6"/>
    <w:rsid w:val="00FA779B"/>
    <w:rsid w:val="00FB0471"/>
    <w:rsid w:val="00FB0C1B"/>
    <w:rsid w:val="00FB185F"/>
    <w:rsid w:val="00FB194D"/>
    <w:rsid w:val="00FB20F8"/>
    <w:rsid w:val="00FB2306"/>
    <w:rsid w:val="00FB2740"/>
    <w:rsid w:val="00FB4550"/>
    <w:rsid w:val="00FB4EE3"/>
    <w:rsid w:val="00FB58F3"/>
    <w:rsid w:val="00FB5F42"/>
    <w:rsid w:val="00FB6CE5"/>
    <w:rsid w:val="00FB7ABC"/>
    <w:rsid w:val="00FB7B5C"/>
    <w:rsid w:val="00FC03CA"/>
    <w:rsid w:val="00FC0BCA"/>
    <w:rsid w:val="00FC0C02"/>
    <w:rsid w:val="00FC1670"/>
    <w:rsid w:val="00FC1DFB"/>
    <w:rsid w:val="00FC24E5"/>
    <w:rsid w:val="00FC28EA"/>
    <w:rsid w:val="00FC2C18"/>
    <w:rsid w:val="00FC3998"/>
    <w:rsid w:val="00FC4150"/>
    <w:rsid w:val="00FC43BF"/>
    <w:rsid w:val="00FC45AE"/>
    <w:rsid w:val="00FC45D9"/>
    <w:rsid w:val="00FC4B6A"/>
    <w:rsid w:val="00FC4CB8"/>
    <w:rsid w:val="00FC5476"/>
    <w:rsid w:val="00FC5A2F"/>
    <w:rsid w:val="00FC5CF2"/>
    <w:rsid w:val="00FC5FBE"/>
    <w:rsid w:val="00FC67CA"/>
    <w:rsid w:val="00FC6AFC"/>
    <w:rsid w:val="00FC756A"/>
    <w:rsid w:val="00FC7AF0"/>
    <w:rsid w:val="00FC7DB7"/>
    <w:rsid w:val="00FD0231"/>
    <w:rsid w:val="00FD0AC9"/>
    <w:rsid w:val="00FD156D"/>
    <w:rsid w:val="00FD310D"/>
    <w:rsid w:val="00FD3443"/>
    <w:rsid w:val="00FD4118"/>
    <w:rsid w:val="00FD440F"/>
    <w:rsid w:val="00FD463B"/>
    <w:rsid w:val="00FD5045"/>
    <w:rsid w:val="00FD5B3C"/>
    <w:rsid w:val="00FD5DA4"/>
    <w:rsid w:val="00FD600C"/>
    <w:rsid w:val="00FD6038"/>
    <w:rsid w:val="00FD7212"/>
    <w:rsid w:val="00FD7B1A"/>
    <w:rsid w:val="00FE048C"/>
    <w:rsid w:val="00FE0575"/>
    <w:rsid w:val="00FE0729"/>
    <w:rsid w:val="00FE080A"/>
    <w:rsid w:val="00FE0F18"/>
    <w:rsid w:val="00FE1ADF"/>
    <w:rsid w:val="00FE1CF0"/>
    <w:rsid w:val="00FE1D71"/>
    <w:rsid w:val="00FE23B8"/>
    <w:rsid w:val="00FE25A6"/>
    <w:rsid w:val="00FE30BA"/>
    <w:rsid w:val="00FE32A6"/>
    <w:rsid w:val="00FE47FA"/>
    <w:rsid w:val="00FE4AD4"/>
    <w:rsid w:val="00FE5603"/>
    <w:rsid w:val="00FE5647"/>
    <w:rsid w:val="00FE5B19"/>
    <w:rsid w:val="00FE60CE"/>
    <w:rsid w:val="00FE6916"/>
    <w:rsid w:val="00FE691C"/>
    <w:rsid w:val="00FE6C95"/>
    <w:rsid w:val="00FE7C84"/>
    <w:rsid w:val="00FF07A4"/>
    <w:rsid w:val="00FF103A"/>
    <w:rsid w:val="00FF1A31"/>
    <w:rsid w:val="00FF291E"/>
    <w:rsid w:val="00FF2BCE"/>
    <w:rsid w:val="00FF2CE9"/>
    <w:rsid w:val="00FF2FEC"/>
    <w:rsid w:val="00FF390D"/>
    <w:rsid w:val="00FF3B8E"/>
    <w:rsid w:val="00FF3BD6"/>
    <w:rsid w:val="00FF4310"/>
    <w:rsid w:val="00FF4A4D"/>
    <w:rsid w:val="00FF4EAE"/>
    <w:rsid w:val="00FF5DD0"/>
    <w:rsid w:val="00FF5E4C"/>
    <w:rsid w:val="00FF5F7A"/>
    <w:rsid w:val="00FF6007"/>
    <w:rsid w:val="00FF6187"/>
    <w:rsid w:val="00FF6F99"/>
    <w:rsid w:val="00FF73F9"/>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5124D"/>
    <w:rPr>
      <w:rFonts w:ascii="Palatino" w:hAnsi="Palatino"/>
      <w:sz w:val="26"/>
    </w:rPr>
  </w:style>
  <w:style w:type="paragraph" w:styleId="Heading1">
    <w:name w:val="heading 1"/>
    <w:basedOn w:val="Normal"/>
    <w:link w:val="Heading1Char"/>
    <w:qFormat/>
    <w:rsid w:val="00F704BB"/>
    <w:pPr>
      <w:keepNext/>
      <w:numPr>
        <w:numId w:val="40"/>
      </w:numPr>
      <w:tabs>
        <w:tab w:val="clear" w:pos="576"/>
        <w:tab w:val="left" w:pos="720"/>
      </w:tabs>
      <w:spacing w:before="120" w:after="120"/>
      <w:ind w:left="720" w:right="1440"/>
      <w:outlineLvl w:val="0"/>
    </w:pPr>
    <w:rPr>
      <w:rFonts w:ascii="Helvetica" w:hAnsi="Helvetica"/>
      <w:b/>
      <w:kern w:val="28"/>
    </w:rPr>
  </w:style>
  <w:style w:type="paragraph" w:styleId="Heading2">
    <w:name w:val="heading 2"/>
    <w:basedOn w:val="Heading1"/>
    <w:link w:val="Heading2Char"/>
    <w:qFormat/>
    <w:rsid w:val="00D6329C"/>
    <w:pPr>
      <w:numPr>
        <w:ilvl w:val="1"/>
      </w:numPr>
      <w:tabs>
        <w:tab w:val="clear" w:pos="720"/>
      </w:tabs>
      <w:ind w:right="720"/>
      <w:outlineLvl w:val="1"/>
    </w:pPr>
  </w:style>
  <w:style w:type="paragraph" w:styleId="Heading3">
    <w:name w:val="heading 3"/>
    <w:basedOn w:val="Normal"/>
    <w:link w:val="Heading3Char"/>
    <w:qFormat/>
    <w:rsid w:val="00D6329C"/>
    <w:pPr>
      <w:keepNext/>
      <w:numPr>
        <w:ilvl w:val="2"/>
        <w:numId w:val="40"/>
      </w:numPr>
      <w:spacing w:before="120" w:after="120"/>
      <w:ind w:right="720"/>
      <w:outlineLvl w:val="2"/>
    </w:pPr>
    <w:rPr>
      <w:rFonts w:ascii="Helvetica" w:hAnsi="Helvetica"/>
      <w:b/>
    </w:rPr>
  </w:style>
  <w:style w:type="paragraph" w:styleId="Heading4">
    <w:name w:val="heading 4"/>
    <w:basedOn w:val="Normal"/>
    <w:link w:val="Heading4Char"/>
    <w:qFormat/>
    <w:rsid w:val="00D6329C"/>
    <w:pPr>
      <w:keepNext/>
      <w:keepLines/>
      <w:numPr>
        <w:ilvl w:val="3"/>
        <w:numId w:val="40"/>
      </w:numPr>
      <w:spacing w:before="120" w:after="120"/>
      <w:ind w:right="720"/>
      <w:outlineLvl w:val="3"/>
    </w:pPr>
    <w:rPr>
      <w:rFonts w:ascii="Helvetica" w:hAnsi="Helvetica"/>
      <w:b/>
      <w:iCs/>
    </w:rPr>
  </w:style>
  <w:style w:type="paragraph" w:styleId="Heading5">
    <w:name w:val="heading 5"/>
    <w:basedOn w:val="Normal"/>
    <w:link w:val="Heading5Char"/>
    <w:qFormat/>
    <w:rsid w:val="00D6329C"/>
    <w:pPr>
      <w:keepNext/>
      <w:numPr>
        <w:ilvl w:val="4"/>
        <w:numId w:val="40"/>
      </w:numPr>
      <w:spacing w:before="120" w:after="120"/>
      <w:ind w:right="432"/>
      <w:outlineLvl w:val="4"/>
    </w:pPr>
    <w:rPr>
      <w:rFonts w:ascii="Helvetica" w:hAnsi="Helvetica"/>
      <w:b/>
    </w:rPr>
  </w:style>
  <w:style w:type="paragraph" w:styleId="Heading6">
    <w:name w:val="heading 6"/>
    <w:basedOn w:val="Normal"/>
    <w:link w:val="Heading6Char"/>
    <w:qFormat/>
    <w:rsid w:val="00D6329C"/>
    <w:pPr>
      <w:keepNext/>
      <w:numPr>
        <w:ilvl w:val="5"/>
        <w:numId w:val="40"/>
      </w:numPr>
      <w:tabs>
        <w:tab w:val="left" w:pos="2160"/>
      </w:tabs>
      <w:spacing w:before="120" w:after="120"/>
      <w:ind w:right="432"/>
      <w:outlineLvl w:val="5"/>
    </w:pPr>
    <w:rPr>
      <w:rFonts w:ascii="Helvetica" w:hAnsi="Helvetica"/>
      <w:b/>
      <w:bCs/>
    </w:rPr>
  </w:style>
  <w:style w:type="paragraph" w:styleId="Heading7">
    <w:name w:val="heading 7"/>
    <w:basedOn w:val="Normal"/>
    <w:next w:val="Normal"/>
    <w:link w:val="Heading7Char"/>
    <w:qFormat/>
    <w:rsid w:val="00D6329C"/>
    <w:pPr>
      <w:tabs>
        <w:tab w:val="left" w:pos="2520"/>
      </w:tabs>
      <w:spacing w:before="120" w:after="120"/>
      <w:outlineLvl w:val="6"/>
    </w:pPr>
    <w:rPr>
      <w:rFonts w:ascii="Calibri" w:hAnsi="Calibri"/>
      <w:sz w:val="24"/>
    </w:rPr>
  </w:style>
  <w:style w:type="paragraph" w:styleId="Heading8">
    <w:name w:val="heading 8"/>
    <w:basedOn w:val="Heading9"/>
    <w:next w:val="Normal"/>
    <w:link w:val="Heading8Char"/>
    <w:qFormat/>
    <w:rsid w:val="00D6329C"/>
    <w:pPr>
      <w:jc w:val="center"/>
      <w:outlineLvl w:val="7"/>
    </w:pPr>
    <w:rPr>
      <w:sz w:val="22"/>
      <w:szCs w:val="22"/>
    </w:rPr>
  </w:style>
  <w:style w:type="paragraph" w:styleId="Heading9">
    <w:name w:val="heading 9"/>
    <w:basedOn w:val="Normal"/>
    <w:next w:val="Normal"/>
    <w:link w:val="Heading9Char"/>
    <w:qFormat/>
    <w:rsid w:val="00D6329C"/>
    <w:pPr>
      <w:tabs>
        <w:tab w:val="left" w:pos="1800"/>
      </w:tabs>
      <w:spacing w:before="120" w:after="120"/>
      <w:outlineLvl w:val="8"/>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704BB"/>
    <w:rPr>
      <w:rFonts w:ascii="Helvetica" w:hAnsi="Helvetica"/>
      <w:b/>
      <w:kern w:val="28"/>
      <w:sz w:val="26"/>
      <w:lang w:val="en-US" w:eastAsia="en-US" w:bidi="ar-SA"/>
    </w:rPr>
  </w:style>
  <w:style w:type="character" w:customStyle="1" w:styleId="Heading2Char">
    <w:name w:val="Heading 2 Char"/>
    <w:link w:val="Heading2"/>
    <w:locked/>
    <w:rsid w:val="00D6329C"/>
    <w:rPr>
      <w:rFonts w:ascii="Helvetica" w:hAnsi="Helvetica"/>
      <w:b/>
      <w:kern w:val="28"/>
      <w:sz w:val="26"/>
      <w:lang w:val="en-US" w:eastAsia="en-US" w:bidi="ar-SA"/>
    </w:rPr>
  </w:style>
  <w:style w:type="character" w:customStyle="1" w:styleId="Heading3Char">
    <w:name w:val="Heading 3 Char"/>
    <w:link w:val="Heading3"/>
    <w:locked/>
    <w:rsid w:val="00D6329C"/>
    <w:rPr>
      <w:rFonts w:ascii="Helvetica" w:hAnsi="Helvetica"/>
      <w:b/>
      <w:sz w:val="26"/>
      <w:lang w:val="en-US" w:eastAsia="en-US" w:bidi="ar-SA"/>
    </w:rPr>
  </w:style>
  <w:style w:type="character" w:customStyle="1" w:styleId="Heading4Char">
    <w:name w:val="Heading 4 Char"/>
    <w:link w:val="Heading4"/>
    <w:locked/>
    <w:rsid w:val="00D6329C"/>
    <w:rPr>
      <w:rFonts w:ascii="Helvetica" w:hAnsi="Helvetica"/>
      <w:b/>
      <w:iCs/>
      <w:sz w:val="26"/>
      <w:lang w:val="en-US" w:eastAsia="en-US" w:bidi="ar-SA"/>
    </w:rPr>
  </w:style>
  <w:style w:type="character" w:customStyle="1" w:styleId="Heading5Char">
    <w:name w:val="Heading 5 Char"/>
    <w:link w:val="Heading5"/>
    <w:locked/>
    <w:rsid w:val="00D6329C"/>
    <w:rPr>
      <w:rFonts w:ascii="Helvetica" w:hAnsi="Helvetica"/>
      <w:b/>
      <w:sz w:val="26"/>
      <w:lang w:val="en-US" w:eastAsia="en-US" w:bidi="ar-SA"/>
    </w:rPr>
  </w:style>
  <w:style w:type="character" w:customStyle="1" w:styleId="Heading6Char">
    <w:name w:val="Heading 6 Char"/>
    <w:link w:val="Heading6"/>
    <w:locked/>
    <w:rsid w:val="00D6329C"/>
    <w:rPr>
      <w:rFonts w:ascii="Helvetica" w:hAnsi="Helvetica"/>
      <w:b/>
      <w:bCs/>
      <w:sz w:val="26"/>
      <w:lang w:val="en-US" w:eastAsia="en-US" w:bidi="ar-SA"/>
    </w:rPr>
  </w:style>
  <w:style w:type="character" w:customStyle="1" w:styleId="Heading7Char">
    <w:name w:val="Heading 7 Char"/>
    <w:link w:val="Heading7"/>
    <w:locked/>
    <w:rsid w:val="00D6329C"/>
    <w:rPr>
      <w:rFonts w:ascii="Calibri" w:hAnsi="Calibri"/>
      <w:sz w:val="24"/>
      <w:lang w:val="en-US" w:eastAsia="en-US" w:bidi="ar-SA"/>
    </w:rPr>
  </w:style>
  <w:style w:type="character" w:customStyle="1" w:styleId="Heading8Char">
    <w:name w:val="Heading 8 Char"/>
    <w:link w:val="Heading8"/>
    <w:locked/>
    <w:rsid w:val="00D6329C"/>
    <w:rPr>
      <w:rFonts w:ascii="Helvetica" w:hAnsi="Helvetica"/>
      <w:b/>
      <w:sz w:val="22"/>
      <w:szCs w:val="22"/>
      <w:lang w:val="en-US" w:eastAsia="en-US" w:bidi="ar-SA"/>
    </w:rPr>
  </w:style>
  <w:style w:type="character" w:customStyle="1" w:styleId="Heading9Char">
    <w:name w:val="Heading 9 Char"/>
    <w:link w:val="Heading9"/>
    <w:locked/>
    <w:rsid w:val="00D6329C"/>
    <w:rPr>
      <w:rFonts w:ascii="Helvetica" w:hAnsi="Helvetica"/>
      <w:b/>
      <w:sz w:val="28"/>
      <w:lang w:val="en-US" w:eastAsia="en-US" w:bidi="ar-SA"/>
    </w:rPr>
  </w:style>
  <w:style w:type="paragraph" w:customStyle="1" w:styleId="standard">
    <w:name w:val="standard"/>
    <w:basedOn w:val="Normal"/>
    <w:link w:val="standardChar"/>
    <w:rsid w:val="00E60844"/>
    <w:pPr>
      <w:spacing w:line="360" w:lineRule="auto"/>
      <w:ind w:firstLine="720"/>
    </w:pPr>
  </w:style>
  <w:style w:type="paragraph" w:styleId="BalloonText">
    <w:name w:val="Balloon Text"/>
    <w:basedOn w:val="Normal"/>
    <w:link w:val="BalloonTextChar"/>
    <w:semiHidden/>
    <w:rsid w:val="00E60844"/>
    <w:rPr>
      <w:rFonts w:ascii="Times New Roman" w:hAnsi="Times New Roman"/>
      <w:sz w:val="2"/>
    </w:rPr>
  </w:style>
  <w:style w:type="character" w:customStyle="1" w:styleId="BalloonTextChar">
    <w:name w:val="Balloon Text Char"/>
    <w:link w:val="BalloonText"/>
    <w:semiHidden/>
    <w:locked/>
    <w:rsid w:val="001B7596"/>
    <w:rPr>
      <w:rFonts w:cs="Times New Roman"/>
      <w:sz w:val="2"/>
    </w:rPr>
  </w:style>
  <w:style w:type="paragraph" w:customStyle="1" w:styleId="TOC1Wildcard">
    <w:name w:val="TOC 1 Wildcard"/>
    <w:basedOn w:val="TOC1"/>
    <w:rsid w:val="00454758"/>
    <w:pPr>
      <w:tabs>
        <w:tab w:val="left" w:pos="2174"/>
      </w:tabs>
      <w:ind w:left="360" w:hanging="360"/>
    </w:pPr>
    <w:rPr>
      <w:b/>
    </w:rPr>
  </w:style>
  <w:style w:type="paragraph" w:styleId="CommentText">
    <w:name w:val="annotation text"/>
    <w:basedOn w:val="Normal"/>
    <w:link w:val="CommentTextChar"/>
    <w:semiHidden/>
    <w:rsid w:val="00E60844"/>
    <w:rPr>
      <w:sz w:val="20"/>
    </w:rPr>
  </w:style>
  <w:style w:type="character" w:customStyle="1" w:styleId="CommentTextChar">
    <w:name w:val="Comment Text Char"/>
    <w:link w:val="CommentText"/>
    <w:semiHidden/>
    <w:locked/>
    <w:rsid w:val="001B7596"/>
    <w:rPr>
      <w:rFonts w:ascii="Palatino" w:hAnsi="Palatino" w:cs="Times New Roman"/>
      <w:sz w:val="20"/>
    </w:rPr>
  </w:style>
  <w:style w:type="paragraph" w:styleId="CommentSubject">
    <w:name w:val="annotation subject"/>
    <w:basedOn w:val="CommentText"/>
    <w:next w:val="CommentText"/>
    <w:link w:val="CommentSubjectChar"/>
    <w:semiHidden/>
    <w:rsid w:val="00E60844"/>
    <w:rPr>
      <w:b/>
    </w:rPr>
  </w:style>
  <w:style w:type="character" w:customStyle="1" w:styleId="CommentSubjectChar">
    <w:name w:val="Comment Subject Char"/>
    <w:link w:val="CommentSubject"/>
    <w:semiHidden/>
    <w:locked/>
    <w:rsid w:val="001B7596"/>
    <w:rPr>
      <w:rFonts w:ascii="Palatino" w:hAnsi="Palatino" w:cs="Times New Roman"/>
      <w:b/>
      <w:sz w:val="20"/>
    </w:rPr>
  </w:style>
  <w:style w:type="paragraph" w:customStyle="1" w:styleId="Quotation">
    <w:name w:val="Quotation"/>
    <w:basedOn w:val="Normal"/>
    <w:next w:val="BalloonText"/>
    <w:link w:val="QuotationChar"/>
    <w:rsid w:val="00E60844"/>
    <w:pPr>
      <w:overflowPunct w:val="0"/>
      <w:autoSpaceDE w:val="0"/>
      <w:autoSpaceDN w:val="0"/>
      <w:adjustRightInd w:val="0"/>
      <w:spacing w:after="120"/>
      <w:ind w:left="1440" w:right="1440"/>
      <w:textAlignment w:val="baseline"/>
    </w:pPr>
    <w:rPr>
      <w:rFonts w:ascii="Times New Roman" w:hAnsi="Times New Roman"/>
    </w:rPr>
  </w:style>
  <w:style w:type="paragraph" w:styleId="FootnoteText">
    <w:name w:val="footnote text"/>
    <w:aliases w:val="Standard Footnote Text,Footnote Text Char Char5 Char,Footnote Text Char2 Char1 Char1 Char,Footnote Text Char4 Char Char Char1 Char,fn,Footnote Text Char1 Char,Footnote Text Char1,Footnote Text Char Char,Footnote Text Char1 Char Char,f,ftx"/>
    <w:basedOn w:val="Normal"/>
    <w:link w:val="FootnoteTextChar2"/>
    <w:rsid w:val="00A559C9"/>
    <w:pPr>
      <w:tabs>
        <w:tab w:val="left" w:pos="288"/>
      </w:tabs>
      <w:spacing w:after="60"/>
      <w:ind w:left="288" w:hanging="288"/>
    </w:pPr>
    <w:rPr>
      <w:sz w:val="24"/>
    </w:rPr>
  </w:style>
  <w:style w:type="character" w:customStyle="1" w:styleId="FootnoteTextChar">
    <w:name w:val="Footnote Text Char"/>
    <w:aliases w:val="Standard Footnote Text Char,Footnote Text Char Char5 Char Char,Footnote Text Char2 Char1 Char1 Char Char,Footnote Text Char4 Char Char Char1 Char Char,fn Char,Footnote Text Char1 Char Char1,Footnote Text Char1 Char1,f Char"/>
    <w:uiPriority w:val="99"/>
    <w:locked/>
    <w:rsid w:val="001B7596"/>
    <w:rPr>
      <w:rFonts w:ascii="Palatino" w:hAnsi="Palatino" w:cs="Times New Roman"/>
      <w:sz w:val="20"/>
    </w:rPr>
  </w:style>
  <w:style w:type="character" w:styleId="FootnoteReference">
    <w:name w:val="footnote reference"/>
    <w:aliases w:val="o,o + Times New Roman,fr,Style 3,o1,o2,o3,o4,o5,o6,o11,o21,o7,Style 12,(NECG) Footnote Reference,Appel note de bas de p,Style 124,Style 17,Style 20,Style 13,fr1,fr2,fr3"/>
    <w:rsid w:val="00E60844"/>
    <w:rPr>
      <w:rFonts w:ascii="Palatino" w:hAnsi="Palatino" w:cs="Times New Roman"/>
      <w:position w:val="2"/>
      <w:sz w:val="24"/>
      <w:vertAlign w:val="superscript"/>
    </w:rPr>
  </w:style>
  <w:style w:type="paragraph" w:customStyle="1" w:styleId="Quote1">
    <w:name w:val="Quote1"/>
    <w:basedOn w:val="standard"/>
    <w:next w:val="standard"/>
    <w:rsid w:val="00E44996"/>
    <w:pPr>
      <w:spacing w:before="120" w:after="240" w:line="240" w:lineRule="auto"/>
      <w:ind w:left="720" w:right="1440" w:firstLine="0"/>
    </w:pPr>
  </w:style>
  <w:style w:type="paragraph" w:customStyle="1" w:styleId="num1">
    <w:name w:val="num1"/>
    <w:basedOn w:val="Normal"/>
    <w:link w:val="num1CharChar"/>
    <w:rsid w:val="006A6296"/>
    <w:pPr>
      <w:keepLines/>
      <w:numPr>
        <w:numId w:val="43"/>
      </w:numPr>
      <w:suppressAutoHyphens/>
      <w:spacing w:line="360" w:lineRule="auto"/>
    </w:pPr>
  </w:style>
  <w:style w:type="paragraph" w:styleId="TOC4">
    <w:name w:val="toc 4"/>
    <w:basedOn w:val="Normal"/>
    <w:next w:val="Normal"/>
    <w:uiPriority w:val="39"/>
    <w:rsid w:val="00E60844"/>
    <w:pPr>
      <w:tabs>
        <w:tab w:val="left" w:pos="2520"/>
        <w:tab w:val="right" w:leader="dot" w:pos="9346"/>
      </w:tabs>
      <w:ind w:left="2520" w:right="720" w:hanging="1253"/>
    </w:pPr>
    <w:rPr>
      <w:noProof/>
      <w:szCs w:val="26"/>
    </w:rPr>
  </w:style>
  <w:style w:type="paragraph" w:customStyle="1" w:styleId="main">
    <w:name w:val="main"/>
    <w:basedOn w:val="Normal"/>
    <w:link w:val="mainChar"/>
    <w:rsid w:val="00E60844"/>
    <w:pPr>
      <w:jc w:val="center"/>
    </w:pPr>
    <w:rPr>
      <w:rFonts w:ascii="Helvetica" w:hAnsi="Helvetica"/>
      <w:b/>
    </w:rPr>
  </w:style>
  <w:style w:type="paragraph" w:customStyle="1" w:styleId="mainex">
    <w:name w:val="mainex"/>
    <w:basedOn w:val="main"/>
    <w:rsid w:val="00E60844"/>
    <w:rPr>
      <w:spacing w:val="120"/>
    </w:rPr>
  </w:style>
  <w:style w:type="paragraph" w:styleId="Header">
    <w:name w:val="header"/>
    <w:basedOn w:val="Normal"/>
    <w:link w:val="HeaderChar"/>
    <w:rsid w:val="00E60844"/>
    <w:pPr>
      <w:widowControl w:val="0"/>
      <w:tabs>
        <w:tab w:val="center" w:pos="4320"/>
        <w:tab w:val="right" w:pos="8640"/>
      </w:tabs>
    </w:pPr>
    <w:rPr>
      <w:sz w:val="20"/>
    </w:rPr>
  </w:style>
  <w:style w:type="character" w:customStyle="1" w:styleId="HeaderChar">
    <w:name w:val="Header Char"/>
    <w:link w:val="Header"/>
    <w:semiHidden/>
    <w:locked/>
    <w:rsid w:val="001B7596"/>
    <w:rPr>
      <w:rFonts w:ascii="Palatino" w:hAnsi="Palatino" w:cs="Times New Roman"/>
      <w:sz w:val="20"/>
    </w:rPr>
  </w:style>
  <w:style w:type="paragraph" w:customStyle="1" w:styleId="num2">
    <w:name w:val="num2"/>
    <w:basedOn w:val="num1"/>
    <w:rsid w:val="00E60844"/>
    <w:pPr>
      <w:ind w:firstLine="270"/>
    </w:pPr>
  </w:style>
  <w:style w:type="paragraph" w:styleId="Footer">
    <w:name w:val="footer"/>
    <w:basedOn w:val="Normal"/>
    <w:link w:val="FooterChar"/>
    <w:uiPriority w:val="99"/>
    <w:rsid w:val="00E60844"/>
    <w:pPr>
      <w:tabs>
        <w:tab w:val="center" w:pos="4320"/>
        <w:tab w:val="right" w:pos="8640"/>
      </w:tabs>
      <w:jc w:val="center"/>
    </w:pPr>
  </w:style>
  <w:style w:type="character" w:customStyle="1" w:styleId="FooterChar">
    <w:name w:val="Footer Char"/>
    <w:link w:val="Footer"/>
    <w:uiPriority w:val="99"/>
    <w:locked/>
    <w:rsid w:val="00E60844"/>
    <w:rPr>
      <w:rFonts w:ascii="Palatino" w:hAnsi="Palatino" w:cs="Times New Roman"/>
      <w:sz w:val="26"/>
      <w:lang w:val="en-US" w:eastAsia="en-US"/>
    </w:rPr>
  </w:style>
  <w:style w:type="character" w:styleId="PageNumber">
    <w:name w:val="page number"/>
    <w:rsid w:val="00E60844"/>
    <w:rPr>
      <w:rFonts w:cs="Times New Roman"/>
    </w:rPr>
  </w:style>
  <w:style w:type="character" w:styleId="Hyperlink">
    <w:name w:val="Hyperlink"/>
    <w:rsid w:val="00E60844"/>
    <w:rPr>
      <w:rFonts w:cs="Times New Roman"/>
      <w:color w:val="0000FF"/>
      <w:u w:val="single"/>
    </w:rPr>
  </w:style>
  <w:style w:type="character" w:customStyle="1" w:styleId="QuotationChar">
    <w:name w:val="Quotation Char"/>
    <w:link w:val="Quotation"/>
    <w:locked/>
    <w:rsid w:val="00E60844"/>
    <w:rPr>
      <w:sz w:val="26"/>
      <w:lang w:val="en-US" w:eastAsia="en-US"/>
    </w:rPr>
  </w:style>
  <w:style w:type="character" w:styleId="FollowedHyperlink">
    <w:name w:val="FollowedHyperlink"/>
    <w:rsid w:val="00E60844"/>
    <w:rPr>
      <w:rFonts w:cs="Times New Roman"/>
      <w:color w:val="800080"/>
      <w:u w:val="single"/>
    </w:rPr>
  </w:style>
  <w:style w:type="paragraph" w:customStyle="1" w:styleId="dummy">
    <w:name w:val="dummy"/>
    <w:basedOn w:val="Heading1"/>
    <w:rsid w:val="00E60844"/>
    <w:pPr>
      <w:numPr>
        <w:numId w:val="0"/>
      </w:numPr>
      <w:ind w:right="0"/>
      <w:outlineLvl w:val="9"/>
    </w:pPr>
  </w:style>
  <w:style w:type="paragraph" w:styleId="BodyTextIndent">
    <w:name w:val="Body Text Indent"/>
    <w:basedOn w:val="Normal"/>
    <w:link w:val="BodyTextIndentChar"/>
    <w:rsid w:val="00E60844"/>
    <w:pPr>
      <w:ind w:firstLine="720"/>
    </w:pPr>
    <w:rPr>
      <w:sz w:val="20"/>
    </w:rPr>
  </w:style>
  <w:style w:type="character" w:customStyle="1" w:styleId="BodyTextIndentChar">
    <w:name w:val="Body Text Indent Char"/>
    <w:link w:val="BodyTextIndent"/>
    <w:semiHidden/>
    <w:locked/>
    <w:rsid w:val="001B7596"/>
    <w:rPr>
      <w:rFonts w:ascii="Palatino" w:hAnsi="Palatino" w:cs="Times New Roman"/>
      <w:sz w:val="20"/>
    </w:rPr>
  </w:style>
  <w:style w:type="paragraph" w:customStyle="1" w:styleId="AppendixPageHeaders">
    <w:name w:val="Appendix Page Headers"/>
    <w:basedOn w:val="Heading2"/>
    <w:rsid w:val="00E60844"/>
    <w:pPr>
      <w:numPr>
        <w:ilvl w:val="0"/>
        <w:numId w:val="0"/>
      </w:numPr>
      <w:ind w:right="0"/>
      <w:jc w:val="center"/>
    </w:pPr>
  </w:style>
  <w:style w:type="character" w:customStyle="1" w:styleId="StandardQuotationChar">
    <w:name w:val="Standard Quotation Char"/>
    <w:link w:val="StandardQuotation"/>
    <w:locked/>
    <w:rsid w:val="00834F40"/>
    <w:rPr>
      <w:rFonts w:ascii="Palatino" w:hAnsi="Palatino"/>
      <w:sz w:val="26"/>
      <w:lang w:val="en-US" w:eastAsia="en-US"/>
    </w:rPr>
  </w:style>
  <w:style w:type="character" w:customStyle="1" w:styleId="term1">
    <w:name w:val="term1"/>
    <w:rsid w:val="00E60844"/>
    <w:rPr>
      <w:b/>
    </w:rPr>
  </w:style>
  <w:style w:type="paragraph" w:styleId="Quote">
    <w:name w:val="Quote"/>
    <w:basedOn w:val="Normal"/>
    <w:next w:val="Normal"/>
    <w:link w:val="QuoteChar"/>
    <w:qFormat/>
    <w:rsid w:val="00E60844"/>
    <w:pPr>
      <w:tabs>
        <w:tab w:val="right" w:pos="5040"/>
      </w:tabs>
      <w:overflowPunct w:val="0"/>
      <w:autoSpaceDE w:val="0"/>
      <w:autoSpaceDN w:val="0"/>
      <w:adjustRightInd w:val="0"/>
      <w:ind w:firstLine="720"/>
      <w:textAlignment w:val="baseline"/>
    </w:pPr>
    <w:rPr>
      <w:rFonts w:ascii="Times New Roman" w:hAnsi="Times New Roman"/>
      <w:i/>
      <w:color w:val="000000"/>
    </w:rPr>
  </w:style>
  <w:style w:type="character" w:customStyle="1" w:styleId="QuoteChar">
    <w:name w:val="Quote Char"/>
    <w:link w:val="Quote"/>
    <w:locked/>
    <w:rsid w:val="00E60844"/>
    <w:rPr>
      <w:rFonts w:cs="Times New Roman"/>
      <w:i/>
      <w:color w:val="000000"/>
      <w:sz w:val="26"/>
      <w:lang w:val="en-US" w:eastAsia="en-US"/>
    </w:rPr>
  </w:style>
  <w:style w:type="character" w:customStyle="1" w:styleId="FootnoteTextChar3">
    <w:name w:val="Footnote Text Char3"/>
    <w:aliases w:val="Footnote Text Char1 Char Char11,Footnote Text Char Char5 Char Char2,Footnote Text Char2 Char1 Char1 Char Char2,Footnote Text Char4 Char Char Char1 Char Char2,fn Char2,Footnote Text Char1 Char11,Footnote Text Char Char Char"/>
    <w:semiHidden/>
    <w:locked/>
    <w:rsid w:val="00E60844"/>
    <w:rPr>
      <w:rFonts w:ascii="Times New Roman" w:hAnsi="Times New Roman"/>
      <w:sz w:val="20"/>
    </w:rPr>
  </w:style>
  <w:style w:type="character" w:customStyle="1" w:styleId="CharChar2">
    <w:name w:val="Char Char2"/>
    <w:semiHidden/>
    <w:locked/>
    <w:rsid w:val="00E60844"/>
    <w:rPr>
      <w:sz w:val="22"/>
    </w:rPr>
  </w:style>
  <w:style w:type="character" w:customStyle="1" w:styleId="StyleFootnoteReference">
    <w:name w:val="Style Footnote Reference"/>
    <w:rsid w:val="00835610"/>
    <w:rPr>
      <w:rFonts w:ascii="Palatino" w:hAnsi="Palatino"/>
      <w:position w:val="2"/>
      <w:sz w:val="24"/>
      <w:u w:val="none"/>
      <w:vertAlign w:val="superscript"/>
    </w:rPr>
  </w:style>
  <w:style w:type="paragraph" w:customStyle="1" w:styleId="DWTQuote">
    <w:name w:val="DWTQuote"/>
    <w:basedOn w:val="DWTNorm"/>
    <w:next w:val="Normal"/>
    <w:rsid w:val="00CA7494"/>
    <w:pPr>
      <w:spacing w:after="240" w:line="240" w:lineRule="auto"/>
      <w:ind w:left="1440" w:right="1440" w:firstLine="0"/>
    </w:pPr>
  </w:style>
  <w:style w:type="character" w:customStyle="1" w:styleId="FontStyle30">
    <w:name w:val="Font Style30"/>
    <w:rsid w:val="003642DE"/>
    <w:rPr>
      <w:rFonts w:ascii="Times New Roman" w:hAnsi="Times New Roman"/>
      <w:smallCaps/>
      <w:color w:val="000000"/>
      <w:sz w:val="22"/>
    </w:rPr>
  </w:style>
  <w:style w:type="paragraph" w:styleId="BodyText2">
    <w:name w:val="Body Text 2"/>
    <w:basedOn w:val="Normal"/>
    <w:link w:val="BodyText2Char"/>
    <w:rsid w:val="00E60844"/>
    <w:pPr>
      <w:spacing w:after="120" w:line="480" w:lineRule="auto"/>
    </w:pPr>
    <w:rPr>
      <w:sz w:val="20"/>
    </w:rPr>
  </w:style>
  <w:style w:type="character" w:customStyle="1" w:styleId="BodyText2Char">
    <w:name w:val="Body Text 2 Char"/>
    <w:link w:val="BodyText2"/>
    <w:semiHidden/>
    <w:locked/>
    <w:rsid w:val="001B7596"/>
    <w:rPr>
      <w:rFonts w:ascii="Palatino" w:hAnsi="Palatino" w:cs="Times New Roman"/>
      <w:sz w:val="20"/>
    </w:rPr>
  </w:style>
  <w:style w:type="paragraph" w:customStyle="1" w:styleId="CPUC">
    <w:name w:val="CPUC"/>
    <w:basedOn w:val="Normal"/>
    <w:link w:val="CPUCChar"/>
    <w:rsid w:val="00E60844"/>
    <w:pPr>
      <w:spacing w:line="360" w:lineRule="auto"/>
      <w:ind w:left="720"/>
    </w:pPr>
    <w:rPr>
      <w:rFonts w:ascii="Times New Roman" w:hAnsi="Times New Roman"/>
      <w:sz w:val="24"/>
    </w:rPr>
  </w:style>
  <w:style w:type="character" w:customStyle="1" w:styleId="CPUCChar">
    <w:name w:val="CPUC Char"/>
    <w:link w:val="CPUC"/>
    <w:locked/>
    <w:rsid w:val="00E60844"/>
    <w:rPr>
      <w:sz w:val="24"/>
      <w:lang w:val="en-US" w:eastAsia="en-US"/>
    </w:rPr>
  </w:style>
  <w:style w:type="paragraph" w:customStyle="1" w:styleId="HeadingBase">
    <w:name w:val="Heading Base"/>
    <w:basedOn w:val="Normal"/>
    <w:next w:val="Heading1"/>
    <w:semiHidden/>
    <w:rsid w:val="00E60844"/>
    <w:pPr>
      <w:spacing w:after="240"/>
    </w:pPr>
    <w:rPr>
      <w:rFonts w:ascii="Times New Roman" w:hAnsi="Times New Roman"/>
      <w:sz w:val="24"/>
      <w:szCs w:val="24"/>
    </w:rPr>
  </w:style>
  <w:style w:type="paragraph" w:styleId="TOC1">
    <w:name w:val="toc 1"/>
    <w:basedOn w:val="Normal"/>
    <w:next w:val="Normal"/>
    <w:uiPriority w:val="39"/>
    <w:rsid w:val="00EC67CE"/>
    <w:pPr>
      <w:keepNext/>
      <w:tabs>
        <w:tab w:val="left" w:pos="520"/>
        <w:tab w:val="right" w:leader="dot" w:pos="9350"/>
      </w:tabs>
      <w:spacing w:before="40" w:after="40"/>
      <w:ind w:right="720"/>
    </w:pPr>
    <w:rPr>
      <w:noProof/>
      <w:szCs w:val="26"/>
    </w:rPr>
  </w:style>
  <w:style w:type="paragraph" w:styleId="TOC2">
    <w:name w:val="toc 2"/>
    <w:basedOn w:val="Normal"/>
    <w:next w:val="Normal"/>
    <w:autoRedefine/>
    <w:uiPriority w:val="39"/>
    <w:rsid w:val="005F180A"/>
    <w:pPr>
      <w:tabs>
        <w:tab w:val="left" w:pos="1260"/>
        <w:tab w:val="right" w:leader="dot" w:pos="9350"/>
      </w:tabs>
      <w:ind w:left="1267" w:right="720" w:hanging="720"/>
    </w:pPr>
    <w:rPr>
      <w:noProof/>
      <w:szCs w:val="26"/>
    </w:rPr>
  </w:style>
  <w:style w:type="paragraph" w:styleId="TOC3">
    <w:name w:val="toc 3"/>
    <w:basedOn w:val="Normal"/>
    <w:next w:val="Normal"/>
    <w:autoRedefine/>
    <w:uiPriority w:val="39"/>
    <w:rsid w:val="00E60844"/>
    <w:pPr>
      <w:tabs>
        <w:tab w:val="left" w:pos="2160"/>
        <w:tab w:val="right" w:leader="dot" w:pos="9350"/>
      </w:tabs>
      <w:ind w:left="2174" w:right="720" w:hanging="907"/>
    </w:pPr>
    <w:rPr>
      <w:noProof/>
      <w:szCs w:val="24"/>
    </w:rPr>
  </w:style>
  <w:style w:type="paragraph" w:styleId="TOC5">
    <w:name w:val="toc 5"/>
    <w:basedOn w:val="Normal"/>
    <w:next w:val="Normal"/>
    <w:autoRedefine/>
    <w:uiPriority w:val="39"/>
    <w:rsid w:val="00E60844"/>
    <w:pPr>
      <w:tabs>
        <w:tab w:val="left" w:pos="2880"/>
        <w:tab w:val="right" w:leader="dot" w:pos="9346"/>
      </w:tabs>
      <w:ind w:left="2880" w:right="720" w:hanging="1613"/>
    </w:pPr>
    <w:rPr>
      <w:noProof/>
      <w:szCs w:val="24"/>
    </w:rPr>
  </w:style>
  <w:style w:type="paragraph" w:styleId="TOC6">
    <w:name w:val="toc 6"/>
    <w:basedOn w:val="Normal"/>
    <w:next w:val="Normal"/>
    <w:autoRedefine/>
    <w:rsid w:val="00E60844"/>
    <w:pPr>
      <w:tabs>
        <w:tab w:val="left" w:pos="3690"/>
        <w:tab w:val="right" w:leader="dot" w:pos="9350"/>
      </w:tabs>
      <w:ind w:left="3690" w:hanging="1170"/>
    </w:pPr>
    <w:rPr>
      <w:noProof/>
      <w:szCs w:val="26"/>
    </w:rPr>
  </w:style>
  <w:style w:type="paragraph" w:styleId="TOC7">
    <w:name w:val="toc 7"/>
    <w:basedOn w:val="Normal"/>
    <w:next w:val="Normal"/>
    <w:autoRedefine/>
    <w:rsid w:val="00E60844"/>
    <w:pPr>
      <w:ind w:left="1560"/>
    </w:pPr>
  </w:style>
  <w:style w:type="paragraph" w:styleId="TOC8">
    <w:name w:val="toc 8"/>
    <w:basedOn w:val="Normal"/>
    <w:next w:val="Normal"/>
    <w:autoRedefine/>
    <w:uiPriority w:val="39"/>
    <w:rsid w:val="00E60844"/>
    <w:pPr>
      <w:keepNext/>
      <w:tabs>
        <w:tab w:val="left" w:pos="1728"/>
        <w:tab w:val="right" w:leader="dot" w:pos="9346"/>
      </w:tabs>
      <w:ind w:left="1728" w:hanging="1728"/>
    </w:pPr>
    <w:rPr>
      <w:b/>
    </w:rPr>
  </w:style>
  <w:style w:type="paragraph" w:styleId="TOC9">
    <w:name w:val="toc 9"/>
    <w:basedOn w:val="TOC1Wildcard"/>
    <w:next w:val="Normal"/>
    <w:uiPriority w:val="39"/>
    <w:rsid w:val="00E60844"/>
    <w:pPr>
      <w:keepNext w:val="0"/>
      <w:tabs>
        <w:tab w:val="clear" w:pos="520"/>
        <w:tab w:val="clear" w:pos="2174"/>
      </w:tabs>
      <w:spacing w:before="20" w:after="20"/>
      <w:ind w:left="806" w:hanging="518"/>
    </w:pPr>
    <w:rPr>
      <w:b w:val="0"/>
    </w:rPr>
  </w:style>
  <w:style w:type="paragraph" w:styleId="NormalWeb">
    <w:name w:val="Normal (Web)"/>
    <w:basedOn w:val="Normal"/>
    <w:rsid w:val="00E60844"/>
    <w:rPr>
      <w:rFonts w:ascii="Times New Roman" w:hAnsi="Times New Roman"/>
      <w:sz w:val="24"/>
      <w:szCs w:val="24"/>
    </w:rPr>
  </w:style>
  <w:style w:type="paragraph" w:customStyle="1" w:styleId="BlockQuote">
    <w:name w:val="Block Quote"/>
    <w:basedOn w:val="Normal"/>
    <w:rsid w:val="00E60844"/>
    <w:pPr>
      <w:spacing w:after="240"/>
      <w:ind w:left="720"/>
    </w:pPr>
    <w:rPr>
      <w:rFonts w:ascii="Times New Roman" w:hAnsi="Times New Roman"/>
      <w:sz w:val="24"/>
      <w:szCs w:val="24"/>
    </w:rPr>
  </w:style>
  <w:style w:type="paragraph" w:customStyle="1" w:styleId="StandardFootnoteReference">
    <w:name w:val="Standard Footnote Reference"/>
    <w:basedOn w:val="standard"/>
    <w:link w:val="StandardFootnoteReferenceChar"/>
    <w:rsid w:val="00E60844"/>
    <w:pPr>
      <w:spacing w:line="240" w:lineRule="auto"/>
      <w:ind w:firstLine="0"/>
    </w:pPr>
    <w:rPr>
      <w:position w:val="2"/>
      <w:sz w:val="24"/>
      <w:vertAlign w:val="superscript"/>
    </w:rPr>
  </w:style>
  <w:style w:type="paragraph" w:styleId="BodyText">
    <w:name w:val="Body Text"/>
    <w:basedOn w:val="Normal"/>
    <w:link w:val="BodyTextChar1"/>
    <w:semiHidden/>
    <w:rsid w:val="00E60844"/>
    <w:pPr>
      <w:spacing w:after="120"/>
    </w:pPr>
    <w:rPr>
      <w:rFonts w:ascii="Times New Roman" w:hAnsi="Times New Roman"/>
      <w:sz w:val="22"/>
    </w:rPr>
  </w:style>
  <w:style w:type="character" w:customStyle="1" w:styleId="BodyTextChar">
    <w:name w:val="Body Text Char"/>
    <w:locked/>
    <w:rsid w:val="00E60844"/>
    <w:rPr>
      <w:rFonts w:cs="Times New Roman"/>
      <w:sz w:val="24"/>
      <w:lang w:val="en-US" w:eastAsia="en-US"/>
    </w:rPr>
  </w:style>
  <w:style w:type="paragraph" w:customStyle="1" w:styleId="DWTNorm">
    <w:name w:val="DWTNorm"/>
    <w:basedOn w:val="Normal"/>
    <w:rsid w:val="00E60844"/>
    <w:pPr>
      <w:spacing w:line="360" w:lineRule="auto"/>
      <w:ind w:firstLine="720"/>
    </w:pPr>
    <w:rPr>
      <w:rFonts w:ascii="Times New Roman" w:hAnsi="Times New Roman"/>
      <w:sz w:val="24"/>
    </w:rPr>
  </w:style>
  <w:style w:type="paragraph" w:customStyle="1" w:styleId="BodyFlush">
    <w:name w:val="Body Flush"/>
    <w:basedOn w:val="Normal"/>
    <w:rsid w:val="00E60844"/>
    <w:pPr>
      <w:spacing w:after="240"/>
      <w:jc w:val="both"/>
    </w:pPr>
    <w:rPr>
      <w:rFonts w:ascii="Times New Roman" w:hAnsi="Times New Roman"/>
      <w:sz w:val="24"/>
      <w:szCs w:val="24"/>
    </w:rPr>
  </w:style>
  <w:style w:type="character" w:customStyle="1" w:styleId="standardChar">
    <w:name w:val="standard Char"/>
    <w:link w:val="standard"/>
    <w:locked/>
    <w:rsid w:val="00E60844"/>
    <w:rPr>
      <w:rFonts w:ascii="Palatino" w:hAnsi="Palatino"/>
      <w:sz w:val="26"/>
      <w:lang w:val="en-US" w:eastAsia="en-US"/>
    </w:rPr>
  </w:style>
  <w:style w:type="paragraph" w:styleId="Caption">
    <w:name w:val="caption"/>
    <w:basedOn w:val="Normal"/>
    <w:next w:val="Normal"/>
    <w:qFormat/>
    <w:rsid w:val="00E60844"/>
    <w:pPr>
      <w:widowControl w:val="0"/>
      <w:spacing w:line="240" w:lineRule="exact"/>
    </w:pPr>
    <w:rPr>
      <w:rFonts w:ascii="Times New Roman" w:hAnsi="Times New Roman"/>
      <w:bCs/>
      <w:sz w:val="24"/>
    </w:rPr>
  </w:style>
  <w:style w:type="paragraph" w:customStyle="1" w:styleId="Level1">
    <w:name w:val="Level 1"/>
    <w:basedOn w:val="Normal"/>
    <w:rsid w:val="00E60844"/>
    <w:pPr>
      <w:keepNext/>
      <w:numPr>
        <w:numId w:val="7"/>
      </w:numPr>
      <w:suppressAutoHyphens/>
      <w:spacing w:after="240"/>
      <w:outlineLvl w:val="0"/>
    </w:pPr>
    <w:rPr>
      <w:rFonts w:ascii="Times New Roman" w:eastAsia="SimSun" w:hAnsi="Times New Roman"/>
      <w:b/>
      <w:sz w:val="24"/>
    </w:rPr>
  </w:style>
  <w:style w:type="paragraph" w:customStyle="1" w:styleId="Level2">
    <w:name w:val="Level 2"/>
    <w:basedOn w:val="Normal"/>
    <w:rsid w:val="00E60844"/>
    <w:pPr>
      <w:keepNext/>
      <w:numPr>
        <w:ilvl w:val="1"/>
        <w:numId w:val="7"/>
      </w:numPr>
      <w:suppressAutoHyphens/>
      <w:spacing w:after="240"/>
      <w:outlineLvl w:val="1"/>
    </w:pPr>
    <w:rPr>
      <w:rFonts w:ascii="Times New Roman" w:eastAsia="SimSun" w:hAnsi="Times New Roman"/>
      <w:b/>
      <w:sz w:val="24"/>
    </w:rPr>
  </w:style>
  <w:style w:type="character" w:customStyle="1" w:styleId="mainChar">
    <w:name w:val="main Char"/>
    <w:link w:val="main"/>
    <w:locked/>
    <w:rsid w:val="00E60844"/>
    <w:rPr>
      <w:rFonts w:ascii="Helvetica" w:hAnsi="Helvetica"/>
      <w:b/>
      <w:sz w:val="26"/>
      <w:lang w:val="en-US" w:eastAsia="en-US"/>
    </w:rPr>
  </w:style>
  <w:style w:type="character" w:customStyle="1" w:styleId="FootnoteTextChar2">
    <w:name w:val="Footnote Text Char2"/>
    <w:aliases w:val="Standard Footnote Text Char1,Footnote Text Char Char5 Char Char1,Footnote Text Char2 Char1 Char1 Char Char1,Footnote Text Char4 Char Char Char1 Char Char1,fn Char1,Footnote Text Char1 Char Char2,Footnote Text Char1 Char2,f Char1"/>
    <w:link w:val="FootnoteText"/>
    <w:locked/>
    <w:rsid w:val="00A559C9"/>
    <w:rPr>
      <w:rFonts w:ascii="Palatino" w:hAnsi="Palatino"/>
      <w:sz w:val="24"/>
      <w:lang w:val="en-US" w:eastAsia="en-US"/>
    </w:rPr>
  </w:style>
  <w:style w:type="character" w:customStyle="1" w:styleId="num1CharChar">
    <w:name w:val="num1 Char Char"/>
    <w:link w:val="num1"/>
    <w:locked/>
    <w:rsid w:val="006A6296"/>
    <w:rPr>
      <w:rFonts w:ascii="Palatino" w:hAnsi="Palatino"/>
      <w:sz w:val="26"/>
    </w:rPr>
  </w:style>
  <w:style w:type="paragraph" w:customStyle="1" w:styleId="Level3">
    <w:name w:val="Level 3"/>
    <w:basedOn w:val="Normal"/>
    <w:rsid w:val="00E60844"/>
    <w:pPr>
      <w:numPr>
        <w:ilvl w:val="2"/>
        <w:numId w:val="7"/>
      </w:numPr>
      <w:suppressAutoHyphens/>
      <w:spacing w:after="240"/>
      <w:outlineLvl w:val="2"/>
    </w:pPr>
    <w:rPr>
      <w:rFonts w:ascii="Times New Roman" w:eastAsia="SimSun" w:hAnsi="Times New Roman"/>
      <w:sz w:val="24"/>
    </w:rPr>
  </w:style>
  <w:style w:type="paragraph" w:styleId="DocumentMap">
    <w:name w:val="Document Map"/>
    <w:basedOn w:val="Normal"/>
    <w:link w:val="DocumentMapChar"/>
    <w:semiHidden/>
    <w:rsid w:val="00E60844"/>
    <w:pPr>
      <w:shd w:val="clear" w:color="auto" w:fill="000080"/>
    </w:pPr>
    <w:rPr>
      <w:rFonts w:ascii="Times New Roman" w:hAnsi="Times New Roman"/>
      <w:sz w:val="2"/>
    </w:rPr>
  </w:style>
  <w:style w:type="character" w:customStyle="1" w:styleId="DocumentMapChar">
    <w:name w:val="Document Map Char"/>
    <w:link w:val="DocumentMap"/>
    <w:semiHidden/>
    <w:locked/>
    <w:rsid w:val="001B7596"/>
    <w:rPr>
      <w:rFonts w:cs="Times New Roman"/>
      <w:sz w:val="2"/>
    </w:rPr>
  </w:style>
  <w:style w:type="paragraph" w:customStyle="1" w:styleId="Level4">
    <w:name w:val="Level 4"/>
    <w:basedOn w:val="Normal"/>
    <w:rsid w:val="00E60844"/>
    <w:pPr>
      <w:numPr>
        <w:ilvl w:val="3"/>
        <w:numId w:val="7"/>
      </w:numPr>
      <w:suppressAutoHyphens/>
      <w:spacing w:after="240"/>
      <w:outlineLvl w:val="3"/>
    </w:pPr>
    <w:rPr>
      <w:rFonts w:ascii="Times New Roman" w:eastAsia="SimSun" w:hAnsi="Times New Roman"/>
      <w:sz w:val="24"/>
    </w:rPr>
  </w:style>
  <w:style w:type="table" w:styleId="TableGrid">
    <w:name w:val="Table Grid"/>
    <w:basedOn w:val="TableNormal"/>
    <w:rsid w:val="00E6084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5">
    <w:name w:val="Level 5"/>
    <w:basedOn w:val="Normal"/>
    <w:rsid w:val="00E60844"/>
    <w:pPr>
      <w:numPr>
        <w:ilvl w:val="4"/>
        <w:numId w:val="7"/>
      </w:numPr>
      <w:suppressAutoHyphens/>
      <w:spacing w:after="240"/>
      <w:outlineLvl w:val="4"/>
    </w:pPr>
    <w:rPr>
      <w:rFonts w:ascii="Times New Roman" w:eastAsia="SimSun" w:hAnsi="Times New Roman"/>
      <w:sz w:val="24"/>
    </w:rPr>
  </w:style>
  <w:style w:type="paragraph" w:customStyle="1" w:styleId="Level6">
    <w:name w:val="Level 6"/>
    <w:basedOn w:val="Normal"/>
    <w:rsid w:val="00E60844"/>
    <w:pPr>
      <w:numPr>
        <w:ilvl w:val="5"/>
        <w:numId w:val="7"/>
      </w:numPr>
      <w:suppressAutoHyphens/>
      <w:spacing w:after="240"/>
      <w:outlineLvl w:val="5"/>
    </w:pPr>
    <w:rPr>
      <w:rFonts w:ascii="Times New Roman" w:eastAsia="SimSun" w:hAnsi="Times New Roman"/>
      <w:sz w:val="24"/>
    </w:rPr>
  </w:style>
  <w:style w:type="paragraph" w:customStyle="1" w:styleId="Level7">
    <w:name w:val="Level 7"/>
    <w:basedOn w:val="Normal"/>
    <w:rsid w:val="00E60844"/>
    <w:pPr>
      <w:numPr>
        <w:ilvl w:val="6"/>
        <w:numId w:val="7"/>
      </w:numPr>
      <w:suppressAutoHyphens/>
      <w:spacing w:after="240"/>
      <w:outlineLvl w:val="6"/>
    </w:pPr>
    <w:rPr>
      <w:rFonts w:ascii="Times New Roman" w:eastAsia="SimSun" w:hAnsi="Times New Roman"/>
      <w:sz w:val="24"/>
    </w:rPr>
  </w:style>
  <w:style w:type="paragraph" w:customStyle="1" w:styleId="StandardBullet">
    <w:name w:val="Standard Bullet"/>
    <w:basedOn w:val="standard"/>
    <w:link w:val="StandardBulletChar"/>
    <w:qFormat/>
    <w:rsid w:val="00D76B61"/>
    <w:pPr>
      <w:numPr>
        <w:numId w:val="10"/>
      </w:numPr>
      <w:tabs>
        <w:tab w:val="left" w:pos="1440"/>
      </w:tabs>
      <w:spacing w:before="60" w:after="60" w:line="240" w:lineRule="auto"/>
      <w:ind w:right="720"/>
    </w:pPr>
  </w:style>
  <w:style w:type="paragraph" w:customStyle="1" w:styleId="Level8">
    <w:name w:val="Level 8"/>
    <w:basedOn w:val="Normal"/>
    <w:rsid w:val="00E60844"/>
    <w:pPr>
      <w:numPr>
        <w:ilvl w:val="7"/>
        <w:numId w:val="7"/>
      </w:numPr>
      <w:suppressAutoHyphens/>
      <w:spacing w:after="240"/>
      <w:outlineLvl w:val="7"/>
    </w:pPr>
    <w:rPr>
      <w:rFonts w:ascii="Times New Roman" w:eastAsia="SimSun" w:hAnsi="Times New Roman"/>
      <w:sz w:val="24"/>
    </w:rPr>
  </w:style>
  <w:style w:type="paragraph" w:customStyle="1" w:styleId="Level9">
    <w:name w:val="Level 9"/>
    <w:basedOn w:val="Normal"/>
    <w:rsid w:val="00E60844"/>
    <w:pPr>
      <w:numPr>
        <w:ilvl w:val="8"/>
        <w:numId w:val="7"/>
      </w:numPr>
      <w:suppressAutoHyphens/>
      <w:spacing w:after="240"/>
      <w:outlineLvl w:val="8"/>
    </w:pPr>
    <w:rPr>
      <w:rFonts w:ascii="Times New Roman" w:eastAsia="SimSun" w:hAnsi="Times New Roman"/>
      <w:sz w:val="24"/>
    </w:rPr>
  </w:style>
  <w:style w:type="paragraph" w:styleId="EndnoteText">
    <w:name w:val="endnote text"/>
    <w:basedOn w:val="Normal"/>
    <w:link w:val="EndnoteTextChar"/>
    <w:semiHidden/>
    <w:rsid w:val="00E60844"/>
    <w:rPr>
      <w:sz w:val="20"/>
    </w:rPr>
  </w:style>
  <w:style w:type="character" w:customStyle="1" w:styleId="EndnoteTextChar">
    <w:name w:val="Endnote Text Char"/>
    <w:link w:val="EndnoteText"/>
    <w:semiHidden/>
    <w:locked/>
    <w:rsid w:val="001B7596"/>
    <w:rPr>
      <w:rFonts w:ascii="Palatino" w:hAnsi="Palatino" w:cs="Times New Roman"/>
      <w:sz w:val="20"/>
    </w:rPr>
  </w:style>
  <w:style w:type="character" w:customStyle="1" w:styleId="CharChar3">
    <w:name w:val="Char Char3"/>
    <w:semiHidden/>
    <w:rsid w:val="00E60844"/>
    <w:rPr>
      <w:sz w:val="22"/>
      <w:lang w:val="en-US" w:eastAsia="en-US"/>
    </w:rPr>
  </w:style>
  <w:style w:type="paragraph" w:styleId="BodyText3">
    <w:name w:val="Body Text 3"/>
    <w:basedOn w:val="Normal"/>
    <w:link w:val="BodyText3Char"/>
    <w:rsid w:val="00E60844"/>
    <w:pPr>
      <w:spacing w:after="240" w:line="480" w:lineRule="auto"/>
      <w:ind w:left="1440"/>
    </w:pPr>
    <w:rPr>
      <w:sz w:val="16"/>
    </w:rPr>
  </w:style>
  <w:style w:type="character" w:customStyle="1" w:styleId="BodyText3Char">
    <w:name w:val="Body Text 3 Char"/>
    <w:link w:val="BodyText3"/>
    <w:semiHidden/>
    <w:locked/>
    <w:rsid w:val="001B7596"/>
    <w:rPr>
      <w:rFonts w:ascii="Palatino" w:hAnsi="Palatino" w:cs="Times New Roman"/>
      <w:sz w:val="16"/>
    </w:rPr>
  </w:style>
  <w:style w:type="character" w:customStyle="1" w:styleId="CharChar5">
    <w:name w:val="Char Char5"/>
    <w:semiHidden/>
    <w:rsid w:val="00E60844"/>
    <w:rPr>
      <w:rFonts w:ascii="Calibri" w:hAnsi="Calibri"/>
      <w:snapToGrid w:val="0"/>
      <w:sz w:val="24"/>
    </w:rPr>
  </w:style>
  <w:style w:type="paragraph" w:styleId="BodyTextFirstIndent">
    <w:name w:val="Body Text First Indent"/>
    <w:basedOn w:val="BodyText"/>
    <w:link w:val="BodyTextFirstIndentChar"/>
    <w:rsid w:val="00E60844"/>
    <w:pPr>
      <w:spacing w:after="240"/>
      <w:ind w:firstLine="720"/>
    </w:pPr>
    <w:rPr>
      <w:rFonts w:ascii="Palatino" w:hAnsi="Palatino"/>
      <w:sz w:val="20"/>
    </w:rPr>
  </w:style>
  <w:style w:type="character" w:customStyle="1" w:styleId="BodyTextFirstIndentChar">
    <w:name w:val="Body Text First Indent Char"/>
    <w:link w:val="BodyTextFirstIndent"/>
    <w:semiHidden/>
    <w:locked/>
    <w:rsid w:val="001B7596"/>
    <w:rPr>
      <w:rFonts w:ascii="Palatino" w:hAnsi="Palatino" w:cs="Times New Roman"/>
      <w:sz w:val="20"/>
      <w:lang w:val="en-US" w:eastAsia="en-US"/>
    </w:rPr>
  </w:style>
  <w:style w:type="paragraph" w:styleId="BodyTextFirstIndent2">
    <w:name w:val="Body Text First Indent 2"/>
    <w:basedOn w:val="BodyTextIndent"/>
    <w:link w:val="BodyTextFirstIndent2Char"/>
    <w:rsid w:val="00E60844"/>
    <w:pPr>
      <w:spacing w:after="120"/>
      <w:ind w:left="360" w:firstLine="210"/>
    </w:pPr>
  </w:style>
  <w:style w:type="character" w:customStyle="1" w:styleId="BodyTextFirstIndent2Char">
    <w:name w:val="Body Text First Indent 2 Char"/>
    <w:link w:val="BodyTextFirstIndent2"/>
    <w:semiHidden/>
    <w:locked/>
    <w:rsid w:val="001B7596"/>
    <w:rPr>
      <w:rFonts w:ascii="Palatino" w:hAnsi="Palatino" w:cs="Times New Roman"/>
      <w:sz w:val="20"/>
    </w:rPr>
  </w:style>
  <w:style w:type="paragraph" w:styleId="BodyTextIndent2">
    <w:name w:val="Body Text Indent 2"/>
    <w:basedOn w:val="Normal"/>
    <w:link w:val="BodyTextIndent2Char"/>
    <w:rsid w:val="00E60844"/>
    <w:pPr>
      <w:spacing w:after="120" w:line="480" w:lineRule="auto"/>
      <w:ind w:left="360"/>
    </w:pPr>
    <w:rPr>
      <w:sz w:val="20"/>
    </w:rPr>
  </w:style>
  <w:style w:type="character" w:customStyle="1" w:styleId="BodyTextIndent2Char">
    <w:name w:val="Body Text Indent 2 Char"/>
    <w:link w:val="BodyTextIndent2"/>
    <w:semiHidden/>
    <w:locked/>
    <w:rsid w:val="001B7596"/>
    <w:rPr>
      <w:rFonts w:ascii="Palatino" w:hAnsi="Palatino" w:cs="Times New Roman"/>
      <w:sz w:val="20"/>
    </w:rPr>
  </w:style>
  <w:style w:type="paragraph" w:styleId="BodyTextIndent3">
    <w:name w:val="Body Text Indent 3"/>
    <w:basedOn w:val="Normal"/>
    <w:link w:val="BodyTextIndent3Char"/>
    <w:rsid w:val="00E60844"/>
    <w:pPr>
      <w:spacing w:after="120"/>
      <w:ind w:left="360"/>
    </w:pPr>
    <w:rPr>
      <w:sz w:val="16"/>
    </w:rPr>
  </w:style>
  <w:style w:type="character" w:customStyle="1" w:styleId="BodyTextIndent3Char">
    <w:name w:val="Body Text Indent 3 Char"/>
    <w:link w:val="BodyTextIndent3"/>
    <w:semiHidden/>
    <w:locked/>
    <w:rsid w:val="001B7596"/>
    <w:rPr>
      <w:rFonts w:ascii="Palatino" w:hAnsi="Palatino" w:cs="Times New Roman"/>
      <w:sz w:val="16"/>
    </w:rPr>
  </w:style>
  <w:style w:type="paragraph" w:styleId="Closing">
    <w:name w:val="Closing"/>
    <w:basedOn w:val="Normal"/>
    <w:link w:val="ClosingChar"/>
    <w:rsid w:val="00E60844"/>
    <w:pPr>
      <w:ind w:left="4320"/>
    </w:pPr>
    <w:rPr>
      <w:sz w:val="20"/>
    </w:rPr>
  </w:style>
  <w:style w:type="character" w:customStyle="1" w:styleId="ClosingChar">
    <w:name w:val="Closing Char"/>
    <w:link w:val="Closing"/>
    <w:semiHidden/>
    <w:locked/>
    <w:rsid w:val="001B7596"/>
    <w:rPr>
      <w:rFonts w:ascii="Palatino" w:hAnsi="Palatino" w:cs="Times New Roman"/>
      <w:sz w:val="20"/>
    </w:rPr>
  </w:style>
  <w:style w:type="paragraph" w:styleId="Date">
    <w:name w:val="Date"/>
    <w:basedOn w:val="Normal"/>
    <w:next w:val="Normal"/>
    <w:link w:val="DateChar"/>
    <w:rsid w:val="00E60844"/>
    <w:rPr>
      <w:sz w:val="20"/>
    </w:rPr>
  </w:style>
  <w:style w:type="character" w:customStyle="1" w:styleId="DateChar">
    <w:name w:val="Date Char"/>
    <w:link w:val="Date"/>
    <w:semiHidden/>
    <w:locked/>
    <w:rsid w:val="001B7596"/>
    <w:rPr>
      <w:rFonts w:ascii="Palatino" w:hAnsi="Palatino" w:cs="Times New Roman"/>
      <w:sz w:val="20"/>
    </w:rPr>
  </w:style>
  <w:style w:type="paragraph" w:customStyle="1" w:styleId="Discovery">
    <w:name w:val="Discovery"/>
    <w:basedOn w:val="Normal"/>
    <w:next w:val="DiscoveryText"/>
    <w:semiHidden/>
    <w:rsid w:val="00E60844"/>
    <w:pPr>
      <w:keepNext/>
      <w:spacing w:after="240"/>
    </w:pPr>
    <w:rPr>
      <w:rFonts w:ascii="Times New Roman" w:hAnsi="Times New Roman"/>
      <w:b/>
      <w:sz w:val="24"/>
      <w:szCs w:val="24"/>
      <w:u w:val="single"/>
    </w:rPr>
  </w:style>
  <w:style w:type="paragraph" w:customStyle="1" w:styleId="DiscoveryText">
    <w:name w:val="Discovery Text"/>
    <w:basedOn w:val="Normal"/>
    <w:next w:val="BodyText"/>
    <w:semiHidden/>
    <w:rsid w:val="00E60844"/>
    <w:pPr>
      <w:spacing w:after="240"/>
    </w:pPr>
    <w:rPr>
      <w:rFonts w:ascii="Times New Roman" w:hAnsi="Times New Roman"/>
      <w:sz w:val="24"/>
      <w:szCs w:val="24"/>
    </w:rPr>
  </w:style>
  <w:style w:type="character" w:styleId="CommentReference">
    <w:name w:val="annotation reference"/>
    <w:semiHidden/>
    <w:rsid w:val="00E60844"/>
    <w:rPr>
      <w:rFonts w:cs="Times New Roman"/>
      <w:sz w:val="16"/>
    </w:rPr>
  </w:style>
  <w:style w:type="character" w:customStyle="1" w:styleId="StandardFootnoteReferenceChar">
    <w:name w:val="Standard Footnote Reference Char"/>
    <w:link w:val="StandardFootnoteReference"/>
    <w:locked/>
    <w:rsid w:val="00E60844"/>
    <w:rPr>
      <w:rFonts w:ascii="Palatino" w:hAnsi="Palatino"/>
      <w:position w:val="2"/>
      <w:sz w:val="24"/>
      <w:vertAlign w:val="superscript"/>
      <w:lang w:val="en-US" w:eastAsia="en-US"/>
    </w:rPr>
  </w:style>
  <w:style w:type="paragraph" w:styleId="E-mailSignature">
    <w:name w:val="E-mail Signature"/>
    <w:basedOn w:val="Normal"/>
    <w:link w:val="E-mailSignatureChar"/>
    <w:rsid w:val="00E60844"/>
    <w:rPr>
      <w:sz w:val="20"/>
    </w:rPr>
  </w:style>
  <w:style w:type="character" w:customStyle="1" w:styleId="E-mailSignatureChar">
    <w:name w:val="E-mail Signature Char"/>
    <w:link w:val="E-mailSignature"/>
    <w:semiHidden/>
    <w:locked/>
    <w:rsid w:val="001B7596"/>
    <w:rPr>
      <w:rFonts w:ascii="Palatino" w:hAnsi="Palatino" w:cs="Times New Roman"/>
      <w:sz w:val="20"/>
    </w:rPr>
  </w:style>
  <w:style w:type="character" w:styleId="Emphasis">
    <w:name w:val="Emphasis"/>
    <w:qFormat/>
    <w:rsid w:val="00E60844"/>
    <w:rPr>
      <w:rFonts w:cs="Times New Roman"/>
      <w:i/>
    </w:rPr>
  </w:style>
  <w:style w:type="paragraph" w:styleId="EnvelopeAddress">
    <w:name w:val="envelope address"/>
    <w:basedOn w:val="Normal"/>
    <w:rsid w:val="00E6084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0844"/>
    <w:rPr>
      <w:rFonts w:ascii="Arial" w:hAnsi="Arial" w:cs="Arial"/>
      <w:sz w:val="20"/>
    </w:rPr>
  </w:style>
  <w:style w:type="character" w:styleId="HTMLAcronym">
    <w:name w:val="HTML Acronym"/>
    <w:rsid w:val="00E60844"/>
    <w:rPr>
      <w:rFonts w:cs="Times New Roman"/>
    </w:rPr>
  </w:style>
  <w:style w:type="paragraph" w:styleId="HTMLAddress">
    <w:name w:val="HTML Address"/>
    <w:basedOn w:val="Normal"/>
    <w:link w:val="HTMLAddressChar"/>
    <w:rsid w:val="00E60844"/>
    <w:rPr>
      <w:i/>
      <w:sz w:val="20"/>
    </w:rPr>
  </w:style>
  <w:style w:type="character" w:customStyle="1" w:styleId="HTMLAddressChar">
    <w:name w:val="HTML Address Char"/>
    <w:link w:val="HTMLAddress"/>
    <w:semiHidden/>
    <w:locked/>
    <w:rsid w:val="001B7596"/>
    <w:rPr>
      <w:rFonts w:ascii="Palatino" w:hAnsi="Palatino" w:cs="Times New Roman"/>
      <w:i/>
      <w:sz w:val="20"/>
    </w:rPr>
  </w:style>
  <w:style w:type="character" w:styleId="HTMLCite">
    <w:name w:val="HTML Cite"/>
    <w:rsid w:val="00E60844"/>
    <w:rPr>
      <w:rFonts w:cs="Times New Roman"/>
      <w:i/>
    </w:rPr>
  </w:style>
  <w:style w:type="character" w:styleId="HTMLCode">
    <w:name w:val="HTML Code"/>
    <w:rsid w:val="00E60844"/>
    <w:rPr>
      <w:rFonts w:ascii="Courier New" w:hAnsi="Courier New" w:cs="Times New Roman"/>
      <w:sz w:val="20"/>
    </w:rPr>
  </w:style>
  <w:style w:type="character" w:styleId="HTMLDefinition">
    <w:name w:val="HTML Definition"/>
    <w:rsid w:val="00E60844"/>
    <w:rPr>
      <w:rFonts w:cs="Times New Roman"/>
      <w:i/>
    </w:rPr>
  </w:style>
  <w:style w:type="character" w:styleId="HTMLKeyboard">
    <w:name w:val="HTML Keyboard"/>
    <w:rsid w:val="00E60844"/>
    <w:rPr>
      <w:rFonts w:ascii="Courier New" w:hAnsi="Courier New" w:cs="Times New Roman"/>
      <w:sz w:val="20"/>
    </w:rPr>
  </w:style>
  <w:style w:type="character" w:styleId="HTMLSample">
    <w:name w:val="HTML Sample"/>
    <w:rsid w:val="00E60844"/>
    <w:rPr>
      <w:rFonts w:ascii="Courier New" w:hAnsi="Courier New" w:cs="Times New Roman"/>
    </w:rPr>
  </w:style>
  <w:style w:type="character" w:styleId="HTMLTypewriter">
    <w:name w:val="HTML Typewriter"/>
    <w:rsid w:val="00E60844"/>
    <w:rPr>
      <w:rFonts w:ascii="Courier New" w:hAnsi="Courier New" w:cs="Times New Roman"/>
      <w:sz w:val="20"/>
    </w:rPr>
  </w:style>
  <w:style w:type="character" w:styleId="HTMLVariable">
    <w:name w:val="HTML Variable"/>
    <w:rsid w:val="00E60844"/>
    <w:rPr>
      <w:rFonts w:cs="Times New Roman"/>
      <w:i/>
    </w:rPr>
  </w:style>
  <w:style w:type="paragraph" w:styleId="Index1">
    <w:name w:val="index 1"/>
    <w:basedOn w:val="Normal"/>
    <w:next w:val="Normal"/>
    <w:autoRedefine/>
    <w:semiHidden/>
    <w:rsid w:val="00E60844"/>
    <w:pPr>
      <w:ind w:left="240" w:hanging="240"/>
    </w:pPr>
    <w:rPr>
      <w:rFonts w:ascii="Times New Roman" w:hAnsi="Times New Roman"/>
      <w:sz w:val="24"/>
      <w:szCs w:val="24"/>
    </w:rPr>
  </w:style>
  <w:style w:type="paragraph" w:styleId="Index2">
    <w:name w:val="index 2"/>
    <w:basedOn w:val="Normal"/>
    <w:next w:val="Normal"/>
    <w:autoRedefine/>
    <w:semiHidden/>
    <w:rsid w:val="00E60844"/>
    <w:pPr>
      <w:ind w:left="480" w:hanging="240"/>
    </w:pPr>
    <w:rPr>
      <w:rFonts w:ascii="Times New Roman" w:hAnsi="Times New Roman"/>
      <w:sz w:val="24"/>
      <w:szCs w:val="24"/>
    </w:rPr>
  </w:style>
  <w:style w:type="paragraph" w:styleId="Index3">
    <w:name w:val="index 3"/>
    <w:basedOn w:val="Normal"/>
    <w:next w:val="Normal"/>
    <w:autoRedefine/>
    <w:semiHidden/>
    <w:rsid w:val="00E60844"/>
    <w:pPr>
      <w:ind w:left="720" w:hanging="240"/>
    </w:pPr>
    <w:rPr>
      <w:rFonts w:ascii="Times New Roman" w:hAnsi="Times New Roman"/>
      <w:sz w:val="24"/>
      <w:szCs w:val="24"/>
    </w:rPr>
  </w:style>
  <w:style w:type="character" w:customStyle="1" w:styleId="BodyTextChar1">
    <w:name w:val="Body Text Char1"/>
    <w:link w:val="BodyText"/>
    <w:semiHidden/>
    <w:locked/>
    <w:rsid w:val="00E60844"/>
    <w:rPr>
      <w:sz w:val="22"/>
      <w:lang w:val="en-US" w:eastAsia="en-US"/>
    </w:rPr>
  </w:style>
  <w:style w:type="paragraph" w:styleId="Index4">
    <w:name w:val="index 4"/>
    <w:basedOn w:val="Normal"/>
    <w:next w:val="Normal"/>
    <w:autoRedefine/>
    <w:semiHidden/>
    <w:rsid w:val="00E60844"/>
    <w:pPr>
      <w:ind w:left="960" w:hanging="240"/>
    </w:pPr>
    <w:rPr>
      <w:rFonts w:ascii="Times New Roman" w:hAnsi="Times New Roman"/>
      <w:sz w:val="24"/>
      <w:szCs w:val="24"/>
    </w:rPr>
  </w:style>
  <w:style w:type="paragraph" w:styleId="Index5">
    <w:name w:val="index 5"/>
    <w:basedOn w:val="Normal"/>
    <w:next w:val="Normal"/>
    <w:autoRedefine/>
    <w:semiHidden/>
    <w:rsid w:val="00E60844"/>
    <w:pPr>
      <w:ind w:left="1200" w:hanging="240"/>
    </w:pPr>
    <w:rPr>
      <w:rFonts w:ascii="Times New Roman" w:hAnsi="Times New Roman"/>
      <w:sz w:val="24"/>
      <w:szCs w:val="24"/>
    </w:rPr>
  </w:style>
  <w:style w:type="paragraph" w:styleId="HTMLPreformatted">
    <w:name w:val="HTML Preformatted"/>
    <w:basedOn w:val="Normal"/>
    <w:link w:val="HTMLPreformattedChar"/>
    <w:rsid w:val="00E6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semiHidden/>
    <w:locked/>
    <w:rsid w:val="001B7596"/>
    <w:rPr>
      <w:rFonts w:ascii="Courier New" w:hAnsi="Courier New" w:cs="Times New Roman"/>
      <w:sz w:val="20"/>
    </w:rPr>
  </w:style>
  <w:style w:type="paragraph" w:styleId="Index6">
    <w:name w:val="index 6"/>
    <w:basedOn w:val="Normal"/>
    <w:next w:val="Normal"/>
    <w:autoRedefine/>
    <w:semiHidden/>
    <w:rsid w:val="00E60844"/>
    <w:pPr>
      <w:ind w:left="1440" w:hanging="240"/>
    </w:pPr>
    <w:rPr>
      <w:rFonts w:ascii="Times New Roman" w:hAnsi="Times New Roman"/>
      <w:sz w:val="24"/>
      <w:szCs w:val="24"/>
    </w:rPr>
  </w:style>
  <w:style w:type="paragraph" w:styleId="Index7">
    <w:name w:val="index 7"/>
    <w:basedOn w:val="Normal"/>
    <w:next w:val="Normal"/>
    <w:autoRedefine/>
    <w:semiHidden/>
    <w:rsid w:val="00E60844"/>
    <w:pPr>
      <w:ind w:left="1680" w:hanging="240"/>
    </w:pPr>
    <w:rPr>
      <w:rFonts w:ascii="Times New Roman" w:hAnsi="Times New Roman"/>
      <w:sz w:val="24"/>
      <w:szCs w:val="24"/>
    </w:rPr>
  </w:style>
  <w:style w:type="character" w:styleId="EndnoteReference">
    <w:name w:val="endnote reference"/>
    <w:rsid w:val="00E60844"/>
    <w:rPr>
      <w:rFonts w:cs="Times New Roman"/>
      <w:vertAlign w:val="superscript"/>
    </w:rPr>
  </w:style>
  <w:style w:type="paragraph" w:styleId="Index8">
    <w:name w:val="index 8"/>
    <w:basedOn w:val="Normal"/>
    <w:next w:val="Normal"/>
    <w:autoRedefine/>
    <w:semiHidden/>
    <w:rsid w:val="00E60844"/>
    <w:pPr>
      <w:ind w:left="1920" w:hanging="240"/>
    </w:pPr>
    <w:rPr>
      <w:rFonts w:ascii="Times New Roman" w:hAnsi="Times New Roman"/>
      <w:sz w:val="24"/>
      <w:szCs w:val="24"/>
    </w:rPr>
  </w:style>
  <w:style w:type="paragraph" w:styleId="Index9">
    <w:name w:val="index 9"/>
    <w:basedOn w:val="Normal"/>
    <w:next w:val="Normal"/>
    <w:autoRedefine/>
    <w:semiHidden/>
    <w:rsid w:val="00E60844"/>
    <w:pPr>
      <w:ind w:left="2160" w:hanging="240"/>
    </w:pPr>
    <w:rPr>
      <w:rFonts w:ascii="Times New Roman" w:hAnsi="Times New Roman"/>
      <w:sz w:val="24"/>
      <w:szCs w:val="24"/>
    </w:rPr>
  </w:style>
  <w:style w:type="character" w:customStyle="1" w:styleId="StandardBulletChar">
    <w:name w:val="Standard Bullet Char"/>
    <w:link w:val="StandardBullet"/>
    <w:locked/>
    <w:rsid w:val="00D76B61"/>
    <w:rPr>
      <w:rFonts w:ascii="Palatino" w:hAnsi="Palatino"/>
      <w:sz w:val="26"/>
    </w:rPr>
  </w:style>
  <w:style w:type="paragraph" w:styleId="IndexHeading">
    <w:name w:val="index heading"/>
    <w:basedOn w:val="Normal"/>
    <w:next w:val="Index1"/>
    <w:semiHidden/>
    <w:rsid w:val="00E60844"/>
    <w:rPr>
      <w:rFonts w:ascii="Arial" w:hAnsi="Arial" w:cs="Arial"/>
      <w:b/>
      <w:bCs/>
      <w:sz w:val="24"/>
      <w:szCs w:val="24"/>
    </w:rPr>
  </w:style>
  <w:style w:type="character" w:styleId="LineNumber">
    <w:name w:val="line number"/>
    <w:rsid w:val="00E60844"/>
    <w:rPr>
      <w:rFonts w:cs="Times New Roman"/>
    </w:rPr>
  </w:style>
  <w:style w:type="paragraph" w:styleId="ListNumber">
    <w:name w:val="List Number"/>
    <w:basedOn w:val="Normal"/>
    <w:rsid w:val="00E60844"/>
    <w:pPr>
      <w:numPr>
        <w:numId w:val="1"/>
      </w:numPr>
    </w:pPr>
  </w:style>
  <w:style w:type="paragraph" w:styleId="ListNumber2">
    <w:name w:val="List Number 2"/>
    <w:basedOn w:val="Normal"/>
    <w:rsid w:val="00E60844"/>
    <w:pPr>
      <w:numPr>
        <w:numId w:val="2"/>
      </w:numPr>
    </w:pPr>
  </w:style>
  <w:style w:type="character" w:customStyle="1" w:styleId="CharChar">
    <w:name w:val="Char Char"/>
    <w:semiHidden/>
    <w:locked/>
    <w:rsid w:val="00E60844"/>
    <w:rPr>
      <w:rFonts w:ascii="Calibri" w:hAnsi="Calibri"/>
      <w:lang w:val="en-US" w:eastAsia="en-US"/>
    </w:rPr>
  </w:style>
  <w:style w:type="character" w:customStyle="1" w:styleId="Hypertext">
    <w:name w:val="Hypertext"/>
    <w:rsid w:val="00E60844"/>
    <w:rPr>
      <w:color w:val="0000FF"/>
      <w:u w:val="single"/>
    </w:rPr>
  </w:style>
  <w:style w:type="paragraph" w:customStyle="1" w:styleId="StandardNumber">
    <w:name w:val="Standard Number"/>
    <w:basedOn w:val="standard"/>
    <w:rsid w:val="00E60844"/>
    <w:pPr>
      <w:numPr>
        <w:numId w:val="3"/>
      </w:numPr>
      <w:tabs>
        <w:tab w:val="clear" w:pos="1080"/>
        <w:tab w:val="num" w:pos="1440"/>
      </w:tabs>
      <w:spacing w:before="80" w:after="80" w:line="240" w:lineRule="auto"/>
      <w:ind w:left="1440" w:right="720" w:hanging="576"/>
    </w:pPr>
  </w:style>
  <w:style w:type="paragraph" w:customStyle="1" w:styleId="1Main">
    <w:name w:val="1Main"/>
    <w:basedOn w:val="main"/>
    <w:rsid w:val="00E60844"/>
  </w:style>
  <w:style w:type="paragraph" w:customStyle="1" w:styleId="StandardQuotation">
    <w:name w:val="Standard Quotation"/>
    <w:basedOn w:val="standard"/>
    <w:link w:val="StandardQuotationChar"/>
    <w:rsid w:val="00834F40"/>
    <w:pPr>
      <w:spacing w:before="60" w:after="200" w:line="240" w:lineRule="auto"/>
      <w:ind w:left="1080" w:right="1080" w:firstLine="0"/>
    </w:pPr>
  </w:style>
  <w:style w:type="paragraph" w:styleId="ListNumber3">
    <w:name w:val="List Number 3"/>
    <w:basedOn w:val="ListNumber2"/>
    <w:rsid w:val="00E60844"/>
    <w:pPr>
      <w:numPr>
        <w:numId w:val="4"/>
      </w:numPr>
      <w:tabs>
        <w:tab w:val="clear" w:pos="1440"/>
        <w:tab w:val="num" w:pos="720"/>
        <w:tab w:val="left" w:pos="936"/>
        <w:tab w:val="num" w:pos="1080"/>
      </w:tabs>
      <w:spacing w:after="240"/>
      <w:ind w:left="1080"/>
      <w:jc w:val="both"/>
    </w:pPr>
    <w:rPr>
      <w:rFonts w:ascii="Times New Roman" w:hAnsi="Times New Roman"/>
      <w:sz w:val="24"/>
      <w:szCs w:val="24"/>
    </w:rPr>
  </w:style>
  <w:style w:type="paragraph" w:styleId="ListNumber4">
    <w:name w:val="List Number 4"/>
    <w:basedOn w:val="Normal"/>
    <w:rsid w:val="00E60844"/>
    <w:pPr>
      <w:tabs>
        <w:tab w:val="num" w:pos="1080"/>
      </w:tabs>
      <w:ind w:left="1080" w:hanging="360"/>
    </w:pPr>
    <w:rPr>
      <w:rFonts w:ascii="Times New Roman" w:hAnsi="Times New Roman"/>
      <w:sz w:val="24"/>
      <w:szCs w:val="24"/>
    </w:rPr>
  </w:style>
  <w:style w:type="paragraph" w:styleId="ListNumber5">
    <w:name w:val="List Number 5"/>
    <w:basedOn w:val="Normal"/>
    <w:rsid w:val="00E60844"/>
    <w:pPr>
      <w:numPr>
        <w:numId w:val="5"/>
      </w:numPr>
      <w:tabs>
        <w:tab w:val="clear" w:pos="1800"/>
        <w:tab w:val="num" w:pos="720"/>
      </w:tabs>
      <w:ind w:left="720"/>
    </w:pPr>
    <w:rPr>
      <w:rFonts w:ascii="Times New Roman" w:hAnsi="Times New Roman"/>
      <w:sz w:val="24"/>
      <w:szCs w:val="24"/>
    </w:rPr>
  </w:style>
  <w:style w:type="paragraph" w:styleId="MacroText">
    <w:name w:val="macro"/>
    <w:link w:val="MacroTextChar"/>
    <w:semiHidden/>
    <w:rsid w:val="00E608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locked/>
    <w:rsid w:val="001B7596"/>
    <w:rPr>
      <w:rFonts w:ascii="Courier New" w:hAnsi="Courier New" w:cs="Courier New"/>
      <w:lang w:val="en-US" w:eastAsia="en-US" w:bidi="ar-SA"/>
    </w:rPr>
  </w:style>
  <w:style w:type="paragraph" w:styleId="MessageHeader">
    <w:name w:val="Message Header"/>
    <w:basedOn w:val="Normal"/>
    <w:link w:val="MessageHeaderChar"/>
    <w:rsid w:val="00E6084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semiHidden/>
    <w:locked/>
    <w:rsid w:val="001B7596"/>
    <w:rPr>
      <w:rFonts w:ascii="Cambria" w:hAnsi="Cambria" w:cs="Times New Roman"/>
      <w:sz w:val="24"/>
      <w:shd w:val="pct20" w:color="auto" w:fill="auto"/>
    </w:rPr>
  </w:style>
  <w:style w:type="paragraph" w:customStyle="1" w:styleId="ReLine">
    <w:name w:val="Re Line"/>
    <w:basedOn w:val="Normal"/>
    <w:semiHidden/>
    <w:rsid w:val="00E60844"/>
    <w:pPr>
      <w:spacing w:after="240"/>
      <w:ind w:left="720" w:hanging="720"/>
    </w:pPr>
    <w:rPr>
      <w:rFonts w:ascii="Times New Roman" w:hAnsi="Times New Roman"/>
      <w:sz w:val="24"/>
      <w:szCs w:val="24"/>
    </w:rPr>
  </w:style>
  <w:style w:type="paragraph" w:customStyle="1" w:styleId="StyleStandardQuotationAfter4pt">
    <w:name w:val="Style Standard Quotation + After:  4 pt"/>
    <w:basedOn w:val="StandardQuotation"/>
    <w:rsid w:val="00E60844"/>
    <w:pPr>
      <w:spacing w:after="80"/>
    </w:pPr>
  </w:style>
  <w:style w:type="paragraph" w:customStyle="1" w:styleId="SpecialPhrase">
    <w:name w:val="Special Phrase"/>
    <w:basedOn w:val="Normal"/>
    <w:semiHidden/>
    <w:rsid w:val="00E60844"/>
    <w:pPr>
      <w:spacing w:after="280" w:line="280" w:lineRule="atLeast"/>
      <w:jc w:val="center"/>
    </w:pPr>
    <w:rPr>
      <w:rFonts w:ascii="MetaBold-Caps" w:hAnsi="MetaBold-Caps"/>
      <w:sz w:val="24"/>
      <w:szCs w:val="24"/>
    </w:rPr>
  </w:style>
  <w:style w:type="character" w:styleId="Strong">
    <w:name w:val="Strong"/>
    <w:uiPriority w:val="22"/>
    <w:qFormat/>
    <w:rsid w:val="00E60844"/>
    <w:rPr>
      <w:rFonts w:cs="Times New Roman"/>
      <w:b/>
    </w:rPr>
  </w:style>
  <w:style w:type="paragraph" w:styleId="Subtitle">
    <w:name w:val="Subtitle"/>
    <w:basedOn w:val="Normal"/>
    <w:link w:val="SubtitleChar"/>
    <w:qFormat/>
    <w:rsid w:val="00E60844"/>
    <w:pPr>
      <w:spacing w:after="240"/>
      <w:jc w:val="center"/>
      <w:outlineLvl w:val="1"/>
    </w:pPr>
    <w:rPr>
      <w:rFonts w:ascii="Cambria" w:hAnsi="Cambria"/>
      <w:sz w:val="24"/>
    </w:rPr>
  </w:style>
  <w:style w:type="character" w:customStyle="1" w:styleId="SubtitleChar">
    <w:name w:val="Subtitle Char"/>
    <w:link w:val="Subtitle"/>
    <w:locked/>
    <w:rsid w:val="001B7596"/>
    <w:rPr>
      <w:rFonts w:ascii="Cambria" w:hAnsi="Cambria" w:cs="Times New Roman"/>
      <w:sz w:val="24"/>
    </w:rPr>
  </w:style>
  <w:style w:type="paragraph" w:styleId="TableofAuthorities">
    <w:name w:val="table of authorities"/>
    <w:basedOn w:val="Normal"/>
    <w:next w:val="Normal"/>
    <w:semiHidden/>
    <w:rsid w:val="00E60844"/>
    <w:pPr>
      <w:ind w:left="240" w:hanging="240"/>
    </w:pPr>
    <w:rPr>
      <w:rFonts w:ascii="Times New Roman" w:hAnsi="Times New Roman"/>
      <w:sz w:val="24"/>
      <w:szCs w:val="24"/>
    </w:rPr>
  </w:style>
  <w:style w:type="paragraph" w:styleId="TableofFigures">
    <w:name w:val="table of figures"/>
    <w:basedOn w:val="Normal"/>
    <w:next w:val="Normal"/>
    <w:semiHidden/>
    <w:rsid w:val="00E60844"/>
    <w:pPr>
      <w:ind w:left="480" w:hanging="480"/>
    </w:pPr>
    <w:rPr>
      <w:rFonts w:ascii="Times New Roman" w:hAnsi="Times New Roman"/>
      <w:sz w:val="24"/>
      <w:szCs w:val="24"/>
    </w:rPr>
  </w:style>
  <w:style w:type="paragraph" w:styleId="TOAHeading">
    <w:name w:val="toa heading"/>
    <w:basedOn w:val="Normal"/>
    <w:next w:val="Normal"/>
    <w:semiHidden/>
    <w:rsid w:val="00E60844"/>
    <w:pPr>
      <w:spacing w:before="120"/>
    </w:pPr>
    <w:rPr>
      <w:rFonts w:ascii="Times New Roman" w:hAnsi="Times New Roman" w:cs="Arial"/>
      <w:b/>
      <w:bCs/>
      <w:sz w:val="24"/>
      <w:szCs w:val="24"/>
    </w:rPr>
  </w:style>
  <w:style w:type="paragraph" w:customStyle="1" w:styleId="zYPage">
    <w:name w:val="zY_Page"/>
    <w:basedOn w:val="Normal"/>
    <w:semiHidden/>
    <w:rsid w:val="00E60844"/>
    <w:pPr>
      <w:spacing w:before="240" w:after="240"/>
      <w:jc w:val="right"/>
    </w:pPr>
    <w:rPr>
      <w:rFonts w:ascii="Times New Roman" w:hAnsi="Times New Roman"/>
      <w:sz w:val="24"/>
      <w:szCs w:val="24"/>
      <w:u w:val="single"/>
    </w:rPr>
  </w:style>
  <w:style w:type="paragraph" w:styleId="BlockText">
    <w:name w:val="Block Text"/>
    <w:basedOn w:val="Normal"/>
    <w:rsid w:val="00E60844"/>
    <w:pPr>
      <w:spacing w:after="120"/>
      <w:ind w:left="1440" w:right="1440"/>
    </w:pPr>
    <w:rPr>
      <w:rFonts w:ascii="Times New Roman" w:hAnsi="Times New Roman"/>
      <w:sz w:val="24"/>
      <w:szCs w:val="24"/>
    </w:rPr>
  </w:style>
  <w:style w:type="paragraph" w:styleId="NormalIndent">
    <w:name w:val="Normal Indent"/>
    <w:basedOn w:val="Normal"/>
    <w:rsid w:val="00E60844"/>
    <w:pPr>
      <w:ind w:left="720"/>
    </w:pPr>
    <w:rPr>
      <w:rFonts w:ascii="Times New Roman" w:hAnsi="Times New Roman"/>
      <w:sz w:val="24"/>
      <w:szCs w:val="24"/>
    </w:rPr>
  </w:style>
  <w:style w:type="character" w:customStyle="1" w:styleId="Emphasis2">
    <w:name w:val="Emphasis 2"/>
    <w:semiHidden/>
    <w:rsid w:val="00E60844"/>
    <w:rPr>
      <w:b/>
    </w:rPr>
  </w:style>
  <w:style w:type="character" w:customStyle="1" w:styleId="Emphasis3">
    <w:name w:val="Emphasis 3"/>
    <w:semiHidden/>
    <w:rsid w:val="00E60844"/>
    <w:rPr>
      <w:u w:val="single"/>
    </w:rPr>
  </w:style>
  <w:style w:type="paragraph" w:customStyle="1" w:styleId="FootnoteText2">
    <w:name w:val="Footnote Text 2"/>
    <w:basedOn w:val="FootnoteText"/>
    <w:next w:val="FootnoteText"/>
    <w:semiHidden/>
    <w:rsid w:val="00E60844"/>
    <w:pPr>
      <w:spacing w:after="240"/>
      <w:ind w:left="720" w:firstLine="0"/>
      <w:jc w:val="both"/>
    </w:pPr>
    <w:rPr>
      <w:rFonts w:ascii="Times New Roman" w:hAnsi="Times New Roman"/>
      <w:sz w:val="16"/>
      <w:szCs w:val="18"/>
    </w:rPr>
  </w:style>
  <w:style w:type="paragraph" w:customStyle="1" w:styleId="2Indw23hanging">
    <w:name w:val="2&quot; Ind. w/2.3 hanging"/>
    <w:basedOn w:val="Normal"/>
    <w:rsid w:val="00E60844"/>
    <w:pPr>
      <w:spacing w:after="240"/>
      <w:ind w:left="3312" w:hanging="432"/>
    </w:pPr>
    <w:rPr>
      <w:rFonts w:ascii="Times New Roman" w:hAnsi="Times New Roman"/>
      <w:sz w:val="24"/>
      <w:szCs w:val="24"/>
    </w:rPr>
  </w:style>
  <w:style w:type="paragraph" w:customStyle="1" w:styleId="2Indent">
    <w:name w:val="2&quot; Indent"/>
    <w:basedOn w:val="Normal"/>
    <w:rsid w:val="00E60844"/>
    <w:pPr>
      <w:spacing w:after="240"/>
      <w:ind w:left="2880"/>
    </w:pPr>
    <w:rPr>
      <w:rFonts w:ascii="Times New Roman" w:hAnsi="Times New Roman"/>
      <w:sz w:val="24"/>
      <w:szCs w:val="24"/>
    </w:rPr>
  </w:style>
  <w:style w:type="paragraph" w:customStyle="1" w:styleId="BodyFlush2">
    <w:name w:val="Body Flush 2"/>
    <w:basedOn w:val="BodyFlush"/>
    <w:rsid w:val="00E60844"/>
    <w:pPr>
      <w:spacing w:line="480" w:lineRule="auto"/>
    </w:pPr>
  </w:style>
  <w:style w:type="paragraph" w:customStyle="1" w:styleId="BodyTextContinued">
    <w:name w:val="Body Text Continued"/>
    <w:basedOn w:val="BodyText"/>
    <w:next w:val="BodyText"/>
    <w:rsid w:val="00E60844"/>
    <w:pPr>
      <w:widowControl w:val="0"/>
      <w:spacing w:after="240"/>
    </w:pPr>
    <w:rPr>
      <w:sz w:val="24"/>
    </w:rPr>
  </w:style>
  <w:style w:type="paragraph" w:customStyle="1" w:styleId="Table">
    <w:name w:val="Table"/>
    <w:basedOn w:val="Normal"/>
    <w:link w:val="TableChar"/>
    <w:rsid w:val="00E60844"/>
    <w:pPr>
      <w:keepNext/>
      <w:keepLines/>
      <w:spacing w:after="240"/>
    </w:pPr>
    <w:rPr>
      <w:rFonts w:ascii="Arial" w:hAnsi="Arial"/>
      <w:sz w:val="24"/>
    </w:rPr>
  </w:style>
  <w:style w:type="character" w:customStyle="1" w:styleId="TableChar">
    <w:name w:val="Table Char"/>
    <w:link w:val="Table"/>
    <w:locked/>
    <w:rsid w:val="00E60844"/>
    <w:rPr>
      <w:rFonts w:ascii="Arial" w:hAnsi="Arial"/>
      <w:sz w:val="24"/>
      <w:lang w:val="en-US" w:eastAsia="en-US"/>
    </w:rPr>
  </w:style>
  <w:style w:type="paragraph" w:customStyle="1" w:styleId="BLOCKQUOTE2">
    <w:name w:val="BLOCK QUOTE 2"/>
    <w:basedOn w:val="BlockQuote"/>
    <w:rsid w:val="00E60844"/>
    <w:pPr>
      <w:ind w:left="2160" w:right="1440" w:hanging="720"/>
    </w:pPr>
  </w:style>
  <w:style w:type="paragraph" w:customStyle="1" w:styleId="bodyflush20">
    <w:name w:val="body flush 2"/>
    <w:basedOn w:val="BodyFlush"/>
    <w:rsid w:val="00E60844"/>
    <w:pPr>
      <w:ind w:left="720" w:hanging="720"/>
      <w:jc w:val="left"/>
    </w:pPr>
  </w:style>
  <w:style w:type="paragraph" w:customStyle="1" w:styleId="microcaption">
    <w:name w:val="micro:caption"/>
    <w:rsid w:val="00E60844"/>
    <w:pPr>
      <w:tabs>
        <w:tab w:val="left" w:pos="0"/>
        <w:tab w:val="left" w:pos="720"/>
        <w:tab w:val="left" w:pos="1440"/>
        <w:tab w:val="left" w:pos="2160"/>
      </w:tabs>
      <w:overflowPunct w:val="0"/>
      <w:autoSpaceDE w:val="0"/>
      <w:autoSpaceDN w:val="0"/>
      <w:adjustRightInd w:val="0"/>
      <w:spacing w:before="11" w:after="38" w:line="267" w:lineRule="atLeast"/>
      <w:jc w:val="both"/>
      <w:textAlignment w:val="baseline"/>
    </w:pPr>
    <w:rPr>
      <w:rFonts w:ascii="Times" w:hAnsi="Times"/>
      <w:sz w:val="24"/>
    </w:rPr>
  </w:style>
  <w:style w:type="paragraph" w:customStyle="1" w:styleId="AltHeading1">
    <w:name w:val="Alt Heading 1"/>
    <w:basedOn w:val="Heading1"/>
    <w:rsid w:val="00E60844"/>
    <w:pPr>
      <w:keepLines/>
      <w:numPr>
        <w:numId w:val="0"/>
      </w:numPr>
      <w:spacing w:before="0" w:after="240"/>
      <w:ind w:right="0"/>
    </w:pPr>
    <w:rPr>
      <w:rFonts w:ascii="Times New Roman" w:hAnsi="Times New Roman" w:cs="Arial"/>
      <w:bCs/>
      <w:kern w:val="0"/>
      <w:sz w:val="28"/>
      <w:szCs w:val="28"/>
    </w:rPr>
  </w:style>
  <w:style w:type="paragraph" w:customStyle="1" w:styleId="Normal4">
    <w:name w:val="Normal+4"/>
    <w:basedOn w:val="Normal"/>
    <w:next w:val="Normal"/>
    <w:rsid w:val="00E60844"/>
    <w:pPr>
      <w:autoSpaceDE w:val="0"/>
      <w:autoSpaceDN w:val="0"/>
      <w:adjustRightInd w:val="0"/>
    </w:pPr>
    <w:rPr>
      <w:rFonts w:ascii="Tahoma" w:hAnsi="Tahoma"/>
      <w:sz w:val="24"/>
      <w:szCs w:val="24"/>
    </w:rPr>
  </w:style>
  <w:style w:type="paragraph" w:customStyle="1" w:styleId="BodyText22">
    <w:name w:val="Body Text 2+2"/>
    <w:basedOn w:val="Normal"/>
    <w:next w:val="Normal"/>
    <w:rsid w:val="00E60844"/>
    <w:pPr>
      <w:autoSpaceDE w:val="0"/>
      <w:autoSpaceDN w:val="0"/>
      <w:adjustRightInd w:val="0"/>
    </w:pPr>
    <w:rPr>
      <w:rFonts w:ascii="Tahoma" w:hAnsi="Tahoma"/>
      <w:sz w:val="24"/>
      <w:szCs w:val="24"/>
    </w:rPr>
  </w:style>
  <w:style w:type="paragraph" w:styleId="ListParagraph">
    <w:name w:val="List Paragraph"/>
    <w:basedOn w:val="Normal"/>
    <w:uiPriority w:val="34"/>
    <w:qFormat/>
    <w:rsid w:val="00E60844"/>
    <w:pPr>
      <w:ind w:left="720"/>
    </w:pPr>
    <w:rPr>
      <w:rFonts w:ascii="Arial" w:hAnsi="Arial" w:cs="Arial"/>
      <w:color w:val="000000"/>
      <w:sz w:val="24"/>
      <w:szCs w:val="24"/>
    </w:rPr>
  </w:style>
  <w:style w:type="paragraph" w:customStyle="1" w:styleId="Default">
    <w:name w:val="Default"/>
    <w:rsid w:val="00E60844"/>
    <w:pPr>
      <w:widowControl w:val="0"/>
      <w:autoSpaceDE w:val="0"/>
      <w:autoSpaceDN w:val="0"/>
      <w:adjustRightInd w:val="0"/>
    </w:pPr>
    <w:rPr>
      <w:color w:val="000000"/>
      <w:sz w:val="24"/>
      <w:szCs w:val="24"/>
    </w:rPr>
  </w:style>
  <w:style w:type="paragraph" w:customStyle="1" w:styleId="CM5">
    <w:name w:val="CM5"/>
    <w:basedOn w:val="Default"/>
    <w:next w:val="Default"/>
    <w:rsid w:val="00E60844"/>
    <w:pPr>
      <w:spacing w:line="273" w:lineRule="atLeast"/>
    </w:pPr>
    <w:rPr>
      <w:color w:val="auto"/>
    </w:rPr>
  </w:style>
  <w:style w:type="paragraph" w:customStyle="1" w:styleId="CM66">
    <w:name w:val="CM66"/>
    <w:basedOn w:val="Default"/>
    <w:next w:val="Default"/>
    <w:rsid w:val="00E60844"/>
    <w:pPr>
      <w:spacing w:after="368"/>
    </w:pPr>
    <w:rPr>
      <w:color w:val="auto"/>
    </w:rPr>
  </w:style>
  <w:style w:type="paragraph" w:customStyle="1" w:styleId="CM68">
    <w:name w:val="CM68"/>
    <w:basedOn w:val="Default"/>
    <w:next w:val="Default"/>
    <w:rsid w:val="00E60844"/>
    <w:pPr>
      <w:spacing w:after="263"/>
    </w:pPr>
    <w:rPr>
      <w:color w:val="auto"/>
    </w:rPr>
  </w:style>
  <w:style w:type="paragraph" w:customStyle="1" w:styleId="CM19">
    <w:name w:val="CM19"/>
    <w:basedOn w:val="Default"/>
    <w:next w:val="Default"/>
    <w:rsid w:val="00E60844"/>
    <w:pPr>
      <w:spacing w:line="276" w:lineRule="atLeast"/>
    </w:pPr>
    <w:rPr>
      <w:color w:val="auto"/>
    </w:rPr>
  </w:style>
  <w:style w:type="character" w:customStyle="1" w:styleId="DeltaViewInsertion">
    <w:name w:val="DeltaView Insertion"/>
    <w:rsid w:val="00E60844"/>
    <w:rPr>
      <w:b/>
      <w:color w:val="000000"/>
      <w:u w:val="single"/>
    </w:rPr>
  </w:style>
  <w:style w:type="character" w:customStyle="1" w:styleId="DeltaViewDeletion">
    <w:name w:val="DeltaView Deletion"/>
    <w:rsid w:val="00E60844"/>
    <w:rPr>
      <w:strike/>
      <w:color w:val="333333"/>
    </w:rPr>
  </w:style>
  <w:style w:type="character" w:customStyle="1" w:styleId="DeltaViewMoveSource">
    <w:name w:val="DeltaView Move Source"/>
    <w:rsid w:val="00E60844"/>
    <w:rPr>
      <w:strike/>
      <w:color w:val="191919"/>
    </w:rPr>
  </w:style>
  <w:style w:type="character" w:customStyle="1" w:styleId="DeltaViewMoveDestination">
    <w:name w:val="DeltaView Move Destination"/>
    <w:rsid w:val="00E60844"/>
    <w:rPr>
      <w:color w:val="191919"/>
      <w:u w:val="double"/>
    </w:rPr>
  </w:style>
  <w:style w:type="paragraph" w:customStyle="1" w:styleId="Brieftext">
    <w:name w:val="Brief text"/>
    <w:basedOn w:val="Normal"/>
    <w:link w:val="BrieftextChar"/>
    <w:rsid w:val="00E60844"/>
    <w:pPr>
      <w:spacing w:line="360" w:lineRule="auto"/>
      <w:ind w:firstLine="720"/>
    </w:pPr>
    <w:rPr>
      <w:rFonts w:ascii="Times New Roman" w:hAnsi="Times New Roman"/>
      <w:sz w:val="24"/>
    </w:rPr>
  </w:style>
  <w:style w:type="character" w:customStyle="1" w:styleId="BrieftextChar">
    <w:name w:val="Brief text Char"/>
    <w:link w:val="Brieftext"/>
    <w:locked/>
    <w:rsid w:val="00E60844"/>
    <w:rPr>
      <w:sz w:val="24"/>
      <w:lang w:val="en-US" w:eastAsia="en-US"/>
    </w:rPr>
  </w:style>
  <w:style w:type="paragraph" w:customStyle="1" w:styleId="DWTTitle">
    <w:name w:val="DWTTitle"/>
    <w:basedOn w:val="Normal"/>
    <w:next w:val="DWTNorm"/>
    <w:rsid w:val="00E60844"/>
    <w:pPr>
      <w:keepNext/>
      <w:widowControl w:val="0"/>
      <w:spacing w:after="240"/>
      <w:jc w:val="center"/>
    </w:pPr>
    <w:rPr>
      <w:rFonts w:ascii="Times New Roman" w:hAnsi="Times New Roman"/>
      <w:b/>
      <w:caps/>
      <w:sz w:val="24"/>
    </w:rPr>
  </w:style>
  <w:style w:type="paragraph" w:customStyle="1" w:styleId="StandardBlockSingleSpace">
    <w:name w:val="Standard Block Single Space"/>
    <w:basedOn w:val="standard"/>
    <w:rsid w:val="00E60844"/>
    <w:pPr>
      <w:widowControl w:val="0"/>
      <w:spacing w:after="120" w:line="240" w:lineRule="auto"/>
      <w:ind w:firstLine="0"/>
    </w:pPr>
  </w:style>
  <w:style w:type="paragraph" w:customStyle="1" w:styleId="StandardBulletSingleSpace">
    <w:name w:val="Standard Bullet Single Space"/>
    <w:basedOn w:val="StandardBullet"/>
    <w:rsid w:val="00E60844"/>
    <w:pPr>
      <w:widowControl w:val="0"/>
      <w:spacing w:before="0" w:after="0"/>
    </w:pPr>
  </w:style>
  <w:style w:type="paragraph" w:styleId="List">
    <w:name w:val="List"/>
    <w:basedOn w:val="Normal"/>
    <w:rsid w:val="00E44996"/>
    <w:pPr>
      <w:ind w:left="360" w:hanging="360"/>
      <w:contextualSpacing/>
    </w:pPr>
  </w:style>
  <w:style w:type="paragraph" w:styleId="List3">
    <w:name w:val="List 3"/>
    <w:basedOn w:val="Normal"/>
    <w:rsid w:val="002561C7"/>
    <w:pPr>
      <w:spacing w:before="120" w:after="120"/>
      <w:ind w:left="1080" w:right="1008" w:hanging="360"/>
    </w:pPr>
  </w:style>
  <w:style w:type="paragraph" w:styleId="Revision">
    <w:name w:val="Revision"/>
    <w:hidden/>
    <w:semiHidden/>
    <w:rsid w:val="00E84708"/>
    <w:rPr>
      <w:rFonts w:ascii="Palatino" w:hAnsi="Palatino"/>
      <w:sz w:val="26"/>
    </w:rPr>
  </w:style>
  <w:style w:type="paragraph" w:customStyle="1" w:styleId="BriefHead1">
    <w:name w:val="Brief Head 1"/>
    <w:basedOn w:val="Normal"/>
    <w:next w:val="BriefHead2"/>
    <w:link w:val="BriefHead1CharChar"/>
    <w:rsid w:val="00BB4FE7"/>
    <w:pPr>
      <w:numPr>
        <w:numId w:val="8"/>
      </w:numPr>
      <w:ind w:left="540" w:hanging="540"/>
    </w:pPr>
    <w:rPr>
      <w:rFonts w:ascii="Times New Roman" w:hAnsi="Times New Roman"/>
      <w:b/>
      <w:bCs/>
      <w:caps/>
      <w:sz w:val="24"/>
      <w:szCs w:val="24"/>
    </w:rPr>
  </w:style>
  <w:style w:type="character" w:customStyle="1" w:styleId="BriefHead1CharChar">
    <w:name w:val="Brief Head 1 Char Char"/>
    <w:link w:val="BriefHead1"/>
    <w:locked/>
    <w:rsid w:val="00BB4FE7"/>
    <w:rPr>
      <w:b/>
      <w:bCs/>
      <w:caps/>
      <w:sz w:val="24"/>
      <w:szCs w:val="24"/>
      <w:lang w:val="en-US" w:eastAsia="en-US" w:bidi="ar-SA"/>
    </w:rPr>
  </w:style>
  <w:style w:type="paragraph" w:customStyle="1" w:styleId="BriefHead2">
    <w:name w:val="Brief Head 2"/>
    <w:basedOn w:val="Normal"/>
    <w:next w:val="BriefHead3"/>
    <w:rsid w:val="00BB4FE7"/>
    <w:pPr>
      <w:numPr>
        <w:ilvl w:val="1"/>
        <w:numId w:val="8"/>
      </w:numPr>
      <w:spacing w:line="360" w:lineRule="auto"/>
      <w:ind w:left="576" w:hanging="288"/>
    </w:pPr>
    <w:rPr>
      <w:rFonts w:ascii="Times New Roman" w:hAnsi="Times New Roman"/>
      <w:b/>
      <w:bCs/>
      <w:sz w:val="24"/>
      <w:szCs w:val="24"/>
    </w:rPr>
  </w:style>
  <w:style w:type="paragraph" w:customStyle="1" w:styleId="BriefHead3">
    <w:name w:val="Brief Head 3"/>
    <w:basedOn w:val="Normal"/>
    <w:next w:val="BriefMGRAHead"/>
    <w:rsid w:val="00BB4FE7"/>
    <w:pPr>
      <w:numPr>
        <w:ilvl w:val="2"/>
        <w:numId w:val="8"/>
      </w:numPr>
      <w:spacing w:line="360" w:lineRule="auto"/>
      <w:ind w:left="864"/>
    </w:pPr>
    <w:rPr>
      <w:rFonts w:ascii="Times New Roman" w:hAnsi="Times New Roman"/>
      <w:b/>
      <w:bCs/>
      <w:sz w:val="24"/>
      <w:szCs w:val="24"/>
    </w:rPr>
  </w:style>
  <w:style w:type="paragraph" w:customStyle="1" w:styleId="BriefMGRAHead">
    <w:name w:val="Brief MGRA Head"/>
    <w:basedOn w:val="Normal"/>
    <w:next w:val="Brieftext"/>
    <w:rsid w:val="00BB4FE7"/>
    <w:pPr>
      <w:numPr>
        <w:ilvl w:val="3"/>
        <w:numId w:val="8"/>
      </w:numPr>
      <w:spacing w:line="360" w:lineRule="auto"/>
      <w:ind w:left="864" w:hanging="288"/>
    </w:pPr>
    <w:rPr>
      <w:rFonts w:ascii="Times New Roman" w:hAnsi="Times New Roman"/>
      <w:b/>
      <w:bCs/>
      <w:sz w:val="24"/>
      <w:szCs w:val="24"/>
    </w:rPr>
  </w:style>
  <w:style w:type="paragraph" w:customStyle="1" w:styleId="BriefQuote">
    <w:name w:val="Brief Quote"/>
    <w:basedOn w:val="Brieftext"/>
    <w:link w:val="BriefQuoteChar"/>
    <w:rsid w:val="00BB4FE7"/>
    <w:pPr>
      <w:ind w:left="720" w:firstLine="0"/>
    </w:pPr>
  </w:style>
  <w:style w:type="character" w:customStyle="1" w:styleId="BriefQuoteChar">
    <w:name w:val="Brief Quote Char"/>
    <w:link w:val="BriefQuote"/>
    <w:locked/>
    <w:rsid w:val="00BB4FE7"/>
    <w:rPr>
      <w:sz w:val="24"/>
      <w:lang w:val="en-US" w:eastAsia="en-US"/>
    </w:rPr>
  </w:style>
  <w:style w:type="paragraph" w:customStyle="1" w:styleId="DeclStyle">
    <w:name w:val="Decl_Style"/>
    <w:basedOn w:val="Normal"/>
    <w:rsid w:val="001679D7"/>
    <w:pPr>
      <w:numPr>
        <w:ilvl w:val="2"/>
        <w:numId w:val="9"/>
      </w:numPr>
      <w:tabs>
        <w:tab w:val="clear" w:pos="1620"/>
      </w:tabs>
      <w:suppressAutoHyphens/>
      <w:spacing w:line="480" w:lineRule="auto"/>
      <w:ind w:left="0" w:firstLine="720"/>
    </w:pPr>
    <w:rPr>
      <w:rFonts w:ascii="Times New Roman" w:hAnsi="Times New Roman"/>
      <w:color w:val="000000"/>
      <w:sz w:val="24"/>
    </w:rPr>
  </w:style>
  <w:style w:type="paragraph" w:customStyle="1" w:styleId="Normal1">
    <w:name w:val="Normal1"/>
    <w:rsid w:val="0004464D"/>
    <w:pPr>
      <w:spacing w:line="276" w:lineRule="auto"/>
    </w:pPr>
    <w:rPr>
      <w:rFonts w:ascii="Arial" w:eastAsia="Arial" w:hAnsi="Arial" w:cs="Arial"/>
      <w:color w:val="000000"/>
      <w:sz w:val="22"/>
      <w:szCs w:val="24"/>
      <w:lang w:eastAsia="ja-JP"/>
    </w:rPr>
  </w:style>
  <w:style w:type="numbering" w:styleId="1ai">
    <w:name w:val="Outline List 1"/>
    <w:basedOn w:val="NoList"/>
    <w:rsid w:val="00D22974"/>
    <w:pPr>
      <w:numPr>
        <w:numId w:val="6"/>
      </w:numPr>
    </w:pPr>
  </w:style>
  <w:style w:type="paragraph" w:styleId="PlainText">
    <w:name w:val="Plain Text"/>
    <w:basedOn w:val="Normal"/>
    <w:link w:val="PlainTextChar"/>
    <w:uiPriority w:val="99"/>
    <w:unhideWhenUsed/>
    <w:locked/>
    <w:rsid w:val="00220853"/>
    <w:rPr>
      <w:rFonts w:ascii="Calibri" w:eastAsia="Calibri" w:hAnsi="Calibri"/>
      <w:sz w:val="22"/>
      <w:szCs w:val="21"/>
    </w:rPr>
  </w:style>
  <w:style w:type="character" w:customStyle="1" w:styleId="PlainTextChar">
    <w:name w:val="Plain Text Char"/>
    <w:link w:val="PlainText"/>
    <w:uiPriority w:val="99"/>
    <w:rsid w:val="00220853"/>
    <w:rPr>
      <w:rFonts w:ascii="Calibri" w:eastAsia="Calibri" w:hAnsi="Calibri"/>
      <w:sz w:val="22"/>
      <w:szCs w:val="21"/>
    </w:rPr>
  </w:style>
  <w:style w:type="character" w:customStyle="1" w:styleId="FootnoteTextChar2CharChar">
    <w:name w:val="Footnote Text Char2 Char Char"/>
    <w:aliases w:val="Footnote Text Char1 Char Char Char,Footnote Text Char Char Char Char Char,Footnote Text Char2 Char Char Char Char Char,Footnote Text Char1 Char1 Char1 Char Char Char Char"/>
    <w:semiHidden/>
    <w:locked/>
    <w:rsid w:val="00994909"/>
    <w:rPr>
      <w:sz w:val="22"/>
    </w:rPr>
  </w:style>
  <w:style w:type="paragraph" w:customStyle="1" w:styleId="EZEPleadinL1">
    <w:name w:val="EZEPleadin_L1"/>
    <w:basedOn w:val="Normal"/>
    <w:next w:val="BodyText"/>
    <w:link w:val="EZEPleadinL1Char"/>
    <w:rsid w:val="00994909"/>
    <w:pPr>
      <w:keepNext/>
      <w:keepLines/>
      <w:widowControl w:val="0"/>
      <w:numPr>
        <w:numId w:val="39"/>
      </w:numPr>
      <w:spacing w:before="240" w:line="240" w:lineRule="atLeast"/>
      <w:outlineLvl w:val="0"/>
    </w:pPr>
    <w:rPr>
      <w:rFonts w:ascii="Times New Roman" w:hAnsi="Times New Roman"/>
      <w:b/>
      <w:caps/>
      <w:sz w:val="24"/>
      <w:szCs w:val="24"/>
    </w:rPr>
  </w:style>
  <w:style w:type="character" w:customStyle="1" w:styleId="EZEPleadinL1Char">
    <w:name w:val="EZEPleadin_L1 Char"/>
    <w:link w:val="EZEPleadinL1"/>
    <w:rsid w:val="00994909"/>
    <w:rPr>
      <w:b/>
      <w:caps/>
      <w:sz w:val="24"/>
      <w:szCs w:val="24"/>
      <w:lang w:val="en-US" w:eastAsia="en-US" w:bidi="ar-SA"/>
    </w:rPr>
  </w:style>
  <w:style w:type="paragraph" w:customStyle="1" w:styleId="EZEPleadinL2">
    <w:name w:val="EZEPleadin_L2"/>
    <w:basedOn w:val="EZEPleadinL1"/>
    <w:next w:val="BodyText"/>
    <w:rsid w:val="00994909"/>
    <w:pPr>
      <w:numPr>
        <w:ilvl w:val="1"/>
      </w:numPr>
      <w:tabs>
        <w:tab w:val="clear" w:pos="1440"/>
      </w:tabs>
      <w:spacing w:line="240" w:lineRule="exact"/>
      <w:ind w:left="2520" w:hanging="360"/>
      <w:outlineLvl w:val="1"/>
    </w:pPr>
    <w:rPr>
      <w:caps w:val="0"/>
    </w:rPr>
  </w:style>
  <w:style w:type="paragraph" w:customStyle="1" w:styleId="EZEPleadinL3">
    <w:name w:val="EZEPleadin_L3"/>
    <w:basedOn w:val="EZEPleadinL2"/>
    <w:next w:val="BodyText"/>
    <w:rsid w:val="00994909"/>
    <w:pPr>
      <w:numPr>
        <w:ilvl w:val="2"/>
      </w:numPr>
      <w:tabs>
        <w:tab w:val="clear" w:pos="2160"/>
      </w:tabs>
      <w:ind w:left="3240" w:hanging="180"/>
      <w:outlineLvl w:val="2"/>
    </w:pPr>
  </w:style>
  <w:style w:type="paragraph" w:customStyle="1" w:styleId="EZEPleadinL4">
    <w:name w:val="EZEPleadin_L4"/>
    <w:basedOn w:val="EZEPleadinL3"/>
    <w:next w:val="BodyText"/>
    <w:rsid w:val="00994909"/>
    <w:pPr>
      <w:numPr>
        <w:ilvl w:val="3"/>
      </w:numPr>
      <w:tabs>
        <w:tab w:val="clear" w:pos="2880"/>
      </w:tabs>
      <w:ind w:left="3960" w:hanging="360"/>
      <w:outlineLvl w:val="3"/>
    </w:pPr>
  </w:style>
  <w:style w:type="paragraph" w:customStyle="1" w:styleId="EZEPleadinL5">
    <w:name w:val="EZEPleadin_L5"/>
    <w:basedOn w:val="EZEPleadinL4"/>
    <w:next w:val="BodyText"/>
    <w:rsid w:val="00994909"/>
    <w:pPr>
      <w:numPr>
        <w:ilvl w:val="4"/>
      </w:numPr>
      <w:tabs>
        <w:tab w:val="clear" w:pos="3600"/>
      </w:tabs>
      <w:ind w:left="4680" w:hanging="360"/>
      <w:outlineLvl w:val="4"/>
    </w:pPr>
  </w:style>
  <w:style w:type="paragraph" w:customStyle="1" w:styleId="EZEPleadinL6">
    <w:name w:val="EZEPleadin_L6"/>
    <w:basedOn w:val="EZEPleadinL5"/>
    <w:next w:val="BodyText"/>
    <w:rsid w:val="00994909"/>
    <w:pPr>
      <w:numPr>
        <w:ilvl w:val="5"/>
      </w:numPr>
      <w:tabs>
        <w:tab w:val="clear" w:pos="4320"/>
      </w:tabs>
      <w:ind w:left="5400" w:hanging="180"/>
      <w:outlineLvl w:val="5"/>
    </w:pPr>
  </w:style>
  <w:style w:type="paragraph" w:customStyle="1" w:styleId="EZEPleadinL7">
    <w:name w:val="EZEPleadin_L7"/>
    <w:basedOn w:val="EZEPleadinL6"/>
    <w:next w:val="BodyText"/>
    <w:rsid w:val="00994909"/>
    <w:pPr>
      <w:numPr>
        <w:ilvl w:val="6"/>
      </w:numPr>
      <w:tabs>
        <w:tab w:val="clear" w:pos="5040"/>
      </w:tabs>
      <w:ind w:left="6120" w:hanging="360"/>
      <w:outlineLvl w:val="6"/>
    </w:pPr>
  </w:style>
  <w:style w:type="paragraph" w:customStyle="1" w:styleId="EZEPleadinL8">
    <w:name w:val="EZEPleadin_L8"/>
    <w:basedOn w:val="EZEPleadinL7"/>
    <w:next w:val="BodyText"/>
    <w:rsid w:val="00994909"/>
    <w:pPr>
      <w:numPr>
        <w:ilvl w:val="7"/>
      </w:numPr>
      <w:tabs>
        <w:tab w:val="clear" w:pos="5760"/>
      </w:tabs>
      <w:ind w:left="6840" w:hanging="360"/>
      <w:outlineLvl w:val="7"/>
    </w:pPr>
  </w:style>
  <w:style w:type="paragraph" w:customStyle="1" w:styleId="EZEPleadinL9">
    <w:name w:val="EZEPleadin_L9"/>
    <w:basedOn w:val="EZEPleadinL8"/>
    <w:next w:val="BodyText"/>
    <w:rsid w:val="00994909"/>
    <w:pPr>
      <w:numPr>
        <w:ilvl w:val="8"/>
      </w:numPr>
      <w:tabs>
        <w:tab w:val="clear" w:pos="6480"/>
      </w:tabs>
      <w:ind w:left="7560" w:hanging="180"/>
      <w:outlineLvl w:val="8"/>
    </w:pPr>
  </w:style>
  <w:style w:type="numbering" w:customStyle="1" w:styleId="Style1">
    <w:name w:val="Style1"/>
    <w:rsid w:val="008D6E1F"/>
    <w:pPr>
      <w:numPr>
        <w:numId w:val="40"/>
      </w:numPr>
    </w:pPr>
  </w:style>
  <w:style w:type="paragraph" w:customStyle="1" w:styleId="sub2">
    <w:name w:val="sub2"/>
    <w:basedOn w:val="Normal"/>
    <w:rsid w:val="005B7F80"/>
    <w:pPr>
      <w:spacing w:line="360" w:lineRule="auto"/>
      <w:ind w:firstLine="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40"/>
      </w:numPr>
    </w:pPr>
  </w:style>
  <w:style w:type="numbering" w:customStyle="1" w:styleId="Heading2Char">
    <w:name w:val="1ai"/>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150"/>
          <w:marRight w:val="150"/>
          <w:marTop w:val="150"/>
          <w:marBottom w:val="15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3">
          <w:marLeft w:val="150"/>
          <w:marRight w:val="150"/>
          <w:marTop w:val="150"/>
          <w:marBottom w:val="15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344862759">
      <w:bodyDiv w:val="1"/>
      <w:marLeft w:val="0"/>
      <w:marRight w:val="0"/>
      <w:marTop w:val="0"/>
      <w:marBottom w:val="0"/>
      <w:divBdr>
        <w:top w:val="none" w:sz="0" w:space="0" w:color="auto"/>
        <w:left w:val="none" w:sz="0" w:space="0" w:color="auto"/>
        <w:bottom w:val="none" w:sz="0" w:space="0" w:color="auto"/>
        <w:right w:val="none" w:sz="0" w:space="0" w:color="auto"/>
      </w:divBdr>
      <w:divsChild>
        <w:div w:id="919677473">
          <w:marLeft w:val="0"/>
          <w:marRight w:val="0"/>
          <w:marTop w:val="0"/>
          <w:marBottom w:val="0"/>
          <w:divBdr>
            <w:top w:val="none" w:sz="0" w:space="0" w:color="auto"/>
            <w:left w:val="none" w:sz="0" w:space="0" w:color="auto"/>
            <w:bottom w:val="none" w:sz="0" w:space="0" w:color="auto"/>
            <w:right w:val="none" w:sz="0" w:space="0" w:color="auto"/>
          </w:divBdr>
          <w:divsChild>
            <w:div w:id="9527902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39707374">
      <w:bodyDiv w:val="1"/>
      <w:marLeft w:val="0"/>
      <w:marRight w:val="0"/>
      <w:marTop w:val="0"/>
      <w:marBottom w:val="0"/>
      <w:divBdr>
        <w:top w:val="none" w:sz="0" w:space="0" w:color="auto"/>
        <w:left w:val="none" w:sz="0" w:space="0" w:color="auto"/>
        <w:bottom w:val="none" w:sz="0" w:space="0" w:color="auto"/>
        <w:right w:val="none" w:sz="0" w:space="0" w:color="auto"/>
      </w:divBdr>
    </w:div>
    <w:div w:id="617419123">
      <w:bodyDiv w:val="1"/>
      <w:marLeft w:val="0"/>
      <w:marRight w:val="0"/>
      <w:marTop w:val="0"/>
      <w:marBottom w:val="0"/>
      <w:divBdr>
        <w:top w:val="none" w:sz="0" w:space="0" w:color="auto"/>
        <w:left w:val="none" w:sz="0" w:space="0" w:color="auto"/>
        <w:bottom w:val="none" w:sz="0" w:space="0" w:color="auto"/>
        <w:right w:val="none" w:sz="0" w:space="0" w:color="auto"/>
      </w:divBdr>
    </w:div>
    <w:div w:id="621347667">
      <w:bodyDiv w:val="1"/>
      <w:marLeft w:val="0"/>
      <w:marRight w:val="0"/>
      <w:marTop w:val="0"/>
      <w:marBottom w:val="0"/>
      <w:divBdr>
        <w:top w:val="none" w:sz="0" w:space="0" w:color="auto"/>
        <w:left w:val="none" w:sz="0" w:space="0" w:color="auto"/>
        <w:bottom w:val="none" w:sz="0" w:space="0" w:color="auto"/>
        <w:right w:val="none" w:sz="0" w:space="0" w:color="auto"/>
      </w:divBdr>
      <w:divsChild>
        <w:div w:id="22756571">
          <w:marLeft w:val="0"/>
          <w:marRight w:val="0"/>
          <w:marTop w:val="0"/>
          <w:marBottom w:val="0"/>
          <w:divBdr>
            <w:top w:val="none" w:sz="0" w:space="0" w:color="auto"/>
            <w:left w:val="none" w:sz="0" w:space="0" w:color="auto"/>
            <w:bottom w:val="none" w:sz="0" w:space="0" w:color="auto"/>
            <w:right w:val="none" w:sz="0" w:space="0" w:color="auto"/>
          </w:divBdr>
        </w:div>
        <w:div w:id="361368794">
          <w:marLeft w:val="0"/>
          <w:marRight w:val="0"/>
          <w:marTop w:val="0"/>
          <w:marBottom w:val="0"/>
          <w:divBdr>
            <w:top w:val="none" w:sz="0" w:space="0" w:color="auto"/>
            <w:left w:val="none" w:sz="0" w:space="0" w:color="auto"/>
            <w:bottom w:val="none" w:sz="0" w:space="0" w:color="auto"/>
            <w:right w:val="none" w:sz="0" w:space="0" w:color="auto"/>
          </w:divBdr>
        </w:div>
        <w:div w:id="409431925">
          <w:marLeft w:val="0"/>
          <w:marRight w:val="0"/>
          <w:marTop w:val="0"/>
          <w:marBottom w:val="0"/>
          <w:divBdr>
            <w:top w:val="none" w:sz="0" w:space="0" w:color="auto"/>
            <w:left w:val="none" w:sz="0" w:space="0" w:color="auto"/>
            <w:bottom w:val="none" w:sz="0" w:space="0" w:color="auto"/>
            <w:right w:val="none" w:sz="0" w:space="0" w:color="auto"/>
          </w:divBdr>
        </w:div>
        <w:div w:id="463154811">
          <w:marLeft w:val="0"/>
          <w:marRight w:val="0"/>
          <w:marTop w:val="0"/>
          <w:marBottom w:val="0"/>
          <w:divBdr>
            <w:top w:val="none" w:sz="0" w:space="0" w:color="auto"/>
            <w:left w:val="none" w:sz="0" w:space="0" w:color="auto"/>
            <w:bottom w:val="none" w:sz="0" w:space="0" w:color="auto"/>
            <w:right w:val="none" w:sz="0" w:space="0" w:color="auto"/>
          </w:divBdr>
        </w:div>
        <w:div w:id="492843526">
          <w:marLeft w:val="0"/>
          <w:marRight w:val="0"/>
          <w:marTop w:val="0"/>
          <w:marBottom w:val="0"/>
          <w:divBdr>
            <w:top w:val="none" w:sz="0" w:space="0" w:color="auto"/>
            <w:left w:val="none" w:sz="0" w:space="0" w:color="auto"/>
            <w:bottom w:val="none" w:sz="0" w:space="0" w:color="auto"/>
            <w:right w:val="none" w:sz="0" w:space="0" w:color="auto"/>
          </w:divBdr>
        </w:div>
        <w:div w:id="716510125">
          <w:marLeft w:val="0"/>
          <w:marRight w:val="0"/>
          <w:marTop w:val="0"/>
          <w:marBottom w:val="0"/>
          <w:divBdr>
            <w:top w:val="none" w:sz="0" w:space="0" w:color="auto"/>
            <w:left w:val="none" w:sz="0" w:space="0" w:color="auto"/>
            <w:bottom w:val="none" w:sz="0" w:space="0" w:color="auto"/>
            <w:right w:val="none" w:sz="0" w:space="0" w:color="auto"/>
          </w:divBdr>
        </w:div>
        <w:div w:id="730466284">
          <w:marLeft w:val="0"/>
          <w:marRight w:val="0"/>
          <w:marTop w:val="0"/>
          <w:marBottom w:val="0"/>
          <w:divBdr>
            <w:top w:val="none" w:sz="0" w:space="0" w:color="auto"/>
            <w:left w:val="none" w:sz="0" w:space="0" w:color="auto"/>
            <w:bottom w:val="none" w:sz="0" w:space="0" w:color="auto"/>
            <w:right w:val="none" w:sz="0" w:space="0" w:color="auto"/>
          </w:divBdr>
        </w:div>
        <w:div w:id="799301301">
          <w:marLeft w:val="0"/>
          <w:marRight w:val="0"/>
          <w:marTop w:val="0"/>
          <w:marBottom w:val="0"/>
          <w:divBdr>
            <w:top w:val="none" w:sz="0" w:space="0" w:color="auto"/>
            <w:left w:val="none" w:sz="0" w:space="0" w:color="auto"/>
            <w:bottom w:val="none" w:sz="0" w:space="0" w:color="auto"/>
            <w:right w:val="none" w:sz="0" w:space="0" w:color="auto"/>
          </w:divBdr>
        </w:div>
        <w:div w:id="847015534">
          <w:marLeft w:val="0"/>
          <w:marRight w:val="0"/>
          <w:marTop w:val="0"/>
          <w:marBottom w:val="0"/>
          <w:divBdr>
            <w:top w:val="none" w:sz="0" w:space="0" w:color="auto"/>
            <w:left w:val="none" w:sz="0" w:space="0" w:color="auto"/>
            <w:bottom w:val="none" w:sz="0" w:space="0" w:color="auto"/>
            <w:right w:val="none" w:sz="0" w:space="0" w:color="auto"/>
          </w:divBdr>
        </w:div>
        <w:div w:id="903179692">
          <w:marLeft w:val="0"/>
          <w:marRight w:val="0"/>
          <w:marTop w:val="0"/>
          <w:marBottom w:val="0"/>
          <w:divBdr>
            <w:top w:val="none" w:sz="0" w:space="0" w:color="auto"/>
            <w:left w:val="none" w:sz="0" w:space="0" w:color="auto"/>
            <w:bottom w:val="none" w:sz="0" w:space="0" w:color="auto"/>
            <w:right w:val="none" w:sz="0" w:space="0" w:color="auto"/>
          </w:divBdr>
        </w:div>
        <w:div w:id="923994339">
          <w:marLeft w:val="0"/>
          <w:marRight w:val="0"/>
          <w:marTop w:val="0"/>
          <w:marBottom w:val="0"/>
          <w:divBdr>
            <w:top w:val="none" w:sz="0" w:space="0" w:color="auto"/>
            <w:left w:val="none" w:sz="0" w:space="0" w:color="auto"/>
            <w:bottom w:val="none" w:sz="0" w:space="0" w:color="auto"/>
            <w:right w:val="none" w:sz="0" w:space="0" w:color="auto"/>
          </w:divBdr>
        </w:div>
        <w:div w:id="997810087">
          <w:marLeft w:val="0"/>
          <w:marRight w:val="0"/>
          <w:marTop w:val="0"/>
          <w:marBottom w:val="0"/>
          <w:divBdr>
            <w:top w:val="none" w:sz="0" w:space="0" w:color="auto"/>
            <w:left w:val="none" w:sz="0" w:space="0" w:color="auto"/>
            <w:bottom w:val="none" w:sz="0" w:space="0" w:color="auto"/>
            <w:right w:val="none" w:sz="0" w:space="0" w:color="auto"/>
          </w:divBdr>
        </w:div>
        <w:div w:id="1082487968">
          <w:marLeft w:val="0"/>
          <w:marRight w:val="0"/>
          <w:marTop w:val="0"/>
          <w:marBottom w:val="0"/>
          <w:divBdr>
            <w:top w:val="none" w:sz="0" w:space="0" w:color="auto"/>
            <w:left w:val="none" w:sz="0" w:space="0" w:color="auto"/>
            <w:bottom w:val="none" w:sz="0" w:space="0" w:color="auto"/>
            <w:right w:val="none" w:sz="0" w:space="0" w:color="auto"/>
          </w:divBdr>
        </w:div>
        <w:div w:id="1197355898">
          <w:marLeft w:val="0"/>
          <w:marRight w:val="0"/>
          <w:marTop w:val="0"/>
          <w:marBottom w:val="0"/>
          <w:divBdr>
            <w:top w:val="none" w:sz="0" w:space="0" w:color="auto"/>
            <w:left w:val="none" w:sz="0" w:space="0" w:color="auto"/>
            <w:bottom w:val="none" w:sz="0" w:space="0" w:color="auto"/>
            <w:right w:val="none" w:sz="0" w:space="0" w:color="auto"/>
          </w:divBdr>
        </w:div>
        <w:div w:id="1442456470">
          <w:marLeft w:val="0"/>
          <w:marRight w:val="0"/>
          <w:marTop w:val="0"/>
          <w:marBottom w:val="0"/>
          <w:divBdr>
            <w:top w:val="none" w:sz="0" w:space="0" w:color="auto"/>
            <w:left w:val="none" w:sz="0" w:space="0" w:color="auto"/>
            <w:bottom w:val="none" w:sz="0" w:space="0" w:color="auto"/>
            <w:right w:val="none" w:sz="0" w:space="0" w:color="auto"/>
          </w:divBdr>
        </w:div>
        <w:div w:id="1507860463">
          <w:marLeft w:val="0"/>
          <w:marRight w:val="0"/>
          <w:marTop w:val="0"/>
          <w:marBottom w:val="0"/>
          <w:divBdr>
            <w:top w:val="none" w:sz="0" w:space="0" w:color="auto"/>
            <w:left w:val="none" w:sz="0" w:space="0" w:color="auto"/>
            <w:bottom w:val="none" w:sz="0" w:space="0" w:color="auto"/>
            <w:right w:val="none" w:sz="0" w:space="0" w:color="auto"/>
          </w:divBdr>
        </w:div>
        <w:div w:id="1743286201">
          <w:marLeft w:val="0"/>
          <w:marRight w:val="0"/>
          <w:marTop w:val="0"/>
          <w:marBottom w:val="0"/>
          <w:divBdr>
            <w:top w:val="none" w:sz="0" w:space="0" w:color="auto"/>
            <w:left w:val="none" w:sz="0" w:space="0" w:color="auto"/>
            <w:bottom w:val="none" w:sz="0" w:space="0" w:color="auto"/>
            <w:right w:val="none" w:sz="0" w:space="0" w:color="auto"/>
          </w:divBdr>
        </w:div>
        <w:div w:id="1861354283">
          <w:marLeft w:val="0"/>
          <w:marRight w:val="0"/>
          <w:marTop w:val="0"/>
          <w:marBottom w:val="0"/>
          <w:divBdr>
            <w:top w:val="none" w:sz="0" w:space="0" w:color="auto"/>
            <w:left w:val="none" w:sz="0" w:space="0" w:color="auto"/>
            <w:bottom w:val="none" w:sz="0" w:space="0" w:color="auto"/>
            <w:right w:val="none" w:sz="0" w:space="0" w:color="auto"/>
          </w:divBdr>
        </w:div>
        <w:div w:id="1911697946">
          <w:marLeft w:val="0"/>
          <w:marRight w:val="0"/>
          <w:marTop w:val="0"/>
          <w:marBottom w:val="0"/>
          <w:divBdr>
            <w:top w:val="none" w:sz="0" w:space="0" w:color="auto"/>
            <w:left w:val="none" w:sz="0" w:space="0" w:color="auto"/>
            <w:bottom w:val="none" w:sz="0" w:space="0" w:color="auto"/>
            <w:right w:val="none" w:sz="0" w:space="0" w:color="auto"/>
          </w:divBdr>
        </w:div>
        <w:div w:id="1928030442">
          <w:marLeft w:val="0"/>
          <w:marRight w:val="0"/>
          <w:marTop w:val="0"/>
          <w:marBottom w:val="0"/>
          <w:divBdr>
            <w:top w:val="none" w:sz="0" w:space="0" w:color="auto"/>
            <w:left w:val="none" w:sz="0" w:space="0" w:color="auto"/>
            <w:bottom w:val="none" w:sz="0" w:space="0" w:color="auto"/>
            <w:right w:val="none" w:sz="0" w:space="0" w:color="auto"/>
          </w:divBdr>
        </w:div>
        <w:div w:id="1937248152">
          <w:marLeft w:val="0"/>
          <w:marRight w:val="0"/>
          <w:marTop w:val="0"/>
          <w:marBottom w:val="0"/>
          <w:divBdr>
            <w:top w:val="none" w:sz="0" w:space="0" w:color="auto"/>
            <w:left w:val="none" w:sz="0" w:space="0" w:color="auto"/>
            <w:bottom w:val="none" w:sz="0" w:space="0" w:color="auto"/>
            <w:right w:val="none" w:sz="0" w:space="0" w:color="auto"/>
          </w:divBdr>
        </w:div>
        <w:div w:id="1965694090">
          <w:marLeft w:val="0"/>
          <w:marRight w:val="0"/>
          <w:marTop w:val="0"/>
          <w:marBottom w:val="0"/>
          <w:divBdr>
            <w:top w:val="none" w:sz="0" w:space="0" w:color="auto"/>
            <w:left w:val="none" w:sz="0" w:space="0" w:color="auto"/>
            <w:bottom w:val="none" w:sz="0" w:space="0" w:color="auto"/>
            <w:right w:val="none" w:sz="0" w:space="0" w:color="auto"/>
          </w:divBdr>
        </w:div>
        <w:div w:id="2041200510">
          <w:marLeft w:val="0"/>
          <w:marRight w:val="0"/>
          <w:marTop w:val="0"/>
          <w:marBottom w:val="0"/>
          <w:divBdr>
            <w:top w:val="none" w:sz="0" w:space="0" w:color="auto"/>
            <w:left w:val="none" w:sz="0" w:space="0" w:color="auto"/>
            <w:bottom w:val="none" w:sz="0" w:space="0" w:color="auto"/>
            <w:right w:val="none" w:sz="0" w:space="0" w:color="auto"/>
          </w:divBdr>
        </w:div>
        <w:div w:id="2043826417">
          <w:marLeft w:val="0"/>
          <w:marRight w:val="0"/>
          <w:marTop w:val="0"/>
          <w:marBottom w:val="0"/>
          <w:divBdr>
            <w:top w:val="none" w:sz="0" w:space="0" w:color="auto"/>
            <w:left w:val="none" w:sz="0" w:space="0" w:color="auto"/>
            <w:bottom w:val="none" w:sz="0" w:space="0" w:color="auto"/>
            <w:right w:val="none" w:sz="0" w:space="0" w:color="auto"/>
          </w:divBdr>
        </w:div>
        <w:div w:id="2106924364">
          <w:marLeft w:val="0"/>
          <w:marRight w:val="0"/>
          <w:marTop w:val="0"/>
          <w:marBottom w:val="0"/>
          <w:divBdr>
            <w:top w:val="none" w:sz="0" w:space="0" w:color="auto"/>
            <w:left w:val="none" w:sz="0" w:space="0" w:color="auto"/>
            <w:bottom w:val="none" w:sz="0" w:space="0" w:color="auto"/>
            <w:right w:val="none" w:sz="0" w:space="0" w:color="auto"/>
          </w:divBdr>
        </w:div>
      </w:divsChild>
    </w:div>
    <w:div w:id="1137990615">
      <w:bodyDiv w:val="1"/>
      <w:marLeft w:val="0"/>
      <w:marRight w:val="0"/>
      <w:marTop w:val="0"/>
      <w:marBottom w:val="0"/>
      <w:divBdr>
        <w:top w:val="none" w:sz="0" w:space="0" w:color="auto"/>
        <w:left w:val="none" w:sz="0" w:space="0" w:color="auto"/>
        <w:bottom w:val="none" w:sz="0" w:space="0" w:color="auto"/>
        <w:right w:val="none" w:sz="0" w:space="0" w:color="auto"/>
      </w:divBdr>
    </w:div>
    <w:div w:id="1144616515">
      <w:bodyDiv w:val="1"/>
      <w:marLeft w:val="0"/>
      <w:marRight w:val="0"/>
      <w:marTop w:val="0"/>
      <w:marBottom w:val="0"/>
      <w:divBdr>
        <w:top w:val="none" w:sz="0" w:space="0" w:color="auto"/>
        <w:left w:val="none" w:sz="0" w:space="0" w:color="auto"/>
        <w:bottom w:val="none" w:sz="0" w:space="0" w:color="auto"/>
        <w:right w:val="none" w:sz="0" w:space="0" w:color="auto"/>
      </w:divBdr>
      <w:divsChild>
        <w:div w:id="289895930">
          <w:marLeft w:val="0"/>
          <w:marRight w:val="0"/>
          <w:marTop w:val="0"/>
          <w:marBottom w:val="0"/>
          <w:divBdr>
            <w:top w:val="none" w:sz="0" w:space="0" w:color="auto"/>
            <w:left w:val="none" w:sz="0" w:space="0" w:color="auto"/>
            <w:bottom w:val="none" w:sz="0" w:space="0" w:color="auto"/>
            <w:right w:val="none" w:sz="0" w:space="0" w:color="auto"/>
          </w:divBdr>
        </w:div>
        <w:div w:id="383525452">
          <w:marLeft w:val="0"/>
          <w:marRight w:val="0"/>
          <w:marTop w:val="0"/>
          <w:marBottom w:val="0"/>
          <w:divBdr>
            <w:top w:val="none" w:sz="0" w:space="0" w:color="auto"/>
            <w:left w:val="none" w:sz="0" w:space="0" w:color="auto"/>
            <w:bottom w:val="none" w:sz="0" w:space="0" w:color="auto"/>
            <w:right w:val="none" w:sz="0" w:space="0" w:color="auto"/>
          </w:divBdr>
        </w:div>
        <w:div w:id="476998471">
          <w:marLeft w:val="0"/>
          <w:marRight w:val="0"/>
          <w:marTop w:val="0"/>
          <w:marBottom w:val="0"/>
          <w:divBdr>
            <w:top w:val="none" w:sz="0" w:space="0" w:color="auto"/>
            <w:left w:val="none" w:sz="0" w:space="0" w:color="auto"/>
            <w:bottom w:val="none" w:sz="0" w:space="0" w:color="auto"/>
            <w:right w:val="none" w:sz="0" w:space="0" w:color="auto"/>
          </w:divBdr>
        </w:div>
        <w:div w:id="682704647">
          <w:marLeft w:val="0"/>
          <w:marRight w:val="0"/>
          <w:marTop w:val="0"/>
          <w:marBottom w:val="0"/>
          <w:divBdr>
            <w:top w:val="none" w:sz="0" w:space="0" w:color="auto"/>
            <w:left w:val="none" w:sz="0" w:space="0" w:color="auto"/>
            <w:bottom w:val="none" w:sz="0" w:space="0" w:color="auto"/>
            <w:right w:val="none" w:sz="0" w:space="0" w:color="auto"/>
          </w:divBdr>
        </w:div>
        <w:div w:id="1532302345">
          <w:marLeft w:val="0"/>
          <w:marRight w:val="0"/>
          <w:marTop w:val="0"/>
          <w:marBottom w:val="0"/>
          <w:divBdr>
            <w:top w:val="none" w:sz="0" w:space="0" w:color="auto"/>
            <w:left w:val="none" w:sz="0" w:space="0" w:color="auto"/>
            <w:bottom w:val="none" w:sz="0" w:space="0" w:color="auto"/>
            <w:right w:val="none" w:sz="0" w:space="0" w:color="auto"/>
          </w:divBdr>
        </w:div>
      </w:divsChild>
    </w:div>
    <w:div w:id="14970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yperlink" Target="mailto:public.advisor@cpuc.ca.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efile-help@cpuc.ca.gov" TargetMode="Externa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public.advisor.la@cpuc.ca.gov" TargetMode="Externa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14749</Words>
  <Characters>84073</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98625</CharactersWithSpaces>
  <SharedDoc>false</SharedDoc>
  <HyperlinkBase> </HyperlinkBase>
  <HLinks>
    <vt:vector size="18" baseType="variant">
      <vt:variant>
        <vt:i4>5374011</vt:i4>
      </vt:variant>
      <vt:variant>
        <vt:i4>108</vt:i4>
      </vt:variant>
      <vt:variant>
        <vt:i4>0</vt:i4>
      </vt:variant>
      <vt:variant>
        <vt:i4>5</vt:i4>
      </vt:variant>
      <vt:variant>
        <vt:lpwstr>mailto:public.advisor.la@cpuc.ca.gov</vt:lpwstr>
      </vt:variant>
      <vt:variant>
        <vt:lpwstr/>
      </vt:variant>
      <vt:variant>
        <vt:i4>2359320</vt:i4>
      </vt:variant>
      <vt:variant>
        <vt:i4>105</vt:i4>
      </vt:variant>
      <vt:variant>
        <vt:i4>0</vt:i4>
      </vt:variant>
      <vt:variant>
        <vt:i4>5</vt:i4>
      </vt:variant>
      <vt:variant>
        <vt:lpwstr>mailto:public.advisor@cpuc.ca.gov</vt:lpwstr>
      </vt:variant>
      <vt:variant>
        <vt:lpwstr/>
      </vt:variant>
      <vt:variant>
        <vt:i4>8257606</vt:i4>
      </vt:variant>
      <vt:variant>
        <vt:i4>102</vt:i4>
      </vt:variant>
      <vt:variant>
        <vt:i4>0</vt:i4>
      </vt:variant>
      <vt:variant>
        <vt:i4>5</vt:i4>
      </vt:variant>
      <vt:variant>
        <vt:lpwstr>mailto:efile-help@cpuc.ca.gov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2012-01-09T20:48:00Z</cp:lastPrinted>
  <dcterms:created xsi:type="dcterms:W3CDTF">2014-05-08T17:52:00Z</dcterms:created>
  <dcterms:modified xsi:type="dcterms:W3CDTF">2014-05-08T17:52:00Z</dcterms:modified>
  <cp:category> </cp:category>
  <cp:contentStatus> </cp:contentStatus>
</cp:coreProperties>
</file>