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00A" w:rsidRPr="00425928" w:rsidRDefault="00F5600A">
      <w:pPr>
        <w:pStyle w:val="titlebar"/>
      </w:pPr>
      <w:bookmarkStart w:id="0" w:name="_GoBack"/>
      <w:bookmarkEnd w:id="0"/>
      <w:r w:rsidRPr="00425928">
        <w:t>PUBLIC UTILITIES COMMISSION OF THE STATE OF CALIFORNIA</w:t>
      </w:r>
    </w:p>
    <w:p w:rsidR="0039603C" w:rsidRDefault="00185251" w:rsidP="0039603C">
      <w:pPr>
        <w:suppressAutoHyphens/>
        <w:rPr>
          <w:rFonts w:ascii="Palatino Linotype" w:hAnsi="Palatino Linotype"/>
          <w:b/>
          <w:sz w:val="24"/>
          <w:szCs w:val="24"/>
        </w:rPr>
      </w:pPr>
      <w:r>
        <w:rPr>
          <w:rFonts w:ascii="Palatino Linotype" w:hAnsi="Palatino Linotype"/>
          <w:b/>
          <w:sz w:val="24"/>
          <w:szCs w:val="24"/>
        </w:rPr>
        <w:tab/>
      </w:r>
    </w:p>
    <w:p w:rsidR="00F5600A" w:rsidRPr="00234F5E" w:rsidRDefault="00232DE2">
      <w:pPr>
        <w:suppressAutoHyphens/>
        <w:rPr>
          <w:rFonts w:ascii="Palatino Linotype" w:hAnsi="Palatino Linotype"/>
          <w:b/>
          <w:sz w:val="24"/>
          <w:szCs w:val="24"/>
        </w:rPr>
      </w:pPr>
      <w:r>
        <w:rPr>
          <w:rFonts w:ascii="Palatino Linotype" w:hAnsi="Palatino Linotype"/>
          <w:b/>
          <w:sz w:val="24"/>
          <w:szCs w:val="24"/>
        </w:rPr>
        <w:tab/>
        <w:t xml:space="preserve">  </w:t>
      </w:r>
    </w:p>
    <w:p w:rsidR="00F5600A" w:rsidRPr="0008237E" w:rsidRDefault="00F5600A">
      <w:pPr>
        <w:rPr>
          <w:rFonts w:ascii="Palatino Linotype" w:hAnsi="Palatino Linotype"/>
          <w:b/>
          <w:sz w:val="24"/>
          <w:szCs w:val="24"/>
        </w:rPr>
      </w:pPr>
      <w:r w:rsidRPr="0008237E">
        <w:rPr>
          <w:rFonts w:ascii="Palatino Linotype" w:hAnsi="Palatino Linotype"/>
          <w:b/>
          <w:sz w:val="24"/>
          <w:szCs w:val="24"/>
        </w:rPr>
        <w:t>ENERGY DIVISION</w:t>
      </w:r>
      <w:r w:rsidRPr="00425928">
        <w:rPr>
          <w:rFonts w:ascii="Helvetica" w:hAnsi="Helvetica"/>
          <w:b/>
        </w:rPr>
        <w:tab/>
      </w:r>
      <w:r w:rsidRPr="00425928">
        <w:rPr>
          <w:rFonts w:ascii="Helvetica" w:hAnsi="Helvetica"/>
          <w:b/>
        </w:rPr>
        <w:tab/>
      </w:r>
      <w:r w:rsidRPr="00425928">
        <w:rPr>
          <w:rFonts w:ascii="Helvetica" w:hAnsi="Helvetica"/>
          <w:b/>
        </w:rPr>
        <w:tab/>
      </w:r>
      <w:r w:rsidRPr="00425928">
        <w:rPr>
          <w:rFonts w:ascii="Helvetica" w:hAnsi="Helvetica"/>
          <w:b/>
        </w:rPr>
        <w:tab/>
      </w:r>
      <w:r w:rsidRPr="00425928">
        <w:rPr>
          <w:rFonts w:ascii="Helvetica" w:hAnsi="Helvetica"/>
          <w:b/>
        </w:rPr>
        <w:tab/>
      </w:r>
      <w:r w:rsidR="00185251">
        <w:rPr>
          <w:rFonts w:ascii="Palatino Linotype" w:hAnsi="Palatino Linotype"/>
          <w:b/>
          <w:sz w:val="24"/>
          <w:szCs w:val="24"/>
        </w:rPr>
        <w:t xml:space="preserve">      </w:t>
      </w:r>
      <w:r w:rsidR="0039603C">
        <w:rPr>
          <w:rFonts w:ascii="Palatino Linotype" w:hAnsi="Palatino Linotype"/>
          <w:b/>
          <w:sz w:val="24"/>
          <w:szCs w:val="24"/>
        </w:rPr>
        <w:t xml:space="preserve">            </w:t>
      </w:r>
      <w:r w:rsidR="00185251">
        <w:rPr>
          <w:rFonts w:ascii="Palatino Linotype" w:hAnsi="Palatino Linotype"/>
          <w:b/>
          <w:sz w:val="24"/>
          <w:szCs w:val="24"/>
        </w:rPr>
        <w:t xml:space="preserve"> </w:t>
      </w:r>
      <w:r w:rsidRPr="00A46908">
        <w:rPr>
          <w:rFonts w:ascii="Palatino Linotype" w:hAnsi="Palatino Linotype"/>
          <w:b/>
          <w:sz w:val="24"/>
          <w:szCs w:val="24"/>
        </w:rPr>
        <w:t xml:space="preserve">RESOLUTION </w:t>
      </w:r>
      <w:r w:rsidRPr="000221B1">
        <w:rPr>
          <w:rFonts w:ascii="Palatino Linotype" w:hAnsi="Palatino Linotype"/>
          <w:b/>
          <w:sz w:val="24"/>
          <w:szCs w:val="24"/>
        </w:rPr>
        <w:t>E</w:t>
      </w:r>
      <w:r w:rsidR="00E27FD9" w:rsidRPr="000221B1">
        <w:rPr>
          <w:rFonts w:ascii="Palatino Linotype" w:hAnsi="Palatino Linotype"/>
          <w:b/>
          <w:sz w:val="24"/>
          <w:szCs w:val="24"/>
        </w:rPr>
        <w:t>-</w:t>
      </w:r>
      <w:r w:rsidR="000221B1">
        <w:rPr>
          <w:rFonts w:ascii="Palatino Linotype" w:hAnsi="Palatino Linotype"/>
          <w:b/>
          <w:sz w:val="24"/>
          <w:szCs w:val="24"/>
        </w:rPr>
        <w:t>4655</w:t>
      </w:r>
    </w:p>
    <w:p w:rsidR="00F5600A" w:rsidRPr="0008237E" w:rsidRDefault="00F5600A" w:rsidP="00232DE2">
      <w:pPr>
        <w:ind w:left="1440" w:firstLine="720"/>
        <w:rPr>
          <w:rFonts w:ascii="Palatino Linotype" w:hAnsi="Palatino Linotype"/>
          <w:b/>
          <w:sz w:val="24"/>
          <w:szCs w:val="24"/>
        </w:rPr>
      </w:pPr>
      <w:r>
        <w:rPr>
          <w:rFonts w:ascii="Palatino Linotype" w:hAnsi="Palatino Linotype"/>
          <w:b/>
          <w:sz w:val="24"/>
          <w:szCs w:val="24"/>
        </w:rPr>
        <w:t xml:space="preserve">                                               </w:t>
      </w:r>
      <w:r w:rsidR="0039603C">
        <w:rPr>
          <w:rFonts w:ascii="Palatino Linotype" w:hAnsi="Palatino Linotype"/>
          <w:b/>
          <w:sz w:val="24"/>
          <w:szCs w:val="24"/>
        </w:rPr>
        <w:t xml:space="preserve">                               </w:t>
      </w:r>
      <w:r w:rsidR="00232DE2">
        <w:rPr>
          <w:rFonts w:ascii="Palatino Linotype" w:hAnsi="Palatino Linotype"/>
          <w:b/>
          <w:sz w:val="24"/>
          <w:szCs w:val="24"/>
        </w:rPr>
        <w:t xml:space="preserve"> </w:t>
      </w:r>
      <w:r w:rsidR="00111E67">
        <w:rPr>
          <w:rFonts w:ascii="Palatino Linotype" w:hAnsi="Palatino Linotype"/>
          <w:b/>
          <w:sz w:val="24"/>
          <w:szCs w:val="24"/>
        </w:rPr>
        <w:t>May 15, 2014</w:t>
      </w:r>
    </w:p>
    <w:p w:rsidR="00F5600A" w:rsidRPr="00425928" w:rsidRDefault="00F5600A">
      <w:pPr>
        <w:tabs>
          <w:tab w:val="right" w:pos="8910"/>
        </w:tabs>
        <w:ind w:left="1440" w:firstLine="720"/>
        <w:rPr>
          <w:rFonts w:ascii="Helvetica" w:hAnsi="Helvetica"/>
          <w:b/>
        </w:rPr>
      </w:pPr>
    </w:p>
    <w:p w:rsidR="00F5600A" w:rsidRPr="00425928" w:rsidRDefault="00F5600A" w:rsidP="00F5600A">
      <w:pPr>
        <w:pStyle w:val="mainex"/>
        <w:rPr>
          <w:u w:val="single"/>
        </w:rPr>
      </w:pPr>
      <w:bookmarkStart w:id="1" w:name="_Ref404993683"/>
      <w:r w:rsidRPr="00425928">
        <w:rPr>
          <w:u w:val="single"/>
        </w:rPr>
        <w:t>RESOLUTION</w:t>
      </w:r>
    </w:p>
    <w:p w:rsidR="00F5600A" w:rsidRPr="00600701" w:rsidRDefault="00F5600A">
      <w:pPr>
        <w:rPr>
          <w:rFonts w:ascii="Palatino Linotype" w:hAnsi="Palatino Linotype"/>
        </w:rPr>
      </w:pPr>
    </w:p>
    <w:p w:rsidR="00F5600A" w:rsidRPr="00600701" w:rsidRDefault="00F5600A" w:rsidP="00DA3801">
      <w:pPr>
        <w:pStyle w:val="Res-Caption"/>
        <w:spacing w:after="120"/>
        <w:rPr>
          <w:rFonts w:ascii="Palatino Linotype" w:hAnsi="Palatino Linotype"/>
        </w:rPr>
      </w:pPr>
      <w:r w:rsidRPr="00A37E96">
        <w:rPr>
          <w:rFonts w:ascii="Palatino Linotype" w:hAnsi="Palatino Linotype"/>
          <w:b/>
        </w:rPr>
        <w:t>Resolution E-</w:t>
      </w:r>
      <w:r w:rsidR="006812E3" w:rsidRPr="00A37E96">
        <w:rPr>
          <w:rFonts w:ascii="Palatino Linotype" w:hAnsi="Palatino Linotype"/>
          <w:b/>
        </w:rPr>
        <w:t>4655</w:t>
      </w:r>
      <w:r w:rsidRPr="00A46908">
        <w:rPr>
          <w:rFonts w:ascii="Palatino Linotype" w:hAnsi="Palatino Linotype"/>
        </w:rPr>
        <w:t>.</w:t>
      </w:r>
      <w:r w:rsidR="00BE685E">
        <w:rPr>
          <w:rFonts w:ascii="Palatino Linotype" w:hAnsi="Palatino Linotype"/>
        </w:rPr>
        <w:t xml:space="preserve"> </w:t>
      </w:r>
      <w:r>
        <w:rPr>
          <w:rFonts w:ascii="Palatino Linotype" w:hAnsi="Palatino Linotype"/>
        </w:rPr>
        <w:t xml:space="preserve"> </w:t>
      </w:r>
      <w:r w:rsidR="002F0970">
        <w:rPr>
          <w:rFonts w:ascii="Palatino Linotype" w:hAnsi="Palatino Linotype"/>
        </w:rPr>
        <w:t>Southern California Edison Company, Pacific Gas and Electric Company, and San Diego Gas &amp; Electric Company request modifications</w:t>
      </w:r>
      <w:r w:rsidR="00DA3EF7">
        <w:rPr>
          <w:rFonts w:ascii="Palatino Linotype" w:hAnsi="Palatino Linotype"/>
        </w:rPr>
        <w:t xml:space="preserve"> to t</w:t>
      </w:r>
      <w:r w:rsidR="002F0970">
        <w:rPr>
          <w:rFonts w:ascii="Palatino Linotype" w:hAnsi="Palatino Linotype"/>
        </w:rPr>
        <w:t>he Renewable Auction Mechanism program</w:t>
      </w:r>
      <w:r>
        <w:rPr>
          <w:rFonts w:ascii="Palatino Linotype" w:hAnsi="Palatino Linotype"/>
        </w:rPr>
        <w:t xml:space="preserve">. </w:t>
      </w:r>
    </w:p>
    <w:p w:rsidR="00942BDA" w:rsidRPr="00B95137" w:rsidRDefault="00F5600A" w:rsidP="00A37E96">
      <w:pPr>
        <w:pStyle w:val="Res-Caption"/>
        <w:spacing w:after="120"/>
        <w:rPr>
          <w:rFonts w:ascii="Palatino Linotype" w:hAnsi="Palatino Linotype"/>
        </w:rPr>
      </w:pPr>
      <w:r w:rsidRPr="00A37E96">
        <w:rPr>
          <w:rFonts w:ascii="Palatino Linotype" w:hAnsi="Palatino Linotype"/>
          <w:b/>
        </w:rPr>
        <w:t>PROPOSED OUTCOME</w:t>
      </w:r>
      <w:r w:rsidRPr="00600701">
        <w:rPr>
          <w:rFonts w:ascii="Palatino Linotype" w:hAnsi="Palatino Linotype"/>
        </w:rPr>
        <w:t xml:space="preserve">:  This Resolution approves </w:t>
      </w:r>
      <w:r w:rsidR="002F0970">
        <w:rPr>
          <w:rFonts w:ascii="Palatino Linotype" w:hAnsi="Palatino Linotype"/>
        </w:rPr>
        <w:t>Renewable Auction Mechanism pro forma agreements and protocols for Southern California Edison Company, Pacific Gas and Electric Company, and San Diego Gas &amp; Electric Company with modification</w:t>
      </w:r>
      <w:r>
        <w:rPr>
          <w:rFonts w:ascii="Palatino Linotype" w:hAnsi="Palatino Linotype"/>
        </w:rPr>
        <w:t xml:space="preserve">. </w:t>
      </w:r>
    </w:p>
    <w:p w:rsidR="002F0970" w:rsidRDefault="00A110AB" w:rsidP="00A37E96">
      <w:pPr>
        <w:pStyle w:val="Res-Caption"/>
        <w:spacing w:after="120"/>
        <w:rPr>
          <w:rFonts w:ascii="Palatino Linotype" w:hAnsi="Palatino Linotype" w:cs="BookAntiqua"/>
          <w:szCs w:val="26"/>
        </w:rPr>
      </w:pPr>
      <w:r w:rsidRPr="00A37E96">
        <w:rPr>
          <w:rFonts w:ascii="Palatino Linotype" w:hAnsi="Palatino Linotype"/>
          <w:b/>
        </w:rPr>
        <w:t>SAFETY CONSIDERATIONS</w:t>
      </w:r>
      <w:r>
        <w:rPr>
          <w:rFonts w:ascii="Palatino Linotype" w:hAnsi="Palatino Linotype"/>
        </w:rPr>
        <w:t xml:space="preserve">: </w:t>
      </w:r>
      <w:r w:rsidRPr="00D4452B">
        <w:rPr>
          <w:rFonts w:ascii="Palatino Linotype" w:hAnsi="Palatino Linotype"/>
        </w:rPr>
        <w:t xml:space="preserve">This </w:t>
      </w:r>
      <w:r w:rsidR="00D4452B">
        <w:rPr>
          <w:rFonts w:ascii="Palatino Linotype" w:hAnsi="Palatino Linotype"/>
        </w:rPr>
        <w:t>R</w:t>
      </w:r>
      <w:r w:rsidRPr="00D4452B">
        <w:rPr>
          <w:rFonts w:ascii="Palatino Linotype" w:hAnsi="Palatino Linotype"/>
        </w:rPr>
        <w:t xml:space="preserve">esolution approves </w:t>
      </w:r>
      <w:r w:rsidR="009C0B5C">
        <w:rPr>
          <w:rFonts w:ascii="Palatino Linotype" w:hAnsi="Palatino Linotype"/>
        </w:rPr>
        <w:t xml:space="preserve">revised </w:t>
      </w:r>
      <w:r w:rsidRPr="00D4452B">
        <w:rPr>
          <w:rFonts w:ascii="Palatino Linotype" w:hAnsi="Palatino Linotype"/>
        </w:rPr>
        <w:t>pro forma power purchase agreements and solicitation protocols that contain provisions requiring the seller to comply with all applicable requirements of law relating to the projects including those related to planning, construction, ownership, and/or operation of the projects. As a result, there are not any expected incremental safety implications associated with approval of this resolution.</w:t>
      </w:r>
    </w:p>
    <w:p w:rsidR="002B4D65" w:rsidRDefault="00E4731F" w:rsidP="00A37E96">
      <w:pPr>
        <w:pStyle w:val="Res-Caption"/>
        <w:spacing w:after="120"/>
        <w:rPr>
          <w:rFonts w:ascii="Palatino Linotype" w:hAnsi="Palatino Linotype"/>
        </w:rPr>
      </w:pPr>
      <w:r w:rsidRPr="00A37E96">
        <w:rPr>
          <w:rFonts w:ascii="Palatino Linotype" w:hAnsi="Palatino Linotype"/>
          <w:b/>
        </w:rPr>
        <w:t>ESTIMATED COST</w:t>
      </w:r>
      <w:r w:rsidRPr="006959E1">
        <w:rPr>
          <w:rFonts w:ascii="Palatino Linotype" w:hAnsi="Palatino Linotype"/>
        </w:rPr>
        <w:t xml:space="preserve">: </w:t>
      </w:r>
      <w:r w:rsidR="00BE685E" w:rsidRPr="006959E1">
        <w:rPr>
          <w:rFonts w:ascii="Palatino Linotype" w:hAnsi="Palatino Linotype"/>
        </w:rPr>
        <w:t xml:space="preserve"> </w:t>
      </w:r>
      <w:r w:rsidR="000C5EDF" w:rsidRPr="006959E1">
        <w:rPr>
          <w:rFonts w:ascii="Palatino Linotype" w:hAnsi="Palatino Linotype"/>
        </w:rPr>
        <w:t xml:space="preserve">There are no expected costs associated with the changes made </w:t>
      </w:r>
      <w:r w:rsidR="006426B7" w:rsidRPr="006959E1">
        <w:rPr>
          <w:rFonts w:ascii="Palatino Linotype" w:hAnsi="Palatino Linotype"/>
        </w:rPr>
        <w:t>to the Renewable Auction Mechanism adopted by this Resolution</w:t>
      </w:r>
      <w:r w:rsidRPr="006959E1">
        <w:rPr>
          <w:rFonts w:ascii="Palatino Linotype" w:hAnsi="Palatino Linotype"/>
        </w:rPr>
        <w:t>.</w:t>
      </w:r>
    </w:p>
    <w:p w:rsidR="00F5600A" w:rsidRPr="00600701" w:rsidRDefault="00DA3EF7">
      <w:pPr>
        <w:pStyle w:val="Res-Caption"/>
        <w:rPr>
          <w:rFonts w:ascii="Palatino Linotype" w:hAnsi="Palatino Linotype"/>
        </w:rPr>
      </w:pPr>
      <w:r>
        <w:rPr>
          <w:rFonts w:ascii="Palatino Linotype" w:hAnsi="Palatino Linotype"/>
        </w:rPr>
        <w:t>By</w:t>
      </w:r>
      <w:r w:rsidR="00F5600A" w:rsidRPr="00A46908">
        <w:rPr>
          <w:rFonts w:ascii="Palatino Linotype" w:hAnsi="Palatino Linotype"/>
        </w:rPr>
        <w:t xml:space="preserve"> </w:t>
      </w:r>
      <w:r w:rsidR="007E44F2">
        <w:rPr>
          <w:rFonts w:ascii="Palatino Linotype" w:hAnsi="Palatino Linotype"/>
        </w:rPr>
        <w:t>Southern California Edison</w:t>
      </w:r>
      <w:r w:rsidR="00B364F1">
        <w:rPr>
          <w:rFonts w:ascii="Palatino Linotype" w:hAnsi="Palatino Linotype"/>
        </w:rPr>
        <w:t xml:space="preserve"> Company</w:t>
      </w:r>
      <w:r w:rsidR="007E44F2">
        <w:rPr>
          <w:rFonts w:ascii="Palatino Linotype" w:hAnsi="Palatino Linotype"/>
        </w:rPr>
        <w:t>’</w:t>
      </w:r>
      <w:r w:rsidR="00111E67">
        <w:rPr>
          <w:rFonts w:ascii="Palatino Linotype" w:hAnsi="Palatino Linotype"/>
        </w:rPr>
        <w:t>s A</w:t>
      </w:r>
      <w:r w:rsidR="00F5600A" w:rsidRPr="00A46908">
        <w:rPr>
          <w:rFonts w:ascii="Palatino Linotype" w:hAnsi="Palatino Linotype"/>
        </w:rPr>
        <w:t xml:space="preserve">dvice </w:t>
      </w:r>
      <w:r w:rsidR="00111E67">
        <w:rPr>
          <w:rFonts w:ascii="Palatino Linotype" w:hAnsi="Palatino Linotype"/>
        </w:rPr>
        <w:t>L</w:t>
      </w:r>
      <w:r w:rsidR="00F5600A" w:rsidRPr="00A46908">
        <w:rPr>
          <w:rFonts w:ascii="Palatino Linotype" w:hAnsi="Palatino Linotype"/>
        </w:rPr>
        <w:t xml:space="preserve">etter </w:t>
      </w:r>
      <w:r w:rsidR="00111E67">
        <w:rPr>
          <w:rFonts w:ascii="Palatino Linotype" w:hAnsi="Palatino Linotype"/>
        </w:rPr>
        <w:t>3003</w:t>
      </w:r>
      <w:r w:rsidR="00F5600A" w:rsidRPr="00A46908">
        <w:rPr>
          <w:rFonts w:ascii="Palatino Linotype" w:hAnsi="Palatino Linotype"/>
        </w:rPr>
        <w:t xml:space="preserve">-E filed </w:t>
      </w:r>
      <w:r w:rsidR="00111E67">
        <w:rPr>
          <w:rFonts w:ascii="Palatino Linotype" w:hAnsi="Palatino Linotype"/>
        </w:rPr>
        <w:t>February 7, 2014</w:t>
      </w:r>
      <w:r w:rsidR="007E44F2">
        <w:rPr>
          <w:rFonts w:ascii="Palatino Linotype" w:hAnsi="Palatino Linotype"/>
        </w:rPr>
        <w:t xml:space="preserve">; </w:t>
      </w:r>
      <w:r w:rsidR="0061183E" w:rsidRPr="0061183E">
        <w:rPr>
          <w:rFonts w:ascii="Palatino Linotype" w:hAnsi="Palatino Linotype"/>
        </w:rPr>
        <w:t xml:space="preserve">Pacific Gas and Electric Company’s Advice Letter 4365-E filed </w:t>
      </w:r>
      <w:r w:rsidR="0061183E">
        <w:rPr>
          <w:rFonts w:ascii="Palatino Linotype" w:hAnsi="Palatino Linotype"/>
        </w:rPr>
        <w:t xml:space="preserve">February 27, 2014; and </w:t>
      </w:r>
      <w:r w:rsidR="007E44F2">
        <w:rPr>
          <w:rFonts w:ascii="Palatino Linotype" w:hAnsi="Palatino Linotype"/>
        </w:rPr>
        <w:t xml:space="preserve">San Diego Gas </w:t>
      </w:r>
      <w:r w:rsidR="00751DC5">
        <w:rPr>
          <w:rFonts w:ascii="Palatino Linotype" w:hAnsi="Palatino Linotype"/>
        </w:rPr>
        <w:t xml:space="preserve">&amp; </w:t>
      </w:r>
      <w:r w:rsidR="007E44F2">
        <w:rPr>
          <w:rFonts w:ascii="Palatino Linotype" w:hAnsi="Palatino Linotype"/>
        </w:rPr>
        <w:t>Electric</w:t>
      </w:r>
      <w:r w:rsidR="00B364F1">
        <w:rPr>
          <w:rFonts w:ascii="Palatino Linotype" w:hAnsi="Palatino Linotype"/>
        </w:rPr>
        <w:t xml:space="preserve"> Company’</w:t>
      </w:r>
      <w:r w:rsidR="00B364F1" w:rsidRPr="00A46908">
        <w:rPr>
          <w:rFonts w:ascii="Palatino Linotype" w:hAnsi="Palatino Linotype"/>
        </w:rPr>
        <w:t>s</w:t>
      </w:r>
      <w:r w:rsidR="00111E67">
        <w:rPr>
          <w:rFonts w:ascii="Palatino Linotype" w:hAnsi="Palatino Linotype"/>
        </w:rPr>
        <w:t xml:space="preserve"> Advice L</w:t>
      </w:r>
      <w:r w:rsidR="007E44F2">
        <w:rPr>
          <w:rFonts w:ascii="Palatino Linotype" w:hAnsi="Palatino Linotype"/>
        </w:rPr>
        <w:t xml:space="preserve">etter </w:t>
      </w:r>
      <w:r w:rsidR="00231952" w:rsidRPr="00231952">
        <w:rPr>
          <w:rFonts w:ascii="Palatino Linotype" w:hAnsi="Palatino Linotype"/>
        </w:rPr>
        <w:t>2580</w:t>
      </w:r>
      <w:r w:rsidR="0061183E" w:rsidRPr="00231952">
        <w:rPr>
          <w:rFonts w:ascii="Palatino Linotype" w:hAnsi="Palatino Linotype"/>
        </w:rPr>
        <w:t xml:space="preserve">-E filed </w:t>
      </w:r>
      <w:r w:rsidR="0061183E">
        <w:rPr>
          <w:rFonts w:ascii="Palatino Linotype" w:hAnsi="Palatino Linotype"/>
        </w:rPr>
        <w:t>February 28, 201</w:t>
      </w:r>
      <w:r w:rsidR="00231952">
        <w:rPr>
          <w:rFonts w:ascii="Palatino Linotype" w:hAnsi="Palatino Linotype"/>
        </w:rPr>
        <w:t>4</w:t>
      </w:r>
      <w:r w:rsidR="007E44F2">
        <w:rPr>
          <w:rFonts w:ascii="Palatino Linotype" w:hAnsi="Palatino Linotype"/>
        </w:rPr>
        <w:t>.</w:t>
      </w:r>
      <w:r w:rsidR="00BE685E">
        <w:rPr>
          <w:rFonts w:ascii="Palatino Linotype" w:hAnsi="Palatino Linotype"/>
        </w:rPr>
        <w:t xml:space="preserve"> </w:t>
      </w:r>
      <w:r w:rsidR="00F5600A" w:rsidRPr="00A46908">
        <w:rPr>
          <w:rFonts w:ascii="Palatino Linotype" w:hAnsi="Palatino Linotype"/>
        </w:rPr>
        <w:t xml:space="preserve"> </w:t>
      </w:r>
    </w:p>
    <w:p w:rsidR="00F5600A" w:rsidRPr="00600701" w:rsidRDefault="00F5600A">
      <w:pPr>
        <w:jc w:val="center"/>
        <w:rPr>
          <w:rFonts w:ascii="Palatino Linotype" w:hAnsi="Palatino Linotype"/>
        </w:rPr>
      </w:pPr>
      <w:r w:rsidRPr="00600701">
        <w:rPr>
          <w:rFonts w:ascii="Palatino Linotype" w:hAnsi="Palatino Linotype"/>
        </w:rPr>
        <w:t>__________________________________________________________</w:t>
      </w:r>
    </w:p>
    <w:p w:rsidR="00F5600A" w:rsidRDefault="00F5600A">
      <w:pPr>
        <w:rPr>
          <w:rFonts w:ascii="Palatino Linotype" w:hAnsi="Palatino Linotype"/>
          <w:b/>
        </w:rPr>
      </w:pPr>
    </w:p>
    <w:p w:rsidR="00F5600A" w:rsidRPr="00425928" w:rsidRDefault="00F5600A" w:rsidP="00F5600A">
      <w:pPr>
        <w:pStyle w:val="Heading1"/>
        <w:spacing w:before="0" w:after="120"/>
        <w:rPr>
          <w:rFonts w:ascii="Palatino Linotype" w:hAnsi="Palatino Linotype"/>
        </w:rPr>
      </w:pPr>
      <w:r w:rsidRPr="00600701">
        <w:lastRenderedPageBreak/>
        <w:t>Summary</w:t>
      </w:r>
      <w:bookmarkEnd w:id="1"/>
    </w:p>
    <w:p w:rsidR="00F5600A" w:rsidRDefault="00F5600A" w:rsidP="00185251">
      <w:pPr>
        <w:spacing w:after="120"/>
        <w:rPr>
          <w:rFonts w:ascii="Palatino Linotype" w:hAnsi="Palatino Linotype"/>
        </w:rPr>
      </w:pPr>
      <w:r>
        <w:rPr>
          <w:rFonts w:ascii="Palatino Linotype" w:hAnsi="Palatino Linotype"/>
        </w:rPr>
        <w:t>This R</w:t>
      </w:r>
      <w:r w:rsidRPr="00600701">
        <w:rPr>
          <w:rFonts w:ascii="Palatino Linotype" w:hAnsi="Palatino Linotype"/>
        </w:rPr>
        <w:t>esolution implements changes</w:t>
      </w:r>
      <w:r>
        <w:rPr>
          <w:rFonts w:ascii="Palatino Linotype" w:hAnsi="Palatino Linotype"/>
        </w:rPr>
        <w:t xml:space="preserve"> to the Renewable Auction Mechanism (RAM) for the three investor-owned utilities (IOUs):</w:t>
      </w:r>
      <w:r w:rsidR="007478FA">
        <w:rPr>
          <w:rFonts w:ascii="Palatino Linotype" w:hAnsi="Palatino Linotype"/>
        </w:rPr>
        <w:t xml:space="preserve"> </w:t>
      </w:r>
      <w:r>
        <w:rPr>
          <w:rFonts w:ascii="Palatino Linotype" w:hAnsi="Palatino Linotype"/>
        </w:rPr>
        <w:t xml:space="preserve"> </w:t>
      </w:r>
      <w:r w:rsidR="00E233D9">
        <w:rPr>
          <w:rFonts w:ascii="Palatino Linotype" w:hAnsi="Palatino Linotype"/>
        </w:rPr>
        <w:t xml:space="preserve">Southern California Edison Company (SCE), </w:t>
      </w:r>
      <w:r>
        <w:rPr>
          <w:rFonts w:ascii="Palatino Linotype" w:hAnsi="Palatino Linotype"/>
        </w:rPr>
        <w:t>Pacific Gas and Electric</w:t>
      </w:r>
      <w:r w:rsidR="005D45FA">
        <w:rPr>
          <w:rFonts w:ascii="Palatino Linotype" w:hAnsi="Palatino Linotype"/>
        </w:rPr>
        <w:t xml:space="preserve"> Company</w:t>
      </w:r>
      <w:r>
        <w:rPr>
          <w:rFonts w:ascii="Palatino Linotype" w:hAnsi="Palatino Linotype"/>
        </w:rPr>
        <w:t xml:space="preserve"> (PG&amp;E), and </w:t>
      </w:r>
      <w:r w:rsidR="00000FAC">
        <w:rPr>
          <w:rFonts w:ascii="Palatino Linotype" w:hAnsi="Palatino Linotype"/>
        </w:rPr>
        <w:br/>
      </w:r>
      <w:r>
        <w:rPr>
          <w:rFonts w:ascii="Palatino Linotype" w:hAnsi="Palatino Linotype"/>
        </w:rPr>
        <w:t xml:space="preserve">San Diego Gas </w:t>
      </w:r>
      <w:r w:rsidR="00B364F1">
        <w:rPr>
          <w:rFonts w:ascii="Palatino Linotype" w:hAnsi="Palatino Linotype"/>
        </w:rPr>
        <w:t xml:space="preserve">&amp; </w:t>
      </w:r>
      <w:r>
        <w:rPr>
          <w:rFonts w:ascii="Palatino Linotype" w:hAnsi="Palatino Linotype"/>
        </w:rPr>
        <w:t xml:space="preserve">Electric Company (SDG&amp;E). </w:t>
      </w:r>
      <w:r w:rsidR="006426B7">
        <w:rPr>
          <w:rFonts w:ascii="Palatino Linotype" w:hAnsi="Palatino Linotype"/>
        </w:rPr>
        <w:t xml:space="preserve"> </w:t>
      </w:r>
    </w:p>
    <w:p w:rsidR="00135BEE" w:rsidRDefault="00F5600A" w:rsidP="00185251">
      <w:pPr>
        <w:spacing w:after="120"/>
        <w:rPr>
          <w:rFonts w:ascii="Palatino Linotype" w:hAnsi="Palatino Linotype"/>
        </w:rPr>
      </w:pPr>
      <w:r w:rsidRPr="007036B4">
        <w:rPr>
          <w:rFonts w:ascii="Palatino Linotype" w:hAnsi="Palatino Linotype"/>
        </w:rPr>
        <w:t xml:space="preserve">This Resolution </w:t>
      </w:r>
      <w:r w:rsidR="00BE28F8" w:rsidRPr="007036B4">
        <w:rPr>
          <w:rFonts w:ascii="Palatino Linotype" w:hAnsi="Palatino Linotype"/>
        </w:rPr>
        <w:t>approves</w:t>
      </w:r>
      <w:r w:rsidRPr="007036B4">
        <w:rPr>
          <w:rFonts w:ascii="Palatino Linotype" w:hAnsi="Palatino Linotype"/>
        </w:rPr>
        <w:t xml:space="preserve"> </w:t>
      </w:r>
      <w:r w:rsidR="00276B23" w:rsidRPr="007036B4">
        <w:rPr>
          <w:rFonts w:ascii="Palatino Linotype" w:hAnsi="Palatino Linotype"/>
        </w:rPr>
        <w:t xml:space="preserve">in part, and denies in part, SCE’s advice letter </w:t>
      </w:r>
      <w:r w:rsidR="00B04AEC" w:rsidRPr="007036B4">
        <w:rPr>
          <w:rFonts w:ascii="Palatino Linotype" w:hAnsi="Palatino Linotype"/>
        </w:rPr>
        <w:t>3003</w:t>
      </w:r>
      <w:r w:rsidR="00276B23" w:rsidRPr="007036B4">
        <w:rPr>
          <w:rFonts w:ascii="Palatino Linotype" w:hAnsi="Palatino Linotype"/>
        </w:rPr>
        <w:t xml:space="preserve">-E and PG&amp;E’s advice letter </w:t>
      </w:r>
      <w:r w:rsidR="0061183E" w:rsidRPr="007036B4">
        <w:rPr>
          <w:rFonts w:ascii="Palatino Linotype" w:hAnsi="Palatino Linotype"/>
        </w:rPr>
        <w:t>4365</w:t>
      </w:r>
      <w:r w:rsidRPr="007036B4">
        <w:rPr>
          <w:rFonts w:ascii="Palatino Linotype" w:hAnsi="Palatino Linotype"/>
        </w:rPr>
        <w:t>-E</w:t>
      </w:r>
      <w:r w:rsidR="007036B4" w:rsidRPr="007036B4">
        <w:rPr>
          <w:rFonts w:ascii="Palatino Linotype" w:hAnsi="Palatino Linotype"/>
        </w:rPr>
        <w:t>, and approves SDG&amp;E’s advice letter 2580-E</w:t>
      </w:r>
      <w:r w:rsidR="00276B23" w:rsidRPr="007036B4">
        <w:rPr>
          <w:rFonts w:ascii="Palatino Linotype" w:hAnsi="Palatino Linotype"/>
        </w:rPr>
        <w:t>.</w:t>
      </w:r>
      <w:r w:rsidR="007478FA" w:rsidRPr="007036B4">
        <w:rPr>
          <w:rFonts w:ascii="Palatino Linotype" w:hAnsi="Palatino Linotype"/>
        </w:rPr>
        <w:t xml:space="preserve"> </w:t>
      </w:r>
      <w:r w:rsidR="00276B23" w:rsidRPr="007036B4">
        <w:rPr>
          <w:rFonts w:ascii="Palatino Linotype" w:hAnsi="Palatino Linotype"/>
        </w:rPr>
        <w:t xml:space="preserve"> </w:t>
      </w:r>
      <w:r w:rsidR="00DD1C0E" w:rsidRPr="007036B4">
        <w:rPr>
          <w:rFonts w:ascii="Palatino Linotype" w:hAnsi="Palatino Linotype"/>
        </w:rPr>
        <w:t xml:space="preserve">The approved substantive </w:t>
      </w:r>
      <w:r w:rsidR="007036B4" w:rsidRPr="007036B4">
        <w:rPr>
          <w:rFonts w:ascii="Palatino Linotype" w:hAnsi="Palatino Linotype"/>
        </w:rPr>
        <w:t xml:space="preserve">and non-substantive </w:t>
      </w:r>
      <w:r w:rsidR="00DD1C0E" w:rsidRPr="007036B4">
        <w:rPr>
          <w:rFonts w:ascii="Palatino Linotype" w:hAnsi="Palatino Linotype"/>
        </w:rPr>
        <w:t xml:space="preserve">changes shall apply only to the specific terms </w:t>
      </w:r>
      <w:r w:rsidR="006959E1">
        <w:rPr>
          <w:rFonts w:ascii="Palatino Linotype" w:hAnsi="Palatino Linotype"/>
        </w:rPr>
        <w:t>requested</w:t>
      </w:r>
      <w:r w:rsidR="00DD1C0E" w:rsidRPr="007036B4">
        <w:rPr>
          <w:rFonts w:ascii="Palatino Linotype" w:hAnsi="Palatino Linotype"/>
        </w:rPr>
        <w:t xml:space="preserve"> by the utility filing the modification</w:t>
      </w:r>
      <w:r w:rsidR="007036B4">
        <w:rPr>
          <w:rFonts w:ascii="Palatino Linotype" w:hAnsi="Palatino Linotype"/>
        </w:rPr>
        <w:t>, unless stated otherwise</w:t>
      </w:r>
      <w:r w:rsidR="00DD1C0E" w:rsidRPr="007036B4">
        <w:rPr>
          <w:rFonts w:ascii="Palatino Linotype" w:hAnsi="Palatino Linotype"/>
        </w:rPr>
        <w:t>.</w:t>
      </w:r>
      <w:r w:rsidR="00DD1C0E">
        <w:rPr>
          <w:rFonts w:ascii="Palatino Linotype" w:hAnsi="Palatino Linotype"/>
        </w:rPr>
        <w:t xml:space="preserve"> </w:t>
      </w:r>
      <w:r w:rsidR="007478FA">
        <w:rPr>
          <w:rFonts w:ascii="Palatino Linotype" w:hAnsi="Palatino Linotype"/>
        </w:rPr>
        <w:t xml:space="preserve"> </w:t>
      </w:r>
    </w:p>
    <w:p w:rsidR="00140393" w:rsidRDefault="00140393" w:rsidP="002B4D65">
      <w:pPr>
        <w:spacing w:after="240"/>
        <w:rPr>
          <w:rFonts w:ascii="Palatino Linotype" w:hAnsi="Palatino Linotype"/>
        </w:rPr>
      </w:pPr>
      <w:r>
        <w:rPr>
          <w:rFonts w:ascii="Palatino Linotype" w:hAnsi="Palatino Linotype"/>
        </w:rPr>
        <w:t xml:space="preserve">Within </w:t>
      </w:r>
      <w:r w:rsidR="00111E67">
        <w:rPr>
          <w:rFonts w:ascii="Palatino Linotype" w:hAnsi="Palatino Linotype"/>
        </w:rPr>
        <w:t>14</w:t>
      </w:r>
      <w:r>
        <w:rPr>
          <w:rFonts w:ascii="Palatino Linotype" w:hAnsi="Palatino Linotype"/>
        </w:rPr>
        <w:t xml:space="preserve"> days of the effective date of this </w:t>
      </w:r>
      <w:r w:rsidR="00B364F1">
        <w:rPr>
          <w:rFonts w:ascii="Palatino Linotype" w:hAnsi="Palatino Linotype"/>
        </w:rPr>
        <w:t>R</w:t>
      </w:r>
      <w:r>
        <w:rPr>
          <w:rFonts w:ascii="Palatino Linotype" w:hAnsi="Palatino Linotype"/>
        </w:rPr>
        <w:t xml:space="preserve">esolution, </w:t>
      </w:r>
      <w:r w:rsidR="00E233D9">
        <w:rPr>
          <w:rFonts w:ascii="Palatino Linotype" w:hAnsi="Palatino Linotype"/>
        </w:rPr>
        <w:t xml:space="preserve">SCE, </w:t>
      </w:r>
      <w:r w:rsidR="005D45FA">
        <w:rPr>
          <w:rFonts w:ascii="Palatino Linotype" w:hAnsi="Palatino Linotype"/>
        </w:rPr>
        <w:t>PG&amp;E, and SDG&amp;E</w:t>
      </w:r>
      <w:r>
        <w:rPr>
          <w:rFonts w:ascii="Palatino Linotype" w:hAnsi="Palatino Linotype"/>
        </w:rPr>
        <w:t xml:space="preserve"> shall </w:t>
      </w:r>
      <w:r w:rsidR="00DD1C0E">
        <w:rPr>
          <w:rFonts w:ascii="Palatino Linotype" w:hAnsi="Palatino Linotype"/>
        </w:rPr>
        <w:t xml:space="preserve">each </w:t>
      </w:r>
      <w:r>
        <w:rPr>
          <w:rFonts w:ascii="Palatino Linotype" w:hAnsi="Palatino Linotype"/>
        </w:rPr>
        <w:t xml:space="preserve">file a Tier 1 advice letter with the Energy Division demonstrating compliance with the </w:t>
      </w:r>
      <w:r w:rsidR="007036B4">
        <w:rPr>
          <w:rFonts w:ascii="Palatino Linotype" w:hAnsi="Palatino Linotype"/>
        </w:rPr>
        <w:t>modifications</w:t>
      </w:r>
      <w:r>
        <w:rPr>
          <w:rFonts w:ascii="Palatino Linotype" w:hAnsi="Palatino Linotype"/>
        </w:rPr>
        <w:t xml:space="preserve"> </w:t>
      </w:r>
      <w:r w:rsidR="00DD1C0E">
        <w:rPr>
          <w:rFonts w:ascii="Palatino Linotype" w:hAnsi="Palatino Linotype"/>
        </w:rPr>
        <w:t>approved</w:t>
      </w:r>
      <w:r>
        <w:rPr>
          <w:rFonts w:ascii="Palatino Linotype" w:hAnsi="Palatino Linotype"/>
        </w:rPr>
        <w:t xml:space="preserve"> in this </w:t>
      </w:r>
      <w:r w:rsidR="00B364F1">
        <w:rPr>
          <w:rFonts w:ascii="Palatino Linotype" w:hAnsi="Palatino Linotype"/>
        </w:rPr>
        <w:t>R</w:t>
      </w:r>
      <w:r>
        <w:rPr>
          <w:rFonts w:ascii="Palatino Linotype" w:hAnsi="Palatino Linotype"/>
        </w:rPr>
        <w:t xml:space="preserve">esolution. </w:t>
      </w:r>
    </w:p>
    <w:p w:rsidR="00F5600A" w:rsidRPr="00425928" w:rsidRDefault="00F5600A" w:rsidP="007E05B6">
      <w:pPr>
        <w:pStyle w:val="Heading1"/>
        <w:spacing w:before="0" w:after="120"/>
        <w:rPr>
          <w:rFonts w:ascii="Palatino Linotype" w:hAnsi="Palatino Linotype"/>
        </w:rPr>
      </w:pPr>
      <w:r w:rsidRPr="00600701">
        <w:t>Background</w:t>
      </w:r>
    </w:p>
    <w:p w:rsidR="00F5600A" w:rsidRDefault="00E652EF" w:rsidP="00185251">
      <w:pPr>
        <w:spacing w:after="120"/>
        <w:rPr>
          <w:rFonts w:ascii="Palatino Linotype" w:hAnsi="Palatino Linotype" w:cs="BookAntiqua"/>
          <w:szCs w:val="26"/>
        </w:rPr>
      </w:pPr>
      <w:r w:rsidRPr="00F43342">
        <w:rPr>
          <w:rFonts w:ascii="Palatino Linotype" w:hAnsi="Palatino Linotype" w:cs="BookAntiqua"/>
          <w:szCs w:val="26"/>
        </w:rPr>
        <w:t>In Decision (D.) 10-12-048 (the Decision or</w:t>
      </w:r>
      <w:r>
        <w:rPr>
          <w:rFonts w:ascii="Palatino Linotype" w:hAnsi="Palatino Linotype" w:cs="BookAntiqua"/>
          <w:szCs w:val="26"/>
        </w:rPr>
        <w:t xml:space="preserve"> </w:t>
      </w:r>
      <w:r w:rsidRPr="00F43342">
        <w:rPr>
          <w:rFonts w:ascii="Palatino Linotype" w:hAnsi="Palatino Linotype" w:cs="BookAntiqua"/>
          <w:szCs w:val="26"/>
        </w:rPr>
        <w:t>RAM Decision), the California Public Utilities Commission (Commission) adopted a two-year program called the Renewable Auction Mechanism (RAM) with the purpose of lowering</w:t>
      </w:r>
      <w:r>
        <w:rPr>
          <w:rFonts w:ascii="Palatino Linotype" w:hAnsi="Palatino Linotype" w:cs="BookAntiqua"/>
          <w:szCs w:val="26"/>
        </w:rPr>
        <w:t xml:space="preserve"> </w:t>
      </w:r>
      <w:r w:rsidRPr="00F43342">
        <w:rPr>
          <w:rFonts w:ascii="Palatino Linotype" w:hAnsi="Palatino Linotype" w:cs="BookAntiqua"/>
          <w:szCs w:val="26"/>
        </w:rPr>
        <w:t>transaction costs and promoting the development of system-side renewable</w:t>
      </w:r>
      <w:r>
        <w:rPr>
          <w:rFonts w:ascii="Palatino Linotype" w:hAnsi="Palatino Linotype" w:cs="BookAntiqua"/>
          <w:szCs w:val="26"/>
        </w:rPr>
        <w:t xml:space="preserve"> </w:t>
      </w:r>
      <w:r w:rsidRPr="00F43342">
        <w:rPr>
          <w:rFonts w:ascii="Palatino Linotype" w:hAnsi="Palatino Linotype" w:cs="BookAntiqua"/>
          <w:szCs w:val="26"/>
        </w:rPr>
        <w:t>distributed generation.</w:t>
      </w:r>
      <w:r>
        <w:rPr>
          <w:rFonts w:ascii="Palatino Linotype" w:hAnsi="Palatino Linotype" w:cs="BookAntiqua"/>
          <w:szCs w:val="26"/>
        </w:rPr>
        <w:t xml:space="preserve">  </w:t>
      </w:r>
      <w:r w:rsidRPr="00F43342">
        <w:rPr>
          <w:rFonts w:ascii="Palatino Linotype" w:hAnsi="Palatino Linotype" w:cs="BookAntiqua"/>
          <w:szCs w:val="26"/>
        </w:rPr>
        <w:t>The</w:t>
      </w:r>
      <w:r>
        <w:rPr>
          <w:rFonts w:ascii="Palatino Linotype" w:hAnsi="Palatino Linotype" w:cs="BookAntiqua"/>
          <w:szCs w:val="26"/>
        </w:rPr>
        <w:t xml:space="preserve"> </w:t>
      </w:r>
      <w:r w:rsidRPr="00F43342">
        <w:rPr>
          <w:rFonts w:ascii="Palatino Linotype" w:hAnsi="Palatino Linotype" w:cs="BookAntiqua"/>
          <w:szCs w:val="26"/>
        </w:rPr>
        <w:t>Decision ordered the</w:t>
      </w:r>
      <w:r>
        <w:rPr>
          <w:rFonts w:ascii="Palatino Linotype" w:hAnsi="Palatino Linotype" w:cs="BookAntiqua"/>
          <w:szCs w:val="26"/>
        </w:rPr>
        <w:t xml:space="preserve"> investor-owned utilities (</w:t>
      </w:r>
      <w:r w:rsidRPr="00F43342">
        <w:rPr>
          <w:rFonts w:ascii="Palatino Linotype" w:hAnsi="Palatino Linotype" w:cs="BookAntiqua"/>
          <w:szCs w:val="26"/>
        </w:rPr>
        <w:t>IOUs</w:t>
      </w:r>
      <w:r>
        <w:rPr>
          <w:rFonts w:ascii="Palatino Linotype" w:hAnsi="Palatino Linotype" w:cs="BookAntiqua"/>
          <w:szCs w:val="26"/>
        </w:rPr>
        <w:t>)</w:t>
      </w:r>
      <w:r w:rsidRPr="00F43342">
        <w:rPr>
          <w:rFonts w:ascii="Palatino Linotype" w:hAnsi="Palatino Linotype" w:cs="BookAntiqua"/>
          <w:szCs w:val="26"/>
        </w:rPr>
        <w:t xml:space="preserve"> to procure up to 1,000 megawatts (MW) of system</w:t>
      </w:r>
      <w:r>
        <w:rPr>
          <w:rFonts w:ascii="Palatino Linotype" w:hAnsi="Palatino Linotype" w:cs="BookAntiqua"/>
          <w:szCs w:val="26"/>
        </w:rPr>
        <w:t>-</w:t>
      </w:r>
      <w:r w:rsidRPr="00F43342">
        <w:rPr>
          <w:rFonts w:ascii="Palatino Linotype" w:hAnsi="Palatino Linotype" w:cs="BookAntiqua"/>
          <w:szCs w:val="26"/>
        </w:rPr>
        <w:t>side</w:t>
      </w:r>
      <w:r>
        <w:rPr>
          <w:rFonts w:ascii="Palatino Linotype" w:hAnsi="Palatino Linotype" w:cs="BookAntiqua"/>
          <w:szCs w:val="26"/>
        </w:rPr>
        <w:t xml:space="preserve"> </w:t>
      </w:r>
      <w:r w:rsidRPr="00F43342">
        <w:rPr>
          <w:rFonts w:ascii="Palatino Linotype" w:hAnsi="Palatino Linotype" w:cs="BookAntiqua"/>
          <w:szCs w:val="26"/>
        </w:rPr>
        <w:t>renewable distributed generation (</w:t>
      </w:r>
      <w:r>
        <w:rPr>
          <w:rFonts w:ascii="Palatino Linotype" w:hAnsi="Palatino Linotype" w:cs="BookAntiqua"/>
          <w:szCs w:val="26"/>
        </w:rPr>
        <w:t xml:space="preserve">for individual </w:t>
      </w:r>
      <w:r w:rsidRPr="00F43342">
        <w:rPr>
          <w:rFonts w:ascii="Palatino Linotype" w:hAnsi="Palatino Linotype" w:cs="BookAntiqua"/>
          <w:szCs w:val="26"/>
        </w:rPr>
        <w:t>projects up to 20 MW in size) through a</w:t>
      </w:r>
      <w:r>
        <w:rPr>
          <w:rFonts w:ascii="Palatino Linotype" w:hAnsi="Palatino Linotype" w:cs="BookAntiqua"/>
          <w:szCs w:val="26"/>
        </w:rPr>
        <w:t xml:space="preserve"> </w:t>
      </w:r>
      <w:r w:rsidRPr="00F43342">
        <w:rPr>
          <w:rFonts w:ascii="Palatino Linotype" w:hAnsi="Palatino Linotype" w:cs="BookAntiqua"/>
          <w:szCs w:val="26"/>
        </w:rPr>
        <w:t>reverse auction using a standard contract.</w:t>
      </w:r>
      <w:r>
        <w:rPr>
          <w:rFonts w:ascii="Palatino Linotype" w:hAnsi="Palatino Linotype" w:cs="BookAntiqua"/>
          <w:szCs w:val="26"/>
        </w:rPr>
        <w:t xml:space="preserve"> </w:t>
      </w:r>
      <w:r w:rsidRPr="00F43342">
        <w:rPr>
          <w:rFonts w:ascii="Palatino Linotype" w:hAnsi="Palatino Linotype" w:cs="BookAntiqua"/>
          <w:szCs w:val="26"/>
        </w:rPr>
        <w:t xml:space="preserve"> The Decision </w:t>
      </w:r>
      <w:r>
        <w:rPr>
          <w:rFonts w:ascii="Palatino Linotype" w:hAnsi="Palatino Linotype" w:cs="BookAntiqua"/>
          <w:szCs w:val="26"/>
        </w:rPr>
        <w:t xml:space="preserve">also </w:t>
      </w:r>
      <w:r w:rsidRPr="00F43342">
        <w:rPr>
          <w:rFonts w:ascii="Palatino Linotype" w:hAnsi="Palatino Linotype" w:cs="BookAntiqua"/>
          <w:szCs w:val="26"/>
        </w:rPr>
        <w:t>ordered the IOUs to</w:t>
      </w:r>
      <w:r>
        <w:rPr>
          <w:rFonts w:ascii="Palatino Linotype" w:hAnsi="Palatino Linotype" w:cs="BookAntiqua"/>
          <w:szCs w:val="26"/>
        </w:rPr>
        <w:t xml:space="preserve"> </w:t>
      </w:r>
      <w:r w:rsidRPr="00F43342">
        <w:rPr>
          <w:rFonts w:ascii="Palatino Linotype" w:hAnsi="Palatino Linotype" w:cs="BookAntiqua"/>
          <w:szCs w:val="26"/>
        </w:rPr>
        <w:t>hold four auctions over two years and directed the IOUs to submit their bidding</w:t>
      </w:r>
      <w:r>
        <w:rPr>
          <w:rFonts w:ascii="Palatino Linotype" w:hAnsi="Palatino Linotype" w:cs="BookAntiqua"/>
          <w:szCs w:val="26"/>
        </w:rPr>
        <w:t xml:space="preserve"> </w:t>
      </w:r>
      <w:r w:rsidRPr="00F43342">
        <w:rPr>
          <w:rFonts w:ascii="Palatino Linotype" w:hAnsi="Palatino Linotype" w:cs="BookAntiqua"/>
          <w:szCs w:val="26"/>
        </w:rPr>
        <w:t>protocols and standard contracts through a Tier 3 advice letter to</w:t>
      </w:r>
      <w:r>
        <w:rPr>
          <w:rFonts w:ascii="Palatino Linotype" w:hAnsi="Palatino Linotype" w:cs="BookAntiqua"/>
          <w:szCs w:val="26"/>
        </w:rPr>
        <w:t xml:space="preserve"> </w:t>
      </w:r>
      <w:r w:rsidRPr="00F43342">
        <w:rPr>
          <w:rFonts w:ascii="Palatino Linotype" w:hAnsi="Palatino Linotype" w:cs="BookAntiqua"/>
          <w:szCs w:val="26"/>
        </w:rPr>
        <w:t xml:space="preserve">implement the Decision’s requirements. </w:t>
      </w:r>
      <w:r>
        <w:rPr>
          <w:rFonts w:ascii="Palatino Linotype" w:hAnsi="Palatino Linotype" w:cs="BookAntiqua"/>
          <w:szCs w:val="26"/>
        </w:rPr>
        <w:t xml:space="preserve"> O</w:t>
      </w:r>
      <w:r w:rsidRPr="00F43342">
        <w:rPr>
          <w:rFonts w:ascii="Palatino Linotype" w:hAnsi="Palatino Linotype" w:cs="BookAntiqua"/>
          <w:szCs w:val="26"/>
        </w:rPr>
        <w:t>n February 25, 2011</w:t>
      </w:r>
      <w:r>
        <w:rPr>
          <w:rFonts w:ascii="Palatino Linotype" w:hAnsi="Palatino Linotype" w:cs="BookAntiqua"/>
          <w:szCs w:val="26"/>
        </w:rPr>
        <w:t>,</w:t>
      </w:r>
      <w:r w:rsidRPr="00F43342">
        <w:rPr>
          <w:rFonts w:ascii="Palatino Linotype" w:hAnsi="Palatino Linotype" w:cs="BookAntiqua"/>
          <w:szCs w:val="26"/>
        </w:rPr>
        <w:t xml:space="preserve"> </w:t>
      </w:r>
      <w:r>
        <w:rPr>
          <w:rFonts w:ascii="Palatino Linotype" w:hAnsi="Palatino Linotype" w:cs="BookAntiqua"/>
          <w:szCs w:val="26"/>
        </w:rPr>
        <w:t>the IOUs submitted advice letters for</w:t>
      </w:r>
      <w:r w:rsidRPr="00F43342">
        <w:rPr>
          <w:rFonts w:ascii="Palatino Linotype" w:hAnsi="Palatino Linotype" w:cs="BookAntiqua"/>
          <w:szCs w:val="26"/>
        </w:rPr>
        <w:t xml:space="preserve"> approval of their bidding protocols and standard power</w:t>
      </w:r>
      <w:r>
        <w:rPr>
          <w:rFonts w:ascii="Palatino Linotype" w:hAnsi="Palatino Linotype" w:cs="BookAntiqua"/>
          <w:szCs w:val="26"/>
        </w:rPr>
        <w:t xml:space="preserve"> </w:t>
      </w:r>
      <w:r w:rsidRPr="00F43342">
        <w:rPr>
          <w:rFonts w:ascii="Palatino Linotype" w:hAnsi="Palatino Linotype" w:cs="BookAntiqua"/>
          <w:szCs w:val="26"/>
        </w:rPr>
        <w:t>purchase</w:t>
      </w:r>
      <w:r>
        <w:rPr>
          <w:rFonts w:ascii="Palatino Linotype" w:hAnsi="Palatino Linotype" w:cs="BookAntiqua"/>
          <w:szCs w:val="26"/>
        </w:rPr>
        <w:t xml:space="preserve"> </w:t>
      </w:r>
      <w:r w:rsidRPr="00F43342">
        <w:rPr>
          <w:rFonts w:ascii="Palatino Linotype" w:hAnsi="Palatino Linotype" w:cs="BookAntiqua"/>
          <w:szCs w:val="26"/>
        </w:rPr>
        <w:t xml:space="preserve">agreements. </w:t>
      </w:r>
      <w:r>
        <w:rPr>
          <w:rFonts w:ascii="Palatino Linotype" w:hAnsi="Palatino Linotype" w:cs="BookAntiqua"/>
          <w:szCs w:val="26"/>
        </w:rPr>
        <w:t xml:space="preserve"> The Commission approved Resolution E-4414 on August 18, 2011 to adopt RAM program implementation details, bidding protocols, and a standard power purchase agreement for each IOU.  More recently the Commission approved</w:t>
      </w:r>
      <w:r w:rsidR="00576F1A">
        <w:rPr>
          <w:rFonts w:ascii="Palatino Linotype" w:hAnsi="Palatino Linotype" w:cs="BookAntiqua"/>
          <w:szCs w:val="26"/>
        </w:rPr>
        <w:t xml:space="preserve"> Resolutions</w:t>
      </w:r>
      <w:r>
        <w:rPr>
          <w:rFonts w:ascii="Palatino Linotype" w:hAnsi="Palatino Linotype" w:cs="BookAntiqua"/>
          <w:szCs w:val="26"/>
        </w:rPr>
        <w:t xml:space="preserve"> E-4489-E, E-4546, and E-4582, which approved modifications to the </w:t>
      </w:r>
      <w:r w:rsidR="00576F1A">
        <w:rPr>
          <w:rFonts w:ascii="Palatino Linotype" w:hAnsi="Palatino Linotype" w:cs="BookAntiqua"/>
          <w:szCs w:val="26"/>
        </w:rPr>
        <w:lastRenderedPageBreak/>
        <w:t xml:space="preserve">RAM program rules, </w:t>
      </w:r>
      <w:r>
        <w:rPr>
          <w:rFonts w:ascii="Palatino Linotype" w:hAnsi="Palatino Linotype" w:cs="BookAntiqua"/>
          <w:szCs w:val="26"/>
        </w:rPr>
        <w:t>IOUs</w:t>
      </w:r>
      <w:r w:rsidR="00576F1A">
        <w:rPr>
          <w:rFonts w:ascii="Palatino Linotype" w:hAnsi="Palatino Linotype" w:cs="BookAntiqua"/>
          <w:szCs w:val="26"/>
        </w:rPr>
        <w:t>’</w:t>
      </w:r>
      <w:r>
        <w:rPr>
          <w:rFonts w:ascii="Palatino Linotype" w:hAnsi="Palatino Linotype" w:cs="BookAntiqua"/>
          <w:szCs w:val="26"/>
        </w:rPr>
        <w:t xml:space="preserve"> RAM PPAs</w:t>
      </w:r>
      <w:r w:rsidR="00576F1A">
        <w:rPr>
          <w:rFonts w:ascii="Palatino Linotype" w:hAnsi="Palatino Linotype" w:cs="BookAntiqua"/>
          <w:szCs w:val="26"/>
        </w:rPr>
        <w:t>,</w:t>
      </w:r>
      <w:r>
        <w:rPr>
          <w:rFonts w:ascii="Palatino Linotype" w:hAnsi="Palatino Linotype" w:cs="BookAntiqua"/>
          <w:szCs w:val="26"/>
        </w:rPr>
        <w:t xml:space="preserve"> and</w:t>
      </w:r>
      <w:r w:rsidR="00576F1A">
        <w:rPr>
          <w:rFonts w:ascii="Palatino Linotype" w:hAnsi="Palatino Linotype" w:cs="BookAntiqua"/>
          <w:szCs w:val="26"/>
        </w:rPr>
        <w:t xml:space="preserve"> IOUs’ RAM protocols</w:t>
      </w:r>
      <w:r>
        <w:rPr>
          <w:rFonts w:ascii="Palatino Linotype" w:hAnsi="Palatino Linotype" w:cs="BookAntiqua"/>
          <w:szCs w:val="26"/>
        </w:rPr>
        <w:t>.</w:t>
      </w:r>
      <w:r>
        <w:rPr>
          <w:rStyle w:val="FootnoteReference"/>
          <w:rFonts w:ascii="Palatino Linotype" w:hAnsi="Palatino Linotype" w:cs="BookAntiqua"/>
          <w:szCs w:val="26"/>
        </w:rPr>
        <w:footnoteReference w:id="2"/>
      </w:r>
      <w:r>
        <w:rPr>
          <w:rFonts w:ascii="Palatino Linotype" w:hAnsi="Palatino Linotype" w:cs="BookAntiqua"/>
          <w:szCs w:val="26"/>
        </w:rPr>
        <w:t xml:space="preserve"> </w:t>
      </w:r>
      <w:r w:rsidR="00576F1A">
        <w:rPr>
          <w:rFonts w:ascii="Palatino Linotype" w:hAnsi="Palatino Linotype" w:cs="BookAntiqua"/>
          <w:szCs w:val="26"/>
        </w:rPr>
        <w:t>Additionally, i</w:t>
      </w:r>
      <w:r w:rsidR="002B4D65">
        <w:rPr>
          <w:rFonts w:ascii="Palatino Linotype" w:hAnsi="Palatino Linotype"/>
        </w:rPr>
        <w:t xml:space="preserve">n Resolution E-4582, </w:t>
      </w:r>
      <w:r w:rsidR="002B4D65">
        <w:rPr>
          <w:lang w:val="en"/>
        </w:rPr>
        <w:t>the Commission modified the capacity allocation targets for the fourth RAM auction and authorized a fifth RAM auction</w:t>
      </w:r>
      <w:r w:rsidR="00576F1A">
        <w:rPr>
          <w:lang w:val="en"/>
        </w:rPr>
        <w:t>.</w:t>
      </w:r>
    </w:p>
    <w:p w:rsidR="00F5600A" w:rsidRDefault="00367B53" w:rsidP="007E05B6">
      <w:pPr>
        <w:spacing w:after="120"/>
        <w:rPr>
          <w:rFonts w:ascii="Palatino Linotype" w:hAnsi="Palatino Linotype" w:cs="BookAntiqua"/>
          <w:szCs w:val="26"/>
        </w:rPr>
      </w:pPr>
      <w:r>
        <w:rPr>
          <w:rFonts w:ascii="Palatino Linotype" w:hAnsi="Palatino Linotype" w:cs="BookAntiqua"/>
          <w:szCs w:val="26"/>
        </w:rPr>
        <w:t>In D.10-12-048, the Commission</w:t>
      </w:r>
      <w:r w:rsidR="00F5600A">
        <w:rPr>
          <w:rFonts w:ascii="Palatino Linotype" w:hAnsi="Palatino Linotype" w:cs="BookAntiqua"/>
          <w:szCs w:val="26"/>
        </w:rPr>
        <w:t xml:space="preserve"> </w:t>
      </w:r>
      <w:r w:rsidR="002F0970">
        <w:rPr>
          <w:rFonts w:ascii="Palatino Linotype" w:hAnsi="Palatino Linotype" w:cs="BookAntiqua"/>
          <w:szCs w:val="26"/>
        </w:rPr>
        <w:t>delegated to sta</w:t>
      </w:r>
      <w:r w:rsidR="00F5600A">
        <w:rPr>
          <w:rFonts w:ascii="Palatino Linotype" w:hAnsi="Palatino Linotype" w:cs="BookAntiqua"/>
          <w:szCs w:val="26"/>
        </w:rPr>
        <w:t xml:space="preserve">ff </w:t>
      </w:r>
      <w:r w:rsidR="002F0970">
        <w:rPr>
          <w:rFonts w:ascii="Palatino Linotype" w:hAnsi="Palatino Linotype" w:cs="BookAntiqua"/>
          <w:szCs w:val="26"/>
        </w:rPr>
        <w:t xml:space="preserve">the </w:t>
      </w:r>
      <w:r w:rsidR="00F5600A">
        <w:rPr>
          <w:rFonts w:ascii="Palatino Linotype" w:hAnsi="Palatino Linotype" w:cs="BookAntiqua"/>
          <w:szCs w:val="26"/>
        </w:rPr>
        <w:t>authority to suggest modifications to the RAM program based on experience.</w:t>
      </w:r>
      <w:r w:rsidR="00BC00B0">
        <w:rPr>
          <w:rFonts w:ascii="Palatino Linotype" w:hAnsi="Palatino Linotype" w:cs="BookAntiqua"/>
          <w:szCs w:val="26"/>
        </w:rPr>
        <w:t xml:space="preserve"> </w:t>
      </w:r>
      <w:r w:rsidR="00F5600A">
        <w:rPr>
          <w:rFonts w:ascii="Palatino Linotype" w:hAnsi="Palatino Linotype" w:cs="BookAntiqua"/>
          <w:szCs w:val="26"/>
        </w:rPr>
        <w:t xml:space="preserve"> Specifically, </w:t>
      </w:r>
      <w:r w:rsidR="00036155">
        <w:rPr>
          <w:rFonts w:ascii="Palatino Linotype" w:hAnsi="Palatino Linotype" w:cs="BookAntiqua"/>
          <w:szCs w:val="26"/>
        </w:rPr>
        <w:t>Ordering Paragraph 5</w:t>
      </w:r>
      <w:r w:rsidR="00F5600A">
        <w:rPr>
          <w:rFonts w:ascii="Palatino Linotype" w:hAnsi="Palatino Linotype" w:cs="BookAntiqua"/>
          <w:szCs w:val="26"/>
        </w:rPr>
        <w:t xml:space="preserve"> of the Decision states: </w:t>
      </w:r>
    </w:p>
    <w:p w:rsidR="00367B53" w:rsidRPr="00367B53" w:rsidRDefault="00367B53" w:rsidP="00367B53">
      <w:pPr>
        <w:autoSpaceDE w:val="0"/>
        <w:autoSpaceDN w:val="0"/>
        <w:adjustRightInd w:val="0"/>
        <w:ind w:left="720"/>
        <w:rPr>
          <w:rFonts w:ascii="Palatino Linotype" w:hAnsi="Palatino Linotype" w:cs="BookAntiqua"/>
          <w:i/>
          <w:szCs w:val="26"/>
        </w:rPr>
      </w:pPr>
      <w:r w:rsidRPr="00367B53">
        <w:rPr>
          <w:rFonts w:ascii="Palatino Linotype" w:hAnsi="Palatino Linotype" w:cs="BookAntiqua"/>
          <w:i/>
          <w:szCs w:val="26"/>
        </w:rPr>
        <w:t>The IOUs shall hold a program forum once per year, beginning after the initial RAM auctions are conducted to discuss program design and implementation, and provide opportunities for stakeholder comments. In organizing these forums, the utilities should consult with Energy Division staff and at a minimum notify the service list to this proceeding or subsequent proceedings. The IOUs may use the stakeholder feedback from each forum to develop and submit an advice letter seeking</w:t>
      </w:r>
      <w:r>
        <w:rPr>
          <w:rFonts w:ascii="Palatino Linotype" w:hAnsi="Palatino Linotype" w:cs="BookAntiqua"/>
          <w:i/>
          <w:szCs w:val="26"/>
        </w:rPr>
        <w:t xml:space="preserve"> </w:t>
      </w:r>
      <w:r w:rsidRPr="00367B53">
        <w:rPr>
          <w:rFonts w:ascii="Palatino Linotype" w:hAnsi="Palatino Linotype" w:cs="BookAntiqua"/>
          <w:i/>
          <w:szCs w:val="26"/>
        </w:rPr>
        <w:t>modifications to the RAM program. Similarly, Energy Division may issue</w:t>
      </w:r>
    </w:p>
    <w:p w:rsidR="005C04F3" w:rsidRDefault="00367B53" w:rsidP="00990DC5">
      <w:pPr>
        <w:spacing w:after="240"/>
        <w:ind w:left="720"/>
        <w:rPr>
          <w:rFonts w:ascii="Palatino Linotype" w:hAnsi="Palatino Linotype" w:cs="BookAntiqua"/>
          <w:szCs w:val="26"/>
        </w:rPr>
      </w:pPr>
      <w:r w:rsidRPr="00367B53">
        <w:rPr>
          <w:rFonts w:ascii="Palatino Linotype" w:hAnsi="Palatino Linotype" w:cs="BookAntiqua"/>
          <w:i/>
          <w:szCs w:val="26"/>
        </w:rPr>
        <w:t>a resolution on its own motion to propose program modifications based on</w:t>
      </w:r>
      <w:r>
        <w:rPr>
          <w:rFonts w:ascii="Palatino Linotype" w:hAnsi="Palatino Linotype" w:cs="BookAntiqua"/>
          <w:i/>
          <w:szCs w:val="26"/>
        </w:rPr>
        <w:t xml:space="preserve"> </w:t>
      </w:r>
      <w:r w:rsidRPr="00367B53">
        <w:rPr>
          <w:rFonts w:ascii="Palatino Linotype" w:hAnsi="Palatino Linotype" w:cs="BookAntiqua"/>
          <w:i/>
          <w:szCs w:val="26"/>
        </w:rPr>
        <w:t>information from these program forums or the annual reports developed</w:t>
      </w:r>
      <w:r>
        <w:rPr>
          <w:rFonts w:ascii="Palatino Linotype" w:hAnsi="Palatino Linotype" w:cs="BookAntiqua"/>
          <w:i/>
          <w:szCs w:val="26"/>
        </w:rPr>
        <w:t xml:space="preserve"> </w:t>
      </w:r>
      <w:r w:rsidRPr="00367B53">
        <w:rPr>
          <w:rFonts w:ascii="Palatino Linotype" w:hAnsi="Palatino Linotype" w:cs="BookAntiqua"/>
          <w:i/>
          <w:szCs w:val="26"/>
        </w:rPr>
        <w:t>pursuant</w:t>
      </w:r>
      <w:r w:rsidR="00652F7F">
        <w:rPr>
          <w:rFonts w:ascii="Palatino Linotype" w:hAnsi="Palatino Linotype" w:cs="BookAntiqua"/>
          <w:i/>
          <w:szCs w:val="26"/>
        </w:rPr>
        <w:t xml:space="preserve"> to Ordering Paragraph 3 above…</w:t>
      </w:r>
    </w:p>
    <w:p w:rsidR="00F5600A" w:rsidRPr="00A46908" w:rsidRDefault="00F5600A" w:rsidP="00CC5DAC">
      <w:pPr>
        <w:pStyle w:val="Heading1"/>
        <w:spacing w:before="0" w:after="120"/>
        <w:rPr>
          <w:rFonts w:cs="Arial"/>
          <w:color w:val="000000"/>
          <w:szCs w:val="26"/>
        </w:rPr>
      </w:pPr>
      <w:r w:rsidRPr="00A46908">
        <w:rPr>
          <w:rFonts w:cs="Arial"/>
          <w:bCs/>
          <w:color w:val="000000"/>
          <w:szCs w:val="26"/>
        </w:rPr>
        <w:t xml:space="preserve">NOTICE </w:t>
      </w:r>
    </w:p>
    <w:p w:rsidR="00C671B8" w:rsidRDefault="00F5600A" w:rsidP="00185251">
      <w:pPr>
        <w:spacing w:after="120"/>
        <w:rPr>
          <w:rFonts w:cs="Book Antiqua"/>
          <w:color w:val="000000"/>
          <w:szCs w:val="26"/>
        </w:rPr>
      </w:pPr>
      <w:r w:rsidRPr="00C23E90">
        <w:rPr>
          <w:rFonts w:cs="Book Antiqua"/>
          <w:color w:val="000000"/>
          <w:szCs w:val="26"/>
        </w:rPr>
        <w:t xml:space="preserve">Notice of </w:t>
      </w:r>
      <w:r w:rsidR="00C671B8">
        <w:rPr>
          <w:rFonts w:ascii="Palatino Linotype" w:hAnsi="Palatino Linotype"/>
        </w:rPr>
        <w:t xml:space="preserve">SCE’s </w:t>
      </w:r>
      <w:r w:rsidR="00171A16">
        <w:rPr>
          <w:rFonts w:ascii="Palatino Linotype" w:hAnsi="Palatino Linotype"/>
        </w:rPr>
        <w:t>A</w:t>
      </w:r>
      <w:r w:rsidR="00C671B8">
        <w:rPr>
          <w:rFonts w:ascii="Palatino Linotype" w:hAnsi="Palatino Linotype"/>
        </w:rPr>
        <w:t xml:space="preserve">dvice </w:t>
      </w:r>
      <w:r w:rsidR="00171A16">
        <w:rPr>
          <w:rFonts w:ascii="Palatino Linotype" w:hAnsi="Palatino Linotype"/>
        </w:rPr>
        <w:t>L</w:t>
      </w:r>
      <w:r w:rsidR="00C671B8">
        <w:rPr>
          <w:rFonts w:ascii="Palatino Linotype" w:hAnsi="Palatino Linotype"/>
        </w:rPr>
        <w:t xml:space="preserve">etter </w:t>
      </w:r>
      <w:r w:rsidR="00F76203">
        <w:rPr>
          <w:rFonts w:ascii="Palatino Linotype" w:hAnsi="Palatino Linotype"/>
        </w:rPr>
        <w:t>3003</w:t>
      </w:r>
      <w:r w:rsidR="00C671B8">
        <w:rPr>
          <w:rFonts w:ascii="Palatino Linotype" w:hAnsi="Palatino Linotype"/>
        </w:rPr>
        <w:t xml:space="preserve">-E, </w:t>
      </w:r>
      <w:r w:rsidR="0061183E">
        <w:rPr>
          <w:rFonts w:ascii="Palatino Linotype" w:hAnsi="Palatino Linotype"/>
        </w:rPr>
        <w:t xml:space="preserve">PG&amp;E’s advice letter </w:t>
      </w:r>
      <w:r w:rsidR="00BC00B0">
        <w:rPr>
          <w:rFonts w:ascii="Palatino Linotype" w:hAnsi="Palatino Linotype"/>
        </w:rPr>
        <w:t>4365</w:t>
      </w:r>
      <w:r w:rsidR="0061183E">
        <w:rPr>
          <w:rFonts w:ascii="Palatino Linotype" w:hAnsi="Palatino Linotype"/>
        </w:rPr>
        <w:t>-E, and</w:t>
      </w:r>
      <w:r w:rsidR="0061183E">
        <w:rPr>
          <w:rFonts w:ascii="Palatino Linotype" w:hAnsi="Palatino Linotype" w:cs="BookAntiqua"/>
          <w:szCs w:val="26"/>
        </w:rPr>
        <w:t xml:space="preserve"> </w:t>
      </w:r>
      <w:r w:rsidR="00C671B8">
        <w:rPr>
          <w:rFonts w:ascii="Palatino Linotype" w:hAnsi="Palatino Linotype"/>
        </w:rPr>
        <w:t xml:space="preserve">SDG&amp;E’s </w:t>
      </w:r>
      <w:r w:rsidR="00171A16">
        <w:rPr>
          <w:rFonts w:ascii="Palatino Linotype" w:hAnsi="Palatino Linotype"/>
        </w:rPr>
        <w:t>A</w:t>
      </w:r>
      <w:r w:rsidR="00C671B8">
        <w:rPr>
          <w:rFonts w:ascii="Palatino Linotype" w:hAnsi="Palatino Linotype"/>
        </w:rPr>
        <w:t xml:space="preserve">dvice </w:t>
      </w:r>
      <w:r w:rsidR="00171A16">
        <w:rPr>
          <w:rFonts w:ascii="Palatino Linotype" w:hAnsi="Palatino Linotype"/>
        </w:rPr>
        <w:t>L</w:t>
      </w:r>
      <w:r w:rsidR="00C671B8">
        <w:rPr>
          <w:rFonts w:ascii="Palatino Linotype" w:hAnsi="Palatino Linotype"/>
        </w:rPr>
        <w:t xml:space="preserve">etter </w:t>
      </w:r>
      <w:r w:rsidR="00231952">
        <w:rPr>
          <w:rFonts w:ascii="Palatino Linotype" w:hAnsi="Palatino Linotype"/>
        </w:rPr>
        <w:t>2580</w:t>
      </w:r>
      <w:r w:rsidR="00C671B8">
        <w:rPr>
          <w:rFonts w:ascii="Palatino Linotype" w:hAnsi="Palatino Linotype"/>
        </w:rPr>
        <w:t>-E</w:t>
      </w:r>
      <w:r w:rsidR="0061183E">
        <w:rPr>
          <w:rFonts w:ascii="Palatino Linotype" w:hAnsi="Palatino Linotype"/>
        </w:rPr>
        <w:t xml:space="preserve"> </w:t>
      </w:r>
      <w:r w:rsidRPr="00C23E90">
        <w:rPr>
          <w:rFonts w:cs="Book Antiqua"/>
          <w:color w:val="000000"/>
          <w:szCs w:val="26"/>
        </w:rPr>
        <w:t xml:space="preserve">was made by publication in the Commission’s Daily Calendar. </w:t>
      </w:r>
    </w:p>
    <w:p w:rsidR="00C671B8" w:rsidRDefault="00C671B8" w:rsidP="00185251">
      <w:pPr>
        <w:spacing w:after="120"/>
        <w:rPr>
          <w:rFonts w:cs="Book Antiqua"/>
          <w:color w:val="000000"/>
          <w:szCs w:val="26"/>
        </w:rPr>
      </w:pPr>
      <w:r>
        <w:rPr>
          <w:rFonts w:cs="Book Antiqua"/>
          <w:color w:val="000000"/>
          <w:szCs w:val="26"/>
        </w:rPr>
        <w:t>SC</w:t>
      </w:r>
      <w:r w:rsidRPr="00C23E90">
        <w:rPr>
          <w:rFonts w:cs="Book Antiqua"/>
          <w:color w:val="000000"/>
          <w:szCs w:val="26"/>
        </w:rPr>
        <w:t xml:space="preserve">E states that copies of </w:t>
      </w:r>
      <w:r w:rsidR="00171A16">
        <w:rPr>
          <w:rFonts w:cs="Book Antiqua"/>
          <w:color w:val="000000"/>
          <w:szCs w:val="26"/>
        </w:rPr>
        <w:t>A</w:t>
      </w:r>
      <w:r w:rsidRPr="00C23E90">
        <w:rPr>
          <w:rFonts w:cs="Book Antiqua"/>
          <w:color w:val="000000"/>
          <w:szCs w:val="26"/>
        </w:rPr>
        <w:t xml:space="preserve">dvice </w:t>
      </w:r>
      <w:r w:rsidR="00171A16">
        <w:rPr>
          <w:rFonts w:cs="Book Antiqua"/>
          <w:color w:val="000000"/>
          <w:szCs w:val="26"/>
        </w:rPr>
        <w:t>L</w:t>
      </w:r>
      <w:r w:rsidRPr="00C23E90">
        <w:rPr>
          <w:rFonts w:cs="Book Antiqua"/>
          <w:color w:val="000000"/>
          <w:szCs w:val="26"/>
        </w:rPr>
        <w:t xml:space="preserve">etter </w:t>
      </w:r>
      <w:r w:rsidR="00F76203">
        <w:rPr>
          <w:rFonts w:cs="Book Antiqua"/>
          <w:color w:val="000000"/>
          <w:szCs w:val="26"/>
        </w:rPr>
        <w:t>3003</w:t>
      </w:r>
      <w:r w:rsidRPr="00C23E90">
        <w:rPr>
          <w:rFonts w:cs="Book Antiqua"/>
          <w:color w:val="000000"/>
          <w:szCs w:val="26"/>
        </w:rPr>
        <w:t xml:space="preserve">-E </w:t>
      </w:r>
      <w:r>
        <w:rPr>
          <w:rFonts w:cs="Book Antiqua"/>
          <w:color w:val="000000"/>
          <w:szCs w:val="26"/>
        </w:rPr>
        <w:t>were</w:t>
      </w:r>
      <w:r w:rsidRPr="00C23E90">
        <w:rPr>
          <w:rFonts w:cs="Book Antiqua"/>
          <w:color w:val="000000"/>
          <w:szCs w:val="26"/>
        </w:rPr>
        <w:t xml:space="preserve"> mailed and distributed in accordance with Section IV of General Order 96-B. </w:t>
      </w:r>
    </w:p>
    <w:p w:rsidR="0061183E" w:rsidRDefault="0061183E" w:rsidP="00185251">
      <w:pPr>
        <w:spacing w:after="120"/>
        <w:rPr>
          <w:rFonts w:cs="Book Antiqua"/>
          <w:color w:val="000000"/>
          <w:szCs w:val="26"/>
        </w:rPr>
      </w:pPr>
      <w:r w:rsidRPr="00C23E90">
        <w:rPr>
          <w:rFonts w:cs="Book Antiqua"/>
          <w:color w:val="000000"/>
          <w:szCs w:val="26"/>
        </w:rPr>
        <w:t>PG&amp;E states</w:t>
      </w:r>
      <w:r>
        <w:rPr>
          <w:rFonts w:cs="Book Antiqua"/>
          <w:color w:val="000000"/>
          <w:szCs w:val="26"/>
        </w:rPr>
        <w:t xml:space="preserve"> that copies of </w:t>
      </w:r>
      <w:r w:rsidR="00171A16">
        <w:rPr>
          <w:rFonts w:cs="Book Antiqua"/>
          <w:color w:val="000000"/>
          <w:szCs w:val="26"/>
        </w:rPr>
        <w:t>A</w:t>
      </w:r>
      <w:r>
        <w:rPr>
          <w:rFonts w:cs="Book Antiqua"/>
          <w:color w:val="000000"/>
          <w:szCs w:val="26"/>
        </w:rPr>
        <w:t xml:space="preserve">dvice </w:t>
      </w:r>
      <w:r w:rsidR="00171A16">
        <w:rPr>
          <w:rFonts w:cs="Book Antiqua"/>
          <w:color w:val="000000"/>
          <w:szCs w:val="26"/>
        </w:rPr>
        <w:t>L</w:t>
      </w:r>
      <w:r>
        <w:rPr>
          <w:rFonts w:cs="Book Antiqua"/>
          <w:color w:val="000000"/>
          <w:szCs w:val="26"/>
        </w:rPr>
        <w:t>etter 4365</w:t>
      </w:r>
      <w:r w:rsidRPr="00C23E90">
        <w:rPr>
          <w:rFonts w:cs="Book Antiqua"/>
          <w:color w:val="000000"/>
          <w:szCs w:val="26"/>
        </w:rPr>
        <w:t xml:space="preserve">-E </w:t>
      </w:r>
      <w:r>
        <w:rPr>
          <w:rFonts w:cs="Book Antiqua"/>
          <w:color w:val="000000"/>
          <w:szCs w:val="26"/>
        </w:rPr>
        <w:t>were</w:t>
      </w:r>
      <w:r w:rsidRPr="00C23E90">
        <w:rPr>
          <w:rFonts w:cs="Book Antiqua"/>
          <w:color w:val="000000"/>
          <w:szCs w:val="26"/>
        </w:rPr>
        <w:t xml:space="preserve"> mailed and distributed in accordance with Section IV of General Order 96-B. </w:t>
      </w:r>
    </w:p>
    <w:p w:rsidR="00C671B8" w:rsidRDefault="00C671B8" w:rsidP="00185251">
      <w:pPr>
        <w:spacing w:after="120"/>
        <w:rPr>
          <w:rFonts w:cs="Book Antiqua"/>
          <w:color w:val="000000"/>
          <w:szCs w:val="26"/>
        </w:rPr>
      </w:pPr>
      <w:r>
        <w:rPr>
          <w:rFonts w:cs="Book Antiqua"/>
          <w:color w:val="000000"/>
          <w:szCs w:val="26"/>
        </w:rPr>
        <w:t>SD</w:t>
      </w:r>
      <w:r w:rsidRPr="00C23E90">
        <w:rPr>
          <w:rFonts w:cs="Book Antiqua"/>
          <w:color w:val="000000"/>
          <w:szCs w:val="26"/>
        </w:rPr>
        <w:t xml:space="preserve">G&amp;E states that copies of </w:t>
      </w:r>
      <w:r w:rsidR="00171A16">
        <w:rPr>
          <w:rFonts w:cs="Book Antiqua"/>
          <w:color w:val="000000"/>
          <w:szCs w:val="26"/>
        </w:rPr>
        <w:t>A</w:t>
      </w:r>
      <w:r w:rsidRPr="00C23E90">
        <w:rPr>
          <w:rFonts w:cs="Book Antiqua"/>
          <w:color w:val="000000"/>
          <w:szCs w:val="26"/>
        </w:rPr>
        <w:t xml:space="preserve">dvice </w:t>
      </w:r>
      <w:r w:rsidR="00171A16">
        <w:rPr>
          <w:rFonts w:cs="Book Antiqua"/>
          <w:color w:val="000000"/>
          <w:szCs w:val="26"/>
        </w:rPr>
        <w:t>L</w:t>
      </w:r>
      <w:r w:rsidRPr="00C23E90">
        <w:rPr>
          <w:rFonts w:cs="Book Antiqua"/>
          <w:color w:val="000000"/>
          <w:szCs w:val="26"/>
        </w:rPr>
        <w:t xml:space="preserve">etter </w:t>
      </w:r>
      <w:r w:rsidR="00231952">
        <w:rPr>
          <w:rFonts w:cs="Book Antiqua"/>
          <w:color w:val="000000"/>
          <w:szCs w:val="26"/>
        </w:rPr>
        <w:t>2580</w:t>
      </w:r>
      <w:r w:rsidRPr="00C23E90">
        <w:rPr>
          <w:rFonts w:cs="Book Antiqua"/>
          <w:color w:val="000000"/>
          <w:szCs w:val="26"/>
        </w:rPr>
        <w:t xml:space="preserve">-E </w:t>
      </w:r>
      <w:r>
        <w:rPr>
          <w:rFonts w:cs="Book Antiqua"/>
          <w:color w:val="000000"/>
          <w:szCs w:val="26"/>
        </w:rPr>
        <w:t>were</w:t>
      </w:r>
      <w:r w:rsidRPr="00C23E90">
        <w:rPr>
          <w:rFonts w:cs="Book Antiqua"/>
          <w:color w:val="000000"/>
          <w:szCs w:val="26"/>
        </w:rPr>
        <w:t xml:space="preserve"> mailed and distributed in accordance with Section IV of General Order 96-B. </w:t>
      </w:r>
    </w:p>
    <w:p w:rsidR="00F5600A" w:rsidRPr="00A46908" w:rsidRDefault="00F5600A" w:rsidP="007E05B6">
      <w:pPr>
        <w:pStyle w:val="Heading1"/>
        <w:spacing w:before="0" w:after="120"/>
        <w:rPr>
          <w:rFonts w:cs="Arial"/>
          <w:color w:val="000000"/>
          <w:szCs w:val="26"/>
        </w:rPr>
      </w:pPr>
      <w:r w:rsidRPr="00A46908">
        <w:rPr>
          <w:rFonts w:cs="Arial"/>
          <w:bCs/>
          <w:color w:val="000000"/>
          <w:szCs w:val="26"/>
        </w:rPr>
        <w:t xml:space="preserve">PROTESTS </w:t>
      </w:r>
    </w:p>
    <w:p w:rsidR="00CC5DAC" w:rsidRDefault="00200B1D" w:rsidP="00185251">
      <w:pPr>
        <w:spacing w:after="120"/>
        <w:rPr>
          <w:rFonts w:cs="Book Antiqua"/>
          <w:szCs w:val="26"/>
        </w:rPr>
      </w:pPr>
      <w:r>
        <w:rPr>
          <w:rFonts w:cs="Book Antiqua"/>
          <w:szCs w:val="26"/>
        </w:rPr>
        <w:t>On February 27, 2014</w:t>
      </w:r>
      <w:r w:rsidR="00F5600A">
        <w:rPr>
          <w:rFonts w:cs="Book Antiqua"/>
          <w:szCs w:val="26"/>
        </w:rPr>
        <w:t>, t</w:t>
      </w:r>
      <w:r w:rsidR="00F5600A" w:rsidRPr="00C23E90">
        <w:rPr>
          <w:rFonts w:cs="Book Antiqua"/>
          <w:szCs w:val="26"/>
        </w:rPr>
        <w:t>he Commission received timely protests</w:t>
      </w:r>
      <w:r w:rsidR="000F3E8B">
        <w:rPr>
          <w:rFonts w:cs="Book Antiqua"/>
          <w:szCs w:val="26"/>
        </w:rPr>
        <w:t xml:space="preserve"> to SCE’s advice letter </w:t>
      </w:r>
      <w:r>
        <w:rPr>
          <w:rFonts w:cs="Book Antiqua"/>
          <w:szCs w:val="26"/>
        </w:rPr>
        <w:t>30</w:t>
      </w:r>
      <w:r w:rsidR="00F66751">
        <w:rPr>
          <w:rFonts w:cs="Book Antiqua"/>
          <w:szCs w:val="26"/>
        </w:rPr>
        <w:t>0</w:t>
      </w:r>
      <w:r>
        <w:rPr>
          <w:rFonts w:cs="Book Antiqua"/>
          <w:szCs w:val="26"/>
        </w:rPr>
        <w:t>3</w:t>
      </w:r>
      <w:r w:rsidR="000F3E8B">
        <w:rPr>
          <w:rFonts w:cs="Book Antiqua"/>
          <w:szCs w:val="26"/>
        </w:rPr>
        <w:t>-E</w:t>
      </w:r>
      <w:r w:rsidR="00F5600A" w:rsidRPr="00C23E90">
        <w:rPr>
          <w:rFonts w:cs="Book Antiqua"/>
          <w:szCs w:val="26"/>
        </w:rPr>
        <w:t xml:space="preserve"> </w:t>
      </w:r>
      <w:r w:rsidR="00F5600A">
        <w:rPr>
          <w:rFonts w:cs="Book Antiqua"/>
          <w:szCs w:val="26"/>
        </w:rPr>
        <w:t xml:space="preserve">from </w:t>
      </w:r>
      <w:r>
        <w:rPr>
          <w:rFonts w:cs="Book Antiqua"/>
          <w:szCs w:val="26"/>
        </w:rPr>
        <w:t xml:space="preserve">Infigen Energy US Development LLC (Infigen), NextEra Energy Resources, LLC (NextEra), and New </w:t>
      </w:r>
      <w:r w:rsidR="00F66751">
        <w:rPr>
          <w:rFonts w:cs="Book Antiqua"/>
          <w:szCs w:val="26"/>
        </w:rPr>
        <w:t>Dimension</w:t>
      </w:r>
      <w:r>
        <w:rPr>
          <w:rFonts w:cs="Book Antiqua"/>
          <w:szCs w:val="26"/>
        </w:rPr>
        <w:t xml:space="preserve"> Energy Company (NDEC)</w:t>
      </w:r>
      <w:r w:rsidR="00F5600A" w:rsidRPr="00EA1220">
        <w:rPr>
          <w:rFonts w:cs="Book Antiqua"/>
          <w:szCs w:val="26"/>
        </w:rPr>
        <w:t xml:space="preserve">. </w:t>
      </w:r>
      <w:r w:rsidR="00DD6E2C">
        <w:rPr>
          <w:rFonts w:cs="Book Antiqua"/>
          <w:szCs w:val="26"/>
        </w:rPr>
        <w:t xml:space="preserve"> </w:t>
      </w:r>
      <w:r w:rsidR="000F3E8B">
        <w:rPr>
          <w:rFonts w:cs="Book Antiqua"/>
          <w:szCs w:val="26"/>
        </w:rPr>
        <w:t>SC</w:t>
      </w:r>
      <w:r w:rsidR="00F5600A">
        <w:rPr>
          <w:rFonts w:cs="Book Antiqua"/>
          <w:szCs w:val="26"/>
        </w:rPr>
        <w:t xml:space="preserve">E replied to the protests on </w:t>
      </w:r>
      <w:r w:rsidR="0052100C">
        <w:rPr>
          <w:rFonts w:cs="Book Antiqua"/>
          <w:szCs w:val="26"/>
        </w:rPr>
        <w:t>March 6, 2014</w:t>
      </w:r>
      <w:r w:rsidR="00F5600A">
        <w:rPr>
          <w:rFonts w:cs="Book Antiqua"/>
          <w:szCs w:val="26"/>
        </w:rPr>
        <w:t>.</w:t>
      </w:r>
    </w:p>
    <w:p w:rsidR="00200B1D" w:rsidRDefault="00200B1D" w:rsidP="00185251">
      <w:pPr>
        <w:autoSpaceDE w:val="0"/>
        <w:autoSpaceDN w:val="0"/>
        <w:adjustRightInd w:val="0"/>
        <w:spacing w:after="120"/>
        <w:rPr>
          <w:rFonts w:cs="Book Antiqua"/>
          <w:szCs w:val="26"/>
        </w:rPr>
      </w:pPr>
      <w:r>
        <w:rPr>
          <w:rFonts w:cs="Book Antiqua"/>
          <w:szCs w:val="26"/>
        </w:rPr>
        <w:t xml:space="preserve">On </w:t>
      </w:r>
      <w:r w:rsidR="00BC00B0">
        <w:rPr>
          <w:rFonts w:cs="Book Antiqua"/>
          <w:szCs w:val="26"/>
        </w:rPr>
        <w:t>March 19</w:t>
      </w:r>
      <w:r>
        <w:rPr>
          <w:rFonts w:cs="Book Antiqua"/>
          <w:szCs w:val="26"/>
        </w:rPr>
        <w:t>,</w:t>
      </w:r>
      <w:r w:rsidR="00BC00B0">
        <w:rPr>
          <w:rFonts w:cs="Book Antiqua"/>
          <w:szCs w:val="26"/>
        </w:rPr>
        <w:t xml:space="preserve"> 2014,</w:t>
      </w:r>
      <w:r>
        <w:rPr>
          <w:rFonts w:cs="Book Antiqua"/>
          <w:szCs w:val="26"/>
        </w:rPr>
        <w:t xml:space="preserve"> the Commission received timely protests to PG&amp;E’s advice letter </w:t>
      </w:r>
      <w:r w:rsidR="00B7530B">
        <w:rPr>
          <w:rFonts w:cs="Book Antiqua"/>
          <w:szCs w:val="26"/>
        </w:rPr>
        <w:t>4365</w:t>
      </w:r>
      <w:r>
        <w:rPr>
          <w:rFonts w:cs="Book Antiqua"/>
          <w:szCs w:val="26"/>
        </w:rPr>
        <w:t>-E from Clean Coalition</w:t>
      </w:r>
      <w:r w:rsidR="00BC00B0">
        <w:rPr>
          <w:rFonts w:cs="Book Antiqua"/>
          <w:szCs w:val="26"/>
        </w:rPr>
        <w:t xml:space="preserve"> and NextEra</w:t>
      </w:r>
      <w:r>
        <w:rPr>
          <w:rFonts w:cs="Book Antiqua"/>
          <w:szCs w:val="26"/>
        </w:rPr>
        <w:t xml:space="preserve">.  PG&amp;E replied to the protests on </w:t>
      </w:r>
      <w:r w:rsidR="00B7530B">
        <w:rPr>
          <w:rFonts w:cs="Book Antiqua"/>
          <w:szCs w:val="26"/>
        </w:rPr>
        <w:t>March 2</w:t>
      </w:r>
      <w:r w:rsidR="00EB3514">
        <w:rPr>
          <w:rFonts w:cs="Book Antiqua"/>
          <w:szCs w:val="26"/>
        </w:rPr>
        <w:t>6</w:t>
      </w:r>
      <w:r w:rsidR="00B7530B">
        <w:rPr>
          <w:rFonts w:cs="Book Antiqua"/>
          <w:szCs w:val="26"/>
        </w:rPr>
        <w:t>, 2014</w:t>
      </w:r>
      <w:r>
        <w:rPr>
          <w:rFonts w:cs="Book Antiqua"/>
          <w:szCs w:val="26"/>
        </w:rPr>
        <w:t xml:space="preserve">. </w:t>
      </w:r>
    </w:p>
    <w:p w:rsidR="000F3E8B" w:rsidRDefault="00D015C6" w:rsidP="002B4D65">
      <w:pPr>
        <w:spacing w:after="240"/>
        <w:rPr>
          <w:rFonts w:cs="Book Antiqua"/>
          <w:szCs w:val="26"/>
        </w:rPr>
      </w:pPr>
      <w:r>
        <w:rPr>
          <w:rFonts w:cs="Book Antiqua"/>
          <w:szCs w:val="26"/>
        </w:rPr>
        <w:t xml:space="preserve">On </w:t>
      </w:r>
      <w:r w:rsidR="00B7530B">
        <w:rPr>
          <w:rFonts w:cs="Book Antiqua"/>
          <w:szCs w:val="26"/>
        </w:rPr>
        <w:t>March 20, 2014</w:t>
      </w:r>
      <w:r>
        <w:rPr>
          <w:rFonts w:cs="Book Antiqua"/>
          <w:szCs w:val="26"/>
        </w:rPr>
        <w:t xml:space="preserve">, the Commission received </w:t>
      </w:r>
      <w:r w:rsidR="00B7530B">
        <w:rPr>
          <w:rFonts w:cs="Book Antiqua"/>
          <w:szCs w:val="26"/>
        </w:rPr>
        <w:t xml:space="preserve">a </w:t>
      </w:r>
      <w:r>
        <w:rPr>
          <w:rFonts w:cs="Book Antiqua"/>
          <w:szCs w:val="26"/>
        </w:rPr>
        <w:t xml:space="preserve">timely </w:t>
      </w:r>
      <w:r w:rsidR="00B7530B">
        <w:rPr>
          <w:rFonts w:cs="Book Antiqua"/>
          <w:szCs w:val="26"/>
        </w:rPr>
        <w:t>protest</w:t>
      </w:r>
      <w:r>
        <w:rPr>
          <w:rFonts w:cs="Book Antiqua"/>
          <w:szCs w:val="26"/>
        </w:rPr>
        <w:t xml:space="preserve"> to SDG&amp;E’s advice letter </w:t>
      </w:r>
      <w:r w:rsidR="00B7530B">
        <w:rPr>
          <w:rFonts w:cs="Book Antiqua"/>
          <w:szCs w:val="26"/>
        </w:rPr>
        <w:t>2580</w:t>
      </w:r>
      <w:r>
        <w:rPr>
          <w:rFonts w:cs="Book Antiqua"/>
          <w:szCs w:val="26"/>
        </w:rPr>
        <w:t xml:space="preserve">-E from </w:t>
      </w:r>
      <w:r w:rsidR="00B7530B">
        <w:rPr>
          <w:rFonts w:cs="Book Antiqua"/>
          <w:szCs w:val="26"/>
        </w:rPr>
        <w:t>NextEra</w:t>
      </w:r>
      <w:r>
        <w:rPr>
          <w:rFonts w:cs="Book Antiqua"/>
          <w:szCs w:val="26"/>
        </w:rPr>
        <w:t xml:space="preserve">. </w:t>
      </w:r>
      <w:r w:rsidR="00B7530B">
        <w:rPr>
          <w:rFonts w:cs="Book Antiqua"/>
          <w:szCs w:val="26"/>
        </w:rPr>
        <w:t xml:space="preserve"> SDG&amp;E replied to the protest on March 2</w:t>
      </w:r>
      <w:r w:rsidR="00EB3514">
        <w:rPr>
          <w:rFonts w:cs="Book Antiqua"/>
          <w:szCs w:val="26"/>
        </w:rPr>
        <w:t>7</w:t>
      </w:r>
      <w:r w:rsidR="00B7530B">
        <w:rPr>
          <w:rFonts w:cs="Book Antiqua"/>
          <w:szCs w:val="26"/>
        </w:rPr>
        <w:t>, 2014</w:t>
      </w:r>
      <w:r w:rsidR="00185251">
        <w:rPr>
          <w:rFonts w:cs="Book Antiqua"/>
          <w:szCs w:val="26"/>
        </w:rPr>
        <w:t>.</w:t>
      </w:r>
    </w:p>
    <w:p w:rsidR="00CC5DAC" w:rsidRPr="00A46908" w:rsidRDefault="00F5600A" w:rsidP="00CC5DAC">
      <w:pPr>
        <w:pStyle w:val="Heading1"/>
        <w:spacing w:before="0" w:after="120"/>
        <w:rPr>
          <w:rFonts w:cs="Arial"/>
          <w:color w:val="000000"/>
          <w:szCs w:val="26"/>
        </w:rPr>
      </w:pPr>
      <w:r w:rsidRPr="00600701">
        <w:t>Disc</w:t>
      </w:r>
      <w:r w:rsidR="00CC5DAC">
        <w:t>USSION</w:t>
      </w:r>
    </w:p>
    <w:p w:rsidR="009A4D1A" w:rsidRDefault="00FE7B47" w:rsidP="00232DE2">
      <w:pPr>
        <w:spacing w:after="120"/>
        <w:rPr>
          <w:rFonts w:ascii="Palatino Linotype" w:hAnsi="Palatino Linotype"/>
          <w:bCs/>
          <w:szCs w:val="26"/>
        </w:rPr>
      </w:pPr>
      <w:r>
        <w:rPr>
          <w:rFonts w:ascii="Palatino Linotype" w:hAnsi="Palatino Linotype"/>
          <w:bCs/>
          <w:szCs w:val="26"/>
        </w:rPr>
        <w:t>The following discussion summarizes the</w:t>
      </w:r>
      <w:r w:rsidR="00BD450F">
        <w:rPr>
          <w:rFonts w:ascii="Palatino Linotype" w:hAnsi="Palatino Linotype"/>
          <w:bCs/>
          <w:szCs w:val="26"/>
        </w:rPr>
        <w:t xml:space="preserve"> modifications </w:t>
      </w:r>
      <w:r w:rsidR="00576F1A">
        <w:rPr>
          <w:rFonts w:ascii="Palatino Linotype" w:hAnsi="Palatino Linotype"/>
          <w:bCs/>
          <w:szCs w:val="26"/>
        </w:rPr>
        <w:t>requested</w:t>
      </w:r>
      <w:r w:rsidR="00BD450F">
        <w:rPr>
          <w:rFonts w:ascii="Palatino Linotype" w:hAnsi="Palatino Linotype"/>
          <w:bCs/>
          <w:szCs w:val="26"/>
        </w:rPr>
        <w:t xml:space="preserve"> by SCE, </w:t>
      </w:r>
      <w:r w:rsidR="00200B1D">
        <w:rPr>
          <w:rFonts w:ascii="Palatino Linotype" w:hAnsi="Palatino Linotype"/>
          <w:bCs/>
          <w:szCs w:val="26"/>
        </w:rPr>
        <w:t>PG&amp;E</w:t>
      </w:r>
      <w:r w:rsidR="0081457A">
        <w:rPr>
          <w:rFonts w:ascii="Palatino Linotype" w:hAnsi="Palatino Linotype"/>
          <w:bCs/>
          <w:szCs w:val="26"/>
        </w:rPr>
        <w:t>,</w:t>
      </w:r>
      <w:r w:rsidR="00200B1D">
        <w:rPr>
          <w:rFonts w:ascii="Palatino Linotype" w:hAnsi="Palatino Linotype"/>
          <w:bCs/>
          <w:szCs w:val="26"/>
        </w:rPr>
        <w:t xml:space="preserve"> and </w:t>
      </w:r>
      <w:r w:rsidR="00BD450F">
        <w:rPr>
          <w:rFonts w:ascii="Palatino Linotype" w:hAnsi="Palatino Linotype"/>
          <w:bCs/>
          <w:szCs w:val="26"/>
        </w:rPr>
        <w:t>SDG&amp;E</w:t>
      </w:r>
      <w:r w:rsidR="00576F1A">
        <w:rPr>
          <w:rFonts w:ascii="Palatino Linotype" w:hAnsi="Palatino Linotype"/>
          <w:bCs/>
          <w:szCs w:val="26"/>
        </w:rPr>
        <w:t xml:space="preserve"> in advice letters 3003-E, 4365-E, and 2580-E, respectively</w:t>
      </w:r>
      <w:r w:rsidR="00BD450F">
        <w:rPr>
          <w:rFonts w:ascii="Palatino Linotype" w:hAnsi="Palatino Linotype"/>
          <w:bCs/>
          <w:szCs w:val="26"/>
        </w:rPr>
        <w:t xml:space="preserve">. The substance of </w:t>
      </w:r>
      <w:r w:rsidR="007A69F5">
        <w:rPr>
          <w:rFonts w:ascii="Palatino Linotype" w:hAnsi="Palatino Linotype"/>
          <w:bCs/>
          <w:szCs w:val="26"/>
        </w:rPr>
        <w:t xml:space="preserve">the </w:t>
      </w:r>
      <w:r w:rsidR="00BD450F">
        <w:rPr>
          <w:rFonts w:ascii="Palatino Linotype" w:hAnsi="Palatino Linotype"/>
          <w:bCs/>
          <w:szCs w:val="26"/>
        </w:rPr>
        <w:t>protests and responses from parties are summarized by issue and addressed in this section.</w:t>
      </w:r>
      <w:r>
        <w:rPr>
          <w:rFonts w:ascii="Palatino Linotype" w:hAnsi="Palatino Linotype"/>
          <w:bCs/>
          <w:szCs w:val="26"/>
        </w:rPr>
        <w:t xml:space="preserve"> </w:t>
      </w:r>
    </w:p>
    <w:p w:rsidR="005720F9" w:rsidRDefault="009A4D1A" w:rsidP="00232DE2">
      <w:pPr>
        <w:autoSpaceDE w:val="0"/>
        <w:autoSpaceDN w:val="0"/>
        <w:adjustRightInd w:val="0"/>
        <w:spacing w:after="120"/>
        <w:rPr>
          <w:rFonts w:ascii="Palatino Linotype" w:hAnsi="Palatino Linotype"/>
          <w:bCs/>
          <w:szCs w:val="26"/>
        </w:rPr>
      </w:pPr>
      <w:r>
        <w:rPr>
          <w:rFonts w:ascii="Palatino Linotype" w:hAnsi="Palatino Linotype"/>
          <w:bCs/>
          <w:szCs w:val="26"/>
        </w:rPr>
        <w:t xml:space="preserve">This section is divided into </w:t>
      </w:r>
      <w:r w:rsidR="00231952">
        <w:rPr>
          <w:rFonts w:ascii="Palatino Linotype" w:hAnsi="Palatino Linotype"/>
          <w:bCs/>
          <w:szCs w:val="26"/>
        </w:rPr>
        <w:t>four</w:t>
      </w:r>
      <w:r>
        <w:rPr>
          <w:rFonts w:ascii="Palatino Linotype" w:hAnsi="Palatino Linotype"/>
          <w:bCs/>
          <w:szCs w:val="26"/>
        </w:rPr>
        <w:t xml:space="preserve"> </w:t>
      </w:r>
      <w:r w:rsidR="005720F9">
        <w:rPr>
          <w:rFonts w:ascii="Palatino Linotype" w:hAnsi="Palatino Linotype"/>
          <w:bCs/>
          <w:szCs w:val="26"/>
        </w:rPr>
        <w:t>parts</w:t>
      </w:r>
      <w:r>
        <w:rPr>
          <w:rFonts w:ascii="Palatino Linotype" w:hAnsi="Palatino Linotype"/>
          <w:bCs/>
          <w:szCs w:val="26"/>
        </w:rPr>
        <w:t xml:space="preserve">: </w:t>
      </w:r>
    </w:p>
    <w:p w:rsidR="00231952" w:rsidRDefault="009A4D1A" w:rsidP="00232DE2">
      <w:pPr>
        <w:autoSpaceDE w:val="0"/>
        <w:autoSpaceDN w:val="0"/>
        <w:adjustRightInd w:val="0"/>
        <w:spacing w:after="120"/>
        <w:ind w:left="1440" w:hanging="1440"/>
        <w:rPr>
          <w:rFonts w:ascii="Palatino Linotype" w:hAnsi="Palatino Linotype"/>
          <w:bCs/>
          <w:szCs w:val="26"/>
        </w:rPr>
      </w:pPr>
      <w:r>
        <w:rPr>
          <w:rFonts w:ascii="Palatino Linotype" w:hAnsi="Palatino Linotype"/>
          <w:bCs/>
          <w:szCs w:val="26"/>
        </w:rPr>
        <w:t>(</w:t>
      </w:r>
      <w:r w:rsidR="0052100C">
        <w:rPr>
          <w:rFonts w:ascii="Palatino Linotype" w:hAnsi="Palatino Linotype"/>
          <w:bCs/>
          <w:szCs w:val="26"/>
        </w:rPr>
        <w:t>A</w:t>
      </w:r>
      <w:r>
        <w:rPr>
          <w:rFonts w:ascii="Palatino Linotype" w:hAnsi="Palatino Linotype"/>
          <w:bCs/>
          <w:szCs w:val="26"/>
        </w:rPr>
        <w:t xml:space="preserve">) </w:t>
      </w:r>
      <w:r w:rsidR="00BE685E">
        <w:rPr>
          <w:rFonts w:ascii="Palatino Linotype" w:hAnsi="Palatino Linotype"/>
          <w:bCs/>
          <w:szCs w:val="26"/>
        </w:rPr>
        <w:t xml:space="preserve"> </w:t>
      </w:r>
      <w:r w:rsidR="00231952">
        <w:rPr>
          <w:rFonts w:ascii="Palatino Linotype" w:hAnsi="Palatino Linotype"/>
          <w:bCs/>
          <w:szCs w:val="26"/>
        </w:rPr>
        <w:t xml:space="preserve">Proposed Changes to the RAM </w:t>
      </w:r>
      <w:r w:rsidR="00BC00B0">
        <w:rPr>
          <w:rFonts w:ascii="Palatino Linotype" w:hAnsi="Palatino Linotype"/>
          <w:bCs/>
          <w:szCs w:val="26"/>
        </w:rPr>
        <w:t>P</w:t>
      </w:r>
      <w:r w:rsidR="00231952">
        <w:rPr>
          <w:rFonts w:ascii="Palatino Linotype" w:hAnsi="Palatino Linotype"/>
          <w:bCs/>
          <w:szCs w:val="26"/>
        </w:rPr>
        <w:t>rogram</w:t>
      </w:r>
      <w:r w:rsidR="001D4BD9">
        <w:rPr>
          <w:rFonts w:ascii="Palatino Linotype" w:hAnsi="Palatino Linotype"/>
          <w:bCs/>
          <w:szCs w:val="26"/>
        </w:rPr>
        <w:t xml:space="preserve"> Rules</w:t>
      </w:r>
      <w:r w:rsidR="00232DE2">
        <w:rPr>
          <w:rFonts w:ascii="Palatino Linotype" w:hAnsi="Palatino Linotype"/>
          <w:bCs/>
          <w:szCs w:val="26"/>
        </w:rPr>
        <w:t>,</w:t>
      </w:r>
    </w:p>
    <w:p w:rsidR="005720F9" w:rsidRDefault="00231952" w:rsidP="00232DE2">
      <w:pPr>
        <w:autoSpaceDE w:val="0"/>
        <w:autoSpaceDN w:val="0"/>
        <w:adjustRightInd w:val="0"/>
        <w:spacing w:after="120"/>
        <w:ind w:left="1440" w:hanging="1440"/>
        <w:rPr>
          <w:rFonts w:ascii="Palatino Linotype" w:hAnsi="Palatino Linotype"/>
          <w:bCs/>
          <w:szCs w:val="26"/>
        </w:rPr>
      </w:pPr>
      <w:r>
        <w:rPr>
          <w:rFonts w:ascii="Palatino Linotype" w:hAnsi="Palatino Linotype"/>
          <w:bCs/>
          <w:szCs w:val="26"/>
        </w:rPr>
        <w:t>(</w:t>
      </w:r>
      <w:r w:rsidR="0052100C">
        <w:rPr>
          <w:rFonts w:ascii="Palatino Linotype" w:hAnsi="Palatino Linotype"/>
          <w:bCs/>
          <w:szCs w:val="26"/>
        </w:rPr>
        <w:t>B</w:t>
      </w:r>
      <w:r>
        <w:rPr>
          <w:rFonts w:ascii="Palatino Linotype" w:hAnsi="Palatino Linotype"/>
          <w:bCs/>
          <w:szCs w:val="26"/>
        </w:rPr>
        <w:t xml:space="preserve">)  </w:t>
      </w:r>
      <w:r w:rsidR="009A4D1A">
        <w:rPr>
          <w:rFonts w:ascii="Palatino Linotype" w:hAnsi="Palatino Linotype"/>
          <w:bCs/>
          <w:szCs w:val="26"/>
        </w:rPr>
        <w:t xml:space="preserve">Substantive Proposed Changes to </w:t>
      </w:r>
      <w:r w:rsidR="005720F9">
        <w:rPr>
          <w:rFonts w:ascii="Palatino Linotype" w:hAnsi="Palatino Linotype"/>
          <w:bCs/>
          <w:szCs w:val="26"/>
        </w:rPr>
        <w:t xml:space="preserve">the </w:t>
      </w:r>
      <w:r w:rsidR="00CE56AC">
        <w:rPr>
          <w:rFonts w:ascii="Palatino Linotype" w:hAnsi="Palatino Linotype"/>
          <w:bCs/>
          <w:szCs w:val="26"/>
        </w:rPr>
        <w:t>Individual IOU RAM Pro Forma PPAs,</w:t>
      </w:r>
    </w:p>
    <w:p w:rsidR="00F97EF8" w:rsidRDefault="00F97EF8" w:rsidP="00232DE2">
      <w:pPr>
        <w:autoSpaceDE w:val="0"/>
        <w:autoSpaceDN w:val="0"/>
        <w:adjustRightInd w:val="0"/>
        <w:spacing w:after="120"/>
        <w:ind w:left="540" w:hanging="540"/>
        <w:rPr>
          <w:rFonts w:ascii="Palatino Linotype" w:hAnsi="Palatino Linotype"/>
          <w:bCs/>
          <w:szCs w:val="26"/>
        </w:rPr>
      </w:pPr>
      <w:r>
        <w:rPr>
          <w:rFonts w:ascii="Palatino Linotype" w:hAnsi="Palatino Linotype"/>
          <w:bCs/>
          <w:szCs w:val="26"/>
        </w:rPr>
        <w:t>(</w:t>
      </w:r>
      <w:r w:rsidR="0052100C">
        <w:rPr>
          <w:rFonts w:ascii="Palatino Linotype" w:hAnsi="Palatino Linotype"/>
          <w:bCs/>
          <w:szCs w:val="26"/>
        </w:rPr>
        <w:t>C</w:t>
      </w:r>
      <w:r>
        <w:rPr>
          <w:rFonts w:ascii="Palatino Linotype" w:hAnsi="Palatino Linotype"/>
          <w:bCs/>
          <w:szCs w:val="26"/>
        </w:rPr>
        <w:t>)  Non-substantive Proposed Changes to In</w:t>
      </w:r>
      <w:r w:rsidR="0052100C">
        <w:rPr>
          <w:rFonts w:ascii="Palatino Linotype" w:hAnsi="Palatino Linotype"/>
          <w:bCs/>
          <w:szCs w:val="26"/>
        </w:rPr>
        <w:t>dividual IOU RAM Pro Forma PPAs; and</w:t>
      </w:r>
    </w:p>
    <w:p w:rsidR="00CE56AC" w:rsidRDefault="009A4D1A" w:rsidP="00185251">
      <w:pPr>
        <w:autoSpaceDE w:val="0"/>
        <w:autoSpaceDN w:val="0"/>
        <w:adjustRightInd w:val="0"/>
        <w:spacing w:after="240"/>
        <w:ind w:left="547" w:hanging="547"/>
        <w:rPr>
          <w:rFonts w:ascii="Palatino Linotype" w:hAnsi="Palatino Linotype"/>
          <w:bCs/>
          <w:szCs w:val="26"/>
        </w:rPr>
      </w:pPr>
      <w:r>
        <w:rPr>
          <w:rFonts w:ascii="Palatino Linotype" w:hAnsi="Palatino Linotype"/>
          <w:bCs/>
          <w:szCs w:val="26"/>
        </w:rPr>
        <w:t>(</w:t>
      </w:r>
      <w:r w:rsidR="0052100C">
        <w:rPr>
          <w:rFonts w:ascii="Palatino Linotype" w:hAnsi="Palatino Linotype"/>
          <w:bCs/>
          <w:szCs w:val="26"/>
        </w:rPr>
        <w:t>D</w:t>
      </w:r>
      <w:r>
        <w:rPr>
          <w:rFonts w:ascii="Palatino Linotype" w:hAnsi="Palatino Linotype"/>
          <w:bCs/>
          <w:szCs w:val="26"/>
        </w:rPr>
        <w:t xml:space="preserve">) </w:t>
      </w:r>
      <w:r w:rsidR="00BE685E">
        <w:rPr>
          <w:rFonts w:ascii="Palatino Linotype" w:hAnsi="Palatino Linotype"/>
          <w:bCs/>
          <w:szCs w:val="26"/>
        </w:rPr>
        <w:t xml:space="preserve"> </w:t>
      </w:r>
      <w:r w:rsidR="00CE56AC">
        <w:rPr>
          <w:rFonts w:ascii="Palatino Linotype" w:hAnsi="Palatino Linotype"/>
          <w:bCs/>
          <w:szCs w:val="26"/>
        </w:rPr>
        <w:t xml:space="preserve">Substantive </w:t>
      </w:r>
      <w:r w:rsidR="00F97EF8">
        <w:rPr>
          <w:rFonts w:ascii="Palatino Linotype" w:hAnsi="Palatino Linotype"/>
          <w:bCs/>
          <w:szCs w:val="26"/>
        </w:rPr>
        <w:t xml:space="preserve">and Non-Substantive </w:t>
      </w:r>
      <w:r w:rsidR="00CE56AC">
        <w:rPr>
          <w:rFonts w:ascii="Palatino Linotype" w:hAnsi="Palatino Linotype"/>
          <w:bCs/>
          <w:szCs w:val="26"/>
        </w:rPr>
        <w:t xml:space="preserve">Proposed Changes to the Individual </w:t>
      </w:r>
      <w:r w:rsidR="0052100C">
        <w:rPr>
          <w:rFonts w:ascii="Palatino Linotype" w:hAnsi="Palatino Linotype"/>
          <w:bCs/>
          <w:szCs w:val="26"/>
        </w:rPr>
        <w:t>IOU RAM Solicitation Protocols.</w:t>
      </w:r>
    </w:p>
    <w:p w:rsidR="005F198B" w:rsidRPr="008C54D0" w:rsidRDefault="009B48DF" w:rsidP="007036B4">
      <w:pPr>
        <w:keepNext/>
        <w:autoSpaceDE w:val="0"/>
        <w:autoSpaceDN w:val="0"/>
        <w:adjustRightInd w:val="0"/>
        <w:spacing w:after="120"/>
        <w:rPr>
          <w:rFonts w:ascii="Palatino Linotype" w:hAnsi="Palatino Linotype"/>
          <w:b/>
          <w:bCs/>
          <w:szCs w:val="26"/>
        </w:rPr>
      </w:pPr>
      <w:r>
        <w:rPr>
          <w:rFonts w:ascii="Palatino Linotype" w:hAnsi="Palatino Linotype"/>
          <w:b/>
          <w:bCs/>
          <w:szCs w:val="26"/>
        </w:rPr>
        <w:t xml:space="preserve">A. </w:t>
      </w:r>
      <w:r w:rsidR="009A4D1A" w:rsidRPr="008C54D0">
        <w:rPr>
          <w:rFonts w:ascii="Palatino Linotype" w:hAnsi="Palatino Linotype"/>
          <w:b/>
          <w:bCs/>
          <w:szCs w:val="26"/>
        </w:rPr>
        <w:t xml:space="preserve">Proposed </w:t>
      </w:r>
      <w:r w:rsidR="005F198B" w:rsidRPr="008C54D0">
        <w:rPr>
          <w:rFonts w:ascii="Palatino Linotype" w:hAnsi="Palatino Linotype"/>
          <w:b/>
          <w:bCs/>
          <w:szCs w:val="26"/>
        </w:rPr>
        <w:t xml:space="preserve">Changes to </w:t>
      </w:r>
      <w:r w:rsidR="005720F9" w:rsidRPr="008C54D0">
        <w:rPr>
          <w:rFonts w:ascii="Palatino Linotype" w:hAnsi="Palatino Linotype"/>
          <w:b/>
          <w:bCs/>
          <w:szCs w:val="26"/>
        </w:rPr>
        <w:t xml:space="preserve">the </w:t>
      </w:r>
      <w:r w:rsidR="005F198B" w:rsidRPr="008C54D0">
        <w:rPr>
          <w:rFonts w:ascii="Palatino Linotype" w:hAnsi="Palatino Linotype"/>
          <w:b/>
          <w:bCs/>
          <w:szCs w:val="26"/>
        </w:rPr>
        <w:t>RAM</w:t>
      </w:r>
      <w:r w:rsidR="005720F9" w:rsidRPr="008C54D0">
        <w:rPr>
          <w:rFonts w:ascii="Palatino Linotype" w:hAnsi="Palatino Linotype"/>
          <w:b/>
          <w:bCs/>
          <w:szCs w:val="26"/>
        </w:rPr>
        <w:t xml:space="preserve"> Program</w:t>
      </w:r>
      <w:r w:rsidR="001864A8">
        <w:rPr>
          <w:rFonts w:ascii="Palatino Linotype" w:hAnsi="Palatino Linotype"/>
          <w:b/>
          <w:bCs/>
          <w:szCs w:val="26"/>
        </w:rPr>
        <w:t xml:space="preserve"> Rules</w:t>
      </w:r>
    </w:p>
    <w:p w:rsidR="008224BA" w:rsidRDefault="009D6900" w:rsidP="00185251">
      <w:pPr>
        <w:spacing w:after="240"/>
        <w:rPr>
          <w:rFonts w:ascii="Palatino Linotype" w:hAnsi="Palatino Linotype"/>
          <w:bCs/>
          <w:szCs w:val="26"/>
        </w:rPr>
      </w:pPr>
      <w:r>
        <w:rPr>
          <w:rFonts w:ascii="Palatino Linotype" w:hAnsi="Palatino Linotype"/>
          <w:bCs/>
          <w:szCs w:val="26"/>
        </w:rPr>
        <w:t>PG&amp;</w:t>
      </w:r>
      <w:r w:rsidR="007036B4">
        <w:rPr>
          <w:rFonts w:ascii="Palatino Linotype" w:hAnsi="Palatino Linotype"/>
          <w:bCs/>
          <w:szCs w:val="26"/>
        </w:rPr>
        <w:t>E requests</w:t>
      </w:r>
      <w:r>
        <w:rPr>
          <w:rFonts w:ascii="Palatino Linotype" w:hAnsi="Palatino Linotype"/>
          <w:bCs/>
          <w:szCs w:val="26"/>
        </w:rPr>
        <w:t xml:space="preserve"> </w:t>
      </w:r>
      <w:r w:rsidR="007036B4">
        <w:rPr>
          <w:rFonts w:ascii="Palatino Linotype" w:hAnsi="Palatino Linotype"/>
          <w:bCs/>
          <w:szCs w:val="26"/>
        </w:rPr>
        <w:t>three</w:t>
      </w:r>
      <w:r w:rsidR="006641A8">
        <w:rPr>
          <w:rFonts w:ascii="Palatino Linotype" w:hAnsi="Palatino Linotype"/>
          <w:bCs/>
          <w:szCs w:val="26"/>
        </w:rPr>
        <w:t xml:space="preserve"> changes</w:t>
      </w:r>
      <w:r w:rsidR="001A2B7D">
        <w:rPr>
          <w:rFonts w:ascii="Palatino Linotype" w:hAnsi="Palatino Linotype"/>
          <w:bCs/>
          <w:szCs w:val="26"/>
        </w:rPr>
        <w:t xml:space="preserve"> to the RAM program</w:t>
      </w:r>
      <w:r w:rsidR="001864A8">
        <w:rPr>
          <w:rFonts w:ascii="Palatino Linotype" w:hAnsi="Palatino Linotype"/>
          <w:bCs/>
          <w:szCs w:val="26"/>
        </w:rPr>
        <w:t xml:space="preserve"> rules</w:t>
      </w:r>
      <w:r w:rsidR="001A2B7D">
        <w:rPr>
          <w:rFonts w:ascii="Palatino Linotype" w:hAnsi="Palatino Linotype"/>
          <w:bCs/>
          <w:szCs w:val="26"/>
        </w:rPr>
        <w:t>.</w:t>
      </w:r>
      <w:r w:rsidR="0052100C">
        <w:rPr>
          <w:rStyle w:val="FootnoteReference"/>
          <w:rFonts w:ascii="Palatino Linotype" w:hAnsi="Palatino Linotype"/>
          <w:bCs/>
          <w:szCs w:val="26"/>
        </w:rPr>
        <w:footnoteReference w:id="3"/>
      </w:r>
      <w:r w:rsidR="007E05B6">
        <w:rPr>
          <w:rFonts w:ascii="Palatino Linotype" w:hAnsi="Palatino Linotype"/>
          <w:bCs/>
          <w:szCs w:val="26"/>
        </w:rPr>
        <w:t xml:space="preserve"> </w:t>
      </w:r>
      <w:r w:rsidR="00B87498">
        <w:rPr>
          <w:rFonts w:ascii="Palatino Linotype" w:hAnsi="Palatino Linotype"/>
          <w:bCs/>
          <w:szCs w:val="26"/>
        </w:rPr>
        <w:t xml:space="preserve"> </w:t>
      </w:r>
      <w:r>
        <w:rPr>
          <w:rFonts w:ascii="Palatino Linotype" w:hAnsi="Palatino Linotype"/>
          <w:bCs/>
          <w:szCs w:val="26"/>
        </w:rPr>
        <w:t>First, PG&amp;E request</w:t>
      </w:r>
      <w:r w:rsidR="007036B4">
        <w:rPr>
          <w:rFonts w:ascii="Palatino Linotype" w:hAnsi="Palatino Linotype"/>
          <w:bCs/>
          <w:szCs w:val="26"/>
        </w:rPr>
        <w:t>s</w:t>
      </w:r>
      <w:r>
        <w:rPr>
          <w:rFonts w:ascii="Palatino Linotype" w:hAnsi="Palatino Linotype"/>
          <w:bCs/>
          <w:szCs w:val="26"/>
        </w:rPr>
        <w:t xml:space="preserve"> to increase </w:t>
      </w:r>
      <w:r w:rsidR="006959E1">
        <w:rPr>
          <w:rFonts w:ascii="Palatino Linotype" w:hAnsi="Palatino Linotype"/>
          <w:bCs/>
          <w:szCs w:val="26"/>
        </w:rPr>
        <w:t xml:space="preserve">the extension period </w:t>
      </w:r>
      <w:r w:rsidR="00BC00B0">
        <w:rPr>
          <w:rFonts w:ascii="Palatino Linotype" w:hAnsi="Palatino Linotype"/>
          <w:bCs/>
          <w:szCs w:val="26"/>
        </w:rPr>
        <w:t xml:space="preserve">for </w:t>
      </w:r>
      <w:r w:rsidR="00A81434">
        <w:rPr>
          <w:rFonts w:ascii="Palatino Linotype" w:hAnsi="Palatino Linotype"/>
          <w:bCs/>
          <w:szCs w:val="26"/>
        </w:rPr>
        <w:t>when a facility must achieve its commercial operation or online date (</w:t>
      </w:r>
      <w:r w:rsidR="00BC00B0">
        <w:rPr>
          <w:rFonts w:ascii="Palatino Linotype" w:hAnsi="Palatino Linotype"/>
          <w:bCs/>
          <w:szCs w:val="26"/>
        </w:rPr>
        <w:t>COD</w:t>
      </w:r>
      <w:r w:rsidR="00A81434">
        <w:rPr>
          <w:rFonts w:ascii="Palatino Linotype" w:hAnsi="Palatino Linotype"/>
          <w:bCs/>
          <w:szCs w:val="26"/>
        </w:rPr>
        <w:t>)</w:t>
      </w:r>
      <w:r w:rsidR="00BC00B0">
        <w:rPr>
          <w:rFonts w:ascii="Palatino Linotype" w:hAnsi="Palatino Linotype"/>
          <w:bCs/>
          <w:szCs w:val="26"/>
        </w:rPr>
        <w:t xml:space="preserve"> </w:t>
      </w:r>
      <w:r w:rsidR="006959E1">
        <w:rPr>
          <w:rFonts w:ascii="Palatino Linotype" w:hAnsi="Palatino Linotype"/>
          <w:bCs/>
          <w:szCs w:val="26"/>
        </w:rPr>
        <w:t xml:space="preserve">due to regulatory </w:t>
      </w:r>
      <w:r w:rsidR="00BC00B0">
        <w:rPr>
          <w:rFonts w:ascii="Palatino Linotype" w:hAnsi="Palatino Linotype"/>
          <w:bCs/>
          <w:szCs w:val="26"/>
        </w:rPr>
        <w:t xml:space="preserve">delay </w:t>
      </w:r>
      <w:r>
        <w:rPr>
          <w:rFonts w:ascii="Palatino Linotype" w:hAnsi="Palatino Linotype"/>
          <w:bCs/>
          <w:szCs w:val="26"/>
        </w:rPr>
        <w:t xml:space="preserve">from six months to eighteen months.  Second, PG&amp;E requests to modify the interconnection eligibility requirement from Phase I interconnection study to Phase II interconnection study.  </w:t>
      </w:r>
      <w:r w:rsidR="007036B4">
        <w:rPr>
          <w:rFonts w:ascii="Palatino Linotype" w:hAnsi="Palatino Linotype"/>
          <w:bCs/>
          <w:szCs w:val="26"/>
        </w:rPr>
        <w:t>Third, PG&amp;E request</w:t>
      </w:r>
      <w:r w:rsidR="00100402">
        <w:rPr>
          <w:rFonts w:ascii="Palatino Linotype" w:hAnsi="Palatino Linotype"/>
          <w:bCs/>
          <w:szCs w:val="26"/>
        </w:rPr>
        <w:t>s</w:t>
      </w:r>
      <w:r w:rsidR="007036B4">
        <w:rPr>
          <w:rFonts w:ascii="Palatino Linotype" w:hAnsi="Palatino Linotype"/>
          <w:bCs/>
          <w:szCs w:val="26"/>
        </w:rPr>
        <w:t xml:space="preserve"> to modify the date by which the IOUs must close their RAM V solicitations.  </w:t>
      </w:r>
      <w:r>
        <w:rPr>
          <w:rFonts w:ascii="Palatino Linotype" w:hAnsi="Palatino Linotype"/>
          <w:bCs/>
          <w:szCs w:val="26"/>
        </w:rPr>
        <w:t xml:space="preserve">SCE and SDG&amp;E did not request any </w:t>
      </w:r>
      <w:r w:rsidR="006F4F29">
        <w:rPr>
          <w:rFonts w:ascii="Palatino Linotype" w:hAnsi="Palatino Linotype"/>
          <w:bCs/>
          <w:szCs w:val="26"/>
        </w:rPr>
        <w:t>changes to the RAM program</w:t>
      </w:r>
      <w:r w:rsidR="001864A8">
        <w:rPr>
          <w:rFonts w:ascii="Palatino Linotype" w:hAnsi="Palatino Linotype"/>
          <w:bCs/>
          <w:szCs w:val="26"/>
        </w:rPr>
        <w:t xml:space="preserve"> rules</w:t>
      </w:r>
      <w:r w:rsidR="00480C65">
        <w:rPr>
          <w:rFonts w:ascii="Palatino Linotype" w:hAnsi="Palatino Linotype"/>
          <w:bCs/>
          <w:szCs w:val="26"/>
        </w:rPr>
        <w:t xml:space="preserve">. </w:t>
      </w:r>
      <w:r w:rsidR="009B48DF">
        <w:rPr>
          <w:rFonts w:ascii="Palatino Linotype" w:hAnsi="Palatino Linotype"/>
          <w:bCs/>
          <w:szCs w:val="26"/>
        </w:rPr>
        <w:t xml:space="preserve"> Table 1 is a summary of the proposed </w:t>
      </w:r>
      <w:r w:rsidR="007E459E">
        <w:rPr>
          <w:rFonts w:ascii="Palatino Linotype" w:hAnsi="Palatino Linotype"/>
          <w:bCs/>
          <w:szCs w:val="26"/>
        </w:rPr>
        <w:t xml:space="preserve">RAM program </w:t>
      </w:r>
      <w:r w:rsidR="001864A8">
        <w:rPr>
          <w:rFonts w:ascii="Palatino Linotype" w:hAnsi="Palatino Linotype"/>
          <w:bCs/>
          <w:szCs w:val="26"/>
        </w:rPr>
        <w:t xml:space="preserve">rule </w:t>
      </w:r>
      <w:r w:rsidR="009B48DF">
        <w:rPr>
          <w:rFonts w:ascii="Palatino Linotype" w:hAnsi="Palatino Linotype"/>
          <w:bCs/>
          <w:szCs w:val="26"/>
        </w:rPr>
        <w:t>changes</w:t>
      </w:r>
      <w:r w:rsidR="007E459E">
        <w:rPr>
          <w:rFonts w:ascii="Palatino Linotype" w:hAnsi="Palatino Linotype"/>
          <w:bCs/>
          <w:szCs w:val="26"/>
        </w:rPr>
        <w:t>.</w:t>
      </w:r>
    </w:p>
    <w:p w:rsidR="0059641E" w:rsidRDefault="0059641E" w:rsidP="00232DE2">
      <w:pPr>
        <w:spacing w:after="120"/>
      </w:pPr>
      <w:r w:rsidRPr="00600701">
        <w:rPr>
          <w:rFonts w:ascii="Palatino Linotype" w:hAnsi="Palatino Linotype"/>
          <w:b/>
        </w:rPr>
        <w:t xml:space="preserve">Table </w:t>
      </w:r>
      <w:r>
        <w:rPr>
          <w:rFonts w:ascii="Palatino Linotype" w:hAnsi="Palatino Linotype"/>
          <w:b/>
        </w:rPr>
        <w:t>1</w:t>
      </w:r>
      <w:r w:rsidRPr="00600701">
        <w:rPr>
          <w:rFonts w:ascii="Palatino Linotype" w:hAnsi="Palatino Linotype"/>
          <w:b/>
        </w:rPr>
        <w:t xml:space="preserve">. </w:t>
      </w:r>
      <w:r>
        <w:rPr>
          <w:rFonts w:ascii="Palatino Linotype" w:hAnsi="Palatino Linotype"/>
          <w:b/>
        </w:rPr>
        <w:t xml:space="preserve"> Summary of </w:t>
      </w:r>
      <w:r w:rsidRPr="00600701">
        <w:rPr>
          <w:rFonts w:ascii="Palatino Linotype" w:hAnsi="Palatino Linotype"/>
          <w:b/>
        </w:rPr>
        <w:t xml:space="preserve">Proposed </w:t>
      </w:r>
      <w:r>
        <w:rPr>
          <w:rFonts w:ascii="Palatino Linotype" w:hAnsi="Palatino Linotype"/>
          <w:b/>
        </w:rPr>
        <w:t xml:space="preserve">Substantive </w:t>
      </w:r>
      <w:r w:rsidRPr="00600701">
        <w:rPr>
          <w:rFonts w:ascii="Palatino Linotype" w:hAnsi="Palatino Linotype"/>
          <w:b/>
        </w:rPr>
        <w:t xml:space="preserve">Changes </w:t>
      </w:r>
      <w:r>
        <w:rPr>
          <w:rFonts w:ascii="Palatino Linotype" w:hAnsi="Palatino Linotype"/>
          <w:b/>
        </w:rPr>
        <w:t>to</w:t>
      </w:r>
      <w:r w:rsidRPr="00600701">
        <w:rPr>
          <w:rFonts w:ascii="Palatino Linotype" w:hAnsi="Palatino Linotype"/>
          <w:b/>
        </w:rPr>
        <w:t xml:space="preserve"> </w:t>
      </w:r>
      <w:r>
        <w:rPr>
          <w:rFonts w:ascii="Palatino Linotype" w:hAnsi="Palatino Linotype"/>
          <w:b/>
        </w:rPr>
        <w:t>the RAM Program</w:t>
      </w:r>
    </w:p>
    <w:tbl>
      <w:tblPr>
        <w:tblW w:w="9519"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8"/>
        <w:gridCol w:w="2991"/>
        <w:gridCol w:w="2520"/>
        <w:gridCol w:w="1890"/>
      </w:tblGrid>
      <w:tr w:rsidR="00FB0D88" w:rsidRPr="00F43342" w:rsidTr="00FB0D88">
        <w:trPr>
          <w:tblHeader/>
          <w:jc w:val="center"/>
        </w:trPr>
        <w:tc>
          <w:tcPr>
            <w:tcW w:w="2118" w:type="dxa"/>
            <w:shd w:val="clear" w:color="auto" w:fill="F2F2F2"/>
            <w:vAlign w:val="center"/>
          </w:tcPr>
          <w:p w:rsidR="00FB0D88" w:rsidRPr="000D008E" w:rsidRDefault="00FB0D88" w:rsidP="009F5A73">
            <w:pPr>
              <w:jc w:val="center"/>
              <w:rPr>
                <w:rFonts w:ascii="Palatino Linotype" w:hAnsi="Palatino Linotype"/>
                <w:b/>
                <w:sz w:val="22"/>
                <w:szCs w:val="22"/>
              </w:rPr>
            </w:pPr>
            <w:r w:rsidRPr="000D008E">
              <w:rPr>
                <w:rFonts w:ascii="Palatino Linotype" w:hAnsi="Palatino Linotype"/>
                <w:b/>
                <w:sz w:val="22"/>
                <w:szCs w:val="22"/>
              </w:rPr>
              <w:t>Subject of Change</w:t>
            </w:r>
          </w:p>
        </w:tc>
        <w:tc>
          <w:tcPr>
            <w:tcW w:w="2991" w:type="dxa"/>
            <w:shd w:val="clear" w:color="auto" w:fill="F2F2F2"/>
            <w:vAlign w:val="center"/>
          </w:tcPr>
          <w:p w:rsidR="00FB0D88" w:rsidRPr="000D008E" w:rsidRDefault="00FB0D88" w:rsidP="009F5A73">
            <w:pPr>
              <w:jc w:val="center"/>
              <w:rPr>
                <w:rFonts w:ascii="Palatino Linotype" w:hAnsi="Palatino Linotype"/>
                <w:b/>
                <w:sz w:val="22"/>
                <w:szCs w:val="22"/>
              </w:rPr>
            </w:pPr>
            <w:r w:rsidRPr="000D008E">
              <w:rPr>
                <w:rFonts w:ascii="Palatino Linotype" w:hAnsi="Palatino Linotype"/>
                <w:b/>
                <w:sz w:val="22"/>
                <w:szCs w:val="22"/>
              </w:rPr>
              <w:t>Existing RAM Program</w:t>
            </w:r>
          </w:p>
        </w:tc>
        <w:tc>
          <w:tcPr>
            <w:tcW w:w="2520" w:type="dxa"/>
            <w:shd w:val="clear" w:color="auto" w:fill="F2F2F2"/>
            <w:vAlign w:val="center"/>
          </w:tcPr>
          <w:p w:rsidR="00FB0D88" w:rsidRPr="000D008E" w:rsidRDefault="00FB0D88" w:rsidP="009F5A73">
            <w:pPr>
              <w:jc w:val="center"/>
              <w:rPr>
                <w:rFonts w:ascii="Palatino Linotype" w:hAnsi="Palatino Linotype"/>
                <w:b/>
                <w:sz w:val="22"/>
                <w:szCs w:val="22"/>
              </w:rPr>
            </w:pPr>
            <w:r w:rsidRPr="000D008E">
              <w:rPr>
                <w:rFonts w:ascii="Palatino Linotype" w:hAnsi="Palatino Linotype"/>
                <w:b/>
                <w:sz w:val="22"/>
                <w:szCs w:val="22"/>
              </w:rPr>
              <w:t xml:space="preserve">Proposed Revision to RAM </w:t>
            </w:r>
          </w:p>
        </w:tc>
        <w:tc>
          <w:tcPr>
            <w:tcW w:w="1890" w:type="dxa"/>
            <w:shd w:val="clear" w:color="auto" w:fill="F2F2F2"/>
            <w:vAlign w:val="center"/>
          </w:tcPr>
          <w:p w:rsidR="00FB0D88" w:rsidRPr="000D008E" w:rsidRDefault="00FB0D88" w:rsidP="009F5A73">
            <w:pPr>
              <w:jc w:val="center"/>
              <w:rPr>
                <w:rFonts w:ascii="Palatino Linotype" w:hAnsi="Palatino Linotype"/>
                <w:b/>
                <w:sz w:val="22"/>
                <w:szCs w:val="22"/>
              </w:rPr>
            </w:pPr>
            <w:r w:rsidRPr="000D008E">
              <w:rPr>
                <w:rFonts w:ascii="Palatino Linotype" w:hAnsi="Palatino Linotype"/>
                <w:b/>
                <w:sz w:val="22"/>
                <w:szCs w:val="22"/>
              </w:rPr>
              <w:t>Source of Change</w:t>
            </w:r>
          </w:p>
        </w:tc>
      </w:tr>
      <w:tr w:rsidR="00FB0D88" w:rsidRPr="009B3AFD" w:rsidTr="00FB0D88">
        <w:trPr>
          <w:jc w:val="center"/>
        </w:trPr>
        <w:tc>
          <w:tcPr>
            <w:tcW w:w="2118" w:type="dxa"/>
            <w:shd w:val="clear" w:color="auto" w:fill="auto"/>
          </w:tcPr>
          <w:p w:rsidR="00FB0D88" w:rsidRPr="000D008E" w:rsidRDefault="00FB0D88" w:rsidP="001864A8">
            <w:pPr>
              <w:spacing w:before="120" w:after="120"/>
              <w:rPr>
                <w:rFonts w:ascii="Palatino Linotype" w:hAnsi="Palatino Linotype"/>
                <w:b/>
                <w:i/>
                <w:sz w:val="22"/>
                <w:szCs w:val="22"/>
              </w:rPr>
            </w:pPr>
            <w:r w:rsidRPr="000D008E">
              <w:rPr>
                <w:rFonts w:ascii="Palatino Linotype" w:hAnsi="Palatino Linotype"/>
                <w:sz w:val="22"/>
                <w:szCs w:val="22"/>
              </w:rPr>
              <w:t>(</w:t>
            </w:r>
            <w:r>
              <w:rPr>
                <w:rFonts w:ascii="Palatino Linotype" w:hAnsi="Palatino Linotype"/>
                <w:sz w:val="22"/>
                <w:szCs w:val="22"/>
              </w:rPr>
              <w:t>1</w:t>
            </w:r>
            <w:r w:rsidRPr="000D008E">
              <w:rPr>
                <w:rFonts w:ascii="Palatino Linotype" w:hAnsi="Palatino Linotype"/>
                <w:sz w:val="22"/>
                <w:szCs w:val="22"/>
              </w:rPr>
              <w:t>)</w:t>
            </w:r>
            <w:r w:rsidRPr="000D008E">
              <w:rPr>
                <w:rFonts w:ascii="Palatino Linotype" w:hAnsi="Palatino Linotype"/>
                <w:b/>
                <w:sz w:val="22"/>
                <w:szCs w:val="22"/>
              </w:rPr>
              <w:t xml:space="preserve"> </w:t>
            </w:r>
            <w:r>
              <w:rPr>
                <w:rFonts w:ascii="Palatino Linotype" w:hAnsi="Palatino Linotype"/>
                <w:b/>
                <w:i/>
                <w:sz w:val="22"/>
                <w:szCs w:val="22"/>
              </w:rPr>
              <w:t xml:space="preserve">Commercial </w:t>
            </w:r>
            <w:r w:rsidR="00A81434">
              <w:rPr>
                <w:rFonts w:ascii="Palatino Linotype" w:hAnsi="Palatino Linotype"/>
                <w:b/>
                <w:i/>
                <w:sz w:val="22"/>
                <w:szCs w:val="22"/>
              </w:rPr>
              <w:t xml:space="preserve">Operation (or </w:t>
            </w:r>
            <w:r>
              <w:rPr>
                <w:rFonts w:ascii="Palatino Linotype" w:hAnsi="Palatino Linotype"/>
                <w:b/>
                <w:i/>
                <w:sz w:val="22"/>
                <w:szCs w:val="22"/>
              </w:rPr>
              <w:t>Online</w:t>
            </w:r>
            <w:r w:rsidR="00A81434">
              <w:rPr>
                <w:rFonts w:ascii="Palatino Linotype" w:hAnsi="Palatino Linotype"/>
                <w:b/>
                <w:i/>
                <w:sz w:val="22"/>
                <w:szCs w:val="22"/>
              </w:rPr>
              <w:t>)</w:t>
            </w:r>
            <w:r>
              <w:rPr>
                <w:rFonts w:ascii="Palatino Linotype" w:hAnsi="Palatino Linotype"/>
                <w:b/>
                <w:i/>
                <w:sz w:val="22"/>
                <w:szCs w:val="22"/>
              </w:rPr>
              <w:t xml:space="preserve"> Date</w:t>
            </w:r>
          </w:p>
        </w:tc>
        <w:tc>
          <w:tcPr>
            <w:tcW w:w="2991" w:type="dxa"/>
            <w:shd w:val="clear" w:color="auto" w:fill="auto"/>
          </w:tcPr>
          <w:p w:rsidR="00FB0D88" w:rsidRPr="000D008E" w:rsidRDefault="00FB0D88" w:rsidP="00A62C3A">
            <w:pPr>
              <w:spacing w:before="120" w:after="120"/>
              <w:rPr>
                <w:rFonts w:ascii="Palatino Linotype" w:hAnsi="Palatino Linotype"/>
                <w:sz w:val="22"/>
                <w:szCs w:val="22"/>
              </w:rPr>
            </w:pPr>
            <w:r w:rsidRPr="000D008E">
              <w:rPr>
                <w:rFonts w:ascii="Palatino Linotype" w:hAnsi="Palatino Linotype"/>
                <w:sz w:val="22"/>
                <w:szCs w:val="22"/>
              </w:rPr>
              <w:t xml:space="preserve">Pursuant to </w:t>
            </w:r>
            <w:r>
              <w:rPr>
                <w:rFonts w:ascii="Palatino Linotype" w:hAnsi="Palatino Linotype"/>
                <w:sz w:val="22"/>
                <w:szCs w:val="22"/>
              </w:rPr>
              <w:br/>
            </w:r>
            <w:r w:rsidRPr="000D008E">
              <w:rPr>
                <w:rFonts w:ascii="Palatino Linotype" w:hAnsi="Palatino Linotype"/>
                <w:sz w:val="22"/>
                <w:szCs w:val="22"/>
              </w:rPr>
              <w:t>Res. E-44</w:t>
            </w:r>
            <w:r>
              <w:rPr>
                <w:rFonts w:ascii="Palatino Linotype" w:hAnsi="Palatino Linotype"/>
                <w:sz w:val="22"/>
                <w:szCs w:val="22"/>
              </w:rPr>
              <w:t>89</w:t>
            </w:r>
            <w:r w:rsidRPr="000D008E">
              <w:rPr>
                <w:rFonts w:ascii="Palatino Linotype" w:hAnsi="Palatino Linotype"/>
                <w:sz w:val="22"/>
                <w:szCs w:val="22"/>
              </w:rPr>
              <w:t xml:space="preserve">, </w:t>
            </w:r>
            <w:r>
              <w:rPr>
                <w:rFonts w:ascii="Palatino Linotype" w:hAnsi="Palatino Linotype"/>
                <w:sz w:val="22"/>
                <w:szCs w:val="22"/>
              </w:rPr>
              <w:t xml:space="preserve">within 24 months of CPUC approval, with one 6-month extension for regulatory delays.  </w:t>
            </w:r>
          </w:p>
        </w:tc>
        <w:tc>
          <w:tcPr>
            <w:tcW w:w="2520" w:type="dxa"/>
            <w:shd w:val="clear" w:color="auto" w:fill="auto"/>
          </w:tcPr>
          <w:p w:rsidR="00FB0D88" w:rsidRPr="000D008E" w:rsidRDefault="00FB0D88" w:rsidP="00BC00B0">
            <w:pPr>
              <w:spacing w:before="120" w:after="120"/>
              <w:rPr>
                <w:rFonts w:ascii="Palatino Linotype" w:hAnsi="Palatino Linotype"/>
                <w:sz w:val="22"/>
                <w:szCs w:val="22"/>
              </w:rPr>
            </w:pPr>
            <w:r>
              <w:rPr>
                <w:rFonts w:ascii="Palatino Linotype" w:hAnsi="Palatino Linotype"/>
                <w:sz w:val="22"/>
                <w:szCs w:val="22"/>
              </w:rPr>
              <w:t>Modify extension time period for regulatory delay from 6-months to 18-months</w:t>
            </w:r>
          </w:p>
        </w:tc>
        <w:tc>
          <w:tcPr>
            <w:tcW w:w="1890" w:type="dxa"/>
          </w:tcPr>
          <w:p w:rsidR="00FB0D88" w:rsidRPr="000D008E" w:rsidRDefault="00FB0D88" w:rsidP="00A62C3A">
            <w:pPr>
              <w:spacing w:before="120" w:after="120"/>
              <w:rPr>
                <w:rFonts w:ascii="Palatino Linotype" w:hAnsi="Palatino Linotype"/>
                <w:sz w:val="22"/>
                <w:szCs w:val="22"/>
              </w:rPr>
            </w:pPr>
            <w:r>
              <w:rPr>
                <w:rFonts w:ascii="Palatino Linotype" w:hAnsi="Palatino Linotype"/>
                <w:sz w:val="22"/>
                <w:szCs w:val="22"/>
              </w:rPr>
              <w:t>PG&amp;E advice letter 4365-E, Section III.A.c</w:t>
            </w:r>
          </w:p>
        </w:tc>
      </w:tr>
      <w:tr w:rsidR="00FB0D88" w:rsidRPr="009B3AFD" w:rsidTr="00FB0D88">
        <w:trPr>
          <w:jc w:val="center"/>
        </w:trPr>
        <w:tc>
          <w:tcPr>
            <w:tcW w:w="2118" w:type="dxa"/>
            <w:tcBorders>
              <w:top w:val="single" w:sz="4" w:space="0" w:color="auto"/>
              <w:left w:val="single" w:sz="4" w:space="0" w:color="auto"/>
              <w:bottom w:val="single" w:sz="4" w:space="0" w:color="auto"/>
              <w:right w:val="single" w:sz="4" w:space="0" w:color="auto"/>
            </w:tcBorders>
            <w:shd w:val="clear" w:color="auto" w:fill="auto"/>
          </w:tcPr>
          <w:p w:rsidR="00FB0D88" w:rsidRPr="000D008E" w:rsidRDefault="00FB0D88" w:rsidP="001864A8">
            <w:pPr>
              <w:keepNext/>
              <w:keepLines/>
              <w:spacing w:before="120" w:after="120"/>
              <w:rPr>
                <w:rFonts w:ascii="Palatino Linotype" w:hAnsi="Palatino Linotype"/>
                <w:sz w:val="22"/>
                <w:szCs w:val="22"/>
              </w:rPr>
            </w:pPr>
            <w:r w:rsidRPr="000D008E">
              <w:rPr>
                <w:rFonts w:ascii="Palatino Linotype" w:hAnsi="Palatino Linotype"/>
                <w:sz w:val="22"/>
                <w:szCs w:val="22"/>
              </w:rPr>
              <w:t>(</w:t>
            </w:r>
            <w:r>
              <w:rPr>
                <w:rFonts w:ascii="Palatino Linotype" w:hAnsi="Palatino Linotype"/>
                <w:sz w:val="22"/>
                <w:szCs w:val="22"/>
              </w:rPr>
              <w:t>2</w:t>
            </w:r>
            <w:r w:rsidRPr="000D008E">
              <w:rPr>
                <w:rFonts w:ascii="Palatino Linotype" w:hAnsi="Palatino Linotype"/>
                <w:sz w:val="22"/>
                <w:szCs w:val="22"/>
              </w:rPr>
              <w:t xml:space="preserve">) </w:t>
            </w:r>
            <w:r>
              <w:rPr>
                <w:rFonts w:ascii="Palatino Linotype" w:hAnsi="Palatino Linotype"/>
                <w:sz w:val="22"/>
                <w:szCs w:val="22"/>
              </w:rPr>
              <w:t>I</w:t>
            </w:r>
            <w:r>
              <w:rPr>
                <w:rFonts w:ascii="Palatino Linotype" w:hAnsi="Palatino Linotype"/>
                <w:b/>
                <w:i/>
                <w:sz w:val="22"/>
                <w:szCs w:val="22"/>
              </w:rPr>
              <w:t>nterconnection Application</w:t>
            </w:r>
          </w:p>
        </w:tc>
        <w:tc>
          <w:tcPr>
            <w:tcW w:w="2991" w:type="dxa"/>
            <w:tcBorders>
              <w:top w:val="single" w:sz="4" w:space="0" w:color="auto"/>
              <w:left w:val="single" w:sz="4" w:space="0" w:color="auto"/>
              <w:bottom w:val="single" w:sz="4" w:space="0" w:color="auto"/>
              <w:right w:val="single" w:sz="4" w:space="0" w:color="auto"/>
            </w:tcBorders>
            <w:shd w:val="clear" w:color="auto" w:fill="auto"/>
          </w:tcPr>
          <w:p w:rsidR="00FB0D88" w:rsidRPr="000D008E" w:rsidRDefault="00FB0D88" w:rsidP="007E05B6">
            <w:pPr>
              <w:keepNext/>
              <w:keepLines/>
              <w:spacing w:before="120" w:after="120"/>
              <w:rPr>
                <w:rFonts w:ascii="Palatino Linotype" w:hAnsi="Palatino Linotype"/>
                <w:sz w:val="22"/>
                <w:szCs w:val="22"/>
              </w:rPr>
            </w:pPr>
            <w:r>
              <w:rPr>
                <w:rFonts w:ascii="Palatino Linotype" w:hAnsi="Palatino Linotype"/>
                <w:sz w:val="22"/>
                <w:szCs w:val="22"/>
              </w:rPr>
              <w:t>Bidder must file interconnection application and have a completed System-Impact Study, Cluster Study Phase 1, or have passed the Fast Track screens</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B0D88" w:rsidRPr="00A62C3A" w:rsidRDefault="00FB0D88" w:rsidP="00A62C3A">
            <w:pPr>
              <w:keepNext/>
              <w:keepLines/>
              <w:spacing w:before="120" w:after="120"/>
              <w:rPr>
                <w:rFonts w:ascii="Palatino Linotype" w:hAnsi="Palatino Linotype"/>
                <w:sz w:val="22"/>
                <w:szCs w:val="22"/>
              </w:rPr>
            </w:pPr>
            <w:r>
              <w:rPr>
                <w:rFonts w:ascii="Palatino Linotype" w:hAnsi="Palatino Linotype"/>
                <w:sz w:val="22"/>
                <w:szCs w:val="22"/>
              </w:rPr>
              <w:t>Modify the transmission study requirement from Phase I to Phase II</w:t>
            </w:r>
          </w:p>
        </w:tc>
        <w:tc>
          <w:tcPr>
            <w:tcW w:w="1890" w:type="dxa"/>
            <w:tcBorders>
              <w:top w:val="single" w:sz="4" w:space="0" w:color="auto"/>
              <w:left w:val="single" w:sz="4" w:space="0" w:color="auto"/>
              <w:bottom w:val="single" w:sz="4" w:space="0" w:color="auto"/>
              <w:right w:val="single" w:sz="4" w:space="0" w:color="auto"/>
            </w:tcBorders>
          </w:tcPr>
          <w:p w:rsidR="00FB0D88" w:rsidRPr="000D008E" w:rsidRDefault="00FB0D88" w:rsidP="00C801BD">
            <w:pPr>
              <w:keepNext/>
              <w:keepLines/>
              <w:spacing w:before="120" w:after="120"/>
              <w:rPr>
                <w:rFonts w:ascii="Palatino Linotype" w:hAnsi="Palatino Linotype"/>
                <w:sz w:val="22"/>
                <w:szCs w:val="22"/>
              </w:rPr>
            </w:pPr>
            <w:r>
              <w:rPr>
                <w:rFonts w:ascii="Palatino Linotype" w:hAnsi="Palatino Linotype"/>
                <w:sz w:val="22"/>
                <w:szCs w:val="22"/>
              </w:rPr>
              <w:t>PGE advice letter</w:t>
            </w:r>
            <w:r w:rsidRPr="000D008E">
              <w:rPr>
                <w:rFonts w:ascii="Palatino Linotype" w:hAnsi="Palatino Linotype"/>
                <w:sz w:val="22"/>
                <w:szCs w:val="22"/>
              </w:rPr>
              <w:t xml:space="preserve"> </w:t>
            </w:r>
            <w:r>
              <w:rPr>
                <w:rFonts w:ascii="Palatino Linotype" w:hAnsi="Palatino Linotype"/>
                <w:sz w:val="22"/>
                <w:szCs w:val="22"/>
              </w:rPr>
              <w:t>4365-E, Section III.B.a</w:t>
            </w:r>
            <w:r w:rsidRPr="000D008E">
              <w:rPr>
                <w:rFonts w:ascii="Palatino Linotype" w:hAnsi="Palatino Linotype"/>
                <w:sz w:val="22"/>
                <w:szCs w:val="22"/>
              </w:rPr>
              <w:t xml:space="preserve"> </w:t>
            </w:r>
          </w:p>
        </w:tc>
      </w:tr>
      <w:tr w:rsidR="00FB0D88" w:rsidRPr="009B3AFD" w:rsidTr="00FB0D88">
        <w:trPr>
          <w:jc w:val="center"/>
        </w:trPr>
        <w:tc>
          <w:tcPr>
            <w:tcW w:w="2118" w:type="dxa"/>
            <w:tcBorders>
              <w:top w:val="single" w:sz="4" w:space="0" w:color="auto"/>
              <w:left w:val="single" w:sz="4" w:space="0" w:color="auto"/>
              <w:bottom w:val="single" w:sz="4" w:space="0" w:color="auto"/>
              <w:right w:val="single" w:sz="4" w:space="0" w:color="auto"/>
            </w:tcBorders>
            <w:shd w:val="clear" w:color="auto" w:fill="auto"/>
          </w:tcPr>
          <w:p w:rsidR="00FB0D88" w:rsidRPr="000D008E" w:rsidRDefault="00FB0D88" w:rsidP="001864A8">
            <w:pPr>
              <w:keepNext/>
              <w:keepLines/>
              <w:spacing w:before="120" w:after="120"/>
              <w:rPr>
                <w:rFonts w:ascii="Palatino Linotype" w:hAnsi="Palatino Linotype"/>
                <w:sz w:val="22"/>
                <w:szCs w:val="22"/>
              </w:rPr>
            </w:pPr>
            <w:r>
              <w:rPr>
                <w:rFonts w:ascii="Palatino Linotype" w:hAnsi="Palatino Linotype"/>
                <w:sz w:val="22"/>
                <w:szCs w:val="22"/>
              </w:rPr>
              <w:t xml:space="preserve">(3) </w:t>
            </w:r>
            <w:r w:rsidRPr="0009709B">
              <w:rPr>
                <w:rFonts w:ascii="Palatino Linotype" w:hAnsi="Palatino Linotype"/>
                <w:b/>
                <w:i/>
                <w:sz w:val="22"/>
                <w:szCs w:val="22"/>
              </w:rPr>
              <w:t>Extension of RAM V Auction Completion Date</w:t>
            </w:r>
          </w:p>
        </w:tc>
        <w:tc>
          <w:tcPr>
            <w:tcW w:w="2991" w:type="dxa"/>
            <w:tcBorders>
              <w:top w:val="single" w:sz="4" w:space="0" w:color="auto"/>
              <w:left w:val="single" w:sz="4" w:space="0" w:color="auto"/>
              <w:bottom w:val="single" w:sz="4" w:space="0" w:color="auto"/>
              <w:right w:val="single" w:sz="4" w:space="0" w:color="auto"/>
            </w:tcBorders>
            <w:shd w:val="clear" w:color="auto" w:fill="auto"/>
          </w:tcPr>
          <w:p w:rsidR="00FB0D88" w:rsidRDefault="00FB0D88" w:rsidP="007E05B6">
            <w:pPr>
              <w:keepNext/>
              <w:keepLines/>
              <w:spacing w:before="120" w:after="120"/>
              <w:rPr>
                <w:rFonts w:ascii="Palatino Linotype" w:hAnsi="Palatino Linotype"/>
                <w:sz w:val="22"/>
                <w:szCs w:val="22"/>
              </w:rPr>
            </w:pPr>
            <w:r>
              <w:rPr>
                <w:rFonts w:ascii="Palatino Linotype" w:hAnsi="Palatino Linotype"/>
                <w:sz w:val="22"/>
                <w:szCs w:val="22"/>
              </w:rPr>
              <w:t xml:space="preserve">RAM V Auction Completion Date is </w:t>
            </w:r>
            <w:r w:rsidR="00185251">
              <w:rPr>
                <w:rFonts w:ascii="Palatino Linotype" w:hAnsi="Palatino Linotype"/>
                <w:sz w:val="22"/>
                <w:szCs w:val="22"/>
              </w:rPr>
              <w:br/>
            </w:r>
            <w:r>
              <w:rPr>
                <w:rFonts w:ascii="Palatino Linotype" w:hAnsi="Palatino Linotype"/>
                <w:sz w:val="22"/>
                <w:szCs w:val="22"/>
              </w:rPr>
              <w:t>June 27, 2014</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B0D88" w:rsidRDefault="00FB0D88" w:rsidP="00A62C3A">
            <w:pPr>
              <w:keepNext/>
              <w:keepLines/>
              <w:spacing w:before="120" w:after="120"/>
              <w:rPr>
                <w:rFonts w:ascii="Palatino Linotype" w:hAnsi="Palatino Linotype"/>
                <w:sz w:val="22"/>
                <w:szCs w:val="22"/>
              </w:rPr>
            </w:pPr>
            <w:r>
              <w:rPr>
                <w:rFonts w:ascii="Palatino Linotype" w:hAnsi="Palatino Linotype"/>
                <w:sz w:val="22"/>
                <w:szCs w:val="22"/>
              </w:rPr>
              <w:t>If approval of advice letter 4365-E is after May 1, 2014, the RAM V Completion Date should be 45 days after resolution is approved</w:t>
            </w:r>
          </w:p>
        </w:tc>
        <w:tc>
          <w:tcPr>
            <w:tcW w:w="1890" w:type="dxa"/>
            <w:tcBorders>
              <w:top w:val="single" w:sz="4" w:space="0" w:color="auto"/>
              <w:left w:val="single" w:sz="4" w:space="0" w:color="auto"/>
              <w:bottom w:val="single" w:sz="4" w:space="0" w:color="auto"/>
              <w:right w:val="single" w:sz="4" w:space="0" w:color="auto"/>
            </w:tcBorders>
          </w:tcPr>
          <w:p w:rsidR="00FB0D88" w:rsidRDefault="00FB0D88" w:rsidP="00A62C3A">
            <w:pPr>
              <w:keepNext/>
              <w:keepLines/>
              <w:spacing w:before="120" w:after="120"/>
              <w:rPr>
                <w:rFonts w:ascii="Palatino Linotype" w:hAnsi="Palatino Linotype"/>
                <w:sz w:val="22"/>
                <w:szCs w:val="22"/>
              </w:rPr>
            </w:pPr>
            <w:r>
              <w:rPr>
                <w:rFonts w:ascii="Palatino Linotype" w:hAnsi="Palatino Linotype"/>
                <w:sz w:val="22"/>
                <w:szCs w:val="22"/>
              </w:rPr>
              <w:t>PG&amp;E advice letter 4365-E, Section V</w:t>
            </w:r>
          </w:p>
        </w:tc>
      </w:tr>
    </w:tbl>
    <w:p w:rsidR="000F5927" w:rsidRDefault="000F5927" w:rsidP="00FB0D88">
      <w:pPr>
        <w:rPr>
          <w:rFonts w:ascii="Palatino Linotype" w:hAnsi="Palatino Linotype"/>
          <w:b/>
          <w:i/>
        </w:rPr>
      </w:pPr>
    </w:p>
    <w:p w:rsidR="001864A8" w:rsidRPr="0015535F" w:rsidRDefault="001864A8" w:rsidP="00A37E96">
      <w:pPr>
        <w:keepNext/>
        <w:keepLines/>
        <w:autoSpaceDE w:val="0"/>
        <w:autoSpaceDN w:val="0"/>
        <w:adjustRightInd w:val="0"/>
        <w:spacing w:after="120"/>
        <w:rPr>
          <w:rFonts w:ascii="Palatino Linotype" w:hAnsi="Palatino Linotype"/>
          <w:bCs/>
          <w:szCs w:val="26"/>
        </w:rPr>
      </w:pPr>
      <w:r>
        <w:rPr>
          <w:rFonts w:ascii="Palatino Linotype" w:hAnsi="Palatino Linotype"/>
          <w:bCs/>
          <w:szCs w:val="26"/>
        </w:rPr>
        <w:t>Energy Division evaluated the necessity of these changes to the RAM program based on the following criteria</w:t>
      </w:r>
      <w:r w:rsidRPr="0015535F">
        <w:rPr>
          <w:rFonts w:ascii="Palatino Linotype" w:hAnsi="Palatino Linotype"/>
          <w:bCs/>
          <w:szCs w:val="26"/>
        </w:rPr>
        <w:t>:</w:t>
      </w:r>
    </w:p>
    <w:p w:rsidR="001864A8" w:rsidRPr="00C23E90" w:rsidRDefault="001864A8" w:rsidP="00A37E96">
      <w:pPr>
        <w:keepNext/>
        <w:keepLines/>
        <w:numPr>
          <w:ilvl w:val="0"/>
          <w:numId w:val="6"/>
        </w:numPr>
        <w:spacing w:after="120"/>
        <w:rPr>
          <w:rFonts w:ascii="Palatino Linotype" w:hAnsi="Palatino Linotype"/>
        </w:rPr>
      </w:pPr>
      <w:r w:rsidRPr="00C23E90">
        <w:rPr>
          <w:rFonts w:ascii="Palatino Linotype" w:hAnsi="Palatino Linotype"/>
        </w:rPr>
        <w:t>Consistency with Decision 10-12-048</w:t>
      </w:r>
      <w:r>
        <w:rPr>
          <w:rFonts w:ascii="Palatino Linotype" w:hAnsi="Palatino Linotype"/>
        </w:rPr>
        <w:t>, as modified by</w:t>
      </w:r>
      <w:r w:rsidRPr="00C23E90">
        <w:rPr>
          <w:rFonts w:ascii="Palatino Linotype" w:hAnsi="Palatino Linotype"/>
        </w:rPr>
        <w:t xml:space="preserve"> </w:t>
      </w:r>
      <w:r>
        <w:rPr>
          <w:rFonts w:ascii="Palatino Linotype" w:hAnsi="Palatino Linotype"/>
        </w:rPr>
        <w:t>Resolution E-4414 Resolution E-4489, Resolution 4546-E, and Resolution 4582-E.</w:t>
      </w:r>
    </w:p>
    <w:p w:rsidR="001864A8" w:rsidRPr="007E05B6" w:rsidRDefault="001864A8" w:rsidP="001864A8">
      <w:pPr>
        <w:numPr>
          <w:ilvl w:val="0"/>
          <w:numId w:val="6"/>
        </w:numPr>
        <w:spacing w:after="240"/>
        <w:rPr>
          <w:rFonts w:ascii="Palatino Linotype" w:hAnsi="Palatino Linotype"/>
        </w:rPr>
      </w:pPr>
      <w:r w:rsidRPr="007E05B6">
        <w:rPr>
          <w:rFonts w:ascii="Palatino Linotype" w:hAnsi="Palatino Linotype"/>
        </w:rPr>
        <w:t xml:space="preserve">Evidence that these changes </w:t>
      </w:r>
      <w:r>
        <w:rPr>
          <w:rFonts w:ascii="Palatino Linotype" w:hAnsi="Palatino Linotype"/>
        </w:rPr>
        <w:t xml:space="preserve">are needed and </w:t>
      </w:r>
      <w:r w:rsidRPr="007E05B6">
        <w:rPr>
          <w:rFonts w:ascii="Palatino Linotype" w:hAnsi="Palatino Linotype"/>
        </w:rPr>
        <w:t>will improve the RAM program.</w:t>
      </w:r>
    </w:p>
    <w:p w:rsidR="000F5927" w:rsidRPr="00F43342" w:rsidRDefault="000F5927" w:rsidP="00232DE2">
      <w:pPr>
        <w:keepNext/>
        <w:numPr>
          <w:ilvl w:val="0"/>
          <w:numId w:val="43"/>
        </w:numPr>
        <w:spacing w:after="120"/>
        <w:rPr>
          <w:rFonts w:ascii="Palatino Linotype" w:hAnsi="Palatino Linotype"/>
          <w:b/>
          <w:i/>
        </w:rPr>
      </w:pPr>
      <w:r w:rsidRPr="00F43342">
        <w:rPr>
          <w:rFonts w:ascii="Palatino Linotype" w:hAnsi="Palatino Linotype"/>
          <w:b/>
          <w:i/>
        </w:rPr>
        <w:t xml:space="preserve"> </w:t>
      </w:r>
      <w:r>
        <w:rPr>
          <w:rFonts w:ascii="Palatino Linotype" w:hAnsi="Palatino Linotype"/>
          <w:b/>
          <w:i/>
        </w:rPr>
        <w:t xml:space="preserve">Commercial </w:t>
      </w:r>
      <w:r w:rsidR="00A81434">
        <w:rPr>
          <w:rFonts w:ascii="Palatino Linotype" w:hAnsi="Palatino Linotype"/>
          <w:b/>
          <w:i/>
        </w:rPr>
        <w:t>Operation</w:t>
      </w:r>
      <w:r>
        <w:rPr>
          <w:rFonts w:ascii="Palatino Linotype" w:hAnsi="Palatino Linotype"/>
          <w:b/>
          <w:i/>
        </w:rPr>
        <w:t xml:space="preserve"> Deadline </w:t>
      </w:r>
      <w:r w:rsidRPr="00F43342">
        <w:rPr>
          <w:rFonts w:ascii="Palatino Linotype" w:hAnsi="Palatino Linotype"/>
          <w:b/>
          <w:i/>
        </w:rPr>
        <w:t xml:space="preserve"> </w:t>
      </w:r>
    </w:p>
    <w:p w:rsidR="0044486B" w:rsidRDefault="000F5927" w:rsidP="00232DE2">
      <w:pPr>
        <w:autoSpaceDE w:val="0"/>
        <w:autoSpaceDN w:val="0"/>
        <w:adjustRightInd w:val="0"/>
        <w:spacing w:after="120"/>
        <w:rPr>
          <w:rFonts w:ascii="Palatino Linotype" w:hAnsi="Palatino Linotype"/>
          <w:bCs/>
          <w:szCs w:val="26"/>
        </w:rPr>
      </w:pPr>
      <w:r>
        <w:rPr>
          <w:rFonts w:ascii="Palatino Linotype" w:hAnsi="Palatino Linotype"/>
          <w:bCs/>
          <w:szCs w:val="26"/>
        </w:rPr>
        <w:t>The RAM Decision established the guiding principle that RAM should be designed to attract “projects that are more viable because they are further along in the project development process . . . [the Commission] find[s] that the best approach is to set meaningful time limits.”</w:t>
      </w:r>
      <w:r>
        <w:rPr>
          <w:rStyle w:val="FootnoteReference"/>
          <w:rFonts w:ascii="Palatino Linotype" w:hAnsi="Palatino Linotype"/>
          <w:bCs/>
          <w:szCs w:val="26"/>
        </w:rPr>
        <w:footnoteReference w:id="4"/>
      </w:r>
      <w:r>
        <w:rPr>
          <w:rFonts w:ascii="Palatino Linotype" w:hAnsi="Palatino Linotype"/>
          <w:bCs/>
          <w:szCs w:val="26"/>
        </w:rPr>
        <w:t xml:space="preserve">  To achieve this goal, that decision adopted a commercial operation deadline of 18 months from the date that the party executed its RAM PPA</w:t>
      </w:r>
      <w:r w:rsidR="00F66751">
        <w:rPr>
          <w:rFonts w:ascii="Palatino Linotype" w:hAnsi="Palatino Linotype"/>
          <w:bCs/>
          <w:szCs w:val="26"/>
        </w:rPr>
        <w:t xml:space="preserve"> with the option for a one-time six month extension due to regulatory delays</w:t>
      </w:r>
      <w:r>
        <w:rPr>
          <w:rFonts w:ascii="Palatino Linotype" w:hAnsi="Palatino Linotype"/>
          <w:bCs/>
          <w:szCs w:val="26"/>
        </w:rPr>
        <w:t>.</w:t>
      </w:r>
      <w:r>
        <w:rPr>
          <w:rStyle w:val="FootnoteReference"/>
          <w:rFonts w:ascii="Palatino Linotype" w:hAnsi="Palatino Linotype"/>
          <w:bCs/>
          <w:szCs w:val="26"/>
        </w:rPr>
        <w:footnoteReference w:id="5"/>
      </w:r>
      <w:r>
        <w:rPr>
          <w:rFonts w:ascii="Palatino Linotype" w:hAnsi="Palatino Linotype"/>
          <w:bCs/>
          <w:szCs w:val="26"/>
        </w:rPr>
        <w:t xml:space="preserve">  Based on feedback from parties, the Commission modified this requirement slightly in Resolution E-4414, adopting a deadline of 18 months from the date of Commission approval of the PPA, rather than from the date of PPA execution.</w:t>
      </w:r>
      <w:r>
        <w:rPr>
          <w:rStyle w:val="FootnoteReference"/>
          <w:rFonts w:ascii="Palatino Linotype" w:hAnsi="Palatino Linotype"/>
          <w:bCs/>
          <w:szCs w:val="26"/>
        </w:rPr>
        <w:footnoteReference w:id="6"/>
      </w:r>
      <w:r>
        <w:rPr>
          <w:rFonts w:ascii="Palatino Linotype" w:hAnsi="Palatino Linotype"/>
          <w:bCs/>
          <w:szCs w:val="26"/>
        </w:rPr>
        <w:t xml:space="preserve">  </w:t>
      </w:r>
      <w:r w:rsidRPr="00007EEC">
        <w:rPr>
          <w:rFonts w:ascii="Palatino Linotype" w:hAnsi="Palatino Linotype"/>
          <w:bCs/>
          <w:szCs w:val="26"/>
        </w:rPr>
        <w:t xml:space="preserve">Based on the results of RAM </w:t>
      </w:r>
      <w:r w:rsidR="00BC00B0">
        <w:rPr>
          <w:rFonts w:ascii="Palatino Linotype" w:hAnsi="Palatino Linotype"/>
          <w:bCs/>
          <w:szCs w:val="26"/>
        </w:rPr>
        <w:t>I</w:t>
      </w:r>
      <w:r w:rsidRPr="00007EEC">
        <w:rPr>
          <w:rFonts w:ascii="Palatino Linotype" w:hAnsi="Palatino Linotype"/>
          <w:bCs/>
          <w:szCs w:val="26"/>
        </w:rPr>
        <w:t>, Resolution E-4489</w:t>
      </w:r>
      <w:r>
        <w:rPr>
          <w:rFonts w:ascii="Palatino Linotype" w:hAnsi="Palatino Linotype"/>
          <w:bCs/>
          <w:szCs w:val="26"/>
        </w:rPr>
        <w:t xml:space="preserve"> </w:t>
      </w:r>
      <w:r w:rsidRPr="00007EEC">
        <w:rPr>
          <w:rFonts w:ascii="Palatino Linotype" w:hAnsi="Palatino Linotype"/>
          <w:bCs/>
          <w:szCs w:val="26"/>
        </w:rPr>
        <w:t xml:space="preserve">extended the deadline to attain commercial operation from 18 months to </w:t>
      </w:r>
      <w:r w:rsidR="00185251">
        <w:rPr>
          <w:rFonts w:ascii="Palatino Linotype" w:hAnsi="Palatino Linotype"/>
          <w:bCs/>
          <w:szCs w:val="26"/>
        </w:rPr>
        <w:br/>
      </w:r>
      <w:r w:rsidRPr="00007EEC">
        <w:rPr>
          <w:rFonts w:ascii="Palatino Linotype" w:hAnsi="Palatino Linotype"/>
          <w:bCs/>
          <w:szCs w:val="26"/>
        </w:rPr>
        <w:t>24 months</w:t>
      </w:r>
      <w:r>
        <w:rPr>
          <w:rFonts w:ascii="Palatino Linotype" w:hAnsi="Palatino Linotype"/>
          <w:bCs/>
          <w:szCs w:val="26"/>
        </w:rPr>
        <w:t xml:space="preserve"> after CPUC approval</w:t>
      </w:r>
      <w:r w:rsidRPr="00007EEC">
        <w:rPr>
          <w:rFonts w:ascii="Palatino Linotype" w:hAnsi="Palatino Linotype"/>
          <w:bCs/>
          <w:szCs w:val="26"/>
        </w:rPr>
        <w:t>.</w:t>
      </w:r>
      <w:r>
        <w:rPr>
          <w:rStyle w:val="FootnoteReference"/>
          <w:rFonts w:ascii="Palatino Linotype" w:hAnsi="Palatino Linotype"/>
          <w:bCs/>
          <w:szCs w:val="26"/>
        </w:rPr>
        <w:footnoteReference w:id="7"/>
      </w:r>
      <w:r>
        <w:rPr>
          <w:rFonts w:ascii="Palatino Linotype" w:hAnsi="Palatino Linotype"/>
          <w:bCs/>
          <w:szCs w:val="26"/>
        </w:rPr>
        <w:t xml:space="preserve"> In that Resolution, the Commission found clear evidence </w:t>
      </w:r>
      <w:r w:rsidR="001864A8">
        <w:rPr>
          <w:rFonts w:ascii="Palatino Linotype" w:hAnsi="Palatino Linotype"/>
          <w:bCs/>
          <w:szCs w:val="26"/>
        </w:rPr>
        <w:t>demonstrating</w:t>
      </w:r>
      <w:r>
        <w:rPr>
          <w:rFonts w:ascii="Palatino Linotype" w:hAnsi="Palatino Linotype"/>
          <w:bCs/>
          <w:szCs w:val="26"/>
        </w:rPr>
        <w:t xml:space="preserve"> that it would improve </w:t>
      </w:r>
      <w:r w:rsidR="001864A8">
        <w:rPr>
          <w:rFonts w:ascii="Palatino Linotype" w:hAnsi="Palatino Linotype"/>
          <w:bCs/>
          <w:szCs w:val="26"/>
        </w:rPr>
        <w:t xml:space="preserve">the </w:t>
      </w:r>
      <w:r>
        <w:rPr>
          <w:rFonts w:ascii="Palatino Linotype" w:hAnsi="Palatino Linotype"/>
          <w:bCs/>
          <w:szCs w:val="26"/>
        </w:rPr>
        <w:t xml:space="preserve">RAM </w:t>
      </w:r>
      <w:r w:rsidR="001864A8">
        <w:rPr>
          <w:rFonts w:ascii="Palatino Linotype" w:hAnsi="Palatino Linotype"/>
          <w:bCs/>
          <w:szCs w:val="26"/>
        </w:rPr>
        <w:t xml:space="preserve">program </w:t>
      </w:r>
      <w:r>
        <w:rPr>
          <w:rFonts w:ascii="Palatino Linotype" w:hAnsi="Palatino Linotype"/>
          <w:bCs/>
          <w:szCs w:val="26"/>
        </w:rPr>
        <w:t>to extend the deadline by an additional six months.</w:t>
      </w:r>
      <w:r>
        <w:rPr>
          <w:rStyle w:val="FootnoteReference"/>
          <w:rFonts w:ascii="Palatino Linotype" w:hAnsi="Palatino Linotype"/>
          <w:bCs/>
          <w:szCs w:val="26"/>
        </w:rPr>
        <w:footnoteReference w:id="8"/>
      </w:r>
      <w:r>
        <w:rPr>
          <w:rFonts w:ascii="Palatino Linotype" w:hAnsi="Palatino Linotype"/>
          <w:bCs/>
          <w:szCs w:val="26"/>
        </w:rPr>
        <w:t xml:space="preserve"> </w:t>
      </w:r>
    </w:p>
    <w:p w:rsidR="0044486B" w:rsidRDefault="00262CE4" w:rsidP="00232DE2">
      <w:pPr>
        <w:autoSpaceDE w:val="0"/>
        <w:autoSpaceDN w:val="0"/>
        <w:adjustRightInd w:val="0"/>
        <w:spacing w:after="120"/>
        <w:rPr>
          <w:rFonts w:ascii="Palatino Linotype" w:hAnsi="Palatino Linotype"/>
          <w:bCs/>
          <w:szCs w:val="26"/>
        </w:rPr>
      </w:pPr>
      <w:r>
        <w:rPr>
          <w:rFonts w:ascii="Palatino Linotype" w:hAnsi="Palatino Linotype"/>
          <w:bCs/>
          <w:szCs w:val="26"/>
        </w:rPr>
        <w:t xml:space="preserve">In advice letter 4365-E, </w:t>
      </w:r>
      <w:r w:rsidR="00B81D2E">
        <w:rPr>
          <w:rFonts w:ascii="Palatino Linotype" w:hAnsi="Palatino Linotype"/>
          <w:bCs/>
          <w:szCs w:val="26"/>
        </w:rPr>
        <w:t>PG&amp;E requests</w:t>
      </w:r>
      <w:r w:rsidR="000F5927">
        <w:rPr>
          <w:rFonts w:ascii="Palatino Linotype" w:hAnsi="Palatino Linotype"/>
          <w:bCs/>
          <w:szCs w:val="26"/>
        </w:rPr>
        <w:t xml:space="preserve"> </w:t>
      </w:r>
      <w:r>
        <w:rPr>
          <w:rFonts w:ascii="Palatino Linotype" w:hAnsi="Palatino Linotype"/>
          <w:bCs/>
          <w:szCs w:val="26"/>
        </w:rPr>
        <w:t xml:space="preserve">approval to modify </w:t>
      </w:r>
      <w:r w:rsidR="000F5927">
        <w:rPr>
          <w:rFonts w:ascii="Palatino Linotype" w:hAnsi="Palatino Linotype"/>
          <w:bCs/>
          <w:szCs w:val="26"/>
        </w:rPr>
        <w:t xml:space="preserve">the </w:t>
      </w:r>
      <w:r w:rsidR="0044486B">
        <w:rPr>
          <w:rFonts w:ascii="Palatino Linotype" w:hAnsi="Palatino Linotype"/>
          <w:bCs/>
          <w:szCs w:val="26"/>
        </w:rPr>
        <w:t xml:space="preserve">regulatory delay extension </w:t>
      </w:r>
      <w:r>
        <w:rPr>
          <w:rFonts w:ascii="Palatino Linotype" w:hAnsi="Palatino Linotype"/>
          <w:bCs/>
          <w:szCs w:val="26"/>
        </w:rPr>
        <w:t>to eighteen months instead of the current six months</w:t>
      </w:r>
      <w:r w:rsidR="000F5927">
        <w:rPr>
          <w:rFonts w:ascii="Palatino Linotype" w:hAnsi="Palatino Linotype"/>
          <w:bCs/>
          <w:szCs w:val="26"/>
        </w:rPr>
        <w:t xml:space="preserve">. </w:t>
      </w:r>
      <w:r>
        <w:rPr>
          <w:rFonts w:ascii="Palatino Linotype" w:hAnsi="Palatino Linotype"/>
          <w:bCs/>
          <w:szCs w:val="26"/>
        </w:rPr>
        <w:t xml:space="preserve">The proposed change would result in </w:t>
      </w:r>
      <w:r w:rsidR="001864A8">
        <w:rPr>
          <w:rFonts w:ascii="Palatino Linotype" w:hAnsi="Palatino Linotype"/>
          <w:bCs/>
          <w:szCs w:val="26"/>
        </w:rPr>
        <w:t xml:space="preserve">projects </w:t>
      </w:r>
      <w:r>
        <w:rPr>
          <w:rFonts w:ascii="Palatino Linotype" w:hAnsi="Palatino Linotype"/>
          <w:bCs/>
          <w:szCs w:val="26"/>
        </w:rPr>
        <w:t xml:space="preserve">having </w:t>
      </w:r>
      <w:r w:rsidR="001864A8">
        <w:rPr>
          <w:rFonts w:ascii="Palatino Linotype" w:hAnsi="Palatino Linotype"/>
          <w:bCs/>
          <w:szCs w:val="26"/>
        </w:rPr>
        <w:t xml:space="preserve">a COD deadline of </w:t>
      </w:r>
      <w:r w:rsidR="00BC00B0">
        <w:rPr>
          <w:rFonts w:ascii="Palatino Linotype" w:hAnsi="Palatino Linotype"/>
          <w:bCs/>
          <w:szCs w:val="26"/>
        </w:rPr>
        <w:t>24</w:t>
      </w:r>
      <w:r w:rsidR="001864A8">
        <w:rPr>
          <w:rFonts w:ascii="Palatino Linotype" w:hAnsi="Palatino Linotype"/>
          <w:bCs/>
          <w:szCs w:val="26"/>
        </w:rPr>
        <w:t xml:space="preserve"> months, plus up to an additional 18 month</w:t>
      </w:r>
      <w:r>
        <w:rPr>
          <w:rFonts w:ascii="Palatino Linotype" w:hAnsi="Palatino Linotype"/>
          <w:bCs/>
          <w:szCs w:val="26"/>
        </w:rPr>
        <w:t xml:space="preserve">s </w:t>
      </w:r>
      <w:r w:rsidR="001864A8">
        <w:rPr>
          <w:rFonts w:ascii="Palatino Linotype" w:hAnsi="Palatino Linotype"/>
          <w:bCs/>
          <w:szCs w:val="26"/>
        </w:rPr>
        <w:t xml:space="preserve">due to regulatory delays.  </w:t>
      </w:r>
      <w:r w:rsidR="00F33C3A">
        <w:rPr>
          <w:rFonts w:ascii="Palatino Linotype" w:hAnsi="Palatino Linotype"/>
          <w:bCs/>
          <w:szCs w:val="26"/>
        </w:rPr>
        <w:t xml:space="preserve">In advice letter 4365-E, </w:t>
      </w:r>
      <w:r w:rsidR="0044486B">
        <w:rPr>
          <w:rFonts w:ascii="Palatino Linotype" w:hAnsi="Palatino Linotype"/>
          <w:bCs/>
          <w:szCs w:val="26"/>
        </w:rPr>
        <w:t>PG&amp;E asserts that there are some regulatory delays that exceed six months, such as work period restrictions due to weather or operations.</w:t>
      </w:r>
      <w:r w:rsidR="00F33C3A">
        <w:rPr>
          <w:rStyle w:val="FootnoteReference"/>
          <w:rFonts w:ascii="Palatino Linotype" w:hAnsi="Palatino Linotype"/>
          <w:bCs/>
          <w:szCs w:val="26"/>
        </w:rPr>
        <w:footnoteReference w:id="9"/>
      </w:r>
      <w:r w:rsidR="0044486B">
        <w:rPr>
          <w:rFonts w:ascii="Palatino Linotype" w:hAnsi="Palatino Linotype"/>
          <w:bCs/>
          <w:szCs w:val="26"/>
        </w:rPr>
        <w:t xml:space="preserve">  </w:t>
      </w:r>
      <w:r w:rsidR="001864A8">
        <w:rPr>
          <w:rFonts w:ascii="Palatino Linotype" w:hAnsi="Palatino Linotype"/>
          <w:bCs/>
          <w:szCs w:val="26"/>
        </w:rPr>
        <w:t>Additionally, PG&amp;E argues that the longer extension will allow sellers additional flexibility before facing an event of default, but sufficient incentive to bring projects online.</w:t>
      </w:r>
    </w:p>
    <w:p w:rsidR="000C08B0" w:rsidRDefault="000C08B0" w:rsidP="00232DE2">
      <w:pPr>
        <w:autoSpaceDE w:val="0"/>
        <w:autoSpaceDN w:val="0"/>
        <w:adjustRightInd w:val="0"/>
        <w:spacing w:after="120"/>
        <w:rPr>
          <w:rFonts w:ascii="Palatino Linotype" w:hAnsi="Palatino Linotype"/>
          <w:bCs/>
          <w:szCs w:val="26"/>
        </w:rPr>
      </w:pPr>
      <w:r>
        <w:rPr>
          <w:rFonts w:ascii="Palatino Linotype" w:hAnsi="Palatino Linotype"/>
          <w:bCs/>
          <w:szCs w:val="26"/>
        </w:rPr>
        <w:t>In its protest, NextEra argues that an up-to-18 month extension is excessive for projects that are otherwise proposing an online date that is 24 months following Commission approval of the PPA.</w:t>
      </w:r>
      <w:r>
        <w:rPr>
          <w:rStyle w:val="FootnoteReference"/>
          <w:rFonts w:ascii="Palatino Linotype" w:hAnsi="Palatino Linotype"/>
          <w:bCs/>
          <w:szCs w:val="26"/>
        </w:rPr>
        <w:footnoteReference w:id="10"/>
      </w:r>
      <w:r>
        <w:rPr>
          <w:rFonts w:ascii="Palatino Linotype" w:hAnsi="Palatino Linotype"/>
          <w:bCs/>
          <w:szCs w:val="26"/>
        </w:rPr>
        <w:t xml:space="preserve">  PG&amp;E asserts in its reply that its experience with previous RAM solicitation i</w:t>
      </w:r>
      <w:r w:rsidR="00662241">
        <w:rPr>
          <w:rFonts w:ascii="Palatino Linotype" w:hAnsi="Palatino Linotype"/>
          <w:bCs/>
          <w:szCs w:val="26"/>
        </w:rPr>
        <w:t xml:space="preserve">s that unforeseen delays occur </w:t>
      </w:r>
      <w:r>
        <w:rPr>
          <w:rFonts w:ascii="Palatino Linotype" w:hAnsi="Palatino Linotype"/>
          <w:bCs/>
          <w:szCs w:val="26"/>
        </w:rPr>
        <w:t xml:space="preserve">and that the additional time will provide sellers time to navigate </w:t>
      </w:r>
      <w:r w:rsidR="00662241">
        <w:rPr>
          <w:rFonts w:ascii="Palatino Linotype" w:hAnsi="Palatino Linotype"/>
          <w:bCs/>
          <w:szCs w:val="26"/>
        </w:rPr>
        <w:t>these issues</w:t>
      </w:r>
      <w:r>
        <w:rPr>
          <w:rFonts w:ascii="Palatino Linotype" w:hAnsi="Palatino Linotype"/>
          <w:bCs/>
          <w:szCs w:val="26"/>
        </w:rPr>
        <w:t xml:space="preserve"> without having to face an event of default.</w:t>
      </w:r>
      <w:r>
        <w:rPr>
          <w:rStyle w:val="FootnoteReference"/>
          <w:rFonts w:ascii="Palatino Linotype" w:hAnsi="Palatino Linotype"/>
          <w:bCs/>
          <w:szCs w:val="26"/>
        </w:rPr>
        <w:footnoteReference w:id="11"/>
      </w:r>
    </w:p>
    <w:p w:rsidR="000F5927" w:rsidRDefault="000F5927" w:rsidP="0044486B">
      <w:pPr>
        <w:autoSpaceDE w:val="0"/>
        <w:autoSpaceDN w:val="0"/>
        <w:adjustRightInd w:val="0"/>
        <w:rPr>
          <w:rFonts w:ascii="Palatino Linotype" w:hAnsi="Palatino Linotype"/>
          <w:bCs/>
          <w:szCs w:val="26"/>
        </w:rPr>
      </w:pPr>
      <w:r>
        <w:rPr>
          <w:rFonts w:ascii="Palatino Linotype" w:hAnsi="Palatino Linotype"/>
          <w:bCs/>
          <w:szCs w:val="26"/>
        </w:rPr>
        <w:t>The Commission acknowledges PG&amp;E’s request but declines to adopt it at this time in an effort promote one of RAM’s guiding principles, that is, the execution of PPAs with projects that can achieve commercial operation quickly.</w:t>
      </w:r>
    </w:p>
    <w:p w:rsidR="008B2575" w:rsidRDefault="0044486B" w:rsidP="00185251">
      <w:pPr>
        <w:autoSpaceDE w:val="0"/>
        <w:autoSpaceDN w:val="0"/>
        <w:adjustRightInd w:val="0"/>
        <w:spacing w:after="240"/>
        <w:rPr>
          <w:rFonts w:ascii="Palatino Linotype" w:hAnsi="Palatino Linotype"/>
          <w:b/>
        </w:rPr>
      </w:pPr>
      <w:r>
        <w:rPr>
          <w:rFonts w:ascii="Palatino Linotype" w:hAnsi="Palatino Linotype"/>
          <w:bCs/>
          <w:szCs w:val="26"/>
        </w:rPr>
        <w:t xml:space="preserve">Additionally, </w:t>
      </w:r>
      <w:r w:rsidR="000F5927">
        <w:rPr>
          <w:rFonts w:ascii="Palatino Linotype" w:hAnsi="Palatino Linotype"/>
          <w:bCs/>
          <w:szCs w:val="26"/>
        </w:rPr>
        <w:t xml:space="preserve">PG&amp;E provides </w:t>
      </w:r>
      <w:r>
        <w:rPr>
          <w:rFonts w:ascii="Palatino Linotype" w:hAnsi="Palatino Linotype"/>
          <w:bCs/>
          <w:szCs w:val="26"/>
        </w:rPr>
        <w:t>no</w:t>
      </w:r>
      <w:r w:rsidR="000F5927">
        <w:rPr>
          <w:rFonts w:ascii="Palatino Linotype" w:hAnsi="Palatino Linotype"/>
          <w:bCs/>
          <w:szCs w:val="26"/>
        </w:rPr>
        <w:t xml:space="preserve"> evidence that an extension of the </w:t>
      </w:r>
      <w:r>
        <w:rPr>
          <w:rFonts w:ascii="Palatino Linotype" w:hAnsi="Palatino Linotype"/>
          <w:bCs/>
          <w:szCs w:val="26"/>
        </w:rPr>
        <w:t>regulatory time period is needed or</w:t>
      </w:r>
      <w:r w:rsidR="000F5927">
        <w:rPr>
          <w:rFonts w:ascii="Palatino Linotype" w:hAnsi="Palatino Linotype"/>
          <w:bCs/>
          <w:szCs w:val="26"/>
        </w:rPr>
        <w:t xml:space="preserve"> would benefit the RAM program.  As such, and to maintain consistency with the guiding principles for RAM as established by D.10-12-048, </w:t>
      </w:r>
      <w:r w:rsidR="000F5927" w:rsidRPr="00BC00B0">
        <w:rPr>
          <w:rFonts w:ascii="Palatino Linotype" w:hAnsi="Palatino Linotype"/>
          <w:bCs/>
          <w:szCs w:val="26"/>
          <w:u w:val="single"/>
        </w:rPr>
        <w:t xml:space="preserve">the Commission finds that </w:t>
      </w:r>
      <w:r w:rsidRPr="00BC00B0">
        <w:rPr>
          <w:rFonts w:ascii="Palatino Linotype" w:hAnsi="Palatino Linotype"/>
          <w:bCs/>
          <w:szCs w:val="26"/>
          <w:u w:val="single"/>
        </w:rPr>
        <w:t>PG&amp;E has</w:t>
      </w:r>
      <w:r w:rsidR="000F5927" w:rsidRPr="005B2F0D">
        <w:rPr>
          <w:rFonts w:ascii="Palatino Linotype" w:hAnsi="Palatino Linotype"/>
          <w:bCs/>
          <w:szCs w:val="26"/>
          <w:u w:val="single"/>
        </w:rPr>
        <w:t xml:space="preserve"> not provided sufficient evidence to justify extending the </w:t>
      </w:r>
      <w:r w:rsidR="009F0E3C">
        <w:rPr>
          <w:rFonts w:ascii="Palatino Linotype" w:hAnsi="Palatino Linotype"/>
          <w:bCs/>
          <w:szCs w:val="26"/>
          <w:u w:val="single"/>
        </w:rPr>
        <w:t>time period for extensions due to regulatory delay</w:t>
      </w:r>
      <w:r w:rsidR="000F5927">
        <w:rPr>
          <w:rFonts w:ascii="Palatino Linotype" w:hAnsi="Palatino Linotype"/>
          <w:bCs/>
          <w:szCs w:val="26"/>
        </w:rPr>
        <w:t xml:space="preserve">. Accordingly, </w:t>
      </w:r>
      <w:r w:rsidR="000F5927" w:rsidRPr="005B2F0D">
        <w:rPr>
          <w:rFonts w:ascii="Palatino Linotype" w:hAnsi="Palatino Linotype"/>
          <w:bCs/>
          <w:szCs w:val="26"/>
          <w:u w:val="single"/>
        </w:rPr>
        <w:t xml:space="preserve">the Commission denies the request to </w:t>
      </w:r>
      <w:r w:rsidR="00F33C3A">
        <w:rPr>
          <w:rFonts w:ascii="Palatino Linotype" w:hAnsi="Palatino Linotype"/>
          <w:bCs/>
          <w:szCs w:val="26"/>
          <w:u w:val="single"/>
        </w:rPr>
        <w:t>modify</w:t>
      </w:r>
      <w:r w:rsidR="000F5927" w:rsidRPr="005B2F0D">
        <w:rPr>
          <w:rFonts w:ascii="Palatino Linotype" w:hAnsi="Palatino Linotype"/>
          <w:bCs/>
          <w:szCs w:val="26"/>
          <w:u w:val="single"/>
        </w:rPr>
        <w:t xml:space="preserve"> the </w:t>
      </w:r>
      <w:r w:rsidR="00F33C3A">
        <w:rPr>
          <w:rFonts w:ascii="Palatino Linotype" w:hAnsi="Palatino Linotype"/>
          <w:bCs/>
          <w:szCs w:val="26"/>
          <w:u w:val="single"/>
        </w:rPr>
        <w:t xml:space="preserve">regulatory delay extension </w:t>
      </w:r>
      <w:r w:rsidR="009F0E3C">
        <w:rPr>
          <w:rFonts w:ascii="Palatino Linotype" w:hAnsi="Palatino Linotype"/>
          <w:bCs/>
          <w:szCs w:val="26"/>
          <w:u w:val="single"/>
        </w:rPr>
        <w:t>time period</w:t>
      </w:r>
      <w:r w:rsidR="000F5927" w:rsidRPr="005B2F0D">
        <w:rPr>
          <w:rFonts w:ascii="Palatino Linotype" w:hAnsi="Palatino Linotype"/>
          <w:bCs/>
          <w:szCs w:val="26"/>
          <w:u w:val="single"/>
        </w:rPr>
        <w:t xml:space="preserve"> from </w:t>
      </w:r>
      <w:r w:rsidR="009F0E3C">
        <w:rPr>
          <w:rFonts w:ascii="Palatino Linotype" w:hAnsi="Palatino Linotype"/>
          <w:bCs/>
          <w:szCs w:val="26"/>
          <w:u w:val="single"/>
        </w:rPr>
        <w:t>six</w:t>
      </w:r>
      <w:r w:rsidR="000F5927" w:rsidRPr="005B2F0D">
        <w:rPr>
          <w:rFonts w:ascii="Palatino Linotype" w:hAnsi="Palatino Linotype"/>
          <w:bCs/>
          <w:szCs w:val="26"/>
          <w:u w:val="single"/>
        </w:rPr>
        <w:t xml:space="preserve"> months to </w:t>
      </w:r>
      <w:r w:rsidR="009F0E3C">
        <w:rPr>
          <w:rFonts w:ascii="Palatino Linotype" w:hAnsi="Palatino Linotype"/>
          <w:bCs/>
          <w:szCs w:val="26"/>
          <w:u w:val="single"/>
        </w:rPr>
        <w:t>eighteen</w:t>
      </w:r>
      <w:r w:rsidR="000F5927" w:rsidRPr="005B2F0D">
        <w:rPr>
          <w:rFonts w:ascii="Palatino Linotype" w:hAnsi="Palatino Linotype"/>
          <w:bCs/>
          <w:szCs w:val="26"/>
          <w:u w:val="single"/>
        </w:rPr>
        <w:t xml:space="preserve"> months</w:t>
      </w:r>
      <w:r w:rsidR="00792467">
        <w:rPr>
          <w:rFonts w:ascii="Palatino Linotype" w:hAnsi="Palatino Linotype"/>
          <w:bCs/>
          <w:szCs w:val="26"/>
          <w:u w:val="single"/>
        </w:rPr>
        <w:t xml:space="preserve"> and accepts NextEra’s protest, in part</w:t>
      </w:r>
      <w:r w:rsidR="00662241" w:rsidRPr="00662241">
        <w:rPr>
          <w:rFonts w:ascii="Palatino Linotype" w:hAnsi="Palatino Linotype"/>
          <w:bCs/>
          <w:szCs w:val="26"/>
          <w:u w:val="single"/>
        </w:rPr>
        <w:t>.</w:t>
      </w:r>
    </w:p>
    <w:p w:rsidR="002D7B30" w:rsidRPr="00F43342" w:rsidRDefault="002D7B30" w:rsidP="00A37E96">
      <w:pPr>
        <w:spacing w:after="120"/>
        <w:rPr>
          <w:rFonts w:ascii="Palatino Linotype" w:hAnsi="Palatino Linotype"/>
          <w:b/>
          <w:i/>
        </w:rPr>
      </w:pPr>
      <w:r>
        <w:rPr>
          <w:rFonts w:ascii="Palatino Linotype" w:hAnsi="Palatino Linotype"/>
          <w:b/>
          <w:i/>
        </w:rPr>
        <w:t>(2)</w:t>
      </w:r>
      <w:r w:rsidRPr="00F43342">
        <w:rPr>
          <w:rFonts w:ascii="Palatino Linotype" w:hAnsi="Palatino Linotype"/>
          <w:b/>
          <w:i/>
        </w:rPr>
        <w:t xml:space="preserve"> </w:t>
      </w:r>
      <w:r>
        <w:rPr>
          <w:rFonts w:ascii="Palatino Linotype" w:hAnsi="Palatino Linotype"/>
          <w:b/>
          <w:i/>
        </w:rPr>
        <w:t xml:space="preserve">Interconnection Application </w:t>
      </w:r>
      <w:r w:rsidRPr="00F43342">
        <w:rPr>
          <w:rFonts w:ascii="Palatino Linotype" w:hAnsi="Palatino Linotype"/>
          <w:b/>
          <w:i/>
        </w:rPr>
        <w:t xml:space="preserve"> </w:t>
      </w:r>
    </w:p>
    <w:p w:rsidR="00D14269" w:rsidRDefault="00BC00B0" w:rsidP="00A37E96">
      <w:pPr>
        <w:spacing w:after="120"/>
        <w:rPr>
          <w:rFonts w:ascii="Palatino Linotype" w:hAnsi="Palatino Linotype"/>
          <w:bCs/>
          <w:szCs w:val="26"/>
        </w:rPr>
      </w:pPr>
      <w:r>
        <w:rPr>
          <w:rFonts w:ascii="Palatino Linotype" w:hAnsi="Palatino Linotype"/>
          <w:bCs/>
          <w:szCs w:val="26"/>
        </w:rPr>
        <w:t>As stated above, t</w:t>
      </w:r>
      <w:r w:rsidR="002D7B30">
        <w:rPr>
          <w:rFonts w:ascii="Palatino Linotype" w:hAnsi="Palatino Linotype"/>
          <w:bCs/>
          <w:szCs w:val="26"/>
        </w:rPr>
        <w:t>he RAM Decision established the guiding principle that RAM should be designed to attract “projects that are more viable because they are further along in the project development process . . . [the Commission] find[s] that the best approach is to set meaningful time limits.”</w:t>
      </w:r>
      <w:r w:rsidR="002D7B30">
        <w:rPr>
          <w:rStyle w:val="FootnoteReference"/>
          <w:rFonts w:ascii="Palatino Linotype" w:hAnsi="Palatino Linotype"/>
          <w:bCs/>
          <w:szCs w:val="26"/>
        </w:rPr>
        <w:footnoteReference w:id="12"/>
      </w:r>
      <w:r w:rsidR="002D7B30">
        <w:rPr>
          <w:rFonts w:ascii="Palatino Linotype" w:hAnsi="Palatino Linotype"/>
          <w:bCs/>
          <w:szCs w:val="26"/>
        </w:rPr>
        <w:t xml:space="preserve">  To achieve this goal, that decision adopted an interconnection agreement </w:t>
      </w:r>
      <w:r w:rsidR="00D14269">
        <w:rPr>
          <w:rFonts w:ascii="Palatino Linotype" w:hAnsi="Palatino Linotype"/>
          <w:bCs/>
          <w:szCs w:val="26"/>
        </w:rPr>
        <w:t xml:space="preserve">requirement </w:t>
      </w:r>
      <w:r w:rsidR="002D7B30">
        <w:rPr>
          <w:rFonts w:ascii="Palatino Linotype" w:hAnsi="Palatino Linotype"/>
          <w:bCs/>
          <w:szCs w:val="26"/>
        </w:rPr>
        <w:t>along with a COD requirement that the bidder show that it has filed an interconnection application.</w:t>
      </w:r>
      <w:r w:rsidR="002D7B30">
        <w:rPr>
          <w:rStyle w:val="FootnoteReference"/>
          <w:rFonts w:ascii="Palatino Linotype" w:hAnsi="Palatino Linotype"/>
          <w:bCs/>
          <w:szCs w:val="26"/>
        </w:rPr>
        <w:footnoteReference w:id="13"/>
      </w:r>
      <w:r w:rsidR="002D7B30">
        <w:rPr>
          <w:rFonts w:ascii="Palatino Linotype" w:hAnsi="Palatino Linotype"/>
          <w:bCs/>
          <w:szCs w:val="26"/>
        </w:rPr>
        <w:t xml:space="preserve">  </w:t>
      </w:r>
      <w:r w:rsidR="00D14269">
        <w:rPr>
          <w:rFonts w:ascii="Palatino Linotype" w:hAnsi="Palatino Linotype"/>
          <w:bCs/>
          <w:szCs w:val="26"/>
        </w:rPr>
        <w:t>T</w:t>
      </w:r>
      <w:r w:rsidR="002D7B30">
        <w:rPr>
          <w:rFonts w:ascii="Palatino Linotype" w:hAnsi="Palatino Linotype"/>
          <w:bCs/>
          <w:szCs w:val="26"/>
        </w:rPr>
        <w:t xml:space="preserve">he Commission </w:t>
      </w:r>
      <w:r w:rsidR="00D14269">
        <w:rPr>
          <w:rFonts w:ascii="Palatino Linotype" w:hAnsi="Palatino Linotype"/>
          <w:bCs/>
          <w:szCs w:val="26"/>
        </w:rPr>
        <w:t>clarified</w:t>
      </w:r>
      <w:r w:rsidR="002D7B30">
        <w:rPr>
          <w:rFonts w:ascii="Palatino Linotype" w:hAnsi="Palatino Linotype"/>
          <w:bCs/>
          <w:szCs w:val="26"/>
        </w:rPr>
        <w:t xml:space="preserve"> this requirement in Resolution E-44</w:t>
      </w:r>
      <w:r w:rsidR="00D14269">
        <w:rPr>
          <w:rFonts w:ascii="Palatino Linotype" w:hAnsi="Palatino Linotype"/>
          <w:bCs/>
          <w:szCs w:val="26"/>
        </w:rPr>
        <w:t>14</w:t>
      </w:r>
      <w:r w:rsidR="002D7B30">
        <w:rPr>
          <w:rFonts w:ascii="Palatino Linotype" w:hAnsi="Palatino Linotype"/>
          <w:bCs/>
          <w:szCs w:val="26"/>
        </w:rPr>
        <w:t xml:space="preserve">, adding that the </w:t>
      </w:r>
      <w:r w:rsidR="00D14269">
        <w:rPr>
          <w:rFonts w:ascii="Palatino Linotype" w:hAnsi="Palatino Linotype"/>
          <w:bCs/>
          <w:szCs w:val="26"/>
        </w:rPr>
        <w:t xml:space="preserve">bidder </w:t>
      </w:r>
      <w:r w:rsidR="002D7B30">
        <w:rPr>
          <w:rFonts w:ascii="Palatino Linotype" w:hAnsi="Palatino Linotype"/>
          <w:bCs/>
          <w:szCs w:val="26"/>
        </w:rPr>
        <w:t>must also have completed a System-Impact Study, Cluster Study Phase 1, or have passed the Fast Track screens.</w:t>
      </w:r>
      <w:r w:rsidR="002D7B30">
        <w:rPr>
          <w:rStyle w:val="FootnoteReference"/>
          <w:rFonts w:ascii="Palatino Linotype" w:hAnsi="Palatino Linotype"/>
          <w:bCs/>
          <w:szCs w:val="26"/>
        </w:rPr>
        <w:footnoteReference w:id="14"/>
      </w:r>
      <w:r w:rsidR="002D7B30">
        <w:rPr>
          <w:rFonts w:ascii="Palatino Linotype" w:hAnsi="Palatino Linotype"/>
          <w:bCs/>
          <w:szCs w:val="26"/>
        </w:rPr>
        <w:t xml:space="preserve">  </w:t>
      </w:r>
    </w:p>
    <w:p w:rsidR="0036516A" w:rsidRDefault="00D14269" w:rsidP="00232DE2">
      <w:pPr>
        <w:spacing w:after="120"/>
        <w:rPr>
          <w:rFonts w:ascii="Palatino Linotype" w:hAnsi="Palatino Linotype"/>
          <w:bCs/>
          <w:szCs w:val="26"/>
        </w:rPr>
      </w:pPr>
      <w:r>
        <w:rPr>
          <w:rFonts w:ascii="Palatino Linotype" w:hAnsi="Palatino Linotype"/>
          <w:bCs/>
          <w:szCs w:val="26"/>
        </w:rPr>
        <w:t xml:space="preserve">PG&amp;E requests in advice letter 4365-E that </w:t>
      </w:r>
      <w:r w:rsidR="0036516A">
        <w:rPr>
          <w:rFonts w:ascii="Palatino Linotype" w:hAnsi="Palatino Linotype"/>
          <w:bCs/>
          <w:szCs w:val="26"/>
        </w:rPr>
        <w:t xml:space="preserve">the </w:t>
      </w:r>
      <w:r>
        <w:rPr>
          <w:rFonts w:ascii="Palatino Linotype" w:hAnsi="Palatino Linotype"/>
          <w:bCs/>
          <w:szCs w:val="26"/>
        </w:rPr>
        <w:t xml:space="preserve">interconnection agreement </w:t>
      </w:r>
      <w:r w:rsidR="0036516A">
        <w:rPr>
          <w:rFonts w:ascii="Palatino Linotype" w:hAnsi="Palatino Linotype"/>
          <w:bCs/>
          <w:szCs w:val="26"/>
        </w:rPr>
        <w:t xml:space="preserve">requirement </w:t>
      </w:r>
      <w:r>
        <w:rPr>
          <w:rFonts w:ascii="Palatino Linotype" w:hAnsi="Palatino Linotype"/>
          <w:bCs/>
          <w:szCs w:val="26"/>
        </w:rPr>
        <w:t xml:space="preserve">be modified from a Phase I interconnection study to a Phase II interconnection study.  PG&amp;E asserts that the modification is reasonable </w:t>
      </w:r>
      <w:r w:rsidR="0036516A">
        <w:rPr>
          <w:rFonts w:ascii="Palatino Linotype" w:hAnsi="Palatino Linotype"/>
          <w:bCs/>
          <w:szCs w:val="26"/>
        </w:rPr>
        <w:t xml:space="preserve">for the same reasons that the Commission adopted a Phase II study requirement for bids in the 2013 RPS solicitation, which were that the requirement </w:t>
      </w:r>
      <w:r w:rsidR="00D3552A">
        <w:rPr>
          <w:rFonts w:ascii="Palatino Linotype" w:hAnsi="Palatino Linotype"/>
          <w:bCs/>
          <w:szCs w:val="26"/>
        </w:rPr>
        <w:t>would provide more certainty regarding transmission cost and timing and minimize failure risk.</w:t>
      </w:r>
      <w:r w:rsidR="0036516A">
        <w:rPr>
          <w:rStyle w:val="FootnoteReference"/>
          <w:rFonts w:ascii="Palatino Linotype" w:hAnsi="Palatino Linotype"/>
          <w:bCs/>
          <w:szCs w:val="26"/>
        </w:rPr>
        <w:footnoteReference w:id="15"/>
      </w:r>
      <w:r w:rsidR="00F33C3A">
        <w:rPr>
          <w:rFonts w:ascii="Palatino Linotype" w:hAnsi="Palatino Linotype"/>
          <w:bCs/>
          <w:szCs w:val="26"/>
        </w:rPr>
        <w:t xml:space="preserve">  </w:t>
      </w:r>
    </w:p>
    <w:p w:rsidR="001103FC" w:rsidRDefault="00B7530B" w:rsidP="00232DE2">
      <w:pPr>
        <w:autoSpaceDE w:val="0"/>
        <w:autoSpaceDN w:val="0"/>
        <w:adjustRightInd w:val="0"/>
        <w:spacing w:after="120"/>
        <w:rPr>
          <w:rFonts w:ascii="Palatino Linotype" w:hAnsi="Palatino Linotype"/>
          <w:bCs/>
          <w:szCs w:val="26"/>
        </w:rPr>
      </w:pPr>
      <w:r>
        <w:rPr>
          <w:rFonts w:ascii="Palatino Linotype" w:hAnsi="Palatino Linotype"/>
          <w:bCs/>
          <w:szCs w:val="26"/>
        </w:rPr>
        <w:t xml:space="preserve">In its protest of </w:t>
      </w:r>
      <w:r w:rsidR="001103FC">
        <w:rPr>
          <w:rFonts w:ascii="Palatino Linotype" w:hAnsi="Palatino Linotype"/>
          <w:bCs/>
          <w:szCs w:val="26"/>
        </w:rPr>
        <w:t xml:space="preserve">PG&amp;E </w:t>
      </w:r>
      <w:r>
        <w:rPr>
          <w:rFonts w:ascii="Palatino Linotype" w:hAnsi="Palatino Linotype"/>
          <w:bCs/>
          <w:szCs w:val="26"/>
        </w:rPr>
        <w:t>advice letter 4365-E, the Clean Coalition opposes PG&amp;E’s proposed modification to require</w:t>
      </w:r>
      <w:r w:rsidR="009B2065">
        <w:rPr>
          <w:rFonts w:ascii="Palatino Linotype" w:hAnsi="Palatino Linotype"/>
          <w:bCs/>
          <w:szCs w:val="26"/>
        </w:rPr>
        <w:t xml:space="preserve"> projects have a Phase II study</w:t>
      </w:r>
      <w:r w:rsidR="00F901F7">
        <w:rPr>
          <w:rFonts w:ascii="Palatino Linotype" w:hAnsi="Palatino Linotype"/>
          <w:bCs/>
          <w:szCs w:val="26"/>
        </w:rPr>
        <w:t>.  The Clean Coalition</w:t>
      </w:r>
      <w:r w:rsidR="009B2065">
        <w:rPr>
          <w:rFonts w:ascii="Palatino Linotype" w:hAnsi="Palatino Linotype"/>
          <w:bCs/>
          <w:szCs w:val="26"/>
        </w:rPr>
        <w:t xml:space="preserve"> argues that </w:t>
      </w:r>
      <w:r w:rsidR="00416ABF">
        <w:rPr>
          <w:rFonts w:ascii="Palatino Linotype" w:hAnsi="Palatino Linotype"/>
          <w:bCs/>
          <w:szCs w:val="26"/>
        </w:rPr>
        <w:t xml:space="preserve">PG&amp;E has provided no evidence of the need or impact </w:t>
      </w:r>
      <w:r w:rsidR="00F901F7">
        <w:rPr>
          <w:rFonts w:ascii="Palatino Linotype" w:hAnsi="Palatino Linotype"/>
          <w:bCs/>
          <w:szCs w:val="26"/>
        </w:rPr>
        <w:t>of the proposed</w:t>
      </w:r>
      <w:r w:rsidR="00416ABF">
        <w:rPr>
          <w:rFonts w:ascii="Palatino Linotype" w:hAnsi="Palatino Linotype"/>
          <w:bCs/>
          <w:szCs w:val="26"/>
        </w:rPr>
        <w:t xml:space="preserve"> modification</w:t>
      </w:r>
      <w:r w:rsidR="00BC00B0">
        <w:rPr>
          <w:rFonts w:ascii="Palatino Linotype" w:hAnsi="Palatino Linotype"/>
          <w:bCs/>
          <w:szCs w:val="26"/>
        </w:rPr>
        <w:t>.</w:t>
      </w:r>
      <w:r w:rsidR="00BC00B0">
        <w:rPr>
          <w:rStyle w:val="FootnoteReference"/>
          <w:rFonts w:ascii="Palatino Linotype" w:hAnsi="Palatino Linotype"/>
          <w:bCs/>
          <w:szCs w:val="26"/>
        </w:rPr>
        <w:footnoteReference w:id="16"/>
      </w:r>
      <w:r w:rsidR="00416ABF">
        <w:rPr>
          <w:rFonts w:ascii="Palatino Linotype" w:hAnsi="Palatino Linotype"/>
          <w:bCs/>
          <w:szCs w:val="26"/>
        </w:rPr>
        <w:t xml:space="preserve"> </w:t>
      </w:r>
      <w:r w:rsidR="00BC00B0">
        <w:rPr>
          <w:rFonts w:ascii="Palatino Linotype" w:hAnsi="Palatino Linotype"/>
          <w:bCs/>
          <w:szCs w:val="26"/>
        </w:rPr>
        <w:t>Additionally, Clean Coalition argues</w:t>
      </w:r>
      <w:r w:rsidR="00416ABF">
        <w:rPr>
          <w:rFonts w:ascii="Palatino Linotype" w:hAnsi="Palatino Linotype"/>
          <w:bCs/>
          <w:szCs w:val="26"/>
        </w:rPr>
        <w:t xml:space="preserve"> that </w:t>
      </w:r>
      <w:r w:rsidR="009B2065">
        <w:rPr>
          <w:rFonts w:ascii="Palatino Linotype" w:hAnsi="Palatino Linotype"/>
          <w:bCs/>
          <w:szCs w:val="26"/>
        </w:rPr>
        <w:t>there is no need for the modification because the current RAM selection process already has screens</w:t>
      </w:r>
      <w:r w:rsidR="00416ABF">
        <w:rPr>
          <w:rFonts w:ascii="Palatino Linotype" w:hAnsi="Palatino Linotype"/>
          <w:bCs/>
          <w:szCs w:val="26"/>
        </w:rPr>
        <w:t xml:space="preserve"> that re</w:t>
      </w:r>
      <w:r w:rsidR="00F901F7">
        <w:rPr>
          <w:rFonts w:ascii="Palatino Linotype" w:hAnsi="Palatino Linotype"/>
          <w:bCs/>
          <w:szCs w:val="26"/>
        </w:rPr>
        <w:t>quire bidders to demonstrate their ability to achieve the required 24-month COD.</w:t>
      </w:r>
      <w:r w:rsidR="009B2065">
        <w:rPr>
          <w:rFonts w:ascii="Palatino Linotype" w:hAnsi="Palatino Linotype"/>
          <w:bCs/>
          <w:szCs w:val="26"/>
        </w:rPr>
        <w:t xml:space="preserve"> </w:t>
      </w:r>
      <w:r w:rsidR="00BC00B0">
        <w:rPr>
          <w:rFonts w:ascii="Palatino Linotype" w:hAnsi="Palatino Linotype"/>
          <w:bCs/>
          <w:szCs w:val="26"/>
        </w:rPr>
        <w:t>Lastly</w:t>
      </w:r>
      <w:r w:rsidR="00F901F7">
        <w:rPr>
          <w:rFonts w:ascii="Palatino Linotype" w:hAnsi="Palatino Linotype"/>
          <w:bCs/>
          <w:szCs w:val="26"/>
        </w:rPr>
        <w:t>, the Clean Coalition argues that the proposal is contrary to an efficient functioning interconnection study process and unlikely to have significant benefit due to the majority of applicants already having completed Phase II studies.</w:t>
      </w:r>
      <w:r w:rsidR="00860404">
        <w:rPr>
          <w:rFonts w:ascii="Palatino Linotype" w:hAnsi="Palatino Linotype"/>
          <w:bCs/>
          <w:szCs w:val="26"/>
        </w:rPr>
        <w:t xml:space="preserve">  </w:t>
      </w:r>
      <w:r w:rsidR="00662241">
        <w:rPr>
          <w:rFonts w:ascii="Palatino Linotype" w:hAnsi="Palatino Linotype"/>
          <w:bCs/>
          <w:szCs w:val="26"/>
        </w:rPr>
        <w:t>In its protest of PG&amp;E’s advice letter 4365-E, NextEra supports PG&amp;E’s proposal</w:t>
      </w:r>
      <w:r w:rsidR="00951FFB">
        <w:rPr>
          <w:rFonts w:ascii="Palatino Linotype" w:hAnsi="Palatino Linotype"/>
          <w:bCs/>
          <w:szCs w:val="26"/>
        </w:rPr>
        <w:t>.</w:t>
      </w:r>
      <w:r w:rsidR="00951FFB">
        <w:rPr>
          <w:rStyle w:val="FootnoteReference"/>
          <w:rFonts w:ascii="Palatino Linotype" w:hAnsi="Palatino Linotype"/>
          <w:bCs/>
          <w:szCs w:val="26"/>
        </w:rPr>
        <w:footnoteReference w:id="17"/>
      </w:r>
      <w:r w:rsidR="00951FFB">
        <w:rPr>
          <w:rFonts w:ascii="Palatino Linotype" w:hAnsi="Palatino Linotype"/>
          <w:bCs/>
          <w:szCs w:val="26"/>
        </w:rPr>
        <w:t xml:space="preserve">  </w:t>
      </w:r>
      <w:r w:rsidR="00442B30">
        <w:rPr>
          <w:rFonts w:ascii="Palatino Linotype" w:hAnsi="Palatino Linotype"/>
          <w:bCs/>
          <w:szCs w:val="26"/>
        </w:rPr>
        <w:t>Additionally</w:t>
      </w:r>
      <w:r w:rsidR="00951FFB">
        <w:rPr>
          <w:rFonts w:ascii="Palatino Linotype" w:hAnsi="Palatino Linotype"/>
          <w:bCs/>
          <w:szCs w:val="26"/>
        </w:rPr>
        <w:t>,</w:t>
      </w:r>
      <w:r w:rsidR="00662241">
        <w:rPr>
          <w:rFonts w:ascii="Palatino Linotype" w:hAnsi="Palatino Linotype"/>
          <w:bCs/>
          <w:szCs w:val="26"/>
        </w:rPr>
        <w:t xml:space="preserve"> </w:t>
      </w:r>
      <w:r w:rsidR="00951FFB">
        <w:rPr>
          <w:rFonts w:ascii="Palatino Linotype" w:hAnsi="Palatino Linotype"/>
          <w:bCs/>
          <w:szCs w:val="26"/>
        </w:rPr>
        <w:t xml:space="preserve">in </w:t>
      </w:r>
      <w:r w:rsidR="00BC00B0">
        <w:rPr>
          <w:rFonts w:ascii="Palatino Linotype" w:hAnsi="Palatino Linotype"/>
          <w:bCs/>
          <w:szCs w:val="26"/>
        </w:rPr>
        <w:t>NextEra’s</w:t>
      </w:r>
      <w:r w:rsidR="00951FFB">
        <w:rPr>
          <w:rFonts w:ascii="Palatino Linotype" w:hAnsi="Palatino Linotype"/>
          <w:bCs/>
          <w:szCs w:val="26"/>
        </w:rPr>
        <w:t xml:space="preserve"> protest of SDG&amp;E advice letter 2580-E, </w:t>
      </w:r>
      <w:r w:rsidR="00BC00B0">
        <w:rPr>
          <w:rFonts w:ascii="Palatino Linotype" w:hAnsi="Palatino Linotype"/>
          <w:bCs/>
          <w:szCs w:val="26"/>
        </w:rPr>
        <w:t>it</w:t>
      </w:r>
      <w:r w:rsidR="00951FFB">
        <w:rPr>
          <w:rFonts w:ascii="Palatino Linotype" w:hAnsi="Palatino Linotype"/>
          <w:bCs/>
          <w:szCs w:val="26"/>
        </w:rPr>
        <w:t xml:space="preserve"> recommends that SDG&amp;E’s RFO protocol be revised to require a Phase II study requirement to improve project viability by providing greater certainty of timing for completion of required transmission upgrades</w:t>
      </w:r>
      <w:r w:rsidR="001103FC">
        <w:rPr>
          <w:rFonts w:ascii="Palatino Linotype" w:hAnsi="Palatino Linotype"/>
          <w:bCs/>
          <w:szCs w:val="26"/>
        </w:rPr>
        <w:t>.</w:t>
      </w:r>
      <w:r w:rsidR="00662241">
        <w:rPr>
          <w:rStyle w:val="FootnoteReference"/>
          <w:rFonts w:ascii="Palatino Linotype" w:hAnsi="Palatino Linotype"/>
          <w:bCs/>
          <w:szCs w:val="26"/>
        </w:rPr>
        <w:footnoteReference w:id="18"/>
      </w:r>
      <w:r w:rsidR="001103FC">
        <w:rPr>
          <w:rFonts w:ascii="Palatino Linotype" w:hAnsi="Palatino Linotype"/>
          <w:bCs/>
          <w:szCs w:val="26"/>
        </w:rPr>
        <w:t xml:space="preserve"> </w:t>
      </w:r>
    </w:p>
    <w:p w:rsidR="008124C8" w:rsidRPr="00D7559B" w:rsidRDefault="008124C8" w:rsidP="00232DE2">
      <w:pPr>
        <w:autoSpaceDE w:val="0"/>
        <w:autoSpaceDN w:val="0"/>
        <w:adjustRightInd w:val="0"/>
        <w:spacing w:after="120"/>
        <w:rPr>
          <w:rFonts w:ascii="Palatino Linotype" w:hAnsi="Palatino Linotype"/>
          <w:bCs/>
          <w:szCs w:val="26"/>
        </w:rPr>
      </w:pPr>
      <w:r w:rsidRPr="00D7559B">
        <w:rPr>
          <w:rFonts w:ascii="Palatino Linotype" w:hAnsi="Palatino Linotype"/>
          <w:bCs/>
          <w:szCs w:val="26"/>
        </w:rPr>
        <w:t xml:space="preserve">In its reply to the Clean Coalition, PG&amp;E asserts that requiring a Phase II interconnection study is reasonable because </w:t>
      </w:r>
      <w:r w:rsidR="00BC00B0">
        <w:rPr>
          <w:rFonts w:ascii="Palatino Linotype" w:hAnsi="Palatino Linotype"/>
          <w:bCs/>
          <w:szCs w:val="26"/>
        </w:rPr>
        <w:t xml:space="preserve">the </w:t>
      </w:r>
      <w:r w:rsidRPr="00D7559B">
        <w:rPr>
          <w:rFonts w:ascii="Palatino Linotype" w:hAnsi="Palatino Linotype"/>
          <w:bCs/>
          <w:szCs w:val="26"/>
        </w:rPr>
        <w:t xml:space="preserve">certainty regarding the </w:t>
      </w:r>
      <w:r w:rsidR="00BC00B0">
        <w:rPr>
          <w:rFonts w:ascii="Palatino Linotype" w:hAnsi="Palatino Linotype"/>
          <w:bCs/>
          <w:szCs w:val="26"/>
        </w:rPr>
        <w:t>timing</w:t>
      </w:r>
      <w:r w:rsidRPr="00D7559B">
        <w:rPr>
          <w:rFonts w:ascii="Palatino Linotype" w:hAnsi="Palatino Linotype"/>
          <w:bCs/>
          <w:szCs w:val="26"/>
        </w:rPr>
        <w:t xml:space="preserve"> of network upgrades provided by having a Phase II study requirement makes sense given the near-term online dates required in the RAM program.</w:t>
      </w:r>
      <w:r w:rsidRPr="00D7559B">
        <w:rPr>
          <w:rStyle w:val="FootnoteReference"/>
          <w:rFonts w:ascii="Palatino Linotype" w:hAnsi="Palatino Linotype"/>
          <w:bCs/>
          <w:szCs w:val="26"/>
        </w:rPr>
        <w:footnoteReference w:id="19"/>
      </w:r>
      <w:r w:rsidRPr="00D7559B">
        <w:rPr>
          <w:rFonts w:ascii="Palatino Linotype" w:hAnsi="Palatino Linotype"/>
          <w:bCs/>
          <w:szCs w:val="26"/>
        </w:rPr>
        <w:t xml:space="preserve"> </w:t>
      </w:r>
    </w:p>
    <w:p w:rsidR="00032FC3" w:rsidRDefault="00860404" w:rsidP="00232DE2">
      <w:pPr>
        <w:autoSpaceDE w:val="0"/>
        <w:autoSpaceDN w:val="0"/>
        <w:adjustRightInd w:val="0"/>
        <w:spacing w:after="120"/>
        <w:rPr>
          <w:rFonts w:ascii="Palatino Linotype" w:hAnsi="Palatino Linotype"/>
          <w:bCs/>
          <w:szCs w:val="26"/>
        </w:rPr>
      </w:pPr>
      <w:r w:rsidRPr="00D7559B">
        <w:rPr>
          <w:rFonts w:ascii="Palatino Linotype" w:hAnsi="Palatino Linotype"/>
          <w:bCs/>
          <w:szCs w:val="26"/>
        </w:rPr>
        <w:t xml:space="preserve">In its reply, </w:t>
      </w:r>
      <w:r w:rsidR="001103FC">
        <w:rPr>
          <w:rFonts w:ascii="Palatino Linotype" w:hAnsi="Palatino Linotype"/>
          <w:bCs/>
          <w:szCs w:val="26"/>
        </w:rPr>
        <w:t xml:space="preserve">SDG&amp;E </w:t>
      </w:r>
      <w:r w:rsidR="00105B2C">
        <w:rPr>
          <w:rFonts w:ascii="Palatino Linotype" w:hAnsi="Palatino Linotype"/>
          <w:bCs/>
          <w:szCs w:val="26"/>
        </w:rPr>
        <w:t xml:space="preserve">asserts that NextEra’s protest to SDG&amp;E advice letter 2580-E should be rejected because it will: 1) negatively impact the market by disrupting eligibility requirements that are and have been </w:t>
      </w:r>
      <w:r w:rsidR="00BC00B0">
        <w:rPr>
          <w:rFonts w:ascii="Palatino Linotype" w:hAnsi="Palatino Linotype"/>
          <w:bCs/>
          <w:szCs w:val="26"/>
        </w:rPr>
        <w:t xml:space="preserve">the </w:t>
      </w:r>
      <w:r w:rsidR="00105B2C">
        <w:rPr>
          <w:rFonts w:ascii="Palatino Linotype" w:hAnsi="Palatino Linotype"/>
          <w:bCs/>
          <w:szCs w:val="26"/>
        </w:rPr>
        <w:t>market rules and 2) limit the number of eligible market participants.</w:t>
      </w:r>
      <w:r w:rsidR="00D7559B">
        <w:rPr>
          <w:rStyle w:val="FootnoteReference"/>
          <w:rFonts w:ascii="Palatino Linotype" w:hAnsi="Palatino Linotype"/>
          <w:bCs/>
          <w:szCs w:val="26"/>
        </w:rPr>
        <w:footnoteReference w:id="20"/>
      </w:r>
      <w:r w:rsidR="00105B2C">
        <w:rPr>
          <w:rFonts w:ascii="Palatino Linotype" w:hAnsi="Palatino Linotype"/>
          <w:bCs/>
          <w:szCs w:val="26"/>
        </w:rPr>
        <w:t xml:space="preserve">  Further, while SDG&amp;E agrees with NextEra’s argument that </w:t>
      </w:r>
      <w:r w:rsidR="00BC00B0">
        <w:rPr>
          <w:rFonts w:ascii="Palatino Linotype" w:hAnsi="Palatino Linotype"/>
          <w:bCs/>
          <w:szCs w:val="26"/>
        </w:rPr>
        <w:t>a Phase II requirement</w:t>
      </w:r>
      <w:r w:rsidR="00105B2C">
        <w:rPr>
          <w:rFonts w:ascii="Palatino Linotype" w:hAnsi="Palatino Linotype"/>
          <w:bCs/>
          <w:szCs w:val="26"/>
        </w:rPr>
        <w:t xml:space="preserve"> will reduce uncertainty and ratepayer exposure related to network upgrade costs, SDG&amp;E asserts that NextEra’s proposal will reduce the price competitiveness of the RAM solicitation and that SDG&amp;E’s proposed interconnection condition precedent should alleviate ratepayer risk related to network upgrade costs.</w:t>
      </w:r>
    </w:p>
    <w:p w:rsidR="00D31D19" w:rsidRDefault="00F901F7" w:rsidP="003E694D">
      <w:pPr>
        <w:autoSpaceDE w:val="0"/>
        <w:autoSpaceDN w:val="0"/>
        <w:adjustRightInd w:val="0"/>
        <w:spacing w:after="240"/>
        <w:rPr>
          <w:rFonts w:ascii="Palatino Linotype" w:hAnsi="Palatino Linotype"/>
          <w:bCs/>
          <w:szCs w:val="26"/>
        </w:rPr>
      </w:pPr>
      <w:r>
        <w:rPr>
          <w:rFonts w:ascii="Palatino Linotype" w:hAnsi="Palatino Linotype"/>
          <w:bCs/>
          <w:szCs w:val="26"/>
        </w:rPr>
        <w:t xml:space="preserve">As the Clean Coalition noted, </w:t>
      </w:r>
      <w:r w:rsidR="00860404">
        <w:rPr>
          <w:rFonts w:ascii="Palatino Linotype" w:hAnsi="Palatino Linotype"/>
          <w:bCs/>
          <w:szCs w:val="26"/>
        </w:rPr>
        <w:t xml:space="preserve">the RAM program already has several screens in place to minimize project failure and that </w:t>
      </w:r>
      <w:r>
        <w:rPr>
          <w:rFonts w:ascii="Palatino Linotype" w:hAnsi="Palatino Linotype"/>
          <w:bCs/>
          <w:szCs w:val="26"/>
        </w:rPr>
        <w:t xml:space="preserve">there is no evidence at this time that a modification of the interconnection requirement is necessary.  </w:t>
      </w:r>
      <w:r w:rsidR="0036516A">
        <w:rPr>
          <w:rFonts w:ascii="Palatino Linotype" w:hAnsi="Palatino Linotype"/>
          <w:bCs/>
          <w:szCs w:val="26"/>
        </w:rPr>
        <w:t xml:space="preserve">The Commission </w:t>
      </w:r>
      <w:r w:rsidR="00860404">
        <w:rPr>
          <w:rFonts w:ascii="Palatino Linotype" w:hAnsi="Palatino Linotype"/>
          <w:bCs/>
          <w:szCs w:val="26"/>
        </w:rPr>
        <w:t>agrees with the Clean Coalition and finds that</w:t>
      </w:r>
      <w:r w:rsidR="0036516A">
        <w:rPr>
          <w:rFonts w:ascii="Palatino Linotype" w:hAnsi="Palatino Linotype"/>
          <w:bCs/>
          <w:szCs w:val="26"/>
        </w:rPr>
        <w:t xml:space="preserve"> </w:t>
      </w:r>
      <w:r w:rsidR="00860404">
        <w:rPr>
          <w:rFonts w:ascii="Palatino Linotype" w:hAnsi="Palatino Linotype"/>
          <w:bCs/>
          <w:szCs w:val="26"/>
        </w:rPr>
        <w:t>there</w:t>
      </w:r>
      <w:r w:rsidR="0036516A">
        <w:rPr>
          <w:rFonts w:ascii="Palatino Linotype" w:hAnsi="Palatino Linotype"/>
          <w:bCs/>
          <w:szCs w:val="26"/>
        </w:rPr>
        <w:t xml:space="preserve"> </w:t>
      </w:r>
      <w:r w:rsidR="00C747B8">
        <w:rPr>
          <w:rFonts w:ascii="Palatino Linotype" w:hAnsi="Palatino Linotype"/>
          <w:bCs/>
          <w:szCs w:val="26"/>
        </w:rPr>
        <w:t xml:space="preserve">is </w:t>
      </w:r>
      <w:r w:rsidR="0036516A">
        <w:rPr>
          <w:rFonts w:ascii="Palatino Linotype" w:hAnsi="Palatino Linotype"/>
          <w:bCs/>
          <w:szCs w:val="26"/>
        </w:rPr>
        <w:t xml:space="preserve">no evidence </w:t>
      </w:r>
      <w:r w:rsidR="00860404">
        <w:rPr>
          <w:rFonts w:ascii="Palatino Linotype" w:hAnsi="Palatino Linotype"/>
          <w:bCs/>
          <w:szCs w:val="26"/>
        </w:rPr>
        <w:t>at this time</w:t>
      </w:r>
      <w:r w:rsidR="00BC00B0">
        <w:rPr>
          <w:rFonts w:ascii="Palatino Linotype" w:hAnsi="Palatino Linotype"/>
          <w:bCs/>
          <w:szCs w:val="26"/>
        </w:rPr>
        <w:t xml:space="preserve"> to modify the RAM program interconnection requirement</w:t>
      </w:r>
      <w:r w:rsidR="009517D4">
        <w:rPr>
          <w:rFonts w:ascii="Palatino Linotype" w:hAnsi="Palatino Linotype"/>
          <w:bCs/>
          <w:szCs w:val="26"/>
        </w:rPr>
        <w:t>.</w:t>
      </w:r>
      <w:r w:rsidR="0036516A">
        <w:rPr>
          <w:rFonts w:ascii="Palatino Linotype" w:hAnsi="Palatino Linotype"/>
          <w:bCs/>
          <w:szCs w:val="26"/>
        </w:rPr>
        <w:t xml:space="preserve"> </w:t>
      </w:r>
      <w:r w:rsidR="009517D4">
        <w:rPr>
          <w:rFonts w:ascii="Palatino Linotype" w:hAnsi="Palatino Linotype"/>
          <w:bCs/>
          <w:szCs w:val="26"/>
        </w:rPr>
        <w:t xml:space="preserve">The need and benefit </w:t>
      </w:r>
      <w:r w:rsidR="00E40C6F">
        <w:rPr>
          <w:rFonts w:ascii="Palatino Linotype" w:hAnsi="Palatino Linotype"/>
          <w:bCs/>
          <w:szCs w:val="26"/>
        </w:rPr>
        <w:t xml:space="preserve">of a Phase II requirement </w:t>
      </w:r>
      <w:r w:rsidR="009517D4">
        <w:rPr>
          <w:rFonts w:ascii="Palatino Linotype" w:hAnsi="Palatino Linotype"/>
          <w:bCs/>
          <w:szCs w:val="26"/>
        </w:rPr>
        <w:t xml:space="preserve">to </w:t>
      </w:r>
      <w:r w:rsidR="0036516A">
        <w:rPr>
          <w:rFonts w:ascii="Palatino Linotype" w:hAnsi="Palatino Linotype"/>
          <w:bCs/>
          <w:szCs w:val="26"/>
        </w:rPr>
        <w:t>the RAM program</w:t>
      </w:r>
      <w:r w:rsidR="009517D4">
        <w:rPr>
          <w:rFonts w:ascii="Palatino Linotype" w:hAnsi="Palatino Linotype"/>
          <w:bCs/>
          <w:szCs w:val="26"/>
        </w:rPr>
        <w:t xml:space="preserve"> may be further considered, however, in the Commission’s </w:t>
      </w:r>
      <w:r w:rsidR="00E40C6F">
        <w:rPr>
          <w:rFonts w:ascii="Palatino Linotype" w:hAnsi="Palatino Linotype"/>
          <w:bCs/>
          <w:szCs w:val="26"/>
        </w:rPr>
        <w:t xml:space="preserve">review </w:t>
      </w:r>
      <w:r w:rsidR="009517D4">
        <w:rPr>
          <w:rFonts w:ascii="Palatino Linotype" w:hAnsi="Palatino Linotype"/>
          <w:bCs/>
          <w:szCs w:val="26"/>
        </w:rPr>
        <w:t>of the RAM program</w:t>
      </w:r>
      <w:r w:rsidR="0036516A">
        <w:rPr>
          <w:rFonts w:ascii="Palatino Linotype" w:hAnsi="Palatino Linotype"/>
          <w:bCs/>
          <w:szCs w:val="26"/>
        </w:rPr>
        <w:t>.</w:t>
      </w:r>
      <w:r w:rsidR="00730DFE" w:rsidRPr="00730DFE">
        <w:rPr>
          <w:rStyle w:val="FootnoteReference"/>
          <w:rFonts w:ascii="Palatino Linotype" w:hAnsi="Palatino Linotype"/>
          <w:bCs/>
          <w:szCs w:val="26"/>
        </w:rPr>
        <w:t xml:space="preserve"> </w:t>
      </w:r>
      <w:r w:rsidR="00730DFE">
        <w:rPr>
          <w:rStyle w:val="FootnoteReference"/>
          <w:rFonts w:ascii="Palatino Linotype" w:hAnsi="Palatino Linotype"/>
          <w:bCs/>
          <w:szCs w:val="26"/>
        </w:rPr>
        <w:footnoteReference w:id="21"/>
      </w:r>
      <w:r w:rsidR="0036516A">
        <w:rPr>
          <w:rFonts w:ascii="Palatino Linotype" w:hAnsi="Palatino Linotype"/>
          <w:bCs/>
          <w:szCs w:val="26"/>
        </w:rPr>
        <w:t xml:space="preserve">  As such, and to maintain consistency with the </w:t>
      </w:r>
      <w:r w:rsidR="009517D4">
        <w:rPr>
          <w:rFonts w:ascii="Palatino Linotype" w:hAnsi="Palatino Linotype"/>
          <w:bCs/>
          <w:szCs w:val="26"/>
        </w:rPr>
        <w:t xml:space="preserve">previous </w:t>
      </w:r>
      <w:r w:rsidR="0036516A">
        <w:rPr>
          <w:rFonts w:ascii="Palatino Linotype" w:hAnsi="Palatino Linotype"/>
          <w:bCs/>
          <w:szCs w:val="26"/>
        </w:rPr>
        <w:t>RAM a</w:t>
      </w:r>
      <w:r w:rsidR="009517D4">
        <w:rPr>
          <w:rFonts w:ascii="Palatino Linotype" w:hAnsi="Palatino Linotype"/>
          <w:bCs/>
          <w:szCs w:val="26"/>
        </w:rPr>
        <w:t>uctions</w:t>
      </w:r>
      <w:r w:rsidR="0036516A">
        <w:rPr>
          <w:rFonts w:ascii="Palatino Linotype" w:hAnsi="Palatino Linotype"/>
          <w:bCs/>
          <w:szCs w:val="26"/>
        </w:rPr>
        <w:t>, the Commission finds that PG&amp;E has</w:t>
      </w:r>
      <w:r w:rsidR="0036516A" w:rsidRPr="005B2F0D">
        <w:rPr>
          <w:rFonts w:ascii="Palatino Linotype" w:hAnsi="Palatino Linotype"/>
          <w:bCs/>
          <w:szCs w:val="26"/>
          <w:u w:val="single"/>
        </w:rPr>
        <w:t xml:space="preserve"> not provided sufficient evidence to justify </w:t>
      </w:r>
      <w:r w:rsidR="009517D4">
        <w:rPr>
          <w:rFonts w:ascii="Palatino Linotype" w:hAnsi="Palatino Linotype"/>
          <w:bCs/>
          <w:szCs w:val="26"/>
          <w:u w:val="single"/>
        </w:rPr>
        <w:t>modifying the interconnection requirement</w:t>
      </w:r>
      <w:r w:rsidR="0036516A">
        <w:rPr>
          <w:rFonts w:ascii="Palatino Linotype" w:hAnsi="Palatino Linotype"/>
          <w:bCs/>
          <w:szCs w:val="26"/>
        </w:rPr>
        <w:t xml:space="preserve">. Accordingly, </w:t>
      </w:r>
      <w:r w:rsidR="0036516A" w:rsidRPr="005B2F0D">
        <w:rPr>
          <w:rFonts w:ascii="Palatino Linotype" w:hAnsi="Palatino Linotype"/>
          <w:bCs/>
          <w:szCs w:val="26"/>
          <w:u w:val="single"/>
        </w:rPr>
        <w:t xml:space="preserve">the Commission </w:t>
      </w:r>
      <w:r w:rsidR="00860404">
        <w:rPr>
          <w:rFonts w:ascii="Palatino Linotype" w:hAnsi="Palatino Linotype"/>
          <w:bCs/>
          <w:szCs w:val="26"/>
          <w:u w:val="single"/>
        </w:rPr>
        <w:t xml:space="preserve">accepts the Clean Coalition’s protest and </w:t>
      </w:r>
      <w:r w:rsidR="0036516A" w:rsidRPr="005B2F0D">
        <w:rPr>
          <w:rFonts w:ascii="Palatino Linotype" w:hAnsi="Palatino Linotype"/>
          <w:bCs/>
          <w:szCs w:val="26"/>
          <w:u w:val="single"/>
        </w:rPr>
        <w:t xml:space="preserve">denies </w:t>
      </w:r>
      <w:r w:rsidR="00B07372">
        <w:rPr>
          <w:rFonts w:ascii="Palatino Linotype" w:hAnsi="Palatino Linotype"/>
          <w:bCs/>
          <w:szCs w:val="26"/>
          <w:u w:val="single"/>
        </w:rPr>
        <w:t xml:space="preserve">both </w:t>
      </w:r>
      <w:r w:rsidR="00262CE4">
        <w:rPr>
          <w:rFonts w:ascii="Palatino Linotype" w:hAnsi="Palatino Linotype"/>
          <w:bCs/>
          <w:szCs w:val="26"/>
          <w:u w:val="single"/>
        </w:rPr>
        <w:t>PG&amp;E’s</w:t>
      </w:r>
      <w:r w:rsidR="0036516A" w:rsidRPr="005B2F0D">
        <w:rPr>
          <w:rFonts w:ascii="Palatino Linotype" w:hAnsi="Palatino Linotype"/>
          <w:bCs/>
          <w:szCs w:val="26"/>
          <w:u w:val="single"/>
        </w:rPr>
        <w:t xml:space="preserve"> request to </w:t>
      </w:r>
      <w:r w:rsidR="009517D4">
        <w:rPr>
          <w:rFonts w:ascii="Palatino Linotype" w:hAnsi="Palatino Linotype"/>
          <w:bCs/>
          <w:szCs w:val="26"/>
          <w:u w:val="single"/>
        </w:rPr>
        <w:t>require</w:t>
      </w:r>
      <w:r w:rsidR="00262CE4">
        <w:rPr>
          <w:rFonts w:ascii="Palatino Linotype" w:hAnsi="Palatino Linotype"/>
          <w:bCs/>
          <w:szCs w:val="26"/>
          <w:u w:val="single"/>
        </w:rPr>
        <w:t xml:space="preserve"> that projects have</w:t>
      </w:r>
      <w:r w:rsidR="009517D4">
        <w:rPr>
          <w:rFonts w:ascii="Palatino Linotype" w:hAnsi="Palatino Linotype"/>
          <w:bCs/>
          <w:szCs w:val="26"/>
          <w:u w:val="single"/>
        </w:rPr>
        <w:t xml:space="preserve"> a Phase II study to participate in RAM V</w:t>
      </w:r>
      <w:r w:rsidR="00B07372">
        <w:rPr>
          <w:rFonts w:ascii="Palatino Linotype" w:hAnsi="Palatino Linotype"/>
          <w:bCs/>
          <w:szCs w:val="26"/>
          <w:u w:val="single"/>
        </w:rPr>
        <w:t xml:space="preserve"> and NextEra’s protest to SDG&amp;E AL 2850-E</w:t>
      </w:r>
      <w:r w:rsidR="0036516A">
        <w:rPr>
          <w:rFonts w:ascii="Palatino Linotype" w:hAnsi="Palatino Linotype"/>
          <w:bCs/>
          <w:szCs w:val="26"/>
        </w:rPr>
        <w:t xml:space="preserve">. </w:t>
      </w:r>
    </w:p>
    <w:p w:rsidR="00C801BD" w:rsidRPr="00C801BD" w:rsidRDefault="00C801BD" w:rsidP="00232DE2">
      <w:pPr>
        <w:spacing w:after="120"/>
        <w:rPr>
          <w:rFonts w:ascii="Palatino Linotype" w:hAnsi="Palatino Linotype"/>
          <w:b/>
          <w:i/>
        </w:rPr>
      </w:pPr>
      <w:r>
        <w:rPr>
          <w:rFonts w:ascii="Palatino Linotype" w:hAnsi="Palatino Linotype"/>
          <w:b/>
          <w:i/>
        </w:rPr>
        <w:t xml:space="preserve">(3) </w:t>
      </w:r>
      <w:r w:rsidRPr="00C801BD">
        <w:rPr>
          <w:rFonts w:ascii="Palatino Linotype" w:hAnsi="Palatino Linotype"/>
          <w:b/>
          <w:i/>
        </w:rPr>
        <w:t xml:space="preserve">PG&amp;E Requests </w:t>
      </w:r>
      <w:r w:rsidR="00442B30" w:rsidRPr="00C801BD">
        <w:rPr>
          <w:rFonts w:ascii="Palatino Linotype" w:hAnsi="Palatino Linotype"/>
          <w:b/>
          <w:i/>
        </w:rPr>
        <w:t>Extension</w:t>
      </w:r>
      <w:r w:rsidRPr="00C801BD">
        <w:rPr>
          <w:rFonts w:ascii="Palatino Linotype" w:hAnsi="Palatino Linotype"/>
          <w:b/>
          <w:i/>
        </w:rPr>
        <w:t xml:space="preserve"> of RAM V Auction Completion Date</w:t>
      </w:r>
    </w:p>
    <w:p w:rsidR="00C801BD" w:rsidRDefault="00BC00B0" w:rsidP="00232DE2">
      <w:pPr>
        <w:autoSpaceDE w:val="0"/>
        <w:autoSpaceDN w:val="0"/>
        <w:adjustRightInd w:val="0"/>
        <w:spacing w:after="120"/>
        <w:rPr>
          <w:rFonts w:ascii="Palatino Linotype" w:hAnsi="Palatino Linotype"/>
          <w:bCs/>
          <w:szCs w:val="26"/>
        </w:rPr>
      </w:pPr>
      <w:r>
        <w:rPr>
          <w:rFonts w:ascii="Palatino Linotype" w:hAnsi="Palatino Linotype"/>
          <w:bCs/>
          <w:szCs w:val="26"/>
        </w:rPr>
        <w:t xml:space="preserve">In </w:t>
      </w:r>
      <w:r w:rsidR="00C747B8">
        <w:rPr>
          <w:rFonts w:ascii="Palatino Linotype" w:hAnsi="Palatino Linotype"/>
          <w:bCs/>
          <w:szCs w:val="26"/>
        </w:rPr>
        <w:t xml:space="preserve">Resolution </w:t>
      </w:r>
      <w:r>
        <w:rPr>
          <w:rFonts w:ascii="Palatino Linotype" w:hAnsi="Palatino Linotype"/>
          <w:bCs/>
          <w:szCs w:val="26"/>
        </w:rPr>
        <w:t xml:space="preserve">E-4582 the Commission established a RAM V auction completion date of June 27, 2014.  </w:t>
      </w:r>
      <w:r w:rsidR="00C801BD">
        <w:rPr>
          <w:rFonts w:ascii="Palatino Linotype" w:hAnsi="Palatino Linotype"/>
          <w:bCs/>
          <w:szCs w:val="26"/>
        </w:rPr>
        <w:t xml:space="preserve">In advice letter 4365-E, PG&amp;E proposes that if the Commission is unable to approve its advice letter by May 1, 2014, then the </w:t>
      </w:r>
      <w:r w:rsidR="00A37E96">
        <w:rPr>
          <w:rFonts w:ascii="Palatino Linotype" w:hAnsi="Palatino Linotype"/>
          <w:bCs/>
          <w:szCs w:val="26"/>
        </w:rPr>
        <w:br/>
      </w:r>
      <w:r w:rsidR="00C801BD">
        <w:rPr>
          <w:rFonts w:ascii="Palatino Linotype" w:hAnsi="Palatino Linotype"/>
          <w:bCs/>
          <w:szCs w:val="26"/>
        </w:rPr>
        <w:t>June 27, 2014 deadline for completing its RAM V auction should be modified to 45 days following the date on which the resolution approving its advice letter is approved.  PG&amp;E asserts that the change in deadline will provide the Commission additional time to consider PG&amp;E’s advice letter, provide PG&amp;E additional time to submit its compliance filing, and additional time to solicitation participants.</w:t>
      </w:r>
      <w:r w:rsidR="00C801BD">
        <w:rPr>
          <w:rStyle w:val="FootnoteReference"/>
          <w:rFonts w:ascii="Palatino Linotype" w:hAnsi="Palatino Linotype"/>
          <w:bCs/>
          <w:szCs w:val="26"/>
        </w:rPr>
        <w:footnoteReference w:id="22"/>
      </w:r>
    </w:p>
    <w:p w:rsidR="00C801BD" w:rsidRDefault="00C801BD" w:rsidP="00232DE2">
      <w:pPr>
        <w:autoSpaceDE w:val="0"/>
        <w:autoSpaceDN w:val="0"/>
        <w:adjustRightInd w:val="0"/>
        <w:spacing w:after="120"/>
        <w:rPr>
          <w:rFonts w:ascii="Palatino Linotype" w:hAnsi="Palatino Linotype"/>
          <w:bCs/>
          <w:szCs w:val="26"/>
        </w:rPr>
      </w:pPr>
      <w:r>
        <w:rPr>
          <w:rFonts w:ascii="Palatino Linotype" w:hAnsi="Palatino Linotype"/>
          <w:bCs/>
          <w:szCs w:val="26"/>
        </w:rPr>
        <w:t xml:space="preserve">While the Commission agrees that additional time could be beneficial, PG&amp;E did not provide sufficient evidence that the change will improve the RAM program.  If PG&amp;E needs additional time to comply, it may file a request pursuant to Rule 16.6 of the Commission’s Rules of Practice and Procedure.  Accordingly, </w:t>
      </w:r>
      <w:r w:rsidRPr="001E5A85">
        <w:rPr>
          <w:rFonts w:ascii="Palatino Linotype" w:hAnsi="Palatino Linotype"/>
          <w:bCs/>
          <w:szCs w:val="26"/>
          <w:u w:val="single"/>
        </w:rPr>
        <w:t>the Commission denies PG&amp;E’s request to change the RAM V Auction Completion Date</w:t>
      </w:r>
      <w:r w:rsidRPr="001E5A85">
        <w:rPr>
          <w:rFonts w:ascii="Palatino Linotype" w:hAnsi="Palatino Linotype"/>
          <w:bCs/>
          <w:szCs w:val="26"/>
        </w:rPr>
        <w:t>.</w:t>
      </w:r>
    </w:p>
    <w:p w:rsidR="007036B4" w:rsidRPr="007036B4" w:rsidRDefault="007036B4" w:rsidP="003E694D">
      <w:pPr>
        <w:spacing w:after="240"/>
        <w:rPr>
          <w:rFonts w:ascii="Palatino Linotype" w:hAnsi="Palatino Linotype"/>
        </w:rPr>
      </w:pPr>
      <w:r>
        <w:rPr>
          <w:rFonts w:ascii="Palatino Linotype" w:hAnsi="Palatino Linotype"/>
        </w:rPr>
        <w:t xml:space="preserve">The RAM Program Rules, as established by D.10-12-048 and modified by Resolution E-4414, Resolution E-4489, Resolution E-4546, and Resolution E-4582, are summarized in Appendix D of this Resolution. </w:t>
      </w:r>
    </w:p>
    <w:p w:rsidR="00D31D19" w:rsidRPr="009B48DF" w:rsidRDefault="009B48DF" w:rsidP="009B48DF">
      <w:pPr>
        <w:keepNext/>
        <w:autoSpaceDE w:val="0"/>
        <w:autoSpaceDN w:val="0"/>
        <w:adjustRightInd w:val="0"/>
        <w:spacing w:after="120"/>
        <w:rPr>
          <w:rFonts w:ascii="Palatino Linotype" w:hAnsi="Palatino Linotype"/>
          <w:b/>
          <w:bCs/>
          <w:i/>
          <w:szCs w:val="26"/>
        </w:rPr>
      </w:pPr>
      <w:r w:rsidRPr="009B48DF">
        <w:rPr>
          <w:rFonts w:ascii="Palatino Linotype" w:hAnsi="Palatino Linotype"/>
          <w:b/>
          <w:bCs/>
          <w:szCs w:val="26"/>
        </w:rPr>
        <w:t>B. Substantive Proposed Changes to the Individual IOU RAM Pro Forma PPAs</w:t>
      </w:r>
    </w:p>
    <w:p w:rsidR="007E459E" w:rsidRDefault="009B48DF" w:rsidP="00232DE2">
      <w:pPr>
        <w:spacing w:after="120"/>
        <w:rPr>
          <w:rFonts w:ascii="Palatino Linotype" w:hAnsi="Palatino Linotype"/>
          <w:bCs/>
          <w:szCs w:val="26"/>
        </w:rPr>
      </w:pPr>
      <w:r>
        <w:rPr>
          <w:rFonts w:ascii="Palatino Linotype" w:hAnsi="Palatino Linotype"/>
          <w:bCs/>
          <w:szCs w:val="26"/>
        </w:rPr>
        <w:t xml:space="preserve">SCE, PG&amp;E, and SDG&amp;E requested substantive changes to their RAM pro forma agreements for </w:t>
      </w:r>
      <w:r w:rsidR="008600C7">
        <w:rPr>
          <w:rFonts w:ascii="Palatino Linotype" w:hAnsi="Palatino Linotype"/>
          <w:bCs/>
          <w:szCs w:val="26"/>
        </w:rPr>
        <w:t>the</w:t>
      </w:r>
      <w:r>
        <w:rPr>
          <w:rFonts w:ascii="Palatino Linotype" w:hAnsi="Palatino Linotype"/>
          <w:bCs/>
          <w:szCs w:val="26"/>
        </w:rPr>
        <w:t xml:space="preserve"> RAM </w:t>
      </w:r>
      <w:r w:rsidR="003046B8">
        <w:rPr>
          <w:rFonts w:ascii="Palatino Linotype" w:hAnsi="Palatino Linotype"/>
          <w:bCs/>
          <w:szCs w:val="26"/>
        </w:rPr>
        <w:t xml:space="preserve">V </w:t>
      </w:r>
      <w:r>
        <w:rPr>
          <w:rFonts w:ascii="Palatino Linotype" w:hAnsi="Palatino Linotype"/>
          <w:bCs/>
          <w:szCs w:val="26"/>
        </w:rPr>
        <w:t>Auction</w:t>
      </w:r>
      <w:r w:rsidR="008600C7">
        <w:rPr>
          <w:rFonts w:ascii="Palatino Linotype" w:hAnsi="Palatino Linotype"/>
          <w:bCs/>
          <w:szCs w:val="26"/>
        </w:rPr>
        <w:t>s</w:t>
      </w:r>
      <w:r>
        <w:rPr>
          <w:rFonts w:ascii="Palatino Linotype" w:hAnsi="Palatino Linotype"/>
          <w:bCs/>
          <w:szCs w:val="26"/>
        </w:rPr>
        <w:t>.  Where the IOUs request approval of the same or similar modification</w:t>
      </w:r>
      <w:r w:rsidR="003046B8">
        <w:rPr>
          <w:rFonts w:ascii="Palatino Linotype" w:hAnsi="Palatino Linotype"/>
          <w:bCs/>
          <w:szCs w:val="26"/>
        </w:rPr>
        <w:t>,</w:t>
      </w:r>
      <w:r>
        <w:rPr>
          <w:rFonts w:ascii="Palatino Linotype" w:hAnsi="Palatino Linotype"/>
          <w:bCs/>
          <w:szCs w:val="26"/>
        </w:rPr>
        <w:t xml:space="preserve"> the issues are addressed together. </w:t>
      </w:r>
      <w:r w:rsidR="007E459E">
        <w:rPr>
          <w:rFonts w:ascii="Palatino Linotype" w:hAnsi="Palatino Linotype"/>
          <w:bCs/>
          <w:szCs w:val="26"/>
        </w:rPr>
        <w:t xml:space="preserve">Table 2 below is a summary of the IOUs’ proposed </w:t>
      </w:r>
      <w:r w:rsidR="003046B8">
        <w:rPr>
          <w:rFonts w:ascii="Palatino Linotype" w:hAnsi="Palatino Linotype"/>
          <w:bCs/>
          <w:szCs w:val="26"/>
        </w:rPr>
        <w:t xml:space="preserve">substantive </w:t>
      </w:r>
      <w:r w:rsidR="007E459E">
        <w:rPr>
          <w:rFonts w:ascii="Palatino Linotype" w:hAnsi="Palatino Linotype"/>
          <w:bCs/>
          <w:szCs w:val="26"/>
        </w:rPr>
        <w:t>changes to their RAM pro forma agreements.</w:t>
      </w:r>
    </w:p>
    <w:p w:rsidR="008B2575" w:rsidRPr="00290D69" w:rsidRDefault="008B2575" w:rsidP="0059383E">
      <w:pPr>
        <w:keepNext/>
        <w:spacing w:after="120"/>
        <w:ind w:left="1080" w:hanging="1080"/>
        <w:rPr>
          <w:rFonts w:ascii="Palatino Linotype" w:hAnsi="Palatino Linotype"/>
          <w:b/>
          <w:sz w:val="24"/>
          <w:szCs w:val="24"/>
        </w:rPr>
      </w:pPr>
      <w:r w:rsidRPr="00290D69">
        <w:rPr>
          <w:rFonts w:ascii="Palatino Linotype" w:hAnsi="Palatino Linotype"/>
          <w:b/>
          <w:sz w:val="24"/>
          <w:szCs w:val="24"/>
        </w:rPr>
        <w:t xml:space="preserve">Table 2: </w:t>
      </w:r>
      <w:r w:rsidR="0059383E" w:rsidRPr="00290D69">
        <w:rPr>
          <w:rFonts w:ascii="Palatino Linotype" w:hAnsi="Palatino Linotype"/>
          <w:b/>
          <w:sz w:val="24"/>
          <w:szCs w:val="24"/>
        </w:rPr>
        <w:t xml:space="preserve"> </w:t>
      </w:r>
      <w:r w:rsidRPr="00290D69">
        <w:rPr>
          <w:rFonts w:ascii="Palatino Linotype" w:hAnsi="Palatino Linotype"/>
          <w:b/>
          <w:sz w:val="24"/>
          <w:szCs w:val="24"/>
        </w:rPr>
        <w:t xml:space="preserve">Summary of Proposed Substantive Changes to </w:t>
      </w:r>
      <w:r w:rsidR="00175A18" w:rsidRPr="00290D69">
        <w:rPr>
          <w:rFonts w:ascii="Palatino Linotype" w:hAnsi="Palatino Linotype"/>
          <w:b/>
          <w:sz w:val="24"/>
          <w:szCs w:val="24"/>
        </w:rPr>
        <w:t>IOUs’</w:t>
      </w:r>
      <w:r w:rsidRPr="00290D69">
        <w:rPr>
          <w:rFonts w:ascii="Palatino Linotype" w:hAnsi="Palatino Linotype"/>
          <w:b/>
          <w:sz w:val="24"/>
          <w:szCs w:val="24"/>
        </w:rPr>
        <w:t xml:space="preserve"> RAM Pro Forma PPA</w:t>
      </w:r>
      <w:r w:rsidR="00175A18" w:rsidRPr="00290D69">
        <w:rPr>
          <w:rFonts w:ascii="Palatino Linotype" w:hAnsi="Palatino Linotype"/>
          <w:b/>
          <w:sz w:val="24"/>
          <w:szCs w:val="24"/>
        </w:rPr>
        <w:t>s</w:t>
      </w:r>
    </w:p>
    <w:tbl>
      <w:tblPr>
        <w:tblW w:w="10536"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2092"/>
        <w:gridCol w:w="3470"/>
        <w:gridCol w:w="1698"/>
        <w:gridCol w:w="1698"/>
      </w:tblGrid>
      <w:tr w:rsidR="008B2575" w:rsidRPr="0059641E" w:rsidTr="008B2575">
        <w:trPr>
          <w:jc w:val="center"/>
        </w:trPr>
        <w:tc>
          <w:tcPr>
            <w:tcW w:w="1578" w:type="dxa"/>
            <w:tcBorders>
              <w:top w:val="single" w:sz="4" w:space="0" w:color="auto"/>
              <w:left w:val="single" w:sz="4" w:space="0" w:color="auto"/>
              <w:bottom w:val="single" w:sz="4" w:space="0" w:color="auto"/>
              <w:right w:val="single" w:sz="4" w:space="0" w:color="auto"/>
            </w:tcBorders>
            <w:shd w:val="clear" w:color="auto" w:fill="BFBFBF"/>
          </w:tcPr>
          <w:p w:rsidR="008B2575" w:rsidRPr="0059641E" w:rsidRDefault="008B2575" w:rsidP="009F5A73">
            <w:pPr>
              <w:spacing w:before="120" w:after="120"/>
              <w:rPr>
                <w:rFonts w:ascii="Palatino Linotype" w:hAnsi="Palatino Linotype"/>
                <w:b/>
                <w:sz w:val="20"/>
              </w:rPr>
            </w:pPr>
            <w:r w:rsidRPr="0059641E">
              <w:rPr>
                <w:rFonts w:ascii="Palatino Linotype" w:hAnsi="Palatino Linotype"/>
                <w:b/>
                <w:sz w:val="20"/>
              </w:rPr>
              <w:t>Subject of PPA Change</w:t>
            </w:r>
          </w:p>
        </w:tc>
        <w:tc>
          <w:tcPr>
            <w:tcW w:w="2092" w:type="dxa"/>
            <w:tcBorders>
              <w:top w:val="single" w:sz="4" w:space="0" w:color="auto"/>
              <w:left w:val="single" w:sz="4" w:space="0" w:color="auto"/>
              <w:bottom w:val="single" w:sz="4" w:space="0" w:color="auto"/>
              <w:right w:val="single" w:sz="4" w:space="0" w:color="auto"/>
            </w:tcBorders>
            <w:shd w:val="clear" w:color="auto" w:fill="BFBFBF"/>
          </w:tcPr>
          <w:p w:rsidR="008B2575" w:rsidRPr="0059641E" w:rsidRDefault="008B2575" w:rsidP="009F5A73">
            <w:pPr>
              <w:spacing w:before="120" w:after="120"/>
              <w:rPr>
                <w:rFonts w:ascii="Palatino Linotype" w:hAnsi="Palatino Linotype"/>
                <w:b/>
                <w:sz w:val="20"/>
              </w:rPr>
            </w:pPr>
            <w:r w:rsidRPr="0059641E">
              <w:rPr>
                <w:rFonts w:ascii="Palatino Linotype" w:hAnsi="Palatino Linotype"/>
                <w:b/>
                <w:sz w:val="20"/>
              </w:rPr>
              <w:t>Relevant RAM Pro Forma PPA Section</w:t>
            </w:r>
          </w:p>
        </w:tc>
        <w:tc>
          <w:tcPr>
            <w:tcW w:w="3470" w:type="dxa"/>
            <w:tcBorders>
              <w:top w:val="single" w:sz="4" w:space="0" w:color="auto"/>
              <w:left w:val="single" w:sz="4" w:space="0" w:color="auto"/>
              <w:bottom w:val="single" w:sz="4" w:space="0" w:color="auto"/>
              <w:right w:val="single" w:sz="4" w:space="0" w:color="auto"/>
            </w:tcBorders>
            <w:shd w:val="clear" w:color="auto" w:fill="BFBFBF"/>
          </w:tcPr>
          <w:p w:rsidR="008B2575" w:rsidRPr="0059641E" w:rsidRDefault="008B2575" w:rsidP="00175A18">
            <w:pPr>
              <w:spacing w:before="120" w:after="120"/>
              <w:rPr>
                <w:rFonts w:ascii="Palatino Linotype" w:hAnsi="Palatino Linotype"/>
                <w:b/>
                <w:sz w:val="20"/>
              </w:rPr>
            </w:pPr>
            <w:r w:rsidRPr="0059641E">
              <w:rPr>
                <w:rFonts w:ascii="Palatino Linotype" w:hAnsi="Palatino Linotype"/>
                <w:b/>
                <w:sz w:val="20"/>
              </w:rPr>
              <w:t>Proposed Revision to RAM Pro Forma PPA</w:t>
            </w:r>
          </w:p>
        </w:tc>
        <w:tc>
          <w:tcPr>
            <w:tcW w:w="1698" w:type="dxa"/>
            <w:tcBorders>
              <w:top w:val="single" w:sz="4" w:space="0" w:color="auto"/>
              <w:left w:val="single" w:sz="4" w:space="0" w:color="auto"/>
              <w:bottom w:val="single" w:sz="4" w:space="0" w:color="auto"/>
              <w:right w:val="single" w:sz="4" w:space="0" w:color="auto"/>
            </w:tcBorders>
            <w:shd w:val="clear" w:color="auto" w:fill="BFBFBF"/>
          </w:tcPr>
          <w:p w:rsidR="008B2575" w:rsidRPr="0059641E" w:rsidRDefault="008B2575" w:rsidP="009F5A73">
            <w:pPr>
              <w:spacing w:before="120" w:after="120"/>
              <w:rPr>
                <w:rFonts w:ascii="Palatino Linotype" w:hAnsi="Palatino Linotype"/>
                <w:b/>
                <w:sz w:val="20"/>
              </w:rPr>
            </w:pPr>
            <w:r w:rsidRPr="0059641E">
              <w:rPr>
                <w:rFonts w:ascii="Palatino Linotype" w:hAnsi="Palatino Linotype"/>
                <w:b/>
                <w:sz w:val="20"/>
              </w:rPr>
              <w:t>Source of Change</w:t>
            </w:r>
          </w:p>
        </w:tc>
        <w:tc>
          <w:tcPr>
            <w:tcW w:w="1698" w:type="dxa"/>
            <w:tcBorders>
              <w:top w:val="single" w:sz="4" w:space="0" w:color="auto"/>
              <w:left w:val="single" w:sz="4" w:space="0" w:color="auto"/>
              <w:bottom w:val="single" w:sz="4" w:space="0" w:color="auto"/>
              <w:right w:val="single" w:sz="4" w:space="0" w:color="auto"/>
            </w:tcBorders>
            <w:shd w:val="clear" w:color="auto" w:fill="BFBFBF"/>
          </w:tcPr>
          <w:p w:rsidR="008B2575" w:rsidRPr="0059641E" w:rsidRDefault="008B2575" w:rsidP="009F5A73">
            <w:pPr>
              <w:spacing w:before="120" w:after="120"/>
              <w:jc w:val="center"/>
              <w:rPr>
                <w:rFonts w:ascii="Palatino Linotype" w:hAnsi="Palatino Linotype"/>
                <w:b/>
                <w:sz w:val="20"/>
              </w:rPr>
            </w:pPr>
            <w:r w:rsidRPr="0059641E">
              <w:rPr>
                <w:rFonts w:ascii="Palatino Linotype" w:hAnsi="Palatino Linotype"/>
                <w:b/>
                <w:sz w:val="20"/>
              </w:rPr>
              <w:t>Disposition</w:t>
            </w:r>
          </w:p>
        </w:tc>
      </w:tr>
      <w:tr w:rsidR="008B2575" w:rsidRPr="009B3AFD" w:rsidTr="009F5A73">
        <w:trPr>
          <w:jc w:val="center"/>
        </w:trPr>
        <w:tc>
          <w:tcPr>
            <w:tcW w:w="1578" w:type="dxa"/>
            <w:shd w:val="clear" w:color="auto" w:fill="auto"/>
          </w:tcPr>
          <w:p w:rsidR="008B2575" w:rsidRPr="001F3135" w:rsidRDefault="008B2575" w:rsidP="009F5A73">
            <w:pPr>
              <w:spacing w:before="120" w:after="120"/>
              <w:rPr>
                <w:rFonts w:ascii="Palatino Linotype" w:hAnsi="Palatino Linotype"/>
                <w:b/>
                <w:i/>
                <w:sz w:val="20"/>
              </w:rPr>
            </w:pPr>
            <w:r w:rsidRPr="001F3135">
              <w:rPr>
                <w:rFonts w:ascii="Palatino Linotype" w:hAnsi="Palatino Linotype"/>
                <w:sz w:val="20"/>
              </w:rPr>
              <w:t>(1)</w:t>
            </w:r>
            <w:r w:rsidRPr="001F3135">
              <w:rPr>
                <w:rFonts w:ascii="Palatino Linotype" w:hAnsi="Palatino Linotype"/>
                <w:b/>
                <w:i/>
                <w:sz w:val="20"/>
              </w:rPr>
              <w:t xml:space="preserve"> </w:t>
            </w:r>
            <w:r>
              <w:rPr>
                <w:rFonts w:ascii="Palatino Linotype" w:hAnsi="Palatino Linotype"/>
                <w:b/>
                <w:i/>
                <w:sz w:val="20"/>
              </w:rPr>
              <w:t>Safety</w:t>
            </w:r>
            <w:r w:rsidRPr="001F3135">
              <w:rPr>
                <w:rFonts w:ascii="Palatino Linotype" w:hAnsi="Palatino Linotype"/>
                <w:b/>
                <w:i/>
                <w:sz w:val="20"/>
              </w:rPr>
              <w:t xml:space="preserve"> </w:t>
            </w:r>
          </w:p>
          <w:p w:rsidR="008B2575" w:rsidRPr="001F3135" w:rsidRDefault="008B2575" w:rsidP="009F5A73">
            <w:pPr>
              <w:spacing w:before="120" w:after="120"/>
              <w:rPr>
                <w:rFonts w:ascii="Palatino Linotype" w:hAnsi="Palatino Linotype"/>
                <w:b/>
                <w:i/>
                <w:sz w:val="20"/>
              </w:rPr>
            </w:pPr>
          </w:p>
          <w:p w:rsidR="008B2575" w:rsidRPr="001F3135" w:rsidDel="002E3E3F" w:rsidRDefault="008B2575" w:rsidP="009F5A73">
            <w:pPr>
              <w:spacing w:before="120" w:after="120"/>
              <w:rPr>
                <w:rFonts w:ascii="Palatino Linotype" w:hAnsi="Palatino Linotype"/>
                <w:b/>
                <w:i/>
                <w:sz w:val="20"/>
              </w:rPr>
            </w:pPr>
          </w:p>
        </w:tc>
        <w:tc>
          <w:tcPr>
            <w:tcW w:w="2092" w:type="dxa"/>
            <w:shd w:val="clear" w:color="auto" w:fill="auto"/>
          </w:tcPr>
          <w:p w:rsidR="009445E7" w:rsidRPr="009445E7" w:rsidRDefault="009445E7" w:rsidP="009445E7">
            <w:pPr>
              <w:rPr>
                <w:rFonts w:ascii="Palatino Linotype" w:hAnsi="Palatino Linotype"/>
                <w:b/>
                <w:sz w:val="20"/>
              </w:rPr>
            </w:pPr>
            <w:r w:rsidRPr="009445E7">
              <w:rPr>
                <w:rFonts w:ascii="Palatino Linotype" w:hAnsi="Palatino Linotype"/>
                <w:b/>
                <w:sz w:val="20"/>
              </w:rPr>
              <w:t>SCE:</w:t>
            </w:r>
          </w:p>
          <w:p w:rsidR="008B2575" w:rsidRDefault="008B2575" w:rsidP="009445E7">
            <w:pPr>
              <w:ind w:left="288"/>
              <w:rPr>
                <w:rFonts w:ascii="Palatino Linotype" w:hAnsi="Palatino Linotype"/>
                <w:b/>
                <w:sz w:val="20"/>
              </w:rPr>
            </w:pPr>
            <w:r w:rsidRPr="009445E7">
              <w:rPr>
                <w:rFonts w:ascii="Palatino Linotype" w:hAnsi="Palatino Linotype"/>
                <w:b/>
                <w:sz w:val="20"/>
              </w:rPr>
              <w:t xml:space="preserve">Section 3.11(e) </w:t>
            </w:r>
          </w:p>
          <w:p w:rsidR="009445E7" w:rsidRPr="009445E7" w:rsidRDefault="009445E7" w:rsidP="009445E7">
            <w:pPr>
              <w:ind w:left="288"/>
              <w:rPr>
                <w:rFonts w:ascii="Palatino Linotype" w:hAnsi="Palatino Linotype"/>
                <w:b/>
                <w:sz w:val="20"/>
              </w:rPr>
            </w:pPr>
          </w:p>
          <w:p w:rsidR="009445E7" w:rsidRPr="009445E7" w:rsidRDefault="009445E7" w:rsidP="009445E7">
            <w:pPr>
              <w:rPr>
                <w:rFonts w:ascii="Palatino Linotype" w:hAnsi="Palatino Linotype"/>
                <w:b/>
                <w:sz w:val="20"/>
              </w:rPr>
            </w:pPr>
            <w:r w:rsidRPr="009445E7">
              <w:rPr>
                <w:rFonts w:ascii="Palatino Linotype" w:hAnsi="Palatino Linotype"/>
                <w:b/>
                <w:sz w:val="20"/>
              </w:rPr>
              <w:t xml:space="preserve">SDG&amp;E: </w:t>
            </w:r>
          </w:p>
          <w:p w:rsidR="009445E7" w:rsidRPr="009445E7" w:rsidRDefault="009445E7" w:rsidP="009445E7">
            <w:pPr>
              <w:spacing w:after="120"/>
              <w:ind w:left="288"/>
              <w:rPr>
                <w:rFonts w:ascii="Palatino Linotype" w:hAnsi="Palatino Linotype"/>
                <w:b/>
                <w:sz w:val="20"/>
              </w:rPr>
            </w:pPr>
            <w:r w:rsidRPr="009445E7">
              <w:rPr>
                <w:rFonts w:ascii="Palatino Linotype" w:hAnsi="Palatino Linotype"/>
                <w:b/>
                <w:sz w:val="20"/>
              </w:rPr>
              <w:t>Section3.5(a)</w:t>
            </w:r>
          </w:p>
        </w:tc>
        <w:tc>
          <w:tcPr>
            <w:tcW w:w="3470" w:type="dxa"/>
            <w:shd w:val="clear" w:color="auto" w:fill="auto"/>
          </w:tcPr>
          <w:p w:rsidR="008B2575" w:rsidRDefault="008B2575" w:rsidP="009F5A73">
            <w:pPr>
              <w:spacing w:before="120" w:after="120"/>
              <w:rPr>
                <w:rFonts w:ascii="Palatino Linotype" w:hAnsi="Palatino Linotype"/>
                <w:sz w:val="20"/>
              </w:rPr>
            </w:pPr>
            <w:r>
              <w:rPr>
                <w:rFonts w:ascii="Palatino Linotype" w:hAnsi="Palatino Linotype"/>
                <w:sz w:val="20"/>
              </w:rPr>
              <w:t>Addition of Section 3.11(e) to require that prior to commencement of any construction activity on the project site, the seller must provide a certified written plan for the safe construction and operation of the generation facility.</w:t>
            </w:r>
            <w:r w:rsidRPr="001F3135">
              <w:rPr>
                <w:rFonts w:ascii="Palatino Linotype" w:hAnsi="Palatino Linotype"/>
                <w:sz w:val="20"/>
              </w:rPr>
              <w:t xml:space="preserve"> </w:t>
            </w:r>
          </w:p>
          <w:p w:rsidR="009445E7" w:rsidRPr="001F3135" w:rsidDel="002E3E3F" w:rsidRDefault="009445E7" w:rsidP="009445E7">
            <w:pPr>
              <w:spacing w:before="120" w:after="120"/>
              <w:rPr>
                <w:rFonts w:ascii="Palatino Linotype" w:hAnsi="Palatino Linotype"/>
                <w:sz w:val="20"/>
              </w:rPr>
            </w:pPr>
            <w:r>
              <w:rPr>
                <w:rFonts w:ascii="Palatino Linotype" w:hAnsi="Palatino Linotype"/>
                <w:sz w:val="20"/>
              </w:rPr>
              <w:t>Modification to further include safety as a general element of operation and require reporting of any accidents</w:t>
            </w:r>
          </w:p>
        </w:tc>
        <w:tc>
          <w:tcPr>
            <w:tcW w:w="1698" w:type="dxa"/>
          </w:tcPr>
          <w:p w:rsidR="008B2575" w:rsidRDefault="008B2575" w:rsidP="009F5A73">
            <w:pPr>
              <w:spacing w:before="120" w:after="120"/>
              <w:rPr>
                <w:rFonts w:ascii="Palatino Linotype" w:hAnsi="Palatino Linotype"/>
                <w:sz w:val="20"/>
              </w:rPr>
            </w:pPr>
            <w:r w:rsidRPr="001F3135">
              <w:rPr>
                <w:rFonts w:ascii="Palatino Linotype" w:hAnsi="Palatino Linotype"/>
                <w:sz w:val="20"/>
              </w:rPr>
              <w:t xml:space="preserve">SCE advice letter </w:t>
            </w:r>
            <w:r>
              <w:rPr>
                <w:rFonts w:ascii="Palatino Linotype" w:hAnsi="Palatino Linotype"/>
                <w:sz w:val="20"/>
              </w:rPr>
              <w:t>3003</w:t>
            </w:r>
            <w:r w:rsidRPr="001F3135">
              <w:rPr>
                <w:rFonts w:ascii="Palatino Linotype" w:hAnsi="Palatino Linotype"/>
                <w:sz w:val="20"/>
              </w:rPr>
              <w:t xml:space="preserve">-E (Section </w:t>
            </w:r>
            <w:r>
              <w:rPr>
                <w:rFonts w:ascii="Palatino Linotype" w:hAnsi="Palatino Linotype"/>
                <w:sz w:val="20"/>
              </w:rPr>
              <w:t>A.1</w:t>
            </w:r>
            <w:r w:rsidRPr="001F3135">
              <w:rPr>
                <w:rFonts w:ascii="Palatino Linotype" w:hAnsi="Palatino Linotype"/>
                <w:sz w:val="20"/>
              </w:rPr>
              <w:t>.)</w:t>
            </w:r>
          </w:p>
          <w:p w:rsidR="009445E7" w:rsidRPr="001F3135" w:rsidRDefault="009445E7" w:rsidP="009F5A73">
            <w:pPr>
              <w:spacing w:before="120" w:after="120"/>
              <w:rPr>
                <w:rFonts w:ascii="Palatino Linotype" w:hAnsi="Palatino Linotype"/>
                <w:sz w:val="20"/>
              </w:rPr>
            </w:pPr>
            <w:r>
              <w:rPr>
                <w:rFonts w:ascii="Palatino Linotype" w:hAnsi="Palatino Linotype"/>
                <w:sz w:val="20"/>
              </w:rPr>
              <w:t>SDG&amp;E advice letter 2580-E (Section III.1)</w:t>
            </w:r>
          </w:p>
        </w:tc>
        <w:tc>
          <w:tcPr>
            <w:tcW w:w="1698" w:type="dxa"/>
          </w:tcPr>
          <w:p w:rsidR="008B2575" w:rsidRPr="001F3135" w:rsidRDefault="008B2575" w:rsidP="009F5A73">
            <w:pPr>
              <w:spacing w:before="120" w:after="120"/>
              <w:jc w:val="center"/>
              <w:rPr>
                <w:rFonts w:ascii="Palatino Linotype" w:hAnsi="Palatino Linotype"/>
                <w:sz w:val="20"/>
              </w:rPr>
            </w:pPr>
            <w:r w:rsidRPr="001F3135">
              <w:rPr>
                <w:rFonts w:ascii="Palatino Linotype" w:hAnsi="Palatino Linotype"/>
                <w:sz w:val="20"/>
              </w:rPr>
              <w:t>Approve</w:t>
            </w:r>
          </w:p>
        </w:tc>
      </w:tr>
      <w:tr w:rsidR="008B2575" w:rsidRPr="009B3AFD" w:rsidTr="009F5A73">
        <w:trPr>
          <w:jc w:val="center"/>
        </w:trPr>
        <w:tc>
          <w:tcPr>
            <w:tcW w:w="1578" w:type="dxa"/>
            <w:shd w:val="clear" w:color="auto" w:fill="auto"/>
          </w:tcPr>
          <w:p w:rsidR="008B2575" w:rsidRPr="001F3135" w:rsidRDefault="008B2575" w:rsidP="009F5A73">
            <w:pPr>
              <w:spacing w:before="120" w:after="120"/>
              <w:rPr>
                <w:rFonts w:ascii="Palatino Linotype" w:hAnsi="Palatino Linotype"/>
                <w:b/>
                <w:i/>
                <w:sz w:val="20"/>
              </w:rPr>
            </w:pPr>
            <w:r w:rsidRPr="001F3135">
              <w:rPr>
                <w:rFonts w:ascii="Palatino Linotype" w:hAnsi="Palatino Linotype"/>
                <w:sz w:val="20"/>
              </w:rPr>
              <w:t xml:space="preserve">(2) </w:t>
            </w:r>
            <w:r>
              <w:rPr>
                <w:rFonts w:ascii="Palatino Linotype" w:hAnsi="Palatino Linotype"/>
                <w:b/>
                <w:i/>
                <w:sz w:val="20"/>
              </w:rPr>
              <w:t>Network Upgrade Cost Cap and Seller’s “Buy-Down Right”</w:t>
            </w:r>
          </w:p>
        </w:tc>
        <w:tc>
          <w:tcPr>
            <w:tcW w:w="2092" w:type="dxa"/>
            <w:shd w:val="clear" w:color="auto" w:fill="auto"/>
          </w:tcPr>
          <w:p w:rsidR="009445E7" w:rsidRDefault="009445E7" w:rsidP="009445E7">
            <w:pPr>
              <w:rPr>
                <w:rFonts w:ascii="Palatino Linotype" w:hAnsi="Palatino Linotype"/>
                <w:b/>
                <w:sz w:val="20"/>
              </w:rPr>
            </w:pPr>
            <w:r>
              <w:rPr>
                <w:rFonts w:ascii="Palatino Linotype" w:hAnsi="Palatino Linotype"/>
                <w:b/>
                <w:sz w:val="20"/>
              </w:rPr>
              <w:t>SCE:</w:t>
            </w:r>
          </w:p>
          <w:p w:rsidR="009445E7" w:rsidRPr="009445E7" w:rsidRDefault="008B2575" w:rsidP="009445E7">
            <w:pPr>
              <w:ind w:left="288"/>
              <w:rPr>
                <w:rFonts w:ascii="Palatino Linotype" w:hAnsi="Palatino Linotype"/>
                <w:b/>
                <w:sz w:val="20"/>
              </w:rPr>
            </w:pPr>
            <w:r>
              <w:rPr>
                <w:rFonts w:ascii="Palatino Linotype" w:hAnsi="Palatino Linotype"/>
                <w:b/>
                <w:sz w:val="20"/>
              </w:rPr>
              <w:t>Sections 2.02(b)(5), 2.03(a)(ii), 3.17(a), and Exhibit A</w:t>
            </w:r>
            <w:r w:rsidRPr="001F3135">
              <w:rPr>
                <w:rFonts w:ascii="Palatino Linotype" w:hAnsi="Palatino Linotype"/>
                <w:b/>
                <w:sz w:val="20"/>
              </w:rPr>
              <w:t xml:space="preserve"> </w:t>
            </w:r>
          </w:p>
          <w:p w:rsidR="009445E7" w:rsidRDefault="009445E7" w:rsidP="009445E7">
            <w:pPr>
              <w:spacing w:after="120"/>
              <w:rPr>
                <w:rFonts w:ascii="Palatino Linotype" w:hAnsi="Palatino Linotype"/>
                <w:b/>
                <w:sz w:val="20"/>
              </w:rPr>
            </w:pPr>
          </w:p>
          <w:p w:rsidR="009445E7" w:rsidRPr="009445E7" w:rsidRDefault="009445E7" w:rsidP="009445E7">
            <w:pPr>
              <w:rPr>
                <w:rFonts w:ascii="Palatino Linotype" w:hAnsi="Palatino Linotype"/>
                <w:b/>
                <w:sz w:val="20"/>
              </w:rPr>
            </w:pPr>
            <w:r w:rsidRPr="009445E7">
              <w:rPr>
                <w:rFonts w:ascii="Palatino Linotype" w:hAnsi="Palatino Linotype"/>
                <w:b/>
                <w:sz w:val="20"/>
              </w:rPr>
              <w:t xml:space="preserve">SDG&amp;E: </w:t>
            </w:r>
          </w:p>
          <w:p w:rsidR="008B2575" w:rsidRPr="001F3135" w:rsidRDefault="009445E7" w:rsidP="009445E7">
            <w:pPr>
              <w:spacing w:after="120"/>
              <w:ind w:left="144"/>
              <w:rPr>
                <w:rFonts w:ascii="Palatino Linotype" w:hAnsi="Palatino Linotype"/>
                <w:b/>
                <w:sz w:val="20"/>
              </w:rPr>
            </w:pPr>
            <w:r w:rsidRPr="009445E7">
              <w:rPr>
                <w:rFonts w:ascii="Palatino Linotype" w:hAnsi="Palatino Linotype"/>
                <w:b/>
                <w:sz w:val="20"/>
              </w:rPr>
              <w:t>Section</w:t>
            </w:r>
            <w:r>
              <w:rPr>
                <w:rFonts w:ascii="Palatino Linotype" w:hAnsi="Palatino Linotype"/>
                <w:b/>
                <w:sz w:val="20"/>
              </w:rPr>
              <w:t>2.3</w:t>
            </w:r>
            <w:r w:rsidRPr="009445E7">
              <w:rPr>
                <w:rFonts w:ascii="Palatino Linotype" w:hAnsi="Palatino Linotype"/>
                <w:b/>
                <w:sz w:val="20"/>
              </w:rPr>
              <w:t>(</w:t>
            </w:r>
            <w:r>
              <w:rPr>
                <w:rFonts w:ascii="Palatino Linotype" w:hAnsi="Palatino Linotype"/>
                <w:b/>
                <w:sz w:val="20"/>
              </w:rPr>
              <w:t>b</w:t>
            </w:r>
            <w:r w:rsidRPr="009445E7">
              <w:rPr>
                <w:rFonts w:ascii="Palatino Linotype" w:hAnsi="Palatino Linotype"/>
                <w:b/>
                <w:sz w:val="20"/>
              </w:rPr>
              <w:t>)</w:t>
            </w:r>
          </w:p>
        </w:tc>
        <w:tc>
          <w:tcPr>
            <w:tcW w:w="3470" w:type="dxa"/>
            <w:shd w:val="clear" w:color="auto" w:fill="auto"/>
          </w:tcPr>
          <w:p w:rsidR="008B2575" w:rsidRDefault="008B2575" w:rsidP="009F5A73">
            <w:pPr>
              <w:spacing w:before="120" w:after="120"/>
              <w:rPr>
                <w:rFonts w:ascii="Palatino Linotype" w:hAnsi="Palatino Linotype"/>
                <w:sz w:val="20"/>
              </w:rPr>
            </w:pPr>
            <w:r>
              <w:rPr>
                <w:rFonts w:ascii="Palatino Linotype" w:hAnsi="Palatino Linotype"/>
                <w:sz w:val="20"/>
              </w:rPr>
              <w:t xml:space="preserve">Modification and addition of Sections </w:t>
            </w:r>
            <w:r w:rsidRPr="008006C0">
              <w:rPr>
                <w:rFonts w:ascii="Palatino Linotype" w:hAnsi="Palatino Linotype"/>
                <w:sz w:val="20"/>
              </w:rPr>
              <w:t>2.02(b)(5), 2.03(a)(ii), 3.17(a)</w:t>
            </w:r>
            <w:r>
              <w:rPr>
                <w:rFonts w:ascii="Palatino Linotype" w:hAnsi="Palatino Linotype"/>
                <w:sz w:val="20"/>
              </w:rPr>
              <w:t xml:space="preserve"> to provide a termination right for SCE if estimated network upgrade costs exceed the Network Upgrade Cost Cap and provide the seller an option to “buy down” the costs above the Network Upgrade Cost Cap.</w:t>
            </w:r>
          </w:p>
          <w:p w:rsidR="009445E7" w:rsidRPr="001F3135" w:rsidRDefault="009445E7" w:rsidP="009F5A73">
            <w:pPr>
              <w:spacing w:before="120" w:after="120"/>
              <w:rPr>
                <w:rFonts w:ascii="Palatino Linotype" w:hAnsi="Palatino Linotype"/>
                <w:sz w:val="20"/>
              </w:rPr>
            </w:pPr>
            <w:r>
              <w:rPr>
                <w:rFonts w:ascii="Palatino Linotype" w:hAnsi="Palatino Linotype"/>
                <w:sz w:val="20"/>
              </w:rPr>
              <w:t>Addition of Section 2.3b and related definitions to provide for a condition precedent</w:t>
            </w:r>
            <w:r w:rsidR="00EC0FE0">
              <w:rPr>
                <w:rFonts w:ascii="Palatino Linotype" w:hAnsi="Palatino Linotype"/>
                <w:sz w:val="20"/>
              </w:rPr>
              <w:t xml:space="preserve"> regarding the project’s electrical interconnection date and cost.</w:t>
            </w:r>
          </w:p>
        </w:tc>
        <w:tc>
          <w:tcPr>
            <w:tcW w:w="1698" w:type="dxa"/>
          </w:tcPr>
          <w:p w:rsidR="008B2575" w:rsidRDefault="008B2575" w:rsidP="009F5A73">
            <w:pPr>
              <w:spacing w:before="120" w:after="120"/>
              <w:rPr>
                <w:rFonts w:ascii="Palatino Linotype" w:hAnsi="Palatino Linotype"/>
                <w:sz w:val="20"/>
              </w:rPr>
            </w:pPr>
            <w:r w:rsidRPr="001F3135">
              <w:rPr>
                <w:rFonts w:ascii="Palatino Linotype" w:hAnsi="Palatino Linotype"/>
                <w:sz w:val="20"/>
              </w:rPr>
              <w:t xml:space="preserve">SCE advice letter </w:t>
            </w:r>
            <w:r>
              <w:rPr>
                <w:rFonts w:ascii="Palatino Linotype" w:hAnsi="Palatino Linotype"/>
                <w:sz w:val="20"/>
              </w:rPr>
              <w:t>3003-E (Section A.2</w:t>
            </w:r>
            <w:r w:rsidRPr="001F3135">
              <w:rPr>
                <w:rFonts w:ascii="Palatino Linotype" w:hAnsi="Palatino Linotype"/>
                <w:sz w:val="20"/>
              </w:rPr>
              <w:t>.)</w:t>
            </w:r>
          </w:p>
          <w:p w:rsidR="009445E7" w:rsidRPr="001F3135" w:rsidRDefault="009445E7" w:rsidP="009445E7">
            <w:pPr>
              <w:spacing w:before="120" w:after="120"/>
              <w:rPr>
                <w:rFonts w:ascii="Palatino Linotype" w:hAnsi="Palatino Linotype"/>
                <w:sz w:val="20"/>
              </w:rPr>
            </w:pPr>
            <w:r>
              <w:rPr>
                <w:rFonts w:ascii="Palatino Linotype" w:hAnsi="Palatino Linotype"/>
                <w:sz w:val="20"/>
              </w:rPr>
              <w:t>SDG&amp;E advice letter 2580-E (Section III.2)</w:t>
            </w:r>
          </w:p>
        </w:tc>
        <w:tc>
          <w:tcPr>
            <w:tcW w:w="1698" w:type="dxa"/>
          </w:tcPr>
          <w:p w:rsidR="008B2575" w:rsidRPr="001F3135" w:rsidRDefault="008B2575" w:rsidP="009F5A73">
            <w:pPr>
              <w:spacing w:before="120" w:after="120"/>
              <w:jc w:val="center"/>
              <w:rPr>
                <w:rFonts w:ascii="Palatino Linotype" w:hAnsi="Palatino Linotype"/>
                <w:sz w:val="20"/>
              </w:rPr>
            </w:pPr>
            <w:r w:rsidRPr="001F3135">
              <w:rPr>
                <w:rFonts w:ascii="Palatino Linotype" w:hAnsi="Palatino Linotype"/>
                <w:sz w:val="20"/>
              </w:rPr>
              <w:t>Approve</w:t>
            </w:r>
          </w:p>
        </w:tc>
      </w:tr>
      <w:tr w:rsidR="008B2575" w:rsidRPr="009B3AFD" w:rsidTr="009F5A73">
        <w:trPr>
          <w:jc w:val="center"/>
        </w:trPr>
        <w:tc>
          <w:tcPr>
            <w:tcW w:w="1578" w:type="dxa"/>
            <w:shd w:val="clear" w:color="auto" w:fill="auto"/>
          </w:tcPr>
          <w:p w:rsidR="008B2575" w:rsidRPr="001F3135" w:rsidRDefault="008B2575" w:rsidP="009F5A73">
            <w:pPr>
              <w:spacing w:before="120" w:after="120"/>
              <w:rPr>
                <w:rFonts w:ascii="Palatino Linotype" w:hAnsi="Palatino Linotype"/>
                <w:b/>
                <w:i/>
                <w:sz w:val="20"/>
              </w:rPr>
            </w:pPr>
            <w:r w:rsidRPr="001F3135">
              <w:rPr>
                <w:rFonts w:ascii="Palatino Linotype" w:hAnsi="Palatino Linotype"/>
                <w:sz w:val="20"/>
              </w:rPr>
              <w:t xml:space="preserve">(3) </w:t>
            </w:r>
            <w:r>
              <w:rPr>
                <w:rFonts w:ascii="Palatino Linotype" w:hAnsi="Palatino Linotype"/>
                <w:b/>
                <w:i/>
                <w:sz w:val="20"/>
              </w:rPr>
              <w:t>Curtailment</w:t>
            </w:r>
          </w:p>
        </w:tc>
        <w:tc>
          <w:tcPr>
            <w:tcW w:w="2092" w:type="dxa"/>
            <w:shd w:val="clear" w:color="auto" w:fill="auto"/>
          </w:tcPr>
          <w:p w:rsidR="007E459E" w:rsidRDefault="007E459E" w:rsidP="009445E7">
            <w:pPr>
              <w:rPr>
                <w:rFonts w:ascii="Palatino Linotype" w:hAnsi="Palatino Linotype"/>
                <w:b/>
                <w:sz w:val="20"/>
              </w:rPr>
            </w:pPr>
            <w:r>
              <w:rPr>
                <w:rFonts w:ascii="Palatino Linotype" w:hAnsi="Palatino Linotype"/>
                <w:b/>
                <w:sz w:val="20"/>
              </w:rPr>
              <w:t>SCE:</w:t>
            </w:r>
          </w:p>
          <w:p w:rsidR="008B2575" w:rsidRDefault="008B2575" w:rsidP="006715D2">
            <w:pPr>
              <w:spacing w:after="120"/>
              <w:ind w:left="288"/>
              <w:rPr>
                <w:rFonts w:ascii="Palatino Linotype" w:hAnsi="Palatino Linotype"/>
                <w:b/>
                <w:sz w:val="20"/>
              </w:rPr>
            </w:pPr>
            <w:r>
              <w:rPr>
                <w:rFonts w:ascii="Palatino Linotype" w:hAnsi="Palatino Linotype"/>
                <w:b/>
                <w:sz w:val="20"/>
              </w:rPr>
              <w:t>Sections 3.03, 3.12(g), 4.01, and Exhibit A</w:t>
            </w:r>
          </w:p>
          <w:p w:rsidR="007E459E" w:rsidRDefault="007E459E" w:rsidP="009445E7">
            <w:pPr>
              <w:spacing w:before="120"/>
              <w:rPr>
                <w:rFonts w:ascii="Palatino Linotype" w:hAnsi="Palatino Linotype"/>
                <w:b/>
                <w:sz w:val="20"/>
              </w:rPr>
            </w:pPr>
            <w:r>
              <w:rPr>
                <w:rFonts w:ascii="Palatino Linotype" w:hAnsi="Palatino Linotype"/>
                <w:b/>
                <w:sz w:val="20"/>
              </w:rPr>
              <w:t>PG&amp;E:</w:t>
            </w:r>
          </w:p>
          <w:p w:rsidR="007E459E" w:rsidRPr="001F3135" w:rsidRDefault="009A4F72" w:rsidP="006715D2">
            <w:pPr>
              <w:spacing w:after="120"/>
              <w:ind w:left="288"/>
              <w:rPr>
                <w:rFonts w:ascii="Palatino Linotype" w:hAnsi="Palatino Linotype"/>
                <w:b/>
                <w:sz w:val="20"/>
                <w:highlight w:val="yellow"/>
              </w:rPr>
            </w:pPr>
            <w:r>
              <w:rPr>
                <w:rFonts w:ascii="Palatino Linotype" w:hAnsi="Palatino Linotype"/>
                <w:b/>
                <w:sz w:val="20"/>
              </w:rPr>
              <w:t>Section 3.1(p)</w:t>
            </w:r>
          </w:p>
        </w:tc>
        <w:tc>
          <w:tcPr>
            <w:tcW w:w="3470" w:type="dxa"/>
            <w:shd w:val="clear" w:color="auto" w:fill="auto"/>
          </w:tcPr>
          <w:p w:rsidR="007E459E" w:rsidRDefault="007E459E" w:rsidP="009F5A73">
            <w:pPr>
              <w:spacing w:before="120" w:after="120"/>
              <w:rPr>
                <w:rFonts w:ascii="Palatino Linotype" w:hAnsi="Palatino Linotype"/>
                <w:sz w:val="20"/>
              </w:rPr>
            </w:pPr>
            <w:r>
              <w:rPr>
                <w:rFonts w:ascii="Palatino Linotype" w:hAnsi="Palatino Linotype"/>
                <w:sz w:val="20"/>
              </w:rPr>
              <w:t>SCE:</w:t>
            </w:r>
          </w:p>
          <w:p w:rsidR="008B2575" w:rsidRDefault="008B2575" w:rsidP="006715D2">
            <w:pPr>
              <w:spacing w:after="120"/>
              <w:ind w:left="288"/>
              <w:rPr>
                <w:rFonts w:ascii="Palatino Linotype" w:hAnsi="Palatino Linotype"/>
                <w:sz w:val="20"/>
              </w:rPr>
            </w:pPr>
            <w:r>
              <w:rPr>
                <w:rFonts w:ascii="Palatino Linotype" w:hAnsi="Palatino Linotype"/>
                <w:sz w:val="20"/>
              </w:rPr>
              <w:t xml:space="preserve">Deletion of Section 4.02 and addition of Sections </w:t>
            </w:r>
            <w:r w:rsidRPr="00E916A4">
              <w:rPr>
                <w:rFonts w:ascii="Palatino Linotype" w:hAnsi="Palatino Linotype"/>
                <w:sz w:val="20"/>
              </w:rPr>
              <w:t>3.03, 3.12(g), 4.01</w:t>
            </w:r>
            <w:r>
              <w:rPr>
                <w:rFonts w:ascii="Palatino Linotype" w:hAnsi="Palatino Linotype"/>
                <w:sz w:val="20"/>
              </w:rPr>
              <w:t xml:space="preserve"> to simplify and streamline curtailment provisions regarding when SCE will and will not pay for curtailed energy.</w:t>
            </w:r>
          </w:p>
          <w:p w:rsidR="007E459E" w:rsidRDefault="007E459E" w:rsidP="009F5A73">
            <w:pPr>
              <w:spacing w:before="120" w:after="120"/>
              <w:rPr>
                <w:rFonts w:ascii="Palatino Linotype" w:hAnsi="Palatino Linotype"/>
                <w:sz w:val="20"/>
              </w:rPr>
            </w:pPr>
            <w:r>
              <w:rPr>
                <w:rFonts w:ascii="Palatino Linotype" w:hAnsi="Palatino Linotype"/>
                <w:sz w:val="20"/>
              </w:rPr>
              <w:t>PG&amp;E:</w:t>
            </w:r>
          </w:p>
          <w:p w:rsidR="007E459E" w:rsidRPr="001F3135" w:rsidRDefault="009A4F72" w:rsidP="006715D2">
            <w:pPr>
              <w:spacing w:after="120"/>
              <w:ind w:left="432"/>
              <w:rPr>
                <w:rFonts w:ascii="Palatino Linotype" w:hAnsi="Palatino Linotype"/>
                <w:sz w:val="20"/>
              </w:rPr>
            </w:pPr>
            <w:r>
              <w:rPr>
                <w:rFonts w:ascii="Palatino Linotype" w:hAnsi="Palatino Linotype"/>
                <w:sz w:val="20"/>
              </w:rPr>
              <w:t>Deletion</w:t>
            </w:r>
            <w:r w:rsidR="006715D2">
              <w:rPr>
                <w:rFonts w:ascii="Palatino Linotype" w:hAnsi="Palatino Linotype"/>
                <w:sz w:val="20"/>
              </w:rPr>
              <w:t xml:space="preserve"> of 100 hour </w:t>
            </w:r>
            <w:r w:rsidR="007E459E">
              <w:rPr>
                <w:rFonts w:ascii="Palatino Linotype" w:hAnsi="Palatino Linotype"/>
                <w:sz w:val="20"/>
              </w:rPr>
              <w:t xml:space="preserve">cap </w:t>
            </w:r>
            <w:r w:rsidR="006715D2">
              <w:rPr>
                <w:rFonts w:ascii="Palatino Linotype" w:hAnsi="Palatino Linotype"/>
                <w:sz w:val="20"/>
              </w:rPr>
              <w:t xml:space="preserve">per year </w:t>
            </w:r>
            <w:r w:rsidR="007E459E">
              <w:rPr>
                <w:rFonts w:ascii="Palatino Linotype" w:hAnsi="Palatino Linotype"/>
                <w:sz w:val="20"/>
              </w:rPr>
              <w:t>on buyer curtailment</w:t>
            </w:r>
            <w:r>
              <w:rPr>
                <w:rFonts w:ascii="Palatino Linotype" w:hAnsi="Palatino Linotype"/>
                <w:sz w:val="20"/>
              </w:rPr>
              <w:t xml:space="preserve"> and replace</w:t>
            </w:r>
            <w:r w:rsidR="006715D2">
              <w:rPr>
                <w:rFonts w:ascii="Palatino Linotype" w:hAnsi="Palatino Linotype"/>
                <w:sz w:val="20"/>
              </w:rPr>
              <w:t xml:space="preserve"> with unlimited amount</w:t>
            </w:r>
          </w:p>
        </w:tc>
        <w:tc>
          <w:tcPr>
            <w:tcW w:w="1698" w:type="dxa"/>
          </w:tcPr>
          <w:p w:rsidR="008B2575" w:rsidRDefault="008B2575" w:rsidP="009F5A73">
            <w:pPr>
              <w:spacing w:before="120" w:after="120"/>
              <w:rPr>
                <w:rFonts w:ascii="Palatino Linotype" w:hAnsi="Palatino Linotype"/>
                <w:sz w:val="20"/>
              </w:rPr>
            </w:pPr>
            <w:r w:rsidRPr="001F3135">
              <w:rPr>
                <w:rFonts w:ascii="Palatino Linotype" w:hAnsi="Palatino Linotype"/>
                <w:sz w:val="20"/>
              </w:rPr>
              <w:t xml:space="preserve">SCE advice letter </w:t>
            </w:r>
            <w:r>
              <w:rPr>
                <w:rFonts w:ascii="Palatino Linotype" w:hAnsi="Palatino Linotype"/>
                <w:sz w:val="20"/>
              </w:rPr>
              <w:t>3003</w:t>
            </w:r>
            <w:r w:rsidRPr="001F3135">
              <w:rPr>
                <w:rFonts w:ascii="Palatino Linotype" w:hAnsi="Palatino Linotype"/>
                <w:sz w:val="20"/>
              </w:rPr>
              <w:t xml:space="preserve">-E (Section </w:t>
            </w:r>
            <w:r>
              <w:rPr>
                <w:rFonts w:ascii="Palatino Linotype" w:hAnsi="Palatino Linotype"/>
                <w:sz w:val="20"/>
              </w:rPr>
              <w:t>A.3</w:t>
            </w:r>
            <w:r w:rsidRPr="001F3135">
              <w:rPr>
                <w:rFonts w:ascii="Palatino Linotype" w:hAnsi="Palatino Linotype"/>
                <w:sz w:val="20"/>
              </w:rPr>
              <w:t>.)</w:t>
            </w:r>
          </w:p>
          <w:p w:rsidR="006715D2" w:rsidRPr="001F3135" w:rsidRDefault="006715D2" w:rsidP="009F5A73">
            <w:pPr>
              <w:spacing w:before="120" w:after="120"/>
              <w:rPr>
                <w:rFonts w:ascii="Palatino Linotype" w:hAnsi="Palatino Linotype"/>
                <w:sz w:val="20"/>
              </w:rPr>
            </w:pPr>
            <w:r>
              <w:rPr>
                <w:rFonts w:ascii="Palatino Linotype" w:hAnsi="Palatino Linotype"/>
                <w:sz w:val="20"/>
              </w:rPr>
              <w:t>PG&amp;E advice letter (Section III.A.a)</w:t>
            </w:r>
          </w:p>
        </w:tc>
        <w:tc>
          <w:tcPr>
            <w:tcW w:w="1698" w:type="dxa"/>
          </w:tcPr>
          <w:p w:rsidR="008B2575" w:rsidRDefault="008B2575" w:rsidP="009F5A73">
            <w:pPr>
              <w:spacing w:before="120" w:after="120"/>
              <w:jc w:val="center"/>
              <w:rPr>
                <w:rFonts w:ascii="Palatino Linotype" w:hAnsi="Palatino Linotype"/>
                <w:sz w:val="20"/>
              </w:rPr>
            </w:pPr>
            <w:r w:rsidRPr="001F3135">
              <w:rPr>
                <w:rFonts w:ascii="Palatino Linotype" w:hAnsi="Palatino Linotype"/>
                <w:sz w:val="20"/>
              </w:rPr>
              <w:t>Approve</w:t>
            </w:r>
          </w:p>
          <w:p w:rsidR="007A621E" w:rsidRDefault="007A621E" w:rsidP="009F5A73">
            <w:pPr>
              <w:spacing w:before="120" w:after="120"/>
              <w:jc w:val="center"/>
              <w:rPr>
                <w:rFonts w:ascii="Palatino Linotype" w:hAnsi="Palatino Linotype"/>
                <w:sz w:val="20"/>
              </w:rPr>
            </w:pPr>
          </w:p>
          <w:p w:rsidR="007A621E" w:rsidRDefault="007A621E" w:rsidP="009F5A73">
            <w:pPr>
              <w:spacing w:before="120" w:after="120"/>
              <w:jc w:val="center"/>
              <w:rPr>
                <w:rFonts w:ascii="Palatino Linotype" w:hAnsi="Palatino Linotype"/>
                <w:sz w:val="20"/>
              </w:rPr>
            </w:pPr>
          </w:p>
          <w:p w:rsidR="007A621E" w:rsidRDefault="007A621E" w:rsidP="009F5A73">
            <w:pPr>
              <w:spacing w:before="120" w:after="120"/>
              <w:jc w:val="center"/>
              <w:rPr>
                <w:rFonts w:ascii="Palatino Linotype" w:hAnsi="Palatino Linotype"/>
                <w:sz w:val="20"/>
              </w:rPr>
            </w:pPr>
          </w:p>
          <w:p w:rsidR="007A621E" w:rsidRDefault="007A621E" w:rsidP="009F5A73">
            <w:pPr>
              <w:spacing w:before="120" w:after="120"/>
              <w:jc w:val="center"/>
              <w:rPr>
                <w:rFonts w:ascii="Palatino Linotype" w:hAnsi="Palatino Linotype"/>
                <w:sz w:val="20"/>
              </w:rPr>
            </w:pPr>
          </w:p>
          <w:p w:rsidR="007A621E" w:rsidRPr="001F3135" w:rsidRDefault="007A621E" w:rsidP="009F5A73">
            <w:pPr>
              <w:spacing w:before="120" w:after="120"/>
              <w:jc w:val="center"/>
              <w:rPr>
                <w:rFonts w:ascii="Palatino Linotype" w:hAnsi="Palatino Linotype"/>
                <w:sz w:val="20"/>
              </w:rPr>
            </w:pPr>
            <w:r>
              <w:rPr>
                <w:rFonts w:ascii="Palatino Linotype" w:hAnsi="Palatino Linotype"/>
                <w:sz w:val="20"/>
              </w:rPr>
              <w:t>Reject</w:t>
            </w:r>
          </w:p>
        </w:tc>
      </w:tr>
      <w:tr w:rsidR="008B2575" w:rsidRPr="009B3AFD" w:rsidTr="009F5A73">
        <w:trPr>
          <w:jc w:val="center"/>
        </w:trPr>
        <w:tc>
          <w:tcPr>
            <w:tcW w:w="1578" w:type="dxa"/>
            <w:tcBorders>
              <w:top w:val="single" w:sz="4" w:space="0" w:color="auto"/>
              <w:left w:val="single" w:sz="4" w:space="0" w:color="auto"/>
              <w:bottom w:val="single" w:sz="4" w:space="0" w:color="auto"/>
              <w:right w:val="single" w:sz="4" w:space="0" w:color="auto"/>
            </w:tcBorders>
            <w:shd w:val="clear" w:color="auto" w:fill="auto"/>
          </w:tcPr>
          <w:p w:rsidR="008B2575" w:rsidRPr="001F3135" w:rsidRDefault="008B2575" w:rsidP="009F5A73">
            <w:pPr>
              <w:spacing w:before="120" w:after="120"/>
              <w:rPr>
                <w:rFonts w:ascii="Palatino Linotype" w:hAnsi="Palatino Linotype"/>
                <w:b/>
                <w:i/>
                <w:sz w:val="20"/>
              </w:rPr>
            </w:pPr>
            <w:r w:rsidRPr="001F3135">
              <w:rPr>
                <w:rFonts w:ascii="Palatino Linotype" w:hAnsi="Palatino Linotype"/>
                <w:sz w:val="20"/>
              </w:rPr>
              <w:t xml:space="preserve">(4) </w:t>
            </w:r>
            <w:r>
              <w:rPr>
                <w:rFonts w:ascii="Palatino Linotype" w:hAnsi="Palatino Linotype"/>
                <w:b/>
                <w:i/>
                <w:sz w:val="20"/>
              </w:rPr>
              <w:t>Resource Adequacy and Full Capacity Deliverability Status</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CC17B7" w:rsidRDefault="00CC17B7" w:rsidP="00CC17B7">
            <w:pPr>
              <w:rPr>
                <w:rFonts w:ascii="Palatino Linotype" w:hAnsi="Palatino Linotype"/>
                <w:b/>
                <w:sz w:val="20"/>
              </w:rPr>
            </w:pPr>
            <w:r>
              <w:rPr>
                <w:rFonts w:ascii="Palatino Linotype" w:hAnsi="Palatino Linotype"/>
                <w:b/>
                <w:sz w:val="20"/>
              </w:rPr>
              <w:t>SCE</w:t>
            </w:r>
          </w:p>
          <w:p w:rsidR="008B2575" w:rsidRPr="00CC17B7" w:rsidRDefault="008B2575" w:rsidP="00CC17B7">
            <w:pPr>
              <w:ind w:left="288"/>
              <w:rPr>
                <w:rFonts w:ascii="Palatino Linotype" w:hAnsi="Palatino Linotype"/>
                <w:b/>
                <w:sz w:val="20"/>
              </w:rPr>
            </w:pPr>
            <w:r>
              <w:rPr>
                <w:rFonts w:ascii="Palatino Linotype" w:hAnsi="Palatino Linotype"/>
                <w:b/>
                <w:sz w:val="20"/>
              </w:rPr>
              <w:t>Sections 3.02, 6.01(b)(xxi), and Exhibit A</w:t>
            </w:r>
            <w:r w:rsidRPr="00CC17B7">
              <w:rPr>
                <w:rFonts w:ascii="Palatino Linotype" w:hAnsi="Palatino Linotype"/>
                <w:b/>
                <w:sz w:val="20"/>
              </w:rPr>
              <w:t xml:space="preserve">  </w:t>
            </w:r>
          </w:p>
          <w:p w:rsidR="00CC17B7" w:rsidRDefault="00CC17B7" w:rsidP="00CC17B7">
            <w:pPr>
              <w:rPr>
                <w:rFonts w:ascii="Palatino Linotype" w:hAnsi="Palatino Linotype"/>
                <w:b/>
                <w:sz w:val="20"/>
              </w:rPr>
            </w:pPr>
          </w:p>
          <w:p w:rsidR="00CC17B7" w:rsidRPr="00CC17B7" w:rsidRDefault="00CC17B7" w:rsidP="00CC17B7">
            <w:pPr>
              <w:rPr>
                <w:rFonts w:ascii="Palatino Linotype" w:hAnsi="Palatino Linotype"/>
                <w:b/>
                <w:sz w:val="20"/>
              </w:rPr>
            </w:pPr>
            <w:r w:rsidRPr="00CC17B7">
              <w:rPr>
                <w:rFonts w:ascii="Palatino Linotype" w:hAnsi="Palatino Linotype"/>
                <w:b/>
                <w:sz w:val="20"/>
              </w:rPr>
              <w:t>PG&amp;E</w:t>
            </w:r>
          </w:p>
          <w:p w:rsidR="00CC17B7" w:rsidRPr="001F3135" w:rsidRDefault="009A4F72" w:rsidP="00CC17B7">
            <w:pPr>
              <w:ind w:left="288"/>
              <w:rPr>
                <w:rFonts w:ascii="Palatino Linotype" w:hAnsi="Palatino Linotype"/>
                <w:sz w:val="20"/>
                <w:highlight w:val="yellow"/>
              </w:rPr>
            </w:pPr>
            <w:r w:rsidRPr="009A4F72">
              <w:rPr>
                <w:rFonts w:ascii="Palatino Linotype" w:hAnsi="Palatino Linotype"/>
                <w:b/>
                <w:sz w:val="20"/>
              </w:rPr>
              <w:t>Section 3.4(a)(i)(B) and Protocol Section VI</w:t>
            </w:r>
          </w:p>
        </w:tc>
        <w:tc>
          <w:tcPr>
            <w:tcW w:w="3470" w:type="dxa"/>
            <w:tcBorders>
              <w:top w:val="single" w:sz="4" w:space="0" w:color="auto"/>
              <w:left w:val="single" w:sz="4" w:space="0" w:color="auto"/>
              <w:bottom w:val="single" w:sz="4" w:space="0" w:color="auto"/>
              <w:right w:val="single" w:sz="4" w:space="0" w:color="auto"/>
            </w:tcBorders>
            <w:shd w:val="clear" w:color="auto" w:fill="auto"/>
          </w:tcPr>
          <w:p w:rsidR="008B2575" w:rsidRDefault="008B2575" w:rsidP="009F5A73">
            <w:pPr>
              <w:spacing w:before="120" w:after="120"/>
              <w:rPr>
                <w:rFonts w:ascii="Palatino Linotype" w:hAnsi="Palatino Linotype"/>
                <w:sz w:val="20"/>
              </w:rPr>
            </w:pPr>
            <w:r>
              <w:rPr>
                <w:rFonts w:ascii="Palatino Linotype" w:hAnsi="Palatino Linotype"/>
                <w:sz w:val="20"/>
              </w:rPr>
              <w:t xml:space="preserve">Modification of </w:t>
            </w:r>
            <w:r w:rsidRPr="000D5588">
              <w:rPr>
                <w:rFonts w:ascii="Palatino Linotype" w:hAnsi="Palatino Linotype"/>
                <w:sz w:val="20"/>
              </w:rPr>
              <w:t>Sections 3.02</w:t>
            </w:r>
            <w:r>
              <w:rPr>
                <w:rFonts w:ascii="Palatino Linotype" w:hAnsi="Palatino Linotype"/>
                <w:sz w:val="20"/>
              </w:rPr>
              <w:t xml:space="preserve"> and</w:t>
            </w:r>
            <w:r w:rsidRPr="000D5588">
              <w:rPr>
                <w:rFonts w:ascii="Palatino Linotype" w:hAnsi="Palatino Linotype"/>
                <w:sz w:val="20"/>
              </w:rPr>
              <w:t xml:space="preserve"> 6.01(b)(xxi)</w:t>
            </w:r>
            <w:r>
              <w:rPr>
                <w:rFonts w:ascii="Palatino Linotype" w:hAnsi="Palatino Linotype"/>
                <w:sz w:val="20"/>
              </w:rPr>
              <w:t xml:space="preserve"> such that payments to Full Capacity Deliverability Status (FCDS) projects will be calculated using the FCDS time of delivery (TOD) factors regardless of whether the seller is actually able to provide any RA benefits.</w:t>
            </w:r>
          </w:p>
          <w:p w:rsidR="00CC17B7" w:rsidRPr="001F3135" w:rsidRDefault="00CC17B7" w:rsidP="009F5A73">
            <w:pPr>
              <w:spacing w:before="120" w:after="120"/>
              <w:rPr>
                <w:rFonts w:ascii="Palatino Linotype" w:hAnsi="Palatino Linotype"/>
                <w:sz w:val="20"/>
              </w:rPr>
            </w:pPr>
            <w:r>
              <w:rPr>
                <w:rFonts w:ascii="Palatino Linotype" w:hAnsi="Palatino Linotype"/>
                <w:sz w:val="20"/>
              </w:rPr>
              <w:t>Modification of requirement to achieve FCDS by December 31, 2021 to December 31, 2024 for FCDS projects</w:t>
            </w:r>
          </w:p>
        </w:tc>
        <w:tc>
          <w:tcPr>
            <w:tcW w:w="1698" w:type="dxa"/>
            <w:tcBorders>
              <w:top w:val="single" w:sz="4" w:space="0" w:color="auto"/>
              <w:left w:val="single" w:sz="4" w:space="0" w:color="auto"/>
              <w:bottom w:val="single" w:sz="4" w:space="0" w:color="auto"/>
              <w:right w:val="single" w:sz="4" w:space="0" w:color="auto"/>
            </w:tcBorders>
          </w:tcPr>
          <w:p w:rsidR="00CC17B7" w:rsidRDefault="008B2575" w:rsidP="009F5A73">
            <w:pPr>
              <w:spacing w:before="120" w:after="120"/>
              <w:rPr>
                <w:rFonts w:ascii="Palatino Linotype" w:hAnsi="Palatino Linotype"/>
                <w:sz w:val="20"/>
              </w:rPr>
            </w:pPr>
            <w:r w:rsidRPr="001F3135">
              <w:rPr>
                <w:rFonts w:ascii="Palatino Linotype" w:hAnsi="Palatino Linotype"/>
                <w:sz w:val="20"/>
              </w:rPr>
              <w:t xml:space="preserve">SCE advice letter </w:t>
            </w:r>
            <w:r>
              <w:rPr>
                <w:rFonts w:ascii="Palatino Linotype" w:hAnsi="Palatino Linotype"/>
                <w:sz w:val="20"/>
              </w:rPr>
              <w:t>3003</w:t>
            </w:r>
            <w:r w:rsidRPr="001F3135">
              <w:rPr>
                <w:rFonts w:ascii="Palatino Linotype" w:hAnsi="Palatino Linotype"/>
                <w:sz w:val="20"/>
              </w:rPr>
              <w:t xml:space="preserve">-E (Section </w:t>
            </w:r>
            <w:r>
              <w:rPr>
                <w:rFonts w:ascii="Palatino Linotype" w:hAnsi="Palatino Linotype"/>
                <w:sz w:val="20"/>
              </w:rPr>
              <w:t>A.4</w:t>
            </w:r>
            <w:r w:rsidRPr="001F3135">
              <w:rPr>
                <w:rFonts w:ascii="Palatino Linotype" w:hAnsi="Palatino Linotype"/>
                <w:sz w:val="20"/>
              </w:rPr>
              <w:t>.)</w:t>
            </w:r>
            <w:r w:rsidR="00CC17B7">
              <w:rPr>
                <w:rFonts w:ascii="Palatino Linotype" w:hAnsi="Palatino Linotype"/>
                <w:sz w:val="20"/>
              </w:rPr>
              <w:t xml:space="preserve"> </w:t>
            </w:r>
          </w:p>
          <w:p w:rsidR="008B2575" w:rsidRPr="001F3135" w:rsidRDefault="00CC17B7" w:rsidP="009F5A73">
            <w:pPr>
              <w:spacing w:before="120" w:after="120"/>
              <w:rPr>
                <w:rFonts w:ascii="Palatino Linotype" w:hAnsi="Palatino Linotype"/>
                <w:sz w:val="20"/>
              </w:rPr>
            </w:pPr>
            <w:r>
              <w:rPr>
                <w:rFonts w:ascii="Palatino Linotype" w:hAnsi="Palatino Linotype"/>
                <w:sz w:val="20"/>
              </w:rPr>
              <w:t>PG&amp;E advice letter 4365-E (Section III.A.b)</w:t>
            </w:r>
          </w:p>
        </w:tc>
        <w:tc>
          <w:tcPr>
            <w:tcW w:w="1698" w:type="dxa"/>
            <w:tcBorders>
              <w:top w:val="single" w:sz="4" w:space="0" w:color="auto"/>
              <w:left w:val="single" w:sz="4" w:space="0" w:color="auto"/>
              <w:bottom w:val="single" w:sz="4" w:space="0" w:color="auto"/>
              <w:right w:val="single" w:sz="4" w:space="0" w:color="auto"/>
            </w:tcBorders>
          </w:tcPr>
          <w:p w:rsidR="008B2575" w:rsidRPr="001F3135" w:rsidRDefault="008B2575" w:rsidP="009F5A73">
            <w:pPr>
              <w:spacing w:before="120" w:after="120"/>
              <w:jc w:val="center"/>
              <w:rPr>
                <w:rFonts w:ascii="Palatino Linotype" w:hAnsi="Palatino Linotype"/>
                <w:sz w:val="20"/>
              </w:rPr>
            </w:pPr>
            <w:r w:rsidRPr="001F3135">
              <w:rPr>
                <w:rFonts w:ascii="Palatino Linotype" w:hAnsi="Palatino Linotype"/>
                <w:sz w:val="20"/>
              </w:rPr>
              <w:t>Approve</w:t>
            </w:r>
          </w:p>
        </w:tc>
      </w:tr>
      <w:tr w:rsidR="008B2575" w:rsidRPr="009B3AFD" w:rsidTr="009F5A73">
        <w:trPr>
          <w:jc w:val="center"/>
        </w:trPr>
        <w:tc>
          <w:tcPr>
            <w:tcW w:w="1578" w:type="dxa"/>
            <w:tcBorders>
              <w:top w:val="single" w:sz="4" w:space="0" w:color="auto"/>
              <w:left w:val="single" w:sz="4" w:space="0" w:color="auto"/>
              <w:bottom w:val="single" w:sz="4" w:space="0" w:color="auto"/>
              <w:right w:val="single" w:sz="4" w:space="0" w:color="auto"/>
            </w:tcBorders>
            <w:shd w:val="clear" w:color="auto" w:fill="auto"/>
          </w:tcPr>
          <w:p w:rsidR="008B2575" w:rsidRPr="001F3135" w:rsidRDefault="008B2575" w:rsidP="00CC17B7">
            <w:pPr>
              <w:spacing w:before="120" w:after="120"/>
              <w:rPr>
                <w:b/>
                <w:i/>
                <w:sz w:val="20"/>
              </w:rPr>
            </w:pPr>
            <w:r w:rsidRPr="001F3135">
              <w:rPr>
                <w:rFonts w:ascii="Palatino Linotype" w:hAnsi="Palatino Linotype"/>
                <w:sz w:val="20"/>
              </w:rPr>
              <w:t>(</w:t>
            </w:r>
            <w:r w:rsidR="00CC17B7">
              <w:rPr>
                <w:rFonts w:ascii="Palatino Linotype" w:hAnsi="Palatino Linotype"/>
                <w:sz w:val="20"/>
              </w:rPr>
              <w:t>5</w:t>
            </w:r>
            <w:r w:rsidRPr="001F3135">
              <w:rPr>
                <w:rFonts w:ascii="Palatino Linotype" w:hAnsi="Palatino Linotype"/>
                <w:sz w:val="20"/>
              </w:rPr>
              <w:t xml:space="preserve">) </w:t>
            </w:r>
            <w:r>
              <w:rPr>
                <w:b/>
                <w:i/>
                <w:sz w:val="20"/>
              </w:rPr>
              <w:t>Shared Facilities</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063274" w:rsidRDefault="00063274" w:rsidP="009445E7">
            <w:pPr>
              <w:rPr>
                <w:rFonts w:ascii="Palatino Linotype" w:hAnsi="Palatino Linotype"/>
                <w:b/>
                <w:sz w:val="20"/>
              </w:rPr>
            </w:pPr>
            <w:r>
              <w:rPr>
                <w:rFonts w:ascii="Palatino Linotype" w:hAnsi="Palatino Linotype"/>
                <w:b/>
                <w:sz w:val="20"/>
              </w:rPr>
              <w:t>SCE:</w:t>
            </w:r>
          </w:p>
          <w:p w:rsidR="00063274" w:rsidRDefault="008B2575" w:rsidP="00D0459F">
            <w:pPr>
              <w:spacing w:after="120"/>
              <w:ind w:left="288"/>
              <w:rPr>
                <w:rFonts w:ascii="Palatino Linotype" w:hAnsi="Palatino Linotype"/>
                <w:b/>
                <w:sz w:val="20"/>
              </w:rPr>
            </w:pPr>
            <w:r>
              <w:rPr>
                <w:rFonts w:ascii="Palatino Linotype" w:hAnsi="Palatino Linotype"/>
                <w:b/>
                <w:sz w:val="20"/>
              </w:rPr>
              <w:t>Sections 3.05, 3.11(c)(xxiv), 3.30, 6.01(b)(xxii)-(xxiv), 8.04(e)-(f), 10.18, and Exhibit A</w:t>
            </w:r>
          </w:p>
          <w:p w:rsidR="00474699" w:rsidRDefault="00474699" w:rsidP="00474699">
            <w:pPr>
              <w:rPr>
                <w:rFonts w:ascii="Palatino Linotype" w:hAnsi="Palatino Linotype"/>
                <w:b/>
                <w:sz w:val="20"/>
              </w:rPr>
            </w:pPr>
            <w:r>
              <w:rPr>
                <w:rFonts w:ascii="Palatino Linotype" w:hAnsi="Palatino Linotype"/>
                <w:b/>
                <w:sz w:val="20"/>
              </w:rPr>
              <w:t>PG&amp;E:</w:t>
            </w:r>
          </w:p>
          <w:p w:rsidR="00474699" w:rsidRPr="00D0459F" w:rsidRDefault="00474699" w:rsidP="00474699">
            <w:pPr>
              <w:ind w:left="288"/>
              <w:rPr>
                <w:rFonts w:ascii="Palatino Linotype" w:hAnsi="Palatino Linotype"/>
                <w:b/>
                <w:sz w:val="20"/>
              </w:rPr>
            </w:pPr>
            <w:r>
              <w:rPr>
                <w:rFonts w:ascii="Palatino Linotype" w:hAnsi="Palatino Linotype"/>
                <w:b/>
                <w:sz w:val="20"/>
              </w:rPr>
              <w:t>Section 3.6</w:t>
            </w:r>
          </w:p>
        </w:tc>
        <w:tc>
          <w:tcPr>
            <w:tcW w:w="3470" w:type="dxa"/>
            <w:tcBorders>
              <w:top w:val="single" w:sz="4" w:space="0" w:color="auto"/>
              <w:left w:val="single" w:sz="4" w:space="0" w:color="auto"/>
              <w:bottom w:val="single" w:sz="4" w:space="0" w:color="auto"/>
              <w:right w:val="single" w:sz="4" w:space="0" w:color="auto"/>
            </w:tcBorders>
            <w:shd w:val="clear" w:color="auto" w:fill="auto"/>
          </w:tcPr>
          <w:p w:rsidR="00063274" w:rsidRDefault="008B2575" w:rsidP="009F5A73">
            <w:pPr>
              <w:spacing w:before="120" w:after="120"/>
              <w:rPr>
                <w:rFonts w:ascii="Palatino Linotype" w:hAnsi="Palatino Linotype"/>
                <w:sz w:val="20"/>
              </w:rPr>
            </w:pPr>
            <w:r>
              <w:rPr>
                <w:rFonts w:ascii="Palatino Linotype" w:hAnsi="Palatino Linotype"/>
                <w:sz w:val="20"/>
              </w:rPr>
              <w:t>A</w:t>
            </w:r>
            <w:r w:rsidRPr="000D5588">
              <w:rPr>
                <w:rFonts w:ascii="Palatino Linotype" w:hAnsi="Palatino Linotype"/>
                <w:sz w:val="20"/>
              </w:rPr>
              <w:t>ddition of Sections 3.05, 3.11(c)(xxiv), 3.30, 6.01(b)(xxii)-(xxiv), 8.04(e)-(f), 10.18, and Exhibit A</w:t>
            </w:r>
            <w:r w:rsidRPr="001F3135">
              <w:rPr>
                <w:rFonts w:ascii="Palatino Linotype" w:hAnsi="Palatino Linotype"/>
                <w:sz w:val="20"/>
              </w:rPr>
              <w:t xml:space="preserve"> </w:t>
            </w:r>
            <w:r>
              <w:rPr>
                <w:rFonts w:ascii="Palatino Linotype" w:hAnsi="Palatino Linotype"/>
                <w:sz w:val="20"/>
              </w:rPr>
              <w:t>to integrate provisions related to shared interconnection facilities that were previously part of a separate consent agreement</w:t>
            </w:r>
            <w:r w:rsidRPr="001F3135">
              <w:rPr>
                <w:rFonts w:ascii="Palatino Linotype" w:hAnsi="Palatino Linotype"/>
                <w:sz w:val="20"/>
              </w:rPr>
              <w:t xml:space="preserve">. </w:t>
            </w:r>
          </w:p>
          <w:p w:rsidR="00474699" w:rsidRPr="001F3135" w:rsidRDefault="00474699" w:rsidP="009F5A73">
            <w:pPr>
              <w:spacing w:before="120" w:after="120"/>
              <w:rPr>
                <w:rFonts w:ascii="Palatino Linotype" w:hAnsi="Palatino Linotype"/>
                <w:sz w:val="20"/>
              </w:rPr>
            </w:pPr>
            <w:r>
              <w:rPr>
                <w:rFonts w:ascii="Palatino Linotype" w:hAnsi="Palatino Linotype"/>
                <w:sz w:val="20"/>
              </w:rPr>
              <w:t>Addition of requirement that Sellers provide separate high-side metering and separate step-up transformers for each project.</w:t>
            </w:r>
          </w:p>
        </w:tc>
        <w:tc>
          <w:tcPr>
            <w:tcW w:w="1698" w:type="dxa"/>
            <w:tcBorders>
              <w:top w:val="single" w:sz="4" w:space="0" w:color="auto"/>
              <w:left w:val="single" w:sz="4" w:space="0" w:color="auto"/>
              <w:bottom w:val="single" w:sz="4" w:space="0" w:color="auto"/>
              <w:right w:val="single" w:sz="4" w:space="0" w:color="auto"/>
            </w:tcBorders>
          </w:tcPr>
          <w:p w:rsidR="00474699" w:rsidRDefault="008B2575" w:rsidP="009F5A73">
            <w:pPr>
              <w:spacing w:before="120" w:after="120"/>
              <w:rPr>
                <w:rFonts w:ascii="Palatino Linotype" w:hAnsi="Palatino Linotype"/>
                <w:sz w:val="20"/>
              </w:rPr>
            </w:pPr>
            <w:r w:rsidRPr="001F3135">
              <w:rPr>
                <w:rFonts w:ascii="Palatino Linotype" w:hAnsi="Palatino Linotype"/>
                <w:sz w:val="20"/>
              </w:rPr>
              <w:t xml:space="preserve">SCE advice letter </w:t>
            </w:r>
            <w:r>
              <w:rPr>
                <w:rFonts w:ascii="Palatino Linotype" w:hAnsi="Palatino Linotype"/>
                <w:sz w:val="20"/>
              </w:rPr>
              <w:t>3003</w:t>
            </w:r>
            <w:r w:rsidRPr="001F3135">
              <w:rPr>
                <w:rFonts w:ascii="Palatino Linotype" w:hAnsi="Palatino Linotype"/>
                <w:sz w:val="20"/>
              </w:rPr>
              <w:t xml:space="preserve">-E (Section </w:t>
            </w:r>
            <w:r>
              <w:rPr>
                <w:rFonts w:ascii="Palatino Linotype" w:hAnsi="Palatino Linotype"/>
                <w:sz w:val="20"/>
              </w:rPr>
              <w:t>A.5</w:t>
            </w:r>
            <w:r w:rsidRPr="001F3135">
              <w:rPr>
                <w:rFonts w:ascii="Palatino Linotype" w:hAnsi="Palatino Linotype"/>
                <w:sz w:val="20"/>
              </w:rPr>
              <w:t>.)</w:t>
            </w:r>
            <w:r w:rsidR="00474699">
              <w:rPr>
                <w:rFonts w:ascii="Palatino Linotype" w:hAnsi="Palatino Linotype"/>
                <w:sz w:val="20"/>
              </w:rPr>
              <w:t xml:space="preserve"> </w:t>
            </w:r>
          </w:p>
          <w:p w:rsidR="00063274" w:rsidRPr="001F3135" w:rsidRDefault="00474699" w:rsidP="009F5A73">
            <w:pPr>
              <w:spacing w:before="120" w:after="120"/>
              <w:rPr>
                <w:rFonts w:ascii="Palatino Linotype" w:hAnsi="Palatino Linotype"/>
                <w:sz w:val="20"/>
              </w:rPr>
            </w:pPr>
            <w:r>
              <w:rPr>
                <w:rFonts w:ascii="Palatino Linotype" w:hAnsi="Palatino Linotype"/>
                <w:sz w:val="20"/>
              </w:rPr>
              <w:t>PG&amp;E AL 4365-E (Section III.A.d)</w:t>
            </w:r>
          </w:p>
        </w:tc>
        <w:tc>
          <w:tcPr>
            <w:tcW w:w="1698" w:type="dxa"/>
            <w:tcBorders>
              <w:top w:val="single" w:sz="4" w:space="0" w:color="auto"/>
              <w:left w:val="single" w:sz="4" w:space="0" w:color="auto"/>
              <w:bottom w:val="single" w:sz="4" w:space="0" w:color="auto"/>
              <w:right w:val="single" w:sz="4" w:space="0" w:color="auto"/>
            </w:tcBorders>
          </w:tcPr>
          <w:p w:rsidR="008B2575" w:rsidRPr="001F3135" w:rsidRDefault="008B2575" w:rsidP="009F5A73">
            <w:pPr>
              <w:spacing w:before="120" w:after="120"/>
              <w:jc w:val="center"/>
              <w:rPr>
                <w:rFonts w:ascii="Palatino Linotype" w:hAnsi="Palatino Linotype"/>
                <w:sz w:val="20"/>
              </w:rPr>
            </w:pPr>
            <w:r w:rsidRPr="001F3135">
              <w:rPr>
                <w:rFonts w:ascii="Palatino Linotype" w:hAnsi="Palatino Linotype"/>
                <w:sz w:val="20"/>
              </w:rPr>
              <w:t>Approve</w:t>
            </w:r>
          </w:p>
        </w:tc>
      </w:tr>
      <w:tr w:rsidR="009445E7" w:rsidRPr="001F3135" w:rsidTr="009F5A73">
        <w:trPr>
          <w:jc w:val="center"/>
        </w:trPr>
        <w:tc>
          <w:tcPr>
            <w:tcW w:w="1578" w:type="dxa"/>
            <w:shd w:val="clear" w:color="auto" w:fill="auto"/>
          </w:tcPr>
          <w:p w:rsidR="009445E7" w:rsidRDefault="007D00C0" w:rsidP="00DB4FCC">
            <w:pPr>
              <w:spacing w:before="120" w:after="120"/>
              <w:rPr>
                <w:rFonts w:ascii="Palatino Linotype" w:hAnsi="Palatino Linotype"/>
                <w:b/>
                <w:i/>
                <w:sz w:val="20"/>
              </w:rPr>
            </w:pPr>
            <w:r>
              <w:rPr>
                <w:rFonts w:ascii="Palatino Linotype" w:hAnsi="Palatino Linotype"/>
                <w:b/>
                <w:i/>
                <w:sz w:val="20"/>
              </w:rPr>
              <w:t>(</w:t>
            </w:r>
            <w:r w:rsidR="00DB4FCC">
              <w:rPr>
                <w:rFonts w:ascii="Palatino Linotype" w:hAnsi="Palatino Linotype"/>
                <w:b/>
                <w:i/>
                <w:sz w:val="20"/>
              </w:rPr>
              <w:t>6</w:t>
            </w:r>
            <w:r>
              <w:rPr>
                <w:rFonts w:ascii="Palatino Linotype" w:hAnsi="Palatino Linotype"/>
                <w:b/>
                <w:i/>
                <w:sz w:val="20"/>
              </w:rPr>
              <w:t>) In-Service and Test Energy Date Provisions</w:t>
            </w:r>
          </w:p>
        </w:tc>
        <w:tc>
          <w:tcPr>
            <w:tcW w:w="2092" w:type="dxa"/>
            <w:shd w:val="clear" w:color="auto" w:fill="auto"/>
          </w:tcPr>
          <w:p w:rsidR="009445E7" w:rsidRDefault="00FC531B" w:rsidP="009F5A73">
            <w:pPr>
              <w:spacing w:before="120" w:after="120"/>
              <w:rPr>
                <w:rFonts w:ascii="Palatino Linotype" w:hAnsi="Palatino Linotype"/>
                <w:b/>
                <w:sz w:val="20"/>
              </w:rPr>
            </w:pPr>
            <w:r w:rsidRPr="00251804">
              <w:rPr>
                <w:rFonts w:ascii="Palatino Linotype" w:hAnsi="Palatino Linotype"/>
                <w:b/>
                <w:sz w:val="20"/>
              </w:rPr>
              <w:t>Section</w:t>
            </w:r>
            <w:r w:rsidR="00251804" w:rsidRPr="00251804">
              <w:rPr>
                <w:rFonts w:ascii="Palatino Linotype" w:hAnsi="Palatino Linotype"/>
                <w:b/>
                <w:sz w:val="20"/>
              </w:rPr>
              <w:t>s</w:t>
            </w:r>
            <w:r w:rsidR="00251804">
              <w:rPr>
                <w:rFonts w:ascii="Palatino Linotype" w:hAnsi="Palatino Linotype"/>
                <w:b/>
                <w:sz w:val="20"/>
              </w:rPr>
              <w:t xml:space="preserve"> 3.9(c)(i) and</w:t>
            </w:r>
            <w:r>
              <w:rPr>
                <w:rFonts w:ascii="Palatino Linotype" w:hAnsi="Palatino Linotype"/>
                <w:b/>
                <w:sz w:val="20"/>
              </w:rPr>
              <w:t xml:space="preserve"> </w:t>
            </w:r>
            <w:r w:rsidR="00251804">
              <w:rPr>
                <w:rFonts w:ascii="Palatino Linotype" w:hAnsi="Palatino Linotype"/>
                <w:b/>
                <w:sz w:val="20"/>
              </w:rPr>
              <w:t>4.4</w:t>
            </w:r>
          </w:p>
        </w:tc>
        <w:tc>
          <w:tcPr>
            <w:tcW w:w="3470" w:type="dxa"/>
            <w:shd w:val="clear" w:color="auto" w:fill="auto"/>
          </w:tcPr>
          <w:p w:rsidR="009445E7" w:rsidRDefault="007D00C0" w:rsidP="007D00C0">
            <w:pPr>
              <w:spacing w:before="120" w:after="120"/>
              <w:rPr>
                <w:rFonts w:ascii="Palatino Linotype" w:hAnsi="Palatino Linotype"/>
                <w:sz w:val="20"/>
              </w:rPr>
            </w:pPr>
            <w:r>
              <w:rPr>
                <w:rFonts w:ascii="Palatino Linotype" w:hAnsi="Palatino Linotype"/>
                <w:sz w:val="20"/>
              </w:rPr>
              <w:t>Addition of provisions limiting test energy to no sooner than nine months prior to Guaranteed COD (GCOD) and  COD no sooner than six months prior to GCOD</w:t>
            </w:r>
          </w:p>
        </w:tc>
        <w:tc>
          <w:tcPr>
            <w:tcW w:w="1698" w:type="dxa"/>
          </w:tcPr>
          <w:p w:rsidR="009445E7" w:rsidRPr="001F3135" w:rsidRDefault="007D00C0" w:rsidP="00D618EC">
            <w:pPr>
              <w:spacing w:before="120" w:after="120"/>
              <w:rPr>
                <w:rFonts w:ascii="Palatino Linotype" w:hAnsi="Palatino Linotype"/>
                <w:sz w:val="20"/>
              </w:rPr>
            </w:pPr>
            <w:r>
              <w:rPr>
                <w:rFonts w:ascii="Palatino Linotype" w:hAnsi="Palatino Linotype"/>
                <w:sz w:val="20"/>
              </w:rPr>
              <w:t>SDG&amp;E advice letter 2580-E (Section III.3)</w:t>
            </w:r>
          </w:p>
        </w:tc>
        <w:tc>
          <w:tcPr>
            <w:tcW w:w="1698" w:type="dxa"/>
          </w:tcPr>
          <w:p w:rsidR="009445E7" w:rsidRPr="001F3135" w:rsidRDefault="007D00C0" w:rsidP="009F5A73">
            <w:pPr>
              <w:spacing w:before="120" w:after="120"/>
              <w:jc w:val="center"/>
              <w:rPr>
                <w:rFonts w:ascii="Palatino Linotype" w:hAnsi="Palatino Linotype"/>
                <w:sz w:val="20"/>
              </w:rPr>
            </w:pPr>
            <w:r>
              <w:rPr>
                <w:rFonts w:ascii="Palatino Linotype" w:hAnsi="Palatino Linotype"/>
                <w:sz w:val="20"/>
              </w:rPr>
              <w:t>Approve</w:t>
            </w:r>
          </w:p>
        </w:tc>
      </w:tr>
    </w:tbl>
    <w:p w:rsidR="003046B8" w:rsidRPr="0015535F" w:rsidRDefault="003046B8" w:rsidP="0059383E">
      <w:pPr>
        <w:keepNext/>
        <w:keepLines/>
        <w:autoSpaceDE w:val="0"/>
        <w:autoSpaceDN w:val="0"/>
        <w:adjustRightInd w:val="0"/>
        <w:spacing w:after="120"/>
        <w:rPr>
          <w:rFonts w:ascii="Palatino Linotype" w:hAnsi="Palatino Linotype"/>
          <w:bCs/>
          <w:szCs w:val="26"/>
        </w:rPr>
      </w:pPr>
      <w:r>
        <w:rPr>
          <w:rFonts w:ascii="Palatino Linotype" w:hAnsi="Palatino Linotype"/>
          <w:bCs/>
          <w:szCs w:val="26"/>
        </w:rPr>
        <w:t xml:space="preserve">Energy Division evaluated the necessity and reasonableness of these </w:t>
      </w:r>
      <w:r w:rsidR="00BC00B0">
        <w:rPr>
          <w:rFonts w:ascii="Palatino Linotype" w:hAnsi="Palatino Linotype"/>
          <w:bCs/>
          <w:szCs w:val="26"/>
        </w:rPr>
        <w:t xml:space="preserve">proposed </w:t>
      </w:r>
      <w:r>
        <w:rPr>
          <w:rFonts w:ascii="Palatino Linotype" w:hAnsi="Palatino Linotype"/>
          <w:bCs/>
          <w:szCs w:val="26"/>
        </w:rPr>
        <w:t>changes to the RAM pro forma PPAs based on the following criteria</w:t>
      </w:r>
      <w:r w:rsidRPr="0015535F">
        <w:rPr>
          <w:rFonts w:ascii="Palatino Linotype" w:hAnsi="Palatino Linotype"/>
          <w:bCs/>
          <w:szCs w:val="26"/>
        </w:rPr>
        <w:t>:</w:t>
      </w:r>
    </w:p>
    <w:p w:rsidR="003046B8" w:rsidRDefault="003046B8" w:rsidP="0059383E">
      <w:pPr>
        <w:keepLines/>
        <w:numPr>
          <w:ilvl w:val="0"/>
          <w:numId w:val="6"/>
        </w:numPr>
        <w:spacing w:after="120"/>
        <w:rPr>
          <w:rFonts w:ascii="Palatino Linotype" w:hAnsi="Palatino Linotype"/>
        </w:rPr>
      </w:pPr>
      <w:r w:rsidRPr="00C23E90">
        <w:rPr>
          <w:rFonts w:ascii="Palatino Linotype" w:hAnsi="Palatino Linotype"/>
        </w:rPr>
        <w:t>Consistency with Decision 10-12-048</w:t>
      </w:r>
      <w:r>
        <w:rPr>
          <w:rFonts w:ascii="Palatino Linotype" w:hAnsi="Palatino Linotype"/>
        </w:rPr>
        <w:t>, as modified by</w:t>
      </w:r>
      <w:r w:rsidRPr="00C23E90">
        <w:rPr>
          <w:rFonts w:ascii="Palatino Linotype" w:hAnsi="Palatino Linotype"/>
        </w:rPr>
        <w:t xml:space="preserve"> </w:t>
      </w:r>
      <w:r>
        <w:rPr>
          <w:rFonts w:ascii="Palatino Linotype" w:hAnsi="Palatino Linotype"/>
        </w:rPr>
        <w:t>Resolution E-4414</w:t>
      </w:r>
      <w:r w:rsidR="00000A45">
        <w:rPr>
          <w:rFonts w:ascii="Palatino Linotype" w:hAnsi="Palatino Linotype"/>
        </w:rPr>
        <w:t>,</w:t>
      </w:r>
      <w:r>
        <w:rPr>
          <w:rFonts w:ascii="Palatino Linotype" w:hAnsi="Palatino Linotype"/>
        </w:rPr>
        <w:t xml:space="preserve"> Resolution E-4489, Resolution 4546-E, and Resolution 4582-E.</w:t>
      </w:r>
    </w:p>
    <w:p w:rsidR="003046B8" w:rsidRPr="00C23E90" w:rsidRDefault="003046B8" w:rsidP="003E694D">
      <w:pPr>
        <w:keepLines/>
        <w:numPr>
          <w:ilvl w:val="0"/>
          <w:numId w:val="6"/>
        </w:numPr>
        <w:spacing w:after="240"/>
        <w:rPr>
          <w:rFonts w:ascii="Palatino Linotype" w:hAnsi="Palatino Linotype"/>
        </w:rPr>
      </w:pPr>
      <w:r>
        <w:rPr>
          <w:rFonts w:ascii="Palatino Linotype" w:hAnsi="Palatino Linotype"/>
        </w:rPr>
        <w:t>Consistency with other Commission decisions, rules, and policies.</w:t>
      </w:r>
    </w:p>
    <w:p w:rsidR="008B2575" w:rsidRDefault="003046B8" w:rsidP="0059383E">
      <w:pPr>
        <w:keepNext/>
        <w:spacing w:before="120" w:after="120"/>
        <w:rPr>
          <w:rFonts w:ascii="Palatino Linotype" w:hAnsi="Palatino Linotype"/>
          <w:b/>
          <w:i/>
        </w:rPr>
      </w:pPr>
      <w:r>
        <w:rPr>
          <w:rFonts w:ascii="Palatino Linotype" w:hAnsi="Palatino Linotype"/>
          <w:b/>
          <w:i/>
        </w:rPr>
        <w:t xml:space="preserve"> </w:t>
      </w:r>
      <w:r w:rsidR="00825A5E">
        <w:rPr>
          <w:rFonts w:ascii="Palatino Linotype" w:hAnsi="Palatino Linotype"/>
          <w:b/>
          <w:i/>
        </w:rPr>
        <w:t>(1) Safety Provisions</w:t>
      </w:r>
    </w:p>
    <w:p w:rsidR="003046B8" w:rsidRDefault="008B5084" w:rsidP="003E694D">
      <w:pPr>
        <w:spacing w:after="120"/>
        <w:rPr>
          <w:rFonts w:ascii="Palatino Linotype" w:hAnsi="Palatino Linotype"/>
        </w:rPr>
      </w:pPr>
      <w:r>
        <w:rPr>
          <w:rFonts w:ascii="Palatino Linotype" w:hAnsi="Palatino Linotype"/>
        </w:rPr>
        <w:t>In advice letter 3003-E, SCE requests Commission approval to add safety provisions</w:t>
      </w:r>
      <w:r w:rsidR="00BC00B0">
        <w:rPr>
          <w:rFonts w:ascii="Palatino Linotype" w:hAnsi="Palatino Linotype"/>
        </w:rPr>
        <w:t xml:space="preserve"> to </w:t>
      </w:r>
      <w:r w:rsidR="002F0970">
        <w:rPr>
          <w:rFonts w:ascii="Palatino Linotype" w:hAnsi="Palatino Linotype"/>
        </w:rPr>
        <w:t>its</w:t>
      </w:r>
      <w:r w:rsidR="00BC00B0">
        <w:rPr>
          <w:rFonts w:ascii="Palatino Linotype" w:hAnsi="Palatino Linotype"/>
        </w:rPr>
        <w:t xml:space="preserve"> pro forma PPA</w:t>
      </w:r>
      <w:r>
        <w:rPr>
          <w:rFonts w:ascii="Palatino Linotype" w:hAnsi="Palatino Linotype"/>
        </w:rPr>
        <w:t>.  The new proposed terms require that prior to beginning construction activities the seller must provide SCE an independent engineer report that certifies that the seller has a written plan for the safe construction and operation of the generating facility.  SDG&amp;E also requests modification and addition of safety provisions.  Specifically, SDG&amp;E proposes to include safety</w:t>
      </w:r>
      <w:r w:rsidR="00BC00B0">
        <w:rPr>
          <w:rFonts w:ascii="Palatino Linotype" w:hAnsi="Palatino Linotype"/>
        </w:rPr>
        <w:t xml:space="preserve"> as an element of the general</w:t>
      </w:r>
      <w:r>
        <w:rPr>
          <w:rFonts w:ascii="Palatino Linotype" w:hAnsi="Palatino Linotype"/>
        </w:rPr>
        <w:t xml:space="preserve"> </w:t>
      </w:r>
      <w:r w:rsidR="007227A5">
        <w:rPr>
          <w:rFonts w:ascii="Palatino Linotype" w:hAnsi="Palatino Linotype"/>
        </w:rPr>
        <w:t>operation</w:t>
      </w:r>
      <w:r>
        <w:rPr>
          <w:rFonts w:ascii="Palatino Linotype" w:hAnsi="Palatino Linotype"/>
        </w:rPr>
        <w:t xml:space="preserve"> of the project and </w:t>
      </w:r>
      <w:r w:rsidR="007227A5">
        <w:rPr>
          <w:rFonts w:ascii="Palatino Linotype" w:hAnsi="Palatino Linotype"/>
        </w:rPr>
        <w:t>require that the seller provide SDG&amp;E a safety and health report listing all accidents, any resulting work stoppages, and work stoppage impact on construction of the project.  Both SCE and SDG&amp;E state that in D.13-11-024 the Commission approved similar changes in their 2013 RPS pro forma PPAs.</w:t>
      </w:r>
      <w:r w:rsidR="00000A45">
        <w:rPr>
          <w:rStyle w:val="FootnoteReference"/>
          <w:rFonts w:ascii="Palatino Linotype" w:hAnsi="Palatino Linotype"/>
        </w:rPr>
        <w:footnoteReference w:id="23"/>
      </w:r>
    </w:p>
    <w:p w:rsidR="003046B8" w:rsidRDefault="003046B8" w:rsidP="003E694D">
      <w:pPr>
        <w:spacing w:after="240"/>
        <w:rPr>
          <w:rFonts w:ascii="Palatino Linotype" w:hAnsi="Palatino Linotype"/>
        </w:rPr>
      </w:pPr>
      <w:r>
        <w:rPr>
          <w:rFonts w:ascii="Palatino Linotype" w:hAnsi="Palatino Linotype"/>
        </w:rPr>
        <w:t xml:space="preserve">Safety is a priority for the Commission and finds </w:t>
      </w:r>
      <w:r w:rsidR="00000A45">
        <w:rPr>
          <w:rFonts w:ascii="Palatino Linotype" w:hAnsi="Palatino Linotype"/>
        </w:rPr>
        <w:t xml:space="preserve">that </w:t>
      </w:r>
      <w:r w:rsidRPr="003046B8">
        <w:rPr>
          <w:rFonts w:ascii="Palatino Linotype" w:hAnsi="Palatino Linotype"/>
          <w:u w:val="single"/>
        </w:rPr>
        <w:t xml:space="preserve">the proposed modifications </w:t>
      </w:r>
      <w:r w:rsidR="00000A45">
        <w:rPr>
          <w:rFonts w:ascii="Palatino Linotype" w:hAnsi="Palatino Linotype"/>
          <w:u w:val="single"/>
        </w:rPr>
        <w:t xml:space="preserve">are </w:t>
      </w:r>
      <w:r w:rsidRPr="003046B8">
        <w:rPr>
          <w:rFonts w:ascii="Palatino Linotype" w:hAnsi="Palatino Linotype"/>
          <w:u w:val="single"/>
        </w:rPr>
        <w:t>consistent with the utilities’ responsibilities regarding safety</w:t>
      </w:r>
      <w:r>
        <w:rPr>
          <w:rFonts w:ascii="Palatino Linotype" w:hAnsi="Palatino Linotype"/>
        </w:rPr>
        <w:t xml:space="preserve">.  Accordingly, </w:t>
      </w:r>
      <w:r w:rsidRPr="003046B8">
        <w:rPr>
          <w:rFonts w:ascii="Palatino Linotype" w:hAnsi="Palatino Linotype"/>
          <w:u w:val="single"/>
        </w:rPr>
        <w:t xml:space="preserve">SCE’s and SDG&amp;E’s proposed modifications to </w:t>
      </w:r>
      <w:r w:rsidR="00BC00B0">
        <w:rPr>
          <w:rFonts w:ascii="Palatino Linotype" w:hAnsi="Palatino Linotype"/>
          <w:u w:val="single"/>
        </w:rPr>
        <w:t>Section 3.11</w:t>
      </w:r>
      <w:r w:rsidR="00E233D9">
        <w:rPr>
          <w:rFonts w:ascii="Palatino Linotype" w:hAnsi="Palatino Linotype"/>
          <w:u w:val="single"/>
        </w:rPr>
        <w:t>(e)</w:t>
      </w:r>
      <w:r w:rsidR="00BC00B0">
        <w:rPr>
          <w:rFonts w:ascii="Palatino Linotype" w:hAnsi="Palatino Linotype"/>
          <w:u w:val="single"/>
        </w:rPr>
        <w:t xml:space="preserve"> and Section 3.5(a), respectively, of their RAM V pro forma PPAs</w:t>
      </w:r>
      <w:r w:rsidRPr="003046B8">
        <w:rPr>
          <w:rFonts w:ascii="Palatino Linotype" w:hAnsi="Palatino Linotype"/>
          <w:u w:val="single"/>
        </w:rPr>
        <w:t xml:space="preserve"> are reasonable</w:t>
      </w:r>
      <w:r>
        <w:rPr>
          <w:rFonts w:ascii="Palatino Linotype" w:hAnsi="Palatino Linotype"/>
        </w:rPr>
        <w:t>.</w:t>
      </w:r>
    </w:p>
    <w:p w:rsidR="00F5600A" w:rsidRPr="00F43342" w:rsidRDefault="00666583" w:rsidP="00A37E96">
      <w:pPr>
        <w:keepNext/>
        <w:spacing w:after="120"/>
        <w:rPr>
          <w:rFonts w:ascii="Palatino Linotype" w:hAnsi="Palatino Linotype"/>
          <w:b/>
          <w:i/>
        </w:rPr>
      </w:pPr>
      <w:r>
        <w:rPr>
          <w:rFonts w:ascii="Palatino Linotype" w:hAnsi="Palatino Linotype"/>
          <w:b/>
          <w:i/>
        </w:rPr>
        <w:t>(</w:t>
      </w:r>
      <w:r w:rsidR="005D0EE4">
        <w:rPr>
          <w:rFonts w:ascii="Palatino Linotype" w:hAnsi="Palatino Linotype"/>
          <w:b/>
          <w:i/>
        </w:rPr>
        <w:t>2</w:t>
      </w:r>
      <w:r>
        <w:rPr>
          <w:rFonts w:ascii="Palatino Linotype" w:hAnsi="Palatino Linotype"/>
          <w:b/>
          <w:i/>
        </w:rPr>
        <w:t>)</w:t>
      </w:r>
      <w:r w:rsidR="00F5600A" w:rsidRPr="00F43342">
        <w:rPr>
          <w:rFonts w:ascii="Palatino Linotype" w:hAnsi="Palatino Linotype"/>
          <w:b/>
          <w:i/>
        </w:rPr>
        <w:t xml:space="preserve"> </w:t>
      </w:r>
      <w:r w:rsidR="007666FB" w:rsidRPr="007666FB">
        <w:rPr>
          <w:rFonts w:ascii="Palatino Linotype" w:hAnsi="Palatino Linotype"/>
          <w:b/>
          <w:i/>
        </w:rPr>
        <w:t>Network Upgrade Cost Cap and Seller’s “Buy-Down Right”</w:t>
      </w:r>
    </w:p>
    <w:p w:rsidR="00A87C37" w:rsidRDefault="001D4BD9" w:rsidP="00A37E96">
      <w:pPr>
        <w:spacing w:after="120"/>
        <w:rPr>
          <w:rFonts w:ascii="Palatino Linotype" w:hAnsi="Palatino Linotype"/>
        </w:rPr>
      </w:pPr>
      <w:r>
        <w:rPr>
          <w:rFonts w:ascii="Palatino Linotype" w:hAnsi="Palatino Linotype"/>
        </w:rPr>
        <w:t xml:space="preserve">Network upgrade </w:t>
      </w:r>
      <w:r w:rsidR="00DF0778">
        <w:rPr>
          <w:rFonts w:ascii="Palatino Linotype" w:hAnsi="Palatino Linotype"/>
        </w:rPr>
        <w:t>cost cap</w:t>
      </w:r>
      <w:r>
        <w:rPr>
          <w:rFonts w:ascii="Palatino Linotype" w:hAnsi="Palatino Linotype"/>
        </w:rPr>
        <w:t xml:space="preserve"> provisions were previously addressed in Resolution</w:t>
      </w:r>
      <w:r w:rsidR="00A87C37">
        <w:rPr>
          <w:rFonts w:ascii="Palatino Linotype" w:hAnsi="Palatino Linotype"/>
        </w:rPr>
        <w:t>s</w:t>
      </w:r>
      <w:r>
        <w:rPr>
          <w:rFonts w:ascii="Palatino Linotype" w:hAnsi="Palatino Linotype"/>
        </w:rPr>
        <w:t xml:space="preserve"> E-4414, E-4489, and E-4546.  In these previous resolutions the Commission </w:t>
      </w:r>
      <w:r w:rsidR="00DF0778">
        <w:rPr>
          <w:rFonts w:ascii="Palatino Linotype" w:hAnsi="Palatino Linotype"/>
        </w:rPr>
        <w:t xml:space="preserve">expressed some support of the concept, but ultimately </w:t>
      </w:r>
      <w:r>
        <w:rPr>
          <w:rFonts w:ascii="Palatino Linotype" w:hAnsi="Palatino Linotype"/>
        </w:rPr>
        <w:t xml:space="preserve">declined to accept utility proposals to include provisions in various forms that could or would terminate RAM PPAs if transmission network upgrade costs exceeded </w:t>
      </w:r>
      <w:r w:rsidR="00DF0778">
        <w:rPr>
          <w:rFonts w:ascii="Palatino Linotype" w:hAnsi="Palatino Linotype"/>
        </w:rPr>
        <w:t xml:space="preserve">certain caps.  </w:t>
      </w:r>
    </w:p>
    <w:p w:rsidR="00EC1CCD" w:rsidRDefault="00EC1CCD" w:rsidP="0059383E">
      <w:pPr>
        <w:spacing w:after="120"/>
        <w:rPr>
          <w:rFonts w:ascii="Palatino Linotype" w:hAnsi="Palatino Linotype"/>
        </w:rPr>
      </w:pPr>
      <w:r>
        <w:rPr>
          <w:rFonts w:ascii="Palatino Linotype" w:hAnsi="Palatino Linotype"/>
        </w:rPr>
        <w:t xml:space="preserve">In advice letter </w:t>
      </w:r>
      <w:r w:rsidR="007666FB">
        <w:rPr>
          <w:rFonts w:ascii="Palatino Linotype" w:hAnsi="Palatino Linotype"/>
        </w:rPr>
        <w:t>3003</w:t>
      </w:r>
      <w:r>
        <w:rPr>
          <w:rFonts w:ascii="Palatino Linotype" w:hAnsi="Palatino Linotype"/>
        </w:rPr>
        <w:t xml:space="preserve">-E, SCE </w:t>
      </w:r>
      <w:r w:rsidR="00DF0778">
        <w:rPr>
          <w:rFonts w:ascii="Palatino Linotype" w:hAnsi="Palatino Linotype"/>
        </w:rPr>
        <w:t xml:space="preserve">revisits its </w:t>
      </w:r>
      <w:r w:rsidR="007666FB">
        <w:rPr>
          <w:rFonts w:ascii="Palatino Linotype" w:hAnsi="Palatino Linotype"/>
        </w:rPr>
        <w:t>request</w:t>
      </w:r>
      <w:r w:rsidR="00DF0778">
        <w:rPr>
          <w:rFonts w:ascii="Palatino Linotype" w:hAnsi="Palatino Linotype"/>
        </w:rPr>
        <w:t xml:space="preserve"> for</w:t>
      </w:r>
      <w:r w:rsidR="00C37386">
        <w:rPr>
          <w:rFonts w:ascii="Palatino Linotype" w:hAnsi="Palatino Linotype"/>
        </w:rPr>
        <w:t xml:space="preserve"> </w:t>
      </w:r>
      <w:r>
        <w:rPr>
          <w:rFonts w:ascii="Palatino Linotype" w:hAnsi="Palatino Linotype"/>
        </w:rPr>
        <w:t xml:space="preserve">Commission </w:t>
      </w:r>
      <w:r w:rsidR="007666FB">
        <w:rPr>
          <w:rFonts w:ascii="Palatino Linotype" w:hAnsi="Palatino Linotype"/>
        </w:rPr>
        <w:t>approval</w:t>
      </w:r>
      <w:r>
        <w:rPr>
          <w:rFonts w:ascii="Palatino Linotype" w:hAnsi="Palatino Linotype"/>
        </w:rPr>
        <w:t xml:space="preserve"> to </w:t>
      </w:r>
      <w:r w:rsidR="007666FB">
        <w:rPr>
          <w:rFonts w:ascii="Palatino Linotype" w:hAnsi="Palatino Linotype"/>
        </w:rPr>
        <w:t xml:space="preserve">add </w:t>
      </w:r>
      <w:r w:rsidR="00A2040E">
        <w:rPr>
          <w:rFonts w:ascii="Palatino Linotype" w:hAnsi="Palatino Linotype"/>
        </w:rPr>
        <w:t xml:space="preserve">provisions for </w:t>
      </w:r>
      <w:r w:rsidR="007666FB">
        <w:rPr>
          <w:rFonts w:ascii="Palatino Linotype" w:hAnsi="Palatino Linotype"/>
        </w:rPr>
        <w:t>a Network Upgrade Cost Cap with a</w:t>
      </w:r>
      <w:r>
        <w:rPr>
          <w:rFonts w:ascii="Palatino Linotype" w:hAnsi="Palatino Linotype"/>
        </w:rPr>
        <w:t xml:space="preserve"> termination right</w:t>
      </w:r>
      <w:r w:rsidR="007666FB">
        <w:rPr>
          <w:rFonts w:ascii="Palatino Linotype" w:hAnsi="Palatino Linotype"/>
        </w:rPr>
        <w:t xml:space="preserve"> for SCE and “buy-down right” for the seller.  The termination and buy-down rights would </w:t>
      </w:r>
      <w:r w:rsidR="00C37386">
        <w:rPr>
          <w:rFonts w:ascii="Palatino Linotype" w:hAnsi="Palatino Linotype"/>
        </w:rPr>
        <w:t>be applied</w:t>
      </w:r>
      <w:r w:rsidR="007666FB">
        <w:rPr>
          <w:rFonts w:ascii="Palatino Linotype" w:hAnsi="Palatino Linotype"/>
        </w:rPr>
        <w:t xml:space="preserve"> if estimated network upgrade costs </w:t>
      </w:r>
      <w:r w:rsidR="00C37386">
        <w:rPr>
          <w:rFonts w:ascii="Palatino Linotype" w:hAnsi="Palatino Linotype"/>
        </w:rPr>
        <w:t xml:space="preserve">were to </w:t>
      </w:r>
      <w:r w:rsidR="007666FB">
        <w:rPr>
          <w:rFonts w:ascii="Palatino Linotype" w:hAnsi="Palatino Linotype"/>
        </w:rPr>
        <w:t xml:space="preserve">exceed the </w:t>
      </w:r>
      <w:r w:rsidR="00C37386">
        <w:rPr>
          <w:rFonts w:ascii="Palatino Linotype" w:hAnsi="Palatino Linotype"/>
        </w:rPr>
        <w:t xml:space="preserve">PPA’s </w:t>
      </w:r>
      <w:r w:rsidR="007666FB">
        <w:rPr>
          <w:rFonts w:ascii="Palatino Linotype" w:hAnsi="Palatino Linotype"/>
        </w:rPr>
        <w:t>Network Upgrade Cost Cap.</w:t>
      </w:r>
      <w:r>
        <w:rPr>
          <w:rFonts w:ascii="Palatino Linotype" w:hAnsi="Palatino Linotype"/>
        </w:rPr>
        <w:t xml:space="preserve"> </w:t>
      </w:r>
      <w:r w:rsidR="007666FB">
        <w:rPr>
          <w:rFonts w:ascii="Palatino Linotype" w:hAnsi="Palatino Linotype"/>
        </w:rPr>
        <w:t xml:space="preserve"> SCE a</w:t>
      </w:r>
      <w:r w:rsidR="00C37386">
        <w:rPr>
          <w:rFonts w:ascii="Palatino Linotype" w:hAnsi="Palatino Linotype"/>
        </w:rPr>
        <w:t xml:space="preserve">sserts that the </w:t>
      </w:r>
      <w:r w:rsidR="007666FB">
        <w:rPr>
          <w:rFonts w:ascii="Palatino Linotype" w:hAnsi="Palatino Linotype"/>
        </w:rPr>
        <w:t>proposed provisions have been market-tested and used in SCE PPAs</w:t>
      </w:r>
      <w:r w:rsidR="00C37386">
        <w:rPr>
          <w:rFonts w:ascii="Palatino Linotype" w:hAnsi="Palatino Linotype"/>
        </w:rPr>
        <w:t>,</w:t>
      </w:r>
      <w:r w:rsidR="007666FB">
        <w:rPr>
          <w:rFonts w:ascii="Palatino Linotype" w:hAnsi="Palatino Linotype"/>
        </w:rPr>
        <w:t xml:space="preserve"> and</w:t>
      </w:r>
      <w:r w:rsidR="00BC00B0">
        <w:rPr>
          <w:rFonts w:ascii="Palatino Linotype" w:hAnsi="Palatino Linotype"/>
        </w:rPr>
        <w:t xml:space="preserve"> that</w:t>
      </w:r>
      <w:r w:rsidR="007666FB">
        <w:rPr>
          <w:rFonts w:ascii="Palatino Linotype" w:hAnsi="Palatino Linotype"/>
        </w:rPr>
        <w:t xml:space="preserve"> similar language was previously approved by the Commission in </w:t>
      </w:r>
      <w:r w:rsidR="00C37386">
        <w:rPr>
          <w:rFonts w:ascii="Palatino Linotype" w:hAnsi="Palatino Linotype"/>
        </w:rPr>
        <w:t xml:space="preserve">SCE’s 2011 RPS pro forma PPA, SCE’s </w:t>
      </w:r>
      <w:r w:rsidR="007666FB">
        <w:rPr>
          <w:rFonts w:ascii="Palatino Linotype" w:hAnsi="Palatino Linotype"/>
        </w:rPr>
        <w:t>2013 RPS pro forma PPA</w:t>
      </w:r>
      <w:r w:rsidR="00C37386">
        <w:rPr>
          <w:rFonts w:ascii="Palatino Linotype" w:hAnsi="Palatino Linotype"/>
        </w:rPr>
        <w:t>,</w:t>
      </w:r>
      <w:r w:rsidR="007666FB">
        <w:rPr>
          <w:rFonts w:ascii="Palatino Linotype" w:hAnsi="Palatino Linotype"/>
        </w:rPr>
        <w:t xml:space="preserve"> and the IOUs’ joint Feed-in Tariff PPA.</w:t>
      </w:r>
      <w:r w:rsidR="00A87C37">
        <w:rPr>
          <w:rStyle w:val="FootnoteReference"/>
          <w:rFonts w:ascii="Palatino Linotype" w:hAnsi="Palatino Linotype"/>
        </w:rPr>
        <w:footnoteReference w:id="24"/>
      </w:r>
      <w:r w:rsidR="007666FB">
        <w:rPr>
          <w:rFonts w:ascii="Palatino Linotype" w:hAnsi="Palatino Linotype"/>
        </w:rPr>
        <w:t xml:space="preserve">  </w:t>
      </w:r>
    </w:p>
    <w:p w:rsidR="00BF3C08" w:rsidRDefault="00BF3C08" w:rsidP="0059383E">
      <w:pPr>
        <w:spacing w:after="120"/>
        <w:rPr>
          <w:rFonts w:ascii="Palatino Linotype" w:hAnsi="Palatino Linotype"/>
        </w:rPr>
      </w:pPr>
      <w:r>
        <w:rPr>
          <w:rFonts w:ascii="Palatino Linotype" w:hAnsi="Palatino Linotype"/>
        </w:rPr>
        <w:t>In NextEra’s protest</w:t>
      </w:r>
      <w:r w:rsidR="00A67C90">
        <w:rPr>
          <w:rFonts w:ascii="Palatino Linotype" w:hAnsi="Palatino Linotype"/>
        </w:rPr>
        <w:t xml:space="preserve"> of SCE advice letter 3003-E</w:t>
      </w:r>
      <w:r>
        <w:rPr>
          <w:rFonts w:ascii="Palatino Linotype" w:hAnsi="Palatino Linotype"/>
        </w:rPr>
        <w:t xml:space="preserve">, NextEra recommends that </w:t>
      </w:r>
      <w:r w:rsidR="00D61632">
        <w:rPr>
          <w:rFonts w:ascii="Palatino Linotype" w:hAnsi="Palatino Linotype"/>
        </w:rPr>
        <w:t>the timeframe for the seller to elect its buy down right be extended from 10 business days to 60 days to allow the seller time to review study results or interconnection agreement, perform financial analysis, and address applicable corporate approvals.</w:t>
      </w:r>
      <w:r w:rsidR="00A67C90">
        <w:rPr>
          <w:rStyle w:val="FootnoteReference"/>
          <w:rFonts w:ascii="Palatino Linotype" w:hAnsi="Palatino Linotype"/>
        </w:rPr>
        <w:footnoteReference w:id="25"/>
      </w:r>
      <w:r w:rsidR="00554CAE">
        <w:rPr>
          <w:rFonts w:ascii="Palatino Linotype" w:hAnsi="Palatino Linotype"/>
        </w:rPr>
        <w:t xml:space="preserve"> </w:t>
      </w:r>
      <w:r w:rsidR="005F036B">
        <w:rPr>
          <w:rFonts w:ascii="Palatino Linotype" w:hAnsi="Palatino Linotype"/>
        </w:rPr>
        <w:t xml:space="preserve">In SCE’s </w:t>
      </w:r>
      <w:r w:rsidR="00554CAE" w:rsidRPr="00A67C90">
        <w:rPr>
          <w:rFonts w:ascii="Palatino Linotype" w:hAnsi="Palatino Linotype"/>
        </w:rPr>
        <w:t>reply</w:t>
      </w:r>
      <w:r w:rsidR="005F036B">
        <w:rPr>
          <w:rFonts w:ascii="Palatino Linotype" w:hAnsi="Palatino Linotype"/>
        </w:rPr>
        <w:t>, SCE agrees with NextEra that a longer amount of time to determine whether or not to exercise the network upgrade cost buy down right is reasonable and accepts NextEra’s recommendation to change the time period to 60 days instead of 10 days.</w:t>
      </w:r>
      <w:r w:rsidR="005F036B">
        <w:rPr>
          <w:rStyle w:val="FootnoteReference"/>
          <w:rFonts w:ascii="Palatino Linotype" w:hAnsi="Palatino Linotype"/>
        </w:rPr>
        <w:footnoteReference w:id="26"/>
      </w:r>
    </w:p>
    <w:p w:rsidR="005F036B" w:rsidRDefault="00935314" w:rsidP="0059383E">
      <w:pPr>
        <w:spacing w:after="120"/>
        <w:rPr>
          <w:rFonts w:ascii="Palatino Linotype" w:hAnsi="Palatino Linotype"/>
        </w:rPr>
      </w:pPr>
      <w:r>
        <w:rPr>
          <w:rFonts w:ascii="Palatino Linotype" w:hAnsi="Palatino Linotype"/>
        </w:rPr>
        <w:t>As noted above, the Commission has addressed this issue of termination rights related to transmission network upgrade costs in several previous reviews of the RAM program and RAM pro forma PPAs.  In each of those instances, the request</w:t>
      </w:r>
      <w:r w:rsidR="00A67C90">
        <w:rPr>
          <w:rFonts w:ascii="Palatino Linotype" w:hAnsi="Palatino Linotype"/>
        </w:rPr>
        <w:t>s</w:t>
      </w:r>
      <w:r>
        <w:rPr>
          <w:rFonts w:ascii="Palatino Linotype" w:hAnsi="Palatino Linotype"/>
        </w:rPr>
        <w:t xml:space="preserve"> to include </w:t>
      </w:r>
      <w:r w:rsidR="00A67C90">
        <w:rPr>
          <w:rFonts w:ascii="Palatino Linotype" w:hAnsi="Palatino Linotype"/>
        </w:rPr>
        <w:t>provisions</w:t>
      </w:r>
      <w:r>
        <w:rPr>
          <w:rFonts w:ascii="Palatino Linotype" w:hAnsi="Palatino Linotype"/>
        </w:rPr>
        <w:t xml:space="preserve"> </w:t>
      </w:r>
      <w:r w:rsidR="00145DA9">
        <w:rPr>
          <w:rFonts w:ascii="Palatino Linotype" w:hAnsi="Palatino Linotype"/>
        </w:rPr>
        <w:t>were</w:t>
      </w:r>
      <w:r>
        <w:rPr>
          <w:rFonts w:ascii="Palatino Linotype" w:hAnsi="Palatino Linotype"/>
        </w:rPr>
        <w:t xml:space="preserve"> denied.  SCE notes, however, that the Commission has approved similar language in other RPS programs.  </w:t>
      </w:r>
      <w:r w:rsidR="00D93BFC">
        <w:rPr>
          <w:rFonts w:ascii="Palatino Linotype" w:hAnsi="Palatino Linotype"/>
        </w:rPr>
        <w:t xml:space="preserve">We agree with SCE that similar terms have been </w:t>
      </w:r>
      <w:r w:rsidR="00A67C90">
        <w:rPr>
          <w:rFonts w:ascii="Palatino Linotype" w:hAnsi="Palatino Linotype"/>
        </w:rPr>
        <w:t xml:space="preserve">found reasonable and </w:t>
      </w:r>
      <w:r w:rsidR="00D93BFC">
        <w:rPr>
          <w:rFonts w:ascii="Palatino Linotype" w:hAnsi="Palatino Linotype"/>
        </w:rPr>
        <w:t xml:space="preserve">approved.  </w:t>
      </w:r>
      <w:r w:rsidR="005F036B">
        <w:rPr>
          <w:rFonts w:ascii="Palatino Linotype" w:hAnsi="Palatino Linotype"/>
        </w:rPr>
        <w:t xml:space="preserve">Accordingly, </w:t>
      </w:r>
      <w:r w:rsidR="005F036B" w:rsidRPr="005F036B">
        <w:rPr>
          <w:rFonts w:ascii="Palatino Linotype" w:hAnsi="Palatino Linotype"/>
          <w:u w:val="single"/>
        </w:rPr>
        <w:t>the Commission finds SCE’s proposed Sections 2.02(b)(5) and 2.03(a)(ii), and revised proposed Section 3.17(a) are reasonable</w:t>
      </w:r>
      <w:r w:rsidR="00D93BFC">
        <w:rPr>
          <w:rFonts w:ascii="Palatino Linotype" w:hAnsi="Palatino Linotype"/>
          <w:u w:val="single"/>
        </w:rPr>
        <w:t xml:space="preserve"> and authorizes </w:t>
      </w:r>
      <w:r w:rsidR="00582040">
        <w:rPr>
          <w:rFonts w:ascii="Palatino Linotype" w:hAnsi="Palatino Linotype"/>
          <w:u w:val="single"/>
        </w:rPr>
        <w:t>PG&amp;E and SDG&amp;E</w:t>
      </w:r>
      <w:r w:rsidR="00D93BFC">
        <w:rPr>
          <w:rFonts w:ascii="Palatino Linotype" w:hAnsi="Palatino Linotype"/>
          <w:u w:val="single"/>
        </w:rPr>
        <w:t xml:space="preserve"> to adopt the same</w:t>
      </w:r>
      <w:r w:rsidR="00A356BC">
        <w:rPr>
          <w:rFonts w:ascii="Palatino Linotype" w:hAnsi="Palatino Linotype"/>
          <w:u w:val="single"/>
        </w:rPr>
        <w:t xml:space="preserve"> revised</w:t>
      </w:r>
      <w:r w:rsidR="00D93BFC">
        <w:rPr>
          <w:rFonts w:ascii="Palatino Linotype" w:hAnsi="Palatino Linotype"/>
          <w:u w:val="single"/>
        </w:rPr>
        <w:t xml:space="preserve"> provisions</w:t>
      </w:r>
      <w:r w:rsidR="005F036B">
        <w:rPr>
          <w:rFonts w:ascii="Palatino Linotype" w:hAnsi="Palatino Linotype"/>
        </w:rPr>
        <w:t>.</w:t>
      </w:r>
      <w:r w:rsidR="00A67C90">
        <w:rPr>
          <w:rFonts w:ascii="Palatino Linotype" w:hAnsi="Palatino Linotype"/>
        </w:rPr>
        <w:t xml:space="preserve">  Additionally, </w:t>
      </w:r>
      <w:r w:rsidR="00A67C90" w:rsidRPr="00A67C90">
        <w:rPr>
          <w:rFonts w:ascii="Palatino Linotype" w:hAnsi="Palatino Linotype"/>
          <w:u w:val="single"/>
        </w:rPr>
        <w:t xml:space="preserve">the Commission </w:t>
      </w:r>
      <w:r w:rsidR="00A67C90" w:rsidRPr="005F036B">
        <w:rPr>
          <w:rFonts w:ascii="Palatino Linotype" w:hAnsi="Palatino Linotype"/>
          <w:u w:val="single"/>
        </w:rPr>
        <w:t>accepts NextEra’s protest</w:t>
      </w:r>
      <w:r w:rsidR="002131EF">
        <w:rPr>
          <w:rFonts w:ascii="Palatino Linotype" w:hAnsi="Palatino Linotype"/>
          <w:u w:val="single"/>
        </w:rPr>
        <w:t xml:space="preserve"> to SCE AL 3003-E</w:t>
      </w:r>
      <w:r w:rsidR="00A67C90" w:rsidRPr="005F036B">
        <w:rPr>
          <w:rFonts w:ascii="Palatino Linotype" w:hAnsi="Palatino Linotype"/>
          <w:u w:val="single"/>
        </w:rPr>
        <w:t>, in part</w:t>
      </w:r>
      <w:r w:rsidR="00A67C90">
        <w:rPr>
          <w:rFonts w:ascii="Palatino Linotype" w:hAnsi="Palatino Linotype"/>
          <w:u w:val="single"/>
        </w:rPr>
        <w:t>.</w:t>
      </w:r>
    </w:p>
    <w:p w:rsidR="00C37386" w:rsidRDefault="00C37386" w:rsidP="0059383E">
      <w:pPr>
        <w:spacing w:after="120"/>
        <w:rPr>
          <w:rFonts w:ascii="Palatino Linotype" w:hAnsi="Palatino Linotype"/>
        </w:rPr>
      </w:pPr>
      <w:r>
        <w:rPr>
          <w:rFonts w:ascii="Palatino Linotype" w:hAnsi="Palatino Linotype"/>
        </w:rPr>
        <w:t xml:space="preserve">In advice letter 2580-E, SDG&amp;E requests Commission approval to add an electrical interconnection condition precedent.  The </w:t>
      </w:r>
      <w:r w:rsidR="00B96254">
        <w:rPr>
          <w:rFonts w:ascii="Palatino Linotype" w:hAnsi="Palatino Linotype"/>
        </w:rPr>
        <w:t>proposed</w:t>
      </w:r>
      <w:r>
        <w:rPr>
          <w:rFonts w:ascii="Palatino Linotype" w:hAnsi="Palatino Linotype"/>
        </w:rPr>
        <w:t xml:space="preserve"> condition</w:t>
      </w:r>
      <w:r w:rsidR="000F00B0">
        <w:rPr>
          <w:rFonts w:ascii="Palatino Linotype" w:hAnsi="Palatino Linotype"/>
        </w:rPr>
        <w:t xml:space="preserve"> precedent</w:t>
      </w:r>
      <w:r>
        <w:rPr>
          <w:rFonts w:ascii="Palatino Linotype" w:hAnsi="Palatino Linotype"/>
        </w:rPr>
        <w:t xml:space="preserve"> would require </w:t>
      </w:r>
      <w:r w:rsidR="000F00B0">
        <w:rPr>
          <w:rFonts w:ascii="Palatino Linotype" w:hAnsi="Palatino Linotype"/>
        </w:rPr>
        <w:t xml:space="preserve">that the seller enter into a Generator Interconnection Agreement </w:t>
      </w:r>
      <w:r>
        <w:rPr>
          <w:rFonts w:ascii="Palatino Linotype" w:hAnsi="Palatino Linotype"/>
        </w:rPr>
        <w:t xml:space="preserve">by a certain </w:t>
      </w:r>
      <w:r w:rsidR="00EA7647">
        <w:rPr>
          <w:rFonts w:ascii="Palatino Linotype" w:hAnsi="Palatino Linotype"/>
        </w:rPr>
        <w:t xml:space="preserve">agreed upon </w:t>
      </w:r>
      <w:r>
        <w:rPr>
          <w:rFonts w:ascii="Palatino Linotype" w:hAnsi="Palatino Linotype"/>
        </w:rPr>
        <w:t xml:space="preserve">date for the </w:t>
      </w:r>
      <w:r w:rsidR="000F00B0">
        <w:rPr>
          <w:rFonts w:ascii="Palatino Linotype" w:hAnsi="Palatino Linotype"/>
        </w:rPr>
        <w:t xml:space="preserve">RAM </w:t>
      </w:r>
      <w:r>
        <w:rPr>
          <w:rFonts w:ascii="Palatino Linotype" w:hAnsi="Palatino Linotype"/>
        </w:rPr>
        <w:t xml:space="preserve">contract to be </w:t>
      </w:r>
      <w:r w:rsidR="000F00B0">
        <w:rPr>
          <w:rFonts w:ascii="Palatino Linotype" w:hAnsi="Palatino Linotype"/>
        </w:rPr>
        <w:t>effective</w:t>
      </w:r>
      <w:r>
        <w:rPr>
          <w:rFonts w:ascii="Palatino Linotype" w:hAnsi="Palatino Linotype"/>
        </w:rPr>
        <w:t>.</w:t>
      </w:r>
      <w:r w:rsidR="000F00B0">
        <w:rPr>
          <w:rFonts w:ascii="Palatino Linotype" w:hAnsi="Palatino Linotype"/>
        </w:rPr>
        <w:t xml:space="preserve">  SDG&amp;E asserts that</w:t>
      </w:r>
      <w:r w:rsidR="00152B3C">
        <w:rPr>
          <w:rFonts w:ascii="Palatino Linotype" w:hAnsi="Palatino Linotype"/>
        </w:rPr>
        <w:t xml:space="preserve"> the purpose of the modification is to align the transmission costs of each project with the evaluation and selection done at the time of the RFO.</w:t>
      </w:r>
      <w:r w:rsidR="00152B3C">
        <w:rPr>
          <w:rStyle w:val="FootnoteReference"/>
          <w:rFonts w:ascii="Palatino Linotype" w:hAnsi="Palatino Linotype"/>
        </w:rPr>
        <w:footnoteReference w:id="27"/>
      </w:r>
      <w:r w:rsidR="00152B3C">
        <w:rPr>
          <w:rFonts w:ascii="Palatino Linotype" w:hAnsi="Palatino Linotype"/>
        </w:rPr>
        <w:t xml:space="preserve">  SDG&amp;E further asserts </w:t>
      </w:r>
      <w:r w:rsidR="00547D1E">
        <w:rPr>
          <w:rFonts w:ascii="Palatino Linotype" w:hAnsi="Palatino Linotype"/>
        </w:rPr>
        <w:t>the provision or similar provisions have already been reviewed in proceedings and used in its 2009 and 2012 RPS PPAs and its 2013 RPS pro forma PPA.</w:t>
      </w:r>
    </w:p>
    <w:p w:rsidR="00860148" w:rsidRDefault="00547D1E" w:rsidP="000C08B0">
      <w:pPr>
        <w:spacing w:after="240"/>
        <w:rPr>
          <w:rFonts w:ascii="Palatino Linotype" w:hAnsi="Palatino Linotype"/>
          <w:u w:val="single"/>
        </w:rPr>
      </w:pPr>
      <w:r>
        <w:rPr>
          <w:rFonts w:ascii="Palatino Linotype" w:hAnsi="Palatino Linotype"/>
        </w:rPr>
        <w:t>The Commission agrees with SDG&amp;E’s assertion that the same or similar provisions were previously found reasonable and approved</w:t>
      </w:r>
      <w:r w:rsidR="00152B3C">
        <w:rPr>
          <w:rFonts w:ascii="Palatino Linotype" w:hAnsi="Palatino Linotype"/>
        </w:rPr>
        <w:t xml:space="preserve">. Accordingly, </w:t>
      </w:r>
      <w:r w:rsidR="00152B3C" w:rsidRPr="005F036B">
        <w:rPr>
          <w:rFonts w:ascii="Palatino Linotype" w:hAnsi="Palatino Linotype"/>
          <w:u w:val="single"/>
        </w:rPr>
        <w:t xml:space="preserve">the Commission finds </w:t>
      </w:r>
      <w:r w:rsidR="00152B3C">
        <w:rPr>
          <w:rFonts w:ascii="Palatino Linotype" w:hAnsi="Palatino Linotype"/>
          <w:u w:val="single"/>
        </w:rPr>
        <w:t>SDG&amp;E’s</w:t>
      </w:r>
      <w:r w:rsidR="00152B3C" w:rsidRPr="005F036B">
        <w:rPr>
          <w:rFonts w:ascii="Palatino Linotype" w:hAnsi="Palatino Linotype"/>
          <w:u w:val="single"/>
        </w:rPr>
        <w:t xml:space="preserve"> proposed </w:t>
      </w:r>
      <w:r w:rsidR="00152B3C">
        <w:rPr>
          <w:rFonts w:ascii="Palatino Linotype" w:hAnsi="Palatino Linotype"/>
          <w:u w:val="single"/>
        </w:rPr>
        <w:t>modification to add a condition precedent related to interconnection agreement date and interconnection costs is</w:t>
      </w:r>
      <w:r w:rsidR="00152B3C" w:rsidRPr="005F036B">
        <w:rPr>
          <w:rFonts w:ascii="Palatino Linotype" w:hAnsi="Palatino Linotype"/>
          <w:u w:val="single"/>
        </w:rPr>
        <w:t xml:space="preserve"> reasonable</w:t>
      </w:r>
      <w:r w:rsidR="00152B3C">
        <w:rPr>
          <w:rFonts w:ascii="Palatino Linotype" w:hAnsi="Palatino Linotype"/>
          <w:u w:val="single"/>
        </w:rPr>
        <w:t xml:space="preserve"> and authorizes </w:t>
      </w:r>
      <w:r w:rsidR="00582040">
        <w:rPr>
          <w:rFonts w:ascii="Palatino Linotype" w:hAnsi="Palatino Linotype"/>
          <w:u w:val="single"/>
        </w:rPr>
        <w:t>SCE and PG&amp;E</w:t>
      </w:r>
      <w:r w:rsidR="00152B3C">
        <w:rPr>
          <w:rFonts w:ascii="Palatino Linotype" w:hAnsi="Palatino Linotype"/>
          <w:u w:val="single"/>
        </w:rPr>
        <w:t xml:space="preserve"> to adopt the same provisions.</w:t>
      </w:r>
    </w:p>
    <w:p w:rsidR="004343AD" w:rsidRDefault="00175A18" w:rsidP="0059383E">
      <w:pPr>
        <w:keepNext/>
        <w:spacing w:after="120"/>
        <w:rPr>
          <w:rFonts w:ascii="Palatino Linotype" w:hAnsi="Palatino Linotype"/>
          <w:b/>
          <w:i/>
        </w:rPr>
      </w:pPr>
      <w:r>
        <w:rPr>
          <w:rFonts w:ascii="Palatino Linotype" w:hAnsi="Palatino Linotype"/>
          <w:b/>
          <w:i/>
        </w:rPr>
        <w:t xml:space="preserve"> </w:t>
      </w:r>
      <w:r w:rsidR="00666583">
        <w:rPr>
          <w:rFonts w:ascii="Palatino Linotype" w:hAnsi="Palatino Linotype"/>
          <w:b/>
          <w:i/>
        </w:rPr>
        <w:t>(</w:t>
      </w:r>
      <w:r w:rsidR="004343AD">
        <w:rPr>
          <w:rFonts w:ascii="Palatino Linotype" w:hAnsi="Palatino Linotype"/>
          <w:b/>
          <w:i/>
        </w:rPr>
        <w:t>3</w:t>
      </w:r>
      <w:r w:rsidR="00666583">
        <w:rPr>
          <w:rFonts w:ascii="Palatino Linotype" w:hAnsi="Palatino Linotype"/>
          <w:b/>
          <w:i/>
        </w:rPr>
        <w:t>)</w:t>
      </w:r>
      <w:r w:rsidR="004343AD" w:rsidRPr="00F43342">
        <w:rPr>
          <w:rFonts w:ascii="Palatino Linotype" w:hAnsi="Palatino Linotype"/>
          <w:b/>
          <w:i/>
        </w:rPr>
        <w:t xml:space="preserve"> </w:t>
      </w:r>
      <w:r w:rsidR="00990DC5">
        <w:rPr>
          <w:rFonts w:ascii="Palatino Linotype" w:hAnsi="Palatino Linotype"/>
          <w:b/>
          <w:i/>
        </w:rPr>
        <w:t xml:space="preserve"> </w:t>
      </w:r>
      <w:r w:rsidR="00825A5E">
        <w:rPr>
          <w:rFonts w:ascii="Palatino Linotype" w:hAnsi="Palatino Linotype"/>
          <w:b/>
          <w:i/>
        </w:rPr>
        <w:t>Curtailment</w:t>
      </w:r>
      <w:r w:rsidR="004343AD" w:rsidRPr="00F43342">
        <w:rPr>
          <w:rFonts w:ascii="Palatino Linotype" w:hAnsi="Palatino Linotype"/>
          <w:b/>
          <w:i/>
        </w:rPr>
        <w:t xml:space="preserve"> </w:t>
      </w:r>
    </w:p>
    <w:p w:rsidR="00AC5912" w:rsidRDefault="00B96254" w:rsidP="0059383E">
      <w:pPr>
        <w:autoSpaceDE w:val="0"/>
        <w:autoSpaceDN w:val="0"/>
        <w:adjustRightInd w:val="0"/>
        <w:spacing w:after="120"/>
        <w:rPr>
          <w:rFonts w:ascii="Palatino Linotype" w:hAnsi="Palatino Linotype"/>
          <w:bCs/>
          <w:szCs w:val="26"/>
        </w:rPr>
      </w:pPr>
      <w:r>
        <w:rPr>
          <w:rFonts w:ascii="Palatino Linotype" w:hAnsi="Palatino Linotype"/>
          <w:bCs/>
          <w:szCs w:val="26"/>
        </w:rPr>
        <w:t xml:space="preserve">Curtailment terms in RAM pro forma PPAs were previously addressed in Resolution E-4546.  In Resolution E-4546, the Commission found that the record on SCE’s and PG&amp;E specific economic </w:t>
      </w:r>
      <w:r w:rsidR="00AC5912">
        <w:rPr>
          <w:rFonts w:ascii="Palatino Linotype" w:hAnsi="Palatino Linotype"/>
          <w:bCs/>
          <w:szCs w:val="26"/>
        </w:rPr>
        <w:t xml:space="preserve">(or buyer) </w:t>
      </w:r>
      <w:r>
        <w:rPr>
          <w:rFonts w:ascii="Palatino Linotype" w:hAnsi="Palatino Linotype"/>
          <w:bCs/>
          <w:szCs w:val="26"/>
        </w:rPr>
        <w:t xml:space="preserve">curtailment proposals was insufficient.  Both SCE and PG&amp;E </w:t>
      </w:r>
      <w:r w:rsidR="00AC5912">
        <w:rPr>
          <w:rFonts w:ascii="Palatino Linotype" w:hAnsi="Palatino Linotype"/>
          <w:bCs/>
          <w:szCs w:val="26"/>
        </w:rPr>
        <w:t xml:space="preserve">request approval of modified curtailment terms in their respective </w:t>
      </w:r>
      <w:r w:rsidR="00EA7647">
        <w:rPr>
          <w:rFonts w:ascii="Palatino Linotype" w:hAnsi="Palatino Linotype"/>
          <w:bCs/>
          <w:szCs w:val="26"/>
        </w:rPr>
        <w:t xml:space="preserve">RAM V </w:t>
      </w:r>
      <w:r w:rsidR="00AC5912">
        <w:rPr>
          <w:rFonts w:ascii="Palatino Linotype" w:hAnsi="Palatino Linotype"/>
          <w:bCs/>
          <w:szCs w:val="26"/>
        </w:rPr>
        <w:t>advice letters.</w:t>
      </w:r>
    </w:p>
    <w:p w:rsidR="00C61904" w:rsidRDefault="00825A5E" w:rsidP="0059383E">
      <w:pPr>
        <w:autoSpaceDE w:val="0"/>
        <w:autoSpaceDN w:val="0"/>
        <w:adjustRightInd w:val="0"/>
        <w:spacing w:after="120"/>
        <w:rPr>
          <w:rFonts w:ascii="Palatino Linotype" w:hAnsi="Palatino Linotype"/>
          <w:bCs/>
          <w:szCs w:val="26"/>
        </w:rPr>
      </w:pPr>
      <w:r>
        <w:rPr>
          <w:rFonts w:ascii="Palatino Linotype" w:hAnsi="Palatino Linotype"/>
          <w:bCs/>
          <w:szCs w:val="26"/>
        </w:rPr>
        <w:t xml:space="preserve">In advice letter 3003-E, SCE proposes </w:t>
      </w:r>
      <w:r w:rsidR="00347CF0">
        <w:rPr>
          <w:rFonts w:ascii="Palatino Linotype" w:hAnsi="Palatino Linotype"/>
          <w:bCs/>
          <w:szCs w:val="26"/>
        </w:rPr>
        <w:t xml:space="preserve">to </w:t>
      </w:r>
      <w:r w:rsidR="00C96376">
        <w:rPr>
          <w:rFonts w:ascii="Palatino Linotype" w:hAnsi="Palatino Linotype"/>
          <w:bCs/>
          <w:szCs w:val="26"/>
        </w:rPr>
        <w:t xml:space="preserve">modify its curtailment terms to the terms that were approved as part of its 2013 RPS pro forma PPA.  Specifically, the proposed terms would </w:t>
      </w:r>
      <w:r w:rsidR="00535713">
        <w:rPr>
          <w:rFonts w:ascii="Palatino Linotype" w:hAnsi="Palatino Linotype"/>
          <w:bCs/>
          <w:szCs w:val="26"/>
        </w:rPr>
        <w:t>place</w:t>
      </w:r>
      <w:r w:rsidR="00C61904">
        <w:rPr>
          <w:rFonts w:ascii="Palatino Linotype" w:hAnsi="Palatino Linotype"/>
          <w:bCs/>
          <w:szCs w:val="26"/>
        </w:rPr>
        <w:t xml:space="preserve"> a cap on the number of hours each year that it may curtail and not compensate the seller, with exceptions.  The exceptions are if the curtailment is for on-peak hours or if SCE has used all of the hours within the annual cap</w:t>
      </w:r>
      <w:r w:rsidR="00535713">
        <w:rPr>
          <w:rFonts w:ascii="Palatino Linotype" w:hAnsi="Palatino Linotype"/>
          <w:bCs/>
          <w:szCs w:val="26"/>
        </w:rPr>
        <w:t>, then SCE will compensate the seller for the generation that would have occurred</w:t>
      </w:r>
      <w:r w:rsidR="00C61904">
        <w:rPr>
          <w:rFonts w:ascii="Palatino Linotype" w:hAnsi="Palatino Linotype"/>
          <w:bCs/>
          <w:szCs w:val="26"/>
        </w:rPr>
        <w:t xml:space="preserve">.  SCE asserts that the proposed modifications simplify and streamline the curtailment terms while improving </w:t>
      </w:r>
      <w:r w:rsidR="00535713">
        <w:rPr>
          <w:rFonts w:ascii="Palatino Linotype" w:hAnsi="Palatino Linotype"/>
          <w:bCs/>
          <w:szCs w:val="26"/>
        </w:rPr>
        <w:t xml:space="preserve">their </w:t>
      </w:r>
      <w:r w:rsidR="00C61904">
        <w:rPr>
          <w:rFonts w:ascii="Palatino Linotype" w:hAnsi="Palatino Linotype"/>
          <w:bCs/>
          <w:szCs w:val="26"/>
        </w:rPr>
        <w:t>contract administration.</w:t>
      </w:r>
      <w:r w:rsidR="00535713">
        <w:rPr>
          <w:rStyle w:val="FootnoteReference"/>
          <w:rFonts w:ascii="Palatino Linotype" w:hAnsi="Palatino Linotype"/>
          <w:bCs/>
          <w:szCs w:val="26"/>
        </w:rPr>
        <w:footnoteReference w:id="28"/>
      </w:r>
    </w:p>
    <w:p w:rsidR="002131EF" w:rsidRDefault="002131EF" w:rsidP="003E694D">
      <w:pPr>
        <w:autoSpaceDE w:val="0"/>
        <w:autoSpaceDN w:val="0"/>
        <w:adjustRightInd w:val="0"/>
        <w:spacing w:after="120"/>
        <w:rPr>
          <w:rFonts w:ascii="Palatino Linotype" w:hAnsi="Palatino Linotype"/>
          <w:bCs/>
          <w:szCs w:val="26"/>
        </w:rPr>
      </w:pPr>
      <w:r>
        <w:rPr>
          <w:rFonts w:ascii="Palatino Linotype" w:hAnsi="Palatino Linotype"/>
          <w:bCs/>
          <w:szCs w:val="26"/>
        </w:rPr>
        <w:t xml:space="preserve">In its protest, NextEra states support for SCE’s proposed revisions due </w:t>
      </w:r>
      <w:r w:rsidR="00347CF0">
        <w:rPr>
          <w:rFonts w:ascii="Palatino Linotype" w:hAnsi="Palatino Linotype"/>
          <w:bCs/>
          <w:szCs w:val="26"/>
        </w:rPr>
        <w:t xml:space="preserve">to </w:t>
      </w:r>
      <w:r>
        <w:rPr>
          <w:rFonts w:ascii="Palatino Linotype" w:hAnsi="Palatino Linotype"/>
          <w:bCs/>
          <w:szCs w:val="26"/>
        </w:rPr>
        <w:t xml:space="preserve">the terms being simpler to administer and consistent with </w:t>
      </w:r>
      <w:r w:rsidR="00347CF0">
        <w:rPr>
          <w:rFonts w:ascii="Palatino Linotype" w:hAnsi="Palatino Linotype"/>
          <w:bCs/>
          <w:szCs w:val="26"/>
        </w:rPr>
        <w:t xml:space="preserve">its </w:t>
      </w:r>
      <w:r>
        <w:rPr>
          <w:rFonts w:ascii="Palatino Linotype" w:hAnsi="Palatino Linotype"/>
          <w:bCs/>
          <w:szCs w:val="26"/>
        </w:rPr>
        <w:t>2013 RFO pro forma agreement.</w:t>
      </w:r>
      <w:r>
        <w:rPr>
          <w:rStyle w:val="FootnoteReference"/>
          <w:rFonts w:ascii="Palatino Linotype" w:hAnsi="Palatino Linotype"/>
          <w:bCs/>
          <w:szCs w:val="26"/>
        </w:rPr>
        <w:footnoteReference w:id="29"/>
      </w:r>
      <w:r>
        <w:rPr>
          <w:rFonts w:ascii="Palatino Linotype" w:hAnsi="Palatino Linotype"/>
          <w:bCs/>
          <w:szCs w:val="26"/>
        </w:rPr>
        <w:t xml:space="preserve">  However, NDEC recommends rejection of SCE’s proposed curtailment provisions.  NDEC a</w:t>
      </w:r>
      <w:r w:rsidR="00347CF0">
        <w:rPr>
          <w:rFonts w:ascii="Palatino Linotype" w:hAnsi="Palatino Linotype"/>
          <w:bCs/>
          <w:szCs w:val="26"/>
        </w:rPr>
        <w:t>rgues</w:t>
      </w:r>
      <w:r>
        <w:rPr>
          <w:rFonts w:ascii="Palatino Linotype" w:hAnsi="Palatino Linotype"/>
          <w:bCs/>
          <w:szCs w:val="26"/>
        </w:rPr>
        <w:t xml:space="preserve"> that it is not appropriate to categorically exempt peak-period resources from curtailment while exposing non-peaking resources to unpaid curtailment.</w:t>
      </w:r>
      <w:r>
        <w:rPr>
          <w:rStyle w:val="FootnoteReference"/>
          <w:rFonts w:ascii="Palatino Linotype" w:hAnsi="Palatino Linotype"/>
          <w:bCs/>
          <w:szCs w:val="26"/>
        </w:rPr>
        <w:footnoteReference w:id="30"/>
      </w:r>
      <w:r>
        <w:rPr>
          <w:rFonts w:ascii="Palatino Linotype" w:hAnsi="Palatino Linotype"/>
          <w:bCs/>
          <w:szCs w:val="26"/>
        </w:rPr>
        <w:t xml:space="preserve">  In its protest NDEC further argues that as a result of the proposed provisions non-peaking resources will need </w:t>
      </w:r>
      <w:r w:rsidR="008C553F">
        <w:rPr>
          <w:rFonts w:ascii="Palatino Linotype" w:hAnsi="Palatino Linotype"/>
          <w:bCs/>
          <w:szCs w:val="26"/>
        </w:rPr>
        <w:t xml:space="preserve">to </w:t>
      </w:r>
      <w:r>
        <w:rPr>
          <w:rFonts w:ascii="Palatino Linotype" w:hAnsi="Palatino Linotype"/>
          <w:bCs/>
          <w:szCs w:val="26"/>
        </w:rPr>
        <w:t>raise their prices to mitigate the risk that they will be curtailed</w:t>
      </w:r>
      <w:r w:rsidR="00582040">
        <w:rPr>
          <w:rFonts w:ascii="Palatino Linotype" w:hAnsi="Palatino Linotype"/>
          <w:bCs/>
          <w:szCs w:val="26"/>
        </w:rPr>
        <w:t>;</w:t>
      </w:r>
      <w:r>
        <w:rPr>
          <w:rFonts w:ascii="Palatino Linotype" w:hAnsi="Palatino Linotype"/>
          <w:bCs/>
          <w:szCs w:val="26"/>
        </w:rPr>
        <w:t xml:space="preserve"> th</w:t>
      </w:r>
      <w:r w:rsidR="00582040">
        <w:rPr>
          <w:rFonts w:ascii="Palatino Linotype" w:hAnsi="Palatino Linotype"/>
          <w:bCs/>
          <w:szCs w:val="26"/>
        </w:rPr>
        <w:t>i</w:t>
      </w:r>
      <w:r>
        <w:rPr>
          <w:rFonts w:ascii="Palatino Linotype" w:hAnsi="Palatino Linotype"/>
          <w:bCs/>
          <w:szCs w:val="26"/>
        </w:rPr>
        <w:t xml:space="preserve">s </w:t>
      </w:r>
      <w:r w:rsidR="00582040">
        <w:rPr>
          <w:rFonts w:ascii="Palatino Linotype" w:hAnsi="Palatino Linotype"/>
          <w:bCs/>
          <w:szCs w:val="26"/>
        </w:rPr>
        <w:t xml:space="preserve">will result in </w:t>
      </w:r>
      <w:r>
        <w:rPr>
          <w:rFonts w:ascii="Palatino Linotype" w:hAnsi="Palatino Linotype"/>
          <w:bCs/>
          <w:szCs w:val="26"/>
        </w:rPr>
        <w:t xml:space="preserve">SCE customers </w:t>
      </w:r>
      <w:r w:rsidR="00582040">
        <w:rPr>
          <w:rFonts w:ascii="Palatino Linotype" w:hAnsi="Palatino Linotype"/>
          <w:bCs/>
          <w:szCs w:val="26"/>
        </w:rPr>
        <w:t xml:space="preserve">having </w:t>
      </w:r>
      <w:r>
        <w:rPr>
          <w:rFonts w:ascii="Palatino Linotype" w:hAnsi="Palatino Linotype"/>
          <w:bCs/>
          <w:szCs w:val="26"/>
        </w:rPr>
        <w:t>to pay for the full cost of potential curtailment</w:t>
      </w:r>
      <w:r w:rsidR="00582040">
        <w:rPr>
          <w:rFonts w:ascii="Palatino Linotype" w:hAnsi="Palatino Linotype"/>
          <w:bCs/>
          <w:szCs w:val="26"/>
        </w:rPr>
        <w:t xml:space="preserve"> regardless of </w:t>
      </w:r>
      <w:r>
        <w:rPr>
          <w:rFonts w:ascii="Palatino Linotype" w:hAnsi="Palatino Linotype"/>
          <w:bCs/>
          <w:szCs w:val="26"/>
        </w:rPr>
        <w:t>whether SCE actually curtails the generation.</w:t>
      </w:r>
      <w:r w:rsidRPr="00387D26">
        <w:rPr>
          <w:rFonts w:ascii="Palatino Linotype" w:hAnsi="Palatino Linotype"/>
          <w:bCs/>
          <w:szCs w:val="26"/>
        </w:rPr>
        <w:t xml:space="preserve"> </w:t>
      </w:r>
      <w:r>
        <w:rPr>
          <w:rFonts w:ascii="Palatino Linotype" w:hAnsi="Palatino Linotype"/>
          <w:bCs/>
          <w:szCs w:val="26"/>
        </w:rPr>
        <w:t>In its reply, SCE asserts that its proposed curtailment revisions are not discriminatory because its proposed provisions would apply to both peaking and non-peaking resources.</w:t>
      </w:r>
      <w:r>
        <w:rPr>
          <w:rStyle w:val="FootnoteReference"/>
          <w:rFonts w:ascii="Palatino Linotype" w:hAnsi="Palatino Linotype"/>
          <w:bCs/>
          <w:szCs w:val="26"/>
        </w:rPr>
        <w:footnoteReference w:id="31"/>
      </w:r>
      <w:r>
        <w:rPr>
          <w:rFonts w:ascii="Palatino Linotype" w:hAnsi="Palatino Linotype"/>
          <w:bCs/>
          <w:szCs w:val="26"/>
        </w:rPr>
        <w:t xml:space="preserve">  </w:t>
      </w:r>
    </w:p>
    <w:p w:rsidR="00825A5E" w:rsidRDefault="00C61904" w:rsidP="0059383E">
      <w:pPr>
        <w:autoSpaceDE w:val="0"/>
        <w:autoSpaceDN w:val="0"/>
        <w:adjustRightInd w:val="0"/>
        <w:spacing w:after="120"/>
        <w:rPr>
          <w:rFonts w:ascii="Palatino Linotype" w:hAnsi="Palatino Linotype"/>
          <w:bCs/>
          <w:szCs w:val="26"/>
        </w:rPr>
      </w:pPr>
      <w:r>
        <w:rPr>
          <w:rFonts w:ascii="Palatino Linotype" w:hAnsi="Palatino Linotype"/>
          <w:bCs/>
          <w:szCs w:val="26"/>
        </w:rPr>
        <w:t xml:space="preserve">In advice letter 4365-E, PG&amp;E </w:t>
      </w:r>
      <w:r w:rsidR="00D334CF">
        <w:rPr>
          <w:rFonts w:ascii="Palatino Linotype" w:hAnsi="Palatino Linotype"/>
          <w:bCs/>
          <w:szCs w:val="26"/>
        </w:rPr>
        <w:t xml:space="preserve">proposes </w:t>
      </w:r>
      <w:r w:rsidR="00CA5F55">
        <w:rPr>
          <w:rFonts w:ascii="Palatino Linotype" w:hAnsi="Palatino Linotype"/>
          <w:bCs/>
          <w:szCs w:val="26"/>
        </w:rPr>
        <w:t xml:space="preserve">to eliminate its 100 hour </w:t>
      </w:r>
      <w:r w:rsidR="00C96376">
        <w:rPr>
          <w:rFonts w:ascii="Palatino Linotype" w:hAnsi="Palatino Linotype"/>
          <w:bCs/>
          <w:szCs w:val="26"/>
        </w:rPr>
        <w:t xml:space="preserve">per year </w:t>
      </w:r>
      <w:r w:rsidR="00CA5F55">
        <w:rPr>
          <w:rFonts w:ascii="Palatino Linotype" w:hAnsi="Palatino Linotype"/>
          <w:bCs/>
          <w:szCs w:val="26"/>
        </w:rPr>
        <w:t xml:space="preserve">cap on economic containment </w:t>
      </w:r>
      <w:r w:rsidR="00347CF0">
        <w:rPr>
          <w:rFonts w:ascii="Palatino Linotype" w:hAnsi="Palatino Linotype"/>
          <w:bCs/>
          <w:szCs w:val="26"/>
        </w:rPr>
        <w:t xml:space="preserve">such that it would </w:t>
      </w:r>
      <w:r w:rsidR="00D334CF">
        <w:rPr>
          <w:rFonts w:ascii="Palatino Linotype" w:hAnsi="Palatino Linotype"/>
          <w:bCs/>
          <w:szCs w:val="26"/>
        </w:rPr>
        <w:t>not have a cap on the number of economic curtailment hours</w:t>
      </w:r>
      <w:r w:rsidR="00C96376">
        <w:rPr>
          <w:rFonts w:ascii="Palatino Linotype" w:hAnsi="Palatino Linotype"/>
          <w:bCs/>
          <w:szCs w:val="26"/>
        </w:rPr>
        <w:t xml:space="preserve"> PG&amp;E would</w:t>
      </w:r>
      <w:r w:rsidR="00D334CF">
        <w:rPr>
          <w:rFonts w:ascii="Palatino Linotype" w:hAnsi="Palatino Linotype"/>
          <w:bCs/>
          <w:szCs w:val="26"/>
        </w:rPr>
        <w:t xml:space="preserve"> pay for all energy that would have been delivered</w:t>
      </w:r>
      <w:r w:rsidR="00241376">
        <w:rPr>
          <w:rFonts w:ascii="Palatino Linotype" w:hAnsi="Palatino Linotype"/>
          <w:bCs/>
          <w:szCs w:val="26"/>
        </w:rPr>
        <w:t xml:space="preserve"> if it had not been </w:t>
      </w:r>
      <w:r w:rsidR="00AF3D13">
        <w:rPr>
          <w:rFonts w:ascii="Palatino Linotype" w:hAnsi="Palatino Linotype"/>
          <w:bCs/>
          <w:szCs w:val="26"/>
        </w:rPr>
        <w:t xml:space="preserve">economically </w:t>
      </w:r>
      <w:r w:rsidR="00241376">
        <w:rPr>
          <w:rFonts w:ascii="Palatino Linotype" w:hAnsi="Palatino Linotype"/>
          <w:bCs/>
          <w:szCs w:val="26"/>
        </w:rPr>
        <w:t>curtailed</w:t>
      </w:r>
      <w:r w:rsidR="00AF3D13">
        <w:rPr>
          <w:rFonts w:ascii="Palatino Linotype" w:hAnsi="Palatino Linotype"/>
          <w:bCs/>
          <w:szCs w:val="26"/>
        </w:rPr>
        <w:t xml:space="preserve"> by PG&amp;E</w:t>
      </w:r>
      <w:r w:rsidR="00D334CF">
        <w:rPr>
          <w:rFonts w:ascii="Palatino Linotype" w:hAnsi="Palatino Linotype"/>
          <w:bCs/>
          <w:szCs w:val="26"/>
        </w:rPr>
        <w:t>.  PG&amp;E asserts that a resource needs to be unrestricted in the number of hours it may be curtailed to be full</w:t>
      </w:r>
      <w:r w:rsidR="008B5084">
        <w:rPr>
          <w:rFonts w:ascii="Palatino Linotype" w:hAnsi="Palatino Linotype"/>
          <w:bCs/>
          <w:szCs w:val="26"/>
        </w:rPr>
        <w:t>y and most efficiently bid into California Independent System Operator (CAISO) markets.</w:t>
      </w:r>
      <w:r w:rsidR="005D46C8">
        <w:rPr>
          <w:rStyle w:val="FootnoteReference"/>
          <w:rFonts w:ascii="Palatino Linotype" w:hAnsi="Palatino Linotype"/>
          <w:bCs/>
          <w:szCs w:val="26"/>
        </w:rPr>
        <w:footnoteReference w:id="32"/>
      </w:r>
      <w:r w:rsidR="008B5084">
        <w:rPr>
          <w:rFonts w:ascii="Palatino Linotype" w:hAnsi="Palatino Linotype"/>
          <w:bCs/>
          <w:szCs w:val="26"/>
        </w:rPr>
        <w:t xml:space="preserve">  PG&amp;E further reasons that the flexibility of unrestricted number of hours provides PG&amp;E the ability to bid its resources without restriction in order to avoid or limit negative pricing and/or over-generation situations protecting customers from negative CAISO market prices.</w:t>
      </w:r>
    </w:p>
    <w:p w:rsidR="002131EF" w:rsidRDefault="002131EF" w:rsidP="0059383E">
      <w:pPr>
        <w:autoSpaceDE w:val="0"/>
        <w:autoSpaceDN w:val="0"/>
        <w:adjustRightInd w:val="0"/>
        <w:spacing w:after="120"/>
        <w:rPr>
          <w:rFonts w:ascii="Palatino Linotype" w:hAnsi="Palatino Linotype"/>
          <w:bCs/>
          <w:szCs w:val="26"/>
        </w:rPr>
      </w:pPr>
      <w:r>
        <w:rPr>
          <w:rFonts w:ascii="Palatino Linotype" w:hAnsi="Palatino Linotype"/>
          <w:bCs/>
          <w:szCs w:val="26"/>
        </w:rPr>
        <w:t xml:space="preserve">In NextEra’s protest to PG&amp;E advice letter 4365-E, it supports PG&amp;E’s </w:t>
      </w:r>
      <w:r w:rsidR="006349F5">
        <w:rPr>
          <w:rFonts w:ascii="Palatino Linotype" w:hAnsi="Palatino Linotype"/>
          <w:bCs/>
          <w:szCs w:val="26"/>
        </w:rPr>
        <w:t>elimination of the 100 hour cap on economic curtailment</w:t>
      </w:r>
      <w:r w:rsidR="00347CF0">
        <w:rPr>
          <w:rFonts w:ascii="Palatino Linotype" w:hAnsi="Palatino Linotype"/>
          <w:bCs/>
          <w:szCs w:val="26"/>
        </w:rPr>
        <w:t>.  NextEra asserts that the provisions</w:t>
      </w:r>
      <w:r w:rsidR="006349F5">
        <w:rPr>
          <w:rFonts w:ascii="Palatino Linotype" w:hAnsi="Palatino Linotype"/>
          <w:bCs/>
          <w:szCs w:val="26"/>
        </w:rPr>
        <w:t xml:space="preserve"> provide appropriate dispatch flexibility while protecting sellers by providing payment for generation that would have otherwise been delivered.</w:t>
      </w:r>
      <w:r w:rsidR="006349F5">
        <w:rPr>
          <w:rStyle w:val="FootnoteReference"/>
          <w:rFonts w:ascii="Palatino Linotype" w:hAnsi="Palatino Linotype"/>
          <w:bCs/>
          <w:szCs w:val="26"/>
        </w:rPr>
        <w:footnoteReference w:id="33"/>
      </w:r>
      <w:r w:rsidR="006349F5">
        <w:rPr>
          <w:rFonts w:ascii="Palatino Linotype" w:hAnsi="Palatino Linotype"/>
          <w:bCs/>
          <w:szCs w:val="26"/>
        </w:rPr>
        <w:t xml:space="preserve">  However, NextEra recommends clarification of the definition of Curtailment Order in Section 1.56(a) of PG&amp;E’s RAM pro forma PPA</w:t>
      </w:r>
      <w:r>
        <w:rPr>
          <w:rFonts w:ascii="Palatino Linotype" w:hAnsi="Palatino Linotype"/>
          <w:bCs/>
          <w:szCs w:val="26"/>
        </w:rPr>
        <w:t xml:space="preserve">.  </w:t>
      </w:r>
      <w:r w:rsidR="006349F5">
        <w:rPr>
          <w:rFonts w:ascii="Palatino Linotype" w:hAnsi="Palatino Linotype"/>
          <w:bCs/>
          <w:szCs w:val="26"/>
        </w:rPr>
        <w:t xml:space="preserve">Specifically, </w:t>
      </w:r>
      <w:r>
        <w:rPr>
          <w:rFonts w:ascii="Palatino Linotype" w:hAnsi="Palatino Linotype"/>
          <w:bCs/>
          <w:szCs w:val="26"/>
        </w:rPr>
        <w:t xml:space="preserve">NextEra </w:t>
      </w:r>
      <w:r w:rsidR="006349F5">
        <w:rPr>
          <w:rFonts w:ascii="Palatino Linotype" w:hAnsi="Palatino Linotype"/>
          <w:bCs/>
          <w:szCs w:val="26"/>
        </w:rPr>
        <w:t xml:space="preserve">recommends that any curtailment by PG&amp;E in response to </w:t>
      </w:r>
      <w:r w:rsidR="002C7D11">
        <w:rPr>
          <w:rFonts w:ascii="Palatino Linotype" w:hAnsi="Palatino Linotype"/>
          <w:bCs/>
          <w:szCs w:val="26"/>
        </w:rPr>
        <w:t xml:space="preserve">a request by CAISO to manage over-generation conditions be designated as economic curtailment.  In its reply, PG&amp;E argues that a clarification is not needed because the language is consistent with pro forma PPA language that was approved in its 2013 RPS pro forma PPA and its RAM IV pro forma PPA and CAISO Tariff requirements.  Additionally, PG&amp;E argues that the definition of “Curtailment Order” does not apply to PG&amp;E’s actions as buyer, but instead </w:t>
      </w:r>
      <w:r w:rsidR="00347CF0">
        <w:rPr>
          <w:rFonts w:ascii="Palatino Linotype" w:hAnsi="Palatino Linotype"/>
          <w:bCs/>
          <w:szCs w:val="26"/>
        </w:rPr>
        <w:t xml:space="preserve">to </w:t>
      </w:r>
      <w:r w:rsidR="002C7D11">
        <w:rPr>
          <w:rFonts w:ascii="Palatino Linotype" w:hAnsi="Palatino Linotype"/>
          <w:bCs/>
          <w:szCs w:val="26"/>
        </w:rPr>
        <w:t xml:space="preserve">the actions of the CAISO. </w:t>
      </w:r>
      <w:r>
        <w:rPr>
          <w:rFonts w:ascii="Palatino Linotype" w:hAnsi="Palatino Linotype"/>
          <w:bCs/>
          <w:szCs w:val="26"/>
        </w:rPr>
        <w:t xml:space="preserve"> </w:t>
      </w:r>
    </w:p>
    <w:p w:rsidR="00825A5E" w:rsidRPr="009E3734" w:rsidRDefault="00825A5E" w:rsidP="009E3734">
      <w:pPr>
        <w:autoSpaceDE w:val="0"/>
        <w:autoSpaceDN w:val="0"/>
        <w:adjustRightInd w:val="0"/>
        <w:spacing w:after="240"/>
        <w:rPr>
          <w:rFonts w:ascii="Palatino Linotype" w:hAnsi="Palatino Linotype"/>
          <w:bCs/>
          <w:szCs w:val="26"/>
        </w:rPr>
      </w:pPr>
      <w:r w:rsidRPr="00E12603">
        <w:rPr>
          <w:rFonts w:ascii="Palatino Linotype" w:hAnsi="Palatino Linotype"/>
          <w:bCs/>
          <w:szCs w:val="26"/>
        </w:rPr>
        <w:t xml:space="preserve">The Commission acknowledges </w:t>
      </w:r>
      <w:r w:rsidR="00561138">
        <w:rPr>
          <w:rFonts w:ascii="Palatino Linotype" w:hAnsi="Palatino Linotype"/>
          <w:bCs/>
          <w:szCs w:val="26"/>
        </w:rPr>
        <w:t xml:space="preserve">the need for economic curtailment provisions and </w:t>
      </w:r>
      <w:r w:rsidRPr="00E12603">
        <w:rPr>
          <w:rFonts w:ascii="Palatino Linotype" w:hAnsi="Palatino Linotype"/>
          <w:bCs/>
          <w:szCs w:val="26"/>
        </w:rPr>
        <w:t xml:space="preserve">the challenges </w:t>
      </w:r>
      <w:r w:rsidR="00561138">
        <w:rPr>
          <w:rFonts w:ascii="Palatino Linotype" w:hAnsi="Palatino Linotype"/>
          <w:bCs/>
          <w:szCs w:val="26"/>
        </w:rPr>
        <w:t>of</w:t>
      </w:r>
      <w:r w:rsidRPr="00E12603">
        <w:rPr>
          <w:rFonts w:ascii="Palatino Linotype" w:hAnsi="Palatino Linotype"/>
          <w:bCs/>
          <w:szCs w:val="26"/>
        </w:rPr>
        <w:t xml:space="preserve"> establishing </w:t>
      </w:r>
      <w:r w:rsidR="00561138">
        <w:rPr>
          <w:rFonts w:ascii="Palatino Linotype" w:hAnsi="Palatino Linotype"/>
          <w:bCs/>
          <w:szCs w:val="26"/>
        </w:rPr>
        <w:t xml:space="preserve">such </w:t>
      </w:r>
      <w:r w:rsidRPr="00E12603">
        <w:rPr>
          <w:rFonts w:ascii="Palatino Linotype" w:hAnsi="Palatino Linotype"/>
          <w:bCs/>
          <w:szCs w:val="26"/>
        </w:rPr>
        <w:t xml:space="preserve">provisions, particularly given the uncertainty in forecasting </w:t>
      </w:r>
      <w:r w:rsidR="00E12603" w:rsidRPr="00E12603">
        <w:rPr>
          <w:rFonts w:ascii="Palatino Linotype" w:hAnsi="Palatino Linotype"/>
          <w:bCs/>
          <w:szCs w:val="26"/>
        </w:rPr>
        <w:t xml:space="preserve">future </w:t>
      </w:r>
      <w:r w:rsidR="00BE3DAD">
        <w:rPr>
          <w:rFonts w:ascii="Palatino Linotype" w:hAnsi="Palatino Linotype"/>
          <w:bCs/>
          <w:szCs w:val="26"/>
        </w:rPr>
        <w:t xml:space="preserve">transmission and generation development, load growth, </w:t>
      </w:r>
      <w:r w:rsidR="00E12603" w:rsidRPr="00E12603">
        <w:rPr>
          <w:rFonts w:ascii="Palatino Linotype" w:hAnsi="Palatino Linotype"/>
          <w:bCs/>
          <w:szCs w:val="26"/>
        </w:rPr>
        <w:t xml:space="preserve">and </w:t>
      </w:r>
      <w:r w:rsidRPr="00E12603">
        <w:rPr>
          <w:rFonts w:ascii="Palatino Linotype" w:hAnsi="Palatino Linotype"/>
          <w:bCs/>
          <w:szCs w:val="26"/>
        </w:rPr>
        <w:t xml:space="preserve">market conditions. </w:t>
      </w:r>
      <w:r w:rsidR="0097413F">
        <w:rPr>
          <w:rFonts w:ascii="Palatino Linotype" w:hAnsi="Palatino Linotype"/>
          <w:bCs/>
          <w:szCs w:val="26"/>
        </w:rPr>
        <w:t>The Commission first addressed the issue of economic curtailment in the 2011 RPS procurement plan decision, and as noted above</w:t>
      </w:r>
      <w:r w:rsidR="005D494F">
        <w:rPr>
          <w:rFonts w:ascii="Palatino Linotype" w:hAnsi="Palatino Linotype"/>
          <w:bCs/>
          <w:szCs w:val="26"/>
        </w:rPr>
        <w:t>,</w:t>
      </w:r>
      <w:r w:rsidR="0097413F">
        <w:rPr>
          <w:rFonts w:ascii="Palatino Linotype" w:hAnsi="Palatino Linotype"/>
          <w:bCs/>
          <w:szCs w:val="26"/>
        </w:rPr>
        <w:t xml:space="preserve"> has previously addressed this issue in the RAM program in Resolution 4546-E.</w:t>
      </w:r>
      <w:r w:rsidR="0097413F">
        <w:rPr>
          <w:rStyle w:val="FootnoteReference"/>
          <w:rFonts w:ascii="Palatino Linotype" w:hAnsi="Palatino Linotype"/>
          <w:bCs/>
          <w:szCs w:val="26"/>
        </w:rPr>
        <w:footnoteReference w:id="34"/>
      </w:r>
      <w:r w:rsidR="0097413F">
        <w:rPr>
          <w:rFonts w:ascii="Palatino Linotype" w:hAnsi="Palatino Linotype"/>
          <w:bCs/>
          <w:szCs w:val="26"/>
        </w:rPr>
        <w:t xml:space="preserve">  In both instances, the </w:t>
      </w:r>
      <w:r w:rsidR="005D494F">
        <w:rPr>
          <w:rFonts w:ascii="Palatino Linotype" w:hAnsi="Palatino Linotype"/>
          <w:bCs/>
          <w:szCs w:val="26"/>
        </w:rPr>
        <w:t xml:space="preserve">Commission found that the record was lacking and particularly noted in D.11-04-030 that </w:t>
      </w:r>
      <w:r w:rsidR="005D494F" w:rsidRPr="005D494F">
        <w:rPr>
          <w:rFonts w:ascii="Palatino Linotype" w:hAnsi="Palatino Linotype"/>
          <w:bCs/>
          <w:szCs w:val="26"/>
        </w:rPr>
        <w:t>Parties fail</w:t>
      </w:r>
      <w:r w:rsidR="005D494F">
        <w:rPr>
          <w:rFonts w:ascii="Palatino Linotype" w:hAnsi="Palatino Linotype"/>
          <w:bCs/>
          <w:szCs w:val="26"/>
        </w:rPr>
        <w:t>ed</w:t>
      </w:r>
      <w:r w:rsidR="005D494F" w:rsidRPr="005D494F">
        <w:rPr>
          <w:rFonts w:ascii="Palatino Linotype" w:hAnsi="Palatino Linotype"/>
          <w:bCs/>
          <w:szCs w:val="26"/>
        </w:rPr>
        <w:t xml:space="preserve"> to present estimates of the likely locations or amounts of</w:t>
      </w:r>
      <w:r w:rsidR="005D494F">
        <w:rPr>
          <w:rFonts w:ascii="Palatino Linotype" w:hAnsi="Palatino Linotype"/>
          <w:bCs/>
          <w:szCs w:val="26"/>
        </w:rPr>
        <w:t xml:space="preserve"> </w:t>
      </w:r>
      <w:r w:rsidR="005D494F" w:rsidRPr="005D494F">
        <w:rPr>
          <w:rFonts w:ascii="Palatino Linotype" w:hAnsi="Palatino Linotype"/>
          <w:bCs/>
          <w:szCs w:val="26"/>
        </w:rPr>
        <w:t>curtail</w:t>
      </w:r>
      <w:r w:rsidR="009E3734">
        <w:rPr>
          <w:rFonts w:ascii="Palatino Linotype" w:hAnsi="Palatino Linotype"/>
          <w:bCs/>
          <w:szCs w:val="26"/>
        </w:rPr>
        <w:t>ment over the contract duration</w:t>
      </w:r>
      <w:r w:rsidR="005D494F" w:rsidRPr="005D494F">
        <w:rPr>
          <w:rFonts w:ascii="Palatino Linotype" w:hAnsi="Palatino Linotype"/>
          <w:bCs/>
          <w:szCs w:val="26"/>
        </w:rPr>
        <w:t>.</w:t>
      </w:r>
      <w:r w:rsidR="009E3734">
        <w:rPr>
          <w:rFonts w:ascii="Palatino Linotype" w:hAnsi="Palatino Linotype"/>
          <w:bCs/>
          <w:szCs w:val="26"/>
        </w:rPr>
        <w:t xml:space="preserve">  </w:t>
      </w:r>
      <w:r w:rsidR="000024EB">
        <w:rPr>
          <w:rFonts w:ascii="Palatino Linotype" w:hAnsi="Palatino Linotype"/>
          <w:bCs/>
          <w:szCs w:val="26"/>
        </w:rPr>
        <w:t xml:space="preserve">We note that this continues to be the case.  </w:t>
      </w:r>
      <w:r w:rsidR="009E3734">
        <w:rPr>
          <w:rFonts w:ascii="Palatino Linotype" w:hAnsi="Palatino Linotype"/>
          <w:bCs/>
          <w:szCs w:val="26"/>
        </w:rPr>
        <w:t xml:space="preserve">However, given that </w:t>
      </w:r>
      <w:r w:rsidR="00BE3DAD">
        <w:rPr>
          <w:rFonts w:ascii="Palatino Linotype" w:hAnsi="Palatino Linotype"/>
          <w:bCs/>
          <w:szCs w:val="26"/>
        </w:rPr>
        <w:t>SCE’s and PG&amp;E’s proposed revisions were recently reviewed as part of the 2013 RPS procurement plan process</w:t>
      </w:r>
      <w:r w:rsidR="009E3734">
        <w:rPr>
          <w:rFonts w:ascii="Palatino Linotype" w:hAnsi="Palatino Linotype"/>
          <w:bCs/>
          <w:szCs w:val="26"/>
        </w:rPr>
        <w:t xml:space="preserve">, </w:t>
      </w:r>
      <w:r w:rsidR="009E3734" w:rsidRPr="009E3734">
        <w:rPr>
          <w:rFonts w:ascii="Palatino Linotype" w:hAnsi="Palatino Linotype"/>
          <w:bCs/>
          <w:szCs w:val="26"/>
          <w:u w:val="single"/>
        </w:rPr>
        <w:t>the Commission finds</w:t>
      </w:r>
      <w:r w:rsidR="000024EB">
        <w:rPr>
          <w:rFonts w:ascii="Palatino Linotype" w:hAnsi="Palatino Linotype"/>
          <w:bCs/>
          <w:szCs w:val="26"/>
          <w:u w:val="single"/>
        </w:rPr>
        <w:t xml:space="preserve"> that it is</w:t>
      </w:r>
      <w:r w:rsidR="00A356BC">
        <w:rPr>
          <w:rFonts w:ascii="Palatino Linotype" w:hAnsi="Palatino Linotype"/>
          <w:bCs/>
          <w:szCs w:val="26"/>
          <w:u w:val="single"/>
        </w:rPr>
        <w:t xml:space="preserve"> reasonable for SCE and PG&amp;E </w:t>
      </w:r>
      <w:r w:rsidR="009E3734" w:rsidRPr="009E3734">
        <w:rPr>
          <w:rFonts w:ascii="Palatino Linotype" w:hAnsi="Palatino Linotype"/>
          <w:bCs/>
          <w:szCs w:val="26"/>
          <w:u w:val="single"/>
        </w:rPr>
        <w:t xml:space="preserve">to modify </w:t>
      </w:r>
      <w:r w:rsidR="000024EB">
        <w:rPr>
          <w:rFonts w:ascii="Palatino Linotype" w:hAnsi="Palatino Linotype"/>
          <w:bCs/>
          <w:szCs w:val="26"/>
          <w:u w:val="single"/>
        </w:rPr>
        <w:t xml:space="preserve">their </w:t>
      </w:r>
      <w:r w:rsidR="000024EB" w:rsidRPr="009E3734">
        <w:rPr>
          <w:rFonts w:ascii="Palatino Linotype" w:hAnsi="Palatino Linotype"/>
          <w:bCs/>
          <w:szCs w:val="26"/>
          <w:u w:val="single"/>
        </w:rPr>
        <w:t xml:space="preserve">RAM V pro forma PPA </w:t>
      </w:r>
      <w:r w:rsidR="009E3734" w:rsidRPr="009E3734">
        <w:rPr>
          <w:rFonts w:ascii="Palatino Linotype" w:hAnsi="Palatino Linotype"/>
          <w:bCs/>
          <w:szCs w:val="26"/>
          <w:u w:val="single"/>
        </w:rPr>
        <w:t xml:space="preserve">economic curtailment provisions to be consistent with </w:t>
      </w:r>
      <w:r w:rsidR="00A356BC">
        <w:rPr>
          <w:rFonts w:ascii="Palatino Linotype" w:hAnsi="Palatino Linotype"/>
          <w:bCs/>
          <w:szCs w:val="26"/>
          <w:u w:val="single"/>
        </w:rPr>
        <w:t>their</w:t>
      </w:r>
      <w:r w:rsidR="009E3734" w:rsidRPr="009E3734">
        <w:rPr>
          <w:rFonts w:ascii="Palatino Linotype" w:hAnsi="Palatino Linotype"/>
          <w:bCs/>
          <w:szCs w:val="26"/>
          <w:u w:val="single"/>
        </w:rPr>
        <w:t xml:space="preserve"> 2013 RPS pro forma PPA</w:t>
      </w:r>
      <w:r w:rsidR="000024EB">
        <w:rPr>
          <w:rFonts w:ascii="Palatino Linotype" w:hAnsi="Palatino Linotype"/>
          <w:bCs/>
          <w:szCs w:val="26"/>
          <w:u w:val="single"/>
        </w:rPr>
        <w:t>,</w:t>
      </w:r>
      <w:r w:rsidR="009E3734">
        <w:rPr>
          <w:rFonts w:ascii="Palatino Linotype" w:hAnsi="Palatino Linotype"/>
          <w:bCs/>
          <w:szCs w:val="26"/>
          <w:u w:val="single"/>
        </w:rPr>
        <w:t xml:space="preserve"> as approved in D.13-11-024</w:t>
      </w:r>
      <w:r w:rsidR="009E3734" w:rsidRPr="009E3734">
        <w:rPr>
          <w:rFonts w:ascii="Palatino Linotype" w:hAnsi="Palatino Linotype"/>
          <w:bCs/>
          <w:szCs w:val="26"/>
          <w:u w:val="single"/>
        </w:rPr>
        <w:t>.</w:t>
      </w:r>
      <w:r w:rsidR="009E3734">
        <w:rPr>
          <w:rFonts w:ascii="Palatino Linotype" w:hAnsi="Palatino Linotype"/>
          <w:bCs/>
          <w:szCs w:val="26"/>
        </w:rPr>
        <w:t xml:space="preserve">  </w:t>
      </w:r>
      <w:r w:rsidRPr="000024EB">
        <w:rPr>
          <w:rFonts w:ascii="Palatino Linotype" w:hAnsi="Palatino Linotype"/>
          <w:bCs/>
          <w:szCs w:val="26"/>
        </w:rPr>
        <w:t xml:space="preserve">Accordingly, </w:t>
      </w:r>
      <w:r w:rsidRPr="000024EB">
        <w:rPr>
          <w:rFonts w:ascii="Palatino Linotype" w:hAnsi="Palatino Linotype"/>
          <w:bCs/>
          <w:szCs w:val="26"/>
          <w:u w:val="single"/>
        </w:rPr>
        <w:t xml:space="preserve">SCE’s request to </w:t>
      </w:r>
      <w:r w:rsidR="00F01A32" w:rsidRPr="000024EB">
        <w:rPr>
          <w:rFonts w:ascii="Palatino Linotype" w:hAnsi="Palatino Linotype"/>
          <w:bCs/>
          <w:szCs w:val="26"/>
          <w:u w:val="single"/>
        </w:rPr>
        <w:t xml:space="preserve">modify its curtailment provisions with </w:t>
      </w:r>
      <w:r w:rsidRPr="000024EB">
        <w:rPr>
          <w:rFonts w:ascii="Palatino Linotype" w:hAnsi="Palatino Linotype"/>
          <w:bCs/>
          <w:szCs w:val="26"/>
          <w:u w:val="single"/>
        </w:rPr>
        <w:t xml:space="preserve">simplified economic curtailment provisions is </w:t>
      </w:r>
      <w:r w:rsidR="00F01A32" w:rsidRPr="000024EB">
        <w:rPr>
          <w:rFonts w:ascii="Palatino Linotype" w:hAnsi="Palatino Linotype"/>
          <w:bCs/>
          <w:szCs w:val="26"/>
          <w:u w:val="single"/>
        </w:rPr>
        <w:t xml:space="preserve">reasonable </w:t>
      </w:r>
      <w:r w:rsidR="009E3734" w:rsidRPr="000024EB">
        <w:rPr>
          <w:rFonts w:ascii="Palatino Linotype" w:hAnsi="Palatino Linotype"/>
          <w:bCs/>
          <w:szCs w:val="26"/>
          <w:u w:val="single"/>
        </w:rPr>
        <w:t>and PG&amp;E’s request to eliminate its</w:t>
      </w:r>
      <w:r w:rsidR="009E3734">
        <w:rPr>
          <w:rFonts w:ascii="Palatino Linotype" w:hAnsi="Palatino Linotype"/>
          <w:bCs/>
          <w:szCs w:val="26"/>
          <w:u w:val="single"/>
        </w:rPr>
        <w:t xml:space="preserve"> 100 hour </w:t>
      </w:r>
      <w:r w:rsidR="000024EB">
        <w:rPr>
          <w:rFonts w:ascii="Palatino Linotype" w:hAnsi="Palatino Linotype"/>
          <w:bCs/>
          <w:szCs w:val="26"/>
          <w:u w:val="single"/>
        </w:rPr>
        <w:t xml:space="preserve">per year </w:t>
      </w:r>
      <w:r w:rsidR="009E3734">
        <w:rPr>
          <w:rFonts w:ascii="Palatino Linotype" w:hAnsi="Palatino Linotype"/>
          <w:bCs/>
          <w:szCs w:val="26"/>
          <w:u w:val="single"/>
        </w:rPr>
        <w:t xml:space="preserve">cap on economic curtailment is denied.  </w:t>
      </w:r>
      <w:r w:rsidR="0037514C">
        <w:rPr>
          <w:rFonts w:ascii="Palatino Linotype" w:hAnsi="Palatino Linotype"/>
          <w:bCs/>
          <w:szCs w:val="26"/>
          <w:u w:val="single"/>
        </w:rPr>
        <w:t xml:space="preserve">Additionally, </w:t>
      </w:r>
      <w:r w:rsidR="00F01A32" w:rsidRPr="00F01A32">
        <w:rPr>
          <w:rFonts w:ascii="Palatino Linotype" w:hAnsi="Palatino Linotype"/>
          <w:bCs/>
          <w:szCs w:val="26"/>
          <w:u w:val="single"/>
        </w:rPr>
        <w:t>NDEC’s protest is denied</w:t>
      </w:r>
      <w:r w:rsidR="00F01A32" w:rsidRPr="00F01A32">
        <w:rPr>
          <w:rFonts w:ascii="Palatino Linotype" w:hAnsi="Palatino Linotype"/>
          <w:bCs/>
          <w:szCs w:val="26"/>
        </w:rPr>
        <w:t>.</w:t>
      </w:r>
    </w:p>
    <w:p w:rsidR="007227A5" w:rsidRPr="0094663B" w:rsidRDefault="007227A5" w:rsidP="00B83CB1">
      <w:pPr>
        <w:keepNext/>
        <w:spacing w:after="120"/>
        <w:rPr>
          <w:rFonts w:ascii="Palatino Linotype" w:hAnsi="Palatino Linotype"/>
          <w:b/>
          <w:i/>
        </w:rPr>
      </w:pPr>
      <w:r w:rsidRPr="0094663B">
        <w:rPr>
          <w:rFonts w:ascii="Palatino Linotype" w:hAnsi="Palatino Linotype"/>
          <w:b/>
          <w:i/>
        </w:rPr>
        <w:t xml:space="preserve">(4) Resource Adequacy and Full Capacity Deliverability Status </w:t>
      </w:r>
    </w:p>
    <w:p w:rsidR="00F04383" w:rsidRDefault="00422F89" w:rsidP="00A37E96">
      <w:pPr>
        <w:spacing w:after="120"/>
        <w:rPr>
          <w:rFonts w:ascii="Palatino Linotype" w:hAnsi="Palatino Linotype"/>
        </w:rPr>
      </w:pPr>
      <w:r>
        <w:rPr>
          <w:rFonts w:ascii="Palatino Linotype" w:hAnsi="Palatino Linotype"/>
        </w:rPr>
        <w:t xml:space="preserve">In advice letter 3003-E, SCE proposes modifying provisions related to resource adequacy (RA) and </w:t>
      </w:r>
      <w:r w:rsidR="00347CF0">
        <w:rPr>
          <w:rFonts w:ascii="Palatino Linotype" w:hAnsi="Palatino Linotype"/>
        </w:rPr>
        <w:t>full capacity deliverability status (</w:t>
      </w:r>
      <w:r>
        <w:rPr>
          <w:rFonts w:ascii="Palatino Linotype" w:hAnsi="Palatino Linotype"/>
        </w:rPr>
        <w:t>FCDS</w:t>
      </w:r>
      <w:r w:rsidR="00347CF0">
        <w:rPr>
          <w:rFonts w:ascii="Palatino Linotype" w:hAnsi="Palatino Linotype"/>
        </w:rPr>
        <w:t>)</w:t>
      </w:r>
      <w:r>
        <w:rPr>
          <w:rFonts w:ascii="Palatino Linotype" w:hAnsi="Palatino Linotype"/>
        </w:rPr>
        <w:t xml:space="preserve">.  Specifically, SCE proposes that </w:t>
      </w:r>
      <w:r w:rsidR="00800698">
        <w:rPr>
          <w:rFonts w:ascii="Palatino Linotype" w:hAnsi="Palatino Linotype"/>
        </w:rPr>
        <w:t>payments for FCDS sellers be calculated using the FCDS time of delivery (TOD) factors starting on the RA Guarantee Date instead of when the project has achieved FCDS.  SCE asserts that the proposed changes represent an improvement because it aligns the RA benefits of each project with the offer evaluation and selection methodology.</w:t>
      </w:r>
      <w:r w:rsidR="005D46C8">
        <w:rPr>
          <w:rStyle w:val="FootnoteReference"/>
          <w:rFonts w:ascii="Palatino Linotype" w:hAnsi="Palatino Linotype"/>
        </w:rPr>
        <w:footnoteReference w:id="35"/>
      </w:r>
      <w:r w:rsidR="00800698">
        <w:rPr>
          <w:rFonts w:ascii="Palatino Linotype" w:hAnsi="Palatino Linotype"/>
        </w:rPr>
        <w:t xml:space="preserve">  Additionally, SCE argues that it provides sellers with more certainty about their revenue streams by specifying the exact date on which the seller will begin to receive payments based on the FCDS TOD factors.</w:t>
      </w:r>
    </w:p>
    <w:p w:rsidR="00F04383" w:rsidRDefault="00800698" w:rsidP="0059383E">
      <w:pPr>
        <w:spacing w:after="120"/>
        <w:rPr>
          <w:rFonts w:ascii="Palatino Linotype" w:hAnsi="Palatino Linotype"/>
        </w:rPr>
      </w:pPr>
      <w:r>
        <w:rPr>
          <w:rFonts w:ascii="Palatino Linotype" w:hAnsi="Palatino Linotype"/>
        </w:rPr>
        <w:t xml:space="preserve">Infigen filed a response supporting this </w:t>
      </w:r>
      <w:r w:rsidR="001E0FCB">
        <w:rPr>
          <w:rFonts w:ascii="Palatino Linotype" w:hAnsi="Palatino Linotype"/>
        </w:rPr>
        <w:t xml:space="preserve">proposed </w:t>
      </w:r>
      <w:r>
        <w:rPr>
          <w:rFonts w:ascii="Palatino Linotype" w:hAnsi="Palatino Linotype"/>
        </w:rPr>
        <w:t xml:space="preserve">modification </w:t>
      </w:r>
      <w:r w:rsidR="004306C6">
        <w:rPr>
          <w:rFonts w:ascii="Palatino Linotype" w:hAnsi="Palatino Linotype"/>
        </w:rPr>
        <w:t>because it would ensure that sellers are appropriately compensated for the RA benefits they provide</w:t>
      </w:r>
      <w:r w:rsidR="00126B33">
        <w:rPr>
          <w:rFonts w:ascii="Palatino Linotype" w:hAnsi="Palatino Linotype"/>
        </w:rPr>
        <w:t xml:space="preserve"> prior to achieving FCDS status</w:t>
      </w:r>
      <w:r w:rsidR="00347CF0">
        <w:rPr>
          <w:rFonts w:ascii="Palatino Linotype" w:hAnsi="Palatino Linotype"/>
        </w:rPr>
        <w:t>,</w:t>
      </w:r>
      <w:r w:rsidR="004306C6">
        <w:rPr>
          <w:rFonts w:ascii="Palatino Linotype" w:hAnsi="Palatino Linotype"/>
        </w:rPr>
        <w:t xml:space="preserve"> and it would eliminate a double penalty for failing to provide RA</w:t>
      </w:r>
      <w:r w:rsidR="00126B33">
        <w:rPr>
          <w:rFonts w:ascii="Palatino Linotype" w:hAnsi="Palatino Linotype"/>
        </w:rPr>
        <w:t xml:space="preserve"> benefits</w:t>
      </w:r>
      <w:r w:rsidR="004306C6">
        <w:rPr>
          <w:rFonts w:ascii="Palatino Linotype" w:hAnsi="Palatino Linotype"/>
        </w:rPr>
        <w:t>.</w:t>
      </w:r>
      <w:r w:rsidR="005D46C8">
        <w:rPr>
          <w:rStyle w:val="FootnoteReference"/>
          <w:rFonts w:ascii="Palatino Linotype" w:hAnsi="Palatino Linotype"/>
        </w:rPr>
        <w:footnoteReference w:id="36"/>
      </w:r>
      <w:r w:rsidR="004306C6">
        <w:rPr>
          <w:rFonts w:ascii="Palatino Linotype" w:hAnsi="Palatino Linotype"/>
        </w:rPr>
        <w:t xml:space="preserve">  Infigen further recommends that SCE be allowed to apply the modifications to existing RAM 3 and RAM 4 contracts</w:t>
      </w:r>
      <w:r>
        <w:rPr>
          <w:rFonts w:ascii="Palatino Linotype" w:hAnsi="Palatino Linotype"/>
        </w:rPr>
        <w:t>.</w:t>
      </w:r>
    </w:p>
    <w:p w:rsidR="003E694D" w:rsidRDefault="00F04383" w:rsidP="0059383E">
      <w:pPr>
        <w:spacing w:after="120"/>
        <w:rPr>
          <w:rFonts w:ascii="Palatino Linotype" w:hAnsi="Palatino Linotype"/>
        </w:rPr>
      </w:pPr>
      <w:r>
        <w:rPr>
          <w:rFonts w:ascii="Palatino Linotype" w:hAnsi="Palatino Linotype"/>
        </w:rPr>
        <w:t xml:space="preserve">In its protest, NextEra supports the modifications, but recommends additional changes to Section 3.02.  </w:t>
      </w:r>
      <w:r w:rsidR="00595221">
        <w:rPr>
          <w:rFonts w:ascii="Palatino Linotype" w:hAnsi="Palatino Linotype"/>
        </w:rPr>
        <w:t>First,</w:t>
      </w:r>
      <w:r>
        <w:rPr>
          <w:rFonts w:ascii="Palatino Linotype" w:hAnsi="Palatino Linotype"/>
        </w:rPr>
        <w:t xml:space="preserve"> NextEra recommends that Guaranteed RA Quantity be based on Qualifying Capacity instead of a seller specified amount</w:t>
      </w:r>
      <w:r w:rsidR="00595221">
        <w:rPr>
          <w:rFonts w:ascii="Palatino Linotype" w:hAnsi="Palatino Linotype"/>
        </w:rPr>
        <w:t xml:space="preserve">.  Second, NextEra recommends that </w:t>
      </w:r>
      <w:r>
        <w:rPr>
          <w:rFonts w:ascii="Palatino Linotype" w:hAnsi="Palatino Linotype"/>
        </w:rPr>
        <w:t xml:space="preserve">RA Deficit Payments should be applied only if there is a shortfall in Net Qualifying Capacity as compared to Qualifying Capacity.  </w:t>
      </w:r>
      <w:r w:rsidR="009C6288">
        <w:rPr>
          <w:rFonts w:ascii="Palatino Linotype" w:hAnsi="Palatino Linotype"/>
        </w:rPr>
        <w:t>NextEra argues that the proposed language will cause unintended consequences for the seller of either greater RA Deficit Payments or less than full RA value in bid evaluations</w:t>
      </w:r>
      <w:r w:rsidR="009C6288" w:rsidRPr="009C6288">
        <w:rPr>
          <w:rFonts w:ascii="Palatino Linotype" w:hAnsi="Palatino Linotype"/>
        </w:rPr>
        <w:t xml:space="preserve"> </w:t>
      </w:r>
      <w:r w:rsidR="009C6288">
        <w:rPr>
          <w:rFonts w:ascii="Palatino Linotype" w:hAnsi="Palatino Linotype"/>
        </w:rPr>
        <w:t>because the specified amount of RA could be higher or lower than the Qualifying Capacity or Net Qualifying Capacity.</w:t>
      </w:r>
      <w:r w:rsidR="00F05A3B" w:rsidRPr="00F05A3B">
        <w:rPr>
          <w:rStyle w:val="FootnoteReference"/>
          <w:rFonts w:ascii="Palatino Linotype" w:hAnsi="Palatino Linotype"/>
        </w:rPr>
        <w:t xml:space="preserve"> </w:t>
      </w:r>
      <w:r w:rsidR="00F05A3B">
        <w:rPr>
          <w:rStyle w:val="FootnoteReference"/>
          <w:rFonts w:ascii="Palatino Linotype" w:hAnsi="Palatino Linotype"/>
        </w:rPr>
        <w:footnoteReference w:id="37"/>
      </w:r>
      <w:r w:rsidR="009C6288">
        <w:rPr>
          <w:rFonts w:ascii="Palatino Linotype" w:hAnsi="Palatino Linotype"/>
        </w:rPr>
        <w:t xml:space="preserve">  To address the above recommendations, </w:t>
      </w:r>
      <w:r w:rsidR="00595221">
        <w:rPr>
          <w:rFonts w:ascii="Palatino Linotype" w:hAnsi="Palatino Linotype"/>
        </w:rPr>
        <w:t xml:space="preserve">NextEra </w:t>
      </w:r>
      <w:r w:rsidR="00B83CB1">
        <w:rPr>
          <w:rFonts w:ascii="Palatino Linotype" w:hAnsi="Palatino Linotype"/>
        </w:rPr>
        <w:t xml:space="preserve">recommends that SCE </w:t>
      </w:r>
      <w:r w:rsidR="009C6288">
        <w:rPr>
          <w:rFonts w:ascii="Palatino Linotype" w:hAnsi="Palatino Linotype"/>
        </w:rPr>
        <w:t xml:space="preserve">replace its proposed </w:t>
      </w:r>
      <w:r w:rsidR="00347CF0">
        <w:rPr>
          <w:rFonts w:ascii="Palatino Linotype" w:hAnsi="Palatino Linotype"/>
        </w:rPr>
        <w:t>provisions</w:t>
      </w:r>
      <w:r w:rsidR="009C6288">
        <w:rPr>
          <w:rFonts w:ascii="Palatino Linotype" w:hAnsi="Palatino Linotype"/>
        </w:rPr>
        <w:t xml:space="preserve"> with </w:t>
      </w:r>
      <w:r w:rsidR="00347CF0">
        <w:rPr>
          <w:rFonts w:ascii="Palatino Linotype" w:hAnsi="Palatino Linotype"/>
        </w:rPr>
        <w:t>the provisions</w:t>
      </w:r>
      <w:r w:rsidR="00B83CB1">
        <w:rPr>
          <w:rFonts w:ascii="Palatino Linotype" w:hAnsi="Palatino Linotype"/>
        </w:rPr>
        <w:t xml:space="preserve"> approved for its 2013 RPS </w:t>
      </w:r>
      <w:r w:rsidR="009C6288">
        <w:rPr>
          <w:rFonts w:ascii="Palatino Linotype" w:hAnsi="Palatino Linotype"/>
        </w:rPr>
        <w:t>solicitation</w:t>
      </w:r>
      <w:r w:rsidR="00595221">
        <w:rPr>
          <w:rFonts w:ascii="Palatino Linotype" w:hAnsi="Palatino Linotype"/>
        </w:rPr>
        <w:t xml:space="preserve">.  Third, </w:t>
      </w:r>
      <w:r>
        <w:rPr>
          <w:rFonts w:ascii="Palatino Linotype" w:hAnsi="Palatino Linotype"/>
        </w:rPr>
        <w:t xml:space="preserve">NextEra recommends additional </w:t>
      </w:r>
      <w:r w:rsidR="00595221">
        <w:rPr>
          <w:rFonts w:ascii="Palatino Linotype" w:hAnsi="Palatino Linotype"/>
        </w:rPr>
        <w:t xml:space="preserve">minor </w:t>
      </w:r>
      <w:r>
        <w:rPr>
          <w:rFonts w:ascii="Palatino Linotype" w:hAnsi="Palatino Linotype"/>
        </w:rPr>
        <w:t>revisions to Section 3.02 for clarification purposes related to RA Deficit Payment calculations.</w:t>
      </w:r>
      <w:r w:rsidR="00B05278">
        <w:rPr>
          <w:rFonts w:ascii="Palatino Linotype" w:hAnsi="Palatino Linotype"/>
        </w:rPr>
        <w:t xml:space="preserve">  Fourth, NextEra recommends that SCE’s pro forma PPA be modified to account for the increasing number of projects obtaining interim and partial deliverability such that they be recognized and treated as FCDS with regards to RA Guarantee Date and TOD factors.</w:t>
      </w:r>
      <w:r w:rsidR="006E1B73">
        <w:rPr>
          <w:rStyle w:val="FootnoteReference"/>
          <w:rFonts w:ascii="Palatino Linotype" w:hAnsi="Palatino Linotype"/>
        </w:rPr>
        <w:footnoteReference w:id="38"/>
      </w:r>
    </w:p>
    <w:p w:rsidR="00241376" w:rsidRDefault="00B83CB1" w:rsidP="0059383E">
      <w:pPr>
        <w:spacing w:after="120"/>
        <w:rPr>
          <w:rFonts w:ascii="Palatino Linotype" w:hAnsi="Palatino Linotype"/>
          <w:highlight w:val="yellow"/>
        </w:rPr>
      </w:pPr>
      <w:r w:rsidRPr="000429FE">
        <w:rPr>
          <w:rFonts w:ascii="Palatino Linotype" w:hAnsi="Palatino Linotype"/>
        </w:rPr>
        <w:t>In its reply, SCE states that it will accept incorporating NextEra’s recommendation of incorporating its 2013 RPS pro forma agreement terms, but not NextEra’s clarification recommendation because it is not necessary</w:t>
      </w:r>
      <w:r w:rsidR="00C04758" w:rsidRPr="000429FE">
        <w:rPr>
          <w:rFonts w:ascii="Palatino Linotype" w:hAnsi="Palatino Linotype"/>
        </w:rPr>
        <w:t xml:space="preserve"> as the language already incorporates NextEra’s concept</w:t>
      </w:r>
      <w:r w:rsidRPr="000429FE">
        <w:rPr>
          <w:rFonts w:ascii="Palatino Linotype" w:hAnsi="Palatino Linotype"/>
        </w:rPr>
        <w:t>.</w:t>
      </w:r>
      <w:r w:rsidR="00C04758" w:rsidRPr="000429FE">
        <w:rPr>
          <w:rStyle w:val="FootnoteReference"/>
          <w:rFonts w:ascii="Palatino Linotype" w:hAnsi="Palatino Linotype"/>
        </w:rPr>
        <w:footnoteReference w:id="39"/>
      </w:r>
      <w:r w:rsidR="00B05278" w:rsidRPr="000429FE">
        <w:rPr>
          <w:rFonts w:ascii="Palatino Linotype" w:hAnsi="Palatino Linotype"/>
        </w:rPr>
        <w:t xml:space="preserve">  Additionall</w:t>
      </w:r>
      <w:r w:rsidR="00313BF8" w:rsidRPr="000429FE">
        <w:rPr>
          <w:rFonts w:ascii="Palatino Linotype" w:hAnsi="Palatino Linotype"/>
        </w:rPr>
        <w:t xml:space="preserve">y, SCE asserts that it is not appropriate to further change its RAM pro forma PPA to accommodate interim and partially deliverable projects.  SCE states in its reply that it believes that the pro forma PPA already reasonably addresses both types of projects with respect to RA Deficit Payment provisions and to make further </w:t>
      </w:r>
      <w:r w:rsidR="000429FE">
        <w:rPr>
          <w:rFonts w:ascii="Palatino Linotype" w:hAnsi="Palatino Linotype"/>
        </w:rPr>
        <w:t>changes to accommodate partial</w:t>
      </w:r>
      <w:r w:rsidR="00287078">
        <w:rPr>
          <w:rFonts w:ascii="Palatino Linotype" w:hAnsi="Palatino Linotype"/>
        </w:rPr>
        <w:t>ly deliverable</w:t>
      </w:r>
      <w:r w:rsidR="000429FE">
        <w:rPr>
          <w:rFonts w:ascii="Palatino Linotype" w:hAnsi="Palatino Linotype"/>
        </w:rPr>
        <w:t xml:space="preserve"> projects </w:t>
      </w:r>
      <w:r w:rsidR="00313BF8" w:rsidRPr="000429FE">
        <w:rPr>
          <w:rFonts w:ascii="Palatino Linotype" w:hAnsi="Palatino Linotype"/>
        </w:rPr>
        <w:t>would be counter to the purposes of the RAM program to have a streamlined standard contract.</w:t>
      </w:r>
      <w:r w:rsidR="009525C3">
        <w:rPr>
          <w:rStyle w:val="FootnoteReference"/>
          <w:rFonts w:ascii="Palatino Linotype" w:hAnsi="Palatino Linotype"/>
        </w:rPr>
        <w:footnoteReference w:id="40"/>
      </w:r>
      <w:r w:rsidR="00313BF8" w:rsidRPr="000429FE">
        <w:rPr>
          <w:rFonts w:ascii="Palatino Linotype" w:hAnsi="Palatino Linotype"/>
        </w:rPr>
        <w:t xml:space="preserve">  SCE alternatively recommends that </w:t>
      </w:r>
      <w:r w:rsidR="000429FE">
        <w:rPr>
          <w:rFonts w:ascii="Palatino Linotype" w:hAnsi="Palatino Linotype"/>
        </w:rPr>
        <w:t xml:space="preserve">projects </w:t>
      </w:r>
      <w:r w:rsidR="00347CF0">
        <w:rPr>
          <w:rFonts w:ascii="Palatino Linotype" w:hAnsi="Palatino Linotype"/>
        </w:rPr>
        <w:t>with</w:t>
      </w:r>
      <w:r w:rsidR="000429FE">
        <w:rPr>
          <w:rFonts w:ascii="Palatino Linotype" w:hAnsi="Palatino Linotype"/>
        </w:rPr>
        <w:t xml:space="preserve"> th</w:t>
      </w:r>
      <w:r w:rsidR="00347CF0">
        <w:rPr>
          <w:rFonts w:ascii="Palatino Linotype" w:hAnsi="Palatino Linotype"/>
        </w:rPr>
        <w:t>ose</w:t>
      </w:r>
      <w:r w:rsidR="000429FE">
        <w:rPr>
          <w:rFonts w:ascii="Palatino Linotype" w:hAnsi="Palatino Linotype"/>
        </w:rPr>
        <w:t xml:space="preserve"> type</w:t>
      </w:r>
      <w:r w:rsidR="00347CF0">
        <w:rPr>
          <w:rFonts w:ascii="Palatino Linotype" w:hAnsi="Palatino Linotype"/>
        </w:rPr>
        <w:t>s of deliverability</w:t>
      </w:r>
      <w:r w:rsidR="000429FE">
        <w:rPr>
          <w:rFonts w:ascii="Palatino Linotype" w:hAnsi="Palatino Linotype"/>
        </w:rPr>
        <w:t xml:space="preserve"> participate in its annual solicitation where the PPA’s terms and conditions may be negotiated.</w:t>
      </w:r>
      <w:r w:rsidR="00790015">
        <w:rPr>
          <w:rFonts w:ascii="Palatino Linotype" w:hAnsi="Palatino Linotype"/>
        </w:rPr>
        <w:t xml:space="preserve">  Lastly, SCE argues that </w:t>
      </w:r>
      <w:r w:rsidR="00C03366">
        <w:rPr>
          <w:rFonts w:ascii="Palatino Linotype" w:hAnsi="Palatino Linotype"/>
        </w:rPr>
        <w:t xml:space="preserve">while it appreciates </w:t>
      </w:r>
      <w:r w:rsidR="00790015">
        <w:rPr>
          <w:rFonts w:ascii="Palatino Linotype" w:hAnsi="Palatino Linotype"/>
        </w:rPr>
        <w:t xml:space="preserve">Infigen’s </w:t>
      </w:r>
      <w:r w:rsidR="00C03366">
        <w:rPr>
          <w:rFonts w:ascii="Palatino Linotype" w:hAnsi="Palatino Linotype"/>
        </w:rPr>
        <w:t xml:space="preserve">position regarding RAM III and RAM IV contracts, its </w:t>
      </w:r>
      <w:r w:rsidR="00790015">
        <w:rPr>
          <w:rFonts w:ascii="Palatino Linotype" w:hAnsi="Palatino Linotype"/>
        </w:rPr>
        <w:t>recommendation to apply the changes to SCE’s</w:t>
      </w:r>
      <w:r w:rsidR="00E60270">
        <w:rPr>
          <w:rFonts w:ascii="Palatino Linotype" w:hAnsi="Palatino Linotype"/>
        </w:rPr>
        <w:t xml:space="preserve"> RAM </w:t>
      </w:r>
      <w:r w:rsidR="009525C3">
        <w:rPr>
          <w:rFonts w:ascii="Palatino Linotype" w:hAnsi="Palatino Linotype"/>
        </w:rPr>
        <w:t>III</w:t>
      </w:r>
      <w:r w:rsidR="00E60270">
        <w:rPr>
          <w:rFonts w:ascii="Palatino Linotype" w:hAnsi="Palatino Linotype"/>
        </w:rPr>
        <w:t xml:space="preserve"> and RAM </w:t>
      </w:r>
      <w:r w:rsidR="009525C3">
        <w:rPr>
          <w:rFonts w:ascii="Palatino Linotype" w:hAnsi="Palatino Linotype"/>
        </w:rPr>
        <w:t>IV</w:t>
      </w:r>
      <w:r w:rsidR="00E60270">
        <w:rPr>
          <w:rFonts w:ascii="Palatino Linotype" w:hAnsi="Palatino Linotype"/>
        </w:rPr>
        <w:t xml:space="preserve"> contracts is out of the scope of advice letter 3003-E</w:t>
      </w:r>
      <w:r w:rsidR="00C03366">
        <w:rPr>
          <w:rFonts w:ascii="Palatino Linotype" w:hAnsi="Palatino Linotype"/>
        </w:rPr>
        <w:t>.  SCE adds, however</w:t>
      </w:r>
      <w:r w:rsidR="00E60270">
        <w:rPr>
          <w:rFonts w:ascii="Palatino Linotype" w:hAnsi="Palatino Linotype"/>
        </w:rPr>
        <w:t xml:space="preserve">, that if the Commission should determine that such a change </w:t>
      </w:r>
      <w:r w:rsidR="00E60270" w:rsidRPr="00E60270">
        <w:rPr>
          <w:rFonts w:ascii="Palatino Linotype" w:hAnsi="Palatino Linotype"/>
        </w:rPr>
        <w:t>should be offered, the Commission could authorize SCE to make an amendment available to existing contracts.</w:t>
      </w:r>
    </w:p>
    <w:p w:rsidR="00287078" w:rsidRPr="00FB69FD" w:rsidRDefault="00287078" w:rsidP="0059383E">
      <w:pPr>
        <w:spacing w:after="120"/>
        <w:rPr>
          <w:rFonts w:ascii="Palatino Linotype" w:hAnsi="Palatino Linotype"/>
          <w:u w:val="single"/>
        </w:rPr>
      </w:pPr>
      <w:r w:rsidRPr="00FB69FD">
        <w:rPr>
          <w:rFonts w:ascii="Palatino Linotype" w:hAnsi="Palatino Linotype"/>
        </w:rPr>
        <w:t xml:space="preserve">The Commission accepts </w:t>
      </w:r>
      <w:r w:rsidR="009525C3">
        <w:rPr>
          <w:rFonts w:ascii="Palatino Linotype" w:hAnsi="Palatino Linotype"/>
        </w:rPr>
        <w:t xml:space="preserve">both </w:t>
      </w:r>
      <w:r w:rsidRPr="00FB69FD">
        <w:rPr>
          <w:rFonts w:ascii="Palatino Linotype" w:hAnsi="Palatino Linotype"/>
        </w:rPr>
        <w:t>NextEra’s protest</w:t>
      </w:r>
      <w:r w:rsidR="00790015" w:rsidRPr="00FB69FD">
        <w:rPr>
          <w:rFonts w:ascii="Palatino Linotype" w:hAnsi="Palatino Linotype"/>
        </w:rPr>
        <w:t xml:space="preserve"> and Infigen’s response</w:t>
      </w:r>
      <w:r w:rsidRPr="00FB69FD">
        <w:rPr>
          <w:rFonts w:ascii="Palatino Linotype" w:hAnsi="Palatino Linotype"/>
        </w:rPr>
        <w:t xml:space="preserve">, in part.  </w:t>
      </w:r>
      <w:r w:rsidR="006E1B73">
        <w:rPr>
          <w:rFonts w:ascii="Palatino Linotype" w:hAnsi="Palatino Linotype"/>
        </w:rPr>
        <w:t xml:space="preserve">SCE stated in its reply that it will conform its FCDS and Guaranteed RA quantity provisions to its 2013 RPS pro forma PPA provisions as recommended by NextEra.  </w:t>
      </w:r>
      <w:r w:rsidR="004828ED">
        <w:rPr>
          <w:rFonts w:ascii="Palatino Linotype" w:hAnsi="Palatino Linotype"/>
        </w:rPr>
        <w:t xml:space="preserve">However, SCE notes that additional clarifications and modifications </w:t>
      </w:r>
      <w:r w:rsidR="002F7E1C">
        <w:rPr>
          <w:rFonts w:ascii="Palatino Linotype" w:hAnsi="Palatino Linotype"/>
        </w:rPr>
        <w:t xml:space="preserve">to its provisions </w:t>
      </w:r>
      <w:r w:rsidR="004828ED">
        <w:rPr>
          <w:rFonts w:ascii="Palatino Linotype" w:hAnsi="Palatino Linotype"/>
        </w:rPr>
        <w:t>are not needed</w:t>
      </w:r>
      <w:r w:rsidR="00641302" w:rsidRPr="00641302">
        <w:rPr>
          <w:rFonts w:ascii="Palatino Linotype" w:hAnsi="Palatino Linotype"/>
        </w:rPr>
        <w:t xml:space="preserve"> </w:t>
      </w:r>
      <w:r w:rsidR="00641302">
        <w:rPr>
          <w:rFonts w:ascii="Palatino Linotype" w:hAnsi="Palatino Linotype"/>
        </w:rPr>
        <w:t xml:space="preserve">and further modification </w:t>
      </w:r>
      <w:r w:rsidR="002F7E1C">
        <w:rPr>
          <w:rFonts w:ascii="Palatino Linotype" w:hAnsi="Palatino Linotype"/>
        </w:rPr>
        <w:t>would be</w:t>
      </w:r>
      <w:r w:rsidR="00641302">
        <w:rPr>
          <w:rFonts w:ascii="Palatino Linotype" w:hAnsi="Palatino Linotype"/>
        </w:rPr>
        <w:t xml:space="preserve"> inconsistent with the </w:t>
      </w:r>
      <w:r w:rsidR="00641302" w:rsidRPr="00FB69FD">
        <w:rPr>
          <w:rFonts w:ascii="Palatino Linotype" w:hAnsi="Palatino Linotype"/>
        </w:rPr>
        <w:t>RAM program</w:t>
      </w:r>
      <w:r w:rsidR="00641302">
        <w:rPr>
          <w:rFonts w:ascii="Palatino Linotype" w:hAnsi="Palatino Linotype"/>
        </w:rPr>
        <w:t xml:space="preserve"> </w:t>
      </w:r>
      <w:r w:rsidR="00641302" w:rsidRPr="00FB69FD">
        <w:rPr>
          <w:rFonts w:ascii="Palatino Linotype" w:hAnsi="Palatino Linotype"/>
        </w:rPr>
        <w:t>goal of a streamlined procurement process</w:t>
      </w:r>
      <w:r w:rsidR="004828ED">
        <w:rPr>
          <w:rFonts w:ascii="Palatino Linotype" w:hAnsi="Palatino Linotype"/>
        </w:rPr>
        <w:t xml:space="preserve">.  </w:t>
      </w:r>
      <w:r w:rsidR="00347CF0">
        <w:rPr>
          <w:rFonts w:ascii="Palatino Linotype" w:hAnsi="Palatino Linotype"/>
        </w:rPr>
        <w:t>W</w:t>
      </w:r>
      <w:r w:rsidR="006E1B73">
        <w:rPr>
          <w:rFonts w:ascii="Palatino Linotype" w:hAnsi="Palatino Linotype"/>
        </w:rPr>
        <w:t xml:space="preserve">hile we agree with NextEra that there are more projects obtaining interim or partial deliverability, it is not clear that accommodating those projects within RAM is necessary at this time.  </w:t>
      </w:r>
      <w:r w:rsidRPr="00FB69FD">
        <w:rPr>
          <w:rFonts w:ascii="Palatino Linotype" w:hAnsi="Palatino Linotype"/>
        </w:rPr>
        <w:t xml:space="preserve">Accordingly, </w:t>
      </w:r>
      <w:r w:rsidR="00347CF0">
        <w:rPr>
          <w:rFonts w:ascii="Palatino Linotype" w:hAnsi="Palatino Linotype"/>
        </w:rPr>
        <w:t xml:space="preserve">we agree with SCE and </w:t>
      </w:r>
      <w:r w:rsidRPr="00FB69FD">
        <w:rPr>
          <w:rFonts w:ascii="Palatino Linotype" w:hAnsi="Palatino Linotype"/>
        </w:rPr>
        <w:t>t</w:t>
      </w:r>
      <w:r w:rsidR="00B87A52" w:rsidRPr="00FB69FD">
        <w:rPr>
          <w:rFonts w:ascii="Palatino Linotype" w:hAnsi="Palatino Linotype"/>
        </w:rPr>
        <w:t xml:space="preserve">he Commission finds that </w:t>
      </w:r>
      <w:r w:rsidR="00B87A52" w:rsidRPr="00FB69FD">
        <w:rPr>
          <w:rFonts w:ascii="Palatino Linotype" w:hAnsi="Palatino Linotype"/>
          <w:u w:val="single"/>
        </w:rPr>
        <w:t xml:space="preserve">SCE’s </w:t>
      </w:r>
      <w:r w:rsidRPr="00FB69FD">
        <w:rPr>
          <w:rFonts w:ascii="Palatino Linotype" w:hAnsi="Palatino Linotype"/>
          <w:u w:val="single"/>
        </w:rPr>
        <w:t>revised proposed pro forma PPA terms related to FCDS and Guaranteed RA Quantity are reasonable for its RAM</w:t>
      </w:r>
      <w:r w:rsidR="00790015" w:rsidRPr="00FB69FD">
        <w:rPr>
          <w:rFonts w:ascii="Palatino Linotype" w:hAnsi="Palatino Linotype"/>
          <w:u w:val="single"/>
        </w:rPr>
        <w:t xml:space="preserve"> V</w:t>
      </w:r>
      <w:r w:rsidRPr="00FB69FD">
        <w:rPr>
          <w:rFonts w:ascii="Palatino Linotype" w:hAnsi="Palatino Linotype"/>
          <w:u w:val="single"/>
        </w:rPr>
        <w:t xml:space="preserve"> pro forma PPA.</w:t>
      </w:r>
      <w:r w:rsidR="00790015" w:rsidRPr="00FB69FD">
        <w:rPr>
          <w:rFonts w:ascii="Palatino Linotype" w:hAnsi="Palatino Linotype"/>
          <w:u w:val="single"/>
        </w:rPr>
        <w:t xml:space="preserve">  </w:t>
      </w:r>
    </w:p>
    <w:p w:rsidR="004B367A" w:rsidRDefault="0087586F" w:rsidP="0059383E">
      <w:pPr>
        <w:spacing w:after="120"/>
        <w:rPr>
          <w:rFonts w:ascii="Palatino Linotype" w:hAnsi="Palatino Linotype"/>
          <w:u w:val="single"/>
        </w:rPr>
      </w:pPr>
      <w:r w:rsidRPr="00FB69FD">
        <w:rPr>
          <w:rFonts w:ascii="Palatino Linotype" w:hAnsi="Palatino Linotype"/>
        </w:rPr>
        <w:t>The Commission declines to adopt Infigen’s recommendation to extend SCE’s FCDS and Guarante</w:t>
      </w:r>
      <w:r w:rsidR="00F0699E" w:rsidRPr="00FB69FD">
        <w:rPr>
          <w:rFonts w:ascii="Palatino Linotype" w:hAnsi="Palatino Linotype"/>
        </w:rPr>
        <w:t>e</w:t>
      </w:r>
      <w:r w:rsidRPr="00FB69FD">
        <w:rPr>
          <w:rFonts w:ascii="Palatino Linotype" w:hAnsi="Palatino Linotype"/>
        </w:rPr>
        <w:t xml:space="preserve">d RA Quantity provisions to RAM </w:t>
      </w:r>
      <w:r w:rsidR="009525C3">
        <w:rPr>
          <w:rFonts w:ascii="Palatino Linotype" w:hAnsi="Palatino Linotype"/>
        </w:rPr>
        <w:t>III</w:t>
      </w:r>
      <w:r w:rsidRPr="00FB69FD">
        <w:rPr>
          <w:rFonts w:ascii="Palatino Linotype" w:hAnsi="Palatino Linotype"/>
        </w:rPr>
        <w:t xml:space="preserve"> and RAM </w:t>
      </w:r>
      <w:r w:rsidR="009525C3">
        <w:rPr>
          <w:rFonts w:ascii="Palatino Linotype" w:hAnsi="Palatino Linotype"/>
        </w:rPr>
        <w:t>IV</w:t>
      </w:r>
      <w:r w:rsidRPr="00FB69FD">
        <w:rPr>
          <w:rFonts w:ascii="Palatino Linotype" w:hAnsi="Palatino Linotype"/>
        </w:rPr>
        <w:t xml:space="preserve"> contracts.  </w:t>
      </w:r>
      <w:r w:rsidR="00F0699E" w:rsidRPr="00FB69FD">
        <w:rPr>
          <w:rFonts w:ascii="Palatino Linotype" w:hAnsi="Palatino Linotype"/>
        </w:rPr>
        <w:t xml:space="preserve">While </w:t>
      </w:r>
      <w:r w:rsidR="00BB3ED9">
        <w:rPr>
          <w:rFonts w:ascii="Palatino Linotype" w:hAnsi="Palatino Linotype"/>
        </w:rPr>
        <w:t xml:space="preserve">we agree with </w:t>
      </w:r>
      <w:r w:rsidR="00F0699E" w:rsidRPr="00FB69FD">
        <w:rPr>
          <w:rFonts w:ascii="Palatino Linotype" w:hAnsi="Palatino Linotype"/>
        </w:rPr>
        <w:t>Infigen</w:t>
      </w:r>
      <w:r w:rsidR="00BB3ED9">
        <w:rPr>
          <w:rFonts w:ascii="Palatino Linotype" w:hAnsi="Palatino Linotype"/>
        </w:rPr>
        <w:t>’s</w:t>
      </w:r>
      <w:r w:rsidR="00F0699E" w:rsidRPr="00FB69FD">
        <w:rPr>
          <w:rFonts w:ascii="Palatino Linotype" w:hAnsi="Palatino Linotype"/>
        </w:rPr>
        <w:t xml:space="preserve"> assert</w:t>
      </w:r>
      <w:r w:rsidR="00BB3ED9">
        <w:rPr>
          <w:rFonts w:ascii="Palatino Linotype" w:hAnsi="Palatino Linotype"/>
        </w:rPr>
        <w:t>ion</w:t>
      </w:r>
      <w:r w:rsidR="00F0699E" w:rsidRPr="00FB69FD">
        <w:rPr>
          <w:rFonts w:ascii="Palatino Linotype" w:hAnsi="Palatino Linotype"/>
        </w:rPr>
        <w:t xml:space="preserve">s that there are currently detrimental effects due to SCE’s prior FCDS and Guaranteed RA provisions in existing RAM </w:t>
      </w:r>
      <w:r w:rsidR="00BE06A6" w:rsidRPr="00FB69FD">
        <w:rPr>
          <w:rFonts w:ascii="Palatino Linotype" w:hAnsi="Palatino Linotype"/>
        </w:rPr>
        <w:t>III</w:t>
      </w:r>
      <w:r w:rsidR="00F0699E" w:rsidRPr="00FB69FD">
        <w:rPr>
          <w:rFonts w:ascii="Palatino Linotype" w:hAnsi="Palatino Linotype"/>
        </w:rPr>
        <w:t xml:space="preserve"> and RAM </w:t>
      </w:r>
      <w:r w:rsidR="00BE06A6" w:rsidRPr="00FB69FD">
        <w:rPr>
          <w:rFonts w:ascii="Palatino Linotype" w:hAnsi="Palatino Linotype"/>
        </w:rPr>
        <w:t>IV</w:t>
      </w:r>
      <w:r w:rsidR="00F0699E" w:rsidRPr="00FB69FD">
        <w:rPr>
          <w:rFonts w:ascii="Palatino Linotype" w:hAnsi="Palatino Linotype"/>
        </w:rPr>
        <w:t xml:space="preserve"> contracts,</w:t>
      </w:r>
      <w:r w:rsidR="00347CF0">
        <w:rPr>
          <w:rFonts w:ascii="Palatino Linotype" w:hAnsi="Palatino Linotype"/>
        </w:rPr>
        <w:t xml:space="preserve"> we </w:t>
      </w:r>
      <w:r w:rsidR="00BB3ED9">
        <w:rPr>
          <w:rFonts w:ascii="Palatino Linotype" w:hAnsi="Palatino Linotype"/>
        </w:rPr>
        <w:t xml:space="preserve">also </w:t>
      </w:r>
      <w:r w:rsidR="00347CF0">
        <w:rPr>
          <w:rFonts w:ascii="Palatino Linotype" w:hAnsi="Palatino Linotype"/>
        </w:rPr>
        <w:t xml:space="preserve">agree with SCE that </w:t>
      </w:r>
      <w:r w:rsidR="00F0699E" w:rsidRPr="00FB69FD">
        <w:rPr>
          <w:rFonts w:ascii="Palatino Linotype" w:hAnsi="Palatino Linotype"/>
        </w:rPr>
        <w:t>those contracts are not the subject of advice letter 3003-E.  T</w:t>
      </w:r>
      <w:r w:rsidR="00ED484F" w:rsidRPr="00FB69FD">
        <w:rPr>
          <w:rFonts w:ascii="Palatino Linotype" w:hAnsi="Palatino Linotype"/>
        </w:rPr>
        <w:t>he Commission</w:t>
      </w:r>
      <w:r w:rsidR="00F0699E" w:rsidRPr="00FB69FD">
        <w:rPr>
          <w:rFonts w:ascii="Palatino Linotype" w:hAnsi="Palatino Linotype"/>
        </w:rPr>
        <w:t>, however,</w:t>
      </w:r>
      <w:r w:rsidR="00ED484F" w:rsidRPr="00FB69FD">
        <w:rPr>
          <w:rFonts w:ascii="Palatino Linotype" w:hAnsi="Palatino Linotype"/>
        </w:rPr>
        <w:t xml:space="preserve"> </w:t>
      </w:r>
      <w:r w:rsidR="00F0699E" w:rsidRPr="00FB69FD">
        <w:rPr>
          <w:rFonts w:ascii="Palatino Linotype" w:hAnsi="Palatino Linotype"/>
        </w:rPr>
        <w:t xml:space="preserve">authorizes SCE to </w:t>
      </w:r>
      <w:r w:rsidR="00F0699E" w:rsidRPr="00F0699E">
        <w:rPr>
          <w:rFonts w:ascii="Palatino Linotype" w:hAnsi="Palatino Linotype"/>
        </w:rPr>
        <w:t xml:space="preserve">offer an amendment to PPAs executed as a result SCE’s RAM III and RAM IV solicitations to align the FCDS and RA Guarantee </w:t>
      </w:r>
      <w:r w:rsidR="00F0699E" w:rsidRPr="00BE06A6">
        <w:rPr>
          <w:rFonts w:ascii="Palatino Linotype" w:hAnsi="Palatino Linotype"/>
        </w:rPr>
        <w:t>provisions</w:t>
      </w:r>
      <w:r w:rsidR="00BE06A6" w:rsidRPr="00BE06A6">
        <w:rPr>
          <w:rFonts w:ascii="Palatino Linotype" w:hAnsi="Palatino Linotype"/>
        </w:rPr>
        <w:t xml:space="preserve"> with those approved in this Resolution</w:t>
      </w:r>
      <w:r w:rsidR="00F0699E" w:rsidRPr="00BE06A6">
        <w:rPr>
          <w:rFonts w:ascii="Palatino Linotype" w:hAnsi="Palatino Linotype"/>
        </w:rPr>
        <w:t xml:space="preserve">.  </w:t>
      </w:r>
      <w:r w:rsidR="00F0699E" w:rsidRPr="00BE06A6">
        <w:rPr>
          <w:rFonts w:ascii="Palatino Linotype" w:hAnsi="Palatino Linotype"/>
          <w:u w:val="single"/>
        </w:rPr>
        <w:t xml:space="preserve">Within 30 days of the effective date of this resolution, </w:t>
      </w:r>
      <w:r w:rsidR="00BE06A6" w:rsidRPr="00BE06A6">
        <w:rPr>
          <w:rFonts w:ascii="Palatino Linotype" w:hAnsi="Palatino Linotype"/>
          <w:u w:val="single"/>
        </w:rPr>
        <w:t>SCE</w:t>
      </w:r>
      <w:r w:rsidR="00F0699E" w:rsidRPr="00BE06A6">
        <w:rPr>
          <w:rFonts w:ascii="Palatino Linotype" w:hAnsi="Palatino Linotype"/>
          <w:u w:val="single"/>
        </w:rPr>
        <w:t xml:space="preserve"> may file a Tier 2 advice letter requesting approval of amendments made to </w:t>
      </w:r>
      <w:r w:rsidR="00FB69FD">
        <w:rPr>
          <w:rFonts w:ascii="Palatino Linotype" w:hAnsi="Palatino Linotype"/>
          <w:u w:val="single"/>
        </w:rPr>
        <w:t xml:space="preserve">its executed </w:t>
      </w:r>
      <w:r w:rsidR="00BE06A6">
        <w:rPr>
          <w:rFonts w:ascii="Palatino Linotype" w:hAnsi="Palatino Linotype"/>
          <w:u w:val="single"/>
        </w:rPr>
        <w:t xml:space="preserve">RAM III and RAM IV </w:t>
      </w:r>
      <w:r w:rsidR="00F0699E" w:rsidRPr="00BE06A6">
        <w:rPr>
          <w:rFonts w:ascii="Palatino Linotype" w:hAnsi="Palatino Linotype"/>
          <w:u w:val="single"/>
        </w:rPr>
        <w:t xml:space="preserve">PPAs to conform </w:t>
      </w:r>
      <w:r w:rsidR="00BE06A6">
        <w:rPr>
          <w:rFonts w:ascii="Palatino Linotype" w:hAnsi="Palatino Linotype"/>
          <w:u w:val="single"/>
        </w:rPr>
        <w:t xml:space="preserve">the PPAs </w:t>
      </w:r>
      <w:r w:rsidR="00F0699E" w:rsidRPr="00BE06A6">
        <w:rPr>
          <w:rFonts w:ascii="Palatino Linotype" w:hAnsi="Palatino Linotype"/>
          <w:u w:val="single"/>
        </w:rPr>
        <w:t xml:space="preserve">to the </w:t>
      </w:r>
      <w:r w:rsidR="00BE06A6" w:rsidRPr="00BE06A6">
        <w:rPr>
          <w:rFonts w:ascii="Palatino Linotype" w:hAnsi="Palatino Linotype"/>
          <w:u w:val="single"/>
        </w:rPr>
        <w:t>FCDS and Guaranteed RA provisions approved in this Resolution</w:t>
      </w:r>
      <w:r w:rsidR="00F0699E" w:rsidRPr="00BE06A6">
        <w:rPr>
          <w:rFonts w:ascii="Palatino Linotype" w:hAnsi="Palatino Linotype"/>
          <w:u w:val="single"/>
        </w:rPr>
        <w:t>.</w:t>
      </w:r>
      <w:r w:rsidR="00F0699E">
        <w:rPr>
          <w:rFonts w:ascii="Palatino Linotype" w:hAnsi="Palatino Linotype"/>
          <w:u w:val="single"/>
        </w:rPr>
        <w:t xml:space="preserve">  </w:t>
      </w:r>
    </w:p>
    <w:p w:rsidR="004B367A" w:rsidRDefault="004B367A" w:rsidP="0059383E">
      <w:pPr>
        <w:spacing w:after="120"/>
        <w:rPr>
          <w:rFonts w:ascii="Palatino Linotype" w:hAnsi="Palatino Linotype"/>
        </w:rPr>
      </w:pPr>
      <w:r>
        <w:rPr>
          <w:rFonts w:ascii="Palatino Linotype" w:hAnsi="Palatino Linotype"/>
        </w:rPr>
        <w:t>In AL 4365-E, PG&amp;E requests approval to modify the date by which FCDS projects must achieve FCDS from December 31, 2021 to December 31, 2024.  PG&amp;E asserts that the modification is consistent with its original RAM pro forma PPA and is consistent with the time required for network upgrades to be completed.</w:t>
      </w:r>
      <w:r w:rsidR="004828ED">
        <w:rPr>
          <w:rStyle w:val="FootnoteReference"/>
          <w:rFonts w:ascii="Palatino Linotype" w:hAnsi="Palatino Linotype"/>
        </w:rPr>
        <w:footnoteReference w:id="41"/>
      </w:r>
      <w:r w:rsidR="007B5AA4">
        <w:rPr>
          <w:rFonts w:ascii="Palatino Linotype" w:hAnsi="Palatino Linotype"/>
        </w:rPr>
        <w:t xml:space="preserve">  In its protest to PG&amp;E AL 4365-E, NextEra supports the proposed modification asserting that the change maintains consistency in the relevant time period across RAM PPAs.</w:t>
      </w:r>
      <w:r w:rsidR="007B5AA4">
        <w:rPr>
          <w:rStyle w:val="FootnoteReference"/>
          <w:rFonts w:ascii="Palatino Linotype" w:hAnsi="Palatino Linotype"/>
        </w:rPr>
        <w:footnoteReference w:id="42"/>
      </w:r>
    </w:p>
    <w:p w:rsidR="003E694D" w:rsidRDefault="00396B14" w:rsidP="00290D69">
      <w:pPr>
        <w:spacing w:after="240"/>
        <w:rPr>
          <w:rFonts w:ascii="Palatino Linotype" w:hAnsi="Palatino Linotype"/>
          <w:b/>
          <w:i/>
        </w:rPr>
      </w:pPr>
      <w:r>
        <w:rPr>
          <w:rFonts w:ascii="Palatino Linotype" w:hAnsi="Palatino Linotype"/>
        </w:rPr>
        <w:t xml:space="preserve">The </w:t>
      </w:r>
      <w:r w:rsidR="00847430" w:rsidRPr="002F7E1C">
        <w:rPr>
          <w:rFonts w:ascii="Palatino Linotype" w:hAnsi="Palatino Linotype"/>
        </w:rPr>
        <w:t xml:space="preserve">Commission </w:t>
      </w:r>
      <w:r>
        <w:rPr>
          <w:rFonts w:ascii="Palatino Linotype" w:hAnsi="Palatino Linotype"/>
        </w:rPr>
        <w:t xml:space="preserve">agrees with PG&amp;E </w:t>
      </w:r>
      <w:r w:rsidR="007B5AA4">
        <w:rPr>
          <w:rFonts w:ascii="Palatino Linotype" w:hAnsi="Palatino Linotype"/>
        </w:rPr>
        <w:t xml:space="preserve">and NextEra </w:t>
      </w:r>
      <w:r>
        <w:rPr>
          <w:rFonts w:ascii="Palatino Linotype" w:hAnsi="Palatino Linotype"/>
        </w:rPr>
        <w:t>that it is reasonable to modify the date given that it is being extended by three years and it is three years later than when the provision was first implement</w:t>
      </w:r>
      <w:r w:rsidR="00347CF0">
        <w:rPr>
          <w:rFonts w:ascii="Palatino Linotype" w:hAnsi="Palatino Linotype"/>
        </w:rPr>
        <w:t>ed</w:t>
      </w:r>
      <w:r>
        <w:rPr>
          <w:rFonts w:ascii="Palatino Linotype" w:hAnsi="Palatino Linotype"/>
        </w:rPr>
        <w:t xml:space="preserve">.  Therefore, </w:t>
      </w:r>
      <w:r w:rsidRPr="00C57D49">
        <w:rPr>
          <w:rFonts w:ascii="Palatino Linotype" w:hAnsi="Palatino Linotype"/>
          <w:u w:val="single"/>
        </w:rPr>
        <w:t xml:space="preserve">the Commission </w:t>
      </w:r>
      <w:r w:rsidR="00847430" w:rsidRPr="00C57D49">
        <w:rPr>
          <w:rFonts w:ascii="Palatino Linotype" w:hAnsi="Palatino Linotype"/>
          <w:u w:val="single"/>
        </w:rPr>
        <w:t>finds</w:t>
      </w:r>
      <w:r w:rsidR="002F7E1C" w:rsidRPr="00C57D49">
        <w:rPr>
          <w:rFonts w:ascii="Palatino Linotype" w:hAnsi="Palatino Linotype"/>
          <w:u w:val="single"/>
        </w:rPr>
        <w:t xml:space="preserve"> </w:t>
      </w:r>
      <w:r w:rsidRPr="00C57D49">
        <w:rPr>
          <w:rFonts w:ascii="Palatino Linotype" w:hAnsi="Palatino Linotype"/>
          <w:u w:val="single"/>
        </w:rPr>
        <w:t xml:space="preserve">that </w:t>
      </w:r>
      <w:r w:rsidR="002F7E1C" w:rsidRPr="00C57D49">
        <w:rPr>
          <w:rFonts w:ascii="Palatino Linotype" w:hAnsi="Palatino Linotype"/>
          <w:u w:val="single"/>
        </w:rPr>
        <w:t xml:space="preserve">PG&amp;E’s requested modification for modifying the date by which projects </w:t>
      </w:r>
      <w:r w:rsidR="00347CF0">
        <w:rPr>
          <w:rFonts w:ascii="Palatino Linotype" w:hAnsi="Palatino Linotype"/>
          <w:u w:val="single"/>
        </w:rPr>
        <w:t>must</w:t>
      </w:r>
      <w:r w:rsidR="002F7E1C" w:rsidRPr="00C57D49">
        <w:rPr>
          <w:rFonts w:ascii="Palatino Linotype" w:hAnsi="Palatino Linotype"/>
          <w:u w:val="single"/>
        </w:rPr>
        <w:t xml:space="preserve"> achieve FCDS </w:t>
      </w:r>
      <w:r w:rsidRPr="00C57D49">
        <w:rPr>
          <w:rFonts w:ascii="Palatino Linotype" w:hAnsi="Palatino Linotype"/>
          <w:u w:val="single"/>
        </w:rPr>
        <w:t xml:space="preserve">is </w:t>
      </w:r>
      <w:r w:rsidR="002F7E1C" w:rsidRPr="00C57D49">
        <w:rPr>
          <w:rFonts w:ascii="Palatino Linotype" w:hAnsi="Palatino Linotype"/>
          <w:u w:val="single"/>
        </w:rPr>
        <w:t>reasonable</w:t>
      </w:r>
      <w:r w:rsidR="00D774DC">
        <w:rPr>
          <w:rFonts w:ascii="Palatino Linotype" w:hAnsi="Palatino Linotype"/>
          <w:u w:val="single"/>
        </w:rPr>
        <w:t xml:space="preserve"> and authorizes SCE and SDG&amp;E to adopt the same provision</w:t>
      </w:r>
      <w:r w:rsidR="002F7E1C" w:rsidRPr="002F7E1C">
        <w:rPr>
          <w:rFonts w:ascii="Palatino Linotype" w:hAnsi="Palatino Linotype"/>
        </w:rPr>
        <w:t>.</w:t>
      </w:r>
    </w:p>
    <w:p w:rsidR="00DB4FCC" w:rsidRDefault="00DB4FCC" w:rsidP="0059383E">
      <w:pPr>
        <w:spacing w:after="120"/>
        <w:rPr>
          <w:rFonts w:ascii="Palatino Linotype" w:hAnsi="Palatino Linotype"/>
          <w:b/>
          <w:i/>
        </w:rPr>
      </w:pPr>
      <w:r w:rsidRPr="00DB4FCC">
        <w:rPr>
          <w:rFonts w:ascii="Palatino Linotype" w:hAnsi="Palatino Linotype"/>
          <w:b/>
          <w:i/>
        </w:rPr>
        <w:t>(</w:t>
      </w:r>
      <w:r w:rsidRPr="00986CF9">
        <w:rPr>
          <w:rFonts w:ascii="Palatino Linotype" w:hAnsi="Palatino Linotype"/>
          <w:b/>
          <w:i/>
        </w:rPr>
        <w:t>5</w:t>
      </w:r>
      <w:r w:rsidRPr="00DB4FCC">
        <w:rPr>
          <w:rFonts w:ascii="Palatino Linotype" w:hAnsi="Palatino Linotype"/>
          <w:b/>
          <w:i/>
        </w:rPr>
        <w:t xml:space="preserve">) Shared Facilities </w:t>
      </w:r>
    </w:p>
    <w:p w:rsidR="00550BA1" w:rsidRPr="00550BA1" w:rsidRDefault="00550BA1" w:rsidP="0059383E">
      <w:pPr>
        <w:spacing w:after="120"/>
        <w:rPr>
          <w:rFonts w:ascii="Palatino Linotype" w:hAnsi="Palatino Linotype"/>
        </w:rPr>
      </w:pPr>
      <w:r w:rsidRPr="00550BA1">
        <w:rPr>
          <w:rFonts w:ascii="Palatino Linotype" w:hAnsi="Palatino Linotype"/>
        </w:rPr>
        <w:t>In advice letter 3003-E</w:t>
      </w:r>
      <w:r w:rsidR="00C70439">
        <w:rPr>
          <w:rFonts w:ascii="Palatino Linotype" w:hAnsi="Palatino Linotype"/>
        </w:rPr>
        <w:t>,</w:t>
      </w:r>
      <w:r w:rsidRPr="00550BA1">
        <w:rPr>
          <w:rFonts w:ascii="Palatino Linotype" w:hAnsi="Palatino Linotype"/>
        </w:rPr>
        <w:t xml:space="preserve"> SCE requests approval to integrate its previously separate consent agreement regarding shared facilities into its RAM pro forma PPA.  SCE asserts that adding these terms simplify the contracting and approval process as well as ensure that all offer</w:t>
      </w:r>
      <w:r w:rsidR="00582040">
        <w:rPr>
          <w:rFonts w:ascii="Palatino Linotype" w:hAnsi="Palatino Linotype"/>
        </w:rPr>
        <w:t>o</w:t>
      </w:r>
      <w:r w:rsidRPr="00550BA1">
        <w:rPr>
          <w:rFonts w:ascii="Palatino Linotype" w:hAnsi="Palatino Linotype"/>
        </w:rPr>
        <w:t xml:space="preserve">rs are informed as to the program requirements and RAM provisions related to shared </w:t>
      </w:r>
      <w:r w:rsidR="00D0459F">
        <w:rPr>
          <w:rFonts w:ascii="Palatino Linotype" w:hAnsi="Palatino Linotype"/>
        </w:rPr>
        <w:t xml:space="preserve">interconnection </w:t>
      </w:r>
      <w:r w:rsidRPr="00550BA1">
        <w:rPr>
          <w:rFonts w:ascii="Palatino Linotype" w:hAnsi="Palatino Linotype"/>
        </w:rPr>
        <w:t>facilities.</w:t>
      </w:r>
      <w:r w:rsidR="00C70439">
        <w:rPr>
          <w:rStyle w:val="FootnoteReference"/>
          <w:rFonts w:ascii="Palatino Linotype" w:hAnsi="Palatino Linotype"/>
        </w:rPr>
        <w:footnoteReference w:id="43"/>
      </w:r>
      <w:r w:rsidRPr="00550BA1">
        <w:rPr>
          <w:rFonts w:ascii="Palatino Linotype" w:hAnsi="Palatino Linotype"/>
        </w:rPr>
        <w:t xml:space="preserve"> </w:t>
      </w:r>
      <w:r w:rsidR="004306C6" w:rsidRPr="00550BA1">
        <w:rPr>
          <w:rFonts w:ascii="Palatino Linotype" w:hAnsi="Palatino Linotype"/>
        </w:rPr>
        <w:t xml:space="preserve"> </w:t>
      </w:r>
    </w:p>
    <w:p w:rsidR="00E4304B" w:rsidRDefault="0004282F" w:rsidP="0059383E">
      <w:pPr>
        <w:spacing w:after="120"/>
        <w:rPr>
          <w:rFonts w:ascii="Palatino Linotype" w:hAnsi="Palatino Linotype"/>
        </w:rPr>
      </w:pPr>
      <w:r>
        <w:rPr>
          <w:rFonts w:ascii="Palatino Linotype" w:hAnsi="Palatino Linotype"/>
        </w:rPr>
        <w:t>In advice letter 4365-E, PG&amp;E requests the a</w:t>
      </w:r>
      <w:r w:rsidRPr="00550BA1">
        <w:rPr>
          <w:rFonts w:ascii="Palatino Linotype" w:hAnsi="Palatino Linotype"/>
        </w:rPr>
        <w:t xml:space="preserve">ddition of </w:t>
      </w:r>
      <w:r>
        <w:rPr>
          <w:rFonts w:ascii="Palatino Linotype" w:hAnsi="Palatino Linotype"/>
        </w:rPr>
        <w:t xml:space="preserve">a </w:t>
      </w:r>
      <w:r w:rsidRPr="00550BA1">
        <w:rPr>
          <w:rFonts w:ascii="Palatino Linotype" w:hAnsi="Palatino Linotype"/>
        </w:rPr>
        <w:t xml:space="preserve">requirement that </w:t>
      </w:r>
      <w:r>
        <w:rPr>
          <w:rFonts w:ascii="Palatino Linotype" w:hAnsi="Palatino Linotype"/>
        </w:rPr>
        <w:t>s</w:t>
      </w:r>
      <w:r w:rsidRPr="00550BA1">
        <w:rPr>
          <w:rFonts w:ascii="Palatino Linotype" w:hAnsi="Palatino Linotype"/>
        </w:rPr>
        <w:t>ellers provide separate high-side metering and separate step-up transformers for each project.</w:t>
      </w:r>
      <w:r>
        <w:rPr>
          <w:rFonts w:ascii="Palatino Linotype" w:hAnsi="Palatino Linotype"/>
        </w:rPr>
        <w:t xml:space="preserve"> PG&amp;E asserts that the modification ensures that sellers are not breaking up or subdividing larger projects and that the interconnection study costs are not allocated across multiple projects.</w:t>
      </w:r>
      <w:r w:rsidR="00C70439">
        <w:rPr>
          <w:rStyle w:val="FootnoteReference"/>
          <w:rFonts w:ascii="Palatino Linotype" w:hAnsi="Palatino Linotype"/>
        </w:rPr>
        <w:footnoteReference w:id="44"/>
      </w:r>
    </w:p>
    <w:p w:rsidR="007C1A21" w:rsidRDefault="0076527D" w:rsidP="0059383E">
      <w:pPr>
        <w:spacing w:after="120"/>
        <w:rPr>
          <w:rFonts w:ascii="Palatino Linotype" w:hAnsi="Palatino Linotype"/>
        </w:rPr>
      </w:pPr>
      <w:r>
        <w:rPr>
          <w:rFonts w:ascii="Palatino Linotype" w:hAnsi="Palatino Linotype"/>
        </w:rPr>
        <w:t>In its protest to PG&amp;E advice letter 4365-E, NextEra supports PG&amp;E’s proposal as being consistent with the RAM program</w:t>
      </w:r>
      <w:r w:rsidR="007C1A21">
        <w:rPr>
          <w:rFonts w:ascii="Palatino Linotype" w:hAnsi="Palatino Linotype"/>
        </w:rPr>
        <w:t xml:space="preserve">, but also notes that it would support PG&amp;E adopting SCE’s approach because it may result in lower costs </w:t>
      </w:r>
      <w:r w:rsidR="00347CF0">
        <w:rPr>
          <w:rFonts w:ascii="Palatino Linotype" w:hAnsi="Palatino Linotype"/>
        </w:rPr>
        <w:t>due to</w:t>
      </w:r>
      <w:r w:rsidR="007C1A21">
        <w:rPr>
          <w:rFonts w:ascii="Palatino Linotype" w:hAnsi="Palatino Linotype"/>
        </w:rPr>
        <w:t xml:space="preserve"> it not requir</w:t>
      </w:r>
      <w:r w:rsidR="00347CF0">
        <w:rPr>
          <w:rFonts w:ascii="Palatino Linotype" w:hAnsi="Palatino Linotype"/>
        </w:rPr>
        <w:t>ing</w:t>
      </w:r>
      <w:r w:rsidR="007C1A21">
        <w:rPr>
          <w:rFonts w:ascii="Palatino Linotype" w:hAnsi="Palatino Linotype"/>
        </w:rPr>
        <w:t xml:space="preserve"> installation of separate step-up transformers.  In PG&amp;E’s reply, PG&amp;E argues that NextEra’s recommended alternative would lead to the same outcome as PG&amp;E’s proposal.</w:t>
      </w:r>
      <w:r w:rsidR="007C1A21">
        <w:rPr>
          <w:rStyle w:val="FootnoteReference"/>
          <w:rFonts w:ascii="Palatino Linotype" w:hAnsi="Palatino Linotype"/>
        </w:rPr>
        <w:footnoteReference w:id="45"/>
      </w:r>
    </w:p>
    <w:p w:rsidR="00550BA1" w:rsidRDefault="00986CF9" w:rsidP="00DA4F73">
      <w:pPr>
        <w:spacing w:after="240"/>
        <w:rPr>
          <w:rFonts w:ascii="Palatino Linotype" w:hAnsi="Palatino Linotype"/>
        </w:rPr>
      </w:pPr>
      <w:r>
        <w:rPr>
          <w:rFonts w:ascii="Palatino Linotype" w:hAnsi="Palatino Linotype"/>
        </w:rPr>
        <w:t xml:space="preserve">The Commission agrees that </w:t>
      </w:r>
      <w:r w:rsidR="00C70439">
        <w:rPr>
          <w:rFonts w:ascii="Palatino Linotype" w:hAnsi="Palatino Linotype"/>
        </w:rPr>
        <w:t xml:space="preserve">SCE’s </w:t>
      </w:r>
      <w:r>
        <w:rPr>
          <w:rFonts w:ascii="Palatino Linotype" w:hAnsi="Palatino Linotype"/>
        </w:rPr>
        <w:t xml:space="preserve">proposed modifications simplify </w:t>
      </w:r>
      <w:r w:rsidR="00C70439">
        <w:rPr>
          <w:rFonts w:ascii="Palatino Linotype" w:hAnsi="Palatino Linotype"/>
        </w:rPr>
        <w:t>its</w:t>
      </w:r>
      <w:r>
        <w:rPr>
          <w:rFonts w:ascii="Palatino Linotype" w:hAnsi="Palatino Linotype"/>
        </w:rPr>
        <w:t xml:space="preserve"> process</w:t>
      </w:r>
      <w:r w:rsidR="00C70439">
        <w:rPr>
          <w:rFonts w:ascii="Palatino Linotype" w:hAnsi="Palatino Linotype"/>
        </w:rPr>
        <w:t>,</w:t>
      </w:r>
      <w:r w:rsidR="0004282F">
        <w:rPr>
          <w:rFonts w:ascii="Palatino Linotype" w:hAnsi="Palatino Linotype"/>
        </w:rPr>
        <w:t xml:space="preserve"> and </w:t>
      </w:r>
      <w:r w:rsidR="00C70439">
        <w:rPr>
          <w:rFonts w:ascii="Palatino Linotype" w:hAnsi="Palatino Linotype"/>
        </w:rPr>
        <w:t xml:space="preserve">PG&amp;E’s proposed modifications </w:t>
      </w:r>
      <w:r w:rsidR="00E4304B">
        <w:rPr>
          <w:rFonts w:ascii="Palatino Linotype" w:hAnsi="Palatino Linotype"/>
        </w:rPr>
        <w:t>add assurances against subdividing projects for RAM program</w:t>
      </w:r>
      <w:r>
        <w:rPr>
          <w:rFonts w:ascii="Palatino Linotype" w:hAnsi="Palatino Linotype"/>
        </w:rPr>
        <w:t xml:space="preserve">.  </w:t>
      </w:r>
      <w:r w:rsidR="006349F5">
        <w:rPr>
          <w:rFonts w:ascii="Palatino Linotype" w:hAnsi="Palatino Linotype"/>
        </w:rPr>
        <w:t xml:space="preserve">While there may be some benefit </w:t>
      </w:r>
      <w:r w:rsidR="00347CF0">
        <w:rPr>
          <w:rFonts w:ascii="Palatino Linotype" w:hAnsi="Palatino Linotype"/>
        </w:rPr>
        <w:t xml:space="preserve">for SCE and PG&amp;E </w:t>
      </w:r>
      <w:r w:rsidR="006349F5">
        <w:rPr>
          <w:rFonts w:ascii="Palatino Linotype" w:hAnsi="Palatino Linotype"/>
        </w:rPr>
        <w:t>to have the same provisions, as suggested by NextEra, there is no evidence that</w:t>
      </w:r>
      <w:r w:rsidR="00347CF0">
        <w:rPr>
          <w:rFonts w:ascii="Palatino Linotype" w:hAnsi="Palatino Linotype"/>
        </w:rPr>
        <w:t xml:space="preserve"> that</w:t>
      </w:r>
      <w:r w:rsidR="006349F5">
        <w:rPr>
          <w:rFonts w:ascii="Palatino Linotype" w:hAnsi="Palatino Linotype"/>
        </w:rPr>
        <w:t xml:space="preserve"> is needed at this time.  </w:t>
      </w:r>
      <w:r w:rsidR="00D0459F" w:rsidRPr="00F76203">
        <w:rPr>
          <w:rFonts w:ascii="Palatino Linotype" w:hAnsi="Palatino Linotype"/>
        </w:rPr>
        <w:t xml:space="preserve">Accordingly, </w:t>
      </w:r>
      <w:r w:rsidR="00D0459F">
        <w:rPr>
          <w:rFonts w:ascii="Palatino Linotype" w:hAnsi="Palatino Linotype"/>
          <w:u w:val="single"/>
        </w:rPr>
        <w:t>SCE’s</w:t>
      </w:r>
      <w:r w:rsidR="00E4304B">
        <w:rPr>
          <w:rFonts w:ascii="Palatino Linotype" w:hAnsi="Palatino Linotype"/>
          <w:u w:val="single"/>
        </w:rPr>
        <w:t xml:space="preserve"> </w:t>
      </w:r>
      <w:r>
        <w:rPr>
          <w:rFonts w:ascii="Palatino Linotype" w:hAnsi="Palatino Linotype"/>
          <w:u w:val="single"/>
        </w:rPr>
        <w:t>i</w:t>
      </w:r>
      <w:r w:rsidR="00D0459F">
        <w:rPr>
          <w:rFonts w:ascii="Palatino Linotype" w:hAnsi="Palatino Linotype"/>
          <w:u w:val="single"/>
        </w:rPr>
        <w:t>ntegrat</w:t>
      </w:r>
      <w:r>
        <w:rPr>
          <w:rFonts w:ascii="Palatino Linotype" w:hAnsi="Palatino Linotype"/>
          <w:u w:val="single"/>
        </w:rPr>
        <w:t>ion of</w:t>
      </w:r>
      <w:r w:rsidR="00D0459F">
        <w:rPr>
          <w:rFonts w:ascii="Palatino Linotype" w:hAnsi="Palatino Linotype"/>
          <w:u w:val="single"/>
        </w:rPr>
        <w:t xml:space="preserve"> provisions </w:t>
      </w:r>
      <w:r>
        <w:rPr>
          <w:rFonts w:ascii="Palatino Linotype" w:hAnsi="Palatino Linotype"/>
          <w:u w:val="single"/>
        </w:rPr>
        <w:t xml:space="preserve">into its RAM pro forma PPA </w:t>
      </w:r>
      <w:r w:rsidR="00D0459F">
        <w:rPr>
          <w:rFonts w:ascii="Palatino Linotype" w:hAnsi="Palatino Linotype"/>
          <w:u w:val="single"/>
        </w:rPr>
        <w:t>related to shared interconnection facilities that were previously a separate consent agreement is reasonable.</w:t>
      </w:r>
      <w:r w:rsidR="00D0459F" w:rsidRPr="00C70439">
        <w:rPr>
          <w:rFonts w:ascii="Palatino Linotype" w:hAnsi="Palatino Linotype"/>
        </w:rPr>
        <w:t xml:space="preserve"> </w:t>
      </w:r>
      <w:r w:rsidR="00E4304B" w:rsidRPr="00C70439">
        <w:rPr>
          <w:rFonts w:ascii="Palatino Linotype" w:hAnsi="Palatino Linotype"/>
        </w:rPr>
        <w:t xml:space="preserve">Additionally, </w:t>
      </w:r>
      <w:r w:rsidR="00E4304B">
        <w:rPr>
          <w:rFonts w:ascii="Palatino Linotype" w:hAnsi="Palatino Linotype"/>
          <w:u w:val="single"/>
        </w:rPr>
        <w:t>PG&amp;E’s proposed revisions regarding shared interconnections facilities are reasonable</w:t>
      </w:r>
      <w:r w:rsidR="006349F5">
        <w:rPr>
          <w:rFonts w:ascii="Palatino Linotype" w:hAnsi="Palatino Linotype"/>
          <w:u w:val="single"/>
        </w:rPr>
        <w:t xml:space="preserve"> and NextEra’s protest to PG&amp;E advice letter 4365-E is denied, in part</w:t>
      </w:r>
      <w:r w:rsidR="00E4304B">
        <w:rPr>
          <w:rFonts w:ascii="Palatino Linotype" w:hAnsi="Palatino Linotype"/>
          <w:u w:val="single"/>
        </w:rPr>
        <w:t>.</w:t>
      </w:r>
    </w:p>
    <w:p w:rsidR="00C60F3E" w:rsidRPr="00F76203" w:rsidRDefault="00175A18" w:rsidP="0059383E">
      <w:pPr>
        <w:pStyle w:val="Default"/>
        <w:keepNext/>
        <w:spacing w:after="120"/>
        <w:rPr>
          <w:rFonts w:ascii="Palatino Linotype" w:hAnsi="Palatino Linotype"/>
          <w:sz w:val="26"/>
          <w:szCs w:val="26"/>
        </w:rPr>
      </w:pPr>
      <w:r w:rsidRPr="00F76203">
        <w:rPr>
          <w:rFonts w:ascii="Palatino Linotype" w:hAnsi="Palatino Linotype"/>
          <w:b/>
          <w:i/>
          <w:sz w:val="26"/>
          <w:szCs w:val="26"/>
        </w:rPr>
        <w:t xml:space="preserve"> </w:t>
      </w:r>
      <w:r w:rsidR="00C60F3E" w:rsidRPr="00F76203">
        <w:rPr>
          <w:rFonts w:ascii="Palatino Linotype" w:hAnsi="Palatino Linotype"/>
          <w:b/>
          <w:i/>
          <w:sz w:val="26"/>
          <w:szCs w:val="26"/>
        </w:rPr>
        <w:t>(</w:t>
      </w:r>
      <w:r w:rsidR="00DB4FCC" w:rsidRPr="00F8287F">
        <w:rPr>
          <w:rFonts w:ascii="Palatino Linotype" w:hAnsi="Palatino Linotype"/>
          <w:b/>
          <w:i/>
          <w:sz w:val="26"/>
          <w:szCs w:val="26"/>
        </w:rPr>
        <w:t>6</w:t>
      </w:r>
      <w:r w:rsidR="00E74EF3" w:rsidRPr="00F76203">
        <w:rPr>
          <w:rFonts w:ascii="Palatino Linotype" w:hAnsi="Palatino Linotype"/>
          <w:b/>
          <w:i/>
          <w:sz w:val="26"/>
          <w:szCs w:val="26"/>
        </w:rPr>
        <w:t>)</w:t>
      </w:r>
      <w:r w:rsidR="00C60F3E" w:rsidRPr="00F76203">
        <w:rPr>
          <w:rFonts w:ascii="Palatino Linotype" w:hAnsi="Palatino Linotype"/>
          <w:b/>
          <w:i/>
          <w:sz w:val="26"/>
          <w:szCs w:val="26"/>
        </w:rPr>
        <w:t xml:space="preserve"> </w:t>
      </w:r>
      <w:r w:rsidR="009127F0" w:rsidRPr="00F76203">
        <w:rPr>
          <w:rFonts w:ascii="Palatino Linotype" w:hAnsi="Palatino Linotype"/>
          <w:b/>
          <w:i/>
          <w:sz w:val="26"/>
          <w:szCs w:val="26"/>
        </w:rPr>
        <w:t xml:space="preserve"> </w:t>
      </w:r>
      <w:r w:rsidR="00C61C9E" w:rsidRPr="00C61C9E">
        <w:rPr>
          <w:rFonts w:ascii="Palatino Linotype" w:hAnsi="Palatino Linotype"/>
          <w:b/>
          <w:i/>
          <w:sz w:val="26"/>
          <w:szCs w:val="26"/>
        </w:rPr>
        <w:t>In-Service and Test Energy Date Provisions</w:t>
      </w:r>
    </w:p>
    <w:p w:rsidR="00D715EA" w:rsidRPr="00F76203" w:rsidRDefault="003840B8" w:rsidP="0059383E">
      <w:pPr>
        <w:pStyle w:val="Default"/>
        <w:spacing w:after="120"/>
        <w:rPr>
          <w:rFonts w:ascii="Palatino Linotype" w:hAnsi="Palatino Linotype"/>
          <w:sz w:val="26"/>
          <w:szCs w:val="26"/>
        </w:rPr>
      </w:pPr>
      <w:r w:rsidRPr="00F76203">
        <w:rPr>
          <w:rFonts w:ascii="Palatino Linotype" w:hAnsi="Palatino Linotype"/>
          <w:sz w:val="26"/>
          <w:szCs w:val="26"/>
        </w:rPr>
        <w:t xml:space="preserve">In advice letter </w:t>
      </w:r>
      <w:r w:rsidR="00E30EA1">
        <w:rPr>
          <w:rFonts w:ascii="Palatino Linotype" w:hAnsi="Palatino Linotype"/>
          <w:sz w:val="26"/>
          <w:szCs w:val="26"/>
        </w:rPr>
        <w:t>2580-E, SDG&amp;</w:t>
      </w:r>
      <w:r w:rsidRPr="00F76203">
        <w:rPr>
          <w:rFonts w:ascii="Palatino Linotype" w:hAnsi="Palatino Linotype"/>
          <w:sz w:val="26"/>
          <w:szCs w:val="26"/>
        </w:rPr>
        <w:t>E proposes</w:t>
      </w:r>
      <w:r w:rsidR="00E30EA1">
        <w:rPr>
          <w:rFonts w:ascii="Palatino Linotype" w:hAnsi="Palatino Linotype"/>
          <w:sz w:val="26"/>
          <w:szCs w:val="26"/>
        </w:rPr>
        <w:t xml:space="preserve"> modifications related to its in-service and test energy provision</w:t>
      </w:r>
      <w:r w:rsidR="00EF25D5">
        <w:rPr>
          <w:rFonts w:ascii="Palatino Linotype" w:hAnsi="Palatino Linotype"/>
          <w:sz w:val="26"/>
          <w:szCs w:val="26"/>
        </w:rPr>
        <w:t>s</w:t>
      </w:r>
      <w:r w:rsidR="00D174A4" w:rsidRPr="00F76203">
        <w:rPr>
          <w:rFonts w:ascii="Palatino Linotype" w:hAnsi="Palatino Linotype"/>
          <w:sz w:val="26"/>
          <w:szCs w:val="26"/>
        </w:rPr>
        <w:t>.</w:t>
      </w:r>
      <w:r w:rsidR="009127F0" w:rsidRPr="00F76203">
        <w:rPr>
          <w:rFonts w:ascii="Palatino Linotype" w:hAnsi="Palatino Linotype"/>
          <w:sz w:val="26"/>
          <w:szCs w:val="26"/>
        </w:rPr>
        <w:t xml:space="preserve"> </w:t>
      </w:r>
      <w:r w:rsidR="00D174A4" w:rsidRPr="00F76203">
        <w:rPr>
          <w:rFonts w:ascii="Palatino Linotype" w:hAnsi="Palatino Linotype"/>
          <w:sz w:val="26"/>
          <w:szCs w:val="26"/>
        </w:rPr>
        <w:t xml:space="preserve"> </w:t>
      </w:r>
      <w:r w:rsidR="00E30EA1">
        <w:rPr>
          <w:rFonts w:ascii="Palatino Linotype" w:hAnsi="Palatino Linotype"/>
          <w:sz w:val="26"/>
          <w:szCs w:val="26"/>
        </w:rPr>
        <w:t>Spec</w:t>
      </w:r>
      <w:r w:rsidR="00B134E0">
        <w:rPr>
          <w:rFonts w:ascii="Palatino Linotype" w:hAnsi="Palatino Linotype"/>
          <w:sz w:val="26"/>
          <w:szCs w:val="26"/>
        </w:rPr>
        <w:t>ifically, SDG&amp;E is proposing the</w:t>
      </w:r>
      <w:r w:rsidR="00E30EA1">
        <w:rPr>
          <w:rFonts w:ascii="Palatino Linotype" w:hAnsi="Palatino Linotype"/>
          <w:sz w:val="26"/>
          <w:szCs w:val="26"/>
        </w:rPr>
        <w:t xml:space="preserve"> </w:t>
      </w:r>
      <w:r w:rsidR="00B134E0">
        <w:rPr>
          <w:rFonts w:ascii="Palatino Linotype" w:hAnsi="Palatino Linotype"/>
          <w:sz w:val="26"/>
          <w:szCs w:val="26"/>
        </w:rPr>
        <w:t>a</w:t>
      </w:r>
      <w:r w:rsidR="00E30EA1" w:rsidRPr="00B134E0">
        <w:rPr>
          <w:rFonts w:ascii="Palatino Linotype" w:hAnsi="Palatino Linotype"/>
          <w:sz w:val="26"/>
          <w:szCs w:val="26"/>
        </w:rPr>
        <w:t>ddition of provisions limiting test energy to no sooner than nine months prior to Guaranteed COD (GCOD) and COD no sooner than six months prior to GCOD</w:t>
      </w:r>
      <w:r w:rsidR="00B134E0">
        <w:rPr>
          <w:rFonts w:ascii="Palatino Linotype" w:hAnsi="Palatino Linotype"/>
          <w:sz w:val="26"/>
          <w:szCs w:val="26"/>
        </w:rPr>
        <w:t>.  SDG&amp;E asserts that from a procurement planning and ratepayer benefit perspective, SDG&amp;E has an interest in projects achieving COD at or near their estimated COD</w:t>
      </w:r>
      <w:r w:rsidR="00F8287F">
        <w:rPr>
          <w:rFonts w:ascii="Palatino Linotype" w:hAnsi="Palatino Linotype"/>
          <w:sz w:val="26"/>
          <w:szCs w:val="26"/>
        </w:rPr>
        <w:t xml:space="preserve"> to maximize its portfolio’s value and protect ratepayers</w:t>
      </w:r>
      <w:r w:rsidR="00B134E0">
        <w:rPr>
          <w:rFonts w:ascii="Palatino Linotype" w:hAnsi="Palatino Linotype"/>
          <w:sz w:val="26"/>
          <w:szCs w:val="26"/>
        </w:rPr>
        <w:t>.</w:t>
      </w:r>
      <w:r w:rsidR="00EF25D5">
        <w:rPr>
          <w:rStyle w:val="FootnoteReference"/>
          <w:rFonts w:ascii="Palatino Linotype" w:hAnsi="Palatino Linotype"/>
          <w:sz w:val="26"/>
          <w:szCs w:val="26"/>
        </w:rPr>
        <w:footnoteReference w:id="46"/>
      </w:r>
      <w:r w:rsidR="00B134E0">
        <w:rPr>
          <w:rFonts w:ascii="Palatino Linotype" w:hAnsi="Palatino Linotype"/>
          <w:sz w:val="26"/>
          <w:szCs w:val="26"/>
        </w:rPr>
        <w:t xml:space="preserve">  </w:t>
      </w:r>
      <w:r w:rsidR="00F8287F">
        <w:rPr>
          <w:rFonts w:ascii="Palatino Linotype" w:hAnsi="Palatino Linotype"/>
          <w:sz w:val="26"/>
          <w:szCs w:val="26"/>
        </w:rPr>
        <w:t>Additionally, SDG&amp;E claims that the proposed parameters should not materially affect a seller’s ability to achieve COD.</w:t>
      </w:r>
    </w:p>
    <w:p w:rsidR="009F62E5" w:rsidRDefault="00100402" w:rsidP="00DA4F73">
      <w:pPr>
        <w:pStyle w:val="Default"/>
        <w:spacing w:after="240"/>
        <w:rPr>
          <w:rFonts w:ascii="Palatino Linotype" w:hAnsi="Palatino Linotype"/>
          <w:bCs/>
          <w:szCs w:val="26"/>
        </w:rPr>
      </w:pPr>
      <w:r>
        <w:rPr>
          <w:rFonts w:ascii="Palatino Linotype" w:hAnsi="Palatino Linotype"/>
          <w:sz w:val="26"/>
          <w:szCs w:val="26"/>
        </w:rPr>
        <w:t xml:space="preserve">The Commission agrees with </w:t>
      </w:r>
      <w:r w:rsidR="00CF0E3A">
        <w:rPr>
          <w:rFonts w:ascii="Palatino Linotype" w:hAnsi="Palatino Linotype"/>
          <w:sz w:val="26"/>
          <w:szCs w:val="26"/>
        </w:rPr>
        <w:t xml:space="preserve">SDG&amp;E that from a ratepayer benefit perspective, it is reasonable to have projects achieve CODs at or near their estimated COD.  Accordingly, </w:t>
      </w:r>
      <w:r w:rsidR="00CF0E3A" w:rsidRPr="00CF0E3A">
        <w:rPr>
          <w:rFonts w:ascii="Palatino Linotype" w:hAnsi="Palatino Linotype"/>
          <w:sz w:val="26"/>
          <w:szCs w:val="26"/>
          <w:u w:val="single"/>
        </w:rPr>
        <w:t>the Commission finds SDG&amp;E’s proposed In-Service and Test Energy Date provisions are reasonable for its RAM V pro forma PPA</w:t>
      </w:r>
      <w:r w:rsidR="00FB0D88">
        <w:rPr>
          <w:rFonts w:ascii="Palatino Linotype" w:hAnsi="Palatino Linotype"/>
          <w:sz w:val="26"/>
          <w:szCs w:val="26"/>
          <w:u w:val="single"/>
        </w:rPr>
        <w:t xml:space="preserve"> and authorizes the other IOUs to adopt the requirement</w:t>
      </w:r>
      <w:r w:rsidR="00CF0E3A">
        <w:rPr>
          <w:rFonts w:ascii="Palatino Linotype" w:hAnsi="Palatino Linotype"/>
          <w:sz w:val="26"/>
          <w:szCs w:val="26"/>
        </w:rPr>
        <w:t>.</w:t>
      </w:r>
    </w:p>
    <w:p w:rsidR="00F97EF8" w:rsidRPr="00DA4F73" w:rsidRDefault="00F97EF8" w:rsidP="0059383E">
      <w:pPr>
        <w:keepNext/>
        <w:autoSpaceDE w:val="0"/>
        <w:autoSpaceDN w:val="0"/>
        <w:adjustRightInd w:val="0"/>
        <w:spacing w:after="120"/>
        <w:rPr>
          <w:rFonts w:ascii="Palatino Linotype" w:hAnsi="Palatino Linotype"/>
          <w:b/>
          <w:bCs/>
          <w:sz w:val="24"/>
          <w:szCs w:val="24"/>
        </w:rPr>
      </w:pPr>
      <w:r>
        <w:rPr>
          <w:rFonts w:ascii="Palatino Linotype" w:hAnsi="Palatino Linotype"/>
          <w:b/>
          <w:bCs/>
          <w:szCs w:val="26"/>
        </w:rPr>
        <w:t xml:space="preserve">C. </w:t>
      </w:r>
      <w:r w:rsidR="0059383E">
        <w:rPr>
          <w:rFonts w:ascii="Palatino Linotype" w:hAnsi="Palatino Linotype"/>
          <w:b/>
          <w:bCs/>
          <w:szCs w:val="26"/>
        </w:rPr>
        <w:t xml:space="preserve"> </w:t>
      </w:r>
      <w:r w:rsidRPr="00DA4F73">
        <w:rPr>
          <w:rFonts w:ascii="Palatino Linotype" w:hAnsi="Palatino Linotype"/>
          <w:b/>
          <w:bCs/>
          <w:sz w:val="24"/>
          <w:szCs w:val="24"/>
        </w:rPr>
        <w:t>Non-Substantive Proposed Changes to Individual IOU RAM Pro Forma PPA</w:t>
      </w:r>
    </w:p>
    <w:p w:rsidR="00F97EF8" w:rsidRDefault="00F97EF8" w:rsidP="00DA4F73">
      <w:pPr>
        <w:pStyle w:val="standard"/>
        <w:spacing w:after="60" w:line="240" w:lineRule="auto"/>
        <w:ind w:firstLine="0"/>
        <w:rPr>
          <w:rFonts w:ascii="Palatino Linotype" w:hAnsi="Palatino Linotype"/>
          <w:bCs/>
          <w:szCs w:val="26"/>
        </w:rPr>
      </w:pPr>
      <w:r>
        <w:rPr>
          <w:rFonts w:ascii="Palatino Linotype" w:hAnsi="Palatino Linotype"/>
          <w:bCs/>
          <w:szCs w:val="26"/>
        </w:rPr>
        <w:t xml:space="preserve">In addition to the substantive proposed changes to </w:t>
      </w:r>
      <w:r w:rsidR="00926DB1">
        <w:rPr>
          <w:rFonts w:ascii="Palatino Linotype" w:hAnsi="Palatino Linotype"/>
          <w:bCs/>
          <w:szCs w:val="26"/>
        </w:rPr>
        <w:t>their</w:t>
      </w:r>
      <w:r>
        <w:rPr>
          <w:rFonts w:ascii="Palatino Linotype" w:hAnsi="Palatino Linotype"/>
          <w:bCs/>
          <w:szCs w:val="26"/>
        </w:rPr>
        <w:t xml:space="preserve"> RAM </w:t>
      </w:r>
      <w:r w:rsidR="00926DB1">
        <w:rPr>
          <w:rFonts w:ascii="Palatino Linotype" w:hAnsi="Palatino Linotype"/>
          <w:bCs/>
          <w:szCs w:val="26"/>
        </w:rPr>
        <w:t xml:space="preserve">pro forma PPAs </w:t>
      </w:r>
      <w:r>
        <w:rPr>
          <w:rFonts w:ascii="Palatino Linotype" w:hAnsi="Palatino Linotype"/>
          <w:bCs/>
          <w:szCs w:val="26"/>
        </w:rPr>
        <w:t xml:space="preserve">addressed above, SCE, PG&amp;E, and SDG&amp;E have also requested several non-substantive changes to their individual RAM </w:t>
      </w:r>
      <w:r w:rsidR="00582040">
        <w:rPr>
          <w:rFonts w:ascii="Palatino Linotype" w:hAnsi="Palatino Linotype"/>
          <w:bCs/>
          <w:szCs w:val="26"/>
        </w:rPr>
        <w:t>p</w:t>
      </w:r>
      <w:r>
        <w:rPr>
          <w:rFonts w:ascii="Palatino Linotype" w:hAnsi="Palatino Linotype"/>
          <w:bCs/>
          <w:szCs w:val="26"/>
        </w:rPr>
        <w:t xml:space="preserve">ro </w:t>
      </w:r>
      <w:r w:rsidR="00582040">
        <w:rPr>
          <w:rFonts w:ascii="Palatino Linotype" w:hAnsi="Palatino Linotype"/>
          <w:bCs/>
          <w:szCs w:val="26"/>
        </w:rPr>
        <w:t>f</w:t>
      </w:r>
      <w:r>
        <w:rPr>
          <w:rFonts w:ascii="Palatino Linotype" w:hAnsi="Palatino Linotype"/>
          <w:bCs/>
          <w:szCs w:val="26"/>
        </w:rPr>
        <w:t xml:space="preserve">orma PPAs. The IOUs assert that the purpose of many of these changes is to make </w:t>
      </w:r>
      <w:r w:rsidR="00582040">
        <w:rPr>
          <w:rFonts w:ascii="Palatino Linotype" w:hAnsi="Palatino Linotype"/>
          <w:bCs/>
          <w:szCs w:val="26"/>
        </w:rPr>
        <w:t>their respective RAM 5 pro forma PPAs</w:t>
      </w:r>
      <w:r>
        <w:rPr>
          <w:rFonts w:ascii="Palatino Linotype" w:hAnsi="Palatino Linotype"/>
          <w:bCs/>
          <w:szCs w:val="26"/>
        </w:rPr>
        <w:t xml:space="preserve"> </w:t>
      </w:r>
      <w:r w:rsidR="00582040">
        <w:rPr>
          <w:rFonts w:ascii="Palatino Linotype" w:hAnsi="Palatino Linotype"/>
          <w:bCs/>
          <w:szCs w:val="26"/>
        </w:rPr>
        <w:t>consistent with their 2013 RPS p</w:t>
      </w:r>
      <w:r>
        <w:rPr>
          <w:rFonts w:ascii="Palatino Linotype" w:hAnsi="Palatino Linotype"/>
          <w:bCs/>
          <w:szCs w:val="26"/>
        </w:rPr>
        <w:t xml:space="preserve">ro </w:t>
      </w:r>
      <w:r w:rsidR="00582040">
        <w:rPr>
          <w:rFonts w:ascii="Palatino Linotype" w:hAnsi="Palatino Linotype"/>
          <w:bCs/>
          <w:szCs w:val="26"/>
        </w:rPr>
        <w:t>f</w:t>
      </w:r>
      <w:r>
        <w:rPr>
          <w:rFonts w:ascii="Palatino Linotype" w:hAnsi="Palatino Linotype"/>
          <w:bCs/>
          <w:szCs w:val="26"/>
        </w:rPr>
        <w:t xml:space="preserve">orma PPAs approved in </w:t>
      </w:r>
      <w:r w:rsidR="0059383E">
        <w:rPr>
          <w:rFonts w:ascii="Palatino Linotype" w:hAnsi="Palatino Linotype"/>
          <w:bCs/>
          <w:szCs w:val="26"/>
        </w:rPr>
        <w:br/>
      </w:r>
      <w:r>
        <w:rPr>
          <w:rFonts w:ascii="Palatino Linotype" w:hAnsi="Palatino Linotype"/>
          <w:bCs/>
          <w:szCs w:val="26"/>
        </w:rPr>
        <w:t xml:space="preserve">D.13-11-024. </w:t>
      </w:r>
    </w:p>
    <w:p w:rsidR="00F97EF8" w:rsidRDefault="00F97EF8" w:rsidP="00290D69">
      <w:pPr>
        <w:pStyle w:val="standard"/>
        <w:spacing w:after="120" w:line="240" w:lineRule="auto"/>
        <w:ind w:firstLine="0"/>
        <w:rPr>
          <w:rFonts w:ascii="Palatino Linotype" w:hAnsi="Palatino Linotype"/>
          <w:bCs/>
          <w:szCs w:val="26"/>
        </w:rPr>
      </w:pPr>
      <w:r>
        <w:rPr>
          <w:rFonts w:ascii="Palatino Linotype" w:hAnsi="Palatino Linotype"/>
          <w:bCs/>
          <w:szCs w:val="26"/>
        </w:rPr>
        <w:t xml:space="preserve">The changes adopted in this section do </w:t>
      </w:r>
      <w:r w:rsidRPr="008224BA">
        <w:rPr>
          <w:rFonts w:ascii="Palatino Linotype" w:hAnsi="Palatino Linotype"/>
          <w:bCs/>
          <w:szCs w:val="26"/>
          <w:u w:val="single"/>
        </w:rPr>
        <w:t>not</w:t>
      </w:r>
      <w:r>
        <w:rPr>
          <w:rFonts w:ascii="Palatino Linotype" w:hAnsi="Palatino Linotype"/>
          <w:bCs/>
          <w:szCs w:val="26"/>
        </w:rPr>
        <w:t xml:space="preserve"> impact the RAM program universally, and thus will </w:t>
      </w:r>
      <w:r w:rsidRPr="008224BA">
        <w:rPr>
          <w:rFonts w:ascii="Palatino Linotype" w:hAnsi="Palatino Linotype"/>
          <w:bCs/>
          <w:szCs w:val="26"/>
          <w:u w:val="single"/>
        </w:rPr>
        <w:t>only</w:t>
      </w:r>
      <w:r>
        <w:rPr>
          <w:rFonts w:ascii="Palatino Linotype" w:hAnsi="Palatino Linotype"/>
          <w:bCs/>
          <w:szCs w:val="26"/>
        </w:rPr>
        <w:t xml:space="preserve"> apply to the particular IOU that proposed the modification.</w:t>
      </w:r>
      <w:r w:rsidR="00582040">
        <w:rPr>
          <w:rFonts w:ascii="Palatino Linotype" w:hAnsi="Palatino Linotype"/>
          <w:bCs/>
          <w:szCs w:val="26"/>
        </w:rPr>
        <w:t xml:space="preserve">  </w:t>
      </w:r>
      <w:r>
        <w:rPr>
          <w:rFonts w:ascii="Palatino Linotype" w:hAnsi="Palatino Linotype"/>
          <w:bCs/>
          <w:szCs w:val="26"/>
        </w:rPr>
        <w:t>The non-substantive changes proposed by each of the three IOUs are summarized in the appendices at the end of this Resolution. These summaries can be found here:</w:t>
      </w:r>
    </w:p>
    <w:p w:rsidR="00F97EF8" w:rsidRDefault="00F97EF8" w:rsidP="00DA4F73">
      <w:pPr>
        <w:pStyle w:val="standard"/>
        <w:numPr>
          <w:ilvl w:val="0"/>
          <w:numId w:val="26"/>
        </w:numPr>
        <w:spacing w:after="60" w:line="240" w:lineRule="auto"/>
        <w:rPr>
          <w:rFonts w:ascii="Palatino Linotype" w:hAnsi="Palatino Linotype"/>
          <w:bCs/>
          <w:szCs w:val="26"/>
        </w:rPr>
      </w:pPr>
      <w:r w:rsidRPr="005B2B79">
        <w:rPr>
          <w:rFonts w:ascii="Palatino Linotype" w:hAnsi="Palatino Linotype"/>
          <w:b/>
          <w:bCs/>
          <w:szCs w:val="26"/>
          <w:u w:val="single"/>
        </w:rPr>
        <w:t>Appendix A:</w:t>
      </w:r>
      <w:r>
        <w:rPr>
          <w:rFonts w:ascii="Palatino Linotype" w:hAnsi="Palatino Linotype"/>
          <w:bCs/>
          <w:szCs w:val="26"/>
        </w:rPr>
        <w:t xml:space="preserve">  SCE’s Proposed Non-Substantive Changes</w:t>
      </w:r>
    </w:p>
    <w:p w:rsidR="00F97EF8" w:rsidRDefault="00F97EF8" w:rsidP="00DA4F73">
      <w:pPr>
        <w:pStyle w:val="standard"/>
        <w:numPr>
          <w:ilvl w:val="0"/>
          <w:numId w:val="26"/>
        </w:numPr>
        <w:spacing w:after="60" w:line="240" w:lineRule="auto"/>
        <w:rPr>
          <w:rFonts w:ascii="Palatino Linotype" w:hAnsi="Palatino Linotype"/>
          <w:bCs/>
          <w:szCs w:val="26"/>
        </w:rPr>
      </w:pPr>
      <w:r w:rsidRPr="005B2B79">
        <w:rPr>
          <w:rFonts w:ascii="Palatino Linotype" w:hAnsi="Palatino Linotype"/>
          <w:b/>
          <w:bCs/>
          <w:szCs w:val="26"/>
          <w:u w:val="single"/>
        </w:rPr>
        <w:t>Appendix B:</w:t>
      </w:r>
      <w:r>
        <w:rPr>
          <w:rFonts w:ascii="Palatino Linotype" w:hAnsi="Palatino Linotype"/>
          <w:bCs/>
          <w:szCs w:val="26"/>
        </w:rPr>
        <w:t xml:space="preserve">  PG&amp;E’s Proposed Non-Substantive Changes</w:t>
      </w:r>
    </w:p>
    <w:p w:rsidR="00F97EF8" w:rsidRPr="0059383E" w:rsidRDefault="00F97EF8" w:rsidP="00290D69">
      <w:pPr>
        <w:pStyle w:val="standard"/>
        <w:numPr>
          <w:ilvl w:val="0"/>
          <w:numId w:val="26"/>
        </w:numPr>
        <w:spacing w:after="120" w:line="240" w:lineRule="auto"/>
        <w:ind w:left="360" w:firstLine="0"/>
        <w:rPr>
          <w:rFonts w:ascii="Palatino Linotype" w:hAnsi="Palatino Linotype"/>
          <w:bCs/>
          <w:szCs w:val="26"/>
        </w:rPr>
      </w:pPr>
      <w:r w:rsidRPr="0059383E">
        <w:rPr>
          <w:rFonts w:ascii="Palatino Linotype" w:hAnsi="Palatino Linotype"/>
          <w:b/>
          <w:bCs/>
          <w:szCs w:val="26"/>
          <w:u w:val="single"/>
        </w:rPr>
        <w:t>Appendix C:</w:t>
      </w:r>
      <w:r w:rsidRPr="0059383E">
        <w:rPr>
          <w:rFonts w:ascii="Palatino Linotype" w:hAnsi="Palatino Linotype"/>
          <w:bCs/>
          <w:szCs w:val="26"/>
        </w:rPr>
        <w:t xml:space="preserve">  SDG&amp;E’s Proposed Non-Substantive Changes </w:t>
      </w:r>
    </w:p>
    <w:p w:rsidR="00F97EF8" w:rsidRDefault="00F97EF8" w:rsidP="00290D69">
      <w:pPr>
        <w:pStyle w:val="standard"/>
        <w:spacing w:after="240" w:line="240" w:lineRule="auto"/>
        <w:ind w:firstLine="0"/>
        <w:rPr>
          <w:rFonts w:ascii="Palatino Linotype" w:hAnsi="Palatino Linotype"/>
          <w:bCs/>
          <w:szCs w:val="26"/>
        </w:rPr>
      </w:pPr>
      <w:r>
        <w:rPr>
          <w:rFonts w:ascii="Palatino Linotype" w:hAnsi="Palatino Linotype"/>
          <w:bCs/>
          <w:szCs w:val="26"/>
        </w:rPr>
        <w:t>These changes include,</w:t>
      </w:r>
      <w:r w:rsidR="008600C7">
        <w:rPr>
          <w:rFonts w:ascii="Palatino Linotype" w:hAnsi="Palatino Linotype"/>
          <w:bCs/>
          <w:szCs w:val="26"/>
        </w:rPr>
        <w:t xml:space="preserve"> but are not limited to</w:t>
      </w:r>
      <w:r w:rsidR="007E5D28">
        <w:rPr>
          <w:rFonts w:ascii="Palatino Linotype" w:hAnsi="Palatino Linotype"/>
          <w:bCs/>
          <w:szCs w:val="26"/>
        </w:rPr>
        <w:t xml:space="preserve"> the following:</w:t>
      </w:r>
      <w:r w:rsidR="008600C7">
        <w:rPr>
          <w:rFonts w:ascii="Palatino Linotype" w:hAnsi="Palatino Linotype"/>
          <w:bCs/>
          <w:szCs w:val="26"/>
        </w:rPr>
        <w:t xml:space="preserve"> updates</w:t>
      </w:r>
      <w:r>
        <w:rPr>
          <w:rFonts w:ascii="Palatino Linotype" w:hAnsi="Palatino Linotype"/>
          <w:bCs/>
          <w:szCs w:val="26"/>
        </w:rPr>
        <w:t xml:space="preserve"> the Green Attribute standard term and condition </w:t>
      </w:r>
      <w:r w:rsidR="008600C7">
        <w:rPr>
          <w:rFonts w:ascii="Palatino Linotype" w:hAnsi="Palatino Linotype"/>
          <w:bCs/>
          <w:szCs w:val="26"/>
        </w:rPr>
        <w:t>pursuant to D.13-11-024, updates</w:t>
      </w:r>
      <w:r>
        <w:rPr>
          <w:rFonts w:ascii="Palatino Linotype" w:hAnsi="Palatino Linotype"/>
          <w:bCs/>
          <w:szCs w:val="26"/>
        </w:rPr>
        <w:t xml:space="preserve"> time of delivery periods and factors, updates to schedules, and updates to Seller reporting requirements.  The Commission notes that few of the protests or responses filed to the IOUs’ advice letters addressed the non-substantive issues considered in this section. That said, proposed modifications that were addressed in protests or responses are discussed below.    </w:t>
      </w:r>
    </w:p>
    <w:p w:rsidR="00F97EF8" w:rsidRPr="00C14FC7" w:rsidRDefault="00F97EF8" w:rsidP="00DA4F73">
      <w:pPr>
        <w:pStyle w:val="standard"/>
        <w:spacing w:after="60" w:line="240" w:lineRule="auto"/>
        <w:ind w:firstLine="0"/>
        <w:rPr>
          <w:rFonts w:ascii="Palatino Linotype" w:hAnsi="Palatino Linotype"/>
          <w:bCs/>
          <w:i/>
          <w:szCs w:val="26"/>
        </w:rPr>
      </w:pPr>
      <w:r w:rsidRPr="00C14FC7">
        <w:rPr>
          <w:rFonts w:ascii="Palatino Linotype" w:hAnsi="Palatino Linotype"/>
          <w:bCs/>
          <w:i/>
          <w:szCs w:val="26"/>
        </w:rPr>
        <w:t>Proposed Non-Substantive Changes</w:t>
      </w:r>
    </w:p>
    <w:p w:rsidR="00785844" w:rsidRDefault="00785844" w:rsidP="00DA4F73">
      <w:pPr>
        <w:pStyle w:val="standard"/>
        <w:spacing w:after="60" w:line="240" w:lineRule="auto"/>
        <w:ind w:left="720" w:firstLine="0"/>
        <w:rPr>
          <w:rFonts w:ascii="Palatino Linotype" w:hAnsi="Palatino Linotype"/>
          <w:bCs/>
          <w:szCs w:val="26"/>
        </w:rPr>
      </w:pPr>
      <w:r>
        <w:rPr>
          <w:rFonts w:ascii="Palatino Linotype" w:hAnsi="Palatino Linotype"/>
          <w:bCs/>
          <w:szCs w:val="26"/>
        </w:rPr>
        <w:t>(a) Development Security</w:t>
      </w:r>
    </w:p>
    <w:p w:rsidR="00F97EF8" w:rsidRDefault="00F97EF8" w:rsidP="0059383E">
      <w:pPr>
        <w:pStyle w:val="standard"/>
        <w:spacing w:after="120" w:line="240" w:lineRule="auto"/>
        <w:ind w:firstLine="0"/>
        <w:rPr>
          <w:rFonts w:ascii="Palatino Linotype" w:hAnsi="Palatino Linotype"/>
          <w:bCs/>
          <w:szCs w:val="26"/>
        </w:rPr>
      </w:pPr>
      <w:r>
        <w:rPr>
          <w:rFonts w:ascii="Palatino Linotype" w:hAnsi="Palatino Linotype"/>
          <w:bCs/>
          <w:szCs w:val="26"/>
        </w:rPr>
        <w:t xml:space="preserve">In </w:t>
      </w:r>
      <w:r w:rsidR="005A74DC">
        <w:rPr>
          <w:rFonts w:ascii="Palatino Linotype" w:hAnsi="Palatino Linotype"/>
          <w:bCs/>
          <w:szCs w:val="26"/>
        </w:rPr>
        <w:t>its protest</w:t>
      </w:r>
      <w:r w:rsidR="004474FC">
        <w:rPr>
          <w:rFonts w:ascii="Palatino Linotype" w:hAnsi="Palatino Linotype"/>
          <w:bCs/>
          <w:szCs w:val="26"/>
        </w:rPr>
        <w:t>s to SCE advice letter 3003-E and PG&amp;E advice letter 4365-E</w:t>
      </w:r>
      <w:r w:rsidR="005A74DC">
        <w:rPr>
          <w:rFonts w:ascii="Palatino Linotype" w:hAnsi="Palatino Linotype"/>
          <w:bCs/>
          <w:szCs w:val="26"/>
        </w:rPr>
        <w:t>, NextEra recommends</w:t>
      </w:r>
      <w:r>
        <w:rPr>
          <w:rFonts w:ascii="Palatino Linotype" w:hAnsi="Palatino Linotype"/>
          <w:bCs/>
          <w:szCs w:val="26"/>
        </w:rPr>
        <w:t xml:space="preserve"> modification to </w:t>
      </w:r>
      <w:r w:rsidR="004474FC">
        <w:rPr>
          <w:rFonts w:ascii="Palatino Linotype" w:hAnsi="Palatino Linotype"/>
          <w:bCs/>
          <w:szCs w:val="26"/>
        </w:rPr>
        <w:t>their</w:t>
      </w:r>
      <w:r>
        <w:rPr>
          <w:rFonts w:ascii="Palatino Linotype" w:hAnsi="Palatino Linotype"/>
          <w:bCs/>
          <w:szCs w:val="26"/>
        </w:rPr>
        <w:t xml:space="preserve"> development security provisions.  Specifically, NextEra recommends </w:t>
      </w:r>
      <w:r w:rsidR="005A74DC">
        <w:rPr>
          <w:rFonts w:ascii="Palatino Linotype" w:hAnsi="Palatino Linotype"/>
          <w:bCs/>
          <w:szCs w:val="26"/>
        </w:rPr>
        <w:t xml:space="preserve">that </w:t>
      </w:r>
      <w:r>
        <w:rPr>
          <w:rFonts w:ascii="Palatino Linotype" w:hAnsi="Palatino Linotype"/>
          <w:bCs/>
          <w:szCs w:val="26"/>
        </w:rPr>
        <w:t xml:space="preserve">SCE </w:t>
      </w:r>
      <w:r w:rsidR="004474FC">
        <w:rPr>
          <w:rFonts w:ascii="Palatino Linotype" w:hAnsi="Palatino Linotype"/>
          <w:bCs/>
          <w:szCs w:val="26"/>
        </w:rPr>
        <w:t xml:space="preserve">and PG&amp;E </w:t>
      </w:r>
      <w:r>
        <w:rPr>
          <w:rFonts w:ascii="Palatino Linotype" w:hAnsi="Palatino Linotype"/>
          <w:bCs/>
          <w:szCs w:val="26"/>
        </w:rPr>
        <w:t>require that one-half of the development security be required within five business days following PPA execution instead of one-half within thirty days following the effective date</w:t>
      </w:r>
      <w:r w:rsidR="004474FC">
        <w:rPr>
          <w:rFonts w:ascii="Palatino Linotype" w:hAnsi="Palatino Linotype"/>
          <w:bCs/>
          <w:szCs w:val="26"/>
        </w:rPr>
        <w:t xml:space="preserve"> in SCE’s pro forma PPA or </w:t>
      </w:r>
      <w:r w:rsidR="00FB0D88">
        <w:rPr>
          <w:rFonts w:ascii="Palatino Linotype" w:hAnsi="Palatino Linotype"/>
          <w:bCs/>
          <w:szCs w:val="26"/>
        </w:rPr>
        <w:t xml:space="preserve">the full amount </w:t>
      </w:r>
      <w:r w:rsidR="004474FC">
        <w:rPr>
          <w:rFonts w:ascii="Palatino Linotype" w:hAnsi="Palatino Linotype"/>
          <w:bCs/>
          <w:szCs w:val="26"/>
        </w:rPr>
        <w:t xml:space="preserve">within five business days of the effective date </w:t>
      </w:r>
      <w:r w:rsidR="00FB0D88">
        <w:rPr>
          <w:rFonts w:ascii="Palatino Linotype" w:hAnsi="Palatino Linotype"/>
          <w:bCs/>
          <w:szCs w:val="26"/>
        </w:rPr>
        <w:t xml:space="preserve">(CPUC approval) </w:t>
      </w:r>
      <w:r w:rsidR="004474FC">
        <w:rPr>
          <w:rFonts w:ascii="Palatino Linotype" w:hAnsi="Palatino Linotype"/>
          <w:bCs/>
          <w:szCs w:val="26"/>
        </w:rPr>
        <w:t>in PG&amp;E’s pro forma PPA</w:t>
      </w:r>
      <w:r>
        <w:rPr>
          <w:rFonts w:ascii="Palatino Linotype" w:hAnsi="Palatino Linotype"/>
          <w:bCs/>
          <w:szCs w:val="26"/>
        </w:rPr>
        <w:t xml:space="preserve">.  NextEra asserts that the shorter timeframe will allow SCE </w:t>
      </w:r>
      <w:r w:rsidR="004474FC">
        <w:rPr>
          <w:rFonts w:ascii="Palatino Linotype" w:hAnsi="Palatino Linotype"/>
          <w:bCs/>
          <w:szCs w:val="26"/>
        </w:rPr>
        <w:t xml:space="preserve">and PG&amp;E </w:t>
      </w:r>
      <w:r>
        <w:rPr>
          <w:rFonts w:ascii="Palatino Linotype" w:hAnsi="Palatino Linotype"/>
          <w:bCs/>
          <w:szCs w:val="26"/>
        </w:rPr>
        <w:t>to have additional time prior to filing for approval of the RAM contracts which could be used to execute a PPA with a project on the waitlist</w:t>
      </w:r>
      <w:r w:rsidR="00B02306">
        <w:rPr>
          <w:rFonts w:ascii="Palatino Linotype" w:hAnsi="Palatino Linotype"/>
          <w:bCs/>
          <w:szCs w:val="26"/>
        </w:rPr>
        <w:t>, if needed</w:t>
      </w:r>
      <w:r>
        <w:rPr>
          <w:rFonts w:ascii="Palatino Linotype" w:hAnsi="Palatino Linotype"/>
          <w:bCs/>
          <w:szCs w:val="26"/>
        </w:rPr>
        <w:t>.</w:t>
      </w:r>
      <w:r w:rsidR="00926DB1">
        <w:rPr>
          <w:rStyle w:val="FootnoteReference"/>
          <w:rFonts w:ascii="Palatino Linotype" w:hAnsi="Palatino Linotype"/>
          <w:bCs/>
          <w:szCs w:val="26"/>
        </w:rPr>
        <w:footnoteReference w:id="47"/>
      </w:r>
      <w:r w:rsidR="005A74DC">
        <w:rPr>
          <w:rFonts w:ascii="Palatino Linotype" w:hAnsi="Palatino Linotype"/>
          <w:bCs/>
          <w:szCs w:val="26"/>
        </w:rPr>
        <w:t xml:space="preserve">  </w:t>
      </w:r>
      <w:r w:rsidR="005A74DC" w:rsidRPr="00B02306">
        <w:rPr>
          <w:rFonts w:ascii="Palatino Linotype" w:hAnsi="Palatino Linotype"/>
          <w:bCs/>
          <w:szCs w:val="26"/>
        </w:rPr>
        <w:t>SCE</w:t>
      </w:r>
      <w:r w:rsidR="005A74DC">
        <w:rPr>
          <w:rFonts w:ascii="Palatino Linotype" w:hAnsi="Palatino Linotype"/>
          <w:bCs/>
          <w:szCs w:val="26"/>
        </w:rPr>
        <w:t xml:space="preserve"> </w:t>
      </w:r>
      <w:r w:rsidR="00B02306">
        <w:rPr>
          <w:rFonts w:ascii="Palatino Linotype" w:hAnsi="Palatino Linotype"/>
          <w:bCs/>
          <w:szCs w:val="26"/>
        </w:rPr>
        <w:t>did not comment on this issue in its reply.</w:t>
      </w:r>
      <w:r w:rsidR="004474FC">
        <w:rPr>
          <w:rFonts w:ascii="Palatino Linotype" w:hAnsi="Palatino Linotype"/>
          <w:bCs/>
          <w:szCs w:val="26"/>
        </w:rPr>
        <w:t xml:space="preserve">  In its reply, PG&amp;E asserts NextEra’s recommendation is not necessary because the RAM program has </w:t>
      </w:r>
      <w:r w:rsidR="007E5D28">
        <w:rPr>
          <w:rFonts w:ascii="Palatino Linotype" w:hAnsi="Palatino Linotype"/>
          <w:bCs/>
          <w:szCs w:val="26"/>
        </w:rPr>
        <w:t xml:space="preserve">an </w:t>
      </w:r>
      <w:r w:rsidR="004474FC">
        <w:rPr>
          <w:rFonts w:ascii="Palatino Linotype" w:hAnsi="Palatino Linotype"/>
          <w:bCs/>
          <w:szCs w:val="26"/>
        </w:rPr>
        <w:t>accelerated CPUC approval process and the other half of the development security is due upon CPUC approval.</w:t>
      </w:r>
      <w:r w:rsidR="004474FC">
        <w:rPr>
          <w:rStyle w:val="FootnoteReference"/>
          <w:rFonts w:ascii="Palatino Linotype" w:hAnsi="Palatino Linotype"/>
          <w:bCs/>
          <w:szCs w:val="26"/>
        </w:rPr>
        <w:footnoteReference w:id="48"/>
      </w:r>
    </w:p>
    <w:p w:rsidR="00B02306" w:rsidRDefault="00B02306" w:rsidP="00290D69">
      <w:pPr>
        <w:pStyle w:val="standard"/>
        <w:spacing w:after="240" w:line="240" w:lineRule="auto"/>
        <w:ind w:firstLine="0"/>
        <w:rPr>
          <w:rFonts w:ascii="Palatino Linotype" w:hAnsi="Palatino Linotype"/>
          <w:bCs/>
          <w:szCs w:val="26"/>
        </w:rPr>
      </w:pPr>
      <w:r>
        <w:rPr>
          <w:rFonts w:ascii="Palatino Linotype" w:hAnsi="Palatino Linotype"/>
          <w:bCs/>
          <w:szCs w:val="26"/>
        </w:rPr>
        <w:t xml:space="preserve">The Commission denies NextEra’s protest, in part.  While we agree with NextEra’s argument that their proposed change could provide SCE </w:t>
      </w:r>
      <w:r w:rsidR="004474FC">
        <w:rPr>
          <w:rFonts w:ascii="Palatino Linotype" w:hAnsi="Palatino Linotype"/>
          <w:bCs/>
          <w:szCs w:val="26"/>
        </w:rPr>
        <w:t xml:space="preserve">and PG&amp;E </w:t>
      </w:r>
      <w:r>
        <w:rPr>
          <w:rFonts w:ascii="Palatino Linotype" w:hAnsi="Palatino Linotype"/>
          <w:bCs/>
          <w:szCs w:val="26"/>
        </w:rPr>
        <w:t xml:space="preserve">with knowledge </w:t>
      </w:r>
      <w:r w:rsidR="004474FC">
        <w:rPr>
          <w:rFonts w:ascii="Palatino Linotype" w:hAnsi="Palatino Linotype"/>
          <w:bCs/>
          <w:szCs w:val="26"/>
        </w:rPr>
        <w:t xml:space="preserve">regarding a project’s ability to move forward </w:t>
      </w:r>
      <w:r>
        <w:rPr>
          <w:rFonts w:ascii="Palatino Linotype" w:hAnsi="Palatino Linotype"/>
          <w:bCs/>
          <w:szCs w:val="26"/>
        </w:rPr>
        <w:t>sooner in the process, NextEra has not provided any evidence that the current timing is problematic.</w:t>
      </w:r>
      <w:r w:rsidR="00377E07">
        <w:rPr>
          <w:rFonts w:ascii="Palatino Linotype" w:hAnsi="Palatino Linotype"/>
          <w:bCs/>
          <w:szCs w:val="26"/>
        </w:rPr>
        <w:t xml:space="preserve">  This issue may be further examined in the future </w:t>
      </w:r>
      <w:r w:rsidR="00FB6946">
        <w:rPr>
          <w:rFonts w:ascii="Palatino Linotype" w:hAnsi="Palatino Linotype"/>
          <w:bCs/>
          <w:szCs w:val="26"/>
        </w:rPr>
        <w:t>as a part of</w:t>
      </w:r>
      <w:r w:rsidR="00377E07">
        <w:rPr>
          <w:rFonts w:ascii="Palatino Linotype" w:hAnsi="Palatino Linotype"/>
          <w:bCs/>
          <w:szCs w:val="26"/>
        </w:rPr>
        <w:t xml:space="preserve"> the Commission’s review of the RAM program.</w:t>
      </w:r>
      <w:r>
        <w:rPr>
          <w:rFonts w:ascii="Palatino Linotype" w:hAnsi="Palatino Linotype"/>
          <w:bCs/>
          <w:szCs w:val="26"/>
        </w:rPr>
        <w:t xml:space="preserve">  Therefore, </w:t>
      </w:r>
      <w:r w:rsidRPr="00377E07">
        <w:rPr>
          <w:rFonts w:ascii="Palatino Linotype" w:hAnsi="Palatino Linotype"/>
          <w:bCs/>
          <w:szCs w:val="26"/>
          <w:u w:val="single"/>
        </w:rPr>
        <w:t xml:space="preserve">the Commission </w:t>
      </w:r>
      <w:r w:rsidR="009F270C">
        <w:rPr>
          <w:rFonts w:ascii="Palatino Linotype" w:hAnsi="Palatino Linotype"/>
          <w:bCs/>
          <w:szCs w:val="26"/>
          <w:u w:val="single"/>
        </w:rPr>
        <w:t>denies</w:t>
      </w:r>
      <w:r w:rsidRPr="00377E07">
        <w:rPr>
          <w:rFonts w:ascii="Palatino Linotype" w:hAnsi="Palatino Linotype"/>
          <w:bCs/>
          <w:szCs w:val="26"/>
          <w:u w:val="single"/>
        </w:rPr>
        <w:t xml:space="preserve"> NextEra’s protest</w:t>
      </w:r>
      <w:r w:rsidR="009F270C">
        <w:rPr>
          <w:rFonts w:ascii="Palatino Linotype" w:hAnsi="Palatino Linotype"/>
          <w:bCs/>
          <w:szCs w:val="26"/>
          <w:u w:val="single"/>
        </w:rPr>
        <w:t>s to SCE advice letter 3003-E and PG&amp;E advice letter 4365-E</w:t>
      </w:r>
      <w:r w:rsidRPr="00377E07">
        <w:rPr>
          <w:rFonts w:ascii="Palatino Linotype" w:hAnsi="Palatino Linotype"/>
          <w:bCs/>
          <w:szCs w:val="26"/>
          <w:u w:val="single"/>
        </w:rPr>
        <w:t xml:space="preserve"> regarding development security, in part</w:t>
      </w:r>
      <w:r>
        <w:rPr>
          <w:rFonts w:ascii="Palatino Linotype" w:hAnsi="Palatino Linotype"/>
          <w:bCs/>
          <w:szCs w:val="26"/>
        </w:rPr>
        <w:t>.</w:t>
      </w:r>
    </w:p>
    <w:p w:rsidR="00D754B9" w:rsidRDefault="00D754B9" w:rsidP="0059383E">
      <w:pPr>
        <w:pStyle w:val="standard"/>
        <w:spacing w:after="120" w:line="240" w:lineRule="auto"/>
        <w:ind w:left="720" w:firstLine="0"/>
        <w:rPr>
          <w:rFonts w:ascii="Palatino Linotype" w:hAnsi="Palatino Linotype"/>
          <w:bCs/>
          <w:szCs w:val="26"/>
        </w:rPr>
      </w:pPr>
      <w:r>
        <w:rPr>
          <w:rFonts w:ascii="Palatino Linotype" w:hAnsi="Palatino Linotype"/>
          <w:bCs/>
          <w:szCs w:val="26"/>
        </w:rPr>
        <w:t xml:space="preserve">(b) </w:t>
      </w:r>
      <w:r w:rsidRPr="00496E86">
        <w:rPr>
          <w:rFonts w:ascii="Palatino Linotype" w:hAnsi="Palatino Linotype"/>
          <w:bCs/>
          <w:szCs w:val="26"/>
        </w:rPr>
        <w:t>Damage Payment</w:t>
      </w:r>
    </w:p>
    <w:p w:rsidR="00D147A7" w:rsidRDefault="00CA5E19" w:rsidP="0059383E">
      <w:pPr>
        <w:pStyle w:val="standard"/>
        <w:spacing w:after="120" w:line="240" w:lineRule="auto"/>
        <w:ind w:firstLine="0"/>
        <w:rPr>
          <w:rFonts w:ascii="Palatino Linotype" w:hAnsi="Palatino Linotype"/>
          <w:bCs/>
          <w:szCs w:val="26"/>
        </w:rPr>
      </w:pPr>
      <w:r>
        <w:rPr>
          <w:rFonts w:ascii="Palatino Linotype" w:hAnsi="Palatino Linotype"/>
          <w:bCs/>
          <w:szCs w:val="26"/>
        </w:rPr>
        <w:t xml:space="preserve">In </w:t>
      </w:r>
      <w:r w:rsidR="000E0AA9">
        <w:rPr>
          <w:rFonts w:ascii="Palatino Linotype" w:hAnsi="Palatino Linotype"/>
          <w:bCs/>
          <w:szCs w:val="26"/>
        </w:rPr>
        <w:t>PG&amp;E advice letter 4365-E, PG&amp;E requests modification to section 4.58 of its RAM V pro forma PPA.  The modification changes the “damage payment” to be based on the D</w:t>
      </w:r>
      <w:r>
        <w:rPr>
          <w:rFonts w:ascii="Palatino Linotype" w:hAnsi="Palatino Linotype"/>
          <w:bCs/>
          <w:szCs w:val="26"/>
        </w:rPr>
        <w:t xml:space="preserve">elivery Term Security instead of Project </w:t>
      </w:r>
      <w:r w:rsidR="00FB0D88">
        <w:rPr>
          <w:rFonts w:ascii="Palatino Linotype" w:hAnsi="Palatino Linotype"/>
          <w:bCs/>
          <w:szCs w:val="26"/>
        </w:rPr>
        <w:t>Development</w:t>
      </w:r>
      <w:r>
        <w:rPr>
          <w:rFonts w:ascii="Palatino Linotype" w:hAnsi="Palatino Linotype"/>
          <w:bCs/>
          <w:szCs w:val="26"/>
        </w:rPr>
        <w:t xml:space="preserve"> Security</w:t>
      </w:r>
      <w:r w:rsidR="000E0AA9">
        <w:rPr>
          <w:rFonts w:ascii="Palatino Linotype" w:hAnsi="Palatino Linotype"/>
          <w:bCs/>
          <w:szCs w:val="26"/>
        </w:rPr>
        <w:t xml:space="preserve">.  </w:t>
      </w:r>
      <w:r w:rsidR="00FB0D88">
        <w:rPr>
          <w:rFonts w:ascii="Palatino Linotype" w:hAnsi="Palatino Linotype"/>
          <w:bCs/>
          <w:szCs w:val="26"/>
        </w:rPr>
        <w:t>Project Development</w:t>
      </w:r>
      <w:r w:rsidR="000E0AA9">
        <w:rPr>
          <w:rFonts w:ascii="Palatino Linotype" w:hAnsi="Palatino Linotype"/>
          <w:bCs/>
          <w:szCs w:val="26"/>
        </w:rPr>
        <w:t xml:space="preserve"> Security is </w:t>
      </w:r>
      <w:r>
        <w:rPr>
          <w:rFonts w:ascii="Palatino Linotype" w:hAnsi="Palatino Linotype"/>
          <w:bCs/>
          <w:szCs w:val="26"/>
        </w:rPr>
        <w:t xml:space="preserve">$60/kW </w:t>
      </w:r>
      <w:r w:rsidR="00A37D9E">
        <w:rPr>
          <w:rFonts w:ascii="Palatino Linotype" w:hAnsi="Palatino Linotype"/>
          <w:bCs/>
          <w:szCs w:val="26"/>
        </w:rPr>
        <w:t>for as-available resources multiplied by the</w:t>
      </w:r>
      <w:r>
        <w:rPr>
          <w:rFonts w:ascii="Palatino Linotype" w:hAnsi="Palatino Linotype"/>
          <w:bCs/>
          <w:szCs w:val="26"/>
        </w:rPr>
        <w:t xml:space="preserve"> capacity of project</w:t>
      </w:r>
      <w:r w:rsidR="00A37D9E">
        <w:rPr>
          <w:rFonts w:ascii="Palatino Linotype" w:hAnsi="Palatino Linotype"/>
          <w:bCs/>
          <w:szCs w:val="26"/>
        </w:rPr>
        <w:t xml:space="preserve"> (or $90/kW for baseload resources).  Project Delivery Term Security is five percent of </w:t>
      </w:r>
      <w:r>
        <w:rPr>
          <w:rFonts w:ascii="Palatino Linotype" w:hAnsi="Palatino Linotype"/>
          <w:bCs/>
          <w:szCs w:val="26"/>
        </w:rPr>
        <w:t xml:space="preserve">expected total project revenues </w:t>
      </w:r>
      <w:r w:rsidR="00A37D9E">
        <w:rPr>
          <w:rFonts w:ascii="Palatino Linotype" w:hAnsi="Palatino Linotype"/>
          <w:bCs/>
          <w:szCs w:val="26"/>
        </w:rPr>
        <w:t>over the</w:t>
      </w:r>
      <w:r>
        <w:rPr>
          <w:rFonts w:ascii="Palatino Linotype" w:hAnsi="Palatino Linotype"/>
          <w:bCs/>
          <w:szCs w:val="26"/>
        </w:rPr>
        <w:t xml:space="preserve"> deliver</w:t>
      </w:r>
      <w:r w:rsidR="00A37D9E">
        <w:rPr>
          <w:rFonts w:ascii="Palatino Linotype" w:hAnsi="Palatino Linotype"/>
          <w:bCs/>
          <w:szCs w:val="26"/>
        </w:rPr>
        <w:t xml:space="preserve">y term.  In its protest to PG&amp;E advice letter 4365-E, NextEra recommends rejection of the modification </w:t>
      </w:r>
      <w:r w:rsidR="00436D39">
        <w:rPr>
          <w:rFonts w:ascii="Palatino Linotype" w:hAnsi="Palatino Linotype"/>
          <w:bCs/>
          <w:szCs w:val="26"/>
        </w:rPr>
        <w:t>because</w:t>
      </w:r>
      <w:r w:rsidR="00A37D9E">
        <w:rPr>
          <w:rFonts w:ascii="Palatino Linotype" w:hAnsi="Palatino Linotype"/>
          <w:bCs/>
          <w:szCs w:val="26"/>
        </w:rPr>
        <w:t xml:space="preserve"> the potential damage</w:t>
      </w:r>
      <w:r w:rsidR="00D147A7">
        <w:rPr>
          <w:rFonts w:ascii="Palatino Linotype" w:hAnsi="Palatino Linotype"/>
          <w:bCs/>
          <w:szCs w:val="26"/>
        </w:rPr>
        <w:t xml:space="preserve"> payment</w:t>
      </w:r>
      <w:r w:rsidR="00A37D9E">
        <w:rPr>
          <w:rFonts w:ascii="Palatino Linotype" w:hAnsi="Palatino Linotype"/>
          <w:bCs/>
          <w:szCs w:val="26"/>
        </w:rPr>
        <w:t xml:space="preserve"> is not commercially reasonable and out of propo</w:t>
      </w:r>
      <w:r w:rsidR="00207863">
        <w:rPr>
          <w:rFonts w:ascii="Palatino Linotype" w:hAnsi="Palatino Linotype"/>
          <w:bCs/>
          <w:szCs w:val="26"/>
        </w:rPr>
        <w:t>r</w:t>
      </w:r>
      <w:r w:rsidR="00A37D9E">
        <w:rPr>
          <w:rFonts w:ascii="Palatino Linotype" w:hAnsi="Palatino Linotype"/>
          <w:bCs/>
          <w:szCs w:val="26"/>
        </w:rPr>
        <w:t>tion to the harm that may result.</w:t>
      </w:r>
      <w:r w:rsidR="00A37D9E">
        <w:rPr>
          <w:rStyle w:val="FootnoteReference"/>
          <w:rFonts w:ascii="Palatino Linotype" w:hAnsi="Palatino Linotype"/>
          <w:bCs/>
          <w:szCs w:val="26"/>
        </w:rPr>
        <w:footnoteReference w:id="49"/>
      </w:r>
      <w:r w:rsidR="00A37D9E">
        <w:rPr>
          <w:rFonts w:ascii="Palatino Linotype" w:hAnsi="Palatino Linotype"/>
          <w:bCs/>
          <w:szCs w:val="26"/>
        </w:rPr>
        <w:t xml:space="preserve">  In its reply, PG&amp;E asserts that </w:t>
      </w:r>
      <w:r w:rsidR="00D147A7">
        <w:rPr>
          <w:rFonts w:ascii="Palatino Linotype" w:hAnsi="Palatino Linotype"/>
          <w:bCs/>
          <w:szCs w:val="26"/>
        </w:rPr>
        <w:t>modified damage payment is a reasonable approximation of damages that PG&amp;E ratepayers would suffer and is consistent with the damage payment definition approved in its 2013 RPS pro forma PPA.</w:t>
      </w:r>
    </w:p>
    <w:p w:rsidR="00496E86" w:rsidRDefault="00E21A2D" w:rsidP="00290D69">
      <w:pPr>
        <w:pStyle w:val="standard"/>
        <w:spacing w:after="240" w:line="240" w:lineRule="auto"/>
        <w:ind w:firstLine="0"/>
        <w:rPr>
          <w:rFonts w:ascii="Palatino Linotype" w:hAnsi="Palatino Linotype"/>
          <w:bCs/>
          <w:szCs w:val="26"/>
        </w:rPr>
      </w:pPr>
      <w:r>
        <w:rPr>
          <w:rFonts w:ascii="Palatino Linotype" w:hAnsi="Palatino Linotype"/>
          <w:bCs/>
          <w:szCs w:val="26"/>
        </w:rPr>
        <w:t>While consistency across PG&amp;E’s RAM and 2013 RPS solicitation is generally supported by the Commission, in this instance the Commission does not believe</w:t>
      </w:r>
      <w:r w:rsidR="00496E86">
        <w:rPr>
          <w:rFonts w:ascii="Palatino Linotype" w:hAnsi="Palatino Linotype"/>
          <w:bCs/>
          <w:szCs w:val="26"/>
        </w:rPr>
        <w:t xml:space="preserve"> that </w:t>
      </w:r>
      <w:r>
        <w:rPr>
          <w:rFonts w:ascii="Palatino Linotype" w:hAnsi="Palatino Linotype"/>
          <w:bCs/>
          <w:szCs w:val="26"/>
        </w:rPr>
        <w:t xml:space="preserve">it is necessary given the different risk in the contracts.  </w:t>
      </w:r>
      <w:r w:rsidR="00496E86">
        <w:rPr>
          <w:rFonts w:ascii="Palatino Linotype" w:hAnsi="Palatino Linotype"/>
          <w:bCs/>
          <w:szCs w:val="26"/>
        </w:rPr>
        <w:t>Pursuant to PG&amp;E’s RAM V pro forma PPA the</w:t>
      </w:r>
      <w:r>
        <w:rPr>
          <w:rFonts w:ascii="Palatino Linotype" w:hAnsi="Palatino Linotype"/>
          <w:bCs/>
          <w:szCs w:val="26"/>
        </w:rPr>
        <w:t xml:space="preserve"> damage payment is required if the seller fails to achieve Guaranteed Commercial Operation Date (COD).  Per the RAM program</w:t>
      </w:r>
      <w:r w:rsidR="00496E86">
        <w:rPr>
          <w:rFonts w:ascii="Palatino Linotype" w:hAnsi="Palatino Linotype"/>
          <w:bCs/>
          <w:szCs w:val="26"/>
        </w:rPr>
        <w:t>,</w:t>
      </w:r>
      <w:r>
        <w:rPr>
          <w:rFonts w:ascii="Palatino Linotype" w:hAnsi="Palatino Linotype"/>
          <w:bCs/>
          <w:szCs w:val="26"/>
        </w:rPr>
        <w:t xml:space="preserve"> projects are to achieve operation within 24 months, </w:t>
      </w:r>
      <w:r w:rsidR="00496E86">
        <w:rPr>
          <w:rFonts w:ascii="Palatino Linotype" w:hAnsi="Palatino Linotype"/>
          <w:bCs/>
          <w:szCs w:val="26"/>
        </w:rPr>
        <w:t xml:space="preserve">whereas </w:t>
      </w:r>
      <w:r>
        <w:rPr>
          <w:rFonts w:ascii="Palatino Linotype" w:hAnsi="Palatino Linotype"/>
          <w:bCs/>
          <w:szCs w:val="26"/>
        </w:rPr>
        <w:t xml:space="preserve">PG&amp;E’s 2013 RPS solicitation </w:t>
      </w:r>
      <w:r w:rsidR="00FB0D88">
        <w:rPr>
          <w:rFonts w:ascii="Palatino Linotype" w:hAnsi="Palatino Linotype"/>
          <w:bCs/>
          <w:szCs w:val="26"/>
        </w:rPr>
        <w:t>requested</w:t>
      </w:r>
      <w:r>
        <w:rPr>
          <w:rFonts w:ascii="Palatino Linotype" w:hAnsi="Palatino Linotype"/>
          <w:bCs/>
          <w:szCs w:val="26"/>
        </w:rPr>
        <w:t xml:space="preserve"> CODs beginning in 2020, which is six years after PPA execution.  The</w:t>
      </w:r>
      <w:r w:rsidR="00496E86">
        <w:rPr>
          <w:rFonts w:ascii="Palatino Linotype" w:hAnsi="Palatino Linotype"/>
          <w:bCs/>
          <w:szCs w:val="26"/>
        </w:rPr>
        <w:t>se</w:t>
      </w:r>
      <w:r>
        <w:rPr>
          <w:rFonts w:ascii="Palatino Linotype" w:hAnsi="Palatino Linotype"/>
          <w:bCs/>
          <w:szCs w:val="26"/>
        </w:rPr>
        <w:t xml:space="preserve"> different time frames </w:t>
      </w:r>
      <w:r w:rsidR="00496E86">
        <w:rPr>
          <w:rFonts w:ascii="Palatino Linotype" w:hAnsi="Palatino Linotype"/>
          <w:bCs/>
          <w:szCs w:val="26"/>
        </w:rPr>
        <w:t xml:space="preserve">between execution and COD </w:t>
      </w:r>
      <w:r>
        <w:rPr>
          <w:rFonts w:ascii="Palatino Linotype" w:hAnsi="Palatino Linotype"/>
          <w:bCs/>
          <w:szCs w:val="26"/>
        </w:rPr>
        <w:t>represent different risk to PG&amp;E ratepayers</w:t>
      </w:r>
      <w:r w:rsidR="00496E86">
        <w:rPr>
          <w:rFonts w:ascii="Palatino Linotype" w:hAnsi="Palatino Linotype"/>
          <w:bCs/>
          <w:szCs w:val="26"/>
        </w:rPr>
        <w:t xml:space="preserve"> should the seller not meet its Guaranteed COD.  T</w:t>
      </w:r>
      <w:r>
        <w:rPr>
          <w:rFonts w:ascii="Palatino Linotype" w:hAnsi="Palatino Linotype"/>
          <w:bCs/>
          <w:szCs w:val="26"/>
        </w:rPr>
        <w:t>hus</w:t>
      </w:r>
      <w:r w:rsidR="00496E86">
        <w:rPr>
          <w:rFonts w:ascii="Palatino Linotype" w:hAnsi="Palatino Linotype"/>
          <w:bCs/>
          <w:szCs w:val="26"/>
        </w:rPr>
        <w:t>,</w:t>
      </w:r>
      <w:r>
        <w:rPr>
          <w:rFonts w:ascii="Palatino Linotype" w:hAnsi="Palatino Linotype"/>
          <w:bCs/>
          <w:szCs w:val="26"/>
        </w:rPr>
        <w:t xml:space="preserve"> it </w:t>
      </w:r>
      <w:r w:rsidR="00496E86">
        <w:rPr>
          <w:rFonts w:ascii="Palatino Linotype" w:hAnsi="Palatino Linotype"/>
          <w:bCs/>
          <w:szCs w:val="26"/>
        </w:rPr>
        <w:t xml:space="preserve">is </w:t>
      </w:r>
      <w:r>
        <w:rPr>
          <w:rFonts w:ascii="Palatino Linotype" w:hAnsi="Palatino Linotype"/>
          <w:bCs/>
          <w:szCs w:val="26"/>
        </w:rPr>
        <w:t>reasonable that the requiremen</w:t>
      </w:r>
      <w:r w:rsidR="00496E86">
        <w:rPr>
          <w:rFonts w:ascii="Palatino Linotype" w:hAnsi="Palatino Linotype"/>
          <w:bCs/>
          <w:szCs w:val="26"/>
        </w:rPr>
        <w:t>t</w:t>
      </w:r>
      <w:r>
        <w:rPr>
          <w:rFonts w:ascii="Palatino Linotype" w:hAnsi="Palatino Linotype"/>
          <w:bCs/>
          <w:szCs w:val="26"/>
        </w:rPr>
        <w:t xml:space="preserve">s regarding </w:t>
      </w:r>
      <w:r w:rsidR="007E5D28">
        <w:rPr>
          <w:rFonts w:ascii="Palatino Linotype" w:hAnsi="Palatino Linotype"/>
          <w:bCs/>
          <w:szCs w:val="26"/>
        </w:rPr>
        <w:t xml:space="preserve">the </w:t>
      </w:r>
      <w:r>
        <w:rPr>
          <w:rFonts w:ascii="Palatino Linotype" w:hAnsi="Palatino Linotype"/>
          <w:bCs/>
          <w:szCs w:val="26"/>
        </w:rPr>
        <w:t xml:space="preserve">damage payment </w:t>
      </w:r>
      <w:r w:rsidR="00436D39">
        <w:rPr>
          <w:rFonts w:ascii="Palatino Linotype" w:hAnsi="Palatino Linotype"/>
          <w:bCs/>
          <w:szCs w:val="26"/>
        </w:rPr>
        <w:t>be</w:t>
      </w:r>
      <w:r>
        <w:rPr>
          <w:rFonts w:ascii="Palatino Linotype" w:hAnsi="Palatino Linotype"/>
          <w:bCs/>
          <w:szCs w:val="26"/>
        </w:rPr>
        <w:t xml:space="preserve"> different as well.  Accordingly, </w:t>
      </w:r>
      <w:r w:rsidRPr="00496E86">
        <w:rPr>
          <w:rFonts w:ascii="Palatino Linotype" w:hAnsi="Palatino Linotype"/>
          <w:bCs/>
          <w:szCs w:val="26"/>
          <w:u w:val="single"/>
        </w:rPr>
        <w:t xml:space="preserve">PG&amp;E’s requested modification to Section 1.58 of its RAM V pro forma PPA </w:t>
      </w:r>
      <w:r w:rsidR="00496E86" w:rsidRPr="00496E86">
        <w:rPr>
          <w:rFonts w:ascii="Palatino Linotype" w:hAnsi="Palatino Linotype"/>
          <w:bCs/>
          <w:szCs w:val="26"/>
          <w:u w:val="single"/>
        </w:rPr>
        <w:t>is denied and NextEra’s protest is accepted, in part</w:t>
      </w:r>
      <w:r w:rsidR="00496E86">
        <w:rPr>
          <w:rFonts w:ascii="Palatino Linotype" w:hAnsi="Palatino Linotype"/>
          <w:bCs/>
          <w:szCs w:val="26"/>
        </w:rPr>
        <w:t>.</w:t>
      </w:r>
    </w:p>
    <w:p w:rsidR="00785844" w:rsidRDefault="00785844" w:rsidP="0059383E">
      <w:pPr>
        <w:pStyle w:val="standard"/>
        <w:spacing w:after="120" w:line="240" w:lineRule="auto"/>
        <w:ind w:left="720" w:firstLine="0"/>
        <w:rPr>
          <w:rFonts w:ascii="Palatino Linotype" w:hAnsi="Palatino Linotype"/>
          <w:bCs/>
          <w:szCs w:val="26"/>
        </w:rPr>
      </w:pPr>
      <w:r>
        <w:rPr>
          <w:rFonts w:ascii="Palatino Linotype" w:hAnsi="Palatino Linotype"/>
          <w:bCs/>
          <w:szCs w:val="26"/>
        </w:rPr>
        <w:t>(</w:t>
      </w:r>
      <w:r w:rsidR="00D754B9">
        <w:rPr>
          <w:rFonts w:ascii="Palatino Linotype" w:hAnsi="Palatino Linotype"/>
          <w:bCs/>
          <w:szCs w:val="26"/>
        </w:rPr>
        <w:t>c</w:t>
      </w:r>
      <w:r>
        <w:rPr>
          <w:rFonts w:ascii="Palatino Linotype" w:hAnsi="Palatino Linotype"/>
          <w:bCs/>
          <w:szCs w:val="26"/>
        </w:rPr>
        <w:t>) Meteorological Stations</w:t>
      </w:r>
    </w:p>
    <w:p w:rsidR="00584A3E" w:rsidRDefault="005A74DC" w:rsidP="0059383E">
      <w:pPr>
        <w:pStyle w:val="standard"/>
        <w:spacing w:after="120" w:line="240" w:lineRule="auto"/>
        <w:ind w:firstLine="0"/>
        <w:rPr>
          <w:rFonts w:ascii="Palatino Linotype" w:hAnsi="Palatino Linotype"/>
          <w:bCs/>
          <w:szCs w:val="26"/>
        </w:rPr>
      </w:pPr>
      <w:r w:rsidRPr="00A134DA">
        <w:rPr>
          <w:rFonts w:ascii="Palatino Linotype" w:hAnsi="Palatino Linotype"/>
          <w:bCs/>
          <w:szCs w:val="26"/>
        </w:rPr>
        <w:t>In its protes</w:t>
      </w:r>
      <w:r w:rsidR="004F2F31">
        <w:rPr>
          <w:rFonts w:ascii="Palatino Linotype" w:hAnsi="Palatino Linotype"/>
          <w:bCs/>
          <w:szCs w:val="26"/>
        </w:rPr>
        <w:t>t, NextEra recommends rejection</w:t>
      </w:r>
      <w:r w:rsidRPr="00A134DA">
        <w:rPr>
          <w:rFonts w:ascii="Palatino Linotype" w:hAnsi="Palatino Linotype"/>
          <w:bCs/>
          <w:szCs w:val="26"/>
        </w:rPr>
        <w:t xml:space="preserve"> of SCE’s proposed modifications to its meteorological stations and reporting requirements, Section 3.08(f) and Exhibit P-2b.</w:t>
      </w:r>
      <w:r w:rsidR="00A134DA">
        <w:rPr>
          <w:rFonts w:ascii="Palatino Linotype" w:hAnsi="Palatino Linotype"/>
          <w:bCs/>
          <w:szCs w:val="26"/>
        </w:rPr>
        <w:t xml:space="preserve">  NextEra argues that the proposed changes impose numerous new requirements on seller’s physical equipment and associated maintenance.</w:t>
      </w:r>
      <w:r w:rsidR="004F2F31">
        <w:rPr>
          <w:rStyle w:val="FootnoteReference"/>
          <w:rFonts w:ascii="Palatino Linotype" w:hAnsi="Palatino Linotype"/>
          <w:bCs/>
          <w:szCs w:val="26"/>
        </w:rPr>
        <w:footnoteReference w:id="50"/>
      </w:r>
      <w:r w:rsidR="00A134DA">
        <w:rPr>
          <w:rFonts w:ascii="Palatino Linotype" w:hAnsi="Palatino Linotype"/>
          <w:bCs/>
          <w:szCs w:val="26"/>
        </w:rPr>
        <w:t xml:space="preserve">  In SCE’s reply, it argues that the </w:t>
      </w:r>
      <w:r w:rsidR="002B731A" w:rsidRPr="002B731A">
        <w:rPr>
          <w:rFonts w:ascii="Palatino Linotype" w:hAnsi="Palatino Linotype"/>
          <w:bCs/>
          <w:szCs w:val="26"/>
        </w:rPr>
        <w:t xml:space="preserve">proposed language represents a smaller burden to </w:t>
      </w:r>
      <w:r w:rsidR="002B731A">
        <w:rPr>
          <w:rFonts w:ascii="Palatino Linotype" w:hAnsi="Palatino Linotype"/>
          <w:bCs/>
          <w:szCs w:val="26"/>
        </w:rPr>
        <w:t>s</w:t>
      </w:r>
      <w:r w:rsidR="002B731A" w:rsidRPr="002B731A">
        <w:rPr>
          <w:rFonts w:ascii="Palatino Linotype" w:hAnsi="Palatino Linotype"/>
          <w:bCs/>
          <w:szCs w:val="26"/>
        </w:rPr>
        <w:t>ellers</w:t>
      </w:r>
      <w:r w:rsidR="002B731A">
        <w:rPr>
          <w:rFonts w:ascii="Palatino Linotype" w:hAnsi="Palatino Linotype"/>
          <w:bCs/>
          <w:szCs w:val="26"/>
        </w:rPr>
        <w:t xml:space="preserve"> </w:t>
      </w:r>
      <w:r w:rsidR="002B731A" w:rsidRPr="002B731A">
        <w:rPr>
          <w:rFonts w:ascii="Palatino Linotype" w:hAnsi="Palatino Linotype"/>
          <w:bCs/>
          <w:szCs w:val="26"/>
        </w:rPr>
        <w:t>and lower</w:t>
      </w:r>
      <w:r w:rsidR="00FB0D88">
        <w:rPr>
          <w:rFonts w:ascii="Palatino Linotype" w:hAnsi="Palatino Linotype"/>
          <w:bCs/>
          <w:szCs w:val="26"/>
        </w:rPr>
        <w:t>s</w:t>
      </w:r>
      <w:r w:rsidR="002B731A" w:rsidRPr="002B731A">
        <w:rPr>
          <w:rFonts w:ascii="Palatino Linotype" w:hAnsi="Palatino Linotype"/>
          <w:bCs/>
          <w:szCs w:val="26"/>
        </w:rPr>
        <w:t xml:space="preserve"> </w:t>
      </w:r>
      <w:r w:rsidR="00436D39">
        <w:rPr>
          <w:rFonts w:ascii="Palatino Linotype" w:hAnsi="Palatino Linotype"/>
          <w:bCs/>
          <w:szCs w:val="26"/>
        </w:rPr>
        <w:t xml:space="preserve">the </w:t>
      </w:r>
      <w:r w:rsidR="002B731A" w:rsidRPr="002B731A">
        <w:rPr>
          <w:rFonts w:ascii="Palatino Linotype" w:hAnsi="Palatino Linotype"/>
          <w:bCs/>
          <w:szCs w:val="26"/>
        </w:rPr>
        <w:t>cost of equipment installation, maintenance and contract compliance</w:t>
      </w:r>
      <w:r w:rsidR="002B731A">
        <w:rPr>
          <w:rFonts w:ascii="Palatino Linotype" w:hAnsi="Palatino Linotype"/>
          <w:bCs/>
          <w:szCs w:val="26"/>
        </w:rPr>
        <w:t xml:space="preserve"> because it requires a smaller quantity of sensors and allows a lower quality of sensors.</w:t>
      </w:r>
      <w:r w:rsidR="00DA2EA6">
        <w:rPr>
          <w:rStyle w:val="FootnoteReference"/>
          <w:rFonts w:ascii="Palatino Linotype" w:hAnsi="Palatino Linotype"/>
          <w:bCs/>
          <w:szCs w:val="26"/>
        </w:rPr>
        <w:footnoteReference w:id="51"/>
      </w:r>
    </w:p>
    <w:p w:rsidR="00584A3E" w:rsidRDefault="00584A3E" w:rsidP="0059383E">
      <w:pPr>
        <w:pStyle w:val="standard"/>
        <w:spacing w:after="120" w:line="240" w:lineRule="auto"/>
        <w:ind w:firstLine="0"/>
        <w:rPr>
          <w:rFonts w:ascii="Palatino Linotype" w:hAnsi="Palatino Linotype"/>
          <w:bCs/>
          <w:szCs w:val="26"/>
          <w:u w:val="single"/>
        </w:rPr>
      </w:pPr>
      <w:r w:rsidRPr="00F608B7">
        <w:rPr>
          <w:rFonts w:ascii="Palatino Linotype" w:hAnsi="Palatino Linotype"/>
          <w:bCs/>
          <w:szCs w:val="26"/>
        </w:rPr>
        <w:t>The Commission</w:t>
      </w:r>
      <w:r w:rsidR="004F2F31" w:rsidRPr="00F608B7">
        <w:rPr>
          <w:rFonts w:ascii="Palatino Linotype" w:hAnsi="Palatino Linotype"/>
          <w:bCs/>
          <w:szCs w:val="26"/>
        </w:rPr>
        <w:t xml:space="preserve"> </w:t>
      </w:r>
      <w:r w:rsidR="00DA2EA6" w:rsidRPr="00F608B7">
        <w:rPr>
          <w:rFonts w:ascii="Palatino Linotype" w:hAnsi="Palatino Linotype"/>
          <w:bCs/>
          <w:szCs w:val="26"/>
        </w:rPr>
        <w:t xml:space="preserve">agrees with SCE that the proposed modification is reasonable </w:t>
      </w:r>
      <w:r w:rsidR="00F608B7" w:rsidRPr="00F608B7">
        <w:rPr>
          <w:rFonts w:ascii="Palatino Linotype" w:hAnsi="Palatino Linotype"/>
          <w:bCs/>
          <w:szCs w:val="26"/>
        </w:rPr>
        <w:t>due to it reducing the seller’s burden with regards to meteorological stations and not imposing new requirements as asserted by NextEra</w:t>
      </w:r>
      <w:r w:rsidR="004F2F31" w:rsidRPr="00F608B7">
        <w:rPr>
          <w:rFonts w:ascii="Palatino Linotype" w:hAnsi="Palatino Linotype"/>
          <w:bCs/>
          <w:szCs w:val="26"/>
        </w:rPr>
        <w:t>.</w:t>
      </w:r>
      <w:r w:rsidR="00F608B7">
        <w:rPr>
          <w:rFonts w:ascii="Palatino Linotype" w:hAnsi="Palatino Linotype"/>
          <w:bCs/>
          <w:szCs w:val="26"/>
        </w:rPr>
        <w:t xml:space="preserve">  Accordingly, </w:t>
      </w:r>
      <w:r w:rsidR="00F608B7" w:rsidRPr="00F608B7">
        <w:rPr>
          <w:rFonts w:ascii="Palatino Linotype" w:hAnsi="Palatino Linotype"/>
          <w:bCs/>
          <w:szCs w:val="26"/>
          <w:u w:val="single"/>
        </w:rPr>
        <w:t>the Commission finds that SCE’s proposed Section 3.08(f) and Exhibit P-2b are reasonable and NextEra’s protest is denied, in part.</w:t>
      </w:r>
    </w:p>
    <w:p w:rsidR="00785844" w:rsidRDefault="00785844" w:rsidP="0059383E">
      <w:pPr>
        <w:pStyle w:val="standard"/>
        <w:keepNext/>
        <w:keepLines/>
        <w:spacing w:after="120" w:line="240" w:lineRule="auto"/>
        <w:rPr>
          <w:rFonts w:ascii="Palatino Linotype" w:hAnsi="Palatino Linotype"/>
          <w:bCs/>
          <w:szCs w:val="26"/>
        </w:rPr>
      </w:pPr>
      <w:r>
        <w:rPr>
          <w:rFonts w:ascii="Palatino Linotype" w:hAnsi="Palatino Linotype"/>
          <w:bCs/>
          <w:szCs w:val="26"/>
        </w:rPr>
        <w:t>(</w:t>
      </w:r>
      <w:r w:rsidR="00B4627E">
        <w:rPr>
          <w:rFonts w:ascii="Palatino Linotype" w:hAnsi="Palatino Linotype"/>
          <w:bCs/>
          <w:szCs w:val="26"/>
        </w:rPr>
        <w:t>d</w:t>
      </w:r>
      <w:r>
        <w:rPr>
          <w:rFonts w:ascii="Palatino Linotype" w:hAnsi="Palatino Linotype"/>
          <w:bCs/>
          <w:szCs w:val="26"/>
        </w:rPr>
        <w:t>) Material Changes to Generating Facility</w:t>
      </w:r>
    </w:p>
    <w:p w:rsidR="005A74DC" w:rsidRDefault="00847430" w:rsidP="0059383E">
      <w:pPr>
        <w:pStyle w:val="standard"/>
        <w:keepNext/>
        <w:keepLines/>
        <w:spacing w:after="120" w:line="240" w:lineRule="auto"/>
        <w:ind w:firstLine="0"/>
        <w:rPr>
          <w:rFonts w:ascii="Palatino Linotype" w:hAnsi="Palatino Linotype"/>
          <w:bCs/>
          <w:szCs w:val="26"/>
        </w:rPr>
      </w:pPr>
      <w:r>
        <w:rPr>
          <w:rFonts w:ascii="Palatino Linotype" w:hAnsi="Palatino Linotype"/>
          <w:bCs/>
          <w:szCs w:val="26"/>
        </w:rPr>
        <w:t xml:space="preserve">In </w:t>
      </w:r>
      <w:r w:rsidR="00436D39">
        <w:rPr>
          <w:rFonts w:ascii="Palatino Linotype" w:hAnsi="Palatino Linotype"/>
          <w:bCs/>
          <w:szCs w:val="26"/>
        </w:rPr>
        <w:t>its</w:t>
      </w:r>
      <w:r>
        <w:rPr>
          <w:rFonts w:ascii="Palatino Linotype" w:hAnsi="Palatino Linotype"/>
          <w:bCs/>
          <w:szCs w:val="26"/>
        </w:rPr>
        <w:t xml:space="preserve"> protest, </w:t>
      </w:r>
      <w:r w:rsidR="00436D39">
        <w:rPr>
          <w:rFonts w:ascii="Palatino Linotype" w:hAnsi="Palatino Linotype"/>
          <w:bCs/>
          <w:szCs w:val="26"/>
        </w:rPr>
        <w:t>NDEC</w:t>
      </w:r>
      <w:r>
        <w:rPr>
          <w:rFonts w:ascii="Palatino Linotype" w:hAnsi="Palatino Linotype"/>
          <w:bCs/>
          <w:szCs w:val="26"/>
        </w:rPr>
        <w:t xml:space="preserve"> recommends rejection of SCE’s proposed </w:t>
      </w:r>
      <w:r w:rsidR="00A356BC">
        <w:rPr>
          <w:rFonts w:ascii="Palatino Linotype" w:hAnsi="Palatino Linotype"/>
          <w:bCs/>
          <w:szCs w:val="26"/>
        </w:rPr>
        <w:t>modification</w:t>
      </w:r>
      <w:r>
        <w:rPr>
          <w:rFonts w:ascii="Palatino Linotype" w:hAnsi="Palatino Linotype"/>
          <w:bCs/>
          <w:szCs w:val="26"/>
        </w:rPr>
        <w:t xml:space="preserve"> to Section 3.11(d), which addresses material changes to the Generating Facility.  NDEC asserts th</w:t>
      </w:r>
      <w:r w:rsidR="00A356BC">
        <w:rPr>
          <w:rFonts w:ascii="Palatino Linotype" w:hAnsi="Palatino Linotype"/>
          <w:bCs/>
          <w:szCs w:val="26"/>
        </w:rPr>
        <w:t xml:space="preserve">at SCE’s proposed modification is </w:t>
      </w:r>
      <w:r w:rsidR="005A74DC">
        <w:rPr>
          <w:rFonts w:ascii="Palatino Linotype" w:hAnsi="Palatino Linotype"/>
          <w:bCs/>
          <w:szCs w:val="26"/>
        </w:rPr>
        <w:t>unreasonable</w:t>
      </w:r>
      <w:r>
        <w:rPr>
          <w:rFonts w:ascii="Palatino Linotype" w:hAnsi="Palatino Linotype"/>
          <w:bCs/>
          <w:szCs w:val="26"/>
        </w:rPr>
        <w:t xml:space="preserve"> because</w:t>
      </w:r>
      <w:r w:rsidR="005A74DC">
        <w:rPr>
          <w:rFonts w:ascii="Palatino Linotype" w:hAnsi="Palatino Linotype"/>
          <w:bCs/>
          <w:szCs w:val="26"/>
        </w:rPr>
        <w:t xml:space="preserve"> the modification introduce</w:t>
      </w:r>
      <w:r w:rsidR="00A356BC">
        <w:rPr>
          <w:rFonts w:ascii="Palatino Linotype" w:hAnsi="Palatino Linotype"/>
          <w:bCs/>
          <w:szCs w:val="26"/>
        </w:rPr>
        <w:t>s</w:t>
      </w:r>
      <w:r w:rsidR="005A74DC">
        <w:rPr>
          <w:rFonts w:ascii="Palatino Linotype" w:hAnsi="Palatino Linotype"/>
          <w:bCs/>
          <w:szCs w:val="26"/>
        </w:rPr>
        <w:t xml:space="preserve"> a new market condition for SCE’s PPAs that is overly broad and unnecessary due to other existing provisions that protect the buyer.</w:t>
      </w:r>
      <w:r w:rsidR="004F2F31">
        <w:rPr>
          <w:rStyle w:val="FootnoteReference"/>
          <w:rFonts w:ascii="Palatino Linotype" w:hAnsi="Palatino Linotype"/>
          <w:bCs/>
          <w:szCs w:val="26"/>
        </w:rPr>
        <w:footnoteReference w:id="52"/>
      </w:r>
      <w:r w:rsidR="005A74DC">
        <w:rPr>
          <w:rFonts w:ascii="Palatino Linotype" w:hAnsi="Palatino Linotype"/>
          <w:bCs/>
          <w:szCs w:val="26"/>
        </w:rPr>
        <w:t xml:space="preserve">  Further, NDEC recommends revisions to the proposed revision.  In its reply, SCE asserts that the proposed modification to Section 3.11(d) </w:t>
      </w:r>
      <w:r w:rsidR="00A356BC">
        <w:rPr>
          <w:rFonts w:ascii="Palatino Linotype" w:hAnsi="Palatino Linotype"/>
          <w:bCs/>
          <w:szCs w:val="26"/>
        </w:rPr>
        <w:t>is</w:t>
      </w:r>
      <w:r w:rsidR="005A74DC">
        <w:rPr>
          <w:rFonts w:ascii="Palatino Linotype" w:hAnsi="Palatino Linotype"/>
          <w:bCs/>
          <w:szCs w:val="26"/>
        </w:rPr>
        <w:t xml:space="preserve"> a clarification that SCE does not have an obligation to amend the RAM PPA to make material changes to the Generating Facility at the behest of the </w:t>
      </w:r>
      <w:r>
        <w:rPr>
          <w:rFonts w:ascii="Palatino Linotype" w:hAnsi="Palatino Linotype"/>
          <w:bCs/>
          <w:szCs w:val="26"/>
        </w:rPr>
        <w:t>s</w:t>
      </w:r>
      <w:r w:rsidR="005A74DC">
        <w:rPr>
          <w:rFonts w:ascii="Palatino Linotype" w:hAnsi="Palatino Linotype"/>
          <w:bCs/>
          <w:szCs w:val="26"/>
        </w:rPr>
        <w:t>eller.  Further, SCE argues that the proposed modification do</w:t>
      </w:r>
      <w:r w:rsidR="00A356BC">
        <w:rPr>
          <w:rFonts w:ascii="Palatino Linotype" w:hAnsi="Palatino Linotype"/>
          <w:bCs/>
          <w:szCs w:val="26"/>
        </w:rPr>
        <w:t>es</w:t>
      </w:r>
      <w:r w:rsidR="005A74DC">
        <w:rPr>
          <w:rFonts w:ascii="Palatino Linotype" w:hAnsi="Palatino Linotype"/>
          <w:bCs/>
          <w:szCs w:val="26"/>
        </w:rPr>
        <w:t xml:space="preserve"> not represent a new market condition as it has been included in concept in all of its PPAs in the form of Exhibit B, which is a detailed description of the generating facility.</w:t>
      </w:r>
    </w:p>
    <w:p w:rsidR="005A74DC" w:rsidRDefault="005A74DC" w:rsidP="0059383E">
      <w:pPr>
        <w:pStyle w:val="standard"/>
        <w:spacing w:after="120" w:line="240" w:lineRule="auto"/>
        <w:ind w:firstLine="0"/>
        <w:rPr>
          <w:rFonts w:ascii="Palatino Linotype" w:hAnsi="Palatino Linotype"/>
          <w:bCs/>
          <w:szCs w:val="26"/>
        </w:rPr>
      </w:pPr>
      <w:r w:rsidRPr="005903A0">
        <w:rPr>
          <w:rFonts w:ascii="Palatino Linotype" w:hAnsi="Palatino Linotype"/>
          <w:bCs/>
          <w:szCs w:val="26"/>
        </w:rPr>
        <w:t xml:space="preserve">The Commission </w:t>
      </w:r>
      <w:r w:rsidR="00B71C38">
        <w:rPr>
          <w:rFonts w:ascii="Palatino Linotype" w:hAnsi="Palatino Linotype"/>
          <w:bCs/>
          <w:szCs w:val="26"/>
        </w:rPr>
        <w:t>agrees with SCE that its proposed modification is a clarification of its pro forma PPA with regards to any changes to Exhibit B would need to be agreed upon by both the seller and SCE</w:t>
      </w:r>
      <w:r>
        <w:rPr>
          <w:rFonts w:ascii="Palatino Linotype" w:hAnsi="Palatino Linotype"/>
          <w:bCs/>
          <w:szCs w:val="26"/>
        </w:rPr>
        <w:t xml:space="preserve">.  Accordingly, </w:t>
      </w:r>
      <w:r w:rsidRPr="00C14FC7">
        <w:rPr>
          <w:rFonts w:ascii="Palatino Linotype" w:hAnsi="Palatino Linotype"/>
          <w:bCs/>
          <w:szCs w:val="26"/>
          <w:u w:val="single"/>
        </w:rPr>
        <w:t xml:space="preserve">the Commission finds SCE’s proposed modifications to Section 3.11(d) </w:t>
      </w:r>
      <w:r w:rsidR="008F0986">
        <w:rPr>
          <w:rFonts w:ascii="Palatino Linotype" w:hAnsi="Palatino Linotype"/>
          <w:bCs/>
          <w:szCs w:val="26"/>
          <w:u w:val="single"/>
        </w:rPr>
        <w:t xml:space="preserve">are </w:t>
      </w:r>
      <w:r w:rsidRPr="00C14FC7">
        <w:rPr>
          <w:rFonts w:ascii="Palatino Linotype" w:hAnsi="Palatino Linotype"/>
          <w:bCs/>
          <w:szCs w:val="26"/>
          <w:u w:val="single"/>
        </w:rPr>
        <w:t>reasonable and NDEC’s protest is denied</w:t>
      </w:r>
      <w:r w:rsidR="005249BE">
        <w:rPr>
          <w:rFonts w:ascii="Palatino Linotype" w:hAnsi="Palatino Linotype"/>
          <w:bCs/>
          <w:szCs w:val="26"/>
        </w:rPr>
        <w:t>.</w:t>
      </w:r>
    </w:p>
    <w:p w:rsidR="00D754B9" w:rsidRDefault="00785844" w:rsidP="005249BE">
      <w:pPr>
        <w:pStyle w:val="standard"/>
        <w:keepNext/>
        <w:spacing w:after="120" w:line="240" w:lineRule="auto"/>
        <w:ind w:left="720" w:firstLine="0"/>
        <w:rPr>
          <w:rFonts w:ascii="Palatino Linotype" w:hAnsi="Palatino Linotype"/>
          <w:bCs/>
          <w:szCs w:val="26"/>
        </w:rPr>
      </w:pPr>
      <w:r w:rsidRPr="00EB3514">
        <w:rPr>
          <w:rFonts w:ascii="Palatino Linotype" w:hAnsi="Palatino Linotype"/>
          <w:bCs/>
          <w:szCs w:val="26"/>
        </w:rPr>
        <w:t>(</w:t>
      </w:r>
      <w:r w:rsidR="00B4627E">
        <w:rPr>
          <w:rFonts w:ascii="Palatino Linotype" w:hAnsi="Palatino Linotype"/>
          <w:bCs/>
          <w:szCs w:val="26"/>
        </w:rPr>
        <w:t>e</w:t>
      </w:r>
      <w:r w:rsidRPr="00EB3514">
        <w:rPr>
          <w:rFonts w:ascii="Palatino Linotype" w:hAnsi="Palatino Linotype"/>
          <w:bCs/>
          <w:szCs w:val="26"/>
        </w:rPr>
        <w:t xml:space="preserve">) </w:t>
      </w:r>
      <w:r w:rsidR="00D754B9" w:rsidRPr="00EB3514">
        <w:rPr>
          <w:rFonts w:ascii="Palatino Linotype" w:hAnsi="Palatino Linotype"/>
          <w:bCs/>
          <w:szCs w:val="26"/>
        </w:rPr>
        <w:t>Assignment to Financing Providers</w:t>
      </w:r>
    </w:p>
    <w:p w:rsidR="00EB3514" w:rsidRDefault="00AF4337" w:rsidP="000B45F4">
      <w:pPr>
        <w:pStyle w:val="standard"/>
        <w:spacing w:after="240" w:line="240" w:lineRule="auto"/>
        <w:ind w:firstLine="0"/>
        <w:rPr>
          <w:rFonts w:ascii="Palatino Linotype" w:hAnsi="Palatino Linotype"/>
          <w:bCs/>
          <w:szCs w:val="26"/>
        </w:rPr>
      </w:pPr>
      <w:r>
        <w:rPr>
          <w:rFonts w:ascii="Palatino Linotype" w:hAnsi="Palatino Linotype"/>
          <w:bCs/>
          <w:szCs w:val="26"/>
        </w:rPr>
        <w:t xml:space="preserve">In PG&amp;E advice letter 4365-E, PG&amp;E proposes modifications to Section 10.6(b) of its RAM V pro forma PPA.  In its protest to PG&amp;E advice letter 4365-E, NextEra argues that the modification creates unnecessary constraints that could limit an actual Consent to Assignment required by lenders and recommends that the modification should not be approved.  In its reply, PG&amp;E asserts that the modification does not add any new obligation or burden on the seller and is a clarification with respect to the non-modifiable PPA.  The Commission </w:t>
      </w:r>
      <w:r w:rsidR="00EB3514">
        <w:rPr>
          <w:rFonts w:ascii="Palatino Linotype" w:hAnsi="Palatino Linotype"/>
          <w:bCs/>
          <w:szCs w:val="26"/>
        </w:rPr>
        <w:t>agrees</w:t>
      </w:r>
      <w:r>
        <w:rPr>
          <w:rFonts w:ascii="Palatino Linotype" w:hAnsi="Palatino Linotype"/>
          <w:bCs/>
          <w:szCs w:val="26"/>
        </w:rPr>
        <w:t xml:space="preserve"> with PG&amp;E that the proposed modification is consistent with </w:t>
      </w:r>
      <w:r w:rsidR="007E5D28">
        <w:rPr>
          <w:rFonts w:ascii="Palatino Linotype" w:hAnsi="Palatino Linotype"/>
          <w:bCs/>
          <w:szCs w:val="26"/>
        </w:rPr>
        <w:t xml:space="preserve">the </w:t>
      </w:r>
      <w:r>
        <w:rPr>
          <w:rFonts w:ascii="Palatino Linotype" w:hAnsi="Palatino Linotype"/>
          <w:bCs/>
          <w:szCs w:val="26"/>
        </w:rPr>
        <w:t xml:space="preserve">RAM program aspect of a non-modifiable PPA.  Accordingly, </w:t>
      </w:r>
      <w:r w:rsidR="00EB3514" w:rsidRPr="00EB3514">
        <w:rPr>
          <w:rFonts w:ascii="Palatino Linotype" w:hAnsi="Palatino Linotype"/>
          <w:bCs/>
          <w:szCs w:val="26"/>
          <w:u w:val="single"/>
        </w:rPr>
        <w:t>the Commission finds that</w:t>
      </w:r>
      <w:r w:rsidR="00EB3514">
        <w:rPr>
          <w:rFonts w:ascii="Palatino Linotype" w:hAnsi="Palatino Linotype"/>
          <w:bCs/>
          <w:szCs w:val="26"/>
        </w:rPr>
        <w:t xml:space="preserve"> </w:t>
      </w:r>
      <w:r w:rsidRPr="00EB3514">
        <w:rPr>
          <w:rFonts w:ascii="Palatino Linotype" w:hAnsi="Palatino Linotype"/>
          <w:bCs/>
          <w:szCs w:val="26"/>
          <w:u w:val="single"/>
        </w:rPr>
        <w:t xml:space="preserve">proposed Section 10.6(b) of PG&amp;E’s RAM V pro forma </w:t>
      </w:r>
      <w:r w:rsidR="00EB3514" w:rsidRPr="00EB3514">
        <w:rPr>
          <w:rFonts w:ascii="Palatino Linotype" w:hAnsi="Palatino Linotype"/>
          <w:bCs/>
          <w:szCs w:val="26"/>
          <w:u w:val="single"/>
        </w:rPr>
        <w:t>PPA is reasonable and NextEra’s protest is denied, in part</w:t>
      </w:r>
      <w:r w:rsidR="00EB3514">
        <w:rPr>
          <w:rFonts w:ascii="Palatino Linotype" w:hAnsi="Palatino Linotype"/>
          <w:bCs/>
          <w:szCs w:val="26"/>
        </w:rPr>
        <w:t>.</w:t>
      </w:r>
    </w:p>
    <w:p w:rsidR="00785844" w:rsidRDefault="00D754B9" w:rsidP="00785844">
      <w:pPr>
        <w:pStyle w:val="standard"/>
        <w:spacing w:after="120" w:line="240" w:lineRule="auto"/>
        <w:ind w:left="720" w:firstLine="0"/>
        <w:rPr>
          <w:rFonts w:ascii="Palatino Linotype" w:hAnsi="Palatino Linotype"/>
          <w:bCs/>
          <w:szCs w:val="26"/>
        </w:rPr>
      </w:pPr>
      <w:r>
        <w:rPr>
          <w:rFonts w:ascii="Palatino Linotype" w:hAnsi="Palatino Linotype"/>
          <w:bCs/>
          <w:szCs w:val="26"/>
        </w:rPr>
        <w:t>(</w:t>
      </w:r>
      <w:r w:rsidR="00B4627E">
        <w:rPr>
          <w:rFonts w:ascii="Palatino Linotype" w:hAnsi="Palatino Linotype"/>
          <w:bCs/>
          <w:szCs w:val="26"/>
        </w:rPr>
        <w:t>f</w:t>
      </w:r>
      <w:r>
        <w:rPr>
          <w:rFonts w:ascii="Palatino Linotype" w:hAnsi="Palatino Linotype"/>
          <w:bCs/>
          <w:szCs w:val="26"/>
        </w:rPr>
        <w:t xml:space="preserve">) </w:t>
      </w:r>
      <w:r w:rsidR="00785844">
        <w:rPr>
          <w:rFonts w:ascii="Palatino Linotype" w:hAnsi="Palatino Linotype"/>
          <w:bCs/>
          <w:szCs w:val="26"/>
        </w:rPr>
        <w:t>Insurance provisions</w:t>
      </w:r>
    </w:p>
    <w:p w:rsidR="00F97EF8" w:rsidRDefault="006E7835" w:rsidP="00026DAB">
      <w:pPr>
        <w:pStyle w:val="standard"/>
        <w:spacing w:after="120" w:line="240" w:lineRule="auto"/>
        <w:ind w:firstLine="0"/>
        <w:rPr>
          <w:rFonts w:ascii="Palatino Linotype" w:hAnsi="Palatino Linotype"/>
          <w:bCs/>
          <w:szCs w:val="26"/>
        </w:rPr>
      </w:pPr>
      <w:r>
        <w:rPr>
          <w:rFonts w:ascii="Palatino Linotype" w:hAnsi="Palatino Linotype"/>
          <w:bCs/>
          <w:szCs w:val="26"/>
        </w:rPr>
        <w:t xml:space="preserve">In SCE advice letter 3003-E, SCE proposes updates to the insurance provisions of its RAM V pro forma PPA, Section 10.11.  In its protest to SCE advice letter </w:t>
      </w:r>
      <w:r w:rsidR="00DA4F73">
        <w:rPr>
          <w:rFonts w:ascii="Palatino Linotype" w:hAnsi="Palatino Linotype"/>
          <w:bCs/>
          <w:szCs w:val="26"/>
        </w:rPr>
        <w:br/>
      </w:r>
      <w:r>
        <w:rPr>
          <w:rFonts w:ascii="Palatino Linotype" w:hAnsi="Palatino Linotype"/>
          <w:bCs/>
          <w:szCs w:val="26"/>
        </w:rPr>
        <w:t xml:space="preserve">3003-E, </w:t>
      </w:r>
      <w:r w:rsidR="00F97EF8" w:rsidRPr="005A74DC">
        <w:rPr>
          <w:rFonts w:ascii="Palatino Linotype" w:hAnsi="Palatino Linotype"/>
          <w:bCs/>
          <w:szCs w:val="26"/>
        </w:rPr>
        <w:t>Next</w:t>
      </w:r>
      <w:r w:rsidR="00682B4F">
        <w:rPr>
          <w:rFonts w:ascii="Palatino Linotype" w:hAnsi="Palatino Linotype"/>
          <w:bCs/>
          <w:szCs w:val="26"/>
        </w:rPr>
        <w:t xml:space="preserve">Era opposes some of SCE’s proposed modifications to </w:t>
      </w:r>
      <w:r w:rsidR="001D6971" w:rsidRPr="005A74DC">
        <w:rPr>
          <w:rFonts w:ascii="Palatino Linotype" w:hAnsi="Palatino Linotype"/>
          <w:bCs/>
          <w:szCs w:val="26"/>
        </w:rPr>
        <w:t>Section</w:t>
      </w:r>
      <w:r w:rsidR="00756B33" w:rsidRPr="005A74DC">
        <w:rPr>
          <w:rFonts w:ascii="Palatino Linotype" w:hAnsi="Palatino Linotype"/>
          <w:bCs/>
          <w:szCs w:val="26"/>
        </w:rPr>
        <w:t>s</w:t>
      </w:r>
      <w:r w:rsidR="001D6971" w:rsidRPr="005A74DC">
        <w:rPr>
          <w:rFonts w:ascii="Palatino Linotype" w:hAnsi="Palatino Linotype"/>
          <w:bCs/>
          <w:szCs w:val="26"/>
        </w:rPr>
        <w:t xml:space="preserve"> 10.11</w:t>
      </w:r>
      <w:r w:rsidR="00756B33" w:rsidRPr="005A74DC">
        <w:rPr>
          <w:rFonts w:ascii="Palatino Linotype" w:hAnsi="Palatino Linotype"/>
          <w:bCs/>
          <w:szCs w:val="26"/>
        </w:rPr>
        <w:t>(c), 10.11(d), and 10.11(f)</w:t>
      </w:r>
      <w:r w:rsidR="00F97EF8" w:rsidRPr="005A74DC">
        <w:rPr>
          <w:rFonts w:ascii="Palatino Linotype" w:hAnsi="Palatino Linotype"/>
          <w:bCs/>
          <w:szCs w:val="26"/>
        </w:rPr>
        <w:t>.</w:t>
      </w:r>
      <w:r w:rsidR="00901473">
        <w:rPr>
          <w:rFonts w:ascii="Palatino Linotype" w:hAnsi="Palatino Linotype"/>
          <w:bCs/>
          <w:szCs w:val="26"/>
        </w:rPr>
        <w:t xml:space="preserve">  NextEra asserts that the proposed modifications </w:t>
      </w:r>
      <w:r w:rsidR="00A10A00">
        <w:rPr>
          <w:rFonts w:ascii="Palatino Linotype" w:hAnsi="Palatino Linotype"/>
          <w:bCs/>
          <w:szCs w:val="26"/>
        </w:rPr>
        <w:t xml:space="preserve">to Sections 10.11(c) and 10.11(d) </w:t>
      </w:r>
      <w:r w:rsidR="00901473">
        <w:rPr>
          <w:rFonts w:ascii="Palatino Linotype" w:hAnsi="Palatino Linotype"/>
          <w:bCs/>
          <w:szCs w:val="26"/>
        </w:rPr>
        <w:t>may be impossible to comply with</w:t>
      </w:r>
      <w:r w:rsidR="00A10A00">
        <w:rPr>
          <w:rFonts w:ascii="Palatino Linotype" w:hAnsi="Palatino Linotype"/>
          <w:bCs/>
          <w:szCs w:val="26"/>
        </w:rPr>
        <w:t xml:space="preserve"> and</w:t>
      </w:r>
      <w:r w:rsidR="00901473">
        <w:rPr>
          <w:rFonts w:ascii="Palatino Linotype" w:hAnsi="Palatino Linotype"/>
          <w:bCs/>
          <w:szCs w:val="26"/>
        </w:rPr>
        <w:t xml:space="preserve"> unnecessary</w:t>
      </w:r>
      <w:r w:rsidR="00A10A00">
        <w:rPr>
          <w:rFonts w:ascii="Palatino Linotype" w:hAnsi="Palatino Linotype"/>
          <w:bCs/>
          <w:szCs w:val="26"/>
        </w:rPr>
        <w:t>.</w:t>
      </w:r>
      <w:r w:rsidR="008F0986">
        <w:rPr>
          <w:rStyle w:val="FootnoteReference"/>
          <w:rFonts w:ascii="Palatino Linotype" w:hAnsi="Palatino Linotype"/>
          <w:bCs/>
          <w:szCs w:val="26"/>
        </w:rPr>
        <w:footnoteReference w:id="53"/>
      </w:r>
      <w:r w:rsidR="00A10A00">
        <w:rPr>
          <w:rFonts w:ascii="Palatino Linotype" w:hAnsi="Palatino Linotype"/>
          <w:bCs/>
          <w:szCs w:val="26"/>
        </w:rPr>
        <w:t xml:space="preserve">  NextEra also asserts that Section 10.11(f) is unreasonable as it assumes a level of wrongful intent for failure to comply with the terms of Section 10.11 and that the legal relationship and contractual obligations between insurers and customers are much different </w:t>
      </w:r>
      <w:r w:rsidR="002E6F88">
        <w:rPr>
          <w:rFonts w:ascii="Palatino Linotype" w:hAnsi="Palatino Linotype"/>
          <w:bCs/>
          <w:szCs w:val="26"/>
        </w:rPr>
        <w:t>than</w:t>
      </w:r>
      <w:r w:rsidR="00A10A00">
        <w:rPr>
          <w:rFonts w:ascii="Palatino Linotype" w:hAnsi="Palatino Linotype"/>
          <w:bCs/>
          <w:szCs w:val="26"/>
        </w:rPr>
        <w:t xml:space="preserve"> those between a seller and SCE.  </w:t>
      </w:r>
      <w:r w:rsidR="00756B33">
        <w:rPr>
          <w:rFonts w:ascii="Palatino Linotype" w:hAnsi="Palatino Linotype"/>
          <w:bCs/>
          <w:szCs w:val="26"/>
        </w:rPr>
        <w:t>In SCE’s reply, SCE proposed revisions to Sections 10.11(c) and 10.11(d)</w:t>
      </w:r>
      <w:r w:rsidR="00447317">
        <w:rPr>
          <w:rFonts w:ascii="Palatino Linotype" w:hAnsi="Palatino Linotype"/>
          <w:bCs/>
          <w:szCs w:val="26"/>
        </w:rPr>
        <w:t>, which SCE asserts address</w:t>
      </w:r>
      <w:r w:rsidR="00756B33">
        <w:rPr>
          <w:rFonts w:ascii="Palatino Linotype" w:hAnsi="Palatino Linotype"/>
          <w:bCs/>
          <w:szCs w:val="26"/>
        </w:rPr>
        <w:t xml:space="preserve"> NextEra’s protest.</w:t>
      </w:r>
      <w:r w:rsidR="00756B33">
        <w:rPr>
          <w:rStyle w:val="FootnoteReference"/>
          <w:rFonts w:ascii="Palatino Linotype" w:hAnsi="Palatino Linotype"/>
          <w:bCs/>
          <w:szCs w:val="26"/>
        </w:rPr>
        <w:footnoteReference w:id="54"/>
      </w:r>
      <w:r w:rsidR="00447317">
        <w:rPr>
          <w:rFonts w:ascii="Palatino Linotype" w:hAnsi="Palatino Linotype"/>
          <w:bCs/>
          <w:szCs w:val="26"/>
        </w:rPr>
        <w:t xml:space="preserve">  SCE did not, however, propose any revisions to Section 10.11(f) and argues that its proposed modifications to Section 10.11(f)</w:t>
      </w:r>
      <w:r w:rsidR="00B23587">
        <w:rPr>
          <w:rFonts w:ascii="Palatino Linotype" w:hAnsi="Palatino Linotype"/>
          <w:bCs/>
          <w:szCs w:val="26"/>
        </w:rPr>
        <w:t xml:space="preserve">, which require the Seller, if it has failed to meet its insurance obligations as required in Section 10.11, to be held to the same legal standards as an insurer, </w:t>
      </w:r>
      <w:r w:rsidR="00447317">
        <w:rPr>
          <w:rFonts w:ascii="Palatino Linotype" w:hAnsi="Palatino Linotype"/>
          <w:bCs/>
          <w:szCs w:val="26"/>
        </w:rPr>
        <w:t>are reasonable</w:t>
      </w:r>
      <w:r w:rsidR="00B23587">
        <w:rPr>
          <w:rFonts w:ascii="Palatino Linotype" w:hAnsi="Palatino Linotype"/>
          <w:bCs/>
          <w:szCs w:val="26"/>
        </w:rPr>
        <w:t xml:space="preserve"> </w:t>
      </w:r>
      <w:r w:rsidR="00EC1434">
        <w:rPr>
          <w:rFonts w:ascii="Palatino Linotype" w:hAnsi="Palatino Linotype"/>
          <w:bCs/>
          <w:szCs w:val="26"/>
        </w:rPr>
        <w:t>because they</w:t>
      </w:r>
      <w:r w:rsidR="00B23587">
        <w:rPr>
          <w:rFonts w:ascii="Palatino Linotype" w:hAnsi="Palatino Linotype"/>
          <w:bCs/>
          <w:szCs w:val="26"/>
        </w:rPr>
        <w:t xml:space="preserve"> limit the harm to SCE and its customers.</w:t>
      </w:r>
    </w:p>
    <w:p w:rsidR="00BE5B72" w:rsidRDefault="00B23587" w:rsidP="00026DAB">
      <w:pPr>
        <w:pStyle w:val="standard"/>
        <w:spacing w:after="120" w:line="240" w:lineRule="auto"/>
        <w:ind w:firstLine="0"/>
        <w:rPr>
          <w:rFonts w:ascii="Palatino Linotype" w:hAnsi="Palatino Linotype"/>
          <w:bCs/>
          <w:szCs w:val="26"/>
        </w:rPr>
      </w:pPr>
      <w:r>
        <w:rPr>
          <w:rFonts w:ascii="Palatino Linotype" w:hAnsi="Palatino Linotype"/>
          <w:bCs/>
          <w:szCs w:val="26"/>
        </w:rPr>
        <w:t>The Commission denies NextEra’s protest</w:t>
      </w:r>
      <w:r w:rsidR="00A45036">
        <w:rPr>
          <w:rFonts w:ascii="Palatino Linotype" w:hAnsi="Palatino Linotype"/>
          <w:bCs/>
          <w:szCs w:val="26"/>
        </w:rPr>
        <w:t>s to SCE advice letter 3003-E</w:t>
      </w:r>
      <w:r>
        <w:rPr>
          <w:rFonts w:ascii="Palatino Linotype" w:hAnsi="Palatino Linotype"/>
          <w:bCs/>
          <w:szCs w:val="26"/>
        </w:rPr>
        <w:t>, in part.  SCE</w:t>
      </w:r>
      <w:r w:rsidR="00D2610E">
        <w:rPr>
          <w:rFonts w:ascii="Palatino Linotype" w:hAnsi="Palatino Linotype"/>
          <w:bCs/>
          <w:szCs w:val="26"/>
        </w:rPr>
        <w:t xml:space="preserve">’s </w:t>
      </w:r>
      <w:r>
        <w:rPr>
          <w:rFonts w:ascii="Palatino Linotype" w:hAnsi="Palatino Linotype"/>
          <w:bCs/>
          <w:szCs w:val="26"/>
        </w:rPr>
        <w:t>proposed revis</w:t>
      </w:r>
      <w:r w:rsidR="00D2610E">
        <w:rPr>
          <w:rFonts w:ascii="Palatino Linotype" w:hAnsi="Palatino Linotype"/>
          <w:bCs/>
          <w:szCs w:val="26"/>
        </w:rPr>
        <w:t>ions to</w:t>
      </w:r>
      <w:r>
        <w:rPr>
          <w:rFonts w:ascii="Palatino Linotype" w:hAnsi="Palatino Linotype"/>
          <w:bCs/>
          <w:szCs w:val="26"/>
        </w:rPr>
        <w:t xml:space="preserve"> Sections 10.11(c) and 10.11(d) appear to reasonably address NextEra’s concerns.  </w:t>
      </w:r>
      <w:r w:rsidR="002E6F88">
        <w:rPr>
          <w:rFonts w:ascii="Palatino Linotype" w:hAnsi="Palatino Linotype"/>
          <w:bCs/>
          <w:szCs w:val="26"/>
        </w:rPr>
        <w:t>Thus, NextEra’s recommendation to strike all or a portion of Sections 10</w:t>
      </w:r>
      <w:r w:rsidR="00A45036">
        <w:rPr>
          <w:rFonts w:ascii="Palatino Linotype" w:hAnsi="Palatino Linotype"/>
          <w:bCs/>
          <w:szCs w:val="26"/>
        </w:rPr>
        <w:t xml:space="preserve">.11(c) and 10.11(d) is denied. </w:t>
      </w:r>
      <w:r w:rsidR="00A10A00">
        <w:rPr>
          <w:rFonts w:ascii="Palatino Linotype" w:hAnsi="Palatino Linotype"/>
          <w:bCs/>
          <w:szCs w:val="26"/>
        </w:rPr>
        <w:t xml:space="preserve">Accordingly, </w:t>
      </w:r>
      <w:r w:rsidR="00A10A00" w:rsidRPr="00A10A00">
        <w:rPr>
          <w:rFonts w:ascii="Palatino Linotype" w:hAnsi="Palatino Linotype"/>
          <w:bCs/>
          <w:szCs w:val="26"/>
          <w:u w:val="single"/>
        </w:rPr>
        <w:t>the Commission finds SCE’</w:t>
      </w:r>
      <w:r w:rsidR="002E6F88">
        <w:rPr>
          <w:rFonts w:ascii="Palatino Linotype" w:hAnsi="Palatino Linotype"/>
          <w:bCs/>
          <w:szCs w:val="26"/>
          <w:u w:val="single"/>
        </w:rPr>
        <w:t>s proposed revised</w:t>
      </w:r>
      <w:r w:rsidR="00A10A00" w:rsidRPr="00A10A00">
        <w:rPr>
          <w:rFonts w:ascii="Palatino Linotype" w:hAnsi="Palatino Linotype"/>
          <w:bCs/>
          <w:szCs w:val="26"/>
          <w:u w:val="single"/>
        </w:rPr>
        <w:t xml:space="preserve"> Sections 10.11(c) and 10.11(d)</w:t>
      </w:r>
      <w:r w:rsidR="002E6F88">
        <w:rPr>
          <w:rFonts w:ascii="Palatino Linotype" w:hAnsi="Palatino Linotype"/>
          <w:bCs/>
          <w:szCs w:val="26"/>
          <w:u w:val="single"/>
        </w:rPr>
        <w:t xml:space="preserve"> are</w:t>
      </w:r>
      <w:r w:rsidR="00A10A00" w:rsidRPr="00A10A00">
        <w:rPr>
          <w:rFonts w:ascii="Palatino Linotype" w:hAnsi="Palatino Linotype"/>
          <w:bCs/>
          <w:szCs w:val="26"/>
          <w:u w:val="single"/>
        </w:rPr>
        <w:t xml:space="preserve"> reasonable</w:t>
      </w:r>
      <w:r w:rsidR="008F0986">
        <w:rPr>
          <w:rFonts w:ascii="Palatino Linotype" w:hAnsi="Palatino Linotype"/>
          <w:bCs/>
          <w:szCs w:val="26"/>
          <w:u w:val="single"/>
        </w:rPr>
        <w:t xml:space="preserve"> and NextEra’s protest is denied, in part</w:t>
      </w:r>
      <w:r w:rsidR="00A10A00">
        <w:rPr>
          <w:rFonts w:ascii="Palatino Linotype" w:hAnsi="Palatino Linotype"/>
          <w:bCs/>
          <w:szCs w:val="26"/>
        </w:rPr>
        <w:t xml:space="preserve">.  </w:t>
      </w:r>
    </w:p>
    <w:p w:rsidR="00B23587" w:rsidRDefault="002E6F88" w:rsidP="00026DAB">
      <w:pPr>
        <w:pStyle w:val="standard"/>
        <w:spacing w:after="120" w:line="240" w:lineRule="auto"/>
        <w:ind w:firstLine="0"/>
        <w:rPr>
          <w:rFonts w:ascii="Palatino Linotype" w:hAnsi="Palatino Linotype"/>
          <w:bCs/>
          <w:szCs w:val="26"/>
        </w:rPr>
      </w:pPr>
      <w:r>
        <w:rPr>
          <w:rFonts w:ascii="Palatino Linotype" w:hAnsi="Palatino Linotype"/>
          <w:bCs/>
          <w:szCs w:val="26"/>
        </w:rPr>
        <w:t>While the Commission agrees</w:t>
      </w:r>
      <w:r w:rsidR="00D2610E">
        <w:rPr>
          <w:rFonts w:ascii="Palatino Linotype" w:hAnsi="Palatino Linotype"/>
          <w:bCs/>
          <w:szCs w:val="26"/>
        </w:rPr>
        <w:t xml:space="preserve"> with</w:t>
      </w:r>
      <w:r>
        <w:rPr>
          <w:rFonts w:ascii="Palatino Linotype" w:hAnsi="Palatino Linotype"/>
          <w:bCs/>
          <w:szCs w:val="26"/>
        </w:rPr>
        <w:t xml:space="preserve"> SCE’s intent for proposing the modifications to Section 10.11(f), the Commission agrees</w:t>
      </w:r>
      <w:r w:rsidR="008F0986">
        <w:rPr>
          <w:rFonts w:ascii="Palatino Linotype" w:hAnsi="Palatino Linotype"/>
          <w:bCs/>
          <w:szCs w:val="26"/>
        </w:rPr>
        <w:t xml:space="preserve"> </w:t>
      </w:r>
      <w:r>
        <w:rPr>
          <w:rFonts w:ascii="Palatino Linotype" w:hAnsi="Palatino Linotype"/>
          <w:bCs/>
          <w:szCs w:val="26"/>
        </w:rPr>
        <w:t xml:space="preserve">with NextEra with regards to </w:t>
      </w:r>
      <w:r w:rsidR="005A74DC">
        <w:rPr>
          <w:rFonts w:ascii="Palatino Linotype" w:hAnsi="Palatino Linotype"/>
          <w:bCs/>
          <w:szCs w:val="26"/>
        </w:rPr>
        <w:t>its</w:t>
      </w:r>
      <w:r>
        <w:rPr>
          <w:rFonts w:ascii="Palatino Linotype" w:hAnsi="Palatino Linotype"/>
          <w:bCs/>
          <w:szCs w:val="26"/>
        </w:rPr>
        <w:t xml:space="preserve"> assertion that the relationship between insurers and customers </w:t>
      </w:r>
      <w:r w:rsidR="007E5D28">
        <w:rPr>
          <w:rFonts w:ascii="Palatino Linotype" w:hAnsi="Palatino Linotype"/>
          <w:bCs/>
          <w:szCs w:val="26"/>
        </w:rPr>
        <w:t>is</w:t>
      </w:r>
      <w:r>
        <w:rPr>
          <w:rFonts w:ascii="Palatino Linotype" w:hAnsi="Palatino Linotype"/>
          <w:bCs/>
          <w:szCs w:val="26"/>
        </w:rPr>
        <w:t xml:space="preserve"> different tha</w:t>
      </w:r>
      <w:r w:rsidR="005A74DC">
        <w:rPr>
          <w:rFonts w:ascii="Palatino Linotype" w:hAnsi="Palatino Linotype"/>
          <w:bCs/>
          <w:szCs w:val="26"/>
        </w:rPr>
        <w:t>n</w:t>
      </w:r>
      <w:r>
        <w:rPr>
          <w:rFonts w:ascii="Palatino Linotype" w:hAnsi="Palatino Linotype"/>
          <w:bCs/>
          <w:szCs w:val="26"/>
        </w:rPr>
        <w:t xml:space="preserve"> those between a seller and SCE.  Therefore, </w:t>
      </w:r>
      <w:r w:rsidRPr="005A74DC">
        <w:rPr>
          <w:rFonts w:ascii="Palatino Linotype" w:hAnsi="Palatino Linotype"/>
          <w:bCs/>
          <w:szCs w:val="26"/>
          <w:u w:val="single"/>
        </w:rPr>
        <w:t xml:space="preserve">SCE shall modify Section 10.11(f) such that </w:t>
      </w:r>
      <w:r w:rsidR="005A74DC" w:rsidRPr="005A74DC">
        <w:rPr>
          <w:rFonts w:ascii="Palatino Linotype" w:hAnsi="Palatino Linotype"/>
          <w:bCs/>
          <w:szCs w:val="26"/>
          <w:u w:val="single"/>
        </w:rPr>
        <w:t>language requiring the seller to be held to the same legal obligations as an insurer is removed</w:t>
      </w:r>
      <w:r w:rsidR="005A74DC">
        <w:rPr>
          <w:rFonts w:ascii="Palatino Linotype" w:hAnsi="Palatino Linotype"/>
          <w:bCs/>
          <w:szCs w:val="26"/>
        </w:rPr>
        <w:t>, as shown below</w:t>
      </w:r>
      <w:r w:rsidR="008F0986">
        <w:rPr>
          <w:rFonts w:ascii="Palatino Linotype" w:hAnsi="Palatino Linotype"/>
          <w:bCs/>
          <w:szCs w:val="26"/>
        </w:rPr>
        <w:t xml:space="preserve">, and </w:t>
      </w:r>
      <w:r w:rsidR="008F0986" w:rsidRPr="008F0986">
        <w:rPr>
          <w:rFonts w:ascii="Palatino Linotype" w:hAnsi="Palatino Linotype"/>
          <w:bCs/>
          <w:szCs w:val="26"/>
          <w:u w:val="single"/>
        </w:rPr>
        <w:t>NextEra’s protest is accepted, in part</w:t>
      </w:r>
      <w:r w:rsidR="005A74DC">
        <w:rPr>
          <w:rFonts w:ascii="Palatino Linotype" w:hAnsi="Palatino Linotype"/>
          <w:bCs/>
          <w:szCs w:val="26"/>
        </w:rPr>
        <w:t>.</w:t>
      </w:r>
    </w:p>
    <w:p w:rsidR="00BE5B72" w:rsidRDefault="005A74DC" w:rsidP="00026DAB">
      <w:pPr>
        <w:autoSpaceDE w:val="0"/>
        <w:autoSpaceDN w:val="0"/>
        <w:adjustRightInd w:val="0"/>
        <w:spacing w:after="120"/>
        <w:ind w:left="1008" w:hanging="288"/>
        <w:rPr>
          <w:rFonts w:ascii="Palatino Linotype" w:hAnsi="Palatino Linotype"/>
          <w:bCs/>
          <w:szCs w:val="26"/>
        </w:rPr>
      </w:pPr>
      <w:r w:rsidRPr="005A74DC">
        <w:rPr>
          <w:rFonts w:ascii="Palatino Linotype" w:hAnsi="Palatino Linotype" w:cs="TimesNewRoman"/>
          <w:szCs w:val="26"/>
        </w:rPr>
        <w:t>(f) If Seller fails to comply with any of the provisions of this Section 10.11, Seller, among other things and without restricting SCE’s remedies under the law or otherwise, shall, at its own cost and expense, act as an insurer and provide insurance in accordance with the terms and conditions above. With respect to the required Commercial General Liability, Umbrella/Excess Liability and Commercial Automobile Liability insurance, Seller shall provide a current, full and complete defense to SCE, its subsidiaries and affiliates, and their respective officers, directors, shareholders, agents, employees, assigns, and successors in i</w:t>
      </w:r>
      <w:r w:rsidR="008F0986">
        <w:rPr>
          <w:rFonts w:ascii="Palatino Linotype" w:hAnsi="Palatino Linotype" w:cs="TimesNewRoman"/>
          <w:szCs w:val="26"/>
        </w:rPr>
        <w:t>nterest, in response to a third</w:t>
      </w:r>
      <w:r w:rsidRPr="005A74DC">
        <w:rPr>
          <w:rFonts w:ascii="Palatino Linotype" w:hAnsi="Palatino Linotype" w:cs="TimesNewRoman"/>
          <w:szCs w:val="26"/>
        </w:rPr>
        <w:t>-party claim in the same manner that an insurer would have, had the insurance been maintained in accordance with the terms and conditions set forth above. In addition, alleged violations of the provisions of this Section 10.11 means that Seller has the initial burden of proof regarding any legal justification for refusing or withholding coverage</w:t>
      </w:r>
      <w:r w:rsidRPr="005A74DC">
        <w:rPr>
          <w:rFonts w:ascii="Palatino Linotype" w:hAnsi="Palatino Linotype" w:cs="TimesNewRoman"/>
          <w:strike/>
          <w:szCs w:val="26"/>
        </w:rPr>
        <w:t xml:space="preserve"> and Seller shall face the same liability and damages as an insurer for wrongfully refusing or withholding coverage in accordance with the laws of California</w:t>
      </w:r>
      <w:r w:rsidRPr="005A74DC">
        <w:rPr>
          <w:rFonts w:ascii="Palatino Linotype" w:hAnsi="Palatino Linotype" w:cs="TimesNewRoman"/>
          <w:szCs w:val="26"/>
        </w:rPr>
        <w:t>.</w:t>
      </w:r>
    </w:p>
    <w:p w:rsidR="00BE5B72" w:rsidRDefault="00BE5B72" w:rsidP="00026DAB">
      <w:pPr>
        <w:pStyle w:val="standard"/>
        <w:spacing w:after="120" w:line="240" w:lineRule="auto"/>
        <w:ind w:firstLine="0"/>
        <w:rPr>
          <w:rFonts w:ascii="Palatino Linotype" w:hAnsi="Palatino Linotype"/>
          <w:bCs/>
          <w:szCs w:val="26"/>
        </w:rPr>
      </w:pPr>
      <w:r>
        <w:rPr>
          <w:rFonts w:ascii="Palatino Linotype" w:hAnsi="Palatino Linotype"/>
          <w:bCs/>
          <w:szCs w:val="26"/>
        </w:rPr>
        <w:t>In PG&amp;E advice letter 4365-E, PG&amp;E also proposes modifications to the insurance provisions of its RAM V pro forma PPA, Section 10.10.  In its protest to PG&amp;E advice letter 4365-E, NextEra made two recommendations for modifications to PG&amp;E’s pro forma PPA insurance provisions. First, NextEra recommends elimination of the “per project basis” or “material objection” language in section 10.10(b)(ii) because it may not be possible to meet the requirement in the future due to insurance market conditions changing over time.</w:t>
      </w:r>
      <w:r>
        <w:rPr>
          <w:rStyle w:val="FootnoteReference"/>
          <w:rFonts w:ascii="Palatino Linotype" w:hAnsi="Palatino Linotype"/>
          <w:bCs/>
          <w:szCs w:val="26"/>
        </w:rPr>
        <w:footnoteReference w:id="55"/>
      </w:r>
      <w:r>
        <w:rPr>
          <w:rFonts w:ascii="Palatino Linotype" w:hAnsi="Palatino Linotype"/>
          <w:bCs/>
          <w:szCs w:val="26"/>
        </w:rPr>
        <w:t xml:space="preserve">  Second, </w:t>
      </w:r>
      <w:r w:rsidRPr="006C5A57">
        <w:rPr>
          <w:rFonts w:ascii="Palatino Linotype" w:hAnsi="Palatino Linotype"/>
          <w:bCs/>
          <w:szCs w:val="26"/>
        </w:rPr>
        <w:t>NextEra recommends that</w:t>
      </w:r>
      <w:r w:rsidRPr="0007722A">
        <w:rPr>
          <w:rFonts w:ascii="Palatino Linotype" w:hAnsi="Palatino Linotype"/>
          <w:bCs/>
          <w:szCs w:val="26"/>
        </w:rPr>
        <w:t xml:space="preserve"> </w:t>
      </w:r>
      <w:r>
        <w:rPr>
          <w:rFonts w:ascii="Palatino Linotype" w:hAnsi="Palatino Linotype"/>
          <w:bCs/>
          <w:szCs w:val="26"/>
        </w:rPr>
        <w:t>PG&amp;E’s proposed modification to require “delayed opening coverage” (section 10.10(d)) is unnecessary because PG&amp;E is already protected through Project Development Security requirements, Damage Payment, and Termination Payment.  In its reply, PG&amp;E asserts that Section 10.10(b)(ii) should not be modified because the provision ensures that each project maintain sufficient coverage and that the provision was approved in both PG&amp;E’s RAM IV and 2013 RPS pro forma PPA.</w:t>
      </w:r>
      <w:r>
        <w:rPr>
          <w:rStyle w:val="FootnoteReference"/>
          <w:rFonts w:ascii="Palatino Linotype" w:hAnsi="Palatino Linotype"/>
          <w:bCs/>
          <w:szCs w:val="26"/>
        </w:rPr>
        <w:footnoteReference w:id="56"/>
      </w:r>
      <w:r>
        <w:rPr>
          <w:rFonts w:ascii="Palatino Linotype" w:hAnsi="Palatino Linotype"/>
          <w:bCs/>
          <w:szCs w:val="26"/>
        </w:rPr>
        <w:t xml:space="preserve">  Regarding Section 10.10(d), PG&amp;E asserts that the provision is a benefit to sellers and increases the likelihood that a project will be completed, but is willing to remove the provision.</w:t>
      </w:r>
    </w:p>
    <w:p w:rsidR="00F97EF8" w:rsidRPr="00F97EF8" w:rsidRDefault="00BE5B72" w:rsidP="00DA4F73">
      <w:pPr>
        <w:pStyle w:val="standard"/>
        <w:spacing w:after="240" w:line="240" w:lineRule="auto"/>
        <w:ind w:firstLine="0"/>
        <w:rPr>
          <w:rFonts w:ascii="Palatino Linotype" w:hAnsi="Palatino Linotype"/>
          <w:bCs/>
          <w:szCs w:val="26"/>
          <w:u w:val="single"/>
        </w:rPr>
      </w:pPr>
      <w:r>
        <w:rPr>
          <w:rFonts w:ascii="Palatino Linotype" w:hAnsi="Palatino Linotype"/>
          <w:bCs/>
          <w:szCs w:val="26"/>
        </w:rPr>
        <w:t>The Commission denies NextEra’s protests to PG&amp;E advice letter 4365-E, in part.  As PG&amp;E notes in its reply, Section 10.10(b)(ii) was previously approved.  NextEra’s protest has not provided any evidence as to what conditions have changed that now make the previously approved provision unrea</w:t>
      </w:r>
      <w:r w:rsidR="00D91695">
        <w:rPr>
          <w:rFonts w:ascii="Palatino Linotype" w:hAnsi="Palatino Linotype"/>
          <w:bCs/>
          <w:szCs w:val="26"/>
        </w:rPr>
        <w:t xml:space="preserve">sonable. Also, given that PG&amp;E is willing to remove Section 10.10(d) as requested by NextEra, the Commission finds this modification reasonable.  </w:t>
      </w:r>
      <w:r>
        <w:rPr>
          <w:rFonts w:ascii="Palatino Linotype" w:hAnsi="Palatino Linotype"/>
          <w:bCs/>
          <w:szCs w:val="26"/>
        </w:rPr>
        <w:t xml:space="preserve">Accordingly, </w:t>
      </w:r>
      <w:r w:rsidRPr="00BE5B72">
        <w:rPr>
          <w:rFonts w:ascii="Palatino Linotype" w:hAnsi="Palatino Linotype"/>
          <w:bCs/>
          <w:szCs w:val="26"/>
          <w:u w:val="single"/>
        </w:rPr>
        <w:t xml:space="preserve">the Commission finds that PG&amp;E RAM V pro forma PPA Section 10.10(b)(ii) is reasonable and NextEra’s protest to PG&amp;E advice letter 4365-E </w:t>
      </w:r>
      <w:r w:rsidR="00FB0D88">
        <w:rPr>
          <w:rFonts w:ascii="Palatino Linotype" w:hAnsi="Palatino Linotype"/>
          <w:bCs/>
          <w:szCs w:val="26"/>
          <w:u w:val="single"/>
        </w:rPr>
        <w:t xml:space="preserve">is </w:t>
      </w:r>
      <w:r w:rsidRPr="00BE5B72">
        <w:rPr>
          <w:rFonts w:ascii="Palatino Linotype" w:hAnsi="Palatino Linotype"/>
          <w:bCs/>
          <w:szCs w:val="26"/>
          <w:u w:val="single"/>
        </w:rPr>
        <w:t>denied</w:t>
      </w:r>
      <w:r w:rsidR="00D91695">
        <w:rPr>
          <w:rFonts w:ascii="Palatino Linotype" w:hAnsi="Palatino Linotype"/>
          <w:bCs/>
          <w:szCs w:val="26"/>
          <w:u w:val="single"/>
        </w:rPr>
        <w:t xml:space="preserve"> and accepted</w:t>
      </w:r>
      <w:r w:rsidRPr="00BE5B72">
        <w:rPr>
          <w:rFonts w:ascii="Palatino Linotype" w:hAnsi="Palatino Linotype"/>
          <w:bCs/>
          <w:szCs w:val="26"/>
          <w:u w:val="single"/>
        </w:rPr>
        <w:t>, in part.</w:t>
      </w:r>
      <w:r>
        <w:rPr>
          <w:rFonts w:ascii="Palatino Linotype" w:hAnsi="Palatino Linotype"/>
          <w:bCs/>
          <w:szCs w:val="26"/>
        </w:rPr>
        <w:t xml:space="preserve">  </w:t>
      </w:r>
    </w:p>
    <w:p w:rsidR="0081457A" w:rsidRDefault="00F97EF8" w:rsidP="00026DAB">
      <w:pPr>
        <w:autoSpaceDE w:val="0"/>
        <w:autoSpaceDN w:val="0"/>
        <w:adjustRightInd w:val="0"/>
        <w:spacing w:after="120"/>
        <w:rPr>
          <w:rFonts w:ascii="Palatino Linotype" w:hAnsi="Palatino Linotype"/>
          <w:b/>
          <w:bCs/>
          <w:szCs w:val="26"/>
        </w:rPr>
      </w:pPr>
      <w:r>
        <w:rPr>
          <w:rFonts w:ascii="Palatino Linotype" w:hAnsi="Palatino Linotype"/>
          <w:b/>
          <w:bCs/>
          <w:szCs w:val="26"/>
        </w:rPr>
        <w:t>D</w:t>
      </w:r>
      <w:r w:rsidR="0081457A">
        <w:rPr>
          <w:rFonts w:ascii="Palatino Linotype" w:hAnsi="Palatino Linotype"/>
          <w:b/>
          <w:bCs/>
          <w:szCs w:val="26"/>
        </w:rPr>
        <w:t xml:space="preserve">. </w:t>
      </w:r>
      <w:r w:rsidR="0081457A" w:rsidRPr="0081457A">
        <w:rPr>
          <w:rFonts w:ascii="Palatino Linotype" w:hAnsi="Palatino Linotype"/>
          <w:b/>
          <w:bCs/>
          <w:szCs w:val="26"/>
        </w:rPr>
        <w:t xml:space="preserve">Substantive </w:t>
      </w:r>
      <w:r>
        <w:rPr>
          <w:rFonts w:ascii="Palatino Linotype" w:hAnsi="Palatino Linotype"/>
          <w:b/>
          <w:bCs/>
          <w:szCs w:val="26"/>
        </w:rPr>
        <w:t xml:space="preserve">and Non-Substantive </w:t>
      </w:r>
      <w:r w:rsidR="0081457A" w:rsidRPr="0081457A">
        <w:rPr>
          <w:rFonts w:ascii="Palatino Linotype" w:hAnsi="Palatino Linotype"/>
          <w:b/>
          <w:bCs/>
          <w:szCs w:val="26"/>
        </w:rPr>
        <w:t xml:space="preserve">Proposed Changes to the Individual IOU RAM Solicitation Protocols </w:t>
      </w:r>
    </w:p>
    <w:p w:rsidR="007F18E6" w:rsidRDefault="007F18E6" w:rsidP="00DA4F73">
      <w:pPr>
        <w:autoSpaceDE w:val="0"/>
        <w:autoSpaceDN w:val="0"/>
        <w:adjustRightInd w:val="0"/>
        <w:spacing w:after="240"/>
        <w:rPr>
          <w:rFonts w:ascii="Palatino Linotype" w:hAnsi="Palatino Linotype"/>
          <w:b/>
        </w:rPr>
      </w:pPr>
      <w:r>
        <w:rPr>
          <w:rFonts w:ascii="Palatino Linotype" w:hAnsi="Palatino Linotype"/>
          <w:bCs/>
          <w:szCs w:val="26"/>
        </w:rPr>
        <w:t xml:space="preserve">SCE and SDG&amp;E </w:t>
      </w:r>
      <w:r w:rsidR="00030879">
        <w:rPr>
          <w:rFonts w:ascii="Palatino Linotype" w:hAnsi="Palatino Linotype"/>
          <w:bCs/>
          <w:szCs w:val="26"/>
        </w:rPr>
        <w:t xml:space="preserve">each </w:t>
      </w:r>
      <w:r>
        <w:rPr>
          <w:rFonts w:ascii="Palatino Linotype" w:hAnsi="Palatino Linotype"/>
          <w:bCs/>
          <w:szCs w:val="26"/>
        </w:rPr>
        <w:t xml:space="preserve">requested </w:t>
      </w:r>
      <w:r w:rsidR="00030879">
        <w:rPr>
          <w:rFonts w:ascii="Palatino Linotype" w:hAnsi="Palatino Linotype"/>
          <w:bCs/>
          <w:szCs w:val="26"/>
        </w:rPr>
        <w:t xml:space="preserve">one </w:t>
      </w:r>
      <w:r>
        <w:rPr>
          <w:rFonts w:ascii="Palatino Linotype" w:hAnsi="Palatino Linotype"/>
          <w:bCs/>
          <w:szCs w:val="26"/>
        </w:rPr>
        <w:t>substantive change to their RAM protocols.  Ta</w:t>
      </w:r>
      <w:r w:rsidR="002E6BAC">
        <w:rPr>
          <w:rFonts w:ascii="Palatino Linotype" w:hAnsi="Palatino Linotype"/>
          <w:bCs/>
          <w:szCs w:val="26"/>
        </w:rPr>
        <w:t>ble 3 below is a summary of their</w:t>
      </w:r>
      <w:r>
        <w:rPr>
          <w:rFonts w:ascii="Palatino Linotype" w:hAnsi="Palatino Linotype"/>
          <w:bCs/>
          <w:szCs w:val="26"/>
        </w:rPr>
        <w:t xml:space="preserve"> proposed changes.  In addition, </w:t>
      </w:r>
      <w:r w:rsidR="002C2B1B">
        <w:rPr>
          <w:rFonts w:ascii="Palatino Linotype" w:hAnsi="Palatino Linotype"/>
          <w:bCs/>
          <w:szCs w:val="26"/>
        </w:rPr>
        <w:t>there was one protest which</w:t>
      </w:r>
      <w:r>
        <w:rPr>
          <w:rFonts w:ascii="Palatino Linotype" w:hAnsi="Palatino Linotype"/>
          <w:bCs/>
          <w:szCs w:val="26"/>
        </w:rPr>
        <w:t xml:space="preserve"> recommend</w:t>
      </w:r>
      <w:r w:rsidR="002C2B1B">
        <w:rPr>
          <w:rFonts w:ascii="Palatino Linotype" w:hAnsi="Palatino Linotype"/>
          <w:bCs/>
          <w:szCs w:val="26"/>
        </w:rPr>
        <w:t xml:space="preserve">s a </w:t>
      </w:r>
      <w:r>
        <w:rPr>
          <w:rFonts w:ascii="Palatino Linotype" w:hAnsi="Palatino Linotype"/>
          <w:bCs/>
          <w:szCs w:val="26"/>
        </w:rPr>
        <w:t>modification</w:t>
      </w:r>
      <w:r w:rsidR="002C2B1B">
        <w:rPr>
          <w:rFonts w:ascii="Palatino Linotype" w:hAnsi="Palatino Linotype"/>
          <w:bCs/>
          <w:szCs w:val="26"/>
        </w:rPr>
        <w:t xml:space="preserve"> to SCE’s RAM V protocol</w:t>
      </w:r>
      <w:r>
        <w:rPr>
          <w:rFonts w:ascii="Palatino Linotype" w:hAnsi="Palatino Linotype"/>
          <w:bCs/>
          <w:szCs w:val="26"/>
        </w:rPr>
        <w:t xml:space="preserve">.  Table 4 below is a summary of </w:t>
      </w:r>
      <w:r w:rsidR="00EC0237">
        <w:rPr>
          <w:rFonts w:ascii="Palatino Linotype" w:hAnsi="Palatino Linotype"/>
          <w:bCs/>
          <w:szCs w:val="26"/>
        </w:rPr>
        <w:t>the</w:t>
      </w:r>
      <w:r>
        <w:rPr>
          <w:rFonts w:ascii="Palatino Linotype" w:hAnsi="Palatino Linotype"/>
          <w:bCs/>
          <w:szCs w:val="26"/>
        </w:rPr>
        <w:t xml:space="preserve"> prop</w:t>
      </w:r>
      <w:r w:rsidR="00FB0D88">
        <w:rPr>
          <w:rFonts w:ascii="Palatino Linotype" w:hAnsi="Palatino Linotype"/>
          <w:bCs/>
          <w:szCs w:val="26"/>
        </w:rPr>
        <w:t>osed change</w:t>
      </w:r>
      <w:r w:rsidR="00030879">
        <w:rPr>
          <w:rFonts w:ascii="Palatino Linotype" w:hAnsi="Palatino Linotype"/>
          <w:bCs/>
          <w:szCs w:val="26"/>
        </w:rPr>
        <w:t>.</w:t>
      </w:r>
    </w:p>
    <w:p w:rsidR="0094663B" w:rsidRPr="00600701" w:rsidRDefault="0094663B" w:rsidP="00A37E96">
      <w:pPr>
        <w:keepNext/>
        <w:keepLines/>
        <w:spacing w:after="120"/>
        <w:ind w:left="1080" w:hanging="1080"/>
        <w:rPr>
          <w:rFonts w:ascii="Palatino Linotype" w:hAnsi="Palatino Linotype"/>
          <w:b/>
        </w:rPr>
      </w:pPr>
      <w:r>
        <w:rPr>
          <w:rFonts w:ascii="Palatino Linotype" w:hAnsi="Palatino Linotype"/>
          <w:b/>
        </w:rPr>
        <w:t xml:space="preserve">Table 3: </w:t>
      </w:r>
      <w:r w:rsidR="00026DAB">
        <w:rPr>
          <w:rFonts w:ascii="Palatino Linotype" w:hAnsi="Palatino Linotype"/>
          <w:b/>
        </w:rPr>
        <w:t xml:space="preserve"> </w:t>
      </w:r>
      <w:r>
        <w:rPr>
          <w:rFonts w:ascii="Palatino Linotype" w:hAnsi="Palatino Linotype"/>
          <w:b/>
        </w:rPr>
        <w:t xml:space="preserve">Summary of </w:t>
      </w:r>
      <w:r w:rsidRPr="00600701">
        <w:rPr>
          <w:rFonts w:ascii="Palatino Linotype" w:hAnsi="Palatino Linotype"/>
          <w:b/>
        </w:rPr>
        <w:t xml:space="preserve">Proposed </w:t>
      </w:r>
      <w:r>
        <w:rPr>
          <w:rFonts w:ascii="Palatino Linotype" w:hAnsi="Palatino Linotype"/>
          <w:b/>
        </w:rPr>
        <w:t xml:space="preserve">Substantive </w:t>
      </w:r>
      <w:r w:rsidRPr="00600701">
        <w:rPr>
          <w:rFonts w:ascii="Palatino Linotype" w:hAnsi="Palatino Linotype"/>
          <w:b/>
        </w:rPr>
        <w:t xml:space="preserve">Changes </w:t>
      </w:r>
      <w:r>
        <w:rPr>
          <w:rFonts w:ascii="Palatino Linotype" w:hAnsi="Palatino Linotype"/>
          <w:b/>
        </w:rPr>
        <w:t>to</w:t>
      </w:r>
      <w:r w:rsidRPr="00600701">
        <w:rPr>
          <w:rFonts w:ascii="Palatino Linotype" w:hAnsi="Palatino Linotype"/>
          <w:b/>
        </w:rPr>
        <w:t xml:space="preserve"> </w:t>
      </w:r>
      <w:r>
        <w:rPr>
          <w:rFonts w:ascii="Palatino Linotype" w:hAnsi="Palatino Linotype"/>
          <w:b/>
        </w:rPr>
        <w:t>IOUs’ RAM Protocols</w:t>
      </w:r>
    </w:p>
    <w:tbl>
      <w:tblPr>
        <w:tblW w:w="10536"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2092"/>
        <w:gridCol w:w="3470"/>
        <w:gridCol w:w="1698"/>
        <w:gridCol w:w="1698"/>
      </w:tblGrid>
      <w:tr w:rsidR="0081457A" w:rsidRPr="0059641E" w:rsidTr="006D77D2">
        <w:trPr>
          <w:jc w:val="center"/>
        </w:trPr>
        <w:tc>
          <w:tcPr>
            <w:tcW w:w="1578" w:type="dxa"/>
            <w:tcBorders>
              <w:top w:val="single" w:sz="4" w:space="0" w:color="auto"/>
              <w:left w:val="single" w:sz="4" w:space="0" w:color="auto"/>
              <w:bottom w:val="single" w:sz="4" w:space="0" w:color="auto"/>
              <w:right w:val="single" w:sz="4" w:space="0" w:color="auto"/>
            </w:tcBorders>
            <w:shd w:val="clear" w:color="auto" w:fill="BFBFBF"/>
          </w:tcPr>
          <w:p w:rsidR="0081457A" w:rsidRPr="0059641E" w:rsidRDefault="0081457A" w:rsidP="00A37E96">
            <w:pPr>
              <w:keepNext/>
              <w:keepLines/>
              <w:spacing w:before="120" w:after="120"/>
              <w:rPr>
                <w:rFonts w:ascii="Palatino Linotype" w:hAnsi="Palatino Linotype"/>
                <w:b/>
                <w:sz w:val="20"/>
              </w:rPr>
            </w:pPr>
            <w:r w:rsidRPr="0059641E">
              <w:rPr>
                <w:rFonts w:ascii="Palatino Linotype" w:hAnsi="Palatino Linotype"/>
                <w:b/>
                <w:sz w:val="20"/>
              </w:rPr>
              <w:t xml:space="preserve">Subject of </w:t>
            </w:r>
            <w:r>
              <w:rPr>
                <w:rFonts w:ascii="Palatino Linotype" w:hAnsi="Palatino Linotype"/>
                <w:b/>
                <w:sz w:val="20"/>
              </w:rPr>
              <w:t>Protocol</w:t>
            </w:r>
            <w:r w:rsidRPr="0059641E">
              <w:rPr>
                <w:rFonts w:ascii="Palatino Linotype" w:hAnsi="Palatino Linotype"/>
                <w:b/>
                <w:sz w:val="20"/>
              </w:rPr>
              <w:t xml:space="preserve"> Change</w:t>
            </w:r>
          </w:p>
        </w:tc>
        <w:tc>
          <w:tcPr>
            <w:tcW w:w="2092" w:type="dxa"/>
            <w:tcBorders>
              <w:top w:val="single" w:sz="4" w:space="0" w:color="auto"/>
              <w:left w:val="single" w:sz="4" w:space="0" w:color="auto"/>
              <w:bottom w:val="single" w:sz="4" w:space="0" w:color="auto"/>
              <w:right w:val="single" w:sz="4" w:space="0" w:color="auto"/>
            </w:tcBorders>
            <w:shd w:val="clear" w:color="auto" w:fill="BFBFBF"/>
          </w:tcPr>
          <w:p w:rsidR="0081457A" w:rsidRPr="0059641E" w:rsidRDefault="0081457A" w:rsidP="00A37E96">
            <w:pPr>
              <w:keepNext/>
              <w:keepLines/>
              <w:spacing w:before="120" w:after="120"/>
              <w:rPr>
                <w:rFonts w:ascii="Palatino Linotype" w:hAnsi="Palatino Linotype"/>
                <w:b/>
                <w:sz w:val="20"/>
              </w:rPr>
            </w:pPr>
            <w:r w:rsidRPr="0059641E">
              <w:rPr>
                <w:rFonts w:ascii="Palatino Linotype" w:hAnsi="Palatino Linotype"/>
                <w:b/>
                <w:sz w:val="20"/>
              </w:rPr>
              <w:t xml:space="preserve">Relevant RAM </w:t>
            </w:r>
            <w:r>
              <w:rPr>
                <w:rFonts w:ascii="Palatino Linotype" w:hAnsi="Palatino Linotype"/>
                <w:b/>
                <w:sz w:val="20"/>
              </w:rPr>
              <w:t>Protocol</w:t>
            </w:r>
            <w:r w:rsidRPr="0059641E">
              <w:rPr>
                <w:rFonts w:ascii="Palatino Linotype" w:hAnsi="Palatino Linotype"/>
                <w:b/>
                <w:sz w:val="20"/>
              </w:rPr>
              <w:t xml:space="preserve"> Section</w:t>
            </w:r>
          </w:p>
        </w:tc>
        <w:tc>
          <w:tcPr>
            <w:tcW w:w="3470" w:type="dxa"/>
            <w:tcBorders>
              <w:top w:val="single" w:sz="4" w:space="0" w:color="auto"/>
              <w:left w:val="single" w:sz="4" w:space="0" w:color="auto"/>
              <w:bottom w:val="single" w:sz="4" w:space="0" w:color="auto"/>
              <w:right w:val="single" w:sz="4" w:space="0" w:color="auto"/>
            </w:tcBorders>
            <w:shd w:val="clear" w:color="auto" w:fill="BFBFBF"/>
          </w:tcPr>
          <w:p w:rsidR="0081457A" w:rsidRPr="0059641E" w:rsidRDefault="0081457A" w:rsidP="00A37E96">
            <w:pPr>
              <w:keepNext/>
              <w:keepLines/>
              <w:spacing w:before="120" w:after="120"/>
              <w:rPr>
                <w:rFonts w:ascii="Palatino Linotype" w:hAnsi="Palatino Linotype"/>
                <w:b/>
                <w:sz w:val="20"/>
              </w:rPr>
            </w:pPr>
            <w:r w:rsidRPr="0059641E">
              <w:rPr>
                <w:rFonts w:ascii="Palatino Linotype" w:hAnsi="Palatino Linotype"/>
                <w:b/>
                <w:sz w:val="20"/>
              </w:rPr>
              <w:t xml:space="preserve">Proposed Revision to RAM </w:t>
            </w:r>
            <w:r>
              <w:rPr>
                <w:rFonts w:ascii="Palatino Linotype" w:hAnsi="Palatino Linotype"/>
                <w:b/>
                <w:sz w:val="20"/>
              </w:rPr>
              <w:t>Protocol</w:t>
            </w:r>
          </w:p>
        </w:tc>
        <w:tc>
          <w:tcPr>
            <w:tcW w:w="1698" w:type="dxa"/>
            <w:tcBorders>
              <w:top w:val="single" w:sz="4" w:space="0" w:color="auto"/>
              <w:left w:val="single" w:sz="4" w:space="0" w:color="auto"/>
              <w:bottom w:val="single" w:sz="4" w:space="0" w:color="auto"/>
              <w:right w:val="single" w:sz="4" w:space="0" w:color="auto"/>
            </w:tcBorders>
            <w:shd w:val="clear" w:color="auto" w:fill="BFBFBF"/>
          </w:tcPr>
          <w:p w:rsidR="0081457A" w:rsidRPr="0059641E" w:rsidRDefault="0081457A" w:rsidP="00A37E96">
            <w:pPr>
              <w:keepNext/>
              <w:keepLines/>
              <w:spacing w:before="120" w:after="120"/>
              <w:rPr>
                <w:rFonts w:ascii="Palatino Linotype" w:hAnsi="Palatino Linotype"/>
                <w:b/>
                <w:sz w:val="20"/>
              </w:rPr>
            </w:pPr>
            <w:r w:rsidRPr="0059641E">
              <w:rPr>
                <w:rFonts w:ascii="Palatino Linotype" w:hAnsi="Palatino Linotype"/>
                <w:b/>
                <w:sz w:val="20"/>
              </w:rPr>
              <w:t>Source of Change</w:t>
            </w:r>
          </w:p>
        </w:tc>
        <w:tc>
          <w:tcPr>
            <w:tcW w:w="1698" w:type="dxa"/>
            <w:tcBorders>
              <w:top w:val="single" w:sz="4" w:space="0" w:color="auto"/>
              <w:left w:val="single" w:sz="4" w:space="0" w:color="auto"/>
              <w:bottom w:val="single" w:sz="4" w:space="0" w:color="auto"/>
              <w:right w:val="single" w:sz="4" w:space="0" w:color="auto"/>
            </w:tcBorders>
            <w:shd w:val="clear" w:color="auto" w:fill="BFBFBF"/>
          </w:tcPr>
          <w:p w:rsidR="0081457A" w:rsidRPr="0059641E" w:rsidRDefault="0081457A" w:rsidP="00A37E96">
            <w:pPr>
              <w:keepNext/>
              <w:keepLines/>
              <w:spacing w:before="120" w:after="120"/>
              <w:jc w:val="center"/>
              <w:rPr>
                <w:rFonts w:ascii="Palatino Linotype" w:hAnsi="Palatino Linotype"/>
                <w:b/>
                <w:sz w:val="20"/>
              </w:rPr>
            </w:pPr>
            <w:r w:rsidRPr="0059641E">
              <w:rPr>
                <w:rFonts w:ascii="Palatino Linotype" w:hAnsi="Palatino Linotype"/>
                <w:b/>
                <w:sz w:val="20"/>
              </w:rPr>
              <w:t>Disposition</w:t>
            </w:r>
          </w:p>
        </w:tc>
      </w:tr>
      <w:tr w:rsidR="0081457A" w:rsidRPr="001F3135" w:rsidTr="006D77D2">
        <w:trPr>
          <w:jc w:val="center"/>
        </w:trPr>
        <w:tc>
          <w:tcPr>
            <w:tcW w:w="1578" w:type="dxa"/>
            <w:shd w:val="clear" w:color="auto" w:fill="auto"/>
          </w:tcPr>
          <w:p w:rsidR="0081457A" w:rsidRPr="001F3135" w:rsidRDefault="0081457A" w:rsidP="006D77D2">
            <w:pPr>
              <w:spacing w:before="120" w:after="120"/>
              <w:rPr>
                <w:rFonts w:ascii="Palatino Linotype" w:hAnsi="Palatino Linotype"/>
                <w:b/>
                <w:i/>
                <w:sz w:val="20"/>
              </w:rPr>
            </w:pPr>
            <w:r w:rsidRPr="001F3135">
              <w:rPr>
                <w:rFonts w:ascii="Palatino Linotype" w:hAnsi="Palatino Linotype"/>
                <w:sz w:val="20"/>
              </w:rPr>
              <w:t>(1)</w:t>
            </w:r>
            <w:r w:rsidRPr="001F3135">
              <w:rPr>
                <w:rFonts w:ascii="Palatino Linotype" w:hAnsi="Palatino Linotype"/>
                <w:b/>
                <w:i/>
                <w:sz w:val="20"/>
              </w:rPr>
              <w:t xml:space="preserve"> </w:t>
            </w:r>
            <w:r w:rsidR="00175A18">
              <w:rPr>
                <w:rFonts w:ascii="Palatino Linotype" w:hAnsi="Palatino Linotype"/>
                <w:b/>
                <w:i/>
                <w:sz w:val="20"/>
              </w:rPr>
              <w:t>Project Subdivision</w:t>
            </w:r>
            <w:r w:rsidRPr="001F3135">
              <w:rPr>
                <w:rFonts w:ascii="Palatino Linotype" w:hAnsi="Palatino Linotype"/>
                <w:b/>
                <w:i/>
                <w:sz w:val="20"/>
              </w:rPr>
              <w:t xml:space="preserve"> </w:t>
            </w:r>
          </w:p>
          <w:p w:rsidR="0081457A" w:rsidRPr="001F3135" w:rsidRDefault="0081457A" w:rsidP="006D77D2">
            <w:pPr>
              <w:spacing w:before="120" w:after="120"/>
              <w:rPr>
                <w:rFonts w:ascii="Palatino Linotype" w:hAnsi="Palatino Linotype"/>
                <w:b/>
                <w:i/>
                <w:sz w:val="20"/>
              </w:rPr>
            </w:pPr>
          </w:p>
          <w:p w:rsidR="0081457A" w:rsidRPr="001F3135" w:rsidDel="002E3E3F" w:rsidRDefault="0081457A" w:rsidP="006D77D2">
            <w:pPr>
              <w:spacing w:before="120" w:after="120"/>
              <w:rPr>
                <w:rFonts w:ascii="Palatino Linotype" w:hAnsi="Palatino Linotype"/>
                <w:b/>
                <w:i/>
                <w:sz w:val="20"/>
              </w:rPr>
            </w:pPr>
          </w:p>
        </w:tc>
        <w:tc>
          <w:tcPr>
            <w:tcW w:w="2092" w:type="dxa"/>
            <w:shd w:val="clear" w:color="auto" w:fill="auto"/>
          </w:tcPr>
          <w:p w:rsidR="0081457A" w:rsidRPr="009445E7" w:rsidRDefault="0081457A" w:rsidP="006D77D2">
            <w:pPr>
              <w:rPr>
                <w:rFonts w:ascii="Palatino Linotype" w:hAnsi="Palatino Linotype"/>
                <w:b/>
                <w:sz w:val="20"/>
              </w:rPr>
            </w:pPr>
            <w:r w:rsidRPr="009445E7">
              <w:rPr>
                <w:rFonts w:ascii="Palatino Linotype" w:hAnsi="Palatino Linotype"/>
                <w:b/>
                <w:sz w:val="20"/>
              </w:rPr>
              <w:t>SCE:</w:t>
            </w:r>
          </w:p>
          <w:p w:rsidR="0081457A" w:rsidRDefault="0081457A" w:rsidP="006D77D2">
            <w:pPr>
              <w:ind w:left="288"/>
              <w:rPr>
                <w:rFonts w:ascii="Palatino Linotype" w:hAnsi="Palatino Linotype"/>
                <w:b/>
                <w:sz w:val="20"/>
              </w:rPr>
            </w:pPr>
            <w:r w:rsidRPr="009445E7">
              <w:rPr>
                <w:rFonts w:ascii="Palatino Linotype" w:hAnsi="Palatino Linotype"/>
                <w:b/>
                <w:sz w:val="20"/>
              </w:rPr>
              <w:t>Section</w:t>
            </w:r>
            <w:r w:rsidR="00D52995">
              <w:rPr>
                <w:rFonts w:ascii="Palatino Linotype" w:hAnsi="Palatino Linotype"/>
                <w:b/>
                <w:sz w:val="20"/>
              </w:rPr>
              <w:t xml:space="preserve"> 2.05</w:t>
            </w:r>
            <w:r w:rsidRPr="009445E7">
              <w:rPr>
                <w:rFonts w:ascii="Palatino Linotype" w:hAnsi="Palatino Linotype"/>
                <w:b/>
                <w:sz w:val="20"/>
              </w:rPr>
              <w:t xml:space="preserve"> </w:t>
            </w:r>
          </w:p>
          <w:p w:rsidR="0081457A" w:rsidRPr="009445E7" w:rsidRDefault="0081457A" w:rsidP="006D77D2">
            <w:pPr>
              <w:ind w:left="288"/>
              <w:rPr>
                <w:rFonts w:ascii="Palatino Linotype" w:hAnsi="Palatino Linotype"/>
                <w:b/>
                <w:sz w:val="20"/>
              </w:rPr>
            </w:pPr>
          </w:p>
          <w:p w:rsidR="0081457A" w:rsidRPr="009445E7" w:rsidRDefault="0081457A" w:rsidP="006D77D2">
            <w:pPr>
              <w:rPr>
                <w:rFonts w:ascii="Palatino Linotype" w:hAnsi="Palatino Linotype"/>
                <w:b/>
                <w:sz w:val="20"/>
              </w:rPr>
            </w:pPr>
            <w:r w:rsidRPr="009445E7">
              <w:rPr>
                <w:rFonts w:ascii="Palatino Linotype" w:hAnsi="Palatino Linotype"/>
                <w:b/>
                <w:sz w:val="20"/>
              </w:rPr>
              <w:t xml:space="preserve">SDG&amp;E: </w:t>
            </w:r>
          </w:p>
          <w:p w:rsidR="0081457A" w:rsidRPr="009445E7" w:rsidRDefault="0081457A" w:rsidP="00175A18">
            <w:pPr>
              <w:spacing w:after="120"/>
              <w:ind w:left="288"/>
              <w:rPr>
                <w:rFonts w:ascii="Palatino Linotype" w:hAnsi="Palatino Linotype"/>
                <w:b/>
                <w:sz w:val="20"/>
              </w:rPr>
            </w:pPr>
            <w:r w:rsidRPr="009445E7">
              <w:rPr>
                <w:rFonts w:ascii="Palatino Linotype" w:hAnsi="Palatino Linotype"/>
                <w:b/>
                <w:sz w:val="20"/>
              </w:rPr>
              <w:t>Section</w:t>
            </w:r>
            <w:r w:rsidR="00175A18">
              <w:rPr>
                <w:rFonts w:ascii="Palatino Linotype" w:hAnsi="Palatino Linotype"/>
                <w:b/>
                <w:sz w:val="20"/>
              </w:rPr>
              <w:t xml:space="preserve"> 5</w:t>
            </w:r>
          </w:p>
        </w:tc>
        <w:tc>
          <w:tcPr>
            <w:tcW w:w="3470" w:type="dxa"/>
            <w:shd w:val="clear" w:color="auto" w:fill="auto"/>
          </w:tcPr>
          <w:p w:rsidR="0081457A" w:rsidRDefault="00D52995" w:rsidP="006D77D2">
            <w:pPr>
              <w:spacing w:before="120" w:after="120"/>
              <w:rPr>
                <w:rFonts w:ascii="Palatino Linotype" w:hAnsi="Palatino Linotype"/>
                <w:sz w:val="20"/>
              </w:rPr>
            </w:pPr>
            <w:r>
              <w:rPr>
                <w:rFonts w:ascii="Palatino Linotype" w:hAnsi="Palatino Linotype"/>
                <w:sz w:val="20"/>
              </w:rPr>
              <w:t>Addition of section to specify policy that SCE will not execute more than one RAM contract if any other megawatts in the same interconnection study are already under contract to SCE.</w:t>
            </w:r>
          </w:p>
          <w:p w:rsidR="0081457A" w:rsidRPr="001F3135" w:rsidDel="002E3E3F" w:rsidRDefault="00175A18" w:rsidP="00D52995">
            <w:pPr>
              <w:spacing w:before="120" w:after="120"/>
              <w:rPr>
                <w:rFonts w:ascii="Palatino Linotype" w:hAnsi="Palatino Linotype"/>
                <w:sz w:val="20"/>
              </w:rPr>
            </w:pPr>
            <w:r>
              <w:rPr>
                <w:rFonts w:ascii="Palatino Linotype" w:hAnsi="Palatino Linotype"/>
                <w:sz w:val="20"/>
              </w:rPr>
              <w:t xml:space="preserve">Addition of language in Evaluation Criteria to clarify SDG&amp;E’s </w:t>
            </w:r>
            <w:r w:rsidR="00D52995">
              <w:rPr>
                <w:rFonts w:ascii="Palatino Linotype" w:hAnsi="Palatino Linotype"/>
                <w:sz w:val="20"/>
              </w:rPr>
              <w:t>that SDG&amp;E will not execute more than one RAM contract if any other megawatts in the same queue position are already under contract in RAM or in another program.</w:t>
            </w:r>
          </w:p>
        </w:tc>
        <w:tc>
          <w:tcPr>
            <w:tcW w:w="1698" w:type="dxa"/>
          </w:tcPr>
          <w:p w:rsidR="0081457A" w:rsidRDefault="0081457A" w:rsidP="006D77D2">
            <w:pPr>
              <w:spacing w:before="120" w:after="120"/>
              <w:rPr>
                <w:rFonts w:ascii="Palatino Linotype" w:hAnsi="Palatino Linotype"/>
                <w:sz w:val="20"/>
              </w:rPr>
            </w:pPr>
            <w:r w:rsidRPr="001F3135">
              <w:rPr>
                <w:rFonts w:ascii="Palatino Linotype" w:hAnsi="Palatino Linotype"/>
                <w:sz w:val="20"/>
              </w:rPr>
              <w:t xml:space="preserve">SCE advice letter </w:t>
            </w:r>
            <w:r>
              <w:rPr>
                <w:rFonts w:ascii="Palatino Linotype" w:hAnsi="Palatino Linotype"/>
                <w:sz w:val="20"/>
              </w:rPr>
              <w:t>3003</w:t>
            </w:r>
            <w:r w:rsidRPr="001F3135">
              <w:rPr>
                <w:rFonts w:ascii="Palatino Linotype" w:hAnsi="Palatino Linotype"/>
                <w:sz w:val="20"/>
              </w:rPr>
              <w:t xml:space="preserve">-E (Section </w:t>
            </w:r>
            <w:r w:rsidR="00D52995">
              <w:rPr>
                <w:rFonts w:ascii="Palatino Linotype" w:hAnsi="Palatino Linotype"/>
                <w:sz w:val="20"/>
              </w:rPr>
              <w:t>B</w:t>
            </w:r>
            <w:r>
              <w:rPr>
                <w:rFonts w:ascii="Palatino Linotype" w:hAnsi="Palatino Linotype"/>
                <w:sz w:val="20"/>
              </w:rPr>
              <w:t>.1</w:t>
            </w:r>
            <w:r w:rsidRPr="001F3135">
              <w:rPr>
                <w:rFonts w:ascii="Palatino Linotype" w:hAnsi="Palatino Linotype"/>
                <w:sz w:val="20"/>
              </w:rPr>
              <w:t>.)</w:t>
            </w:r>
          </w:p>
          <w:p w:rsidR="0081457A" w:rsidRPr="001F3135" w:rsidRDefault="0081457A" w:rsidP="00D52995">
            <w:pPr>
              <w:spacing w:before="120" w:after="120"/>
              <w:rPr>
                <w:rFonts w:ascii="Palatino Linotype" w:hAnsi="Palatino Linotype"/>
                <w:sz w:val="20"/>
              </w:rPr>
            </w:pPr>
            <w:r>
              <w:rPr>
                <w:rFonts w:ascii="Palatino Linotype" w:hAnsi="Palatino Linotype"/>
                <w:sz w:val="20"/>
              </w:rPr>
              <w:t>SDG&amp;E advice letter 2580-E (Section I</w:t>
            </w:r>
            <w:r w:rsidR="00D52995">
              <w:rPr>
                <w:rFonts w:ascii="Palatino Linotype" w:hAnsi="Palatino Linotype"/>
                <w:sz w:val="20"/>
              </w:rPr>
              <w:t>V</w:t>
            </w:r>
            <w:r>
              <w:rPr>
                <w:rFonts w:ascii="Palatino Linotype" w:hAnsi="Palatino Linotype"/>
                <w:sz w:val="20"/>
              </w:rPr>
              <w:t>.</w:t>
            </w:r>
            <w:r w:rsidR="00D52995">
              <w:rPr>
                <w:rFonts w:ascii="Palatino Linotype" w:hAnsi="Palatino Linotype"/>
                <w:sz w:val="20"/>
              </w:rPr>
              <w:t>4</w:t>
            </w:r>
            <w:r>
              <w:rPr>
                <w:rFonts w:ascii="Palatino Linotype" w:hAnsi="Palatino Linotype"/>
                <w:sz w:val="20"/>
              </w:rPr>
              <w:t>)</w:t>
            </w:r>
          </w:p>
        </w:tc>
        <w:tc>
          <w:tcPr>
            <w:tcW w:w="1698" w:type="dxa"/>
          </w:tcPr>
          <w:p w:rsidR="0081457A" w:rsidRPr="001F3135" w:rsidRDefault="0081457A" w:rsidP="006D77D2">
            <w:pPr>
              <w:spacing w:before="120" w:after="120"/>
              <w:jc w:val="center"/>
              <w:rPr>
                <w:rFonts w:ascii="Palatino Linotype" w:hAnsi="Palatino Linotype"/>
                <w:sz w:val="20"/>
              </w:rPr>
            </w:pPr>
            <w:r w:rsidRPr="001F3135">
              <w:rPr>
                <w:rFonts w:ascii="Palatino Linotype" w:hAnsi="Palatino Linotype"/>
                <w:sz w:val="20"/>
              </w:rPr>
              <w:t>Approve</w:t>
            </w:r>
          </w:p>
        </w:tc>
      </w:tr>
    </w:tbl>
    <w:p w:rsidR="00030879" w:rsidRPr="0015535F" w:rsidRDefault="00030879" w:rsidP="00026DAB">
      <w:pPr>
        <w:keepNext/>
        <w:keepLines/>
        <w:autoSpaceDE w:val="0"/>
        <w:autoSpaceDN w:val="0"/>
        <w:adjustRightInd w:val="0"/>
        <w:spacing w:before="120" w:after="120"/>
        <w:rPr>
          <w:rFonts w:ascii="Palatino Linotype" w:hAnsi="Palatino Linotype"/>
          <w:bCs/>
          <w:szCs w:val="26"/>
        </w:rPr>
      </w:pPr>
      <w:r>
        <w:rPr>
          <w:rFonts w:ascii="Palatino Linotype" w:hAnsi="Palatino Linotype"/>
          <w:bCs/>
          <w:szCs w:val="26"/>
        </w:rPr>
        <w:t>Energy Division evaluated the necessity of these changes to the RAM protocols based on the following criteria</w:t>
      </w:r>
      <w:r w:rsidRPr="0015535F">
        <w:rPr>
          <w:rFonts w:ascii="Palatino Linotype" w:hAnsi="Palatino Linotype"/>
          <w:bCs/>
          <w:szCs w:val="26"/>
        </w:rPr>
        <w:t>:</w:t>
      </w:r>
    </w:p>
    <w:p w:rsidR="00030879" w:rsidRDefault="00030879" w:rsidP="00026DAB">
      <w:pPr>
        <w:keepNext/>
        <w:keepLines/>
        <w:numPr>
          <w:ilvl w:val="0"/>
          <w:numId w:val="6"/>
        </w:numPr>
        <w:spacing w:after="120"/>
        <w:rPr>
          <w:rFonts w:ascii="Palatino Linotype" w:hAnsi="Palatino Linotype"/>
        </w:rPr>
      </w:pPr>
      <w:r w:rsidRPr="00C23E90">
        <w:rPr>
          <w:rFonts w:ascii="Palatino Linotype" w:hAnsi="Palatino Linotype"/>
        </w:rPr>
        <w:t>Consistency with Decision 10-12-048</w:t>
      </w:r>
      <w:r>
        <w:rPr>
          <w:rFonts w:ascii="Palatino Linotype" w:hAnsi="Palatino Linotype"/>
        </w:rPr>
        <w:t>, as modified by</w:t>
      </w:r>
      <w:r w:rsidRPr="00C23E90">
        <w:rPr>
          <w:rFonts w:ascii="Palatino Linotype" w:hAnsi="Palatino Linotype"/>
        </w:rPr>
        <w:t xml:space="preserve"> </w:t>
      </w:r>
      <w:r>
        <w:rPr>
          <w:rFonts w:ascii="Palatino Linotype" w:hAnsi="Palatino Linotype"/>
        </w:rPr>
        <w:t>Resolution E-4414 Resolution E-4489, Resolution 4546-E, and Resolution 4582-E.</w:t>
      </w:r>
    </w:p>
    <w:p w:rsidR="00030879" w:rsidRPr="00026DAB" w:rsidRDefault="00030879" w:rsidP="00DA4F73">
      <w:pPr>
        <w:keepNext/>
        <w:keepLines/>
        <w:numPr>
          <w:ilvl w:val="0"/>
          <w:numId w:val="6"/>
        </w:numPr>
        <w:autoSpaceDE w:val="0"/>
        <w:autoSpaceDN w:val="0"/>
        <w:adjustRightInd w:val="0"/>
        <w:spacing w:after="240"/>
        <w:rPr>
          <w:rFonts w:ascii="Palatino Linotype" w:hAnsi="Palatino Linotype"/>
          <w:b/>
          <w:bCs/>
          <w:i/>
          <w:szCs w:val="26"/>
        </w:rPr>
      </w:pPr>
      <w:r w:rsidRPr="00026DAB">
        <w:rPr>
          <w:rFonts w:ascii="Palatino Linotype" w:hAnsi="Palatino Linotype"/>
        </w:rPr>
        <w:t>Consistency with other Commission decisions, rules, and policies.</w:t>
      </w:r>
      <w:r w:rsidRPr="00026DAB">
        <w:rPr>
          <w:rFonts w:ascii="Palatino Linotype" w:hAnsi="Palatino Linotype"/>
          <w:b/>
          <w:bCs/>
          <w:i/>
          <w:szCs w:val="26"/>
        </w:rPr>
        <w:t xml:space="preserve"> </w:t>
      </w:r>
    </w:p>
    <w:p w:rsidR="0094663B" w:rsidRPr="0094663B" w:rsidRDefault="0094663B" w:rsidP="00030879">
      <w:pPr>
        <w:autoSpaceDE w:val="0"/>
        <w:autoSpaceDN w:val="0"/>
        <w:adjustRightInd w:val="0"/>
        <w:spacing w:after="120"/>
        <w:rPr>
          <w:rFonts w:ascii="Palatino Linotype" w:hAnsi="Palatino Linotype"/>
          <w:b/>
          <w:bCs/>
          <w:i/>
          <w:szCs w:val="26"/>
        </w:rPr>
      </w:pPr>
      <w:r w:rsidRPr="0094663B">
        <w:rPr>
          <w:rFonts w:ascii="Palatino Linotype" w:hAnsi="Palatino Linotype"/>
          <w:b/>
          <w:bCs/>
          <w:i/>
          <w:szCs w:val="26"/>
        </w:rPr>
        <w:t>(1) Project Subdivision</w:t>
      </w:r>
    </w:p>
    <w:p w:rsidR="0094663B" w:rsidRDefault="002B0B33" w:rsidP="00026DAB">
      <w:pPr>
        <w:autoSpaceDE w:val="0"/>
        <w:autoSpaceDN w:val="0"/>
        <w:adjustRightInd w:val="0"/>
        <w:spacing w:after="120"/>
        <w:rPr>
          <w:rFonts w:ascii="Palatino Linotype" w:hAnsi="Palatino Linotype"/>
          <w:bCs/>
          <w:szCs w:val="26"/>
        </w:rPr>
      </w:pPr>
      <w:r>
        <w:rPr>
          <w:rFonts w:ascii="Palatino Linotype" w:hAnsi="Palatino Linotype"/>
          <w:bCs/>
          <w:szCs w:val="26"/>
        </w:rPr>
        <w:t>In D.10-</w:t>
      </w:r>
      <w:r w:rsidR="0077258D">
        <w:rPr>
          <w:rFonts w:ascii="Palatino Linotype" w:hAnsi="Palatino Linotype"/>
          <w:bCs/>
          <w:szCs w:val="26"/>
        </w:rPr>
        <w:t>12-048, the Commission instructed</w:t>
      </w:r>
      <w:r w:rsidR="00DB4FCC" w:rsidRPr="00DB4FCC">
        <w:rPr>
          <w:rFonts w:ascii="Palatino Linotype" w:hAnsi="Palatino Linotype"/>
          <w:bCs/>
          <w:szCs w:val="26"/>
        </w:rPr>
        <w:t xml:space="preserve"> the IOUs to </w:t>
      </w:r>
      <w:r w:rsidR="00DB4FCC" w:rsidRPr="00417EE6">
        <w:rPr>
          <w:rFonts w:ascii="Palatino Linotype" w:hAnsi="Palatino Linotype"/>
          <w:bCs/>
          <w:szCs w:val="26"/>
        </w:rPr>
        <w:t>administer</w:t>
      </w:r>
      <w:r w:rsidR="00DB4FCC" w:rsidRPr="00DB4FCC">
        <w:rPr>
          <w:rFonts w:ascii="Palatino Linotype" w:hAnsi="Palatino Linotype"/>
          <w:bCs/>
          <w:szCs w:val="26"/>
        </w:rPr>
        <w:t xml:space="preserve"> the</w:t>
      </w:r>
      <w:r w:rsidR="0077258D">
        <w:rPr>
          <w:rFonts w:ascii="Palatino Linotype" w:hAnsi="Palatino Linotype"/>
          <w:bCs/>
          <w:szCs w:val="26"/>
        </w:rPr>
        <w:t>ir</w:t>
      </w:r>
      <w:r w:rsidR="00DB4FCC" w:rsidRPr="00DB4FCC">
        <w:rPr>
          <w:rFonts w:ascii="Palatino Linotype" w:hAnsi="Palatino Linotype"/>
          <w:bCs/>
          <w:szCs w:val="26"/>
        </w:rPr>
        <w:t xml:space="preserve"> RAM program such that large projects are not subdivided into smaller projects </w:t>
      </w:r>
      <w:r w:rsidR="0077258D">
        <w:rPr>
          <w:rFonts w:ascii="Palatino Linotype" w:hAnsi="Palatino Linotype"/>
          <w:bCs/>
          <w:szCs w:val="26"/>
        </w:rPr>
        <w:t>such that they</w:t>
      </w:r>
      <w:r w:rsidR="00DB4FCC" w:rsidRPr="00DB4FCC">
        <w:rPr>
          <w:rFonts w:ascii="Palatino Linotype" w:hAnsi="Palatino Linotype"/>
          <w:bCs/>
          <w:szCs w:val="26"/>
        </w:rPr>
        <w:t xml:space="preserve"> </w:t>
      </w:r>
      <w:r w:rsidR="00417EE6">
        <w:rPr>
          <w:rFonts w:ascii="Palatino Linotype" w:hAnsi="Palatino Linotype"/>
          <w:bCs/>
          <w:szCs w:val="26"/>
        </w:rPr>
        <w:t>circumvent</w:t>
      </w:r>
      <w:r w:rsidR="00DB4FCC" w:rsidRPr="00DB4FCC">
        <w:rPr>
          <w:rFonts w:ascii="Palatino Linotype" w:hAnsi="Palatino Linotype"/>
          <w:bCs/>
          <w:szCs w:val="26"/>
        </w:rPr>
        <w:t xml:space="preserve"> the 20 MW capacity participation restriction.</w:t>
      </w:r>
      <w:r w:rsidR="00422F89">
        <w:rPr>
          <w:rFonts w:ascii="Palatino Linotype" w:hAnsi="Palatino Linotype"/>
          <w:bCs/>
          <w:szCs w:val="26"/>
        </w:rPr>
        <w:t xml:space="preserve">  The IOUs have taken different approaches </w:t>
      </w:r>
      <w:r w:rsidR="00625FBF">
        <w:rPr>
          <w:rFonts w:ascii="Palatino Linotype" w:hAnsi="Palatino Linotype"/>
          <w:bCs/>
          <w:szCs w:val="26"/>
        </w:rPr>
        <w:t>in implementing this directive</w:t>
      </w:r>
      <w:r w:rsidR="00422F89">
        <w:rPr>
          <w:rFonts w:ascii="Palatino Linotype" w:hAnsi="Palatino Linotype"/>
          <w:bCs/>
          <w:szCs w:val="26"/>
        </w:rPr>
        <w:t xml:space="preserve">. </w:t>
      </w:r>
      <w:r w:rsidR="005249BE">
        <w:rPr>
          <w:rFonts w:ascii="Palatino Linotype" w:hAnsi="Palatino Linotype"/>
          <w:bCs/>
          <w:szCs w:val="26"/>
        </w:rPr>
        <w:t xml:space="preserve"> </w:t>
      </w:r>
      <w:r w:rsidR="00422F89">
        <w:rPr>
          <w:rFonts w:ascii="Palatino Linotype" w:hAnsi="Palatino Linotype"/>
          <w:bCs/>
          <w:szCs w:val="26"/>
        </w:rPr>
        <w:t>SCE</w:t>
      </w:r>
      <w:r w:rsidR="0094663B">
        <w:rPr>
          <w:rFonts w:ascii="Palatino Linotype" w:hAnsi="Palatino Linotype"/>
          <w:bCs/>
          <w:szCs w:val="26"/>
        </w:rPr>
        <w:t xml:space="preserve"> </w:t>
      </w:r>
      <w:r w:rsidR="00422F89">
        <w:rPr>
          <w:rFonts w:ascii="Palatino Linotype" w:hAnsi="Palatino Linotype"/>
          <w:bCs/>
          <w:szCs w:val="26"/>
        </w:rPr>
        <w:t xml:space="preserve">and SDG&amp;E </w:t>
      </w:r>
      <w:r w:rsidR="005249BE">
        <w:rPr>
          <w:rFonts w:ascii="Palatino Linotype" w:hAnsi="Palatino Linotype"/>
          <w:bCs/>
          <w:szCs w:val="26"/>
        </w:rPr>
        <w:t xml:space="preserve">each </w:t>
      </w:r>
      <w:r w:rsidR="00422F89">
        <w:rPr>
          <w:rFonts w:ascii="Palatino Linotype" w:hAnsi="Palatino Linotype"/>
          <w:bCs/>
          <w:szCs w:val="26"/>
        </w:rPr>
        <w:t xml:space="preserve">propose </w:t>
      </w:r>
      <w:r w:rsidR="0077258D">
        <w:rPr>
          <w:rFonts w:ascii="Palatino Linotype" w:hAnsi="Palatino Linotype"/>
          <w:bCs/>
          <w:szCs w:val="26"/>
        </w:rPr>
        <w:t>modifications</w:t>
      </w:r>
      <w:r w:rsidR="00422F89">
        <w:rPr>
          <w:rFonts w:ascii="Palatino Linotype" w:hAnsi="Palatino Linotype"/>
          <w:bCs/>
          <w:szCs w:val="26"/>
        </w:rPr>
        <w:t xml:space="preserve"> to their RAM </w:t>
      </w:r>
      <w:r w:rsidR="0077258D">
        <w:rPr>
          <w:rFonts w:ascii="Palatino Linotype" w:hAnsi="Palatino Linotype"/>
          <w:bCs/>
          <w:szCs w:val="26"/>
        </w:rPr>
        <w:t xml:space="preserve">V </w:t>
      </w:r>
      <w:r w:rsidR="00422F89">
        <w:rPr>
          <w:rFonts w:ascii="Palatino Linotype" w:hAnsi="Palatino Linotype"/>
          <w:bCs/>
          <w:szCs w:val="26"/>
        </w:rPr>
        <w:t>protocols</w:t>
      </w:r>
      <w:r w:rsidR="005249BE">
        <w:rPr>
          <w:rFonts w:ascii="Palatino Linotype" w:hAnsi="Palatino Linotype"/>
          <w:bCs/>
          <w:szCs w:val="26"/>
        </w:rPr>
        <w:t xml:space="preserve"> to address project subdivision</w:t>
      </w:r>
      <w:r w:rsidR="00422F89">
        <w:rPr>
          <w:rFonts w:ascii="Palatino Linotype" w:hAnsi="Palatino Linotype"/>
          <w:bCs/>
          <w:szCs w:val="26"/>
        </w:rPr>
        <w:t xml:space="preserve">.  </w:t>
      </w:r>
    </w:p>
    <w:p w:rsidR="0094663B" w:rsidRDefault="00422F89" w:rsidP="00026DAB">
      <w:pPr>
        <w:autoSpaceDE w:val="0"/>
        <w:autoSpaceDN w:val="0"/>
        <w:adjustRightInd w:val="0"/>
        <w:spacing w:after="120"/>
        <w:rPr>
          <w:rFonts w:ascii="Palatino Linotype" w:hAnsi="Palatino Linotype"/>
          <w:bCs/>
          <w:szCs w:val="26"/>
        </w:rPr>
      </w:pPr>
      <w:r>
        <w:rPr>
          <w:rFonts w:ascii="Palatino Linotype" w:hAnsi="Palatino Linotype"/>
          <w:bCs/>
          <w:szCs w:val="26"/>
        </w:rPr>
        <w:t>In advice letter 3003-E, SCE describes its proposal to add a section</w:t>
      </w:r>
      <w:r w:rsidR="0094663B">
        <w:rPr>
          <w:rFonts w:ascii="Palatino Linotype" w:hAnsi="Palatino Linotype"/>
          <w:bCs/>
          <w:szCs w:val="26"/>
        </w:rPr>
        <w:t xml:space="preserve"> to its RAM protocol</w:t>
      </w:r>
      <w:r>
        <w:rPr>
          <w:rFonts w:ascii="Palatino Linotype" w:hAnsi="Palatino Linotype"/>
          <w:bCs/>
          <w:szCs w:val="26"/>
        </w:rPr>
        <w:t xml:space="preserve"> that specifies that SCE will not execute more than one RAM contract if any other megawatts in the same interconnection study are already under contract to SCE.  SDG&amp;E similarly proposes</w:t>
      </w:r>
      <w:r w:rsidR="0094663B">
        <w:rPr>
          <w:rFonts w:ascii="Palatino Linotype" w:hAnsi="Palatino Linotype"/>
          <w:bCs/>
          <w:szCs w:val="26"/>
        </w:rPr>
        <w:t xml:space="preserve"> in advice letter 2580-E</w:t>
      </w:r>
      <w:r>
        <w:rPr>
          <w:rFonts w:ascii="Palatino Linotype" w:hAnsi="Palatino Linotype"/>
          <w:bCs/>
          <w:szCs w:val="26"/>
        </w:rPr>
        <w:t xml:space="preserve"> to add language stating that it will not execute more than one RAM contract if any other megawatts in the same interconnection queue position are already under contract in RAM or in another program.</w:t>
      </w:r>
      <w:r w:rsidR="00DB4FCC" w:rsidRPr="00DB4FCC">
        <w:rPr>
          <w:rFonts w:ascii="Palatino Linotype" w:hAnsi="Palatino Linotype"/>
          <w:bCs/>
          <w:szCs w:val="26"/>
        </w:rPr>
        <w:t xml:space="preserve"> </w:t>
      </w:r>
      <w:r w:rsidR="0077258D">
        <w:rPr>
          <w:rFonts w:ascii="Palatino Linotype" w:hAnsi="Palatino Linotype"/>
          <w:bCs/>
          <w:szCs w:val="26"/>
        </w:rPr>
        <w:t xml:space="preserve">Both SCE and SDG&amp;E assert </w:t>
      </w:r>
      <w:r w:rsidR="00FB0D88">
        <w:rPr>
          <w:rFonts w:ascii="Palatino Linotype" w:hAnsi="Palatino Linotype"/>
          <w:bCs/>
          <w:szCs w:val="26"/>
        </w:rPr>
        <w:t xml:space="preserve">that </w:t>
      </w:r>
      <w:r w:rsidR="0077258D">
        <w:rPr>
          <w:rFonts w:ascii="Palatino Linotype" w:hAnsi="Palatino Linotype"/>
          <w:bCs/>
          <w:szCs w:val="26"/>
        </w:rPr>
        <w:t>the purpose of the mo</w:t>
      </w:r>
      <w:r w:rsidR="0058489B">
        <w:rPr>
          <w:rFonts w:ascii="Palatino Linotype" w:hAnsi="Palatino Linotype"/>
          <w:bCs/>
          <w:szCs w:val="26"/>
        </w:rPr>
        <w:t>difications is to provide clarit</w:t>
      </w:r>
      <w:r w:rsidR="0077258D">
        <w:rPr>
          <w:rFonts w:ascii="Palatino Linotype" w:hAnsi="Palatino Linotype"/>
          <w:bCs/>
          <w:szCs w:val="26"/>
        </w:rPr>
        <w:t>y to the market.</w:t>
      </w:r>
      <w:r w:rsidR="0077258D">
        <w:rPr>
          <w:rStyle w:val="FootnoteReference"/>
          <w:rFonts w:ascii="Palatino Linotype" w:hAnsi="Palatino Linotype"/>
          <w:bCs/>
          <w:szCs w:val="26"/>
        </w:rPr>
        <w:footnoteReference w:id="57"/>
      </w:r>
    </w:p>
    <w:p w:rsidR="0094663B" w:rsidRDefault="00595221" w:rsidP="00026DAB">
      <w:pPr>
        <w:autoSpaceDE w:val="0"/>
        <w:autoSpaceDN w:val="0"/>
        <w:adjustRightInd w:val="0"/>
        <w:spacing w:after="120"/>
        <w:rPr>
          <w:rFonts w:ascii="Palatino Linotype" w:hAnsi="Palatino Linotype"/>
          <w:bCs/>
          <w:szCs w:val="26"/>
        </w:rPr>
      </w:pPr>
      <w:r>
        <w:rPr>
          <w:rFonts w:ascii="Palatino Linotype" w:hAnsi="Palatino Linotype"/>
          <w:bCs/>
          <w:szCs w:val="26"/>
        </w:rPr>
        <w:t xml:space="preserve">NextEra supports </w:t>
      </w:r>
      <w:r w:rsidR="0094663B">
        <w:rPr>
          <w:rFonts w:ascii="Palatino Linotype" w:hAnsi="Palatino Linotype"/>
          <w:bCs/>
          <w:szCs w:val="26"/>
        </w:rPr>
        <w:t xml:space="preserve">SCE’s proposed modifications </w:t>
      </w:r>
      <w:r>
        <w:rPr>
          <w:rFonts w:ascii="Palatino Linotype" w:hAnsi="Palatino Linotype"/>
          <w:bCs/>
          <w:szCs w:val="26"/>
        </w:rPr>
        <w:t>a</w:t>
      </w:r>
      <w:r w:rsidR="00021B30">
        <w:rPr>
          <w:rFonts w:ascii="Palatino Linotype" w:hAnsi="Palatino Linotype"/>
          <w:bCs/>
          <w:szCs w:val="26"/>
        </w:rPr>
        <w:t>s being consistent with encouraging individual projects under the RAM program.</w:t>
      </w:r>
      <w:r w:rsidR="00584A3E">
        <w:rPr>
          <w:rFonts w:ascii="Palatino Linotype" w:hAnsi="Palatino Linotype"/>
          <w:bCs/>
          <w:szCs w:val="26"/>
        </w:rPr>
        <w:t xml:space="preserve">  In SCE’s reply, it propose</w:t>
      </w:r>
      <w:r w:rsidR="00DF491D">
        <w:rPr>
          <w:rFonts w:ascii="Palatino Linotype" w:hAnsi="Palatino Linotype"/>
          <w:bCs/>
          <w:szCs w:val="26"/>
        </w:rPr>
        <w:t>s</w:t>
      </w:r>
      <w:r w:rsidR="00584A3E">
        <w:rPr>
          <w:rFonts w:ascii="Palatino Linotype" w:hAnsi="Palatino Linotype"/>
          <w:bCs/>
          <w:szCs w:val="26"/>
        </w:rPr>
        <w:t xml:space="preserve"> additional clarification to its RAM protocol regarding </w:t>
      </w:r>
      <w:r w:rsidR="002B0B33">
        <w:rPr>
          <w:rFonts w:ascii="Palatino Linotype" w:hAnsi="Palatino Linotype"/>
          <w:bCs/>
          <w:szCs w:val="26"/>
        </w:rPr>
        <w:t xml:space="preserve">the </w:t>
      </w:r>
      <w:r w:rsidR="00584A3E">
        <w:rPr>
          <w:rFonts w:ascii="Palatino Linotype" w:hAnsi="Palatino Linotype"/>
          <w:bCs/>
          <w:szCs w:val="26"/>
        </w:rPr>
        <w:t>subdivision of projects.  Specifically, SCE seeks to clarify that it will allow multiple RAM PPAs from projects that utilize the same interconnection queue position as long as the projects are less than 20 MW in aggregate.</w:t>
      </w:r>
      <w:r w:rsidR="00584A3E">
        <w:rPr>
          <w:rStyle w:val="FootnoteReference"/>
          <w:rFonts w:ascii="Palatino Linotype" w:hAnsi="Palatino Linotype"/>
          <w:bCs/>
          <w:szCs w:val="26"/>
        </w:rPr>
        <w:footnoteReference w:id="58"/>
      </w:r>
      <w:r w:rsidR="00584A3E">
        <w:rPr>
          <w:rFonts w:ascii="Palatino Linotype" w:hAnsi="Palatino Linotype"/>
          <w:bCs/>
          <w:szCs w:val="26"/>
        </w:rPr>
        <w:t xml:space="preserve">  SCE asserts that the proposed </w:t>
      </w:r>
      <w:r w:rsidR="0057650C">
        <w:rPr>
          <w:rFonts w:ascii="Palatino Linotype" w:hAnsi="Palatino Linotype"/>
          <w:bCs/>
          <w:szCs w:val="26"/>
        </w:rPr>
        <w:t>revision</w:t>
      </w:r>
      <w:r w:rsidR="00584A3E">
        <w:rPr>
          <w:rFonts w:ascii="Palatino Linotype" w:hAnsi="Palatino Linotype"/>
          <w:bCs/>
          <w:szCs w:val="26"/>
        </w:rPr>
        <w:t xml:space="preserve"> ensures that multiple projects in the same location are not unduly penalized.</w:t>
      </w:r>
      <w:r w:rsidR="0057650C">
        <w:rPr>
          <w:rStyle w:val="FootnoteReference"/>
          <w:rFonts w:ascii="Palatino Linotype" w:hAnsi="Palatino Linotype"/>
          <w:bCs/>
          <w:szCs w:val="26"/>
        </w:rPr>
        <w:footnoteReference w:id="59"/>
      </w:r>
    </w:p>
    <w:p w:rsidR="002B0B33" w:rsidRDefault="00FB0D88" w:rsidP="00026DAB">
      <w:pPr>
        <w:autoSpaceDE w:val="0"/>
        <w:autoSpaceDN w:val="0"/>
        <w:adjustRightInd w:val="0"/>
        <w:spacing w:after="120"/>
        <w:rPr>
          <w:rFonts w:ascii="Palatino Linotype" w:hAnsi="Palatino Linotype"/>
          <w:bCs/>
          <w:szCs w:val="26"/>
        </w:rPr>
      </w:pPr>
      <w:r>
        <w:rPr>
          <w:rFonts w:ascii="Palatino Linotype" w:hAnsi="Palatino Linotype"/>
          <w:bCs/>
          <w:szCs w:val="26"/>
        </w:rPr>
        <w:t>T</w:t>
      </w:r>
      <w:r w:rsidR="002B0B33">
        <w:rPr>
          <w:rFonts w:ascii="Palatino Linotype" w:hAnsi="Palatino Linotype"/>
          <w:bCs/>
          <w:szCs w:val="26"/>
        </w:rPr>
        <w:t xml:space="preserve">he Commission was concerned when it adopted D.10-12-048 that a seller might attempt to subdivide projects to meet the RAM program project size requirements.  To date the IOUs have administered their RAM programs consistent with this aspect of RAM program.  We agree with SCE and SDG&amp;E that the proposed changes described above are additional clarifications that are consistent with past RAM protocols and D.10-12-048.  Accordingly, </w:t>
      </w:r>
      <w:r w:rsidR="002B0B33" w:rsidRPr="002B0B33">
        <w:rPr>
          <w:rFonts w:ascii="Palatino Linotype" w:hAnsi="Palatino Linotype"/>
          <w:bCs/>
          <w:szCs w:val="26"/>
          <w:u w:val="single"/>
        </w:rPr>
        <w:t>the Commission finds SCE’s revised proposed and SDG&amp;E’s proposed project</w:t>
      </w:r>
      <w:r w:rsidR="00933B73">
        <w:rPr>
          <w:rFonts w:ascii="Palatino Linotype" w:hAnsi="Palatino Linotype"/>
          <w:bCs/>
          <w:szCs w:val="26"/>
          <w:u w:val="single"/>
        </w:rPr>
        <w:t xml:space="preserve"> </w:t>
      </w:r>
      <w:r w:rsidR="002B0B33" w:rsidRPr="002B0B33">
        <w:rPr>
          <w:rFonts w:ascii="Palatino Linotype" w:hAnsi="Palatino Linotype"/>
          <w:bCs/>
          <w:szCs w:val="26"/>
          <w:u w:val="single"/>
        </w:rPr>
        <w:t xml:space="preserve">subdivision sections of their RAM protocols </w:t>
      </w:r>
      <w:r w:rsidR="00933B73">
        <w:rPr>
          <w:rFonts w:ascii="Palatino Linotype" w:hAnsi="Palatino Linotype"/>
          <w:bCs/>
          <w:szCs w:val="26"/>
          <w:u w:val="single"/>
        </w:rPr>
        <w:t xml:space="preserve">are </w:t>
      </w:r>
      <w:r w:rsidR="002B0B33" w:rsidRPr="002B0B33">
        <w:rPr>
          <w:rFonts w:ascii="Palatino Linotype" w:hAnsi="Palatino Linotype"/>
          <w:bCs/>
          <w:szCs w:val="26"/>
          <w:u w:val="single"/>
        </w:rPr>
        <w:t>reasonable</w:t>
      </w:r>
      <w:r w:rsidR="002B0B33">
        <w:rPr>
          <w:rFonts w:ascii="Palatino Linotype" w:hAnsi="Palatino Linotype"/>
          <w:bCs/>
          <w:szCs w:val="26"/>
        </w:rPr>
        <w:t xml:space="preserve">. </w:t>
      </w:r>
    </w:p>
    <w:p w:rsidR="00933B73" w:rsidRDefault="00933B73" w:rsidP="00DA4F73">
      <w:pPr>
        <w:autoSpaceDE w:val="0"/>
        <w:autoSpaceDN w:val="0"/>
        <w:adjustRightInd w:val="0"/>
        <w:spacing w:after="240"/>
        <w:rPr>
          <w:rFonts w:ascii="Palatino Linotype" w:hAnsi="Palatino Linotype"/>
          <w:bCs/>
          <w:szCs w:val="26"/>
        </w:rPr>
      </w:pPr>
      <w:r>
        <w:rPr>
          <w:rFonts w:ascii="Palatino Linotype" w:hAnsi="Palatino Linotype"/>
          <w:bCs/>
          <w:szCs w:val="26"/>
        </w:rPr>
        <w:t xml:space="preserve">As noted above, </w:t>
      </w:r>
      <w:r w:rsidR="00FB0D88">
        <w:rPr>
          <w:rFonts w:ascii="Palatino Linotype" w:hAnsi="Palatino Linotype"/>
          <w:bCs/>
          <w:szCs w:val="26"/>
        </w:rPr>
        <w:t>one party</w:t>
      </w:r>
      <w:r>
        <w:rPr>
          <w:rFonts w:ascii="Palatino Linotype" w:hAnsi="Palatino Linotype"/>
          <w:bCs/>
          <w:szCs w:val="26"/>
        </w:rPr>
        <w:t xml:space="preserve"> commented on the IOUs’ RAM protocols.  Table 4 summarizes the protest.</w:t>
      </w:r>
    </w:p>
    <w:p w:rsidR="007F18E6" w:rsidRPr="00600701" w:rsidRDefault="007F18E6" w:rsidP="00A37E96">
      <w:pPr>
        <w:keepNext/>
        <w:keepLines/>
        <w:spacing w:after="120"/>
        <w:ind w:left="1080" w:hanging="1080"/>
        <w:rPr>
          <w:rFonts w:ascii="Palatino Linotype" w:hAnsi="Palatino Linotype"/>
          <w:b/>
        </w:rPr>
      </w:pPr>
      <w:r>
        <w:rPr>
          <w:rFonts w:ascii="Palatino Linotype" w:hAnsi="Palatino Linotype"/>
          <w:b/>
        </w:rPr>
        <w:t xml:space="preserve">Table 4: </w:t>
      </w:r>
      <w:r w:rsidR="00026DAB">
        <w:rPr>
          <w:rFonts w:ascii="Palatino Linotype" w:hAnsi="Palatino Linotype"/>
          <w:b/>
        </w:rPr>
        <w:t xml:space="preserve"> </w:t>
      </w:r>
      <w:r>
        <w:rPr>
          <w:rFonts w:ascii="Palatino Linotype" w:hAnsi="Palatino Linotype"/>
          <w:b/>
        </w:rPr>
        <w:t xml:space="preserve">Summary of Protesters </w:t>
      </w:r>
      <w:r w:rsidRPr="00600701">
        <w:rPr>
          <w:rFonts w:ascii="Palatino Linotype" w:hAnsi="Palatino Linotype"/>
          <w:b/>
        </w:rPr>
        <w:t xml:space="preserve">Proposed Changes </w:t>
      </w:r>
      <w:r>
        <w:rPr>
          <w:rFonts w:ascii="Palatino Linotype" w:hAnsi="Palatino Linotype"/>
          <w:b/>
        </w:rPr>
        <w:t>to</w:t>
      </w:r>
      <w:r w:rsidRPr="00600701">
        <w:rPr>
          <w:rFonts w:ascii="Palatino Linotype" w:hAnsi="Palatino Linotype"/>
          <w:b/>
        </w:rPr>
        <w:t xml:space="preserve"> </w:t>
      </w:r>
      <w:r>
        <w:rPr>
          <w:rFonts w:ascii="Palatino Linotype" w:hAnsi="Palatino Linotype"/>
          <w:b/>
        </w:rPr>
        <w:t>IOUs’ RAM Protocols</w:t>
      </w:r>
    </w:p>
    <w:tbl>
      <w:tblPr>
        <w:tblW w:w="9384" w:type="dxa"/>
        <w:jc w:val="center"/>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092"/>
        <w:gridCol w:w="3470"/>
        <w:gridCol w:w="1698"/>
      </w:tblGrid>
      <w:tr w:rsidR="00FB0D88" w:rsidRPr="0059641E" w:rsidTr="00FB0D88">
        <w:trPr>
          <w:jc w:val="center"/>
        </w:trPr>
        <w:tc>
          <w:tcPr>
            <w:tcW w:w="2124" w:type="dxa"/>
            <w:tcBorders>
              <w:top w:val="single" w:sz="4" w:space="0" w:color="auto"/>
              <w:left w:val="single" w:sz="4" w:space="0" w:color="auto"/>
              <w:bottom w:val="single" w:sz="4" w:space="0" w:color="auto"/>
              <w:right w:val="single" w:sz="4" w:space="0" w:color="auto"/>
            </w:tcBorders>
            <w:shd w:val="clear" w:color="auto" w:fill="BFBFBF"/>
          </w:tcPr>
          <w:p w:rsidR="00FB0D88" w:rsidRPr="0059641E" w:rsidRDefault="00FB0D88" w:rsidP="00A37E96">
            <w:pPr>
              <w:keepNext/>
              <w:keepLines/>
              <w:spacing w:before="120" w:after="120"/>
              <w:rPr>
                <w:rFonts w:ascii="Palatino Linotype" w:hAnsi="Palatino Linotype"/>
                <w:b/>
                <w:sz w:val="20"/>
              </w:rPr>
            </w:pPr>
            <w:r w:rsidRPr="0059641E">
              <w:rPr>
                <w:rFonts w:ascii="Palatino Linotype" w:hAnsi="Palatino Linotype"/>
                <w:b/>
                <w:sz w:val="20"/>
              </w:rPr>
              <w:t xml:space="preserve">Subject of </w:t>
            </w:r>
            <w:r>
              <w:rPr>
                <w:rFonts w:ascii="Palatino Linotype" w:hAnsi="Palatino Linotype"/>
                <w:b/>
                <w:sz w:val="20"/>
              </w:rPr>
              <w:t>Protocol</w:t>
            </w:r>
            <w:r w:rsidRPr="0059641E">
              <w:rPr>
                <w:rFonts w:ascii="Palatino Linotype" w:hAnsi="Palatino Linotype"/>
                <w:b/>
                <w:sz w:val="20"/>
              </w:rPr>
              <w:t xml:space="preserve"> Change</w:t>
            </w:r>
          </w:p>
        </w:tc>
        <w:tc>
          <w:tcPr>
            <w:tcW w:w="2092" w:type="dxa"/>
            <w:tcBorders>
              <w:top w:val="single" w:sz="4" w:space="0" w:color="auto"/>
              <w:left w:val="single" w:sz="4" w:space="0" w:color="auto"/>
              <w:bottom w:val="single" w:sz="4" w:space="0" w:color="auto"/>
              <w:right w:val="single" w:sz="4" w:space="0" w:color="auto"/>
            </w:tcBorders>
            <w:shd w:val="clear" w:color="auto" w:fill="BFBFBF"/>
          </w:tcPr>
          <w:p w:rsidR="00FB0D88" w:rsidRPr="0059641E" w:rsidRDefault="00FB0D88" w:rsidP="00A37E96">
            <w:pPr>
              <w:keepNext/>
              <w:keepLines/>
              <w:spacing w:before="120" w:after="120"/>
              <w:rPr>
                <w:rFonts w:ascii="Palatino Linotype" w:hAnsi="Palatino Linotype"/>
                <w:b/>
                <w:sz w:val="20"/>
              </w:rPr>
            </w:pPr>
            <w:r w:rsidRPr="0059641E">
              <w:rPr>
                <w:rFonts w:ascii="Palatino Linotype" w:hAnsi="Palatino Linotype"/>
                <w:b/>
                <w:sz w:val="20"/>
              </w:rPr>
              <w:t xml:space="preserve">Relevant RAM </w:t>
            </w:r>
            <w:r>
              <w:rPr>
                <w:rFonts w:ascii="Palatino Linotype" w:hAnsi="Palatino Linotype"/>
                <w:b/>
                <w:sz w:val="20"/>
              </w:rPr>
              <w:t>Protocol</w:t>
            </w:r>
            <w:r w:rsidRPr="0059641E">
              <w:rPr>
                <w:rFonts w:ascii="Palatino Linotype" w:hAnsi="Palatino Linotype"/>
                <w:b/>
                <w:sz w:val="20"/>
              </w:rPr>
              <w:t xml:space="preserve"> Section</w:t>
            </w:r>
          </w:p>
        </w:tc>
        <w:tc>
          <w:tcPr>
            <w:tcW w:w="3470" w:type="dxa"/>
            <w:tcBorders>
              <w:top w:val="single" w:sz="4" w:space="0" w:color="auto"/>
              <w:left w:val="single" w:sz="4" w:space="0" w:color="auto"/>
              <w:bottom w:val="single" w:sz="4" w:space="0" w:color="auto"/>
              <w:right w:val="single" w:sz="4" w:space="0" w:color="auto"/>
            </w:tcBorders>
            <w:shd w:val="clear" w:color="auto" w:fill="BFBFBF"/>
          </w:tcPr>
          <w:p w:rsidR="00FB0D88" w:rsidRPr="0059641E" w:rsidRDefault="00FB0D88" w:rsidP="00A37E96">
            <w:pPr>
              <w:keepNext/>
              <w:keepLines/>
              <w:spacing w:before="120" w:after="120"/>
              <w:rPr>
                <w:rFonts w:ascii="Palatino Linotype" w:hAnsi="Palatino Linotype"/>
                <w:b/>
                <w:sz w:val="20"/>
              </w:rPr>
            </w:pPr>
            <w:r w:rsidRPr="0059641E">
              <w:rPr>
                <w:rFonts w:ascii="Palatino Linotype" w:hAnsi="Palatino Linotype"/>
                <w:b/>
                <w:sz w:val="20"/>
              </w:rPr>
              <w:t xml:space="preserve">Proposed Revision to RAM </w:t>
            </w:r>
            <w:r>
              <w:rPr>
                <w:rFonts w:ascii="Palatino Linotype" w:hAnsi="Palatino Linotype"/>
                <w:b/>
                <w:sz w:val="20"/>
              </w:rPr>
              <w:t>Protocol</w:t>
            </w:r>
          </w:p>
        </w:tc>
        <w:tc>
          <w:tcPr>
            <w:tcW w:w="1698" w:type="dxa"/>
            <w:tcBorders>
              <w:top w:val="single" w:sz="4" w:space="0" w:color="auto"/>
              <w:left w:val="single" w:sz="4" w:space="0" w:color="auto"/>
              <w:bottom w:val="single" w:sz="4" w:space="0" w:color="auto"/>
              <w:right w:val="single" w:sz="4" w:space="0" w:color="auto"/>
            </w:tcBorders>
            <w:shd w:val="clear" w:color="auto" w:fill="BFBFBF"/>
          </w:tcPr>
          <w:p w:rsidR="00FB0D88" w:rsidRPr="0059641E" w:rsidRDefault="00FB0D88" w:rsidP="00A37E96">
            <w:pPr>
              <w:keepNext/>
              <w:keepLines/>
              <w:spacing w:before="120" w:after="120"/>
              <w:rPr>
                <w:rFonts w:ascii="Palatino Linotype" w:hAnsi="Palatino Linotype"/>
                <w:b/>
                <w:sz w:val="20"/>
              </w:rPr>
            </w:pPr>
            <w:r w:rsidRPr="0059641E">
              <w:rPr>
                <w:rFonts w:ascii="Palatino Linotype" w:hAnsi="Palatino Linotype"/>
                <w:b/>
                <w:sz w:val="20"/>
              </w:rPr>
              <w:t xml:space="preserve">Source of </w:t>
            </w:r>
            <w:r>
              <w:rPr>
                <w:rFonts w:ascii="Palatino Linotype" w:hAnsi="Palatino Linotype"/>
                <w:b/>
                <w:sz w:val="20"/>
              </w:rPr>
              <w:t>Proposal</w:t>
            </w:r>
          </w:p>
        </w:tc>
      </w:tr>
      <w:tr w:rsidR="00FB0D88" w:rsidRPr="001F3135" w:rsidTr="00FB0D88">
        <w:trPr>
          <w:jc w:val="center"/>
        </w:trPr>
        <w:tc>
          <w:tcPr>
            <w:tcW w:w="2124" w:type="dxa"/>
            <w:shd w:val="clear" w:color="auto" w:fill="auto"/>
          </w:tcPr>
          <w:p w:rsidR="00FB0D88" w:rsidRPr="001F3135" w:rsidDel="002E3E3F" w:rsidRDefault="00FB0D88" w:rsidP="00A37E96">
            <w:pPr>
              <w:keepNext/>
              <w:keepLines/>
              <w:spacing w:before="120" w:after="120"/>
              <w:rPr>
                <w:rFonts w:ascii="Palatino Linotype" w:hAnsi="Palatino Linotype"/>
                <w:b/>
                <w:i/>
                <w:sz w:val="20"/>
              </w:rPr>
            </w:pPr>
            <w:r w:rsidRPr="001F3135">
              <w:rPr>
                <w:rFonts w:ascii="Palatino Linotype" w:hAnsi="Palatino Linotype"/>
                <w:sz w:val="20"/>
              </w:rPr>
              <w:t>(1)</w:t>
            </w:r>
            <w:r w:rsidRPr="001F3135">
              <w:rPr>
                <w:rFonts w:ascii="Palatino Linotype" w:hAnsi="Palatino Linotype"/>
                <w:b/>
                <w:i/>
                <w:sz w:val="20"/>
              </w:rPr>
              <w:t xml:space="preserve"> </w:t>
            </w:r>
            <w:r>
              <w:rPr>
                <w:rFonts w:ascii="Palatino Linotype" w:hAnsi="Palatino Linotype"/>
                <w:b/>
                <w:i/>
                <w:sz w:val="20"/>
              </w:rPr>
              <w:t>Submission of Offers – Resource Adequacy</w:t>
            </w:r>
          </w:p>
        </w:tc>
        <w:tc>
          <w:tcPr>
            <w:tcW w:w="2092" w:type="dxa"/>
            <w:shd w:val="clear" w:color="auto" w:fill="auto"/>
          </w:tcPr>
          <w:p w:rsidR="00FB0D88" w:rsidRPr="009445E7" w:rsidRDefault="00FB0D88" w:rsidP="00A37E96">
            <w:pPr>
              <w:keepNext/>
              <w:keepLines/>
              <w:rPr>
                <w:rFonts w:ascii="Palatino Linotype" w:hAnsi="Palatino Linotype"/>
                <w:b/>
                <w:sz w:val="20"/>
              </w:rPr>
            </w:pPr>
            <w:r w:rsidRPr="009445E7">
              <w:rPr>
                <w:rFonts w:ascii="Palatino Linotype" w:hAnsi="Palatino Linotype"/>
                <w:b/>
                <w:sz w:val="20"/>
              </w:rPr>
              <w:t>SCE:</w:t>
            </w:r>
          </w:p>
          <w:p w:rsidR="00FB0D88" w:rsidRPr="009445E7" w:rsidRDefault="00FB0D88" w:rsidP="00A37E96">
            <w:pPr>
              <w:keepNext/>
              <w:keepLines/>
              <w:ind w:left="288"/>
              <w:rPr>
                <w:rFonts w:ascii="Palatino Linotype" w:hAnsi="Palatino Linotype"/>
                <w:b/>
                <w:sz w:val="20"/>
              </w:rPr>
            </w:pPr>
            <w:r w:rsidRPr="009445E7">
              <w:rPr>
                <w:rFonts w:ascii="Palatino Linotype" w:hAnsi="Palatino Linotype"/>
                <w:b/>
                <w:sz w:val="20"/>
              </w:rPr>
              <w:t>Section</w:t>
            </w:r>
            <w:r>
              <w:rPr>
                <w:rFonts w:ascii="Palatino Linotype" w:hAnsi="Palatino Linotype"/>
                <w:b/>
                <w:sz w:val="20"/>
              </w:rPr>
              <w:t xml:space="preserve"> 3.05</w:t>
            </w:r>
            <w:r w:rsidRPr="009445E7">
              <w:rPr>
                <w:rFonts w:ascii="Palatino Linotype" w:hAnsi="Palatino Linotype"/>
                <w:b/>
                <w:sz w:val="20"/>
              </w:rPr>
              <w:t xml:space="preserve"> </w:t>
            </w:r>
          </w:p>
        </w:tc>
        <w:tc>
          <w:tcPr>
            <w:tcW w:w="3470" w:type="dxa"/>
            <w:shd w:val="clear" w:color="auto" w:fill="auto"/>
          </w:tcPr>
          <w:p w:rsidR="00FB0D88" w:rsidRPr="001F3135" w:rsidDel="002E3E3F" w:rsidRDefault="00FB0D88" w:rsidP="00A37E96">
            <w:pPr>
              <w:keepNext/>
              <w:keepLines/>
              <w:spacing w:before="120" w:after="120"/>
              <w:rPr>
                <w:rFonts w:ascii="Palatino Linotype" w:hAnsi="Palatino Linotype"/>
                <w:sz w:val="20"/>
              </w:rPr>
            </w:pPr>
            <w:r>
              <w:rPr>
                <w:rFonts w:ascii="Palatino Linotype" w:hAnsi="Palatino Linotype"/>
                <w:sz w:val="20"/>
              </w:rPr>
              <w:t>Modification of Section 3.</w:t>
            </w:r>
            <w:r w:rsidR="00D2610E">
              <w:rPr>
                <w:rFonts w:ascii="Palatino Linotype" w:hAnsi="Palatino Linotype"/>
                <w:sz w:val="20"/>
              </w:rPr>
              <w:t xml:space="preserve">05 to allow queue cluster 6 </w:t>
            </w:r>
            <w:r>
              <w:rPr>
                <w:rFonts w:ascii="Palatino Linotype" w:hAnsi="Palatino Linotype"/>
                <w:sz w:val="20"/>
              </w:rPr>
              <w:t>projects bidding as FCDS</w:t>
            </w:r>
          </w:p>
        </w:tc>
        <w:tc>
          <w:tcPr>
            <w:tcW w:w="1698" w:type="dxa"/>
          </w:tcPr>
          <w:p w:rsidR="00FB0D88" w:rsidRPr="001F3135" w:rsidRDefault="00FB0D88" w:rsidP="00A37E96">
            <w:pPr>
              <w:keepNext/>
              <w:keepLines/>
              <w:spacing w:before="120" w:after="120"/>
              <w:rPr>
                <w:rFonts w:ascii="Palatino Linotype" w:hAnsi="Palatino Linotype"/>
                <w:sz w:val="20"/>
              </w:rPr>
            </w:pPr>
            <w:r>
              <w:rPr>
                <w:rFonts w:ascii="Palatino Linotype" w:hAnsi="Palatino Linotype"/>
                <w:sz w:val="20"/>
              </w:rPr>
              <w:t>NextEra protest (Section 6)</w:t>
            </w:r>
          </w:p>
        </w:tc>
      </w:tr>
    </w:tbl>
    <w:p w:rsidR="00B40B5B" w:rsidRDefault="00CB0A5F" w:rsidP="00026DAB">
      <w:pPr>
        <w:pStyle w:val="standard"/>
        <w:spacing w:before="120" w:after="120" w:line="240" w:lineRule="auto"/>
        <w:ind w:firstLine="0"/>
        <w:rPr>
          <w:rFonts w:ascii="Palatino Linotype" w:hAnsi="Palatino Linotype"/>
          <w:bCs/>
          <w:szCs w:val="26"/>
        </w:rPr>
      </w:pPr>
      <w:r>
        <w:rPr>
          <w:rFonts w:ascii="Palatino Linotype" w:hAnsi="Palatino Linotype"/>
          <w:bCs/>
          <w:szCs w:val="26"/>
        </w:rPr>
        <w:t xml:space="preserve">In SCE’s RAM protocol it notes that </w:t>
      </w:r>
      <w:r w:rsidRPr="00CB0A5F">
        <w:rPr>
          <w:rFonts w:ascii="Palatino Linotype" w:hAnsi="Palatino Linotype"/>
          <w:bCs/>
          <w:szCs w:val="26"/>
        </w:rPr>
        <w:t xml:space="preserve">FCDS offers from </w:t>
      </w:r>
      <w:r w:rsidR="00D2610E">
        <w:rPr>
          <w:rFonts w:ascii="Palatino Linotype" w:hAnsi="Palatino Linotype"/>
          <w:bCs/>
          <w:szCs w:val="26"/>
        </w:rPr>
        <w:t>queue cluster (</w:t>
      </w:r>
      <w:r w:rsidRPr="00CB0A5F">
        <w:rPr>
          <w:rFonts w:ascii="Palatino Linotype" w:hAnsi="Palatino Linotype"/>
          <w:bCs/>
          <w:szCs w:val="26"/>
        </w:rPr>
        <w:t>QC</w:t>
      </w:r>
      <w:r w:rsidR="00D2610E">
        <w:rPr>
          <w:rFonts w:ascii="Palatino Linotype" w:hAnsi="Palatino Linotype"/>
          <w:bCs/>
          <w:szCs w:val="26"/>
        </w:rPr>
        <w:t>)</w:t>
      </w:r>
      <w:r w:rsidR="00933B73">
        <w:rPr>
          <w:rFonts w:ascii="Palatino Linotype" w:hAnsi="Palatino Linotype"/>
          <w:bCs/>
          <w:szCs w:val="26"/>
        </w:rPr>
        <w:t xml:space="preserve"> </w:t>
      </w:r>
      <w:r w:rsidRPr="00CB0A5F">
        <w:rPr>
          <w:rFonts w:ascii="Palatino Linotype" w:hAnsi="Palatino Linotype"/>
          <w:bCs/>
          <w:szCs w:val="26"/>
        </w:rPr>
        <w:t xml:space="preserve">6 projects will not be considered </w:t>
      </w:r>
      <w:r w:rsidR="009F7030">
        <w:rPr>
          <w:rFonts w:ascii="Palatino Linotype" w:hAnsi="Palatino Linotype"/>
          <w:bCs/>
          <w:szCs w:val="26"/>
        </w:rPr>
        <w:t xml:space="preserve">as FCDS </w:t>
      </w:r>
      <w:r w:rsidRPr="00CB0A5F">
        <w:rPr>
          <w:rFonts w:ascii="Palatino Linotype" w:hAnsi="Palatino Linotype"/>
          <w:bCs/>
          <w:szCs w:val="26"/>
        </w:rPr>
        <w:t>because projects applying for FCDS interconnection in QC</w:t>
      </w:r>
      <w:r w:rsidR="00FB0D88">
        <w:rPr>
          <w:rFonts w:ascii="Palatino Linotype" w:hAnsi="Palatino Linotype"/>
          <w:bCs/>
          <w:szCs w:val="26"/>
        </w:rPr>
        <w:t xml:space="preserve"> </w:t>
      </w:r>
      <w:r w:rsidRPr="00CB0A5F">
        <w:rPr>
          <w:rFonts w:ascii="Palatino Linotype" w:hAnsi="Palatino Linotype"/>
          <w:bCs/>
          <w:szCs w:val="26"/>
        </w:rPr>
        <w:t xml:space="preserve">6 will not be allocated deliverability available from any Area </w:t>
      </w:r>
      <w:r w:rsidR="009F7030">
        <w:rPr>
          <w:rFonts w:ascii="Palatino Linotype" w:hAnsi="Palatino Linotype"/>
          <w:bCs/>
          <w:szCs w:val="26"/>
        </w:rPr>
        <w:t>Delivery Network Upgrades (</w:t>
      </w:r>
      <w:r w:rsidRPr="00CB0A5F">
        <w:rPr>
          <w:rFonts w:ascii="Palatino Linotype" w:hAnsi="Palatino Linotype"/>
          <w:bCs/>
          <w:szCs w:val="26"/>
        </w:rPr>
        <w:t>DNUs</w:t>
      </w:r>
      <w:r w:rsidR="009F7030">
        <w:rPr>
          <w:rFonts w:ascii="Palatino Linotype" w:hAnsi="Palatino Linotype"/>
          <w:bCs/>
          <w:szCs w:val="26"/>
        </w:rPr>
        <w:t>)</w:t>
      </w:r>
      <w:r w:rsidRPr="00CB0A5F">
        <w:rPr>
          <w:rFonts w:ascii="Palatino Linotype" w:hAnsi="Palatino Linotype"/>
          <w:bCs/>
          <w:szCs w:val="26"/>
        </w:rPr>
        <w:t xml:space="preserve"> approved through the CAISO’s annual Transmission Planning Process in tim</w:t>
      </w:r>
      <w:r w:rsidR="009F7030">
        <w:rPr>
          <w:rFonts w:ascii="Palatino Linotype" w:hAnsi="Palatino Linotype"/>
          <w:bCs/>
          <w:szCs w:val="26"/>
        </w:rPr>
        <w:t>e for incorporation in the RAM V</w:t>
      </w:r>
      <w:r w:rsidRPr="00CB0A5F">
        <w:rPr>
          <w:rFonts w:ascii="Palatino Linotype" w:hAnsi="Palatino Linotype"/>
          <w:bCs/>
          <w:szCs w:val="26"/>
        </w:rPr>
        <w:t xml:space="preserve"> RFO selection process.  </w:t>
      </w:r>
      <w:r>
        <w:rPr>
          <w:rFonts w:ascii="Palatino Linotype" w:hAnsi="Palatino Linotype"/>
          <w:bCs/>
          <w:szCs w:val="26"/>
        </w:rPr>
        <w:t>In NextEra’s protest, it recommends modification of SCE’s RAM protocols to allow for QC 6 FCDS projects because the project</w:t>
      </w:r>
      <w:r w:rsidR="00B40B5B">
        <w:rPr>
          <w:rFonts w:ascii="Palatino Linotype" w:hAnsi="Palatino Linotype"/>
          <w:bCs/>
          <w:szCs w:val="26"/>
        </w:rPr>
        <w:t>s</w:t>
      </w:r>
      <w:r>
        <w:rPr>
          <w:rFonts w:ascii="Palatino Linotype" w:hAnsi="Palatino Linotype"/>
          <w:bCs/>
          <w:szCs w:val="26"/>
        </w:rPr>
        <w:t xml:space="preserve"> could choose to pay for and receive non-reimbursable Area DNUs or potential</w:t>
      </w:r>
      <w:r w:rsidR="00B40B5B">
        <w:rPr>
          <w:rFonts w:ascii="Palatino Linotype" w:hAnsi="Palatino Linotype"/>
          <w:bCs/>
          <w:szCs w:val="26"/>
        </w:rPr>
        <w:t>ly</w:t>
      </w:r>
      <w:r>
        <w:rPr>
          <w:rFonts w:ascii="Palatino Linotype" w:hAnsi="Palatino Linotype"/>
          <w:bCs/>
          <w:szCs w:val="26"/>
        </w:rPr>
        <w:t xml:space="preserve"> pay RA Deficit Payments if the seller selects an RA Guarantee Date if FCDS is not provided.</w:t>
      </w:r>
      <w:r w:rsidR="009F7030">
        <w:rPr>
          <w:rStyle w:val="FootnoteReference"/>
          <w:rFonts w:ascii="Palatino Linotype" w:hAnsi="Palatino Linotype"/>
          <w:bCs/>
          <w:szCs w:val="26"/>
        </w:rPr>
        <w:footnoteReference w:id="60"/>
      </w:r>
      <w:r w:rsidR="004261E1">
        <w:rPr>
          <w:rFonts w:ascii="Palatino Linotype" w:hAnsi="Palatino Linotype"/>
          <w:bCs/>
          <w:szCs w:val="26"/>
        </w:rPr>
        <w:t xml:space="preserve">  In SCE’s reply, </w:t>
      </w:r>
      <w:r w:rsidR="00B40B5B">
        <w:rPr>
          <w:rFonts w:ascii="Palatino Linotype" w:hAnsi="Palatino Linotype"/>
          <w:bCs/>
          <w:szCs w:val="26"/>
        </w:rPr>
        <w:t>SCE asserts that the proposed revisions are the same approach as RAM IV and that a better alternative to NextEra’s proposal is a six month delay of the RAM V auction to expand the pool of eligible FCDS projects.</w:t>
      </w:r>
      <w:r w:rsidR="009F7030">
        <w:rPr>
          <w:rStyle w:val="FootnoteReference"/>
          <w:rFonts w:ascii="Palatino Linotype" w:hAnsi="Palatino Linotype"/>
          <w:bCs/>
          <w:szCs w:val="26"/>
        </w:rPr>
        <w:footnoteReference w:id="61"/>
      </w:r>
    </w:p>
    <w:p w:rsidR="00CB0A5F" w:rsidRDefault="003C44AC" w:rsidP="00DA4F73">
      <w:pPr>
        <w:pStyle w:val="standard"/>
        <w:spacing w:after="120" w:line="240" w:lineRule="auto"/>
        <w:ind w:firstLine="0"/>
        <w:rPr>
          <w:rFonts w:ascii="Palatino Linotype" w:hAnsi="Palatino Linotype"/>
          <w:bCs/>
          <w:szCs w:val="26"/>
        </w:rPr>
      </w:pPr>
      <w:r>
        <w:rPr>
          <w:rFonts w:ascii="Palatino Linotype" w:hAnsi="Palatino Linotype"/>
          <w:bCs/>
          <w:szCs w:val="26"/>
        </w:rPr>
        <w:t>While the Commission agrees with NextEra that is it possible for projects in QC</w:t>
      </w:r>
      <w:r w:rsidR="009F7030">
        <w:rPr>
          <w:rFonts w:ascii="Palatino Linotype" w:hAnsi="Palatino Linotype"/>
          <w:bCs/>
          <w:szCs w:val="26"/>
        </w:rPr>
        <w:t xml:space="preserve"> </w:t>
      </w:r>
      <w:r>
        <w:rPr>
          <w:rFonts w:ascii="Palatino Linotype" w:hAnsi="Palatino Linotype"/>
          <w:bCs/>
          <w:szCs w:val="26"/>
        </w:rPr>
        <w:t>6 to obtain FCDS eventually either through CAISO’s annual Transmission Planning Process or by electing Option B under its interconnection study process, we agree with SCE that its proposed approach remains reasonable.  Additionally, SCE</w:t>
      </w:r>
      <w:r w:rsidR="00541263">
        <w:rPr>
          <w:rFonts w:ascii="Palatino Linotype" w:hAnsi="Palatino Linotype"/>
          <w:bCs/>
          <w:szCs w:val="26"/>
        </w:rPr>
        <w:t xml:space="preserve"> received 126 offers in its</w:t>
      </w:r>
      <w:r>
        <w:rPr>
          <w:rFonts w:ascii="Palatino Linotype" w:hAnsi="Palatino Linotype"/>
          <w:bCs/>
          <w:szCs w:val="26"/>
        </w:rPr>
        <w:t xml:space="preserve"> RAM IV auction </w:t>
      </w:r>
      <w:r w:rsidR="00541263">
        <w:rPr>
          <w:rFonts w:ascii="Palatino Linotype" w:hAnsi="Palatino Linotype"/>
          <w:bCs/>
          <w:szCs w:val="26"/>
        </w:rPr>
        <w:t>resulting in 10 executed RAM PPAs, which indicates that the auction was sufficiently robust with a similar restriction.</w:t>
      </w:r>
      <w:r w:rsidR="009F7030">
        <w:rPr>
          <w:rStyle w:val="FootnoteReference"/>
          <w:rFonts w:ascii="Palatino Linotype" w:hAnsi="Palatino Linotype"/>
          <w:bCs/>
          <w:szCs w:val="26"/>
        </w:rPr>
        <w:footnoteReference w:id="62"/>
      </w:r>
      <w:r w:rsidR="00541263">
        <w:rPr>
          <w:rFonts w:ascii="Palatino Linotype" w:hAnsi="Palatino Linotype"/>
          <w:bCs/>
          <w:szCs w:val="26"/>
        </w:rPr>
        <w:t xml:space="preserve">  Accordingly, the </w:t>
      </w:r>
      <w:r w:rsidR="00541263" w:rsidRPr="00541263">
        <w:rPr>
          <w:rFonts w:ascii="Palatino Linotype" w:hAnsi="Palatino Linotype"/>
          <w:bCs/>
          <w:szCs w:val="26"/>
          <w:u w:val="single"/>
        </w:rPr>
        <w:t xml:space="preserve">Commission finds </w:t>
      </w:r>
      <w:r w:rsidR="009F7030">
        <w:rPr>
          <w:rFonts w:ascii="Palatino Linotype" w:hAnsi="Palatino Linotype"/>
          <w:bCs/>
          <w:szCs w:val="26"/>
          <w:u w:val="single"/>
        </w:rPr>
        <w:t xml:space="preserve">that </w:t>
      </w:r>
      <w:r w:rsidR="00541263" w:rsidRPr="00541263">
        <w:rPr>
          <w:rFonts w:ascii="Palatino Linotype" w:hAnsi="Palatino Linotype"/>
          <w:bCs/>
          <w:szCs w:val="26"/>
          <w:u w:val="single"/>
        </w:rPr>
        <w:t>SCE’s proposed revisions to Section 3.05 of its RAM V protocol reasonable and denies NextEra’s protest, in part</w:t>
      </w:r>
      <w:r w:rsidR="00541263">
        <w:rPr>
          <w:rFonts w:ascii="Palatino Linotype" w:hAnsi="Palatino Linotype"/>
          <w:bCs/>
          <w:szCs w:val="26"/>
        </w:rPr>
        <w:t>.</w:t>
      </w:r>
    </w:p>
    <w:p w:rsidR="009F7030" w:rsidRDefault="00933B73" w:rsidP="00026DAB">
      <w:pPr>
        <w:pStyle w:val="standard"/>
        <w:spacing w:after="120" w:line="240" w:lineRule="auto"/>
        <w:ind w:firstLine="0"/>
        <w:rPr>
          <w:rFonts w:ascii="Palatino Linotype" w:hAnsi="Palatino Linotype"/>
          <w:bCs/>
          <w:szCs w:val="26"/>
        </w:rPr>
      </w:pPr>
      <w:r>
        <w:rPr>
          <w:rFonts w:ascii="Palatino Linotype" w:hAnsi="Palatino Linotype"/>
          <w:bCs/>
          <w:szCs w:val="26"/>
        </w:rPr>
        <w:t>The non-substantive changes proposed by each of the three IOUs to their RAM V protocols are summarized in the appendices at the end of this Resolution. These summaries can be found here:</w:t>
      </w:r>
    </w:p>
    <w:p w:rsidR="00933B73" w:rsidRDefault="00933B73" w:rsidP="00933B73">
      <w:pPr>
        <w:pStyle w:val="standard"/>
        <w:numPr>
          <w:ilvl w:val="0"/>
          <w:numId w:val="26"/>
        </w:numPr>
        <w:spacing w:after="120" w:line="240" w:lineRule="auto"/>
        <w:rPr>
          <w:rFonts w:ascii="Palatino Linotype" w:hAnsi="Palatino Linotype"/>
          <w:bCs/>
          <w:szCs w:val="26"/>
        </w:rPr>
      </w:pPr>
      <w:r w:rsidRPr="005B2B79">
        <w:rPr>
          <w:rFonts w:ascii="Palatino Linotype" w:hAnsi="Palatino Linotype"/>
          <w:b/>
          <w:bCs/>
          <w:szCs w:val="26"/>
          <w:u w:val="single"/>
        </w:rPr>
        <w:t>Appendix A:</w:t>
      </w:r>
      <w:r>
        <w:rPr>
          <w:rFonts w:ascii="Palatino Linotype" w:hAnsi="Palatino Linotype"/>
          <w:bCs/>
          <w:szCs w:val="26"/>
        </w:rPr>
        <w:t xml:space="preserve">  SCE’s Proposed Non-Substantive Changes</w:t>
      </w:r>
    </w:p>
    <w:p w:rsidR="00933B73" w:rsidRDefault="00933B73" w:rsidP="00933B73">
      <w:pPr>
        <w:pStyle w:val="standard"/>
        <w:numPr>
          <w:ilvl w:val="0"/>
          <w:numId w:val="26"/>
        </w:numPr>
        <w:spacing w:after="120" w:line="240" w:lineRule="auto"/>
        <w:rPr>
          <w:rFonts w:ascii="Palatino Linotype" w:hAnsi="Palatino Linotype"/>
          <w:bCs/>
          <w:szCs w:val="26"/>
        </w:rPr>
      </w:pPr>
      <w:r w:rsidRPr="005B2B79">
        <w:rPr>
          <w:rFonts w:ascii="Palatino Linotype" w:hAnsi="Palatino Linotype"/>
          <w:b/>
          <w:bCs/>
          <w:szCs w:val="26"/>
          <w:u w:val="single"/>
        </w:rPr>
        <w:t>Appendix B:</w:t>
      </w:r>
      <w:r>
        <w:rPr>
          <w:rFonts w:ascii="Palatino Linotype" w:hAnsi="Palatino Linotype"/>
          <w:bCs/>
          <w:szCs w:val="26"/>
        </w:rPr>
        <w:t xml:space="preserve">  PG&amp;E’s Proposed Non-Substantive Changes</w:t>
      </w:r>
    </w:p>
    <w:p w:rsidR="00933B73" w:rsidRPr="00026DAB" w:rsidRDefault="00933B73" w:rsidP="00026DAB">
      <w:pPr>
        <w:pStyle w:val="standard"/>
        <w:numPr>
          <w:ilvl w:val="0"/>
          <w:numId w:val="26"/>
        </w:numPr>
        <w:spacing w:after="120" w:line="240" w:lineRule="auto"/>
        <w:ind w:left="360" w:firstLine="0"/>
        <w:rPr>
          <w:rFonts w:ascii="Palatino Linotype" w:hAnsi="Palatino Linotype"/>
          <w:b/>
          <w:bCs/>
          <w:szCs w:val="26"/>
          <w:u w:val="single"/>
        </w:rPr>
      </w:pPr>
      <w:r w:rsidRPr="00026DAB">
        <w:rPr>
          <w:rFonts w:ascii="Palatino Linotype" w:hAnsi="Palatino Linotype"/>
          <w:b/>
          <w:bCs/>
          <w:szCs w:val="26"/>
          <w:u w:val="single"/>
        </w:rPr>
        <w:t>Appendix C:</w:t>
      </w:r>
      <w:r w:rsidRPr="00026DAB">
        <w:rPr>
          <w:rFonts w:ascii="Palatino Linotype" w:hAnsi="Palatino Linotype"/>
          <w:bCs/>
          <w:szCs w:val="26"/>
        </w:rPr>
        <w:t xml:space="preserve">  SDG&amp;E’s Proposed Non-Substantive Changes </w:t>
      </w:r>
    </w:p>
    <w:p w:rsidR="00BD277D" w:rsidRDefault="00933B73" w:rsidP="00DA4F73">
      <w:pPr>
        <w:pStyle w:val="standard"/>
        <w:spacing w:after="240" w:line="240" w:lineRule="auto"/>
        <w:ind w:firstLine="0"/>
        <w:rPr>
          <w:rFonts w:ascii="Palatino Linotype" w:hAnsi="Palatino Linotype"/>
          <w:bCs/>
          <w:szCs w:val="26"/>
        </w:rPr>
      </w:pPr>
      <w:r w:rsidRPr="00F8675A">
        <w:rPr>
          <w:rFonts w:ascii="Palatino Linotype" w:hAnsi="Palatino Linotype"/>
          <w:bCs/>
          <w:szCs w:val="26"/>
          <w:u w:val="single"/>
        </w:rPr>
        <w:t>The non-substantive modifications</w:t>
      </w:r>
      <w:r w:rsidR="00E233D9">
        <w:rPr>
          <w:rFonts w:ascii="Palatino Linotype" w:hAnsi="Palatino Linotype"/>
          <w:bCs/>
          <w:szCs w:val="26"/>
          <w:u w:val="single"/>
        </w:rPr>
        <w:t xml:space="preserve"> proposed by the IOUs</w:t>
      </w:r>
      <w:r w:rsidRPr="00F8675A">
        <w:rPr>
          <w:rFonts w:ascii="Palatino Linotype" w:hAnsi="Palatino Linotype"/>
          <w:bCs/>
          <w:szCs w:val="26"/>
          <w:u w:val="single"/>
        </w:rPr>
        <w:t>, as summarized in Appendix A for SCE, in Appendix B for PG&amp;E, and in Appendix C for</w:t>
      </w:r>
      <w:r w:rsidRPr="00933B73">
        <w:rPr>
          <w:rFonts w:ascii="Palatino Linotype" w:hAnsi="Palatino Linotype"/>
          <w:bCs/>
          <w:szCs w:val="26"/>
          <w:u w:val="single"/>
        </w:rPr>
        <w:t xml:space="preserve"> </w:t>
      </w:r>
      <w:r w:rsidRPr="00F8675A">
        <w:rPr>
          <w:rFonts w:ascii="Palatino Linotype" w:hAnsi="Palatino Linotype"/>
          <w:bCs/>
          <w:szCs w:val="26"/>
          <w:u w:val="single"/>
        </w:rPr>
        <w:t>SDG&amp;E, are reasonable</w:t>
      </w:r>
      <w:r>
        <w:rPr>
          <w:rFonts w:ascii="Palatino Linotype" w:hAnsi="Palatino Linotype"/>
          <w:bCs/>
          <w:szCs w:val="26"/>
          <w:u w:val="single"/>
        </w:rPr>
        <w:t xml:space="preserve"> </w:t>
      </w:r>
      <w:r w:rsidRPr="00F8675A">
        <w:rPr>
          <w:rFonts w:ascii="Palatino Linotype" w:hAnsi="Palatino Linotype"/>
          <w:bCs/>
          <w:szCs w:val="26"/>
          <w:u w:val="single"/>
        </w:rPr>
        <w:t xml:space="preserve">and </w:t>
      </w:r>
      <w:r>
        <w:rPr>
          <w:rFonts w:ascii="Palatino Linotype" w:hAnsi="Palatino Linotype"/>
          <w:bCs/>
          <w:szCs w:val="26"/>
          <w:u w:val="single"/>
        </w:rPr>
        <w:t>are</w:t>
      </w:r>
      <w:r w:rsidRPr="00F8675A">
        <w:rPr>
          <w:rFonts w:ascii="Palatino Linotype" w:hAnsi="Palatino Linotype"/>
          <w:bCs/>
          <w:szCs w:val="26"/>
          <w:u w:val="single"/>
        </w:rPr>
        <w:t xml:space="preserve"> approved. </w:t>
      </w:r>
    </w:p>
    <w:p w:rsidR="00942BDA" w:rsidRPr="00942BDA" w:rsidRDefault="00942BDA" w:rsidP="00026DAB">
      <w:pPr>
        <w:pStyle w:val="Heading1"/>
        <w:spacing w:before="0" w:after="120"/>
      </w:pPr>
      <w:r w:rsidRPr="00942BDA">
        <w:t xml:space="preserve">Public Safety </w:t>
      </w:r>
    </w:p>
    <w:p w:rsidR="00A110AB" w:rsidRPr="005C76C1" w:rsidRDefault="00A110AB" w:rsidP="00A110AB">
      <w:pPr>
        <w:pStyle w:val="BodyText"/>
        <w:rPr>
          <w:b w:val="0"/>
          <w:bCs/>
        </w:rPr>
      </w:pPr>
      <w:r>
        <w:rPr>
          <w:b w:val="0"/>
          <w:bCs/>
        </w:rPr>
        <w:t xml:space="preserve">California Public Utilities Code Section 451 requires that every public utility maintain adequate, efficient, just, and reasonable service; instrumentalities; equipment; and facilities to ensure the safety, health, and comfort of the public. </w:t>
      </w:r>
    </w:p>
    <w:p w:rsidR="00942BDA" w:rsidRPr="00DB4FCC" w:rsidRDefault="00A110AB" w:rsidP="00DA4F73">
      <w:pPr>
        <w:pStyle w:val="BodyText"/>
        <w:spacing w:after="240"/>
        <w:rPr>
          <w:rFonts w:ascii="Palatino Linotype" w:hAnsi="Palatino Linotype"/>
          <w:bCs/>
          <w:szCs w:val="26"/>
        </w:rPr>
      </w:pPr>
      <w:r>
        <w:rPr>
          <w:b w:val="0"/>
          <w:bCs/>
        </w:rPr>
        <w:t xml:space="preserve">In furtherance of that, and other safety requirements, the SCE pro forma agreement considered herein has the added requirement that an independent engineer review the seller’s written plan(s) for the safe construction and operation of the generating facility.  Additionally, </w:t>
      </w:r>
      <w:r w:rsidRPr="0019058A">
        <w:rPr>
          <w:rFonts w:ascii="Palatino Linotype" w:hAnsi="Palatino Linotype"/>
          <w:b w:val="0"/>
        </w:rPr>
        <w:t xml:space="preserve">SDG&amp;E </w:t>
      </w:r>
      <w:r>
        <w:rPr>
          <w:rFonts w:ascii="Palatino Linotype" w:hAnsi="Palatino Linotype"/>
          <w:b w:val="0"/>
        </w:rPr>
        <w:t>is</w:t>
      </w:r>
      <w:r w:rsidRPr="0019058A">
        <w:rPr>
          <w:rFonts w:ascii="Palatino Linotype" w:hAnsi="Palatino Linotype"/>
          <w:b w:val="0"/>
        </w:rPr>
        <w:t xml:space="preserve"> </w:t>
      </w:r>
      <w:r>
        <w:rPr>
          <w:rFonts w:ascii="Palatino Linotype" w:hAnsi="Palatino Linotype"/>
          <w:b w:val="0"/>
        </w:rPr>
        <w:t xml:space="preserve">now </w:t>
      </w:r>
      <w:r w:rsidRPr="0019058A">
        <w:rPr>
          <w:rFonts w:ascii="Palatino Linotype" w:hAnsi="Palatino Linotype"/>
          <w:b w:val="0"/>
        </w:rPr>
        <w:t>includ</w:t>
      </w:r>
      <w:r>
        <w:rPr>
          <w:rFonts w:ascii="Palatino Linotype" w:hAnsi="Palatino Linotype"/>
          <w:b w:val="0"/>
        </w:rPr>
        <w:t>ing</w:t>
      </w:r>
      <w:r w:rsidRPr="0019058A">
        <w:rPr>
          <w:rFonts w:ascii="Palatino Linotype" w:hAnsi="Palatino Linotype"/>
          <w:b w:val="0"/>
        </w:rPr>
        <w:t xml:space="preserve"> safety as an element of the general operation of the project and requir</w:t>
      </w:r>
      <w:r>
        <w:rPr>
          <w:rFonts w:ascii="Palatino Linotype" w:hAnsi="Palatino Linotype"/>
          <w:b w:val="0"/>
        </w:rPr>
        <w:t>ing</w:t>
      </w:r>
      <w:r w:rsidRPr="0019058A">
        <w:rPr>
          <w:rFonts w:ascii="Palatino Linotype" w:hAnsi="Palatino Linotype"/>
          <w:b w:val="0"/>
        </w:rPr>
        <w:t xml:space="preserve"> the seller </w:t>
      </w:r>
      <w:r>
        <w:rPr>
          <w:rFonts w:ascii="Palatino Linotype" w:hAnsi="Palatino Linotype"/>
          <w:b w:val="0"/>
        </w:rPr>
        <w:t xml:space="preserve">to </w:t>
      </w:r>
      <w:r w:rsidRPr="0019058A">
        <w:rPr>
          <w:rFonts w:ascii="Palatino Linotype" w:hAnsi="Palatino Linotype"/>
          <w:b w:val="0"/>
        </w:rPr>
        <w:t xml:space="preserve">provide </w:t>
      </w:r>
      <w:r>
        <w:rPr>
          <w:rFonts w:ascii="Palatino Linotype" w:hAnsi="Palatino Linotype"/>
          <w:b w:val="0"/>
        </w:rPr>
        <w:t>a</w:t>
      </w:r>
      <w:r w:rsidRPr="0019058A">
        <w:rPr>
          <w:rFonts w:ascii="Palatino Linotype" w:hAnsi="Palatino Linotype"/>
          <w:b w:val="0"/>
        </w:rPr>
        <w:t xml:space="preserve"> report </w:t>
      </w:r>
      <w:r>
        <w:rPr>
          <w:rFonts w:ascii="Palatino Linotype" w:hAnsi="Palatino Linotype"/>
          <w:b w:val="0"/>
        </w:rPr>
        <w:t>that includes</w:t>
      </w:r>
      <w:r w:rsidRPr="0019058A">
        <w:rPr>
          <w:rFonts w:ascii="Palatino Linotype" w:hAnsi="Palatino Linotype"/>
          <w:b w:val="0"/>
        </w:rPr>
        <w:t xml:space="preserve"> all accidents, any resulting work stoppages, and work stoppage impact on construction of the project</w:t>
      </w:r>
      <w:r>
        <w:rPr>
          <w:rFonts w:ascii="Palatino Linotype" w:hAnsi="Palatino Linotype"/>
          <w:b w:val="0"/>
        </w:rPr>
        <w:t>.</w:t>
      </w:r>
    </w:p>
    <w:p w:rsidR="00F5600A" w:rsidRDefault="00F5600A" w:rsidP="00F5600A">
      <w:pPr>
        <w:pStyle w:val="Heading1"/>
        <w:spacing w:before="0" w:after="120"/>
      </w:pPr>
      <w:r>
        <w:t>Comments</w:t>
      </w:r>
    </w:p>
    <w:p w:rsidR="00622008" w:rsidRDefault="00622008" w:rsidP="00026DAB">
      <w:pPr>
        <w:spacing w:after="120"/>
      </w:pPr>
      <w:r>
        <w:t xml:space="preserve">Public Utilities Code section 311(g)(1) provides that this resolution must be served on all parties and subject to at least 30 days public review and comment prior to a vote of the Commission.  Section 311(g)(2) provides that this 30-day period may be reduced or waived upon the stipulation of all parties in the proceeding.  </w:t>
      </w:r>
    </w:p>
    <w:p w:rsidR="00D774DC" w:rsidRDefault="00622008" w:rsidP="0039603C">
      <w:pPr>
        <w:spacing w:after="120"/>
      </w:pPr>
      <w:r>
        <w:t>The 30-day comment period for the draft of this resolution was neither waived nor reduced.  Accordingly, this draft resolution was mailed to parties for comments</w:t>
      </w:r>
      <w:r w:rsidR="00D774DC">
        <w:t xml:space="preserve"> on April 11, 2014</w:t>
      </w:r>
      <w:r>
        <w:t xml:space="preserve">. </w:t>
      </w:r>
    </w:p>
    <w:p w:rsidR="00D774DC" w:rsidRPr="00F94E0E" w:rsidRDefault="00D774DC" w:rsidP="0039603C">
      <w:pPr>
        <w:spacing w:after="120"/>
      </w:pPr>
      <w:r w:rsidRPr="00F94E0E">
        <w:t xml:space="preserve">Comments were filed in a timely fashion on </w:t>
      </w:r>
      <w:r>
        <w:t>April 30, 2014</w:t>
      </w:r>
      <w:r w:rsidRPr="00F94E0E">
        <w:t xml:space="preserve"> by</w:t>
      </w:r>
      <w:r>
        <w:t xml:space="preserve"> NextEra, SDG&amp;E, and PG&amp;E.</w:t>
      </w:r>
    </w:p>
    <w:p w:rsidR="00D2508F" w:rsidRPr="0039603C" w:rsidRDefault="00D774DC" w:rsidP="0039603C">
      <w:pPr>
        <w:spacing w:after="240"/>
      </w:pPr>
      <w:r w:rsidRPr="00F94E0E">
        <w:t>We carefully considered comments which focused on factual, legal or technical errors and made appropriate changes to the draft resolution.</w:t>
      </w:r>
      <w:r w:rsidR="00D2508F">
        <w:t xml:space="preserve">  Below, we address new issues which were raised in comments.</w:t>
      </w:r>
    </w:p>
    <w:p w:rsidR="00E04D80" w:rsidRDefault="00AC23EA" w:rsidP="0039603C">
      <w:pPr>
        <w:spacing w:after="120"/>
        <w:rPr>
          <w:b/>
        </w:rPr>
      </w:pPr>
      <w:r>
        <w:rPr>
          <w:b/>
        </w:rPr>
        <w:t>SDG&amp;E comments that the draft resolution is unclear in addressing PG&amp;E’s request to modify the date by which projects much achieve FCDS</w:t>
      </w:r>
    </w:p>
    <w:p w:rsidR="00E04D80" w:rsidRPr="0039603C" w:rsidRDefault="00E04D80" w:rsidP="0039603C">
      <w:pPr>
        <w:spacing w:after="240"/>
      </w:pPr>
      <w:r>
        <w:t xml:space="preserve">In its comments, SDG&amp;E requests that the Commission clarify whether or not the approval of PG&amp;E’s request to modify the date by which projects must achieve FCDS is extended to the other two IOUs.  </w:t>
      </w:r>
      <w:r w:rsidR="00AC23EA">
        <w:t>In recognition of this comment the draft resolution has been modified</w:t>
      </w:r>
      <w:r w:rsidR="00542C4D">
        <w:t>.</w:t>
      </w:r>
    </w:p>
    <w:p w:rsidR="00D774DC" w:rsidRPr="0039603C" w:rsidRDefault="000765C9" w:rsidP="0039603C">
      <w:pPr>
        <w:spacing w:after="120"/>
        <w:rPr>
          <w:b/>
        </w:rPr>
      </w:pPr>
      <w:r>
        <w:rPr>
          <w:b/>
        </w:rPr>
        <w:t>NextEra comments</w:t>
      </w:r>
      <w:r w:rsidR="00D774DC" w:rsidRPr="00F94E0E">
        <w:rPr>
          <w:b/>
        </w:rPr>
        <w:t xml:space="preserve"> that </w:t>
      </w:r>
      <w:r>
        <w:rPr>
          <w:b/>
        </w:rPr>
        <w:t xml:space="preserve">permitting amendments of approved, standardized </w:t>
      </w:r>
      <w:r w:rsidR="000C4B5E">
        <w:rPr>
          <w:b/>
        </w:rPr>
        <w:t>contracts</w:t>
      </w:r>
      <w:r>
        <w:rPr>
          <w:b/>
        </w:rPr>
        <w:t xml:space="preserve"> undermines the RAM program efficiencies</w:t>
      </w:r>
    </w:p>
    <w:p w:rsidR="00D774DC" w:rsidRDefault="00D774DC" w:rsidP="00227CAC">
      <w:pPr>
        <w:spacing w:after="120"/>
      </w:pPr>
      <w:r w:rsidRPr="00F94E0E">
        <w:t xml:space="preserve">In </w:t>
      </w:r>
      <w:r w:rsidR="000765C9">
        <w:t>its</w:t>
      </w:r>
      <w:r w:rsidRPr="00F94E0E">
        <w:t xml:space="preserve"> comments, </w:t>
      </w:r>
      <w:r w:rsidR="000765C9">
        <w:t>NextEra argues</w:t>
      </w:r>
      <w:r w:rsidRPr="00F94E0E">
        <w:t xml:space="preserve"> that </w:t>
      </w:r>
      <w:r w:rsidR="000765C9">
        <w:t xml:space="preserve">allowing amendments of Commission approved, standardized contracts after an auction has closed undermines the administrative efficiencies of the RAM program and that any changes should only apply on a prospective basis.  </w:t>
      </w:r>
      <w:r w:rsidR="00037AAC">
        <w:t>NextEra also alternatively argues that if the amendments are allowed to occur that they should also include price amendments to ensure that ratepayers are held harmless by the amendments.</w:t>
      </w:r>
      <w:r>
        <w:t xml:space="preserve">  </w:t>
      </w:r>
    </w:p>
    <w:p w:rsidR="00D774DC" w:rsidRDefault="00E03315" w:rsidP="00DA4F73">
      <w:pPr>
        <w:spacing w:after="240"/>
      </w:pPr>
      <w:r>
        <w:t>A</w:t>
      </w:r>
      <w:r w:rsidR="00D774DC">
        <w:t xml:space="preserve">s stated in the discussion above, the </w:t>
      </w:r>
      <w:r w:rsidR="00721A9F">
        <w:t>proposed purpose of</w:t>
      </w:r>
      <w:r w:rsidR="00D774DC">
        <w:t xml:space="preserve"> </w:t>
      </w:r>
      <w:r w:rsidR="009E6222">
        <w:t xml:space="preserve">SCE’s modified </w:t>
      </w:r>
      <w:r w:rsidR="00721A9F">
        <w:t xml:space="preserve">provisions are to better align </w:t>
      </w:r>
      <w:r w:rsidR="00685C8B">
        <w:t>the RA benefits of a project with offer evaluation and selection methodology</w:t>
      </w:r>
      <w:r w:rsidR="00D774DC">
        <w:t xml:space="preserve">.  </w:t>
      </w:r>
      <w:r w:rsidR="00685C8B">
        <w:t xml:space="preserve">To the extent that previous terms </w:t>
      </w:r>
      <w:r w:rsidR="000C4B5E">
        <w:t xml:space="preserve">of RAM III and RAM IV contracts </w:t>
      </w:r>
      <w:r w:rsidR="00685C8B">
        <w:t xml:space="preserve">are not consistent with how </w:t>
      </w:r>
      <w:r w:rsidR="000C4B5E">
        <w:t xml:space="preserve">their </w:t>
      </w:r>
      <w:r w:rsidR="00685C8B">
        <w:t xml:space="preserve">offers were evaluated and thus </w:t>
      </w:r>
      <w:r w:rsidR="00F02595">
        <w:t xml:space="preserve">will not </w:t>
      </w:r>
      <w:r w:rsidR="00685C8B">
        <w:t>receiv</w:t>
      </w:r>
      <w:r w:rsidR="00F02595">
        <w:t>e</w:t>
      </w:r>
      <w:r w:rsidR="00685C8B">
        <w:t xml:space="preserve"> payments for </w:t>
      </w:r>
      <w:r w:rsidR="00F02595">
        <w:t xml:space="preserve">the </w:t>
      </w:r>
      <w:r w:rsidR="00685C8B">
        <w:t xml:space="preserve">RA benefits that </w:t>
      </w:r>
      <w:r w:rsidR="000C4B5E">
        <w:t>will actually be</w:t>
      </w:r>
      <w:r w:rsidR="00685C8B">
        <w:t xml:space="preserve"> provided to SCE</w:t>
      </w:r>
      <w:r w:rsidR="00E04D80">
        <w:t xml:space="preserve"> </w:t>
      </w:r>
      <w:r w:rsidR="00F02595">
        <w:t>and/</w:t>
      </w:r>
      <w:r w:rsidR="00E04D80">
        <w:t xml:space="preserve">or </w:t>
      </w:r>
      <w:r w:rsidR="00F02595">
        <w:t>the previous terms result in the sellers being</w:t>
      </w:r>
      <w:r w:rsidR="00E04D80">
        <w:t xml:space="preserve"> </w:t>
      </w:r>
      <w:r w:rsidR="00F02595">
        <w:t xml:space="preserve">unintentionally </w:t>
      </w:r>
      <w:r w:rsidR="00E04D80">
        <w:t>double-penalized</w:t>
      </w:r>
      <w:r w:rsidR="00F02595">
        <w:t>, it is reasonable that the RAM III and RAM IV contracts</w:t>
      </w:r>
      <w:r w:rsidR="00685C8B">
        <w:t xml:space="preserve"> are amended</w:t>
      </w:r>
      <w:r w:rsidR="000C4B5E">
        <w:t xml:space="preserve"> in a limited fashion</w:t>
      </w:r>
      <w:r w:rsidR="00685C8B">
        <w:t xml:space="preserve">. </w:t>
      </w:r>
      <w:r w:rsidR="00F02595">
        <w:t>Accordingly, the draft resolution will not be modified.</w:t>
      </w:r>
      <w:r w:rsidR="00685C8B">
        <w:t xml:space="preserve"> </w:t>
      </w:r>
      <w:r w:rsidR="00D774DC">
        <w:t xml:space="preserve">  </w:t>
      </w:r>
    </w:p>
    <w:p w:rsidR="00D774DC" w:rsidRPr="0039603C" w:rsidRDefault="00685C8B" w:rsidP="0039603C">
      <w:pPr>
        <w:spacing w:after="120"/>
        <w:rPr>
          <w:b/>
        </w:rPr>
      </w:pPr>
      <w:r w:rsidRPr="0039603C">
        <w:rPr>
          <w:b/>
        </w:rPr>
        <w:t>NextEra comments that SCE and PG&amp;E should modify their development security provisions</w:t>
      </w:r>
    </w:p>
    <w:p w:rsidR="009469A0" w:rsidRDefault="00685C8B" w:rsidP="00622008">
      <w:r>
        <w:t>In its comments</w:t>
      </w:r>
      <w:r w:rsidR="00A425CD">
        <w:t>,</w:t>
      </w:r>
      <w:r>
        <w:t xml:space="preserve"> NextEra argues that to remedy wasted resources and </w:t>
      </w:r>
      <w:r w:rsidR="00F02595">
        <w:t xml:space="preserve">to </w:t>
      </w:r>
      <w:r w:rsidR="00A425CD">
        <w:t>e</w:t>
      </w:r>
      <w:r>
        <w:t xml:space="preserve">nsure </w:t>
      </w:r>
      <w:r w:rsidR="00A425CD">
        <w:t xml:space="preserve">RAM </w:t>
      </w:r>
      <w:r>
        <w:t>auction efficiency and project success SCE and PG&amp;E should modify their development security provisions</w:t>
      </w:r>
      <w:r w:rsidR="00891842">
        <w:t xml:space="preserve"> such that one half of the project development security should be required within five days of PPA execution</w:t>
      </w:r>
      <w:r>
        <w:t>.  NextEra asserts that there have been several instances from RAM III and RAM IV where contracts were terminated due to failure to provide development security.  Additionally, NextEra notes, that while not able to verify, there are likely several other terminations that were also a result of sellers failing to post development security.</w:t>
      </w:r>
      <w:r w:rsidR="00E04D80">
        <w:t>While, NextEra has provided several examples of termination due to failure to post development security, it is n</w:t>
      </w:r>
      <w:r w:rsidR="009469A0">
        <w:t xml:space="preserve">ot clear </w:t>
      </w:r>
      <w:r w:rsidR="00E04D80">
        <w:t xml:space="preserve">that there is a </w:t>
      </w:r>
      <w:r w:rsidR="009469A0">
        <w:t xml:space="preserve">systemic problem or that </w:t>
      </w:r>
      <w:r w:rsidR="00E04D80">
        <w:t xml:space="preserve">changing when </w:t>
      </w:r>
      <w:r w:rsidR="00F02595">
        <w:t xml:space="preserve">project </w:t>
      </w:r>
      <w:r w:rsidR="00E04D80">
        <w:t>development security is due</w:t>
      </w:r>
      <w:r w:rsidR="009469A0">
        <w:t xml:space="preserve"> </w:t>
      </w:r>
      <w:r w:rsidR="000C4B5E">
        <w:t>would have avoided those terminations or prevent them from occurring in the future</w:t>
      </w:r>
      <w:r w:rsidR="009469A0">
        <w:t>.</w:t>
      </w:r>
      <w:r w:rsidR="00AC23EA">
        <w:t xml:space="preserve">  Accordingly, the draft resolution will not be modified.</w:t>
      </w:r>
      <w:r w:rsidR="009469A0">
        <w:t xml:space="preserve">  </w:t>
      </w:r>
    </w:p>
    <w:p w:rsidR="00622008" w:rsidRDefault="00622008" w:rsidP="00622008"/>
    <w:p w:rsidR="00C45DD6" w:rsidRPr="00C45DD6" w:rsidRDefault="00622008" w:rsidP="00622008">
      <w:pPr>
        <w:keepNext/>
        <w:spacing w:after="120"/>
        <w:outlineLvl w:val="0"/>
        <w:rPr>
          <w:rFonts w:ascii="Palatino Linotype" w:eastAsia="Calibri" w:hAnsi="Palatino Linotype"/>
          <w:b/>
          <w:caps/>
          <w:kern w:val="28"/>
          <w:szCs w:val="26"/>
          <w:u w:val="single"/>
        </w:rPr>
      </w:pPr>
      <w:r w:rsidRPr="00C45DD6">
        <w:rPr>
          <w:rFonts w:ascii="Helvetica" w:eastAsia="Calibri" w:hAnsi="Helvetica"/>
          <w:b/>
          <w:caps/>
          <w:kern w:val="28"/>
          <w:szCs w:val="26"/>
          <w:u w:val="single"/>
        </w:rPr>
        <w:t xml:space="preserve"> </w:t>
      </w:r>
      <w:r w:rsidR="00C45DD6" w:rsidRPr="00C45DD6">
        <w:rPr>
          <w:rFonts w:ascii="Helvetica" w:eastAsia="Calibri" w:hAnsi="Helvetica"/>
          <w:b/>
          <w:caps/>
          <w:kern w:val="28"/>
          <w:szCs w:val="26"/>
          <w:u w:val="single"/>
        </w:rPr>
        <w:t>Findings</w:t>
      </w:r>
      <w:r w:rsidR="00B07959">
        <w:rPr>
          <w:rFonts w:ascii="Helvetica" w:eastAsia="Calibri" w:hAnsi="Helvetica"/>
          <w:b/>
          <w:caps/>
          <w:kern w:val="28"/>
          <w:szCs w:val="26"/>
          <w:u w:val="single"/>
        </w:rPr>
        <w:t xml:space="preserve"> and conclusions</w:t>
      </w:r>
      <w:r w:rsidR="00C45DD6" w:rsidRPr="00C45DD6">
        <w:rPr>
          <w:rFonts w:ascii="Helvetica" w:eastAsia="Calibri" w:hAnsi="Helvetica"/>
          <w:b/>
          <w:caps/>
          <w:kern w:val="28"/>
          <w:szCs w:val="26"/>
          <w:u w:val="single"/>
        </w:rPr>
        <w:t xml:space="preserve"> </w:t>
      </w:r>
    </w:p>
    <w:p w:rsidR="00792467" w:rsidRPr="007268EC" w:rsidRDefault="007941C9" w:rsidP="00F76203">
      <w:pPr>
        <w:numPr>
          <w:ilvl w:val="0"/>
          <w:numId w:val="4"/>
        </w:numPr>
        <w:spacing w:after="120" w:line="276" w:lineRule="auto"/>
        <w:rPr>
          <w:rFonts w:ascii="Palatino Linotype" w:eastAsia="Calibri" w:hAnsi="Palatino Linotype"/>
          <w:szCs w:val="26"/>
        </w:rPr>
      </w:pPr>
      <w:r w:rsidRPr="007268EC">
        <w:rPr>
          <w:rFonts w:ascii="Palatino Linotype" w:eastAsia="Calibri" w:hAnsi="Palatino Linotype"/>
          <w:szCs w:val="26"/>
        </w:rPr>
        <w:t>PG&amp;E has not provided sufficient evidence to justify extending the time period for extensions due to regulatory delay</w:t>
      </w:r>
      <w:r w:rsidR="00740CD3" w:rsidRPr="007268EC">
        <w:rPr>
          <w:rFonts w:ascii="Palatino Linotype" w:eastAsia="Calibri" w:hAnsi="Palatino Linotype"/>
          <w:szCs w:val="26"/>
        </w:rPr>
        <w:t>.</w:t>
      </w:r>
    </w:p>
    <w:p w:rsidR="007268EC" w:rsidRDefault="007268EC" w:rsidP="007268EC">
      <w:pPr>
        <w:numPr>
          <w:ilvl w:val="0"/>
          <w:numId w:val="4"/>
        </w:numPr>
        <w:spacing w:after="120" w:line="276" w:lineRule="auto"/>
        <w:rPr>
          <w:rFonts w:ascii="Palatino Linotype" w:eastAsia="Calibri" w:hAnsi="Palatino Linotype"/>
          <w:szCs w:val="26"/>
        </w:rPr>
      </w:pPr>
      <w:r w:rsidRPr="007268EC">
        <w:rPr>
          <w:rFonts w:ascii="Palatino Linotype" w:eastAsia="Calibri" w:hAnsi="Palatino Linotype"/>
          <w:szCs w:val="26"/>
        </w:rPr>
        <w:t xml:space="preserve">PG&amp;E has not provided sufficient evidence to justify </w:t>
      </w:r>
      <w:r>
        <w:rPr>
          <w:rFonts w:ascii="Palatino Linotype" w:eastAsia="Calibri" w:hAnsi="Palatino Linotype"/>
          <w:szCs w:val="26"/>
        </w:rPr>
        <w:t>modifying the RAM program interconnection requirement</w:t>
      </w:r>
      <w:r w:rsidRPr="007268EC">
        <w:rPr>
          <w:rFonts w:ascii="Palatino Linotype" w:eastAsia="Calibri" w:hAnsi="Palatino Linotype"/>
          <w:szCs w:val="26"/>
        </w:rPr>
        <w:t>.</w:t>
      </w:r>
    </w:p>
    <w:p w:rsidR="007268EC" w:rsidRPr="007268EC" w:rsidRDefault="007268EC" w:rsidP="007268EC">
      <w:pPr>
        <w:numPr>
          <w:ilvl w:val="0"/>
          <w:numId w:val="4"/>
        </w:numPr>
        <w:spacing w:after="120" w:line="276" w:lineRule="auto"/>
        <w:rPr>
          <w:rFonts w:ascii="Palatino Linotype" w:eastAsia="Calibri" w:hAnsi="Palatino Linotype"/>
          <w:szCs w:val="26"/>
        </w:rPr>
      </w:pPr>
      <w:r>
        <w:rPr>
          <w:rFonts w:ascii="Palatino Linotype" w:eastAsia="Calibri" w:hAnsi="Palatino Linotype"/>
          <w:szCs w:val="26"/>
        </w:rPr>
        <w:t>The Commission accepts the protest of the Clean Coalition</w:t>
      </w:r>
      <w:r w:rsidR="00E14C48">
        <w:rPr>
          <w:rFonts w:ascii="Palatino Linotype" w:eastAsia="Calibri" w:hAnsi="Palatino Linotype"/>
          <w:szCs w:val="26"/>
        </w:rPr>
        <w:t xml:space="preserve"> regarding </w:t>
      </w:r>
      <w:r w:rsidR="0058489B">
        <w:rPr>
          <w:rFonts w:ascii="Palatino Linotype" w:eastAsia="Calibri" w:hAnsi="Palatino Linotype"/>
          <w:szCs w:val="26"/>
        </w:rPr>
        <w:t xml:space="preserve">the </w:t>
      </w:r>
      <w:r w:rsidR="00E14C48">
        <w:rPr>
          <w:rFonts w:ascii="Palatino Linotype" w:eastAsia="Calibri" w:hAnsi="Palatino Linotype"/>
          <w:szCs w:val="26"/>
        </w:rPr>
        <w:t>RAM program interconnection requirement</w:t>
      </w:r>
      <w:r>
        <w:rPr>
          <w:rFonts w:ascii="Palatino Linotype" w:eastAsia="Calibri" w:hAnsi="Palatino Linotype"/>
          <w:szCs w:val="26"/>
        </w:rPr>
        <w:t>.</w:t>
      </w:r>
    </w:p>
    <w:p w:rsidR="00C45DD6" w:rsidRDefault="00E14C48" w:rsidP="00C45DD6">
      <w:pPr>
        <w:numPr>
          <w:ilvl w:val="0"/>
          <w:numId w:val="4"/>
        </w:numPr>
        <w:spacing w:after="120" w:line="276" w:lineRule="auto"/>
        <w:rPr>
          <w:rFonts w:ascii="Palatino Linotype" w:eastAsia="Calibri" w:hAnsi="Palatino Linotype"/>
          <w:szCs w:val="26"/>
        </w:rPr>
      </w:pPr>
      <w:r w:rsidRPr="00E14C48">
        <w:rPr>
          <w:rFonts w:ascii="Palatino Linotype" w:eastAsia="Calibri" w:hAnsi="Palatino Linotype"/>
          <w:szCs w:val="26"/>
        </w:rPr>
        <w:t>The Commission denies the protest of NextEra Energy Resources to SDG&amp;E advice letter 2850-E</w:t>
      </w:r>
      <w:r>
        <w:rPr>
          <w:rFonts w:ascii="Palatino Linotype" w:eastAsia="Calibri" w:hAnsi="Palatino Linotype"/>
          <w:szCs w:val="26"/>
        </w:rPr>
        <w:t xml:space="preserve"> regarding</w:t>
      </w:r>
      <w:r w:rsidR="0058489B">
        <w:rPr>
          <w:rFonts w:ascii="Palatino Linotype" w:eastAsia="Calibri" w:hAnsi="Palatino Linotype"/>
          <w:szCs w:val="26"/>
        </w:rPr>
        <w:t xml:space="preserve"> the</w:t>
      </w:r>
      <w:r>
        <w:rPr>
          <w:rFonts w:ascii="Palatino Linotype" w:eastAsia="Calibri" w:hAnsi="Palatino Linotype"/>
          <w:szCs w:val="26"/>
        </w:rPr>
        <w:t xml:space="preserve"> interconnection </w:t>
      </w:r>
      <w:r w:rsidR="005C6287">
        <w:rPr>
          <w:rFonts w:ascii="Palatino Linotype" w:eastAsia="Calibri" w:hAnsi="Palatino Linotype"/>
          <w:szCs w:val="26"/>
        </w:rPr>
        <w:t xml:space="preserve">application </w:t>
      </w:r>
      <w:r>
        <w:rPr>
          <w:rFonts w:ascii="Palatino Linotype" w:eastAsia="Calibri" w:hAnsi="Palatino Linotype"/>
          <w:szCs w:val="26"/>
        </w:rPr>
        <w:t>requirement</w:t>
      </w:r>
      <w:r w:rsidR="00C45DD6" w:rsidRPr="00E14C48">
        <w:rPr>
          <w:rFonts w:ascii="Palatino Linotype" w:eastAsia="Calibri" w:hAnsi="Palatino Linotype"/>
          <w:szCs w:val="26"/>
        </w:rPr>
        <w:t>.</w:t>
      </w:r>
    </w:p>
    <w:p w:rsidR="00E14C48" w:rsidRDefault="00E14C48" w:rsidP="00026DAB">
      <w:pPr>
        <w:numPr>
          <w:ilvl w:val="0"/>
          <w:numId w:val="4"/>
        </w:numPr>
        <w:spacing w:after="120" w:line="276" w:lineRule="auto"/>
        <w:ind w:left="418" w:hanging="418"/>
        <w:rPr>
          <w:rFonts w:ascii="Palatino Linotype" w:eastAsia="Calibri" w:hAnsi="Palatino Linotype"/>
          <w:szCs w:val="26"/>
        </w:rPr>
      </w:pPr>
      <w:r>
        <w:rPr>
          <w:rFonts w:ascii="Palatino Linotype" w:eastAsia="Calibri" w:hAnsi="Palatino Linotype"/>
          <w:szCs w:val="26"/>
        </w:rPr>
        <w:t>The Commission denies PG&amp;E’s request to modify the RAM V Auction Completion Date.</w:t>
      </w:r>
    </w:p>
    <w:p w:rsidR="00E14C48" w:rsidRDefault="0058489B" w:rsidP="00026DAB">
      <w:pPr>
        <w:numPr>
          <w:ilvl w:val="0"/>
          <w:numId w:val="4"/>
        </w:numPr>
        <w:spacing w:after="120" w:line="276" w:lineRule="auto"/>
        <w:ind w:left="418" w:hanging="418"/>
        <w:rPr>
          <w:rFonts w:ascii="Palatino Linotype" w:eastAsia="Calibri" w:hAnsi="Palatino Linotype"/>
          <w:szCs w:val="26"/>
        </w:rPr>
      </w:pPr>
      <w:r>
        <w:rPr>
          <w:rFonts w:ascii="Palatino Linotype" w:eastAsia="Calibri" w:hAnsi="Palatino Linotype"/>
          <w:szCs w:val="26"/>
        </w:rPr>
        <w:t>Section 3.11</w:t>
      </w:r>
      <w:r w:rsidR="00E14C48">
        <w:rPr>
          <w:rFonts w:ascii="Palatino Linotype" w:eastAsia="Calibri" w:hAnsi="Palatino Linotype"/>
          <w:szCs w:val="26"/>
        </w:rPr>
        <w:t>(e) of SCE’s RAM V pro forma power purchase agreement and Section 3.5(a) of SDG&amp;E</w:t>
      </w:r>
      <w:r w:rsidR="00A110AB">
        <w:rPr>
          <w:rFonts w:ascii="Palatino Linotype" w:eastAsia="Calibri" w:hAnsi="Palatino Linotype"/>
          <w:szCs w:val="26"/>
        </w:rPr>
        <w:t>’s</w:t>
      </w:r>
      <w:r w:rsidR="00E14C48">
        <w:rPr>
          <w:rFonts w:ascii="Palatino Linotype" w:eastAsia="Calibri" w:hAnsi="Palatino Linotype"/>
          <w:szCs w:val="26"/>
        </w:rPr>
        <w:t xml:space="preserve"> RAM V pro forma power purchase agreement are reasonable.</w:t>
      </w:r>
    </w:p>
    <w:p w:rsidR="00E14C48" w:rsidRDefault="00E14C48" w:rsidP="00C45DD6">
      <w:pPr>
        <w:numPr>
          <w:ilvl w:val="0"/>
          <w:numId w:val="4"/>
        </w:numPr>
        <w:spacing w:after="120" w:line="276" w:lineRule="auto"/>
        <w:rPr>
          <w:rFonts w:ascii="Palatino Linotype" w:eastAsia="Calibri" w:hAnsi="Palatino Linotype"/>
          <w:szCs w:val="26"/>
        </w:rPr>
      </w:pPr>
      <w:r>
        <w:rPr>
          <w:rFonts w:ascii="Palatino Linotype" w:eastAsia="Calibri" w:hAnsi="Palatino Linotype"/>
          <w:szCs w:val="26"/>
        </w:rPr>
        <w:t xml:space="preserve">Sections 2.02(b)(f) and 2.03(a)(ii), and revised Section 3.17(a) </w:t>
      </w:r>
      <w:r w:rsidR="00A110AB">
        <w:rPr>
          <w:rFonts w:ascii="Palatino Linotype" w:eastAsia="Calibri" w:hAnsi="Palatino Linotype"/>
          <w:szCs w:val="26"/>
        </w:rPr>
        <w:t xml:space="preserve">of SCE’s RAM V pro forma power purchase agreement </w:t>
      </w:r>
      <w:r>
        <w:rPr>
          <w:rFonts w:ascii="Palatino Linotype" w:eastAsia="Calibri" w:hAnsi="Palatino Linotype"/>
          <w:szCs w:val="26"/>
        </w:rPr>
        <w:t>are reasonable and</w:t>
      </w:r>
      <w:r w:rsidR="0058489B">
        <w:rPr>
          <w:rFonts w:ascii="Palatino Linotype" w:eastAsia="Calibri" w:hAnsi="Palatino Linotype"/>
          <w:szCs w:val="26"/>
        </w:rPr>
        <w:t xml:space="preserve"> the other IOUs should be authorized</w:t>
      </w:r>
      <w:r>
        <w:rPr>
          <w:rFonts w:ascii="Palatino Linotype" w:eastAsia="Calibri" w:hAnsi="Palatino Linotype"/>
          <w:szCs w:val="26"/>
        </w:rPr>
        <w:t xml:space="preserve"> to adopt the same provisions.</w:t>
      </w:r>
    </w:p>
    <w:p w:rsidR="00E14C48" w:rsidRDefault="00E14C48" w:rsidP="00C45DD6">
      <w:pPr>
        <w:numPr>
          <w:ilvl w:val="0"/>
          <w:numId w:val="4"/>
        </w:numPr>
        <w:spacing w:after="120" w:line="276" w:lineRule="auto"/>
        <w:rPr>
          <w:rFonts w:ascii="Palatino Linotype" w:eastAsia="Calibri" w:hAnsi="Palatino Linotype"/>
          <w:szCs w:val="26"/>
        </w:rPr>
      </w:pPr>
      <w:r>
        <w:rPr>
          <w:rFonts w:ascii="Palatino Linotype" w:eastAsia="Calibri" w:hAnsi="Palatino Linotype"/>
          <w:szCs w:val="26"/>
        </w:rPr>
        <w:t>The Commission accepts NextEra</w:t>
      </w:r>
      <w:r w:rsidR="008442CF">
        <w:rPr>
          <w:rFonts w:ascii="Palatino Linotype" w:eastAsia="Calibri" w:hAnsi="Palatino Linotype"/>
          <w:szCs w:val="26"/>
        </w:rPr>
        <w:t xml:space="preserve"> Energy Resources</w:t>
      </w:r>
      <w:r>
        <w:rPr>
          <w:rFonts w:ascii="Palatino Linotype" w:eastAsia="Calibri" w:hAnsi="Palatino Linotype"/>
          <w:szCs w:val="26"/>
        </w:rPr>
        <w:t>’ protest to SCE</w:t>
      </w:r>
      <w:r w:rsidR="00A97265">
        <w:rPr>
          <w:rFonts w:ascii="Palatino Linotype" w:eastAsia="Calibri" w:hAnsi="Palatino Linotype"/>
          <w:szCs w:val="26"/>
        </w:rPr>
        <w:t xml:space="preserve"> advice letter 3003-E regarding network upgrade cost cap and seller’s “buy down right.”</w:t>
      </w:r>
    </w:p>
    <w:p w:rsidR="00A97265" w:rsidRDefault="00A97265" w:rsidP="00C45DD6">
      <w:pPr>
        <w:numPr>
          <w:ilvl w:val="0"/>
          <w:numId w:val="4"/>
        </w:numPr>
        <w:spacing w:after="120" w:line="276" w:lineRule="auto"/>
        <w:rPr>
          <w:rFonts w:ascii="Palatino Linotype" w:eastAsia="Calibri" w:hAnsi="Palatino Linotype"/>
          <w:szCs w:val="26"/>
        </w:rPr>
      </w:pPr>
      <w:r>
        <w:rPr>
          <w:rFonts w:ascii="Palatino Linotype" w:eastAsia="Calibri" w:hAnsi="Palatino Linotype"/>
          <w:szCs w:val="26"/>
        </w:rPr>
        <w:t xml:space="preserve">SDG&amp;E’s proposed modification to add a condition precedent related to interconnection agreement date and interconnection costs is reasonable </w:t>
      </w:r>
      <w:r w:rsidR="0058489B">
        <w:rPr>
          <w:rFonts w:ascii="Palatino Linotype" w:eastAsia="Calibri" w:hAnsi="Palatino Linotype"/>
          <w:szCs w:val="26"/>
        </w:rPr>
        <w:t>and the other IOUs should be authorized to adopt the same provision</w:t>
      </w:r>
      <w:r>
        <w:rPr>
          <w:rFonts w:ascii="Palatino Linotype" w:eastAsia="Calibri" w:hAnsi="Palatino Linotype"/>
          <w:szCs w:val="26"/>
        </w:rPr>
        <w:t>.</w:t>
      </w:r>
    </w:p>
    <w:p w:rsidR="00A97265" w:rsidRDefault="008442CF" w:rsidP="00C45DD6">
      <w:pPr>
        <w:numPr>
          <w:ilvl w:val="0"/>
          <w:numId w:val="4"/>
        </w:numPr>
        <w:spacing w:after="120" w:line="276" w:lineRule="auto"/>
        <w:rPr>
          <w:rFonts w:ascii="Palatino Linotype" w:eastAsia="Calibri" w:hAnsi="Palatino Linotype"/>
          <w:szCs w:val="26"/>
        </w:rPr>
      </w:pPr>
      <w:r>
        <w:rPr>
          <w:rFonts w:ascii="Palatino Linotype" w:eastAsia="Calibri" w:hAnsi="Palatino Linotype"/>
          <w:szCs w:val="26"/>
        </w:rPr>
        <w:t>I</w:t>
      </w:r>
      <w:r w:rsidR="00A97265">
        <w:rPr>
          <w:rFonts w:ascii="Palatino Linotype" w:eastAsia="Calibri" w:hAnsi="Palatino Linotype"/>
          <w:szCs w:val="26"/>
        </w:rPr>
        <w:t>t is reasonable for the utilities to modify their RAM V pro forma power purchase agreement economic curtailment provisions to be consistent with their 2013 RP</w:t>
      </w:r>
      <w:r w:rsidR="00186BE4">
        <w:rPr>
          <w:rFonts w:ascii="Palatino Linotype" w:eastAsia="Calibri" w:hAnsi="Palatino Linotype"/>
          <w:szCs w:val="26"/>
        </w:rPr>
        <w:t>S</w:t>
      </w:r>
      <w:r w:rsidR="00A97265">
        <w:rPr>
          <w:rFonts w:ascii="Palatino Linotype" w:eastAsia="Calibri" w:hAnsi="Palatino Linotype"/>
          <w:szCs w:val="26"/>
        </w:rPr>
        <w:t xml:space="preserve"> pro forma PPAs, as approved in D.13.11-024.</w:t>
      </w:r>
    </w:p>
    <w:p w:rsidR="00B07959" w:rsidRPr="00B07959" w:rsidRDefault="00B07959" w:rsidP="00B07959">
      <w:pPr>
        <w:numPr>
          <w:ilvl w:val="0"/>
          <w:numId w:val="4"/>
        </w:numPr>
        <w:spacing w:after="120" w:line="276" w:lineRule="auto"/>
        <w:rPr>
          <w:rFonts w:ascii="Palatino Linotype" w:eastAsia="Calibri" w:hAnsi="Palatino Linotype"/>
          <w:szCs w:val="26"/>
        </w:rPr>
      </w:pPr>
      <w:r w:rsidRPr="00B07959">
        <w:rPr>
          <w:rFonts w:ascii="Palatino Linotype" w:eastAsia="Calibri" w:hAnsi="Palatino Linotype"/>
          <w:szCs w:val="26"/>
        </w:rPr>
        <w:t>SCE’s request to modify its curtailment provisions with simplified economic curtailment provisions is reasonable.</w:t>
      </w:r>
    </w:p>
    <w:p w:rsidR="00B07959" w:rsidRPr="00B07959" w:rsidRDefault="00B07959" w:rsidP="00026DAB">
      <w:pPr>
        <w:numPr>
          <w:ilvl w:val="0"/>
          <w:numId w:val="4"/>
        </w:numPr>
        <w:spacing w:after="120" w:line="276" w:lineRule="auto"/>
        <w:ind w:left="418" w:hanging="418"/>
        <w:rPr>
          <w:rFonts w:ascii="Palatino Linotype" w:eastAsia="Calibri" w:hAnsi="Palatino Linotype"/>
          <w:szCs w:val="26"/>
        </w:rPr>
      </w:pPr>
      <w:r w:rsidRPr="00B07959">
        <w:rPr>
          <w:rFonts w:ascii="Palatino Linotype" w:eastAsia="Calibri" w:hAnsi="Palatino Linotype"/>
          <w:szCs w:val="26"/>
        </w:rPr>
        <w:t>PG&amp;E’s request to eliminate its 100 hour per year cap on economic curtailment is not reasonable.</w:t>
      </w:r>
    </w:p>
    <w:p w:rsidR="00A97265" w:rsidRDefault="00A97265" w:rsidP="00026DAB">
      <w:pPr>
        <w:numPr>
          <w:ilvl w:val="0"/>
          <w:numId w:val="4"/>
        </w:numPr>
        <w:spacing w:after="120" w:line="276" w:lineRule="auto"/>
        <w:ind w:left="418" w:hanging="418"/>
        <w:rPr>
          <w:rFonts w:ascii="Palatino Linotype" w:eastAsia="Calibri" w:hAnsi="Palatino Linotype"/>
          <w:szCs w:val="26"/>
        </w:rPr>
      </w:pPr>
      <w:r>
        <w:rPr>
          <w:rFonts w:ascii="Palatino Linotype" w:eastAsia="Calibri" w:hAnsi="Palatino Linotype"/>
          <w:szCs w:val="26"/>
        </w:rPr>
        <w:t>New Dimension Energy Company’s protest to SCE’s economic curtailment provisions is denied.</w:t>
      </w:r>
    </w:p>
    <w:p w:rsidR="00A97265" w:rsidRDefault="00A97265" w:rsidP="00C45DD6">
      <w:pPr>
        <w:numPr>
          <w:ilvl w:val="0"/>
          <w:numId w:val="4"/>
        </w:numPr>
        <w:spacing w:after="120" w:line="276" w:lineRule="auto"/>
        <w:rPr>
          <w:rFonts w:ascii="Palatino Linotype" w:eastAsia="Calibri" w:hAnsi="Palatino Linotype"/>
          <w:szCs w:val="26"/>
        </w:rPr>
      </w:pPr>
      <w:r>
        <w:rPr>
          <w:rFonts w:ascii="Palatino Linotype" w:eastAsia="Calibri" w:hAnsi="Palatino Linotype"/>
          <w:szCs w:val="26"/>
        </w:rPr>
        <w:t>NextEra Energy Resource’s protest to PG&amp;E’s economic curtailment provisions is denied.</w:t>
      </w:r>
    </w:p>
    <w:p w:rsidR="00A97265" w:rsidRDefault="00A97265" w:rsidP="00C45DD6">
      <w:pPr>
        <w:numPr>
          <w:ilvl w:val="0"/>
          <w:numId w:val="4"/>
        </w:numPr>
        <w:spacing w:after="120" w:line="276" w:lineRule="auto"/>
        <w:rPr>
          <w:rFonts w:ascii="Palatino Linotype" w:eastAsia="Calibri" w:hAnsi="Palatino Linotype"/>
          <w:szCs w:val="26"/>
        </w:rPr>
      </w:pPr>
      <w:r>
        <w:rPr>
          <w:rFonts w:ascii="Palatino Linotype" w:eastAsia="Calibri" w:hAnsi="Palatino Linotype"/>
          <w:szCs w:val="26"/>
        </w:rPr>
        <w:t>SCE’s revised RAM V pro forma power purchase agreement provisions related to full capacity deliverability status and guaranteed resource adequacy quantity are reasonable.</w:t>
      </w:r>
    </w:p>
    <w:p w:rsidR="00A97265" w:rsidRDefault="00A97265" w:rsidP="00C45DD6">
      <w:pPr>
        <w:numPr>
          <w:ilvl w:val="0"/>
          <w:numId w:val="4"/>
        </w:numPr>
        <w:spacing w:after="120" w:line="276" w:lineRule="auto"/>
        <w:rPr>
          <w:rFonts w:ascii="Palatino Linotype" w:eastAsia="Calibri" w:hAnsi="Palatino Linotype"/>
          <w:szCs w:val="26"/>
        </w:rPr>
      </w:pPr>
      <w:r>
        <w:rPr>
          <w:rFonts w:ascii="Palatino Linotype" w:eastAsia="Calibri" w:hAnsi="Palatino Linotype"/>
          <w:szCs w:val="26"/>
        </w:rPr>
        <w:t xml:space="preserve">Within 30 days of the effective date of this resolution, SCE may file a Tier 2 advice letter requesting approval of amendments made to its executed </w:t>
      </w:r>
      <w:r w:rsidR="00186BE4">
        <w:rPr>
          <w:rFonts w:ascii="Palatino Linotype" w:eastAsia="Calibri" w:hAnsi="Palatino Linotype"/>
          <w:szCs w:val="26"/>
        </w:rPr>
        <w:t>RAM</w:t>
      </w:r>
      <w:r>
        <w:rPr>
          <w:rFonts w:ascii="Palatino Linotype" w:eastAsia="Calibri" w:hAnsi="Palatino Linotype"/>
          <w:szCs w:val="26"/>
        </w:rPr>
        <w:t xml:space="preserve"> auction III and </w:t>
      </w:r>
      <w:r w:rsidR="00186BE4">
        <w:rPr>
          <w:rFonts w:ascii="Palatino Linotype" w:eastAsia="Calibri" w:hAnsi="Palatino Linotype"/>
          <w:szCs w:val="26"/>
        </w:rPr>
        <w:t>RAM</w:t>
      </w:r>
      <w:r>
        <w:rPr>
          <w:rFonts w:ascii="Palatino Linotype" w:eastAsia="Calibri" w:hAnsi="Palatino Linotype"/>
          <w:szCs w:val="26"/>
        </w:rPr>
        <w:t xml:space="preserve"> auction IV pow</w:t>
      </w:r>
      <w:r w:rsidR="00186BE4">
        <w:rPr>
          <w:rFonts w:ascii="Palatino Linotype" w:eastAsia="Calibri" w:hAnsi="Palatino Linotype"/>
          <w:szCs w:val="26"/>
        </w:rPr>
        <w:t xml:space="preserve">er purchase agreements to conform those executed </w:t>
      </w:r>
      <w:r>
        <w:rPr>
          <w:rFonts w:ascii="Palatino Linotype" w:eastAsia="Calibri" w:hAnsi="Palatino Linotype"/>
          <w:szCs w:val="26"/>
        </w:rPr>
        <w:t>power purchase</w:t>
      </w:r>
      <w:r w:rsidR="00186BE4">
        <w:rPr>
          <w:rFonts w:ascii="Palatino Linotype" w:eastAsia="Calibri" w:hAnsi="Palatino Linotype"/>
          <w:szCs w:val="26"/>
        </w:rPr>
        <w:t xml:space="preserve"> agreements to the full capacity deliverability status and guaranteed resource adequacy provisions approved in this Resolution.</w:t>
      </w:r>
    </w:p>
    <w:p w:rsidR="00186BE4" w:rsidRDefault="00186BE4" w:rsidP="00C45DD6">
      <w:pPr>
        <w:numPr>
          <w:ilvl w:val="0"/>
          <w:numId w:val="4"/>
        </w:numPr>
        <w:spacing w:after="120" w:line="276" w:lineRule="auto"/>
        <w:rPr>
          <w:rFonts w:ascii="Palatino Linotype" w:eastAsia="Calibri" w:hAnsi="Palatino Linotype"/>
          <w:szCs w:val="26"/>
        </w:rPr>
      </w:pPr>
      <w:r>
        <w:rPr>
          <w:rFonts w:ascii="Palatino Linotype" w:eastAsia="Calibri" w:hAnsi="Palatino Linotype"/>
          <w:szCs w:val="26"/>
        </w:rPr>
        <w:t>The Commission finds PG&amp;E’s requested modification for modifying the date by which projects must achieve full capacity deliverability status is reasonable</w:t>
      </w:r>
      <w:r w:rsidR="00D806CB">
        <w:rPr>
          <w:rFonts w:ascii="Palatino Linotype" w:eastAsia="Calibri" w:hAnsi="Palatino Linotype"/>
          <w:szCs w:val="26"/>
        </w:rPr>
        <w:t xml:space="preserve"> and the other IOUs </w:t>
      </w:r>
      <w:r w:rsidR="005C6287">
        <w:rPr>
          <w:rFonts w:ascii="Palatino Linotype" w:eastAsia="Calibri" w:hAnsi="Palatino Linotype"/>
          <w:szCs w:val="26"/>
        </w:rPr>
        <w:t>should be</w:t>
      </w:r>
      <w:r w:rsidR="00D806CB">
        <w:rPr>
          <w:rFonts w:ascii="Palatino Linotype" w:eastAsia="Calibri" w:hAnsi="Palatino Linotype"/>
          <w:szCs w:val="26"/>
        </w:rPr>
        <w:t xml:space="preserve"> authorized to adopt the same provision</w:t>
      </w:r>
      <w:r>
        <w:rPr>
          <w:rFonts w:ascii="Palatino Linotype" w:eastAsia="Calibri" w:hAnsi="Palatino Linotype"/>
          <w:szCs w:val="26"/>
        </w:rPr>
        <w:t>.</w:t>
      </w:r>
    </w:p>
    <w:p w:rsidR="00186BE4" w:rsidRDefault="00186BE4" w:rsidP="00C45DD6">
      <w:pPr>
        <w:numPr>
          <w:ilvl w:val="0"/>
          <w:numId w:val="4"/>
        </w:numPr>
        <w:spacing w:after="120" w:line="276" w:lineRule="auto"/>
        <w:rPr>
          <w:rFonts w:ascii="Palatino Linotype" w:eastAsia="Calibri" w:hAnsi="Palatino Linotype"/>
          <w:szCs w:val="26"/>
        </w:rPr>
      </w:pPr>
      <w:r>
        <w:rPr>
          <w:rFonts w:ascii="Palatino Linotype" w:eastAsia="Calibri" w:hAnsi="Palatino Linotype"/>
          <w:szCs w:val="26"/>
        </w:rPr>
        <w:t>SCE’s integration of provisions into its RAM pro forma power purchase agreement related to shared interconnection facilities that were previously a separate consent agreement is reasonable.</w:t>
      </w:r>
    </w:p>
    <w:p w:rsidR="00186BE4" w:rsidRDefault="00186BE4" w:rsidP="00C45DD6">
      <w:pPr>
        <w:numPr>
          <w:ilvl w:val="0"/>
          <w:numId w:val="4"/>
        </w:numPr>
        <w:spacing w:after="120" w:line="276" w:lineRule="auto"/>
        <w:rPr>
          <w:rFonts w:ascii="Palatino Linotype" w:eastAsia="Calibri" w:hAnsi="Palatino Linotype"/>
          <w:szCs w:val="26"/>
        </w:rPr>
      </w:pPr>
      <w:r>
        <w:rPr>
          <w:rFonts w:ascii="Palatino Linotype" w:eastAsia="Calibri" w:hAnsi="Palatino Linotype"/>
          <w:szCs w:val="26"/>
        </w:rPr>
        <w:t>PG&amp;E’s proposed revisions regarding shared interconnections facilities are reasonable.</w:t>
      </w:r>
    </w:p>
    <w:p w:rsidR="00186BE4" w:rsidRDefault="00186BE4" w:rsidP="00C45DD6">
      <w:pPr>
        <w:numPr>
          <w:ilvl w:val="0"/>
          <w:numId w:val="4"/>
        </w:numPr>
        <w:spacing w:after="120" w:line="276" w:lineRule="auto"/>
        <w:rPr>
          <w:rFonts w:ascii="Palatino Linotype" w:eastAsia="Calibri" w:hAnsi="Palatino Linotype"/>
          <w:szCs w:val="26"/>
        </w:rPr>
      </w:pPr>
      <w:r>
        <w:rPr>
          <w:rFonts w:ascii="Palatino Linotype" w:eastAsia="Calibri" w:hAnsi="Palatino Linotype"/>
          <w:szCs w:val="26"/>
        </w:rPr>
        <w:t xml:space="preserve">NextEra </w:t>
      </w:r>
      <w:r w:rsidR="00F02595">
        <w:rPr>
          <w:rFonts w:ascii="Palatino Linotype" w:eastAsia="Calibri" w:hAnsi="Palatino Linotype"/>
          <w:szCs w:val="26"/>
        </w:rPr>
        <w:t xml:space="preserve">Energy Resources’ </w:t>
      </w:r>
      <w:r>
        <w:rPr>
          <w:rFonts w:ascii="Palatino Linotype" w:eastAsia="Calibri" w:hAnsi="Palatino Linotype"/>
          <w:szCs w:val="26"/>
        </w:rPr>
        <w:t>protest to PG&amp;E advice letter 4365-E regarding shared interconnection facilities is denied.</w:t>
      </w:r>
    </w:p>
    <w:p w:rsidR="00186BE4" w:rsidRDefault="00186BE4" w:rsidP="00C45DD6">
      <w:pPr>
        <w:numPr>
          <w:ilvl w:val="0"/>
          <w:numId w:val="4"/>
        </w:numPr>
        <w:spacing w:after="120" w:line="276" w:lineRule="auto"/>
        <w:rPr>
          <w:rFonts w:ascii="Palatino Linotype" w:eastAsia="Calibri" w:hAnsi="Palatino Linotype"/>
          <w:szCs w:val="26"/>
        </w:rPr>
      </w:pPr>
      <w:r>
        <w:rPr>
          <w:rFonts w:ascii="Palatino Linotype" w:eastAsia="Calibri" w:hAnsi="Palatino Linotype"/>
          <w:szCs w:val="26"/>
        </w:rPr>
        <w:t>The Commission finds SDG&amp;E’s proposed in-service and test energy date provisions are reasonable for its RAM V pro forma power purchase agreement and authorizes the other IOUs to adopt the requirement.</w:t>
      </w:r>
    </w:p>
    <w:p w:rsidR="00186BE4" w:rsidRDefault="00186BE4" w:rsidP="00C45DD6">
      <w:pPr>
        <w:numPr>
          <w:ilvl w:val="0"/>
          <w:numId w:val="4"/>
        </w:numPr>
        <w:spacing w:after="120" w:line="276" w:lineRule="auto"/>
        <w:rPr>
          <w:rFonts w:ascii="Palatino Linotype" w:eastAsia="Calibri" w:hAnsi="Palatino Linotype"/>
          <w:szCs w:val="26"/>
        </w:rPr>
      </w:pPr>
      <w:r>
        <w:rPr>
          <w:rFonts w:ascii="Palatino Linotype" w:eastAsia="Calibri" w:hAnsi="Palatino Linotype"/>
          <w:szCs w:val="26"/>
        </w:rPr>
        <w:t xml:space="preserve">The Commission denies NextEra </w:t>
      </w:r>
      <w:r w:rsidR="00F02595">
        <w:rPr>
          <w:rFonts w:ascii="Palatino Linotype" w:eastAsia="Calibri" w:hAnsi="Palatino Linotype"/>
          <w:szCs w:val="26"/>
        </w:rPr>
        <w:t xml:space="preserve">Energy Resources’ </w:t>
      </w:r>
      <w:r>
        <w:rPr>
          <w:rFonts w:ascii="Palatino Linotype" w:eastAsia="Calibri" w:hAnsi="Palatino Linotype"/>
          <w:szCs w:val="26"/>
        </w:rPr>
        <w:t>protests to SCE advice letter 3003-E and PG&amp;E advice letter 4365-E regarding development security.</w:t>
      </w:r>
    </w:p>
    <w:p w:rsidR="00186BE4" w:rsidRDefault="00186BE4" w:rsidP="00C45DD6">
      <w:pPr>
        <w:numPr>
          <w:ilvl w:val="0"/>
          <w:numId w:val="4"/>
        </w:numPr>
        <w:spacing w:after="120" w:line="276" w:lineRule="auto"/>
        <w:rPr>
          <w:rFonts w:ascii="Palatino Linotype" w:eastAsia="Calibri" w:hAnsi="Palatino Linotype"/>
          <w:szCs w:val="26"/>
        </w:rPr>
      </w:pPr>
      <w:r>
        <w:rPr>
          <w:rFonts w:ascii="Palatino Linotype" w:eastAsia="Calibri" w:hAnsi="Palatino Linotype"/>
          <w:szCs w:val="26"/>
        </w:rPr>
        <w:t>PG&amp;E’s requested modification to Section 1.58</w:t>
      </w:r>
      <w:r w:rsidR="00B07959">
        <w:rPr>
          <w:rFonts w:ascii="Palatino Linotype" w:eastAsia="Calibri" w:hAnsi="Palatino Linotype"/>
          <w:szCs w:val="26"/>
        </w:rPr>
        <w:t xml:space="preserve"> </w:t>
      </w:r>
      <w:r>
        <w:rPr>
          <w:rFonts w:ascii="Palatino Linotype" w:eastAsia="Calibri" w:hAnsi="Palatino Linotype"/>
          <w:szCs w:val="26"/>
        </w:rPr>
        <w:t xml:space="preserve">of its RAM V pro forma power purchase agreement </w:t>
      </w:r>
      <w:r w:rsidR="00B07959">
        <w:rPr>
          <w:rFonts w:ascii="Palatino Linotype" w:eastAsia="Calibri" w:hAnsi="Palatino Linotype"/>
          <w:szCs w:val="26"/>
        </w:rPr>
        <w:t xml:space="preserve">regarding damage payment </w:t>
      </w:r>
      <w:r>
        <w:rPr>
          <w:rFonts w:ascii="Palatino Linotype" w:eastAsia="Calibri" w:hAnsi="Palatino Linotype"/>
          <w:szCs w:val="26"/>
        </w:rPr>
        <w:t>is denied.</w:t>
      </w:r>
    </w:p>
    <w:p w:rsidR="00186BE4" w:rsidRDefault="00186BE4" w:rsidP="00C45DD6">
      <w:pPr>
        <w:numPr>
          <w:ilvl w:val="0"/>
          <w:numId w:val="4"/>
        </w:numPr>
        <w:spacing w:after="120" w:line="276" w:lineRule="auto"/>
        <w:rPr>
          <w:rFonts w:ascii="Palatino Linotype" w:eastAsia="Calibri" w:hAnsi="Palatino Linotype"/>
          <w:szCs w:val="26"/>
        </w:rPr>
      </w:pPr>
      <w:r>
        <w:rPr>
          <w:rFonts w:ascii="Palatino Linotype" w:eastAsia="Calibri" w:hAnsi="Palatino Linotype"/>
          <w:szCs w:val="26"/>
        </w:rPr>
        <w:t xml:space="preserve">NextEra </w:t>
      </w:r>
      <w:r w:rsidR="00F02595">
        <w:rPr>
          <w:rFonts w:ascii="Palatino Linotype" w:eastAsia="Calibri" w:hAnsi="Palatino Linotype"/>
          <w:szCs w:val="26"/>
        </w:rPr>
        <w:t xml:space="preserve">Energy Resources’ </w:t>
      </w:r>
      <w:r>
        <w:rPr>
          <w:rFonts w:ascii="Palatino Linotype" w:eastAsia="Calibri" w:hAnsi="Palatino Linotype"/>
          <w:szCs w:val="26"/>
        </w:rPr>
        <w:t>protest to PG&amp;E’s advice letter 4365-E regarding damage payment is accepted.</w:t>
      </w:r>
    </w:p>
    <w:p w:rsidR="00186BE4" w:rsidRDefault="00186BE4" w:rsidP="00C45DD6">
      <w:pPr>
        <w:numPr>
          <w:ilvl w:val="0"/>
          <w:numId w:val="4"/>
        </w:numPr>
        <w:spacing w:after="120" w:line="276" w:lineRule="auto"/>
        <w:rPr>
          <w:rFonts w:ascii="Palatino Linotype" w:eastAsia="Calibri" w:hAnsi="Palatino Linotype"/>
          <w:szCs w:val="26"/>
        </w:rPr>
      </w:pPr>
      <w:r>
        <w:rPr>
          <w:rFonts w:ascii="Palatino Linotype" w:eastAsia="Calibri" w:hAnsi="Palatino Linotype"/>
          <w:szCs w:val="26"/>
        </w:rPr>
        <w:t>The Commission fi</w:t>
      </w:r>
      <w:r w:rsidR="00B07959">
        <w:rPr>
          <w:rFonts w:ascii="Palatino Linotype" w:eastAsia="Calibri" w:hAnsi="Palatino Linotype"/>
          <w:szCs w:val="26"/>
        </w:rPr>
        <w:t>n</w:t>
      </w:r>
      <w:r>
        <w:rPr>
          <w:rFonts w:ascii="Palatino Linotype" w:eastAsia="Calibri" w:hAnsi="Palatino Linotype"/>
          <w:szCs w:val="26"/>
        </w:rPr>
        <w:t xml:space="preserve">ds that SCE’s proposed Section 3.08(f) and Exhibit </w:t>
      </w:r>
      <w:r w:rsidR="001E7A8A">
        <w:rPr>
          <w:rFonts w:ascii="Palatino Linotype" w:eastAsia="Calibri" w:hAnsi="Palatino Linotype"/>
          <w:szCs w:val="26"/>
        </w:rPr>
        <w:br/>
      </w:r>
      <w:r>
        <w:rPr>
          <w:rFonts w:ascii="Palatino Linotype" w:eastAsia="Calibri" w:hAnsi="Palatino Linotype"/>
          <w:szCs w:val="26"/>
        </w:rPr>
        <w:t xml:space="preserve">P-2b of its RAM V pro forma power purchase agreement </w:t>
      </w:r>
      <w:r w:rsidR="00B07959">
        <w:rPr>
          <w:rFonts w:ascii="Palatino Linotype" w:eastAsia="Calibri" w:hAnsi="Palatino Linotype"/>
          <w:szCs w:val="26"/>
        </w:rPr>
        <w:t xml:space="preserve">regarding meteorological stations </w:t>
      </w:r>
      <w:r>
        <w:rPr>
          <w:rFonts w:ascii="Palatino Linotype" w:eastAsia="Calibri" w:hAnsi="Palatino Linotype"/>
          <w:szCs w:val="26"/>
        </w:rPr>
        <w:t>are reasonable.</w:t>
      </w:r>
    </w:p>
    <w:p w:rsidR="00B07959" w:rsidRDefault="00B07959" w:rsidP="00C45DD6">
      <w:pPr>
        <w:numPr>
          <w:ilvl w:val="0"/>
          <w:numId w:val="4"/>
        </w:numPr>
        <w:spacing w:after="120" w:line="276" w:lineRule="auto"/>
        <w:rPr>
          <w:rFonts w:ascii="Palatino Linotype" w:eastAsia="Calibri" w:hAnsi="Palatino Linotype"/>
          <w:szCs w:val="26"/>
        </w:rPr>
      </w:pPr>
      <w:r>
        <w:rPr>
          <w:rFonts w:ascii="Palatino Linotype" w:eastAsia="Calibri" w:hAnsi="Palatino Linotype"/>
          <w:szCs w:val="26"/>
        </w:rPr>
        <w:t xml:space="preserve">NextEra </w:t>
      </w:r>
      <w:r w:rsidR="00F02595">
        <w:rPr>
          <w:rFonts w:ascii="Palatino Linotype" w:eastAsia="Calibri" w:hAnsi="Palatino Linotype"/>
          <w:szCs w:val="26"/>
        </w:rPr>
        <w:t xml:space="preserve">Energy Resources’ </w:t>
      </w:r>
      <w:r>
        <w:rPr>
          <w:rFonts w:ascii="Palatino Linotype" w:eastAsia="Calibri" w:hAnsi="Palatino Linotype"/>
          <w:szCs w:val="26"/>
        </w:rPr>
        <w:t>protest to SCE advice letter 3003-E regarding meteorological stations is denied.</w:t>
      </w:r>
    </w:p>
    <w:p w:rsidR="00B07959" w:rsidRDefault="00B07959" w:rsidP="00C45DD6">
      <w:pPr>
        <w:numPr>
          <w:ilvl w:val="0"/>
          <w:numId w:val="4"/>
        </w:numPr>
        <w:spacing w:after="120" w:line="276" w:lineRule="auto"/>
        <w:rPr>
          <w:rFonts w:ascii="Palatino Linotype" w:eastAsia="Calibri" w:hAnsi="Palatino Linotype"/>
          <w:szCs w:val="26"/>
        </w:rPr>
      </w:pPr>
      <w:r>
        <w:rPr>
          <w:rFonts w:ascii="Palatino Linotype" w:eastAsia="Calibri" w:hAnsi="Palatino Linotype"/>
          <w:szCs w:val="26"/>
        </w:rPr>
        <w:t>The Commission finds SCE’s proposed modifications to Section 3.11(d) of its RAM V pro forma agreement regarding material changes to generating facility are reasonable.</w:t>
      </w:r>
    </w:p>
    <w:p w:rsidR="00B07959" w:rsidRDefault="00B07959" w:rsidP="00C45DD6">
      <w:pPr>
        <w:numPr>
          <w:ilvl w:val="0"/>
          <w:numId w:val="4"/>
        </w:numPr>
        <w:spacing w:after="120" w:line="276" w:lineRule="auto"/>
        <w:rPr>
          <w:rFonts w:ascii="Palatino Linotype" w:eastAsia="Calibri" w:hAnsi="Palatino Linotype"/>
          <w:szCs w:val="26"/>
        </w:rPr>
      </w:pPr>
      <w:r>
        <w:rPr>
          <w:rFonts w:ascii="Palatino Linotype" w:eastAsia="Calibri" w:hAnsi="Palatino Linotype"/>
          <w:szCs w:val="26"/>
        </w:rPr>
        <w:t>New Dimension Energy Company’s protest regarding material changes to generation facility is denied.</w:t>
      </w:r>
    </w:p>
    <w:p w:rsidR="00B07959" w:rsidRDefault="00B07959" w:rsidP="00C45DD6">
      <w:pPr>
        <w:numPr>
          <w:ilvl w:val="0"/>
          <w:numId w:val="4"/>
        </w:numPr>
        <w:spacing w:after="120" w:line="276" w:lineRule="auto"/>
        <w:rPr>
          <w:rFonts w:ascii="Palatino Linotype" w:eastAsia="Calibri" w:hAnsi="Palatino Linotype"/>
          <w:szCs w:val="26"/>
        </w:rPr>
      </w:pPr>
      <w:r>
        <w:rPr>
          <w:rFonts w:ascii="Palatino Linotype" w:eastAsia="Calibri" w:hAnsi="Palatino Linotype"/>
          <w:szCs w:val="26"/>
        </w:rPr>
        <w:t>The Commission finds that proposed Section 10.6(b) of PG&amp;E’s RAM V pro forma power purchase agreement regarding assignment to financing providers is reasonable.</w:t>
      </w:r>
    </w:p>
    <w:p w:rsidR="00B07959" w:rsidRDefault="00B07959" w:rsidP="00C45DD6">
      <w:pPr>
        <w:numPr>
          <w:ilvl w:val="0"/>
          <w:numId w:val="4"/>
        </w:numPr>
        <w:spacing w:after="120" w:line="276" w:lineRule="auto"/>
        <w:rPr>
          <w:rFonts w:ascii="Palatino Linotype" w:eastAsia="Calibri" w:hAnsi="Palatino Linotype"/>
          <w:szCs w:val="26"/>
        </w:rPr>
      </w:pPr>
      <w:r>
        <w:rPr>
          <w:rFonts w:ascii="Palatino Linotype" w:eastAsia="Calibri" w:hAnsi="Palatino Linotype"/>
          <w:szCs w:val="26"/>
        </w:rPr>
        <w:t>NextEra Energy Resources</w:t>
      </w:r>
      <w:r w:rsidR="0058489B">
        <w:rPr>
          <w:rFonts w:ascii="Palatino Linotype" w:eastAsia="Calibri" w:hAnsi="Palatino Linotype"/>
          <w:szCs w:val="26"/>
        </w:rPr>
        <w:t>’</w:t>
      </w:r>
      <w:r>
        <w:rPr>
          <w:rFonts w:ascii="Palatino Linotype" w:eastAsia="Calibri" w:hAnsi="Palatino Linotype"/>
          <w:szCs w:val="26"/>
        </w:rPr>
        <w:t xml:space="preserve"> protest to PG&amp;E advice letter 4365-E regarding assignment to financing providers is denied. </w:t>
      </w:r>
    </w:p>
    <w:p w:rsidR="00B970B9" w:rsidRDefault="00B970B9" w:rsidP="00C45DD6">
      <w:pPr>
        <w:numPr>
          <w:ilvl w:val="0"/>
          <w:numId w:val="4"/>
        </w:numPr>
        <w:spacing w:after="120" w:line="276" w:lineRule="auto"/>
        <w:rPr>
          <w:rFonts w:ascii="Palatino Linotype" w:eastAsia="Calibri" w:hAnsi="Palatino Linotype"/>
          <w:szCs w:val="26"/>
        </w:rPr>
      </w:pPr>
      <w:r>
        <w:rPr>
          <w:rFonts w:ascii="Palatino Linotype" w:eastAsia="Calibri" w:hAnsi="Palatino Linotype"/>
          <w:szCs w:val="26"/>
        </w:rPr>
        <w:t>SCE’s revised Sections 10.11(c) and 10.11(d) of its RAM V pro forma power purchase agreement regarding insurance requirements of seller are reasonable.</w:t>
      </w:r>
    </w:p>
    <w:p w:rsidR="00B970B9" w:rsidRDefault="00B970B9" w:rsidP="00C45DD6">
      <w:pPr>
        <w:numPr>
          <w:ilvl w:val="0"/>
          <w:numId w:val="4"/>
        </w:numPr>
        <w:spacing w:after="120" w:line="276" w:lineRule="auto"/>
        <w:rPr>
          <w:rFonts w:ascii="Palatino Linotype" w:eastAsia="Calibri" w:hAnsi="Palatino Linotype"/>
          <w:szCs w:val="26"/>
        </w:rPr>
      </w:pPr>
      <w:r>
        <w:rPr>
          <w:rFonts w:ascii="Palatino Linotype" w:eastAsia="Calibri" w:hAnsi="Palatino Linotype"/>
          <w:szCs w:val="26"/>
        </w:rPr>
        <w:t>NextEra Energy Resources</w:t>
      </w:r>
      <w:r w:rsidR="005C6287">
        <w:rPr>
          <w:rFonts w:ascii="Palatino Linotype" w:eastAsia="Calibri" w:hAnsi="Palatino Linotype"/>
          <w:szCs w:val="26"/>
        </w:rPr>
        <w:t>’</w:t>
      </w:r>
      <w:r>
        <w:rPr>
          <w:rFonts w:ascii="Palatino Linotype" w:eastAsia="Calibri" w:hAnsi="Palatino Linotype"/>
          <w:szCs w:val="26"/>
        </w:rPr>
        <w:t xml:space="preserve"> protest to SCE advice letter 3003-E regarding SCE RAM V pro forma ag</w:t>
      </w:r>
      <w:r w:rsidR="0058489B">
        <w:rPr>
          <w:rFonts w:ascii="Palatino Linotype" w:eastAsia="Calibri" w:hAnsi="Palatino Linotype"/>
          <w:szCs w:val="26"/>
        </w:rPr>
        <w:t>reement Section 10.11(c) and 10.</w:t>
      </w:r>
      <w:r>
        <w:rPr>
          <w:rFonts w:ascii="Palatino Linotype" w:eastAsia="Calibri" w:hAnsi="Palatino Linotype"/>
          <w:szCs w:val="26"/>
        </w:rPr>
        <w:t>11(d) is denied.</w:t>
      </w:r>
    </w:p>
    <w:p w:rsidR="00B970B9" w:rsidRDefault="00B970B9" w:rsidP="00C45DD6">
      <w:pPr>
        <w:numPr>
          <w:ilvl w:val="0"/>
          <w:numId w:val="4"/>
        </w:numPr>
        <w:spacing w:after="120" w:line="276" w:lineRule="auto"/>
        <w:rPr>
          <w:rFonts w:ascii="Palatino Linotype" w:eastAsia="Calibri" w:hAnsi="Palatino Linotype"/>
          <w:szCs w:val="26"/>
        </w:rPr>
      </w:pPr>
      <w:r>
        <w:rPr>
          <w:rFonts w:ascii="Palatino Linotype" w:eastAsia="Calibri" w:hAnsi="Palatino Linotype"/>
          <w:szCs w:val="26"/>
        </w:rPr>
        <w:t>SCE’s Section 10.11(f) of its RAM V pro forma agreement power purchase agreement regarding seller’s legal obligations as an insurer is not reasonable.</w:t>
      </w:r>
    </w:p>
    <w:p w:rsidR="00B970B9" w:rsidRDefault="00B970B9" w:rsidP="00C45DD6">
      <w:pPr>
        <w:numPr>
          <w:ilvl w:val="0"/>
          <w:numId w:val="4"/>
        </w:numPr>
        <w:spacing w:after="120" w:line="276" w:lineRule="auto"/>
        <w:rPr>
          <w:rFonts w:ascii="Palatino Linotype" w:eastAsia="Calibri" w:hAnsi="Palatino Linotype"/>
          <w:szCs w:val="26"/>
        </w:rPr>
      </w:pPr>
      <w:r>
        <w:rPr>
          <w:rFonts w:ascii="Palatino Linotype" w:eastAsia="Calibri" w:hAnsi="Palatino Linotype"/>
          <w:szCs w:val="26"/>
        </w:rPr>
        <w:t>NextEra Energy Resources</w:t>
      </w:r>
      <w:r w:rsidR="005C6287">
        <w:rPr>
          <w:rFonts w:ascii="Palatino Linotype" w:eastAsia="Calibri" w:hAnsi="Palatino Linotype"/>
          <w:szCs w:val="26"/>
        </w:rPr>
        <w:t>’</w:t>
      </w:r>
      <w:r>
        <w:rPr>
          <w:rFonts w:ascii="Palatino Linotype" w:eastAsia="Calibri" w:hAnsi="Palatino Linotype"/>
          <w:szCs w:val="26"/>
        </w:rPr>
        <w:t xml:space="preserve"> protest to SCE advice letter 3003-E regarding SCE RAM V pro forma power purchase agreement Section 10.11(f) is accepted.</w:t>
      </w:r>
    </w:p>
    <w:p w:rsidR="00B970B9" w:rsidRDefault="00B970B9" w:rsidP="00C45DD6">
      <w:pPr>
        <w:numPr>
          <w:ilvl w:val="0"/>
          <w:numId w:val="4"/>
        </w:numPr>
        <w:spacing w:after="120" w:line="276" w:lineRule="auto"/>
        <w:rPr>
          <w:rFonts w:ascii="Palatino Linotype" w:eastAsia="Calibri" w:hAnsi="Palatino Linotype"/>
          <w:szCs w:val="26"/>
        </w:rPr>
      </w:pPr>
      <w:r>
        <w:rPr>
          <w:rFonts w:ascii="Palatino Linotype" w:eastAsia="Calibri" w:hAnsi="Palatino Linotype"/>
          <w:szCs w:val="26"/>
        </w:rPr>
        <w:t>PG&amp;E’s Section 10.10(b)(ii) of its RAM V pro forma power purchase agreement regarding required insurance coverage is reasonable.</w:t>
      </w:r>
    </w:p>
    <w:p w:rsidR="00B970B9" w:rsidRPr="00E14C48" w:rsidRDefault="00B970B9" w:rsidP="00C45DD6">
      <w:pPr>
        <w:numPr>
          <w:ilvl w:val="0"/>
          <w:numId w:val="4"/>
        </w:numPr>
        <w:spacing w:after="120" w:line="276" w:lineRule="auto"/>
        <w:rPr>
          <w:rFonts w:ascii="Palatino Linotype" w:eastAsia="Calibri" w:hAnsi="Palatino Linotype"/>
          <w:szCs w:val="26"/>
        </w:rPr>
      </w:pPr>
      <w:r>
        <w:rPr>
          <w:rFonts w:ascii="Palatino Linotype" w:eastAsia="Calibri" w:hAnsi="Palatino Linotype"/>
          <w:szCs w:val="26"/>
        </w:rPr>
        <w:t>NextEra Energy Resources</w:t>
      </w:r>
      <w:r w:rsidR="005C6287">
        <w:rPr>
          <w:rFonts w:ascii="Palatino Linotype" w:eastAsia="Calibri" w:hAnsi="Palatino Linotype"/>
          <w:szCs w:val="26"/>
        </w:rPr>
        <w:t>’</w:t>
      </w:r>
      <w:r>
        <w:rPr>
          <w:rFonts w:ascii="Palatino Linotype" w:eastAsia="Calibri" w:hAnsi="Palatino Linotype"/>
          <w:szCs w:val="26"/>
        </w:rPr>
        <w:t xml:space="preserve"> protest to PG&amp;E advice letter 4365-E regarding PG&amp;E’s insurance revisions is accepted, in part.</w:t>
      </w:r>
    </w:p>
    <w:p w:rsidR="00C45DD6" w:rsidRDefault="00B970B9" w:rsidP="00C45DD6">
      <w:pPr>
        <w:numPr>
          <w:ilvl w:val="0"/>
          <w:numId w:val="4"/>
        </w:numPr>
        <w:spacing w:after="120" w:line="276" w:lineRule="auto"/>
        <w:rPr>
          <w:rFonts w:ascii="Palatino Linotype" w:eastAsia="Calibri" w:hAnsi="Palatino Linotype"/>
          <w:szCs w:val="26"/>
        </w:rPr>
      </w:pPr>
      <w:r w:rsidRPr="0048274A">
        <w:rPr>
          <w:rFonts w:ascii="Palatino Linotype" w:eastAsia="Calibri" w:hAnsi="Palatino Linotype"/>
          <w:szCs w:val="26"/>
        </w:rPr>
        <w:t xml:space="preserve">The non-substantive modifications </w:t>
      </w:r>
      <w:r w:rsidR="0048274A" w:rsidRPr="0048274A">
        <w:rPr>
          <w:rFonts w:ascii="Palatino Linotype" w:eastAsia="Calibri" w:hAnsi="Palatino Linotype"/>
          <w:szCs w:val="26"/>
        </w:rPr>
        <w:t xml:space="preserve">proposed by the IOUs that are </w:t>
      </w:r>
      <w:r w:rsidRPr="0048274A">
        <w:rPr>
          <w:rFonts w:ascii="Palatino Linotype" w:eastAsia="Calibri" w:hAnsi="Palatino Linotype"/>
          <w:szCs w:val="26"/>
        </w:rPr>
        <w:t>not discussed above, as summarized in Appendix A for SCE, in Appendix B fo</w:t>
      </w:r>
      <w:r w:rsidR="0048274A" w:rsidRPr="0048274A">
        <w:rPr>
          <w:rFonts w:ascii="Palatino Linotype" w:eastAsia="Calibri" w:hAnsi="Palatino Linotype"/>
          <w:szCs w:val="26"/>
        </w:rPr>
        <w:t>r PG&amp;E, and Appendix C for SDG&amp;E are reasonable and approved.</w:t>
      </w:r>
    </w:p>
    <w:p w:rsidR="00BE6FE0" w:rsidRDefault="00BE6FE0" w:rsidP="00C45DD6">
      <w:pPr>
        <w:numPr>
          <w:ilvl w:val="0"/>
          <w:numId w:val="4"/>
        </w:numPr>
        <w:spacing w:after="120" w:line="276" w:lineRule="auto"/>
        <w:rPr>
          <w:rFonts w:ascii="Palatino Linotype" w:eastAsia="Calibri" w:hAnsi="Palatino Linotype"/>
          <w:szCs w:val="26"/>
        </w:rPr>
      </w:pPr>
      <w:r>
        <w:rPr>
          <w:rFonts w:ascii="Palatino Linotype" w:eastAsia="Calibri" w:hAnsi="Palatino Linotype"/>
          <w:szCs w:val="26"/>
        </w:rPr>
        <w:t>SCE’s revised section of its RAM V protocol regarding project subdivision is reasonable.</w:t>
      </w:r>
    </w:p>
    <w:p w:rsidR="00BE6FE0" w:rsidRDefault="00BE6FE0" w:rsidP="00C45DD6">
      <w:pPr>
        <w:numPr>
          <w:ilvl w:val="0"/>
          <w:numId w:val="4"/>
        </w:numPr>
        <w:spacing w:after="120" w:line="276" w:lineRule="auto"/>
        <w:rPr>
          <w:rFonts w:ascii="Palatino Linotype" w:eastAsia="Calibri" w:hAnsi="Palatino Linotype"/>
          <w:szCs w:val="26"/>
        </w:rPr>
      </w:pPr>
      <w:r>
        <w:rPr>
          <w:rFonts w:ascii="Palatino Linotype" w:eastAsia="Calibri" w:hAnsi="Palatino Linotype"/>
          <w:szCs w:val="26"/>
        </w:rPr>
        <w:t>SDG&amp;E’s section of its RAM V protocol regarding project subdivision is reasonable.</w:t>
      </w:r>
    </w:p>
    <w:p w:rsidR="00BE6FE0" w:rsidRDefault="00BE6FE0" w:rsidP="00C45DD6">
      <w:pPr>
        <w:numPr>
          <w:ilvl w:val="0"/>
          <w:numId w:val="4"/>
        </w:numPr>
        <w:spacing w:after="120" w:line="276" w:lineRule="auto"/>
        <w:rPr>
          <w:rFonts w:ascii="Palatino Linotype" w:eastAsia="Calibri" w:hAnsi="Palatino Linotype"/>
          <w:szCs w:val="26"/>
        </w:rPr>
      </w:pPr>
      <w:r>
        <w:rPr>
          <w:rFonts w:ascii="Palatino Linotype" w:eastAsia="Calibri" w:hAnsi="Palatino Linotype"/>
          <w:szCs w:val="26"/>
        </w:rPr>
        <w:t>SCE’s Section 3.05 of its RAM V protocol regarding full capacity deliverability status offers is reasonable.</w:t>
      </w:r>
    </w:p>
    <w:p w:rsidR="00BE6FE0" w:rsidRDefault="00BE6FE0" w:rsidP="00C45DD6">
      <w:pPr>
        <w:numPr>
          <w:ilvl w:val="0"/>
          <w:numId w:val="4"/>
        </w:numPr>
        <w:spacing w:after="120" w:line="276" w:lineRule="auto"/>
        <w:rPr>
          <w:rFonts w:ascii="Palatino Linotype" w:eastAsia="Calibri" w:hAnsi="Palatino Linotype"/>
          <w:szCs w:val="26"/>
        </w:rPr>
      </w:pPr>
      <w:r>
        <w:rPr>
          <w:rFonts w:ascii="Palatino Linotype" w:eastAsia="Calibri" w:hAnsi="Palatino Linotype"/>
          <w:szCs w:val="26"/>
        </w:rPr>
        <w:t>NextEra Energy Resources’ protest to SCE advice letter 3003-E regarding full capacity deliverability status offers is denied.</w:t>
      </w:r>
    </w:p>
    <w:p w:rsidR="00BE6FE0" w:rsidRPr="0048274A" w:rsidRDefault="00BE6FE0" w:rsidP="00C45DD6">
      <w:pPr>
        <w:numPr>
          <w:ilvl w:val="0"/>
          <w:numId w:val="4"/>
        </w:numPr>
        <w:spacing w:after="120" w:line="276" w:lineRule="auto"/>
        <w:rPr>
          <w:rFonts w:ascii="Palatino Linotype" w:eastAsia="Calibri" w:hAnsi="Palatino Linotype"/>
          <w:szCs w:val="26"/>
        </w:rPr>
      </w:pPr>
      <w:r>
        <w:rPr>
          <w:rFonts w:ascii="Palatino Linotype" w:eastAsia="Calibri" w:hAnsi="Palatino Linotype"/>
          <w:szCs w:val="26"/>
        </w:rPr>
        <w:t>The non-substantive modifications that the IOUs proposed to their RAM V protocols, as summarized in Appendix A for SCE, in Appendix B for PG&amp;E, and in Appendix C for SDG&amp;E, are reasonable and approved.</w:t>
      </w:r>
    </w:p>
    <w:p w:rsidR="00C45DD6" w:rsidRPr="0048274A" w:rsidRDefault="00DE0A84" w:rsidP="00C45DD6">
      <w:pPr>
        <w:numPr>
          <w:ilvl w:val="0"/>
          <w:numId w:val="4"/>
        </w:numPr>
        <w:spacing w:after="120" w:line="276" w:lineRule="auto"/>
        <w:ind w:left="418" w:hanging="418"/>
        <w:rPr>
          <w:rFonts w:ascii="Palatino Linotype" w:eastAsia="Calibri" w:hAnsi="Palatino Linotype"/>
          <w:szCs w:val="26"/>
        </w:rPr>
      </w:pPr>
      <w:r w:rsidRPr="0048274A">
        <w:rPr>
          <w:rFonts w:ascii="Palatino Linotype" w:eastAsia="Calibri" w:hAnsi="Palatino Linotype"/>
          <w:szCs w:val="26"/>
        </w:rPr>
        <w:t>SCE’s AL</w:t>
      </w:r>
      <w:r w:rsidR="00C45DD6" w:rsidRPr="0048274A">
        <w:rPr>
          <w:rFonts w:ascii="Palatino Linotype" w:eastAsia="Calibri" w:hAnsi="Palatino Linotype"/>
          <w:szCs w:val="26"/>
        </w:rPr>
        <w:t xml:space="preserve"> </w:t>
      </w:r>
      <w:r w:rsidR="0048274A" w:rsidRPr="0048274A">
        <w:rPr>
          <w:rFonts w:ascii="Palatino Linotype" w:eastAsia="Calibri" w:hAnsi="Palatino Linotype"/>
          <w:szCs w:val="26"/>
        </w:rPr>
        <w:t>3003</w:t>
      </w:r>
      <w:r w:rsidR="00C45DD6" w:rsidRPr="0048274A">
        <w:rPr>
          <w:rFonts w:ascii="Palatino Linotype" w:eastAsia="Calibri" w:hAnsi="Palatino Linotype"/>
          <w:szCs w:val="26"/>
        </w:rPr>
        <w:t>-E should be approved with the modifications discussed herein.</w:t>
      </w:r>
    </w:p>
    <w:p w:rsidR="0048274A" w:rsidRPr="0048274A" w:rsidDel="00DC22BF" w:rsidRDefault="0048274A" w:rsidP="00026DAB">
      <w:pPr>
        <w:numPr>
          <w:ilvl w:val="0"/>
          <w:numId w:val="4"/>
        </w:numPr>
        <w:spacing w:after="120" w:line="276" w:lineRule="auto"/>
        <w:ind w:left="418" w:hanging="418"/>
      </w:pPr>
      <w:r w:rsidRPr="0048274A">
        <w:rPr>
          <w:rFonts w:ascii="Palatino Linotype" w:eastAsia="Calibri" w:hAnsi="Palatino Linotype"/>
          <w:szCs w:val="26"/>
        </w:rPr>
        <w:t xml:space="preserve">PG&amp;E’s AL 4365-E should be approved with the modifications discussed herein. </w:t>
      </w:r>
    </w:p>
    <w:p w:rsidR="00C45DD6" w:rsidRPr="0048274A" w:rsidRDefault="00DE0A84" w:rsidP="00C45DD6">
      <w:pPr>
        <w:numPr>
          <w:ilvl w:val="0"/>
          <w:numId w:val="4"/>
        </w:numPr>
        <w:spacing w:after="120" w:line="276" w:lineRule="auto"/>
        <w:ind w:left="418" w:hanging="418"/>
        <w:rPr>
          <w:rFonts w:ascii="Palatino Linotype" w:eastAsia="Calibri" w:hAnsi="Palatino Linotype"/>
          <w:szCs w:val="26"/>
        </w:rPr>
      </w:pPr>
      <w:r w:rsidRPr="0048274A">
        <w:rPr>
          <w:rFonts w:ascii="Palatino Linotype" w:eastAsia="Calibri" w:hAnsi="Palatino Linotype"/>
          <w:szCs w:val="26"/>
        </w:rPr>
        <w:t>SDG&amp;E’s AL</w:t>
      </w:r>
      <w:r w:rsidR="00C45DD6" w:rsidRPr="0048274A">
        <w:rPr>
          <w:rFonts w:ascii="Palatino Linotype" w:eastAsia="Calibri" w:hAnsi="Palatino Linotype"/>
          <w:szCs w:val="26"/>
        </w:rPr>
        <w:t xml:space="preserve"> </w:t>
      </w:r>
      <w:r w:rsidR="0048274A" w:rsidRPr="0048274A">
        <w:rPr>
          <w:rFonts w:ascii="Palatino Linotype" w:eastAsia="Calibri" w:hAnsi="Palatino Linotype"/>
          <w:szCs w:val="26"/>
        </w:rPr>
        <w:t>2850</w:t>
      </w:r>
      <w:r w:rsidR="00C45DD6" w:rsidRPr="0048274A">
        <w:rPr>
          <w:rFonts w:ascii="Palatino Linotype" w:eastAsia="Calibri" w:hAnsi="Palatino Linotype"/>
          <w:szCs w:val="26"/>
        </w:rPr>
        <w:t>-E should be approved.</w:t>
      </w:r>
    </w:p>
    <w:p w:rsidR="00396E66" w:rsidRPr="004A45BD" w:rsidRDefault="00396E66" w:rsidP="00026DAB">
      <w:pPr>
        <w:keepNext/>
        <w:keepLines/>
        <w:spacing w:after="120"/>
        <w:outlineLvl w:val="0"/>
        <w:rPr>
          <w:rFonts w:ascii="Helvetica" w:hAnsi="Helvetica"/>
          <w:b/>
          <w:caps/>
          <w:kern w:val="28"/>
          <w:szCs w:val="26"/>
          <w:u w:val="single"/>
        </w:rPr>
      </w:pPr>
      <w:r w:rsidRPr="004A45BD">
        <w:rPr>
          <w:rFonts w:ascii="Helvetica" w:hAnsi="Helvetica"/>
          <w:b/>
          <w:caps/>
          <w:kern w:val="28"/>
          <w:szCs w:val="26"/>
          <w:u w:val="single"/>
        </w:rPr>
        <w:t>Therefore it is ordered that:</w:t>
      </w:r>
    </w:p>
    <w:p w:rsidR="00396E66" w:rsidRPr="00E14C48" w:rsidRDefault="008442CF" w:rsidP="00026DAB">
      <w:pPr>
        <w:keepNext/>
        <w:keepLines/>
        <w:numPr>
          <w:ilvl w:val="0"/>
          <w:numId w:val="5"/>
        </w:numPr>
        <w:spacing w:after="120" w:line="276" w:lineRule="auto"/>
        <w:ind w:hanging="450"/>
        <w:rPr>
          <w:rFonts w:ascii="Palatino Linotype" w:eastAsia="Calibri" w:hAnsi="Palatino Linotype"/>
          <w:snapToGrid w:val="0"/>
          <w:szCs w:val="26"/>
        </w:rPr>
      </w:pPr>
      <w:r>
        <w:rPr>
          <w:rFonts w:ascii="Palatino Linotype" w:eastAsia="Calibri" w:hAnsi="Palatino Linotype" w:cs="BookAntiqua"/>
          <w:szCs w:val="26"/>
        </w:rPr>
        <w:t>Pacific Gas and Electric Company</w:t>
      </w:r>
      <w:r w:rsidR="007941C9" w:rsidRPr="007941C9">
        <w:rPr>
          <w:rFonts w:ascii="Palatino Linotype" w:eastAsia="Calibri" w:hAnsi="Palatino Linotype" w:cs="BookAntiqua"/>
          <w:szCs w:val="26"/>
        </w:rPr>
        <w:t xml:space="preserve"> shall modify Section 3.9(c) of its </w:t>
      </w:r>
      <w:r>
        <w:rPr>
          <w:rFonts w:ascii="Palatino Linotype" w:eastAsia="Calibri" w:hAnsi="Palatino Linotype" w:cs="BookAntiqua"/>
          <w:szCs w:val="26"/>
        </w:rPr>
        <w:t>Renewable Auction Mechanism</w:t>
      </w:r>
      <w:r w:rsidR="007941C9" w:rsidRPr="007941C9">
        <w:rPr>
          <w:rFonts w:ascii="Palatino Linotype" w:eastAsia="Calibri" w:hAnsi="Palatino Linotype" w:cs="BookAntiqua"/>
          <w:szCs w:val="26"/>
        </w:rPr>
        <w:t xml:space="preserve"> V pro forma power purchase agreement and Section III.B.5 of its </w:t>
      </w:r>
      <w:r>
        <w:rPr>
          <w:rFonts w:ascii="Palatino Linotype" w:eastAsia="Calibri" w:hAnsi="Palatino Linotype" w:cs="BookAntiqua"/>
          <w:szCs w:val="26"/>
        </w:rPr>
        <w:t>Renewable Auction Mechanism</w:t>
      </w:r>
      <w:r w:rsidR="007941C9" w:rsidRPr="007941C9">
        <w:rPr>
          <w:rFonts w:ascii="Palatino Linotype" w:eastAsia="Calibri" w:hAnsi="Palatino Linotype" w:cs="BookAntiqua"/>
          <w:szCs w:val="26"/>
        </w:rPr>
        <w:t xml:space="preserve"> V protocol such that the extension time period for regulatory delays is six (6) months.</w:t>
      </w:r>
      <w:r w:rsidR="00396E66" w:rsidRPr="007941C9">
        <w:rPr>
          <w:rFonts w:ascii="Palatino Linotype" w:eastAsia="Calibri" w:hAnsi="Palatino Linotype" w:cs="BookAntiqua"/>
          <w:szCs w:val="26"/>
        </w:rPr>
        <w:t xml:space="preserve"> </w:t>
      </w:r>
    </w:p>
    <w:p w:rsidR="00E14C48" w:rsidRPr="00A97265" w:rsidRDefault="008442CF" w:rsidP="000C13A7">
      <w:pPr>
        <w:numPr>
          <w:ilvl w:val="0"/>
          <w:numId w:val="5"/>
        </w:numPr>
        <w:spacing w:after="120" w:line="276" w:lineRule="auto"/>
        <w:ind w:hanging="450"/>
        <w:rPr>
          <w:rFonts w:ascii="Palatino Linotype" w:eastAsia="Calibri" w:hAnsi="Palatino Linotype"/>
          <w:snapToGrid w:val="0"/>
          <w:szCs w:val="26"/>
        </w:rPr>
      </w:pPr>
      <w:r w:rsidRPr="00227CAC">
        <w:rPr>
          <w:rFonts w:ascii="Palatino Linotype" w:eastAsia="Calibri" w:hAnsi="Palatino Linotype" w:cs="BookAntiqua"/>
          <w:szCs w:val="26"/>
        </w:rPr>
        <w:t xml:space="preserve">Pacific Gas and Electric Company </w:t>
      </w:r>
      <w:r w:rsidR="00E14C48" w:rsidRPr="00227CAC">
        <w:rPr>
          <w:rFonts w:ascii="Palatino Linotype" w:eastAsia="Calibri" w:hAnsi="Palatino Linotype" w:cs="BookAntiqua"/>
          <w:szCs w:val="26"/>
        </w:rPr>
        <w:t xml:space="preserve">shall modify Section III.B.1 of its </w:t>
      </w:r>
      <w:r w:rsidRPr="00227CAC">
        <w:rPr>
          <w:rFonts w:ascii="Palatino Linotype" w:eastAsia="Calibri" w:hAnsi="Palatino Linotype" w:cs="BookAntiqua"/>
          <w:szCs w:val="26"/>
        </w:rPr>
        <w:t xml:space="preserve">Renewable Auction Mechanism </w:t>
      </w:r>
      <w:r w:rsidR="00E14C48" w:rsidRPr="00227CAC">
        <w:rPr>
          <w:rFonts w:ascii="Palatino Linotype" w:eastAsia="Calibri" w:hAnsi="Palatino Linotype" w:cs="BookAntiqua"/>
          <w:szCs w:val="26"/>
        </w:rPr>
        <w:t>V protocol such that the interconnection eligibility requirement is a Phase I interconnection study.</w:t>
      </w:r>
    </w:p>
    <w:p w:rsidR="00A97265" w:rsidRPr="00186BE4" w:rsidRDefault="008442CF" w:rsidP="001F3135">
      <w:pPr>
        <w:numPr>
          <w:ilvl w:val="0"/>
          <w:numId w:val="5"/>
        </w:numPr>
        <w:spacing w:after="120" w:line="276" w:lineRule="auto"/>
        <w:ind w:hanging="450"/>
        <w:rPr>
          <w:rFonts w:ascii="Palatino Linotype" w:eastAsia="Calibri" w:hAnsi="Palatino Linotype"/>
          <w:snapToGrid w:val="0"/>
          <w:szCs w:val="26"/>
        </w:rPr>
      </w:pPr>
      <w:r>
        <w:rPr>
          <w:rFonts w:ascii="Palatino Linotype" w:eastAsia="Calibri" w:hAnsi="Palatino Linotype" w:cs="BookAntiqua"/>
          <w:szCs w:val="26"/>
        </w:rPr>
        <w:t>Pacific Gas and Electric Company</w:t>
      </w:r>
      <w:r w:rsidRPr="007941C9">
        <w:rPr>
          <w:rFonts w:ascii="Palatino Linotype" w:eastAsia="Calibri" w:hAnsi="Palatino Linotype" w:cs="BookAntiqua"/>
          <w:szCs w:val="26"/>
        </w:rPr>
        <w:t xml:space="preserve"> </w:t>
      </w:r>
      <w:r w:rsidR="00A97265">
        <w:rPr>
          <w:rFonts w:ascii="Palatino Linotype" w:eastAsia="Calibri" w:hAnsi="Palatino Linotype" w:cs="BookAntiqua"/>
          <w:szCs w:val="26"/>
        </w:rPr>
        <w:t xml:space="preserve">shall modify Section 3.1(p) of its </w:t>
      </w:r>
      <w:r>
        <w:rPr>
          <w:rFonts w:ascii="Palatino Linotype" w:eastAsia="Calibri" w:hAnsi="Palatino Linotype" w:cs="BookAntiqua"/>
          <w:szCs w:val="26"/>
        </w:rPr>
        <w:t>Renewable Auction Mechanism</w:t>
      </w:r>
      <w:r w:rsidRPr="007941C9">
        <w:rPr>
          <w:rFonts w:ascii="Palatino Linotype" w:eastAsia="Calibri" w:hAnsi="Palatino Linotype" w:cs="BookAntiqua"/>
          <w:szCs w:val="26"/>
        </w:rPr>
        <w:t xml:space="preserve"> </w:t>
      </w:r>
      <w:r w:rsidR="00A97265">
        <w:rPr>
          <w:rFonts w:ascii="Palatino Linotype" w:eastAsia="Calibri" w:hAnsi="Palatino Linotype" w:cs="BookAntiqua"/>
          <w:szCs w:val="26"/>
        </w:rPr>
        <w:t>V pro forma power purchase agreement such that the terms are consistent with its 2013 RPS pro forma power purchase agreement as approved in D.13-11-024.</w:t>
      </w:r>
    </w:p>
    <w:p w:rsidR="00186BE4" w:rsidRPr="00B07959" w:rsidRDefault="008442CF" w:rsidP="001F3135">
      <w:pPr>
        <w:numPr>
          <w:ilvl w:val="0"/>
          <w:numId w:val="5"/>
        </w:numPr>
        <w:spacing w:after="120" w:line="276" w:lineRule="auto"/>
        <w:ind w:hanging="450"/>
        <w:rPr>
          <w:rFonts w:ascii="Palatino Linotype" w:eastAsia="Calibri" w:hAnsi="Palatino Linotype"/>
          <w:snapToGrid w:val="0"/>
          <w:szCs w:val="26"/>
        </w:rPr>
      </w:pPr>
      <w:r>
        <w:rPr>
          <w:rFonts w:ascii="Palatino Linotype" w:eastAsia="Calibri" w:hAnsi="Palatino Linotype" w:cs="BookAntiqua"/>
          <w:szCs w:val="26"/>
        </w:rPr>
        <w:t>Pacific Gas and Electric Company</w:t>
      </w:r>
      <w:r w:rsidRPr="007941C9">
        <w:rPr>
          <w:rFonts w:ascii="Palatino Linotype" w:eastAsia="Calibri" w:hAnsi="Palatino Linotype" w:cs="BookAntiqua"/>
          <w:szCs w:val="26"/>
        </w:rPr>
        <w:t xml:space="preserve"> </w:t>
      </w:r>
      <w:r w:rsidR="00186BE4">
        <w:rPr>
          <w:rFonts w:ascii="Palatino Linotype" w:eastAsia="Calibri" w:hAnsi="Palatino Linotype" w:cs="BookAntiqua"/>
          <w:szCs w:val="26"/>
        </w:rPr>
        <w:t xml:space="preserve">shall modify Section 1.58 of its </w:t>
      </w:r>
      <w:r>
        <w:rPr>
          <w:rFonts w:ascii="Palatino Linotype" w:eastAsia="Calibri" w:hAnsi="Palatino Linotype" w:cs="BookAntiqua"/>
          <w:szCs w:val="26"/>
        </w:rPr>
        <w:t>Renewable Auction Mechanism</w:t>
      </w:r>
      <w:r w:rsidRPr="007941C9">
        <w:rPr>
          <w:rFonts w:ascii="Palatino Linotype" w:eastAsia="Calibri" w:hAnsi="Palatino Linotype" w:cs="BookAntiqua"/>
          <w:szCs w:val="26"/>
        </w:rPr>
        <w:t xml:space="preserve"> </w:t>
      </w:r>
      <w:r w:rsidR="00186BE4">
        <w:rPr>
          <w:rFonts w:ascii="Palatino Linotype" w:eastAsia="Calibri" w:hAnsi="Palatino Linotype" w:cs="BookAntiqua"/>
          <w:szCs w:val="26"/>
        </w:rPr>
        <w:t xml:space="preserve">V pro forma power purchase agreement such that it is based on project development security as defined in Section 1.194 of </w:t>
      </w:r>
      <w:r>
        <w:rPr>
          <w:rFonts w:ascii="Palatino Linotype" w:eastAsia="Calibri" w:hAnsi="Palatino Linotype" w:cs="BookAntiqua"/>
          <w:szCs w:val="26"/>
        </w:rPr>
        <w:t>Pacific Gas and Electric Company</w:t>
      </w:r>
      <w:r w:rsidR="00186BE4">
        <w:rPr>
          <w:rFonts w:ascii="Palatino Linotype" w:eastAsia="Calibri" w:hAnsi="Palatino Linotype" w:cs="BookAntiqua"/>
          <w:szCs w:val="26"/>
        </w:rPr>
        <w:t xml:space="preserve">’s </w:t>
      </w:r>
      <w:r>
        <w:rPr>
          <w:rFonts w:ascii="Palatino Linotype" w:eastAsia="Calibri" w:hAnsi="Palatino Linotype" w:cs="BookAntiqua"/>
          <w:szCs w:val="26"/>
        </w:rPr>
        <w:t>Renewable Auction Mechanism</w:t>
      </w:r>
      <w:r w:rsidRPr="007941C9">
        <w:rPr>
          <w:rFonts w:ascii="Palatino Linotype" w:eastAsia="Calibri" w:hAnsi="Palatino Linotype" w:cs="BookAntiqua"/>
          <w:szCs w:val="26"/>
        </w:rPr>
        <w:t xml:space="preserve"> </w:t>
      </w:r>
      <w:r w:rsidR="00186BE4">
        <w:rPr>
          <w:rFonts w:ascii="Palatino Linotype" w:eastAsia="Calibri" w:hAnsi="Palatino Linotype" w:cs="BookAntiqua"/>
          <w:szCs w:val="26"/>
        </w:rPr>
        <w:t>V pro forma power purchase agreement.</w:t>
      </w:r>
    </w:p>
    <w:p w:rsidR="00B970B9" w:rsidRPr="007941C9" w:rsidRDefault="008442CF" w:rsidP="001F3135">
      <w:pPr>
        <w:numPr>
          <w:ilvl w:val="0"/>
          <w:numId w:val="5"/>
        </w:numPr>
        <w:spacing w:after="120" w:line="276" w:lineRule="auto"/>
        <w:ind w:hanging="450"/>
        <w:rPr>
          <w:rFonts w:ascii="Palatino Linotype" w:eastAsia="Calibri" w:hAnsi="Palatino Linotype"/>
          <w:snapToGrid w:val="0"/>
          <w:szCs w:val="26"/>
        </w:rPr>
      </w:pPr>
      <w:r w:rsidRPr="00E14C48">
        <w:rPr>
          <w:rFonts w:ascii="Palatino Linotype" w:eastAsia="Calibri" w:hAnsi="Palatino Linotype"/>
          <w:snapToGrid w:val="0"/>
          <w:szCs w:val="26"/>
        </w:rPr>
        <w:t>Southern California Edison Company</w:t>
      </w:r>
      <w:r w:rsidR="00B970B9">
        <w:rPr>
          <w:rFonts w:ascii="Palatino Linotype" w:eastAsia="Calibri" w:hAnsi="Palatino Linotype" w:cs="BookAntiqua"/>
          <w:szCs w:val="26"/>
        </w:rPr>
        <w:t xml:space="preserve"> shall modify Section 10.11(f) of its </w:t>
      </w:r>
      <w:r>
        <w:rPr>
          <w:rFonts w:ascii="Palatino Linotype" w:eastAsia="Calibri" w:hAnsi="Palatino Linotype" w:cs="BookAntiqua"/>
          <w:szCs w:val="26"/>
        </w:rPr>
        <w:t>Renewable Auction Mechanism</w:t>
      </w:r>
      <w:r w:rsidRPr="007941C9">
        <w:rPr>
          <w:rFonts w:ascii="Palatino Linotype" w:eastAsia="Calibri" w:hAnsi="Palatino Linotype" w:cs="BookAntiqua"/>
          <w:szCs w:val="26"/>
        </w:rPr>
        <w:t xml:space="preserve"> </w:t>
      </w:r>
      <w:r w:rsidR="00B970B9">
        <w:rPr>
          <w:rFonts w:ascii="Palatino Linotype" w:eastAsia="Calibri" w:hAnsi="Palatino Linotype" w:cs="BookAntiqua"/>
          <w:szCs w:val="26"/>
        </w:rPr>
        <w:t xml:space="preserve">V pro forma power purchase agreement as directed in this </w:t>
      </w:r>
      <w:r w:rsidR="00171A16">
        <w:rPr>
          <w:rFonts w:ascii="Palatino Linotype" w:eastAsia="Calibri" w:hAnsi="Palatino Linotype" w:cs="BookAntiqua"/>
          <w:szCs w:val="26"/>
        </w:rPr>
        <w:t>R</w:t>
      </w:r>
      <w:r w:rsidR="00B970B9">
        <w:rPr>
          <w:rFonts w:ascii="Palatino Linotype" w:eastAsia="Calibri" w:hAnsi="Palatino Linotype" w:cs="BookAntiqua"/>
          <w:szCs w:val="26"/>
        </w:rPr>
        <w:t>esolution.</w:t>
      </w:r>
    </w:p>
    <w:p w:rsidR="00396E66" w:rsidRPr="008442CF" w:rsidRDefault="00396E66" w:rsidP="001F3135">
      <w:pPr>
        <w:numPr>
          <w:ilvl w:val="0"/>
          <w:numId w:val="5"/>
        </w:numPr>
        <w:spacing w:after="120" w:line="276" w:lineRule="auto"/>
        <w:ind w:hanging="450"/>
        <w:rPr>
          <w:rFonts w:ascii="Palatino Linotype" w:eastAsia="Calibri" w:hAnsi="Palatino Linotype"/>
          <w:szCs w:val="26"/>
        </w:rPr>
      </w:pPr>
      <w:r w:rsidRPr="008442CF">
        <w:rPr>
          <w:rFonts w:ascii="Palatino Linotype" w:eastAsia="Calibri" w:hAnsi="Palatino Linotype" w:cs="BookAntiqua"/>
          <w:szCs w:val="26"/>
        </w:rPr>
        <w:t>Each of the investor-owned utilities</w:t>
      </w:r>
      <w:r w:rsidR="00C815CE" w:rsidRPr="008442CF">
        <w:rPr>
          <w:rFonts w:ascii="Palatino Linotype" w:eastAsia="Calibri" w:hAnsi="Palatino Linotype" w:cs="BookAntiqua"/>
          <w:szCs w:val="26"/>
        </w:rPr>
        <w:t xml:space="preserve"> is authorized to</w:t>
      </w:r>
      <w:r w:rsidRPr="008442CF">
        <w:rPr>
          <w:rFonts w:ascii="Palatino Linotype" w:eastAsia="Calibri" w:hAnsi="Palatino Linotype" w:cs="BookAntiqua"/>
          <w:szCs w:val="26"/>
        </w:rPr>
        <w:t xml:space="preserve"> </w:t>
      </w:r>
      <w:r w:rsidR="00C815CE" w:rsidRPr="008442CF">
        <w:rPr>
          <w:rFonts w:ascii="Palatino Linotype" w:eastAsia="Calibri" w:hAnsi="Palatino Linotype" w:cs="BookAntiqua"/>
          <w:szCs w:val="26"/>
        </w:rPr>
        <w:t xml:space="preserve">include </w:t>
      </w:r>
      <w:r w:rsidRPr="008442CF">
        <w:rPr>
          <w:rFonts w:ascii="Palatino Linotype" w:eastAsia="Calibri" w:hAnsi="Palatino Linotype"/>
          <w:szCs w:val="26"/>
        </w:rPr>
        <w:t>provision</w:t>
      </w:r>
      <w:r w:rsidR="008442CF" w:rsidRPr="008442CF">
        <w:rPr>
          <w:rFonts w:ascii="Palatino Linotype" w:eastAsia="Calibri" w:hAnsi="Palatino Linotype"/>
          <w:szCs w:val="26"/>
        </w:rPr>
        <w:t>s</w:t>
      </w:r>
      <w:r w:rsidRPr="008442CF">
        <w:rPr>
          <w:rFonts w:ascii="Palatino Linotype" w:eastAsia="Calibri" w:hAnsi="Palatino Linotype"/>
          <w:szCs w:val="26"/>
        </w:rPr>
        <w:t xml:space="preserve"> </w:t>
      </w:r>
      <w:r w:rsidR="0058489B">
        <w:rPr>
          <w:rFonts w:ascii="Palatino Linotype" w:eastAsia="Calibri" w:hAnsi="Palatino Linotype"/>
          <w:szCs w:val="26"/>
        </w:rPr>
        <w:t xml:space="preserve">in its </w:t>
      </w:r>
      <w:r w:rsidR="0058489B">
        <w:rPr>
          <w:rFonts w:ascii="Palatino Linotype" w:eastAsia="Calibri" w:hAnsi="Palatino Linotype" w:cs="BookAntiqua"/>
          <w:szCs w:val="26"/>
        </w:rPr>
        <w:t>Renewable Auction Mechanism</w:t>
      </w:r>
      <w:r w:rsidR="0058489B" w:rsidRPr="007941C9">
        <w:rPr>
          <w:rFonts w:ascii="Palatino Linotype" w:eastAsia="Calibri" w:hAnsi="Palatino Linotype" w:cs="BookAntiqua"/>
          <w:szCs w:val="26"/>
        </w:rPr>
        <w:t xml:space="preserve"> </w:t>
      </w:r>
      <w:r w:rsidR="0058489B">
        <w:rPr>
          <w:rFonts w:ascii="Palatino Linotype" w:eastAsia="Calibri" w:hAnsi="Palatino Linotype" w:cs="BookAntiqua"/>
          <w:szCs w:val="26"/>
        </w:rPr>
        <w:t xml:space="preserve">V pro forma power purchase agreement </w:t>
      </w:r>
      <w:r w:rsidRPr="008442CF">
        <w:rPr>
          <w:rFonts w:ascii="Palatino Linotype" w:eastAsia="Calibri" w:hAnsi="Palatino Linotype"/>
          <w:szCs w:val="26"/>
        </w:rPr>
        <w:t xml:space="preserve">allowing the utility to </w:t>
      </w:r>
      <w:r w:rsidR="008442CF" w:rsidRPr="008442CF">
        <w:rPr>
          <w:rFonts w:ascii="Palatino Linotype" w:eastAsia="Calibri" w:hAnsi="Palatino Linotype"/>
          <w:szCs w:val="26"/>
        </w:rPr>
        <w:t>adopt provisions regarding network upgrade cost cap and seller’s “buy down right,”</w:t>
      </w:r>
      <w:r w:rsidR="00CD61EE" w:rsidRPr="008442CF">
        <w:rPr>
          <w:rFonts w:ascii="Palatino Linotype" w:eastAsia="Calibri" w:hAnsi="Palatino Linotype"/>
          <w:szCs w:val="26"/>
        </w:rPr>
        <w:t xml:space="preserve"> </w:t>
      </w:r>
      <w:r w:rsidR="008442CF" w:rsidRPr="008442CF">
        <w:rPr>
          <w:rFonts w:ascii="Palatino Linotype" w:eastAsia="Calibri" w:hAnsi="Palatino Linotype"/>
          <w:szCs w:val="26"/>
        </w:rPr>
        <w:t>as found reasonable in this Resolution.</w:t>
      </w:r>
    </w:p>
    <w:p w:rsidR="008442CF" w:rsidRDefault="008442CF" w:rsidP="001F3135">
      <w:pPr>
        <w:numPr>
          <w:ilvl w:val="0"/>
          <w:numId w:val="5"/>
        </w:numPr>
        <w:spacing w:after="120" w:line="276" w:lineRule="auto"/>
        <w:ind w:hanging="450"/>
        <w:rPr>
          <w:rFonts w:ascii="Palatino Linotype" w:eastAsia="Calibri" w:hAnsi="Palatino Linotype"/>
          <w:szCs w:val="26"/>
        </w:rPr>
      </w:pPr>
      <w:r w:rsidRPr="008442CF">
        <w:rPr>
          <w:rFonts w:ascii="Palatino Linotype" w:eastAsia="Calibri" w:hAnsi="Palatino Linotype"/>
          <w:szCs w:val="26"/>
        </w:rPr>
        <w:t>Each of the investor-owned utilities is authorized to include a condition precedent related to interconnection agreement date and interconnection costs, as found reasonable in this Resolution.</w:t>
      </w:r>
    </w:p>
    <w:p w:rsidR="008442CF" w:rsidRDefault="008442CF" w:rsidP="001F3135">
      <w:pPr>
        <w:numPr>
          <w:ilvl w:val="0"/>
          <w:numId w:val="5"/>
        </w:numPr>
        <w:spacing w:after="120" w:line="276" w:lineRule="auto"/>
        <w:ind w:hanging="450"/>
        <w:rPr>
          <w:rFonts w:ascii="Palatino Linotype" w:eastAsia="Calibri" w:hAnsi="Palatino Linotype"/>
          <w:szCs w:val="26"/>
        </w:rPr>
      </w:pPr>
      <w:r>
        <w:rPr>
          <w:rFonts w:ascii="Palatino Linotype" w:eastAsia="Calibri" w:hAnsi="Palatino Linotype"/>
          <w:szCs w:val="26"/>
        </w:rPr>
        <w:t>Each of the investor-owned utilities is authorized to include economic curtailment provisions that were found reasonable in D.13-11-024.</w:t>
      </w:r>
    </w:p>
    <w:p w:rsidR="009469A0" w:rsidRDefault="009469A0" w:rsidP="001F3135">
      <w:pPr>
        <w:numPr>
          <w:ilvl w:val="0"/>
          <w:numId w:val="5"/>
        </w:numPr>
        <w:spacing w:after="120" w:line="276" w:lineRule="auto"/>
        <w:ind w:hanging="450"/>
        <w:rPr>
          <w:rFonts w:ascii="Palatino Linotype" w:eastAsia="Calibri" w:hAnsi="Palatino Linotype"/>
          <w:szCs w:val="26"/>
        </w:rPr>
      </w:pPr>
      <w:r>
        <w:rPr>
          <w:rFonts w:ascii="Palatino Linotype" w:eastAsia="Calibri" w:hAnsi="Palatino Linotype"/>
          <w:szCs w:val="26"/>
        </w:rPr>
        <w:t>Each of the investor-owned utilities is authorized to</w:t>
      </w:r>
      <w:r w:rsidRPr="009469A0">
        <w:rPr>
          <w:rFonts w:ascii="Palatino Linotype" w:eastAsia="Calibri" w:hAnsi="Palatino Linotype"/>
          <w:szCs w:val="26"/>
        </w:rPr>
        <w:t xml:space="preserve"> </w:t>
      </w:r>
      <w:r>
        <w:rPr>
          <w:rFonts w:ascii="Palatino Linotype" w:eastAsia="Calibri" w:hAnsi="Palatino Linotype"/>
          <w:szCs w:val="26"/>
        </w:rPr>
        <w:t>modify the date by which projects must achieve full capacity deliverability status from December 31, 2021 to December 31, 2024.</w:t>
      </w:r>
    </w:p>
    <w:p w:rsidR="008442CF" w:rsidRPr="008442CF" w:rsidRDefault="008442CF" w:rsidP="001F3135">
      <w:pPr>
        <w:numPr>
          <w:ilvl w:val="0"/>
          <w:numId w:val="5"/>
        </w:numPr>
        <w:spacing w:after="120" w:line="276" w:lineRule="auto"/>
        <w:ind w:hanging="450"/>
        <w:rPr>
          <w:rFonts w:ascii="Palatino Linotype" w:eastAsia="Calibri" w:hAnsi="Palatino Linotype"/>
          <w:szCs w:val="26"/>
        </w:rPr>
      </w:pPr>
      <w:r>
        <w:rPr>
          <w:rFonts w:ascii="Palatino Linotype" w:eastAsia="Calibri" w:hAnsi="Palatino Linotype"/>
          <w:szCs w:val="26"/>
        </w:rPr>
        <w:t>Each of the investor-owned utilities is authorized to include provisions related to test energy deliveries and commercial online dates, as found reasonable in this Resolution</w:t>
      </w:r>
      <w:r w:rsidR="0058489B">
        <w:rPr>
          <w:rFonts w:ascii="Palatino Linotype" w:eastAsia="Calibri" w:hAnsi="Palatino Linotype"/>
          <w:szCs w:val="26"/>
        </w:rPr>
        <w:t>.</w:t>
      </w:r>
    </w:p>
    <w:p w:rsidR="00396E66" w:rsidRPr="00BE6FE0" w:rsidRDefault="00D7559B" w:rsidP="001F3135">
      <w:pPr>
        <w:numPr>
          <w:ilvl w:val="0"/>
          <w:numId w:val="5"/>
        </w:numPr>
        <w:spacing w:after="120" w:line="276" w:lineRule="auto"/>
        <w:ind w:left="446" w:hanging="446"/>
        <w:rPr>
          <w:rFonts w:ascii="Palatino Linotype" w:eastAsia="Calibri" w:hAnsi="Palatino Linotype"/>
          <w:szCs w:val="26"/>
        </w:rPr>
      </w:pPr>
      <w:r w:rsidRPr="00BE6FE0">
        <w:rPr>
          <w:rFonts w:ascii="Palatino Linotype" w:eastAsia="Calibri" w:hAnsi="Palatino Linotype"/>
          <w:szCs w:val="26"/>
        </w:rPr>
        <w:t>Within 14</w:t>
      </w:r>
      <w:r w:rsidR="00396E66" w:rsidRPr="00BE6FE0">
        <w:rPr>
          <w:rFonts w:ascii="Palatino Linotype" w:eastAsia="Calibri" w:hAnsi="Palatino Linotype"/>
          <w:szCs w:val="26"/>
        </w:rPr>
        <w:t xml:space="preserve"> days of the effective date of this </w:t>
      </w:r>
      <w:r w:rsidR="00B364F1" w:rsidRPr="00BE6FE0">
        <w:rPr>
          <w:rFonts w:ascii="Palatino Linotype" w:eastAsia="Calibri" w:hAnsi="Palatino Linotype"/>
          <w:szCs w:val="26"/>
        </w:rPr>
        <w:t>R</w:t>
      </w:r>
      <w:r w:rsidR="00396E66" w:rsidRPr="00BE6FE0">
        <w:rPr>
          <w:rFonts w:ascii="Palatino Linotype" w:eastAsia="Calibri" w:hAnsi="Palatino Linotype"/>
          <w:szCs w:val="26"/>
        </w:rPr>
        <w:t xml:space="preserve">esolution, </w:t>
      </w:r>
      <w:r w:rsidRPr="00BE6FE0">
        <w:rPr>
          <w:rFonts w:ascii="Palatino Linotype" w:eastAsia="Calibri" w:hAnsi="Palatino Linotype"/>
          <w:szCs w:val="26"/>
        </w:rPr>
        <w:t xml:space="preserve">Southern California Edison Company, </w:t>
      </w:r>
      <w:r w:rsidR="00396E66" w:rsidRPr="00BE6FE0">
        <w:rPr>
          <w:rFonts w:ascii="Palatino Linotype" w:eastAsia="Calibri" w:hAnsi="Palatino Linotype"/>
          <w:szCs w:val="26"/>
        </w:rPr>
        <w:t xml:space="preserve">Pacific Gas and Electric Company, and San Diego Gas </w:t>
      </w:r>
      <w:r w:rsidR="00337EDD" w:rsidRPr="00BE6FE0">
        <w:rPr>
          <w:rFonts w:ascii="Palatino Linotype" w:eastAsia="Calibri" w:hAnsi="Palatino Linotype"/>
          <w:szCs w:val="26"/>
        </w:rPr>
        <w:t xml:space="preserve">&amp; </w:t>
      </w:r>
      <w:r w:rsidR="00396E66" w:rsidRPr="00BE6FE0">
        <w:rPr>
          <w:rFonts w:ascii="Palatino Linotype" w:eastAsia="Calibri" w:hAnsi="Palatino Linotype"/>
          <w:szCs w:val="26"/>
        </w:rPr>
        <w:t xml:space="preserve">Electric Company shall file a Tier 1 advice letter with the Energy Division demonstrating compliance with this </w:t>
      </w:r>
      <w:r w:rsidR="0034701E" w:rsidRPr="00BE6FE0">
        <w:rPr>
          <w:rFonts w:ascii="Palatino Linotype" w:eastAsia="Calibri" w:hAnsi="Palatino Linotype"/>
          <w:szCs w:val="26"/>
        </w:rPr>
        <w:t>R</w:t>
      </w:r>
      <w:r w:rsidR="00BE6FE0" w:rsidRPr="00BE6FE0">
        <w:rPr>
          <w:rFonts w:ascii="Palatino Linotype" w:eastAsia="Calibri" w:hAnsi="Palatino Linotype"/>
          <w:szCs w:val="26"/>
        </w:rPr>
        <w:t>esolution.</w:t>
      </w:r>
    </w:p>
    <w:p w:rsidR="00396E66" w:rsidRDefault="00E14C48" w:rsidP="00E14C48">
      <w:pPr>
        <w:numPr>
          <w:ilvl w:val="0"/>
          <w:numId w:val="5"/>
        </w:numPr>
        <w:spacing w:after="120" w:line="276" w:lineRule="auto"/>
        <w:ind w:hanging="450"/>
        <w:rPr>
          <w:rFonts w:ascii="Palatino Linotype" w:eastAsia="Calibri" w:hAnsi="Palatino Linotype"/>
          <w:snapToGrid w:val="0"/>
          <w:szCs w:val="26"/>
        </w:rPr>
      </w:pPr>
      <w:r w:rsidRPr="00E14C48">
        <w:rPr>
          <w:rFonts w:ascii="Palatino Linotype" w:eastAsia="Calibri" w:hAnsi="Palatino Linotype"/>
          <w:snapToGrid w:val="0"/>
          <w:szCs w:val="26"/>
        </w:rPr>
        <w:t>Southern California Edison Company’s advice letter 3003</w:t>
      </w:r>
      <w:r>
        <w:rPr>
          <w:rFonts w:ascii="Palatino Linotype" w:eastAsia="Calibri" w:hAnsi="Palatino Linotype"/>
          <w:snapToGrid w:val="0"/>
          <w:szCs w:val="26"/>
        </w:rPr>
        <w:t xml:space="preserve">-E and </w:t>
      </w:r>
      <w:r w:rsidRPr="00E14C48">
        <w:rPr>
          <w:rFonts w:ascii="Palatino Linotype" w:eastAsia="Calibri" w:hAnsi="Palatino Linotype"/>
          <w:snapToGrid w:val="0"/>
          <w:szCs w:val="26"/>
        </w:rPr>
        <w:t>Pacific Gas and Electric Company’s advice letter 4365-E</w:t>
      </w:r>
      <w:r>
        <w:rPr>
          <w:rFonts w:ascii="Palatino Linotype" w:eastAsia="Calibri" w:hAnsi="Palatino Linotype"/>
          <w:snapToGrid w:val="0"/>
          <w:szCs w:val="26"/>
        </w:rPr>
        <w:t xml:space="preserve"> </w:t>
      </w:r>
      <w:r w:rsidRPr="00E14C48">
        <w:rPr>
          <w:rFonts w:ascii="Palatino Linotype" w:eastAsia="Calibri" w:hAnsi="Palatino Linotype"/>
          <w:snapToGrid w:val="0"/>
          <w:szCs w:val="26"/>
        </w:rPr>
        <w:t>are approved with modifications.</w:t>
      </w:r>
    </w:p>
    <w:p w:rsidR="00E14C48" w:rsidRPr="00E14C48" w:rsidRDefault="00E14C48" w:rsidP="00730DFE">
      <w:pPr>
        <w:numPr>
          <w:ilvl w:val="0"/>
          <w:numId w:val="5"/>
        </w:numPr>
        <w:spacing w:after="120" w:line="276" w:lineRule="auto"/>
        <w:ind w:hanging="450"/>
        <w:rPr>
          <w:rFonts w:ascii="Palatino Linotype" w:eastAsia="Calibri" w:hAnsi="Palatino Linotype"/>
          <w:snapToGrid w:val="0"/>
          <w:szCs w:val="26"/>
        </w:rPr>
      </w:pPr>
      <w:r w:rsidRPr="00E14C48">
        <w:rPr>
          <w:rFonts w:ascii="Palatino Linotype" w:eastAsia="Calibri" w:hAnsi="Palatino Linotype"/>
          <w:snapToGrid w:val="0"/>
          <w:szCs w:val="26"/>
        </w:rPr>
        <w:t>San Diego Gas &amp; Electric Company’s advice letter 2580-E</w:t>
      </w:r>
      <w:r>
        <w:rPr>
          <w:rFonts w:ascii="Palatino Linotype" w:eastAsia="Calibri" w:hAnsi="Palatino Linotype"/>
          <w:snapToGrid w:val="0"/>
          <w:szCs w:val="26"/>
        </w:rPr>
        <w:t xml:space="preserve"> is approved</w:t>
      </w:r>
      <w:r w:rsidR="0058489B">
        <w:rPr>
          <w:rFonts w:ascii="Palatino Linotype" w:eastAsia="Calibri" w:hAnsi="Palatino Linotype"/>
          <w:snapToGrid w:val="0"/>
          <w:szCs w:val="26"/>
        </w:rPr>
        <w:t>.</w:t>
      </w:r>
      <w:r w:rsidR="00794966">
        <w:rPr>
          <w:rFonts w:ascii="Palatino Linotype" w:eastAsia="Calibri" w:hAnsi="Palatino Linotype"/>
          <w:snapToGrid w:val="0"/>
          <w:szCs w:val="26"/>
        </w:rPr>
        <w:br/>
      </w:r>
    </w:p>
    <w:p w:rsidR="00F5600A" w:rsidRPr="00600701" w:rsidRDefault="00396E66" w:rsidP="001F3135">
      <w:pPr>
        <w:tabs>
          <w:tab w:val="left" w:pos="720"/>
          <w:tab w:val="left" w:pos="1296"/>
          <w:tab w:val="left" w:pos="2016"/>
          <w:tab w:val="left" w:pos="2736"/>
          <w:tab w:val="left" w:pos="3456"/>
          <w:tab w:val="left" w:pos="4176"/>
          <w:tab w:val="left" w:pos="5760"/>
        </w:tabs>
        <w:spacing w:after="120" w:line="276" w:lineRule="auto"/>
        <w:rPr>
          <w:rFonts w:ascii="Palatino Linotype" w:hAnsi="Palatino Linotype"/>
        </w:rPr>
      </w:pPr>
      <w:r w:rsidRPr="00396E66">
        <w:rPr>
          <w:rFonts w:ascii="Palatino Linotype" w:eastAsia="Calibri" w:hAnsi="Palatino Linotype"/>
          <w:szCs w:val="26"/>
        </w:rPr>
        <w:t>This Resolution is effective today.</w:t>
      </w:r>
    </w:p>
    <w:p w:rsidR="001E7A8A" w:rsidRDefault="001E7A8A">
      <w:pPr>
        <w:rPr>
          <w:rFonts w:ascii="Palatino Linotype" w:hAnsi="Palatino Linotype"/>
          <w:snapToGrid w:val="0"/>
        </w:rPr>
      </w:pPr>
      <w:r>
        <w:rPr>
          <w:rFonts w:ascii="Palatino Linotype" w:hAnsi="Palatino Linotype"/>
          <w:snapToGrid w:val="0"/>
        </w:rPr>
        <w:br w:type="page"/>
      </w:r>
    </w:p>
    <w:p w:rsidR="00F5600A" w:rsidRPr="00600701" w:rsidRDefault="00F5600A">
      <w:pPr>
        <w:rPr>
          <w:rFonts w:ascii="Palatino Linotype" w:hAnsi="Palatino Linotype"/>
          <w:snapToGrid w:val="0"/>
        </w:rPr>
      </w:pPr>
      <w:r w:rsidRPr="00600701">
        <w:rPr>
          <w:rFonts w:ascii="Palatino Linotype" w:hAnsi="Palatino Linotype"/>
          <w:snapToGrid w:val="0"/>
        </w:rPr>
        <w:t xml:space="preserve">I certify that the foregoing </w:t>
      </w:r>
      <w:r>
        <w:rPr>
          <w:rFonts w:ascii="Palatino Linotype" w:hAnsi="Palatino Linotype"/>
          <w:snapToGrid w:val="0"/>
        </w:rPr>
        <w:t>Resolution</w:t>
      </w:r>
      <w:r w:rsidRPr="00600701">
        <w:rPr>
          <w:rFonts w:ascii="Palatino Linotype" w:hAnsi="Palatino Linotype"/>
          <w:snapToGrid w:val="0"/>
        </w:rPr>
        <w:t xml:space="preserve"> was duly introduced, passed and adopted at a conference of the Public Utilities Commission of the State of California</w:t>
      </w:r>
      <w:r>
        <w:rPr>
          <w:rFonts w:ascii="Palatino Linotype" w:hAnsi="Palatino Linotype"/>
          <w:snapToGrid w:val="0"/>
        </w:rPr>
        <w:t xml:space="preserve"> held on </w:t>
      </w:r>
      <w:r w:rsidR="00D7559B">
        <w:rPr>
          <w:rFonts w:ascii="Palatino Linotype" w:hAnsi="Palatino Linotype"/>
          <w:snapToGrid w:val="0"/>
        </w:rPr>
        <w:t>May 15, 2014</w:t>
      </w:r>
      <w:r w:rsidRPr="00600701">
        <w:rPr>
          <w:rFonts w:ascii="Palatino Linotype" w:hAnsi="Palatino Linotype"/>
          <w:snapToGrid w:val="0"/>
        </w:rPr>
        <w:t>; the following Commissioners voting favorably thereon:</w:t>
      </w:r>
    </w:p>
    <w:p w:rsidR="00026DAB" w:rsidRPr="00600701" w:rsidRDefault="00026DAB">
      <w:pPr>
        <w:tabs>
          <w:tab w:val="left" w:pos="720"/>
          <w:tab w:val="left" w:pos="1152"/>
          <w:tab w:val="left" w:pos="1728"/>
          <w:tab w:val="left" w:pos="3168"/>
          <w:tab w:val="left" w:pos="5040"/>
        </w:tabs>
        <w:ind w:right="144"/>
        <w:rPr>
          <w:rFonts w:ascii="Palatino Linotype" w:hAnsi="Palatino Linotype"/>
        </w:rPr>
      </w:pPr>
    </w:p>
    <w:p w:rsidR="00F5600A" w:rsidRDefault="00F5600A">
      <w:pPr>
        <w:tabs>
          <w:tab w:val="left" w:pos="720"/>
          <w:tab w:val="left" w:pos="1152"/>
          <w:tab w:val="left" w:pos="1728"/>
          <w:tab w:val="left" w:pos="3168"/>
          <w:tab w:val="left" w:pos="5040"/>
        </w:tabs>
        <w:ind w:right="144"/>
        <w:rPr>
          <w:rFonts w:ascii="Palatino Linotype" w:hAnsi="Palatino Linotype"/>
        </w:rPr>
      </w:pPr>
    </w:p>
    <w:p w:rsidR="00794966" w:rsidRDefault="00794966">
      <w:pPr>
        <w:tabs>
          <w:tab w:val="left" w:pos="720"/>
          <w:tab w:val="left" w:pos="1152"/>
          <w:tab w:val="left" w:pos="1728"/>
          <w:tab w:val="left" w:pos="3168"/>
          <w:tab w:val="left" w:pos="5040"/>
        </w:tabs>
        <w:ind w:right="144"/>
        <w:rPr>
          <w:rFonts w:ascii="Palatino Linotype" w:hAnsi="Palatino Linotype"/>
        </w:rPr>
      </w:pPr>
    </w:p>
    <w:p w:rsidR="00794966" w:rsidRPr="00600701" w:rsidRDefault="00794966">
      <w:pPr>
        <w:tabs>
          <w:tab w:val="left" w:pos="720"/>
          <w:tab w:val="left" w:pos="1152"/>
          <w:tab w:val="left" w:pos="1728"/>
          <w:tab w:val="left" w:pos="3168"/>
          <w:tab w:val="left" w:pos="5040"/>
        </w:tabs>
        <w:ind w:right="144"/>
        <w:rPr>
          <w:rFonts w:ascii="Palatino Linotype" w:hAnsi="Palatino Linotype"/>
        </w:rPr>
      </w:pPr>
    </w:p>
    <w:p w:rsidR="00F5600A" w:rsidRPr="00600701" w:rsidRDefault="00AA0B57">
      <w:pPr>
        <w:tabs>
          <w:tab w:val="left" w:pos="720"/>
          <w:tab w:val="left" w:pos="1152"/>
          <w:tab w:val="left" w:pos="1728"/>
          <w:tab w:val="left" w:pos="3168"/>
          <w:tab w:val="left" w:pos="5040"/>
        </w:tabs>
        <w:ind w:right="144"/>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/s/</w:t>
      </w:r>
      <w:r w:rsidR="00F5600A">
        <w:rPr>
          <w:rFonts w:ascii="Palatino Linotype" w:hAnsi="Palatino Linotype"/>
        </w:rPr>
        <w:t xml:space="preserve">  </w:t>
      </w:r>
      <w:r>
        <w:rPr>
          <w:rFonts w:ascii="Palatino Linotype" w:hAnsi="Palatino Linotype"/>
          <w:u w:val="single"/>
        </w:rPr>
        <w:t>PAUL CLANON</w:t>
      </w:r>
      <w:r w:rsidR="00F5600A">
        <w:rPr>
          <w:rFonts w:ascii="Palatino Linotype" w:hAnsi="Palatino Linotype"/>
        </w:rPr>
        <w:t xml:space="preserve">  </w:t>
      </w:r>
    </w:p>
    <w:p w:rsidR="00F5600A" w:rsidRPr="00600701" w:rsidRDefault="00F5600A">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600701">
        <w:rPr>
          <w:rFonts w:ascii="Palatino Linotype" w:hAnsi="Palatino Linotype"/>
        </w:rPr>
        <w:tab/>
        <w:t xml:space="preserve"> </w:t>
      </w:r>
      <w:r>
        <w:rPr>
          <w:rFonts w:ascii="Palatino Linotype" w:hAnsi="Palatino Linotype"/>
        </w:rPr>
        <w:t xml:space="preserve">    PAUL CLANON</w:t>
      </w:r>
    </w:p>
    <w:p w:rsidR="00794966" w:rsidRDefault="00F5600A" w:rsidP="00E32AD4">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w:t>
      </w:r>
      <w:r w:rsidRPr="00600701">
        <w:rPr>
          <w:rFonts w:ascii="Palatino Linotype" w:hAnsi="Palatino Linotype"/>
        </w:rPr>
        <w:tab/>
      </w:r>
      <w:r>
        <w:rPr>
          <w:rFonts w:ascii="Palatino Linotype" w:hAnsi="Palatino Linotype"/>
        </w:rPr>
        <w:t xml:space="preserve">     </w:t>
      </w:r>
      <w:r w:rsidRPr="00600701">
        <w:rPr>
          <w:rFonts w:ascii="Palatino Linotype" w:hAnsi="Palatino Linotype"/>
        </w:rPr>
        <w:t>Executive Director</w:t>
      </w:r>
    </w:p>
    <w:p w:rsidR="00794966" w:rsidRDefault="00794966" w:rsidP="00E32AD4">
      <w:pPr>
        <w:rPr>
          <w:rFonts w:ascii="Palatino Linotype" w:hAnsi="Palatino Linotype"/>
        </w:rPr>
      </w:pPr>
    </w:p>
    <w:p w:rsidR="00794966" w:rsidRDefault="00794966" w:rsidP="00E32AD4">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MICHAEL R. PEEVEY</w:t>
      </w:r>
      <w:r>
        <w:rPr>
          <w:rFonts w:ascii="Palatino Linotype" w:hAnsi="Palatino Linotype"/>
        </w:rPr>
        <w:br/>
        <w:t xml:space="preserve">                                                                                                          President</w:t>
      </w:r>
    </w:p>
    <w:p w:rsidR="00794966" w:rsidRDefault="00794966" w:rsidP="00E32AD4">
      <w:pPr>
        <w:rPr>
          <w:rFonts w:ascii="Palatino Linotype" w:hAnsi="Palatino Linotype"/>
        </w:rPr>
      </w:pPr>
      <w:r>
        <w:rPr>
          <w:rFonts w:ascii="Palatino Linotype" w:hAnsi="Palatino Linotype"/>
        </w:rPr>
        <w:t xml:space="preserve">                                                                                   MICHEL PETER FLORIO</w:t>
      </w:r>
    </w:p>
    <w:p w:rsidR="00794966" w:rsidRDefault="00794966" w:rsidP="00E32AD4">
      <w:pPr>
        <w:rPr>
          <w:rFonts w:ascii="Palatino Linotype" w:hAnsi="Palatino Linotype"/>
        </w:rPr>
      </w:pPr>
      <w:r>
        <w:rPr>
          <w:rFonts w:ascii="Palatino Linotype" w:hAnsi="Palatino Linotype"/>
        </w:rPr>
        <w:t xml:space="preserve">                                    </w:t>
      </w:r>
      <w:r w:rsidR="00D71571">
        <w:rPr>
          <w:rFonts w:ascii="Palatino Linotype" w:hAnsi="Palatino Linotype"/>
        </w:rPr>
        <w:t xml:space="preserve">                                               CATHERINE J.K. SANDOVAL</w:t>
      </w:r>
    </w:p>
    <w:p w:rsidR="00D71571" w:rsidRDefault="00D71571" w:rsidP="00E32AD4">
      <w:pPr>
        <w:rPr>
          <w:rFonts w:ascii="Palatino Linotype" w:hAnsi="Palatino Linotype"/>
        </w:rPr>
      </w:pPr>
      <w:r>
        <w:rPr>
          <w:rFonts w:ascii="Palatino Linotype" w:hAnsi="Palatino Linotype"/>
        </w:rPr>
        <w:t xml:space="preserve">                                                                                   CARLA J. PETERMAN</w:t>
      </w:r>
    </w:p>
    <w:p w:rsidR="00D71571" w:rsidRDefault="00D71571" w:rsidP="00E32AD4">
      <w:pPr>
        <w:rPr>
          <w:rFonts w:ascii="Palatino Linotype" w:hAnsi="Palatino Linotype"/>
        </w:rPr>
      </w:pPr>
      <w:r>
        <w:rPr>
          <w:rFonts w:ascii="Palatino Linotype" w:hAnsi="Palatino Linotype"/>
        </w:rPr>
        <w:t xml:space="preserve">                                                                                   MICHAEL PICKER</w:t>
      </w:r>
    </w:p>
    <w:p w:rsidR="00D71571" w:rsidRDefault="00D71571" w:rsidP="00E32AD4">
      <w:pPr>
        <w:rPr>
          <w:rFonts w:ascii="Palatino Linotype" w:hAnsi="Palatino Linotype"/>
        </w:rPr>
      </w:pPr>
      <w:r>
        <w:rPr>
          <w:rFonts w:ascii="Palatino Linotype" w:hAnsi="Palatino Linotype"/>
        </w:rPr>
        <w:t xml:space="preserve">                                                                                                               Commissioners                                                      </w:t>
      </w:r>
    </w:p>
    <w:p w:rsidR="001F3135" w:rsidRDefault="00794966" w:rsidP="00E32AD4">
      <w:pPr>
        <w:rPr>
          <w:rFonts w:ascii="Palatino Linotype" w:hAnsi="Palatino Linotype"/>
          <w:b/>
          <w:sz w:val="52"/>
          <w:szCs w:val="52"/>
          <w:u w:val="single"/>
        </w:rPr>
      </w:pPr>
      <w:r>
        <w:rPr>
          <w:rFonts w:ascii="Palatino Linotype" w:hAnsi="Palatino Linotype"/>
        </w:rPr>
        <w:t xml:space="preserve">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00F5600A">
        <w:rPr>
          <w:rFonts w:ascii="Palatino Linotype" w:hAnsi="Palatino Linotype"/>
          <w:b/>
          <w:sz w:val="52"/>
          <w:szCs w:val="52"/>
          <w:u w:val="single"/>
        </w:rPr>
        <w:br w:type="page"/>
      </w:r>
    </w:p>
    <w:p w:rsidR="001F3135" w:rsidRDefault="001F3135" w:rsidP="009E3259">
      <w:pPr>
        <w:jc w:val="center"/>
        <w:rPr>
          <w:rFonts w:ascii="Palatino Linotype" w:hAnsi="Palatino Linotype"/>
          <w:b/>
          <w:sz w:val="52"/>
          <w:szCs w:val="52"/>
          <w:u w:val="single"/>
        </w:rPr>
      </w:pPr>
    </w:p>
    <w:p w:rsidR="009E3259" w:rsidRPr="000D3E9C" w:rsidRDefault="009E3259" w:rsidP="009E3259">
      <w:pPr>
        <w:jc w:val="center"/>
        <w:rPr>
          <w:rFonts w:ascii="Arial" w:hAnsi="Arial" w:cs="Arial"/>
          <w:b/>
          <w:bCs/>
          <w:sz w:val="22"/>
          <w:szCs w:val="22"/>
          <w:u w:val="single"/>
        </w:rPr>
      </w:pPr>
      <w:r>
        <w:rPr>
          <w:b/>
          <w:sz w:val="44"/>
          <w:szCs w:val="44"/>
          <w:u w:val="single"/>
        </w:rPr>
        <w:t>Appendix</w:t>
      </w:r>
      <w:r w:rsidRPr="000D3E9C">
        <w:rPr>
          <w:b/>
          <w:sz w:val="44"/>
          <w:szCs w:val="44"/>
          <w:u w:val="single"/>
        </w:rPr>
        <w:t xml:space="preserve"> </w:t>
      </w:r>
      <w:r>
        <w:rPr>
          <w:b/>
          <w:sz w:val="44"/>
          <w:szCs w:val="44"/>
          <w:u w:val="single"/>
        </w:rPr>
        <w:t>A</w:t>
      </w:r>
    </w:p>
    <w:p w:rsidR="009E3259" w:rsidRDefault="009E3259" w:rsidP="009E3259">
      <w:pPr>
        <w:jc w:val="center"/>
        <w:rPr>
          <w:sz w:val="44"/>
          <w:szCs w:val="44"/>
        </w:rPr>
      </w:pPr>
    </w:p>
    <w:p w:rsidR="008C15C9" w:rsidRDefault="009E3259" w:rsidP="009E3259">
      <w:pPr>
        <w:jc w:val="center"/>
        <w:rPr>
          <w:sz w:val="44"/>
          <w:szCs w:val="44"/>
        </w:rPr>
      </w:pPr>
      <w:r>
        <w:rPr>
          <w:sz w:val="44"/>
          <w:szCs w:val="44"/>
        </w:rPr>
        <w:t>Summary of the Non-Substantive Modifications Proposed by SCE</w:t>
      </w:r>
    </w:p>
    <w:p w:rsidR="008C15C9" w:rsidRPr="005720F9" w:rsidRDefault="008C15C9" w:rsidP="008C15C9">
      <w:pPr>
        <w:pStyle w:val="standard"/>
        <w:spacing w:line="240" w:lineRule="auto"/>
        <w:ind w:firstLine="0"/>
        <w:rPr>
          <w:rFonts w:ascii="Palatino Linotype" w:hAnsi="Palatino Linotype"/>
          <w:bCs/>
          <w:szCs w:val="26"/>
        </w:rPr>
      </w:pPr>
      <w:r>
        <w:rPr>
          <w:sz w:val="44"/>
          <w:szCs w:val="44"/>
        </w:rPr>
        <w:br w:type="page"/>
      </w:r>
      <w:r>
        <w:rPr>
          <w:rFonts w:ascii="Palatino Linotype" w:hAnsi="Palatino Linotype"/>
          <w:b/>
        </w:rPr>
        <w:t xml:space="preserve">Summary of SCE’s </w:t>
      </w:r>
      <w:r w:rsidRPr="00600701">
        <w:rPr>
          <w:rFonts w:ascii="Palatino Linotype" w:hAnsi="Palatino Linotype"/>
          <w:b/>
        </w:rPr>
        <w:t xml:space="preserve">Proposed </w:t>
      </w:r>
      <w:r>
        <w:rPr>
          <w:rFonts w:ascii="Palatino Linotype" w:hAnsi="Palatino Linotype"/>
          <w:b/>
        </w:rPr>
        <w:t xml:space="preserve">Non-Substantive </w:t>
      </w:r>
      <w:r w:rsidRPr="00600701">
        <w:rPr>
          <w:rFonts w:ascii="Palatino Linotype" w:hAnsi="Palatino Linotype"/>
          <w:b/>
        </w:rPr>
        <w:t xml:space="preserve">Changes </w:t>
      </w:r>
      <w:r>
        <w:rPr>
          <w:rFonts w:ascii="Palatino Linotype" w:hAnsi="Palatino Linotype"/>
          <w:b/>
        </w:rPr>
        <w:t>to</w:t>
      </w:r>
      <w:r w:rsidRPr="00600701">
        <w:rPr>
          <w:rFonts w:ascii="Palatino Linotype" w:hAnsi="Palatino Linotype"/>
          <w:b/>
        </w:rPr>
        <w:t xml:space="preserve"> </w:t>
      </w:r>
      <w:r w:rsidR="00744074">
        <w:rPr>
          <w:rFonts w:ascii="Palatino Linotype" w:hAnsi="Palatino Linotype"/>
          <w:b/>
        </w:rPr>
        <w:t xml:space="preserve">its </w:t>
      </w:r>
      <w:r>
        <w:rPr>
          <w:rFonts w:ascii="Palatino Linotype" w:hAnsi="Palatino Linotype"/>
          <w:b/>
        </w:rPr>
        <w:t xml:space="preserve">RAM Pro Forma </w:t>
      </w:r>
      <w:r w:rsidRPr="00600701">
        <w:rPr>
          <w:rFonts w:ascii="Palatino Linotype" w:hAnsi="Palatino Linotype"/>
          <w:b/>
        </w:rPr>
        <w:t>PPA</w:t>
      </w:r>
    </w:p>
    <w:p w:rsidR="008C15C9" w:rsidRPr="00D548DF" w:rsidRDefault="008C15C9" w:rsidP="008C15C9">
      <w:pPr>
        <w:pStyle w:val="standard"/>
        <w:spacing w:line="240" w:lineRule="auto"/>
        <w:ind w:firstLine="0"/>
        <w:rPr>
          <w:b/>
        </w:rPr>
      </w:pPr>
    </w:p>
    <w:tbl>
      <w:tblPr>
        <w:tblW w:w="11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2"/>
        <w:gridCol w:w="2700"/>
        <w:gridCol w:w="3470"/>
        <w:gridCol w:w="1698"/>
        <w:gridCol w:w="1698"/>
      </w:tblGrid>
      <w:tr w:rsidR="008C15C9" w:rsidRPr="00F43342" w:rsidTr="003D0DCE">
        <w:trPr>
          <w:tblHeader/>
          <w:jc w:val="center"/>
        </w:trPr>
        <w:tc>
          <w:tcPr>
            <w:tcW w:w="1652" w:type="dxa"/>
            <w:shd w:val="clear" w:color="auto" w:fill="F2F2F2"/>
            <w:vAlign w:val="center"/>
          </w:tcPr>
          <w:p w:rsidR="008C15C9" w:rsidRPr="001F3135" w:rsidRDefault="008C15C9" w:rsidP="008318C7">
            <w:pPr>
              <w:jc w:val="center"/>
              <w:rPr>
                <w:rFonts w:ascii="Palatino Linotype" w:hAnsi="Palatino Linotype"/>
                <w:b/>
                <w:sz w:val="20"/>
              </w:rPr>
            </w:pPr>
            <w:r w:rsidRPr="001F3135">
              <w:rPr>
                <w:rFonts w:ascii="Palatino Linotype" w:hAnsi="Palatino Linotype"/>
                <w:b/>
                <w:sz w:val="20"/>
              </w:rPr>
              <w:t>Subject of PPA Change</w:t>
            </w:r>
          </w:p>
        </w:tc>
        <w:tc>
          <w:tcPr>
            <w:tcW w:w="2700" w:type="dxa"/>
            <w:shd w:val="clear" w:color="auto" w:fill="F2F2F2"/>
            <w:vAlign w:val="center"/>
          </w:tcPr>
          <w:p w:rsidR="008C15C9" w:rsidRPr="001F3135" w:rsidRDefault="008C15C9" w:rsidP="008318C7">
            <w:pPr>
              <w:jc w:val="center"/>
              <w:rPr>
                <w:rFonts w:ascii="Palatino Linotype" w:hAnsi="Palatino Linotype"/>
                <w:b/>
                <w:sz w:val="20"/>
              </w:rPr>
            </w:pPr>
            <w:r w:rsidRPr="001F3135">
              <w:rPr>
                <w:rFonts w:ascii="Palatino Linotype" w:hAnsi="Palatino Linotype"/>
                <w:b/>
                <w:sz w:val="20"/>
              </w:rPr>
              <w:t>Relevant RAM Pro Forma PPA Section</w:t>
            </w:r>
          </w:p>
        </w:tc>
        <w:tc>
          <w:tcPr>
            <w:tcW w:w="3470" w:type="dxa"/>
            <w:shd w:val="clear" w:color="auto" w:fill="F2F2F2"/>
          </w:tcPr>
          <w:p w:rsidR="008C15C9" w:rsidRPr="001F3135" w:rsidRDefault="008C15C9" w:rsidP="003D0DCE">
            <w:pPr>
              <w:spacing w:before="100" w:beforeAutospacing="1" w:after="100" w:afterAutospacing="1"/>
              <w:rPr>
                <w:rFonts w:ascii="Palatino Linotype" w:hAnsi="Palatino Linotype"/>
                <w:b/>
                <w:sz w:val="20"/>
              </w:rPr>
            </w:pPr>
            <w:r w:rsidRPr="001F3135">
              <w:rPr>
                <w:rFonts w:ascii="Palatino Linotype" w:hAnsi="Palatino Linotype"/>
                <w:b/>
                <w:sz w:val="20"/>
              </w:rPr>
              <w:t>Proposed Revision to SCE RAM Pro Forma PPA</w:t>
            </w:r>
          </w:p>
        </w:tc>
        <w:tc>
          <w:tcPr>
            <w:tcW w:w="1698" w:type="dxa"/>
            <w:shd w:val="clear" w:color="auto" w:fill="F2F2F2"/>
            <w:vAlign w:val="center"/>
          </w:tcPr>
          <w:p w:rsidR="008C15C9" w:rsidRPr="001F3135" w:rsidRDefault="008C15C9" w:rsidP="008318C7">
            <w:pPr>
              <w:jc w:val="center"/>
              <w:rPr>
                <w:rFonts w:ascii="Palatino Linotype" w:hAnsi="Palatino Linotype"/>
                <w:b/>
                <w:sz w:val="20"/>
              </w:rPr>
            </w:pPr>
            <w:r w:rsidRPr="001F3135">
              <w:rPr>
                <w:rFonts w:ascii="Palatino Linotype" w:hAnsi="Palatino Linotype"/>
                <w:b/>
                <w:sz w:val="20"/>
              </w:rPr>
              <w:t>Source of Change</w:t>
            </w:r>
          </w:p>
        </w:tc>
        <w:tc>
          <w:tcPr>
            <w:tcW w:w="1698" w:type="dxa"/>
            <w:shd w:val="clear" w:color="auto" w:fill="F2F2F2"/>
            <w:vAlign w:val="center"/>
          </w:tcPr>
          <w:p w:rsidR="008C15C9" w:rsidRPr="001F3135" w:rsidRDefault="008C15C9" w:rsidP="008318C7">
            <w:pPr>
              <w:jc w:val="center"/>
              <w:rPr>
                <w:rFonts w:ascii="Palatino Linotype" w:hAnsi="Palatino Linotype"/>
                <w:b/>
                <w:sz w:val="20"/>
              </w:rPr>
            </w:pPr>
            <w:r w:rsidRPr="001F3135">
              <w:rPr>
                <w:rFonts w:ascii="Palatino Linotype" w:hAnsi="Palatino Linotype"/>
                <w:b/>
                <w:sz w:val="20"/>
              </w:rPr>
              <w:t>Disposition</w:t>
            </w:r>
          </w:p>
        </w:tc>
      </w:tr>
      <w:tr w:rsidR="00A67292" w:rsidRPr="009B3AFD" w:rsidTr="003D0DCE">
        <w:trPr>
          <w:trHeight w:val="1907"/>
          <w:jc w:val="center"/>
        </w:trPr>
        <w:tc>
          <w:tcPr>
            <w:tcW w:w="1652" w:type="dxa"/>
            <w:shd w:val="clear" w:color="auto" w:fill="auto"/>
          </w:tcPr>
          <w:p w:rsidR="00A67292" w:rsidRPr="001F3135" w:rsidDel="002E3E3F" w:rsidRDefault="00A67292" w:rsidP="008318C7">
            <w:pPr>
              <w:spacing w:before="120" w:after="120"/>
              <w:rPr>
                <w:rFonts w:ascii="Palatino Linotype" w:hAnsi="Palatino Linotype"/>
                <w:b/>
                <w:i/>
                <w:sz w:val="20"/>
              </w:rPr>
            </w:pPr>
            <w:r>
              <w:rPr>
                <w:rFonts w:ascii="Palatino Linotype" w:hAnsi="Palatino Linotype"/>
                <w:b/>
                <w:i/>
                <w:sz w:val="20"/>
              </w:rPr>
              <w:t>Installed DC Rating</w:t>
            </w:r>
          </w:p>
        </w:tc>
        <w:tc>
          <w:tcPr>
            <w:tcW w:w="2700" w:type="dxa"/>
            <w:shd w:val="clear" w:color="auto" w:fill="auto"/>
          </w:tcPr>
          <w:p w:rsidR="00A67292" w:rsidRPr="00CA1FBF" w:rsidRDefault="00A67292" w:rsidP="005E69C8">
            <w:pPr>
              <w:spacing w:before="120" w:after="120"/>
              <w:rPr>
                <w:rFonts w:ascii="Palatino Linotype" w:hAnsi="Palatino Linotype"/>
                <w:b/>
                <w:i/>
                <w:sz w:val="20"/>
              </w:rPr>
            </w:pPr>
            <w:r w:rsidRPr="00CA1FBF">
              <w:rPr>
                <w:rFonts w:ascii="Palatino Linotype" w:hAnsi="Palatino Linotype"/>
                <w:b/>
                <w:i/>
                <w:sz w:val="20"/>
              </w:rPr>
              <w:t>Section 1.01(i)</w:t>
            </w:r>
          </w:p>
        </w:tc>
        <w:tc>
          <w:tcPr>
            <w:tcW w:w="3470" w:type="dxa"/>
            <w:shd w:val="clear" w:color="auto" w:fill="auto"/>
          </w:tcPr>
          <w:p w:rsidR="00A67292" w:rsidRPr="001F3135" w:rsidDel="002E3E3F" w:rsidRDefault="00A67292" w:rsidP="003D0DCE">
            <w:pPr>
              <w:pStyle w:val="Heading2Text"/>
              <w:spacing w:before="100" w:beforeAutospacing="1" w:after="100" w:afterAutospacing="1" w:line="240" w:lineRule="auto"/>
              <w:ind w:firstLine="0"/>
              <w:rPr>
                <w:rFonts w:ascii="Palatino Linotype" w:hAnsi="Palatino Linotype"/>
                <w:sz w:val="20"/>
              </w:rPr>
            </w:pPr>
            <w:r w:rsidRPr="00CA1FBF">
              <w:rPr>
                <w:rFonts w:ascii="Palatino Linotype" w:hAnsi="Palatino Linotype"/>
                <w:sz w:val="20"/>
              </w:rPr>
              <w:t>Clarified in Section 1.01(i) that the Installed DC Rating for solar photovoltaic projects may not exceed the figure reflected in the seller’s description of the Generating Facility.</w:t>
            </w:r>
          </w:p>
        </w:tc>
        <w:tc>
          <w:tcPr>
            <w:tcW w:w="1698" w:type="dxa"/>
          </w:tcPr>
          <w:p w:rsidR="00A67292" w:rsidRPr="001F3135" w:rsidRDefault="00A67292" w:rsidP="00CA1FBF">
            <w:pPr>
              <w:spacing w:before="120" w:after="120"/>
              <w:rPr>
                <w:rFonts w:ascii="Palatino Linotype" w:hAnsi="Palatino Linotype"/>
                <w:sz w:val="20"/>
              </w:rPr>
            </w:pPr>
            <w:r w:rsidRPr="001F3135">
              <w:rPr>
                <w:rFonts w:ascii="Palatino Linotype" w:hAnsi="Palatino Linotype"/>
                <w:sz w:val="20"/>
              </w:rPr>
              <w:t xml:space="preserve">SCE advice letter </w:t>
            </w:r>
            <w:r>
              <w:rPr>
                <w:rFonts w:ascii="Palatino Linotype" w:hAnsi="Palatino Linotype"/>
                <w:sz w:val="20"/>
              </w:rPr>
              <w:t>3003</w:t>
            </w:r>
            <w:r w:rsidRPr="001F3135">
              <w:rPr>
                <w:rFonts w:ascii="Palatino Linotype" w:hAnsi="Palatino Linotype"/>
                <w:sz w:val="20"/>
              </w:rPr>
              <w:t xml:space="preserve">-E (Section </w:t>
            </w:r>
            <w:r>
              <w:rPr>
                <w:rFonts w:ascii="Palatino Linotype" w:hAnsi="Palatino Linotype"/>
                <w:sz w:val="20"/>
              </w:rPr>
              <w:t>A.6)</w:t>
            </w:r>
            <w:r w:rsidRPr="001F3135">
              <w:rPr>
                <w:rFonts w:ascii="Palatino Linotype" w:hAnsi="Palatino Linotype"/>
                <w:sz w:val="20"/>
              </w:rPr>
              <w:t>:</w:t>
            </w:r>
          </w:p>
        </w:tc>
        <w:tc>
          <w:tcPr>
            <w:tcW w:w="1698" w:type="dxa"/>
          </w:tcPr>
          <w:p w:rsidR="00A67292" w:rsidRDefault="00A67292">
            <w:r w:rsidRPr="008F52D5">
              <w:rPr>
                <w:rFonts w:ascii="Palatino Linotype" w:hAnsi="Palatino Linotype"/>
                <w:sz w:val="20"/>
              </w:rPr>
              <w:t>Approve</w:t>
            </w:r>
          </w:p>
        </w:tc>
      </w:tr>
      <w:tr w:rsidR="00A67292" w:rsidRPr="009B3AFD" w:rsidTr="003D0DCE">
        <w:trPr>
          <w:trHeight w:val="2402"/>
          <w:jc w:val="center"/>
        </w:trPr>
        <w:tc>
          <w:tcPr>
            <w:tcW w:w="1652" w:type="dxa"/>
            <w:shd w:val="clear" w:color="auto" w:fill="auto"/>
          </w:tcPr>
          <w:p w:rsidR="00A67292" w:rsidRPr="001F3135" w:rsidRDefault="00A67292" w:rsidP="005E69C8">
            <w:pPr>
              <w:spacing w:before="120" w:after="120"/>
              <w:rPr>
                <w:rFonts w:ascii="Palatino Linotype" w:hAnsi="Palatino Linotype"/>
                <w:b/>
                <w:i/>
                <w:sz w:val="20"/>
              </w:rPr>
            </w:pPr>
            <w:r>
              <w:rPr>
                <w:rFonts w:ascii="Palatino Linotype" w:hAnsi="Palatino Linotype"/>
                <w:b/>
                <w:i/>
                <w:sz w:val="20"/>
              </w:rPr>
              <w:t>Excess Deliveries</w:t>
            </w:r>
          </w:p>
        </w:tc>
        <w:tc>
          <w:tcPr>
            <w:tcW w:w="2700" w:type="dxa"/>
            <w:shd w:val="clear" w:color="auto" w:fill="auto"/>
          </w:tcPr>
          <w:p w:rsidR="00A67292" w:rsidRPr="00CA1FBF" w:rsidRDefault="00A67292" w:rsidP="00E916A4">
            <w:pPr>
              <w:spacing w:before="120" w:after="120"/>
              <w:rPr>
                <w:rFonts w:ascii="Palatino Linotype" w:hAnsi="Palatino Linotype"/>
                <w:b/>
                <w:i/>
                <w:sz w:val="20"/>
              </w:rPr>
            </w:pPr>
            <w:r w:rsidRPr="00CA1FBF">
              <w:rPr>
                <w:rFonts w:ascii="Palatino Linotype" w:hAnsi="Palatino Linotype"/>
                <w:b/>
                <w:i/>
                <w:sz w:val="20"/>
              </w:rPr>
              <w:t>Previously Section 1.06(c)(ii))</w:t>
            </w:r>
          </w:p>
        </w:tc>
        <w:tc>
          <w:tcPr>
            <w:tcW w:w="3470" w:type="dxa"/>
            <w:shd w:val="clear" w:color="auto" w:fill="auto"/>
          </w:tcPr>
          <w:p w:rsidR="00A67292" w:rsidRPr="001F3135" w:rsidRDefault="00A67292" w:rsidP="003D0DCE">
            <w:pPr>
              <w:pStyle w:val="Heading2Text"/>
              <w:spacing w:before="100" w:beforeAutospacing="1" w:after="100" w:afterAutospacing="1" w:line="240" w:lineRule="auto"/>
              <w:ind w:firstLine="0"/>
              <w:rPr>
                <w:rFonts w:ascii="Palatino Linotype" w:hAnsi="Palatino Linotype"/>
                <w:sz w:val="20"/>
              </w:rPr>
            </w:pPr>
            <w:r w:rsidRPr="00CA1FBF">
              <w:rPr>
                <w:rFonts w:ascii="Palatino Linotype" w:hAnsi="Palatino Linotype"/>
                <w:sz w:val="20"/>
              </w:rPr>
              <w:t>Removed a separate provision limiting payment for deliveries in excess of 110% of the Contract Capacity in any TOD Period (previously Section 1.06(c)(ii)) because this separate limitation is unnecessary in light of the limitation in Section 1.06(c)(i).</w:t>
            </w:r>
          </w:p>
        </w:tc>
        <w:tc>
          <w:tcPr>
            <w:tcW w:w="1698" w:type="dxa"/>
          </w:tcPr>
          <w:p w:rsidR="00A67292" w:rsidRPr="001F3135" w:rsidRDefault="00A67292" w:rsidP="000D44A8">
            <w:pPr>
              <w:spacing w:before="120" w:after="120"/>
              <w:rPr>
                <w:rFonts w:ascii="Palatino Linotype" w:hAnsi="Palatino Linotype"/>
                <w:sz w:val="20"/>
              </w:rPr>
            </w:pPr>
            <w:r w:rsidRPr="001F3135">
              <w:rPr>
                <w:rFonts w:ascii="Palatino Linotype" w:hAnsi="Palatino Linotype"/>
                <w:sz w:val="20"/>
              </w:rPr>
              <w:t xml:space="preserve">SCE advice letter </w:t>
            </w:r>
            <w:r>
              <w:rPr>
                <w:rFonts w:ascii="Palatino Linotype" w:hAnsi="Palatino Linotype"/>
                <w:sz w:val="20"/>
              </w:rPr>
              <w:t>3003</w:t>
            </w:r>
            <w:r w:rsidRPr="001F3135">
              <w:rPr>
                <w:rFonts w:ascii="Palatino Linotype" w:hAnsi="Palatino Linotype"/>
                <w:sz w:val="20"/>
              </w:rPr>
              <w:t xml:space="preserve">-E (Section </w:t>
            </w:r>
            <w:r>
              <w:rPr>
                <w:rFonts w:ascii="Palatino Linotype" w:hAnsi="Palatino Linotype"/>
                <w:sz w:val="20"/>
              </w:rPr>
              <w:t>A.6)</w:t>
            </w:r>
            <w:r w:rsidRPr="001F3135">
              <w:rPr>
                <w:rFonts w:ascii="Palatino Linotype" w:hAnsi="Palatino Linotype"/>
                <w:sz w:val="20"/>
              </w:rPr>
              <w:t>:</w:t>
            </w:r>
          </w:p>
        </w:tc>
        <w:tc>
          <w:tcPr>
            <w:tcW w:w="1698" w:type="dxa"/>
          </w:tcPr>
          <w:p w:rsidR="00A67292" w:rsidRDefault="00A67292">
            <w:r w:rsidRPr="008F52D5">
              <w:rPr>
                <w:rFonts w:ascii="Palatino Linotype" w:hAnsi="Palatino Linotype"/>
                <w:sz w:val="20"/>
              </w:rPr>
              <w:t>Approve</w:t>
            </w:r>
          </w:p>
        </w:tc>
      </w:tr>
      <w:tr w:rsidR="00A67292" w:rsidRPr="009B3AFD" w:rsidTr="003D0DCE">
        <w:trPr>
          <w:trHeight w:val="1520"/>
          <w:jc w:val="center"/>
        </w:trPr>
        <w:tc>
          <w:tcPr>
            <w:tcW w:w="1652" w:type="dxa"/>
            <w:shd w:val="clear" w:color="auto" w:fill="auto"/>
          </w:tcPr>
          <w:p w:rsidR="00A67292" w:rsidRPr="001F3135" w:rsidRDefault="00A67292" w:rsidP="005E69C8">
            <w:pPr>
              <w:spacing w:before="120" w:after="120"/>
              <w:rPr>
                <w:rFonts w:ascii="Palatino Linotype" w:hAnsi="Palatino Linotype"/>
                <w:b/>
                <w:i/>
                <w:sz w:val="20"/>
              </w:rPr>
            </w:pPr>
            <w:r>
              <w:rPr>
                <w:rFonts w:ascii="Palatino Linotype" w:hAnsi="Palatino Linotype"/>
                <w:b/>
                <w:i/>
                <w:sz w:val="20"/>
              </w:rPr>
              <w:t>Generating Facility Identification Number</w:t>
            </w:r>
          </w:p>
        </w:tc>
        <w:tc>
          <w:tcPr>
            <w:tcW w:w="2700" w:type="dxa"/>
            <w:shd w:val="clear" w:color="auto" w:fill="auto"/>
          </w:tcPr>
          <w:p w:rsidR="00A67292" w:rsidRPr="00CA1FBF" w:rsidRDefault="00A67292" w:rsidP="00E916A4">
            <w:pPr>
              <w:spacing w:before="120" w:after="120"/>
              <w:rPr>
                <w:rFonts w:ascii="Palatino Linotype" w:hAnsi="Palatino Linotype"/>
                <w:b/>
                <w:i/>
                <w:sz w:val="20"/>
              </w:rPr>
            </w:pPr>
            <w:r w:rsidRPr="00CA1FBF">
              <w:rPr>
                <w:rFonts w:ascii="Palatino Linotype" w:hAnsi="Palatino Linotype"/>
                <w:b/>
                <w:i/>
                <w:sz w:val="20"/>
              </w:rPr>
              <w:t>Section 1.12</w:t>
            </w:r>
          </w:p>
        </w:tc>
        <w:tc>
          <w:tcPr>
            <w:tcW w:w="3470" w:type="dxa"/>
            <w:shd w:val="clear" w:color="auto" w:fill="auto"/>
          </w:tcPr>
          <w:p w:rsidR="00A67292" w:rsidRPr="00CA1FBF" w:rsidRDefault="00A67292" w:rsidP="003D0DCE">
            <w:pPr>
              <w:pStyle w:val="Heading2Text"/>
              <w:spacing w:before="100" w:beforeAutospacing="1" w:after="100" w:afterAutospacing="1" w:line="240" w:lineRule="auto"/>
              <w:ind w:firstLine="0"/>
              <w:rPr>
                <w:rFonts w:ascii="Palatino Linotype" w:hAnsi="Palatino Linotype"/>
                <w:sz w:val="20"/>
              </w:rPr>
            </w:pPr>
            <w:r w:rsidRPr="00CA1FBF">
              <w:rPr>
                <w:rFonts w:ascii="Palatino Linotype" w:hAnsi="Palatino Linotype"/>
                <w:sz w:val="20"/>
              </w:rPr>
              <w:t>Removed Section 1.12 requirement to insert Generating Facility Identification Number because the information is of limited value.</w:t>
            </w:r>
          </w:p>
        </w:tc>
        <w:tc>
          <w:tcPr>
            <w:tcW w:w="1698" w:type="dxa"/>
          </w:tcPr>
          <w:p w:rsidR="00A67292" w:rsidRPr="001F3135" w:rsidRDefault="00A67292" w:rsidP="000D44A8">
            <w:pPr>
              <w:spacing w:before="120" w:after="120"/>
              <w:rPr>
                <w:rFonts w:ascii="Palatino Linotype" w:hAnsi="Palatino Linotype"/>
                <w:sz w:val="20"/>
              </w:rPr>
            </w:pPr>
            <w:r w:rsidRPr="001F3135">
              <w:rPr>
                <w:rFonts w:ascii="Palatino Linotype" w:hAnsi="Palatino Linotype"/>
                <w:sz w:val="20"/>
              </w:rPr>
              <w:t xml:space="preserve">SCE advice letter </w:t>
            </w:r>
            <w:r>
              <w:rPr>
                <w:rFonts w:ascii="Palatino Linotype" w:hAnsi="Palatino Linotype"/>
                <w:sz w:val="20"/>
              </w:rPr>
              <w:t>3003</w:t>
            </w:r>
            <w:r w:rsidRPr="001F3135">
              <w:rPr>
                <w:rFonts w:ascii="Palatino Linotype" w:hAnsi="Palatino Linotype"/>
                <w:sz w:val="20"/>
              </w:rPr>
              <w:t xml:space="preserve">-E (Section </w:t>
            </w:r>
            <w:r>
              <w:rPr>
                <w:rFonts w:ascii="Palatino Linotype" w:hAnsi="Palatino Linotype"/>
                <w:sz w:val="20"/>
              </w:rPr>
              <w:t>A.6)</w:t>
            </w:r>
            <w:r w:rsidRPr="001F3135">
              <w:rPr>
                <w:rFonts w:ascii="Palatino Linotype" w:hAnsi="Palatino Linotype"/>
                <w:sz w:val="20"/>
              </w:rPr>
              <w:t>:</w:t>
            </w:r>
          </w:p>
        </w:tc>
        <w:tc>
          <w:tcPr>
            <w:tcW w:w="1698" w:type="dxa"/>
          </w:tcPr>
          <w:p w:rsidR="00A67292" w:rsidRDefault="00A67292">
            <w:r w:rsidRPr="008F52D5">
              <w:rPr>
                <w:rFonts w:ascii="Palatino Linotype" w:hAnsi="Palatino Linotype"/>
                <w:sz w:val="20"/>
              </w:rPr>
              <w:t>Approve</w:t>
            </w:r>
          </w:p>
        </w:tc>
      </w:tr>
      <w:tr w:rsidR="00A67292" w:rsidRPr="009B3AFD" w:rsidTr="003D0DCE">
        <w:trPr>
          <w:trHeight w:hRule="exact" w:val="1342"/>
          <w:jc w:val="center"/>
        </w:trPr>
        <w:tc>
          <w:tcPr>
            <w:tcW w:w="1652" w:type="dxa"/>
            <w:shd w:val="clear" w:color="auto" w:fill="auto"/>
          </w:tcPr>
          <w:p w:rsidR="00A67292" w:rsidRPr="001F3135" w:rsidRDefault="00A67292" w:rsidP="005E69C8">
            <w:pPr>
              <w:spacing w:before="120" w:after="120"/>
              <w:rPr>
                <w:rFonts w:ascii="Palatino Linotype" w:hAnsi="Palatino Linotype"/>
                <w:b/>
                <w:i/>
                <w:sz w:val="20"/>
              </w:rPr>
            </w:pPr>
            <w:r>
              <w:rPr>
                <w:rFonts w:ascii="Palatino Linotype" w:hAnsi="Palatino Linotype"/>
                <w:b/>
                <w:i/>
                <w:sz w:val="20"/>
              </w:rPr>
              <w:t>Effective Date and Obligations</w:t>
            </w:r>
          </w:p>
        </w:tc>
        <w:tc>
          <w:tcPr>
            <w:tcW w:w="2700" w:type="dxa"/>
            <w:shd w:val="clear" w:color="auto" w:fill="auto"/>
          </w:tcPr>
          <w:p w:rsidR="00A67292" w:rsidRPr="00CA1FBF" w:rsidRDefault="00A67292" w:rsidP="00E916A4">
            <w:pPr>
              <w:spacing w:before="120" w:after="120"/>
              <w:rPr>
                <w:rFonts w:ascii="Palatino Linotype" w:hAnsi="Palatino Linotype"/>
                <w:b/>
                <w:i/>
                <w:sz w:val="20"/>
              </w:rPr>
            </w:pPr>
            <w:r w:rsidRPr="00CA1FBF">
              <w:rPr>
                <w:rFonts w:ascii="Palatino Linotype" w:hAnsi="Palatino Linotype"/>
                <w:b/>
                <w:i/>
                <w:sz w:val="20"/>
              </w:rPr>
              <w:t>Section 2.01</w:t>
            </w:r>
          </w:p>
        </w:tc>
        <w:tc>
          <w:tcPr>
            <w:tcW w:w="3470" w:type="dxa"/>
            <w:shd w:val="clear" w:color="auto" w:fill="auto"/>
          </w:tcPr>
          <w:p w:rsidR="00A67292" w:rsidRPr="00CA1FBF" w:rsidRDefault="00A67292" w:rsidP="003D0DCE">
            <w:pPr>
              <w:pStyle w:val="Heading2Text"/>
              <w:spacing w:before="100" w:beforeAutospacing="1" w:after="100" w:afterAutospacing="1" w:line="240" w:lineRule="auto"/>
              <w:ind w:firstLine="0"/>
              <w:rPr>
                <w:rFonts w:ascii="Palatino Linotype" w:hAnsi="Palatino Linotype"/>
                <w:sz w:val="20"/>
              </w:rPr>
            </w:pPr>
            <w:r w:rsidRPr="00CA1FBF">
              <w:rPr>
                <w:rFonts w:ascii="Palatino Linotype" w:hAnsi="Palatino Linotype"/>
                <w:sz w:val="20"/>
              </w:rPr>
              <w:t>Removed Section 2.01, Effective Date and Obligations Prior to Effective Date, because the provision is unnecessary.</w:t>
            </w:r>
          </w:p>
          <w:p w:rsidR="00A67292" w:rsidRPr="00CA1FBF" w:rsidRDefault="00A67292" w:rsidP="003D0DCE">
            <w:pPr>
              <w:spacing w:before="100" w:beforeAutospacing="1" w:after="100" w:afterAutospacing="1"/>
              <w:rPr>
                <w:rFonts w:ascii="Palatino Linotype" w:hAnsi="Palatino Linotype"/>
                <w:sz w:val="20"/>
              </w:rPr>
            </w:pPr>
          </w:p>
        </w:tc>
        <w:tc>
          <w:tcPr>
            <w:tcW w:w="1698" w:type="dxa"/>
          </w:tcPr>
          <w:p w:rsidR="00A67292" w:rsidRPr="001F3135" w:rsidRDefault="00A67292" w:rsidP="000D44A8">
            <w:pPr>
              <w:spacing w:before="120" w:after="120"/>
              <w:rPr>
                <w:rFonts w:ascii="Palatino Linotype" w:hAnsi="Palatino Linotype"/>
                <w:sz w:val="20"/>
              </w:rPr>
            </w:pPr>
            <w:r w:rsidRPr="001F3135">
              <w:rPr>
                <w:rFonts w:ascii="Palatino Linotype" w:hAnsi="Palatino Linotype"/>
                <w:sz w:val="20"/>
              </w:rPr>
              <w:t xml:space="preserve">SCE advice letter </w:t>
            </w:r>
            <w:r>
              <w:rPr>
                <w:rFonts w:ascii="Palatino Linotype" w:hAnsi="Palatino Linotype"/>
                <w:sz w:val="20"/>
              </w:rPr>
              <w:t>3003</w:t>
            </w:r>
            <w:r w:rsidRPr="001F3135">
              <w:rPr>
                <w:rFonts w:ascii="Palatino Linotype" w:hAnsi="Palatino Linotype"/>
                <w:sz w:val="20"/>
              </w:rPr>
              <w:t xml:space="preserve">-E (Section </w:t>
            </w:r>
            <w:r>
              <w:rPr>
                <w:rFonts w:ascii="Palatino Linotype" w:hAnsi="Palatino Linotype"/>
                <w:sz w:val="20"/>
              </w:rPr>
              <w:t>A.6)</w:t>
            </w:r>
            <w:r w:rsidRPr="001F3135">
              <w:rPr>
                <w:rFonts w:ascii="Palatino Linotype" w:hAnsi="Palatino Linotype"/>
                <w:sz w:val="20"/>
              </w:rPr>
              <w:t>:</w:t>
            </w:r>
          </w:p>
        </w:tc>
        <w:tc>
          <w:tcPr>
            <w:tcW w:w="1698" w:type="dxa"/>
          </w:tcPr>
          <w:p w:rsidR="00A67292" w:rsidRDefault="00A67292">
            <w:r w:rsidRPr="008F52D5">
              <w:rPr>
                <w:rFonts w:ascii="Palatino Linotype" w:hAnsi="Palatino Linotype"/>
                <w:sz w:val="20"/>
              </w:rPr>
              <w:t>Approve</w:t>
            </w:r>
          </w:p>
        </w:tc>
      </w:tr>
      <w:tr w:rsidR="00A67292" w:rsidRPr="009B3AFD" w:rsidTr="003D0DCE">
        <w:trPr>
          <w:trHeight w:hRule="exact" w:val="1612"/>
          <w:jc w:val="center"/>
        </w:trPr>
        <w:tc>
          <w:tcPr>
            <w:tcW w:w="1652" w:type="dxa"/>
            <w:shd w:val="clear" w:color="auto" w:fill="auto"/>
          </w:tcPr>
          <w:p w:rsidR="00A67292" w:rsidRPr="001F3135" w:rsidRDefault="00A67292" w:rsidP="005E69C8">
            <w:pPr>
              <w:spacing w:before="120" w:after="120"/>
              <w:rPr>
                <w:rFonts w:ascii="Palatino Linotype" w:hAnsi="Palatino Linotype"/>
                <w:b/>
                <w:i/>
                <w:sz w:val="20"/>
              </w:rPr>
            </w:pPr>
            <w:r>
              <w:rPr>
                <w:rFonts w:ascii="Palatino Linotype" w:hAnsi="Palatino Linotype"/>
                <w:b/>
                <w:i/>
                <w:sz w:val="20"/>
              </w:rPr>
              <w:t>Interconnection Queue Position</w:t>
            </w:r>
          </w:p>
        </w:tc>
        <w:tc>
          <w:tcPr>
            <w:tcW w:w="2700" w:type="dxa"/>
            <w:shd w:val="clear" w:color="auto" w:fill="auto"/>
          </w:tcPr>
          <w:p w:rsidR="00A67292" w:rsidRPr="00CA1FBF" w:rsidRDefault="00A67292" w:rsidP="00E916A4">
            <w:pPr>
              <w:spacing w:before="120" w:after="120"/>
              <w:rPr>
                <w:rFonts w:ascii="Palatino Linotype" w:hAnsi="Palatino Linotype"/>
                <w:b/>
                <w:i/>
                <w:sz w:val="20"/>
              </w:rPr>
            </w:pPr>
            <w:r w:rsidRPr="00CA1FBF">
              <w:rPr>
                <w:rFonts w:ascii="Palatino Linotype" w:hAnsi="Palatino Linotype"/>
                <w:b/>
                <w:i/>
                <w:sz w:val="20"/>
              </w:rPr>
              <w:t>Section 2.01(b) (previously Section 2.02(b))</w:t>
            </w:r>
          </w:p>
        </w:tc>
        <w:tc>
          <w:tcPr>
            <w:tcW w:w="3470" w:type="dxa"/>
            <w:shd w:val="clear" w:color="auto" w:fill="auto"/>
          </w:tcPr>
          <w:p w:rsidR="00A67292" w:rsidRPr="00CA1FBF" w:rsidRDefault="00A67292" w:rsidP="003D0DCE">
            <w:pPr>
              <w:pStyle w:val="Heading2Text"/>
              <w:spacing w:before="100" w:beforeAutospacing="1" w:after="100" w:afterAutospacing="1" w:line="240" w:lineRule="auto"/>
              <w:ind w:firstLine="0"/>
              <w:rPr>
                <w:rFonts w:ascii="Palatino Linotype" w:hAnsi="Palatino Linotype"/>
                <w:sz w:val="20"/>
              </w:rPr>
            </w:pPr>
            <w:r w:rsidRPr="00CA1FBF">
              <w:rPr>
                <w:rFonts w:ascii="Palatino Linotype" w:hAnsi="Palatino Linotype"/>
                <w:sz w:val="20"/>
              </w:rPr>
              <w:t>Clarified in Section 2.01(b) (previously Section 2.02(b)) that the Interconnection Queue Position may not be utilized for the benefit of another PPA without SCE’s consent.</w:t>
            </w:r>
          </w:p>
        </w:tc>
        <w:tc>
          <w:tcPr>
            <w:tcW w:w="1698" w:type="dxa"/>
          </w:tcPr>
          <w:p w:rsidR="00A67292" w:rsidRPr="001F3135" w:rsidRDefault="00A67292" w:rsidP="000D44A8">
            <w:pPr>
              <w:spacing w:before="120" w:after="120"/>
              <w:rPr>
                <w:rFonts w:ascii="Palatino Linotype" w:hAnsi="Palatino Linotype"/>
                <w:sz w:val="20"/>
              </w:rPr>
            </w:pPr>
            <w:r w:rsidRPr="001F3135">
              <w:rPr>
                <w:rFonts w:ascii="Palatino Linotype" w:hAnsi="Palatino Linotype"/>
                <w:sz w:val="20"/>
              </w:rPr>
              <w:t xml:space="preserve">SCE advice letter </w:t>
            </w:r>
            <w:r>
              <w:rPr>
                <w:rFonts w:ascii="Palatino Linotype" w:hAnsi="Palatino Linotype"/>
                <w:sz w:val="20"/>
              </w:rPr>
              <w:t>3003</w:t>
            </w:r>
            <w:r w:rsidRPr="001F3135">
              <w:rPr>
                <w:rFonts w:ascii="Palatino Linotype" w:hAnsi="Palatino Linotype"/>
                <w:sz w:val="20"/>
              </w:rPr>
              <w:t xml:space="preserve">-E (Section </w:t>
            </w:r>
            <w:r>
              <w:rPr>
                <w:rFonts w:ascii="Palatino Linotype" w:hAnsi="Palatino Linotype"/>
                <w:sz w:val="20"/>
              </w:rPr>
              <w:t>A.6)</w:t>
            </w:r>
            <w:r w:rsidRPr="001F3135">
              <w:rPr>
                <w:rFonts w:ascii="Palatino Linotype" w:hAnsi="Palatino Linotype"/>
                <w:sz w:val="20"/>
              </w:rPr>
              <w:t>:</w:t>
            </w:r>
          </w:p>
        </w:tc>
        <w:tc>
          <w:tcPr>
            <w:tcW w:w="1698" w:type="dxa"/>
          </w:tcPr>
          <w:p w:rsidR="00A67292" w:rsidRDefault="00A67292">
            <w:r w:rsidRPr="008F52D5">
              <w:rPr>
                <w:rFonts w:ascii="Palatino Linotype" w:hAnsi="Palatino Linotype"/>
                <w:sz w:val="20"/>
              </w:rPr>
              <w:t>Approve</w:t>
            </w:r>
          </w:p>
        </w:tc>
      </w:tr>
      <w:tr w:rsidR="00A67292" w:rsidRPr="009B3AFD" w:rsidTr="003D0DCE">
        <w:trPr>
          <w:trHeight w:hRule="exact" w:val="1873"/>
          <w:jc w:val="center"/>
        </w:trPr>
        <w:tc>
          <w:tcPr>
            <w:tcW w:w="1652" w:type="dxa"/>
            <w:shd w:val="clear" w:color="auto" w:fill="auto"/>
          </w:tcPr>
          <w:p w:rsidR="00A67292" w:rsidRPr="001F3135" w:rsidRDefault="00A67292" w:rsidP="005E69C8">
            <w:pPr>
              <w:spacing w:before="120" w:after="120"/>
              <w:rPr>
                <w:rFonts w:ascii="Palatino Linotype" w:hAnsi="Palatino Linotype"/>
                <w:b/>
                <w:i/>
                <w:sz w:val="20"/>
              </w:rPr>
            </w:pPr>
            <w:r>
              <w:rPr>
                <w:rFonts w:ascii="Palatino Linotype" w:hAnsi="Palatino Linotype"/>
                <w:b/>
                <w:i/>
                <w:sz w:val="20"/>
              </w:rPr>
              <w:t>Permitting</w:t>
            </w:r>
          </w:p>
        </w:tc>
        <w:tc>
          <w:tcPr>
            <w:tcW w:w="2700" w:type="dxa"/>
            <w:shd w:val="clear" w:color="auto" w:fill="auto"/>
          </w:tcPr>
          <w:p w:rsidR="00A67292" w:rsidRPr="00CA1FBF" w:rsidRDefault="00A67292" w:rsidP="00E916A4">
            <w:pPr>
              <w:spacing w:before="120" w:after="120"/>
              <w:rPr>
                <w:rFonts w:ascii="Palatino Linotype" w:hAnsi="Palatino Linotype"/>
                <w:b/>
                <w:i/>
                <w:sz w:val="20"/>
              </w:rPr>
            </w:pPr>
            <w:r w:rsidRPr="00CA1FBF">
              <w:rPr>
                <w:rFonts w:ascii="Palatino Linotype" w:hAnsi="Palatino Linotype"/>
                <w:b/>
                <w:i/>
                <w:sz w:val="20"/>
              </w:rPr>
              <w:t>Sections 2.01(c)(ii)-(v) (previously Sections 2.02(c)(ii)-(v)) and 3.20</w:t>
            </w:r>
          </w:p>
        </w:tc>
        <w:tc>
          <w:tcPr>
            <w:tcW w:w="3470" w:type="dxa"/>
            <w:shd w:val="clear" w:color="auto" w:fill="auto"/>
          </w:tcPr>
          <w:p w:rsidR="00A67292" w:rsidRPr="00CA1FBF" w:rsidRDefault="00A67292" w:rsidP="003D0DCE">
            <w:pPr>
              <w:pStyle w:val="Heading2Text"/>
              <w:spacing w:before="100" w:beforeAutospacing="1" w:after="100" w:afterAutospacing="1" w:line="240" w:lineRule="auto"/>
              <w:ind w:firstLine="0"/>
              <w:rPr>
                <w:rFonts w:ascii="Palatino Linotype" w:hAnsi="Palatino Linotype"/>
                <w:sz w:val="20"/>
              </w:rPr>
            </w:pPr>
            <w:r w:rsidRPr="00CA1FBF">
              <w:rPr>
                <w:rFonts w:ascii="Palatino Linotype" w:hAnsi="Palatino Linotype"/>
                <w:sz w:val="20"/>
              </w:rPr>
              <w:t>Simplified permitting requirement language in 2.01(c)(ii)-(v) (previously Sections 2.02(c)(ii)-(v)) and moved certain CEC Certification provisions to Section 3.20.</w:t>
            </w:r>
          </w:p>
        </w:tc>
        <w:tc>
          <w:tcPr>
            <w:tcW w:w="1698" w:type="dxa"/>
          </w:tcPr>
          <w:p w:rsidR="00A67292" w:rsidRPr="001F3135" w:rsidRDefault="00A67292" w:rsidP="000D44A8">
            <w:pPr>
              <w:spacing w:before="120" w:after="120"/>
              <w:rPr>
                <w:rFonts w:ascii="Palatino Linotype" w:hAnsi="Palatino Linotype"/>
                <w:sz w:val="20"/>
              </w:rPr>
            </w:pPr>
            <w:r w:rsidRPr="001F3135">
              <w:rPr>
                <w:rFonts w:ascii="Palatino Linotype" w:hAnsi="Palatino Linotype"/>
                <w:sz w:val="20"/>
              </w:rPr>
              <w:t xml:space="preserve">SCE advice letter </w:t>
            </w:r>
            <w:r>
              <w:rPr>
                <w:rFonts w:ascii="Palatino Linotype" w:hAnsi="Palatino Linotype"/>
                <w:sz w:val="20"/>
              </w:rPr>
              <w:t>3003</w:t>
            </w:r>
            <w:r w:rsidRPr="001F3135">
              <w:rPr>
                <w:rFonts w:ascii="Palatino Linotype" w:hAnsi="Palatino Linotype"/>
                <w:sz w:val="20"/>
              </w:rPr>
              <w:t xml:space="preserve">-E (Section </w:t>
            </w:r>
            <w:r>
              <w:rPr>
                <w:rFonts w:ascii="Palatino Linotype" w:hAnsi="Palatino Linotype"/>
                <w:sz w:val="20"/>
              </w:rPr>
              <w:t>A.6)</w:t>
            </w:r>
            <w:r w:rsidRPr="001F3135">
              <w:rPr>
                <w:rFonts w:ascii="Palatino Linotype" w:hAnsi="Palatino Linotype"/>
                <w:sz w:val="20"/>
              </w:rPr>
              <w:t>:</w:t>
            </w:r>
          </w:p>
        </w:tc>
        <w:tc>
          <w:tcPr>
            <w:tcW w:w="1698" w:type="dxa"/>
          </w:tcPr>
          <w:p w:rsidR="00A67292" w:rsidRDefault="00A67292">
            <w:r w:rsidRPr="008F52D5">
              <w:rPr>
                <w:rFonts w:ascii="Palatino Linotype" w:hAnsi="Palatino Linotype"/>
                <w:sz w:val="20"/>
              </w:rPr>
              <w:t>Approve</w:t>
            </w:r>
          </w:p>
        </w:tc>
      </w:tr>
      <w:tr w:rsidR="00A67292" w:rsidRPr="009B3AFD" w:rsidTr="003D0DCE">
        <w:trPr>
          <w:trHeight w:hRule="exact" w:val="1333"/>
          <w:jc w:val="center"/>
        </w:trPr>
        <w:tc>
          <w:tcPr>
            <w:tcW w:w="1652" w:type="dxa"/>
            <w:shd w:val="clear" w:color="auto" w:fill="auto"/>
          </w:tcPr>
          <w:p w:rsidR="00A67292" w:rsidRPr="001F3135" w:rsidRDefault="00A67292" w:rsidP="005E69C8">
            <w:pPr>
              <w:spacing w:before="120" w:after="120"/>
              <w:rPr>
                <w:rFonts w:ascii="Palatino Linotype" w:hAnsi="Palatino Linotype"/>
                <w:b/>
                <w:i/>
                <w:sz w:val="20"/>
              </w:rPr>
            </w:pPr>
            <w:r>
              <w:rPr>
                <w:rFonts w:ascii="Palatino Linotype" w:hAnsi="Palatino Linotype"/>
                <w:b/>
                <w:i/>
                <w:sz w:val="20"/>
              </w:rPr>
              <w:t>Biomethane Standard Term and Condition</w:t>
            </w:r>
          </w:p>
        </w:tc>
        <w:tc>
          <w:tcPr>
            <w:tcW w:w="2700" w:type="dxa"/>
            <w:shd w:val="clear" w:color="auto" w:fill="auto"/>
          </w:tcPr>
          <w:p w:rsidR="00A67292" w:rsidRPr="00CA1FBF" w:rsidRDefault="00A67292" w:rsidP="00E916A4">
            <w:pPr>
              <w:spacing w:before="120" w:after="120"/>
              <w:rPr>
                <w:rFonts w:ascii="Palatino Linotype" w:hAnsi="Palatino Linotype"/>
                <w:b/>
                <w:i/>
                <w:sz w:val="20"/>
              </w:rPr>
            </w:pPr>
            <w:r w:rsidRPr="00CA1FBF">
              <w:rPr>
                <w:rFonts w:ascii="Palatino Linotype" w:hAnsi="Palatino Linotype"/>
                <w:b/>
                <w:i/>
                <w:sz w:val="20"/>
              </w:rPr>
              <w:t>Section 3.01(f)</w:t>
            </w:r>
          </w:p>
        </w:tc>
        <w:tc>
          <w:tcPr>
            <w:tcW w:w="3470" w:type="dxa"/>
            <w:shd w:val="clear" w:color="auto" w:fill="auto"/>
          </w:tcPr>
          <w:p w:rsidR="00A67292" w:rsidRPr="00CA1FBF" w:rsidRDefault="00A67292" w:rsidP="003D0DCE">
            <w:pPr>
              <w:pStyle w:val="Heading2Text"/>
              <w:spacing w:before="100" w:beforeAutospacing="1" w:after="100" w:afterAutospacing="1" w:line="240" w:lineRule="auto"/>
              <w:ind w:firstLine="0"/>
              <w:rPr>
                <w:rFonts w:ascii="Palatino Linotype" w:hAnsi="Palatino Linotype"/>
                <w:sz w:val="20"/>
              </w:rPr>
            </w:pPr>
            <w:r w:rsidRPr="00CA1FBF">
              <w:rPr>
                <w:rFonts w:ascii="Palatino Linotype" w:hAnsi="Palatino Linotype"/>
                <w:sz w:val="20"/>
              </w:rPr>
              <w:t xml:space="preserve">Added standard contract language regarding biomethane projects in Section 3.01(f) pursuant to </w:t>
            </w:r>
            <w:r w:rsidR="001E7A8A">
              <w:rPr>
                <w:rFonts w:ascii="Palatino Linotype" w:hAnsi="Palatino Linotype"/>
                <w:sz w:val="20"/>
              </w:rPr>
              <w:br/>
            </w:r>
            <w:r w:rsidRPr="00CA1FBF">
              <w:rPr>
                <w:rFonts w:ascii="Palatino Linotype" w:hAnsi="Palatino Linotype"/>
                <w:sz w:val="20"/>
              </w:rPr>
              <w:t xml:space="preserve">D.13-11-024. </w:t>
            </w:r>
          </w:p>
          <w:p w:rsidR="00A67292" w:rsidRPr="00CA1FBF" w:rsidRDefault="00A67292" w:rsidP="003D0DCE">
            <w:pPr>
              <w:spacing w:before="100" w:beforeAutospacing="1" w:after="100" w:afterAutospacing="1"/>
              <w:rPr>
                <w:rFonts w:ascii="Palatino Linotype" w:hAnsi="Palatino Linotype"/>
                <w:sz w:val="20"/>
              </w:rPr>
            </w:pPr>
          </w:p>
          <w:p w:rsidR="00A67292" w:rsidRPr="00CA1FBF" w:rsidRDefault="00A67292" w:rsidP="003D0DCE">
            <w:pPr>
              <w:spacing w:before="100" w:beforeAutospacing="1" w:after="100" w:afterAutospacing="1"/>
              <w:rPr>
                <w:rFonts w:ascii="Palatino Linotype" w:hAnsi="Palatino Linotype"/>
                <w:sz w:val="20"/>
              </w:rPr>
            </w:pPr>
          </w:p>
          <w:p w:rsidR="00A67292" w:rsidRPr="00CA1FBF" w:rsidRDefault="00A67292" w:rsidP="003D0DCE">
            <w:pPr>
              <w:spacing w:before="100" w:beforeAutospacing="1" w:after="100" w:afterAutospacing="1"/>
              <w:rPr>
                <w:rFonts w:ascii="Palatino Linotype" w:hAnsi="Palatino Linotype"/>
                <w:sz w:val="20"/>
              </w:rPr>
            </w:pPr>
          </w:p>
          <w:p w:rsidR="00A67292" w:rsidRPr="00CA1FBF" w:rsidRDefault="00A67292" w:rsidP="003D0DCE">
            <w:pPr>
              <w:spacing w:before="100" w:beforeAutospacing="1" w:after="100" w:afterAutospacing="1"/>
              <w:rPr>
                <w:rFonts w:ascii="Palatino Linotype" w:hAnsi="Palatino Linotype"/>
                <w:sz w:val="20"/>
              </w:rPr>
            </w:pPr>
          </w:p>
          <w:p w:rsidR="00A67292" w:rsidRPr="00CA1FBF" w:rsidRDefault="00A67292" w:rsidP="003D0DCE">
            <w:pPr>
              <w:spacing w:before="100" w:beforeAutospacing="1" w:after="100" w:afterAutospacing="1"/>
              <w:rPr>
                <w:rFonts w:ascii="Palatino Linotype" w:hAnsi="Palatino Linotype"/>
                <w:sz w:val="20"/>
              </w:rPr>
            </w:pPr>
          </w:p>
          <w:p w:rsidR="00A67292" w:rsidRPr="00CA1FBF" w:rsidRDefault="00A67292" w:rsidP="003D0DCE">
            <w:pPr>
              <w:spacing w:before="100" w:beforeAutospacing="1" w:after="100" w:afterAutospacing="1"/>
              <w:rPr>
                <w:rFonts w:ascii="Palatino Linotype" w:hAnsi="Palatino Linotype"/>
                <w:sz w:val="20"/>
              </w:rPr>
            </w:pPr>
          </w:p>
          <w:p w:rsidR="00A67292" w:rsidRPr="00CA1FBF" w:rsidRDefault="00A67292" w:rsidP="003D0DCE">
            <w:pPr>
              <w:spacing w:before="100" w:beforeAutospacing="1" w:after="100" w:afterAutospacing="1"/>
              <w:ind w:firstLine="720"/>
              <w:rPr>
                <w:rFonts w:ascii="Palatino Linotype" w:hAnsi="Palatino Linotype"/>
                <w:sz w:val="20"/>
              </w:rPr>
            </w:pPr>
          </w:p>
        </w:tc>
        <w:tc>
          <w:tcPr>
            <w:tcW w:w="1698" w:type="dxa"/>
          </w:tcPr>
          <w:p w:rsidR="00A67292" w:rsidRPr="001F3135" w:rsidRDefault="00A67292" w:rsidP="000D44A8">
            <w:pPr>
              <w:spacing w:before="120" w:after="120"/>
              <w:rPr>
                <w:rFonts w:ascii="Palatino Linotype" w:hAnsi="Palatino Linotype"/>
                <w:sz w:val="20"/>
              </w:rPr>
            </w:pPr>
            <w:r w:rsidRPr="001F3135">
              <w:rPr>
                <w:rFonts w:ascii="Palatino Linotype" w:hAnsi="Palatino Linotype"/>
                <w:sz w:val="20"/>
              </w:rPr>
              <w:t xml:space="preserve">SCE advice letter </w:t>
            </w:r>
            <w:r>
              <w:rPr>
                <w:rFonts w:ascii="Palatino Linotype" w:hAnsi="Palatino Linotype"/>
                <w:sz w:val="20"/>
              </w:rPr>
              <w:t>3003</w:t>
            </w:r>
            <w:r w:rsidRPr="001F3135">
              <w:rPr>
                <w:rFonts w:ascii="Palatino Linotype" w:hAnsi="Palatino Linotype"/>
                <w:sz w:val="20"/>
              </w:rPr>
              <w:t xml:space="preserve">-E (Section </w:t>
            </w:r>
            <w:r>
              <w:rPr>
                <w:rFonts w:ascii="Palatino Linotype" w:hAnsi="Palatino Linotype"/>
                <w:sz w:val="20"/>
              </w:rPr>
              <w:t>A.6)</w:t>
            </w:r>
            <w:r w:rsidRPr="001F3135">
              <w:rPr>
                <w:rFonts w:ascii="Palatino Linotype" w:hAnsi="Palatino Linotype"/>
                <w:sz w:val="20"/>
              </w:rPr>
              <w:t>:</w:t>
            </w:r>
          </w:p>
        </w:tc>
        <w:tc>
          <w:tcPr>
            <w:tcW w:w="1698" w:type="dxa"/>
          </w:tcPr>
          <w:p w:rsidR="00A67292" w:rsidRDefault="00A67292">
            <w:r w:rsidRPr="008F52D5">
              <w:rPr>
                <w:rFonts w:ascii="Palatino Linotype" w:hAnsi="Palatino Linotype"/>
                <w:sz w:val="20"/>
              </w:rPr>
              <w:t>Approve</w:t>
            </w:r>
          </w:p>
        </w:tc>
      </w:tr>
      <w:tr w:rsidR="00A67292" w:rsidRPr="009B3AFD" w:rsidTr="003D0DCE">
        <w:trPr>
          <w:trHeight w:hRule="exact" w:val="2350"/>
          <w:jc w:val="center"/>
        </w:trPr>
        <w:tc>
          <w:tcPr>
            <w:tcW w:w="1652" w:type="dxa"/>
            <w:shd w:val="clear" w:color="auto" w:fill="auto"/>
          </w:tcPr>
          <w:p w:rsidR="00A67292" w:rsidRPr="001F3135" w:rsidRDefault="00A67292" w:rsidP="005E69C8">
            <w:pPr>
              <w:spacing w:before="120" w:after="120"/>
              <w:rPr>
                <w:rFonts w:ascii="Palatino Linotype" w:hAnsi="Palatino Linotype"/>
                <w:b/>
                <w:i/>
                <w:sz w:val="20"/>
              </w:rPr>
            </w:pPr>
            <w:r>
              <w:rPr>
                <w:rFonts w:ascii="Palatino Linotype" w:hAnsi="Palatino Linotype"/>
                <w:b/>
                <w:i/>
                <w:sz w:val="20"/>
              </w:rPr>
              <w:t>Monitoring Equipment</w:t>
            </w:r>
          </w:p>
        </w:tc>
        <w:tc>
          <w:tcPr>
            <w:tcW w:w="2700" w:type="dxa"/>
            <w:shd w:val="clear" w:color="auto" w:fill="auto"/>
          </w:tcPr>
          <w:p w:rsidR="00A67292" w:rsidRPr="00CA1FBF" w:rsidRDefault="00A67292" w:rsidP="00E916A4">
            <w:pPr>
              <w:spacing w:before="120" w:after="120"/>
              <w:rPr>
                <w:rFonts w:ascii="Palatino Linotype" w:hAnsi="Palatino Linotype"/>
                <w:b/>
                <w:i/>
                <w:sz w:val="20"/>
              </w:rPr>
            </w:pPr>
            <w:r w:rsidRPr="00CA1FBF">
              <w:rPr>
                <w:rFonts w:ascii="Palatino Linotype" w:hAnsi="Palatino Linotype"/>
                <w:b/>
                <w:i/>
                <w:sz w:val="20"/>
              </w:rPr>
              <w:t>Section 3.08(f) and Exhibit P-2b</w:t>
            </w:r>
          </w:p>
        </w:tc>
        <w:tc>
          <w:tcPr>
            <w:tcW w:w="3470" w:type="dxa"/>
            <w:shd w:val="clear" w:color="auto" w:fill="auto"/>
          </w:tcPr>
          <w:p w:rsidR="00A67292" w:rsidRPr="00CA1FBF" w:rsidRDefault="00A67292" w:rsidP="003D0DCE">
            <w:pPr>
              <w:pStyle w:val="Heading2Text"/>
              <w:spacing w:before="100" w:beforeAutospacing="1" w:after="100" w:afterAutospacing="1" w:line="240" w:lineRule="auto"/>
              <w:ind w:firstLine="0"/>
              <w:rPr>
                <w:rFonts w:ascii="Palatino Linotype" w:hAnsi="Palatino Linotype"/>
                <w:sz w:val="20"/>
              </w:rPr>
            </w:pPr>
            <w:r w:rsidRPr="00CA1FBF">
              <w:rPr>
                <w:rFonts w:ascii="Palatino Linotype" w:hAnsi="Palatino Linotype"/>
                <w:sz w:val="20"/>
              </w:rPr>
              <w:t>Revised Section 3.08(f) and Exhibit P-2b, Meteorological Stations and Reporting Requirements, to add more detailed requirements for solar photovoltaic facilities and to allow for sellers to install fewer pieces of monitoring equipment.</w:t>
            </w:r>
          </w:p>
        </w:tc>
        <w:tc>
          <w:tcPr>
            <w:tcW w:w="1698" w:type="dxa"/>
          </w:tcPr>
          <w:p w:rsidR="00A67292" w:rsidRPr="001F3135" w:rsidRDefault="00A67292" w:rsidP="000D44A8">
            <w:pPr>
              <w:spacing w:before="120" w:after="120"/>
              <w:rPr>
                <w:rFonts w:ascii="Palatino Linotype" w:hAnsi="Palatino Linotype"/>
                <w:sz w:val="20"/>
              </w:rPr>
            </w:pPr>
            <w:r w:rsidRPr="001F3135">
              <w:rPr>
                <w:rFonts w:ascii="Palatino Linotype" w:hAnsi="Palatino Linotype"/>
                <w:sz w:val="20"/>
              </w:rPr>
              <w:t xml:space="preserve">SCE advice letter </w:t>
            </w:r>
            <w:r>
              <w:rPr>
                <w:rFonts w:ascii="Palatino Linotype" w:hAnsi="Palatino Linotype"/>
                <w:sz w:val="20"/>
              </w:rPr>
              <w:t>3003</w:t>
            </w:r>
            <w:r w:rsidRPr="001F3135">
              <w:rPr>
                <w:rFonts w:ascii="Palatino Linotype" w:hAnsi="Palatino Linotype"/>
                <w:sz w:val="20"/>
              </w:rPr>
              <w:t xml:space="preserve">-E (Section </w:t>
            </w:r>
            <w:r>
              <w:rPr>
                <w:rFonts w:ascii="Palatino Linotype" w:hAnsi="Palatino Linotype"/>
                <w:sz w:val="20"/>
              </w:rPr>
              <w:t>A.6)</w:t>
            </w:r>
            <w:r w:rsidRPr="001F3135">
              <w:rPr>
                <w:rFonts w:ascii="Palatino Linotype" w:hAnsi="Palatino Linotype"/>
                <w:sz w:val="20"/>
              </w:rPr>
              <w:t>:</w:t>
            </w:r>
          </w:p>
        </w:tc>
        <w:tc>
          <w:tcPr>
            <w:tcW w:w="1698" w:type="dxa"/>
          </w:tcPr>
          <w:p w:rsidR="00A67292" w:rsidRDefault="00A67292">
            <w:r w:rsidRPr="008F52D5">
              <w:rPr>
                <w:rFonts w:ascii="Palatino Linotype" w:hAnsi="Palatino Linotype"/>
                <w:sz w:val="20"/>
              </w:rPr>
              <w:t>Approve</w:t>
            </w:r>
          </w:p>
        </w:tc>
      </w:tr>
      <w:tr w:rsidR="00A67292" w:rsidRPr="009B3AFD" w:rsidTr="003D0DCE">
        <w:trPr>
          <w:trHeight w:val="1682"/>
          <w:jc w:val="center"/>
        </w:trPr>
        <w:tc>
          <w:tcPr>
            <w:tcW w:w="1652" w:type="dxa"/>
            <w:shd w:val="clear" w:color="auto" w:fill="auto"/>
          </w:tcPr>
          <w:p w:rsidR="00A67292" w:rsidRPr="001F3135" w:rsidRDefault="00A67292" w:rsidP="008006C0">
            <w:pPr>
              <w:spacing w:before="120" w:after="120"/>
              <w:rPr>
                <w:rFonts w:ascii="Palatino Linotype" w:hAnsi="Palatino Linotype"/>
                <w:b/>
                <w:i/>
                <w:sz w:val="20"/>
              </w:rPr>
            </w:pPr>
            <w:r>
              <w:rPr>
                <w:rFonts w:ascii="Palatino Linotype" w:hAnsi="Palatino Linotype"/>
                <w:b/>
                <w:i/>
                <w:sz w:val="20"/>
              </w:rPr>
              <w:t>Notice Requirement</w:t>
            </w:r>
          </w:p>
        </w:tc>
        <w:tc>
          <w:tcPr>
            <w:tcW w:w="2700" w:type="dxa"/>
            <w:shd w:val="clear" w:color="auto" w:fill="auto"/>
          </w:tcPr>
          <w:p w:rsidR="00A67292" w:rsidRPr="00CA1FBF" w:rsidRDefault="00A67292" w:rsidP="00E916A4">
            <w:pPr>
              <w:spacing w:before="120" w:after="120"/>
              <w:rPr>
                <w:rFonts w:ascii="Palatino Linotype" w:hAnsi="Palatino Linotype"/>
                <w:b/>
                <w:i/>
                <w:sz w:val="20"/>
              </w:rPr>
            </w:pPr>
            <w:r w:rsidRPr="00CA1FBF">
              <w:rPr>
                <w:rFonts w:ascii="Palatino Linotype" w:hAnsi="Palatino Linotype"/>
                <w:b/>
                <w:i/>
                <w:sz w:val="20"/>
              </w:rPr>
              <w:t>Section 3.11(d)</w:t>
            </w:r>
          </w:p>
        </w:tc>
        <w:tc>
          <w:tcPr>
            <w:tcW w:w="3470" w:type="dxa"/>
            <w:shd w:val="clear" w:color="auto" w:fill="auto"/>
          </w:tcPr>
          <w:p w:rsidR="00A67292" w:rsidRPr="001F3135" w:rsidRDefault="00A67292" w:rsidP="003D0DCE">
            <w:pPr>
              <w:pStyle w:val="Heading2Text"/>
              <w:spacing w:before="100" w:beforeAutospacing="1" w:after="100" w:afterAutospacing="1" w:line="240" w:lineRule="auto"/>
              <w:ind w:firstLine="0"/>
              <w:rPr>
                <w:rFonts w:ascii="Palatino Linotype" w:hAnsi="Palatino Linotype"/>
                <w:sz w:val="20"/>
              </w:rPr>
            </w:pPr>
            <w:r w:rsidRPr="00CA1FBF">
              <w:rPr>
                <w:rFonts w:ascii="Palatino Linotype" w:hAnsi="Palatino Linotype"/>
                <w:sz w:val="20"/>
              </w:rPr>
              <w:t>Clarified that the notice requirement in Section 3.11(d) does not give sellers the right to make material changes to the Generating Facility without SCE’s consent.</w:t>
            </w:r>
          </w:p>
        </w:tc>
        <w:tc>
          <w:tcPr>
            <w:tcW w:w="1698" w:type="dxa"/>
          </w:tcPr>
          <w:p w:rsidR="00A67292" w:rsidRPr="001F3135" w:rsidRDefault="00A67292" w:rsidP="000D44A8">
            <w:pPr>
              <w:spacing w:before="120" w:after="120"/>
              <w:rPr>
                <w:rFonts w:ascii="Palatino Linotype" w:hAnsi="Palatino Linotype"/>
                <w:sz w:val="20"/>
              </w:rPr>
            </w:pPr>
            <w:r w:rsidRPr="001F3135">
              <w:rPr>
                <w:rFonts w:ascii="Palatino Linotype" w:hAnsi="Palatino Linotype"/>
                <w:sz w:val="20"/>
              </w:rPr>
              <w:t xml:space="preserve">SCE advice letter </w:t>
            </w:r>
            <w:r>
              <w:rPr>
                <w:rFonts w:ascii="Palatino Linotype" w:hAnsi="Palatino Linotype"/>
                <w:sz w:val="20"/>
              </w:rPr>
              <w:t>3003</w:t>
            </w:r>
            <w:r w:rsidRPr="001F3135">
              <w:rPr>
                <w:rFonts w:ascii="Palatino Linotype" w:hAnsi="Palatino Linotype"/>
                <w:sz w:val="20"/>
              </w:rPr>
              <w:t xml:space="preserve">-E (Section </w:t>
            </w:r>
            <w:r>
              <w:rPr>
                <w:rFonts w:ascii="Palatino Linotype" w:hAnsi="Palatino Linotype"/>
                <w:sz w:val="20"/>
              </w:rPr>
              <w:t>A.6)</w:t>
            </w:r>
            <w:r w:rsidRPr="001F3135">
              <w:rPr>
                <w:rFonts w:ascii="Palatino Linotype" w:hAnsi="Palatino Linotype"/>
                <w:sz w:val="20"/>
              </w:rPr>
              <w:t>:</w:t>
            </w:r>
          </w:p>
        </w:tc>
        <w:tc>
          <w:tcPr>
            <w:tcW w:w="1698" w:type="dxa"/>
          </w:tcPr>
          <w:p w:rsidR="00A67292" w:rsidRDefault="00A67292">
            <w:r w:rsidRPr="008F52D5">
              <w:rPr>
                <w:rFonts w:ascii="Palatino Linotype" w:hAnsi="Palatino Linotype"/>
                <w:sz w:val="20"/>
              </w:rPr>
              <w:t>Approve</w:t>
            </w:r>
          </w:p>
        </w:tc>
      </w:tr>
      <w:tr w:rsidR="00A67292" w:rsidRPr="009B3AFD" w:rsidTr="003D0DCE">
        <w:trPr>
          <w:jc w:val="center"/>
        </w:trPr>
        <w:tc>
          <w:tcPr>
            <w:tcW w:w="1652" w:type="dxa"/>
            <w:shd w:val="clear" w:color="auto" w:fill="auto"/>
          </w:tcPr>
          <w:p w:rsidR="00A67292" w:rsidRPr="001F3135" w:rsidRDefault="00A67292" w:rsidP="00E916A4">
            <w:pPr>
              <w:spacing w:before="120" w:after="120"/>
              <w:rPr>
                <w:rFonts w:ascii="Palatino Linotype" w:hAnsi="Palatino Linotype"/>
                <w:b/>
                <w:i/>
                <w:sz w:val="20"/>
              </w:rPr>
            </w:pPr>
            <w:r>
              <w:rPr>
                <w:rFonts w:ascii="Palatino Linotype" w:hAnsi="Palatino Linotype"/>
                <w:b/>
                <w:i/>
                <w:sz w:val="20"/>
              </w:rPr>
              <w:t>Supplier Diversity</w:t>
            </w:r>
          </w:p>
        </w:tc>
        <w:tc>
          <w:tcPr>
            <w:tcW w:w="2700" w:type="dxa"/>
            <w:shd w:val="clear" w:color="auto" w:fill="auto"/>
          </w:tcPr>
          <w:p w:rsidR="00A67292" w:rsidRPr="00CA1FBF" w:rsidRDefault="00A67292" w:rsidP="00E916A4">
            <w:pPr>
              <w:spacing w:before="120" w:after="120"/>
              <w:rPr>
                <w:rFonts w:ascii="Palatino Linotype" w:hAnsi="Palatino Linotype"/>
                <w:b/>
                <w:i/>
                <w:sz w:val="20"/>
              </w:rPr>
            </w:pPr>
            <w:r w:rsidRPr="00CA1FBF">
              <w:rPr>
                <w:rFonts w:ascii="Palatino Linotype" w:hAnsi="Palatino Linotype"/>
                <w:b/>
                <w:i/>
                <w:sz w:val="20"/>
              </w:rPr>
              <w:t>Section 3.17(i)</w:t>
            </w:r>
          </w:p>
        </w:tc>
        <w:tc>
          <w:tcPr>
            <w:tcW w:w="3470" w:type="dxa"/>
            <w:shd w:val="clear" w:color="auto" w:fill="auto"/>
          </w:tcPr>
          <w:p w:rsidR="00A67292" w:rsidRPr="001F3135" w:rsidRDefault="00A67292" w:rsidP="003D0DCE">
            <w:pPr>
              <w:spacing w:before="100" w:beforeAutospacing="1" w:after="100" w:afterAutospacing="1"/>
              <w:rPr>
                <w:rFonts w:ascii="Palatino Linotype" w:hAnsi="Palatino Linotype"/>
                <w:sz w:val="20"/>
              </w:rPr>
            </w:pPr>
            <w:r w:rsidRPr="00CA1FBF">
              <w:rPr>
                <w:rFonts w:ascii="Palatino Linotype" w:hAnsi="Palatino Linotype"/>
                <w:sz w:val="20"/>
              </w:rPr>
              <w:t>Added further requirements and SCE rights to Section 3.17(i) on seller’s reporting requirements for women, minority and disabled veteran business enterprise (“WMDVBE”) spend.</w:t>
            </w:r>
          </w:p>
        </w:tc>
        <w:tc>
          <w:tcPr>
            <w:tcW w:w="1698" w:type="dxa"/>
          </w:tcPr>
          <w:p w:rsidR="00A67292" w:rsidRPr="001F3135" w:rsidRDefault="00A67292" w:rsidP="000D44A8">
            <w:pPr>
              <w:spacing w:before="120" w:after="120"/>
              <w:rPr>
                <w:rFonts w:ascii="Palatino Linotype" w:hAnsi="Palatino Linotype"/>
                <w:sz w:val="20"/>
              </w:rPr>
            </w:pPr>
            <w:r w:rsidRPr="001F3135">
              <w:rPr>
                <w:rFonts w:ascii="Palatino Linotype" w:hAnsi="Palatino Linotype"/>
                <w:sz w:val="20"/>
              </w:rPr>
              <w:t xml:space="preserve">SCE advice letter </w:t>
            </w:r>
            <w:r>
              <w:rPr>
                <w:rFonts w:ascii="Palatino Linotype" w:hAnsi="Palatino Linotype"/>
                <w:sz w:val="20"/>
              </w:rPr>
              <w:t>3003</w:t>
            </w:r>
            <w:r w:rsidRPr="001F3135">
              <w:rPr>
                <w:rFonts w:ascii="Palatino Linotype" w:hAnsi="Palatino Linotype"/>
                <w:sz w:val="20"/>
              </w:rPr>
              <w:t xml:space="preserve">-E (Section </w:t>
            </w:r>
            <w:r>
              <w:rPr>
                <w:rFonts w:ascii="Palatino Linotype" w:hAnsi="Palatino Linotype"/>
                <w:sz w:val="20"/>
              </w:rPr>
              <w:t>A.6)</w:t>
            </w:r>
            <w:r w:rsidRPr="001F3135">
              <w:rPr>
                <w:rFonts w:ascii="Palatino Linotype" w:hAnsi="Palatino Linotype"/>
                <w:sz w:val="20"/>
              </w:rPr>
              <w:t>:</w:t>
            </w:r>
          </w:p>
        </w:tc>
        <w:tc>
          <w:tcPr>
            <w:tcW w:w="1698" w:type="dxa"/>
          </w:tcPr>
          <w:p w:rsidR="00A67292" w:rsidRDefault="00A67292">
            <w:r w:rsidRPr="008F52D5">
              <w:rPr>
                <w:rFonts w:ascii="Palatino Linotype" w:hAnsi="Palatino Linotype"/>
                <w:sz w:val="20"/>
              </w:rPr>
              <w:t>Approve</w:t>
            </w:r>
          </w:p>
        </w:tc>
      </w:tr>
      <w:tr w:rsidR="00A67292" w:rsidRPr="009B3AFD" w:rsidTr="003D0DCE">
        <w:trPr>
          <w:jc w:val="center"/>
        </w:trPr>
        <w:tc>
          <w:tcPr>
            <w:tcW w:w="1652" w:type="dxa"/>
            <w:shd w:val="clear" w:color="auto" w:fill="auto"/>
          </w:tcPr>
          <w:p w:rsidR="00A67292" w:rsidRPr="001F3135" w:rsidRDefault="00A67292" w:rsidP="000D5588">
            <w:pPr>
              <w:spacing w:before="120" w:after="120"/>
              <w:rPr>
                <w:b/>
                <w:i/>
                <w:sz w:val="20"/>
              </w:rPr>
            </w:pPr>
            <w:r>
              <w:rPr>
                <w:b/>
                <w:i/>
                <w:sz w:val="20"/>
              </w:rPr>
              <w:t>Confidentiality</w:t>
            </w:r>
          </w:p>
        </w:tc>
        <w:tc>
          <w:tcPr>
            <w:tcW w:w="2700" w:type="dxa"/>
            <w:shd w:val="clear" w:color="auto" w:fill="auto"/>
          </w:tcPr>
          <w:p w:rsidR="00A67292" w:rsidRPr="00CA1FBF" w:rsidRDefault="00A67292" w:rsidP="008318C7">
            <w:pPr>
              <w:spacing w:before="120" w:after="120"/>
              <w:rPr>
                <w:rFonts w:ascii="Palatino Linotype" w:hAnsi="Palatino Linotype"/>
                <w:b/>
                <w:i/>
                <w:sz w:val="20"/>
              </w:rPr>
            </w:pPr>
            <w:r w:rsidRPr="00CA1FBF">
              <w:rPr>
                <w:rFonts w:ascii="Palatino Linotype" w:hAnsi="Palatino Linotype"/>
                <w:b/>
                <w:i/>
                <w:sz w:val="20"/>
              </w:rPr>
              <w:t>Section 10.10</w:t>
            </w:r>
          </w:p>
        </w:tc>
        <w:tc>
          <w:tcPr>
            <w:tcW w:w="3470" w:type="dxa"/>
            <w:shd w:val="clear" w:color="auto" w:fill="auto"/>
          </w:tcPr>
          <w:p w:rsidR="00A67292" w:rsidRPr="001F3135" w:rsidRDefault="00A67292" w:rsidP="003D0DCE">
            <w:pPr>
              <w:pStyle w:val="Heading2Text"/>
              <w:spacing w:before="100" w:beforeAutospacing="1" w:after="100" w:afterAutospacing="1" w:line="240" w:lineRule="auto"/>
              <w:ind w:firstLine="0"/>
              <w:rPr>
                <w:rFonts w:ascii="Palatino Linotype" w:hAnsi="Palatino Linotype"/>
                <w:sz w:val="20"/>
              </w:rPr>
            </w:pPr>
            <w:r w:rsidRPr="00CA1FBF">
              <w:rPr>
                <w:rFonts w:ascii="Palatino Linotype" w:hAnsi="Palatino Linotype"/>
                <w:sz w:val="20"/>
              </w:rPr>
              <w:t xml:space="preserve">Clarified details of the parties’ confidentiality obligations in </w:t>
            </w:r>
            <w:r w:rsidR="001E7A8A">
              <w:rPr>
                <w:rFonts w:ascii="Palatino Linotype" w:hAnsi="Palatino Linotype"/>
                <w:sz w:val="20"/>
              </w:rPr>
              <w:br/>
            </w:r>
            <w:r w:rsidRPr="00CA1FBF">
              <w:rPr>
                <w:rFonts w:ascii="Palatino Linotype" w:hAnsi="Palatino Linotype"/>
                <w:sz w:val="20"/>
              </w:rPr>
              <w:t>Section 10.10.</w:t>
            </w:r>
          </w:p>
        </w:tc>
        <w:tc>
          <w:tcPr>
            <w:tcW w:w="1698" w:type="dxa"/>
          </w:tcPr>
          <w:p w:rsidR="00A67292" w:rsidRPr="001F3135" w:rsidRDefault="00A67292" w:rsidP="000D44A8">
            <w:pPr>
              <w:spacing w:before="120" w:after="120"/>
              <w:rPr>
                <w:rFonts w:ascii="Palatino Linotype" w:hAnsi="Palatino Linotype"/>
                <w:sz w:val="20"/>
              </w:rPr>
            </w:pPr>
            <w:r w:rsidRPr="001F3135">
              <w:rPr>
                <w:rFonts w:ascii="Palatino Linotype" w:hAnsi="Palatino Linotype"/>
                <w:sz w:val="20"/>
              </w:rPr>
              <w:t xml:space="preserve">SCE advice letter </w:t>
            </w:r>
            <w:r>
              <w:rPr>
                <w:rFonts w:ascii="Palatino Linotype" w:hAnsi="Palatino Linotype"/>
                <w:sz w:val="20"/>
              </w:rPr>
              <w:t>3003</w:t>
            </w:r>
            <w:r w:rsidRPr="001F3135">
              <w:rPr>
                <w:rFonts w:ascii="Palatino Linotype" w:hAnsi="Palatino Linotype"/>
                <w:sz w:val="20"/>
              </w:rPr>
              <w:t xml:space="preserve">-E (Section </w:t>
            </w:r>
            <w:r>
              <w:rPr>
                <w:rFonts w:ascii="Palatino Linotype" w:hAnsi="Palatino Linotype"/>
                <w:sz w:val="20"/>
              </w:rPr>
              <w:t>A.6)</w:t>
            </w:r>
            <w:r w:rsidRPr="001F3135">
              <w:rPr>
                <w:rFonts w:ascii="Palatino Linotype" w:hAnsi="Palatino Linotype"/>
                <w:sz w:val="20"/>
              </w:rPr>
              <w:t>:</w:t>
            </w:r>
          </w:p>
        </w:tc>
        <w:tc>
          <w:tcPr>
            <w:tcW w:w="1698" w:type="dxa"/>
          </w:tcPr>
          <w:p w:rsidR="00A67292" w:rsidRDefault="00A67292">
            <w:r w:rsidRPr="008F52D5">
              <w:rPr>
                <w:rFonts w:ascii="Palatino Linotype" w:hAnsi="Palatino Linotype"/>
                <w:sz w:val="20"/>
              </w:rPr>
              <w:t>Approve</w:t>
            </w:r>
          </w:p>
        </w:tc>
      </w:tr>
      <w:tr w:rsidR="00CA1FBF" w:rsidRPr="009B3AFD" w:rsidTr="003D0DCE">
        <w:trPr>
          <w:jc w:val="center"/>
        </w:trPr>
        <w:tc>
          <w:tcPr>
            <w:tcW w:w="1652" w:type="dxa"/>
            <w:shd w:val="clear" w:color="auto" w:fill="auto"/>
          </w:tcPr>
          <w:p w:rsidR="00CA1FBF" w:rsidRDefault="003D0DCE" w:rsidP="003D0DCE">
            <w:pPr>
              <w:spacing w:before="120" w:after="120"/>
            </w:pPr>
            <w:r w:rsidRPr="003D0DCE">
              <w:rPr>
                <w:b/>
                <w:i/>
                <w:sz w:val="20"/>
              </w:rPr>
              <w:t>Insurance Requirements</w:t>
            </w:r>
          </w:p>
        </w:tc>
        <w:tc>
          <w:tcPr>
            <w:tcW w:w="2700" w:type="dxa"/>
            <w:shd w:val="clear" w:color="auto" w:fill="auto"/>
          </w:tcPr>
          <w:p w:rsidR="00CA1FBF" w:rsidRPr="00CA1FBF" w:rsidRDefault="00CA1FBF" w:rsidP="00CA1FBF">
            <w:pPr>
              <w:spacing w:before="120" w:after="120"/>
              <w:rPr>
                <w:rFonts w:ascii="Palatino Linotype" w:hAnsi="Palatino Linotype"/>
                <w:b/>
                <w:i/>
                <w:sz w:val="20"/>
              </w:rPr>
            </w:pPr>
            <w:r w:rsidRPr="00CA1FBF">
              <w:rPr>
                <w:rFonts w:ascii="Palatino Linotype" w:hAnsi="Palatino Linotype"/>
                <w:b/>
                <w:i/>
                <w:sz w:val="20"/>
              </w:rPr>
              <w:t>Section 10.11</w:t>
            </w:r>
          </w:p>
        </w:tc>
        <w:tc>
          <w:tcPr>
            <w:tcW w:w="3470" w:type="dxa"/>
            <w:shd w:val="clear" w:color="auto" w:fill="auto"/>
          </w:tcPr>
          <w:p w:rsidR="00CA1FBF" w:rsidRPr="001F3135" w:rsidRDefault="00CA1FBF" w:rsidP="003D0DCE">
            <w:pPr>
              <w:pStyle w:val="Heading2Text"/>
              <w:spacing w:before="100" w:beforeAutospacing="1" w:after="100" w:afterAutospacing="1" w:line="240" w:lineRule="auto"/>
              <w:ind w:firstLine="0"/>
              <w:rPr>
                <w:rFonts w:ascii="Palatino Linotype" w:hAnsi="Palatino Linotype"/>
                <w:sz w:val="20"/>
              </w:rPr>
            </w:pPr>
            <w:r w:rsidRPr="00CA1FBF">
              <w:rPr>
                <w:rFonts w:ascii="Palatino Linotype" w:hAnsi="Palatino Linotype"/>
                <w:sz w:val="20"/>
              </w:rPr>
              <w:t>Updated insurance requirements in Section 10.11</w:t>
            </w:r>
            <w:r>
              <w:rPr>
                <w:rFonts w:ascii="Palatino Linotype" w:hAnsi="Palatino Linotype"/>
                <w:sz w:val="20"/>
              </w:rPr>
              <w:t>.</w:t>
            </w:r>
          </w:p>
        </w:tc>
        <w:tc>
          <w:tcPr>
            <w:tcW w:w="1698" w:type="dxa"/>
          </w:tcPr>
          <w:p w:rsidR="00CA1FBF" w:rsidRPr="001F3135" w:rsidRDefault="00CA1FBF" w:rsidP="000D44A8">
            <w:pPr>
              <w:spacing w:before="120" w:after="120"/>
              <w:rPr>
                <w:rFonts w:ascii="Palatino Linotype" w:hAnsi="Palatino Linotype"/>
                <w:sz w:val="20"/>
              </w:rPr>
            </w:pPr>
            <w:r w:rsidRPr="001F3135">
              <w:rPr>
                <w:rFonts w:ascii="Palatino Linotype" w:hAnsi="Palatino Linotype"/>
                <w:sz w:val="20"/>
              </w:rPr>
              <w:t xml:space="preserve">SCE advice letter </w:t>
            </w:r>
            <w:r>
              <w:rPr>
                <w:rFonts w:ascii="Palatino Linotype" w:hAnsi="Palatino Linotype"/>
                <w:sz w:val="20"/>
              </w:rPr>
              <w:t>3003</w:t>
            </w:r>
            <w:r w:rsidRPr="001F3135">
              <w:rPr>
                <w:rFonts w:ascii="Palatino Linotype" w:hAnsi="Palatino Linotype"/>
                <w:sz w:val="20"/>
              </w:rPr>
              <w:t xml:space="preserve">-E (Section </w:t>
            </w:r>
            <w:r>
              <w:rPr>
                <w:rFonts w:ascii="Palatino Linotype" w:hAnsi="Palatino Linotype"/>
                <w:sz w:val="20"/>
              </w:rPr>
              <w:t>A.6)</w:t>
            </w:r>
            <w:r w:rsidRPr="001F3135">
              <w:rPr>
                <w:rFonts w:ascii="Palatino Linotype" w:hAnsi="Palatino Linotype"/>
                <w:sz w:val="20"/>
              </w:rPr>
              <w:t>:</w:t>
            </w:r>
          </w:p>
        </w:tc>
        <w:tc>
          <w:tcPr>
            <w:tcW w:w="1698" w:type="dxa"/>
          </w:tcPr>
          <w:p w:rsidR="00CA1FBF" w:rsidRPr="001F3135" w:rsidRDefault="00CA1FBF" w:rsidP="008318C7">
            <w:pPr>
              <w:spacing w:before="120" w:after="120"/>
              <w:jc w:val="center"/>
              <w:rPr>
                <w:rFonts w:ascii="Palatino Linotype" w:hAnsi="Palatino Linotype"/>
                <w:sz w:val="20"/>
              </w:rPr>
            </w:pPr>
            <w:r w:rsidRPr="001F3135">
              <w:rPr>
                <w:rFonts w:ascii="Palatino Linotype" w:hAnsi="Palatino Linotype"/>
                <w:sz w:val="20"/>
              </w:rPr>
              <w:t>Approve</w:t>
            </w:r>
          </w:p>
        </w:tc>
      </w:tr>
      <w:tr w:rsidR="00CA1FBF" w:rsidRPr="009B3AFD" w:rsidTr="003D0DCE">
        <w:trPr>
          <w:jc w:val="center"/>
        </w:trPr>
        <w:tc>
          <w:tcPr>
            <w:tcW w:w="1652" w:type="dxa"/>
            <w:shd w:val="clear" w:color="auto" w:fill="auto"/>
          </w:tcPr>
          <w:p w:rsidR="00CA1FBF" w:rsidRPr="001F3135" w:rsidRDefault="003D0DCE" w:rsidP="003D0DCE">
            <w:pPr>
              <w:spacing w:before="120" w:after="120"/>
              <w:rPr>
                <w:rFonts w:ascii="Palatino Linotype" w:hAnsi="Palatino Linotype"/>
                <w:b/>
                <w:i/>
                <w:sz w:val="20"/>
              </w:rPr>
            </w:pPr>
            <w:r w:rsidRPr="003D0DCE">
              <w:rPr>
                <w:b/>
                <w:i/>
                <w:sz w:val="20"/>
              </w:rPr>
              <w:t>Dispute Resolution and Arbitration</w:t>
            </w:r>
          </w:p>
        </w:tc>
        <w:tc>
          <w:tcPr>
            <w:tcW w:w="2700" w:type="dxa"/>
            <w:shd w:val="clear" w:color="auto" w:fill="auto"/>
          </w:tcPr>
          <w:p w:rsidR="00CA1FBF" w:rsidRPr="00CA1FBF" w:rsidRDefault="00CA1FBF" w:rsidP="00CA1FBF">
            <w:pPr>
              <w:spacing w:before="120" w:after="120"/>
              <w:rPr>
                <w:rFonts w:ascii="Palatino Linotype" w:hAnsi="Palatino Linotype"/>
                <w:b/>
                <w:i/>
                <w:sz w:val="20"/>
              </w:rPr>
            </w:pPr>
            <w:r w:rsidRPr="00CA1FBF">
              <w:rPr>
                <w:rFonts w:ascii="Palatino Linotype" w:hAnsi="Palatino Linotype"/>
                <w:b/>
                <w:i/>
                <w:sz w:val="20"/>
              </w:rPr>
              <w:t>Sections 12.01 and 12.03</w:t>
            </w:r>
          </w:p>
        </w:tc>
        <w:tc>
          <w:tcPr>
            <w:tcW w:w="3470" w:type="dxa"/>
            <w:shd w:val="clear" w:color="auto" w:fill="auto"/>
          </w:tcPr>
          <w:p w:rsidR="00CA1FBF" w:rsidRPr="00CA1FBF" w:rsidRDefault="00CA1FBF" w:rsidP="003D0DCE">
            <w:pPr>
              <w:pStyle w:val="Heading2Text"/>
              <w:spacing w:before="100" w:beforeAutospacing="1" w:after="100" w:afterAutospacing="1" w:line="240" w:lineRule="auto"/>
              <w:ind w:firstLine="0"/>
              <w:rPr>
                <w:rFonts w:ascii="Palatino Linotype" w:hAnsi="Palatino Linotype"/>
                <w:sz w:val="20"/>
              </w:rPr>
            </w:pPr>
            <w:r w:rsidRPr="00CA1FBF">
              <w:rPr>
                <w:rFonts w:ascii="Palatino Linotype" w:hAnsi="Palatino Linotype"/>
                <w:sz w:val="20"/>
              </w:rPr>
              <w:t>Clarified details of dispute resolution and arbitration procedures and specified a time frame in which a party must commence a dispute and institute arbitration in Sections 12.01 and 12.03.</w:t>
            </w:r>
          </w:p>
        </w:tc>
        <w:tc>
          <w:tcPr>
            <w:tcW w:w="1698" w:type="dxa"/>
          </w:tcPr>
          <w:p w:rsidR="00CA1FBF" w:rsidRPr="001F3135" w:rsidRDefault="00CA1FBF" w:rsidP="000D44A8">
            <w:pPr>
              <w:spacing w:before="120" w:after="120"/>
              <w:rPr>
                <w:rFonts w:ascii="Palatino Linotype" w:hAnsi="Palatino Linotype"/>
                <w:sz w:val="20"/>
              </w:rPr>
            </w:pPr>
            <w:r w:rsidRPr="001F3135">
              <w:rPr>
                <w:rFonts w:ascii="Palatino Linotype" w:hAnsi="Palatino Linotype"/>
                <w:sz w:val="20"/>
              </w:rPr>
              <w:t xml:space="preserve">SCE advice letter </w:t>
            </w:r>
            <w:r>
              <w:rPr>
                <w:rFonts w:ascii="Palatino Linotype" w:hAnsi="Palatino Linotype"/>
                <w:sz w:val="20"/>
              </w:rPr>
              <w:t>3003</w:t>
            </w:r>
            <w:r w:rsidRPr="001F3135">
              <w:rPr>
                <w:rFonts w:ascii="Palatino Linotype" w:hAnsi="Palatino Linotype"/>
                <w:sz w:val="20"/>
              </w:rPr>
              <w:t xml:space="preserve">-E (Section </w:t>
            </w:r>
            <w:r>
              <w:rPr>
                <w:rFonts w:ascii="Palatino Linotype" w:hAnsi="Palatino Linotype"/>
                <w:sz w:val="20"/>
              </w:rPr>
              <w:t>A.6)</w:t>
            </w:r>
            <w:r w:rsidRPr="001F3135">
              <w:rPr>
                <w:rFonts w:ascii="Palatino Linotype" w:hAnsi="Palatino Linotype"/>
                <w:sz w:val="20"/>
              </w:rPr>
              <w:t>:</w:t>
            </w:r>
          </w:p>
        </w:tc>
        <w:tc>
          <w:tcPr>
            <w:tcW w:w="1698" w:type="dxa"/>
          </w:tcPr>
          <w:p w:rsidR="00CA1FBF" w:rsidRPr="001F3135" w:rsidRDefault="00CA1FBF" w:rsidP="001F3135">
            <w:pPr>
              <w:keepNext/>
              <w:keepLines/>
              <w:spacing w:before="120" w:after="120"/>
              <w:jc w:val="center"/>
              <w:rPr>
                <w:rFonts w:ascii="Palatino Linotype" w:hAnsi="Palatino Linotype"/>
                <w:sz w:val="20"/>
              </w:rPr>
            </w:pPr>
            <w:r w:rsidRPr="001F3135">
              <w:rPr>
                <w:rFonts w:ascii="Palatino Linotype" w:hAnsi="Palatino Linotype"/>
                <w:sz w:val="20"/>
              </w:rPr>
              <w:t>Approve</w:t>
            </w:r>
          </w:p>
        </w:tc>
      </w:tr>
      <w:tr w:rsidR="00CA1FBF" w:rsidRPr="009B3AFD" w:rsidTr="003D0DCE">
        <w:trPr>
          <w:jc w:val="center"/>
        </w:trPr>
        <w:tc>
          <w:tcPr>
            <w:tcW w:w="1652" w:type="dxa"/>
            <w:shd w:val="clear" w:color="auto" w:fill="auto"/>
          </w:tcPr>
          <w:p w:rsidR="00CA1FBF" w:rsidRPr="001F3135" w:rsidRDefault="00A67292" w:rsidP="00A67292">
            <w:pPr>
              <w:spacing w:before="120" w:after="120"/>
              <w:rPr>
                <w:rFonts w:ascii="Palatino Linotype" w:hAnsi="Palatino Linotype"/>
                <w:b/>
                <w:i/>
                <w:sz w:val="20"/>
              </w:rPr>
            </w:pPr>
            <w:r>
              <w:rPr>
                <w:rFonts w:ascii="Palatino Linotype" w:hAnsi="Palatino Linotype"/>
                <w:b/>
                <w:i/>
                <w:sz w:val="20"/>
              </w:rPr>
              <w:t>Definitions</w:t>
            </w:r>
          </w:p>
        </w:tc>
        <w:tc>
          <w:tcPr>
            <w:tcW w:w="2700" w:type="dxa"/>
            <w:shd w:val="clear" w:color="auto" w:fill="auto"/>
          </w:tcPr>
          <w:p w:rsidR="00CA1FBF" w:rsidRPr="00CA1FBF" w:rsidRDefault="00A67292" w:rsidP="008318C7">
            <w:pPr>
              <w:spacing w:before="120" w:after="120"/>
              <w:rPr>
                <w:rFonts w:ascii="Palatino Linotype" w:hAnsi="Palatino Linotype"/>
                <w:b/>
                <w:i/>
                <w:sz w:val="20"/>
              </w:rPr>
            </w:pPr>
            <w:r>
              <w:rPr>
                <w:rFonts w:ascii="Palatino Linotype" w:hAnsi="Palatino Linotype"/>
                <w:b/>
                <w:i/>
                <w:sz w:val="20"/>
              </w:rPr>
              <w:t>Exhibit A</w:t>
            </w:r>
          </w:p>
        </w:tc>
        <w:tc>
          <w:tcPr>
            <w:tcW w:w="3470" w:type="dxa"/>
            <w:shd w:val="clear" w:color="auto" w:fill="auto"/>
          </w:tcPr>
          <w:p w:rsidR="00CA1FBF" w:rsidRPr="00CA1FBF" w:rsidRDefault="00CA1FBF" w:rsidP="00A67292">
            <w:pPr>
              <w:pStyle w:val="Heading2Text"/>
              <w:spacing w:before="100" w:beforeAutospacing="1" w:after="100" w:afterAutospacing="1" w:line="240" w:lineRule="auto"/>
              <w:ind w:firstLine="0"/>
              <w:rPr>
                <w:rFonts w:ascii="Palatino Linotype" w:hAnsi="Palatino Linotype"/>
                <w:sz w:val="20"/>
              </w:rPr>
            </w:pPr>
            <w:r w:rsidRPr="00CA1FBF">
              <w:rPr>
                <w:rFonts w:ascii="Palatino Linotype" w:hAnsi="Palatino Linotype"/>
                <w:sz w:val="20"/>
              </w:rPr>
              <w:t>Revised, deleted or added certain defined terms, includ</w:t>
            </w:r>
            <w:r w:rsidR="00A67292">
              <w:rPr>
                <w:rFonts w:ascii="Palatino Linotype" w:hAnsi="Palatino Linotype"/>
                <w:sz w:val="20"/>
              </w:rPr>
              <w:t>ing</w:t>
            </w:r>
            <w:r w:rsidRPr="00CA1FBF">
              <w:rPr>
                <w:rFonts w:ascii="Palatino Linotype" w:hAnsi="Palatino Linotype"/>
                <w:sz w:val="20"/>
              </w:rPr>
              <w:t>: “Capacity Attributes,” “Demonstrated Contract Capacity</w:t>
            </w:r>
            <w:r w:rsidR="00A67292">
              <w:rPr>
                <w:rFonts w:ascii="Palatino Linotype" w:hAnsi="Palatino Linotype"/>
                <w:sz w:val="20"/>
              </w:rPr>
              <w:t>,</w:t>
            </w:r>
            <w:r w:rsidRPr="00CA1FBF">
              <w:rPr>
                <w:rFonts w:ascii="Palatino Linotype" w:hAnsi="Palatino Linotype"/>
                <w:sz w:val="20"/>
              </w:rPr>
              <w:t xml:space="preserve">” and “Inverter Block Unit Capacity” </w:t>
            </w:r>
          </w:p>
        </w:tc>
        <w:tc>
          <w:tcPr>
            <w:tcW w:w="1698" w:type="dxa"/>
          </w:tcPr>
          <w:p w:rsidR="00CA1FBF" w:rsidRPr="001F3135" w:rsidRDefault="00CA1FBF" w:rsidP="000D44A8">
            <w:pPr>
              <w:spacing w:before="120" w:after="120"/>
              <w:rPr>
                <w:rFonts w:ascii="Palatino Linotype" w:hAnsi="Palatino Linotype"/>
                <w:sz w:val="20"/>
              </w:rPr>
            </w:pPr>
            <w:r w:rsidRPr="001F3135">
              <w:rPr>
                <w:rFonts w:ascii="Palatino Linotype" w:hAnsi="Palatino Linotype"/>
                <w:sz w:val="20"/>
              </w:rPr>
              <w:t xml:space="preserve">SCE advice letter </w:t>
            </w:r>
            <w:r>
              <w:rPr>
                <w:rFonts w:ascii="Palatino Linotype" w:hAnsi="Palatino Linotype"/>
                <w:sz w:val="20"/>
              </w:rPr>
              <w:t>3003</w:t>
            </w:r>
            <w:r w:rsidRPr="001F3135">
              <w:rPr>
                <w:rFonts w:ascii="Palatino Linotype" w:hAnsi="Palatino Linotype"/>
                <w:sz w:val="20"/>
              </w:rPr>
              <w:t xml:space="preserve">-E (Section </w:t>
            </w:r>
            <w:r>
              <w:rPr>
                <w:rFonts w:ascii="Palatino Linotype" w:hAnsi="Palatino Linotype"/>
                <w:sz w:val="20"/>
              </w:rPr>
              <w:t>A.6)</w:t>
            </w:r>
            <w:r w:rsidRPr="001F3135">
              <w:rPr>
                <w:rFonts w:ascii="Palatino Linotype" w:hAnsi="Palatino Linotype"/>
                <w:sz w:val="20"/>
              </w:rPr>
              <w:t>:</w:t>
            </w:r>
          </w:p>
        </w:tc>
        <w:tc>
          <w:tcPr>
            <w:tcW w:w="1698" w:type="dxa"/>
          </w:tcPr>
          <w:p w:rsidR="00CA1FBF" w:rsidRPr="001F3135" w:rsidRDefault="00CA1FBF" w:rsidP="008318C7">
            <w:pPr>
              <w:spacing w:before="120" w:after="120"/>
              <w:jc w:val="center"/>
              <w:rPr>
                <w:rFonts w:ascii="Palatino Linotype" w:hAnsi="Palatino Linotype"/>
                <w:sz w:val="20"/>
              </w:rPr>
            </w:pPr>
            <w:r w:rsidRPr="001F3135">
              <w:rPr>
                <w:rFonts w:ascii="Palatino Linotype" w:hAnsi="Palatino Linotype"/>
                <w:sz w:val="20"/>
              </w:rPr>
              <w:t>Approve</w:t>
            </w:r>
          </w:p>
        </w:tc>
      </w:tr>
      <w:tr w:rsidR="00CA1FBF" w:rsidRPr="009B3AFD" w:rsidTr="003D0DCE">
        <w:trPr>
          <w:jc w:val="center"/>
        </w:trPr>
        <w:tc>
          <w:tcPr>
            <w:tcW w:w="1652" w:type="dxa"/>
            <w:shd w:val="clear" w:color="auto" w:fill="auto"/>
          </w:tcPr>
          <w:p w:rsidR="00CA1FBF" w:rsidRPr="001F3135" w:rsidRDefault="003D0DCE" w:rsidP="008318C7">
            <w:pPr>
              <w:spacing w:before="120" w:after="120"/>
              <w:rPr>
                <w:rFonts w:ascii="Palatino Linotype" w:hAnsi="Palatino Linotype"/>
                <w:b/>
                <w:i/>
                <w:sz w:val="20"/>
              </w:rPr>
            </w:pPr>
            <w:r>
              <w:rPr>
                <w:rFonts w:ascii="Palatino Linotype" w:hAnsi="Palatino Linotype"/>
                <w:sz w:val="20"/>
              </w:rPr>
              <w:t>Product Replacement Damage</w:t>
            </w:r>
          </w:p>
        </w:tc>
        <w:tc>
          <w:tcPr>
            <w:tcW w:w="2700" w:type="dxa"/>
            <w:shd w:val="clear" w:color="auto" w:fill="auto"/>
          </w:tcPr>
          <w:p w:rsidR="00CA1FBF" w:rsidRPr="00CA1FBF" w:rsidRDefault="00CA1FBF" w:rsidP="008318C7">
            <w:pPr>
              <w:spacing w:before="120" w:after="120"/>
              <w:rPr>
                <w:rFonts w:ascii="Palatino Linotype" w:hAnsi="Palatino Linotype"/>
                <w:b/>
                <w:i/>
                <w:sz w:val="20"/>
              </w:rPr>
            </w:pPr>
            <w:r w:rsidRPr="00CA1FBF">
              <w:rPr>
                <w:rFonts w:ascii="Palatino Linotype" w:hAnsi="Palatino Linotype"/>
                <w:b/>
                <w:i/>
                <w:sz w:val="20"/>
              </w:rPr>
              <w:t>Exhibit F</w:t>
            </w:r>
          </w:p>
        </w:tc>
        <w:tc>
          <w:tcPr>
            <w:tcW w:w="3470" w:type="dxa"/>
            <w:shd w:val="clear" w:color="auto" w:fill="auto"/>
          </w:tcPr>
          <w:p w:rsidR="00CA1FBF" w:rsidRPr="00CA1FBF" w:rsidRDefault="00CA1FBF" w:rsidP="003D0DCE">
            <w:pPr>
              <w:pStyle w:val="Heading2Text"/>
              <w:spacing w:before="100" w:beforeAutospacing="1" w:after="100" w:afterAutospacing="1" w:line="240" w:lineRule="auto"/>
              <w:ind w:firstLine="0"/>
              <w:rPr>
                <w:rFonts w:ascii="Palatino Linotype" w:hAnsi="Palatino Linotype"/>
                <w:sz w:val="20"/>
              </w:rPr>
            </w:pPr>
            <w:r w:rsidRPr="00CA1FBF">
              <w:rPr>
                <w:rFonts w:ascii="Palatino Linotype" w:hAnsi="Palatino Linotype"/>
                <w:sz w:val="20"/>
              </w:rPr>
              <w:t>Added upper and lower limits to the Product Replacement Damage Amount in Exhibit F.</w:t>
            </w:r>
          </w:p>
        </w:tc>
        <w:tc>
          <w:tcPr>
            <w:tcW w:w="1698" w:type="dxa"/>
          </w:tcPr>
          <w:p w:rsidR="00CA1FBF" w:rsidRPr="001F3135" w:rsidRDefault="00CA1FBF" w:rsidP="000D44A8">
            <w:pPr>
              <w:spacing w:before="120" w:after="120"/>
              <w:rPr>
                <w:rFonts w:ascii="Palatino Linotype" w:hAnsi="Palatino Linotype"/>
                <w:sz w:val="20"/>
              </w:rPr>
            </w:pPr>
            <w:r w:rsidRPr="001F3135">
              <w:rPr>
                <w:rFonts w:ascii="Palatino Linotype" w:hAnsi="Palatino Linotype"/>
                <w:sz w:val="20"/>
              </w:rPr>
              <w:t xml:space="preserve">SCE advice letter </w:t>
            </w:r>
            <w:r>
              <w:rPr>
                <w:rFonts w:ascii="Palatino Linotype" w:hAnsi="Palatino Linotype"/>
                <w:sz w:val="20"/>
              </w:rPr>
              <w:t>3003</w:t>
            </w:r>
            <w:r w:rsidRPr="001F3135">
              <w:rPr>
                <w:rFonts w:ascii="Palatino Linotype" w:hAnsi="Palatino Linotype"/>
                <w:sz w:val="20"/>
              </w:rPr>
              <w:t xml:space="preserve">-E (Section </w:t>
            </w:r>
            <w:r>
              <w:rPr>
                <w:rFonts w:ascii="Palatino Linotype" w:hAnsi="Palatino Linotype"/>
                <w:sz w:val="20"/>
              </w:rPr>
              <w:t>A.6)</w:t>
            </w:r>
            <w:r w:rsidRPr="001F3135">
              <w:rPr>
                <w:rFonts w:ascii="Palatino Linotype" w:hAnsi="Palatino Linotype"/>
                <w:sz w:val="20"/>
              </w:rPr>
              <w:t>:</w:t>
            </w:r>
          </w:p>
        </w:tc>
        <w:tc>
          <w:tcPr>
            <w:tcW w:w="1698" w:type="dxa"/>
          </w:tcPr>
          <w:p w:rsidR="00CA1FBF" w:rsidRPr="001F3135" w:rsidRDefault="00CA1FBF" w:rsidP="008318C7">
            <w:pPr>
              <w:spacing w:before="120" w:after="120"/>
              <w:jc w:val="center"/>
              <w:rPr>
                <w:rFonts w:ascii="Palatino Linotype" w:hAnsi="Palatino Linotype"/>
                <w:sz w:val="20"/>
              </w:rPr>
            </w:pPr>
            <w:r w:rsidRPr="001F3135">
              <w:rPr>
                <w:rFonts w:ascii="Palatino Linotype" w:hAnsi="Palatino Linotype"/>
                <w:sz w:val="20"/>
              </w:rPr>
              <w:t>Approve</w:t>
            </w:r>
          </w:p>
        </w:tc>
      </w:tr>
      <w:tr w:rsidR="00CA1FBF" w:rsidRPr="009B3AFD" w:rsidTr="003D0DCE">
        <w:trPr>
          <w:jc w:val="center"/>
        </w:trPr>
        <w:tc>
          <w:tcPr>
            <w:tcW w:w="1652" w:type="dxa"/>
            <w:shd w:val="clear" w:color="auto" w:fill="auto"/>
          </w:tcPr>
          <w:p w:rsidR="00CA1FBF" w:rsidRPr="001F3135" w:rsidRDefault="003D0DCE" w:rsidP="008318C7">
            <w:pPr>
              <w:spacing w:before="120" w:after="120"/>
              <w:rPr>
                <w:rFonts w:ascii="Palatino Linotype" w:hAnsi="Palatino Linotype"/>
                <w:b/>
                <w:i/>
                <w:sz w:val="20"/>
              </w:rPr>
            </w:pPr>
            <w:r>
              <w:rPr>
                <w:rFonts w:ascii="Palatino Linotype" w:hAnsi="Palatino Linotype"/>
                <w:sz w:val="20"/>
              </w:rPr>
              <w:t>Time of Delivery Periods and Factors</w:t>
            </w:r>
          </w:p>
        </w:tc>
        <w:tc>
          <w:tcPr>
            <w:tcW w:w="2700" w:type="dxa"/>
            <w:shd w:val="clear" w:color="auto" w:fill="auto"/>
          </w:tcPr>
          <w:p w:rsidR="00CA1FBF" w:rsidRPr="00CA1FBF" w:rsidRDefault="00CA1FBF" w:rsidP="008318C7">
            <w:pPr>
              <w:spacing w:before="120" w:after="120"/>
              <w:rPr>
                <w:rFonts w:ascii="Palatino Linotype" w:hAnsi="Palatino Linotype"/>
                <w:b/>
                <w:i/>
                <w:sz w:val="20"/>
              </w:rPr>
            </w:pPr>
            <w:r w:rsidRPr="00CA1FBF">
              <w:rPr>
                <w:rFonts w:ascii="Palatino Linotype" w:hAnsi="Palatino Linotype"/>
                <w:b/>
                <w:i/>
                <w:sz w:val="20"/>
              </w:rPr>
              <w:t>Exhibit J</w:t>
            </w:r>
          </w:p>
        </w:tc>
        <w:tc>
          <w:tcPr>
            <w:tcW w:w="3470" w:type="dxa"/>
            <w:shd w:val="clear" w:color="auto" w:fill="auto"/>
          </w:tcPr>
          <w:p w:rsidR="00CA1FBF" w:rsidRPr="001F3135" w:rsidRDefault="00CA1FBF" w:rsidP="003D0DCE">
            <w:pPr>
              <w:spacing w:before="100" w:beforeAutospacing="1" w:after="100" w:afterAutospacing="1"/>
              <w:rPr>
                <w:rFonts w:ascii="Palatino Linotype" w:hAnsi="Palatino Linotype"/>
                <w:sz w:val="20"/>
              </w:rPr>
            </w:pPr>
            <w:r w:rsidRPr="00CA1FBF">
              <w:rPr>
                <w:rFonts w:ascii="Palatino Linotype" w:hAnsi="Palatino Linotype"/>
                <w:sz w:val="20"/>
              </w:rPr>
              <w:t>Updated Product Payment Allocation Factors for Time of Delivery Periods in Exhibit J.</w:t>
            </w:r>
          </w:p>
        </w:tc>
        <w:tc>
          <w:tcPr>
            <w:tcW w:w="1698" w:type="dxa"/>
          </w:tcPr>
          <w:p w:rsidR="00CA1FBF" w:rsidRPr="001F3135" w:rsidRDefault="00CA1FBF" w:rsidP="000D44A8">
            <w:pPr>
              <w:spacing w:before="120" w:after="120"/>
              <w:rPr>
                <w:rFonts w:ascii="Palatino Linotype" w:hAnsi="Palatino Linotype"/>
                <w:sz w:val="20"/>
              </w:rPr>
            </w:pPr>
            <w:r w:rsidRPr="001F3135">
              <w:rPr>
                <w:rFonts w:ascii="Palatino Linotype" w:hAnsi="Palatino Linotype"/>
                <w:sz w:val="20"/>
              </w:rPr>
              <w:t xml:space="preserve">SCE advice letter </w:t>
            </w:r>
            <w:r>
              <w:rPr>
                <w:rFonts w:ascii="Palatino Linotype" w:hAnsi="Palatino Linotype"/>
                <w:sz w:val="20"/>
              </w:rPr>
              <w:t>3003</w:t>
            </w:r>
            <w:r w:rsidRPr="001F3135">
              <w:rPr>
                <w:rFonts w:ascii="Palatino Linotype" w:hAnsi="Palatino Linotype"/>
                <w:sz w:val="20"/>
              </w:rPr>
              <w:t xml:space="preserve">-E (Section </w:t>
            </w:r>
            <w:r>
              <w:rPr>
                <w:rFonts w:ascii="Palatino Linotype" w:hAnsi="Palatino Linotype"/>
                <w:sz w:val="20"/>
              </w:rPr>
              <w:t>A.6)</w:t>
            </w:r>
            <w:r w:rsidRPr="001F3135">
              <w:rPr>
                <w:rFonts w:ascii="Palatino Linotype" w:hAnsi="Palatino Linotype"/>
                <w:sz w:val="20"/>
              </w:rPr>
              <w:t>:</w:t>
            </w:r>
          </w:p>
        </w:tc>
        <w:tc>
          <w:tcPr>
            <w:tcW w:w="1698" w:type="dxa"/>
          </w:tcPr>
          <w:p w:rsidR="00CA1FBF" w:rsidRPr="001F3135" w:rsidRDefault="00CA1FBF" w:rsidP="008318C7">
            <w:pPr>
              <w:spacing w:before="120" w:after="120"/>
              <w:jc w:val="center"/>
              <w:rPr>
                <w:rFonts w:ascii="Palatino Linotype" w:hAnsi="Palatino Linotype"/>
                <w:sz w:val="20"/>
              </w:rPr>
            </w:pPr>
            <w:r w:rsidRPr="001F3135">
              <w:rPr>
                <w:rFonts w:ascii="Palatino Linotype" w:hAnsi="Palatino Linotype"/>
                <w:sz w:val="20"/>
              </w:rPr>
              <w:t>Approve</w:t>
            </w:r>
          </w:p>
        </w:tc>
      </w:tr>
    </w:tbl>
    <w:p w:rsidR="001E7A8A" w:rsidRDefault="001E7A8A" w:rsidP="006421F0">
      <w:pPr>
        <w:pStyle w:val="standard"/>
        <w:spacing w:line="240" w:lineRule="auto"/>
        <w:ind w:firstLine="0"/>
        <w:rPr>
          <w:rFonts w:ascii="Palatino Linotype" w:hAnsi="Palatino Linotype"/>
          <w:b/>
        </w:rPr>
      </w:pPr>
    </w:p>
    <w:p w:rsidR="001E7A8A" w:rsidRDefault="001E7A8A" w:rsidP="006421F0">
      <w:pPr>
        <w:pStyle w:val="standard"/>
        <w:spacing w:line="240" w:lineRule="auto"/>
        <w:ind w:firstLine="0"/>
        <w:rPr>
          <w:rFonts w:ascii="Palatino Linotype" w:hAnsi="Palatino Linotype"/>
          <w:b/>
        </w:rPr>
      </w:pPr>
    </w:p>
    <w:p w:rsidR="001E7A8A" w:rsidRDefault="001E7A8A" w:rsidP="006421F0">
      <w:pPr>
        <w:pStyle w:val="standard"/>
        <w:spacing w:line="240" w:lineRule="auto"/>
        <w:ind w:firstLine="0"/>
        <w:rPr>
          <w:rFonts w:ascii="Palatino Linotype" w:hAnsi="Palatino Linotype"/>
          <w:b/>
        </w:rPr>
      </w:pPr>
    </w:p>
    <w:p w:rsidR="001E7A8A" w:rsidRDefault="001E7A8A" w:rsidP="006421F0">
      <w:pPr>
        <w:pStyle w:val="standard"/>
        <w:spacing w:line="240" w:lineRule="auto"/>
        <w:ind w:firstLine="0"/>
        <w:rPr>
          <w:rFonts w:ascii="Palatino Linotype" w:hAnsi="Palatino Linotype"/>
          <w:b/>
        </w:rPr>
      </w:pPr>
    </w:p>
    <w:p w:rsidR="001E7A8A" w:rsidRDefault="001E7A8A" w:rsidP="006421F0">
      <w:pPr>
        <w:pStyle w:val="standard"/>
        <w:spacing w:line="240" w:lineRule="auto"/>
        <w:ind w:firstLine="0"/>
        <w:rPr>
          <w:rFonts w:ascii="Palatino Linotype" w:hAnsi="Palatino Linotype"/>
          <w:b/>
        </w:rPr>
      </w:pPr>
    </w:p>
    <w:p w:rsidR="006421F0" w:rsidRPr="005720F9" w:rsidRDefault="006421F0" w:rsidP="006421F0">
      <w:pPr>
        <w:pStyle w:val="standard"/>
        <w:spacing w:line="240" w:lineRule="auto"/>
        <w:ind w:firstLine="0"/>
        <w:rPr>
          <w:rFonts w:ascii="Palatino Linotype" w:hAnsi="Palatino Linotype"/>
          <w:bCs/>
          <w:szCs w:val="26"/>
        </w:rPr>
      </w:pPr>
      <w:r>
        <w:rPr>
          <w:rFonts w:ascii="Palatino Linotype" w:hAnsi="Palatino Linotype"/>
          <w:b/>
        </w:rPr>
        <w:t xml:space="preserve">Summary of SCE’s </w:t>
      </w:r>
      <w:r w:rsidRPr="00600701">
        <w:rPr>
          <w:rFonts w:ascii="Palatino Linotype" w:hAnsi="Palatino Linotype"/>
          <w:b/>
        </w:rPr>
        <w:t xml:space="preserve">Proposed </w:t>
      </w:r>
      <w:r>
        <w:rPr>
          <w:rFonts w:ascii="Palatino Linotype" w:hAnsi="Palatino Linotype"/>
          <w:b/>
        </w:rPr>
        <w:t xml:space="preserve">Non-Substantive </w:t>
      </w:r>
      <w:r w:rsidRPr="00600701">
        <w:rPr>
          <w:rFonts w:ascii="Palatino Linotype" w:hAnsi="Palatino Linotype"/>
          <w:b/>
        </w:rPr>
        <w:t xml:space="preserve">Changes </w:t>
      </w:r>
      <w:r>
        <w:rPr>
          <w:rFonts w:ascii="Palatino Linotype" w:hAnsi="Palatino Linotype"/>
          <w:b/>
        </w:rPr>
        <w:t>to</w:t>
      </w:r>
      <w:r w:rsidRPr="00600701">
        <w:rPr>
          <w:rFonts w:ascii="Palatino Linotype" w:hAnsi="Palatino Linotype"/>
          <w:b/>
        </w:rPr>
        <w:t xml:space="preserve"> </w:t>
      </w:r>
      <w:r>
        <w:rPr>
          <w:rFonts w:ascii="Palatino Linotype" w:hAnsi="Palatino Linotype"/>
          <w:b/>
        </w:rPr>
        <w:t xml:space="preserve">its RAM RFO </w:t>
      </w:r>
      <w:r w:rsidR="003D0DCE">
        <w:rPr>
          <w:rFonts w:ascii="Palatino Linotype" w:hAnsi="Palatino Linotype"/>
          <w:b/>
        </w:rPr>
        <w:t>Protocol</w:t>
      </w:r>
    </w:p>
    <w:tbl>
      <w:tblPr>
        <w:tblW w:w="9477" w:type="dxa"/>
        <w:jc w:val="center"/>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3470"/>
        <w:gridCol w:w="1698"/>
        <w:gridCol w:w="1698"/>
      </w:tblGrid>
      <w:tr w:rsidR="008C18D0" w:rsidRPr="000D008E" w:rsidTr="008C18D0">
        <w:trPr>
          <w:tblHeader/>
          <w:jc w:val="center"/>
        </w:trPr>
        <w:tc>
          <w:tcPr>
            <w:tcW w:w="2611" w:type="dxa"/>
            <w:shd w:val="clear" w:color="auto" w:fill="F2F2F2"/>
            <w:vAlign w:val="center"/>
          </w:tcPr>
          <w:p w:rsidR="008C18D0" w:rsidRPr="000D008E" w:rsidRDefault="008C18D0" w:rsidP="009F5A73">
            <w:pPr>
              <w:jc w:val="center"/>
              <w:rPr>
                <w:rFonts w:ascii="Palatino Linotype" w:hAnsi="Palatino Linotype"/>
                <w:b/>
                <w:sz w:val="22"/>
                <w:szCs w:val="22"/>
              </w:rPr>
            </w:pPr>
            <w:r w:rsidRPr="000D008E">
              <w:rPr>
                <w:rFonts w:ascii="Palatino Linotype" w:hAnsi="Palatino Linotype"/>
                <w:b/>
                <w:sz w:val="22"/>
                <w:szCs w:val="22"/>
              </w:rPr>
              <w:t>Subject of Change</w:t>
            </w:r>
          </w:p>
        </w:tc>
        <w:tc>
          <w:tcPr>
            <w:tcW w:w="3470" w:type="dxa"/>
            <w:shd w:val="clear" w:color="auto" w:fill="F2F2F2"/>
            <w:vAlign w:val="center"/>
          </w:tcPr>
          <w:p w:rsidR="008C18D0" w:rsidRPr="000D008E" w:rsidRDefault="008C18D0" w:rsidP="006421F0">
            <w:pPr>
              <w:jc w:val="center"/>
              <w:rPr>
                <w:rFonts w:ascii="Palatino Linotype" w:hAnsi="Palatino Linotype"/>
                <w:b/>
                <w:sz w:val="22"/>
                <w:szCs w:val="22"/>
              </w:rPr>
            </w:pPr>
            <w:r w:rsidRPr="000D008E">
              <w:rPr>
                <w:rFonts w:ascii="Palatino Linotype" w:hAnsi="Palatino Linotype"/>
                <w:b/>
                <w:sz w:val="22"/>
                <w:szCs w:val="22"/>
              </w:rPr>
              <w:t>Proposed Revision</w:t>
            </w:r>
          </w:p>
        </w:tc>
        <w:tc>
          <w:tcPr>
            <w:tcW w:w="1698" w:type="dxa"/>
            <w:shd w:val="clear" w:color="auto" w:fill="F2F2F2"/>
            <w:vAlign w:val="center"/>
          </w:tcPr>
          <w:p w:rsidR="008C18D0" w:rsidRPr="000D008E" w:rsidRDefault="008C18D0" w:rsidP="009F5A73">
            <w:pPr>
              <w:jc w:val="center"/>
              <w:rPr>
                <w:rFonts w:ascii="Palatino Linotype" w:hAnsi="Palatino Linotype"/>
                <w:b/>
                <w:sz w:val="22"/>
                <w:szCs w:val="22"/>
              </w:rPr>
            </w:pPr>
            <w:r w:rsidRPr="000D008E">
              <w:rPr>
                <w:rFonts w:ascii="Palatino Linotype" w:hAnsi="Palatino Linotype"/>
                <w:b/>
                <w:sz w:val="22"/>
                <w:szCs w:val="22"/>
              </w:rPr>
              <w:t>Source of Change</w:t>
            </w:r>
          </w:p>
        </w:tc>
        <w:tc>
          <w:tcPr>
            <w:tcW w:w="1698" w:type="dxa"/>
            <w:shd w:val="clear" w:color="auto" w:fill="F2F2F2"/>
            <w:vAlign w:val="center"/>
          </w:tcPr>
          <w:p w:rsidR="008C18D0" w:rsidRPr="000D008E" w:rsidRDefault="008C18D0" w:rsidP="009F5A73">
            <w:pPr>
              <w:jc w:val="center"/>
              <w:rPr>
                <w:rFonts w:ascii="Palatino Linotype" w:hAnsi="Palatino Linotype"/>
                <w:b/>
                <w:sz w:val="22"/>
                <w:szCs w:val="22"/>
              </w:rPr>
            </w:pPr>
            <w:r w:rsidRPr="000D008E">
              <w:rPr>
                <w:rFonts w:ascii="Palatino Linotype" w:hAnsi="Palatino Linotype"/>
                <w:b/>
                <w:sz w:val="22"/>
                <w:szCs w:val="22"/>
              </w:rPr>
              <w:t>Disposition</w:t>
            </w:r>
          </w:p>
        </w:tc>
      </w:tr>
      <w:tr w:rsidR="008C18D0" w:rsidRPr="000D008E" w:rsidTr="008C18D0">
        <w:trPr>
          <w:jc w:val="center"/>
        </w:trPr>
        <w:tc>
          <w:tcPr>
            <w:tcW w:w="2611" w:type="dxa"/>
            <w:shd w:val="clear" w:color="auto" w:fill="auto"/>
          </w:tcPr>
          <w:p w:rsidR="008C18D0" w:rsidRPr="000D008E" w:rsidRDefault="008C18D0" w:rsidP="009F5A73">
            <w:pPr>
              <w:spacing w:before="120" w:after="120"/>
              <w:rPr>
                <w:rFonts w:ascii="Palatino Linotype" w:hAnsi="Palatino Linotype"/>
                <w:b/>
                <w:i/>
                <w:sz w:val="22"/>
                <w:szCs w:val="22"/>
              </w:rPr>
            </w:pPr>
            <w:r>
              <w:rPr>
                <w:rFonts w:ascii="Palatino Linotype" w:hAnsi="Palatino Linotype"/>
                <w:sz w:val="22"/>
                <w:szCs w:val="22"/>
              </w:rPr>
              <w:t>Requirements for Existing or Repowered Projects</w:t>
            </w:r>
          </w:p>
        </w:tc>
        <w:tc>
          <w:tcPr>
            <w:tcW w:w="3470" w:type="dxa"/>
            <w:shd w:val="clear" w:color="auto" w:fill="auto"/>
          </w:tcPr>
          <w:p w:rsidR="008C18D0" w:rsidRPr="000D008E" w:rsidRDefault="008C18D0" w:rsidP="006421F0">
            <w:pPr>
              <w:spacing w:before="120" w:after="120"/>
              <w:rPr>
                <w:rFonts w:ascii="Palatino Linotype" w:hAnsi="Palatino Linotype"/>
                <w:sz w:val="22"/>
                <w:szCs w:val="22"/>
              </w:rPr>
            </w:pPr>
            <w:r>
              <w:rPr>
                <w:rFonts w:ascii="Palatino Linotype" w:hAnsi="Palatino Linotype"/>
                <w:sz w:val="22"/>
                <w:szCs w:val="22"/>
              </w:rPr>
              <w:t xml:space="preserve">Modification of Section 2.03 to incorporate Section 3.04 for one section regarding requirements for existing and repowered projects </w:t>
            </w:r>
          </w:p>
        </w:tc>
        <w:tc>
          <w:tcPr>
            <w:tcW w:w="1698" w:type="dxa"/>
          </w:tcPr>
          <w:p w:rsidR="008C18D0" w:rsidRDefault="008C18D0" w:rsidP="009F5A73">
            <w:pPr>
              <w:spacing w:before="120" w:after="120"/>
              <w:rPr>
                <w:rFonts w:ascii="Palatino Linotype" w:hAnsi="Palatino Linotype"/>
                <w:sz w:val="22"/>
                <w:szCs w:val="22"/>
              </w:rPr>
            </w:pPr>
            <w:r>
              <w:rPr>
                <w:rFonts w:ascii="Palatino Linotype" w:hAnsi="Palatino Linotype"/>
                <w:sz w:val="22"/>
                <w:szCs w:val="22"/>
              </w:rPr>
              <w:t>SCE advice letter 3003-E</w:t>
            </w:r>
          </w:p>
          <w:p w:rsidR="008C18D0" w:rsidRPr="000D008E" w:rsidRDefault="008C18D0" w:rsidP="009F5A73">
            <w:pPr>
              <w:spacing w:before="120" w:after="120"/>
              <w:rPr>
                <w:rFonts w:ascii="Palatino Linotype" w:hAnsi="Palatino Linotype"/>
                <w:sz w:val="22"/>
                <w:szCs w:val="22"/>
              </w:rPr>
            </w:pPr>
            <w:r>
              <w:rPr>
                <w:rFonts w:ascii="Palatino Linotype" w:hAnsi="Palatino Linotype"/>
                <w:sz w:val="22"/>
                <w:szCs w:val="22"/>
              </w:rPr>
              <w:t>(Section B.2)</w:t>
            </w:r>
          </w:p>
        </w:tc>
        <w:tc>
          <w:tcPr>
            <w:tcW w:w="1698" w:type="dxa"/>
          </w:tcPr>
          <w:p w:rsidR="008C18D0" w:rsidRPr="000D008E" w:rsidRDefault="008C18D0" w:rsidP="009F5A73">
            <w:pPr>
              <w:spacing w:before="120" w:after="120"/>
              <w:jc w:val="center"/>
              <w:rPr>
                <w:rFonts w:ascii="Palatino Linotype" w:hAnsi="Palatino Linotype"/>
                <w:sz w:val="22"/>
                <w:szCs w:val="22"/>
              </w:rPr>
            </w:pPr>
            <w:r w:rsidRPr="000D008E">
              <w:rPr>
                <w:rFonts w:ascii="Palatino Linotype" w:hAnsi="Palatino Linotype"/>
                <w:sz w:val="22"/>
                <w:szCs w:val="22"/>
              </w:rPr>
              <w:t>Approve</w:t>
            </w:r>
          </w:p>
        </w:tc>
      </w:tr>
      <w:tr w:rsidR="008C18D0" w:rsidRPr="000D008E" w:rsidTr="008C18D0">
        <w:trPr>
          <w:jc w:val="center"/>
        </w:trPr>
        <w:tc>
          <w:tcPr>
            <w:tcW w:w="2611" w:type="dxa"/>
            <w:shd w:val="clear" w:color="auto" w:fill="auto"/>
          </w:tcPr>
          <w:p w:rsidR="008C18D0" w:rsidRDefault="008C18D0" w:rsidP="009F5A73">
            <w:pPr>
              <w:spacing w:before="120" w:after="120"/>
              <w:rPr>
                <w:rFonts w:ascii="Palatino Linotype" w:hAnsi="Palatino Linotype"/>
                <w:sz w:val="22"/>
                <w:szCs w:val="22"/>
              </w:rPr>
            </w:pPr>
            <w:r>
              <w:rPr>
                <w:rFonts w:ascii="Palatino Linotype" w:hAnsi="Palatino Linotype"/>
                <w:sz w:val="22"/>
                <w:szCs w:val="22"/>
              </w:rPr>
              <w:t>Product Payment Allocation Factors</w:t>
            </w:r>
          </w:p>
        </w:tc>
        <w:tc>
          <w:tcPr>
            <w:tcW w:w="3470" w:type="dxa"/>
            <w:shd w:val="clear" w:color="auto" w:fill="auto"/>
          </w:tcPr>
          <w:p w:rsidR="008C18D0" w:rsidRDefault="008C18D0" w:rsidP="006421F0">
            <w:pPr>
              <w:spacing w:before="120" w:after="120"/>
              <w:rPr>
                <w:rFonts w:ascii="Palatino Linotype" w:hAnsi="Palatino Linotype"/>
                <w:sz w:val="22"/>
                <w:szCs w:val="22"/>
              </w:rPr>
            </w:pPr>
            <w:r>
              <w:rPr>
                <w:rFonts w:ascii="Palatino Linotype" w:hAnsi="Palatino Linotype"/>
                <w:sz w:val="22"/>
                <w:szCs w:val="22"/>
              </w:rPr>
              <w:t>Modification of Attachment B to update Product Payment Allocation Factors</w:t>
            </w:r>
          </w:p>
        </w:tc>
        <w:tc>
          <w:tcPr>
            <w:tcW w:w="1698" w:type="dxa"/>
          </w:tcPr>
          <w:p w:rsidR="008C18D0" w:rsidRDefault="008C18D0" w:rsidP="008C18D0">
            <w:pPr>
              <w:spacing w:before="120" w:after="120"/>
              <w:rPr>
                <w:rFonts w:ascii="Palatino Linotype" w:hAnsi="Palatino Linotype"/>
                <w:sz w:val="22"/>
                <w:szCs w:val="22"/>
              </w:rPr>
            </w:pPr>
            <w:r>
              <w:rPr>
                <w:rFonts w:ascii="Palatino Linotype" w:hAnsi="Palatino Linotype"/>
                <w:sz w:val="22"/>
                <w:szCs w:val="22"/>
              </w:rPr>
              <w:t>SCE advice letter 3003-E</w:t>
            </w:r>
          </w:p>
          <w:p w:rsidR="008C18D0" w:rsidRDefault="008C18D0" w:rsidP="008C18D0">
            <w:pPr>
              <w:spacing w:before="120" w:after="120"/>
              <w:rPr>
                <w:rFonts w:ascii="Palatino Linotype" w:hAnsi="Palatino Linotype"/>
                <w:sz w:val="22"/>
                <w:szCs w:val="22"/>
              </w:rPr>
            </w:pPr>
            <w:r>
              <w:rPr>
                <w:rFonts w:ascii="Palatino Linotype" w:hAnsi="Palatino Linotype"/>
                <w:sz w:val="22"/>
                <w:szCs w:val="22"/>
              </w:rPr>
              <w:t>(Section B.2)</w:t>
            </w:r>
          </w:p>
        </w:tc>
        <w:tc>
          <w:tcPr>
            <w:tcW w:w="1698" w:type="dxa"/>
          </w:tcPr>
          <w:p w:rsidR="008C18D0" w:rsidRPr="000D008E" w:rsidRDefault="008C18D0" w:rsidP="009F5A73">
            <w:pPr>
              <w:spacing w:before="120" w:after="120"/>
              <w:jc w:val="center"/>
              <w:rPr>
                <w:rFonts w:ascii="Palatino Linotype" w:hAnsi="Palatino Linotype"/>
                <w:sz w:val="22"/>
                <w:szCs w:val="22"/>
              </w:rPr>
            </w:pPr>
          </w:p>
        </w:tc>
      </w:tr>
    </w:tbl>
    <w:p w:rsidR="006421F0" w:rsidRDefault="006421F0" w:rsidP="001F3135">
      <w:pPr>
        <w:jc w:val="center"/>
        <w:rPr>
          <w:b/>
          <w:sz w:val="28"/>
          <w:szCs w:val="28"/>
        </w:rPr>
      </w:pPr>
      <w:r>
        <w:rPr>
          <w:b/>
          <w:sz w:val="28"/>
          <w:szCs w:val="28"/>
        </w:rPr>
        <w:t xml:space="preserve"> </w:t>
      </w:r>
    </w:p>
    <w:p w:rsidR="00026DAB" w:rsidRDefault="00026DAB" w:rsidP="001F3135">
      <w:pPr>
        <w:jc w:val="center"/>
        <w:rPr>
          <w:b/>
          <w:sz w:val="28"/>
          <w:szCs w:val="28"/>
        </w:rPr>
      </w:pPr>
    </w:p>
    <w:p w:rsidR="00026DAB" w:rsidRDefault="00026DAB" w:rsidP="001F3135">
      <w:pPr>
        <w:jc w:val="center"/>
        <w:rPr>
          <w:b/>
          <w:sz w:val="28"/>
          <w:szCs w:val="28"/>
        </w:rPr>
      </w:pPr>
    </w:p>
    <w:p w:rsidR="00026DAB" w:rsidRDefault="00026DAB" w:rsidP="001F3135">
      <w:pPr>
        <w:jc w:val="center"/>
        <w:rPr>
          <w:b/>
          <w:sz w:val="28"/>
          <w:szCs w:val="28"/>
        </w:rPr>
      </w:pPr>
    </w:p>
    <w:p w:rsidR="00026DAB" w:rsidRDefault="00026DAB" w:rsidP="001F3135">
      <w:pPr>
        <w:jc w:val="center"/>
        <w:rPr>
          <w:b/>
          <w:sz w:val="28"/>
          <w:szCs w:val="28"/>
        </w:rPr>
      </w:pPr>
    </w:p>
    <w:p w:rsidR="00026DAB" w:rsidRDefault="00026DAB" w:rsidP="001F3135">
      <w:pPr>
        <w:jc w:val="center"/>
        <w:rPr>
          <w:b/>
          <w:sz w:val="28"/>
          <w:szCs w:val="28"/>
        </w:rPr>
      </w:pPr>
    </w:p>
    <w:p w:rsidR="00026DAB" w:rsidRDefault="00026DAB" w:rsidP="001F3135">
      <w:pPr>
        <w:jc w:val="center"/>
        <w:rPr>
          <w:b/>
          <w:sz w:val="28"/>
          <w:szCs w:val="28"/>
        </w:rPr>
      </w:pPr>
    </w:p>
    <w:p w:rsidR="00026DAB" w:rsidRDefault="00026DAB" w:rsidP="001F3135">
      <w:pPr>
        <w:jc w:val="center"/>
        <w:rPr>
          <w:b/>
          <w:sz w:val="28"/>
          <w:szCs w:val="28"/>
        </w:rPr>
      </w:pPr>
    </w:p>
    <w:p w:rsidR="000C27DA" w:rsidRDefault="001F3135" w:rsidP="001F3135">
      <w:pPr>
        <w:jc w:val="center"/>
        <w:rPr>
          <w:b/>
          <w:sz w:val="44"/>
          <w:szCs w:val="44"/>
          <w:u w:val="single"/>
        </w:rPr>
      </w:pPr>
      <w:r>
        <w:rPr>
          <w:b/>
          <w:sz w:val="28"/>
          <w:szCs w:val="28"/>
        </w:rPr>
        <w:t>(END OF APPENDIX A)</w:t>
      </w:r>
      <w:r>
        <w:rPr>
          <w:b/>
          <w:sz w:val="44"/>
          <w:szCs w:val="44"/>
          <w:u w:val="single"/>
        </w:rPr>
        <w:br w:type="page"/>
      </w:r>
    </w:p>
    <w:p w:rsidR="000C27DA" w:rsidRDefault="000C27DA" w:rsidP="001F3135">
      <w:pPr>
        <w:jc w:val="center"/>
        <w:rPr>
          <w:b/>
          <w:sz w:val="44"/>
          <w:szCs w:val="44"/>
          <w:u w:val="single"/>
        </w:rPr>
      </w:pPr>
    </w:p>
    <w:p w:rsidR="004008D3" w:rsidRPr="000D3E9C" w:rsidRDefault="004008D3" w:rsidP="001F3135">
      <w:pPr>
        <w:jc w:val="center"/>
        <w:rPr>
          <w:rFonts w:ascii="Arial" w:hAnsi="Arial" w:cs="Arial"/>
          <w:b/>
          <w:bCs/>
          <w:sz w:val="22"/>
          <w:szCs w:val="22"/>
          <w:u w:val="single"/>
        </w:rPr>
      </w:pPr>
      <w:r>
        <w:rPr>
          <w:b/>
          <w:sz w:val="44"/>
          <w:szCs w:val="44"/>
          <w:u w:val="single"/>
        </w:rPr>
        <w:t>Appendix</w:t>
      </w:r>
      <w:r w:rsidRPr="000D3E9C">
        <w:rPr>
          <w:b/>
          <w:sz w:val="44"/>
          <w:szCs w:val="44"/>
          <w:u w:val="single"/>
        </w:rPr>
        <w:t xml:space="preserve"> </w:t>
      </w:r>
      <w:r>
        <w:rPr>
          <w:b/>
          <w:sz w:val="44"/>
          <w:szCs w:val="44"/>
          <w:u w:val="single"/>
        </w:rPr>
        <w:t>B</w:t>
      </w:r>
    </w:p>
    <w:p w:rsidR="004008D3" w:rsidRDefault="004008D3" w:rsidP="004008D3">
      <w:pPr>
        <w:jc w:val="center"/>
        <w:rPr>
          <w:sz w:val="44"/>
          <w:szCs w:val="44"/>
        </w:rPr>
      </w:pPr>
    </w:p>
    <w:p w:rsidR="004008D3" w:rsidRDefault="00445143" w:rsidP="004008D3">
      <w:pPr>
        <w:jc w:val="center"/>
        <w:rPr>
          <w:sz w:val="44"/>
          <w:szCs w:val="44"/>
        </w:rPr>
      </w:pPr>
      <w:r>
        <w:rPr>
          <w:sz w:val="44"/>
          <w:szCs w:val="44"/>
        </w:rPr>
        <w:t>List</w:t>
      </w:r>
      <w:r w:rsidR="004008D3">
        <w:rPr>
          <w:sz w:val="44"/>
          <w:szCs w:val="44"/>
        </w:rPr>
        <w:t xml:space="preserve"> of the Non-Substantive Modifications Proposed by </w:t>
      </w:r>
      <w:r>
        <w:rPr>
          <w:sz w:val="44"/>
          <w:szCs w:val="44"/>
        </w:rPr>
        <w:t>P</w:t>
      </w:r>
      <w:r w:rsidR="004008D3">
        <w:rPr>
          <w:sz w:val="44"/>
          <w:szCs w:val="44"/>
        </w:rPr>
        <w:t>G&amp;E</w:t>
      </w:r>
    </w:p>
    <w:p w:rsidR="00F9469D" w:rsidRDefault="009E3259" w:rsidP="009E3259">
      <w:pPr>
        <w:jc w:val="center"/>
        <w:rPr>
          <w:sz w:val="44"/>
          <w:szCs w:val="44"/>
        </w:rPr>
      </w:pPr>
      <w:r>
        <w:rPr>
          <w:sz w:val="44"/>
          <w:szCs w:val="44"/>
        </w:rPr>
        <w:t xml:space="preserve"> </w:t>
      </w:r>
    </w:p>
    <w:p w:rsidR="00547E09" w:rsidRDefault="00F9469D" w:rsidP="00547E09">
      <w:pPr>
        <w:pStyle w:val="standard"/>
        <w:spacing w:line="240" w:lineRule="auto"/>
        <w:ind w:firstLine="0"/>
        <w:rPr>
          <w:rFonts w:ascii="Palatino Linotype" w:hAnsi="Palatino Linotype"/>
          <w:b/>
        </w:rPr>
      </w:pPr>
      <w:r>
        <w:rPr>
          <w:sz w:val="44"/>
          <w:szCs w:val="44"/>
        </w:rPr>
        <w:br w:type="page"/>
      </w:r>
      <w:r w:rsidR="00445143">
        <w:rPr>
          <w:rFonts w:ascii="Palatino Linotype" w:hAnsi="Palatino Linotype"/>
          <w:b/>
        </w:rPr>
        <w:t>List</w:t>
      </w:r>
      <w:r w:rsidR="00547E09">
        <w:rPr>
          <w:rFonts w:ascii="Palatino Linotype" w:hAnsi="Palatino Linotype"/>
          <w:b/>
        </w:rPr>
        <w:t xml:space="preserve"> of </w:t>
      </w:r>
      <w:r w:rsidR="00445143">
        <w:rPr>
          <w:rFonts w:ascii="Palatino Linotype" w:hAnsi="Palatino Linotype"/>
          <w:b/>
        </w:rPr>
        <w:t>P</w:t>
      </w:r>
      <w:r w:rsidR="00547E09">
        <w:rPr>
          <w:rFonts w:ascii="Palatino Linotype" w:hAnsi="Palatino Linotype"/>
          <w:b/>
        </w:rPr>
        <w:t xml:space="preserve">G&amp;E’s </w:t>
      </w:r>
      <w:r w:rsidR="00547E09" w:rsidRPr="00600701">
        <w:rPr>
          <w:rFonts w:ascii="Palatino Linotype" w:hAnsi="Palatino Linotype"/>
          <w:b/>
        </w:rPr>
        <w:t xml:space="preserve">Proposed </w:t>
      </w:r>
      <w:r w:rsidR="00547E09">
        <w:rPr>
          <w:rFonts w:ascii="Palatino Linotype" w:hAnsi="Palatino Linotype"/>
          <w:b/>
        </w:rPr>
        <w:t xml:space="preserve">Non-Substantive </w:t>
      </w:r>
      <w:r w:rsidR="00547E09" w:rsidRPr="00600701">
        <w:rPr>
          <w:rFonts w:ascii="Palatino Linotype" w:hAnsi="Palatino Linotype"/>
          <w:b/>
        </w:rPr>
        <w:t xml:space="preserve">Changes </w:t>
      </w:r>
      <w:r w:rsidR="00547E09">
        <w:rPr>
          <w:rFonts w:ascii="Palatino Linotype" w:hAnsi="Palatino Linotype"/>
          <w:b/>
        </w:rPr>
        <w:t>to</w:t>
      </w:r>
      <w:r w:rsidR="00547E09" w:rsidRPr="00600701">
        <w:rPr>
          <w:rFonts w:ascii="Palatino Linotype" w:hAnsi="Palatino Linotype"/>
          <w:b/>
        </w:rPr>
        <w:t xml:space="preserve"> </w:t>
      </w:r>
      <w:r w:rsidR="00547E09">
        <w:rPr>
          <w:rFonts w:ascii="Palatino Linotype" w:hAnsi="Palatino Linotype"/>
          <w:b/>
        </w:rPr>
        <w:t xml:space="preserve">its RAM Pro Forma </w:t>
      </w:r>
      <w:r w:rsidR="00547E09" w:rsidRPr="00600701">
        <w:rPr>
          <w:rFonts w:ascii="Palatino Linotype" w:hAnsi="Palatino Linotype"/>
          <w:b/>
        </w:rPr>
        <w:t>PPA</w:t>
      </w:r>
      <w:r w:rsidR="0089684E">
        <w:rPr>
          <w:rFonts w:ascii="Palatino Linotype" w:hAnsi="Palatino Linotype"/>
          <w:b/>
        </w:rPr>
        <w:t xml:space="preserve"> </w:t>
      </w:r>
    </w:p>
    <w:p w:rsidR="00445143" w:rsidRPr="005720F9" w:rsidRDefault="00847FAC" w:rsidP="00445143">
      <w:pPr>
        <w:pStyle w:val="standard"/>
        <w:spacing w:line="240" w:lineRule="auto"/>
        <w:ind w:left="-864" w:firstLine="0"/>
        <w:rPr>
          <w:rFonts w:ascii="Palatino Linotype" w:hAnsi="Palatino Linotype"/>
          <w:bCs/>
          <w:szCs w:val="26"/>
        </w:rPr>
      </w:pPr>
      <w:r>
        <w:rPr>
          <w:noProof/>
        </w:rPr>
        <w:drawing>
          <wp:inline distT="0" distB="0" distL="0" distR="0" wp14:anchorId="6186BB07" wp14:editId="08C1F35B">
            <wp:extent cx="7000875" cy="6724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0875" cy="6724650"/>
                    </a:xfrm>
                    <a:prstGeom prst="rect">
                      <a:avLst/>
                    </a:prstGeom>
                    <a:noFill/>
                    <a:ln>
                      <a:noFill/>
                    </a:ln>
                  </pic:spPr>
                </pic:pic>
              </a:graphicData>
            </a:graphic>
          </wp:inline>
        </w:drawing>
      </w:r>
    </w:p>
    <w:p w:rsidR="00547E09" w:rsidRPr="00D548DF" w:rsidRDefault="00547E09" w:rsidP="00547E09">
      <w:pPr>
        <w:pStyle w:val="standard"/>
        <w:spacing w:line="240" w:lineRule="auto"/>
        <w:ind w:firstLine="0"/>
        <w:rPr>
          <w:b/>
        </w:rPr>
      </w:pPr>
    </w:p>
    <w:p w:rsidR="00547E09" w:rsidRDefault="00547E09" w:rsidP="00547E09">
      <w:pPr>
        <w:pStyle w:val="standard"/>
        <w:spacing w:line="240" w:lineRule="auto"/>
      </w:pPr>
    </w:p>
    <w:p w:rsidR="00026DAB" w:rsidRDefault="00026DAB" w:rsidP="00547E09">
      <w:pPr>
        <w:pStyle w:val="standard"/>
        <w:spacing w:line="240" w:lineRule="auto"/>
      </w:pPr>
    </w:p>
    <w:p w:rsidR="000C27DA" w:rsidRDefault="000C27DA" w:rsidP="000C27DA">
      <w:pPr>
        <w:jc w:val="center"/>
        <w:rPr>
          <w:sz w:val="44"/>
          <w:szCs w:val="44"/>
        </w:rPr>
      </w:pPr>
      <w:r w:rsidRPr="000C27DA">
        <w:rPr>
          <w:b/>
          <w:sz w:val="28"/>
          <w:szCs w:val="28"/>
        </w:rPr>
        <w:t>(END OF APPENDIX B)</w:t>
      </w:r>
      <w:r w:rsidR="00F9469D">
        <w:rPr>
          <w:sz w:val="44"/>
          <w:szCs w:val="44"/>
        </w:rPr>
        <w:br w:type="page"/>
      </w:r>
    </w:p>
    <w:p w:rsidR="000C27DA" w:rsidRDefault="000C27DA" w:rsidP="000C27DA">
      <w:pPr>
        <w:jc w:val="center"/>
        <w:rPr>
          <w:sz w:val="44"/>
          <w:szCs w:val="44"/>
        </w:rPr>
      </w:pPr>
    </w:p>
    <w:p w:rsidR="00F9469D" w:rsidRPr="000D3E9C" w:rsidRDefault="00F9469D" w:rsidP="000C27DA">
      <w:pPr>
        <w:jc w:val="center"/>
        <w:rPr>
          <w:rFonts w:ascii="Arial" w:hAnsi="Arial" w:cs="Arial"/>
          <w:b/>
          <w:bCs/>
          <w:sz w:val="22"/>
          <w:szCs w:val="22"/>
          <w:u w:val="single"/>
        </w:rPr>
      </w:pPr>
      <w:r>
        <w:rPr>
          <w:b/>
          <w:sz w:val="44"/>
          <w:szCs w:val="44"/>
          <w:u w:val="single"/>
        </w:rPr>
        <w:t>Appendix</w:t>
      </w:r>
      <w:r w:rsidRPr="000D3E9C">
        <w:rPr>
          <w:b/>
          <w:sz w:val="44"/>
          <w:szCs w:val="44"/>
          <w:u w:val="single"/>
        </w:rPr>
        <w:t xml:space="preserve"> </w:t>
      </w:r>
      <w:r>
        <w:rPr>
          <w:b/>
          <w:sz w:val="44"/>
          <w:szCs w:val="44"/>
          <w:u w:val="single"/>
        </w:rPr>
        <w:t>C</w:t>
      </w:r>
    </w:p>
    <w:p w:rsidR="00F9469D" w:rsidRDefault="00F9469D" w:rsidP="00F9469D">
      <w:pPr>
        <w:jc w:val="center"/>
        <w:rPr>
          <w:sz w:val="44"/>
          <w:szCs w:val="44"/>
        </w:rPr>
      </w:pPr>
    </w:p>
    <w:p w:rsidR="00547E09" w:rsidRDefault="007D00C0" w:rsidP="00F9469D">
      <w:pPr>
        <w:jc w:val="center"/>
        <w:rPr>
          <w:sz w:val="44"/>
          <w:szCs w:val="44"/>
        </w:rPr>
      </w:pPr>
      <w:r>
        <w:rPr>
          <w:sz w:val="44"/>
          <w:szCs w:val="44"/>
        </w:rPr>
        <w:t>List</w:t>
      </w:r>
      <w:r w:rsidR="00F9469D">
        <w:rPr>
          <w:sz w:val="44"/>
          <w:szCs w:val="44"/>
        </w:rPr>
        <w:t xml:space="preserve"> of the Non-Substantive Modifications Proposed by </w:t>
      </w:r>
      <w:r w:rsidR="00445143">
        <w:rPr>
          <w:sz w:val="44"/>
          <w:szCs w:val="44"/>
        </w:rPr>
        <w:t>SD</w:t>
      </w:r>
      <w:r w:rsidR="00F9469D">
        <w:rPr>
          <w:sz w:val="44"/>
          <w:szCs w:val="44"/>
        </w:rPr>
        <w:t>G&amp;E</w:t>
      </w:r>
    </w:p>
    <w:p w:rsidR="007924C1" w:rsidRPr="005720F9" w:rsidRDefault="00547E09" w:rsidP="007924C1">
      <w:pPr>
        <w:rPr>
          <w:rFonts w:ascii="Palatino Linotype" w:hAnsi="Palatino Linotype"/>
          <w:bCs/>
          <w:szCs w:val="26"/>
        </w:rPr>
      </w:pPr>
      <w:r>
        <w:rPr>
          <w:sz w:val="44"/>
          <w:szCs w:val="44"/>
        </w:rPr>
        <w:br w:type="page"/>
      </w:r>
      <w:r w:rsidR="007924C1">
        <w:rPr>
          <w:rFonts w:ascii="Palatino Linotype" w:hAnsi="Palatino Linotype"/>
          <w:b/>
        </w:rPr>
        <w:t xml:space="preserve">Summary of PG&amp;E’s </w:t>
      </w:r>
      <w:r w:rsidR="007924C1" w:rsidRPr="00600701">
        <w:rPr>
          <w:rFonts w:ascii="Palatino Linotype" w:hAnsi="Palatino Linotype"/>
          <w:b/>
        </w:rPr>
        <w:t xml:space="preserve">Proposed </w:t>
      </w:r>
      <w:r w:rsidR="007924C1" w:rsidRPr="003C6BDF">
        <w:rPr>
          <w:rFonts w:ascii="Palatino Linotype" w:hAnsi="Palatino Linotype"/>
          <w:b/>
        </w:rPr>
        <w:t>Non-Substantive Changes</w:t>
      </w:r>
      <w:r w:rsidR="007924C1" w:rsidRPr="00600701">
        <w:rPr>
          <w:rFonts w:ascii="Palatino Linotype" w:hAnsi="Palatino Linotype"/>
          <w:b/>
        </w:rPr>
        <w:t xml:space="preserve"> </w:t>
      </w:r>
      <w:r w:rsidR="007924C1">
        <w:rPr>
          <w:rFonts w:ascii="Palatino Linotype" w:hAnsi="Palatino Linotype"/>
          <w:b/>
        </w:rPr>
        <w:t>to</w:t>
      </w:r>
      <w:r w:rsidR="007924C1" w:rsidRPr="00600701">
        <w:rPr>
          <w:rFonts w:ascii="Palatino Linotype" w:hAnsi="Palatino Linotype"/>
          <w:b/>
        </w:rPr>
        <w:t xml:space="preserve"> </w:t>
      </w:r>
      <w:r w:rsidR="007924C1">
        <w:rPr>
          <w:rFonts w:ascii="Palatino Linotype" w:hAnsi="Palatino Linotype"/>
          <w:b/>
        </w:rPr>
        <w:t xml:space="preserve">its RAM Pro Forma </w:t>
      </w:r>
      <w:r w:rsidR="007924C1" w:rsidRPr="00600701">
        <w:rPr>
          <w:rFonts w:ascii="Palatino Linotype" w:hAnsi="Palatino Linotype"/>
          <w:b/>
        </w:rPr>
        <w:t>PPA</w:t>
      </w:r>
      <w:r w:rsidR="007924C1">
        <w:rPr>
          <w:rFonts w:ascii="Palatino Linotype" w:hAnsi="Palatino Linotype"/>
          <w:b/>
        </w:rPr>
        <w:t xml:space="preserve"> </w:t>
      </w:r>
    </w:p>
    <w:p w:rsidR="007924C1" w:rsidRPr="00D548DF" w:rsidRDefault="007924C1" w:rsidP="007924C1">
      <w:pPr>
        <w:pStyle w:val="standard"/>
        <w:spacing w:line="240" w:lineRule="auto"/>
        <w:ind w:firstLine="0"/>
        <w:rPr>
          <w:b/>
        </w:rPr>
      </w:pPr>
    </w:p>
    <w:p w:rsidR="00445143" w:rsidRDefault="00847FAC" w:rsidP="00D52995">
      <w:pPr>
        <w:pStyle w:val="standard"/>
        <w:spacing w:line="240" w:lineRule="auto"/>
        <w:ind w:firstLine="0"/>
        <w:rPr>
          <w:noProof/>
        </w:rPr>
      </w:pPr>
      <w:r>
        <w:rPr>
          <w:noProof/>
        </w:rPr>
        <w:drawing>
          <wp:inline distT="0" distB="0" distL="0" distR="0" wp14:anchorId="13A1AE8C" wp14:editId="3CB1E516">
            <wp:extent cx="5943600" cy="474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743450"/>
                    </a:xfrm>
                    <a:prstGeom prst="rect">
                      <a:avLst/>
                    </a:prstGeom>
                    <a:noFill/>
                    <a:ln>
                      <a:noFill/>
                    </a:ln>
                  </pic:spPr>
                </pic:pic>
              </a:graphicData>
            </a:graphic>
          </wp:inline>
        </w:drawing>
      </w:r>
    </w:p>
    <w:p w:rsidR="00D52995" w:rsidRDefault="00D52995" w:rsidP="00D52995">
      <w:pPr>
        <w:pStyle w:val="standard"/>
        <w:spacing w:before="120" w:line="240" w:lineRule="auto"/>
        <w:ind w:firstLine="0"/>
        <w:rPr>
          <w:rFonts w:ascii="Palatino Linotype" w:hAnsi="Palatino Linotype"/>
          <w:b/>
        </w:rPr>
      </w:pPr>
    </w:p>
    <w:p w:rsidR="00D52995" w:rsidRDefault="00D52995" w:rsidP="00D52995">
      <w:pPr>
        <w:pStyle w:val="standard"/>
        <w:keepNext/>
        <w:spacing w:before="120" w:line="240" w:lineRule="auto"/>
        <w:ind w:firstLine="0"/>
        <w:rPr>
          <w:noProof/>
        </w:rPr>
      </w:pPr>
      <w:r>
        <w:rPr>
          <w:rFonts w:ascii="Palatino Linotype" w:hAnsi="Palatino Linotype"/>
          <w:b/>
        </w:rPr>
        <w:t xml:space="preserve">Summary of PG&amp;E’s </w:t>
      </w:r>
      <w:r w:rsidRPr="00600701">
        <w:rPr>
          <w:rFonts w:ascii="Palatino Linotype" w:hAnsi="Palatino Linotype"/>
          <w:b/>
        </w:rPr>
        <w:t xml:space="preserve">Proposed </w:t>
      </w:r>
      <w:r w:rsidRPr="003C6BDF">
        <w:rPr>
          <w:rFonts w:ascii="Palatino Linotype" w:hAnsi="Palatino Linotype"/>
          <w:b/>
        </w:rPr>
        <w:t>Non-Substantive Changes</w:t>
      </w:r>
      <w:r w:rsidRPr="00600701">
        <w:rPr>
          <w:rFonts w:ascii="Palatino Linotype" w:hAnsi="Palatino Linotype"/>
          <w:b/>
        </w:rPr>
        <w:t xml:space="preserve"> </w:t>
      </w:r>
      <w:r>
        <w:rPr>
          <w:rFonts w:ascii="Palatino Linotype" w:hAnsi="Palatino Linotype"/>
          <w:b/>
        </w:rPr>
        <w:t>to</w:t>
      </w:r>
      <w:r w:rsidRPr="00600701">
        <w:rPr>
          <w:rFonts w:ascii="Palatino Linotype" w:hAnsi="Palatino Linotype"/>
          <w:b/>
        </w:rPr>
        <w:t xml:space="preserve"> </w:t>
      </w:r>
      <w:r>
        <w:rPr>
          <w:rFonts w:ascii="Palatino Linotype" w:hAnsi="Palatino Linotype"/>
          <w:b/>
        </w:rPr>
        <w:t xml:space="preserve">its RAM Pro Forma </w:t>
      </w:r>
      <w:r w:rsidRPr="00600701">
        <w:rPr>
          <w:rFonts w:ascii="Palatino Linotype" w:hAnsi="Palatino Linotype"/>
          <w:b/>
        </w:rPr>
        <w:t>PPA</w:t>
      </w:r>
      <w:r>
        <w:rPr>
          <w:rFonts w:ascii="Palatino Linotype" w:hAnsi="Palatino Linotype"/>
          <w:b/>
        </w:rPr>
        <w:t xml:space="preserve"> and RAM Bidding Protocol</w:t>
      </w:r>
    </w:p>
    <w:p w:rsidR="00D52995" w:rsidRDefault="00847FAC" w:rsidP="00D52995">
      <w:pPr>
        <w:pStyle w:val="standard"/>
        <w:spacing w:before="120" w:line="240" w:lineRule="auto"/>
        <w:ind w:firstLine="0"/>
        <w:rPr>
          <w:b/>
        </w:rPr>
      </w:pPr>
      <w:r>
        <w:rPr>
          <w:noProof/>
        </w:rPr>
        <w:drawing>
          <wp:inline distT="0" distB="0" distL="0" distR="0" wp14:anchorId="0FAE47A0" wp14:editId="2BFE754E">
            <wp:extent cx="5943600" cy="3638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38550"/>
                    </a:xfrm>
                    <a:prstGeom prst="rect">
                      <a:avLst/>
                    </a:prstGeom>
                    <a:noFill/>
                    <a:ln>
                      <a:noFill/>
                    </a:ln>
                  </pic:spPr>
                </pic:pic>
              </a:graphicData>
            </a:graphic>
          </wp:inline>
        </w:drawing>
      </w:r>
    </w:p>
    <w:p w:rsidR="00445143" w:rsidRDefault="00445143" w:rsidP="00F61EC1">
      <w:pPr>
        <w:jc w:val="center"/>
        <w:rPr>
          <w:rFonts w:ascii="Palatino Linotype" w:hAnsi="Palatino Linotype"/>
          <w:b/>
          <w:sz w:val="20"/>
        </w:rPr>
      </w:pPr>
    </w:p>
    <w:p w:rsidR="00026DAB" w:rsidRDefault="00026DAB" w:rsidP="00F61EC1">
      <w:pPr>
        <w:jc w:val="center"/>
        <w:rPr>
          <w:rFonts w:ascii="Palatino Linotype" w:hAnsi="Palatino Linotype"/>
          <w:b/>
          <w:sz w:val="20"/>
        </w:rPr>
      </w:pPr>
    </w:p>
    <w:p w:rsidR="00026DAB" w:rsidRDefault="00026DAB" w:rsidP="00F61EC1">
      <w:pPr>
        <w:jc w:val="center"/>
        <w:rPr>
          <w:rFonts w:ascii="Palatino Linotype" w:hAnsi="Palatino Linotype"/>
          <w:b/>
          <w:sz w:val="20"/>
        </w:rPr>
      </w:pPr>
    </w:p>
    <w:p w:rsidR="00026DAB" w:rsidRDefault="00026DAB" w:rsidP="00F61EC1">
      <w:pPr>
        <w:jc w:val="center"/>
        <w:rPr>
          <w:rFonts w:ascii="Palatino Linotype" w:hAnsi="Palatino Linotype"/>
          <w:b/>
          <w:sz w:val="20"/>
        </w:rPr>
      </w:pPr>
    </w:p>
    <w:p w:rsidR="00026DAB" w:rsidRDefault="00026DAB" w:rsidP="00F61EC1">
      <w:pPr>
        <w:jc w:val="center"/>
        <w:rPr>
          <w:rFonts w:ascii="Palatino Linotype" w:hAnsi="Palatino Linotype"/>
          <w:b/>
          <w:sz w:val="20"/>
        </w:rPr>
      </w:pPr>
    </w:p>
    <w:p w:rsidR="00026DAB" w:rsidRDefault="00026DAB" w:rsidP="00F61EC1">
      <w:pPr>
        <w:jc w:val="center"/>
        <w:rPr>
          <w:rFonts w:ascii="Palatino Linotype" w:hAnsi="Palatino Linotype"/>
          <w:b/>
          <w:sz w:val="20"/>
        </w:rPr>
      </w:pPr>
    </w:p>
    <w:p w:rsidR="00026DAB" w:rsidRDefault="00026DAB" w:rsidP="00F61EC1">
      <w:pPr>
        <w:jc w:val="center"/>
        <w:rPr>
          <w:rFonts w:ascii="Palatino Linotype" w:hAnsi="Palatino Linotype"/>
          <w:b/>
          <w:sz w:val="20"/>
        </w:rPr>
      </w:pPr>
    </w:p>
    <w:p w:rsidR="00026DAB" w:rsidRDefault="00026DAB" w:rsidP="00F61EC1">
      <w:pPr>
        <w:jc w:val="center"/>
        <w:rPr>
          <w:rFonts w:ascii="Palatino Linotype" w:hAnsi="Palatino Linotype"/>
          <w:b/>
          <w:sz w:val="20"/>
        </w:rPr>
      </w:pPr>
    </w:p>
    <w:p w:rsidR="00026DAB" w:rsidRDefault="00026DAB" w:rsidP="00F61EC1">
      <w:pPr>
        <w:jc w:val="center"/>
        <w:rPr>
          <w:rFonts w:ascii="Palatino Linotype" w:hAnsi="Palatino Linotype"/>
          <w:b/>
          <w:sz w:val="20"/>
        </w:rPr>
      </w:pPr>
    </w:p>
    <w:p w:rsidR="00026DAB" w:rsidRDefault="00026DAB" w:rsidP="00F61EC1">
      <w:pPr>
        <w:jc w:val="center"/>
        <w:rPr>
          <w:rFonts w:ascii="Palatino Linotype" w:hAnsi="Palatino Linotype"/>
          <w:b/>
          <w:sz w:val="20"/>
        </w:rPr>
      </w:pPr>
    </w:p>
    <w:p w:rsidR="00026DAB" w:rsidRDefault="00026DAB" w:rsidP="00F61EC1">
      <w:pPr>
        <w:jc w:val="center"/>
        <w:rPr>
          <w:rFonts w:ascii="Palatino Linotype" w:hAnsi="Palatino Linotype"/>
          <w:b/>
          <w:sz w:val="20"/>
        </w:rPr>
      </w:pPr>
    </w:p>
    <w:p w:rsidR="00026DAB" w:rsidRDefault="00026DAB" w:rsidP="00F61EC1">
      <w:pPr>
        <w:jc w:val="center"/>
        <w:rPr>
          <w:rFonts w:ascii="Palatino Linotype" w:hAnsi="Palatino Linotype"/>
          <w:b/>
          <w:sz w:val="20"/>
        </w:rPr>
      </w:pPr>
    </w:p>
    <w:p w:rsidR="00026DAB" w:rsidRDefault="00026DAB" w:rsidP="00F61EC1">
      <w:pPr>
        <w:jc w:val="center"/>
        <w:rPr>
          <w:rFonts w:ascii="Palatino Linotype" w:hAnsi="Palatino Linotype"/>
          <w:b/>
          <w:sz w:val="20"/>
        </w:rPr>
      </w:pPr>
    </w:p>
    <w:p w:rsidR="00D52995" w:rsidRDefault="00D52995" w:rsidP="00F61EC1">
      <w:pPr>
        <w:jc w:val="center"/>
        <w:rPr>
          <w:rFonts w:ascii="Palatino Linotype" w:hAnsi="Palatino Linotype"/>
          <w:b/>
          <w:sz w:val="20"/>
        </w:rPr>
        <w:sectPr w:rsidR="00D52995" w:rsidSect="001F313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540" w:footer="720" w:gutter="0"/>
          <w:cols w:space="720"/>
          <w:titlePg/>
          <w:docGrid w:linePitch="354"/>
        </w:sectPr>
      </w:pPr>
    </w:p>
    <w:p w:rsidR="007924C1" w:rsidRPr="000C27DA" w:rsidRDefault="00445143" w:rsidP="000C27DA">
      <w:pPr>
        <w:pStyle w:val="standard"/>
        <w:spacing w:before="120" w:line="240" w:lineRule="auto"/>
        <w:jc w:val="center"/>
        <w:rPr>
          <w:b/>
        </w:rPr>
      </w:pPr>
      <w:r w:rsidRPr="000C27DA">
        <w:rPr>
          <w:b/>
        </w:rPr>
        <w:t xml:space="preserve"> </w:t>
      </w:r>
      <w:r w:rsidR="000C27DA" w:rsidRPr="000C27DA">
        <w:rPr>
          <w:b/>
        </w:rPr>
        <w:t>(END OF APPENDIX C)</w:t>
      </w:r>
    </w:p>
    <w:p w:rsidR="000C27DA" w:rsidRDefault="009E3259" w:rsidP="009E3259">
      <w:pPr>
        <w:jc w:val="center"/>
        <w:rPr>
          <w:rFonts w:ascii="Palatino Linotype" w:hAnsi="Palatino Linotype"/>
          <w:b/>
          <w:sz w:val="52"/>
          <w:szCs w:val="52"/>
          <w:u w:val="single"/>
        </w:rPr>
      </w:pPr>
      <w:r>
        <w:rPr>
          <w:rFonts w:ascii="Palatino Linotype" w:hAnsi="Palatino Linotype"/>
          <w:b/>
          <w:sz w:val="52"/>
          <w:szCs w:val="52"/>
          <w:u w:val="single"/>
        </w:rPr>
        <w:br w:type="page"/>
      </w:r>
    </w:p>
    <w:p w:rsidR="006E1310" w:rsidRPr="000D3E9C" w:rsidRDefault="00943CFD" w:rsidP="009E3259">
      <w:pPr>
        <w:jc w:val="center"/>
        <w:rPr>
          <w:rFonts w:ascii="Arial" w:hAnsi="Arial" w:cs="Arial"/>
          <w:b/>
          <w:bCs/>
          <w:sz w:val="22"/>
          <w:szCs w:val="22"/>
          <w:u w:val="single"/>
        </w:rPr>
      </w:pPr>
      <w:r>
        <w:rPr>
          <w:b/>
          <w:sz w:val="44"/>
          <w:szCs w:val="44"/>
          <w:u w:val="single"/>
        </w:rPr>
        <w:t>Appendix</w:t>
      </w:r>
      <w:r w:rsidR="006E1310" w:rsidRPr="000D3E9C">
        <w:rPr>
          <w:b/>
          <w:sz w:val="44"/>
          <w:szCs w:val="44"/>
          <w:u w:val="single"/>
        </w:rPr>
        <w:t xml:space="preserve"> </w:t>
      </w:r>
      <w:r w:rsidR="00744074">
        <w:rPr>
          <w:b/>
          <w:sz w:val="44"/>
          <w:szCs w:val="44"/>
          <w:u w:val="single"/>
        </w:rPr>
        <w:t>D</w:t>
      </w:r>
    </w:p>
    <w:p w:rsidR="006E1310" w:rsidRDefault="006E1310" w:rsidP="006E1310">
      <w:pPr>
        <w:jc w:val="center"/>
        <w:rPr>
          <w:sz w:val="44"/>
          <w:szCs w:val="44"/>
        </w:rPr>
      </w:pPr>
    </w:p>
    <w:p w:rsidR="006E1310" w:rsidRPr="00AB461C" w:rsidRDefault="006E1310" w:rsidP="006E1310">
      <w:pPr>
        <w:jc w:val="center"/>
        <w:rPr>
          <w:b/>
          <w:sz w:val="44"/>
          <w:szCs w:val="44"/>
        </w:rPr>
      </w:pPr>
      <w:r>
        <w:rPr>
          <w:sz w:val="44"/>
          <w:szCs w:val="44"/>
        </w:rPr>
        <w:t>Summary of RAM Program Rules</w:t>
      </w:r>
      <w:r w:rsidR="00983E44">
        <w:rPr>
          <w:sz w:val="44"/>
          <w:szCs w:val="44"/>
        </w:rPr>
        <w:t xml:space="preserve">, Including </w:t>
      </w:r>
      <w:r w:rsidR="00D12214">
        <w:rPr>
          <w:sz w:val="44"/>
          <w:szCs w:val="44"/>
        </w:rPr>
        <w:t xml:space="preserve">Cumulative </w:t>
      </w:r>
      <w:r w:rsidR="00983E44">
        <w:rPr>
          <w:sz w:val="44"/>
          <w:szCs w:val="44"/>
        </w:rPr>
        <w:t>Changes to</w:t>
      </w:r>
      <w:r w:rsidR="00D12214">
        <w:rPr>
          <w:sz w:val="44"/>
          <w:szCs w:val="44"/>
        </w:rPr>
        <w:t xml:space="preserve"> the Original Rules from</w:t>
      </w:r>
      <w:r w:rsidR="0098603D">
        <w:rPr>
          <w:sz w:val="44"/>
          <w:szCs w:val="44"/>
        </w:rPr>
        <w:t xml:space="preserve"> Decision 10-12-048, </w:t>
      </w:r>
      <w:r w:rsidR="00983E44">
        <w:rPr>
          <w:sz w:val="44"/>
          <w:szCs w:val="44"/>
        </w:rPr>
        <w:t>Resolution E-4414</w:t>
      </w:r>
      <w:r w:rsidR="0098603D">
        <w:rPr>
          <w:sz w:val="44"/>
          <w:szCs w:val="44"/>
        </w:rPr>
        <w:t>, Resolution E-4489</w:t>
      </w:r>
      <w:r w:rsidR="00171A16">
        <w:rPr>
          <w:sz w:val="44"/>
          <w:szCs w:val="44"/>
        </w:rPr>
        <w:t>, and Resolution E-4582</w:t>
      </w:r>
    </w:p>
    <w:p w:rsidR="006E1310" w:rsidRDefault="006E1310" w:rsidP="006E1310">
      <w:pPr>
        <w:jc w:val="center"/>
        <w:rPr>
          <w:sz w:val="44"/>
          <w:szCs w:val="44"/>
        </w:rPr>
      </w:pPr>
    </w:p>
    <w:p w:rsidR="006E1310" w:rsidRDefault="006E1310" w:rsidP="006E1310">
      <w:pPr>
        <w:spacing w:line="360" w:lineRule="auto"/>
        <w:jc w:val="center"/>
        <w:rPr>
          <w:b/>
        </w:rPr>
      </w:pPr>
      <w:r>
        <w:br w:type="page"/>
      </w:r>
      <w:r>
        <w:rPr>
          <w:b/>
        </w:rPr>
        <w:t>SUMMARY OF RAM PROGRAM RULES</w:t>
      </w:r>
    </w:p>
    <w:p w:rsidR="006E1310" w:rsidRDefault="006E1310" w:rsidP="006E1310">
      <w:pPr>
        <w:ind w:firstLine="720"/>
      </w:pPr>
    </w:p>
    <w:p w:rsidR="00091829" w:rsidRDefault="00091829" w:rsidP="00091829">
      <w:pPr>
        <w:pStyle w:val="standard"/>
        <w:spacing w:after="240" w:line="240" w:lineRule="auto"/>
        <w:ind w:firstLine="0"/>
      </w:pPr>
      <w:r>
        <w:t xml:space="preserve">CPUC Decision 10-12-048 adopted the Renewable Auction Mechanism and established an original set of RAM Program Rules. CPUC Resolution E-4414 adopted these RAM Program Rules with modification. This attachment revises Appendix A of Decision 10-12-048 (as modified previously by Resolutions </w:t>
      </w:r>
      <w:r w:rsidR="001E7A8A">
        <w:br/>
      </w:r>
      <w:r>
        <w:t xml:space="preserve">E-4414, E-4489, and E-4546) to reflect the changes to the rules adopted herein in Resolution E-4582. </w:t>
      </w:r>
    </w:p>
    <w:p w:rsidR="00091829" w:rsidRDefault="00091829" w:rsidP="00091829">
      <w:pPr>
        <w:pStyle w:val="standard"/>
        <w:spacing w:after="240" w:line="240" w:lineRule="auto"/>
        <w:ind w:firstLine="0"/>
      </w:pPr>
      <w:r>
        <w:t>Underlined language reflects additions while strike-through reflects deletions. Only the new changes, or deletions, made by Resolution E-4582 are reflected here.</w:t>
      </w:r>
    </w:p>
    <w:p w:rsidR="00091829" w:rsidRDefault="00091829" w:rsidP="00091829">
      <w:pPr>
        <w:pStyle w:val="standard"/>
        <w:spacing w:after="120" w:line="240" w:lineRule="auto"/>
        <w:ind w:firstLine="0"/>
        <w:rPr>
          <w:b/>
          <w:u w:val="single"/>
        </w:rPr>
      </w:pPr>
      <w:r>
        <w:rPr>
          <w:b/>
          <w:u w:val="single"/>
        </w:rPr>
        <w:t>RENEWABLE AUCTION MECHANISM</w:t>
      </w:r>
    </w:p>
    <w:p w:rsidR="00091829" w:rsidRDefault="00091829" w:rsidP="00091829">
      <w:pPr>
        <w:numPr>
          <w:ilvl w:val="0"/>
          <w:numId w:val="7"/>
        </w:numPr>
        <w:tabs>
          <w:tab w:val="clear" w:pos="720"/>
          <w:tab w:val="num" w:pos="360"/>
        </w:tabs>
        <w:spacing w:after="120"/>
        <w:ind w:left="360"/>
      </w:pPr>
      <w:r>
        <w:rPr>
          <w:b/>
        </w:rPr>
        <w:t>Price Determination</w:t>
      </w:r>
      <w:r>
        <w:t>:  Renewable Auction Mechanism (RAM)</w:t>
      </w:r>
    </w:p>
    <w:p w:rsidR="00091829" w:rsidRDefault="00091829" w:rsidP="00091829">
      <w:pPr>
        <w:pStyle w:val="noa6"/>
        <w:numPr>
          <w:ilvl w:val="0"/>
          <w:numId w:val="11"/>
        </w:numPr>
        <w:rPr>
          <w:rFonts w:ascii="Palatino" w:hAnsi="Palatino"/>
          <w:b w:val="0"/>
        </w:rPr>
      </w:pPr>
      <w:r>
        <w:rPr>
          <w:rFonts w:ascii="Palatino" w:hAnsi="Palatino"/>
          <w:b w:val="0"/>
        </w:rPr>
        <w:t>Projects submit price bids</w:t>
      </w:r>
    </w:p>
    <w:p w:rsidR="00091829" w:rsidRDefault="00091829" w:rsidP="00091829">
      <w:pPr>
        <w:pStyle w:val="noa6"/>
        <w:numPr>
          <w:ilvl w:val="0"/>
          <w:numId w:val="11"/>
        </w:numPr>
        <w:rPr>
          <w:rFonts w:ascii="Palatino" w:hAnsi="Palatino"/>
          <w:b w:val="0"/>
        </w:rPr>
      </w:pPr>
      <w:r>
        <w:rPr>
          <w:rFonts w:ascii="Palatino" w:hAnsi="Palatino"/>
          <w:b w:val="0"/>
        </w:rPr>
        <w:t>IOUs select projects in order of least-costly first, up to program capacity limit</w:t>
      </w:r>
    </w:p>
    <w:p w:rsidR="00091829" w:rsidRDefault="00091829" w:rsidP="00091829">
      <w:pPr>
        <w:numPr>
          <w:ilvl w:val="0"/>
          <w:numId w:val="7"/>
        </w:numPr>
        <w:tabs>
          <w:tab w:val="clear" w:pos="720"/>
          <w:tab w:val="num" w:pos="360"/>
        </w:tabs>
        <w:spacing w:after="120"/>
        <w:ind w:left="360"/>
      </w:pPr>
      <w:r>
        <w:rPr>
          <w:b/>
        </w:rPr>
        <w:t>Auction Design</w:t>
      </w:r>
      <w:r>
        <w:t xml:space="preserve">:  </w:t>
      </w:r>
    </w:p>
    <w:p w:rsidR="00091829" w:rsidRDefault="00091829" w:rsidP="00091829">
      <w:pPr>
        <w:numPr>
          <w:ilvl w:val="1"/>
          <w:numId w:val="7"/>
        </w:numPr>
        <w:tabs>
          <w:tab w:val="clear" w:pos="1440"/>
        </w:tabs>
        <w:spacing w:after="120"/>
        <w:ind w:left="1080" w:hanging="720"/>
      </w:pPr>
      <w:r>
        <w:t>Program Procurement Requirement:</w:t>
      </w:r>
    </w:p>
    <w:p w:rsidR="00091829" w:rsidRPr="00BF456A" w:rsidRDefault="00091829" w:rsidP="00091829">
      <w:pPr>
        <w:numPr>
          <w:ilvl w:val="2"/>
          <w:numId w:val="7"/>
        </w:numPr>
        <w:tabs>
          <w:tab w:val="clear" w:pos="2160"/>
        </w:tabs>
        <w:spacing w:after="120"/>
        <w:ind w:left="1800" w:hanging="806"/>
      </w:pPr>
      <w:r w:rsidRPr="00BF456A">
        <w:t>1,299 MW Capacity Limit</w:t>
      </w:r>
    </w:p>
    <w:p w:rsidR="00091829" w:rsidRDefault="00091829" w:rsidP="00091829">
      <w:pPr>
        <w:numPr>
          <w:ilvl w:val="2"/>
          <w:numId w:val="7"/>
        </w:numPr>
        <w:tabs>
          <w:tab w:val="clear" w:pos="2160"/>
        </w:tabs>
        <w:spacing w:after="120"/>
        <w:ind w:left="1440" w:hanging="446"/>
      </w:pPr>
      <w:r>
        <w:t>Adjustment to the Program Capacity Limit:  May occur in any appropriate proceeding or through a Tier 3 advice letter/Resolution, or a Resolution on the Commission’s own motion</w:t>
      </w:r>
    </w:p>
    <w:p w:rsidR="00091829" w:rsidRDefault="00091829" w:rsidP="00091829">
      <w:pPr>
        <w:keepNext/>
        <w:keepLines/>
        <w:numPr>
          <w:ilvl w:val="2"/>
          <w:numId w:val="7"/>
        </w:numPr>
        <w:tabs>
          <w:tab w:val="clear" w:pos="2160"/>
        </w:tabs>
        <w:spacing w:after="240"/>
        <w:ind w:left="1800" w:hanging="806"/>
      </w:pPr>
      <w:r>
        <w:t>Capacity A</w:t>
      </w:r>
      <w:r w:rsidR="00171A16">
        <w:t>llocation for total RAM program</w:t>
      </w:r>
    </w:p>
    <w:tbl>
      <w:tblPr>
        <w:tblW w:w="0" w:type="auto"/>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568"/>
      </w:tblGrid>
      <w:tr w:rsidR="00171A16" w:rsidTr="00DF6F6C">
        <w:trPr>
          <w:jc w:val="center"/>
        </w:trPr>
        <w:tc>
          <w:tcPr>
            <w:tcW w:w="2271" w:type="dxa"/>
            <w:vAlign w:val="center"/>
          </w:tcPr>
          <w:p w:rsidR="00171A16" w:rsidRDefault="00171A16" w:rsidP="00DF6F6C">
            <w:pPr>
              <w:keepNext/>
              <w:keepLines/>
              <w:jc w:val="center"/>
              <w:rPr>
                <w:sz w:val="24"/>
                <w:szCs w:val="24"/>
              </w:rPr>
            </w:pPr>
            <w:r>
              <w:rPr>
                <w:sz w:val="24"/>
                <w:szCs w:val="24"/>
              </w:rPr>
              <w:t>UTILITY</w:t>
            </w:r>
          </w:p>
        </w:tc>
        <w:tc>
          <w:tcPr>
            <w:tcW w:w="2568" w:type="dxa"/>
            <w:vAlign w:val="center"/>
          </w:tcPr>
          <w:p w:rsidR="00171A16" w:rsidRDefault="00171A16" w:rsidP="00DF6F6C">
            <w:pPr>
              <w:keepNext/>
              <w:keepLines/>
              <w:jc w:val="center"/>
              <w:rPr>
                <w:sz w:val="24"/>
                <w:szCs w:val="24"/>
              </w:rPr>
            </w:pPr>
            <w:r>
              <w:rPr>
                <w:sz w:val="24"/>
                <w:szCs w:val="24"/>
              </w:rPr>
              <w:t>TOTAL PROGRAM (MW)</w:t>
            </w:r>
          </w:p>
        </w:tc>
      </w:tr>
      <w:tr w:rsidR="00171A16" w:rsidTr="00DF6F6C">
        <w:trPr>
          <w:jc w:val="center"/>
        </w:trPr>
        <w:tc>
          <w:tcPr>
            <w:tcW w:w="2271" w:type="dxa"/>
          </w:tcPr>
          <w:p w:rsidR="00171A16" w:rsidRDefault="00171A16" w:rsidP="00DF6F6C">
            <w:pPr>
              <w:keepNext/>
              <w:keepLines/>
              <w:ind w:left="543"/>
              <w:rPr>
                <w:sz w:val="24"/>
                <w:szCs w:val="24"/>
              </w:rPr>
            </w:pPr>
            <w:r>
              <w:rPr>
                <w:sz w:val="24"/>
                <w:szCs w:val="24"/>
              </w:rPr>
              <w:t>SCE</w:t>
            </w:r>
          </w:p>
        </w:tc>
        <w:tc>
          <w:tcPr>
            <w:tcW w:w="2568" w:type="dxa"/>
          </w:tcPr>
          <w:p w:rsidR="00171A16" w:rsidRPr="00CE00BE" w:rsidRDefault="00171A16" w:rsidP="00DF6F6C">
            <w:pPr>
              <w:keepNext/>
              <w:keepLines/>
              <w:jc w:val="center"/>
              <w:rPr>
                <w:sz w:val="24"/>
                <w:szCs w:val="24"/>
              </w:rPr>
            </w:pPr>
            <w:r w:rsidRPr="00CE00BE">
              <w:rPr>
                <w:sz w:val="24"/>
                <w:szCs w:val="24"/>
              </w:rPr>
              <w:t>723.4</w:t>
            </w:r>
          </w:p>
        </w:tc>
      </w:tr>
      <w:tr w:rsidR="00171A16" w:rsidTr="00DF6F6C">
        <w:trPr>
          <w:jc w:val="center"/>
        </w:trPr>
        <w:tc>
          <w:tcPr>
            <w:tcW w:w="2271" w:type="dxa"/>
          </w:tcPr>
          <w:p w:rsidR="00171A16" w:rsidRDefault="00171A16" w:rsidP="00DF6F6C">
            <w:pPr>
              <w:keepNext/>
              <w:keepLines/>
              <w:ind w:left="543"/>
              <w:rPr>
                <w:sz w:val="24"/>
                <w:szCs w:val="24"/>
              </w:rPr>
            </w:pPr>
            <w:r>
              <w:rPr>
                <w:sz w:val="24"/>
                <w:szCs w:val="24"/>
              </w:rPr>
              <w:t>PG&amp;E</w:t>
            </w:r>
          </w:p>
        </w:tc>
        <w:tc>
          <w:tcPr>
            <w:tcW w:w="2568" w:type="dxa"/>
          </w:tcPr>
          <w:p w:rsidR="00171A16" w:rsidRDefault="00171A16" w:rsidP="00DF6F6C">
            <w:pPr>
              <w:keepNext/>
              <w:keepLines/>
              <w:jc w:val="center"/>
              <w:rPr>
                <w:sz w:val="24"/>
                <w:szCs w:val="24"/>
              </w:rPr>
            </w:pPr>
            <w:r>
              <w:rPr>
                <w:sz w:val="24"/>
                <w:szCs w:val="24"/>
              </w:rPr>
              <w:t>420.9</w:t>
            </w:r>
          </w:p>
        </w:tc>
      </w:tr>
      <w:tr w:rsidR="00171A16" w:rsidTr="00DF6F6C">
        <w:trPr>
          <w:jc w:val="center"/>
        </w:trPr>
        <w:tc>
          <w:tcPr>
            <w:tcW w:w="2271" w:type="dxa"/>
          </w:tcPr>
          <w:p w:rsidR="00171A16" w:rsidRDefault="00171A16" w:rsidP="00DF6F6C">
            <w:pPr>
              <w:keepNext/>
              <w:keepLines/>
              <w:ind w:left="543"/>
              <w:rPr>
                <w:sz w:val="24"/>
                <w:szCs w:val="24"/>
              </w:rPr>
            </w:pPr>
            <w:r>
              <w:rPr>
                <w:sz w:val="24"/>
                <w:szCs w:val="24"/>
              </w:rPr>
              <w:t>SDG&amp;E</w:t>
            </w:r>
          </w:p>
        </w:tc>
        <w:tc>
          <w:tcPr>
            <w:tcW w:w="2568" w:type="dxa"/>
          </w:tcPr>
          <w:p w:rsidR="00171A16" w:rsidRDefault="00171A16" w:rsidP="00DF6F6C">
            <w:pPr>
              <w:keepNext/>
              <w:keepLines/>
              <w:jc w:val="center"/>
              <w:rPr>
                <w:sz w:val="24"/>
                <w:szCs w:val="24"/>
              </w:rPr>
            </w:pPr>
            <w:r>
              <w:rPr>
                <w:sz w:val="24"/>
                <w:szCs w:val="24"/>
              </w:rPr>
              <w:t>154.7</w:t>
            </w:r>
          </w:p>
        </w:tc>
      </w:tr>
      <w:tr w:rsidR="00171A16" w:rsidTr="00DF6F6C">
        <w:trPr>
          <w:jc w:val="center"/>
        </w:trPr>
        <w:tc>
          <w:tcPr>
            <w:tcW w:w="2271" w:type="dxa"/>
          </w:tcPr>
          <w:p w:rsidR="00171A16" w:rsidRPr="00CE00BE" w:rsidRDefault="00171A16" w:rsidP="00DF6F6C">
            <w:pPr>
              <w:keepNext/>
              <w:keepLines/>
              <w:ind w:left="543"/>
              <w:rPr>
                <w:b/>
                <w:sz w:val="24"/>
                <w:szCs w:val="24"/>
              </w:rPr>
            </w:pPr>
            <w:r w:rsidRPr="00CE00BE">
              <w:rPr>
                <w:b/>
                <w:sz w:val="24"/>
                <w:szCs w:val="24"/>
              </w:rPr>
              <w:t>TOTAL</w:t>
            </w:r>
          </w:p>
        </w:tc>
        <w:tc>
          <w:tcPr>
            <w:tcW w:w="2568" w:type="dxa"/>
          </w:tcPr>
          <w:p w:rsidR="00171A16" w:rsidRPr="00CE00BE" w:rsidRDefault="00171A16" w:rsidP="00DF6F6C">
            <w:pPr>
              <w:keepNext/>
              <w:keepLines/>
              <w:jc w:val="center"/>
              <w:rPr>
                <w:b/>
                <w:sz w:val="24"/>
                <w:szCs w:val="24"/>
              </w:rPr>
            </w:pPr>
            <w:r w:rsidRPr="00CE00BE">
              <w:rPr>
                <w:b/>
                <w:sz w:val="24"/>
                <w:szCs w:val="24"/>
              </w:rPr>
              <w:t>1,299</w:t>
            </w:r>
          </w:p>
        </w:tc>
      </w:tr>
    </w:tbl>
    <w:p w:rsidR="00091829" w:rsidRDefault="00091829" w:rsidP="00091829"/>
    <w:p w:rsidR="00091829" w:rsidRDefault="00091829" w:rsidP="00091829">
      <w:pPr>
        <w:numPr>
          <w:ilvl w:val="2"/>
          <w:numId w:val="7"/>
        </w:numPr>
        <w:tabs>
          <w:tab w:val="clear" w:pos="2160"/>
        </w:tabs>
        <w:spacing w:after="120"/>
        <w:ind w:left="1170" w:hanging="176"/>
      </w:pPr>
      <w:r>
        <w:rPr>
          <w:b/>
        </w:rPr>
        <w:t>Number of Auctions per Year</w:t>
      </w:r>
      <w:r>
        <w:t xml:space="preserve">:  </w:t>
      </w:r>
      <w:r w:rsidRPr="00E11AC3">
        <w:t>Two per year, every six months, held concurrently by all three IOUs</w:t>
      </w:r>
      <w:r>
        <w:t xml:space="preserve"> </w:t>
      </w:r>
      <w:r w:rsidRPr="00171A16">
        <w:t>through the first four auctions; the fifth RAM auction will be held concurrently twelve months after the close of the fourth auction;</w:t>
      </w:r>
      <w:r>
        <w:t xml:space="preserve"> a project may bid into all three IOU auctions. </w:t>
      </w:r>
    </w:p>
    <w:p w:rsidR="00091829" w:rsidRDefault="00091829" w:rsidP="00091829">
      <w:pPr>
        <w:numPr>
          <w:ilvl w:val="2"/>
          <w:numId w:val="7"/>
        </w:numPr>
        <w:tabs>
          <w:tab w:val="clear" w:pos="2160"/>
        </w:tabs>
        <w:spacing w:after="120"/>
        <w:ind w:left="1170" w:hanging="176"/>
      </w:pPr>
      <w:r>
        <w:rPr>
          <w:b/>
        </w:rPr>
        <w:t>Amount per auction</w:t>
      </w:r>
      <w:r>
        <w:t xml:space="preserve">:  </w:t>
      </w:r>
      <w:r w:rsidRPr="00BF456A">
        <w:t>25% of the total program allocation will be offered in the initial auction;</w:t>
      </w:r>
      <w:r>
        <w:t xml:space="preserve"> unsubscribed capacity, or drop out capacity, is added to the next auction.</w:t>
      </w:r>
    </w:p>
    <w:p w:rsidR="00091829" w:rsidRDefault="00091829" w:rsidP="00091829">
      <w:pPr>
        <w:numPr>
          <w:ilvl w:val="2"/>
          <w:numId w:val="7"/>
        </w:numPr>
        <w:tabs>
          <w:tab w:val="clear" w:pos="2160"/>
        </w:tabs>
        <w:spacing w:after="120"/>
        <w:ind w:left="1170" w:hanging="176"/>
        <w:rPr>
          <w:b/>
        </w:rPr>
      </w:pPr>
      <w:r>
        <w:rPr>
          <w:b/>
        </w:rPr>
        <w:t>Procurement Requirement</w:t>
      </w:r>
      <w:r>
        <w:t>:  Each IOU must enter into a standard contract with each winning bidder up to the capacity limits in each solicitation and total program capacity limits.  IOUs select on the basis of least costly projects first until the IOU fully subscribes its allocated capacity for that auction.  IOUs have the discretion to not enter into contracts if there is evidence of market manipulation or if the bids are not competitive compared to other renewable procurement opportunities.  The IOU must submit an advice letter explaining its decision not to enter into contracts.</w:t>
      </w:r>
    </w:p>
    <w:p w:rsidR="00091829" w:rsidRDefault="00091829" w:rsidP="00091829">
      <w:pPr>
        <w:keepNext/>
        <w:keepLines/>
        <w:numPr>
          <w:ilvl w:val="1"/>
          <w:numId w:val="7"/>
        </w:numPr>
        <w:tabs>
          <w:tab w:val="clear" w:pos="1440"/>
        </w:tabs>
        <w:spacing w:after="120"/>
        <w:ind w:left="720"/>
      </w:pPr>
      <w:r>
        <w:rPr>
          <w:b/>
        </w:rPr>
        <w:t>Products and Selection</w:t>
      </w:r>
    </w:p>
    <w:p w:rsidR="00091829" w:rsidRDefault="00091829" w:rsidP="00091829">
      <w:pPr>
        <w:keepNext/>
        <w:keepLines/>
        <w:numPr>
          <w:ilvl w:val="0"/>
          <w:numId w:val="12"/>
        </w:numPr>
        <w:spacing w:after="120"/>
      </w:pPr>
      <w:r>
        <w:rPr>
          <w:b/>
        </w:rPr>
        <w:t>Products</w:t>
      </w:r>
      <w:r>
        <w:t xml:space="preserve">:  Firm </w:t>
      </w:r>
      <w:r w:rsidRPr="00CE00BE">
        <w:t>(baseload), non-firm peaking (peaking as-available), and non-firm non-peaking (non-peaking as-available) electricity</w:t>
      </w:r>
    </w:p>
    <w:p w:rsidR="00091829" w:rsidRDefault="00091829" w:rsidP="00091829">
      <w:pPr>
        <w:pStyle w:val="noi7"/>
        <w:keepNext/>
        <w:keepLines/>
        <w:numPr>
          <w:ilvl w:val="1"/>
          <w:numId w:val="12"/>
        </w:numPr>
        <w:rPr>
          <w:rFonts w:ascii="Palatino" w:hAnsi="Palatino"/>
        </w:rPr>
      </w:pPr>
      <w:r>
        <w:rPr>
          <w:rFonts w:ascii="Palatino" w:hAnsi="Palatino"/>
        </w:rPr>
        <w:t xml:space="preserve">IOU shall specify the amount of each product for the initial four auctions in the first advice letter filed pursuant to this order.  Utilities are required to solicit and procure capacity up to the capacity limit for each solicitation. </w:t>
      </w:r>
    </w:p>
    <w:p w:rsidR="00091829" w:rsidRDefault="00091829" w:rsidP="00091829">
      <w:pPr>
        <w:pStyle w:val="noi7"/>
        <w:numPr>
          <w:ilvl w:val="1"/>
          <w:numId w:val="12"/>
        </w:numPr>
        <w:rPr>
          <w:rFonts w:ascii="Palatino" w:hAnsi="Palatino"/>
        </w:rPr>
      </w:pPr>
      <w:r>
        <w:rPr>
          <w:rFonts w:ascii="Palatino" w:hAnsi="Palatino"/>
        </w:rPr>
        <w:t>Project must submit eligibility information (e.g., generation profile, project characteristic information) corresponding to the product bid, as established by the IOU</w:t>
      </w:r>
    </w:p>
    <w:p w:rsidR="00091829" w:rsidRPr="004F5FC6" w:rsidRDefault="00091829" w:rsidP="00091829">
      <w:pPr>
        <w:numPr>
          <w:ilvl w:val="0"/>
          <w:numId w:val="12"/>
        </w:numPr>
        <w:spacing w:after="120"/>
        <w:rPr>
          <w:u w:val="single"/>
        </w:rPr>
      </w:pPr>
      <w:r>
        <w:rPr>
          <w:b/>
        </w:rPr>
        <w:t>Selection</w:t>
      </w:r>
      <w:r>
        <w:t>:  Products bid into RAM will be bid as either energy-only or with full capacity deliverability status (FCDS); each product is selected on the basis of price, least expensive first until the capacity limit in each solicitation is reached; IOU may normalize (adjust) bids to place bids on an equivalent basis before making least cost selection using method approved, if any, in the advice letter implementing RAM</w:t>
      </w:r>
      <w:r w:rsidRPr="00CE00BE">
        <w:t>; IOUs should add the estimated transmission upgrade costs to the bids for ranking purposes.</w:t>
      </w:r>
    </w:p>
    <w:p w:rsidR="00091829" w:rsidRDefault="00091829" w:rsidP="00091829">
      <w:pPr>
        <w:numPr>
          <w:ilvl w:val="0"/>
          <w:numId w:val="12"/>
        </w:numPr>
        <w:spacing w:after="120"/>
      </w:pPr>
      <w:r>
        <w:rPr>
          <w:b/>
        </w:rPr>
        <w:t xml:space="preserve">Independent Evaluator: </w:t>
      </w:r>
      <w:r>
        <w:t>Utilities will employ an Independent Evaluator to assess the competitiveness and integrity of each RAM auction and submit the IE’s report with its Tier 2 advice letter requesting approval of contracts resulting from those auctions.</w:t>
      </w:r>
    </w:p>
    <w:p w:rsidR="00091829" w:rsidRDefault="00091829" w:rsidP="00091829">
      <w:pPr>
        <w:pStyle w:val="h-1"/>
        <w:keepNext/>
        <w:keepLines/>
        <w:rPr>
          <w:rFonts w:ascii="Palatino" w:hAnsi="Palatino"/>
        </w:rPr>
      </w:pPr>
      <w:r>
        <w:rPr>
          <w:rFonts w:ascii="Palatino" w:hAnsi="Palatino"/>
        </w:rPr>
        <w:t>Eligibility:</w:t>
      </w:r>
    </w:p>
    <w:p w:rsidR="00091829" w:rsidRPr="00CE00BE" w:rsidRDefault="00091829" w:rsidP="00091829">
      <w:pPr>
        <w:pStyle w:val="noi"/>
        <w:keepNext/>
        <w:keepLines/>
        <w:numPr>
          <w:ilvl w:val="0"/>
          <w:numId w:val="10"/>
        </w:numPr>
        <w:rPr>
          <w:rFonts w:ascii="Palatino" w:hAnsi="Palatino"/>
        </w:rPr>
      </w:pPr>
      <w:r w:rsidRPr="00CE00BE">
        <w:rPr>
          <w:rFonts w:ascii="Palatino" w:hAnsi="Palatino"/>
          <w:b/>
        </w:rPr>
        <w:t>Minimum Size</w:t>
      </w:r>
      <w:r w:rsidRPr="00D663D1">
        <w:rPr>
          <w:rFonts w:ascii="Palatino" w:hAnsi="Palatino"/>
        </w:rPr>
        <w:t>: 3 MW.</w:t>
      </w:r>
      <w:r w:rsidRPr="00D663D1">
        <w:rPr>
          <w:rStyle w:val="FootnoteReference"/>
          <w:rFonts w:ascii="Palatino" w:hAnsi="Palatino"/>
        </w:rPr>
        <w:footnoteReference w:id="63"/>
      </w:r>
    </w:p>
    <w:p w:rsidR="00091829" w:rsidRPr="00CE00BE" w:rsidRDefault="00091829" w:rsidP="00091829">
      <w:pPr>
        <w:pStyle w:val="noi"/>
        <w:keepNext/>
        <w:keepLines/>
        <w:numPr>
          <w:ilvl w:val="0"/>
          <w:numId w:val="10"/>
        </w:numPr>
        <w:rPr>
          <w:rFonts w:ascii="Palatino" w:hAnsi="Palatino"/>
        </w:rPr>
      </w:pPr>
      <w:r w:rsidRPr="00CE00BE">
        <w:rPr>
          <w:rFonts w:ascii="Palatino" w:hAnsi="Palatino"/>
          <w:b/>
        </w:rPr>
        <w:t>Project Vintage</w:t>
      </w:r>
      <w:r w:rsidRPr="00CE00BE">
        <w:rPr>
          <w:rFonts w:ascii="Palatino" w:hAnsi="Palatino"/>
        </w:rPr>
        <w:t>: New and existing projects are eligible for RAM</w:t>
      </w:r>
      <w:r>
        <w:rPr>
          <w:rFonts w:ascii="Palatino" w:hAnsi="Palatino"/>
        </w:rPr>
        <w:t xml:space="preserve">. </w:t>
      </w:r>
      <w:r w:rsidRPr="00D663D1">
        <w:rPr>
          <w:rFonts w:ascii="Palatino" w:hAnsi="Palatino"/>
        </w:rPr>
        <w:t xml:space="preserve">Existing projects are subject to the limitations imposed by Resolution </w:t>
      </w:r>
      <w:r w:rsidR="001E7A8A">
        <w:rPr>
          <w:rFonts w:ascii="Palatino" w:hAnsi="Palatino"/>
        </w:rPr>
        <w:br/>
      </w:r>
      <w:r w:rsidRPr="00D663D1">
        <w:rPr>
          <w:rFonts w:ascii="Palatino" w:hAnsi="Palatino"/>
        </w:rPr>
        <w:t>E-4546.</w:t>
      </w:r>
    </w:p>
    <w:p w:rsidR="00091829" w:rsidRDefault="00091829" w:rsidP="00091829">
      <w:pPr>
        <w:pStyle w:val="noi"/>
        <w:keepNext/>
        <w:keepLines/>
        <w:numPr>
          <w:ilvl w:val="0"/>
          <w:numId w:val="10"/>
        </w:numPr>
        <w:rPr>
          <w:rFonts w:ascii="Palatino" w:hAnsi="Palatino"/>
        </w:rPr>
      </w:pPr>
      <w:r>
        <w:rPr>
          <w:rFonts w:ascii="Palatino" w:hAnsi="Palatino"/>
          <w:b/>
        </w:rPr>
        <w:t>Location</w:t>
      </w:r>
      <w:r>
        <w:rPr>
          <w:rFonts w:ascii="Palatino" w:hAnsi="Palatino"/>
        </w:rPr>
        <w:t xml:space="preserve">:  </w:t>
      </w:r>
      <w:r w:rsidRPr="00BF456A">
        <w:rPr>
          <w:rFonts w:ascii="Palatino" w:hAnsi="Palatino"/>
        </w:rPr>
        <w:t>Combined IOU service territories</w:t>
      </w:r>
      <w:r>
        <w:rPr>
          <w:rFonts w:ascii="Palatino" w:hAnsi="Palatino"/>
        </w:rPr>
        <w:t xml:space="preserve"> (e.g. a project bidding into SCE’s auction can be located in either PG&amp;E or SDG&amp;E’s service territory).</w:t>
      </w:r>
    </w:p>
    <w:p w:rsidR="00091829" w:rsidRDefault="00091829" w:rsidP="00091829">
      <w:pPr>
        <w:numPr>
          <w:ilvl w:val="0"/>
          <w:numId w:val="10"/>
        </w:numPr>
        <w:spacing w:after="120"/>
        <w:rPr>
          <w:b/>
        </w:rPr>
      </w:pPr>
      <w:r>
        <w:rPr>
          <w:b/>
        </w:rPr>
        <w:t>Retail Customer/Third Party Ownership</w:t>
      </w:r>
      <w:r>
        <w:t>:  Seller need not be a retail customer and the facility need not be located on property owned or under the control of a retail customer</w:t>
      </w:r>
    </w:p>
    <w:p w:rsidR="00091829" w:rsidRDefault="00091829" w:rsidP="00091829">
      <w:pPr>
        <w:pStyle w:val="noi"/>
        <w:numPr>
          <w:ilvl w:val="0"/>
          <w:numId w:val="10"/>
        </w:numPr>
        <w:rPr>
          <w:rFonts w:ascii="Palatino" w:hAnsi="Palatino"/>
        </w:rPr>
      </w:pPr>
      <w:r>
        <w:rPr>
          <w:rFonts w:ascii="Palatino" w:hAnsi="Palatino"/>
          <w:b/>
        </w:rPr>
        <w:t>Utility Applicability</w:t>
      </w:r>
      <w:r>
        <w:rPr>
          <w:rFonts w:ascii="Palatino" w:hAnsi="Palatino"/>
        </w:rPr>
        <w:t>:  Southern California Edison Company (SCE), Pacific Gas and Electric Company (PG&amp;E), and San Diego Gas &amp; Electric Company (SDG&amp;E)</w:t>
      </w:r>
    </w:p>
    <w:p w:rsidR="00091829" w:rsidRDefault="00091829" w:rsidP="00091829">
      <w:pPr>
        <w:numPr>
          <w:ilvl w:val="0"/>
          <w:numId w:val="10"/>
        </w:numPr>
        <w:spacing w:after="120"/>
      </w:pPr>
      <w:r>
        <w:rPr>
          <w:b/>
        </w:rPr>
        <w:t>Project and Transaction Limit</w:t>
      </w:r>
      <w:r>
        <w:t xml:space="preserve">:  20 megawatts (MW) </w:t>
      </w:r>
    </w:p>
    <w:p w:rsidR="00091829" w:rsidRDefault="00091829" w:rsidP="00091829">
      <w:pPr>
        <w:spacing w:after="120"/>
        <w:ind w:left="1080"/>
      </w:pPr>
      <w:r>
        <w:t>This is the maximum size for any project signing a full buy/sell or excess sales transaction through the RAM</w:t>
      </w:r>
      <w:r>
        <w:rPr>
          <w:rStyle w:val="FootnoteReference"/>
        </w:rPr>
        <w:t>.</w:t>
      </w:r>
      <w:r>
        <w:rPr>
          <w:rStyle w:val="FootnoteReference"/>
        </w:rPr>
        <w:footnoteReference w:id="64"/>
      </w:r>
      <w:r>
        <w:t xml:space="preserve">  </w:t>
      </w:r>
    </w:p>
    <w:p w:rsidR="00091829" w:rsidRDefault="00091829" w:rsidP="00091829">
      <w:pPr>
        <w:numPr>
          <w:ilvl w:val="0"/>
          <w:numId w:val="14"/>
        </w:numPr>
        <w:spacing w:after="120"/>
      </w:pPr>
      <w:r>
        <w:rPr>
          <w:b/>
        </w:rPr>
        <w:t>Full Buy/Sell or Excess Sales</w:t>
      </w:r>
      <w:r>
        <w:t>:  Seller may elect either full buy/sell or excess sales</w:t>
      </w:r>
    </w:p>
    <w:p w:rsidR="00091829" w:rsidRPr="00451EE7" w:rsidRDefault="00091829" w:rsidP="00091829">
      <w:pPr>
        <w:numPr>
          <w:ilvl w:val="0"/>
          <w:numId w:val="14"/>
        </w:numPr>
        <w:spacing w:after="240"/>
        <w:rPr>
          <w:b/>
        </w:rPr>
      </w:pPr>
      <w:r>
        <w:rPr>
          <w:b/>
        </w:rPr>
        <w:t>Counting Excess Sales</w:t>
      </w:r>
      <w:r>
        <w:t>:  Capacity associated with the transaction size is applied to the program cap.</w:t>
      </w:r>
    </w:p>
    <w:p w:rsidR="00091829" w:rsidRPr="00CE00BE" w:rsidRDefault="00091829" w:rsidP="001E7A8A">
      <w:pPr>
        <w:numPr>
          <w:ilvl w:val="0"/>
          <w:numId w:val="14"/>
        </w:numPr>
        <w:spacing w:after="600"/>
        <w:rPr>
          <w:b/>
        </w:rPr>
      </w:pPr>
      <w:r w:rsidRPr="00CE00BE">
        <w:rPr>
          <w:b/>
        </w:rPr>
        <w:t xml:space="preserve">Seller Concentration: </w:t>
      </w:r>
      <w:r w:rsidRPr="00CE00BE">
        <w:t>IOUs have the discretion to apply a seller concentration limit after the bids are received. PG&amp;E is authorized to apply a seller concentration limit of 20 MW per seller per auction.</w:t>
      </w:r>
    </w:p>
    <w:p w:rsidR="00091829" w:rsidRDefault="00091829" w:rsidP="00091829">
      <w:pPr>
        <w:pStyle w:val="h-1"/>
        <w:rPr>
          <w:rFonts w:ascii="Palatino" w:hAnsi="Palatino"/>
        </w:rPr>
      </w:pPr>
      <w:r>
        <w:rPr>
          <w:rFonts w:ascii="Palatino" w:hAnsi="Palatino"/>
        </w:rPr>
        <w:t xml:space="preserve">RAM Standard Contract:  </w:t>
      </w:r>
    </w:p>
    <w:p w:rsidR="00091829" w:rsidRDefault="00091829" w:rsidP="00091829">
      <w:pPr>
        <w:pStyle w:val="hh2"/>
        <w:numPr>
          <w:ilvl w:val="0"/>
          <w:numId w:val="8"/>
        </w:numPr>
        <w:rPr>
          <w:rFonts w:ascii="Palatino" w:hAnsi="Palatino"/>
          <w:b w:val="0"/>
        </w:rPr>
      </w:pPr>
      <w:r>
        <w:rPr>
          <w:rFonts w:ascii="Palatino" w:hAnsi="Palatino"/>
        </w:rPr>
        <w:t xml:space="preserve">Contract Language: </w:t>
      </w:r>
      <w:r>
        <w:rPr>
          <w:rFonts w:ascii="Palatino" w:hAnsi="Palatino"/>
          <w:b w:val="0"/>
        </w:rPr>
        <w:t>IOUs can use their individual contracts, but should start with a contract that is simple, streamlined, and has already been vetted by stakeholders through another CPUC program.</w:t>
      </w:r>
    </w:p>
    <w:p w:rsidR="00091829" w:rsidRDefault="00091829" w:rsidP="00091829">
      <w:pPr>
        <w:pStyle w:val="hh2"/>
        <w:numPr>
          <w:ilvl w:val="0"/>
          <w:numId w:val="8"/>
        </w:numPr>
        <w:rPr>
          <w:rFonts w:ascii="Palatino" w:hAnsi="Palatino"/>
          <w:b w:val="0"/>
        </w:rPr>
      </w:pPr>
      <w:r>
        <w:rPr>
          <w:rFonts w:ascii="Palatino" w:hAnsi="Palatino"/>
        </w:rPr>
        <w:t xml:space="preserve">Negotiations:  </w:t>
      </w:r>
      <w:r>
        <w:rPr>
          <w:rFonts w:ascii="Palatino" w:hAnsi="Palatino"/>
          <w:b w:val="0"/>
        </w:rPr>
        <w:t xml:space="preserve">Price, terms, and conditions are not negotiable.  </w:t>
      </w:r>
    </w:p>
    <w:p w:rsidR="00091829" w:rsidRDefault="00091829" w:rsidP="00091829">
      <w:pPr>
        <w:pStyle w:val="h-1"/>
        <w:numPr>
          <w:ilvl w:val="0"/>
          <w:numId w:val="8"/>
        </w:numPr>
        <w:rPr>
          <w:rFonts w:ascii="Palatino" w:hAnsi="Palatino"/>
        </w:rPr>
      </w:pPr>
      <w:r>
        <w:rPr>
          <w:rFonts w:ascii="Palatino" w:hAnsi="Palatino"/>
        </w:rPr>
        <w:t>Contract Terms and Conditions</w:t>
      </w:r>
    </w:p>
    <w:p w:rsidR="00091829" w:rsidRPr="00FB1D2C" w:rsidRDefault="00091829" w:rsidP="00091829">
      <w:pPr>
        <w:numPr>
          <w:ilvl w:val="1"/>
          <w:numId w:val="8"/>
        </w:numPr>
        <w:spacing w:after="120"/>
      </w:pPr>
      <w:r w:rsidRPr="00FB1D2C">
        <w:t>L</w:t>
      </w:r>
      <w:r w:rsidRPr="00FB1D2C">
        <w:rPr>
          <w:b/>
        </w:rPr>
        <w:t xml:space="preserve">ength of Contract: </w:t>
      </w:r>
      <w:r w:rsidRPr="00FB1D2C">
        <w:t>10, 15, or 20 years</w:t>
      </w:r>
    </w:p>
    <w:p w:rsidR="00091829" w:rsidRDefault="00091829" w:rsidP="00091829">
      <w:pPr>
        <w:numPr>
          <w:ilvl w:val="1"/>
          <w:numId w:val="8"/>
        </w:numPr>
        <w:spacing w:after="120"/>
      </w:pPr>
      <w:r>
        <w:rPr>
          <w:b/>
        </w:rPr>
        <w:t>Length of Time to COD</w:t>
      </w:r>
      <w:r>
        <w:t xml:space="preserve">:  Within </w:t>
      </w:r>
      <w:r w:rsidRPr="00CE00BE">
        <w:t>24</w:t>
      </w:r>
      <w:r>
        <w:t xml:space="preserve"> months of </w:t>
      </w:r>
      <w:r w:rsidRPr="00CE00BE">
        <w:t xml:space="preserve">CPUC Approval, </w:t>
      </w:r>
      <w:r>
        <w:t>with one 6-month extension for regulatory delays.</w:t>
      </w:r>
      <w:r w:rsidRPr="00CE00BE">
        <w:t xml:space="preserve"> Seller can request a contract extension by providing a 60-day notice prior to the guaranteed commercial operation date.</w:t>
      </w:r>
    </w:p>
    <w:p w:rsidR="00091829" w:rsidRDefault="00091829" w:rsidP="00091829">
      <w:pPr>
        <w:numPr>
          <w:ilvl w:val="1"/>
          <w:numId w:val="8"/>
        </w:numPr>
        <w:spacing w:after="120"/>
      </w:pPr>
      <w:r>
        <w:rPr>
          <w:b/>
        </w:rPr>
        <w:t>Development Deposit</w:t>
      </w:r>
      <w:r>
        <w:t xml:space="preserve">: </w:t>
      </w:r>
      <w:r>
        <w:rPr>
          <w:rFonts w:ascii="Palatino Linotype" w:hAnsi="Palatino Linotype" w:cs="PalatinoLinotype,Bold"/>
          <w:bCs/>
          <w:szCs w:val="26"/>
        </w:rPr>
        <w:t xml:space="preserve">$60/$90 per kW for intermittent and baseload resources, respectively, refundable upon achieving commercial operation or applied to the performance deposit; development deposit is due on the date </w:t>
      </w:r>
      <w:r w:rsidRPr="007164B3">
        <w:rPr>
          <w:rFonts w:ascii="Palatino Linotype" w:hAnsi="Palatino Linotype" w:cs="PalatinoLinotype,Bold"/>
          <w:bCs/>
          <w:strike/>
          <w:szCs w:val="26"/>
        </w:rPr>
        <w:t>of the contract execution</w:t>
      </w:r>
      <w:r>
        <w:rPr>
          <w:rFonts w:ascii="Palatino Linotype" w:hAnsi="Palatino Linotype" w:cs="PalatinoLinotype,Bold"/>
          <w:bCs/>
          <w:szCs w:val="26"/>
        </w:rPr>
        <w:t xml:space="preserve"> </w:t>
      </w:r>
      <w:r w:rsidRPr="007164B3">
        <w:rPr>
          <w:rFonts w:ascii="Palatino Linotype" w:hAnsi="Palatino Linotype" w:cs="PalatinoLinotype,Bold"/>
          <w:bCs/>
          <w:szCs w:val="26"/>
          <w:u w:val="single"/>
        </w:rPr>
        <w:t xml:space="preserve">specified in the </w:t>
      </w:r>
      <w:r>
        <w:rPr>
          <w:rFonts w:ascii="Palatino Linotype" w:hAnsi="Palatino Linotype" w:cs="PalatinoLinotype,Bold"/>
          <w:bCs/>
          <w:szCs w:val="26"/>
          <w:u w:val="single"/>
        </w:rPr>
        <w:t>standard</w:t>
      </w:r>
      <w:r w:rsidRPr="007164B3">
        <w:rPr>
          <w:rFonts w:ascii="Palatino Linotype" w:hAnsi="Palatino Linotype" w:cs="PalatinoLinotype,Bold"/>
          <w:bCs/>
          <w:szCs w:val="26"/>
          <w:u w:val="single"/>
        </w:rPr>
        <w:t xml:space="preserve"> contract</w:t>
      </w:r>
      <w:r>
        <w:rPr>
          <w:rFonts w:ascii="Palatino Linotype" w:hAnsi="Palatino Linotype" w:cs="PalatinoLinotype,Bold"/>
          <w:bCs/>
          <w:szCs w:val="26"/>
        </w:rPr>
        <w:t xml:space="preserve"> in the form of cash or letter of credit from a reputable U.S. bank; development deposit forfeited if project fails to come on line within </w:t>
      </w:r>
      <w:r w:rsidRPr="00D663D1">
        <w:rPr>
          <w:rFonts w:ascii="Palatino Linotype" w:hAnsi="Palatino Linotype" w:cs="PalatinoLinotype,Bold"/>
          <w:bCs/>
          <w:szCs w:val="26"/>
        </w:rPr>
        <w:t>24</w:t>
      </w:r>
      <w:r>
        <w:rPr>
          <w:rFonts w:ascii="Palatino Linotype" w:hAnsi="Palatino Linotype" w:cs="PalatinoLinotype,Bold"/>
          <w:bCs/>
          <w:szCs w:val="26"/>
        </w:rPr>
        <w:t xml:space="preserve"> months or other 6-month extension granted by IOU.</w:t>
      </w:r>
    </w:p>
    <w:p w:rsidR="00091829" w:rsidRPr="00D663D1" w:rsidRDefault="00091829" w:rsidP="00091829">
      <w:pPr>
        <w:numPr>
          <w:ilvl w:val="1"/>
          <w:numId w:val="8"/>
        </w:numPr>
        <w:spacing w:after="120"/>
      </w:pPr>
      <w:r>
        <w:rPr>
          <w:b/>
        </w:rPr>
        <w:t>Performance Deposit</w:t>
      </w:r>
      <w:r>
        <w:t xml:space="preserve">:  </w:t>
      </w:r>
      <w:r w:rsidRPr="00D663D1">
        <w:rPr>
          <w:rFonts w:ascii="Palatino Linotype" w:hAnsi="Palatino Linotype" w:cs="PalatinoLinotype,Bold"/>
          <w:bCs/>
          <w:szCs w:val="26"/>
        </w:rPr>
        <w:t>5% of expected total project revenues</w:t>
      </w:r>
      <w:r>
        <w:rPr>
          <w:rFonts w:ascii="Palatino Linotype" w:hAnsi="Palatino Linotype" w:cs="PalatinoLinotype,Bold"/>
          <w:bCs/>
          <w:szCs w:val="26"/>
        </w:rPr>
        <w:t>.</w:t>
      </w:r>
    </w:p>
    <w:p w:rsidR="00091829" w:rsidRDefault="00091829" w:rsidP="00091829">
      <w:pPr>
        <w:numPr>
          <w:ilvl w:val="1"/>
          <w:numId w:val="8"/>
        </w:numPr>
        <w:spacing w:after="120"/>
        <w:rPr>
          <w:b/>
        </w:rPr>
      </w:pPr>
      <w:r>
        <w:rPr>
          <w:b/>
        </w:rPr>
        <w:t>Performance Obligation</w:t>
      </w:r>
      <w:r>
        <w:t xml:space="preserve">:  </w:t>
      </w:r>
    </w:p>
    <w:p w:rsidR="00091829" w:rsidRPr="00CE00BE" w:rsidRDefault="00091829" w:rsidP="00091829">
      <w:pPr>
        <w:pStyle w:val="noi7"/>
        <w:numPr>
          <w:ilvl w:val="2"/>
          <w:numId w:val="8"/>
        </w:numPr>
        <w:rPr>
          <w:rFonts w:ascii="Palatino" w:hAnsi="Palatino"/>
          <w:b/>
        </w:rPr>
      </w:pPr>
      <w:r>
        <w:rPr>
          <w:rFonts w:ascii="Palatino" w:hAnsi="Palatino"/>
        </w:rPr>
        <w:t>Performance is required to be consistent with good utility (or prudent electrical) practices; project is obligated to have liability insurance against utility losses; the project is liable for an IOU’s direct, actual losses; and project must perform consistent with generation profile or other characteristics for the product, to the extent stated in the Commission-adopted contract</w:t>
      </w:r>
    </w:p>
    <w:p w:rsidR="00091829" w:rsidRPr="00CE00BE" w:rsidRDefault="00091829" w:rsidP="00091829">
      <w:pPr>
        <w:pStyle w:val="noi7"/>
        <w:numPr>
          <w:ilvl w:val="2"/>
          <w:numId w:val="8"/>
        </w:numPr>
        <w:rPr>
          <w:rFonts w:ascii="Palatino" w:hAnsi="Palatino"/>
          <w:b/>
        </w:rPr>
      </w:pPr>
      <w:r w:rsidRPr="00CE00BE">
        <w:rPr>
          <w:rFonts w:cs="PalatinoLinotype"/>
        </w:rPr>
        <w:t xml:space="preserve">Minimum deliveries </w:t>
      </w:r>
      <w:r w:rsidRPr="00D663D1">
        <w:rPr>
          <w:rFonts w:cs="PalatinoLinotype"/>
        </w:rPr>
        <w:t>for RAM product performance:</w:t>
      </w:r>
    </w:p>
    <w:p w:rsidR="00091829" w:rsidRPr="00D663D1" w:rsidRDefault="00091829" w:rsidP="00091829">
      <w:pPr>
        <w:numPr>
          <w:ilvl w:val="1"/>
          <w:numId w:val="22"/>
        </w:numPr>
        <w:autoSpaceDE w:val="0"/>
        <w:autoSpaceDN w:val="0"/>
        <w:adjustRightInd w:val="0"/>
        <w:spacing w:after="120"/>
        <w:rPr>
          <w:rFonts w:ascii="Palatino Linotype" w:hAnsi="Palatino Linotype" w:cs="PalatinoLinotype"/>
          <w:szCs w:val="26"/>
        </w:rPr>
      </w:pPr>
      <w:r w:rsidRPr="00D663D1">
        <w:rPr>
          <w:rFonts w:ascii="Palatino Linotype" w:hAnsi="Palatino Linotype" w:cs="PalatinoLinotype"/>
          <w:i/>
          <w:szCs w:val="26"/>
        </w:rPr>
        <w:t>As-Available Non-Peaking:</w:t>
      </w:r>
      <w:r w:rsidRPr="00D663D1">
        <w:rPr>
          <w:rFonts w:ascii="Palatino Linotype" w:hAnsi="Palatino Linotype" w:cs="PalatinoLinotype"/>
          <w:szCs w:val="26"/>
        </w:rPr>
        <w:t xml:space="preserve"> 140% of expected annual generation over two years production</w:t>
      </w:r>
    </w:p>
    <w:p w:rsidR="00091829" w:rsidRPr="00D663D1" w:rsidRDefault="00091829" w:rsidP="00091829">
      <w:pPr>
        <w:numPr>
          <w:ilvl w:val="1"/>
          <w:numId w:val="22"/>
        </w:numPr>
        <w:autoSpaceDE w:val="0"/>
        <w:autoSpaceDN w:val="0"/>
        <w:adjustRightInd w:val="0"/>
        <w:spacing w:after="120"/>
        <w:rPr>
          <w:rFonts w:ascii="Palatino Linotype" w:hAnsi="Palatino Linotype" w:cs="PalatinoLinotype"/>
          <w:szCs w:val="26"/>
        </w:rPr>
      </w:pPr>
      <w:r w:rsidRPr="00D663D1">
        <w:rPr>
          <w:rFonts w:ascii="Palatino Linotype" w:hAnsi="Palatino Linotype" w:cs="PalatinoLinotype"/>
          <w:i/>
          <w:szCs w:val="26"/>
        </w:rPr>
        <w:t>As-Available Peaking:</w:t>
      </w:r>
      <w:r w:rsidRPr="00D663D1">
        <w:rPr>
          <w:rFonts w:ascii="Palatino Linotype" w:hAnsi="Palatino Linotype" w:cs="PalatinoLinotype"/>
          <w:szCs w:val="26"/>
        </w:rPr>
        <w:t xml:space="preserve"> 160% of expected annual generation over two years production</w:t>
      </w:r>
    </w:p>
    <w:p w:rsidR="00091829" w:rsidRPr="00D663D1" w:rsidRDefault="00091829" w:rsidP="00091829">
      <w:pPr>
        <w:numPr>
          <w:ilvl w:val="1"/>
          <w:numId w:val="22"/>
        </w:numPr>
        <w:autoSpaceDE w:val="0"/>
        <w:autoSpaceDN w:val="0"/>
        <w:adjustRightInd w:val="0"/>
        <w:spacing w:after="120"/>
        <w:rPr>
          <w:rFonts w:ascii="Palatino Linotype" w:hAnsi="Palatino Linotype" w:cs="PalatinoLinotype"/>
          <w:szCs w:val="26"/>
        </w:rPr>
      </w:pPr>
      <w:r w:rsidRPr="00D663D1">
        <w:rPr>
          <w:rFonts w:ascii="Palatino Linotype" w:hAnsi="Palatino Linotype" w:cs="PalatinoLinotype"/>
          <w:i/>
          <w:szCs w:val="26"/>
        </w:rPr>
        <w:t>Baseload:</w:t>
      </w:r>
      <w:r w:rsidRPr="00D663D1">
        <w:rPr>
          <w:rFonts w:ascii="Palatino Linotype" w:hAnsi="Palatino Linotype" w:cs="PalatinoLinotype"/>
          <w:szCs w:val="26"/>
        </w:rPr>
        <w:t xml:space="preserve"> 90% of expected annual generation over one year production</w:t>
      </w:r>
    </w:p>
    <w:p w:rsidR="00091829" w:rsidRDefault="00091829" w:rsidP="00091829">
      <w:pPr>
        <w:autoSpaceDE w:val="0"/>
        <w:autoSpaceDN w:val="0"/>
        <w:adjustRightInd w:val="0"/>
        <w:spacing w:after="120"/>
        <w:ind w:left="2520"/>
        <w:rPr>
          <w:rFonts w:ascii="Palatino Linotype" w:hAnsi="Palatino Linotype" w:cs="PalatinoLinotype"/>
          <w:szCs w:val="26"/>
          <w:u w:val="single"/>
        </w:rPr>
      </w:pPr>
      <w:r w:rsidRPr="00D663D1">
        <w:rPr>
          <w:rFonts w:ascii="Palatino Linotype" w:hAnsi="Palatino Linotype" w:cs="PalatinoLinotype"/>
          <w:szCs w:val="26"/>
        </w:rPr>
        <w:t>Small hydro projects should be exempt from these minimum performance requirements.</w:t>
      </w:r>
    </w:p>
    <w:p w:rsidR="00091829" w:rsidRDefault="00091829" w:rsidP="00091829">
      <w:pPr>
        <w:numPr>
          <w:ilvl w:val="1"/>
          <w:numId w:val="8"/>
        </w:numPr>
        <w:spacing w:after="120"/>
        <w:rPr>
          <w:b/>
        </w:rPr>
      </w:pPr>
      <w:r>
        <w:rPr>
          <w:b/>
        </w:rPr>
        <w:t>Damages for Failure to Perform</w:t>
      </w:r>
      <w:r>
        <w:t>:  Damages are limited to actual, direct damages; neither party is liable for consequential, incidental, punitive, exemplary or indirect damages, lost profits or other business interruption damages regardless of cause.</w:t>
      </w:r>
    </w:p>
    <w:p w:rsidR="00091829" w:rsidRDefault="00091829" w:rsidP="00091829">
      <w:pPr>
        <w:numPr>
          <w:ilvl w:val="1"/>
          <w:numId w:val="8"/>
        </w:numPr>
        <w:spacing w:after="120"/>
        <w:rPr>
          <w:b/>
        </w:rPr>
      </w:pPr>
      <w:r>
        <w:rPr>
          <w:b/>
        </w:rPr>
        <w:t>Force Majeure and Events of Default</w:t>
      </w:r>
      <w:r>
        <w:t>:  Each RAM contract shall include a force majeure definition and provision</w:t>
      </w:r>
    </w:p>
    <w:p w:rsidR="00091829" w:rsidRDefault="00091829" w:rsidP="00091829">
      <w:pPr>
        <w:numPr>
          <w:ilvl w:val="1"/>
          <w:numId w:val="8"/>
        </w:numPr>
        <w:spacing w:after="120"/>
        <w:rPr>
          <w:b/>
        </w:rPr>
      </w:pPr>
      <w:r>
        <w:rPr>
          <w:b/>
        </w:rPr>
        <w:t>Insurance</w:t>
      </w:r>
      <w:r>
        <w:t>:  IOU discretion, submitted in implementation advice letter</w:t>
      </w:r>
    </w:p>
    <w:p w:rsidR="00091829" w:rsidRDefault="00091829" w:rsidP="00091829">
      <w:pPr>
        <w:numPr>
          <w:ilvl w:val="1"/>
          <w:numId w:val="8"/>
        </w:numPr>
        <w:spacing w:after="120"/>
        <w:rPr>
          <w:b/>
        </w:rPr>
      </w:pPr>
      <w:r>
        <w:rPr>
          <w:b/>
        </w:rPr>
        <w:t>Scheduling Coordinator</w:t>
      </w:r>
      <w:r>
        <w:t>:  Where possible, the contracting IOU shall be the scheduling coordinator for each project using the RAM, and the IOU shall bear the risk of scheduling deviations if the generator provides the IOU with timely information on its availability; the IOU can decline scheduling coordinator responsibilities only upon a written, affirmative request from the seller that the IOU not be the scheduling coordinator, or if unable to perform these duties</w:t>
      </w:r>
    </w:p>
    <w:p w:rsidR="00091829" w:rsidRDefault="00091829" w:rsidP="00091829">
      <w:pPr>
        <w:pStyle w:val="h-1"/>
        <w:keepNext/>
        <w:keepLines/>
        <w:tabs>
          <w:tab w:val="clear" w:pos="720"/>
          <w:tab w:val="num" w:pos="360"/>
        </w:tabs>
        <w:ind w:left="360"/>
        <w:rPr>
          <w:rFonts w:ascii="Palatino" w:hAnsi="Palatino"/>
        </w:rPr>
      </w:pPr>
      <w:r>
        <w:rPr>
          <w:rFonts w:ascii="Palatino" w:hAnsi="Palatino"/>
        </w:rPr>
        <w:t>Project Viability Requirements</w:t>
      </w:r>
    </w:p>
    <w:p w:rsidR="00091829" w:rsidRDefault="00091829" w:rsidP="00091829">
      <w:pPr>
        <w:spacing w:after="120"/>
        <w:ind w:left="810"/>
      </w:pPr>
      <w:r>
        <w:t>Bidder must demonstrate the following items with its bid.  An IOU shall reject a bid that fails to demonstrate the following items.  Each IOU shall adopt reasonable definitions and lists, related to:</w:t>
      </w:r>
    </w:p>
    <w:p w:rsidR="00091829" w:rsidRDefault="00091829" w:rsidP="00091829">
      <w:pPr>
        <w:pStyle w:val="h-1"/>
        <w:numPr>
          <w:ilvl w:val="0"/>
          <w:numId w:val="13"/>
        </w:numPr>
        <w:tabs>
          <w:tab w:val="clear" w:pos="1080"/>
          <w:tab w:val="num" w:pos="1260"/>
        </w:tabs>
        <w:ind w:left="1260"/>
        <w:rPr>
          <w:rFonts w:ascii="Palatino" w:hAnsi="Palatino"/>
          <w:b w:val="0"/>
        </w:rPr>
      </w:pPr>
      <w:r>
        <w:rPr>
          <w:rFonts w:ascii="Palatino" w:hAnsi="Palatino"/>
        </w:rPr>
        <w:t xml:space="preserve">Site Control: </w:t>
      </w:r>
      <w:r>
        <w:rPr>
          <w:rFonts w:ascii="Palatino" w:hAnsi="Palatino"/>
          <w:b w:val="0"/>
        </w:rPr>
        <w:t xml:space="preserve"> Bidder must show 100% site control through (a) direct ownership, (b) lease, or (c) an option to lease or purchase that may be exercised upon award of the RAM contract</w:t>
      </w:r>
    </w:p>
    <w:p w:rsidR="00091829" w:rsidRDefault="00091829" w:rsidP="00091829">
      <w:pPr>
        <w:pStyle w:val="h-1"/>
        <w:numPr>
          <w:ilvl w:val="0"/>
          <w:numId w:val="13"/>
        </w:numPr>
        <w:tabs>
          <w:tab w:val="clear" w:pos="1080"/>
          <w:tab w:val="num" w:pos="1260"/>
        </w:tabs>
        <w:ind w:left="1260"/>
        <w:rPr>
          <w:rFonts w:ascii="Palatino" w:hAnsi="Palatino"/>
          <w:b w:val="0"/>
        </w:rPr>
      </w:pPr>
      <w:r>
        <w:rPr>
          <w:rFonts w:ascii="Palatino" w:hAnsi="Palatino"/>
        </w:rPr>
        <w:t>Development Experience:</w:t>
      </w:r>
      <w:r>
        <w:rPr>
          <w:rFonts w:ascii="Palatino" w:hAnsi="Palatino"/>
          <w:b w:val="0"/>
        </w:rPr>
        <w:t xml:space="preserve">  Bidder must show that at least one member of the development team has (a) completed at least one project of similar technology and capacity or (b) begun construction of at least one other similar project</w:t>
      </w:r>
    </w:p>
    <w:p w:rsidR="00091829" w:rsidRDefault="00091829" w:rsidP="00091829">
      <w:pPr>
        <w:pStyle w:val="h-1"/>
        <w:numPr>
          <w:ilvl w:val="0"/>
          <w:numId w:val="13"/>
        </w:numPr>
        <w:tabs>
          <w:tab w:val="clear" w:pos="1080"/>
          <w:tab w:val="num" w:pos="1260"/>
        </w:tabs>
        <w:ind w:left="1260"/>
        <w:rPr>
          <w:rFonts w:ascii="Palatino" w:hAnsi="Palatino"/>
          <w:b w:val="0"/>
        </w:rPr>
      </w:pPr>
      <w:r>
        <w:rPr>
          <w:rFonts w:ascii="Palatino" w:hAnsi="Palatino"/>
        </w:rPr>
        <w:t>Commercialized Technology:</w:t>
      </w:r>
      <w:r>
        <w:rPr>
          <w:rFonts w:ascii="Palatino" w:hAnsi="Palatino"/>
          <w:b w:val="0"/>
        </w:rPr>
        <w:t xml:space="preserve">  Bidder must show the project is based on commercialized technology (e.g., is neither experimental, research, demonstration, nor in development)</w:t>
      </w:r>
    </w:p>
    <w:p w:rsidR="00091829" w:rsidRDefault="00091829" w:rsidP="00091829">
      <w:pPr>
        <w:pStyle w:val="h-1"/>
        <w:numPr>
          <w:ilvl w:val="0"/>
          <w:numId w:val="13"/>
        </w:numPr>
        <w:tabs>
          <w:tab w:val="clear" w:pos="1080"/>
          <w:tab w:val="num" w:pos="1260"/>
        </w:tabs>
        <w:ind w:left="1260"/>
        <w:rPr>
          <w:rFonts w:ascii="Palatino" w:hAnsi="Palatino"/>
          <w:b w:val="0"/>
        </w:rPr>
      </w:pPr>
      <w:r>
        <w:rPr>
          <w:rFonts w:ascii="Palatino" w:hAnsi="Palatino"/>
        </w:rPr>
        <w:t xml:space="preserve">Interconnection Application:  </w:t>
      </w:r>
      <w:r>
        <w:rPr>
          <w:rFonts w:ascii="Palatino" w:hAnsi="Palatino"/>
          <w:b w:val="0"/>
        </w:rPr>
        <w:t>Bidder must show that it has filed its interconnection application.</w:t>
      </w:r>
      <w:r w:rsidRPr="00F92EA0">
        <w:rPr>
          <w:rFonts w:ascii="Palatino" w:hAnsi="Palatino"/>
          <w:b w:val="0"/>
        </w:rPr>
        <w:t xml:space="preserve"> In addition, bidder must have completed a System-Impact Study, Cluster Study Phase 1, or have passed the Fast Track screens.</w:t>
      </w:r>
    </w:p>
    <w:p w:rsidR="00091829" w:rsidRDefault="00091829" w:rsidP="00091829">
      <w:pPr>
        <w:pStyle w:val="h-1"/>
        <w:keepNext/>
        <w:keepLines/>
        <w:tabs>
          <w:tab w:val="clear" w:pos="720"/>
          <w:tab w:val="num" w:pos="360"/>
        </w:tabs>
        <w:ind w:left="360"/>
        <w:rPr>
          <w:rFonts w:ascii="Palatino" w:hAnsi="Palatino"/>
        </w:rPr>
      </w:pPr>
      <w:r>
        <w:rPr>
          <w:rFonts w:ascii="Palatino" w:hAnsi="Palatino"/>
        </w:rPr>
        <w:t>Market Elements</w:t>
      </w:r>
    </w:p>
    <w:p w:rsidR="00091829" w:rsidRDefault="00091829" w:rsidP="00091829">
      <w:pPr>
        <w:numPr>
          <w:ilvl w:val="1"/>
          <w:numId w:val="7"/>
        </w:numPr>
        <w:tabs>
          <w:tab w:val="clear" w:pos="1440"/>
        </w:tabs>
        <w:spacing w:after="120"/>
        <w:ind w:left="720"/>
      </w:pPr>
      <w:r>
        <w:rPr>
          <w:b/>
        </w:rPr>
        <w:t>Preferred Locations</w:t>
      </w:r>
      <w:r>
        <w:t xml:space="preserve">:  The IOUs must provide the “available capacity” at the substation and circuit level, defined as the total capacity minus the allocated and queued capacity.  The IOUs should provide this information in map format.  If unable to initially provide this level of detail, each IOU must provide the data at the most detailed level feasible, and work to increase the precision of the information over time.  This information is to be available in the advice letter implementing RAM and updated on a monthly basis.   </w:t>
      </w:r>
    </w:p>
    <w:p w:rsidR="00091829" w:rsidRDefault="00091829" w:rsidP="00091829">
      <w:pPr>
        <w:pStyle w:val="noi7"/>
        <w:rPr>
          <w:rFonts w:ascii="Palatino" w:hAnsi="Palatino"/>
        </w:rPr>
      </w:pPr>
      <w:r>
        <w:rPr>
          <w:rFonts w:ascii="Palatino" w:hAnsi="Palatino"/>
        </w:rPr>
        <w:t xml:space="preserve">Each IOU should examine DG interconnection screening tools currently used to screen DG interconnection applications.  The IOUs should evaluate how individual project studies could be automated to provide the requested data and a reasonable assessment of a DG project’s impact on the distribution system.  </w:t>
      </w:r>
    </w:p>
    <w:p w:rsidR="00091829" w:rsidRDefault="00091829" w:rsidP="00091829">
      <w:pPr>
        <w:pStyle w:val="noi7"/>
        <w:rPr>
          <w:rFonts w:ascii="Palatino" w:hAnsi="Palatino"/>
        </w:rPr>
      </w:pPr>
      <w:r>
        <w:rPr>
          <w:rFonts w:ascii="Palatino" w:hAnsi="Palatino"/>
        </w:rPr>
        <w:t>The IOUs should work with parties and Commission staff through the Renewable Distributed Energy Collaborative (Re-DEC) or other forums in order to improve the data, usefulness of the maps, and to discuss other issues related to the interconnection of distributed resources.</w:t>
      </w:r>
    </w:p>
    <w:p w:rsidR="00091829" w:rsidRDefault="00091829" w:rsidP="00091829">
      <w:pPr>
        <w:numPr>
          <w:ilvl w:val="1"/>
          <w:numId w:val="7"/>
        </w:numPr>
        <w:tabs>
          <w:tab w:val="clear" w:pos="1440"/>
        </w:tabs>
        <w:spacing w:after="120"/>
        <w:ind w:left="720"/>
      </w:pPr>
      <w:r>
        <w:rPr>
          <w:b/>
        </w:rPr>
        <w:t>Project Milestones</w:t>
      </w:r>
      <w:r>
        <w:t xml:space="preserve">:  Sellers shall submit a project development milestone timeline to the IOU upon RAM contract signing, and progress reports </w:t>
      </w:r>
      <w:r w:rsidRPr="007164B3">
        <w:rPr>
          <w:u w:val="single"/>
        </w:rPr>
        <w:t xml:space="preserve">as specified in the standard contract, but at least </w:t>
      </w:r>
      <w:r w:rsidRPr="00D663D1">
        <w:t>every six months.</w:t>
      </w:r>
      <w:r>
        <w:t xml:space="preserve">  The only enforceable milestone is the commercial operation dat</w:t>
      </w:r>
      <w:r w:rsidRPr="007164B3">
        <w:rPr>
          <w:strike/>
        </w:rPr>
        <w:t>a</w:t>
      </w:r>
      <w:r w:rsidRPr="007164B3">
        <w:rPr>
          <w:u w:val="single"/>
        </w:rPr>
        <w:t>e</w:t>
      </w:r>
      <w:r>
        <w:t xml:space="preserve"> (COD) (subject to a one 6-month extension for regulatory delays).  </w:t>
      </w:r>
    </w:p>
    <w:p w:rsidR="00091829" w:rsidRDefault="00091829" w:rsidP="00091829">
      <w:pPr>
        <w:keepNext/>
        <w:keepLines/>
        <w:numPr>
          <w:ilvl w:val="1"/>
          <w:numId w:val="7"/>
        </w:numPr>
        <w:tabs>
          <w:tab w:val="clear" w:pos="1440"/>
        </w:tabs>
        <w:spacing w:after="120"/>
        <w:ind w:left="720"/>
      </w:pPr>
      <w:r>
        <w:rPr>
          <w:b/>
        </w:rPr>
        <w:t>Relationship to Voluntary and Other Programs</w:t>
      </w:r>
      <w:r>
        <w:t xml:space="preserve">:  1,299 MW capacity limit does not include capacity subscribed under the Existing FIT (up to 1.5 MW, subject to expansion to three MW under SB 32).  SCE is permitted to draw down its capacity limit with the 21 contracts it selected in November 2010 from the RSC solicitation, if the CPUC approves these contracts. </w:t>
      </w:r>
    </w:p>
    <w:p w:rsidR="00091829" w:rsidRDefault="00091829" w:rsidP="00091829">
      <w:pPr>
        <w:keepNext/>
        <w:keepLines/>
        <w:numPr>
          <w:ilvl w:val="1"/>
          <w:numId w:val="7"/>
        </w:numPr>
        <w:tabs>
          <w:tab w:val="clear" w:pos="1440"/>
        </w:tabs>
        <w:spacing w:after="120"/>
        <w:ind w:left="720"/>
      </w:pPr>
      <w:r>
        <w:rPr>
          <w:b/>
        </w:rPr>
        <w:t>FERC Certification</w:t>
      </w:r>
      <w:r>
        <w:t>:  No FERC certification as a QF is required for a project to be eligible for RAM</w:t>
      </w:r>
    </w:p>
    <w:p w:rsidR="00091829" w:rsidRDefault="00091829" w:rsidP="00091829">
      <w:pPr>
        <w:keepNext/>
        <w:keepLines/>
        <w:numPr>
          <w:ilvl w:val="1"/>
          <w:numId w:val="7"/>
        </w:numPr>
        <w:tabs>
          <w:tab w:val="clear" w:pos="1440"/>
        </w:tabs>
        <w:spacing w:before="120" w:after="240"/>
        <w:ind w:left="720"/>
      </w:pPr>
      <w:r>
        <w:rPr>
          <w:b/>
        </w:rPr>
        <w:t>Conveyance of RECs</w:t>
      </w:r>
      <w:r>
        <w:t>:  RECs transferred in relationship to the amount of the purchase (for full buy/sell, the IOU buys the RECs coincident with the entire output; for excess sales, the IOU buys the RECs coincident with the purchased excess energy)</w:t>
      </w:r>
    </w:p>
    <w:p w:rsidR="00091829" w:rsidRDefault="00091829" w:rsidP="00091829">
      <w:pPr>
        <w:pStyle w:val="h-1"/>
        <w:keepNext/>
        <w:keepLines/>
        <w:tabs>
          <w:tab w:val="clear" w:pos="720"/>
          <w:tab w:val="num" w:pos="360"/>
        </w:tabs>
        <w:ind w:left="360"/>
        <w:rPr>
          <w:rFonts w:ascii="Palatino" w:hAnsi="Palatino"/>
        </w:rPr>
      </w:pPr>
      <w:r>
        <w:rPr>
          <w:rFonts w:ascii="Palatino" w:hAnsi="Palatino"/>
        </w:rPr>
        <w:t>Regulation and Commission Oversight</w:t>
      </w:r>
    </w:p>
    <w:p w:rsidR="00091829" w:rsidRDefault="00091829" w:rsidP="00091829">
      <w:pPr>
        <w:keepNext/>
        <w:keepLines/>
        <w:numPr>
          <w:ilvl w:val="1"/>
          <w:numId w:val="7"/>
        </w:numPr>
        <w:tabs>
          <w:tab w:val="clear" w:pos="1440"/>
        </w:tabs>
        <w:spacing w:after="120"/>
        <w:ind w:left="806" w:hanging="446"/>
        <w:rPr>
          <w:b/>
        </w:rPr>
      </w:pPr>
      <w:r>
        <w:rPr>
          <w:b/>
        </w:rPr>
        <w:t xml:space="preserve">Program modifications: </w:t>
      </w:r>
      <w:r>
        <w:t>The Commission can modify any element of the program at any time through a Commission resolution.</w:t>
      </w:r>
    </w:p>
    <w:p w:rsidR="00091829" w:rsidRDefault="00091829" w:rsidP="00091829">
      <w:pPr>
        <w:keepNext/>
        <w:keepLines/>
        <w:numPr>
          <w:ilvl w:val="1"/>
          <w:numId w:val="7"/>
        </w:numPr>
        <w:tabs>
          <w:tab w:val="clear" w:pos="1440"/>
        </w:tabs>
        <w:spacing w:after="120"/>
        <w:ind w:left="806" w:hanging="446"/>
        <w:rPr>
          <w:b/>
        </w:rPr>
      </w:pPr>
      <w:r>
        <w:rPr>
          <w:b/>
        </w:rPr>
        <w:t>Advice Letter Review</w:t>
      </w:r>
      <w:r>
        <w:t xml:space="preserve">:  All executed RAM contracts from each auction are filed with the Commission in one Tier 2 advice letter. </w:t>
      </w:r>
    </w:p>
    <w:p w:rsidR="00091829" w:rsidRDefault="00091829" w:rsidP="00091829">
      <w:pPr>
        <w:numPr>
          <w:ilvl w:val="1"/>
          <w:numId w:val="7"/>
        </w:numPr>
        <w:tabs>
          <w:tab w:val="clear" w:pos="1440"/>
        </w:tabs>
        <w:spacing w:after="120"/>
        <w:ind w:left="806" w:hanging="446"/>
        <w:rPr>
          <w:b/>
        </w:rPr>
      </w:pPr>
      <w:r>
        <w:rPr>
          <w:b/>
        </w:rPr>
        <w:t>Program Evaluation</w:t>
      </w:r>
      <w:r>
        <w:t>:  RAM to be monitored and evaluated annually, with each IOU filing a report each year.  The report shall be filed with ED and posted on the IOU’s website.  ED shall include RAM program information in the Commission’s reports to the legislature on the RPS program.</w:t>
      </w:r>
    </w:p>
    <w:p w:rsidR="00091829" w:rsidRDefault="00091829" w:rsidP="00091829">
      <w:pPr>
        <w:numPr>
          <w:ilvl w:val="1"/>
          <w:numId w:val="7"/>
        </w:numPr>
        <w:tabs>
          <w:tab w:val="clear" w:pos="1440"/>
        </w:tabs>
        <w:spacing w:after="120"/>
        <w:ind w:left="806" w:hanging="446"/>
        <w:rPr>
          <w:b/>
        </w:rPr>
      </w:pPr>
      <w:r>
        <w:rPr>
          <w:b/>
        </w:rPr>
        <w:t>Data</w:t>
      </w:r>
      <w:r>
        <w:t xml:space="preserve">:  </w:t>
      </w:r>
    </w:p>
    <w:p w:rsidR="00091829" w:rsidRDefault="00091829" w:rsidP="00091829">
      <w:pPr>
        <w:pStyle w:val="noi6"/>
        <w:tabs>
          <w:tab w:val="clear" w:pos="1260"/>
          <w:tab w:val="num" w:pos="720"/>
        </w:tabs>
        <w:ind w:left="720" w:firstLine="0"/>
        <w:rPr>
          <w:rFonts w:ascii="Palatino" w:hAnsi="Palatino"/>
        </w:rPr>
      </w:pPr>
      <w:r>
        <w:rPr>
          <w:rFonts w:ascii="Palatino" w:hAnsi="Palatino"/>
        </w:rPr>
        <w:t>Each annual report shall include information and evaluation on all relevant items and characteristics including but not limited to:</w:t>
      </w:r>
    </w:p>
    <w:p w:rsidR="00091829" w:rsidRDefault="00091829" w:rsidP="00091829">
      <w:pPr>
        <w:pStyle w:val="bullets4"/>
      </w:pPr>
      <w:r>
        <w:t>Competition and competitiveness</w:t>
      </w:r>
    </w:p>
    <w:p w:rsidR="00091829" w:rsidRDefault="00091829" w:rsidP="00091829">
      <w:pPr>
        <w:pStyle w:val="h-1"/>
        <w:numPr>
          <w:ilvl w:val="0"/>
          <w:numId w:val="13"/>
        </w:numPr>
        <w:tabs>
          <w:tab w:val="clear" w:pos="1080"/>
          <w:tab w:val="num" w:pos="1440"/>
        </w:tabs>
        <w:spacing w:after="0"/>
        <w:ind w:left="1440"/>
        <w:rPr>
          <w:b w:val="0"/>
        </w:rPr>
      </w:pPr>
      <w:r>
        <w:rPr>
          <w:b w:val="0"/>
        </w:rPr>
        <w:t>Auction design</w:t>
      </w:r>
    </w:p>
    <w:p w:rsidR="00091829" w:rsidRDefault="00091829" w:rsidP="00091829">
      <w:pPr>
        <w:pStyle w:val="h-1"/>
        <w:numPr>
          <w:ilvl w:val="0"/>
          <w:numId w:val="13"/>
        </w:numPr>
        <w:tabs>
          <w:tab w:val="clear" w:pos="1080"/>
          <w:tab w:val="num" w:pos="1440"/>
        </w:tabs>
        <w:spacing w:after="0"/>
        <w:ind w:left="1440"/>
        <w:rPr>
          <w:b w:val="0"/>
        </w:rPr>
      </w:pPr>
      <w:r>
        <w:rPr>
          <w:b w:val="0"/>
        </w:rPr>
        <w:t>Time necessary to complete projects</w:t>
      </w:r>
    </w:p>
    <w:p w:rsidR="00091829" w:rsidRDefault="00091829" w:rsidP="00091829">
      <w:pPr>
        <w:pStyle w:val="h-1"/>
        <w:numPr>
          <w:ilvl w:val="0"/>
          <w:numId w:val="13"/>
        </w:numPr>
        <w:tabs>
          <w:tab w:val="clear" w:pos="1080"/>
          <w:tab w:val="num" w:pos="1440"/>
        </w:tabs>
        <w:spacing w:after="0"/>
        <w:ind w:left="1440"/>
        <w:rPr>
          <w:b w:val="0"/>
        </w:rPr>
      </w:pPr>
      <w:r>
        <w:rPr>
          <w:b w:val="0"/>
        </w:rPr>
        <w:t>Auction timing</w:t>
      </w:r>
    </w:p>
    <w:p w:rsidR="00091829" w:rsidRDefault="00091829" w:rsidP="00091829">
      <w:pPr>
        <w:pStyle w:val="h-1"/>
        <w:numPr>
          <w:ilvl w:val="0"/>
          <w:numId w:val="13"/>
        </w:numPr>
        <w:tabs>
          <w:tab w:val="clear" w:pos="1080"/>
          <w:tab w:val="num" w:pos="1440"/>
        </w:tabs>
        <w:spacing w:after="0"/>
        <w:ind w:left="1440"/>
        <w:rPr>
          <w:b w:val="0"/>
        </w:rPr>
      </w:pPr>
      <w:r>
        <w:rPr>
          <w:b w:val="0"/>
        </w:rPr>
        <w:t>Project status</w:t>
      </w:r>
    </w:p>
    <w:p w:rsidR="00091829" w:rsidRPr="00BF456A" w:rsidRDefault="00091829" w:rsidP="00091829">
      <w:pPr>
        <w:pStyle w:val="h-1"/>
        <w:numPr>
          <w:ilvl w:val="0"/>
          <w:numId w:val="13"/>
        </w:numPr>
        <w:tabs>
          <w:tab w:val="clear" w:pos="1080"/>
          <w:tab w:val="num" w:pos="1440"/>
        </w:tabs>
        <w:ind w:left="1440"/>
        <w:rPr>
          <w:b w:val="0"/>
        </w:rPr>
      </w:pPr>
      <w:r w:rsidRPr="00BF456A">
        <w:rPr>
          <w:b w:val="0"/>
        </w:rPr>
        <w:t>Analysis comparing the price and value of contracts with and without resource adequa</w:t>
      </w:r>
      <w:r>
        <w:rPr>
          <w:b w:val="0"/>
        </w:rPr>
        <w:t>cy</w:t>
      </w:r>
    </w:p>
    <w:p w:rsidR="00091829" w:rsidRDefault="00091829" w:rsidP="00091829">
      <w:pPr>
        <w:pStyle w:val="h-1"/>
        <w:numPr>
          <w:ilvl w:val="0"/>
          <w:numId w:val="13"/>
        </w:numPr>
        <w:tabs>
          <w:tab w:val="clear" w:pos="1080"/>
          <w:tab w:val="num" w:pos="1440"/>
        </w:tabs>
        <w:ind w:left="1440"/>
        <w:rPr>
          <w:b w:val="0"/>
        </w:rPr>
      </w:pPr>
      <w:r>
        <w:rPr>
          <w:b w:val="0"/>
        </w:rPr>
        <w:t>Anything else determined by ED to be necessary for a complete report</w:t>
      </w:r>
    </w:p>
    <w:p w:rsidR="00091829" w:rsidRDefault="00091829" w:rsidP="00091829">
      <w:pPr>
        <w:pStyle w:val="noi6"/>
        <w:tabs>
          <w:tab w:val="clear" w:pos="1260"/>
          <w:tab w:val="num" w:pos="720"/>
        </w:tabs>
        <w:ind w:left="720" w:firstLine="0"/>
        <w:rPr>
          <w:rFonts w:ascii="Palatino" w:hAnsi="Palatino"/>
        </w:rPr>
      </w:pPr>
      <w:r>
        <w:rPr>
          <w:rFonts w:ascii="Palatino" w:hAnsi="Palatino"/>
        </w:rPr>
        <w:t xml:space="preserve">IOUs shall adopt a uniform report template with guidance from Energy Division </w:t>
      </w:r>
    </w:p>
    <w:p w:rsidR="00091829" w:rsidRDefault="00091829" w:rsidP="00091829">
      <w:pPr>
        <w:pStyle w:val="noi6"/>
        <w:tabs>
          <w:tab w:val="clear" w:pos="1260"/>
          <w:tab w:val="num" w:pos="720"/>
        </w:tabs>
        <w:ind w:left="720" w:firstLine="0"/>
        <w:rPr>
          <w:rFonts w:ascii="Palatino" w:hAnsi="Palatino"/>
        </w:rPr>
      </w:pPr>
      <w:r>
        <w:rPr>
          <w:rFonts w:ascii="Palatino" w:hAnsi="Palatino"/>
        </w:rPr>
        <w:t xml:space="preserve">The first report shall include each IOU’s proposal for a definition of a competitive market, proposed measurements of RPS markets generally, and proposed measurements of this RAM market specifically </w:t>
      </w:r>
    </w:p>
    <w:p w:rsidR="00091829" w:rsidRDefault="00091829" w:rsidP="00091829">
      <w:pPr>
        <w:pStyle w:val="noi6"/>
        <w:tabs>
          <w:tab w:val="clear" w:pos="1260"/>
          <w:tab w:val="num" w:pos="720"/>
        </w:tabs>
        <w:ind w:left="720" w:firstLine="0"/>
        <w:rPr>
          <w:rFonts w:ascii="Palatino" w:hAnsi="Palatino"/>
        </w:rPr>
      </w:pPr>
      <w:r>
        <w:rPr>
          <w:rFonts w:ascii="Palatino" w:hAnsi="Palatino"/>
        </w:rPr>
        <w:t>As available over time, each report shall include data on:</w:t>
      </w:r>
    </w:p>
    <w:p w:rsidR="00091829" w:rsidRDefault="00091829" w:rsidP="00091829">
      <w:pPr>
        <w:pStyle w:val="bullets4"/>
      </w:pPr>
      <w:r>
        <w:t>Measures of the requirements for a perfectly competitive market</w:t>
      </w:r>
    </w:p>
    <w:p w:rsidR="00091829" w:rsidRDefault="00091829" w:rsidP="00091829">
      <w:pPr>
        <w:pStyle w:val="bullets4"/>
      </w:pPr>
      <w:r>
        <w:t>Measures of market power</w:t>
      </w:r>
    </w:p>
    <w:p w:rsidR="00091829" w:rsidRDefault="00091829" w:rsidP="00091829">
      <w:pPr>
        <w:pStyle w:val="bullets4"/>
      </w:pPr>
      <w:r>
        <w:t>Seller concentration</w:t>
      </w:r>
    </w:p>
    <w:p w:rsidR="00091829" w:rsidRDefault="00091829" w:rsidP="00091829">
      <w:pPr>
        <w:pStyle w:val="bullets4"/>
      </w:pPr>
      <w:r>
        <w:t>Data on each RAM results</w:t>
      </w:r>
    </w:p>
    <w:p w:rsidR="00091829" w:rsidRDefault="00091829" w:rsidP="00091829">
      <w:pPr>
        <w:pStyle w:val="bullets4"/>
      </w:pPr>
      <w:r>
        <w:t>Information on the achievement of project development milestones for all executed RAM contracts</w:t>
      </w:r>
    </w:p>
    <w:p w:rsidR="00091829" w:rsidRDefault="00091829" w:rsidP="00091829">
      <w:pPr>
        <w:pStyle w:val="bullets4"/>
        <w:spacing w:after="120"/>
      </w:pPr>
      <w:r>
        <w:t>Any other information necessary to present a complete report</w:t>
      </w:r>
    </w:p>
    <w:p w:rsidR="00091829" w:rsidRDefault="00091829" w:rsidP="00091829">
      <w:pPr>
        <w:keepNext/>
        <w:keepLines/>
        <w:numPr>
          <w:ilvl w:val="1"/>
          <w:numId w:val="7"/>
        </w:numPr>
        <w:tabs>
          <w:tab w:val="clear" w:pos="1440"/>
        </w:tabs>
        <w:spacing w:after="120"/>
        <w:ind w:left="806" w:hanging="446"/>
        <w:rPr>
          <w:b/>
        </w:rPr>
      </w:pPr>
      <w:r>
        <w:rPr>
          <w:b/>
        </w:rPr>
        <w:t>Public release of aggregated Data</w:t>
      </w:r>
      <w:r>
        <w:t xml:space="preserve">:  </w:t>
      </w:r>
    </w:p>
    <w:p w:rsidR="00091829" w:rsidRDefault="00091829" w:rsidP="00091829">
      <w:pPr>
        <w:keepNext/>
        <w:keepLines/>
        <w:numPr>
          <w:ilvl w:val="2"/>
          <w:numId w:val="7"/>
        </w:numPr>
        <w:tabs>
          <w:tab w:val="clear" w:pos="2160"/>
        </w:tabs>
        <w:spacing w:after="120"/>
        <w:ind w:left="1080"/>
      </w:pPr>
      <w:r>
        <w:t xml:space="preserve">IOUs and ED shall make the maximum amount of RAM data public, including the following: </w:t>
      </w:r>
    </w:p>
    <w:p w:rsidR="00091829" w:rsidRDefault="00091829" w:rsidP="00091829">
      <w:pPr>
        <w:pStyle w:val="bullets4"/>
      </w:pPr>
      <w:r>
        <w:t>Names of participating companies and number of bids per company</w:t>
      </w:r>
    </w:p>
    <w:p w:rsidR="00091829" w:rsidRDefault="00091829" w:rsidP="00091829">
      <w:pPr>
        <w:pStyle w:val="bullets4"/>
      </w:pPr>
      <w:r>
        <w:t>Number of bids received and shortlisted</w:t>
      </w:r>
    </w:p>
    <w:p w:rsidR="00091829" w:rsidRDefault="00091829" w:rsidP="00091829">
      <w:pPr>
        <w:pStyle w:val="bullets4"/>
      </w:pPr>
      <w:r>
        <w:t>Project size</w:t>
      </w:r>
    </w:p>
    <w:p w:rsidR="00091829" w:rsidRDefault="00091829" w:rsidP="00091829">
      <w:pPr>
        <w:pStyle w:val="bullets4"/>
      </w:pPr>
      <w:r>
        <w:t>Participating technologies</w:t>
      </w:r>
    </w:p>
    <w:p w:rsidR="00091829" w:rsidRDefault="00091829" w:rsidP="00091829">
      <w:pPr>
        <w:pStyle w:val="bullets4"/>
      </w:pPr>
      <w:r>
        <w:t xml:space="preserve">Quantitative summary of how many projects passed each project viability screen </w:t>
      </w:r>
    </w:p>
    <w:p w:rsidR="00091829" w:rsidRDefault="00091829" w:rsidP="00091829">
      <w:pPr>
        <w:pStyle w:val="bullets4"/>
      </w:pPr>
      <w:r>
        <w:t>Location of bids by county provided in a map format</w:t>
      </w:r>
    </w:p>
    <w:p w:rsidR="00091829" w:rsidRDefault="00091829" w:rsidP="00091829">
      <w:pPr>
        <w:pStyle w:val="bullets4"/>
        <w:spacing w:after="120"/>
      </w:pPr>
      <w:r>
        <w:t>Information on the achievement of project development milestones for all executed RAM contracts (</w:t>
      </w:r>
      <w:r w:rsidRPr="00BF456A">
        <w:t>See Attachment B of D.10-12-048)</w:t>
      </w:r>
    </w:p>
    <w:p w:rsidR="00091829" w:rsidRPr="00016334" w:rsidRDefault="00091829" w:rsidP="00091829">
      <w:pPr>
        <w:numPr>
          <w:ilvl w:val="1"/>
          <w:numId w:val="7"/>
        </w:numPr>
        <w:tabs>
          <w:tab w:val="clear" w:pos="1440"/>
        </w:tabs>
        <w:spacing w:after="120"/>
        <w:ind w:left="806" w:hanging="446"/>
        <w:rPr>
          <w:b/>
        </w:rPr>
      </w:pPr>
      <w:r>
        <w:rPr>
          <w:b/>
        </w:rPr>
        <w:t>Cost Recovery</w:t>
      </w:r>
      <w:r>
        <w:t>:  RAM costs may be charged to bundled and departing customers consistent with current practice</w:t>
      </w:r>
    </w:p>
    <w:p w:rsidR="00091829" w:rsidRPr="00F92EA0" w:rsidRDefault="00091829" w:rsidP="00091829">
      <w:pPr>
        <w:numPr>
          <w:ilvl w:val="1"/>
          <w:numId w:val="7"/>
        </w:numPr>
        <w:tabs>
          <w:tab w:val="clear" w:pos="1440"/>
        </w:tabs>
        <w:spacing w:after="120"/>
        <w:ind w:left="806" w:hanging="446"/>
        <w:rPr>
          <w:b/>
        </w:rPr>
      </w:pPr>
      <w:r w:rsidRPr="00F92EA0">
        <w:rPr>
          <w:b/>
        </w:rPr>
        <w:t xml:space="preserve">Program Forum: </w:t>
      </w:r>
    </w:p>
    <w:p w:rsidR="00091829" w:rsidRPr="00F92EA0" w:rsidRDefault="00091829" w:rsidP="00091829">
      <w:pPr>
        <w:pStyle w:val="noi7"/>
        <w:rPr>
          <w:b/>
        </w:rPr>
      </w:pPr>
      <w:r w:rsidRPr="00F92EA0">
        <w:t>IOUs will hold a program forum once per year in order to meet with sellers and discuss seller experience participating in an auction. The IOUs are required to:</w:t>
      </w:r>
    </w:p>
    <w:p w:rsidR="00091829" w:rsidRPr="00F92EA0" w:rsidRDefault="00091829" w:rsidP="00091829">
      <w:pPr>
        <w:numPr>
          <w:ilvl w:val="0"/>
          <w:numId w:val="15"/>
        </w:numPr>
        <w:spacing w:after="120"/>
      </w:pPr>
      <w:r w:rsidRPr="00F92EA0">
        <w:t>Notice all stakeholders of the date, time, location and methods for participation</w:t>
      </w:r>
      <w:r w:rsidRPr="00F92EA0">
        <w:rPr>
          <w:rStyle w:val="FootnoteReference"/>
        </w:rPr>
        <w:footnoteReference w:id="65"/>
      </w:r>
      <w:r w:rsidRPr="00F92EA0">
        <w:t xml:space="preserve"> for each program forum;</w:t>
      </w:r>
    </w:p>
    <w:p w:rsidR="00091829" w:rsidRPr="00F92EA0" w:rsidRDefault="00091829" w:rsidP="00091829">
      <w:pPr>
        <w:numPr>
          <w:ilvl w:val="0"/>
          <w:numId w:val="15"/>
        </w:numPr>
        <w:spacing w:after="120"/>
      </w:pPr>
      <w:r w:rsidRPr="00F92EA0">
        <w:t>Issue a request for feedback from all stakeholders after the close of each solicitation in order to inform the agenda for the program forum;</w:t>
      </w:r>
    </w:p>
    <w:p w:rsidR="00091829" w:rsidRPr="00F92EA0" w:rsidRDefault="00091829" w:rsidP="00091829">
      <w:pPr>
        <w:numPr>
          <w:ilvl w:val="0"/>
          <w:numId w:val="15"/>
        </w:numPr>
        <w:spacing w:after="120"/>
      </w:pPr>
      <w:r w:rsidRPr="00F92EA0">
        <w:t>Provide CPUC staff with a draft of the agenda at least 14 days prior to the program forum;</w:t>
      </w:r>
    </w:p>
    <w:p w:rsidR="00091829" w:rsidRPr="00F92EA0" w:rsidRDefault="00091829" w:rsidP="00091829">
      <w:pPr>
        <w:numPr>
          <w:ilvl w:val="0"/>
          <w:numId w:val="15"/>
        </w:numPr>
        <w:spacing w:after="120"/>
      </w:pPr>
      <w:r w:rsidRPr="00F92EA0">
        <w:t>At the program forum, the IOUs shall provide sufficient time to address key issues identified in the request for feedback and the independent evaluator’s report;</w:t>
      </w:r>
    </w:p>
    <w:p w:rsidR="00091829" w:rsidRPr="00F92EA0" w:rsidRDefault="00091829" w:rsidP="00091829">
      <w:pPr>
        <w:numPr>
          <w:ilvl w:val="0"/>
          <w:numId w:val="15"/>
        </w:numPr>
        <w:spacing w:after="120"/>
      </w:pPr>
      <w:r w:rsidRPr="00F92EA0">
        <w:t>At the program forum, the IOUs shall provide sufficient time for stakeholders to discuss their experience with the solicitation, interconnection process, or the program in general; and</w:t>
      </w:r>
    </w:p>
    <w:p w:rsidR="00091829" w:rsidRPr="00F92EA0" w:rsidRDefault="00091829" w:rsidP="00091829">
      <w:pPr>
        <w:numPr>
          <w:ilvl w:val="0"/>
          <w:numId w:val="15"/>
        </w:numPr>
        <w:spacing w:after="120"/>
      </w:pPr>
      <w:r w:rsidRPr="00F92EA0">
        <w:t>The independent evaluator should participate in the program forum.</w:t>
      </w:r>
    </w:p>
    <w:p w:rsidR="00091829" w:rsidRDefault="00091829" w:rsidP="00091829">
      <w:pPr>
        <w:spacing w:after="120"/>
        <w:ind w:left="806"/>
        <w:rPr>
          <w:b/>
        </w:rPr>
      </w:pPr>
    </w:p>
    <w:p w:rsidR="00091829" w:rsidRDefault="00091829" w:rsidP="00091829">
      <w:pPr>
        <w:numPr>
          <w:ilvl w:val="0"/>
          <w:numId w:val="7"/>
        </w:numPr>
        <w:tabs>
          <w:tab w:val="clear" w:pos="720"/>
          <w:tab w:val="num" w:pos="360"/>
        </w:tabs>
        <w:spacing w:after="120"/>
        <w:ind w:left="360"/>
        <w:rPr>
          <w:b/>
        </w:rPr>
      </w:pPr>
      <w:r>
        <w:rPr>
          <w:b/>
        </w:rPr>
        <w:t>Implementation Advice Letter</w:t>
      </w:r>
      <w:r>
        <w:rPr>
          <w:rStyle w:val="FootnoteReference"/>
          <w:b/>
        </w:rPr>
        <w:footnoteReference w:id="66"/>
      </w:r>
      <w:r>
        <w:rPr>
          <w:b/>
        </w:rPr>
        <w:t xml:space="preserve">:  </w:t>
      </w:r>
      <w:r>
        <w:t>PG&amp;E, SCE, and SDG&amp;E shall file Tier 3 advice letters within 60 days of the date this order.  The implementation advice letters shall include:</w:t>
      </w:r>
    </w:p>
    <w:p w:rsidR="00091829" w:rsidRDefault="00091829" w:rsidP="00091829">
      <w:pPr>
        <w:numPr>
          <w:ilvl w:val="0"/>
          <w:numId w:val="9"/>
        </w:numPr>
        <w:spacing w:after="120"/>
        <w:rPr>
          <w:b/>
        </w:rPr>
      </w:pPr>
      <w:r>
        <w:t>Procurement protocols</w:t>
      </w:r>
    </w:p>
    <w:p w:rsidR="00091829" w:rsidRDefault="00091829" w:rsidP="00091829">
      <w:pPr>
        <w:numPr>
          <w:ilvl w:val="0"/>
          <w:numId w:val="9"/>
        </w:numPr>
        <w:spacing w:after="120"/>
        <w:rPr>
          <w:b/>
        </w:rPr>
      </w:pPr>
      <w:r>
        <w:t>RAM standard contract</w:t>
      </w:r>
    </w:p>
    <w:p w:rsidR="00091829" w:rsidRDefault="00091829" w:rsidP="00091829">
      <w:pPr>
        <w:numPr>
          <w:ilvl w:val="0"/>
          <w:numId w:val="9"/>
        </w:numPr>
        <w:spacing w:after="120"/>
        <w:rPr>
          <w:b/>
        </w:rPr>
      </w:pPr>
      <w:r>
        <w:t>Program implementation details</w:t>
      </w:r>
    </w:p>
    <w:p w:rsidR="00091829" w:rsidRDefault="00091829" w:rsidP="00091829">
      <w:pPr>
        <w:pStyle w:val="h-1"/>
        <w:numPr>
          <w:ilvl w:val="0"/>
          <w:numId w:val="9"/>
        </w:numPr>
        <w:rPr>
          <w:rFonts w:ascii="Palatino" w:hAnsi="Palatino"/>
          <w:b w:val="0"/>
        </w:rPr>
      </w:pPr>
      <w:r>
        <w:rPr>
          <w:rFonts w:ascii="Palatino" w:hAnsi="Palatino"/>
          <w:b w:val="0"/>
        </w:rPr>
        <w:t>Timing of RAM auctions</w:t>
      </w:r>
    </w:p>
    <w:p w:rsidR="00091829" w:rsidRDefault="00091829" w:rsidP="00091829">
      <w:pPr>
        <w:pStyle w:val="h-1"/>
        <w:numPr>
          <w:ilvl w:val="0"/>
          <w:numId w:val="9"/>
        </w:numPr>
        <w:rPr>
          <w:rFonts w:ascii="Palatino" w:hAnsi="Palatino"/>
          <w:b w:val="0"/>
        </w:rPr>
      </w:pPr>
      <w:r>
        <w:rPr>
          <w:rFonts w:ascii="Palatino" w:hAnsi="Palatino"/>
          <w:b w:val="0"/>
        </w:rPr>
        <w:t>Specific amounts of capacity and type of resources in each auction over the next two years</w:t>
      </w:r>
    </w:p>
    <w:p w:rsidR="00091829" w:rsidRDefault="00091829" w:rsidP="00091829">
      <w:pPr>
        <w:pStyle w:val="h-1"/>
        <w:numPr>
          <w:ilvl w:val="0"/>
          <w:numId w:val="9"/>
        </w:numPr>
        <w:rPr>
          <w:rFonts w:ascii="Palatino" w:hAnsi="Palatino"/>
          <w:b w:val="0"/>
        </w:rPr>
      </w:pPr>
      <w:r>
        <w:rPr>
          <w:rFonts w:ascii="Palatino" w:hAnsi="Palatino"/>
          <w:b w:val="0"/>
        </w:rPr>
        <w:t>Explanation of any normalization procedures used for bid selection process</w:t>
      </w:r>
    </w:p>
    <w:p w:rsidR="00091829" w:rsidRDefault="00091829" w:rsidP="00091829">
      <w:pPr>
        <w:pStyle w:val="h-1"/>
        <w:numPr>
          <w:ilvl w:val="0"/>
          <w:numId w:val="9"/>
        </w:numPr>
        <w:rPr>
          <w:rFonts w:ascii="Palatino" w:hAnsi="Palatino"/>
          <w:b w:val="0"/>
        </w:rPr>
      </w:pPr>
      <w:r>
        <w:rPr>
          <w:rFonts w:ascii="Palatino" w:hAnsi="Palatino"/>
          <w:b w:val="0"/>
        </w:rPr>
        <w:t>Detailed description of the generation profiles and characteristics that correspond with each product bucket</w:t>
      </w:r>
    </w:p>
    <w:p w:rsidR="00091829" w:rsidRDefault="00091829" w:rsidP="00091829">
      <w:pPr>
        <w:pStyle w:val="h-1"/>
        <w:numPr>
          <w:ilvl w:val="0"/>
          <w:numId w:val="9"/>
        </w:numPr>
        <w:rPr>
          <w:rFonts w:ascii="Palatino" w:hAnsi="Palatino"/>
          <w:b w:val="0"/>
        </w:rPr>
      </w:pPr>
      <w:r>
        <w:rPr>
          <w:rFonts w:ascii="Palatino" w:hAnsi="Palatino"/>
          <w:b w:val="0"/>
        </w:rPr>
        <w:t xml:space="preserve">Description of how IOU-proposed product eligibility requirements will provide reasonable assurance that a bid for one product will, if selected, deliver energy in a manner that corresponds to the generation profile associated with that </w:t>
      </w:r>
    </w:p>
    <w:p w:rsidR="00091829" w:rsidRDefault="00091829" w:rsidP="00091829">
      <w:pPr>
        <w:pStyle w:val="h-1"/>
        <w:numPr>
          <w:ilvl w:val="0"/>
          <w:numId w:val="9"/>
        </w:numPr>
        <w:rPr>
          <w:rFonts w:ascii="Palatino" w:hAnsi="Palatino"/>
          <w:b w:val="0"/>
        </w:rPr>
      </w:pPr>
      <w:r>
        <w:rPr>
          <w:rFonts w:ascii="Palatino" w:hAnsi="Palatino"/>
          <w:b w:val="0"/>
        </w:rPr>
        <w:t>Identify seller concentration limit, if any</w:t>
      </w:r>
    </w:p>
    <w:p w:rsidR="00091829" w:rsidRDefault="00091829" w:rsidP="00091829">
      <w:pPr>
        <w:pStyle w:val="h-1"/>
        <w:numPr>
          <w:ilvl w:val="0"/>
          <w:numId w:val="9"/>
        </w:numPr>
        <w:rPr>
          <w:rFonts w:ascii="Palatino" w:hAnsi="Palatino"/>
          <w:b w:val="0"/>
        </w:rPr>
      </w:pPr>
      <w:r>
        <w:rPr>
          <w:rFonts w:ascii="Palatino" w:hAnsi="Palatino"/>
          <w:b w:val="0"/>
        </w:rPr>
        <w:t xml:space="preserve">Provide the preferred locations map and a description of how the maps were computed </w:t>
      </w:r>
    </w:p>
    <w:p w:rsidR="006E1310" w:rsidRPr="00091829" w:rsidRDefault="00091829" w:rsidP="00091829">
      <w:pPr>
        <w:pStyle w:val="h-1"/>
        <w:numPr>
          <w:ilvl w:val="0"/>
          <w:numId w:val="9"/>
        </w:numPr>
        <w:rPr>
          <w:rFonts w:ascii="Palatino" w:hAnsi="Palatino"/>
          <w:b w:val="0"/>
          <w:bCs/>
        </w:rPr>
      </w:pPr>
      <w:r>
        <w:rPr>
          <w:rFonts w:ascii="Palatino" w:hAnsi="Palatino"/>
          <w:b w:val="0"/>
          <w:bCs/>
        </w:rPr>
        <w:t>Provide a simple methodology to measure the status of project development milestones</w:t>
      </w:r>
    </w:p>
    <w:p w:rsidR="006E1310" w:rsidRDefault="006E1310" w:rsidP="006E1310">
      <w:pPr>
        <w:spacing w:after="120"/>
        <w:jc w:val="center"/>
        <w:rPr>
          <w:rFonts w:ascii="Palatino Linotype" w:hAnsi="Palatino Linotype"/>
          <w:sz w:val="24"/>
          <w:szCs w:val="24"/>
        </w:rPr>
      </w:pPr>
    </w:p>
    <w:p w:rsidR="00026DAB" w:rsidRDefault="00026DAB" w:rsidP="006E1310">
      <w:pPr>
        <w:spacing w:after="120"/>
        <w:jc w:val="center"/>
        <w:rPr>
          <w:rFonts w:ascii="Palatino Linotype" w:hAnsi="Palatino Linotype"/>
          <w:sz w:val="24"/>
          <w:szCs w:val="24"/>
        </w:rPr>
      </w:pPr>
    </w:p>
    <w:p w:rsidR="00026DAB" w:rsidRDefault="00026DAB" w:rsidP="006E1310">
      <w:pPr>
        <w:spacing w:after="120"/>
        <w:jc w:val="center"/>
        <w:rPr>
          <w:rFonts w:ascii="Palatino Linotype" w:hAnsi="Palatino Linotype"/>
          <w:sz w:val="24"/>
          <w:szCs w:val="24"/>
        </w:rPr>
      </w:pPr>
    </w:p>
    <w:p w:rsidR="00026DAB" w:rsidRDefault="00026DAB" w:rsidP="006E1310">
      <w:pPr>
        <w:spacing w:after="120"/>
        <w:jc w:val="center"/>
        <w:rPr>
          <w:rFonts w:ascii="Palatino Linotype" w:hAnsi="Palatino Linotype"/>
          <w:sz w:val="24"/>
          <w:szCs w:val="24"/>
        </w:rPr>
      </w:pPr>
    </w:p>
    <w:p w:rsidR="00026DAB" w:rsidRDefault="00026DAB" w:rsidP="006E1310">
      <w:pPr>
        <w:spacing w:after="120"/>
        <w:jc w:val="center"/>
        <w:rPr>
          <w:rFonts w:ascii="Palatino Linotype" w:hAnsi="Palatino Linotype"/>
          <w:sz w:val="24"/>
          <w:szCs w:val="24"/>
        </w:rPr>
      </w:pPr>
    </w:p>
    <w:p w:rsidR="00026DAB" w:rsidRDefault="00026DAB" w:rsidP="006E1310">
      <w:pPr>
        <w:spacing w:after="120"/>
        <w:jc w:val="center"/>
        <w:rPr>
          <w:rFonts w:ascii="Palatino Linotype" w:hAnsi="Palatino Linotype"/>
          <w:sz w:val="24"/>
          <w:szCs w:val="24"/>
        </w:rPr>
      </w:pPr>
    </w:p>
    <w:p w:rsidR="00026DAB" w:rsidRDefault="00026DAB" w:rsidP="006E1310">
      <w:pPr>
        <w:spacing w:after="120"/>
        <w:jc w:val="center"/>
        <w:rPr>
          <w:rFonts w:ascii="Palatino Linotype" w:hAnsi="Palatino Linotype"/>
          <w:sz w:val="24"/>
          <w:szCs w:val="24"/>
        </w:rPr>
      </w:pPr>
    </w:p>
    <w:p w:rsidR="00026DAB" w:rsidRDefault="00026DAB" w:rsidP="006E1310">
      <w:pPr>
        <w:spacing w:after="120"/>
        <w:jc w:val="center"/>
        <w:rPr>
          <w:rFonts w:ascii="Palatino Linotype" w:hAnsi="Palatino Linotype"/>
          <w:sz w:val="24"/>
          <w:szCs w:val="24"/>
        </w:rPr>
      </w:pPr>
    </w:p>
    <w:p w:rsidR="000C27DA" w:rsidRDefault="000C27DA" w:rsidP="006E1310">
      <w:pPr>
        <w:spacing w:after="120"/>
        <w:jc w:val="center"/>
        <w:rPr>
          <w:rFonts w:ascii="Palatino Linotype" w:hAnsi="Palatino Linotype"/>
          <w:sz w:val="24"/>
          <w:szCs w:val="24"/>
        </w:rPr>
      </w:pPr>
    </w:p>
    <w:p w:rsidR="000C27DA" w:rsidRPr="000C27DA" w:rsidRDefault="000C27DA" w:rsidP="006E1310">
      <w:pPr>
        <w:spacing w:after="120"/>
        <w:jc w:val="center"/>
        <w:rPr>
          <w:rFonts w:ascii="Palatino Linotype" w:hAnsi="Palatino Linotype"/>
          <w:b/>
          <w:sz w:val="24"/>
          <w:szCs w:val="24"/>
        </w:rPr>
      </w:pPr>
      <w:r w:rsidRPr="000C27DA">
        <w:rPr>
          <w:rFonts w:ascii="Palatino Linotype" w:hAnsi="Palatino Linotype"/>
          <w:b/>
          <w:sz w:val="24"/>
          <w:szCs w:val="24"/>
        </w:rPr>
        <w:t>(END OF APPENDIX D)</w:t>
      </w:r>
    </w:p>
    <w:sectPr w:rsidR="000C27DA" w:rsidRPr="000C27DA" w:rsidSect="001F3135">
      <w:type w:val="continuous"/>
      <w:pgSz w:w="12240" w:h="15840" w:code="1"/>
      <w:pgMar w:top="1440" w:right="1440" w:bottom="1440" w:left="1440" w:header="54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AD6" w:rsidRDefault="00BE3AD6">
      <w:r>
        <w:separator/>
      </w:r>
    </w:p>
  </w:endnote>
  <w:endnote w:type="continuationSeparator" w:id="0">
    <w:p w:rsidR="00BE3AD6" w:rsidRDefault="00BE3AD6">
      <w:r>
        <w:continuationSeparator/>
      </w:r>
    </w:p>
  </w:endnote>
  <w:endnote w:type="continuationNotice" w:id="1">
    <w:p w:rsidR="00BE3AD6" w:rsidRDefault="00BE3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BookAntiqua">
    <w:panose1 w:val="00000000000000000000"/>
    <w:charset w:val="00"/>
    <w:family w:val="roman"/>
    <w:notTrueType/>
    <w:pitch w:val="default"/>
    <w:sig w:usb0="00000003" w:usb1="00000000" w:usb2="00000000" w:usb3="00000000" w:csb0="00000001" w:csb1="00000000"/>
  </w:font>
  <w:font w:name="CenturySchoolbook,Italic">
    <w:panose1 w:val="00000000000000000000"/>
    <w:charset w:val="00"/>
    <w:family w:val="roman"/>
    <w:notTrueType/>
    <w:pitch w:val="default"/>
    <w:sig w:usb0="00000003" w:usb1="00000000" w:usb2="00000000" w:usb3="00000000" w:csb0="00000001" w:csb1="00000000"/>
  </w:font>
  <w:font w:name="CenturySchoolbook">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PalatinoLinotype,Bold">
    <w:panose1 w:val="00000000000000000000"/>
    <w:charset w:val="00"/>
    <w:family w:val="roman"/>
    <w:notTrueType/>
    <w:pitch w:val="default"/>
    <w:sig w:usb0="00000003" w:usb1="00000000" w:usb2="00000000" w:usb3="00000000" w:csb0="00000001" w:csb1="00000000"/>
  </w:font>
  <w:font w:name="Palatino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B9" w:rsidRDefault="00546A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3C" w:rsidRDefault="0039603C">
    <w:pPr>
      <w:pStyle w:val="Foo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7A7C94">
      <w:rPr>
        <w:rStyle w:val="PageNumber"/>
        <w:noProof/>
      </w:rPr>
      <w:t>2</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290" w:type="pct"/>
      <w:tblCellSpacing w:w="0" w:type="dxa"/>
      <w:tblInd w:w="-90" w:type="dxa"/>
      <w:tblLayout w:type="fixed"/>
      <w:tblCellMar>
        <w:left w:w="0" w:type="dxa"/>
        <w:right w:w="0" w:type="dxa"/>
      </w:tblCellMar>
      <w:tblLook w:val="04A0" w:firstRow="1" w:lastRow="0" w:firstColumn="1" w:lastColumn="0" w:noHBand="0" w:noVBand="1"/>
    </w:tblPr>
    <w:tblGrid>
      <w:gridCol w:w="900"/>
      <w:gridCol w:w="7195"/>
    </w:tblGrid>
    <w:tr w:rsidR="0039603C" w:rsidRPr="002B726C" w:rsidTr="00232DE2">
      <w:trPr>
        <w:tblCellSpacing w:w="0" w:type="dxa"/>
      </w:trPr>
      <w:tc>
        <w:tcPr>
          <w:tcW w:w="556" w:type="pct"/>
          <w:vAlign w:val="center"/>
        </w:tcPr>
        <w:p w:rsidR="0039603C" w:rsidRPr="002B726C" w:rsidRDefault="0039603C" w:rsidP="002B726C">
          <w:pPr>
            <w:pStyle w:val="Footer"/>
            <w:tabs>
              <w:tab w:val="center" w:pos="4680"/>
            </w:tabs>
          </w:pPr>
        </w:p>
      </w:tc>
      <w:tc>
        <w:tcPr>
          <w:tcW w:w="4444" w:type="pct"/>
          <w:noWrap/>
          <w:tcMar>
            <w:top w:w="75" w:type="dxa"/>
            <w:left w:w="75" w:type="dxa"/>
            <w:bottom w:w="75" w:type="dxa"/>
            <w:right w:w="75" w:type="dxa"/>
          </w:tcMar>
          <w:vAlign w:val="center"/>
        </w:tcPr>
        <w:p w:rsidR="0039603C" w:rsidRPr="002B726C" w:rsidRDefault="0039603C" w:rsidP="002B726C">
          <w:pPr>
            <w:pStyle w:val="Footer"/>
            <w:tabs>
              <w:tab w:val="center" w:pos="4680"/>
            </w:tabs>
          </w:pPr>
        </w:p>
      </w:tc>
    </w:tr>
  </w:tbl>
  <w:p w:rsidR="0039603C" w:rsidRDefault="0039603C" w:rsidP="00F5600A">
    <w:pPr>
      <w:pStyle w:val="Footer"/>
      <w:tabs>
        <w:tab w:val="clear" w:pos="4320"/>
        <w:tab w:val="center" w:pos="4680"/>
      </w:tabs>
      <w:jc w:val="left"/>
      <w:rPr>
        <w:rStyle w:val="PageNumber"/>
      </w:rPr>
    </w:pPr>
    <w:r w:rsidRPr="002B726C">
      <w:rPr>
        <w:rStyle w:val="PageNumber"/>
        <w:sz w:val="16"/>
        <w:szCs w:val="16"/>
      </w:rPr>
      <w:t xml:space="preserve"> </w:t>
    </w:r>
    <w:r w:rsidRPr="002B726C">
      <w:rPr>
        <w:rStyle w:val="PageNumber"/>
      </w:rPr>
      <w:t xml:space="preserve"> </w:t>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7A7C94">
      <w:rPr>
        <w:rStyle w:val="PageNumber"/>
        <w:noProof/>
      </w:rPr>
      <w:t>1</w:t>
    </w:r>
    <w:r>
      <w:rPr>
        <w:rStyle w:val="PageNumber"/>
      </w:rPr>
      <w:fldChar w:fldCharType="end"/>
    </w:r>
    <w:r>
      <w:rPr>
        <w:rStyle w:val="PageNumber"/>
      </w:rPr>
      <w:t xml:space="preserve"> –</w:t>
    </w:r>
  </w:p>
  <w:p w:rsidR="0039603C" w:rsidRPr="00AA66EA" w:rsidRDefault="0039603C" w:rsidP="0062038F">
    <w:pPr>
      <w:pStyle w:val="Footer"/>
      <w:tabs>
        <w:tab w:val="clear" w:pos="4320"/>
        <w:tab w:val="center" w:pos="4680"/>
      </w:tabs>
      <w:jc w:val="left"/>
      <w:rPr>
        <w:sz w:val="20"/>
      </w:rPr>
    </w:pPr>
    <w:r w:rsidRPr="00AA66EA">
      <w:rPr>
        <w:rFonts w:ascii="Tahoma" w:hAnsi="Tahoma" w:cs="Tahoma"/>
        <w:sz w:val="20"/>
      </w:rPr>
      <w:t>912</w:t>
    </w:r>
    <w:r w:rsidR="00AA66EA">
      <w:rPr>
        <w:rFonts w:ascii="Tahoma" w:hAnsi="Tahoma" w:cs="Tahoma"/>
        <w:sz w:val="20"/>
      </w:rPr>
      <w:t>95566</w:t>
    </w:r>
    <w:r w:rsidRPr="00AA66EA">
      <w:rPr>
        <w:rFonts w:ascii="Tahoma" w:hAnsi="Tahoma" w:cs="Tahoma"/>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AD6" w:rsidRDefault="00BE3AD6">
      <w:r>
        <w:separator/>
      </w:r>
    </w:p>
  </w:footnote>
  <w:footnote w:type="continuationSeparator" w:id="0">
    <w:p w:rsidR="00BE3AD6" w:rsidRDefault="00BE3AD6">
      <w:r>
        <w:continuationSeparator/>
      </w:r>
    </w:p>
  </w:footnote>
  <w:footnote w:type="continuationNotice" w:id="1">
    <w:p w:rsidR="00BE3AD6" w:rsidRDefault="00BE3AD6">
      <w:pPr>
        <w:rPr>
          <w:sz w:val="22"/>
        </w:rPr>
      </w:pPr>
    </w:p>
    <w:p w:rsidR="00BE3AD6" w:rsidRDefault="00BE3AD6">
      <w:pPr>
        <w:jc w:val="right"/>
        <w:rPr>
          <w:sz w:val="22"/>
        </w:rPr>
      </w:pPr>
      <w:r>
        <w:rPr>
          <w:i/>
          <w:sz w:val="22"/>
        </w:rPr>
        <w:t>Footnote continued on next page</w:t>
      </w:r>
    </w:p>
  </w:footnote>
  <w:footnote w:id="2">
    <w:p w:rsidR="0039603C" w:rsidRPr="00185251" w:rsidRDefault="0039603C" w:rsidP="00185251">
      <w:pPr>
        <w:pStyle w:val="FootnoteText"/>
        <w:spacing w:after="120"/>
        <w:rPr>
          <w:sz w:val="22"/>
          <w:szCs w:val="22"/>
        </w:rPr>
      </w:pPr>
      <w:r>
        <w:rPr>
          <w:rStyle w:val="FootnoteReference"/>
        </w:rPr>
        <w:footnoteRef/>
      </w:r>
      <w:r>
        <w:t xml:space="preserve"> </w:t>
      </w:r>
      <w:r w:rsidRPr="00185251">
        <w:rPr>
          <w:sz w:val="22"/>
          <w:szCs w:val="22"/>
        </w:rPr>
        <w:t>E-4489 adopted by the Commission on April 19, 2012; E-4546-E adopted by the Commission on November 8, 2012; E-4582 on May 9, 2013.</w:t>
      </w:r>
    </w:p>
  </w:footnote>
  <w:footnote w:id="3">
    <w:p w:rsidR="0039603C" w:rsidRPr="00185251" w:rsidRDefault="0039603C" w:rsidP="00185251">
      <w:pPr>
        <w:pStyle w:val="FootnoteText"/>
        <w:spacing w:after="360"/>
        <w:rPr>
          <w:sz w:val="22"/>
          <w:szCs w:val="22"/>
        </w:rPr>
      </w:pPr>
      <w:r>
        <w:rPr>
          <w:rStyle w:val="FootnoteReference"/>
        </w:rPr>
        <w:footnoteRef/>
      </w:r>
      <w:r>
        <w:t xml:space="preserve"> </w:t>
      </w:r>
      <w:r w:rsidRPr="00185251">
        <w:rPr>
          <w:sz w:val="22"/>
          <w:szCs w:val="22"/>
        </w:rPr>
        <w:t>In AL 4365-E, PG&amp;E describes the first two changes as modifications to its RAM pro forma PPA and RAM protocol.  Energy Division views the proposed changes as modifications to the RAM program rules which have been specifically adopted and applied to all three IOUs in D.10-12-048, Resolution E-4414, Resolution E-4489, and Resolution E-4546.</w:t>
      </w:r>
    </w:p>
  </w:footnote>
  <w:footnote w:id="4">
    <w:p w:rsidR="0039603C" w:rsidRPr="00185251" w:rsidRDefault="0039603C" w:rsidP="000F5927">
      <w:pPr>
        <w:pStyle w:val="FootnoteText"/>
        <w:spacing w:after="120"/>
        <w:rPr>
          <w:sz w:val="22"/>
          <w:szCs w:val="22"/>
        </w:rPr>
      </w:pPr>
      <w:r>
        <w:rPr>
          <w:rStyle w:val="FootnoteReference"/>
        </w:rPr>
        <w:footnoteRef/>
      </w:r>
      <w:r>
        <w:t xml:space="preserve">  </w:t>
      </w:r>
      <w:r w:rsidRPr="00185251">
        <w:rPr>
          <w:sz w:val="22"/>
          <w:szCs w:val="22"/>
        </w:rPr>
        <w:t xml:space="preserve">D.10-12-048, </w:t>
      </w:r>
      <w:r w:rsidRPr="00185251">
        <w:rPr>
          <w:rFonts w:ascii="Book Antiqua" w:hAnsi="Book Antiqua"/>
          <w:sz w:val="22"/>
          <w:szCs w:val="22"/>
        </w:rPr>
        <w:t>§</w:t>
      </w:r>
      <w:r w:rsidRPr="00185251">
        <w:rPr>
          <w:sz w:val="22"/>
          <w:szCs w:val="22"/>
        </w:rPr>
        <w:t xml:space="preserve"> 9.2.1.2, p. 51. </w:t>
      </w:r>
    </w:p>
  </w:footnote>
  <w:footnote w:id="5">
    <w:p w:rsidR="0039603C" w:rsidRPr="00185251" w:rsidRDefault="0039603C" w:rsidP="000F5927">
      <w:pPr>
        <w:pStyle w:val="FootnoteText"/>
        <w:spacing w:after="120"/>
        <w:rPr>
          <w:sz w:val="22"/>
          <w:szCs w:val="22"/>
        </w:rPr>
      </w:pPr>
      <w:r>
        <w:rPr>
          <w:rStyle w:val="FootnoteReference"/>
        </w:rPr>
        <w:footnoteRef/>
      </w:r>
      <w:r>
        <w:t xml:space="preserve">  </w:t>
      </w:r>
      <w:r w:rsidRPr="00185251">
        <w:rPr>
          <w:i/>
          <w:sz w:val="22"/>
          <w:szCs w:val="22"/>
        </w:rPr>
        <w:t>Id</w:t>
      </w:r>
      <w:r w:rsidRPr="00185251">
        <w:rPr>
          <w:sz w:val="22"/>
          <w:szCs w:val="22"/>
        </w:rPr>
        <w:t xml:space="preserve"> at 90.</w:t>
      </w:r>
    </w:p>
  </w:footnote>
  <w:footnote w:id="6">
    <w:p w:rsidR="0039603C" w:rsidRPr="00185251" w:rsidRDefault="0039603C" w:rsidP="000F5927">
      <w:pPr>
        <w:pStyle w:val="FootnoteText"/>
        <w:spacing w:after="120"/>
        <w:rPr>
          <w:sz w:val="22"/>
          <w:szCs w:val="22"/>
        </w:rPr>
      </w:pPr>
      <w:r>
        <w:rPr>
          <w:rStyle w:val="FootnoteReference"/>
        </w:rPr>
        <w:footnoteRef/>
      </w:r>
      <w:r>
        <w:t xml:space="preserve">  </w:t>
      </w:r>
      <w:r w:rsidRPr="00185251">
        <w:rPr>
          <w:sz w:val="22"/>
          <w:szCs w:val="22"/>
        </w:rPr>
        <w:t xml:space="preserve">Resolution E-4414, OP 18, p. 46. </w:t>
      </w:r>
    </w:p>
  </w:footnote>
  <w:footnote w:id="7">
    <w:p w:rsidR="0039603C" w:rsidRPr="00185251" w:rsidRDefault="0039603C" w:rsidP="000F5927">
      <w:pPr>
        <w:pStyle w:val="FootnoteText"/>
        <w:spacing w:after="120"/>
        <w:rPr>
          <w:sz w:val="22"/>
          <w:szCs w:val="22"/>
        </w:rPr>
      </w:pPr>
      <w:r>
        <w:rPr>
          <w:rStyle w:val="FootnoteReference"/>
        </w:rPr>
        <w:footnoteRef/>
      </w:r>
      <w:r>
        <w:t xml:space="preserve">  </w:t>
      </w:r>
      <w:r w:rsidRPr="00185251">
        <w:rPr>
          <w:sz w:val="22"/>
          <w:szCs w:val="22"/>
        </w:rPr>
        <w:t>Resolution E-4489, OP 5, p. 19.</w:t>
      </w:r>
    </w:p>
  </w:footnote>
  <w:footnote w:id="8">
    <w:p w:rsidR="0039603C" w:rsidRPr="00C01502" w:rsidRDefault="0039603C" w:rsidP="000F5927">
      <w:pPr>
        <w:pStyle w:val="FootnoteText"/>
        <w:spacing w:after="120"/>
      </w:pPr>
      <w:r>
        <w:rPr>
          <w:rStyle w:val="FootnoteReference"/>
        </w:rPr>
        <w:footnoteRef/>
      </w:r>
      <w:r>
        <w:t xml:space="preserve">  </w:t>
      </w:r>
      <w:r w:rsidRPr="00185251">
        <w:rPr>
          <w:i/>
          <w:sz w:val="22"/>
          <w:szCs w:val="22"/>
        </w:rPr>
        <w:t>Id</w:t>
      </w:r>
      <w:r w:rsidRPr="00185251">
        <w:rPr>
          <w:sz w:val="22"/>
          <w:szCs w:val="22"/>
        </w:rPr>
        <w:t xml:space="preserve"> at 18.</w:t>
      </w:r>
      <w:r>
        <w:t xml:space="preserve"> </w:t>
      </w:r>
    </w:p>
  </w:footnote>
  <w:footnote w:id="9">
    <w:p w:rsidR="0039603C" w:rsidRPr="00185251" w:rsidRDefault="0039603C" w:rsidP="00185251">
      <w:pPr>
        <w:pStyle w:val="FootnoteText"/>
        <w:spacing w:after="120"/>
        <w:rPr>
          <w:sz w:val="22"/>
          <w:szCs w:val="22"/>
        </w:rPr>
      </w:pPr>
      <w:r>
        <w:rPr>
          <w:rStyle w:val="FootnoteReference"/>
        </w:rPr>
        <w:footnoteRef/>
      </w:r>
      <w:r>
        <w:t xml:space="preserve"> </w:t>
      </w:r>
      <w:r w:rsidRPr="00185251">
        <w:rPr>
          <w:sz w:val="22"/>
          <w:szCs w:val="22"/>
        </w:rPr>
        <w:t xml:space="preserve">PG&amp;E advice letter 4365-E, p. 4. </w:t>
      </w:r>
    </w:p>
  </w:footnote>
  <w:footnote w:id="10">
    <w:p w:rsidR="0039603C" w:rsidRPr="00185251" w:rsidRDefault="0039603C" w:rsidP="00232DE2">
      <w:pPr>
        <w:pStyle w:val="FootnoteText"/>
        <w:spacing w:after="120"/>
        <w:rPr>
          <w:sz w:val="22"/>
          <w:szCs w:val="22"/>
        </w:rPr>
      </w:pPr>
      <w:r>
        <w:rPr>
          <w:rStyle w:val="FootnoteReference"/>
        </w:rPr>
        <w:footnoteRef/>
      </w:r>
      <w:r>
        <w:t xml:space="preserve">   </w:t>
      </w:r>
      <w:r w:rsidRPr="00185251">
        <w:rPr>
          <w:sz w:val="22"/>
          <w:szCs w:val="22"/>
        </w:rPr>
        <w:t>NextEra protest to AL 4365-E, p. 2.</w:t>
      </w:r>
    </w:p>
  </w:footnote>
  <w:footnote w:id="11">
    <w:p w:rsidR="0039603C" w:rsidRPr="00185251" w:rsidRDefault="0039603C" w:rsidP="00232DE2">
      <w:pPr>
        <w:pStyle w:val="FootnoteText"/>
        <w:spacing w:after="120"/>
        <w:rPr>
          <w:sz w:val="22"/>
          <w:szCs w:val="22"/>
        </w:rPr>
      </w:pPr>
      <w:r>
        <w:rPr>
          <w:rStyle w:val="FootnoteReference"/>
        </w:rPr>
        <w:footnoteRef/>
      </w:r>
      <w:r>
        <w:t xml:space="preserve"> </w:t>
      </w:r>
      <w:r w:rsidRPr="00185251">
        <w:rPr>
          <w:sz w:val="22"/>
          <w:szCs w:val="22"/>
        </w:rPr>
        <w:t>PG&amp;E reply, p. 2.</w:t>
      </w:r>
    </w:p>
  </w:footnote>
  <w:footnote w:id="12">
    <w:p w:rsidR="0039603C" w:rsidRPr="00185251" w:rsidRDefault="0039603C" w:rsidP="002D7B30">
      <w:pPr>
        <w:pStyle w:val="FootnoteText"/>
        <w:spacing w:after="120"/>
        <w:rPr>
          <w:sz w:val="22"/>
          <w:szCs w:val="22"/>
        </w:rPr>
      </w:pPr>
      <w:r>
        <w:rPr>
          <w:rStyle w:val="FootnoteReference"/>
        </w:rPr>
        <w:footnoteRef/>
      </w:r>
      <w:r>
        <w:t xml:space="preserve">  </w:t>
      </w:r>
      <w:r w:rsidRPr="00185251">
        <w:rPr>
          <w:sz w:val="22"/>
          <w:szCs w:val="22"/>
        </w:rPr>
        <w:t xml:space="preserve">D.10-12-048, </w:t>
      </w:r>
      <w:r w:rsidRPr="00185251">
        <w:rPr>
          <w:rFonts w:ascii="Book Antiqua" w:hAnsi="Book Antiqua"/>
          <w:sz w:val="22"/>
          <w:szCs w:val="22"/>
        </w:rPr>
        <w:t>§</w:t>
      </w:r>
      <w:r w:rsidRPr="00185251">
        <w:rPr>
          <w:sz w:val="22"/>
          <w:szCs w:val="22"/>
        </w:rPr>
        <w:t xml:space="preserve"> 9.2.1.2, p. 51. </w:t>
      </w:r>
    </w:p>
  </w:footnote>
  <w:footnote w:id="13">
    <w:p w:rsidR="0039603C" w:rsidRPr="00185251" w:rsidRDefault="0039603C" w:rsidP="002D7B30">
      <w:pPr>
        <w:pStyle w:val="FootnoteText"/>
        <w:spacing w:after="120"/>
        <w:rPr>
          <w:sz w:val="22"/>
          <w:szCs w:val="22"/>
        </w:rPr>
      </w:pPr>
      <w:r>
        <w:rPr>
          <w:rStyle w:val="FootnoteReference"/>
        </w:rPr>
        <w:footnoteRef/>
      </w:r>
      <w:r>
        <w:t xml:space="preserve">  </w:t>
      </w:r>
      <w:r w:rsidRPr="00185251">
        <w:rPr>
          <w:i/>
          <w:sz w:val="22"/>
          <w:szCs w:val="22"/>
        </w:rPr>
        <w:t>Id</w:t>
      </w:r>
      <w:r w:rsidRPr="00185251">
        <w:rPr>
          <w:sz w:val="22"/>
          <w:szCs w:val="22"/>
        </w:rPr>
        <w:t xml:space="preserve"> at 68.</w:t>
      </w:r>
    </w:p>
  </w:footnote>
  <w:footnote w:id="14">
    <w:p w:rsidR="0039603C" w:rsidRPr="00185251" w:rsidRDefault="0039603C" w:rsidP="002D7B30">
      <w:pPr>
        <w:pStyle w:val="FootnoteText"/>
        <w:spacing w:after="120"/>
        <w:rPr>
          <w:sz w:val="22"/>
          <w:szCs w:val="22"/>
        </w:rPr>
      </w:pPr>
      <w:r>
        <w:rPr>
          <w:rStyle w:val="FootnoteReference"/>
        </w:rPr>
        <w:footnoteRef/>
      </w:r>
      <w:r>
        <w:t xml:space="preserve">  </w:t>
      </w:r>
      <w:r w:rsidRPr="00185251">
        <w:rPr>
          <w:sz w:val="22"/>
          <w:szCs w:val="22"/>
        </w:rPr>
        <w:t xml:space="preserve">Resolution E-4414, p. 13. </w:t>
      </w:r>
    </w:p>
  </w:footnote>
  <w:footnote w:id="15">
    <w:p w:rsidR="0039603C" w:rsidRPr="003E694D" w:rsidRDefault="0039603C" w:rsidP="00232DE2">
      <w:pPr>
        <w:pStyle w:val="FootnoteText"/>
        <w:spacing w:after="120"/>
        <w:rPr>
          <w:sz w:val="22"/>
          <w:szCs w:val="22"/>
        </w:rPr>
      </w:pPr>
      <w:r>
        <w:rPr>
          <w:rStyle w:val="FootnoteReference"/>
        </w:rPr>
        <w:footnoteRef/>
      </w:r>
      <w:r>
        <w:t xml:space="preserve"> </w:t>
      </w:r>
      <w:r w:rsidRPr="003E694D">
        <w:rPr>
          <w:sz w:val="22"/>
          <w:szCs w:val="22"/>
        </w:rPr>
        <w:t>PG&amp;E advice letter 4365-E, p. 5.</w:t>
      </w:r>
    </w:p>
  </w:footnote>
  <w:footnote w:id="16">
    <w:p w:rsidR="0039603C" w:rsidRDefault="0039603C" w:rsidP="00232DE2">
      <w:pPr>
        <w:pStyle w:val="FootnoteText"/>
        <w:spacing w:after="120"/>
      </w:pPr>
      <w:r>
        <w:rPr>
          <w:rStyle w:val="FootnoteReference"/>
        </w:rPr>
        <w:footnoteRef/>
      </w:r>
      <w:r>
        <w:t xml:space="preserve"> </w:t>
      </w:r>
      <w:r w:rsidRPr="003E694D">
        <w:rPr>
          <w:sz w:val="22"/>
          <w:szCs w:val="22"/>
        </w:rPr>
        <w:t>Clean Coalition protest, p. 4.</w:t>
      </w:r>
    </w:p>
  </w:footnote>
  <w:footnote w:id="17">
    <w:p w:rsidR="0039603C" w:rsidRPr="003E694D" w:rsidRDefault="0039603C" w:rsidP="00232DE2">
      <w:pPr>
        <w:pStyle w:val="FootnoteText"/>
        <w:spacing w:after="120"/>
        <w:rPr>
          <w:sz w:val="22"/>
          <w:szCs w:val="22"/>
        </w:rPr>
      </w:pPr>
      <w:r>
        <w:rPr>
          <w:rStyle w:val="FootnoteReference"/>
        </w:rPr>
        <w:footnoteRef/>
      </w:r>
      <w:r>
        <w:t xml:space="preserve"> </w:t>
      </w:r>
      <w:r w:rsidRPr="003E694D">
        <w:rPr>
          <w:sz w:val="22"/>
          <w:szCs w:val="22"/>
        </w:rPr>
        <w:t>NextEra protest to PG&amp;E AL 4365-E, p. 3.</w:t>
      </w:r>
    </w:p>
  </w:footnote>
  <w:footnote w:id="18">
    <w:p w:rsidR="0039603C" w:rsidRPr="003E694D" w:rsidRDefault="0039603C" w:rsidP="00232DE2">
      <w:pPr>
        <w:pStyle w:val="FootnoteText"/>
        <w:spacing w:after="120"/>
        <w:rPr>
          <w:sz w:val="22"/>
          <w:szCs w:val="22"/>
        </w:rPr>
      </w:pPr>
      <w:r>
        <w:rPr>
          <w:rStyle w:val="FootnoteReference"/>
        </w:rPr>
        <w:footnoteRef/>
      </w:r>
      <w:r>
        <w:t xml:space="preserve"> </w:t>
      </w:r>
      <w:r w:rsidRPr="003E694D">
        <w:rPr>
          <w:sz w:val="22"/>
          <w:szCs w:val="22"/>
        </w:rPr>
        <w:t>NextEra protest to SDG&amp;E AL 2580-E, p. 1.</w:t>
      </w:r>
    </w:p>
  </w:footnote>
  <w:footnote w:id="19">
    <w:p w:rsidR="0039603C" w:rsidRPr="003E694D" w:rsidRDefault="0039603C" w:rsidP="00232DE2">
      <w:pPr>
        <w:pStyle w:val="FootnoteText"/>
        <w:spacing w:after="120"/>
        <w:rPr>
          <w:sz w:val="22"/>
          <w:szCs w:val="22"/>
        </w:rPr>
      </w:pPr>
      <w:r>
        <w:rPr>
          <w:rStyle w:val="FootnoteReference"/>
        </w:rPr>
        <w:footnoteRef/>
      </w:r>
      <w:r>
        <w:t xml:space="preserve"> </w:t>
      </w:r>
      <w:r w:rsidRPr="003E694D">
        <w:rPr>
          <w:sz w:val="22"/>
          <w:szCs w:val="22"/>
        </w:rPr>
        <w:t>PG&amp;E reply, p. 4.</w:t>
      </w:r>
    </w:p>
  </w:footnote>
  <w:footnote w:id="20">
    <w:p w:rsidR="0039603C" w:rsidRPr="003E694D" w:rsidRDefault="0039603C" w:rsidP="00232DE2">
      <w:pPr>
        <w:pStyle w:val="FootnoteText"/>
        <w:spacing w:after="120"/>
        <w:rPr>
          <w:sz w:val="22"/>
          <w:szCs w:val="22"/>
        </w:rPr>
      </w:pPr>
      <w:r>
        <w:rPr>
          <w:rStyle w:val="FootnoteReference"/>
        </w:rPr>
        <w:footnoteRef/>
      </w:r>
      <w:r>
        <w:t xml:space="preserve"> </w:t>
      </w:r>
      <w:r w:rsidRPr="003E694D">
        <w:rPr>
          <w:sz w:val="22"/>
          <w:szCs w:val="22"/>
        </w:rPr>
        <w:t>SDG&amp;E reply, p. 3.</w:t>
      </w:r>
    </w:p>
  </w:footnote>
  <w:footnote w:id="21">
    <w:p w:rsidR="0039603C" w:rsidRDefault="0039603C" w:rsidP="000B45F4">
      <w:pPr>
        <w:pStyle w:val="FootnoteText"/>
        <w:spacing w:after="120"/>
      </w:pPr>
      <w:r>
        <w:rPr>
          <w:rStyle w:val="FootnoteReference"/>
        </w:rPr>
        <w:footnoteRef/>
      </w:r>
      <w:r>
        <w:t xml:space="preserve"> </w:t>
      </w:r>
      <w:r w:rsidRPr="000B45F4">
        <w:rPr>
          <w:sz w:val="22"/>
          <w:szCs w:val="22"/>
        </w:rPr>
        <w:t xml:space="preserve">On December 31, 2013, a Ruling was issued requesting comments on the RAM program regarding the review and potential extension of the RAM program. </w:t>
      </w:r>
      <w:hyperlink r:id="rId1" w:history="1">
        <w:r w:rsidRPr="000B45F4">
          <w:rPr>
            <w:rStyle w:val="Hyperlink"/>
            <w:sz w:val="22"/>
            <w:szCs w:val="22"/>
          </w:rPr>
          <w:t>http://docs.cpuc.ca.gov/PublishedDocs/Efile/G000/M084/K331/84331873.PDF</w:t>
        </w:r>
      </w:hyperlink>
      <w:r w:rsidRPr="000B45F4">
        <w:rPr>
          <w:sz w:val="22"/>
          <w:szCs w:val="22"/>
        </w:rPr>
        <w:t>.</w:t>
      </w:r>
      <w:r>
        <w:t xml:space="preserve"> </w:t>
      </w:r>
    </w:p>
  </w:footnote>
  <w:footnote w:id="22">
    <w:p w:rsidR="0039603C" w:rsidRPr="003E694D" w:rsidRDefault="0039603C" w:rsidP="0059383E">
      <w:pPr>
        <w:pStyle w:val="FootnoteText"/>
        <w:spacing w:after="120"/>
        <w:rPr>
          <w:sz w:val="22"/>
          <w:szCs w:val="22"/>
        </w:rPr>
      </w:pPr>
      <w:r>
        <w:rPr>
          <w:rStyle w:val="FootnoteReference"/>
        </w:rPr>
        <w:footnoteRef/>
      </w:r>
      <w:r>
        <w:t xml:space="preserve"> </w:t>
      </w:r>
      <w:r w:rsidRPr="003E694D">
        <w:rPr>
          <w:sz w:val="22"/>
          <w:szCs w:val="22"/>
        </w:rPr>
        <w:t>PG&amp;E advice letter, 4365-E, p. 6.</w:t>
      </w:r>
    </w:p>
  </w:footnote>
  <w:footnote w:id="23">
    <w:p w:rsidR="0039603C" w:rsidRPr="003E694D" w:rsidRDefault="0039603C" w:rsidP="003E694D">
      <w:pPr>
        <w:pStyle w:val="FootnoteText"/>
        <w:spacing w:after="120"/>
        <w:rPr>
          <w:sz w:val="22"/>
          <w:szCs w:val="22"/>
        </w:rPr>
      </w:pPr>
      <w:r>
        <w:rPr>
          <w:rStyle w:val="FootnoteReference"/>
        </w:rPr>
        <w:footnoteRef/>
      </w:r>
      <w:r>
        <w:t xml:space="preserve"> </w:t>
      </w:r>
      <w:r w:rsidRPr="003E694D">
        <w:rPr>
          <w:sz w:val="22"/>
          <w:szCs w:val="22"/>
        </w:rPr>
        <w:t>SCE advice letter 3003-E, p. 4. and SDG&amp;E advice letter 2580-E, p. 3.</w:t>
      </w:r>
    </w:p>
  </w:footnote>
  <w:footnote w:id="24">
    <w:p w:rsidR="0039603C" w:rsidRPr="003E694D" w:rsidRDefault="0039603C" w:rsidP="0059383E">
      <w:pPr>
        <w:pStyle w:val="FootnoteText"/>
        <w:spacing w:after="120"/>
        <w:rPr>
          <w:sz w:val="22"/>
          <w:szCs w:val="22"/>
        </w:rPr>
      </w:pPr>
      <w:r>
        <w:rPr>
          <w:rStyle w:val="FootnoteReference"/>
        </w:rPr>
        <w:footnoteRef/>
      </w:r>
      <w:r>
        <w:t xml:space="preserve"> </w:t>
      </w:r>
      <w:r w:rsidRPr="003E694D">
        <w:rPr>
          <w:sz w:val="22"/>
          <w:szCs w:val="22"/>
        </w:rPr>
        <w:t>SCE advice letter 3003-E, p. 4.</w:t>
      </w:r>
    </w:p>
  </w:footnote>
  <w:footnote w:id="25">
    <w:p w:rsidR="0039603C" w:rsidRPr="003E694D" w:rsidRDefault="0039603C" w:rsidP="0059383E">
      <w:pPr>
        <w:pStyle w:val="FootnoteText"/>
        <w:spacing w:after="120"/>
        <w:rPr>
          <w:sz w:val="22"/>
          <w:szCs w:val="22"/>
        </w:rPr>
      </w:pPr>
      <w:r>
        <w:rPr>
          <w:rStyle w:val="FootnoteReference"/>
        </w:rPr>
        <w:footnoteRef/>
      </w:r>
      <w:r>
        <w:t xml:space="preserve"> </w:t>
      </w:r>
      <w:r w:rsidRPr="003E694D">
        <w:rPr>
          <w:sz w:val="22"/>
          <w:szCs w:val="22"/>
        </w:rPr>
        <w:t>NextEra protest to SCE AL 3003-E, p. 1.</w:t>
      </w:r>
    </w:p>
  </w:footnote>
  <w:footnote w:id="26">
    <w:p w:rsidR="0039603C" w:rsidRPr="003E694D" w:rsidRDefault="0039603C" w:rsidP="0059383E">
      <w:pPr>
        <w:pStyle w:val="FootnoteText"/>
        <w:spacing w:after="120"/>
        <w:rPr>
          <w:sz w:val="22"/>
          <w:szCs w:val="22"/>
        </w:rPr>
      </w:pPr>
      <w:r>
        <w:rPr>
          <w:rStyle w:val="FootnoteReference"/>
        </w:rPr>
        <w:footnoteRef/>
      </w:r>
      <w:r>
        <w:t xml:space="preserve"> </w:t>
      </w:r>
      <w:r w:rsidRPr="003E694D">
        <w:rPr>
          <w:sz w:val="22"/>
          <w:szCs w:val="22"/>
        </w:rPr>
        <w:t>Proposed revised Section 3.17(a):</w:t>
      </w:r>
    </w:p>
    <w:p w:rsidR="0039603C" w:rsidRPr="003E694D" w:rsidRDefault="0039603C" w:rsidP="003E694D">
      <w:pPr>
        <w:pStyle w:val="FootnoteText"/>
        <w:numPr>
          <w:ilvl w:val="0"/>
          <w:numId w:val="42"/>
        </w:numPr>
        <w:spacing w:after="120"/>
        <w:rPr>
          <w:sz w:val="22"/>
          <w:szCs w:val="22"/>
        </w:rPr>
      </w:pPr>
      <w:r w:rsidRPr="003E694D">
        <w:rPr>
          <w:sz w:val="22"/>
          <w:szCs w:val="22"/>
        </w:rPr>
        <w:t>Within ten (10) Business Days of receipt thereof, copies of any Interconnection Study or the interconnection agreement tendered to  Seller by the Transmission Provider and, concurrently with the provision of the first Interconnection Study or interconnection agreement tendered to Seller by the Transmission Provider that may give rise to a termination right of SCE under Section 2.03(a)(iii). Within sixty (60) Business Days of receipt thereof, seller shall also provide SCE a Notice of its irrevocable election to exercise or not exercise its right to assume financial responsibility for any Excess Network Upgrade Costs pursuant to Section 2.03(a)(iii), with a failure to provide such an election deemed to be an election not to exercise such rights.</w:t>
      </w:r>
    </w:p>
  </w:footnote>
  <w:footnote w:id="27">
    <w:p w:rsidR="0039603C" w:rsidRPr="003E694D" w:rsidRDefault="0039603C" w:rsidP="003E694D">
      <w:pPr>
        <w:pStyle w:val="FootnoteText"/>
        <w:spacing w:after="120"/>
        <w:rPr>
          <w:sz w:val="22"/>
          <w:szCs w:val="22"/>
        </w:rPr>
      </w:pPr>
      <w:r>
        <w:rPr>
          <w:rStyle w:val="FootnoteReference"/>
        </w:rPr>
        <w:footnoteRef/>
      </w:r>
      <w:r>
        <w:t xml:space="preserve"> </w:t>
      </w:r>
      <w:r w:rsidRPr="003E694D">
        <w:rPr>
          <w:sz w:val="22"/>
          <w:szCs w:val="22"/>
        </w:rPr>
        <w:t>SDG&amp;E advice letter 2850-E, p. 4.</w:t>
      </w:r>
    </w:p>
  </w:footnote>
  <w:footnote w:id="28">
    <w:p w:rsidR="0039603C" w:rsidRPr="003E694D" w:rsidRDefault="0039603C" w:rsidP="0059383E">
      <w:pPr>
        <w:pStyle w:val="FootnoteText"/>
        <w:spacing w:after="120"/>
        <w:rPr>
          <w:sz w:val="22"/>
          <w:szCs w:val="22"/>
        </w:rPr>
      </w:pPr>
      <w:r>
        <w:rPr>
          <w:rStyle w:val="FootnoteReference"/>
        </w:rPr>
        <w:footnoteRef/>
      </w:r>
      <w:r>
        <w:t xml:space="preserve"> </w:t>
      </w:r>
      <w:r w:rsidRPr="003E694D">
        <w:rPr>
          <w:sz w:val="22"/>
          <w:szCs w:val="22"/>
        </w:rPr>
        <w:t>SCE advice letter 3003-E, p. 5.</w:t>
      </w:r>
    </w:p>
  </w:footnote>
  <w:footnote w:id="29">
    <w:p w:rsidR="0039603C" w:rsidRDefault="0039603C" w:rsidP="0059383E">
      <w:pPr>
        <w:pStyle w:val="FootnoteText"/>
        <w:spacing w:after="120"/>
      </w:pPr>
      <w:r>
        <w:rPr>
          <w:rStyle w:val="FootnoteReference"/>
        </w:rPr>
        <w:footnoteRef/>
      </w:r>
      <w:r>
        <w:t xml:space="preserve"> </w:t>
      </w:r>
      <w:r w:rsidRPr="003E694D">
        <w:rPr>
          <w:sz w:val="22"/>
          <w:szCs w:val="22"/>
        </w:rPr>
        <w:t>NextEra protest to SCE AL 3003-E, p. 2.</w:t>
      </w:r>
    </w:p>
  </w:footnote>
  <w:footnote w:id="30">
    <w:p w:rsidR="0039603C" w:rsidRPr="003E694D" w:rsidRDefault="0039603C" w:rsidP="0059383E">
      <w:pPr>
        <w:pStyle w:val="FootnoteText"/>
        <w:spacing w:after="120"/>
        <w:rPr>
          <w:sz w:val="22"/>
          <w:szCs w:val="22"/>
        </w:rPr>
      </w:pPr>
      <w:r>
        <w:rPr>
          <w:rStyle w:val="FootnoteReference"/>
        </w:rPr>
        <w:footnoteRef/>
      </w:r>
      <w:r>
        <w:t xml:space="preserve"> </w:t>
      </w:r>
      <w:r w:rsidRPr="003E694D">
        <w:rPr>
          <w:sz w:val="22"/>
          <w:szCs w:val="22"/>
        </w:rPr>
        <w:t>NDEC protest, p. 2.</w:t>
      </w:r>
    </w:p>
  </w:footnote>
  <w:footnote w:id="31">
    <w:p w:rsidR="0039603C" w:rsidRPr="003E694D" w:rsidRDefault="0039603C" w:rsidP="0059383E">
      <w:pPr>
        <w:pStyle w:val="FootnoteText"/>
        <w:spacing w:after="120"/>
        <w:rPr>
          <w:sz w:val="22"/>
          <w:szCs w:val="22"/>
        </w:rPr>
      </w:pPr>
      <w:r>
        <w:rPr>
          <w:rStyle w:val="FootnoteReference"/>
        </w:rPr>
        <w:footnoteRef/>
      </w:r>
      <w:r>
        <w:t xml:space="preserve"> </w:t>
      </w:r>
      <w:r w:rsidRPr="003E694D">
        <w:rPr>
          <w:sz w:val="22"/>
          <w:szCs w:val="22"/>
        </w:rPr>
        <w:t>SCE reply, p. 2.</w:t>
      </w:r>
    </w:p>
  </w:footnote>
  <w:footnote w:id="32">
    <w:p w:rsidR="0039603C" w:rsidRPr="003E694D" w:rsidRDefault="0039603C" w:rsidP="0059383E">
      <w:pPr>
        <w:pStyle w:val="FootnoteText"/>
        <w:spacing w:after="120"/>
        <w:rPr>
          <w:sz w:val="22"/>
          <w:szCs w:val="22"/>
        </w:rPr>
      </w:pPr>
      <w:r>
        <w:rPr>
          <w:rStyle w:val="FootnoteReference"/>
        </w:rPr>
        <w:footnoteRef/>
      </w:r>
      <w:r>
        <w:t xml:space="preserve"> </w:t>
      </w:r>
      <w:r w:rsidRPr="003E694D">
        <w:rPr>
          <w:sz w:val="22"/>
          <w:szCs w:val="22"/>
        </w:rPr>
        <w:t>PG&amp;E advice letter 4365-E, p. 3.</w:t>
      </w:r>
    </w:p>
  </w:footnote>
  <w:footnote w:id="33">
    <w:p w:rsidR="0039603C" w:rsidRPr="003E694D" w:rsidRDefault="0039603C" w:rsidP="0059383E">
      <w:pPr>
        <w:pStyle w:val="FootnoteText"/>
        <w:spacing w:after="120"/>
        <w:rPr>
          <w:sz w:val="22"/>
          <w:szCs w:val="22"/>
        </w:rPr>
      </w:pPr>
      <w:r>
        <w:rPr>
          <w:rStyle w:val="FootnoteReference"/>
        </w:rPr>
        <w:footnoteRef/>
      </w:r>
      <w:r>
        <w:t xml:space="preserve"> </w:t>
      </w:r>
      <w:r w:rsidRPr="003E694D">
        <w:rPr>
          <w:sz w:val="22"/>
          <w:szCs w:val="22"/>
        </w:rPr>
        <w:t>NextEra protest to PG&amp;E AL 4365-E, p. 1.</w:t>
      </w:r>
    </w:p>
  </w:footnote>
  <w:footnote w:id="34">
    <w:p w:rsidR="0039603C" w:rsidRPr="003E694D" w:rsidRDefault="0039603C" w:rsidP="0059383E">
      <w:pPr>
        <w:pStyle w:val="FootnoteText"/>
        <w:spacing w:after="120"/>
        <w:rPr>
          <w:sz w:val="22"/>
          <w:szCs w:val="22"/>
        </w:rPr>
      </w:pPr>
      <w:r>
        <w:rPr>
          <w:rStyle w:val="FootnoteReference"/>
        </w:rPr>
        <w:footnoteRef/>
      </w:r>
      <w:r>
        <w:t xml:space="preserve"> </w:t>
      </w:r>
      <w:r w:rsidRPr="003E694D">
        <w:rPr>
          <w:sz w:val="22"/>
          <w:szCs w:val="22"/>
        </w:rPr>
        <w:t>D.11-04-030.</w:t>
      </w:r>
    </w:p>
  </w:footnote>
  <w:footnote w:id="35">
    <w:p w:rsidR="0039603C" w:rsidRPr="003E694D" w:rsidRDefault="0039603C" w:rsidP="0059383E">
      <w:pPr>
        <w:pStyle w:val="FootnoteText"/>
        <w:spacing w:after="120"/>
        <w:rPr>
          <w:sz w:val="22"/>
          <w:szCs w:val="22"/>
        </w:rPr>
      </w:pPr>
      <w:r>
        <w:rPr>
          <w:rStyle w:val="FootnoteReference"/>
        </w:rPr>
        <w:footnoteRef/>
      </w:r>
      <w:r>
        <w:t xml:space="preserve"> </w:t>
      </w:r>
      <w:r w:rsidRPr="003E694D">
        <w:rPr>
          <w:sz w:val="22"/>
          <w:szCs w:val="22"/>
        </w:rPr>
        <w:t>SCE advice letter 3003-E, p. 7.</w:t>
      </w:r>
    </w:p>
  </w:footnote>
  <w:footnote w:id="36">
    <w:p w:rsidR="0039603C" w:rsidRPr="003E694D" w:rsidRDefault="0039603C" w:rsidP="0059383E">
      <w:pPr>
        <w:pStyle w:val="FootnoteText"/>
        <w:spacing w:after="120"/>
        <w:rPr>
          <w:sz w:val="22"/>
          <w:szCs w:val="22"/>
        </w:rPr>
      </w:pPr>
      <w:r>
        <w:rPr>
          <w:rStyle w:val="FootnoteReference"/>
        </w:rPr>
        <w:footnoteRef/>
      </w:r>
      <w:r>
        <w:t xml:space="preserve"> </w:t>
      </w:r>
      <w:r w:rsidRPr="003E694D">
        <w:rPr>
          <w:sz w:val="22"/>
          <w:szCs w:val="22"/>
        </w:rPr>
        <w:t>Infigen response, p. 1.</w:t>
      </w:r>
    </w:p>
  </w:footnote>
  <w:footnote w:id="37">
    <w:p w:rsidR="0039603C" w:rsidRPr="003E694D" w:rsidRDefault="0039603C" w:rsidP="0059383E">
      <w:pPr>
        <w:pStyle w:val="FootnoteText"/>
        <w:spacing w:after="120"/>
        <w:rPr>
          <w:sz w:val="22"/>
          <w:szCs w:val="22"/>
        </w:rPr>
      </w:pPr>
      <w:r>
        <w:rPr>
          <w:rStyle w:val="FootnoteReference"/>
        </w:rPr>
        <w:footnoteRef/>
      </w:r>
      <w:r>
        <w:t xml:space="preserve"> </w:t>
      </w:r>
      <w:r w:rsidRPr="003E694D">
        <w:rPr>
          <w:sz w:val="22"/>
          <w:szCs w:val="22"/>
        </w:rPr>
        <w:t>NextEra protest to SCE AL 3003-E, p. 2.</w:t>
      </w:r>
    </w:p>
  </w:footnote>
  <w:footnote w:id="38">
    <w:p w:rsidR="0039603C" w:rsidRPr="003E694D" w:rsidRDefault="0039603C" w:rsidP="0059383E">
      <w:pPr>
        <w:pStyle w:val="FootnoteText"/>
        <w:spacing w:after="120"/>
        <w:rPr>
          <w:sz w:val="22"/>
          <w:szCs w:val="22"/>
        </w:rPr>
      </w:pPr>
      <w:r>
        <w:rPr>
          <w:rStyle w:val="FootnoteReference"/>
        </w:rPr>
        <w:footnoteRef/>
      </w:r>
      <w:r>
        <w:t xml:space="preserve"> </w:t>
      </w:r>
      <w:r w:rsidRPr="003E694D">
        <w:rPr>
          <w:i/>
          <w:sz w:val="22"/>
          <w:szCs w:val="22"/>
        </w:rPr>
        <w:t>Ibid</w:t>
      </w:r>
      <w:r w:rsidRPr="003E694D">
        <w:rPr>
          <w:sz w:val="22"/>
          <w:szCs w:val="22"/>
        </w:rPr>
        <w:t>, p. 3.</w:t>
      </w:r>
    </w:p>
  </w:footnote>
  <w:footnote w:id="39">
    <w:p w:rsidR="0039603C" w:rsidRDefault="0039603C" w:rsidP="00C04758">
      <w:pPr>
        <w:pStyle w:val="FootnoteText"/>
        <w:spacing w:after="120"/>
      </w:pPr>
      <w:r>
        <w:rPr>
          <w:rStyle w:val="FootnoteReference"/>
        </w:rPr>
        <w:footnoteRef/>
      </w:r>
      <w:r>
        <w:t xml:space="preserve"> </w:t>
      </w:r>
      <w:r w:rsidRPr="003E694D">
        <w:rPr>
          <w:sz w:val="22"/>
          <w:szCs w:val="22"/>
        </w:rPr>
        <w:t>Revised proposed SCE RAM pro forma PPA, Section 3.02:</w:t>
      </w:r>
    </w:p>
    <w:p w:rsidR="0039603C" w:rsidRPr="003E694D" w:rsidRDefault="0039603C" w:rsidP="00C04758">
      <w:pPr>
        <w:autoSpaceDE w:val="0"/>
        <w:autoSpaceDN w:val="0"/>
        <w:adjustRightInd w:val="0"/>
        <w:rPr>
          <w:rFonts w:ascii="CenturySchoolbook,Italic" w:hAnsi="CenturySchoolbook,Italic" w:cs="CenturySchoolbook,Italic"/>
          <w:i/>
          <w:iCs/>
          <w:color w:val="0000FF"/>
          <w:sz w:val="22"/>
          <w:szCs w:val="22"/>
        </w:rPr>
      </w:pPr>
      <w:r w:rsidRPr="003E694D">
        <w:rPr>
          <w:rFonts w:ascii="CenturySchoolbook,Italic" w:hAnsi="CenturySchoolbook,Italic" w:cs="CenturySchoolbook,Italic"/>
          <w:i/>
          <w:iCs/>
          <w:color w:val="0000FF"/>
          <w:sz w:val="22"/>
          <w:szCs w:val="22"/>
        </w:rPr>
        <w:t>{SCE Comment: If Seller’s offer included the guaranteed delivery of Resource Adequacy Benefits.}</w:t>
      </w:r>
    </w:p>
    <w:p w:rsidR="0039603C" w:rsidRPr="003E694D" w:rsidRDefault="0039603C" w:rsidP="003E694D">
      <w:pPr>
        <w:autoSpaceDE w:val="0"/>
        <w:autoSpaceDN w:val="0"/>
        <w:adjustRightInd w:val="0"/>
        <w:rPr>
          <w:rFonts w:ascii="CenturySchoolbook" w:hAnsi="CenturySchoolbook" w:cs="CenturySchoolbook"/>
          <w:color w:val="000000"/>
          <w:sz w:val="22"/>
          <w:szCs w:val="22"/>
        </w:rPr>
      </w:pPr>
      <w:r w:rsidRPr="003E694D">
        <w:rPr>
          <w:rFonts w:ascii="CenturySchoolbook" w:hAnsi="CenturySchoolbook" w:cs="CenturySchoolbook"/>
          <w:color w:val="000000"/>
          <w:sz w:val="22"/>
          <w:szCs w:val="22"/>
        </w:rPr>
        <w:t xml:space="preserve">Commencing on the </w:t>
      </w:r>
      <w:r w:rsidRPr="003E694D">
        <w:rPr>
          <w:rFonts w:ascii="CenturySchoolbook,Italic" w:hAnsi="CenturySchoolbook,Italic" w:cs="CenturySchoolbook,Italic"/>
          <w:i/>
          <w:iCs/>
          <w:color w:val="0000FF"/>
          <w:sz w:val="22"/>
          <w:szCs w:val="22"/>
        </w:rPr>
        <w:t xml:space="preserve">[later of] </w:t>
      </w:r>
      <w:r w:rsidRPr="003E694D">
        <w:rPr>
          <w:rFonts w:ascii="CenturySchoolbook" w:hAnsi="CenturySchoolbook" w:cs="CenturySchoolbook"/>
          <w:color w:val="000000"/>
          <w:sz w:val="22"/>
          <w:szCs w:val="22"/>
        </w:rPr>
        <w:t xml:space="preserve">the Commercial Operation Date </w:t>
      </w:r>
      <w:r w:rsidRPr="003E694D">
        <w:rPr>
          <w:rFonts w:ascii="CenturySchoolbook,Italic" w:hAnsi="CenturySchoolbook,Italic" w:cs="CenturySchoolbook,Italic"/>
          <w:i/>
          <w:iCs/>
          <w:color w:val="0000FF"/>
          <w:sz w:val="22"/>
          <w:szCs w:val="22"/>
        </w:rPr>
        <w:t xml:space="preserve">[and the Date bid as the RA Guarantee Date] </w:t>
      </w:r>
      <w:r w:rsidRPr="003E694D">
        <w:rPr>
          <w:rFonts w:ascii="CenturySchoolbook" w:hAnsi="CenturySchoolbook" w:cs="CenturySchoolbook"/>
          <w:color w:val="000000"/>
          <w:sz w:val="22"/>
          <w:szCs w:val="22"/>
        </w:rPr>
        <w:t>(</w:t>
      </w:r>
      <w:r w:rsidRPr="003E694D">
        <w:rPr>
          <w:rFonts w:ascii="CenturySchoolbook,Italic" w:hAnsi="CenturySchoolbook,Italic" w:cs="CenturySchoolbook,Italic"/>
          <w:i/>
          <w:iCs/>
          <w:color w:val="0000FF"/>
          <w:sz w:val="22"/>
          <w:szCs w:val="22"/>
        </w:rPr>
        <w:t xml:space="preserve">[such later date,] </w:t>
      </w:r>
      <w:r w:rsidRPr="003E694D">
        <w:rPr>
          <w:rFonts w:ascii="CenturySchoolbook" w:hAnsi="CenturySchoolbook" w:cs="CenturySchoolbook"/>
          <w:color w:val="000000"/>
          <w:sz w:val="22"/>
          <w:szCs w:val="22"/>
        </w:rPr>
        <w:t>the “RA Guarantee Date”) and throughout the</w:t>
      </w:r>
      <w:r>
        <w:rPr>
          <w:rFonts w:ascii="CenturySchoolbook" w:hAnsi="CenturySchoolbook" w:cs="CenturySchoolbook"/>
          <w:color w:val="000000"/>
          <w:sz w:val="24"/>
          <w:szCs w:val="24"/>
        </w:rPr>
        <w:t xml:space="preserve"> </w:t>
      </w:r>
      <w:r>
        <w:rPr>
          <w:rFonts w:ascii="CenturySchoolbook,Italic" w:hAnsi="CenturySchoolbook,Italic" w:cs="CenturySchoolbook,Italic"/>
          <w:i/>
          <w:iCs/>
          <w:color w:val="0000FF"/>
          <w:sz w:val="24"/>
          <w:szCs w:val="24"/>
        </w:rPr>
        <w:t xml:space="preserve">[remainder of the] </w:t>
      </w:r>
      <w:r>
        <w:rPr>
          <w:rFonts w:ascii="CenturySchoolbook,Italic" w:hAnsi="CenturySchoolbook,Italic" w:cs="CenturySchoolbook,Italic"/>
          <w:i/>
          <w:iCs/>
          <w:color w:val="0000FF"/>
          <w:sz w:val="24"/>
          <w:szCs w:val="24"/>
        </w:rPr>
        <w:br/>
        <w:t xml:space="preserve">{if Seller’s </w:t>
      </w:r>
      <w:r w:rsidRPr="003E694D">
        <w:rPr>
          <w:rFonts w:ascii="CenturySchoolbook,Italic" w:hAnsi="CenturySchoolbook,Italic" w:cs="CenturySchoolbook,Italic"/>
          <w:i/>
          <w:iCs/>
          <w:color w:val="0000FF"/>
          <w:sz w:val="22"/>
          <w:szCs w:val="22"/>
        </w:rPr>
        <w:t xml:space="preserve">offer included delivering Resource Adequacy Benefits commencing on a date later than the Commercial Operation Date} </w:t>
      </w:r>
      <w:r w:rsidRPr="003E694D">
        <w:rPr>
          <w:rFonts w:ascii="CenturySchoolbook" w:hAnsi="CenturySchoolbook" w:cs="CenturySchoolbook"/>
          <w:color w:val="000000"/>
          <w:sz w:val="22"/>
          <w:szCs w:val="22"/>
        </w:rPr>
        <w:t xml:space="preserve">Term, in each month, Seller shall pay to SCE an amount (the “RA Deficit Payments”) equal to the product of (a) the difference, expressed in kW, of (i) the Qualifying Capacity of the Generating Facility for the applicable month, minus (ii) the Net Qualifying Capacity of the Generating Facility for the applicable month, multiplied by (b) the then-current CPM Capacity price as listed in Section 43.7.1 of the CAISO Tariff or its equivalent successor (the “Multiplier”), expressed in </w:t>
      </w:r>
      <w:r>
        <w:rPr>
          <w:rFonts w:ascii="CenturySchoolbook" w:hAnsi="CenturySchoolbook" w:cs="CenturySchoolbook"/>
          <w:color w:val="000000"/>
          <w:sz w:val="22"/>
          <w:szCs w:val="22"/>
        </w:rPr>
        <w:br/>
      </w:r>
      <w:r w:rsidRPr="003E694D">
        <w:rPr>
          <w:rFonts w:ascii="CenturySchoolbook" w:hAnsi="CenturySchoolbook" w:cs="CenturySchoolbook"/>
          <w:color w:val="000000"/>
          <w:sz w:val="22"/>
          <w:szCs w:val="22"/>
        </w:rPr>
        <w:t>$/kW-month. Should the CPM Capacity price cease to be published by the CAISO and no equivalent successor is published, the Multiplier shall be equal to the last CPM Capacity price listed in the CAISO Tariff and escalated by two percent (2%) every twelve (12) months thereafter. In any event, the Multiplier may not exceed $120/kW-year.</w:t>
      </w:r>
    </w:p>
    <w:p w:rsidR="0039603C" w:rsidRPr="003E694D" w:rsidRDefault="0039603C" w:rsidP="00C04758">
      <w:pPr>
        <w:autoSpaceDE w:val="0"/>
        <w:autoSpaceDN w:val="0"/>
        <w:adjustRightInd w:val="0"/>
        <w:spacing w:after="120"/>
        <w:rPr>
          <w:sz w:val="22"/>
          <w:szCs w:val="22"/>
        </w:rPr>
      </w:pPr>
      <w:r w:rsidRPr="003E694D">
        <w:rPr>
          <w:rFonts w:ascii="CenturySchoolbook,Italic" w:hAnsi="CenturySchoolbook,Italic" w:cs="CenturySchoolbook,Italic"/>
          <w:i/>
          <w:iCs/>
          <w:color w:val="0000FF"/>
          <w:sz w:val="22"/>
          <w:szCs w:val="22"/>
        </w:rPr>
        <w:t>{SCE Comment: Only Generating Facilities providing guaranteed delivery of Resource Adequacy Benefits.}</w:t>
      </w:r>
    </w:p>
  </w:footnote>
  <w:footnote w:id="40">
    <w:p w:rsidR="0039603C" w:rsidRPr="003E694D" w:rsidRDefault="0039603C" w:rsidP="0059383E">
      <w:pPr>
        <w:pStyle w:val="FootnoteText"/>
        <w:spacing w:after="120"/>
        <w:rPr>
          <w:sz w:val="22"/>
          <w:szCs w:val="22"/>
        </w:rPr>
      </w:pPr>
      <w:r>
        <w:rPr>
          <w:rStyle w:val="FootnoteReference"/>
        </w:rPr>
        <w:footnoteRef/>
      </w:r>
      <w:r>
        <w:t xml:space="preserve"> </w:t>
      </w:r>
      <w:r w:rsidRPr="003E694D">
        <w:rPr>
          <w:sz w:val="22"/>
          <w:szCs w:val="22"/>
        </w:rPr>
        <w:t>SCE reply, p. 6.</w:t>
      </w:r>
    </w:p>
  </w:footnote>
  <w:footnote w:id="41">
    <w:p w:rsidR="0039603C" w:rsidRPr="003E694D" w:rsidRDefault="0039603C" w:rsidP="0059383E">
      <w:pPr>
        <w:pStyle w:val="FootnoteText"/>
        <w:spacing w:after="120"/>
        <w:rPr>
          <w:sz w:val="22"/>
          <w:szCs w:val="22"/>
        </w:rPr>
      </w:pPr>
      <w:r>
        <w:rPr>
          <w:rStyle w:val="FootnoteReference"/>
        </w:rPr>
        <w:footnoteRef/>
      </w:r>
      <w:r>
        <w:t xml:space="preserve"> </w:t>
      </w:r>
      <w:r w:rsidRPr="003E694D">
        <w:rPr>
          <w:sz w:val="22"/>
          <w:szCs w:val="22"/>
        </w:rPr>
        <w:t>PG&amp;E advice letter, p. 4.</w:t>
      </w:r>
    </w:p>
  </w:footnote>
  <w:footnote w:id="42">
    <w:p w:rsidR="0039603C" w:rsidRPr="003E694D" w:rsidRDefault="0039603C" w:rsidP="0059383E">
      <w:pPr>
        <w:pStyle w:val="FootnoteText"/>
        <w:spacing w:after="120"/>
        <w:rPr>
          <w:sz w:val="22"/>
          <w:szCs w:val="22"/>
        </w:rPr>
      </w:pPr>
      <w:r>
        <w:rPr>
          <w:rStyle w:val="FootnoteReference"/>
        </w:rPr>
        <w:footnoteRef/>
      </w:r>
      <w:r>
        <w:t xml:space="preserve"> </w:t>
      </w:r>
      <w:r w:rsidRPr="003E694D">
        <w:rPr>
          <w:sz w:val="22"/>
          <w:szCs w:val="22"/>
        </w:rPr>
        <w:t>NextEra protest to PG&amp;E AL 4365-E, p. 2.</w:t>
      </w:r>
    </w:p>
  </w:footnote>
  <w:footnote w:id="43">
    <w:p w:rsidR="0039603C" w:rsidRPr="00DA4F73" w:rsidRDefault="0039603C" w:rsidP="0059383E">
      <w:pPr>
        <w:pStyle w:val="FootnoteText"/>
        <w:spacing w:after="120"/>
        <w:rPr>
          <w:sz w:val="22"/>
          <w:szCs w:val="22"/>
        </w:rPr>
      </w:pPr>
      <w:r>
        <w:rPr>
          <w:rStyle w:val="FootnoteReference"/>
        </w:rPr>
        <w:footnoteRef/>
      </w:r>
      <w:r>
        <w:t xml:space="preserve"> </w:t>
      </w:r>
      <w:r w:rsidRPr="00DA4F73">
        <w:rPr>
          <w:sz w:val="22"/>
          <w:szCs w:val="22"/>
        </w:rPr>
        <w:t>SCE advice letter 3003-E, p. 7.</w:t>
      </w:r>
    </w:p>
  </w:footnote>
  <w:footnote w:id="44">
    <w:p w:rsidR="0039603C" w:rsidRPr="00DA4F73" w:rsidRDefault="0039603C" w:rsidP="0059383E">
      <w:pPr>
        <w:pStyle w:val="FootnoteText"/>
        <w:spacing w:after="120"/>
        <w:rPr>
          <w:sz w:val="22"/>
          <w:szCs w:val="22"/>
        </w:rPr>
      </w:pPr>
      <w:r>
        <w:rPr>
          <w:rStyle w:val="FootnoteReference"/>
        </w:rPr>
        <w:footnoteRef/>
      </w:r>
      <w:r>
        <w:t xml:space="preserve"> </w:t>
      </w:r>
      <w:r w:rsidRPr="00DA4F73">
        <w:rPr>
          <w:sz w:val="22"/>
          <w:szCs w:val="22"/>
        </w:rPr>
        <w:t>PG&amp;E advice letter, p. 5.</w:t>
      </w:r>
    </w:p>
  </w:footnote>
  <w:footnote w:id="45">
    <w:p w:rsidR="0039603C" w:rsidRPr="00DA4F73" w:rsidRDefault="0039603C" w:rsidP="0059383E">
      <w:pPr>
        <w:pStyle w:val="FootnoteText"/>
        <w:spacing w:after="120"/>
        <w:rPr>
          <w:sz w:val="22"/>
          <w:szCs w:val="22"/>
        </w:rPr>
      </w:pPr>
      <w:r>
        <w:rPr>
          <w:rStyle w:val="FootnoteReference"/>
        </w:rPr>
        <w:footnoteRef/>
      </w:r>
      <w:r>
        <w:t xml:space="preserve"> </w:t>
      </w:r>
      <w:r w:rsidRPr="00DA4F73">
        <w:rPr>
          <w:sz w:val="22"/>
          <w:szCs w:val="22"/>
        </w:rPr>
        <w:t>PG&amp;E reply, p. 2.</w:t>
      </w:r>
    </w:p>
  </w:footnote>
  <w:footnote w:id="46">
    <w:p w:rsidR="0039603C" w:rsidRPr="00DA4F73" w:rsidRDefault="0039603C" w:rsidP="0059383E">
      <w:pPr>
        <w:pStyle w:val="FootnoteText"/>
        <w:spacing w:after="120"/>
        <w:rPr>
          <w:sz w:val="22"/>
          <w:szCs w:val="22"/>
        </w:rPr>
      </w:pPr>
      <w:r>
        <w:rPr>
          <w:rStyle w:val="FootnoteReference"/>
        </w:rPr>
        <w:footnoteRef/>
      </w:r>
      <w:r>
        <w:t xml:space="preserve"> </w:t>
      </w:r>
      <w:r w:rsidRPr="00DA4F73">
        <w:rPr>
          <w:sz w:val="22"/>
          <w:szCs w:val="22"/>
        </w:rPr>
        <w:t>SDG&amp;E advice letter 2580-E, p. 4.</w:t>
      </w:r>
    </w:p>
  </w:footnote>
  <w:footnote w:id="47">
    <w:p w:rsidR="0039603C" w:rsidRPr="00DA4F73" w:rsidRDefault="0039603C" w:rsidP="0059383E">
      <w:pPr>
        <w:pStyle w:val="FootnoteText"/>
        <w:spacing w:after="120"/>
        <w:rPr>
          <w:sz w:val="22"/>
          <w:szCs w:val="22"/>
        </w:rPr>
      </w:pPr>
      <w:r>
        <w:rPr>
          <w:rStyle w:val="FootnoteReference"/>
        </w:rPr>
        <w:footnoteRef/>
      </w:r>
      <w:r>
        <w:t xml:space="preserve"> </w:t>
      </w:r>
      <w:r w:rsidRPr="00DA4F73">
        <w:rPr>
          <w:sz w:val="22"/>
          <w:szCs w:val="22"/>
        </w:rPr>
        <w:t>NextEra protest to SCE AL 3003-E, p. 4 and protest to PG&amp;E AL 4365-E, p. 3.</w:t>
      </w:r>
    </w:p>
  </w:footnote>
  <w:footnote w:id="48">
    <w:p w:rsidR="0039603C" w:rsidRPr="00DA4F73" w:rsidRDefault="0039603C" w:rsidP="0059383E">
      <w:pPr>
        <w:pStyle w:val="FootnoteText"/>
        <w:spacing w:after="120"/>
        <w:rPr>
          <w:sz w:val="22"/>
          <w:szCs w:val="22"/>
        </w:rPr>
      </w:pPr>
      <w:r>
        <w:rPr>
          <w:rStyle w:val="FootnoteReference"/>
        </w:rPr>
        <w:footnoteRef/>
      </w:r>
      <w:r>
        <w:t xml:space="preserve"> </w:t>
      </w:r>
      <w:r w:rsidRPr="00DA4F73">
        <w:rPr>
          <w:sz w:val="22"/>
          <w:szCs w:val="22"/>
        </w:rPr>
        <w:t>PG&amp;E reply, p. 3.</w:t>
      </w:r>
    </w:p>
  </w:footnote>
  <w:footnote w:id="49">
    <w:p w:rsidR="0039603C" w:rsidRPr="00DA4F73" w:rsidRDefault="0039603C" w:rsidP="0059383E">
      <w:pPr>
        <w:pStyle w:val="FootnoteText"/>
        <w:spacing w:after="120"/>
        <w:rPr>
          <w:sz w:val="22"/>
          <w:szCs w:val="22"/>
        </w:rPr>
      </w:pPr>
      <w:r>
        <w:rPr>
          <w:rStyle w:val="FootnoteReference"/>
        </w:rPr>
        <w:footnoteRef/>
      </w:r>
      <w:r>
        <w:t xml:space="preserve"> </w:t>
      </w:r>
      <w:r w:rsidRPr="00DA4F73">
        <w:rPr>
          <w:sz w:val="22"/>
          <w:szCs w:val="22"/>
        </w:rPr>
        <w:t>NextEra protest to PG&amp;E AL 4365-E, p. 2.</w:t>
      </w:r>
    </w:p>
  </w:footnote>
  <w:footnote w:id="50">
    <w:p w:rsidR="0039603C" w:rsidRPr="00DA4F73" w:rsidRDefault="0039603C" w:rsidP="0059383E">
      <w:pPr>
        <w:pStyle w:val="FootnoteText"/>
        <w:spacing w:after="120"/>
        <w:rPr>
          <w:sz w:val="22"/>
          <w:szCs w:val="22"/>
        </w:rPr>
      </w:pPr>
      <w:r>
        <w:rPr>
          <w:rStyle w:val="FootnoteReference"/>
        </w:rPr>
        <w:footnoteRef/>
      </w:r>
      <w:r>
        <w:t xml:space="preserve"> </w:t>
      </w:r>
      <w:r w:rsidRPr="00DA4F73">
        <w:rPr>
          <w:i/>
          <w:sz w:val="22"/>
          <w:szCs w:val="22"/>
        </w:rPr>
        <w:t>Ibid.</w:t>
      </w:r>
      <w:r w:rsidRPr="00DA4F73">
        <w:rPr>
          <w:sz w:val="22"/>
          <w:szCs w:val="22"/>
        </w:rPr>
        <w:t xml:space="preserve"> p. 5.</w:t>
      </w:r>
    </w:p>
  </w:footnote>
  <w:footnote w:id="51">
    <w:p w:rsidR="0039603C" w:rsidRPr="00DA4F73" w:rsidRDefault="0039603C" w:rsidP="0059383E">
      <w:pPr>
        <w:pStyle w:val="FootnoteText"/>
        <w:spacing w:after="120"/>
        <w:rPr>
          <w:sz w:val="22"/>
          <w:szCs w:val="22"/>
        </w:rPr>
      </w:pPr>
      <w:r>
        <w:rPr>
          <w:rStyle w:val="FootnoteReference"/>
        </w:rPr>
        <w:footnoteRef/>
      </w:r>
      <w:r>
        <w:t xml:space="preserve"> </w:t>
      </w:r>
      <w:r w:rsidRPr="00DA4F73">
        <w:rPr>
          <w:sz w:val="22"/>
          <w:szCs w:val="22"/>
        </w:rPr>
        <w:t>SCE reply, p. 10.</w:t>
      </w:r>
    </w:p>
  </w:footnote>
  <w:footnote w:id="52">
    <w:p w:rsidR="0039603C" w:rsidRPr="00DA4F73" w:rsidRDefault="0039603C" w:rsidP="0059383E">
      <w:pPr>
        <w:pStyle w:val="FootnoteText"/>
        <w:spacing w:after="120"/>
        <w:rPr>
          <w:sz w:val="22"/>
          <w:szCs w:val="22"/>
        </w:rPr>
      </w:pPr>
      <w:r>
        <w:rPr>
          <w:rStyle w:val="FootnoteReference"/>
        </w:rPr>
        <w:footnoteRef/>
      </w:r>
      <w:r>
        <w:t xml:space="preserve"> </w:t>
      </w:r>
      <w:r w:rsidRPr="00DA4F73">
        <w:rPr>
          <w:sz w:val="22"/>
          <w:szCs w:val="22"/>
        </w:rPr>
        <w:t>NDEC protest, p. 3.</w:t>
      </w:r>
    </w:p>
  </w:footnote>
  <w:footnote w:id="53">
    <w:p w:rsidR="0039603C" w:rsidRPr="00DA4F73" w:rsidRDefault="0039603C" w:rsidP="00026DAB">
      <w:pPr>
        <w:pStyle w:val="FootnoteText"/>
        <w:spacing w:after="120"/>
        <w:rPr>
          <w:sz w:val="22"/>
          <w:szCs w:val="22"/>
        </w:rPr>
      </w:pPr>
      <w:r>
        <w:rPr>
          <w:rStyle w:val="FootnoteReference"/>
        </w:rPr>
        <w:footnoteRef/>
      </w:r>
      <w:r>
        <w:t xml:space="preserve"> </w:t>
      </w:r>
      <w:r w:rsidRPr="00DA4F73">
        <w:rPr>
          <w:sz w:val="22"/>
          <w:szCs w:val="22"/>
        </w:rPr>
        <w:t>NextEra protest to SCE AL 3003-E, p. 4.</w:t>
      </w:r>
    </w:p>
  </w:footnote>
  <w:footnote w:id="54">
    <w:p w:rsidR="0039603C" w:rsidRDefault="0039603C" w:rsidP="00026DAB">
      <w:pPr>
        <w:pStyle w:val="FootnoteText"/>
        <w:spacing w:after="120"/>
      </w:pPr>
      <w:r>
        <w:rPr>
          <w:rStyle w:val="FootnoteReference"/>
        </w:rPr>
        <w:footnoteRef/>
      </w:r>
      <w:r>
        <w:t xml:space="preserve"> </w:t>
      </w:r>
      <w:r w:rsidRPr="00DA4F73">
        <w:rPr>
          <w:sz w:val="22"/>
          <w:szCs w:val="22"/>
        </w:rPr>
        <w:t>Revised proposed Sections 10.11(c) and 10.11(d) of SCE’s RAM pro forma PPA:</w:t>
      </w:r>
    </w:p>
    <w:p w:rsidR="0039603C" w:rsidRPr="00DA4F73" w:rsidRDefault="0039603C" w:rsidP="00026DAB">
      <w:pPr>
        <w:pStyle w:val="FootnoteText"/>
        <w:spacing w:after="120"/>
        <w:ind w:left="1008" w:hanging="288"/>
        <w:rPr>
          <w:sz w:val="22"/>
          <w:szCs w:val="22"/>
        </w:rPr>
      </w:pPr>
      <w:r>
        <w:t xml:space="preserve">(c) </w:t>
      </w:r>
      <w:r w:rsidRPr="00DA4F73">
        <w:rPr>
          <w:sz w:val="22"/>
          <w:szCs w:val="22"/>
        </w:rPr>
        <w:t>All policies required by Sections 10.11(a)(i) through 10.11(a)(vi) shall be written “per project” or “per contract” basis.  If the Seller is unable to obtain such insurance on a “per project” or “per contract” basis then the Parties shall negotiate in good faith to specify mutually agreeable policies to be provided by the Seller.</w:t>
      </w:r>
    </w:p>
    <w:p w:rsidR="0039603C" w:rsidRPr="00DA4F73" w:rsidRDefault="0039603C" w:rsidP="00447317">
      <w:pPr>
        <w:pStyle w:val="FootnoteText"/>
        <w:ind w:left="1008" w:hanging="288"/>
        <w:rPr>
          <w:sz w:val="22"/>
          <w:szCs w:val="22"/>
        </w:rPr>
      </w:pPr>
      <w:r>
        <w:t xml:space="preserve">(d) </w:t>
      </w:r>
      <w:r w:rsidRPr="00DA4F73">
        <w:rPr>
          <w:sz w:val="22"/>
          <w:szCs w:val="22"/>
        </w:rPr>
        <w:t>Within ten (10) Business Days after the Effective Date, and within ten (10) Business Days after coverage is renewed or replaced, Seller shall furnish to SCE certificates of insurance evidencing the coverage required above, written</w:t>
      </w:r>
      <w:r>
        <w:t xml:space="preserve"> </w:t>
      </w:r>
      <w:r w:rsidRPr="00DA4F73">
        <w:rPr>
          <w:sz w:val="22"/>
          <w:szCs w:val="22"/>
        </w:rPr>
        <w:t>on forms and with deductibles reasonably acceptable to SCE.  Additionally, upon request of SCE, Seller shall provide to SCE policy forms, including endorsements within ten (10) Business Days from the date of SCE’s request.  All deductibles and co-insurance retentions applicable to the insurance above shall be paid by Seller. Seller, or its insurance broker or agent, shall provide SCE with at least thirty (30) days’ prior written notice in the event of cancellation of coverage. SCE’s receipt of certificates that do not comply with the requirements stated herein, or Seller’s failure to provide certificates, shall not limit or relieve Seller of the duties and responsibility of maintaining insurance in compliance with the requirements in this Section 10.11 and shall not constitute a waiver of any of the requirements in this Section 10.11.</w:t>
      </w:r>
    </w:p>
  </w:footnote>
  <w:footnote w:id="55">
    <w:p w:rsidR="0039603C" w:rsidRPr="00DA4F73" w:rsidRDefault="0039603C" w:rsidP="00026DAB">
      <w:pPr>
        <w:pStyle w:val="FootnoteText"/>
        <w:spacing w:after="120"/>
        <w:rPr>
          <w:sz w:val="22"/>
          <w:szCs w:val="22"/>
        </w:rPr>
      </w:pPr>
      <w:r>
        <w:rPr>
          <w:rStyle w:val="FootnoteReference"/>
        </w:rPr>
        <w:footnoteRef/>
      </w:r>
      <w:r>
        <w:t xml:space="preserve"> </w:t>
      </w:r>
      <w:r w:rsidRPr="00DA4F73">
        <w:rPr>
          <w:sz w:val="22"/>
          <w:szCs w:val="22"/>
        </w:rPr>
        <w:t>NextEra protest to PG&amp;E AL 4365-E, p. 4.</w:t>
      </w:r>
    </w:p>
  </w:footnote>
  <w:footnote w:id="56">
    <w:p w:rsidR="0039603C" w:rsidRPr="00DA4F73" w:rsidRDefault="0039603C" w:rsidP="00026DAB">
      <w:pPr>
        <w:pStyle w:val="FootnoteText"/>
        <w:spacing w:after="120"/>
        <w:rPr>
          <w:sz w:val="22"/>
          <w:szCs w:val="22"/>
        </w:rPr>
      </w:pPr>
      <w:r>
        <w:rPr>
          <w:rStyle w:val="FootnoteReference"/>
        </w:rPr>
        <w:footnoteRef/>
      </w:r>
      <w:r>
        <w:t xml:space="preserve"> </w:t>
      </w:r>
      <w:r w:rsidRPr="00DA4F73">
        <w:rPr>
          <w:sz w:val="22"/>
          <w:szCs w:val="22"/>
        </w:rPr>
        <w:t>PG&amp;E reply, p. 4.</w:t>
      </w:r>
    </w:p>
  </w:footnote>
  <w:footnote w:id="57">
    <w:p w:rsidR="0039603C" w:rsidRPr="00DA4F73" w:rsidRDefault="0039603C" w:rsidP="00026DAB">
      <w:pPr>
        <w:pStyle w:val="FootnoteText"/>
        <w:spacing w:after="120"/>
        <w:rPr>
          <w:sz w:val="22"/>
          <w:szCs w:val="22"/>
        </w:rPr>
      </w:pPr>
      <w:r>
        <w:rPr>
          <w:rStyle w:val="FootnoteReference"/>
        </w:rPr>
        <w:footnoteRef/>
      </w:r>
      <w:r>
        <w:t xml:space="preserve"> </w:t>
      </w:r>
      <w:r w:rsidRPr="00DA4F73">
        <w:rPr>
          <w:sz w:val="22"/>
          <w:szCs w:val="22"/>
        </w:rPr>
        <w:t>SCE advice letter 3003-E, p. 10 and SDG&amp;E advice letter 2850-E, p. 6.</w:t>
      </w:r>
    </w:p>
  </w:footnote>
  <w:footnote w:id="58">
    <w:p w:rsidR="0039603C" w:rsidRPr="00DA4F73" w:rsidRDefault="0039603C" w:rsidP="00026DAB">
      <w:pPr>
        <w:pStyle w:val="FootnoteText"/>
        <w:spacing w:after="120"/>
        <w:rPr>
          <w:sz w:val="22"/>
          <w:szCs w:val="22"/>
        </w:rPr>
      </w:pPr>
      <w:r>
        <w:rPr>
          <w:rStyle w:val="FootnoteReference"/>
        </w:rPr>
        <w:footnoteRef/>
      </w:r>
      <w:r>
        <w:t xml:space="preserve"> </w:t>
      </w:r>
      <w:r w:rsidRPr="00DA4F73">
        <w:rPr>
          <w:sz w:val="22"/>
          <w:szCs w:val="22"/>
        </w:rPr>
        <w:t>SCE’s proposed revised Section 2.05 of RAM protocol:</w:t>
      </w:r>
    </w:p>
    <w:p w:rsidR="0039603C" w:rsidRPr="00DA4F73" w:rsidRDefault="0039603C" w:rsidP="00026DAB">
      <w:pPr>
        <w:pStyle w:val="FootnoteText"/>
        <w:spacing w:after="120"/>
        <w:ind w:left="720"/>
        <w:rPr>
          <w:sz w:val="22"/>
          <w:szCs w:val="22"/>
        </w:rPr>
      </w:pPr>
      <w:r w:rsidRPr="00DA4F73">
        <w:rPr>
          <w:sz w:val="22"/>
          <w:szCs w:val="22"/>
        </w:rPr>
        <w:t xml:space="preserve">The maximum contract size for this RFO is 20 MW.  SCE will not enter into contracts with multiple projects that utilize the same interconnection queue number if the result would be a total of more than 20 MW under contract, whether through RAM or another program.  Similarly, if an Offeror bids multiple projects to RAM 5 that total more than </w:t>
      </w:r>
      <w:r>
        <w:rPr>
          <w:sz w:val="22"/>
          <w:szCs w:val="22"/>
        </w:rPr>
        <w:br/>
      </w:r>
      <w:r w:rsidRPr="00DA4F73">
        <w:rPr>
          <w:sz w:val="22"/>
          <w:szCs w:val="22"/>
        </w:rPr>
        <w:t>20 MW from the same queue position, SCE will consider only the offer(s) with the lowest PTAR score(s) until the next project will exceed 20 MW, and SCE will screen the other (s) out.</w:t>
      </w:r>
    </w:p>
  </w:footnote>
  <w:footnote w:id="59">
    <w:p w:rsidR="0039603C" w:rsidRPr="00DA4F73" w:rsidRDefault="0039603C" w:rsidP="00026DAB">
      <w:pPr>
        <w:pStyle w:val="FootnoteText"/>
        <w:spacing w:after="120"/>
        <w:rPr>
          <w:sz w:val="22"/>
          <w:szCs w:val="22"/>
        </w:rPr>
      </w:pPr>
      <w:r>
        <w:rPr>
          <w:rStyle w:val="FootnoteReference"/>
        </w:rPr>
        <w:footnoteRef/>
      </w:r>
      <w:r>
        <w:t xml:space="preserve"> </w:t>
      </w:r>
      <w:r w:rsidRPr="00DA4F73">
        <w:rPr>
          <w:sz w:val="22"/>
          <w:szCs w:val="22"/>
        </w:rPr>
        <w:t>SCE reply, p. 12.</w:t>
      </w:r>
    </w:p>
  </w:footnote>
  <w:footnote w:id="60">
    <w:p w:rsidR="0039603C" w:rsidRPr="00DA4F73" w:rsidRDefault="0039603C" w:rsidP="00026DAB">
      <w:pPr>
        <w:pStyle w:val="FootnoteText"/>
        <w:spacing w:after="120"/>
        <w:rPr>
          <w:sz w:val="22"/>
          <w:szCs w:val="22"/>
        </w:rPr>
      </w:pPr>
      <w:r>
        <w:rPr>
          <w:rStyle w:val="FootnoteReference"/>
        </w:rPr>
        <w:footnoteRef/>
      </w:r>
      <w:r>
        <w:t xml:space="preserve"> </w:t>
      </w:r>
      <w:r w:rsidRPr="00DA4F73">
        <w:rPr>
          <w:sz w:val="22"/>
          <w:szCs w:val="22"/>
        </w:rPr>
        <w:t>NextEra protest to SCE AL 3003-E, p. 3.</w:t>
      </w:r>
    </w:p>
  </w:footnote>
  <w:footnote w:id="61">
    <w:p w:rsidR="0039603C" w:rsidRPr="00DA4F73" w:rsidRDefault="0039603C" w:rsidP="00026DAB">
      <w:pPr>
        <w:pStyle w:val="FootnoteText"/>
        <w:spacing w:after="120"/>
        <w:rPr>
          <w:sz w:val="22"/>
          <w:szCs w:val="22"/>
        </w:rPr>
      </w:pPr>
      <w:r>
        <w:rPr>
          <w:rStyle w:val="FootnoteReference"/>
        </w:rPr>
        <w:footnoteRef/>
      </w:r>
      <w:r>
        <w:t xml:space="preserve"> </w:t>
      </w:r>
      <w:r w:rsidRPr="00DA4F73">
        <w:rPr>
          <w:sz w:val="22"/>
          <w:szCs w:val="22"/>
        </w:rPr>
        <w:t>SCE reply, p. 8.</w:t>
      </w:r>
    </w:p>
  </w:footnote>
  <w:footnote w:id="62">
    <w:p w:rsidR="0039603C" w:rsidRPr="00DA4F73" w:rsidRDefault="0039603C" w:rsidP="00026DAB">
      <w:pPr>
        <w:pStyle w:val="FootnoteText"/>
        <w:spacing w:after="120"/>
        <w:rPr>
          <w:sz w:val="22"/>
          <w:szCs w:val="22"/>
        </w:rPr>
      </w:pPr>
      <w:r>
        <w:rPr>
          <w:rStyle w:val="FootnoteReference"/>
        </w:rPr>
        <w:footnoteRef/>
      </w:r>
      <w:r>
        <w:t xml:space="preserve"> </w:t>
      </w:r>
      <w:r w:rsidRPr="00DA4F73">
        <w:rPr>
          <w:sz w:val="22"/>
          <w:szCs w:val="22"/>
        </w:rPr>
        <w:t xml:space="preserve">SCE’s First Compliance Report on the Renewable Auction Mechanism Program, </w:t>
      </w:r>
      <w:r>
        <w:rPr>
          <w:sz w:val="22"/>
          <w:szCs w:val="22"/>
        </w:rPr>
        <w:br/>
      </w:r>
      <w:r w:rsidRPr="00DA4F73">
        <w:rPr>
          <w:sz w:val="22"/>
          <w:szCs w:val="22"/>
        </w:rPr>
        <w:t>January 17, 2014, p. 6.</w:t>
      </w:r>
    </w:p>
  </w:footnote>
  <w:footnote w:id="63">
    <w:p w:rsidR="0039603C" w:rsidRPr="001E7A8A" w:rsidRDefault="0039603C" w:rsidP="001E7A8A">
      <w:pPr>
        <w:pStyle w:val="FootnoteText"/>
        <w:spacing w:after="120"/>
        <w:rPr>
          <w:sz w:val="22"/>
          <w:szCs w:val="22"/>
        </w:rPr>
      </w:pPr>
      <w:r>
        <w:rPr>
          <w:rStyle w:val="FootnoteReference"/>
        </w:rPr>
        <w:footnoteRef/>
      </w:r>
      <w:r>
        <w:t xml:space="preserve">  </w:t>
      </w:r>
      <w:r w:rsidRPr="001E7A8A">
        <w:rPr>
          <w:sz w:val="22"/>
          <w:szCs w:val="22"/>
        </w:rPr>
        <w:t xml:space="preserve">The changes to RAM’s minimum eligible project size rules were ordered by D.12-05-035. </w:t>
      </w:r>
    </w:p>
  </w:footnote>
  <w:footnote w:id="64">
    <w:p w:rsidR="0039603C" w:rsidRPr="001E7A8A" w:rsidRDefault="0039603C" w:rsidP="001E7A8A">
      <w:pPr>
        <w:pStyle w:val="FootnoteText"/>
        <w:spacing w:after="120"/>
        <w:rPr>
          <w:sz w:val="22"/>
          <w:szCs w:val="22"/>
        </w:rPr>
      </w:pPr>
      <w:r>
        <w:rPr>
          <w:rStyle w:val="FootnoteReference"/>
        </w:rPr>
        <w:footnoteRef/>
      </w:r>
      <w:r>
        <w:t xml:space="preserve">  </w:t>
      </w:r>
      <w:r w:rsidRPr="001E7A8A">
        <w:rPr>
          <w:sz w:val="22"/>
          <w:szCs w:val="22"/>
        </w:rPr>
        <w:t>If a project elects to pursue excess sales, the total project size, including the capacity associated with the wholesale transaction under RAM as well as the capacity associated with onsite load, is counted as part of the project’s capacity for purposes of project eligibility.  However, only the capacity associated with the wholesale transaction will count against the capacity limit under RAM.</w:t>
      </w:r>
    </w:p>
  </w:footnote>
  <w:footnote w:id="65">
    <w:p w:rsidR="0039603C" w:rsidRPr="001E7A8A" w:rsidRDefault="0039603C" w:rsidP="001E7A8A">
      <w:pPr>
        <w:pStyle w:val="FootnoteText"/>
        <w:spacing w:after="120"/>
        <w:rPr>
          <w:sz w:val="22"/>
          <w:szCs w:val="22"/>
        </w:rPr>
      </w:pPr>
      <w:r>
        <w:rPr>
          <w:rStyle w:val="FootnoteReference"/>
        </w:rPr>
        <w:footnoteRef/>
      </w:r>
      <w:r>
        <w:t xml:space="preserve">  </w:t>
      </w:r>
      <w:r w:rsidRPr="001E7A8A">
        <w:rPr>
          <w:sz w:val="22"/>
          <w:szCs w:val="22"/>
        </w:rPr>
        <w:t>The IOUs should utilize telecom and web-based technologies to facilitate remote participation.</w:t>
      </w:r>
    </w:p>
  </w:footnote>
  <w:footnote w:id="66">
    <w:p w:rsidR="0039603C" w:rsidRPr="001E7A8A" w:rsidRDefault="0039603C" w:rsidP="001E7A8A">
      <w:pPr>
        <w:pStyle w:val="FootnoteText"/>
        <w:spacing w:after="120"/>
        <w:rPr>
          <w:sz w:val="22"/>
          <w:szCs w:val="22"/>
        </w:rPr>
      </w:pPr>
      <w:r>
        <w:rPr>
          <w:rStyle w:val="FootnoteReference"/>
        </w:rPr>
        <w:footnoteRef/>
      </w:r>
      <w:r>
        <w:t xml:space="preserve">  </w:t>
      </w:r>
      <w:r w:rsidRPr="001E7A8A">
        <w:rPr>
          <w:sz w:val="22"/>
          <w:szCs w:val="22"/>
        </w:rPr>
        <w:t xml:space="preserve">These Advice Letters were filed by the IOUs on February 25, 2011 and were approved with modifications by the Commission in Resolution E-4414.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B9" w:rsidRDefault="00546A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3C" w:rsidRDefault="0039603C" w:rsidP="001F3135">
    <w:pPr>
      <w:pStyle w:val="Header"/>
      <w:tabs>
        <w:tab w:val="center" w:pos="4680"/>
        <w:tab w:val="right" w:pos="9180"/>
      </w:tabs>
    </w:pPr>
    <w:r>
      <w:t xml:space="preserve">Resolution </w:t>
    </w:r>
    <w:r w:rsidRPr="000221B1">
      <w:t>E-</w:t>
    </w:r>
    <w:r w:rsidRPr="000221B1">
      <w:rPr>
        <w:rFonts w:ascii="Palatino Linotype" w:hAnsi="Palatino Linotype"/>
      </w:rPr>
      <w:t>4655</w:t>
    </w:r>
    <w:r>
      <w:t xml:space="preserve">                         </w:t>
    </w:r>
    <w:r w:rsidRPr="001F3135">
      <w:rPr>
        <w:b/>
      </w:rPr>
      <w:t xml:space="preserve"> </w:t>
    </w:r>
    <w:r>
      <w:t xml:space="preserve">                           </w:t>
    </w:r>
    <w:r>
      <w:tab/>
      <w:t>May 15, 2014</w:t>
    </w:r>
  </w:p>
  <w:p w:rsidR="0039603C" w:rsidRDefault="0039603C">
    <w:pPr>
      <w:pStyle w:val="Header"/>
      <w:tabs>
        <w:tab w:val="clear" w:pos="4320"/>
        <w:tab w:val="clear" w:pos="8640"/>
        <w:tab w:val="center" w:pos="4680"/>
        <w:tab w:val="right" w:pos="9180"/>
      </w:tabs>
    </w:pPr>
    <w:r>
      <w:t xml:space="preserve">SCE AL 3003-E, </w:t>
    </w:r>
    <w:r w:rsidRPr="0061183E">
      <w:t>PG&amp;E AL 4365</w:t>
    </w:r>
    <w:r>
      <w:t xml:space="preserve">-E, </w:t>
    </w:r>
    <w:r w:rsidRPr="00231952">
      <w:t>and SDG&amp;E AL 2580-E</w:t>
    </w:r>
    <w:r>
      <w:t>/CNL</w:t>
    </w:r>
  </w:p>
  <w:p w:rsidR="0039603C" w:rsidRDefault="003960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3C" w:rsidRDefault="0039603C">
    <w:pPr>
      <w:pStyle w:val="Header"/>
      <w:rPr>
        <w:rFonts w:ascii="Helvetica" w:hAnsi="Helvetica"/>
        <w:b/>
        <w:sz w:val="28"/>
      </w:rPr>
    </w:pPr>
    <w:r>
      <w:t xml:space="preserve">                                                                                     Date of Issuance – 5/16/14</w:t>
    </w: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86F"/>
    <w:multiLevelType w:val="hybridMultilevel"/>
    <w:tmpl w:val="E124AB5A"/>
    <w:lvl w:ilvl="0" w:tplc="04090001">
      <w:start w:val="1"/>
      <w:numFmt w:val="bullet"/>
      <w:lvlText w:val=""/>
      <w:lvlJc w:val="left"/>
      <w:pPr>
        <w:ind w:left="810" w:hanging="360"/>
      </w:pPr>
      <w:rPr>
        <w:rFonts w:ascii="Symbol" w:hAnsi="Symbol"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2FB06A6"/>
    <w:multiLevelType w:val="hybridMultilevel"/>
    <w:tmpl w:val="68C47F1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A481AC6"/>
    <w:multiLevelType w:val="hybridMultilevel"/>
    <w:tmpl w:val="B92C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4">
    <w:nsid w:val="0BDB7819"/>
    <w:multiLevelType w:val="singleLevel"/>
    <w:tmpl w:val="0409000F"/>
    <w:lvl w:ilvl="0">
      <w:start w:val="1"/>
      <w:numFmt w:val="decimal"/>
      <w:lvlText w:val="%1."/>
      <w:lvlJc w:val="left"/>
      <w:pPr>
        <w:tabs>
          <w:tab w:val="num" w:pos="450"/>
        </w:tabs>
        <w:ind w:left="450" w:hanging="360"/>
      </w:pPr>
    </w:lvl>
  </w:abstractNum>
  <w:abstractNum w:abstractNumId="5">
    <w:nsid w:val="156D2214"/>
    <w:multiLevelType w:val="hybridMultilevel"/>
    <w:tmpl w:val="ECF06534"/>
    <w:lvl w:ilvl="0" w:tplc="FFCCC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30C0F"/>
    <w:multiLevelType w:val="hybridMultilevel"/>
    <w:tmpl w:val="A8928462"/>
    <w:lvl w:ilvl="0" w:tplc="FFFFFFFF">
      <w:start w:val="1"/>
      <w:numFmt w:val="decimal"/>
      <w:pStyle w:val="h-1"/>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rPr>
        <w:rFonts w:hint="default"/>
        <w:b w:val="0"/>
      </w:rPr>
    </w:lvl>
    <w:lvl w:ilvl="2" w:tplc="FFFFFFFF">
      <w:start w:val="1"/>
      <w:numFmt w:val="lowerRoman"/>
      <w:pStyle w:val="noi7"/>
      <w:lvlText w:val="%3."/>
      <w:lvlJc w:val="right"/>
      <w:pPr>
        <w:tabs>
          <w:tab w:val="num" w:pos="2160"/>
        </w:tabs>
        <w:ind w:left="2160" w:hanging="180"/>
      </w:pPr>
      <w:rPr>
        <w:b w:val="0"/>
      </w:rPr>
    </w:lvl>
    <w:lvl w:ilvl="3" w:tplc="FFFFFFFF">
      <w:start w:val="1"/>
      <w:numFmt w:val="bullet"/>
      <w:pStyle w:val="bl"/>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84B3826"/>
    <w:multiLevelType w:val="hybridMultilevel"/>
    <w:tmpl w:val="41583B76"/>
    <w:lvl w:ilvl="0" w:tplc="04090001">
      <w:start w:val="1"/>
      <w:numFmt w:val="bullet"/>
      <w:lvlText w:val=""/>
      <w:lvlJc w:val="left"/>
      <w:pPr>
        <w:tabs>
          <w:tab w:val="num" w:pos="1080"/>
        </w:tabs>
        <w:ind w:left="1080" w:hanging="360"/>
      </w:pPr>
      <w:rPr>
        <w:rFonts w:ascii="Symbol" w:hAnsi="Symbol" w:hint="default"/>
        <w:b/>
      </w:rPr>
    </w:lvl>
    <w:lvl w:ilvl="1" w:tplc="EC064812">
      <w:start w:val="1"/>
      <w:numFmt w:val="lowerLetter"/>
      <w:lvlText w:val="%2."/>
      <w:lvlJc w:val="left"/>
      <w:pPr>
        <w:tabs>
          <w:tab w:val="num" w:pos="1440"/>
        </w:tabs>
        <w:ind w:left="1440" w:hanging="360"/>
      </w:pPr>
      <w:rPr>
        <w:rFonts w:hint="default"/>
        <w:b w:val="0"/>
      </w:rPr>
    </w:lvl>
    <w:lvl w:ilvl="2" w:tplc="6C7E7C86">
      <w:start w:val="1"/>
      <w:numFmt w:val="lowerRoman"/>
      <w:lvlText w:val="%3."/>
      <w:lvlJc w:val="right"/>
      <w:pPr>
        <w:tabs>
          <w:tab w:val="num" w:pos="2160"/>
        </w:tabs>
        <w:ind w:left="2160" w:hanging="180"/>
      </w:pPr>
      <w:rPr>
        <w:b w:val="0"/>
      </w:rPr>
    </w:lvl>
    <w:lvl w:ilvl="3" w:tplc="9D788AC8">
      <w:start w:val="1"/>
      <w:numFmt w:val="bullet"/>
      <w:lvlText w:val=""/>
      <w:lvlJc w:val="left"/>
      <w:pPr>
        <w:tabs>
          <w:tab w:val="num" w:pos="2880"/>
        </w:tabs>
        <w:ind w:left="2880" w:hanging="360"/>
      </w:pPr>
      <w:rPr>
        <w:rFonts w:ascii="Symbol" w:hAnsi="Symbol" w:hint="default"/>
      </w:rPr>
    </w:lvl>
    <w:lvl w:ilvl="4" w:tplc="C44297D8" w:tentative="1">
      <w:start w:val="1"/>
      <w:numFmt w:val="lowerLetter"/>
      <w:lvlText w:val="%5."/>
      <w:lvlJc w:val="left"/>
      <w:pPr>
        <w:tabs>
          <w:tab w:val="num" w:pos="3600"/>
        </w:tabs>
        <w:ind w:left="3600" w:hanging="360"/>
      </w:pPr>
    </w:lvl>
    <w:lvl w:ilvl="5" w:tplc="C314937E" w:tentative="1">
      <w:start w:val="1"/>
      <w:numFmt w:val="lowerRoman"/>
      <w:lvlText w:val="%6."/>
      <w:lvlJc w:val="right"/>
      <w:pPr>
        <w:tabs>
          <w:tab w:val="num" w:pos="4320"/>
        </w:tabs>
        <w:ind w:left="4320" w:hanging="180"/>
      </w:pPr>
    </w:lvl>
    <w:lvl w:ilvl="6" w:tplc="EAFAFAF2" w:tentative="1">
      <w:start w:val="1"/>
      <w:numFmt w:val="decimal"/>
      <w:lvlText w:val="%7."/>
      <w:lvlJc w:val="left"/>
      <w:pPr>
        <w:tabs>
          <w:tab w:val="num" w:pos="5040"/>
        </w:tabs>
        <w:ind w:left="5040" w:hanging="360"/>
      </w:pPr>
    </w:lvl>
    <w:lvl w:ilvl="7" w:tplc="9CFACC76" w:tentative="1">
      <w:start w:val="1"/>
      <w:numFmt w:val="lowerLetter"/>
      <w:lvlText w:val="%8."/>
      <w:lvlJc w:val="left"/>
      <w:pPr>
        <w:tabs>
          <w:tab w:val="num" w:pos="5760"/>
        </w:tabs>
        <w:ind w:left="5760" w:hanging="360"/>
      </w:pPr>
    </w:lvl>
    <w:lvl w:ilvl="8" w:tplc="4F90D1CE" w:tentative="1">
      <w:start w:val="1"/>
      <w:numFmt w:val="lowerRoman"/>
      <w:lvlText w:val="%9."/>
      <w:lvlJc w:val="right"/>
      <w:pPr>
        <w:tabs>
          <w:tab w:val="num" w:pos="6480"/>
        </w:tabs>
        <w:ind w:left="6480" w:hanging="180"/>
      </w:pPr>
    </w:lvl>
  </w:abstractNum>
  <w:abstractNum w:abstractNumId="8">
    <w:nsid w:val="21480B1D"/>
    <w:multiLevelType w:val="multilevel"/>
    <w:tmpl w:val="C98CB7D4"/>
    <w:lvl w:ilvl="0">
      <w:start w:val="1"/>
      <w:numFmt w:val="decimal"/>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nsid w:val="26757E21"/>
    <w:multiLevelType w:val="hybridMultilevel"/>
    <w:tmpl w:val="0654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AD5662"/>
    <w:multiLevelType w:val="hybridMultilevel"/>
    <w:tmpl w:val="6798C61C"/>
    <w:lvl w:ilvl="0" w:tplc="610A59F6">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E0331D"/>
    <w:multiLevelType w:val="hybridMultilevel"/>
    <w:tmpl w:val="190E6FFA"/>
    <w:lvl w:ilvl="0" w:tplc="610A59F6">
      <w:start w:val="1"/>
      <w:numFmt w:val="bullet"/>
      <w:lvlText w:val=""/>
      <w:lvlJc w:val="left"/>
      <w:pPr>
        <w:tabs>
          <w:tab w:val="num" w:pos="1008"/>
        </w:tabs>
        <w:ind w:left="1008" w:hanging="288"/>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Book Antiqua" w:hint="default"/>
      </w:rPr>
    </w:lvl>
    <w:lvl w:ilvl="2" w:tplc="04090005">
      <w:start w:val="1"/>
      <w:numFmt w:val="bullet"/>
      <w:lvlText w:val=""/>
      <w:lvlJc w:val="left"/>
      <w:pPr>
        <w:tabs>
          <w:tab w:val="num" w:pos="2592"/>
        </w:tabs>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tabs>
          <w:tab w:val="num" w:pos="4032"/>
        </w:tabs>
        <w:ind w:left="4032" w:hanging="360"/>
      </w:pPr>
      <w:rPr>
        <w:rFonts w:ascii="Courier New" w:hAnsi="Courier New" w:cs="Book Antiqua"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Book Antiqua"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nsid w:val="2FC14AAD"/>
    <w:multiLevelType w:val="hybridMultilevel"/>
    <w:tmpl w:val="9CD89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245397"/>
    <w:multiLevelType w:val="hybridMultilevel"/>
    <w:tmpl w:val="1A5A4A42"/>
    <w:lvl w:ilvl="0" w:tplc="04090017">
      <w:start w:val="1"/>
      <w:numFmt w:val="lowerLetter"/>
      <w:lvlText w:val="%1)"/>
      <w:lvlJc w:val="left"/>
      <w:pPr>
        <w:ind w:left="1800" w:hanging="360"/>
      </w:pPr>
      <w:rPr>
        <w:rFont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26C0B97"/>
    <w:multiLevelType w:val="hybridMultilevel"/>
    <w:tmpl w:val="7A6621F6"/>
    <w:lvl w:ilvl="0" w:tplc="5664A30C">
      <w:start w:val="7"/>
      <w:numFmt w:val="bullet"/>
      <w:lvlText w:val="-"/>
      <w:lvlJc w:val="left"/>
      <w:pPr>
        <w:ind w:left="720" w:hanging="360"/>
      </w:pPr>
      <w:rPr>
        <w:rFonts w:ascii="Palatino Linotype" w:eastAsia="Times New Roman" w:hAnsi="Palatino Linotype"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475F15"/>
    <w:multiLevelType w:val="hybridMultilevel"/>
    <w:tmpl w:val="D3945320"/>
    <w:lvl w:ilvl="0" w:tplc="2716D116">
      <w:start w:val="2"/>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090C80"/>
    <w:multiLevelType w:val="hybridMultilevel"/>
    <w:tmpl w:val="7146FF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8597B51"/>
    <w:multiLevelType w:val="hybridMultilevel"/>
    <w:tmpl w:val="FCC26A86"/>
    <w:lvl w:ilvl="0" w:tplc="957C557C">
      <w:start w:val="1"/>
      <w:numFmt w:val="lowerRoman"/>
      <w:lvlText w:val="(%1)"/>
      <w:lvlJc w:val="left"/>
      <w:pPr>
        <w:ind w:left="2475" w:hanging="10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98F4FB3"/>
    <w:multiLevelType w:val="hybridMultilevel"/>
    <w:tmpl w:val="DD36D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556906"/>
    <w:multiLevelType w:val="hybridMultilevel"/>
    <w:tmpl w:val="C8D07928"/>
    <w:lvl w:ilvl="0" w:tplc="04090001">
      <w:start w:val="1"/>
      <w:numFmt w:val="bullet"/>
      <w:lvlText w:val=""/>
      <w:lvlJc w:val="left"/>
      <w:pPr>
        <w:ind w:left="1890" w:hanging="360"/>
      </w:pPr>
      <w:rPr>
        <w:rFonts w:ascii="Symbol" w:hAnsi="Symbol" w:hint="default"/>
        <w:b/>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BC94FA7"/>
    <w:multiLevelType w:val="hybridMultilevel"/>
    <w:tmpl w:val="7EDE99AE"/>
    <w:lvl w:ilvl="0" w:tplc="50E01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CA0049"/>
    <w:multiLevelType w:val="hybridMultilevel"/>
    <w:tmpl w:val="4C327F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C194DDB"/>
    <w:multiLevelType w:val="hybridMultilevel"/>
    <w:tmpl w:val="FA7A9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480A66F8"/>
    <w:multiLevelType w:val="hybridMultilevel"/>
    <w:tmpl w:val="2E1068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49C665EC"/>
    <w:multiLevelType w:val="hybridMultilevel"/>
    <w:tmpl w:val="C5E8E7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4DBB526E"/>
    <w:multiLevelType w:val="hybridMultilevel"/>
    <w:tmpl w:val="36CCA434"/>
    <w:lvl w:ilvl="0" w:tplc="A4A00A8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54E7787B"/>
    <w:multiLevelType w:val="hybridMultilevel"/>
    <w:tmpl w:val="BD2A98BA"/>
    <w:lvl w:ilvl="0" w:tplc="7F8EDBCC">
      <w:numFmt w:val="bullet"/>
      <w:lvlText w:val="-"/>
      <w:lvlJc w:val="left"/>
      <w:pPr>
        <w:ind w:left="1080" w:hanging="360"/>
      </w:pPr>
      <w:rPr>
        <w:rFonts w:ascii="Palatino Linotype" w:eastAsia="Times New Roman" w:hAnsi="Palatino Linotype" w:cs="Book 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5375DD0"/>
    <w:multiLevelType w:val="hybridMultilevel"/>
    <w:tmpl w:val="95C2B2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30">
    <w:nsid w:val="593E639E"/>
    <w:multiLevelType w:val="hybridMultilevel"/>
    <w:tmpl w:val="E13A2164"/>
    <w:lvl w:ilvl="0" w:tplc="6BEEF908">
      <w:start w:val="1"/>
      <w:numFmt w:val="bullet"/>
      <w:pStyle w:val="bullets4"/>
      <w:lvlText w:val=""/>
      <w:lvlJc w:val="left"/>
      <w:pPr>
        <w:tabs>
          <w:tab w:val="num" w:pos="1080"/>
        </w:tabs>
        <w:ind w:left="1080" w:hanging="360"/>
      </w:pPr>
      <w:rPr>
        <w:rFonts w:ascii="Symbol" w:hAnsi="Symbol" w:hint="default"/>
        <w:b/>
      </w:rPr>
    </w:lvl>
    <w:lvl w:ilvl="1" w:tplc="3268232A">
      <w:start w:val="1"/>
      <w:numFmt w:val="lowerLetter"/>
      <w:lvlText w:val="%2."/>
      <w:lvlJc w:val="left"/>
      <w:pPr>
        <w:tabs>
          <w:tab w:val="num" w:pos="1440"/>
        </w:tabs>
        <w:ind w:left="1440" w:hanging="360"/>
      </w:pPr>
      <w:rPr>
        <w:rFonts w:hint="default"/>
        <w:b w:val="0"/>
      </w:rPr>
    </w:lvl>
    <w:lvl w:ilvl="2" w:tplc="8C74C8CC">
      <w:start w:val="1"/>
      <w:numFmt w:val="lowerRoman"/>
      <w:lvlText w:val="%3."/>
      <w:lvlJc w:val="right"/>
      <w:pPr>
        <w:tabs>
          <w:tab w:val="num" w:pos="2160"/>
        </w:tabs>
        <w:ind w:left="2160" w:hanging="180"/>
      </w:pPr>
      <w:rPr>
        <w:b w:val="0"/>
      </w:rPr>
    </w:lvl>
    <w:lvl w:ilvl="3" w:tplc="BAC832E8">
      <w:start w:val="1"/>
      <w:numFmt w:val="bullet"/>
      <w:lvlText w:val=""/>
      <w:lvlJc w:val="left"/>
      <w:pPr>
        <w:tabs>
          <w:tab w:val="num" w:pos="2880"/>
        </w:tabs>
        <w:ind w:left="2880" w:hanging="360"/>
      </w:pPr>
      <w:rPr>
        <w:rFonts w:ascii="Symbol" w:hAnsi="Symbol" w:hint="default"/>
      </w:rPr>
    </w:lvl>
    <w:lvl w:ilvl="4" w:tplc="7486BEC0" w:tentative="1">
      <w:start w:val="1"/>
      <w:numFmt w:val="lowerLetter"/>
      <w:lvlText w:val="%5."/>
      <w:lvlJc w:val="left"/>
      <w:pPr>
        <w:tabs>
          <w:tab w:val="num" w:pos="3600"/>
        </w:tabs>
        <w:ind w:left="3600" w:hanging="360"/>
      </w:pPr>
    </w:lvl>
    <w:lvl w:ilvl="5" w:tplc="491C4B00" w:tentative="1">
      <w:start w:val="1"/>
      <w:numFmt w:val="lowerRoman"/>
      <w:lvlText w:val="%6."/>
      <w:lvlJc w:val="right"/>
      <w:pPr>
        <w:tabs>
          <w:tab w:val="num" w:pos="4320"/>
        </w:tabs>
        <w:ind w:left="4320" w:hanging="180"/>
      </w:pPr>
    </w:lvl>
    <w:lvl w:ilvl="6" w:tplc="B47815EC" w:tentative="1">
      <w:start w:val="1"/>
      <w:numFmt w:val="decimal"/>
      <w:lvlText w:val="%7."/>
      <w:lvlJc w:val="left"/>
      <w:pPr>
        <w:tabs>
          <w:tab w:val="num" w:pos="5040"/>
        </w:tabs>
        <w:ind w:left="5040" w:hanging="360"/>
      </w:pPr>
    </w:lvl>
    <w:lvl w:ilvl="7" w:tplc="85CA1B8C" w:tentative="1">
      <w:start w:val="1"/>
      <w:numFmt w:val="lowerLetter"/>
      <w:lvlText w:val="%8."/>
      <w:lvlJc w:val="left"/>
      <w:pPr>
        <w:tabs>
          <w:tab w:val="num" w:pos="5760"/>
        </w:tabs>
        <w:ind w:left="5760" w:hanging="360"/>
      </w:pPr>
    </w:lvl>
    <w:lvl w:ilvl="8" w:tplc="3556ADEC" w:tentative="1">
      <w:start w:val="1"/>
      <w:numFmt w:val="lowerRoman"/>
      <w:lvlText w:val="%9."/>
      <w:lvlJc w:val="right"/>
      <w:pPr>
        <w:tabs>
          <w:tab w:val="num" w:pos="6480"/>
        </w:tabs>
        <w:ind w:left="6480" w:hanging="180"/>
      </w:pPr>
    </w:lvl>
  </w:abstractNum>
  <w:abstractNum w:abstractNumId="31">
    <w:nsid w:val="5F9D4AB1"/>
    <w:multiLevelType w:val="hybridMultilevel"/>
    <w:tmpl w:val="7CDEC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745E9B"/>
    <w:multiLevelType w:val="hybridMultilevel"/>
    <w:tmpl w:val="6A42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5E7701"/>
    <w:multiLevelType w:val="hybridMultilevel"/>
    <w:tmpl w:val="84CE44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BD1749A"/>
    <w:multiLevelType w:val="hybridMultilevel"/>
    <w:tmpl w:val="10D89998"/>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ED35E8F"/>
    <w:multiLevelType w:val="hybridMultilevel"/>
    <w:tmpl w:val="2898B1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5156A88"/>
    <w:multiLevelType w:val="hybridMultilevel"/>
    <w:tmpl w:val="4B6C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5C77D9"/>
    <w:multiLevelType w:val="hybridMultilevel"/>
    <w:tmpl w:val="2B6C50F0"/>
    <w:lvl w:ilvl="0" w:tplc="45C4BF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6811FD"/>
    <w:multiLevelType w:val="hybridMultilevel"/>
    <w:tmpl w:val="A540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B04D26"/>
    <w:multiLevelType w:val="hybridMultilevel"/>
    <w:tmpl w:val="E1FC095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273678"/>
    <w:multiLevelType w:val="hybridMultilevel"/>
    <w:tmpl w:val="CCD0F556"/>
    <w:lvl w:ilvl="0" w:tplc="31945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9E696D"/>
    <w:multiLevelType w:val="hybridMultilevel"/>
    <w:tmpl w:val="1A8CDD3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2">
    <w:nsid w:val="7E874AB7"/>
    <w:multiLevelType w:val="hybridMultilevel"/>
    <w:tmpl w:val="A818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8"/>
  </w:num>
  <w:num w:numId="4">
    <w:abstractNumId w:val="29"/>
  </w:num>
  <w:num w:numId="5">
    <w:abstractNumId w:val="4"/>
  </w:num>
  <w:num w:numId="6">
    <w:abstractNumId w:val="10"/>
  </w:num>
  <w:num w:numId="7">
    <w:abstractNumId w:val="6"/>
  </w:num>
  <w:num w:numId="8">
    <w:abstractNumId w:val="35"/>
  </w:num>
  <w:num w:numId="9">
    <w:abstractNumId w:val="42"/>
  </w:num>
  <w:num w:numId="10">
    <w:abstractNumId w:val="33"/>
  </w:num>
  <w:num w:numId="11">
    <w:abstractNumId w:val="21"/>
  </w:num>
  <w:num w:numId="12">
    <w:abstractNumId w:val="28"/>
  </w:num>
  <w:num w:numId="13">
    <w:abstractNumId w:val="30"/>
  </w:num>
  <w:num w:numId="14">
    <w:abstractNumId w:val="7"/>
  </w:num>
  <w:num w:numId="15">
    <w:abstractNumId w:val="41"/>
  </w:num>
  <w:num w:numId="16">
    <w:abstractNumId w:val="12"/>
  </w:num>
  <w:num w:numId="17">
    <w:abstractNumId w:val="18"/>
  </w:num>
  <w:num w:numId="18">
    <w:abstractNumId w:val="24"/>
  </w:num>
  <w:num w:numId="19">
    <w:abstractNumId w:val="37"/>
  </w:num>
  <w:num w:numId="20">
    <w:abstractNumId w:val="22"/>
  </w:num>
  <w:num w:numId="21">
    <w:abstractNumId w:val="19"/>
  </w:num>
  <w:num w:numId="22">
    <w:abstractNumId w:val="1"/>
  </w:num>
  <w:num w:numId="23">
    <w:abstractNumId w:val="17"/>
  </w:num>
  <w:num w:numId="24">
    <w:abstractNumId w:val="13"/>
  </w:num>
  <w:num w:numId="25">
    <w:abstractNumId w:val="34"/>
  </w:num>
  <w:num w:numId="26">
    <w:abstractNumId w:val="2"/>
  </w:num>
  <w:num w:numId="27">
    <w:abstractNumId w:val="14"/>
  </w:num>
  <w:num w:numId="28">
    <w:abstractNumId w:val="39"/>
  </w:num>
  <w:num w:numId="29">
    <w:abstractNumId w:val="15"/>
  </w:num>
  <w:num w:numId="30">
    <w:abstractNumId w:val="36"/>
  </w:num>
  <w:num w:numId="31">
    <w:abstractNumId w:val="11"/>
  </w:num>
  <w:num w:numId="32">
    <w:abstractNumId w:val="0"/>
  </w:num>
  <w:num w:numId="33">
    <w:abstractNumId w:val="25"/>
  </w:num>
  <w:num w:numId="34">
    <w:abstractNumId w:val="32"/>
  </w:num>
  <w:num w:numId="35">
    <w:abstractNumId w:val="27"/>
  </w:num>
  <w:num w:numId="36">
    <w:abstractNumId w:val="16"/>
  </w:num>
  <w:num w:numId="37">
    <w:abstractNumId w:val="40"/>
  </w:num>
  <w:num w:numId="38">
    <w:abstractNumId w:val="31"/>
  </w:num>
  <w:num w:numId="39">
    <w:abstractNumId w:val="38"/>
  </w:num>
  <w:num w:numId="40">
    <w:abstractNumId w:val="9"/>
  </w:num>
  <w:num w:numId="41">
    <w:abstractNumId w:val="20"/>
  </w:num>
  <w:num w:numId="42">
    <w:abstractNumId w:val="5"/>
  </w:num>
  <w:num w:numId="43">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3A"/>
    <w:rsid w:val="00000A45"/>
    <w:rsid w:val="00000FAC"/>
    <w:rsid w:val="00001DB5"/>
    <w:rsid w:val="000022B1"/>
    <w:rsid w:val="000024EB"/>
    <w:rsid w:val="00002597"/>
    <w:rsid w:val="000049C8"/>
    <w:rsid w:val="0000678F"/>
    <w:rsid w:val="00007EEC"/>
    <w:rsid w:val="00021B30"/>
    <w:rsid w:val="000221B1"/>
    <w:rsid w:val="00023FE2"/>
    <w:rsid w:val="00026DAB"/>
    <w:rsid w:val="00030879"/>
    <w:rsid w:val="00031F14"/>
    <w:rsid w:val="00032FC3"/>
    <w:rsid w:val="00036155"/>
    <w:rsid w:val="00036587"/>
    <w:rsid w:val="0003728F"/>
    <w:rsid w:val="00037A2F"/>
    <w:rsid w:val="00037AAC"/>
    <w:rsid w:val="00041D39"/>
    <w:rsid w:val="0004282F"/>
    <w:rsid w:val="000429FE"/>
    <w:rsid w:val="000434CD"/>
    <w:rsid w:val="0004752C"/>
    <w:rsid w:val="0005470D"/>
    <w:rsid w:val="000556AA"/>
    <w:rsid w:val="000570A7"/>
    <w:rsid w:val="00061A5D"/>
    <w:rsid w:val="00061F97"/>
    <w:rsid w:val="00063274"/>
    <w:rsid w:val="0006393A"/>
    <w:rsid w:val="00075EAE"/>
    <w:rsid w:val="000765C9"/>
    <w:rsid w:val="00076FAF"/>
    <w:rsid w:val="0007722A"/>
    <w:rsid w:val="000804B9"/>
    <w:rsid w:val="00081D74"/>
    <w:rsid w:val="000831AD"/>
    <w:rsid w:val="00086819"/>
    <w:rsid w:val="00091829"/>
    <w:rsid w:val="00094CFB"/>
    <w:rsid w:val="0009709B"/>
    <w:rsid w:val="00097E48"/>
    <w:rsid w:val="000A2684"/>
    <w:rsid w:val="000A56FE"/>
    <w:rsid w:val="000B1117"/>
    <w:rsid w:val="000B45F4"/>
    <w:rsid w:val="000C08B0"/>
    <w:rsid w:val="000C13A7"/>
    <w:rsid w:val="000C27DA"/>
    <w:rsid w:val="000C4B5E"/>
    <w:rsid w:val="000C5EDF"/>
    <w:rsid w:val="000C715B"/>
    <w:rsid w:val="000C73B8"/>
    <w:rsid w:val="000D008E"/>
    <w:rsid w:val="000D2D23"/>
    <w:rsid w:val="000D3E9C"/>
    <w:rsid w:val="000D44A8"/>
    <w:rsid w:val="000D5588"/>
    <w:rsid w:val="000D5C26"/>
    <w:rsid w:val="000D6309"/>
    <w:rsid w:val="000D63BA"/>
    <w:rsid w:val="000E0AA9"/>
    <w:rsid w:val="000E30C1"/>
    <w:rsid w:val="000E4B19"/>
    <w:rsid w:val="000E5655"/>
    <w:rsid w:val="000F00B0"/>
    <w:rsid w:val="000F28A4"/>
    <w:rsid w:val="000F3225"/>
    <w:rsid w:val="000F3E8B"/>
    <w:rsid w:val="000F45FD"/>
    <w:rsid w:val="000F5927"/>
    <w:rsid w:val="000F6AE0"/>
    <w:rsid w:val="000F7A2D"/>
    <w:rsid w:val="000F7B4D"/>
    <w:rsid w:val="00100402"/>
    <w:rsid w:val="0010050E"/>
    <w:rsid w:val="00101967"/>
    <w:rsid w:val="00103280"/>
    <w:rsid w:val="001034EF"/>
    <w:rsid w:val="00105B2C"/>
    <w:rsid w:val="001103FC"/>
    <w:rsid w:val="00111E67"/>
    <w:rsid w:val="001167EF"/>
    <w:rsid w:val="00117D21"/>
    <w:rsid w:val="00120F2B"/>
    <w:rsid w:val="0012392E"/>
    <w:rsid w:val="00126B33"/>
    <w:rsid w:val="00126FC2"/>
    <w:rsid w:val="00131F2A"/>
    <w:rsid w:val="00132646"/>
    <w:rsid w:val="0013334F"/>
    <w:rsid w:val="0013393D"/>
    <w:rsid w:val="00135144"/>
    <w:rsid w:val="00135BEE"/>
    <w:rsid w:val="00140393"/>
    <w:rsid w:val="00140B08"/>
    <w:rsid w:val="001416F4"/>
    <w:rsid w:val="00143CEE"/>
    <w:rsid w:val="00145DA9"/>
    <w:rsid w:val="00147771"/>
    <w:rsid w:val="001513F5"/>
    <w:rsid w:val="00152B3C"/>
    <w:rsid w:val="00152DE7"/>
    <w:rsid w:val="00160C3E"/>
    <w:rsid w:val="00162E50"/>
    <w:rsid w:val="001634EB"/>
    <w:rsid w:val="0016560E"/>
    <w:rsid w:val="00171127"/>
    <w:rsid w:val="00171A16"/>
    <w:rsid w:val="00173A1A"/>
    <w:rsid w:val="00175A18"/>
    <w:rsid w:val="0018013A"/>
    <w:rsid w:val="00185251"/>
    <w:rsid w:val="00186440"/>
    <w:rsid w:val="001864A8"/>
    <w:rsid w:val="00186BE4"/>
    <w:rsid w:val="0018712A"/>
    <w:rsid w:val="001A26EA"/>
    <w:rsid w:val="001A2B7D"/>
    <w:rsid w:val="001A710B"/>
    <w:rsid w:val="001B3915"/>
    <w:rsid w:val="001B7D02"/>
    <w:rsid w:val="001C2093"/>
    <w:rsid w:val="001C41B7"/>
    <w:rsid w:val="001C5CE4"/>
    <w:rsid w:val="001C7AA4"/>
    <w:rsid w:val="001D40B9"/>
    <w:rsid w:val="001D4973"/>
    <w:rsid w:val="001D4BD9"/>
    <w:rsid w:val="001D5277"/>
    <w:rsid w:val="001D52A2"/>
    <w:rsid w:val="001D6971"/>
    <w:rsid w:val="001D783F"/>
    <w:rsid w:val="001E0FCB"/>
    <w:rsid w:val="001E174F"/>
    <w:rsid w:val="001E2695"/>
    <w:rsid w:val="001E2F62"/>
    <w:rsid w:val="001E38F3"/>
    <w:rsid w:val="001E4DAA"/>
    <w:rsid w:val="001E5A85"/>
    <w:rsid w:val="001E7A8A"/>
    <w:rsid w:val="001F0852"/>
    <w:rsid w:val="001F0A88"/>
    <w:rsid w:val="001F27B6"/>
    <w:rsid w:val="001F3135"/>
    <w:rsid w:val="00200B1D"/>
    <w:rsid w:val="00202118"/>
    <w:rsid w:val="00205B82"/>
    <w:rsid w:val="00207863"/>
    <w:rsid w:val="00212AEA"/>
    <w:rsid w:val="002131EF"/>
    <w:rsid w:val="002168C1"/>
    <w:rsid w:val="0022291C"/>
    <w:rsid w:val="00223EDD"/>
    <w:rsid w:val="00227CAC"/>
    <w:rsid w:val="002317DF"/>
    <w:rsid w:val="00231952"/>
    <w:rsid w:val="0023202B"/>
    <w:rsid w:val="00232B7E"/>
    <w:rsid w:val="00232DE2"/>
    <w:rsid w:val="002330E1"/>
    <w:rsid w:val="00241376"/>
    <w:rsid w:val="002428CA"/>
    <w:rsid w:val="00243FC6"/>
    <w:rsid w:val="00246E29"/>
    <w:rsid w:val="0025172A"/>
    <w:rsid w:val="00251804"/>
    <w:rsid w:val="002562A3"/>
    <w:rsid w:val="00256859"/>
    <w:rsid w:val="00262CE4"/>
    <w:rsid w:val="00263816"/>
    <w:rsid w:val="002638BA"/>
    <w:rsid w:val="002660CC"/>
    <w:rsid w:val="0026694E"/>
    <w:rsid w:val="002677FF"/>
    <w:rsid w:val="002704B3"/>
    <w:rsid w:val="002709BB"/>
    <w:rsid w:val="00271651"/>
    <w:rsid w:val="002722C8"/>
    <w:rsid w:val="002756BB"/>
    <w:rsid w:val="00275A5A"/>
    <w:rsid w:val="00276044"/>
    <w:rsid w:val="00276B23"/>
    <w:rsid w:val="00277404"/>
    <w:rsid w:val="00285252"/>
    <w:rsid w:val="00287078"/>
    <w:rsid w:val="00287196"/>
    <w:rsid w:val="00287CE4"/>
    <w:rsid w:val="00290D69"/>
    <w:rsid w:val="00290FB2"/>
    <w:rsid w:val="00292573"/>
    <w:rsid w:val="002928CE"/>
    <w:rsid w:val="00294008"/>
    <w:rsid w:val="002940A7"/>
    <w:rsid w:val="00296416"/>
    <w:rsid w:val="002A0C74"/>
    <w:rsid w:val="002A3769"/>
    <w:rsid w:val="002A5B55"/>
    <w:rsid w:val="002B0B33"/>
    <w:rsid w:val="002B341F"/>
    <w:rsid w:val="002B4D65"/>
    <w:rsid w:val="002B50BE"/>
    <w:rsid w:val="002B726C"/>
    <w:rsid w:val="002B731A"/>
    <w:rsid w:val="002C2104"/>
    <w:rsid w:val="002C2B1B"/>
    <w:rsid w:val="002C2DE5"/>
    <w:rsid w:val="002C58C9"/>
    <w:rsid w:val="002C66B8"/>
    <w:rsid w:val="002C7D11"/>
    <w:rsid w:val="002D1FB7"/>
    <w:rsid w:val="002D25F9"/>
    <w:rsid w:val="002D4D69"/>
    <w:rsid w:val="002D50B1"/>
    <w:rsid w:val="002D5D32"/>
    <w:rsid w:val="002D67EE"/>
    <w:rsid w:val="002D7B30"/>
    <w:rsid w:val="002E118B"/>
    <w:rsid w:val="002E6BAC"/>
    <w:rsid w:val="002E6F88"/>
    <w:rsid w:val="002F00D8"/>
    <w:rsid w:val="002F0970"/>
    <w:rsid w:val="002F1E87"/>
    <w:rsid w:val="002F7E1C"/>
    <w:rsid w:val="0030009E"/>
    <w:rsid w:val="0030042F"/>
    <w:rsid w:val="003043D6"/>
    <w:rsid w:val="003046B8"/>
    <w:rsid w:val="00313BF8"/>
    <w:rsid w:val="003162E3"/>
    <w:rsid w:val="00330172"/>
    <w:rsid w:val="00333843"/>
    <w:rsid w:val="003375BD"/>
    <w:rsid w:val="00337EDD"/>
    <w:rsid w:val="00343B16"/>
    <w:rsid w:val="00343BF8"/>
    <w:rsid w:val="00345255"/>
    <w:rsid w:val="0034701E"/>
    <w:rsid w:val="00347CF0"/>
    <w:rsid w:val="0035063A"/>
    <w:rsid w:val="003508B3"/>
    <w:rsid w:val="003525AC"/>
    <w:rsid w:val="0035275B"/>
    <w:rsid w:val="003547A0"/>
    <w:rsid w:val="00357275"/>
    <w:rsid w:val="00361514"/>
    <w:rsid w:val="00361FAE"/>
    <w:rsid w:val="003621BB"/>
    <w:rsid w:val="003627DC"/>
    <w:rsid w:val="00363EA3"/>
    <w:rsid w:val="0036516A"/>
    <w:rsid w:val="00366379"/>
    <w:rsid w:val="003672E6"/>
    <w:rsid w:val="0036770D"/>
    <w:rsid w:val="00367B53"/>
    <w:rsid w:val="00370DDF"/>
    <w:rsid w:val="00371CC9"/>
    <w:rsid w:val="00374B5F"/>
    <w:rsid w:val="00374C7E"/>
    <w:rsid w:val="0037514C"/>
    <w:rsid w:val="00377E07"/>
    <w:rsid w:val="0038215A"/>
    <w:rsid w:val="003840B8"/>
    <w:rsid w:val="00387D26"/>
    <w:rsid w:val="00393C36"/>
    <w:rsid w:val="00394D57"/>
    <w:rsid w:val="0039603C"/>
    <w:rsid w:val="00396B14"/>
    <w:rsid w:val="00396E66"/>
    <w:rsid w:val="003A4D65"/>
    <w:rsid w:val="003A7D26"/>
    <w:rsid w:val="003C44AC"/>
    <w:rsid w:val="003C6BDF"/>
    <w:rsid w:val="003C7206"/>
    <w:rsid w:val="003C7B82"/>
    <w:rsid w:val="003D0DCE"/>
    <w:rsid w:val="003D3944"/>
    <w:rsid w:val="003D3A82"/>
    <w:rsid w:val="003E2F0F"/>
    <w:rsid w:val="003E374E"/>
    <w:rsid w:val="003E5FC6"/>
    <w:rsid w:val="003E694D"/>
    <w:rsid w:val="003F0B54"/>
    <w:rsid w:val="004008D3"/>
    <w:rsid w:val="004016BD"/>
    <w:rsid w:val="00401AAD"/>
    <w:rsid w:val="0040532D"/>
    <w:rsid w:val="00405DAE"/>
    <w:rsid w:val="00411331"/>
    <w:rsid w:val="00413183"/>
    <w:rsid w:val="00414650"/>
    <w:rsid w:val="004162F5"/>
    <w:rsid w:val="00416ABF"/>
    <w:rsid w:val="00417EE6"/>
    <w:rsid w:val="0042100C"/>
    <w:rsid w:val="00421F38"/>
    <w:rsid w:val="00422408"/>
    <w:rsid w:val="00422F89"/>
    <w:rsid w:val="004261E1"/>
    <w:rsid w:val="00427BE0"/>
    <w:rsid w:val="004306C6"/>
    <w:rsid w:val="00433E84"/>
    <w:rsid w:val="004343AD"/>
    <w:rsid w:val="00436848"/>
    <w:rsid w:val="00436D39"/>
    <w:rsid w:val="004402C9"/>
    <w:rsid w:val="004403B5"/>
    <w:rsid w:val="004420F2"/>
    <w:rsid w:val="00442327"/>
    <w:rsid w:val="004428AE"/>
    <w:rsid w:val="00442B30"/>
    <w:rsid w:val="004439CA"/>
    <w:rsid w:val="0044486B"/>
    <w:rsid w:val="00445143"/>
    <w:rsid w:val="004451CE"/>
    <w:rsid w:val="00447317"/>
    <w:rsid w:val="00447393"/>
    <w:rsid w:val="004473DF"/>
    <w:rsid w:val="004474FC"/>
    <w:rsid w:val="00453038"/>
    <w:rsid w:val="004532A5"/>
    <w:rsid w:val="00460F5E"/>
    <w:rsid w:val="00461EF4"/>
    <w:rsid w:val="00466900"/>
    <w:rsid w:val="00466DB8"/>
    <w:rsid w:val="0046796B"/>
    <w:rsid w:val="00471F4F"/>
    <w:rsid w:val="00474699"/>
    <w:rsid w:val="00480533"/>
    <w:rsid w:val="00480C65"/>
    <w:rsid w:val="00481541"/>
    <w:rsid w:val="0048274A"/>
    <w:rsid w:val="004828ED"/>
    <w:rsid w:val="00483360"/>
    <w:rsid w:val="0048353E"/>
    <w:rsid w:val="0048444D"/>
    <w:rsid w:val="004863BD"/>
    <w:rsid w:val="00486A2D"/>
    <w:rsid w:val="00491F2D"/>
    <w:rsid w:val="00492ADF"/>
    <w:rsid w:val="00496E86"/>
    <w:rsid w:val="004A042A"/>
    <w:rsid w:val="004A31ED"/>
    <w:rsid w:val="004A45BD"/>
    <w:rsid w:val="004A569D"/>
    <w:rsid w:val="004A6A2F"/>
    <w:rsid w:val="004B0DA6"/>
    <w:rsid w:val="004B2774"/>
    <w:rsid w:val="004B2E6C"/>
    <w:rsid w:val="004B34D6"/>
    <w:rsid w:val="004B367A"/>
    <w:rsid w:val="004B7C4B"/>
    <w:rsid w:val="004C04C5"/>
    <w:rsid w:val="004C2B63"/>
    <w:rsid w:val="004C4CE5"/>
    <w:rsid w:val="004C78E9"/>
    <w:rsid w:val="004D08B9"/>
    <w:rsid w:val="004D09AD"/>
    <w:rsid w:val="004D4945"/>
    <w:rsid w:val="004D605F"/>
    <w:rsid w:val="004D611D"/>
    <w:rsid w:val="004E2D1E"/>
    <w:rsid w:val="004E510F"/>
    <w:rsid w:val="004F0E46"/>
    <w:rsid w:val="004F2F31"/>
    <w:rsid w:val="004F3533"/>
    <w:rsid w:val="004F4CDE"/>
    <w:rsid w:val="004F5A04"/>
    <w:rsid w:val="005011BE"/>
    <w:rsid w:val="00501422"/>
    <w:rsid w:val="0050269A"/>
    <w:rsid w:val="00503529"/>
    <w:rsid w:val="00504279"/>
    <w:rsid w:val="00506CD2"/>
    <w:rsid w:val="00511864"/>
    <w:rsid w:val="00514328"/>
    <w:rsid w:val="00515F56"/>
    <w:rsid w:val="00517629"/>
    <w:rsid w:val="0052100C"/>
    <w:rsid w:val="005249BE"/>
    <w:rsid w:val="00525CD9"/>
    <w:rsid w:val="005264B8"/>
    <w:rsid w:val="005337B9"/>
    <w:rsid w:val="00535611"/>
    <w:rsid w:val="00535713"/>
    <w:rsid w:val="00541263"/>
    <w:rsid w:val="00542C4D"/>
    <w:rsid w:val="0054523B"/>
    <w:rsid w:val="00545A72"/>
    <w:rsid w:val="00546AB9"/>
    <w:rsid w:val="00547D1E"/>
    <w:rsid w:val="00547E09"/>
    <w:rsid w:val="00550BA1"/>
    <w:rsid w:val="00550EE0"/>
    <w:rsid w:val="0055159D"/>
    <w:rsid w:val="00552933"/>
    <w:rsid w:val="00554CAE"/>
    <w:rsid w:val="0055555C"/>
    <w:rsid w:val="00561138"/>
    <w:rsid w:val="005631E7"/>
    <w:rsid w:val="0056531F"/>
    <w:rsid w:val="00565B30"/>
    <w:rsid w:val="00567EEB"/>
    <w:rsid w:val="005720F9"/>
    <w:rsid w:val="0057254F"/>
    <w:rsid w:val="00573633"/>
    <w:rsid w:val="00574552"/>
    <w:rsid w:val="0057650C"/>
    <w:rsid w:val="00576F1A"/>
    <w:rsid w:val="005812F1"/>
    <w:rsid w:val="00582040"/>
    <w:rsid w:val="00582A82"/>
    <w:rsid w:val="00583692"/>
    <w:rsid w:val="0058489B"/>
    <w:rsid w:val="00584A3E"/>
    <w:rsid w:val="0058731E"/>
    <w:rsid w:val="005903A0"/>
    <w:rsid w:val="005905C7"/>
    <w:rsid w:val="0059383E"/>
    <w:rsid w:val="00594DFF"/>
    <w:rsid w:val="00595221"/>
    <w:rsid w:val="0059641E"/>
    <w:rsid w:val="005A03E9"/>
    <w:rsid w:val="005A14BE"/>
    <w:rsid w:val="005A74DC"/>
    <w:rsid w:val="005B2B79"/>
    <w:rsid w:val="005B2F0D"/>
    <w:rsid w:val="005B7BC4"/>
    <w:rsid w:val="005C04F3"/>
    <w:rsid w:val="005C23D4"/>
    <w:rsid w:val="005C2632"/>
    <w:rsid w:val="005C52A5"/>
    <w:rsid w:val="005C6287"/>
    <w:rsid w:val="005C6314"/>
    <w:rsid w:val="005D0EE4"/>
    <w:rsid w:val="005D2930"/>
    <w:rsid w:val="005D45FA"/>
    <w:rsid w:val="005D46C8"/>
    <w:rsid w:val="005D494F"/>
    <w:rsid w:val="005E028F"/>
    <w:rsid w:val="005E08D1"/>
    <w:rsid w:val="005E1D68"/>
    <w:rsid w:val="005E66F6"/>
    <w:rsid w:val="005E69C8"/>
    <w:rsid w:val="005F036B"/>
    <w:rsid w:val="005F198B"/>
    <w:rsid w:val="005F3CDF"/>
    <w:rsid w:val="005F7A39"/>
    <w:rsid w:val="0060244E"/>
    <w:rsid w:val="00603AA7"/>
    <w:rsid w:val="00603DEF"/>
    <w:rsid w:val="00604C06"/>
    <w:rsid w:val="0061183E"/>
    <w:rsid w:val="00616A52"/>
    <w:rsid w:val="00617717"/>
    <w:rsid w:val="0062038F"/>
    <w:rsid w:val="00621997"/>
    <w:rsid w:val="00622008"/>
    <w:rsid w:val="0062357E"/>
    <w:rsid w:val="0062530B"/>
    <w:rsid w:val="00625B89"/>
    <w:rsid w:val="00625FBF"/>
    <w:rsid w:val="00626221"/>
    <w:rsid w:val="00631948"/>
    <w:rsid w:val="006321B4"/>
    <w:rsid w:val="006327C1"/>
    <w:rsid w:val="00634871"/>
    <w:rsid w:val="006349F5"/>
    <w:rsid w:val="00641302"/>
    <w:rsid w:val="00641797"/>
    <w:rsid w:val="006421F0"/>
    <w:rsid w:val="006426B7"/>
    <w:rsid w:val="00642A02"/>
    <w:rsid w:val="00643662"/>
    <w:rsid w:val="00644077"/>
    <w:rsid w:val="00646939"/>
    <w:rsid w:val="00650713"/>
    <w:rsid w:val="00652F7F"/>
    <w:rsid w:val="00657EBF"/>
    <w:rsid w:val="0066133E"/>
    <w:rsid w:val="00661661"/>
    <w:rsid w:val="00661A15"/>
    <w:rsid w:val="0066201B"/>
    <w:rsid w:val="00662241"/>
    <w:rsid w:val="006641A8"/>
    <w:rsid w:val="00666449"/>
    <w:rsid w:val="00666583"/>
    <w:rsid w:val="00671599"/>
    <w:rsid w:val="006715D2"/>
    <w:rsid w:val="00677CE1"/>
    <w:rsid w:val="006807E7"/>
    <w:rsid w:val="006812E3"/>
    <w:rsid w:val="0068198A"/>
    <w:rsid w:val="00682B4F"/>
    <w:rsid w:val="00684D30"/>
    <w:rsid w:val="006857C4"/>
    <w:rsid w:val="00685C8B"/>
    <w:rsid w:val="00687599"/>
    <w:rsid w:val="00691687"/>
    <w:rsid w:val="006917D8"/>
    <w:rsid w:val="00695561"/>
    <w:rsid w:val="006959E1"/>
    <w:rsid w:val="00695EC4"/>
    <w:rsid w:val="0069614E"/>
    <w:rsid w:val="006A44CF"/>
    <w:rsid w:val="006A6C59"/>
    <w:rsid w:val="006B22C9"/>
    <w:rsid w:val="006B2A2F"/>
    <w:rsid w:val="006B2F19"/>
    <w:rsid w:val="006B36C7"/>
    <w:rsid w:val="006B3BB5"/>
    <w:rsid w:val="006B4513"/>
    <w:rsid w:val="006C0236"/>
    <w:rsid w:val="006C5A57"/>
    <w:rsid w:val="006C643A"/>
    <w:rsid w:val="006C648E"/>
    <w:rsid w:val="006C7054"/>
    <w:rsid w:val="006C76A7"/>
    <w:rsid w:val="006D0B4A"/>
    <w:rsid w:val="006D22C7"/>
    <w:rsid w:val="006D2F87"/>
    <w:rsid w:val="006D5436"/>
    <w:rsid w:val="006D77D2"/>
    <w:rsid w:val="006E1310"/>
    <w:rsid w:val="006E1B73"/>
    <w:rsid w:val="006E2E9A"/>
    <w:rsid w:val="006E3901"/>
    <w:rsid w:val="006E67F3"/>
    <w:rsid w:val="006E76D2"/>
    <w:rsid w:val="006E7835"/>
    <w:rsid w:val="006F0EAA"/>
    <w:rsid w:val="006F4F29"/>
    <w:rsid w:val="006F6D64"/>
    <w:rsid w:val="00700C8C"/>
    <w:rsid w:val="007036B4"/>
    <w:rsid w:val="00704656"/>
    <w:rsid w:val="00705135"/>
    <w:rsid w:val="00710AD1"/>
    <w:rsid w:val="007124F9"/>
    <w:rsid w:val="00713B1C"/>
    <w:rsid w:val="0071475C"/>
    <w:rsid w:val="007155F4"/>
    <w:rsid w:val="00717211"/>
    <w:rsid w:val="00717D4C"/>
    <w:rsid w:val="00721A9F"/>
    <w:rsid w:val="007227A5"/>
    <w:rsid w:val="00724E5A"/>
    <w:rsid w:val="007261AF"/>
    <w:rsid w:val="007268EC"/>
    <w:rsid w:val="00730DFE"/>
    <w:rsid w:val="00733393"/>
    <w:rsid w:val="00736781"/>
    <w:rsid w:val="00740CD3"/>
    <w:rsid w:val="00742D33"/>
    <w:rsid w:val="00744074"/>
    <w:rsid w:val="00745C16"/>
    <w:rsid w:val="007478FA"/>
    <w:rsid w:val="00751DC5"/>
    <w:rsid w:val="00753CF4"/>
    <w:rsid w:val="00754985"/>
    <w:rsid w:val="00756B33"/>
    <w:rsid w:val="00757078"/>
    <w:rsid w:val="0075724E"/>
    <w:rsid w:val="007622B1"/>
    <w:rsid w:val="007625D1"/>
    <w:rsid w:val="00762862"/>
    <w:rsid w:val="0076350E"/>
    <w:rsid w:val="00764317"/>
    <w:rsid w:val="0076527D"/>
    <w:rsid w:val="007666FB"/>
    <w:rsid w:val="00767073"/>
    <w:rsid w:val="00770686"/>
    <w:rsid w:val="0077258D"/>
    <w:rsid w:val="00772B00"/>
    <w:rsid w:val="0077486F"/>
    <w:rsid w:val="007760E9"/>
    <w:rsid w:val="00776B7A"/>
    <w:rsid w:val="00776D20"/>
    <w:rsid w:val="007825B7"/>
    <w:rsid w:val="00785844"/>
    <w:rsid w:val="007873FF"/>
    <w:rsid w:val="00790015"/>
    <w:rsid w:val="00790532"/>
    <w:rsid w:val="00790E52"/>
    <w:rsid w:val="00792467"/>
    <w:rsid w:val="007924C1"/>
    <w:rsid w:val="007936D9"/>
    <w:rsid w:val="00793809"/>
    <w:rsid w:val="00793CA4"/>
    <w:rsid w:val="0079409C"/>
    <w:rsid w:val="007941C9"/>
    <w:rsid w:val="00794966"/>
    <w:rsid w:val="007A07C9"/>
    <w:rsid w:val="007A2F03"/>
    <w:rsid w:val="007A3B28"/>
    <w:rsid w:val="007A53B2"/>
    <w:rsid w:val="007A5B2A"/>
    <w:rsid w:val="007A621E"/>
    <w:rsid w:val="007A69F5"/>
    <w:rsid w:val="007A7C94"/>
    <w:rsid w:val="007B5AA4"/>
    <w:rsid w:val="007C0022"/>
    <w:rsid w:val="007C1A21"/>
    <w:rsid w:val="007C1CA6"/>
    <w:rsid w:val="007C265E"/>
    <w:rsid w:val="007C6065"/>
    <w:rsid w:val="007C6B6E"/>
    <w:rsid w:val="007D00C0"/>
    <w:rsid w:val="007D0591"/>
    <w:rsid w:val="007D2AD5"/>
    <w:rsid w:val="007D62EE"/>
    <w:rsid w:val="007D7B66"/>
    <w:rsid w:val="007E05B6"/>
    <w:rsid w:val="007E44F2"/>
    <w:rsid w:val="007E459E"/>
    <w:rsid w:val="007E5D28"/>
    <w:rsid w:val="007E7538"/>
    <w:rsid w:val="007F18E6"/>
    <w:rsid w:val="007F2D2E"/>
    <w:rsid w:val="007F3A56"/>
    <w:rsid w:val="007F61C3"/>
    <w:rsid w:val="00800698"/>
    <w:rsid w:val="008006C0"/>
    <w:rsid w:val="0080075F"/>
    <w:rsid w:val="00802A53"/>
    <w:rsid w:val="00805AB8"/>
    <w:rsid w:val="008124C8"/>
    <w:rsid w:val="0081457A"/>
    <w:rsid w:val="00815C45"/>
    <w:rsid w:val="008224BA"/>
    <w:rsid w:val="00822602"/>
    <w:rsid w:val="00825066"/>
    <w:rsid w:val="00825143"/>
    <w:rsid w:val="0082547D"/>
    <w:rsid w:val="00825A5E"/>
    <w:rsid w:val="008318C7"/>
    <w:rsid w:val="00833FD4"/>
    <w:rsid w:val="00836DB5"/>
    <w:rsid w:val="00837D77"/>
    <w:rsid w:val="00840B54"/>
    <w:rsid w:val="008442CF"/>
    <w:rsid w:val="008472A3"/>
    <w:rsid w:val="00847430"/>
    <w:rsid w:val="00847FAC"/>
    <w:rsid w:val="00850134"/>
    <w:rsid w:val="008502E6"/>
    <w:rsid w:val="00851EA3"/>
    <w:rsid w:val="008600C7"/>
    <w:rsid w:val="00860148"/>
    <w:rsid w:val="00860404"/>
    <w:rsid w:val="008610F5"/>
    <w:rsid w:val="00867EFE"/>
    <w:rsid w:val="00873A4A"/>
    <w:rsid w:val="0087586F"/>
    <w:rsid w:val="0088323E"/>
    <w:rsid w:val="00885B80"/>
    <w:rsid w:val="00891842"/>
    <w:rsid w:val="00894943"/>
    <w:rsid w:val="0089684E"/>
    <w:rsid w:val="008A2CD2"/>
    <w:rsid w:val="008A6FEB"/>
    <w:rsid w:val="008B0C87"/>
    <w:rsid w:val="008B2575"/>
    <w:rsid w:val="008B3B0F"/>
    <w:rsid w:val="008B469C"/>
    <w:rsid w:val="008B5084"/>
    <w:rsid w:val="008B5FAA"/>
    <w:rsid w:val="008B646F"/>
    <w:rsid w:val="008C15C9"/>
    <w:rsid w:val="008C18D0"/>
    <w:rsid w:val="008C54D0"/>
    <w:rsid w:val="008C553F"/>
    <w:rsid w:val="008C7385"/>
    <w:rsid w:val="008D5FCF"/>
    <w:rsid w:val="008D6EF5"/>
    <w:rsid w:val="008E172B"/>
    <w:rsid w:val="008E2653"/>
    <w:rsid w:val="008E5996"/>
    <w:rsid w:val="008E65F7"/>
    <w:rsid w:val="008E7F2A"/>
    <w:rsid w:val="008F0986"/>
    <w:rsid w:val="008F3592"/>
    <w:rsid w:val="008F7957"/>
    <w:rsid w:val="00900E4D"/>
    <w:rsid w:val="00901473"/>
    <w:rsid w:val="00901EA7"/>
    <w:rsid w:val="00906E86"/>
    <w:rsid w:val="009118F7"/>
    <w:rsid w:val="009127F0"/>
    <w:rsid w:val="00917636"/>
    <w:rsid w:val="00924A17"/>
    <w:rsid w:val="00926DB1"/>
    <w:rsid w:val="00931076"/>
    <w:rsid w:val="00933B73"/>
    <w:rsid w:val="00935314"/>
    <w:rsid w:val="00942BDA"/>
    <w:rsid w:val="00943CFD"/>
    <w:rsid w:val="009445E7"/>
    <w:rsid w:val="0094663B"/>
    <w:rsid w:val="009469A0"/>
    <w:rsid w:val="0095157E"/>
    <w:rsid w:val="009517D4"/>
    <w:rsid w:val="00951F04"/>
    <w:rsid w:val="00951FFB"/>
    <w:rsid w:val="009525C3"/>
    <w:rsid w:val="009534B5"/>
    <w:rsid w:val="00957DCF"/>
    <w:rsid w:val="009616B8"/>
    <w:rsid w:val="0097413F"/>
    <w:rsid w:val="00974E86"/>
    <w:rsid w:val="009752CC"/>
    <w:rsid w:val="0097581F"/>
    <w:rsid w:val="00977434"/>
    <w:rsid w:val="00983E44"/>
    <w:rsid w:val="00985A99"/>
    <w:rsid w:val="0098603D"/>
    <w:rsid w:val="00986CF9"/>
    <w:rsid w:val="0098787D"/>
    <w:rsid w:val="00990DC5"/>
    <w:rsid w:val="009914B3"/>
    <w:rsid w:val="009A1C16"/>
    <w:rsid w:val="009A36CE"/>
    <w:rsid w:val="009A4C94"/>
    <w:rsid w:val="009A4D1A"/>
    <w:rsid w:val="009A4F72"/>
    <w:rsid w:val="009A5AE8"/>
    <w:rsid w:val="009B2065"/>
    <w:rsid w:val="009B31D6"/>
    <w:rsid w:val="009B3AFD"/>
    <w:rsid w:val="009B48DF"/>
    <w:rsid w:val="009B52CC"/>
    <w:rsid w:val="009C0B5C"/>
    <w:rsid w:val="009C0C83"/>
    <w:rsid w:val="009C14AE"/>
    <w:rsid w:val="009C2D9B"/>
    <w:rsid w:val="009C59C6"/>
    <w:rsid w:val="009C6288"/>
    <w:rsid w:val="009C6FBB"/>
    <w:rsid w:val="009C764C"/>
    <w:rsid w:val="009D1035"/>
    <w:rsid w:val="009D3131"/>
    <w:rsid w:val="009D4650"/>
    <w:rsid w:val="009D545D"/>
    <w:rsid w:val="009D6900"/>
    <w:rsid w:val="009E1A34"/>
    <w:rsid w:val="009E3259"/>
    <w:rsid w:val="009E3734"/>
    <w:rsid w:val="009E6222"/>
    <w:rsid w:val="009E6628"/>
    <w:rsid w:val="009F0271"/>
    <w:rsid w:val="009F0E3C"/>
    <w:rsid w:val="009F270C"/>
    <w:rsid w:val="009F52E1"/>
    <w:rsid w:val="009F5A73"/>
    <w:rsid w:val="009F62E5"/>
    <w:rsid w:val="009F7030"/>
    <w:rsid w:val="00A03C30"/>
    <w:rsid w:val="00A04669"/>
    <w:rsid w:val="00A05673"/>
    <w:rsid w:val="00A10A00"/>
    <w:rsid w:val="00A110AB"/>
    <w:rsid w:val="00A1141B"/>
    <w:rsid w:val="00A11FB3"/>
    <w:rsid w:val="00A122FC"/>
    <w:rsid w:val="00A134DA"/>
    <w:rsid w:val="00A14572"/>
    <w:rsid w:val="00A14CCC"/>
    <w:rsid w:val="00A2040E"/>
    <w:rsid w:val="00A253BB"/>
    <w:rsid w:val="00A30C24"/>
    <w:rsid w:val="00A35396"/>
    <w:rsid w:val="00A356BC"/>
    <w:rsid w:val="00A356FA"/>
    <w:rsid w:val="00A37285"/>
    <w:rsid w:val="00A37D9E"/>
    <w:rsid w:val="00A37E96"/>
    <w:rsid w:val="00A425CD"/>
    <w:rsid w:val="00A45036"/>
    <w:rsid w:val="00A458C8"/>
    <w:rsid w:val="00A46908"/>
    <w:rsid w:val="00A471E6"/>
    <w:rsid w:val="00A477DB"/>
    <w:rsid w:val="00A47DA9"/>
    <w:rsid w:val="00A55339"/>
    <w:rsid w:val="00A55FE0"/>
    <w:rsid w:val="00A60D51"/>
    <w:rsid w:val="00A62935"/>
    <w:rsid w:val="00A62C3A"/>
    <w:rsid w:val="00A67292"/>
    <w:rsid w:val="00A67C90"/>
    <w:rsid w:val="00A704AA"/>
    <w:rsid w:val="00A757B2"/>
    <w:rsid w:val="00A758EB"/>
    <w:rsid w:val="00A773EE"/>
    <w:rsid w:val="00A80751"/>
    <w:rsid w:val="00A807AC"/>
    <w:rsid w:val="00A81434"/>
    <w:rsid w:val="00A82284"/>
    <w:rsid w:val="00A867A3"/>
    <w:rsid w:val="00A87C37"/>
    <w:rsid w:val="00A87E35"/>
    <w:rsid w:val="00A9150E"/>
    <w:rsid w:val="00A94B04"/>
    <w:rsid w:val="00A967B0"/>
    <w:rsid w:val="00A97265"/>
    <w:rsid w:val="00AA0B57"/>
    <w:rsid w:val="00AA0D1A"/>
    <w:rsid w:val="00AA1953"/>
    <w:rsid w:val="00AA49AD"/>
    <w:rsid w:val="00AA4F72"/>
    <w:rsid w:val="00AA66EA"/>
    <w:rsid w:val="00AB1D5B"/>
    <w:rsid w:val="00AB1DFF"/>
    <w:rsid w:val="00AB4615"/>
    <w:rsid w:val="00AC170B"/>
    <w:rsid w:val="00AC23EA"/>
    <w:rsid w:val="00AC3289"/>
    <w:rsid w:val="00AC356E"/>
    <w:rsid w:val="00AC5912"/>
    <w:rsid w:val="00AD24C3"/>
    <w:rsid w:val="00AE06FD"/>
    <w:rsid w:val="00AE2656"/>
    <w:rsid w:val="00AF11C7"/>
    <w:rsid w:val="00AF24C2"/>
    <w:rsid w:val="00AF3D13"/>
    <w:rsid w:val="00AF4337"/>
    <w:rsid w:val="00AF7EC7"/>
    <w:rsid w:val="00B01731"/>
    <w:rsid w:val="00B02306"/>
    <w:rsid w:val="00B046EB"/>
    <w:rsid w:val="00B04AEC"/>
    <w:rsid w:val="00B05278"/>
    <w:rsid w:val="00B06877"/>
    <w:rsid w:val="00B07372"/>
    <w:rsid w:val="00B07959"/>
    <w:rsid w:val="00B11769"/>
    <w:rsid w:val="00B134E0"/>
    <w:rsid w:val="00B15B3E"/>
    <w:rsid w:val="00B16781"/>
    <w:rsid w:val="00B16BA9"/>
    <w:rsid w:val="00B23587"/>
    <w:rsid w:val="00B24DF0"/>
    <w:rsid w:val="00B33CDD"/>
    <w:rsid w:val="00B34B3D"/>
    <w:rsid w:val="00B35C62"/>
    <w:rsid w:val="00B364F1"/>
    <w:rsid w:val="00B3749C"/>
    <w:rsid w:val="00B40B5B"/>
    <w:rsid w:val="00B4409A"/>
    <w:rsid w:val="00B4627E"/>
    <w:rsid w:val="00B52FE4"/>
    <w:rsid w:val="00B62E43"/>
    <w:rsid w:val="00B70C08"/>
    <w:rsid w:val="00B71C38"/>
    <w:rsid w:val="00B7292D"/>
    <w:rsid w:val="00B729A9"/>
    <w:rsid w:val="00B730CD"/>
    <w:rsid w:val="00B7530B"/>
    <w:rsid w:val="00B76CEA"/>
    <w:rsid w:val="00B77C00"/>
    <w:rsid w:val="00B81D2E"/>
    <w:rsid w:val="00B83CB1"/>
    <w:rsid w:val="00B83FE3"/>
    <w:rsid w:val="00B87498"/>
    <w:rsid w:val="00B87A52"/>
    <w:rsid w:val="00B90A77"/>
    <w:rsid w:val="00B95137"/>
    <w:rsid w:val="00B96254"/>
    <w:rsid w:val="00B970B9"/>
    <w:rsid w:val="00BA0044"/>
    <w:rsid w:val="00BA187F"/>
    <w:rsid w:val="00BA3305"/>
    <w:rsid w:val="00BA5784"/>
    <w:rsid w:val="00BB136B"/>
    <w:rsid w:val="00BB145F"/>
    <w:rsid w:val="00BB161A"/>
    <w:rsid w:val="00BB3706"/>
    <w:rsid w:val="00BB3ED9"/>
    <w:rsid w:val="00BB496E"/>
    <w:rsid w:val="00BC00B0"/>
    <w:rsid w:val="00BC2071"/>
    <w:rsid w:val="00BD277D"/>
    <w:rsid w:val="00BD3A1B"/>
    <w:rsid w:val="00BD3FC9"/>
    <w:rsid w:val="00BD450F"/>
    <w:rsid w:val="00BE06A6"/>
    <w:rsid w:val="00BE26E9"/>
    <w:rsid w:val="00BE28F8"/>
    <w:rsid w:val="00BE387D"/>
    <w:rsid w:val="00BE3AD6"/>
    <w:rsid w:val="00BE3DAD"/>
    <w:rsid w:val="00BE4869"/>
    <w:rsid w:val="00BE5B72"/>
    <w:rsid w:val="00BE685E"/>
    <w:rsid w:val="00BE6FE0"/>
    <w:rsid w:val="00BE7012"/>
    <w:rsid w:val="00BE7BA9"/>
    <w:rsid w:val="00BF0392"/>
    <w:rsid w:val="00BF0F24"/>
    <w:rsid w:val="00BF1793"/>
    <w:rsid w:val="00BF3C08"/>
    <w:rsid w:val="00C01502"/>
    <w:rsid w:val="00C03366"/>
    <w:rsid w:val="00C04758"/>
    <w:rsid w:val="00C050A9"/>
    <w:rsid w:val="00C07CE2"/>
    <w:rsid w:val="00C10741"/>
    <w:rsid w:val="00C12785"/>
    <w:rsid w:val="00C14FC7"/>
    <w:rsid w:val="00C17691"/>
    <w:rsid w:val="00C20B8E"/>
    <w:rsid w:val="00C22990"/>
    <w:rsid w:val="00C23E90"/>
    <w:rsid w:val="00C338BE"/>
    <w:rsid w:val="00C36887"/>
    <w:rsid w:val="00C37386"/>
    <w:rsid w:val="00C40D9C"/>
    <w:rsid w:val="00C4236E"/>
    <w:rsid w:val="00C45DD6"/>
    <w:rsid w:val="00C51A22"/>
    <w:rsid w:val="00C535D5"/>
    <w:rsid w:val="00C57D49"/>
    <w:rsid w:val="00C60F3E"/>
    <w:rsid w:val="00C61904"/>
    <w:rsid w:val="00C61C9E"/>
    <w:rsid w:val="00C63766"/>
    <w:rsid w:val="00C671B8"/>
    <w:rsid w:val="00C70439"/>
    <w:rsid w:val="00C70848"/>
    <w:rsid w:val="00C737A8"/>
    <w:rsid w:val="00C747B8"/>
    <w:rsid w:val="00C76801"/>
    <w:rsid w:val="00C801BD"/>
    <w:rsid w:val="00C807BD"/>
    <w:rsid w:val="00C815CE"/>
    <w:rsid w:val="00C821FA"/>
    <w:rsid w:val="00C82B98"/>
    <w:rsid w:val="00C83064"/>
    <w:rsid w:val="00C8379C"/>
    <w:rsid w:val="00C8504E"/>
    <w:rsid w:val="00C90B8A"/>
    <w:rsid w:val="00C91A2E"/>
    <w:rsid w:val="00C96376"/>
    <w:rsid w:val="00CA066D"/>
    <w:rsid w:val="00CA1FBF"/>
    <w:rsid w:val="00CA4CEB"/>
    <w:rsid w:val="00CA5E19"/>
    <w:rsid w:val="00CA5F55"/>
    <w:rsid w:val="00CB0A5F"/>
    <w:rsid w:val="00CB0D1A"/>
    <w:rsid w:val="00CB4BC4"/>
    <w:rsid w:val="00CC0732"/>
    <w:rsid w:val="00CC17B7"/>
    <w:rsid w:val="00CC371C"/>
    <w:rsid w:val="00CC520D"/>
    <w:rsid w:val="00CC5DAC"/>
    <w:rsid w:val="00CD0EC0"/>
    <w:rsid w:val="00CD2790"/>
    <w:rsid w:val="00CD4519"/>
    <w:rsid w:val="00CD61EE"/>
    <w:rsid w:val="00CE00BE"/>
    <w:rsid w:val="00CE0CD6"/>
    <w:rsid w:val="00CE1A50"/>
    <w:rsid w:val="00CE275A"/>
    <w:rsid w:val="00CE56AC"/>
    <w:rsid w:val="00CE5CB3"/>
    <w:rsid w:val="00CF0D2E"/>
    <w:rsid w:val="00CF0E3A"/>
    <w:rsid w:val="00CF3C4F"/>
    <w:rsid w:val="00CF4C19"/>
    <w:rsid w:val="00CF6CA2"/>
    <w:rsid w:val="00D00B92"/>
    <w:rsid w:val="00D015C6"/>
    <w:rsid w:val="00D038D2"/>
    <w:rsid w:val="00D0459F"/>
    <w:rsid w:val="00D04DA6"/>
    <w:rsid w:val="00D0598D"/>
    <w:rsid w:val="00D073BC"/>
    <w:rsid w:val="00D1026C"/>
    <w:rsid w:val="00D12214"/>
    <w:rsid w:val="00D14269"/>
    <w:rsid w:val="00D147A7"/>
    <w:rsid w:val="00D1633B"/>
    <w:rsid w:val="00D174A4"/>
    <w:rsid w:val="00D2308D"/>
    <w:rsid w:val="00D24B8F"/>
    <w:rsid w:val="00D24D2A"/>
    <w:rsid w:val="00D2508F"/>
    <w:rsid w:val="00D259AB"/>
    <w:rsid w:val="00D2610E"/>
    <w:rsid w:val="00D264BB"/>
    <w:rsid w:val="00D2739E"/>
    <w:rsid w:val="00D31D19"/>
    <w:rsid w:val="00D333BB"/>
    <w:rsid w:val="00D334CF"/>
    <w:rsid w:val="00D3552A"/>
    <w:rsid w:val="00D35823"/>
    <w:rsid w:val="00D43D81"/>
    <w:rsid w:val="00D4452B"/>
    <w:rsid w:val="00D47BAB"/>
    <w:rsid w:val="00D50329"/>
    <w:rsid w:val="00D513C0"/>
    <w:rsid w:val="00D52995"/>
    <w:rsid w:val="00D548DF"/>
    <w:rsid w:val="00D553D9"/>
    <w:rsid w:val="00D61632"/>
    <w:rsid w:val="00D617A1"/>
    <w:rsid w:val="00D618EC"/>
    <w:rsid w:val="00D62FD6"/>
    <w:rsid w:val="00D6724D"/>
    <w:rsid w:val="00D70099"/>
    <w:rsid w:val="00D71571"/>
    <w:rsid w:val="00D715EA"/>
    <w:rsid w:val="00D72DDB"/>
    <w:rsid w:val="00D747B8"/>
    <w:rsid w:val="00D754B9"/>
    <w:rsid w:val="00D7559B"/>
    <w:rsid w:val="00D76313"/>
    <w:rsid w:val="00D774DC"/>
    <w:rsid w:val="00D806CB"/>
    <w:rsid w:val="00D82F8C"/>
    <w:rsid w:val="00D84ADB"/>
    <w:rsid w:val="00D84B03"/>
    <w:rsid w:val="00D85774"/>
    <w:rsid w:val="00D86C61"/>
    <w:rsid w:val="00D8741E"/>
    <w:rsid w:val="00D91695"/>
    <w:rsid w:val="00D916A3"/>
    <w:rsid w:val="00D9287B"/>
    <w:rsid w:val="00D93BFC"/>
    <w:rsid w:val="00D94B27"/>
    <w:rsid w:val="00DA2DD1"/>
    <w:rsid w:val="00DA2EA6"/>
    <w:rsid w:val="00DA3224"/>
    <w:rsid w:val="00DA3801"/>
    <w:rsid w:val="00DA3EF7"/>
    <w:rsid w:val="00DA4F73"/>
    <w:rsid w:val="00DA7487"/>
    <w:rsid w:val="00DB1875"/>
    <w:rsid w:val="00DB23EB"/>
    <w:rsid w:val="00DB25A9"/>
    <w:rsid w:val="00DB2708"/>
    <w:rsid w:val="00DB4FCC"/>
    <w:rsid w:val="00DB53C9"/>
    <w:rsid w:val="00DB7126"/>
    <w:rsid w:val="00DC0B01"/>
    <w:rsid w:val="00DC1CA7"/>
    <w:rsid w:val="00DC6A4B"/>
    <w:rsid w:val="00DD14A9"/>
    <w:rsid w:val="00DD1C0E"/>
    <w:rsid w:val="00DD5283"/>
    <w:rsid w:val="00DD64BD"/>
    <w:rsid w:val="00DD6E2C"/>
    <w:rsid w:val="00DE0A84"/>
    <w:rsid w:val="00DE38B4"/>
    <w:rsid w:val="00DE3E02"/>
    <w:rsid w:val="00DE514A"/>
    <w:rsid w:val="00DF0778"/>
    <w:rsid w:val="00DF1B16"/>
    <w:rsid w:val="00DF491D"/>
    <w:rsid w:val="00DF6F6C"/>
    <w:rsid w:val="00E0044E"/>
    <w:rsid w:val="00E03315"/>
    <w:rsid w:val="00E04D14"/>
    <w:rsid w:val="00E04D80"/>
    <w:rsid w:val="00E065C8"/>
    <w:rsid w:val="00E102C6"/>
    <w:rsid w:val="00E12603"/>
    <w:rsid w:val="00E12932"/>
    <w:rsid w:val="00E144D8"/>
    <w:rsid w:val="00E145A2"/>
    <w:rsid w:val="00E14C48"/>
    <w:rsid w:val="00E16241"/>
    <w:rsid w:val="00E16FE3"/>
    <w:rsid w:val="00E21A2D"/>
    <w:rsid w:val="00E233D9"/>
    <w:rsid w:val="00E237EF"/>
    <w:rsid w:val="00E27E96"/>
    <w:rsid w:val="00E27FD9"/>
    <w:rsid w:val="00E30EA1"/>
    <w:rsid w:val="00E32AD4"/>
    <w:rsid w:val="00E3735B"/>
    <w:rsid w:val="00E40139"/>
    <w:rsid w:val="00E40C6F"/>
    <w:rsid w:val="00E40D4E"/>
    <w:rsid w:val="00E41103"/>
    <w:rsid w:val="00E4144B"/>
    <w:rsid w:val="00E4304B"/>
    <w:rsid w:val="00E434F6"/>
    <w:rsid w:val="00E46B14"/>
    <w:rsid w:val="00E4731F"/>
    <w:rsid w:val="00E51011"/>
    <w:rsid w:val="00E54A5A"/>
    <w:rsid w:val="00E55E7D"/>
    <w:rsid w:val="00E5741A"/>
    <w:rsid w:val="00E60270"/>
    <w:rsid w:val="00E61F29"/>
    <w:rsid w:val="00E62ABF"/>
    <w:rsid w:val="00E652EF"/>
    <w:rsid w:val="00E65B38"/>
    <w:rsid w:val="00E668AF"/>
    <w:rsid w:val="00E707EE"/>
    <w:rsid w:val="00E73358"/>
    <w:rsid w:val="00E74BF7"/>
    <w:rsid w:val="00E74EF3"/>
    <w:rsid w:val="00E9074C"/>
    <w:rsid w:val="00E916A4"/>
    <w:rsid w:val="00E91783"/>
    <w:rsid w:val="00E92DC3"/>
    <w:rsid w:val="00EA0729"/>
    <w:rsid w:val="00EA22F7"/>
    <w:rsid w:val="00EA312C"/>
    <w:rsid w:val="00EA334D"/>
    <w:rsid w:val="00EA7647"/>
    <w:rsid w:val="00EB2AE1"/>
    <w:rsid w:val="00EB3514"/>
    <w:rsid w:val="00EB4282"/>
    <w:rsid w:val="00EC0237"/>
    <w:rsid w:val="00EC0FE0"/>
    <w:rsid w:val="00EC1434"/>
    <w:rsid w:val="00EC1CCD"/>
    <w:rsid w:val="00EC2851"/>
    <w:rsid w:val="00ED0688"/>
    <w:rsid w:val="00ED0FFB"/>
    <w:rsid w:val="00ED28B7"/>
    <w:rsid w:val="00ED306F"/>
    <w:rsid w:val="00ED484F"/>
    <w:rsid w:val="00ED7F73"/>
    <w:rsid w:val="00EE07AD"/>
    <w:rsid w:val="00EE5505"/>
    <w:rsid w:val="00EE656F"/>
    <w:rsid w:val="00EF25D5"/>
    <w:rsid w:val="00EF6042"/>
    <w:rsid w:val="00F01A32"/>
    <w:rsid w:val="00F01E5B"/>
    <w:rsid w:val="00F02595"/>
    <w:rsid w:val="00F04383"/>
    <w:rsid w:val="00F052FA"/>
    <w:rsid w:val="00F05A3B"/>
    <w:rsid w:val="00F0699E"/>
    <w:rsid w:val="00F10121"/>
    <w:rsid w:val="00F171A5"/>
    <w:rsid w:val="00F177F0"/>
    <w:rsid w:val="00F17E6B"/>
    <w:rsid w:val="00F20B20"/>
    <w:rsid w:val="00F26472"/>
    <w:rsid w:val="00F315E9"/>
    <w:rsid w:val="00F32FFE"/>
    <w:rsid w:val="00F33C3A"/>
    <w:rsid w:val="00F36AF4"/>
    <w:rsid w:val="00F36D2A"/>
    <w:rsid w:val="00F4463D"/>
    <w:rsid w:val="00F54077"/>
    <w:rsid w:val="00F5600A"/>
    <w:rsid w:val="00F5750A"/>
    <w:rsid w:val="00F608B7"/>
    <w:rsid w:val="00F61EC1"/>
    <w:rsid w:val="00F62936"/>
    <w:rsid w:val="00F66751"/>
    <w:rsid w:val="00F7240B"/>
    <w:rsid w:val="00F73D96"/>
    <w:rsid w:val="00F73EE7"/>
    <w:rsid w:val="00F755F7"/>
    <w:rsid w:val="00F76203"/>
    <w:rsid w:val="00F77B08"/>
    <w:rsid w:val="00F8287F"/>
    <w:rsid w:val="00F831F9"/>
    <w:rsid w:val="00F83CA7"/>
    <w:rsid w:val="00F85463"/>
    <w:rsid w:val="00F8675A"/>
    <w:rsid w:val="00F86B1F"/>
    <w:rsid w:val="00F901F7"/>
    <w:rsid w:val="00F90482"/>
    <w:rsid w:val="00F9102C"/>
    <w:rsid w:val="00F92EA0"/>
    <w:rsid w:val="00F9469D"/>
    <w:rsid w:val="00F95606"/>
    <w:rsid w:val="00F97EF8"/>
    <w:rsid w:val="00FA3463"/>
    <w:rsid w:val="00FA48B5"/>
    <w:rsid w:val="00FA6361"/>
    <w:rsid w:val="00FB0D88"/>
    <w:rsid w:val="00FB167F"/>
    <w:rsid w:val="00FB1D2C"/>
    <w:rsid w:val="00FB3D0A"/>
    <w:rsid w:val="00FB6004"/>
    <w:rsid w:val="00FB6946"/>
    <w:rsid w:val="00FB69FD"/>
    <w:rsid w:val="00FC4811"/>
    <w:rsid w:val="00FC531B"/>
    <w:rsid w:val="00FC6451"/>
    <w:rsid w:val="00FC7709"/>
    <w:rsid w:val="00FD61E6"/>
    <w:rsid w:val="00FD771F"/>
    <w:rsid w:val="00FE3636"/>
    <w:rsid w:val="00FE6F0B"/>
    <w:rsid w:val="00FE7B47"/>
    <w:rsid w:val="00FF4B82"/>
    <w:rsid w:val="00FF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Footnote Text Char Char Char,Footnote Text Char,Char Char,Footnote Text Char2 Char,Footnote Text Char2 Char Char Char Char,Footnote Text Char1 Char1 Char1 Char Char Char"/>
    <w:basedOn w:val="Normal"/>
    <w:link w:val="FootnoteTextChar2"/>
    <w:rsid w:val="008B086E"/>
    <w:p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aliases w:val="o,fr,Style 3,o1,o2,o3,o4,o5,o6,o11,o21,o7"/>
    <w:uiPriority w:val="99"/>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table" w:styleId="TableGrid">
    <w:name w:val="Table Grid"/>
    <w:basedOn w:val="TableNormal"/>
    <w:rsid w:val="00427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rsid w:val="007A6BF1"/>
  </w:style>
  <w:style w:type="paragraph" w:customStyle="1" w:styleId="Style3">
    <w:name w:val="Style3"/>
    <w:basedOn w:val="Normal"/>
    <w:rsid w:val="008B086E"/>
  </w:style>
  <w:style w:type="character" w:customStyle="1" w:styleId="FootnoteTextChar2">
    <w:name w:val="Footnote Text Char2"/>
    <w:aliases w:val="Footnote Text Char1 Char1,Footnote Text Char Char Char1,Footnote Text Char1 Char Char,Footnote Text Char Char Char Char,Footnote Text Char Char1,Char Char Char,Footnote Text Char2 Char Char"/>
    <w:link w:val="FootnoteText"/>
    <w:rsid w:val="00427326"/>
    <w:rPr>
      <w:rFonts w:ascii="Palatino" w:hAnsi="Palatino"/>
      <w:sz w:val="24"/>
      <w:lang w:val="en-US" w:eastAsia="en-US" w:bidi="ar-SA"/>
    </w:rPr>
  </w:style>
  <w:style w:type="paragraph" w:styleId="BodyText">
    <w:name w:val="Body Text"/>
    <w:basedOn w:val="Normal"/>
    <w:link w:val="BodyTextChar"/>
    <w:rsid w:val="00427326"/>
    <w:rPr>
      <w:b/>
    </w:rPr>
  </w:style>
  <w:style w:type="character" w:customStyle="1" w:styleId="BodyTextChar">
    <w:name w:val="Body Text Char"/>
    <w:link w:val="BodyText"/>
    <w:rsid w:val="00427326"/>
    <w:rPr>
      <w:rFonts w:ascii="Palatino" w:hAnsi="Palatino"/>
      <w:b/>
      <w:sz w:val="26"/>
      <w:lang w:val="en-US" w:eastAsia="en-US" w:bidi="ar-SA"/>
    </w:rPr>
  </w:style>
  <w:style w:type="character" w:styleId="Strong">
    <w:name w:val="Strong"/>
    <w:qFormat/>
    <w:rsid w:val="005771F3"/>
    <w:rPr>
      <w:b/>
      <w:bCs/>
    </w:rPr>
  </w:style>
  <w:style w:type="paragraph" w:styleId="BalloonText">
    <w:name w:val="Balloon Text"/>
    <w:basedOn w:val="Normal"/>
    <w:link w:val="BalloonTextChar"/>
    <w:rsid w:val="0035608D"/>
    <w:rPr>
      <w:rFonts w:ascii="Tahoma" w:hAnsi="Tahoma"/>
      <w:sz w:val="16"/>
      <w:szCs w:val="16"/>
      <w:lang w:val="x-none" w:eastAsia="x-none"/>
    </w:rPr>
  </w:style>
  <w:style w:type="character" w:customStyle="1" w:styleId="BalloonTextChar">
    <w:name w:val="Balloon Text Char"/>
    <w:link w:val="BalloonText"/>
    <w:rsid w:val="0035608D"/>
    <w:rPr>
      <w:rFonts w:ascii="Tahoma" w:hAnsi="Tahoma" w:cs="Tahoma"/>
      <w:sz w:val="16"/>
      <w:szCs w:val="16"/>
    </w:rPr>
  </w:style>
  <w:style w:type="character" w:styleId="CommentReference">
    <w:name w:val="annotation reference"/>
    <w:rsid w:val="0035608D"/>
    <w:rPr>
      <w:sz w:val="16"/>
      <w:szCs w:val="16"/>
    </w:rPr>
  </w:style>
  <w:style w:type="paragraph" w:styleId="CommentText">
    <w:name w:val="annotation text"/>
    <w:basedOn w:val="Normal"/>
    <w:link w:val="CommentTextChar"/>
    <w:rsid w:val="0035608D"/>
    <w:rPr>
      <w:sz w:val="20"/>
      <w:lang w:val="x-none" w:eastAsia="x-none"/>
    </w:rPr>
  </w:style>
  <w:style w:type="character" w:customStyle="1" w:styleId="CommentTextChar">
    <w:name w:val="Comment Text Char"/>
    <w:link w:val="CommentText"/>
    <w:rsid w:val="0035608D"/>
    <w:rPr>
      <w:rFonts w:ascii="Palatino" w:hAnsi="Palatino"/>
    </w:rPr>
  </w:style>
  <w:style w:type="paragraph" w:styleId="CommentSubject">
    <w:name w:val="annotation subject"/>
    <w:basedOn w:val="CommentText"/>
    <w:next w:val="CommentText"/>
    <w:link w:val="CommentSubjectChar"/>
    <w:rsid w:val="0035608D"/>
    <w:rPr>
      <w:b/>
      <w:bCs/>
    </w:rPr>
  </w:style>
  <w:style w:type="character" w:customStyle="1" w:styleId="CommentSubjectChar">
    <w:name w:val="Comment Subject Char"/>
    <w:link w:val="CommentSubject"/>
    <w:rsid w:val="0035608D"/>
    <w:rPr>
      <w:rFonts w:ascii="Palatino" w:hAnsi="Palatino"/>
      <w:b/>
      <w:bCs/>
    </w:rPr>
  </w:style>
  <w:style w:type="character" w:styleId="Emphasis">
    <w:name w:val="Emphasis"/>
    <w:qFormat/>
    <w:rsid w:val="007406F9"/>
    <w:rPr>
      <w:i/>
      <w:iCs/>
    </w:rPr>
  </w:style>
  <w:style w:type="paragraph" w:customStyle="1" w:styleId="LightList-Accent31">
    <w:name w:val="Light List - Accent 31"/>
    <w:hidden/>
    <w:uiPriority w:val="99"/>
    <w:semiHidden/>
    <w:rsid w:val="00656BA2"/>
    <w:rPr>
      <w:rFonts w:ascii="Palatino" w:hAnsi="Palatino"/>
      <w:sz w:val="26"/>
    </w:rPr>
  </w:style>
  <w:style w:type="paragraph" w:styleId="PlainText">
    <w:name w:val="Plain Text"/>
    <w:basedOn w:val="Normal"/>
    <w:link w:val="PlainTextChar"/>
    <w:uiPriority w:val="99"/>
    <w:unhideWhenUsed/>
    <w:rsid w:val="00EB366B"/>
    <w:rPr>
      <w:rFonts w:ascii="Calibri" w:eastAsia="Calibri" w:hAnsi="Calibri"/>
      <w:sz w:val="22"/>
      <w:szCs w:val="21"/>
      <w:lang w:val="x-none" w:eastAsia="x-none"/>
    </w:rPr>
  </w:style>
  <w:style w:type="character" w:customStyle="1" w:styleId="PlainTextChar">
    <w:name w:val="Plain Text Char"/>
    <w:link w:val="PlainText"/>
    <w:uiPriority w:val="99"/>
    <w:rsid w:val="00EB366B"/>
    <w:rPr>
      <w:rFonts w:ascii="Calibri" w:eastAsia="Calibri" w:hAnsi="Calibri" w:cs="Consolas"/>
      <w:sz w:val="22"/>
      <w:szCs w:val="21"/>
    </w:rPr>
  </w:style>
  <w:style w:type="paragraph" w:customStyle="1" w:styleId="Default">
    <w:name w:val="Default"/>
    <w:rsid w:val="00836C90"/>
    <w:pPr>
      <w:autoSpaceDE w:val="0"/>
      <w:autoSpaceDN w:val="0"/>
      <w:adjustRightInd w:val="0"/>
    </w:pPr>
    <w:rPr>
      <w:rFonts w:ascii="Book Antiqua" w:hAnsi="Book Antiqua" w:cs="Book Antiqua"/>
      <w:color w:val="000000"/>
      <w:sz w:val="24"/>
      <w:szCs w:val="24"/>
    </w:rPr>
  </w:style>
  <w:style w:type="paragraph" w:styleId="BodyTextFirstIndent">
    <w:name w:val="Body Text First Indent"/>
    <w:basedOn w:val="BodyText"/>
    <w:link w:val="BodyTextFirstIndentChar"/>
    <w:rsid w:val="009F435C"/>
    <w:pPr>
      <w:spacing w:after="120"/>
      <w:ind w:firstLine="210"/>
    </w:pPr>
    <w:rPr>
      <w:b w:val="0"/>
    </w:rPr>
  </w:style>
  <w:style w:type="character" w:customStyle="1" w:styleId="BodyTextFirstIndentChar">
    <w:name w:val="Body Text First Indent Char"/>
    <w:link w:val="BodyTextFirstIndent"/>
    <w:rsid w:val="009F435C"/>
    <w:rPr>
      <w:rFonts w:ascii="Palatino" w:hAnsi="Palatino"/>
      <w:b w:val="0"/>
      <w:sz w:val="26"/>
      <w:lang w:val="en-US" w:eastAsia="en-US" w:bidi="ar-SA"/>
    </w:rPr>
  </w:style>
  <w:style w:type="paragraph" w:customStyle="1" w:styleId="h-1">
    <w:name w:val="h-1"/>
    <w:basedOn w:val="Normal"/>
    <w:rsid w:val="00FA48B5"/>
    <w:pPr>
      <w:numPr>
        <w:numId w:val="7"/>
      </w:numPr>
      <w:spacing w:after="120"/>
    </w:pPr>
    <w:rPr>
      <w:rFonts w:ascii="Palatino Linotype" w:hAnsi="Palatino Linotype"/>
      <w:b/>
      <w:szCs w:val="26"/>
    </w:rPr>
  </w:style>
  <w:style w:type="paragraph" w:customStyle="1" w:styleId="bl">
    <w:name w:val="bl"/>
    <w:basedOn w:val="Normal"/>
    <w:rsid w:val="00FA48B5"/>
    <w:pPr>
      <w:numPr>
        <w:ilvl w:val="3"/>
        <w:numId w:val="7"/>
      </w:numPr>
      <w:tabs>
        <w:tab w:val="clear" w:pos="2880"/>
        <w:tab w:val="num" w:pos="1620"/>
      </w:tabs>
      <w:ind w:left="1710" w:hanging="450"/>
    </w:pPr>
    <w:rPr>
      <w:rFonts w:ascii="Palatino Linotype" w:hAnsi="Palatino Linotype"/>
      <w:szCs w:val="26"/>
    </w:rPr>
  </w:style>
  <w:style w:type="paragraph" w:customStyle="1" w:styleId="noi7">
    <w:name w:val="no.i7"/>
    <w:basedOn w:val="Normal"/>
    <w:rsid w:val="00FA48B5"/>
    <w:pPr>
      <w:numPr>
        <w:ilvl w:val="2"/>
        <w:numId w:val="7"/>
      </w:numPr>
      <w:tabs>
        <w:tab w:val="clear" w:pos="2160"/>
        <w:tab w:val="num" w:pos="1260"/>
      </w:tabs>
      <w:spacing w:after="120"/>
      <w:ind w:left="1268" w:hanging="274"/>
    </w:pPr>
    <w:rPr>
      <w:rFonts w:ascii="Palatino Linotype" w:hAnsi="Palatino Linotype"/>
      <w:szCs w:val="26"/>
    </w:rPr>
  </w:style>
  <w:style w:type="paragraph" w:customStyle="1" w:styleId="noi">
    <w:name w:val="no.i"/>
    <w:basedOn w:val="Normal"/>
    <w:rsid w:val="006E1310"/>
    <w:pPr>
      <w:tabs>
        <w:tab w:val="num" w:pos="2160"/>
      </w:tabs>
      <w:spacing w:after="120"/>
      <w:ind w:left="2160" w:hanging="180"/>
    </w:pPr>
    <w:rPr>
      <w:rFonts w:ascii="Palatino Linotype" w:hAnsi="Palatino Linotype"/>
      <w:szCs w:val="26"/>
    </w:rPr>
  </w:style>
  <w:style w:type="paragraph" w:customStyle="1" w:styleId="hh2">
    <w:name w:val="hh2"/>
    <w:basedOn w:val="Normal"/>
    <w:rsid w:val="006E1310"/>
    <w:pPr>
      <w:tabs>
        <w:tab w:val="num" w:pos="810"/>
      </w:tabs>
      <w:spacing w:after="120"/>
      <w:ind w:left="1080" w:hanging="720"/>
    </w:pPr>
    <w:rPr>
      <w:rFonts w:ascii="Palatino Linotype" w:hAnsi="Palatino Linotype"/>
      <w:b/>
      <w:szCs w:val="26"/>
    </w:rPr>
  </w:style>
  <w:style w:type="paragraph" w:customStyle="1" w:styleId="noa6">
    <w:name w:val="no.a6"/>
    <w:basedOn w:val="Normal"/>
    <w:rsid w:val="006E1310"/>
    <w:pPr>
      <w:tabs>
        <w:tab w:val="num" w:pos="1440"/>
      </w:tabs>
      <w:spacing w:after="120"/>
      <w:ind w:left="1440" w:hanging="360"/>
    </w:pPr>
    <w:rPr>
      <w:rFonts w:ascii="Palatino Linotype" w:hAnsi="Palatino Linotype"/>
      <w:b/>
      <w:szCs w:val="26"/>
    </w:rPr>
  </w:style>
  <w:style w:type="paragraph" w:customStyle="1" w:styleId="noi6">
    <w:name w:val="no.i6"/>
    <w:basedOn w:val="Normal"/>
    <w:rsid w:val="006E1310"/>
    <w:pPr>
      <w:tabs>
        <w:tab w:val="num" w:pos="1260"/>
      </w:tabs>
      <w:spacing w:after="120"/>
      <w:ind w:left="1268" w:hanging="274"/>
    </w:pPr>
    <w:rPr>
      <w:rFonts w:ascii="Palatino Linotype" w:hAnsi="Palatino Linotype"/>
      <w:szCs w:val="26"/>
    </w:rPr>
  </w:style>
  <w:style w:type="paragraph" w:customStyle="1" w:styleId="bullets4">
    <w:name w:val="bullets4"/>
    <w:basedOn w:val="h-1"/>
    <w:rsid w:val="006E1310"/>
    <w:pPr>
      <w:numPr>
        <w:numId w:val="13"/>
      </w:numPr>
      <w:tabs>
        <w:tab w:val="clear" w:pos="1080"/>
        <w:tab w:val="num" w:pos="1440"/>
      </w:tabs>
      <w:spacing w:after="0"/>
      <w:ind w:left="1440"/>
    </w:pPr>
    <w:rPr>
      <w:b w:val="0"/>
    </w:rPr>
  </w:style>
  <w:style w:type="paragraph" w:styleId="Revision">
    <w:name w:val="Revision"/>
    <w:hidden/>
    <w:rsid w:val="006E1310"/>
    <w:rPr>
      <w:rFonts w:ascii="Palatino" w:hAnsi="Palatino"/>
      <w:sz w:val="26"/>
    </w:rPr>
  </w:style>
  <w:style w:type="character" w:styleId="Hyperlink">
    <w:name w:val="Hyperlink"/>
    <w:uiPriority w:val="99"/>
    <w:unhideWhenUsed/>
    <w:rsid w:val="0057254F"/>
    <w:rPr>
      <w:color w:val="0000FF"/>
      <w:u w:val="single"/>
    </w:rPr>
  </w:style>
  <w:style w:type="paragraph" w:customStyle="1" w:styleId="Heading2Text">
    <w:name w:val="Heading 2 Text"/>
    <w:basedOn w:val="Normal"/>
    <w:link w:val="Heading2TextChar"/>
    <w:rsid w:val="007F3A56"/>
    <w:pPr>
      <w:spacing w:line="480" w:lineRule="atLeast"/>
      <w:ind w:firstLine="720"/>
    </w:pPr>
    <w:rPr>
      <w:rFonts w:ascii="Times New Roman" w:hAnsi="Times New Roman"/>
      <w:sz w:val="24"/>
    </w:rPr>
  </w:style>
  <w:style w:type="character" w:customStyle="1" w:styleId="Heading2TextChar">
    <w:name w:val="Heading 2 Text Char"/>
    <w:link w:val="Heading2Text"/>
    <w:rsid w:val="007F3A5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Footnote Text Char Char Char,Footnote Text Char,Char Char,Footnote Text Char2 Char,Footnote Text Char2 Char Char Char Char,Footnote Text Char1 Char1 Char1 Char Char Char"/>
    <w:basedOn w:val="Normal"/>
    <w:link w:val="FootnoteTextChar2"/>
    <w:rsid w:val="008B086E"/>
    <w:p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aliases w:val="o,fr,Style 3,o1,o2,o3,o4,o5,o6,o11,o21,o7"/>
    <w:uiPriority w:val="99"/>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table" w:styleId="TableGrid">
    <w:name w:val="Table Grid"/>
    <w:basedOn w:val="TableNormal"/>
    <w:rsid w:val="00427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rsid w:val="007A6BF1"/>
  </w:style>
  <w:style w:type="paragraph" w:customStyle="1" w:styleId="Style3">
    <w:name w:val="Style3"/>
    <w:basedOn w:val="Normal"/>
    <w:rsid w:val="008B086E"/>
  </w:style>
  <w:style w:type="character" w:customStyle="1" w:styleId="FootnoteTextChar2">
    <w:name w:val="Footnote Text Char2"/>
    <w:aliases w:val="Footnote Text Char1 Char1,Footnote Text Char Char Char1,Footnote Text Char1 Char Char,Footnote Text Char Char Char Char,Footnote Text Char Char1,Char Char Char,Footnote Text Char2 Char Char"/>
    <w:link w:val="FootnoteText"/>
    <w:rsid w:val="00427326"/>
    <w:rPr>
      <w:rFonts w:ascii="Palatino" w:hAnsi="Palatino"/>
      <w:sz w:val="24"/>
      <w:lang w:val="en-US" w:eastAsia="en-US" w:bidi="ar-SA"/>
    </w:rPr>
  </w:style>
  <w:style w:type="paragraph" w:styleId="BodyText">
    <w:name w:val="Body Text"/>
    <w:basedOn w:val="Normal"/>
    <w:link w:val="BodyTextChar"/>
    <w:rsid w:val="00427326"/>
    <w:rPr>
      <w:b/>
    </w:rPr>
  </w:style>
  <w:style w:type="character" w:customStyle="1" w:styleId="BodyTextChar">
    <w:name w:val="Body Text Char"/>
    <w:link w:val="BodyText"/>
    <w:rsid w:val="00427326"/>
    <w:rPr>
      <w:rFonts w:ascii="Palatino" w:hAnsi="Palatino"/>
      <w:b/>
      <w:sz w:val="26"/>
      <w:lang w:val="en-US" w:eastAsia="en-US" w:bidi="ar-SA"/>
    </w:rPr>
  </w:style>
  <w:style w:type="character" w:styleId="Strong">
    <w:name w:val="Strong"/>
    <w:qFormat/>
    <w:rsid w:val="005771F3"/>
    <w:rPr>
      <w:b/>
      <w:bCs/>
    </w:rPr>
  </w:style>
  <w:style w:type="paragraph" w:styleId="BalloonText">
    <w:name w:val="Balloon Text"/>
    <w:basedOn w:val="Normal"/>
    <w:link w:val="BalloonTextChar"/>
    <w:rsid w:val="0035608D"/>
    <w:rPr>
      <w:rFonts w:ascii="Tahoma" w:hAnsi="Tahoma"/>
      <w:sz w:val="16"/>
      <w:szCs w:val="16"/>
      <w:lang w:val="x-none" w:eastAsia="x-none"/>
    </w:rPr>
  </w:style>
  <w:style w:type="character" w:customStyle="1" w:styleId="BalloonTextChar">
    <w:name w:val="Balloon Text Char"/>
    <w:link w:val="BalloonText"/>
    <w:rsid w:val="0035608D"/>
    <w:rPr>
      <w:rFonts w:ascii="Tahoma" w:hAnsi="Tahoma" w:cs="Tahoma"/>
      <w:sz w:val="16"/>
      <w:szCs w:val="16"/>
    </w:rPr>
  </w:style>
  <w:style w:type="character" w:styleId="CommentReference">
    <w:name w:val="annotation reference"/>
    <w:rsid w:val="0035608D"/>
    <w:rPr>
      <w:sz w:val="16"/>
      <w:szCs w:val="16"/>
    </w:rPr>
  </w:style>
  <w:style w:type="paragraph" w:styleId="CommentText">
    <w:name w:val="annotation text"/>
    <w:basedOn w:val="Normal"/>
    <w:link w:val="CommentTextChar"/>
    <w:rsid w:val="0035608D"/>
    <w:rPr>
      <w:sz w:val="20"/>
      <w:lang w:val="x-none" w:eastAsia="x-none"/>
    </w:rPr>
  </w:style>
  <w:style w:type="character" w:customStyle="1" w:styleId="CommentTextChar">
    <w:name w:val="Comment Text Char"/>
    <w:link w:val="CommentText"/>
    <w:rsid w:val="0035608D"/>
    <w:rPr>
      <w:rFonts w:ascii="Palatino" w:hAnsi="Palatino"/>
    </w:rPr>
  </w:style>
  <w:style w:type="paragraph" w:styleId="CommentSubject">
    <w:name w:val="annotation subject"/>
    <w:basedOn w:val="CommentText"/>
    <w:next w:val="CommentText"/>
    <w:link w:val="CommentSubjectChar"/>
    <w:rsid w:val="0035608D"/>
    <w:rPr>
      <w:b/>
      <w:bCs/>
    </w:rPr>
  </w:style>
  <w:style w:type="character" w:customStyle="1" w:styleId="CommentSubjectChar">
    <w:name w:val="Comment Subject Char"/>
    <w:link w:val="CommentSubject"/>
    <w:rsid w:val="0035608D"/>
    <w:rPr>
      <w:rFonts w:ascii="Palatino" w:hAnsi="Palatino"/>
      <w:b/>
      <w:bCs/>
    </w:rPr>
  </w:style>
  <w:style w:type="character" w:styleId="Emphasis">
    <w:name w:val="Emphasis"/>
    <w:qFormat/>
    <w:rsid w:val="007406F9"/>
    <w:rPr>
      <w:i/>
      <w:iCs/>
    </w:rPr>
  </w:style>
  <w:style w:type="paragraph" w:customStyle="1" w:styleId="LightList-Accent31">
    <w:name w:val="Light List - Accent 31"/>
    <w:hidden/>
    <w:uiPriority w:val="99"/>
    <w:semiHidden/>
    <w:rsid w:val="00656BA2"/>
    <w:rPr>
      <w:rFonts w:ascii="Palatino" w:hAnsi="Palatino"/>
      <w:sz w:val="26"/>
    </w:rPr>
  </w:style>
  <w:style w:type="paragraph" w:styleId="PlainText">
    <w:name w:val="Plain Text"/>
    <w:basedOn w:val="Normal"/>
    <w:link w:val="PlainTextChar"/>
    <w:uiPriority w:val="99"/>
    <w:unhideWhenUsed/>
    <w:rsid w:val="00EB366B"/>
    <w:rPr>
      <w:rFonts w:ascii="Calibri" w:eastAsia="Calibri" w:hAnsi="Calibri"/>
      <w:sz w:val="22"/>
      <w:szCs w:val="21"/>
      <w:lang w:val="x-none" w:eastAsia="x-none"/>
    </w:rPr>
  </w:style>
  <w:style w:type="character" w:customStyle="1" w:styleId="PlainTextChar">
    <w:name w:val="Plain Text Char"/>
    <w:link w:val="PlainText"/>
    <w:uiPriority w:val="99"/>
    <w:rsid w:val="00EB366B"/>
    <w:rPr>
      <w:rFonts w:ascii="Calibri" w:eastAsia="Calibri" w:hAnsi="Calibri" w:cs="Consolas"/>
      <w:sz w:val="22"/>
      <w:szCs w:val="21"/>
    </w:rPr>
  </w:style>
  <w:style w:type="paragraph" w:customStyle="1" w:styleId="Default">
    <w:name w:val="Default"/>
    <w:rsid w:val="00836C90"/>
    <w:pPr>
      <w:autoSpaceDE w:val="0"/>
      <w:autoSpaceDN w:val="0"/>
      <w:adjustRightInd w:val="0"/>
    </w:pPr>
    <w:rPr>
      <w:rFonts w:ascii="Book Antiqua" w:hAnsi="Book Antiqua" w:cs="Book Antiqua"/>
      <w:color w:val="000000"/>
      <w:sz w:val="24"/>
      <w:szCs w:val="24"/>
    </w:rPr>
  </w:style>
  <w:style w:type="paragraph" w:styleId="BodyTextFirstIndent">
    <w:name w:val="Body Text First Indent"/>
    <w:basedOn w:val="BodyText"/>
    <w:link w:val="BodyTextFirstIndentChar"/>
    <w:rsid w:val="009F435C"/>
    <w:pPr>
      <w:spacing w:after="120"/>
      <w:ind w:firstLine="210"/>
    </w:pPr>
    <w:rPr>
      <w:b w:val="0"/>
    </w:rPr>
  </w:style>
  <w:style w:type="character" w:customStyle="1" w:styleId="BodyTextFirstIndentChar">
    <w:name w:val="Body Text First Indent Char"/>
    <w:link w:val="BodyTextFirstIndent"/>
    <w:rsid w:val="009F435C"/>
    <w:rPr>
      <w:rFonts w:ascii="Palatino" w:hAnsi="Palatino"/>
      <w:b w:val="0"/>
      <w:sz w:val="26"/>
      <w:lang w:val="en-US" w:eastAsia="en-US" w:bidi="ar-SA"/>
    </w:rPr>
  </w:style>
  <w:style w:type="paragraph" w:customStyle="1" w:styleId="h-1">
    <w:name w:val="h-1"/>
    <w:basedOn w:val="Normal"/>
    <w:rsid w:val="00FA48B5"/>
    <w:pPr>
      <w:numPr>
        <w:numId w:val="7"/>
      </w:numPr>
      <w:spacing w:after="120"/>
    </w:pPr>
    <w:rPr>
      <w:rFonts w:ascii="Palatino Linotype" w:hAnsi="Palatino Linotype"/>
      <w:b/>
      <w:szCs w:val="26"/>
    </w:rPr>
  </w:style>
  <w:style w:type="paragraph" w:customStyle="1" w:styleId="bl">
    <w:name w:val="bl"/>
    <w:basedOn w:val="Normal"/>
    <w:rsid w:val="00FA48B5"/>
    <w:pPr>
      <w:numPr>
        <w:ilvl w:val="3"/>
        <w:numId w:val="7"/>
      </w:numPr>
      <w:tabs>
        <w:tab w:val="clear" w:pos="2880"/>
        <w:tab w:val="num" w:pos="1620"/>
      </w:tabs>
      <w:ind w:left="1710" w:hanging="450"/>
    </w:pPr>
    <w:rPr>
      <w:rFonts w:ascii="Palatino Linotype" w:hAnsi="Palatino Linotype"/>
      <w:szCs w:val="26"/>
    </w:rPr>
  </w:style>
  <w:style w:type="paragraph" w:customStyle="1" w:styleId="noi7">
    <w:name w:val="no.i7"/>
    <w:basedOn w:val="Normal"/>
    <w:rsid w:val="00FA48B5"/>
    <w:pPr>
      <w:numPr>
        <w:ilvl w:val="2"/>
        <w:numId w:val="7"/>
      </w:numPr>
      <w:tabs>
        <w:tab w:val="clear" w:pos="2160"/>
        <w:tab w:val="num" w:pos="1260"/>
      </w:tabs>
      <w:spacing w:after="120"/>
      <w:ind w:left="1268" w:hanging="274"/>
    </w:pPr>
    <w:rPr>
      <w:rFonts w:ascii="Palatino Linotype" w:hAnsi="Palatino Linotype"/>
      <w:szCs w:val="26"/>
    </w:rPr>
  </w:style>
  <w:style w:type="paragraph" w:customStyle="1" w:styleId="noi">
    <w:name w:val="no.i"/>
    <w:basedOn w:val="Normal"/>
    <w:rsid w:val="006E1310"/>
    <w:pPr>
      <w:tabs>
        <w:tab w:val="num" w:pos="2160"/>
      </w:tabs>
      <w:spacing w:after="120"/>
      <w:ind w:left="2160" w:hanging="180"/>
    </w:pPr>
    <w:rPr>
      <w:rFonts w:ascii="Palatino Linotype" w:hAnsi="Palatino Linotype"/>
      <w:szCs w:val="26"/>
    </w:rPr>
  </w:style>
  <w:style w:type="paragraph" w:customStyle="1" w:styleId="hh2">
    <w:name w:val="hh2"/>
    <w:basedOn w:val="Normal"/>
    <w:rsid w:val="006E1310"/>
    <w:pPr>
      <w:tabs>
        <w:tab w:val="num" w:pos="810"/>
      </w:tabs>
      <w:spacing w:after="120"/>
      <w:ind w:left="1080" w:hanging="720"/>
    </w:pPr>
    <w:rPr>
      <w:rFonts w:ascii="Palatino Linotype" w:hAnsi="Palatino Linotype"/>
      <w:b/>
      <w:szCs w:val="26"/>
    </w:rPr>
  </w:style>
  <w:style w:type="paragraph" w:customStyle="1" w:styleId="noa6">
    <w:name w:val="no.a6"/>
    <w:basedOn w:val="Normal"/>
    <w:rsid w:val="006E1310"/>
    <w:pPr>
      <w:tabs>
        <w:tab w:val="num" w:pos="1440"/>
      </w:tabs>
      <w:spacing w:after="120"/>
      <w:ind w:left="1440" w:hanging="360"/>
    </w:pPr>
    <w:rPr>
      <w:rFonts w:ascii="Palatino Linotype" w:hAnsi="Palatino Linotype"/>
      <w:b/>
      <w:szCs w:val="26"/>
    </w:rPr>
  </w:style>
  <w:style w:type="paragraph" w:customStyle="1" w:styleId="noi6">
    <w:name w:val="no.i6"/>
    <w:basedOn w:val="Normal"/>
    <w:rsid w:val="006E1310"/>
    <w:pPr>
      <w:tabs>
        <w:tab w:val="num" w:pos="1260"/>
      </w:tabs>
      <w:spacing w:after="120"/>
      <w:ind w:left="1268" w:hanging="274"/>
    </w:pPr>
    <w:rPr>
      <w:rFonts w:ascii="Palatino Linotype" w:hAnsi="Palatino Linotype"/>
      <w:szCs w:val="26"/>
    </w:rPr>
  </w:style>
  <w:style w:type="paragraph" w:customStyle="1" w:styleId="bullets4">
    <w:name w:val="bullets4"/>
    <w:basedOn w:val="h-1"/>
    <w:rsid w:val="006E1310"/>
    <w:pPr>
      <w:numPr>
        <w:numId w:val="13"/>
      </w:numPr>
      <w:tabs>
        <w:tab w:val="clear" w:pos="1080"/>
        <w:tab w:val="num" w:pos="1440"/>
      </w:tabs>
      <w:spacing w:after="0"/>
      <w:ind w:left="1440"/>
    </w:pPr>
    <w:rPr>
      <w:b w:val="0"/>
    </w:rPr>
  </w:style>
  <w:style w:type="paragraph" w:styleId="Revision">
    <w:name w:val="Revision"/>
    <w:hidden/>
    <w:rsid w:val="006E1310"/>
    <w:rPr>
      <w:rFonts w:ascii="Palatino" w:hAnsi="Palatino"/>
      <w:sz w:val="26"/>
    </w:rPr>
  </w:style>
  <w:style w:type="character" w:styleId="Hyperlink">
    <w:name w:val="Hyperlink"/>
    <w:uiPriority w:val="99"/>
    <w:unhideWhenUsed/>
    <w:rsid w:val="0057254F"/>
    <w:rPr>
      <w:color w:val="0000FF"/>
      <w:u w:val="single"/>
    </w:rPr>
  </w:style>
  <w:style w:type="paragraph" w:customStyle="1" w:styleId="Heading2Text">
    <w:name w:val="Heading 2 Text"/>
    <w:basedOn w:val="Normal"/>
    <w:link w:val="Heading2TextChar"/>
    <w:rsid w:val="007F3A56"/>
    <w:pPr>
      <w:spacing w:line="480" w:lineRule="atLeast"/>
      <w:ind w:firstLine="720"/>
    </w:pPr>
    <w:rPr>
      <w:rFonts w:ascii="Times New Roman" w:hAnsi="Times New Roman"/>
      <w:sz w:val="24"/>
    </w:rPr>
  </w:style>
  <w:style w:type="character" w:customStyle="1" w:styleId="Heading2TextChar">
    <w:name w:val="Heading 2 Text Char"/>
    <w:link w:val="Heading2Text"/>
    <w:rsid w:val="007F3A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4577">
      <w:bodyDiv w:val="1"/>
      <w:marLeft w:val="0"/>
      <w:marRight w:val="0"/>
      <w:marTop w:val="0"/>
      <w:marBottom w:val="0"/>
      <w:divBdr>
        <w:top w:val="none" w:sz="0" w:space="0" w:color="auto"/>
        <w:left w:val="none" w:sz="0" w:space="0" w:color="auto"/>
        <w:bottom w:val="none" w:sz="0" w:space="0" w:color="auto"/>
        <w:right w:val="none" w:sz="0" w:space="0" w:color="auto"/>
      </w:divBdr>
    </w:div>
    <w:div w:id="107046915">
      <w:bodyDiv w:val="1"/>
      <w:marLeft w:val="0"/>
      <w:marRight w:val="0"/>
      <w:marTop w:val="0"/>
      <w:marBottom w:val="0"/>
      <w:divBdr>
        <w:top w:val="none" w:sz="0" w:space="0" w:color="auto"/>
        <w:left w:val="none" w:sz="0" w:space="0" w:color="auto"/>
        <w:bottom w:val="none" w:sz="0" w:space="0" w:color="auto"/>
        <w:right w:val="none" w:sz="0" w:space="0" w:color="auto"/>
      </w:divBdr>
    </w:div>
    <w:div w:id="217984441">
      <w:bodyDiv w:val="1"/>
      <w:marLeft w:val="0"/>
      <w:marRight w:val="0"/>
      <w:marTop w:val="0"/>
      <w:marBottom w:val="0"/>
      <w:divBdr>
        <w:top w:val="none" w:sz="0" w:space="0" w:color="auto"/>
        <w:left w:val="none" w:sz="0" w:space="0" w:color="auto"/>
        <w:bottom w:val="none" w:sz="0" w:space="0" w:color="auto"/>
        <w:right w:val="none" w:sz="0" w:space="0" w:color="auto"/>
      </w:divBdr>
    </w:div>
    <w:div w:id="506675465">
      <w:bodyDiv w:val="1"/>
      <w:marLeft w:val="0"/>
      <w:marRight w:val="0"/>
      <w:marTop w:val="0"/>
      <w:marBottom w:val="0"/>
      <w:divBdr>
        <w:top w:val="none" w:sz="0" w:space="0" w:color="auto"/>
        <w:left w:val="none" w:sz="0" w:space="0" w:color="auto"/>
        <w:bottom w:val="none" w:sz="0" w:space="0" w:color="auto"/>
        <w:right w:val="none" w:sz="0" w:space="0" w:color="auto"/>
      </w:divBdr>
    </w:div>
    <w:div w:id="565145908">
      <w:bodyDiv w:val="1"/>
      <w:marLeft w:val="0"/>
      <w:marRight w:val="0"/>
      <w:marTop w:val="0"/>
      <w:marBottom w:val="0"/>
      <w:divBdr>
        <w:top w:val="none" w:sz="0" w:space="0" w:color="auto"/>
        <w:left w:val="none" w:sz="0" w:space="0" w:color="auto"/>
        <w:bottom w:val="none" w:sz="0" w:space="0" w:color="auto"/>
        <w:right w:val="none" w:sz="0" w:space="0" w:color="auto"/>
      </w:divBdr>
    </w:div>
    <w:div w:id="623462342">
      <w:bodyDiv w:val="1"/>
      <w:marLeft w:val="0"/>
      <w:marRight w:val="0"/>
      <w:marTop w:val="0"/>
      <w:marBottom w:val="0"/>
      <w:divBdr>
        <w:top w:val="none" w:sz="0" w:space="0" w:color="auto"/>
        <w:left w:val="none" w:sz="0" w:space="0" w:color="auto"/>
        <w:bottom w:val="none" w:sz="0" w:space="0" w:color="auto"/>
        <w:right w:val="none" w:sz="0" w:space="0" w:color="auto"/>
      </w:divBdr>
    </w:div>
    <w:div w:id="851997293">
      <w:bodyDiv w:val="1"/>
      <w:marLeft w:val="0"/>
      <w:marRight w:val="0"/>
      <w:marTop w:val="0"/>
      <w:marBottom w:val="0"/>
      <w:divBdr>
        <w:top w:val="none" w:sz="0" w:space="0" w:color="auto"/>
        <w:left w:val="none" w:sz="0" w:space="0" w:color="auto"/>
        <w:bottom w:val="none" w:sz="0" w:space="0" w:color="auto"/>
        <w:right w:val="none" w:sz="0" w:space="0" w:color="auto"/>
      </w:divBdr>
      <w:divsChild>
        <w:div w:id="316962747">
          <w:marLeft w:val="0"/>
          <w:marRight w:val="0"/>
          <w:marTop w:val="0"/>
          <w:marBottom w:val="0"/>
          <w:divBdr>
            <w:top w:val="none" w:sz="0" w:space="0" w:color="auto"/>
            <w:left w:val="none" w:sz="0" w:space="0" w:color="auto"/>
            <w:bottom w:val="none" w:sz="0" w:space="0" w:color="auto"/>
            <w:right w:val="none" w:sz="0" w:space="0" w:color="auto"/>
          </w:divBdr>
        </w:div>
        <w:div w:id="1040593316">
          <w:marLeft w:val="0"/>
          <w:marRight w:val="0"/>
          <w:marTop w:val="0"/>
          <w:marBottom w:val="0"/>
          <w:divBdr>
            <w:top w:val="none" w:sz="0" w:space="0" w:color="auto"/>
            <w:left w:val="none" w:sz="0" w:space="0" w:color="auto"/>
            <w:bottom w:val="none" w:sz="0" w:space="0" w:color="auto"/>
            <w:right w:val="none" w:sz="0" w:space="0" w:color="auto"/>
          </w:divBdr>
        </w:div>
        <w:div w:id="1809087067">
          <w:marLeft w:val="0"/>
          <w:marRight w:val="0"/>
          <w:marTop w:val="0"/>
          <w:marBottom w:val="0"/>
          <w:divBdr>
            <w:top w:val="none" w:sz="0" w:space="0" w:color="auto"/>
            <w:left w:val="none" w:sz="0" w:space="0" w:color="auto"/>
            <w:bottom w:val="none" w:sz="0" w:space="0" w:color="auto"/>
            <w:right w:val="none" w:sz="0" w:space="0" w:color="auto"/>
          </w:divBdr>
        </w:div>
        <w:div w:id="2057045539">
          <w:marLeft w:val="0"/>
          <w:marRight w:val="0"/>
          <w:marTop w:val="0"/>
          <w:marBottom w:val="0"/>
          <w:divBdr>
            <w:top w:val="none" w:sz="0" w:space="0" w:color="auto"/>
            <w:left w:val="none" w:sz="0" w:space="0" w:color="auto"/>
            <w:bottom w:val="none" w:sz="0" w:space="0" w:color="auto"/>
            <w:right w:val="none" w:sz="0" w:space="0" w:color="auto"/>
          </w:divBdr>
        </w:div>
        <w:div w:id="2065135135">
          <w:marLeft w:val="0"/>
          <w:marRight w:val="0"/>
          <w:marTop w:val="0"/>
          <w:marBottom w:val="0"/>
          <w:divBdr>
            <w:top w:val="none" w:sz="0" w:space="0" w:color="auto"/>
            <w:left w:val="none" w:sz="0" w:space="0" w:color="auto"/>
            <w:bottom w:val="none" w:sz="0" w:space="0" w:color="auto"/>
            <w:right w:val="none" w:sz="0" w:space="0" w:color="auto"/>
          </w:divBdr>
          <w:divsChild>
            <w:div w:id="440106113">
              <w:marLeft w:val="0"/>
              <w:marRight w:val="0"/>
              <w:marTop w:val="0"/>
              <w:marBottom w:val="0"/>
              <w:divBdr>
                <w:top w:val="none" w:sz="0" w:space="0" w:color="auto"/>
                <w:left w:val="none" w:sz="0" w:space="0" w:color="auto"/>
                <w:bottom w:val="none" w:sz="0" w:space="0" w:color="auto"/>
                <w:right w:val="none" w:sz="0" w:space="0" w:color="auto"/>
              </w:divBdr>
            </w:div>
          </w:divsChild>
        </w:div>
        <w:div w:id="2122415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docs.cpuc.ca.gov/PublishedDocs/Efile/G000/M084/K331/8433187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14122</Words>
  <Characters>78752</Characters>
  <Application>Microsoft Office Word</Application>
  <DocSecurity>0</DocSecurity>
  <Lines>1926</Lines>
  <Paragraphs>578</Paragraphs>
  <ScaleCrop>false</ScaleCrop>
  <HeadingPairs>
    <vt:vector size="2" baseType="variant">
      <vt:variant>
        <vt:lpstr>Title</vt:lpstr>
      </vt:variant>
      <vt:variant>
        <vt:i4>1</vt:i4>
      </vt:variant>
    </vt:vector>
  </HeadingPairs>
  <TitlesOfParts>
    <vt:vector size="1" baseType="lpstr">
      <vt:lpstr>Resolution Template</vt:lpstr>
    </vt:vector>
  </TitlesOfParts>
  <Manager/>
  <Company/>
  <LinksUpToDate>false</LinksUpToDate>
  <CharactersWithSpaces>93596</CharactersWithSpaces>
  <SharedDoc>false</SharedDoc>
  <HyperlinkBase> </HyperlinkBase>
  <HLinks>
    <vt:vector size="6" baseType="variant">
      <vt:variant>
        <vt:i4>2162728</vt:i4>
      </vt:variant>
      <vt:variant>
        <vt:i4>0</vt:i4>
      </vt:variant>
      <vt:variant>
        <vt:i4>0</vt:i4>
      </vt:variant>
      <vt:variant>
        <vt:i4>5</vt:i4>
      </vt:variant>
      <vt:variant>
        <vt:lpwstr>http://docs.cpuc.ca.gov/PublishedDocs/Efile/G000/M084/K331/84331873.PDF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2014-05-10T00:04:00Z</cp:lastPrinted>
  <dcterms:created xsi:type="dcterms:W3CDTF">2014-05-16T18:04:00Z</dcterms:created>
  <dcterms:modified xsi:type="dcterms:W3CDTF">2014-05-16T18:04:00Z</dcterms:modified>
  <cp:category> </cp:category>
  <cp:contentStatus> </cp:contentStatus>
</cp:coreProperties>
</file>