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AA" w:rsidRDefault="00884CAA" w:rsidP="009C2128">
      <w:pPr>
        <w:jc w:val="center"/>
        <w:rPr>
          <w:rFonts w:ascii="Palatino Linotype" w:hAnsi="Palatino Linotype"/>
          <w:b/>
          <w:sz w:val="24"/>
        </w:rPr>
      </w:pPr>
      <w:bookmarkStart w:id="0" w:name="_GoBack"/>
      <w:bookmarkEnd w:id="0"/>
      <w:r>
        <w:rPr>
          <w:rFonts w:ascii="Palatino Linotype" w:hAnsi="Palatino Linotype"/>
          <w:b/>
          <w:sz w:val="24"/>
        </w:rPr>
        <w:t>PUBLIC UTILITIES COMMISSION OF THE STATE OF CALIFORNIA</w:t>
      </w:r>
    </w:p>
    <w:tbl>
      <w:tblPr>
        <w:tblW w:w="9648" w:type="dxa"/>
        <w:tblLayout w:type="fixed"/>
        <w:tblLook w:val="0000" w:firstRow="0" w:lastRow="0" w:firstColumn="0" w:lastColumn="0" w:noHBand="0" w:noVBand="0"/>
      </w:tblPr>
      <w:tblGrid>
        <w:gridCol w:w="6228"/>
        <w:gridCol w:w="3420"/>
      </w:tblGrid>
      <w:tr w:rsidR="00884CAA">
        <w:tc>
          <w:tcPr>
            <w:tcW w:w="6228" w:type="dxa"/>
          </w:tcPr>
          <w:p w:rsidR="00884CAA" w:rsidRDefault="00884CAA" w:rsidP="00201121">
            <w:pPr>
              <w:rPr>
                <w:rFonts w:ascii="Palatino Linotype" w:hAnsi="Palatino Linotype"/>
                <w:b/>
                <w:sz w:val="24"/>
              </w:rPr>
            </w:pPr>
          </w:p>
          <w:p w:rsidR="00884CAA" w:rsidRDefault="00884CAA" w:rsidP="00201121">
            <w:pPr>
              <w:rPr>
                <w:rFonts w:ascii="Palatino Linotype" w:hAnsi="Palatino Linotype"/>
                <w:b/>
                <w:sz w:val="24"/>
              </w:rPr>
            </w:pPr>
            <w:r>
              <w:rPr>
                <w:rFonts w:ascii="Palatino Linotype" w:hAnsi="Palatino Linotype"/>
                <w:b/>
                <w:sz w:val="24"/>
              </w:rPr>
              <w:t>Communications Division</w:t>
            </w:r>
          </w:p>
        </w:tc>
        <w:tc>
          <w:tcPr>
            <w:tcW w:w="3420" w:type="dxa"/>
          </w:tcPr>
          <w:p w:rsidR="00884CAA" w:rsidRDefault="00884CAA" w:rsidP="00201121">
            <w:pPr>
              <w:jc w:val="right"/>
              <w:rPr>
                <w:rFonts w:ascii="Palatino Linotype" w:hAnsi="Palatino Linotype"/>
                <w:b/>
                <w:sz w:val="24"/>
              </w:rPr>
            </w:pPr>
          </w:p>
          <w:p w:rsidR="00884CAA" w:rsidRDefault="00884CAA" w:rsidP="00201121">
            <w:pPr>
              <w:jc w:val="right"/>
              <w:rPr>
                <w:rFonts w:ascii="Palatino Linotype" w:hAnsi="Palatino Linotype"/>
                <w:b/>
                <w:sz w:val="24"/>
              </w:rPr>
            </w:pPr>
            <w:r>
              <w:rPr>
                <w:rFonts w:ascii="Palatino Linotype" w:hAnsi="Palatino Linotype"/>
                <w:b/>
                <w:sz w:val="24"/>
              </w:rPr>
              <w:t>RESOLUTION T-17442</w:t>
            </w:r>
          </w:p>
        </w:tc>
      </w:tr>
      <w:tr w:rsidR="00884CAA">
        <w:tc>
          <w:tcPr>
            <w:tcW w:w="6228" w:type="dxa"/>
          </w:tcPr>
          <w:p w:rsidR="00884CAA" w:rsidRDefault="00884CAA" w:rsidP="00201121">
            <w:pPr>
              <w:pStyle w:val="Heading2"/>
            </w:pPr>
            <w:r>
              <w:t>Consumer Programs Branch</w:t>
            </w:r>
          </w:p>
        </w:tc>
        <w:tc>
          <w:tcPr>
            <w:tcW w:w="3420" w:type="dxa"/>
          </w:tcPr>
          <w:p w:rsidR="00884CAA" w:rsidRDefault="00884CAA" w:rsidP="00201121">
            <w:pPr>
              <w:jc w:val="right"/>
              <w:rPr>
                <w:rFonts w:ascii="Palatino Linotype" w:hAnsi="Palatino Linotype"/>
                <w:sz w:val="24"/>
              </w:rPr>
            </w:pPr>
            <w:r>
              <w:rPr>
                <w:rFonts w:ascii="Palatino Linotype" w:hAnsi="Palatino Linotype"/>
                <w:sz w:val="24"/>
              </w:rPr>
              <w:t>August 14, 2014</w:t>
            </w:r>
          </w:p>
        </w:tc>
      </w:tr>
    </w:tbl>
    <w:p w:rsidR="00884CAA" w:rsidRDefault="00884CAA" w:rsidP="009C2128">
      <w:pPr>
        <w:rPr>
          <w:rFonts w:ascii="Palatino Linotype" w:hAnsi="Palatino Linotype"/>
          <w:sz w:val="24"/>
        </w:rPr>
      </w:pPr>
    </w:p>
    <w:p w:rsidR="00884CAA" w:rsidRPr="00594565" w:rsidRDefault="00884CAA" w:rsidP="009C2128">
      <w:pPr>
        <w:jc w:val="center"/>
        <w:rPr>
          <w:rFonts w:ascii="Palatino Linotype" w:hAnsi="Palatino Linotype"/>
          <w:sz w:val="24"/>
          <w:u w:val="single"/>
        </w:rPr>
      </w:pPr>
      <w:r w:rsidRPr="00594565">
        <w:rPr>
          <w:rFonts w:ascii="Palatino Linotype" w:hAnsi="Palatino Linotype"/>
          <w:b/>
          <w:sz w:val="24"/>
          <w:u w:val="single"/>
        </w:rPr>
        <w:t>R</w:t>
      </w:r>
      <w:r w:rsidRPr="00594565">
        <w:rPr>
          <w:rFonts w:ascii="Palatino Linotype" w:hAnsi="Palatino Linotype"/>
          <w:sz w:val="24"/>
          <w:u w:val="single"/>
        </w:rPr>
        <w:t xml:space="preserve"> </w:t>
      </w:r>
      <w:r w:rsidRPr="00594565">
        <w:rPr>
          <w:rFonts w:ascii="Palatino Linotype" w:hAnsi="Palatino Linotype"/>
          <w:b/>
          <w:sz w:val="24"/>
          <w:u w:val="single"/>
        </w:rPr>
        <w:t>E</w:t>
      </w:r>
      <w:r w:rsidRPr="00594565">
        <w:rPr>
          <w:rFonts w:ascii="Palatino Linotype" w:hAnsi="Palatino Linotype"/>
          <w:sz w:val="24"/>
          <w:u w:val="single"/>
        </w:rPr>
        <w:t xml:space="preserve"> </w:t>
      </w:r>
      <w:r w:rsidRPr="00594565">
        <w:rPr>
          <w:rFonts w:ascii="Palatino Linotype" w:hAnsi="Palatino Linotype"/>
          <w:b/>
          <w:sz w:val="24"/>
          <w:u w:val="single"/>
        </w:rPr>
        <w:t>S</w:t>
      </w:r>
      <w:r w:rsidRPr="00594565">
        <w:rPr>
          <w:rFonts w:ascii="Palatino Linotype" w:hAnsi="Palatino Linotype"/>
          <w:sz w:val="24"/>
          <w:u w:val="single"/>
        </w:rPr>
        <w:t xml:space="preserve"> </w:t>
      </w:r>
      <w:r w:rsidRPr="00594565">
        <w:rPr>
          <w:rFonts w:ascii="Palatino Linotype" w:hAnsi="Palatino Linotype"/>
          <w:b/>
          <w:sz w:val="24"/>
          <w:u w:val="single"/>
        </w:rPr>
        <w:t>O</w:t>
      </w:r>
      <w:r w:rsidRPr="00594565">
        <w:rPr>
          <w:rFonts w:ascii="Palatino Linotype" w:hAnsi="Palatino Linotype"/>
          <w:sz w:val="24"/>
          <w:u w:val="single"/>
        </w:rPr>
        <w:t xml:space="preserve"> </w:t>
      </w:r>
      <w:r w:rsidRPr="00594565">
        <w:rPr>
          <w:rFonts w:ascii="Palatino Linotype" w:hAnsi="Palatino Linotype"/>
          <w:b/>
          <w:sz w:val="24"/>
          <w:u w:val="single"/>
        </w:rPr>
        <w:t>L</w:t>
      </w:r>
      <w:r w:rsidRPr="00594565">
        <w:rPr>
          <w:rFonts w:ascii="Palatino Linotype" w:hAnsi="Palatino Linotype"/>
          <w:sz w:val="24"/>
          <w:u w:val="single"/>
        </w:rPr>
        <w:t xml:space="preserve"> </w:t>
      </w:r>
      <w:r w:rsidRPr="00594565">
        <w:rPr>
          <w:rFonts w:ascii="Palatino Linotype" w:hAnsi="Palatino Linotype"/>
          <w:b/>
          <w:sz w:val="24"/>
          <w:u w:val="single"/>
        </w:rPr>
        <w:t>U</w:t>
      </w:r>
      <w:r w:rsidRPr="00594565">
        <w:rPr>
          <w:rFonts w:ascii="Palatino Linotype" w:hAnsi="Palatino Linotype"/>
          <w:sz w:val="24"/>
          <w:u w:val="single"/>
        </w:rPr>
        <w:t xml:space="preserve"> </w:t>
      </w:r>
      <w:r w:rsidRPr="00594565">
        <w:rPr>
          <w:rFonts w:ascii="Palatino Linotype" w:hAnsi="Palatino Linotype"/>
          <w:b/>
          <w:sz w:val="24"/>
          <w:u w:val="single"/>
        </w:rPr>
        <w:t>T</w:t>
      </w:r>
      <w:r w:rsidRPr="00594565">
        <w:rPr>
          <w:rFonts w:ascii="Palatino Linotype" w:hAnsi="Palatino Linotype"/>
          <w:sz w:val="24"/>
          <w:u w:val="single"/>
        </w:rPr>
        <w:t xml:space="preserve"> </w:t>
      </w:r>
      <w:r w:rsidRPr="00594565">
        <w:rPr>
          <w:rFonts w:ascii="Palatino Linotype" w:hAnsi="Palatino Linotype"/>
          <w:b/>
          <w:sz w:val="24"/>
          <w:u w:val="single"/>
        </w:rPr>
        <w:t>I</w:t>
      </w:r>
      <w:r w:rsidRPr="00594565">
        <w:rPr>
          <w:rFonts w:ascii="Palatino Linotype" w:hAnsi="Palatino Linotype"/>
          <w:sz w:val="24"/>
          <w:u w:val="single"/>
        </w:rPr>
        <w:t xml:space="preserve"> </w:t>
      </w:r>
      <w:r w:rsidRPr="00594565">
        <w:rPr>
          <w:rFonts w:ascii="Palatino Linotype" w:hAnsi="Palatino Linotype"/>
          <w:b/>
          <w:sz w:val="24"/>
          <w:u w:val="single"/>
        </w:rPr>
        <w:t>O</w:t>
      </w:r>
      <w:r w:rsidRPr="00594565">
        <w:rPr>
          <w:rFonts w:ascii="Palatino Linotype" w:hAnsi="Palatino Linotype"/>
          <w:sz w:val="24"/>
          <w:u w:val="single"/>
        </w:rPr>
        <w:t xml:space="preserve"> </w:t>
      </w:r>
      <w:r w:rsidRPr="00594565">
        <w:rPr>
          <w:rFonts w:ascii="Palatino Linotype" w:hAnsi="Palatino Linotype"/>
          <w:b/>
          <w:sz w:val="24"/>
          <w:u w:val="single"/>
        </w:rPr>
        <w:t>N</w:t>
      </w:r>
    </w:p>
    <w:p w:rsidR="00884CAA" w:rsidRPr="00594565" w:rsidRDefault="00884CAA" w:rsidP="009C2128">
      <w:pPr>
        <w:rPr>
          <w:rFonts w:ascii="Palatino Linotype" w:hAnsi="Palatino Linotype"/>
          <w:sz w:val="24"/>
          <w:u w:val="single"/>
        </w:rPr>
      </w:pPr>
    </w:p>
    <w:p w:rsidR="00884CAA" w:rsidRPr="0028244B" w:rsidRDefault="00884CAA" w:rsidP="0028244B">
      <w:pPr>
        <w:ind w:left="720" w:right="266"/>
        <w:rPr>
          <w:rFonts w:ascii="Palatino Linotype" w:hAnsi="Palatino Linotype"/>
          <w:b/>
          <w:sz w:val="24"/>
        </w:rPr>
      </w:pPr>
      <w:r w:rsidRPr="0028244B">
        <w:rPr>
          <w:rFonts w:ascii="Palatino Linotype" w:hAnsi="Palatino Linotype"/>
          <w:b/>
          <w:sz w:val="24"/>
        </w:rPr>
        <w:t xml:space="preserve">Resolution T-17442.  Approval of the California Teleconnect Fund Program Surcharge Rate of </w:t>
      </w:r>
      <w:r>
        <w:rPr>
          <w:rFonts w:ascii="Palatino Linotype" w:hAnsi="Palatino Linotype"/>
          <w:b/>
          <w:sz w:val="24"/>
        </w:rPr>
        <w:t>0.93%</w:t>
      </w:r>
      <w:r w:rsidRPr="0028244B">
        <w:rPr>
          <w:rFonts w:ascii="Palatino Linotype" w:hAnsi="Palatino Linotype"/>
          <w:b/>
          <w:sz w:val="24"/>
        </w:rPr>
        <w:t xml:space="preserve"> Effective October 1, 2014.</w:t>
      </w:r>
    </w:p>
    <w:p w:rsidR="00884CAA" w:rsidRDefault="00884CAA" w:rsidP="009C2128">
      <w:pPr>
        <w:ind w:left="720" w:right="720"/>
        <w:rPr>
          <w:rFonts w:ascii="Palatino Linotype" w:hAnsi="Palatino Linotype"/>
          <w:sz w:val="24"/>
        </w:rPr>
      </w:pPr>
      <w:r>
        <w:rPr>
          <w:rFonts w:ascii="Palatino Linotype" w:hAnsi="Palatino Linotype"/>
          <w:sz w:val="24"/>
        </w:rPr>
        <w:t>_________________________________________________________________</w:t>
      </w:r>
    </w:p>
    <w:p w:rsidR="00884CAA" w:rsidRPr="009C2128" w:rsidRDefault="00884CAA" w:rsidP="009C2128">
      <w:pPr>
        <w:jc w:val="center"/>
        <w:rPr>
          <w:rFonts w:ascii="Palatino Linotype" w:hAnsi="Palatino Linotype"/>
        </w:rPr>
      </w:pPr>
    </w:p>
    <w:p w:rsidR="00884CAA" w:rsidRPr="009C2128" w:rsidRDefault="00884CAA" w:rsidP="009C2128">
      <w:pPr>
        <w:rPr>
          <w:rFonts w:ascii="Palatino Linotype" w:hAnsi="Palatino Linotype"/>
        </w:rPr>
      </w:pPr>
    </w:p>
    <w:p w:rsidR="00884CAA" w:rsidRPr="0028244B" w:rsidRDefault="00884CAA" w:rsidP="009C2128">
      <w:pPr>
        <w:rPr>
          <w:rFonts w:ascii="Palatino Linotype" w:hAnsi="Palatino Linotype"/>
          <w:b/>
          <w:sz w:val="26"/>
          <w:u w:val="single"/>
        </w:rPr>
      </w:pPr>
      <w:r w:rsidRPr="0028244B">
        <w:rPr>
          <w:rFonts w:ascii="Palatino Linotype" w:hAnsi="Palatino Linotype"/>
          <w:b/>
          <w:sz w:val="26"/>
          <w:u w:val="single"/>
        </w:rPr>
        <w:t>SUMMARY</w:t>
      </w:r>
    </w:p>
    <w:p w:rsidR="00884CAA" w:rsidRDefault="00884CAA" w:rsidP="009C2128">
      <w:pPr>
        <w:rPr>
          <w:rFonts w:ascii="Palatino Linotype" w:hAnsi="Palatino Linotype"/>
        </w:rPr>
      </w:pPr>
    </w:p>
    <w:p w:rsidR="00884CAA" w:rsidRPr="004B5F11" w:rsidRDefault="00884CAA" w:rsidP="009C2128">
      <w:pPr>
        <w:rPr>
          <w:rFonts w:ascii="Palatino Linotype" w:hAnsi="Palatino Linotype"/>
          <w:sz w:val="24"/>
        </w:rPr>
      </w:pPr>
      <w:r w:rsidRPr="004B5F11">
        <w:rPr>
          <w:rFonts w:ascii="Palatino Linotype" w:hAnsi="Palatino Linotype"/>
          <w:sz w:val="24"/>
        </w:rPr>
        <w:t xml:space="preserve">This resolution adopts a revised California Teleconnect Fund (CTF) program surcharge rate of </w:t>
      </w:r>
      <w:r>
        <w:rPr>
          <w:rFonts w:ascii="Palatino Linotype" w:hAnsi="Palatino Linotype"/>
          <w:sz w:val="24"/>
        </w:rPr>
        <w:t>0.93</w:t>
      </w:r>
      <w:r w:rsidRPr="004B5F11">
        <w:rPr>
          <w:rFonts w:ascii="Palatino Linotype" w:hAnsi="Palatino Linotype"/>
          <w:sz w:val="24"/>
        </w:rPr>
        <w:t xml:space="preserve">% effective October 1, 2014, until further revised by the California Public Utilities Commission.  </w:t>
      </w:r>
      <w:r w:rsidR="00FB4D13">
        <w:rPr>
          <w:rFonts w:ascii="Palatino Linotype" w:hAnsi="Palatino Linotype"/>
          <w:sz w:val="24"/>
        </w:rPr>
        <w:t xml:space="preserve">The current CTF surcharge rate is 0.59%.  </w:t>
      </w:r>
      <w:r w:rsidRPr="004B5F11">
        <w:rPr>
          <w:rFonts w:ascii="Palatino Linotype" w:hAnsi="Palatino Linotype"/>
          <w:sz w:val="24"/>
        </w:rPr>
        <w:t xml:space="preserve">All </w:t>
      </w:r>
      <w:r>
        <w:rPr>
          <w:rFonts w:ascii="Palatino Linotype" w:hAnsi="Palatino Linotype"/>
          <w:sz w:val="24"/>
        </w:rPr>
        <w:t>telephone corporations and interconnected Voice over Internet Protocol (VoIP) service providers shall apply this new CTF</w:t>
      </w:r>
      <w:r w:rsidRPr="004B5F11">
        <w:rPr>
          <w:rFonts w:ascii="Palatino Linotype" w:hAnsi="Palatino Linotype"/>
          <w:sz w:val="24"/>
        </w:rPr>
        <w:t xml:space="preserve"> surcharge rate on revenues collected from end-users </w:t>
      </w:r>
      <w:r>
        <w:rPr>
          <w:rFonts w:ascii="Palatino Linotype" w:hAnsi="Palatino Linotype"/>
          <w:sz w:val="24"/>
        </w:rPr>
        <w:t xml:space="preserve">for </w:t>
      </w:r>
      <w:r w:rsidRPr="004B5F11">
        <w:rPr>
          <w:rFonts w:ascii="Palatino Linotype" w:hAnsi="Palatino Linotype"/>
          <w:sz w:val="24"/>
        </w:rPr>
        <w:t>intrastate telecommunications services subject to surcharge effective October 1, 2014 and thereafter.</w:t>
      </w:r>
      <w:r w:rsidRPr="004B5F11">
        <w:rPr>
          <w:rStyle w:val="FootnoteReference"/>
          <w:rFonts w:ascii="Palatino Linotype" w:hAnsi="Palatino Linotype"/>
          <w:sz w:val="24"/>
        </w:rPr>
        <w:footnoteReference w:id="1"/>
      </w:r>
      <w:r w:rsidRPr="004B5F11">
        <w:rPr>
          <w:rFonts w:ascii="Palatino Linotype" w:hAnsi="Palatino Linotype"/>
          <w:sz w:val="24"/>
        </w:rPr>
        <w:t xml:space="preserve">  </w:t>
      </w:r>
    </w:p>
    <w:p w:rsidR="00884CAA" w:rsidRPr="009C2128" w:rsidRDefault="00884CAA" w:rsidP="009C2128">
      <w:pPr>
        <w:rPr>
          <w:rFonts w:ascii="Palatino Linotype" w:hAnsi="Palatino Linotype"/>
        </w:rPr>
      </w:pPr>
    </w:p>
    <w:p w:rsidR="00884CAA" w:rsidRPr="0028244B" w:rsidRDefault="00884CAA" w:rsidP="009C2128">
      <w:pPr>
        <w:rPr>
          <w:rFonts w:ascii="Palatino Linotype" w:hAnsi="Palatino Linotype"/>
          <w:b/>
          <w:sz w:val="26"/>
          <w:u w:val="single"/>
        </w:rPr>
      </w:pPr>
      <w:r w:rsidRPr="0028244B">
        <w:rPr>
          <w:rFonts w:ascii="Palatino Linotype" w:hAnsi="Palatino Linotype"/>
          <w:b/>
          <w:sz w:val="26"/>
          <w:u w:val="single"/>
        </w:rPr>
        <w:t>BACKGROUND</w:t>
      </w:r>
    </w:p>
    <w:p w:rsidR="00884CAA" w:rsidRPr="009C2128" w:rsidRDefault="00884CAA" w:rsidP="009C2128">
      <w:pPr>
        <w:rPr>
          <w:rFonts w:ascii="Palatino Linotype" w:hAnsi="Palatino Linotype"/>
        </w:rPr>
      </w:pPr>
    </w:p>
    <w:p w:rsidR="00884CAA" w:rsidRPr="004B5F11" w:rsidRDefault="00884CAA" w:rsidP="00763E51">
      <w:pPr>
        <w:rPr>
          <w:rFonts w:ascii="Palatino Linotype" w:hAnsi="Palatino Linotype"/>
          <w:sz w:val="24"/>
        </w:rPr>
      </w:pPr>
      <w:r w:rsidRPr="004B5F11">
        <w:rPr>
          <w:rFonts w:ascii="Palatino Linotype" w:hAnsi="Palatino Linotype"/>
          <w:sz w:val="24"/>
        </w:rPr>
        <w:t xml:space="preserve">In Decision (D.) 96-10-066, the Commission created the California Teleconnect Fund (CTF) program, effective October 25, 1996, to provide discounted rates for advanced telecommunications services for qualifying schools, libraries, government-owned health care providers, and community based organizations (CBOs).  </w:t>
      </w:r>
    </w:p>
    <w:p w:rsidR="00884CAA" w:rsidRPr="004B5F11" w:rsidRDefault="00884CAA" w:rsidP="00763E51">
      <w:pPr>
        <w:rPr>
          <w:rFonts w:ascii="Palatino Linotype" w:hAnsi="Palatino Linotype"/>
          <w:sz w:val="24"/>
        </w:rPr>
      </w:pPr>
    </w:p>
    <w:p w:rsidR="00884CAA" w:rsidRPr="004B5F11" w:rsidRDefault="00884CAA" w:rsidP="00763E51">
      <w:pPr>
        <w:rPr>
          <w:rFonts w:ascii="Palatino Linotype" w:hAnsi="Palatino Linotype"/>
          <w:sz w:val="24"/>
        </w:rPr>
      </w:pPr>
      <w:r w:rsidRPr="004B5F11">
        <w:rPr>
          <w:rFonts w:ascii="Palatino Linotype" w:hAnsi="Palatino Linotype"/>
          <w:sz w:val="24"/>
        </w:rPr>
        <w:t xml:space="preserve">Public Utilities (PU) Code Sections 270-281 were enacted in October 1999.  Section 280(d) requires that the money appropriated from the California Teleconnect Fund Administrative Committee Fund be used only for the purpose of that fund. </w:t>
      </w:r>
    </w:p>
    <w:p w:rsidR="00884CAA" w:rsidRPr="004B5F11" w:rsidRDefault="00884CAA" w:rsidP="00763E51">
      <w:pPr>
        <w:rPr>
          <w:rFonts w:ascii="Palatino Linotype" w:hAnsi="Palatino Linotype"/>
          <w:sz w:val="24"/>
        </w:rPr>
      </w:pPr>
    </w:p>
    <w:p w:rsidR="00884CAA" w:rsidRPr="004B5F11" w:rsidRDefault="00884CAA" w:rsidP="00763E51">
      <w:pPr>
        <w:rPr>
          <w:rFonts w:ascii="Palatino Linotype" w:hAnsi="Palatino Linotype"/>
          <w:sz w:val="24"/>
        </w:rPr>
      </w:pPr>
      <w:r w:rsidRPr="004B5F11">
        <w:rPr>
          <w:rFonts w:ascii="Palatino Linotype" w:hAnsi="Palatino Linotype"/>
          <w:sz w:val="24"/>
        </w:rPr>
        <w:t>In May 2006, the Commission opened Rulemaking 06-05-028 to conduct a comprehensive review of the Telecommunications Public Purpose Programs including the CTF.  Subsequently, the Commission D.08-06-020 on June 12, 2008, found that the CTF was successfully enhancing universal service goals, and ordered several key changes to the CTF program.  These changes included the removal of CTF tariff requirements for all carriers that provide CTF-eligible services on a detariffed or non-</w:t>
      </w:r>
      <w:r w:rsidRPr="004B5F11">
        <w:rPr>
          <w:rFonts w:ascii="Palatino Linotype" w:hAnsi="Palatino Linotype"/>
          <w:sz w:val="24"/>
        </w:rPr>
        <w:lastRenderedPageBreak/>
        <w:t>regulated basis, and the inclusion of California’s community colleges, California Telehealth Network participants, and CBOs authorized to provide 2-1-1 Information and Referral Services.</w:t>
      </w:r>
      <w:r w:rsidRPr="004B5F11">
        <w:rPr>
          <w:rStyle w:val="FootnoteReference"/>
          <w:rFonts w:ascii="Palatino Linotype" w:hAnsi="Palatino Linotype"/>
          <w:sz w:val="24"/>
        </w:rPr>
        <w:footnoteReference w:id="2"/>
      </w:r>
      <w:r w:rsidRPr="004B5F11">
        <w:rPr>
          <w:rFonts w:ascii="Palatino Linotype" w:hAnsi="Palatino Linotype"/>
          <w:sz w:val="24"/>
        </w:rPr>
        <w:t xml:space="preserve">   </w:t>
      </w:r>
    </w:p>
    <w:p w:rsidR="00884CAA" w:rsidRPr="004B5F11" w:rsidRDefault="00884CAA" w:rsidP="00763E51">
      <w:pPr>
        <w:rPr>
          <w:rFonts w:ascii="Palatino Linotype" w:hAnsi="Palatino Linotype"/>
          <w:sz w:val="24"/>
        </w:rPr>
      </w:pPr>
    </w:p>
    <w:p w:rsidR="00884CAA" w:rsidRDefault="00884CAA" w:rsidP="00763E51">
      <w:pPr>
        <w:rPr>
          <w:rFonts w:ascii="Palatino Linotype" w:hAnsi="Palatino Linotype"/>
          <w:sz w:val="24"/>
        </w:rPr>
      </w:pPr>
      <w:r w:rsidRPr="004B5F11">
        <w:rPr>
          <w:rFonts w:ascii="Palatino Linotype" w:hAnsi="Palatino Linotype"/>
          <w:sz w:val="24"/>
        </w:rPr>
        <w:t>On January 31, 2013, the Commission on its own motion opened Rulemaking (R.)13-01-010 to determine whether the CTF is fulfilling its purpose, and whether the CTF’s current structure and administrative processes are adequate to further the program’s goals.</w:t>
      </w:r>
      <w:r w:rsidRPr="004B5F11">
        <w:rPr>
          <w:rStyle w:val="FootnoteReference"/>
          <w:rFonts w:ascii="Palatino Linotype" w:hAnsi="Palatino Linotype"/>
          <w:sz w:val="24"/>
        </w:rPr>
        <w:footnoteReference w:id="3"/>
      </w:r>
      <w:r w:rsidRPr="004B5F11">
        <w:rPr>
          <w:rFonts w:ascii="Palatino Linotype" w:hAnsi="Palatino Linotype"/>
          <w:sz w:val="24"/>
        </w:rPr>
        <w:t xml:space="preserve">   In this rulemaking, the Commission will review the program goals, participant eligibility, eligible services, service provider eligibility, and budget and administrative rules.  </w:t>
      </w:r>
    </w:p>
    <w:p w:rsidR="00884CAA" w:rsidRPr="00A121A4" w:rsidRDefault="00884CAA" w:rsidP="00763E51">
      <w:pPr>
        <w:rPr>
          <w:rFonts w:ascii="Palatino Linotype" w:hAnsi="Palatino Linotype"/>
          <w:sz w:val="22"/>
        </w:rPr>
      </w:pPr>
    </w:p>
    <w:p w:rsidR="00884CAA" w:rsidRPr="004B5F11" w:rsidRDefault="00884CAA" w:rsidP="009C2128">
      <w:pPr>
        <w:rPr>
          <w:rFonts w:ascii="Palatino Linotype" w:hAnsi="Palatino Linotype"/>
          <w:sz w:val="24"/>
        </w:rPr>
      </w:pPr>
      <w:r w:rsidRPr="004B5F11">
        <w:rPr>
          <w:rFonts w:ascii="Palatino Linotype" w:hAnsi="Palatino Linotype"/>
          <w:sz w:val="24"/>
        </w:rPr>
        <w:t>The CTF program is funded by a surcharge assessed on revenues collected from end-users for intrastate telecommunications services subject to surcharge. On October 15, 2012, the Commission adopted Resolution T-17375, which increased the CTF surcharge rate from 0.079% to 0.59% to meet forecasted CTF budget requirements.  Historical CTF surcharge rates are available online at</w:t>
      </w:r>
      <w:r w:rsidR="003C299D">
        <w:rPr>
          <w:rFonts w:ascii="Palatino Linotype" w:hAnsi="Palatino Linotype"/>
          <w:sz w:val="24"/>
        </w:rPr>
        <w:t xml:space="preserve"> </w:t>
      </w:r>
      <w:r w:rsidR="003C299D" w:rsidRPr="003C299D">
        <w:rPr>
          <w:rFonts w:ascii="Palatino Linotype" w:hAnsi="Palatino Linotype"/>
          <w:sz w:val="24"/>
        </w:rPr>
        <w:t>http://www.cpuc.ca.gov/PUC/Telco/Consumer+Information/surcharges.htm</w:t>
      </w:r>
      <w:r w:rsidRPr="004B5F11">
        <w:rPr>
          <w:rFonts w:ascii="Palatino Linotype" w:hAnsi="Palatino Linotype"/>
          <w:sz w:val="24"/>
        </w:rPr>
        <w:t xml:space="preserve">.     </w:t>
      </w:r>
    </w:p>
    <w:p w:rsidR="00884CAA" w:rsidRPr="009C2128" w:rsidRDefault="00884CAA" w:rsidP="009C2128">
      <w:pPr>
        <w:rPr>
          <w:rFonts w:ascii="Palatino Linotype" w:hAnsi="Palatino Linotype"/>
        </w:rPr>
      </w:pPr>
    </w:p>
    <w:p w:rsidR="00884CAA" w:rsidRPr="009C2128" w:rsidRDefault="00884CAA" w:rsidP="009C2128">
      <w:pPr>
        <w:rPr>
          <w:rFonts w:ascii="Palatino Linotype" w:hAnsi="Palatino Linotype"/>
        </w:rPr>
      </w:pPr>
    </w:p>
    <w:p w:rsidR="00884CAA" w:rsidRPr="004B5F11" w:rsidRDefault="00884CAA" w:rsidP="009C2128">
      <w:pPr>
        <w:rPr>
          <w:rFonts w:ascii="Palatino Linotype" w:hAnsi="Palatino Linotype"/>
          <w:b/>
          <w:sz w:val="26"/>
          <w:u w:val="single"/>
        </w:rPr>
      </w:pPr>
      <w:r w:rsidRPr="004B5F11">
        <w:rPr>
          <w:rFonts w:ascii="Palatino Linotype" w:hAnsi="Palatino Linotype"/>
          <w:b/>
          <w:sz w:val="26"/>
          <w:u w:val="single"/>
        </w:rPr>
        <w:t>DISCUSSION</w:t>
      </w:r>
    </w:p>
    <w:p w:rsidR="00884CAA" w:rsidRDefault="00884CAA" w:rsidP="009C2128">
      <w:pPr>
        <w:rPr>
          <w:rFonts w:ascii="Palatino Linotype" w:hAnsi="Palatino Linotype"/>
        </w:rPr>
      </w:pPr>
    </w:p>
    <w:p w:rsidR="00884CAA" w:rsidRPr="004B5F11" w:rsidRDefault="00884CAA" w:rsidP="009C2128">
      <w:pPr>
        <w:rPr>
          <w:rFonts w:ascii="Palatino Linotype" w:hAnsi="Palatino Linotype"/>
          <w:sz w:val="24"/>
        </w:rPr>
      </w:pPr>
      <w:r w:rsidRPr="004B5F11">
        <w:rPr>
          <w:rFonts w:ascii="Palatino Linotype" w:hAnsi="Palatino Linotype"/>
          <w:sz w:val="24"/>
        </w:rPr>
        <w:t xml:space="preserve">The Communications Division (CD) periodically reviews universal service public purpose program balances and surcharge rates to ensure that the programs are sufficiently funded.  </w:t>
      </w:r>
    </w:p>
    <w:p w:rsidR="00884CAA" w:rsidRPr="004B5F11" w:rsidRDefault="00884CAA" w:rsidP="009C2128">
      <w:pPr>
        <w:rPr>
          <w:rFonts w:ascii="Palatino Linotype" w:hAnsi="Palatino Linotype"/>
          <w:sz w:val="24"/>
        </w:rPr>
      </w:pPr>
    </w:p>
    <w:p w:rsidR="00884CAA" w:rsidRPr="004B5F11" w:rsidRDefault="00884CAA" w:rsidP="009C2128">
      <w:pPr>
        <w:rPr>
          <w:rFonts w:ascii="Palatino Linotype" w:hAnsi="Palatino Linotype"/>
          <w:sz w:val="24"/>
        </w:rPr>
      </w:pPr>
      <w:r w:rsidRPr="004B5F11">
        <w:rPr>
          <w:rFonts w:ascii="Palatino Linotype" w:hAnsi="Palatino Linotype"/>
          <w:sz w:val="24"/>
        </w:rPr>
        <w:t xml:space="preserve">On October 3, 2013, the Commission issued Resolution T-17414, which adopted a budget of $107.983 million for the CTF for Fiscal Year (FY) 2014-15.  If the current surcharge rate remains at 0.59%, CD estimates that the CTF would </w:t>
      </w:r>
      <w:r>
        <w:rPr>
          <w:rFonts w:ascii="Palatino Linotype" w:hAnsi="Palatino Linotype"/>
          <w:sz w:val="24"/>
        </w:rPr>
        <w:t xml:space="preserve">not </w:t>
      </w:r>
      <w:r w:rsidRPr="004B5F11">
        <w:rPr>
          <w:rFonts w:ascii="Palatino Linotype" w:hAnsi="Palatino Linotype"/>
          <w:sz w:val="24"/>
        </w:rPr>
        <w:t xml:space="preserve">be </w:t>
      </w:r>
      <w:r>
        <w:rPr>
          <w:rFonts w:ascii="Palatino Linotype" w:hAnsi="Palatino Linotype"/>
          <w:sz w:val="24"/>
        </w:rPr>
        <w:t>able</w:t>
      </w:r>
      <w:r w:rsidRPr="004B5F11">
        <w:rPr>
          <w:rFonts w:ascii="Palatino Linotype" w:hAnsi="Palatino Linotype"/>
          <w:sz w:val="24"/>
        </w:rPr>
        <w:t xml:space="preserve"> to meet the </w:t>
      </w:r>
      <w:r>
        <w:rPr>
          <w:rFonts w:ascii="Palatino Linotype" w:hAnsi="Palatino Linotype"/>
          <w:sz w:val="24"/>
        </w:rPr>
        <w:t xml:space="preserve">budgeted </w:t>
      </w:r>
      <w:r w:rsidRPr="004B5F11">
        <w:rPr>
          <w:rFonts w:ascii="Palatino Linotype" w:hAnsi="Palatino Linotype"/>
          <w:sz w:val="24"/>
        </w:rPr>
        <w:t>program expenses for the FY 2014-15.</w:t>
      </w:r>
      <w:r>
        <w:rPr>
          <w:rFonts w:ascii="Palatino Linotype" w:hAnsi="Palatino Linotype"/>
          <w:sz w:val="24"/>
        </w:rPr>
        <w:t xml:space="preserve">  </w:t>
      </w:r>
    </w:p>
    <w:p w:rsidR="00884CAA" w:rsidRPr="004B5F11" w:rsidRDefault="00884CAA" w:rsidP="009C2128">
      <w:pPr>
        <w:rPr>
          <w:rFonts w:ascii="Palatino Linotype" w:hAnsi="Palatino Linotype"/>
          <w:sz w:val="24"/>
        </w:rPr>
      </w:pPr>
    </w:p>
    <w:p w:rsidR="00884CAA" w:rsidRDefault="00884CAA" w:rsidP="009C2128">
      <w:pPr>
        <w:rPr>
          <w:rFonts w:ascii="Palatino Linotype" w:hAnsi="Palatino Linotype"/>
          <w:sz w:val="24"/>
        </w:rPr>
      </w:pPr>
      <w:r w:rsidRPr="004B5F11">
        <w:rPr>
          <w:rFonts w:ascii="Palatino Linotype" w:hAnsi="Palatino Linotype"/>
          <w:sz w:val="24"/>
        </w:rPr>
        <w:t xml:space="preserve">In order for the CTF to collect sufficient funds for the FY 2014-15, CD recommends the Commission increase the surcharge from 0.59% to </w:t>
      </w:r>
      <w:r>
        <w:rPr>
          <w:rFonts w:ascii="Palatino Linotype" w:hAnsi="Palatino Linotype"/>
          <w:sz w:val="24"/>
        </w:rPr>
        <w:t>0.93</w:t>
      </w:r>
      <w:r w:rsidRPr="004B5F11">
        <w:rPr>
          <w:rFonts w:ascii="Palatino Linotype" w:hAnsi="Palatino Linotype"/>
          <w:sz w:val="24"/>
        </w:rPr>
        <w:t xml:space="preserve">%.  </w:t>
      </w:r>
      <w:r w:rsidRPr="007223FB">
        <w:rPr>
          <w:rFonts w:ascii="Palatino Linotype" w:hAnsi="Palatino Linotype"/>
          <w:sz w:val="24"/>
        </w:rPr>
        <w:t>This surcharge increase is needed not only to accommodate the increase in CTF expenses, but also to account for changes in the billing base on which the surcharge is assessed. CD’s analysis of the historical billing base shows a declining trend. CD forecas</w:t>
      </w:r>
      <w:r>
        <w:rPr>
          <w:rFonts w:ascii="Palatino Linotype" w:hAnsi="Palatino Linotype"/>
          <w:sz w:val="24"/>
        </w:rPr>
        <w:t xml:space="preserve">ts a billing base of </w:t>
      </w:r>
      <w:r w:rsidRPr="00FA5176">
        <w:rPr>
          <w:rFonts w:ascii="Palatino Linotype" w:hAnsi="Palatino Linotype"/>
          <w:sz w:val="24"/>
        </w:rPr>
        <w:t>$13</w:t>
      </w:r>
      <w:r w:rsidR="001B7FC0">
        <w:rPr>
          <w:rFonts w:ascii="Palatino Linotype" w:hAnsi="Palatino Linotype"/>
          <w:sz w:val="24"/>
        </w:rPr>
        <w:t>.</w:t>
      </w:r>
      <w:r w:rsidRPr="00FA5176">
        <w:rPr>
          <w:rFonts w:ascii="Palatino Linotype" w:hAnsi="Palatino Linotype"/>
          <w:sz w:val="24"/>
        </w:rPr>
        <w:t xml:space="preserve">444 </w:t>
      </w:r>
      <w:r w:rsidR="001B7FC0">
        <w:rPr>
          <w:rFonts w:ascii="Palatino Linotype" w:hAnsi="Palatino Linotype"/>
          <w:sz w:val="24"/>
        </w:rPr>
        <w:t>b</w:t>
      </w:r>
      <w:r w:rsidRPr="00FA5176">
        <w:rPr>
          <w:rFonts w:ascii="Palatino Linotype" w:hAnsi="Palatino Linotype"/>
          <w:sz w:val="24"/>
        </w:rPr>
        <w:t xml:space="preserve">illion </w:t>
      </w:r>
      <w:r w:rsidRPr="007223FB">
        <w:rPr>
          <w:rFonts w:ascii="Palatino Linotype" w:hAnsi="Palatino Linotype"/>
          <w:sz w:val="24"/>
        </w:rPr>
        <w:t xml:space="preserve">for FY 14-15 </w:t>
      </w:r>
      <w:r w:rsidRPr="00FA5176">
        <w:rPr>
          <w:rFonts w:ascii="Palatino Linotype" w:hAnsi="Palatino Linotype"/>
          <w:sz w:val="24"/>
        </w:rPr>
        <w:t>and of $12</w:t>
      </w:r>
      <w:r w:rsidR="001B7FC0">
        <w:rPr>
          <w:rFonts w:ascii="Palatino Linotype" w:hAnsi="Palatino Linotype"/>
          <w:sz w:val="24"/>
        </w:rPr>
        <w:t>.</w:t>
      </w:r>
      <w:r w:rsidRPr="00FA5176">
        <w:rPr>
          <w:rFonts w:ascii="Palatino Linotype" w:hAnsi="Palatino Linotype"/>
          <w:sz w:val="24"/>
        </w:rPr>
        <w:t xml:space="preserve">842 </w:t>
      </w:r>
      <w:r w:rsidR="001B7FC0">
        <w:rPr>
          <w:rFonts w:ascii="Palatino Linotype" w:hAnsi="Palatino Linotype"/>
          <w:sz w:val="24"/>
        </w:rPr>
        <w:t>b</w:t>
      </w:r>
      <w:r w:rsidRPr="007223FB">
        <w:rPr>
          <w:rFonts w:ascii="Palatino Linotype" w:hAnsi="Palatino Linotype"/>
          <w:sz w:val="24"/>
        </w:rPr>
        <w:t xml:space="preserve">illion </w:t>
      </w:r>
      <w:r w:rsidRPr="007223FB" w:rsidDel="00760835">
        <w:rPr>
          <w:rFonts w:ascii="Palatino Linotype" w:hAnsi="Palatino Linotype"/>
          <w:sz w:val="24"/>
        </w:rPr>
        <w:t xml:space="preserve">for </w:t>
      </w:r>
      <w:r w:rsidRPr="007223FB">
        <w:rPr>
          <w:rFonts w:ascii="Palatino Linotype" w:hAnsi="Palatino Linotype"/>
          <w:sz w:val="24"/>
        </w:rPr>
        <w:t>FY 15-16</w:t>
      </w:r>
      <w:r>
        <w:rPr>
          <w:rFonts w:ascii="Palatino Linotype" w:hAnsi="Palatino Linotype"/>
          <w:sz w:val="24"/>
        </w:rPr>
        <w:t xml:space="preserve">.  </w:t>
      </w:r>
      <w:r w:rsidR="00FB4D13">
        <w:rPr>
          <w:rFonts w:ascii="Palatino Linotype" w:hAnsi="Palatino Linotype"/>
          <w:sz w:val="24"/>
        </w:rPr>
        <w:t xml:space="preserve">(See Appendix A)  </w:t>
      </w:r>
      <w:r w:rsidRPr="004B5F11">
        <w:rPr>
          <w:rFonts w:ascii="Palatino Linotype" w:hAnsi="Palatino Linotype"/>
          <w:sz w:val="24"/>
        </w:rPr>
        <w:t xml:space="preserve">If the </w:t>
      </w:r>
      <w:r w:rsidRPr="004B5F11">
        <w:rPr>
          <w:rFonts w:ascii="Palatino Linotype" w:hAnsi="Palatino Linotype"/>
          <w:sz w:val="24"/>
        </w:rPr>
        <w:lastRenderedPageBreak/>
        <w:t xml:space="preserve">Commission revises the CTF surcharge to </w:t>
      </w:r>
      <w:r>
        <w:rPr>
          <w:rFonts w:ascii="Palatino Linotype" w:hAnsi="Palatino Linotype"/>
          <w:sz w:val="24"/>
        </w:rPr>
        <w:t>0.93</w:t>
      </w:r>
      <w:r w:rsidRPr="004B5F11">
        <w:rPr>
          <w:rFonts w:ascii="Palatino Linotype" w:hAnsi="Palatino Linotype"/>
          <w:sz w:val="24"/>
        </w:rPr>
        <w:t xml:space="preserve">% effective October 1, 2014, CD </w:t>
      </w:r>
      <w:r>
        <w:rPr>
          <w:rFonts w:ascii="Palatino Linotype" w:hAnsi="Palatino Linotype"/>
          <w:sz w:val="24"/>
        </w:rPr>
        <w:t>forecasts</w:t>
      </w:r>
      <w:r w:rsidRPr="004B5F11">
        <w:rPr>
          <w:rFonts w:ascii="Palatino Linotype" w:hAnsi="Palatino Linotype"/>
          <w:sz w:val="24"/>
        </w:rPr>
        <w:t xml:space="preserve"> that  CTF will receive $1</w:t>
      </w:r>
      <w:r>
        <w:rPr>
          <w:rFonts w:ascii="Palatino Linotype" w:hAnsi="Palatino Linotype"/>
          <w:sz w:val="24"/>
        </w:rPr>
        <w:t>13</w:t>
      </w:r>
      <w:r w:rsidRPr="004B5F11">
        <w:rPr>
          <w:rFonts w:ascii="Palatino Linotype" w:hAnsi="Palatino Linotype"/>
          <w:sz w:val="24"/>
        </w:rPr>
        <w:t>.</w:t>
      </w:r>
      <w:r>
        <w:rPr>
          <w:rFonts w:ascii="Palatino Linotype" w:hAnsi="Palatino Linotype"/>
          <w:sz w:val="24"/>
        </w:rPr>
        <w:t>602</w:t>
      </w:r>
      <w:r w:rsidRPr="004B5F11">
        <w:rPr>
          <w:rFonts w:ascii="Palatino Linotype" w:hAnsi="Palatino Linotype"/>
          <w:sz w:val="24"/>
        </w:rPr>
        <w:t xml:space="preserve"> million in surcharge revenue</w:t>
      </w:r>
      <w:r w:rsidR="00996C43">
        <w:rPr>
          <w:rFonts w:ascii="Palatino Linotype" w:hAnsi="Palatino Linotype"/>
          <w:sz w:val="24"/>
        </w:rPr>
        <w:t>s</w:t>
      </w:r>
      <w:r w:rsidRPr="004B5F11">
        <w:rPr>
          <w:rFonts w:ascii="Palatino Linotype" w:hAnsi="Palatino Linotype"/>
          <w:sz w:val="24"/>
        </w:rPr>
        <w:t xml:space="preserve"> during FY 2014-15.  The revised rate would allow CTF to meet the </w:t>
      </w:r>
      <w:r>
        <w:rPr>
          <w:rFonts w:ascii="Palatino Linotype" w:hAnsi="Palatino Linotype"/>
          <w:sz w:val="24"/>
        </w:rPr>
        <w:t xml:space="preserve">budgeted </w:t>
      </w:r>
      <w:r w:rsidRPr="004B5F11">
        <w:rPr>
          <w:rFonts w:ascii="Palatino Linotype" w:hAnsi="Palatino Linotype"/>
          <w:sz w:val="24"/>
        </w:rPr>
        <w:t xml:space="preserve">expenditure obligations for the FY 2014-15.  </w:t>
      </w:r>
    </w:p>
    <w:p w:rsidR="00884CAA" w:rsidRDefault="00884CAA" w:rsidP="009C2128">
      <w:pPr>
        <w:rPr>
          <w:rFonts w:ascii="Palatino Linotype" w:hAnsi="Palatino Linotype"/>
          <w:sz w:val="24"/>
        </w:rPr>
      </w:pPr>
    </w:p>
    <w:p w:rsidR="00884CAA" w:rsidRPr="004B5F11" w:rsidRDefault="00884CAA" w:rsidP="009C2128">
      <w:pPr>
        <w:rPr>
          <w:rFonts w:ascii="Palatino Linotype" w:hAnsi="Palatino Linotype"/>
          <w:sz w:val="24"/>
        </w:rPr>
      </w:pPr>
      <w:r>
        <w:rPr>
          <w:rFonts w:ascii="Palatino Linotype" w:hAnsi="Palatino Linotype"/>
          <w:sz w:val="24"/>
        </w:rPr>
        <w:t xml:space="preserve">The proposed 0.93% surcharge will also accommodate a FY 15-16 budget of at least $115.8 million.  CD has not yet developed a budget for FY 2015-16.  However, the CTF Administrative Committee has estimated a budget for FY 2015-16 of $115.8 million.  The proposed surcharge will be sufficient to cover CTF Administrative Committee’s proposed budget for FY 15-16. (See Appendix A)   </w:t>
      </w:r>
    </w:p>
    <w:p w:rsidR="00884CAA" w:rsidRPr="004B5F11" w:rsidRDefault="00884CAA" w:rsidP="009C2128">
      <w:pPr>
        <w:rPr>
          <w:rFonts w:ascii="Palatino Linotype" w:hAnsi="Palatino Linotype"/>
          <w:sz w:val="24"/>
        </w:rPr>
      </w:pPr>
    </w:p>
    <w:p w:rsidR="00884CAA" w:rsidRPr="004B5F11" w:rsidRDefault="00884CAA" w:rsidP="009C2128">
      <w:pPr>
        <w:rPr>
          <w:rFonts w:ascii="Palatino Linotype" w:hAnsi="Palatino Linotype"/>
          <w:sz w:val="24"/>
        </w:rPr>
      </w:pPr>
      <w:r w:rsidRPr="004B5F11">
        <w:rPr>
          <w:rFonts w:ascii="Palatino Linotype" w:hAnsi="Palatino Linotype"/>
          <w:sz w:val="24"/>
        </w:rPr>
        <w:t xml:space="preserve">CD recommends that the Commission adopt a surcharge rate of </w:t>
      </w:r>
      <w:r>
        <w:rPr>
          <w:rFonts w:ascii="Palatino Linotype" w:hAnsi="Palatino Linotype"/>
          <w:sz w:val="24"/>
        </w:rPr>
        <w:t>0.93</w:t>
      </w:r>
      <w:r w:rsidRPr="004B5F11">
        <w:rPr>
          <w:rFonts w:ascii="Palatino Linotype" w:hAnsi="Palatino Linotype"/>
          <w:sz w:val="24"/>
        </w:rPr>
        <w:t>%, effective October 1, 2014, to provide sufficient funding for the CTF.</w:t>
      </w:r>
    </w:p>
    <w:p w:rsidR="00884CAA" w:rsidRPr="00A121A4" w:rsidRDefault="00884CAA" w:rsidP="009C2128">
      <w:pPr>
        <w:rPr>
          <w:rFonts w:ascii="Palatino Linotype" w:hAnsi="Palatino Linotype"/>
          <w:sz w:val="22"/>
        </w:rPr>
      </w:pPr>
    </w:p>
    <w:p w:rsidR="00884CAA" w:rsidRPr="004B5F11" w:rsidRDefault="00884CAA" w:rsidP="009C2128">
      <w:pPr>
        <w:rPr>
          <w:rFonts w:ascii="Palatino Linotype" w:hAnsi="Palatino Linotype"/>
          <w:sz w:val="24"/>
        </w:rPr>
      </w:pPr>
      <w:r w:rsidRPr="004B5F11">
        <w:rPr>
          <w:rFonts w:ascii="Palatino Linotype" w:hAnsi="Palatino Linotype"/>
          <w:sz w:val="24"/>
        </w:rPr>
        <w:t xml:space="preserve">All telephone corporations </w:t>
      </w:r>
      <w:r>
        <w:rPr>
          <w:rFonts w:ascii="Palatino Linotype" w:hAnsi="Palatino Linotype"/>
          <w:sz w:val="24"/>
        </w:rPr>
        <w:t xml:space="preserve">and interconnected VoIP service providers </w:t>
      </w:r>
      <w:r w:rsidRPr="004B5F11">
        <w:rPr>
          <w:rFonts w:ascii="Palatino Linotype" w:hAnsi="Palatino Linotype"/>
          <w:sz w:val="24"/>
        </w:rPr>
        <w:t xml:space="preserve">should assess a CTF surcharge rate of </w:t>
      </w:r>
      <w:r>
        <w:rPr>
          <w:rFonts w:ascii="Palatino Linotype" w:hAnsi="Palatino Linotype"/>
          <w:sz w:val="24"/>
        </w:rPr>
        <w:t>0.93</w:t>
      </w:r>
      <w:r w:rsidRPr="004B5F11">
        <w:rPr>
          <w:rFonts w:ascii="Palatino Linotype" w:hAnsi="Palatino Linotype"/>
          <w:sz w:val="24"/>
        </w:rPr>
        <w:t>% on all rates and charges for intrastate telecommunications services subject to surcharge beginning October 1, 2014, and thereafter, until further ordered by the Commission.</w:t>
      </w:r>
    </w:p>
    <w:p w:rsidR="00884CAA" w:rsidRPr="00A121A4" w:rsidRDefault="00884CAA" w:rsidP="009C2128">
      <w:pPr>
        <w:rPr>
          <w:rFonts w:ascii="Palatino Linotype" w:hAnsi="Palatino Linotype"/>
          <w:sz w:val="22"/>
        </w:rPr>
      </w:pPr>
    </w:p>
    <w:p w:rsidR="00884CAA" w:rsidRPr="009C2128" w:rsidRDefault="00884CAA" w:rsidP="009C2128">
      <w:pPr>
        <w:rPr>
          <w:rFonts w:ascii="Palatino Linotype" w:hAnsi="Palatino Linotype"/>
        </w:rPr>
      </w:pPr>
    </w:p>
    <w:p w:rsidR="00884CAA" w:rsidRPr="004B5F11" w:rsidRDefault="00884CAA" w:rsidP="009C2128">
      <w:pPr>
        <w:rPr>
          <w:rFonts w:ascii="Palatino Linotype" w:hAnsi="Palatino Linotype"/>
          <w:b/>
          <w:sz w:val="26"/>
          <w:u w:val="single"/>
        </w:rPr>
      </w:pPr>
      <w:r w:rsidRPr="004B5F11">
        <w:rPr>
          <w:rFonts w:ascii="Palatino Linotype" w:hAnsi="Palatino Linotype"/>
          <w:b/>
          <w:sz w:val="26"/>
          <w:u w:val="single"/>
        </w:rPr>
        <w:t>ADVICE LETTER FILING</w:t>
      </w:r>
    </w:p>
    <w:p w:rsidR="00884CAA" w:rsidRDefault="00884CAA" w:rsidP="00A1712A">
      <w:pPr>
        <w:spacing w:before="100" w:beforeAutospacing="1" w:after="240"/>
        <w:rPr>
          <w:rFonts w:ascii="Palatino Linotype" w:hAnsi="Palatino Linotype"/>
          <w:color w:val="000000"/>
          <w:sz w:val="24"/>
        </w:rPr>
      </w:pPr>
      <w:r>
        <w:rPr>
          <w:rFonts w:ascii="Palatino Linotype" w:hAnsi="Palatino Linotype"/>
          <w:sz w:val="24"/>
        </w:rPr>
        <w:t>In Resolution T-16901, issued December 2, 2004, the Commission modified the tariff process for revising telecommunications Public Programs surcharge rates.  The revised process requires all certificated carriers filing tariffs with the Commission to file a generic tariff reference to AT&amp;T California (formerly SBC California) tariffs for the list of Public Purpose Program surcharge rates and the Reimbursement Fee.  This process change is effective with surcharge rates and reimbursement fees implemented on January 1, 2005 and thereafter, until revised by the Commission.</w:t>
      </w:r>
    </w:p>
    <w:p w:rsidR="00884CAA" w:rsidRPr="004B5F11" w:rsidRDefault="00884CAA" w:rsidP="00A1712A">
      <w:pPr>
        <w:spacing w:before="100" w:beforeAutospacing="1" w:after="240"/>
        <w:rPr>
          <w:rFonts w:ascii="Palatino Linotype" w:hAnsi="Palatino Linotype"/>
          <w:sz w:val="24"/>
        </w:rPr>
      </w:pPr>
      <w:r>
        <w:rPr>
          <w:rFonts w:ascii="Palatino Linotype" w:hAnsi="Palatino Linotype"/>
          <w:sz w:val="24"/>
        </w:rPr>
        <w:t>In order to comply with the modified tariff process, AT&amp;T California should file an Advice Letter on or before September 2, 2014, to modify the CTF surcharge rate from 0.59% to 0.93%, effective October 1, 2014 and thereafter, until further revised by the Commission.  Pursuant to Ordering Paragraph #1 of Resolution T-16901, all other carriers with Commission-filed scheduled tariffs should be cross-referenced to AT&amp;T California’s tariff for all future changes in the Public Program surcharges, including the CTF.   Therefore, these carriers are not required to file an Advice Letter reflecting the new surcharge rate of 0.93% effective on October 1, 2014 and thereafter.  These concurring carriers, however, are required to implement the new CTF surcharge rate of 0.93% effective October 1, 2014.</w:t>
      </w:r>
    </w:p>
    <w:p w:rsidR="00884CAA" w:rsidRDefault="00884CAA" w:rsidP="009C2128">
      <w:pPr>
        <w:rPr>
          <w:rFonts w:ascii="Palatino Linotype" w:hAnsi="Palatino Linotype"/>
          <w:sz w:val="24"/>
        </w:rPr>
      </w:pPr>
    </w:p>
    <w:p w:rsidR="00884CAA" w:rsidRPr="004B5F11" w:rsidRDefault="00884CAA" w:rsidP="009C2128">
      <w:pPr>
        <w:rPr>
          <w:rFonts w:ascii="Palatino Linotype" w:hAnsi="Palatino Linotype"/>
          <w:b/>
          <w:sz w:val="26"/>
          <w:u w:val="single"/>
        </w:rPr>
      </w:pPr>
      <w:r w:rsidRPr="004B5F11">
        <w:rPr>
          <w:rFonts w:ascii="Palatino Linotype" w:hAnsi="Palatino Linotype"/>
          <w:b/>
          <w:sz w:val="26"/>
          <w:u w:val="single"/>
        </w:rPr>
        <w:t>SAFETY ISSUES</w:t>
      </w:r>
    </w:p>
    <w:p w:rsidR="00884CAA" w:rsidRPr="000162E8" w:rsidRDefault="00884CAA" w:rsidP="009C2128">
      <w:pPr>
        <w:rPr>
          <w:rFonts w:ascii="Palatino Linotype" w:hAnsi="Palatino Linotype"/>
          <w:sz w:val="24"/>
        </w:rPr>
      </w:pPr>
    </w:p>
    <w:p w:rsidR="00325EDA" w:rsidRPr="000162E8" w:rsidRDefault="00325EDA" w:rsidP="00325EDA">
      <w:pPr>
        <w:rPr>
          <w:rFonts w:ascii="Palatino Linotype" w:hAnsi="Palatino Linotype"/>
          <w:sz w:val="24"/>
        </w:rPr>
      </w:pPr>
      <w:r w:rsidRPr="000162E8">
        <w:rPr>
          <w:rFonts w:ascii="Palatino Linotype" w:hAnsi="Palatino Linotype"/>
          <w:sz w:val="24"/>
        </w:rPr>
        <w:t>This Resolution ensures adequate funding, at an appropriate level, to support the CTF program budgetary expenditures. The CTF program helps to promote universal service by providing eligible participants with discounts on advanced communications services which help</w:t>
      </w:r>
      <w:r>
        <w:rPr>
          <w:rFonts w:ascii="Palatino Linotype" w:hAnsi="Palatino Linotype"/>
          <w:sz w:val="24"/>
        </w:rPr>
        <w:t xml:space="preserve"> </w:t>
      </w:r>
      <w:r w:rsidRPr="000162E8">
        <w:rPr>
          <w:rFonts w:ascii="Palatino Linotype" w:hAnsi="Palatino Linotype"/>
          <w:sz w:val="24"/>
        </w:rPr>
        <w:t xml:space="preserve">enhance the safety </w:t>
      </w:r>
      <w:r w:rsidRPr="00325EDA">
        <w:rPr>
          <w:rFonts w:ascii="Palatino Linotype" w:hAnsi="Palatino Linotype"/>
          <w:sz w:val="24"/>
        </w:rPr>
        <w:t>of these</w:t>
      </w:r>
      <w:r w:rsidRPr="000162E8">
        <w:rPr>
          <w:rFonts w:ascii="Palatino Linotype" w:hAnsi="Palatino Linotype"/>
          <w:sz w:val="24"/>
        </w:rPr>
        <w:t xml:space="preserve"> entities and the constituents they serve.</w:t>
      </w:r>
    </w:p>
    <w:p w:rsidR="00884CAA" w:rsidRPr="001570CB" w:rsidRDefault="00884CAA" w:rsidP="009C2128">
      <w:pPr>
        <w:rPr>
          <w:rFonts w:ascii="Palatino Linotype" w:hAnsi="Palatino Linotype"/>
        </w:rPr>
      </w:pPr>
    </w:p>
    <w:p w:rsidR="00884CAA" w:rsidRPr="004B5F11" w:rsidRDefault="00884CAA" w:rsidP="009C2128">
      <w:pPr>
        <w:rPr>
          <w:rFonts w:ascii="Palatino Linotype" w:hAnsi="Palatino Linotype"/>
          <w:b/>
          <w:sz w:val="26"/>
          <w:u w:val="single"/>
        </w:rPr>
      </w:pPr>
      <w:r w:rsidRPr="004B5F11">
        <w:rPr>
          <w:rFonts w:ascii="Palatino Linotype" w:hAnsi="Palatino Linotype"/>
          <w:b/>
          <w:sz w:val="26"/>
          <w:u w:val="single"/>
        </w:rPr>
        <w:t>COMMENTS</w:t>
      </w:r>
    </w:p>
    <w:p w:rsidR="00884CAA" w:rsidRPr="009C2128" w:rsidRDefault="00884CAA" w:rsidP="009C2128">
      <w:pPr>
        <w:rPr>
          <w:rFonts w:ascii="Palatino Linotype" w:hAnsi="Palatino Linotype"/>
        </w:rPr>
      </w:pPr>
    </w:p>
    <w:p w:rsidR="00884CAA" w:rsidRDefault="00884CAA" w:rsidP="009C2128">
      <w:pPr>
        <w:rPr>
          <w:rFonts w:ascii="Palatino Linotype" w:hAnsi="Palatino Linotype"/>
          <w:sz w:val="24"/>
        </w:rPr>
      </w:pPr>
      <w:r w:rsidRPr="004B5F11">
        <w:rPr>
          <w:rFonts w:ascii="Palatino Linotype" w:hAnsi="Palatino Linotype"/>
          <w:sz w:val="24"/>
        </w:rPr>
        <w:t xml:space="preserve">In compliance with PU Code § 311 (g), the Commission e-mailed on July 15, 2014, a notice letter informing </w:t>
      </w:r>
      <w:r>
        <w:rPr>
          <w:rFonts w:ascii="Palatino Linotype" w:hAnsi="Palatino Linotype"/>
          <w:sz w:val="24"/>
        </w:rPr>
        <w:t xml:space="preserve">all </w:t>
      </w:r>
      <w:r w:rsidR="00DC2A5A" w:rsidRPr="004B5F11">
        <w:rPr>
          <w:rFonts w:ascii="Palatino Linotype" w:hAnsi="Palatino Linotype"/>
          <w:sz w:val="24"/>
        </w:rPr>
        <w:t>tele</w:t>
      </w:r>
      <w:r w:rsidR="00DC2A5A">
        <w:rPr>
          <w:rFonts w:ascii="Palatino Linotype" w:hAnsi="Palatino Linotype"/>
          <w:sz w:val="24"/>
        </w:rPr>
        <w:t>phone</w:t>
      </w:r>
      <w:r w:rsidR="00DC2A5A" w:rsidRPr="004B5F11">
        <w:rPr>
          <w:rFonts w:ascii="Palatino Linotype" w:hAnsi="Palatino Linotype"/>
          <w:sz w:val="24"/>
        </w:rPr>
        <w:t xml:space="preserve"> </w:t>
      </w:r>
      <w:r w:rsidR="00DC2A5A">
        <w:rPr>
          <w:rFonts w:ascii="Palatino Linotype" w:hAnsi="Palatino Linotype"/>
          <w:sz w:val="24"/>
        </w:rPr>
        <w:t>corporations</w:t>
      </w:r>
      <w:r w:rsidRPr="004B5F11">
        <w:rPr>
          <w:rFonts w:ascii="Palatino Linotype" w:hAnsi="Palatino Linotype"/>
          <w:sz w:val="24"/>
        </w:rPr>
        <w:t>, members of the CTF-AC, and the parties of records in R.</w:t>
      </w:r>
      <w:r w:rsidR="00DC2A5A">
        <w:rPr>
          <w:rFonts w:ascii="Palatino Linotype" w:hAnsi="Palatino Linotype"/>
          <w:sz w:val="24"/>
        </w:rPr>
        <w:t xml:space="preserve"> </w:t>
      </w:r>
      <w:r w:rsidRPr="004B5F11">
        <w:rPr>
          <w:rFonts w:ascii="Palatino Linotype" w:hAnsi="Palatino Linotype"/>
          <w:sz w:val="24"/>
        </w:rPr>
        <w:t xml:space="preserve">13-01-010 of the availability of this draft resolution for comments, as well as the availability of the </w:t>
      </w:r>
      <w:r>
        <w:rPr>
          <w:rFonts w:ascii="Palatino Linotype" w:hAnsi="Palatino Linotype"/>
          <w:sz w:val="24"/>
        </w:rPr>
        <w:t>final</w:t>
      </w:r>
      <w:r w:rsidRPr="004B5F11">
        <w:rPr>
          <w:rFonts w:ascii="Palatino Linotype" w:hAnsi="Palatino Linotype"/>
          <w:sz w:val="24"/>
        </w:rPr>
        <w:t xml:space="preserve"> resolution, if adopted by the Commission, on the Commission website at </w:t>
      </w:r>
      <w:hyperlink r:id="rId8" w:history="1">
        <w:r w:rsidRPr="004B5F11">
          <w:rPr>
            <w:rStyle w:val="Hyperlink"/>
            <w:rFonts w:ascii="Palatino Linotype" w:hAnsi="Palatino Linotype"/>
            <w:sz w:val="24"/>
          </w:rPr>
          <w:t>www.cpuc.ca.gov</w:t>
        </w:r>
      </w:hyperlink>
      <w:r w:rsidRPr="004B5F11">
        <w:rPr>
          <w:rFonts w:ascii="Palatino Linotype" w:hAnsi="Palatino Linotype"/>
          <w:sz w:val="24"/>
        </w:rPr>
        <w:t xml:space="preserve">.  </w:t>
      </w:r>
    </w:p>
    <w:p w:rsidR="00325EDA" w:rsidRDefault="00325EDA" w:rsidP="009C2128">
      <w:pPr>
        <w:rPr>
          <w:rFonts w:ascii="Palatino Linotype" w:hAnsi="Palatino Linotype"/>
          <w:sz w:val="24"/>
        </w:rPr>
      </w:pPr>
    </w:p>
    <w:p w:rsidR="00325EDA" w:rsidRPr="004B5F11" w:rsidRDefault="00325EDA" w:rsidP="009C2128">
      <w:pPr>
        <w:rPr>
          <w:rFonts w:ascii="Palatino Linotype" w:hAnsi="Palatino Linotype"/>
          <w:sz w:val="24"/>
        </w:rPr>
      </w:pPr>
      <w:r>
        <w:rPr>
          <w:rFonts w:ascii="Palatino Linotype" w:hAnsi="Palatino Linotype"/>
          <w:sz w:val="24"/>
        </w:rPr>
        <w:t xml:space="preserve">Cox Communications filed comments suggesting a modification to the wording for the paragraph relating to safety issues.  After consideration, the suggested paragraph was inserted into this resolution replacing the original paragraph.  </w:t>
      </w:r>
    </w:p>
    <w:p w:rsidR="00884CAA" w:rsidRDefault="00884CAA" w:rsidP="009C2128">
      <w:pPr>
        <w:rPr>
          <w:rFonts w:ascii="Palatino Linotype" w:hAnsi="Palatino Linotype"/>
          <w:sz w:val="24"/>
        </w:rPr>
      </w:pPr>
    </w:p>
    <w:p w:rsidR="00884CAA" w:rsidRPr="004B5F11" w:rsidRDefault="00884CAA" w:rsidP="009C2128">
      <w:pPr>
        <w:rPr>
          <w:rFonts w:ascii="Palatino Linotype" w:hAnsi="Palatino Linotype"/>
          <w:b/>
          <w:sz w:val="26"/>
          <w:u w:val="single"/>
        </w:rPr>
      </w:pPr>
      <w:r w:rsidRPr="004B5F11">
        <w:rPr>
          <w:rFonts w:ascii="Palatino Linotype" w:hAnsi="Palatino Linotype"/>
          <w:b/>
          <w:sz w:val="26"/>
          <w:u w:val="single"/>
        </w:rPr>
        <w:t>FINDINGS</w:t>
      </w:r>
    </w:p>
    <w:p w:rsidR="00884CAA" w:rsidRPr="009C2128" w:rsidRDefault="00884CAA" w:rsidP="009C2128">
      <w:pPr>
        <w:rPr>
          <w:rFonts w:ascii="Palatino Linotype" w:hAnsi="Palatino Linotype"/>
        </w:rPr>
      </w:pPr>
    </w:p>
    <w:p w:rsidR="00884CAA" w:rsidRPr="004B5F11" w:rsidRDefault="00884CAA" w:rsidP="001570CB">
      <w:pPr>
        <w:pStyle w:val="ListParagraph"/>
        <w:numPr>
          <w:ilvl w:val="0"/>
          <w:numId w:val="1"/>
        </w:numPr>
        <w:rPr>
          <w:rFonts w:ascii="Palatino Linotype" w:hAnsi="Palatino Linotype"/>
          <w:sz w:val="24"/>
        </w:rPr>
      </w:pPr>
      <w:r w:rsidRPr="004B5F11">
        <w:rPr>
          <w:rFonts w:ascii="Palatino Linotype" w:hAnsi="Palatino Linotype"/>
          <w:sz w:val="24"/>
        </w:rPr>
        <w:t>The California Teleconnect Fund (CTF) was adopted in Decision 96-10-066, effective October 25, 1996, to provide discounted rates for advanced telecommunications services for qualifying schools, libraries, government-owned health care providers, and community based organizations.</w:t>
      </w:r>
    </w:p>
    <w:p w:rsidR="00884CAA" w:rsidRPr="004B5F11" w:rsidRDefault="00884CAA" w:rsidP="00DC6823">
      <w:pPr>
        <w:pStyle w:val="ListParagraph"/>
        <w:rPr>
          <w:rFonts w:ascii="Palatino Linotype" w:hAnsi="Palatino Linotype"/>
          <w:sz w:val="24"/>
        </w:rPr>
      </w:pPr>
    </w:p>
    <w:p w:rsidR="00884CAA" w:rsidRPr="004B5F11" w:rsidRDefault="00884CAA" w:rsidP="00EA3590">
      <w:pPr>
        <w:pStyle w:val="ListParagraph"/>
        <w:numPr>
          <w:ilvl w:val="0"/>
          <w:numId w:val="1"/>
        </w:numPr>
        <w:rPr>
          <w:rFonts w:ascii="Palatino Linotype" w:hAnsi="Palatino Linotype"/>
          <w:sz w:val="24"/>
        </w:rPr>
      </w:pPr>
      <w:r w:rsidRPr="004B5F11">
        <w:rPr>
          <w:rFonts w:ascii="Palatino Linotype" w:hAnsi="Palatino Linotype"/>
          <w:sz w:val="24"/>
        </w:rPr>
        <w:t>Public Utilities Code Section 280(d) requires that the money appropriated from the CTF funds be used only for the purpose of the program.</w:t>
      </w:r>
    </w:p>
    <w:p w:rsidR="00884CAA" w:rsidRPr="004B5F11" w:rsidRDefault="00884CAA" w:rsidP="00EA3590">
      <w:pPr>
        <w:rPr>
          <w:rFonts w:ascii="Palatino Linotype" w:hAnsi="Palatino Linotype"/>
          <w:sz w:val="24"/>
        </w:rPr>
      </w:pPr>
    </w:p>
    <w:p w:rsidR="00884CAA" w:rsidRPr="004B5F11" w:rsidRDefault="00884CAA" w:rsidP="001570CB">
      <w:pPr>
        <w:pStyle w:val="ListParagraph"/>
        <w:numPr>
          <w:ilvl w:val="0"/>
          <w:numId w:val="1"/>
        </w:numPr>
        <w:rPr>
          <w:rFonts w:ascii="Palatino Linotype" w:hAnsi="Palatino Linotype"/>
          <w:sz w:val="24"/>
        </w:rPr>
      </w:pPr>
      <w:r w:rsidRPr="004B5F11">
        <w:rPr>
          <w:rFonts w:ascii="Palatino Linotype" w:hAnsi="Palatino Linotype"/>
          <w:sz w:val="24"/>
        </w:rPr>
        <w:t xml:space="preserve">Rulemaking 13-01-010 will review program goals, participant eligibility, eligible services, service provider eligibility, and budget and administrative rules.  </w:t>
      </w:r>
    </w:p>
    <w:p w:rsidR="00884CAA" w:rsidRPr="004B5F11" w:rsidRDefault="00884CAA" w:rsidP="00DC6823">
      <w:pPr>
        <w:pStyle w:val="ListParagraph"/>
        <w:rPr>
          <w:rFonts w:ascii="Palatino Linotype" w:hAnsi="Palatino Linotype"/>
          <w:sz w:val="24"/>
        </w:rPr>
      </w:pPr>
    </w:p>
    <w:p w:rsidR="00884CAA" w:rsidRPr="004B5F11" w:rsidRDefault="00884CAA" w:rsidP="00DC6823">
      <w:pPr>
        <w:pStyle w:val="ListParagraph"/>
        <w:numPr>
          <w:ilvl w:val="0"/>
          <w:numId w:val="1"/>
        </w:numPr>
        <w:rPr>
          <w:rFonts w:ascii="Palatino Linotype" w:hAnsi="Palatino Linotype"/>
          <w:sz w:val="24"/>
        </w:rPr>
      </w:pPr>
      <w:r w:rsidRPr="004B5F11">
        <w:rPr>
          <w:rFonts w:ascii="Palatino Linotype" w:hAnsi="Palatino Linotype"/>
          <w:sz w:val="24"/>
        </w:rPr>
        <w:t>On October 15, 2012, the Commission adopted resolution T-17375, which increased the CTF surcharge rate from 0.079% to 0.59%, effective December 1, 2012 until further revised by the Commission.</w:t>
      </w:r>
    </w:p>
    <w:p w:rsidR="00884CAA" w:rsidRPr="004B5F11" w:rsidRDefault="00884CAA" w:rsidP="00DC6823">
      <w:pPr>
        <w:pStyle w:val="ListParagraph"/>
        <w:rPr>
          <w:rFonts w:ascii="Palatino Linotype" w:hAnsi="Palatino Linotype"/>
          <w:sz w:val="24"/>
        </w:rPr>
      </w:pPr>
    </w:p>
    <w:p w:rsidR="00884CAA" w:rsidRPr="004B5F11" w:rsidRDefault="00884CAA" w:rsidP="003D4529">
      <w:pPr>
        <w:pStyle w:val="ListParagraph"/>
        <w:numPr>
          <w:ilvl w:val="0"/>
          <w:numId w:val="1"/>
        </w:numPr>
        <w:rPr>
          <w:rFonts w:ascii="Palatino Linotype" w:hAnsi="Palatino Linotype"/>
          <w:sz w:val="24"/>
        </w:rPr>
      </w:pPr>
      <w:r w:rsidRPr="004B5F11">
        <w:rPr>
          <w:rFonts w:ascii="Palatino Linotype" w:hAnsi="Palatino Linotype"/>
          <w:sz w:val="24"/>
        </w:rPr>
        <w:t>On October 3, 2013, the Commission adopted Resolution T-17414 to approve a CTF budget of $107.983 million for fiscal year 2014-15.</w:t>
      </w:r>
    </w:p>
    <w:p w:rsidR="00884CAA" w:rsidRPr="004B5F11" w:rsidRDefault="00884CAA" w:rsidP="00DC6823">
      <w:pPr>
        <w:rPr>
          <w:rFonts w:ascii="Palatino Linotype" w:hAnsi="Palatino Linotype"/>
          <w:sz w:val="24"/>
        </w:rPr>
      </w:pPr>
    </w:p>
    <w:p w:rsidR="00884CAA" w:rsidRDefault="00884CAA" w:rsidP="00560CF6">
      <w:pPr>
        <w:pStyle w:val="ListParagraph"/>
        <w:numPr>
          <w:ilvl w:val="0"/>
          <w:numId w:val="1"/>
        </w:numPr>
        <w:rPr>
          <w:rFonts w:ascii="Palatino Linotype" w:hAnsi="Palatino Linotype"/>
          <w:sz w:val="24"/>
        </w:rPr>
      </w:pPr>
      <w:r>
        <w:rPr>
          <w:rFonts w:ascii="Palatino Linotype" w:hAnsi="Palatino Linotype"/>
          <w:sz w:val="24"/>
        </w:rPr>
        <w:lastRenderedPageBreak/>
        <w:t>The CTF budget for FY 2015-16 has not yet been adopted by the Commission.  The CTF Administrative Committee estimated the FY 2015-16 budget to be $115.8 million.</w:t>
      </w:r>
    </w:p>
    <w:p w:rsidR="00884CAA" w:rsidRPr="00560CF6" w:rsidRDefault="00884CAA" w:rsidP="00560CF6">
      <w:pPr>
        <w:rPr>
          <w:rFonts w:ascii="Palatino Linotype" w:hAnsi="Palatino Linotype"/>
          <w:sz w:val="24"/>
        </w:rPr>
      </w:pPr>
    </w:p>
    <w:p w:rsidR="00884CAA" w:rsidRDefault="00884CAA" w:rsidP="003D4529">
      <w:pPr>
        <w:pStyle w:val="ListParagraph"/>
        <w:numPr>
          <w:ilvl w:val="0"/>
          <w:numId w:val="1"/>
        </w:numPr>
        <w:rPr>
          <w:rFonts w:ascii="Palatino Linotype" w:hAnsi="Palatino Linotype"/>
          <w:sz w:val="24"/>
        </w:rPr>
      </w:pPr>
      <w:r w:rsidRPr="004B5F11">
        <w:rPr>
          <w:rFonts w:ascii="Palatino Linotype" w:hAnsi="Palatino Linotype"/>
          <w:sz w:val="24"/>
        </w:rPr>
        <w:t xml:space="preserve">For FY 2014-15, CD </w:t>
      </w:r>
      <w:r>
        <w:rPr>
          <w:rFonts w:ascii="Palatino Linotype" w:hAnsi="Palatino Linotype"/>
          <w:sz w:val="24"/>
        </w:rPr>
        <w:t>forecasts that</w:t>
      </w:r>
      <w:r w:rsidRPr="004B5F11">
        <w:rPr>
          <w:rFonts w:ascii="Palatino Linotype" w:hAnsi="Palatino Linotype"/>
          <w:sz w:val="24"/>
        </w:rPr>
        <w:t xml:space="preserve"> the CTF will receive $1</w:t>
      </w:r>
      <w:r>
        <w:rPr>
          <w:rFonts w:ascii="Palatino Linotype" w:hAnsi="Palatino Linotype"/>
          <w:sz w:val="24"/>
        </w:rPr>
        <w:t>13</w:t>
      </w:r>
      <w:r w:rsidRPr="004B5F11">
        <w:rPr>
          <w:rFonts w:ascii="Palatino Linotype" w:hAnsi="Palatino Linotype"/>
          <w:sz w:val="24"/>
        </w:rPr>
        <w:t>.</w:t>
      </w:r>
      <w:r>
        <w:rPr>
          <w:rFonts w:ascii="Palatino Linotype" w:hAnsi="Palatino Linotype"/>
          <w:sz w:val="24"/>
        </w:rPr>
        <w:t>602</w:t>
      </w:r>
      <w:r w:rsidRPr="004B5F11">
        <w:rPr>
          <w:rFonts w:ascii="Palatino Linotype" w:hAnsi="Palatino Linotype"/>
          <w:sz w:val="24"/>
        </w:rPr>
        <w:t xml:space="preserve"> million in </w:t>
      </w:r>
      <w:r>
        <w:rPr>
          <w:rFonts w:ascii="Palatino Linotype" w:hAnsi="Palatino Linotype"/>
          <w:sz w:val="24"/>
        </w:rPr>
        <w:t>surcharge revenues.</w:t>
      </w:r>
    </w:p>
    <w:p w:rsidR="00884CAA" w:rsidRPr="0055029B" w:rsidRDefault="00884CAA" w:rsidP="0055029B">
      <w:pPr>
        <w:pStyle w:val="ListParagraph"/>
        <w:rPr>
          <w:rFonts w:ascii="Palatino Linotype" w:hAnsi="Palatino Linotype"/>
          <w:sz w:val="24"/>
        </w:rPr>
      </w:pPr>
    </w:p>
    <w:p w:rsidR="00884CAA" w:rsidRDefault="00884CAA" w:rsidP="003D4529">
      <w:pPr>
        <w:pStyle w:val="ListParagraph"/>
        <w:numPr>
          <w:ilvl w:val="0"/>
          <w:numId w:val="1"/>
        </w:numPr>
        <w:rPr>
          <w:rFonts w:ascii="Palatino Linotype" w:hAnsi="Palatino Linotype"/>
          <w:sz w:val="24"/>
        </w:rPr>
      </w:pPr>
      <w:r>
        <w:rPr>
          <w:rFonts w:ascii="Palatino Linotype" w:hAnsi="Palatino Linotype"/>
          <w:sz w:val="24"/>
        </w:rPr>
        <w:t xml:space="preserve">CD estimates that the CTF will receive surcharge revenues of $119.431 million during fiscal year 2015-16 based upon the surcharge rate of 0.93% effective October 1, 2014.  </w:t>
      </w:r>
    </w:p>
    <w:p w:rsidR="00884CAA" w:rsidRPr="004B5F11" w:rsidRDefault="00884CAA" w:rsidP="00DC6823">
      <w:pPr>
        <w:rPr>
          <w:rFonts w:ascii="Palatino Linotype" w:hAnsi="Palatino Linotype"/>
          <w:sz w:val="24"/>
        </w:rPr>
      </w:pPr>
    </w:p>
    <w:p w:rsidR="00884CAA" w:rsidRPr="004B5F11" w:rsidRDefault="00884CAA" w:rsidP="003D4529">
      <w:pPr>
        <w:pStyle w:val="ListParagraph"/>
        <w:numPr>
          <w:ilvl w:val="0"/>
          <w:numId w:val="1"/>
        </w:numPr>
        <w:rPr>
          <w:rFonts w:ascii="Palatino Linotype" w:hAnsi="Palatino Linotype"/>
          <w:sz w:val="24"/>
        </w:rPr>
      </w:pPr>
      <w:r w:rsidRPr="004B5F11">
        <w:rPr>
          <w:rFonts w:ascii="Palatino Linotype" w:hAnsi="Palatino Linotype"/>
          <w:sz w:val="24"/>
        </w:rPr>
        <w:t xml:space="preserve">The CTF surcharge rate of </w:t>
      </w:r>
      <w:r>
        <w:rPr>
          <w:rFonts w:ascii="Palatino Linotype" w:hAnsi="Palatino Linotype"/>
          <w:sz w:val="24"/>
        </w:rPr>
        <w:t>0.93</w:t>
      </w:r>
      <w:r w:rsidRPr="004B5F11">
        <w:rPr>
          <w:rFonts w:ascii="Palatino Linotype" w:hAnsi="Palatino Linotype"/>
          <w:sz w:val="24"/>
        </w:rPr>
        <w:t>%, effective October 1, 2014, is reasonable and should be adopted.</w:t>
      </w:r>
    </w:p>
    <w:p w:rsidR="00884CAA" w:rsidRPr="004B5F11" w:rsidRDefault="00884CAA" w:rsidP="00DC6823">
      <w:pPr>
        <w:rPr>
          <w:rFonts w:ascii="Palatino Linotype" w:hAnsi="Palatino Linotype"/>
          <w:sz w:val="24"/>
        </w:rPr>
      </w:pPr>
    </w:p>
    <w:p w:rsidR="00884CAA" w:rsidRPr="004B5F11" w:rsidRDefault="00884CAA" w:rsidP="003D4529">
      <w:pPr>
        <w:pStyle w:val="ListParagraph"/>
        <w:numPr>
          <w:ilvl w:val="0"/>
          <w:numId w:val="1"/>
        </w:numPr>
        <w:rPr>
          <w:rFonts w:ascii="Palatino Linotype" w:hAnsi="Palatino Linotype"/>
          <w:sz w:val="24"/>
        </w:rPr>
      </w:pPr>
      <w:r w:rsidRPr="004B5F11">
        <w:rPr>
          <w:rFonts w:ascii="Palatino Linotype" w:hAnsi="Palatino Linotype"/>
          <w:sz w:val="24"/>
        </w:rPr>
        <w:t xml:space="preserve">All </w:t>
      </w:r>
      <w:r w:rsidR="00DC2A5A" w:rsidRPr="004B5F11">
        <w:rPr>
          <w:rFonts w:ascii="Palatino Linotype" w:hAnsi="Palatino Linotype"/>
          <w:sz w:val="24"/>
        </w:rPr>
        <w:t>tele</w:t>
      </w:r>
      <w:r w:rsidR="00DC2A5A">
        <w:rPr>
          <w:rFonts w:ascii="Palatino Linotype" w:hAnsi="Palatino Linotype"/>
          <w:sz w:val="24"/>
        </w:rPr>
        <w:t>phone</w:t>
      </w:r>
      <w:r w:rsidR="00DC2A5A" w:rsidRPr="004B5F11">
        <w:rPr>
          <w:rFonts w:ascii="Palatino Linotype" w:hAnsi="Palatino Linotype"/>
          <w:sz w:val="24"/>
        </w:rPr>
        <w:t xml:space="preserve"> </w:t>
      </w:r>
      <w:r w:rsidR="00DC2A5A">
        <w:rPr>
          <w:rFonts w:ascii="Palatino Linotype" w:hAnsi="Palatino Linotype"/>
          <w:sz w:val="24"/>
        </w:rPr>
        <w:t>corporations</w:t>
      </w:r>
      <w:r w:rsidR="00DC2A5A" w:rsidRPr="004B5F11">
        <w:rPr>
          <w:rFonts w:ascii="Palatino Linotype" w:hAnsi="Palatino Linotype"/>
          <w:sz w:val="24"/>
        </w:rPr>
        <w:t xml:space="preserve"> </w:t>
      </w:r>
      <w:r>
        <w:rPr>
          <w:rFonts w:ascii="Palatino Linotype" w:hAnsi="Palatino Linotype"/>
          <w:sz w:val="24"/>
        </w:rPr>
        <w:t xml:space="preserve">and interconnected VoIP service providers </w:t>
      </w:r>
      <w:r w:rsidRPr="004B5F11">
        <w:rPr>
          <w:rFonts w:ascii="Palatino Linotype" w:hAnsi="Palatino Linotype"/>
          <w:sz w:val="24"/>
        </w:rPr>
        <w:t xml:space="preserve">should revise the CTF surcharge rate assessed on end-user intrastate telecommunications service revenues to </w:t>
      </w:r>
      <w:r>
        <w:rPr>
          <w:rFonts w:ascii="Palatino Linotype" w:hAnsi="Palatino Linotype"/>
          <w:sz w:val="24"/>
        </w:rPr>
        <w:t>0.93</w:t>
      </w:r>
      <w:r w:rsidRPr="004B5F11">
        <w:rPr>
          <w:rFonts w:ascii="Palatino Linotype" w:hAnsi="Palatino Linotype"/>
          <w:sz w:val="24"/>
        </w:rPr>
        <w:t>% beginning on October 1, 2014, and thereafter, or until otherwise directed by the Commission.</w:t>
      </w:r>
    </w:p>
    <w:p w:rsidR="00884CAA" w:rsidRPr="004B5F11" w:rsidRDefault="00884CAA" w:rsidP="00DC6823">
      <w:pPr>
        <w:rPr>
          <w:rFonts w:ascii="Palatino Linotype" w:hAnsi="Palatino Linotype"/>
          <w:sz w:val="24"/>
        </w:rPr>
      </w:pPr>
    </w:p>
    <w:p w:rsidR="00884CAA" w:rsidRPr="004B5F11" w:rsidRDefault="00884CAA" w:rsidP="003D4529">
      <w:pPr>
        <w:pStyle w:val="ListParagraph"/>
        <w:numPr>
          <w:ilvl w:val="0"/>
          <w:numId w:val="1"/>
        </w:numPr>
        <w:rPr>
          <w:rFonts w:ascii="Palatino Linotype" w:hAnsi="Palatino Linotype"/>
          <w:sz w:val="24"/>
        </w:rPr>
      </w:pPr>
      <w:r w:rsidRPr="004B5F11">
        <w:rPr>
          <w:rFonts w:ascii="Palatino Linotype" w:hAnsi="Palatino Linotype"/>
          <w:sz w:val="24"/>
        </w:rPr>
        <w:t xml:space="preserve">In accordance with Resolution T-16901, dated December 2, 2004, AT&amp;T should file an advice letter by September 2, 2014, modifying the CTF surcharge rate from 0.59% to </w:t>
      </w:r>
      <w:r>
        <w:rPr>
          <w:rFonts w:ascii="Palatino Linotype" w:hAnsi="Palatino Linotype"/>
          <w:sz w:val="24"/>
        </w:rPr>
        <w:t>0.93</w:t>
      </w:r>
      <w:r w:rsidRPr="004B5F11">
        <w:rPr>
          <w:rFonts w:ascii="Palatino Linotype" w:hAnsi="Palatino Linotype"/>
          <w:sz w:val="24"/>
        </w:rPr>
        <w:t>%, until further revised by the Commission.</w:t>
      </w:r>
    </w:p>
    <w:p w:rsidR="00884CAA" w:rsidRPr="004B5F11" w:rsidRDefault="00884CAA" w:rsidP="00DC6823">
      <w:pPr>
        <w:rPr>
          <w:rFonts w:ascii="Palatino Linotype" w:hAnsi="Palatino Linotype"/>
          <w:sz w:val="24"/>
        </w:rPr>
      </w:pPr>
    </w:p>
    <w:p w:rsidR="00325EDA" w:rsidRDefault="00884CAA" w:rsidP="00DC6823">
      <w:pPr>
        <w:pStyle w:val="ListParagraph"/>
        <w:numPr>
          <w:ilvl w:val="0"/>
          <w:numId w:val="1"/>
        </w:numPr>
        <w:rPr>
          <w:rFonts w:ascii="Palatino Linotype" w:hAnsi="Palatino Linotype"/>
          <w:sz w:val="24"/>
        </w:rPr>
      </w:pPr>
      <w:r w:rsidRPr="004B5F11">
        <w:rPr>
          <w:rFonts w:ascii="Palatino Linotype" w:hAnsi="Palatino Linotype"/>
          <w:sz w:val="24"/>
        </w:rPr>
        <w:t xml:space="preserve">In compliance with PU Code § 311 (g), the Commission e-mailed on July 15, 2014, a notice letter informing </w:t>
      </w:r>
      <w:r>
        <w:rPr>
          <w:rFonts w:ascii="Palatino Linotype" w:hAnsi="Palatino Linotype"/>
          <w:sz w:val="24"/>
        </w:rPr>
        <w:t xml:space="preserve">all </w:t>
      </w:r>
      <w:r w:rsidR="00DC2A5A" w:rsidRPr="004B5F11">
        <w:rPr>
          <w:rFonts w:ascii="Palatino Linotype" w:hAnsi="Palatino Linotype"/>
          <w:sz w:val="24"/>
        </w:rPr>
        <w:t>tele</w:t>
      </w:r>
      <w:r w:rsidR="00DC2A5A">
        <w:rPr>
          <w:rFonts w:ascii="Palatino Linotype" w:hAnsi="Palatino Linotype"/>
          <w:sz w:val="24"/>
        </w:rPr>
        <w:t>phone</w:t>
      </w:r>
      <w:r w:rsidR="00DC2A5A" w:rsidRPr="004B5F11">
        <w:rPr>
          <w:rFonts w:ascii="Palatino Linotype" w:hAnsi="Palatino Linotype"/>
          <w:sz w:val="24"/>
        </w:rPr>
        <w:t xml:space="preserve"> </w:t>
      </w:r>
      <w:r w:rsidR="00DC2A5A">
        <w:rPr>
          <w:rFonts w:ascii="Palatino Linotype" w:hAnsi="Palatino Linotype"/>
          <w:sz w:val="24"/>
        </w:rPr>
        <w:t>corporations</w:t>
      </w:r>
      <w:r w:rsidRPr="004B5F11">
        <w:rPr>
          <w:rFonts w:ascii="Palatino Linotype" w:hAnsi="Palatino Linotype"/>
          <w:sz w:val="24"/>
        </w:rPr>
        <w:t>, members of the CTF-AC, and the parties of record</w:t>
      </w:r>
      <w:r>
        <w:rPr>
          <w:rFonts w:ascii="Palatino Linotype" w:hAnsi="Palatino Linotype"/>
          <w:sz w:val="24"/>
        </w:rPr>
        <w:t xml:space="preserve"> in</w:t>
      </w:r>
      <w:r w:rsidRPr="004B5F11">
        <w:rPr>
          <w:rFonts w:ascii="Palatino Linotype" w:hAnsi="Palatino Linotype"/>
          <w:sz w:val="24"/>
        </w:rPr>
        <w:t xml:space="preserve"> R.13-01-010 of the availability of this revised draft resolution for comments, as well as the availability of the conformed resolution, if adopted by the Commission, on the Commission website at </w:t>
      </w:r>
      <w:hyperlink r:id="rId9" w:history="1">
        <w:r w:rsidRPr="004B5F11">
          <w:rPr>
            <w:rStyle w:val="Hyperlink"/>
            <w:rFonts w:ascii="Palatino Linotype" w:hAnsi="Palatino Linotype"/>
            <w:sz w:val="24"/>
          </w:rPr>
          <w:t>www.cpuc.ca.gov</w:t>
        </w:r>
      </w:hyperlink>
      <w:r w:rsidRPr="004B5F11">
        <w:rPr>
          <w:rFonts w:ascii="Palatino Linotype" w:hAnsi="Palatino Linotype"/>
          <w:sz w:val="24"/>
        </w:rPr>
        <w:t xml:space="preserve">. </w:t>
      </w:r>
    </w:p>
    <w:p w:rsidR="00325EDA" w:rsidRPr="000162E8" w:rsidRDefault="00325EDA" w:rsidP="000162E8">
      <w:pPr>
        <w:pStyle w:val="ListParagraph"/>
        <w:rPr>
          <w:rFonts w:ascii="Palatino Linotype" w:hAnsi="Palatino Linotype"/>
          <w:sz w:val="24"/>
        </w:rPr>
      </w:pPr>
    </w:p>
    <w:p w:rsidR="00884CAA" w:rsidRPr="004B5F11" w:rsidRDefault="00325EDA" w:rsidP="00DC6823">
      <w:pPr>
        <w:pStyle w:val="ListParagraph"/>
        <w:numPr>
          <w:ilvl w:val="0"/>
          <w:numId w:val="1"/>
        </w:numPr>
        <w:rPr>
          <w:rFonts w:ascii="Palatino Linotype" w:hAnsi="Palatino Linotype"/>
          <w:sz w:val="24"/>
        </w:rPr>
      </w:pPr>
      <w:r>
        <w:rPr>
          <w:rFonts w:ascii="Palatino Linotype" w:hAnsi="Palatino Linotype"/>
          <w:sz w:val="24"/>
        </w:rPr>
        <w:t>Cox Communications filed comments on the resolution suggesting alternate wording for the paragraph on safety issues.  The comments were incorporated as appropriate into this resolution.  No reply comments were received.</w:t>
      </w:r>
      <w:r w:rsidR="00884CAA" w:rsidRPr="004B5F11">
        <w:rPr>
          <w:rFonts w:ascii="Palatino Linotype" w:hAnsi="Palatino Linotype"/>
          <w:sz w:val="24"/>
        </w:rPr>
        <w:t xml:space="preserve"> </w:t>
      </w:r>
    </w:p>
    <w:p w:rsidR="00884CAA" w:rsidRPr="004B5F11" w:rsidRDefault="00884CAA" w:rsidP="00DC6823">
      <w:pPr>
        <w:rPr>
          <w:rFonts w:ascii="Palatino Linotype" w:hAnsi="Palatino Linotype"/>
          <w:sz w:val="24"/>
        </w:rPr>
      </w:pPr>
    </w:p>
    <w:p w:rsidR="00884CAA" w:rsidRPr="00DC6823" w:rsidRDefault="00884CAA" w:rsidP="00DC6823">
      <w:pPr>
        <w:pStyle w:val="ListParagraph"/>
        <w:rPr>
          <w:rFonts w:ascii="Palatino Linotype" w:hAnsi="Palatino Linotype"/>
        </w:rPr>
      </w:pPr>
    </w:p>
    <w:p w:rsidR="00884CAA" w:rsidRDefault="00884CAA" w:rsidP="00DC6823">
      <w:pPr>
        <w:pStyle w:val="ListParagraph"/>
        <w:rPr>
          <w:rFonts w:ascii="Palatino Linotype" w:hAnsi="Palatino Linotype"/>
        </w:rPr>
      </w:pPr>
    </w:p>
    <w:p w:rsidR="00884CAA" w:rsidRDefault="00884CAA" w:rsidP="00DC6823">
      <w:pPr>
        <w:pStyle w:val="ListParagraph"/>
        <w:rPr>
          <w:rFonts w:ascii="Palatino Linotype" w:hAnsi="Palatino Linotype"/>
        </w:rPr>
      </w:pPr>
    </w:p>
    <w:p w:rsidR="00884CAA" w:rsidRDefault="00884CAA" w:rsidP="00DC6823">
      <w:pPr>
        <w:pStyle w:val="ListParagraph"/>
        <w:rPr>
          <w:rFonts w:ascii="Palatino Linotype" w:hAnsi="Palatino Linotype"/>
        </w:rPr>
      </w:pPr>
    </w:p>
    <w:p w:rsidR="00884CAA" w:rsidRPr="00DC6823" w:rsidRDefault="00884CAA" w:rsidP="00DC6823">
      <w:pPr>
        <w:pStyle w:val="ListParagraph"/>
        <w:rPr>
          <w:rFonts w:ascii="Palatino Linotype" w:hAnsi="Palatino Linotype"/>
        </w:rPr>
      </w:pPr>
    </w:p>
    <w:p w:rsidR="002F605E" w:rsidRDefault="002F605E" w:rsidP="009C2128">
      <w:pPr>
        <w:rPr>
          <w:rFonts w:ascii="Palatino Linotype" w:hAnsi="Palatino Linotype"/>
          <w:sz w:val="24"/>
        </w:rPr>
      </w:pPr>
    </w:p>
    <w:p w:rsidR="002F605E" w:rsidRDefault="002F605E" w:rsidP="009C2128">
      <w:pPr>
        <w:rPr>
          <w:rFonts w:ascii="Palatino Linotype" w:hAnsi="Palatino Linotype"/>
          <w:sz w:val="24"/>
        </w:rPr>
      </w:pPr>
    </w:p>
    <w:p w:rsidR="00884CAA" w:rsidRPr="004B5F11" w:rsidRDefault="00884CAA" w:rsidP="009C2128">
      <w:pPr>
        <w:rPr>
          <w:rFonts w:ascii="Palatino Linotype" w:hAnsi="Palatino Linotype"/>
          <w:sz w:val="24"/>
        </w:rPr>
      </w:pPr>
      <w:r w:rsidRPr="004B5F11">
        <w:rPr>
          <w:rFonts w:ascii="Palatino Linotype" w:hAnsi="Palatino Linotype"/>
          <w:sz w:val="24"/>
        </w:rPr>
        <w:lastRenderedPageBreak/>
        <w:t>THEREFORE, IT IS ORDERED that:</w:t>
      </w:r>
    </w:p>
    <w:p w:rsidR="00884CAA" w:rsidRDefault="00884CAA" w:rsidP="009C2128">
      <w:pPr>
        <w:rPr>
          <w:rFonts w:ascii="Palatino Linotype" w:hAnsi="Palatino Linotype"/>
        </w:rPr>
      </w:pPr>
    </w:p>
    <w:p w:rsidR="00884CAA" w:rsidRPr="004B5F11" w:rsidRDefault="00884CAA" w:rsidP="008E4E71">
      <w:pPr>
        <w:pStyle w:val="ListParagraph"/>
        <w:numPr>
          <w:ilvl w:val="0"/>
          <w:numId w:val="2"/>
        </w:numPr>
        <w:spacing w:after="240"/>
        <w:rPr>
          <w:rFonts w:ascii="Palatino Linotype" w:hAnsi="Palatino Linotype"/>
          <w:sz w:val="24"/>
        </w:rPr>
      </w:pPr>
      <w:r w:rsidRPr="004B5F11">
        <w:rPr>
          <w:rFonts w:ascii="Palatino Linotype" w:hAnsi="Palatino Linotype"/>
          <w:sz w:val="24"/>
        </w:rPr>
        <w:t xml:space="preserve"> The California Teleconnect Fund surcharge rate of </w:t>
      </w:r>
      <w:r>
        <w:rPr>
          <w:rFonts w:ascii="Palatino Linotype" w:hAnsi="Palatino Linotype"/>
          <w:sz w:val="24"/>
        </w:rPr>
        <w:t>0.93</w:t>
      </w:r>
      <w:r w:rsidRPr="004B5F11">
        <w:rPr>
          <w:rFonts w:ascii="Palatino Linotype" w:hAnsi="Palatino Linotype"/>
          <w:sz w:val="24"/>
        </w:rPr>
        <w:t>%</w:t>
      </w:r>
      <w:r>
        <w:rPr>
          <w:rFonts w:ascii="Palatino Linotype" w:hAnsi="Palatino Linotype"/>
          <w:sz w:val="24"/>
        </w:rPr>
        <w:t>,</w:t>
      </w:r>
      <w:r w:rsidRPr="004B5F11">
        <w:rPr>
          <w:rFonts w:ascii="Palatino Linotype" w:hAnsi="Palatino Linotype"/>
          <w:sz w:val="24"/>
        </w:rPr>
        <w:t xml:space="preserve"> effective October 1, 2014</w:t>
      </w:r>
      <w:r>
        <w:rPr>
          <w:rFonts w:ascii="Palatino Linotype" w:hAnsi="Palatino Linotype"/>
          <w:sz w:val="24"/>
        </w:rPr>
        <w:t xml:space="preserve"> and thereafter</w:t>
      </w:r>
      <w:r w:rsidRPr="004B5F11">
        <w:rPr>
          <w:rFonts w:ascii="Palatino Linotype" w:hAnsi="Palatino Linotype"/>
          <w:sz w:val="24"/>
        </w:rPr>
        <w:t>, until further revised by the Commission, is adopted.</w:t>
      </w:r>
    </w:p>
    <w:p w:rsidR="00884CAA" w:rsidRPr="004B5F11" w:rsidRDefault="00884CAA" w:rsidP="008E4E71">
      <w:pPr>
        <w:pStyle w:val="ListParagraph"/>
        <w:spacing w:after="240"/>
        <w:rPr>
          <w:rFonts w:ascii="Palatino Linotype" w:hAnsi="Palatino Linotype"/>
          <w:sz w:val="24"/>
        </w:rPr>
      </w:pPr>
    </w:p>
    <w:p w:rsidR="00884CAA" w:rsidRPr="004B5F11" w:rsidRDefault="00884CAA" w:rsidP="008E4E71">
      <w:pPr>
        <w:pStyle w:val="ListParagraph"/>
        <w:numPr>
          <w:ilvl w:val="0"/>
          <w:numId w:val="2"/>
        </w:numPr>
        <w:spacing w:after="240"/>
        <w:rPr>
          <w:rFonts w:ascii="Palatino Linotype" w:hAnsi="Palatino Linotype"/>
          <w:sz w:val="24"/>
        </w:rPr>
      </w:pPr>
      <w:r w:rsidRPr="004B5F11">
        <w:rPr>
          <w:rFonts w:ascii="Palatino Linotype" w:hAnsi="Palatino Linotype"/>
          <w:sz w:val="24"/>
        </w:rPr>
        <w:t xml:space="preserve">AT&amp;T shall file an Advice Letter on or before September 2, 2014, modifying the surcharge rate for the California Teleconnect Fund from 0.59% to </w:t>
      </w:r>
      <w:r>
        <w:rPr>
          <w:rFonts w:ascii="Palatino Linotype" w:hAnsi="Palatino Linotype"/>
          <w:sz w:val="24"/>
        </w:rPr>
        <w:t>0.93</w:t>
      </w:r>
      <w:r w:rsidRPr="004B5F11">
        <w:rPr>
          <w:rFonts w:ascii="Palatino Linotype" w:hAnsi="Palatino Linotype"/>
          <w:sz w:val="24"/>
        </w:rPr>
        <w:t>%, effective, October 1, 2014, and thereafter, until further revised by the Commission.</w:t>
      </w:r>
    </w:p>
    <w:p w:rsidR="00884CAA" w:rsidRPr="004B5F11" w:rsidRDefault="00884CAA" w:rsidP="008E4E71">
      <w:pPr>
        <w:pStyle w:val="ListParagraph"/>
        <w:spacing w:after="240"/>
        <w:rPr>
          <w:rFonts w:ascii="Palatino Linotype" w:hAnsi="Palatino Linotype"/>
          <w:sz w:val="24"/>
        </w:rPr>
      </w:pPr>
    </w:p>
    <w:p w:rsidR="00884CAA" w:rsidRPr="004B5F11" w:rsidRDefault="00884CAA" w:rsidP="008E4E71">
      <w:pPr>
        <w:pStyle w:val="ListParagraph"/>
        <w:numPr>
          <w:ilvl w:val="0"/>
          <w:numId w:val="2"/>
        </w:numPr>
        <w:spacing w:after="240"/>
        <w:rPr>
          <w:rFonts w:ascii="Palatino Linotype" w:hAnsi="Palatino Linotype"/>
          <w:sz w:val="24"/>
        </w:rPr>
      </w:pPr>
      <w:r w:rsidRPr="004B5F11">
        <w:rPr>
          <w:rFonts w:ascii="Palatino Linotype" w:hAnsi="Palatino Linotype"/>
          <w:sz w:val="24"/>
        </w:rPr>
        <w:t xml:space="preserve">All </w:t>
      </w:r>
      <w:r w:rsidR="001B7FC0">
        <w:rPr>
          <w:rFonts w:ascii="Palatino Linotype" w:hAnsi="Palatino Linotype"/>
          <w:sz w:val="24"/>
        </w:rPr>
        <w:t>telephone corporations</w:t>
      </w:r>
      <w:r>
        <w:rPr>
          <w:rFonts w:ascii="Palatino Linotype" w:hAnsi="Palatino Linotype"/>
          <w:sz w:val="24"/>
        </w:rPr>
        <w:t xml:space="preserve"> and interconnected VoIP service providers</w:t>
      </w:r>
      <w:r w:rsidRPr="004B5F11">
        <w:rPr>
          <w:rFonts w:ascii="Palatino Linotype" w:hAnsi="Palatino Linotype"/>
          <w:sz w:val="24"/>
        </w:rPr>
        <w:t xml:space="preserve"> </w:t>
      </w:r>
      <w:r>
        <w:rPr>
          <w:rFonts w:ascii="Palatino Linotype" w:hAnsi="Palatino Linotype"/>
          <w:sz w:val="24"/>
        </w:rPr>
        <w:t>shall</w:t>
      </w:r>
      <w:r w:rsidRPr="004B5F11">
        <w:rPr>
          <w:rFonts w:ascii="Palatino Linotype" w:hAnsi="Palatino Linotype"/>
          <w:sz w:val="24"/>
        </w:rPr>
        <w:t xml:space="preserve"> assess a CTF surcharge rate of </w:t>
      </w:r>
      <w:r>
        <w:rPr>
          <w:rFonts w:ascii="Palatino Linotype" w:hAnsi="Palatino Linotype"/>
          <w:sz w:val="24"/>
        </w:rPr>
        <w:t>0.93</w:t>
      </w:r>
      <w:r w:rsidRPr="004B5F11">
        <w:rPr>
          <w:rFonts w:ascii="Palatino Linotype" w:hAnsi="Palatino Linotype"/>
          <w:sz w:val="24"/>
        </w:rPr>
        <w:t>% on revenues collected from end users for intrastate telecommunications services subject to surcharge on October 1, 2014, and thereafter, until further ordered by the Commission.</w:t>
      </w:r>
    </w:p>
    <w:p w:rsidR="00884CAA" w:rsidRPr="004B5F11" w:rsidRDefault="00884CAA" w:rsidP="009C2128">
      <w:pPr>
        <w:rPr>
          <w:rFonts w:ascii="Palatino Linotype" w:hAnsi="Palatino Linotype"/>
          <w:sz w:val="24"/>
        </w:rPr>
      </w:pPr>
      <w:r w:rsidRPr="004B5F11">
        <w:rPr>
          <w:rFonts w:ascii="Palatino Linotype" w:hAnsi="Palatino Linotype"/>
          <w:sz w:val="24"/>
        </w:rPr>
        <w:t>This resolution is effective today.</w:t>
      </w:r>
    </w:p>
    <w:p w:rsidR="00884CAA" w:rsidRPr="004B5F11" w:rsidRDefault="00884CAA" w:rsidP="009C2128">
      <w:pPr>
        <w:rPr>
          <w:rFonts w:ascii="Palatino Linotype" w:hAnsi="Palatino Linotype"/>
          <w:sz w:val="24"/>
        </w:rPr>
      </w:pPr>
    </w:p>
    <w:p w:rsidR="00884CAA" w:rsidRPr="004B5F11" w:rsidRDefault="00884CAA" w:rsidP="009C2128">
      <w:pPr>
        <w:rPr>
          <w:rFonts w:ascii="Palatino Linotype" w:hAnsi="Palatino Linotype"/>
          <w:sz w:val="24"/>
        </w:rPr>
      </w:pPr>
      <w:r w:rsidRPr="004B5F11">
        <w:rPr>
          <w:rFonts w:ascii="Palatino Linotype" w:hAnsi="Palatino Linotype"/>
          <w:sz w:val="24"/>
        </w:rPr>
        <w:t>I certify that this Resolution was adopted by the Public Utilities Commission as its regular meeting on August 14, 2014, the following Commissioners approved it:</w:t>
      </w:r>
    </w:p>
    <w:p w:rsidR="0004423C" w:rsidRDefault="005A7B83" w:rsidP="0004423C">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p>
    <w:tbl>
      <w:tblPr>
        <w:tblW w:w="0" w:type="auto"/>
        <w:tblInd w:w="4788" w:type="dxa"/>
        <w:tblLayout w:type="fixed"/>
        <w:tblLook w:val="04A0" w:firstRow="1" w:lastRow="0" w:firstColumn="1" w:lastColumn="0" w:noHBand="0" w:noVBand="1"/>
      </w:tblPr>
      <w:tblGrid>
        <w:gridCol w:w="3975"/>
      </w:tblGrid>
      <w:tr w:rsidR="0004423C" w:rsidTr="00661DB6">
        <w:trPr>
          <w:trHeight w:val="289"/>
        </w:trPr>
        <w:tc>
          <w:tcPr>
            <w:tcW w:w="3975" w:type="dxa"/>
            <w:tcBorders>
              <w:top w:val="nil"/>
              <w:left w:val="nil"/>
              <w:bottom w:val="single" w:sz="6" w:space="0" w:color="auto"/>
              <w:right w:val="nil"/>
            </w:tcBorders>
          </w:tcPr>
          <w:p w:rsidR="0004423C" w:rsidRDefault="0004423C" w:rsidP="00661DB6">
            <w:pPr>
              <w:ind w:right="-648"/>
              <w:rPr>
                <w:rFonts w:ascii="Palatino" w:hAnsi="Palatino"/>
                <w:sz w:val="24"/>
              </w:rPr>
            </w:pPr>
          </w:p>
          <w:p w:rsidR="0004423C" w:rsidRDefault="0004423C" w:rsidP="00661DB6">
            <w:pPr>
              <w:ind w:right="-648"/>
              <w:rPr>
                <w:rFonts w:ascii="Palatino" w:hAnsi="Palatino"/>
                <w:sz w:val="24"/>
              </w:rPr>
            </w:pPr>
          </w:p>
          <w:p w:rsidR="0004423C" w:rsidRDefault="0004423C" w:rsidP="00661DB6">
            <w:pPr>
              <w:ind w:right="-648"/>
              <w:rPr>
                <w:rFonts w:ascii="Palatino" w:hAnsi="Palatino"/>
                <w:sz w:val="24"/>
              </w:rPr>
            </w:pPr>
          </w:p>
          <w:p w:rsidR="0004423C" w:rsidRDefault="0004423C" w:rsidP="00661DB6">
            <w:pPr>
              <w:ind w:right="-648"/>
              <w:rPr>
                <w:rFonts w:ascii="Palatino" w:hAnsi="Palatino"/>
                <w:sz w:val="24"/>
              </w:rPr>
            </w:pPr>
          </w:p>
          <w:p w:rsidR="0004423C" w:rsidRDefault="0004423C" w:rsidP="00661DB6">
            <w:pPr>
              <w:ind w:right="-648"/>
              <w:rPr>
                <w:rFonts w:ascii="Palatino" w:hAnsi="Palatino"/>
                <w:sz w:val="24"/>
              </w:rPr>
            </w:pPr>
            <w:r>
              <w:rPr>
                <w:rFonts w:ascii="Palatino" w:hAnsi="Palatino"/>
                <w:sz w:val="24"/>
              </w:rPr>
              <w:t xml:space="preserve">          /s/ PAUL CLANON</w:t>
            </w:r>
          </w:p>
        </w:tc>
      </w:tr>
      <w:tr w:rsidR="0004423C" w:rsidRPr="00304118" w:rsidTr="00661DB6">
        <w:trPr>
          <w:trHeight w:val="716"/>
        </w:trPr>
        <w:tc>
          <w:tcPr>
            <w:tcW w:w="3975" w:type="dxa"/>
            <w:hideMark/>
          </w:tcPr>
          <w:p w:rsidR="0004423C" w:rsidRPr="00304118" w:rsidRDefault="0004423C" w:rsidP="00661DB6">
            <w:pPr>
              <w:pStyle w:val="Heading6"/>
              <w:jc w:val="center"/>
              <w:rPr>
                <w:rFonts w:ascii="Palatino" w:hAnsi="Palatino"/>
                <w:i w:val="0"/>
                <w:color w:val="auto"/>
                <w:sz w:val="24"/>
                <w:szCs w:val="24"/>
              </w:rPr>
            </w:pPr>
            <w:r w:rsidRPr="00304118">
              <w:rPr>
                <w:rFonts w:ascii="Palatino" w:hAnsi="Palatino"/>
                <w:i w:val="0"/>
                <w:color w:val="auto"/>
                <w:sz w:val="24"/>
                <w:szCs w:val="24"/>
              </w:rPr>
              <w:t>PAUL CLANON</w:t>
            </w:r>
          </w:p>
          <w:p w:rsidR="0004423C" w:rsidRPr="00304118" w:rsidRDefault="0004423C" w:rsidP="00661DB6">
            <w:pPr>
              <w:pStyle w:val="Heading6"/>
              <w:spacing w:before="0"/>
              <w:jc w:val="center"/>
              <w:rPr>
                <w:rFonts w:ascii="Palatino" w:hAnsi="Palatino"/>
              </w:rPr>
            </w:pPr>
            <w:r w:rsidRPr="00304118">
              <w:rPr>
                <w:rFonts w:ascii="Palatino" w:hAnsi="Palatino"/>
                <w:i w:val="0"/>
                <w:color w:val="auto"/>
                <w:sz w:val="24"/>
                <w:szCs w:val="24"/>
              </w:rPr>
              <w:t>Executive Director</w:t>
            </w:r>
          </w:p>
        </w:tc>
      </w:tr>
    </w:tbl>
    <w:p w:rsidR="00884CAA" w:rsidRPr="00304118" w:rsidRDefault="00884CAA" w:rsidP="0004423C">
      <w:pPr>
        <w:rPr>
          <w:rFonts w:ascii="Palatino Linotype" w:hAnsi="Palatino Linotype"/>
        </w:rPr>
      </w:pPr>
    </w:p>
    <w:p w:rsidR="00884CAA" w:rsidRDefault="00884CAA" w:rsidP="009C2128">
      <w:pPr>
        <w:rPr>
          <w:rFonts w:ascii="Palatino Linotype" w:hAnsi="Palatino Linotype"/>
        </w:rPr>
      </w:pPr>
    </w:p>
    <w:p w:rsidR="00884CAA" w:rsidRDefault="00884CAA" w:rsidP="009C2128">
      <w:pPr>
        <w:rPr>
          <w:rFonts w:ascii="Palatino Linotype" w:hAnsi="Palatino Linotype"/>
        </w:rPr>
      </w:pPr>
    </w:p>
    <w:tbl>
      <w:tblPr>
        <w:tblW w:w="0" w:type="auto"/>
        <w:tblInd w:w="4788" w:type="dxa"/>
        <w:tblLayout w:type="fixed"/>
        <w:tblLook w:val="0000" w:firstRow="0" w:lastRow="0" w:firstColumn="0" w:lastColumn="0" w:noHBand="0" w:noVBand="0"/>
      </w:tblPr>
      <w:tblGrid>
        <w:gridCol w:w="4050"/>
      </w:tblGrid>
      <w:tr w:rsidR="00304118" w:rsidTr="00661DB6">
        <w:trPr>
          <w:trHeight w:val="366"/>
        </w:trPr>
        <w:tc>
          <w:tcPr>
            <w:tcW w:w="4050" w:type="dxa"/>
          </w:tcPr>
          <w:p w:rsidR="00304118" w:rsidRPr="003115FB" w:rsidRDefault="00304118" w:rsidP="00661DB6">
            <w:pPr>
              <w:tabs>
                <w:tab w:val="left" w:pos="2947"/>
              </w:tabs>
              <w:ind w:left="162" w:hanging="934"/>
              <w:rPr>
                <w:rFonts w:ascii="Palatino" w:hAnsi="Palatino"/>
                <w:sz w:val="24"/>
                <w:szCs w:val="24"/>
              </w:rPr>
            </w:pPr>
            <w:r>
              <w:rPr>
                <w:rFonts w:ascii="Palatino" w:hAnsi="Palatino"/>
                <w:sz w:val="24"/>
                <w:szCs w:val="24"/>
              </w:rPr>
              <w:t xml:space="preserve">                      </w:t>
            </w:r>
            <w:r w:rsidRPr="003115FB">
              <w:rPr>
                <w:rFonts w:ascii="Palatino" w:hAnsi="Palatino"/>
                <w:sz w:val="24"/>
                <w:szCs w:val="24"/>
              </w:rPr>
              <w:t>MICHAEL R.</w:t>
            </w:r>
            <w:r>
              <w:rPr>
                <w:rFonts w:ascii="Palatino" w:hAnsi="Palatino"/>
                <w:sz w:val="24"/>
                <w:szCs w:val="24"/>
              </w:rPr>
              <w:t xml:space="preserve"> </w:t>
            </w:r>
            <w:r w:rsidRPr="003115FB">
              <w:rPr>
                <w:rFonts w:ascii="Palatino" w:hAnsi="Palatino"/>
                <w:sz w:val="24"/>
                <w:szCs w:val="24"/>
              </w:rPr>
              <w:t>PEEVEY</w:t>
            </w:r>
          </w:p>
          <w:p w:rsidR="00304118" w:rsidRPr="003115FB" w:rsidRDefault="00304118" w:rsidP="00661DB6">
            <w:pPr>
              <w:ind w:right="792"/>
              <w:jc w:val="right"/>
              <w:rPr>
                <w:rFonts w:ascii="Palatino" w:hAnsi="Palatino"/>
                <w:sz w:val="24"/>
                <w:szCs w:val="24"/>
              </w:rPr>
            </w:pPr>
            <w:r>
              <w:rPr>
                <w:rFonts w:ascii="Palatino" w:hAnsi="Palatino"/>
                <w:sz w:val="24"/>
                <w:szCs w:val="24"/>
              </w:rPr>
              <w:t xml:space="preserve">                      </w:t>
            </w:r>
            <w:r w:rsidRPr="003115FB">
              <w:rPr>
                <w:rFonts w:ascii="Palatino" w:hAnsi="Palatino"/>
                <w:sz w:val="24"/>
                <w:szCs w:val="24"/>
              </w:rPr>
              <w:t>President</w:t>
            </w:r>
          </w:p>
        </w:tc>
      </w:tr>
      <w:tr w:rsidR="00304118" w:rsidTr="00661DB6">
        <w:trPr>
          <w:trHeight w:val="178"/>
        </w:trPr>
        <w:tc>
          <w:tcPr>
            <w:tcW w:w="4050" w:type="dxa"/>
          </w:tcPr>
          <w:p w:rsidR="00304118" w:rsidRPr="003115FB" w:rsidRDefault="00304118" w:rsidP="00661DB6">
            <w:pPr>
              <w:tabs>
                <w:tab w:val="left" w:pos="327"/>
              </w:tabs>
              <w:jc w:val="center"/>
              <w:rPr>
                <w:rFonts w:ascii="Palatino" w:hAnsi="Palatino"/>
                <w:sz w:val="24"/>
                <w:szCs w:val="24"/>
              </w:rPr>
            </w:pPr>
            <w:r w:rsidRPr="00754D52">
              <w:rPr>
                <w:color w:val="000000"/>
                <w:sz w:val="26"/>
                <w:szCs w:val="26"/>
              </w:rPr>
              <w:t>MICHEL PETER FLORIO</w:t>
            </w:r>
          </w:p>
        </w:tc>
      </w:tr>
      <w:tr w:rsidR="00304118" w:rsidTr="00661DB6">
        <w:trPr>
          <w:trHeight w:val="178"/>
        </w:trPr>
        <w:tc>
          <w:tcPr>
            <w:tcW w:w="4050" w:type="dxa"/>
          </w:tcPr>
          <w:p w:rsidR="00304118" w:rsidRPr="003115FB" w:rsidRDefault="00304118" w:rsidP="00661DB6">
            <w:pPr>
              <w:jc w:val="right"/>
              <w:rPr>
                <w:rFonts w:ascii="Palatino" w:hAnsi="Palatino"/>
                <w:sz w:val="24"/>
                <w:szCs w:val="24"/>
              </w:rPr>
            </w:pPr>
            <w:r>
              <w:rPr>
                <w:rFonts w:ascii="Palatino" w:hAnsi="Palatino"/>
                <w:sz w:val="24"/>
                <w:szCs w:val="24"/>
              </w:rPr>
              <w:t>CATHERINE J.K. SANDOVAL</w:t>
            </w:r>
            <w:r>
              <w:rPr>
                <w:color w:val="000000"/>
                <w:sz w:val="26"/>
                <w:szCs w:val="26"/>
              </w:rPr>
              <w:t xml:space="preserve">  </w:t>
            </w:r>
          </w:p>
        </w:tc>
      </w:tr>
      <w:tr w:rsidR="00304118" w:rsidTr="00661DB6">
        <w:trPr>
          <w:trHeight w:val="178"/>
        </w:trPr>
        <w:tc>
          <w:tcPr>
            <w:tcW w:w="4050" w:type="dxa"/>
          </w:tcPr>
          <w:p w:rsidR="00304118" w:rsidRPr="003115FB" w:rsidRDefault="00304118" w:rsidP="00661DB6">
            <w:pPr>
              <w:rPr>
                <w:rFonts w:ascii="Palatino" w:hAnsi="Palatino"/>
                <w:sz w:val="24"/>
                <w:szCs w:val="24"/>
              </w:rPr>
            </w:pPr>
            <w:r>
              <w:rPr>
                <w:color w:val="000000"/>
                <w:sz w:val="26"/>
                <w:szCs w:val="26"/>
              </w:rPr>
              <w:t xml:space="preserve">        CARLA J. PETERMAN</w:t>
            </w:r>
            <w:r>
              <w:rPr>
                <w:rFonts w:ascii="Palatino" w:hAnsi="Palatino"/>
                <w:sz w:val="24"/>
                <w:szCs w:val="24"/>
              </w:rPr>
              <w:t xml:space="preserve">   </w:t>
            </w:r>
          </w:p>
        </w:tc>
      </w:tr>
      <w:tr w:rsidR="00304118" w:rsidTr="00661DB6">
        <w:trPr>
          <w:trHeight w:val="187"/>
        </w:trPr>
        <w:tc>
          <w:tcPr>
            <w:tcW w:w="4050" w:type="dxa"/>
          </w:tcPr>
          <w:p w:rsidR="00304118" w:rsidRPr="00BF731F" w:rsidRDefault="00304118" w:rsidP="00661DB6">
            <w:pPr>
              <w:ind w:right="-198"/>
              <w:rPr>
                <w:color w:val="000000"/>
                <w:sz w:val="26"/>
                <w:szCs w:val="26"/>
              </w:rPr>
            </w:pPr>
            <w:r>
              <w:rPr>
                <w:color w:val="000000"/>
                <w:sz w:val="26"/>
                <w:szCs w:val="26"/>
              </w:rPr>
              <w:t xml:space="preserve">        MICHAEL PICKER                        </w:t>
            </w:r>
          </w:p>
        </w:tc>
      </w:tr>
      <w:tr w:rsidR="00304118" w:rsidTr="00661DB6">
        <w:trPr>
          <w:trHeight w:val="187"/>
        </w:trPr>
        <w:tc>
          <w:tcPr>
            <w:tcW w:w="4050" w:type="dxa"/>
          </w:tcPr>
          <w:p w:rsidR="00304118" w:rsidRPr="003115FB" w:rsidRDefault="00304118" w:rsidP="00661DB6">
            <w:pPr>
              <w:jc w:val="right"/>
              <w:rPr>
                <w:rFonts w:ascii="Palatino" w:hAnsi="Palatino"/>
                <w:sz w:val="24"/>
                <w:szCs w:val="24"/>
              </w:rPr>
            </w:pPr>
            <w:r w:rsidRPr="003115FB">
              <w:rPr>
                <w:rFonts w:ascii="Palatino" w:hAnsi="Palatino"/>
                <w:sz w:val="24"/>
                <w:szCs w:val="24"/>
              </w:rPr>
              <w:t xml:space="preserve">                   Commissioners</w:t>
            </w:r>
          </w:p>
        </w:tc>
      </w:tr>
      <w:tr w:rsidR="00304118" w:rsidRPr="00B540B5" w:rsidTr="00661DB6">
        <w:trPr>
          <w:trHeight w:val="187"/>
        </w:trPr>
        <w:tc>
          <w:tcPr>
            <w:tcW w:w="4050" w:type="dxa"/>
          </w:tcPr>
          <w:p w:rsidR="00304118" w:rsidRPr="003115FB" w:rsidRDefault="00304118" w:rsidP="00661DB6">
            <w:pPr>
              <w:ind w:right="72"/>
              <w:jc w:val="right"/>
              <w:rPr>
                <w:rFonts w:ascii="Palatino" w:hAnsi="Palatino"/>
                <w:sz w:val="24"/>
                <w:szCs w:val="24"/>
              </w:rPr>
            </w:pPr>
          </w:p>
        </w:tc>
      </w:tr>
    </w:tbl>
    <w:p w:rsidR="00396A92" w:rsidRDefault="00396A92">
      <w:pPr>
        <w:spacing w:after="200" w:line="276" w:lineRule="auto"/>
        <w:rPr>
          <w:rFonts w:ascii="Palatino Linotype" w:hAnsi="Palatino Linotype"/>
          <w:sz w:val="28"/>
        </w:rPr>
        <w:sectPr w:rsidR="00396A92" w:rsidSect="009D16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rsidR="00884CAA" w:rsidRDefault="00884CAA" w:rsidP="00431960">
      <w:pPr>
        <w:spacing w:after="200" w:line="276" w:lineRule="auto"/>
        <w:jc w:val="center"/>
        <w:rPr>
          <w:rFonts w:ascii="Palatino Linotype" w:hAnsi="Palatino Linotype"/>
          <w:sz w:val="28"/>
        </w:rPr>
      </w:pPr>
      <w:r w:rsidRPr="004F6BFB">
        <w:rPr>
          <w:rFonts w:ascii="Palatino Linotype" w:hAnsi="Palatino Linotype"/>
          <w:sz w:val="28"/>
        </w:rPr>
        <w:t>Appendix A</w:t>
      </w:r>
    </w:p>
    <w:p w:rsidR="00884CAA" w:rsidRDefault="00884CAA" w:rsidP="00B907B7">
      <w:pPr>
        <w:jc w:val="center"/>
        <w:rPr>
          <w:rFonts w:ascii="Palatino Linotype" w:hAnsi="Palatino Linotype"/>
          <w:sz w:val="22"/>
        </w:rPr>
      </w:pPr>
    </w:p>
    <w:p w:rsidR="00884CAA" w:rsidRPr="00146926" w:rsidRDefault="00884CAA" w:rsidP="00146926">
      <w:pPr>
        <w:rPr>
          <w:rFonts w:ascii="Palatino Linotype" w:hAnsi="Palatino Linotype"/>
          <w:sz w:val="22"/>
        </w:rPr>
      </w:pPr>
    </w:p>
    <w:p w:rsidR="00884CAA" w:rsidRPr="00146926" w:rsidRDefault="00884CAA" w:rsidP="00146926">
      <w:pPr>
        <w:rPr>
          <w:rFonts w:ascii="Palatino Linotype" w:hAnsi="Palatino Linotype"/>
          <w:sz w:val="22"/>
        </w:rPr>
      </w:pPr>
    </w:p>
    <w:p w:rsidR="00884CAA" w:rsidRDefault="00884CAA" w:rsidP="00146926">
      <w:pPr>
        <w:rPr>
          <w:rFonts w:ascii="Palatino Linotype" w:hAnsi="Palatino Linotype"/>
          <w:sz w:val="22"/>
        </w:rPr>
      </w:pPr>
    </w:p>
    <w:p w:rsidR="00FC4122" w:rsidRDefault="00FC4122" w:rsidP="00146926">
      <w:pPr>
        <w:rPr>
          <w:rFonts w:ascii="Palatino Linotype" w:hAnsi="Palatino Linotype"/>
          <w:sz w:val="22"/>
        </w:rPr>
      </w:pPr>
      <w:r w:rsidRPr="00FC4122">
        <w:rPr>
          <w:noProof/>
        </w:rPr>
        <w:drawing>
          <wp:inline distT="0" distB="0" distL="0" distR="0" wp14:anchorId="1361C64E" wp14:editId="29014F6A">
            <wp:extent cx="5943600" cy="48419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841984"/>
                    </a:xfrm>
                    <a:prstGeom prst="rect">
                      <a:avLst/>
                    </a:prstGeom>
                    <a:noFill/>
                    <a:ln>
                      <a:noFill/>
                    </a:ln>
                  </pic:spPr>
                </pic:pic>
              </a:graphicData>
            </a:graphic>
          </wp:inline>
        </w:drawing>
      </w:r>
    </w:p>
    <w:p w:rsidR="00884CAA" w:rsidRPr="00146926" w:rsidRDefault="00884CAA" w:rsidP="00146926">
      <w:pPr>
        <w:tabs>
          <w:tab w:val="left" w:pos="3073"/>
        </w:tabs>
        <w:rPr>
          <w:rFonts w:ascii="Palatino Linotype" w:hAnsi="Palatino Linotype"/>
          <w:sz w:val="22"/>
        </w:rPr>
      </w:pPr>
      <w:r>
        <w:rPr>
          <w:rFonts w:ascii="Palatino Linotype" w:hAnsi="Palatino Linotype"/>
          <w:sz w:val="22"/>
        </w:rPr>
        <w:tab/>
      </w:r>
    </w:p>
    <w:sectPr w:rsidR="00884CAA" w:rsidRPr="00146926" w:rsidSect="009E6301">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E0" w:rsidRDefault="00313BE0" w:rsidP="00763E51">
      <w:r>
        <w:separator/>
      </w:r>
    </w:p>
  </w:endnote>
  <w:endnote w:type="continuationSeparator" w:id="0">
    <w:p w:rsidR="00313BE0" w:rsidRDefault="00313BE0" w:rsidP="0076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D4" w:rsidRDefault="00B92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AA" w:rsidRDefault="00DC2A5A">
    <w:pPr>
      <w:pStyle w:val="Footer"/>
      <w:jc w:val="center"/>
    </w:pPr>
    <w:r>
      <w:fldChar w:fldCharType="begin"/>
    </w:r>
    <w:r>
      <w:instrText xml:space="preserve"> PAGE   \* MERGEFORMAT </w:instrText>
    </w:r>
    <w:r>
      <w:fldChar w:fldCharType="separate"/>
    </w:r>
    <w:r w:rsidR="00136367">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60" w:rsidRPr="00945F95" w:rsidRDefault="0004423C" w:rsidP="00587638">
    <w:pPr>
      <w:pStyle w:val="Footer"/>
      <w:rPr>
        <w:sz w:val="16"/>
        <w:szCs w:val="16"/>
      </w:rPr>
    </w:pPr>
    <w:r w:rsidRPr="00945F95">
      <w:rPr>
        <w:rFonts w:ascii="Tahoma" w:hAnsi="Tahoma" w:cs="Tahoma"/>
        <w:sz w:val="16"/>
        <w:szCs w:val="16"/>
      </w:rPr>
      <w:t xml:space="preserve">102388336 </w:t>
    </w:r>
    <w:r w:rsidR="00136367">
      <w:rPr>
        <w:rFonts w:ascii="Tahoma" w:hAnsi="Tahoma" w:cs="Tahoma"/>
        <w:vanish/>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1" o:titl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52" w:rsidRDefault="00AF2C52">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C4" w:rsidRPr="002358C4" w:rsidRDefault="002358C4" w:rsidP="00235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E0" w:rsidRDefault="00313BE0" w:rsidP="00763E51">
      <w:r>
        <w:separator/>
      </w:r>
    </w:p>
  </w:footnote>
  <w:footnote w:type="continuationSeparator" w:id="0">
    <w:p w:rsidR="00313BE0" w:rsidRDefault="00313BE0" w:rsidP="00763E51">
      <w:r>
        <w:continuationSeparator/>
      </w:r>
    </w:p>
  </w:footnote>
  <w:footnote w:id="1">
    <w:p w:rsidR="00884CAA" w:rsidRDefault="00884CAA">
      <w:pPr>
        <w:pStyle w:val="FootnoteText"/>
      </w:pPr>
      <w:r>
        <w:rPr>
          <w:rStyle w:val="FootnoteReference"/>
        </w:rPr>
        <w:footnoteRef/>
      </w:r>
      <w:r>
        <w:t xml:space="preserve"> We apply this directive to VoIP providers pursuant to Public Utilities Code section 285. </w:t>
      </w:r>
    </w:p>
  </w:footnote>
  <w:footnote w:id="2">
    <w:p w:rsidR="00884CAA" w:rsidRDefault="00884CAA">
      <w:pPr>
        <w:pStyle w:val="FootnoteText"/>
      </w:pPr>
      <w:r>
        <w:rPr>
          <w:rStyle w:val="FootnoteReference"/>
        </w:rPr>
        <w:footnoteRef/>
      </w:r>
      <w:r>
        <w:t xml:space="preserve"> CBOs providing 2-1-1 Referral and Information Services must be authorized by the Commission through a resolution process. </w:t>
      </w:r>
    </w:p>
  </w:footnote>
  <w:footnote w:id="3">
    <w:p w:rsidR="00884CAA" w:rsidRDefault="00884CAA">
      <w:pPr>
        <w:pStyle w:val="FootnoteText"/>
      </w:pPr>
      <w:r>
        <w:rPr>
          <w:rStyle w:val="FootnoteReference"/>
        </w:rPr>
        <w:footnoteRef/>
      </w:r>
      <w:r>
        <w:t xml:space="preserve"> R.13-01-010 Order Instituting Rulemaking to Conduct a Comprehensive Examination of the California Teleconnect Fund.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D4" w:rsidRDefault="00B92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AA" w:rsidRPr="009E0B4E" w:rsidRDefault="00884CAA" w:rsidP="00996C43">
    <w:pPr>
      <w:pStyle w:val="Header"/>
      <w:rPr>
        <w:sz w:val="24"/>
        <w:szCs w:val="24"/>
      </w:rPr>
    </w:pPr>
    <w:r w:rsidRPr="009E0B4E">
      <w:rPr>
        <w:sz w:val="24"/>
        <w:szCs w:val="24"/>
      </w:rPr>
      <w:t>Resolution T-17442</w:t>
    </w:r>
    <w:r w:rsidR="001B7FC0" w:rsidRPr="009E0B4E">
      <w:rPr>
        <w:sz w:val="24"/>
        <w:szCs w:val="24"/>
      </w:rPr>
      <w:tab/>
    </w:r>
  </w:p>
  <w:p w:rsidR="00884CAA" w:rsidRPr="009E0B4E" w:rsidRDefault="00884CAA">
    <w:pPr>
      <w:pStyle w:val="Header"/>
      <w:rPr>
        <w:sz w:val="24"/>
        <w:szCs w:val="24"/>
      </w:rPr>
    </w:pPr>
    <w:r w:rsidRPr="009E0B4E">
      <w:rPr>
        <w:sz w:val="24"/>
        <w:szCs w:val="24"/>
      </w:rPr>
      <w:t>CD/LAH</w:t>
    </w:r>
    <w:r w:rsidRPr="009E0B4E">
      <w:rPr>
        <w:sz w:val="24"/>
        <w:szCs w:val="24"/>
      </w:rPr>
      <w:tab/>
    </w:r>
    <w:r w:rsidRPr="009E0B4E">
      <w:rPr>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EF" w:rsidRPr="00787ADE" w:rsidRDefault="00D521EF" w:rsidP="00D521EF">
    <w:pPr>
      <w:pStyle w:val="Header"/>
      <w:rPr>
        <w:sz w:val="24"/>
        <w:szCs w:val="24"/>
      </w:rPr>
    </w:pPr>
    <w:r w:rsidRPr="00787ADE">
      <w:rPr>
        <w:sz w:val="24"/>
        <w:szCs w:val="24"/>
      </w:rPr>
      <w:t>Resolution T-17442</w:t>
    </w:r>
    <w:r w:rsidRPr="00787ADE">
      <w:rPr>
        <w:sz w:val="24"/>
        <w:szCs w:val="24"/>
      </w:rPr>
      <w:tab/>
    </w:r>
    <w:r w:rsidRPr="00787ADE">
      <w:rPr>
        <w:sz w:val="24"/>
        <w:szCs w:val="24"/>
      </w:rPr>
      <w:tab/>
    </w:r>
    <w:r w:rsidR="002C75B0">
      <w:rPr>
        <w:sz w:val="24"/>
        <w:szCs w:val="24"/>
      </w:rPr>
      <w:t>Date of Issuance: August 18, 2014</w:t>
    </w:r>
  </w:p>
  <w:p w:rsidR="00D521EF" w:rsidRPr="00787ADE" w:rsidRDefault="00D521EF" w:rsidP="00D521EF">
    <w:pPr>
      <w:pStyle w:val="Header"/>
      <w:rPr>
        <w:sz w:val="24"/>
        <w:szCs w:val="24"/>
      </w:rPr>
    </w:pPr>
    <w:r w:rsidRPr="00787ADE">
      <w:rPr>
        <w:sz w:val="24"/>
        <w:szCs w:val="24"/>
      </w:rPr>
      <w:t>CD/LAH</w:t>
    </w:r>
    <w:r w:rsidRPr="00787ADE">
      <w:rPr>
        <w:sz w:val="24"/>
        <w:szCs w:val="24"/>
      </w:rPr>
      <w:tab/>
    </w:r>
    <w:r w:rsidRPr="00787ADE">
      <w:rPr>
        <w:sz w:val="24"/>
        <w:szCs w:val="24"/>
      </w:rPr>
      <w:tab/>
    </w:r>
  </w:p>
  <w:p w:rsidR="00D521EF" w:rsidRDefault="00D521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C8" w:rsidRPr="00787ADE" w:rsidRDefault="00466EC8" w:rsidP="00D521EF">
    <w:pPr>
      <w:pStyle w:val="Header"/>
      <w:rPr>
        <w:sz w:val="24"/>
        <w:szCs w:val="24"/>
      </w:rPr>
    </w:pPr>
    <w:r w:rsidRPr="00787ADE">
      <w:rPr>
        <w:sz w:val="24"/>
        <w:szCs w:val="24"/>
      </w:rPr>
      <w:t>Resolution T-17442</w:t>
    </w:r>
    <w:r w:rsidRPr="00787ADE">
      <w:rPr>
        <w:sz w:val="24"/>
        <w:szCs w:val="24"/>
      </w:rPr>
      <w:tab/>
    </w:r>
    <w:r w:rsidRPr="00787ADE">
      <w:rPr>
        <w:sz w:val="24"/>
        <w:szCs w:val="24"/>
      </w:rPr>
      <w:tab/>
    </w:r>
    <w:r>
      <w:rPr>
        <w:sz w:val="24"/>
        <w:szCs w:val="24"/>
      </w:rPr>
      <w:t>Date of Issuance: August 18, 2014</w:t>
    </w:r>
  </w:p>
  <w:p w:rsidR="00466EC8" w:rsidRPr="00787ADE" w:rsidRDefault="00466EC8" w:rsidP="00D521EF">
    <w:pPr>
      <w:pStyle w:val="Header"/>
      <w:rPr>
        <w:sz w:val="24"/>
        <w:szCs w:val="24"/>
      </w:rPr>
    </w:pPr>
    <w:r w:rsidRPr="00787ADE">
      <w:rPr>
        <w:sz w:val="24"/>
        <w:szCs w:val="24"/>
      </w:rPr>
      <w:t>CD/LAH</w:t>
    </w:r>
    <w:r w:rsidRPr="00787ADE">
      <w:rPr>
        <w:sz w:val="24"/>
        <w:szCs w:val="24"/>
      </w:rPr>
      <w:tab/>
    </w:r>
    <w:r w:rsidRPr="00787ADE">
      <w:rPr>
        <w:sz w:val="24"/>
        <w:szCs w:val="24"/>
      </w:rPr>
      <w:tab/>
    </w:r>
  </w:p>
  <w:p w:rsidR="00466EC8" w:rsidRDefault="00466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A5A24"/>
    <w:multiLevelType w:val="hybridMultilevel"/>
    <w:tmpl w:val="2AAEA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500BBE"/>
    <w:multiLevelType w:val="hybridMultilevel"/>
    <w:tmpl w:val="69EC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28"/>
    <w:rsid w:val="000162E8"/>
    <w:rsid w:val="00021013"/>
    <w:rsid w:val="000248D6"/>
    <w:rsid w:val="00042B1B"/>
    <w:rsid w:val="0004423C"/>
    <w:rsid w:val="00077F08"/>
    <w:rsid w:val="000914C9"/>
    <w:rsid w:val="000A7129"/>
    <w:rsid w:val="000B0193"/>
    <w:rsid w:val="000B166F"/>
    <w:rsid w:val="000D40C5"/>
    <w:rsid w:val="000E4F54"/>
    <w:rsid w:val="0010018B"/>
    <w:rsid w:val="00136367"/>
    <w:rsid w:val="00143820"/>
    <w:rsid w:val="00146926"/>
    <w:rsid w:val="001570CB"/>
    <w:rsid w:val="0016087A"/>
    <w:rsid w:val="0018488B"/>
    <w:rsid w:val="001B7FC0"/>
    <w:rsid w:val="001D1E9C"/>
    <w:rsid w:val="00201121"/>
    <w:rsid w:val="00203BD9"/>
    <w:rsid w:val="002358C4"/>
    <w:rsid w:val="00236DE6"/>
    <w:rsid w:val="00242F5B"/>
    <w:rsid w:val="00253684"/>
    <w:rsid w:val="00256F73"/>
    <w:rsid w:val="0028244B"/>
    <w:rsid w:val="00290F77"/>
    <w:rsid w:val="0029381F"/>
    <w:rsid w:val="002C75B0"/>
    <w:rsid w:val="002F1B54"/>
    <w:rsid w:val="002F605E"/>
    <w:rsid w:val="00304118"/>
    <w:rsid w:val="003076FA"/>
    <w:rsid w:val="00313BE0"/>
    <w:rsid w:val="00325EDA"/>
    <w:rsid w:val="003430B0"/>
    <w:rsid w:val="00350E08"/>
    <w:rsid w:val="00365D95"/>
    <w:rsid w:val="00372728"/>
    <w:rsid w:val="00396A92"/>
    <w:rsid w:val="003C299D"/>
    <w:rsid w:val="003D4529"/>
    <w:rsid w:val="003D5DF4"/>
    <w:rsid w:val="003E0EC7"/>
    <w:rsid w:val="0042170B"/>
    <w:rsid w:val="00431960"/>
    <w:rsid w:val="004564E6"/>
    <w:rsid w:val="00457D41"/>
    <w:rsid w:val="004657A2"/>
    <w:rsid w:val="00466EC8"/>
    <w:rsid w:val="00495C8C"/>
    <w:rsid w:val="004A581B"/>
    <w:rsid w:val="004B079A"/>
    <w:rsid w:val="004B5F11"/>
    <w:rsid w:val="004C10FC"/>
    <w:rsid w:val="004D259F"/>
    <w:rsid w:val="004F6BFB"/>
    <w:rsid w:val="0050694F"/>
    <w:rsid w:val="00525CD6"/>
    <w:rsid w:val="005315FD"/>
    <w:rsid w:val="00546405"/>
    <w:rsid w:val="0055029B"/>
    <w:rsid w:val="00560CF6"/>
    <w:rsid w:val="0057162B"/>
    <w:rsid w:val="005767A0"/>
    <w:rsid w:val="00587638"/>
    <w:rsid w:val="00594565"/>
    <w:rsid w:val="00596844"/>
    <w:rsid w:val="005A7B83"/>
    <w:rsid w:val="005C4E19"/>
    <w:rsid w:val="005D1073"/>
    <w:rsid w:val="005F5ABE"/>
    <w:rsid w:val="00604C27"/>
    <w:rsid w:val="00627930"/>
    <w:rsid w:val="00631DE6"/>
    <w:rsid w:val="006B1FF1"/>
    <w:rsid w:val="006B33ED"/>
    <w:rsid w:val="006D4B97"/>
    <w:rsid w:val="006E0D53"/>
    <w:rsid w:val="00714490"/>
    <w:rsid w:val="007223FB"/>
    <w:rsid w:val="00740BEC"/>
    <w:rsid w:val="0074241C"/>
    <w:rsid w:val="00746104"/>
    <w:rsid w:val="00760835"/>
    <w:rsid w:val="00763E51"/>
    <w:rsid w:val="00766E6E"/>
    <w:rsid w:val="00787ADE"/>
    <w:rsid w:val="007A21BB"/>
    <w:rsid w:val="007D2F83"/>
    <w:rsid w:val="007D3850"/>
    <w:rsid w:val="00826968"/>
    <w:rsid w:val="008452D5"/>
    <w:rsid w:val="00846AB9"/>
    <w:rsid w:val="00871192"/>
    <w:rsid w:val="00884CAA"/>
    <w:rsid w:val="008A5BFE"/>
    <w:rsid w:val="008E4E71"/>
    <w:rsid w:val="008E6254"/>
    <w:rsid w:val="008F7D11"/>
    <w:rsid w:val="00910273"/>
    <w:rsid w:val="00916FDD"/>
    <w:rsid w:val="009275DC"/>
    <w:rsid w:val="00944A14"/>
    <w:rsid w:val="00945F95"/>
    <w:rsid w:val="00967BF1"/>
    <w:rsid w:val="00996C43"/>
    <w:rsid w:val="009C2128"/>
    <w:rsid w:val="009D1614"/>
    <w:rsid w:val="009D7CEE"/>
    <w:rsid w:val="009E0B4E"/>
    <w:rsid w:val="009E18CB"/>
    <w:rsid w:val="009E6301"/>
    <w:rsid w:val="00A121A4"/>
    <w:rsid w:val="00A1712A"/>
    <w:rsid w:val="00A4510D"/>
    <w:rsid w:val="00A54920"/>
    <w:rsid w:val="00A82487"/>
    <w:rsid w:val="00A95CFA"/>
    <w:rsid w:val="00A97015"/>
    <w:rsid w:val="00AA3D0A"/>
    <w:rsid w:val="00AF2C52"/>
    <w:rsid w:val="00B22AB5"/>
    <w:rsid w:val="00B34CE4"/>
    <w:rsid w:val="00B907B7"/>
    <w:rsid w:val="00B92FD4"/>
    <w:rsid w:val="00BA4BC7"/>
    <w:rsid w:val="00BB2849"/>
    <w:rsid w:val="00BB49F9"/>
    <w:rsid w:val="00BD3B6D"/>
    <w:rsid w:val="00BD72B4"/>
    <w:rsid w:val="00C1477D"/>
    <w:rsid w:val="00C3432E"/>
    <w:rsid w:val="00C35D36"/>
    <w:rsid w:val="00C40598"/>
    <w:rsid w:val="00C50B9D"/>
    <w:rsid w:val="00C56D3C"/>
    <w:rsid w:val="00C712DC"/>
    <w:rsid w:val="00CB00B9"/>
    <w:rsid w:val="00CE1645"/>
    <w:rsid w:val="00CE2AE3"/>
    <w:rsid w:val="00CE4CF5"/>
    <w:rsid w:val="00D2579D"/>
    <w:rsid w:val="00D32B5A"/>
    <w:rsid w:val="00D35FBE"/>
    <w:rsid w:val="00D521EF"/>
    <w:rsid w:val="00D6609D"/>
    <w:rsid w:val="00D73865"/>
    <w:rsid w:val="00D74B36"/>
    <w:rsid w:val="00D9339A"/>
    <w:rsid w:val="00DA1185"/>
    <w:rsid w:val="00DA41CC"/>
    <w:rsid w:val="00DB67DB"/>
    <w:rsid w:val="00DC13EE"/>
    <w:rsid w:val="00DC2A5A"/>
    <w:rsid w:val="00DC6823"/>
    <w:rsid w:val="00DF11F4"/>
    <w:rsid w:val="00E04129"/>
    <w:rsid w:val="00E15426"/>
    <w:rsid w:val="00E507B5"/>
    <w:rsid w:val="00E65ADD"/>
    <w:rsid w:val="00E732C7"/>
    <w:rsid w:val="00E90795"/>
    <w:rsid w:val="00EA15F3"/>
    <w:rsid w:val="00EA3590"/>
    <w:rsid w:val="00ED0D7F"/>
    <w:rsid w:val="00EF7748"/>
    <w:rsid w:val="00F004DA"/>
    <w:rsid w:val="00F00F6B"/>
    <w:rsid w:val="00F7057E"/>
    <w:rsid w:val="00F872CA"/>
    <w:rsid w:val="00FA5176"/>
    <w:rsid w:val="00FB0C96"/>
    <w:rsid w:val="00FB4D13"/>
    <w:rsid w:val="00FC4122"/>
    <w:rsid w:val="00FC722A"/>
    <w:rsid w:val="00FD215E"/>
    <w:rsid w:val="00FE3F2F"/>
    <w:rsid w:val="00FF09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28"/>
    <w:rPr>
      <w:rFonts w:ascii="Times New Roman" w:eastAsia="Times New Roman" w:hAnsi="Times New Roman"/>
    </w:rPr>
  </w:style>
  <w:style w:type="paragraph" w:styleId="Heading2">
    <w:name w:val="heading 2"/>
    <w:basedOn w:val="Normal"/>
    <w:next w:val="Normal"/>
    <w:link w:val="Heading2Char"/>
    <w:uiPriority w:val="99"/>
    <w:qFormat/>
    <w:rsid w:val="009C2128"/>
    <w:pPr>
      <w:keepNext/>
      <w:tabs>
        <w:tab w:val="left" w:pos="900"/>
      </w:tabs>
      <w:outlineLvl w:val="1"/>
    </w:pPr>
    <w:rPr>
      <w:rFonts w:ascii="Palatino Linotype" w:hAnsi="Palatino Linotype"/>
      <w:b/>
      <w:sz w:val="24"/>
    </w:rPr>
  </w:style>
  <w:style w:type="paragraph" w:styleId="Heading6">
    <w:name w:val="heading 6"/>
    <w:basedOn w:val="Normal"/>
    <w:next w:val="Normal"/>
    <w:link w:val="Heading6Char"/>
    <w:uiPriority w:val="9"/>
    <w:semiHidden/>
    <w:unhideWhenUsed/>
    <w:qFormat/>
    <w:rsid w:val="000442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C2128"/>
    <w:rPr>
      <w:rFonts w:ascii="Palatino Linotype" w:hAnsi="Palatino Linotype" w:cs="Times New Roman"/>
      <w:b/>
      <w:sz w:val="20"/>
    </w:rPr>
  </w:style>
  <w:style w:type="paragraph" w:styleId="BlockText">
    <w:name w:val="Block Text"/>
    <w:basedOn w:val="Normal"/>
    <w:uiPriority w:val="99"/>
    <w:rsid w:val="009C2128"/>
    <w:pPr>
      <w:overflowPunct w:val="0"/>
      <w:autoSpaceDE w:val="0"/>
      <w:autoSpaceDN w:val="0"/>
      <w:adjustRightInd w:val="0"/>
      <w:ind w:left="720" w:right="720"/>
      <w:jc w:val="both"/>
      <w:textAlignment w:val="baseline"/>
    </w:pPr>
    <w:rPr>
      <w:rFonts w:ascii="Palatino" w:hAnsi="Palatino"/>
      <w:sz w:val="24"/>
    </w:rPr>
  </w:style>
  <w:style w:type="paragraph" w:styleId="BodyText">
    <w:name w:val="Body Text"/>
    <w:basedOn w:val="Normal"/>
    <w:link w:val="BodyTextChar"/>
    <w:uiPriority w:val="99"/>
    <w:rsid w:val="009C2128"/>
    <w:pPr>
      <w:overflowPunct w:val="0"/>
      <w:autoSpaceDE w:val="0"/>
      <w:autoSpaceDN w:val="0"/>
      <w:adjustRightInd w:val="0"/>
      <w:textAlignment w:val="baseline"/>
    </w:pPr>
    <w:rPr>
      <w:sz w:val="24"/>
    </w:rPr>
  </w:style>
  <w:style w:type="character" w:customStyle="1" w:styleId="BodyTextChar">
    <w:name w:val="Body Text Char"/>
    <w:basedOn w:val="DefaultParagraphFont"/>
    <w:link w:val="BodyText"/>
    <w:uiPriority w:val="99"/>
    <w:rsid w:val="009C2128"/>
    <w:rPr>
      <w:rFonts w:ascii="Times New Roman" w:hAnsi="Times New Roman" w:cs="Times New Roman"/>
      <w:sz w:val="20"/>
    </w:rPr>
  </w:style>
  <w:style w:type="character" w:styleId="Hyperlink">
    <w:name w:val="Hyperlink"/>
    <w:basedOn w:val="DefaultParagraphFont"/>
    <w:uiPriority w:val="99"/>
    <w:rsid w:val="00F7057E"/>
    <w:rPr>
      <w:rFonts w:cs="Times New Roman"/>
      <w:color w:val="0000FF"/>
      <w:u w:val="single"/>
    </w:rPr>
  </w:style>
  <w:style w:type="paragraph" w:styleId="FootnoteText">
    <w:name w:val="footnote text"/>
    <w:basedOn w:val="Normal"/>
    <w:link w:val="FootnoteTextChar"/>
    <w:uiPriority w:val="99"/>
    <w:semiHidden/>
    <w:rsid w:val="00763E51"/>
  </w:style>
  <w:style w:type="character" w:customStyle="1" w:styleId="FootnoteTextChar">
    <w:name w:val="Footnote Text Char"/>
    <w:basedOn w:val="DefaultParagraphFont"/>
    <w:link w:val="FootnoteText"/>
    <w:uiPriority w:val="99"/>
    <w:semiHidden/>
    <w:rsid w:val="00763E51"/>
    <w:rPr>
      <w:rFonts w:ascii="Times New Roman" w:hAnsi="Times New Roman" w:cs="Times New Roman"/>
      <w:sz w:val="20"/>
    </w:rPr>
  </w:style>
  <w:style w:type="character" w:styleId="FootnoteReference">
    <w:name w:val="footnote reference"/>
    <w:basedOn w:val="DefaultParagraphFont"/>
    <w:uiPriority w:val="99"/>
    <w:semiHidden/>
    <w:rsid w:val="00763E51"/>
    <w:rPr>
      <w:rFonts w:cs="Times New Roman"/>
      <w:vertAlign w:val="superscript"/>
    </w:rPr>
  </w:style>
  <w:style w:type="paragraph" w:styleId="Header">
    <w:name w:val="header"/>
    <w:basedOn w:val="Normal"/>
    <w:link w:val="HeaderChar"/>
    <w:uiPriority w:val="99"/>
    <w:rsid w:val="00763E51"/>
    <w:pPr>
      <w:tabs>
        <w:tab w:val="center" w:pos="4680"/>
        <w:tab w:val="right" w:pos="9360"/>
      </w:tabs>
    </w:pPr>
  </w:style>
  <w:style w:type="character" w:customStyle="1" w:styleId="HeaderChar">
    <w:name w:val="Header Char"/>
    <w:basedOn w:val="DefaultParagraphFont"/>
    <w:link w:val="Header"/>
    <w:uiPriority w:val="99"/>
    <w:rsid w:val="00763E51"/>
    <w:rPr>
      <w:rFonts w:ascii="Times New Roman" w:hAnsi="Times New Roman" w:cs="Times New Roman"/>
      <w:sz w:val="20"/>
    </w:rPr>
  </w:style>
  <w:style w:type="paragraph" w:styleId="Footer">
    <w:name w:val="footer"/>
    <w:basedOn w:val="Normal"/>
    <w:link w:val="FooterChar"/>
    <w:uiPriority w:val="99"/>
    <w:semiHidden/>
    <w:rsid w:val="00763E51"/>
    <w:pPr>
      <w:tabs>
        <w:tab w:val="center" w:pos="4680"/>
        <w:tab w:val="right" w:pos="9360"/>
      </w:tabs>
    </w:pPr>
  </w:style>
  <w:style w:type="character" w:customStyle="1" w:styleId="FooterChar">
    <w:name w:val="Footer Char"/>
    <w:basedOn w:val="DefaultParagraphFont"/>
    <w:link w:val="Footer"/>
    <w:uiPriority w:val="99"/>
    <w:rsid w:val="00763E51"/>
    <w:rPr>
      <w:rFonts w:ascii="Times New Roman" w:hAnsi="Times New Roman" w:cs="Times New Roman"/>
      <w:sz w:val="20"/>
    </w:rPr>
  </w:style>
  <w:style w:type="paragraph" w:styleId="ListParagraph">
    <w:name w:val="List Paragraph"/>
    <w:basedOn w:val="Normal"/>
    <w:uiPriority w:val="99"/>
    <w:qFormat/>
    <w:rsid w:val="001570CB"/>
    <w:pPr>
      <w:ind w:left="720"/>
      <w:contextualSpacing/>
    </w:pPr>
  </w:style>
  <w:style w:type="paragraph" w:styleId="BalloonText">
    <w:name w:val="Balloon Text"/>
    <w:basedOn w:val="Normal"/>
    <w:link w:val="BalloonTextChar"/>
    <w:uiPriority w:val="99"/>
    <w:semiHidden/>
    <w:rsid w:val="00EA3590"/>
    <w:rPr>
      <w:rFonts w:ascii="Tahoma" w:hAnsi="Tahoma" w:cs="Tahoma"/>
      <w:sz w:val="16"/>
      <w:szCs w:val="16"/>
    </w:rPr>
  </w:style>
  <w:style w:type="character" w:customStyle="1" w:styleId="BalloonTextChar">
    <w:name w:val="Balloon Text Char"/>
    <w:basedOn w:val="DefaultParagraphFont"/>
    <w:link w:val="BalloonText"/>
    <w:uiPriority w:val="99"/>
    <w:semiHidden/>
    <w:rsid w:val="00EA3590"/>
    <w:rPr>
      <w:rFonts w:ascii="Tahoma" w:hAnsi="Tahoma" w:cs="Tahoma"/>
      <w:sz w:val="16"/>
    </w:rPr>
  </w:style>
  <w:style w:type="character" w:styleId="CommentReference">
    <w:name w:val="annotation reference"/>
    <w:basedOn w:val="DefaultParagraphFont"/>
    <w:uiPriority w:val="99"/>
    <w:semiHidden/>
    <w:rsid w:val="00760835"/>
    <w:rPr>
      <w:rFonts w:cs="Times New Roman"/>
      <w:sz w:val="18"/>
    </w:rPr>
  </w:style>
  <w:style w:type="paragraph" w:styleId="CommentText">
    <w:name w:val="annotation text"/>
    <w:basedOn w:val="Normal"/>
    <w:link w:val="CommentTextChar"/>
    <w:uiPriority w:val="99"/>
    <w:semiHidden/>
    <w:rsid w:val="00760835"/>
    <w:rPr>
      <w:sz w:val="24"/>
      <w:szCs w:val="24"/>
    </w:rPr>
  </w:style>
  <w:style w:type="character" w:customStyle="1" w:styleId="CommentTextChar">
    <w:name w:val="Comment Text Char"/>
    <w:basedOn w:val="DefaultParagraphFont"/>
    <w:link w:val="CommentText"/>
    <w:uiPriority w:val="99"/>
    <w:semiHidden/>
    <w:rsid w:val="0095443D"/>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rsid w:val="00760835"/>
    <w:rPr>
      <w:sz w:val="20"/>
      <w:szCs w:val="20"/>
    </w:rPr>
  </w:style>
  <w:style w:type="character" w:customStyle="1" w:styleId="CommentSubjectChar">
    <w:name w:val="Comment Subject Char"/>
    <w:basedOn w:val="CommentTextChar"/>
    <w:link w:val="CommentSubject"/>
    <w:uiPriority w:val="99"/>
    <w:semiHidden/>
    <w:rsid w:val="0095443D"/>
    <w:rPr>
      <w:rFonts w:ascii="Times New Roman" w:eastAsia="Times New Roman" w:hAnsi="Times New Roman"/>
      <w:b/>
      <w:bCs/>
      <w:sz w:val="24"/>
      <w:szCs w:val="24"/>
    </w:rPr>
  </w:style>
  <w:style w:type="character" w:styleId="LineNumber">
    <w:name w:val="line number"/>
    <w:basedOn w:val="DefaultParagraphFont"/>
    <w:uiPriority w:val="99"/>
    <w:semiHidden/>
    <w:unhideWhenUsed/>
    <w:rsid w:val="00CE2AE3"/>
  </w:style>
  <w:style w:type="character" w:customStyle="1" w:styleId="Heading6Char">
    <w:name w:val="Heading 6 Char"/>
    <w:basedOn w:val="DefaultParagraphFont"/>
    <w:link w:val="Heading6"/>
    <w:uiPriority w:val="9"/>
    <w:semiHidden/>
    <w:rsid w:val="0004423C"/>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28"/>
    <w:rPr>
      <w:rFonts w:ascii="Times New Roman" w:eastAsia="Times New Roman" w:hAnsi="Times New Roman"/>
    </w:rPr>
  </w:style>
  <w:style w:type="paragraph" w:styleId="Heading2">
    <w:name w:val="heading 2"/>
    <w:basedOn w:val="Normal"/>
    <w:next w:val="Normal"/>
    <w:link w:val="Heading2Char"/>
    <w:uiPriority w:val="99"/>
    <w:qFormat/>
    <w:rsid w:val="009C2128"/>
    <w:pPr>
      <w:keepNext/>
      <w:tabs>
        <w:tab w:val="left" w:pos="900"/>
      </w:tabs>
      <w:outlineLvl w:val="1"/>
    </w:pPr>
    <w:rPr>
      <w:rFonts w:ascii="Palatino Linotype" w:hAnsi="Palatino Linotype"/>
      <w:b/>
      <w:sz w:val="24"/>
    </w:rPr>
  </w:style>
  <w:style w:type="paragraph" w:styleId="Heading6">
    <w:name w:val="heading 6"/>
    <w:basedOn w:val="Normal"/>
    <w:next w:val="Normal"/>
    <w:link w:val="Heading6Char"/>
    <w:uiPriority w:val="9"/>
    <w:semiHidden/>
    <w:unhideWhenUsed/>
    <w:qFormat/>
    <w:rsid w:val="000442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C2128"/>
    <w:rPr>
      <w:rFonts w:ascii="Palatino Linotype" w:hAnsi="Palatino Linotype" w:cs="Times New Roman"/>
      <w:b/>
      <w:sz w:val="20"/>
    </w:rPr>
  </w:style>
  <w:style w:type="paragraph" w:styleId="BlockText">
    <w:name w:val="Block Text"/>
    <w:basedOn w:val="Normal"/>
    <w:uiPriority w:val="99"/>
    <w:rsid w:val="009C2128"/>
    <w:pPr>
      <w:overflowPunct w:val="0"/>
      <w:autoSpaceDE w:val="0"/>
      <w:autoSpaceDN w:val="0"/>
      <w:adjustRightInd w:val="0"/>
      <w:ind w:left="720" w:right="720"/>
      <w:jc w:val="both"/>
      <w:textAlignment w:val="baseline"/>
    </w:pPr>
    <w:rPr>
      <w:rFonts w:ascii="Palatino" w:hAnsi="Palatino"/>
      <w:sz w:val="24"/>
    </w:rPr>
  </w:style>
  <w:style w:type="paragraph" w:styleId="BodyText">
    <w:name w:val="Body Text"/>
    <w:basedOn w:val="Normal"/>
    <w:link w:val="BodyTextChar"/>
    <w:uiPriority w:val="99"/>
    <w:rsid w:val="009C2128"/>
    <w:pPr>
      <w:overflowPunct w:val="0"/>
      <w:autoSpaceDE w:val="0"/>
      <w:autoSpaceDN w:val="0"/>
      <w:adjustRightInd w:val="0"/>
      <w:textAlignment w:val="baseline"/>
    </w:pPr>
    <w:rPr>
      <w:sz w:val="24"/>
    </w:rPr>
  </w:style>
  <w:style w:type="character" w:customStyle="1" w:styleId="BodyTextChar">
    <w:name w:val="Body Text Char"/>
    <w:basedOn w:val="DefaultParagraphFont"/>
    <w:link w:val="BodyText"/>
    <w:uiPriority w:val="99"/>
    <w:rsid w:val="009C2128"/>
    <w:rPr>
      <w:rFonts w:ascii="Times New Roman" w:hAnsi="Times New Roman" w:cs="Times New Roman"/>
      <w:sz w:val="20"/>
    </w:rPr>
  </w:style>
  <w:style w:type="character" w:styleId="Hyperlink">
    <w:name w:val="Hyperlink"/>
    <w:basedOn w:val="DefaultParagraphFont"/>
    <w:uiPriority w:val="99"/>
    <w:rsid w:val="00F7057E"/>
    <w:rPr>
      <w:rFonts w:cs="Times New Roman"/>
      <w:color w:val="0000FF"/>
      <w:u w:val="single"/>
    </w:rPr>
  </w:style>
  <w:style w:type="paragraph" w:styleId="FootnoteText">
    <w:name w:val="footnote text"/>
    <w:basedOn w:val="Normal"/>
    <w:link w:val="FootnoteTextChar"/>
    <w:uiPriority w:val="99"/>
    <w:semiHidden/>
    <w:rsid w:val="00763E51"/>
  </w:style>
  <w:style w:type="character" w:customStyle="1" w:styleId="FootnoteTextChar">
    <w:name w:val="Footnote Text Char"/>
    <w:basedOn w:val="DefaultParagraphFont"/>
    <w:link w:val="FootnoteText"/>
    <w:uiPriority w:val="99"/>
    <w:semiHidden/>
    <w:rsid w:val="00763E51"/>
    <w:rPr>
      <w:rFonts w:ascii="Times New Roman" w:hAnsi="Times New Roman" w:cs="Times New Roman"/>
      <w:sz w:val="20"/>
    </w:rPr>
  </w:style>
  <w:style w:type="character" w:styleId="FootnoteReference">
    <w:name w:val="footnote reference"/>
    <w:basedOn w:val="DefaultParagraphFont"/>
    <w:uiPriority w:val="99"/>
    <w:semiHidden/>
    <w:rsid w:val="00763E51"/>
    <w:rPr>
      <w:rFonts w:cs="Times New Roman"/>
      <w:vertAlign w:val="superscript"/>
    </w:rPr>
  </w:style>
  <w:style w:type="paragraph" w:styleId="Header">
    <w:name w:val="header"/>
    <w:basedOn w:val="Normal"/>
    <w:link w:val="HeaderChar"/>
    <w:uiPriority w:val="99"/>
    <w:rsid w:val="00763E51"/>
    <w:pPr>
      <w:tabs>
        <w:tab w:val="center" w:pos="4680"/>
        <w:tab w:val="right" w:pos="9360"/>
      </w:tabs>
    </w:pPr>
  </w:style>
  <w:style w:type="character" w:customStyle="1" w:styleId="HeaderChar">
    <w:name w:val="Header Char"/>
    <w:basedOn w:val="DefaultParagraphFont"/>
    <w:link w:val="Header"/>
    <w:uiPriority w:val="99"/>
    <w:rsid w:val="00763E51"/>
    <w:rPr>
      <w:rFonts w:ascii="Times New Roman" w:hAnsi="Times New Roman" w:cs="Times New Roman"/>
      <w:sz w:val="20"/>
    </w:rPr>
  </w:style>
  <w:style w:type="paragraph" w:styleId="Footer">
    <w:name w:val="footer"/>
    <w:basedOn w:val="Normal"/>
    <w:link w:val="FooterChar"/>
    <w:uiPriority w:val="99"/>
    <w:semiHidden/>
    <w:rsid w:val="00763E51"/>
    <w:pPr>
      <w:tabs>
        <w:tab w:val="center" w:pos="4680"/>
        <w:tab w:val="right" w:pos="9360"/>
      </w:tabs>
    </w:pPr>
  </w:style>
  <w:style w:type="character" w:customStyle="1" w:styleId="FooterChar">
    <w:name w:val="Footer Char"/>
    <w:basedOn w:val="DefaultParagraphFont"/>
    <w:link w:val="Footer"/>
    <w:uiPriority w:val="99"/>
    <w:rsid w:val="00763E51"/>
    <w:rPr>
      <w:rFonts w:ascii="Times New Roman" w:hAnsi="Times New Roman" w:cs="Times New Roman"/>
      <w:sz w:val="20"/>
    </w:rPr>
  </w:style>
  <w:style w:type="paragraph" w:styleId="ListParagraph">
    <w:name w:val="List Paragraph"/>
    <w:basedOn w:val="Normal"/>
    <w:uiPriority w:val="99"/>
    <w:qFormat/>
    <w:rsid w:val="001570CB"/>
    <w:pPr>
      <w:ind w:left="720"/>
      <w:contextualSpacing/>
    </w:pPr>
  </w:style>
  <w:style w:type="paragraph" w:styleId="BalloonText">
    <w:name w:val="Balloon Text"/>
    <w:basedOn w:val="Normal"/>
    <w:link w:val="BalloonTextChar"/>
    <w:uiPriority w:val="99"/>
    <w:semiHidden/>
    <w:rsid w:val="00EA3590"/>
    <w:rPr>
      <w:rFonts w:ascii="Tahoma" w:hAnsi="Tahoma" w:cs="Tahoma"/>
      <w:sz w:val="16"/>
      <w:szCs w:val="16"/>
    </w:rPr>
  </w:style>
  <w:style w:type="character" w:customStyle="1" w:styleId="BalloonTextChar">
    <w:name w:val="Balloon Text Char"/>
    <w:basedOn w:val="DefaultParagraphFont"/>
    <w:link w:val="BalloonText"/>
    <w:uiPriority w:val="99"/>
    <w:semiHidden/>
    <w:rsid w:val="00EA3590"/>
    <w:rPr>
      <w:rFonts w:ascii="Tahoma" w:hAnsi="Tahoma" w:cs="Tahoma"/>
      <w:sz w:val="16"/>
    </w:rPr>
  </w:style>
  <w:style w:type="character" w:styleId="CommentReference">
    <w:name w:val="annotation reference"/>
    <w:basedOn w:val="DefaultParagraphFont"/>
    <w:uiPriority w:val="99"/>
    <w:semiHidden/>
    <w:rsid w:val="00760835"/>
    <w:rPr>
      <w:rFonts w:cs="Times New Roman"/>
      <w:sz w:val="18"/>
    </w:rPr>
  </w:style>
  <w:style w:type="paragraph" w:styleId="CommentText">
    <w:name w:val="annotation text"/>
    <w:basedOn w:val="Normal"/>
    <w:link w:val="CommentTextChar"/>
    <w:uiPriority w:val="99"/>
    <w:semiHidden/>
    <w:rsid w:val="00760835"/>
    <w:rPr>
      <w:sz w:val="24"/>
      <w:szCs w:val="24"/>
    </w:rPr>
  </w:style>
  <w:style w:type="character" w:customStyle="1" w:styleId="CommentTextChar">
    <w:name w:val="Comment Text Char"/>
    <w:basedOn w:val="DefaultParagraphFont"/>
    <w:link w:val="CommentText"/>
    <w:uiPriority w:val="99"/>
    <w:semiHidden/>
    <w:rsid w:val="0095443D"/>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rsid w:val="00760835"/>
    <w:rPr>
      <w:sz w:val="20"/>
      <w:szCs w:val="20"/>
    </w:rPr>
  </w:style>
  <w:style w:type="character" w:customStyle="1" w:styleId="CommentSubjectChar">
    <w:name w:val="Comment Subject Char"/>
    <w:basedOn w:val="CommentTextChar"/>
    <w:link w:val="CommentSubject"/>
    <w:uiPriority w:val="99"/>
    <w:semiHidden/>
    <w:rsid w:val="0095443D"/>
    <w:rPr>
      <w:rFonts w:ascii="Times New Roman" w:eastAsia="Times New Roman" w:hAnsi="Times New Roman"/>
      <w:b/>
      <w:bCs/>
      <w:sz w:val="24"/>
      <w:szCs w:val="24"/>
    </w:rPr>
  </w:style>
  <w:style w:type="character" w:styleId="LineNumber">
    <w:name w:val="line number"/>
    <w:basedOn w:val="DefaultParagraphFont"/>
    <w:uiPriority w:val="99"/>
    <w:semiHidden/>
    <w:unhideWhenUsed/>
    <w:rsid w:val="00CE2AE3"/>
  </w:style>
  <w:style w:type="character" w:customStyle="1" w:styleId="Heading6Char">
    <w:name w:val="Heading 6 Char"/>
    <w:basedOn w:val="DefaultParagraphFont"/>
    <w:link w:val="Heading6"/>
    <w:uiPriority w:val="9"/>
    <w:semiHidden/>
    <w:rsid w:val="0004423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7070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puc.ca.gov/" TargetMode="External"/><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cpuc.ca.go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1626</Words>
  <Characters>9455</Characters>
  <Application>Microsoft Office Word</Application>
  <DocSecurity>0</DocSecurity>
  <Lines>240</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11206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2014-08-18T17:35:00Z</dcterms:created>
  <dcterms:modified xsi:type="dcterms:W3CDTF">2014-08-18T17:35:00Z</dcterms:modified>
  <cp:category> </cp:category>
  <cp:contentStatus> </cp:contentStatus>
</cp:coreProperties>
</file>