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34A" w:rsidRDefault="00E8334A">
      <w:pPr>
        <w:tabs>
          <w:tab w:val="left" w:pos="4425"/>
          <w:tab w:val="center" w:pos="4680"/>
          <w:tab w:val="right" w:pos="9360"/>
        </w:tabs>
        <w:rPr>
          <w:rFonts w:ascii="Palatino" w:hAnsi="Palatino"/>
          <w:noProof/>
          <w:sz w:val="24"/>
        </w:rPr>
      </w:pPr>
      <w:bookmarkStart w:id="0" w:name="_GoBack"/>
      <w:bookmarkEnd w:id="0"/>
      <w:r>
        <w:rPr>
          <w:rFonts w:ascii="Palatino" w:hAnsi="Palatino"/>
          <w:noProof/>
          <w:sz w:val="24"/>
        </w:rPr>
        <w:tab/>
        <w:t xml:space="preserve">    </w:t>
      </w:r>
    </w:p>
    <w:p w:rsidR="00E8334A" w:rsidRDefault="00E8334A">
      <w:pPr>
        <w:jc w:val="center"/>
        <w:rPr>
          <w:rFonts w:ascii="Palatino" w:hAnsi="Palatino"/>
          <w:sz w:val="24"/>
        </w:rPr>
      </w:pPr>
    </w:p>
    <w:p w:rsidR="00E8334A" w:rsidRPr="009B1844" w:rsidRDefault="00E8334A">
      <w:pPr>
        <w:jc w:val="center"/>
        <w:rPr>
          <w:b/>
          <w:sz w:val="24"/>
          <w:szCs w:val="24"/>
        </w:rPr>
      </w:pPr>
      <w:r w:rsidRPr="009B1844">
        <w:rPr>
          <w:b/>
          <w:sz w:val="24"/>
          <w:szCs w:val="24"/>
        </w:rPr>
        <w:t>PUBLIC UTILITIES COMMISSION OF THE STATE OF CALIFORNIA</w:t>
      </w:r>
    </w:p>
    <w:p w:rsidR="00E8334A" w:rsidRPr="009B1844" w:rsidRDefault="00E8334A">
      <w:pPr>
        <w:rPr>
          <w:sz w:val="24"/>
          <w:szCs w:val="24"/>
        </w:rPr>
      </w:pPr>
    </w:p>
    <w:tbl>
      <w:tblPr>
        <w:tblW w:w="9588" w:type="dxa"/>
        <w:tblLayout w:type="fixed"/>
        <w:tblLook w:val="0000" w:firstRow="0" w:lastRow="0" w:firstColumn="0" w:lastColumn="0" w:noHBand="0" w:noVBand="0"/>
      </w:tblPr>
      <w:tblGrid>
        <w:gridCol w:w="5988"/>
        <w:gridCol w:w="3600"/>
      </w:tblGrid>
      <w:tr w:rsidR="00E8334A" w:rsidRPr="009B1844">
        <w:tc>
          <w:tcPr>
            <w:tcW w:w="5988" w:type="dxa"/>
          </w:tcPr>
          <w:p w:rsidR="00E8334A" w:rsidRPr="009B1844" w:rsidRDefault="00E8334A">
            <w:pPr>
              <w:rPr>
                <w:b/>
                <w:sz w:val="24"/>
                <w:szCs w:val="24"/>
              </w:rPr>
            </w:pPr>
            <w:r w:rsidRPr="009B1844">
              <w:rPr>
                <w:b/>
                <w:sz w:val="24"/>
                <w:szCs w:val="24"/>
              </w:rPr>
              <w:t>Communications Division</w:t>
            </w:r>
          </w:p>
        </w:tc>
        <w:tc>
          <w:tcPr>
            <w:tcW w:w="3600" w:type="dxa"/>
          </w:tcPr>
          <w:p w:rsidR="00E8334A" w:rsidRPr="009B1844" w:rsidRDefault="00E8334A" w:rsidP="000D1730">
            <w:pPr>
              <w:jc w:val="right"/>
              <w:rPr>
                <w:b/>
                <w:sz w:val="24"/>
                <w:szCs w:val="24"/>
              </w:rPr>
            </w:pPr>
            <w:r w:rsidRPr="009B1844">
              <w:rPr>
                <w:b/>
                <w:sz w:val="24"/>
                <w:szCs w:val="24"/>
              </w:rPr>
              <w:t>RESOLUTION T-</w:t>
            </w:r>
            <w:r w:rsidR="00B758DC" w:rsidRPr="009B1844">
              <w:rPr>
                <w:b/>
                <w:sz w:val="24"/>
                <w:szCs w:val="24"/>
              </w:rPr>
              <w:t>17</w:t>
            </w:r>
            <w:r w:rsidR="008F5191" w:rsidRPr="009B1844">
              <w:rPr>
                <w:b/>
                <w:sz w:val="24"/>
                <w:szCs w:val="24"/>
              </w:rPr>
              <w:t>4</w:t>
            </w:r>
            <w:r w:rsidR="000D1730">
              <w:rPr>
                <w:b/>
                <w:sz w:val="24"/>
                <w:szCs w:val="24"/>
              </w:rPr>
              <w:t>57</w:t>
            </w:r>
          </w:p>
        </w:tc>
      </w:tr>
      <w:tr w:rsidR="00E8334A" w:rsidRPr="009B1844">
        <w:tc>
          <w:tcPr>
            <w:tcW w:w="5988" w:type="dxa"/>
          </w:tcPr>
          <w:p w:rsidR="00E8334A" w:rsidRPr="009B1844" w:rsidRDefault="008F5191">
            <w:pPr>
              <w:rPr>
                <w:b/>
                <w:sz w:val="24"/>
                <w:szCs w:val="24"/>
              </w:rPr>
            </w:pPr>
            <w:r w:rsidRPr="009B1844">
              <w:rPr>
                <w:b/>
                <w:sz w:val="24"/>
                <w:szCs w:val="24"/>
              </w:rPr>
              <w:t>Broadband, Policy &amp; Analysis</w:t>
            </w:r>
            <w:r w:rsidR="00E8334A" w:rsidRPr="009B1844">
              <w:rPr>
                <w:b/>
                <w:sz w:val="24"/>
                <w:szCs w:val="24"/>
              </w:rPr>
              <w:t xml:space="preserve"> Branch  </w:t>
            </w:r>
          </w:p>
        </w:tc>
        <w:tc>
          <w:tcPr>
            <w:tcW w:w="3600" w:type="dxa"/>
          </w:tcPr>
          <w:p w:rsidR="00E8334A" w:rsidRPr="009B1844" w:rsidRDefault="000D1730" w:rsidP="00F87C3B">
            <w:pPr>
              <w:jc w:val="right"/>
              <w:rPr>
                <w:b/>
                <w:sz w:val="24"/>
                <w:szCs w:val="24"/>
              </w:rPr>
            </w:pPr>
            <w:r>
              <w:rPr>
                <w:b/>
                <w:sz w:val="24"/>
                <w:szCs w:val="24"/>
              </w:rPr>
              <w:t>November 6</w:t>
            </w:r>
            <w:r w:rsidR="00E8334A" w:rsidRPr="009B1844">
              <w:rPr>
                <w:b/>
                <w:sz w:val="24"/>
                <w:szCs w:val="24"/>
              </w:rPr>
              <w:t>, 201</w:t>
            </w:r>
            <w:r>
              <w:rPr>
                <w:b/>
                <w:sz w:val="24"/>
                <w:szCs w:val="24"/>
              </w:rPr>
              <w:t>4</w:t>
            </w:r>
          </w:p>
        </w:tc>
      </w:tr>
    </w:tbl>
    <w:p w:rsidR="00E8334A" w:rsidRPr="009B1844" w:rsidRDefault="00E8334A">
      <w:pPr>
        <w:rPr>
          <w:sz w:val="24"/>
          <w:szCs w:val="24"/>
        </w:rPr>
      </w:pPr>
    </w:p>
    <w:p w:rsidR="00E8334A" w:rsidRPr="009B1844" w:rsidRDefault="00E8334A">
      <w:pPr>
        <w:jc w:val="center"/>
        <w:rPr>
          <w:sz w:val="24"/>
          <w:szCs w:val="24"/>
        </w:rPr>
      </w:pPr>
      <w:r w:rsidRPr="009B1844">
        <w:rPr>
          <w:b/>
          <w:sz w:val="24"/>
          <w:szCs w:val="24"/>
          <w:u w:val="single"/>
        </w:rPr>
        <w:t>R</w:t>
      </w:r>
      <w:r w:rsidRPr="009B1844">
        <w:rPr>
          <w:sz w:val="24"/>
          <w:szCs w:val="24"/>
        </w:rPr>
        <w:t xml:space="preserve"> </w:t>
      </w:r>
      <w:r w:rsidRPr="009B1844">
        <w:rPr>
          <w:b/>
          <w:sz w:val="24"/>
          <w:szCs w:val="24"/>
          <w:u w:val="single"/>
        </w:rPr>
        <w:t>E</w:t>
      </w:r>
      <w:r w:rsidRPr="009B1844">
        <w:rPr>
          <w:sz w:val="24"/>
          <w:szCs w:val="24"/>
        </w:rPr>
        <w:t xml:space="preserve"> </w:t>
      </w:r>
      <w:r w:rsidRPr="009B1844">
        <w:rPr>
          <w:b/>
          <w:sz w:val="24"/>
          <w:szCs w:val="24"/>
          <w:u w:val="single"/>
        </w:rPr>
        <w:t>S</w:t>
      </w:r>
      <w:r w:rsidRPr="009B1844">
        <w:rPr>
          <w:sz w:val="24"/>
          <w:szCs w:val="24"/>
        </w:rPr>
        <w:t xml:space="preserve"> </w:t>
      </w:r>
      <w:r w:rsidRPr="009B1844">
        <w:rPr>
          <w:b/>
          <w:sz w:val="24"/>
          <w:szCs w:val="24"/>
          <w:u w:val="single"/>
        </w:rPr>
        <w:t>O</w:t>
      </w:r>
      <w:r w:rsidRPr="009B1844">
        <w:rPr>
          <w:sz w:val="24"/>
          <w:szCs w:val="24"/>
        </w:rPr>
        <w:t xml:space="preserve"> </w:t>
      </w:r>
      <w:r w:rsidRPr="009B1844">
        <w:rPr>
          <w:b/>
          <w:sz w:val="24"/>
          <w:szCs w:val="24"/>
          <w:u w:val="single"/>
        </w:rPr>
        <w:t>L</w:t>
      </w:r>
      <w:r w:rsidRPr="009B1844">
        <w:rPr>
          <w:sz w:val="24"/>
          <w:szCs w:val="24"/>
        </w:rPr>
        <w:t xml:space="preserve"> </w:t>
      </w:r>
      <w:r w:rsidRPr="009B1844">
        <w:rPr>
          <w:b/>
          <w:sz w:val="24"/>
          <w:szCs w:val="24"/>
          <w:u w:val="single"/>
        </w:rPr>
        <w:t>U</w:t>
      </w:r>
      <w:r w:rsidRPr="009B1844">
        <w:rPr>
          <w:sz w:val="24"/>
          <w:szCs w:val="24"/>
        </w:rPr>
        <w:t xml:space="preserve"> </w:t>
      </w:r>
      <w:r w:rsidRPr="009B1844">
        <w:rPr>
          <w:b/>
          <w:sz w:val="24"/>
          <w:szCs w:val="24"/>
          <w:u w:val="single"/>
        </w:rPr>
        <w:t>T</w:t>
      </w:r>
      <w:r w:rsidRPr="009B1844">
        <w:rPr>
          <w:sz w:val="24"/>
          <w:szCs w:val="24"/>
        </w:rPr>
        <w:t xml:space="preserve"> </w:t>
      </w:r>
      <w:r w:rsidRPr="009B1844">
        <w:rPr>
          <w:b/>
          <w:sz w:val="24"/>
          <w:szCs w:val="24"/>
          <w:u w:val="single"/>
        </w:rPr>
        <w:t>I</w:t>
      </w:r>
      <w:r w:rsidRPr="009B1844">
        <w:rPr>
          <w:sz w:val="24"/>
          <w:szCs w:val="24"/>
        </w:rPr>
        <w:t xml:space="preserve"> </w:t>
      </w:r>
      <w:r w:rsidRPr="009B1844">
        <w:rPr>
          <w:b/>
          <w:sz w:val="24"/>
          <w:szCs w:val="24"/>
          <w:u w:val="single"/>
        </w:rPr>
        <w:t>O</w:t>
      </w:r>
      <w:r w:rsidRPr="009B1844">
        <w:rPr>
          <w:sz w:val="24"/>
          <w:szCs w:val="24"/>
        </w:rPr>
        <w:t xml:space="preserve"> </w:t>
      </w:r>
      <w:r w:rsidRPr="009B1844">
        <w:rPr>
          <w:b/>
          <w:sz w:val="24"/>
          <w:szCs w:val="24"/>
          <w:u w:val="single"/>
        </w:rPr>
        <w:t>N</w:t>
      </w:r>
    </w:p>
    <w:p w:rsidR="00E8334A" w:rsidRPr="009B1844" w:rsidRDefault="00E8334A">
      <w:pPr>
        <w:rPr>
          <w:sz w:val="24"/>
          <w:szCs w:val="24"/>
        </w:rPr>
      </w:pPr>
    </w:p>
    <w:p w:rsidR="00E8334A" w:rsidRPr="009B1844" w:rsidRDefault="00E8334A">
      <w:pPr>
        <w:pStyle w:val="BlockText"/>
        <w:jc w:val="left"/>
        <w:rPr>
          <w:rFonts w:ascii="Times New Roman" w:hAnsi="Times New Roman"/>
          <w:b/>
          <w:bCs/>
          <w:szCs w:val="24"/>
        </w:rPr>
      </w:pPr>
      <w:r w:rsidRPr="009B1844">
        <w:rPr>
          <w:rFonts w:ascii="Times New Roman" w:hAnsi="Times New Roman"/>
          <w:b/>
          <w:bCs/>
          <w:szCs w:val="24"/>
        </w:rPr>
        <w:t>Resolution T-17</w:t>
      </w:r>
      <w:r w:rsidR="008F5191" w:rsidRPr="009B1844">
        <w:rPr>
          <w:rFonts w:ascii="Times New Roman" w:hAnsi="Times New Roman"/>
          <w:b/>
          <w:bCs/>
          <w:szCs w:val="24"/>
        </w:rPr>
        <w:t>4</w:t>
      </w:r>
      <w:r w:rsidR="000D1730">
        <w:rPr>
          <w:rFonts w:ascii="Times New Roman" w:hAnsi="Times New Roman"/>
          <w:b/>
          <w:bCs/>
          <w:szCs w:val="24"/>
        </w:rPr>
        <w:t>57</w:t>
      </w:r>
      <w:r w:rsidRPr="009B1844">
        <w:rPr>
          <w:rFonts w:ascii="Times New Roman" w:hAnsi="Times New Roman"/>
          <w:b/>
          <w:bCs/>
          <w:szCs w:val="24"/>
        </w:rPr>
        <w:t xml:space="preserve">.  Approval of the </w:t>
      </w:r>
      <w:bookmarkStart w:id="1" w:name="OLE_LINK1"/>
      <w:bookmarkStart w:id="2" w:name="OLE_LINK2"/>
      <w:r w:rsidRPr="009B1844">
        <w:rPr>
          <w:rFonts w:ascii="Times New Roman" w:hAnsi="Times New Roman"/>
          <w:b/>
          <w:bCs/>
          <w:szCs w:val="24"/>
        </w:rPr>
        <w:t>California Advanced Services Fund Ex</w:t>
      </w:r>
      <w:r w:rsidR="000D1730">
        <w:rPr>
          <w:rFonts w:ascii="Times New Roman" w:hAnsi="Times New Roman"/>
          <w:b/>
          <w:bCs/>
          <w:szCs w:val="24"/>
        </w:rPr>
        <w:t>pense Budget for Fiscal Year 2015-16</w:t>
      </w:r>
      <w:r w:rsidRPr="009B1844">
        <w:rPr>
          <w:rFonts w:ascii="Times New Roman" w:hAnsi="Times New Roman"/>
          <w:b/>
          <w:bCs/>
          <w:szCs w:val="24"/>
        </w:rPr>
        <w:t xml:space="preserve"> (July 1, </w:t>
      </w:r>
      <w:r w:rsidR="00067DC9" w:rsidRPr="009B1844">
        <w:rPr>
          <w:rFonts w:ascii="Times New Roman" w:hAnsi="Times New Roman"/>
          <w:b/>
          <w:bCs/>
          <w:szCs w:val="24"/>
        </w:rPr>
        <w:t>201</w:t>
      </w:r>
      <w:r w:rsidR="000D1730">
        <w:rPr>
          <w:rFonts w:ascii="Times New Roman" w:hAnsi="Times New Roman"/>
          <w:b/>
          <w:bCs/>
          <w:szCs w:val="24"/>
        </w:rPr>
        <w:t>5</w:t>
      </w:r>
      <w:r w:rsidR="00067DC9" w:rsidRPr="009B1844">
        <w:rPr>
          <w:rFonts w:ascii="Times New Roman" w:hAnsi="Times New Roman"/>
          <w:b/>
          <w:bCs/>
          <w:szCs w:val="24"/>
        </w:rPr>
        <w:t xml:space="preserve"> </w:t>
      </w:r>
      <w:r w:rsidRPr="009B1844">
        <w:rPr>
          <w:rFonts w:ascii="Times New Roman" w:hAnsi="Times New Roman"/>
          <w:b/>
          <w:bCs/>
          <w:szCs w:val="24"/>
        </w:rPr>
        <w:t xml:space="preserve">through June 30, </w:t>
      </w:r>
      <w:r w:rsidR="000D1730">
        <w:rPr>
          <w:rFonts w:ascii="Times New Roman" w:hAnsi="Times New Roman"/>
          <w:b/>
          <w:bCs/>
          <w:szCs w:val="24"/>
        </w:rPr>
        <w:t>2016</w:t>
      </w:r>
      <w:r w:rsidRPr="009B1844">
        <w:rPr>
          <w:rFonts w:ascii="Times New Roman" w:hAnsi="Times New Roman"/>
          <w:b/>
          <w:bCs/>
          <w:szCs w:val="24"/>
        </w:rPr>
        <w:t>) to Comply with the Requirements of Public Utilities Code Section 270.</w:t>
      </w:r>
    </w:p>
    <w:bookmarkEnd w:id="1"/>
    <w:bookmarkEnd w:id="2"/>
    <w:p w:rsidR="00E8334A" w:rsidRPr="009B1844" w:rsidRDefault="00E8334A">
      <w:pPr>
        <w:ind w:left="720" w:right="720"/>
        <w:rPr>
          <w:sz w:val="24"/>
          <w:szCs w:val="24"/>
        </w:rPr>
      </w:pPr>
      <w:r w:rsidRPr="009B1844">
        <w:rPr>
          <w:b/>
          <w:bCs/>
          <w:sz w:val="24"/>
          <w:szCs w:val="24"/>
        </w:rPr>
        <w:t>_</w:t>
      </w:r>
      <w:r w:rsidRPr="009B1844">
        <w:rPr>
          <w:sz w:val="24"/>
          <w:szCs w:val="24"/>
        </w:rPr>
        <w:t>____________________________________________________________</w:t>
      </w:r>
    </w:p>
    <w:p w:rsidR="00E8334A" w:rsidRPr="009B1844" w:rsidRDefault="00E8334A">
      <w:pPr>
        <w:pStyle w:val="xl41"/>
        <w:overflowPunct/>
        <w:autoSpaceDE/>
        <w:autoSpaceDN/>
        <w:adjustRightInd/>
        <w:spacing w:before="0" w:after="0"/>
        <w:textAlignment w:val="auto"/>
        <w:rPr>
          <w:rFonts w:ascii="Times New Roman" w:eastAsia="Times New Roman"/>
          <w:szCs w:val="24"/>
        </w:rPr>
      </w:pPr>
    </w:p>
    <w:p w:rsidR="00E8334A" w:rsidRPr="009B1844" w:rsidRDefault="00E8334A">
      <w:pPr>
        <w:pStyle w:val="Heading4"/>
        <w:rPr>
          <w:rFonts w:ascii="Times New Roman" w:hAnsi="Times New Roman"/>
          <w:sz w:val="24"/>
          <w:szCs w:val="24"/>
        </w:rPr>
      </w:pPr>
      <w:r w:rsidRPr="009B1844">
        <w:rPr>
          <w:rFonts w:ascii="Times New Roman" w:hAnsi="Times New Roman"/>
          <w:sz w:val="24"/>
          <w:szCs w:val="24"/>
        </w:rPr>
        <w:t>Summary</w:t>
      </w:r>
    </w:p>
    <w:p w:rsidR="00E8334A" w:rsidRPr="009B1844" w:rsidRDefault="00E8334A">
      <w:pPr>
        <w:rPr>
          <w:sz w:val="24"/>
          <w:szCs w:val="24"/>
        </w:rPr>
      </w:pPr>
    </w:p>
    <w:p w:rsidR="00E8334A" w:rsidRPr="009B1844" w:rsidRDefault="00E8334A" w:rsidP="008419AF">
      <w:pPr>
        <w:tabs>
          <w:tab w:val="left" w:pos="-1440"/>
          <w:tab w:val="left" w:pos="-720"/>
        </w:tabs>
        <w:suppressAutoHyphens/>
        <w:rPr>
          <w:sz w:val="24"/>
          <w:szCs w:val="24"/>
        </w:rPr>
      </w:pPr>
      <w:r w:rsidRPr="009B1844">
        <w:rPr>
          <w:sz w:val="24"/>
          <w:szCs w:val="24"/>
        </w:rPr>
        <w:t xml:space="preserve">This resolution adopts a California Advanced Services Fund (CASF) expense budget of </w:t>
      </w:r>
      <w:r w:rsidR="00B4266E" w:rsidRPr="00D873CF">
        <w:rPr>
          <w:sz w:val="24"/>
          <w:szCs w:val="24"/>
        </w:rPr>
        <w:t>$</w:t>
      </w:r>
      <w:r w:rsidR="000D1730" w:rsidRPr="00D873CF">
        <w:rPr>
          <w:sz w:val="24"/>
          <w:szCs w:val="24"/>
        </w:rPr>
        <w:t>97,</w:t>
      </w:r>
      <w:r w:rsidR="00903421">
        <w:rPr>
          <w:sz w:val="24"/>
          <w:szCs w:val="24"/>
        </w:rPr>
        <w:t>831,451</w:t>
      </w:r>
      <w:r w:rsidR="00101FCB" w:rsidRPr="009B1844">
        <w:rPr>
          <w:sz w:val="24"/>
          <w:szCs w:val="24"/>
        </w:rPr>
        <w:t xml:space="preserve"> </w:t>
      </w:r>
      <w:r w:rsidRPr="009B1844">
        <w:rPr>
          <w:sz w:val="24"/>
          <w:szCs w:val="24"/>
        </w:rPr>
        <w:t>for Fiscal Year (FY) 20</w:t>
      </w:r>
      <w:r w:rsidR="000D1730">
        <w:rPr>
          <w:sz w:val="24"/>
          <w:szCs w:val="24"/>
        </w:rPr>
        <w:t>15-16</w:t>
      </w:r>
      <w:r w:rsidRPr="009B1844">
        <w:rPr>
          <w:sz w:val="24"/>
          <w:szCs w:val="24"/>
        </w:rPr>
        <w:t xml:space="preserve">. </w:t>
      </w:r>
    </w:p>
    <w:p w:rsidR="00E8334A" w:rsidRPr="009B1844" w:rsidRDefault="00E8334A">
      <w:pPr>
        <w:rPr>
          <w:sz w:val="24"/>
          <w:szCs w:val="24"/>
        </w:rPr>
      </w:pPr>
    </w:p>
    <w:p w:rsidR="00E8334A" w:rsidRPr="009B1844" w:rsidRDefault="00E8334A">
      <w:pPr>
        <w:pStyle w:val="Heading4"/>
        <w:rPr>
          <w:rFonts w:ascii="Times New Roman" w:hAnsi="Times New Roman"/>
          <w:sz w:val="24"/>
          <w:szCs w:val="24"/>
        </w:rPr>
      </w:pPr>
      <w:r w:rsidRPr="009B1844">
        <w:rPr>
          <w:rFonts w:ascii="Times New Roman" w:hAnsi="Times New Roman"/>
          <w:sz w:val="24"/>
          <w:szCs w:val="24"/>
        </w:rPr>
        <w:t>Background</w:t>
      </w:r>
    </w:p>
    <w:p w:rsidR="00E8334A" w:rsidRPr="009B1844" w:rsidRDefault="00E8334A">
      <w:pPr>
        <w:rPr>
          <w:sz w:val="24"/>
          <w:szCs w:val="24"/>
        </w:rPr>
      </w:pPr>
    </w:p>
    <w:p w:rsidR="00E8334A" w:rsidRPr="009B1844" w:rsidRDefault="0052474F">
      <w:pPr>
        <w:tabs>
          <w:tab w:val="left" w:pos="-1440"/>
          <w:tab w:val="left" w:pos="-720"/>
        </w:tabs>
        <w:suppressAutoHyphens/>
        <w:rPr>
          <w:sz w:val="24"/>
          <w:szCs w:val="24"/>
        </w:rPr>
      </w:pPr>
      <w:r w:rsidRPr="0052474F">
        <w:rPr>
          <w:sz w:val="24"/>
          <w:szCs w:val="24"/>
        </w:rPr>
        <w:t>On December 20, 2007, the Californ</w:t>
      </w:r>
      <w:r w:rsidR="00F04DA5">
        <w:rPr>
          <w:sz w:val="24"/>
          <w:szCs w:val="24"/>
        </w:rPr>
        <w:t xml:space="preserve">ia Public Utilities Commission (CPUC or </w:t>
      </w:r>
      <w:r w:rsidRPr="0052474F">
        <w:rPr>
          <w:sz w:val="24"/>
          <w:szCs w:val="24"/>
        </w:rPr>
        <w:t>Commission) approved Decision (D.) 07-12-054</w:t>
      </w:r>
      <w:r>
        <w:rPr>
          <w:sz w:val="24"/>
          <w:szCs w:val="24"/>
        </w:rPr>
        <w:t>,</w:t>
      </w:r>
      <w:r w:rsidRPr="0052474F">
        <w:rPr>
          <w:sz w:val="24"/>
          <w:szCs w:val="24"/>
        </w:rPr>
        <w:t xml:space="preserve"> which established the California Advanced Services Fund (CASF) program to provide matching funds of up to 40% of the total project costs for the deployment of broadband infrastructure in unserved and u</w:t>
      </w:r>
      <w:r>
        <w:rPr>
          <w:sz w:val="24"/>
          <w:szCs w:val="24"/>
        </w:rPr>
        <w:t xml:space="preserve">nderserved areas in California.  The Commission allocated $100 million for the program </w:t>
      </w:r>
      <w:r w:rsidRPr="0052474F">
        <w:rPr>
          <w:sz w:val="24"/>
          <w:szCs w:val="24"/>
        </w:rPr>
        <w:t xml:space="preserve">funded by a </w:t>
      </w:r>
      <w:r>
        <w:rPr>
          <w:sz w:val="24"/>
          <w:szCs w:val="24"/>
        </w:rPr>
        <w:t>0</w:t>
      </w:r>
      <w:r w:rsidRPr="0052474F">
        <w:rPr>
          <w:sz w:val="24"/>
          <w:szCs w:val="24"/>
        </w:rPr>
        <w:t>.25% surcharge on revenues collected from end-users for intrastate telecommunications services effective January 1, 2008.</w:t>
      </w:r>
      <w:r>
        <w:rPr>
          <w:sz w:val="24"/>
          <w:szCs w:val="24"/>
        </w:rPr>
        <w:t xml:space="preserve">  </w:t>
      </w:r>
      <w:r w:rsidR="00E8334A" w:rsidRPr="009B1844">
        <w:rPr>
          <w:sz w:val="24"/>
          <w:szCs w:val="24"/>
        </w:rPr>
        <w:t>The Commission further</w:t>
      </w:r>
      <w:r w:rsidR="001E4393" w:rsidRPr="009B1844">
        <w:rPr>
          <w:sz w:val="24"/>
          <w:szCs w:val="24"/>
        </w:rPr>
        <w:t xml:space="preserve"> stated</w:t>
      </w:r>
      <w:r w:rsidR="00E8334A" w:rsidRPr="009B1844">
        <w:rPr>
          <w:sz w:val="24"/>
          <w:szCs w:val="24"/>
        </w:rPr>
        <w:t xml:space="preserve"> that prior to any CASF disbursements the Commission would seek statutory authority to add the CASF as one of the funds the State Treasury </w:t>
      </w:r>
      <w:r w:rsidR="001E4393" w:rsidRPr="009B1844">
        <w:rPr>
          <w:sz w:val="24"/>
          <w:szCs w:val="24"/>
        </w:rPr>
        <w:t>administers</w:t>
      </w:r>
      <w:r w:rsidR="00E8334A" w:rsidRPr="009B1844">
        <w:rPr>
          <w:sz w:val="24"/>
          <w:szCs w:val="24"/>
        </w:rPr>
        <w:t xml:space="preserve"> and seek statutory authority for (1) specific direction to telephone corporations for remitting CASF collections and (2) the Commission’s use of the funds.</w:t>
      </w:r>
    </w:p>
    <w:p w:rsidR="00E8334A" w:rsidRPr="009B1844" w:rsidRDefault="00E8334A">
      <w:pPr>
        <w:tabs>
          <w:tab w:val="left" w:pos="-1440"/>
          <w:tab w:val="left" w:pos="-720"/>
        </w:tabs>
        <w:suppressAutoHyphens/>
        <w:rPr>
          <w:sz w:val="24"/>
          <w:szCs w:val="24"/>
        </w:rPr>
      </w:pPr>
    </w:p>
    <w:p w:rsidR="00E8334A" w:rsidRDefault="00E8334A">
      <w:pPr>
        <w:tabs>
          <w:tab w:val="left" w:pos="-1440"/>
          <w:tab w:val="left" w:pos="-720"/>
        </w:tabs>
        <w:suppressAutoHyphens/>
        <w:rPr>
          <w:sz w:val="24"/>
          <w:szCs w:val="24"/>
        </w:rPr>
      </w:pPr>
      <w:r w:rsidRPr="009B1844">
        <w:rPr>
          <w:sz w:val="24"/>
          <w:szCs w:val="24"/>
        </w:rPr>
        <w:t>Chapter 393, Statutes of 2008 (SB 1193, Padilla) amended Sections 270 and 281 of the Public Utilities (PU) Code by establishing the CASF through January 1, 2013, subject to the same fiscal and financial restrictions applicable to the six (6) existing universal service funds.</w:t>
      </w:r>
      <w:r w:rsidRPr="00BE5B35">
        <w:rPr>
          <w:sz w:val="24"/>
          <w:szCs w:val="24"/>
          <w:vertAlign w:val="superscript"/>
        </w:rPr>
        <w:footnoteReference w:id="1"/>
      </w:r>
    </w:p>
    <w:p w:rsidR="00595ECD" w:rsidRDefault="00595ECD">
      <w:pPr>
        <w:tabs>
          <w:tab w:val="left" w:pos="-1440"/>
          <w:tab w:val="left" w:pos="-720"/>
        </w:tabs>
        <w:suppressAutoHyphens/>
        <w:rPr>
          <w:sz w:val="24"/>
          <w:szCs w:val="24"/>
        </w:rPr>
      </w:pPr>
    </w:p>
    <w:p w:rsidR="00E8334A" w:rsidRPr="009B1844" w:rsidRDefault="00E8334A">
      <w:pPr>
        <w:tabs>
          <w:tab w:val="left" w:pos="-1440"/>
          <w:tab w:val="left" w:pos="-720"/>
        </w:tabs>
        <w:suppressAutoHyphens/>
        <w:rPr>
          <w:sz w:val="24"/>
          <w:szCs w:val="24"/>
        </w:rPr>
      </w:pPr>
      <w:r w:rsidRPr="009B1844">
        <w:rPr>
          <w:sz w:val="24"/>
          <w:szCs w:val="24"/>
        </w:rPr>
        <w:t>Section 281 (a) of the PU Code requires the Commission to develop, implement, and administer the CASF to encourage deployment of high-quality advanced communications services to all Californians that will promote economic growth, job creation, and substantial social benefits of advanced information and communications technologies, as provided in D</w:t>
      </w:r>
      <w:r w:rsidR="002A501C" w:rsidRPr="009B1844">
        <w:rPr>
          <w:sz w:val="24"/>
          <w:szCs w:val="24"/>
        </w:rPr>
        <w:t>.</w:t>
      </w:r>
      <w:r w:rsidRPr="009B1844">
        <w:rPr>
          <w:sz w:val="24"/>
          <w:szCs w:val="24"/>
        </w:rPr>
        <w:t xml:space="preserve">07-12-054.  </w:t>
      </w:r>
    </w:p>
    <w:p w:rsidR="00E8334A" w:rsidRPr="009B1844" w:rsidRDefault="00E8334A">
      <w:pPr>
        <w:tabs>
          <w:tab w:val="left" w:pos="-1440"/>
          <w:tab w:val="left" w:pos="-720"/>
        </w:tabs>
        <w:suppressAutoHyphens/>
        <w:rPr>
          <w:sz w:val="24"/>
          <w:szCs w:val="24"/>
        </w:rPr>
      </w:pPr>
    </w:p>
    <w:p w:rsidR="00E8334A" w:rsidRPr="009B1844" w:rsidRDefault="00E8334A" w:rsidP="008419AF">
      <w:pPr>
        <w:tabs>
          <w:tab w:val="left" w:pos="-1440"/>
          <w:tab w:val="left" w:pos="-720"/>
        </w:tabs>
        <w:suppressAutoHyphens/>
        <w:rPr>
          <w:sz w:val="24"/>
          <w:szCs w:val="24"/>
        </w:rPr>
      </w:pPr>
      <w:r w:rsidRPr="009B1844">
        <w:rPr>
          <w:sz w:val="24"/>
          <w:szCs w:val="24"/>
        </w:rPr>
        <w:lastRenderedPageBreak/>
        <w:t xml:space="preserve">Further, Section 270 (b) of the PU Code states that moneys in the universal service funds are proceeds of rates and are held in trust for the benefit of ratepayers.  Funds may only be used for the purposes for which the funds were created and upon appropriation in the annual Budget Act. </w:t>
      </w:r>
    </w:p>
    <w:p w:rsidR="00E8334A" w:rsidRPr="009B1844" w:rsidRDefault="00E8334A" w:rsidP="008419AF">
      <w:pPr>
        <w:tabs>
          <w:tab w:val="left" w:pos="-1440"/>
          <w:tab w:val="left" w:pos="-720"/>
        </w:tabs>
        <w:suppressAutoHyphens/>
        <w:rPr>
          <w:sz w:val="24"/>
          <w:szCs w:val="24"/>
        </w:rPr>
      </w:pPr>
    </w:p>
    <w:p w:rsidR="00B758DC" w:rsidRDefault="00E8334A" w:rsidP="008419AF">
      <w:pPr>
        <w:tabs>
          <w:tab w:val="left" w:pos="-1440"/>
          <w:tab w:val="left" w:pos="-720"/>
        </w:tabs>
        <w:suppressAutoHyphens/>
        <w:rPr>
          <w:sz w:val="24"/>
          <w:szCs w:val="24"/>
        </w:rPr>
      </w:pPr>
      <w:r w:rsidRPr="009B1844">
        <w:rPr>
          <w:sz w:val="24"/>
          <w:szCs w:val="24"/>
        </w:rPr>
        <w:t>On September 25, 2010, Governor Schwarzenegger signed SB 1040 (Chapter 317, Stats 2010), which expanded the CASF and increased the CASF appropriation from $100 million to $225 million.  The increase of $125 million to be collected after January 1, 2011 is allocated to the following accounts:  $100 million to the Broadband Infrastructure Grant Account</w:t>
      </w:r>
      <w:r w:rsidR="003E04E6">
        <w:rPr>
          <w:sz w:val="24"/>
          <w:szCs w:val="24"/>
        </w:rPr>
        <w:t xml:space="preserve"> (Infrastructure Grant)</w:t>
      </w:r>
      <w:r w:rsidRPr="009B1844">
        <w:rPr>
          <w:sz w:val="24"/>
          <w:szCs w:val="24"/>
        </w:rPr>
        <w:t>, $10 million to the Rural and Urban Regional Broadband Consortia Grant Account</w:t>
      </w:r>
      <w:r w:rsidR="003E04E6">
        <w:rPr>
          <w:sz w:val="24"/>
          <w:szCs w:val="24"/>
        </w:rPr>
        <w:t xml:space="preserve"> (Consortia Grant)</w:t>
      </w:r>
      <w:r w:rsidRPr="009B1844">
        <w:rPr>
          <w:sz w:val="24"/>
          <w:szCs w:val="24"/>
        </w:rPr>
        <w:t>, and $15 million to the Broadband Infrastructure Revolving Loan Account</w:t>
      </w:r>
      <w:r w:rsidR="003E04E6">
        <w:rPr>
          <w:sz w:val="24"/>
          <w:szCs w:val="24"/>
        </w:rPr>
        <w:t xml:space="preserve"> (Revolving Loan)</w:t>
      </w:r>
      <w:r w:rsidRPr="009B1844">
        <w:rPr>
          <w:sz w:val="24"/>
          <w:szCs w:val="24"/>
        </w:rPr>
        <w:t xml:space="preserve">.  The $125 million is </w:t>
      </w:r>
      <w:r w:rsidR="00B758DC" w:rsidRPr="009B1844">
        <w:rPr>
          <w:sz w:val="24"/>
          <w:szCs w:val="24"/>
        </w:rPr>
        <w:t xml:space="preserve">to be </w:t>
      </w:r>
      <w:r w:rsidRPr="009B1844">
        <w:rPr>
          <w:sz w:val="24"/>
          <w:szCs w:val="24"/>
        </w:rPr>
        <w:t xml:space="preserve">funded by a surcharge assessed on revenues collected from end-users and collected at $25 million a year beginning </w:t>
      </w:r>
      <w:r w:rsidR="000A51F0" w:rsidRPr="009B1844">
        <w:rPr>
          <w:sz w:val="24"/>
          <w:szCs w:val="24"/>
        </w:rPr>
        <w:t xml:space="preserve">on </w:t>
      </w:r>
      <w:r w:rsidR="00595ECD">
        <w:rPr>
          <w:sz w:val="24"/>
          <w:szCs w:val="24"/>
        </w:rPr>
        <w:t xml:space="preserve">calendar year 2011.  </w:t>
      </w:r>
      <w:r w:rsidR="00B758DC" w:rsidRPr="009B1844">
        <w:rPr>
          <w:sz w:val="24"/>
          <w:szCs w:val="24"/>
        </w:rPr>
        <w:t xml:space="preserve">To collect the additional funds authorized by SB 1040, the Commission issued </w:t>
      </w:r>
      <w:hyperlink r:id="rId8" w:history="1">
        <w:r w:rsidR="00B758DC" w:rsidRPr="009B1844">
          <w:rPr>
            <w:sz w:val="24"/>
            <w:szCs w:val="24"/>
          </w:rPr>
          <w:t>Resolution T-17343</w:t>
        </w:r>
      </w:hyperlink>
      <w:r w:rsidR="00B758DC" w:rsidRPr="009B1844">
        <w:rPr>
          <w:sz w:val="24"/>
          <w:szCs w:val="24"/>
        </w:rPr>
        <w:t> on September 22, 2011, which revises the surcharge from 0.0% to 0.14% effective November 1, 2011.</w:t>
      </w:r>
      <w:r w:rsidR="001D3232" w:rsidRPr="009B1844">
        <w:rPr>
          <w:sz w:val="24"/>
          <w:szCs w:val="24"/>
        </w:rPr>
        <w:t xml:space="preserve">  On February 13, 2013, the Commission issued Resolution T-17386 which further revised the surcharge rate to 0.164% effective April 1, 2013 after determining that the CASF has been under collecting from the cap limit of $25 million per calendar year.</w:t>
      </w:r>
    </w:p>
    <w:p w:rsidR="00595ECD" w:rsidRDefault="00595ECD" w:rsidP="008419AF">
      <w:pPr>
        <w:tabs>
          <w:tab w:val="left" w:pos="-1440"/>
          <w:tab w:val="left" w:pos="-720"/>
        </w:tabs>
        <w:suppressAutoHyphens/>
        <w:rPr>
          <w:sz w:val="24"/>
          <w:szCs w:val="24"/>
        </w:rPr>
      </w:pPr>
    </w:p>
    <w:p w:rsidR="00CC619B" w:rsidRPr="008419AF" w:rsidRDefault="00CC619B" w:rsidP="00CC619B">
      <w:pPr>
        <w:tabs>
          <w:tab w:val="left" w:pos="-1440"/>
          <w:tab w:val="left" w:pos="-720"/>
        </w:tabs>
        <w:suppressAutoHyphens/>
        <w:rPr>
          <w:sz w:val="24"/>
          <w:szCs w:val="24"/>
        </w:rPr>
      </w:pPr>
      <w:r w:rsidRPr="00CC619B">
        <w:rPr>
          <w:sz w:val="24"/>
          <w:szCs w:val="24"/>
        </w:rPr>
        <w:t>On October 03, 2013, Governor Brow</w:t>
      </w:r>
      <w:r w:rsidR="0052474F">
        <w:rPr>
          <w:sz w:val="24"/>
          <w:szCs w:val="24"/>
        </w:rPr>
        <w:t>n approved Senate Bill (SB) 740</w:t>
      </w:r>
      <w:r w:rsidR="0052474F">
        <w:rPr>
          <w:rStyle w:val="FootnoteReference"/>
          <w:sz w:val="24"/>
          <w:szCs w:val="24"/>
        </w:rPr>
        <w:footnoteReference w:id="2"/>
      </w:r>
      <w:r w:rsidRPr="00CC619B">
        <w:rPr>
          <w:sz w:val="24"/>
          <w:szCs w:val="24"/>
        </w:rPr>
        <w:t xml:space="preserve"> and Assembly Bill (AB) 1299</w:t>
      </w:r>
      <w:r w:rsidR="00595ECD">
        <w:rPr>
          <w:sz w:val="24"/>
          <w:szCs w:val="24"/>
        </w:rPr>
        <w:t>.</w:t>
      </w:r>
      <w:r w:rsidR="0052474F">
        <w:rPr>
          <w:rStyle w:val="FootnoteReference"/>
          <w:sz w:val="24"/>
          <w:szCs w:val="24"/>
        </w:rPr>
        <w:footnoteReference w:id="3"/>
      </w:r>
      <w:r w:rsidR="00595ECD">
        <w:rPr>
          <w:sz w:val="24"/>
          <w:szCs w:val="24"/>
        </w:rPr>
        <w:t xml:space="preserve">  </w:t>
      </w:r>
      <w:r w:rsidRPr="00CC619B">
        <w:rPr>
          <w:sz w:val="24"/>
          <w:szCs w:val="24"/>
        </w:rPr>
        <w:t>Specifically, SB 740 authorized the collection of an additional $90 million</w:t>
      </w:r>
      <w:r w:rsidR="0052474F">
        <w:rPr>
          <w:rStyle w:val="FootnoteReference"/>
          <w:sz w:val="24"/>
          <w:szCs w:val="24"/>
        </w:rPr>
        <w:footnoteReference w:id="4"/>
      </w:r>
      <w:r w:rsidR="0052474F">
        <w:rPr>
          <w:sz w:val="24"/>
          <w:szCs w:val="24"/>
        </w:rPr>
        <w:t xml:space="preserve"> </w:t>
      </w:r>
      <w:r w:rsidRPr="00CC619B">
        <w:rPr>
          <w:sz w:val="24"/>
          <w:szCs w:val="24"/>
        </w:rPr>
        <w:t>to</w:t>
      </w:r>
      <w:r w:rsidR="0052474F">
        <w:rPr>
          <w:sz w:val="24"/>
          <w:szCs w:val="24"/>
        </w:rPr>
        <w:t xml:space="preserve"> b</w:t>
      </w:r>
      <w:r w:rsidRPr="00CC619B">
        <w:rPr>
          <w:sz w:val="24"/>
          <w:szCs w:val="24"/>
        </w:rPr>
        <w:t xml:space="preserve">e deposited in the CASF </w:t>
      </w:r>
      <w:r w:rsidR="003E04E6">
        <w:rPr>
          <w:sz w:val="24"/>
          <w:szCs w:val="24"/>
        </w:rPr>
        <w:t>Infrastructure Grant Account</w:t>
      </w:r>
      <w:r w:rsidRPr="00CC619B">
        <w:rPr>
          <w:sz w:val="24"/>
          <w:szCs w:val="24"/>
        </w:rPr>
        <w:t>, extended the surcharge collection through the 2020 calendar year, established the goal of the CASF program to approve funding for infrastructure projects that will provide broadband access to no less than 98% of California households by no later than December 31, 2015, and allowed any entity which is not a telephone corporation to be eligible to apply for a CASF grant and loan if that entity otherwise satisfies the CASF’s eligibility requirements and any other requirements as defined by the Commission, amongst other requi</w:t>
      </w:r>
      <w:r w:rsidR="00595ECD">
        <w:rPr>
          <w:sz w:val="24"/>
          <w:szCs w:val="24"/>
        </w:rPr>
        <w:t xml:space="preserve">rements identified in the bill.  </w:t>
      </w:r>
      <w:r w:rsidRPr="00CC619B">
        <w:rPr>
          <w:sz w:val="24"/>
          <w:szCs w:val="24"/>
        </w:rPr>
        <w:t xml:space="preserve">AB 1299 created an additional account under the CASF called the Broadband Public Housing Account (Public Housing Account) to support the deployment of broadband networks and adoption programs in eligible </w:t>
      </w:r>
      <w:r w:rsidR="00595ECD">
        <w:rPr>
          <w:sz w:val="24"/>
          <w:szCs w:val="24"/>
        </w:rPr>
        <w:t xml:space="preserve">publicly supported communities.  </w:t>
      </w:r>
      <w:r w:rsidRPr="00CC619B">
        <w:rPr>
          <w:sz w:val="24"/>
          <w:szCs w:val="24"/>
        </w:rPr>
        <w:t xml:space="preserve">The Public Housing Account efforts will be funded through $20 million from the Infrastructure Grant Account and $5 million from the Revolving Loan Account, respectively. </w:t>
      </w:r>
      <w:r w:rsidR="00595ECD">
        <w:rPr>
          <w:sz w:val="24"/>
          <w:szCs w:val="24"/>
        </w:rPr>
        <w:t xml:space="preserve"> </w:t>
      </w:r>
      <w:r w:rsidRPr="00CC619B">
        <w:rPr>
          <w:sz w:val="24"/>
          <w:szCs w:val="24"/>
        </w:rPr>
        <w:t xml:space="preserve">Any monies in the Public Housing Account that have not been awarded by December 31, 2016, shall be transferred back to the Infrastructure Grant Account and </w:t>
      </w:r>
      <w:r w:rsidR="003E04E6">
        <w:rPr>
          <w:sz w:val="24"/>
          <w:szCs w:val="24"/>
        </w:rPr>
        <w:t xml:space="preserve">Revolving </w:t>
      </w:r>
      <w:r w:rsidRPr="00CC619B">
        <w:rPr>
          <w:sz w:val="24"/>
          <w:szCs w:val="24"/>
        </w:rPr>
        <w:t>Loan Account in proportion to the amount transferred from the respective accounts.</w:t>
      </w:r>
    </w:p>
    <w:p w:rsidR="001079F6" w:rsidRDefault="001079F6" w:rsidP="0052474F">
      <w:pPr>
        <w:tabs>
          <w:tab w:val="left" w:pos="-1440"/>
          <w:tab w:val="left" w:pos="-720"/>
        </w:tabs>
        <w:suppressAutoHyphens/>
        <w:rPr>
          <w:sz w:val="24"/>
          <w:szCs w:val="24"/>
        </w:rPr>
      </w:pPr>
    </w:p>
    <w:p w:rsidR="00595ECD" w:rsidRDefault="001079F6" w:rsidP="0052474F">
      <w:pPr>
        <w:tabs>
          <w:tab w:val="left" w:pos="-1440"/>
          <w:tab w:val="left" w:pos="-720"/>
        </w:tabs>
        <w:suppressAutoHyphens/>
        <w:rPr>
          <w:sz w:val="24"/>
          <w:szCs w:val="24"/>
        </w:rPr>
      </w:pPr>
      <w:r>
        <w:rPr>
          <w:sz w:val="24"/>
          <w:szCs w:val="24"/>
        </w:rPr>
        <w:t>On</w:t>
      </w:r>
      <w:r w:rsidR="00B758DC" w:rsidRPr="009B1844" w:rsidDel="00B758DC">
        <w:rPr>
          <w:sz w:val="24"/>
          <w:szCs w:val="24"/>
        </w:rPr>
        <w:t xml:space="preserve"> </w:t>
      </w:r>
      <w:r w:rsidRPr="001079F6">
        <w:rPr>
          <w:sz w:val="24"/>
          <w:szCs w:val="24"/>
        </w:rPr>
        <w:t>February 27, 2014</w:t>
      </w:r>
      <w:r>
        <w:rPr>
          <w:sz w:val="24"/>
          <w:szCs w:val="24"/>
        </w:rPr>
        <w:t>, the Commission adopted Resolution T-</w:t>
      </w:r>
      <w:r w:rsidRPr="001079F6">
        <w:rPr>
          <w:sz w:val="24"/>
          <w:szCs w:val="24"/>
        </w:rPr>
        <w:t>17434</w:t>
      </w:r>
      <w:r>
        <w:rPr>
          <w:sz w:val="24"/>
          <w:szCs w:val="24"/>
        </w:rPr>
        <w:t>, which increased the CASF</w:t>
      </w:r>
      <w:r w:rsidRPr="001079F6">
        <w:rPr>
          <w:sz w:val="24"/>
          <w:szCs w:val="24"/>
        </w:rPr>
        <w:t xml:space="preserve"> surcharge rate </w:t>
      </w:r>
      <w:r>
        <w:rPr>
          <w:sz w:val="24"/>
          <w:szCs w:val="24"/>
        </w:rPr>
        <w:t>to</w:t>
      </w:r>
      <w:r w:rsidRPr="001079F6">
        <w:rPr>
          <w:sz w:val="24"/>
          <w:szCs w:val="24"/>
        </w:rPr>
        <w:t xml:space="preserve"> 0.464% effective April 1, 2014</w:t>
      </w:r>
      <w:r>
        <w:rPr>
          <w:sz w:val="24"/>
          <w:szCs w:val="24"/>
        </w:rPr>
        <w:t>.  The higher surcharge rate is intended to make up for the under collection of the authorized annual revenues for 2011 to 2013 and to have funds available to meet th</w:t>
      </w:r>
      <w:r w:rsidRPr="001079F6">
        <w:rPr>
          <w:sz w:val="24"/>
          <w:szCs w:val="24"/>
        </w:rPr>
        <w:t>e new requi</w:t>
      </w:r>
      <w:r>
        <w:rPr>
          <w:sz w:val="24"/>
          <w:szCs w:val="24"/>
        </w:rPr>
        <w:t>rements imposed on the program by</w:t>
      </w:r>
      <w:r w:rsidRPr="001079F6">
        <w:rPr>
          <w:sz w:val="24"/>
          <w:szCs w:val="24"/>
        </w:rPr>
        <w:t xml:space="preserve"> SB 740 and AB 1299.</w:t>
      </w:r>
      <w:r>
        <w:rPr>
          <w:sz w:val="24"/>
          <w:szCs w:val="24"/>
        </w:rPr>
        <w:t xml:space="preserve"> </w:t>
      </w:r>
    </w:p>
    <w:p w:rsidR="001079F6" w:rsidRPr="009B1844" w:rsidRDefault="001079F6" w:rsidP="0052474F">
      <w:pPr>
        <w:tabs>
          <w:tab w:val="left" w:pos="-1440"/>
          <w:tab w:val="left" w:pos="-720"/>
        </w:tabs>
        <w:suppressAutoHyphens/>
        <w:rPr>
          <w:sz w:val="24"/>
          <w:szCs w:val="24"/>
        </w:rPr>
      </w:pPr>
    </w:p>
    <w:p w:rsidR="001079F6" w:rsidRDefault="001079F6">
      <w:pPr>
        <w:pStyle w:val="Heading4"/>
        <w:keepNext w:val="0"/>
        <w:widowControl w:val="0"/>
        <w:tabs>
          <w:tab w:val="left" w:pos="-1440"/>
          <w:tab w:val="left" w:pos="-720"/>
        </w:tabs>
        <w:suppressAutoHyphens/>
        <w:rPr>
          <w:rFonts w:ascii="Times New Roman" w:hAnsi="Times New Roman"/>
          <w:sz w:val="24"/>
          <w:szCs w:val="24"/>
        </w:rPr>
      </w:pPr>
    </w:p>
    <w:p w:rsidR="001079F6" w:rsidRDefault="001079F6">
      <w:pPr>
        <w:pStyle w:val="Heading4"/>
        <w:keepNext w:val="0"/>
        <w:widowControl w:val="0"/>
        <w:tabs>
          <w:tab w:val="left" w:pos="-1440"/>
          <w:tab w:val="left" w:pos="-720"/>
        </w:tabs>
        <w:suppressAutoHyphens/>
        <w:rPr>
          <w:rFonts w:ascii="Times New Roman" w:hAnsi="Times New Roman"/>
          <w:sz w:val="24"/>
          <w:szCs w:val="24"/>
        </w:rPr>
      </w:pPr>
    </w:p>
    <w:p w:rsidR="00E8334A" w:rsidRPr="009B1844" w:rsidRDefault="00E8334A">
      <w:pPr>
        <w:pStyle w:val="Heading4"/>
        <w:keepNext w:val="0"/>
        <w:widowControl w:val="0"/>
        <w:tabs>
          <w:tab w:val="left" w:pos="-1440"/>
          <w:tab w:val="left" w:pos="-720"/>
        </w:tabs>
        <w:suppressAutoHyphens/>
        <w:rPr>
          <w:rFonts w:ascii="Times New Roman" w:hAnsi="Times New Roman"/>
          <w:sz w:val="24"/>
          <w:szCs w:val="24"/>
        </w:rPr>
      </w:pPr>
      <w:r w:rsidRPr="009B1844">
        <w:rPr>
          <w:rFonts w:ascii="Times New Roman" w:hAnsi="Times New Roman"/>
          <w:sz w:val="24"/>
          <w:szCs w:val="24"/>
        </w:rPr>
        <w:t>Discussion</w:t>
      </w:r>
    </w:p>
    <w:p w:rsidR="00E8334A" w:rsidRPr="009B1844" w:rsidRDefault="00E8334A">
      <w:pPr>
        <w:rPr>
          <w:sz w:val="24"/>
          <w:szCs w:val="24"/>
        </w:rPr>
      </w:pPr>
    </w:p>
    <w:p w:rsidR="00BE5B35" w:rsidRPr="006C14B0" w:rsidRDefault="00BE5B35" w:rsidP="00BE5B35">
      <w:pPr>
        <w:tabs>
          <w:tab w:val="left" w:pos="-1440"/>
          <w:tab w:val="left" w:pos="-720"/>
        </w:tabs>
        <w:suppressAutoHyphens/>
        <w:spacing w:after="120"/>
        <w:rPr>
          <w:sz w:val="24"/>
          <w:szCs w:val="24"/>
          <w:u w:val="single"/>
        </w:rPr>
      </w:pPr>
      <w:r w:rsidRPr="006C14B0">
        <w:rPr>
          <w:sz w:val="24"/>
          <w:szCs w:val="24"/>
          <w:u w:val="single"/>
        </w:rPr>
        <w:t>Department of Finance (DOF) Audit</w:t>
      </w:r>
    </w:p>
    <w:p w:rsidR="00BE5B35" w:rsidRDefault="00BE5B35" w:rsidP="00BE5B35">
      <w:pPr>
        <w:tabs>
          <w:tab w:val="left" w:pos="-1440"/>
          <w:tab w:val="left" w:pos="-720"/>
        </w:tabs>
        <w:suppressAutoHyphens/>
        <w:rPr>
          <w:sz w:val="24"/>
          <w:szCs w:val="24"/>
        </w:rPr>
      </w:pPr>
      <w:r w:rsidRPr="00BE5B35">
        <w:rPr>
          <w:sz w:val="24"/>
          <w:szCs w:val="24"/>
        </w:rPr>
        <w:t xml:space="preserve">In 2012, auditors from the Department of Finance (DOF) conducted a budget process performance audit of six public purpose programs administered by the Communications Division (CD), including the </w:t>
      </w:r>
      <w:r w:rsidR="002E665B">
        <w:rPr>
          <w:sz w:val="24"/>
          <w:szCs w:val="24"/>
        </w:rPr>
        <w:t>CASF</w:t>
      </w:r>
      <w:r w:rsidRPr="00BE5B35">
        <w:rPr>
          <w:sz w:val="24"/>
          <w:szCs w:val="24"/>
        </w:rPr>
        <w:t>.  The DOF’s audit report contained several recommendations and the Commission has followed those recommendations in the preparation of this budget resolution.</w:t>
      </w:r>
    </w:p>
    <w:p w:rsidR="00BE5B35" w:rsidRDefault="00BE5B35" w:rsidP="002E665B">
      <w:pPr>
        <w:rPr>
          <w:sz w:val="24"/>
          <w:szCs w:val="24"/>
        </w:rPr>
      </w:pPr>
    </w:p>
    <w:p w:rsidR="00BE5B35" w:rsidRPr="006C14B0" w:rsidRDefault="00BE5B35" w:rsidP="003C6EDA">
      <w:pPr>
        <w:tabs>
          <w:tab w:val="left" w:pos="-1440"/>
          <w:tab w:val="left" w:pos="-720"/>
        </w:tabs>
        <w:suppressAutoHyphens/>
        <w:spacing w:after="120"/>
        <w:rPr>
          <w:sz w:val="24"/>
          <w:szCs w:val="24"/>
          <w:u w:val="single"/>
        </w:rPr>
      </w:pPr>
      <w:r w:rsidRPr="006C14B0">
        <w:rPr>
          <w:sz w:val="24"/>
          <w:szCs w:val="24"/>
          <w:u w:val="single"/>
        </w:rPr>
        <w:t>Budget Development Process</w:t>
      </w:r>
    </w:p>
    <w:p w:rsidR="006541D2" w:rsidRDefault="00E8334A" w:rsidP="002412B5">
      <w:pPr>
        <w:tabs>
          <w:tab w:val="left" w:pos="-1440"/>
          <w:tab w:val="left" w:pos="-720"/>
        </w:tabs>
        <w:suppressAutoHyphens/>
        <w:rPr>
          <w:sz w:val="24"/>
          <w:szCs w:val="24"/>
        </w:rPr>
      </w:pPr>
      <w:r w:rsidRPr="009B1844">
        <w:rPr>
          <w:sz w:val="24"/>
          <w:szCs w:val="24"/>
        </w:rPr>
        <w:t xml:space="preserve">CD </w:t>
      </w:r>
      <w:r w:rsidR="002E665B">
        <w:rPr>
          <w:sz w:val="24"/>
          <w:szCs w:val="24"/>
        </w:rPr>
        <w:t>estimates</w:t>
      </w:r>
      <w:r w:rsidRPr="009B1844">
        <w:rPr>
          <w:sz w:val="24"/>
          <w:szCs w:val="24"/>
        </w:rPr>
        <w:t xml:space="preserve"> a CASF expense budget of </w:t>
      </w:r>
      <w:r w:rsidR="00D873CF" w:rsidRPr="00D873CF">
        <w:rPr>
          <w:sz w:val="24"/>
          <w:szCs w:val="24"/>
        </w:rPr>
        <w:t>$97,</w:t>
      </w:r>
      <w:r w:rsidR="00D90DDD">
        <w:rPr>
          <w:sz w:val="24"/>
          <w:szCs w:val="24"/>
        </w:rPr>
        <w:t>831, 451</w:t>
      </w:r>
      <w:r w:rsidR="00D873CF" w:rsidRPr="00D873CF">
        <w:rPr>
          <w:sz w:val="24"/>
          <w:szCs w:val="24"/>
        </w:rPr>
        <w:t xml:space="preserve"> </w:t>
      </w:r>
      <w:r w:rsidRPr="009B1844">
        <w:rPr>
          <w:sz w:val="24"/>
          <w:szCs w:val="24"/>
        </w:rPr>
        <w:t xml:space="preserve">for FY </w:t>
      </w:r>
      <w:r w:rsidR="00101FCB" w:rsidRPr="009B1844">
        <w:rPr>
          <w:sz w:val="24"/>
          <w:szCs w:val="24"/>
        </w:rPr>
        <w:t>20</w:t>
      </w:r>
      <w:r w:rsidR="00D873CF">
        <w:rPr>
          <w:sz w:val="24"/>
          <w:szCs w:val="24"/>
        </w:rPr>
        <w:t>15-16</w:t>
      </w:r>
      <w:r w:rsidR="006541D2">
        <w:rPr>
          <w:sz w:val="24"/>
          <w:szCs w:val="24"/>
        </w:rPr>
        <w:t xml:space="preserve">, which </w:t>
      </w:r>
      <w:r w:rsidR="001D7635">
        <w:rPr>
          <w:sz w:val="24"/>
          <w:szCs w:val="24"/>
        </w:rPr>
        <w:t>is</w:t>
      </w:r>
      <w:r w:rsidR="009314A2">
        <w:rPr>
          <w:sz w:val="24"/>
          <w:szCs w:val="24"/>
        </w:rPr>
        <w:t xml:space="preserve"> the same </w:t>
      </w:r>
      <w:r w:rsidR="001D7635">
        <w:rPr>
          <w:sz w:val="24"/>
          <w:szCs w:val="24"/>
        </w:rPr>
        <w:t xml:space="preserve">as the </w:t>
      </w:r>
      <w:r w:rsidR="009314A2">
        <w:rPr>
          <w:sz w:val="24"/>
          <w:szCs w:val="24"/>
        </w:rPr>
        <w:t>total budgetary appropriation approved for FY 2014-15.</w:t>
      </w:r>
      <w:r w:rsidR="001D7635">
        <w:rPr>
          <w:rStyle w:val="FootnoteReference"/>
          <w:sz w:val="24"/>
          <w:szCs w:val="24"/>
        </w:rPr>
        <w:footnoteReference w:id="5"/>
      </w:r>
      <w:r w:rsidR="009314A2">
        <w:rPr>
          <w:sz w:val="24"/>
          <w:szCs w:val="24"/>
        </w:rPr>
        <w:t xml:space="preserve">  </w:t>
      </w:r>
      <w:r w:rsidR="00D9031E">
        <w:rPr>
          <w:sz w:val="24"/>
          <w:szCs w:val="24"/>
        </w:rPr>
        <w:t xml:space="preserve">This total budget covers costs for </w:t>
      </w:r>
      <w:r w:rsidR="00066756">
        <w:rPr>
          <w:sz w:val="24"/>
          <w:szCs w:val="24"/>
        </w:rPr>
        <w:t xml:space="preserve">State Operations, </w:t>
      </w:r>
      <w:r w:rsidR="00D9031E">
        <w:rPr>
          <w:sz w:val="24"/>
          <w:szCs w:val="24"/>
        </w:rPr>
        <w:t>Local Assistance</w:t>
      </w:r>
      <w:r w:rsidR="00066756">
        <w:rPr>
          <w:sz w:val="24"/>
          <w:szCs w:val="24"/>
        </w:rPr>
        <w:t>, and Other Agencies</w:t>
      </w:r>
      <w:r w:rsidR="00D9031E">
        <w:rPr>
          <w:sz w:val="24"/>
          <w:szCs w:val="24"/>
        </w:rPr>
        <w:t xml:space="preserve"> as summarized in the following table.  </w:t>
      </w:r>
    </w:p>
    <w:p w:rsidR="002412B5" w:rsidRDefault="002412B5" w:rsidP="002412B5">
      <w:pPr>
        <w:tabs>
          <w:tab w:val="left" w:pos="-1440"/>
          <w:tab w:val="left" w:pos="-720"/>
        </w:tabs>
        <w:suppressAutoHyphens/>
        <w:rPr>
          <w:sz w:val="24"/>
          <w:szCs w:val="24"/>
        </w:rPr>
      </w:pPr>
    </w:p>
    <w:p w:rsidR="00D873CF" w:rsidRPr="00D873CF" w:rsidRDefault="002412B5" w:rsidP="002412B5">
      <w:pPr>
        <w:tabs>
          <w:tab w:val="left" w:pos="-1440"/>
          <w:tab w:val="left" w:pos="-720"/>
        </w:tabs>
        <w:suppressAutoHyphens/>
        <w:spacing w:after="120"/>
        <w:rPr>
          <w:sz w:val="24"/>
          <w:szCs w:val="24"/>
          <w:u w:val="single"/>
        </w:rPr>
      </w:pPr>
      <w:r>
        <w:rPr>
          <w:sz w:val="24"/>
          <w:szCs w:val="24"/>
          <w:u w:val="single"/>
        </w:rPr>
        <w:t xml:space="preserve">Table 1. </w:t>
      </w:r>
      <w:r w:rsidR="00CE6C54">
        <w:rPr>
          <w:sz w:val="24"/>
          <w:szCs w:val="24"/>
          <w:u w:val="single"/>
        </w:rPr>
        <w:t xml:space="preserve">Summary of </w:t>
      </w:r>
      <w:r w:rsidR="00D873CF" w:rsidRPr="00D873CF">
        <w:rPr>
          <w:sz w:val="24"/>
          <w:szCs w:val="24"/>
          <w:u w:val="single"/>
        </w:rPr>
        <w:t>California Advanced Service Fund Expense Budget (Fund 3141)</w:t>
      </w:r>
    </w:p>
    <w:tbl>
      <w:tblPr>
        <w:tblW w:w="8720" w:type="dxa"/>
        <w:tblInd w:w="103" w:type="dxa"/>
        <w:tblLook w:val="04A0" w:firstRow="1" w:lastRow="0" w:firstColumn="1" w:lastColumn="0" w:noHBand="0" w:noVBand="1"/>
      </w:tblPr>
      <w:tblGrid>
        <w:gridCol w:w="5315"/>
        <w:gridCol w:w="1710"/>
        <w:gridCol w:w="1695"/>
      </w:tblGrid>
      <w:tr w:rsidR="00D873CF" w:rsidRPr="00D873CF" w:rsidTr="00911739">
        <w:trPr>
          <w:trHeight w:val="540"/>
        </w:trPr>
        <w:tc>
          <w:tcPr>
            <w:tcW w:w="5315" w:type="dxa"/>
            <w:tcBorders>
              <w:top w:val="single" w:sz="4" w:space="0" w:color="auto"/>
              <w:left w:val="single" w:sz="4" w:space="0" w:color="auto"/>
              <w:bottom w:val="single" w:sz="4" w:space="0" w:color="auto"/>
              <w:right w:val="nil"/>
            </w:tcBorders>
            <w:shd w:val="clear" w:color="000000" w:fill="000080"/>
            <w:vAlign w:val="bottom"/>
            <w:hideMark/>
          </w:tcPr>
          <w:p w:rsidR="00D873CF" w:rsidRPr="00D873CF" w:rsidRDefault="00D552F1" w:rsidP="00D552F1">
            <w:pPr>
              <w:jc w:val="center"/>
              <w:rPr>
                <w:rFonts w:ascii="Arial" w:hAnsi="Arial" w:cs="Arial"/>
                <w:b/>
                <w:bCs/>
                <w:color w:val="FFFFFF"/>
              </w:rPr>
            </w:pPr>
            <w:r>
              <w:rPr>
                <w:rFonts w:ascii="Arial" w:hAnsi="Arial" w:cs="Arial"/>
                <w:b/>
                <w:bCs/>
                <w:color w:val="FFFFFF"/>
              </w:rPr>
              <w:t>Cost Categories (Fund 3141)</w:t>
            </w:r>
          </w:p>
        </w:tc>
        <w:tc>
          <w:tcPr>
            <w:tcW w:w="1710" w:type="dxa"/>
            <w:tcBorders>
              <w:top w:val="single" w:sz="4" w:space="0" w:color="auto"/>
              <w:left w:val="nil"/>
              <w:bottom w:val="single" w:sz="4" w:space="0" w:color="auto"/>
              <w:right w:val="single" w:sz="4" w:space="0" w:color="auto"/>
            </w:tcBorders>
            <w:shd w:val="clear" w:color="000000" w:fill="F79646"/>
            <w:noWrap/>
            <w:vAlign w:val="bottom"/>
            <w:hideMark/>
          </w:tcPr>
          <w:p w:rsidR="00D873CF" w:rsidRPr="00D873CF" w:rsidRDefault="00CE6C54" w:rsidP="00D873CF">
            <w:pPr>
              <w:jc w:val="center"/>
              <w:rPr>
                <w:rFonts w:ascii="Arial" w:hAnsi="Arial" w:cs="Arial"/>
                <w:b/>
                <w:bCs/>
              </w:rPr>
            </w:pPr>
            <w:r w:rsidRPr="001D7635">
              <w:rPr>
                <w:rFonts w:ascii="Arial" w:hAnsi="Arial" w:cs="Arial"/>
                <w:b/>
                <w:bCs/>
              </w:rPr>
              <w:t>F</w:t>
            </w:r>
            <w:r w:rsidR="00D873CF" w:rsidRPr="00D873CF">
              <w:rPr>
                <w:rFonts w:ascii="Arial" w:hAnsi="Arial" w:cs="Arial"/>
                <w:b/>
                <w:bCs/>
              </w:rPr>
              <w:t xml:space="preserve">Y </w:t>
            </w:r>
            <w:r w:rsidR="00715936">
              <w:rPr>
                <w:rFonts w:ascii="Arial" w:hAnsi="Arial" w:cs="Arial"/>
                <w:b/>
                <w:bCs/>
              </w:rPr>
              <w:t>20</w:t>
            </w:r>
            <w:r w:rsidR="00D873CF" w:rsidRPr="00D873CF">
              <w:rPr>
                <w:rFonts w:ascii="Arial" w:hAnsi="Arial" w:cs="Arial"/>
                <w:b/>
                <w:bCs/>
              </w:rPr>
              <w:t>14-15</w:t>
            </w:r>
          </w:p>
        </w:tc>
        <w:tc>
          <w:tcPr>
            <w:tcW w:w="1695" w:type="dxa"/>
            <w:tcBorders>
              <w:top w:val="single" w:sz="4" w:space="0" w:color="auto"/>
              <w:left w:val="nil"/>
              <w:bottom w:val="single" w:sz="4" w:space="0" w:color="auto"/>
              <w:right w:val="single" w:sz="4" w:space="0" w:color="auto"/>
            </w:tcBorders>
            <w:shd w:val="clear" w:color="000000" w:fill="F79646"/>
            <w:noWrap/>
            <w:vAlign w:val="bottom"/>
            <w:hideMark/>
          </w:tcPr>
          <w:p w:rsidR="00D873CF" w:rsidRPr="00D873CF" w:rsidRDefault="00CE6C54" w:rsidP="00CE6C54">
            <w:pPr>
              <w:jc w:val="center"/>
              <w:rPr>
                <w:rFonts w:ascii="Arial" w:hAnsi="Arial" w:cs="Arial"/>
                <w:b/>
                <w:bCs/>
              </w:rPr>
            </w:pPr>
            <w:r w:rsidRPr="001D7635">
              <w:rPr>
                <w:rFonts w:ascii="Arial" w:hAnsi="Arial" w:cs="Arial"/>
                <w:b/>
                <w:bCs/>
              </w:rPr>
              <w:t>F</w:t>
            </w:r>
            <w:r w:rsidR="00D873CF" w:rsidRPr="00D873CF">
              <w:rPr>
                <w:rFonts w:ascii="Arial" w:hAnsi="Arial" w:cs="Arial"/>
                <w:b/>
                <w:bCs/>
              </w:rPr>
              <w:t xml:space="preserve">Y </w:t>
            </w:r>
            <w:r w:rsidR="00715936">
              <w:rPr>
                <w:rFonts w:ascii="Arial" w:hAnsi="Arial" w:cs="Arial"/>
                <w:b/>
                <w:bCs/>
              </w:rPr>
              <w:t>20</w:t>
            </w:r>
            <w:r w:rsidR="00D873CF" w:rsidRPr="00D873CF">
              <w:rPr>
                <w:rFonts w:ascii="Arial" w:hAnsi="Arial" w:cs="Arial"/>
                <w:b/>
                <w:bCs/>
              </w:rPr>
              <w:t>15-16</w:t>
            </w:r>
          </w:p>
        </w:tc>
      </w:tr>
      <w:tr w:rsidR="00066756" w:rsidRPr="00D873CF" w:rsidTr="00BE0B57">
        <w:trPr>
          <w:trHeight w:val="255"/>
        </w:trPr>
        <w:tc>
          <w:tcPr>
            <w:tcW w:w="5315" w:type="dxa"/>
            <w:tcBorders>
              <w:top w:val="nil"/>
              <w:left w:val="single" w:sz="4" w:space="0" w:color="auto"/>
              <w:bottom w:val="single" w:sz="4" w:space="0" w:color="auto"/>
              <w:right w:val="single" w:sz="4" w:space="0" w:color="auto"/>
            </w:tcBorders>
            <w:shd w:val="clear" w:color="000000" w:fill="DDD9C4"/>
            <w:hideMark/>
          </w:tcPr>
          <w:p w:rsidR="00066756" w:rsidRPr="00D873CF" w:rsidRDefault="00A53979" w:rsidP="00BE0B57">
            <w:pPr>
              <w:rPr>
                <w:rFonts w:ascii="Arial" w:hAnsi="Arial" w:cs="Arial"/>
                <w:b/>
                <w:bCs/>
              </w:rPr>
            </w:pPr>
            <w:r>
              <w:rPr>
                <w:rFonts w:ascii="Arial" w:hAnsi="Arial" w:cs="Arial"/>
                <w:b/>
                <w:bCs/>
              </w:rPr>
              <w:t>State Operations</w:t>
            </w:r>
          </w:p>
        </w:tc>
        <w:tc>
          <w:tcPr>
            <w:tcW w:w="1710" w:type="dxa"/>
            <w:tcBorders>
              <w:top w:val="nil"/>
              <w:left w:val="nil"/>
              <w:bottom w:val="single" w:sz="4" w:space="0" w:color="auto"/>
              <w:right w:val="single" w:sz="4" w:space="0" w:color="auto"/>
            </w:tcBorders>
            <w:shd w:val="clear" w:color="000000" w:fill="DDD9C4"/>
            <w:noWrap/>
            <w:vAlign w:val="bottom"/>
            <w:hideMark/>
          </w:tcPr>
          <w:p w:rsidR="00066756" w:rsidRPr="00D873CF" w:rsidRDefault="00066756" w:rsidP="00BE0B57">
            <w:pPr>
              <w:jc w:val="right"/>
              <w:rPr>
                <w:rFonts w:ascii="Arial" w:hAnsi="Arial" w:cs="Arial"/>
                <w:b/>
                <w:bCs/>
              </w:rPr>
            </w:pPr>
            <w:r w:rsidRPr="00D873CF">
              <w:rPr>
                <w:rFonts w:ascii="Arial" w:hAnsi="Arial" w:cs="Arial"/>
                <w:b/>
                <w:bCs/>
              </w:rPr>
              <w:t>$3,772,000</w:t>
            </w:r>
          </w:p>
        </w:tc>
        <w:tc>
          <w:tcPr>
            <w:tcW w:w="1695" w:type="dxa"/>
            <w:tcBorders>
              <w:top w:val="nil"/>
              <w:left w:val="nil"/>
              <w:bottom w:val="single" w:sz="4" w:space="0" w:color="auto"/>
              <w:right w:val="single" w:sz="4" w:space="0" w:color="auto"/>
            </w:tcBorders>
            <w:shd w:val="clear" w:color="000000" w:fill="DDD9C4"/>
            <w:noWrap/>
            <w:vAlign w:val="bottom"/>
            <w:hideMark/>
          </w:tcPr>
          <w:p w:rsidR="00066756" w:rsidRPr="00D873CF" w:rsidRDefault="00066756" w:rsidP="00BE0B57">
            <w:pPr>
              <w:jc w:val="right"/>
              <w:rPr>
                <w:rFonts w:ascii="Arial" w:hAnsi="Arial" w:cs="Arial"/>
                <w:b/>
                <w:bCs/>
              </w:rPr>
            </w:pPr>
            <w:r w:rsidRPr="00D873CF">
              <w:rPr>
                <w:rFonts w:ascii="Arial" w:hAnsi="Arial" w:cs="Arial"/>
                <w:b/>
                <w:bCs/>
              </w:rPr>
              <w:t>$3,772,000</w:t>
            </w:r>
          </w:p>
        </w:tc>
      </w:tr>
      <w:tr w:rsidR="00D873CF" w:rsidRPr="00D873CF" w:rsidTr="00911739">
        <w:trPr>
          <w:trHeight w:val="255"/>
        </w:trPr>
        <w:tc>
          <w:tcPr>
            <w:tcW w:w="5315" w:type="dxa"/>
            <w:tcBorders>
              <w:top w:val="nil"/>
              <w:left w:val="single" w:sz="4" w:space="0" w:color="auto"/>
              <w:bottom w:val="single" w:sz="4" w:space="0" w:color="auto"/>
              <w:right w:val="single" w:sz="4" w:space="0" w:color="auto"/>
            </w:tcBorders>
            <w:shd w:val="clear" w:color="000000" w:fill="DDD9C4"/>
            <w:hideMark/>
          </w:tcPr>
          <w:p w:rsidR="00D873CF" w:rsidRPr="00D873CF" w:rsidRDefault="00A53979" w:rsidP="00FB02A7">
            <w:pPr>
              <w:rPr>
                <w:rFonts w:ascii="Arial" w:hAnsi="Arial" w:cs="Arial"/>
                <w:b/>
                <w:bCs/>
              </w:rPr>
            </w:pPr>
            <w:r>
              <w:rPr>
                <w:rFonts w:ascii="Arial" w:hAnsi="Arial" w:cs="Arial"/>
                <w:b/>
                <w:bCs/>
              </w:rPr>
              <w:t>Local Assistance</w:t>
            </w:r>
          </w:p>
        </w:tc>
        <w:tc>
          <w:tcPr>
            <w:tcW w:w="1710" w:type="dxa"/>
            <w:tcBorders>
              <w:top w:val="single" w:sz="4" w:space="0" w:color="auto"/>
              <w:left w:val="nil"/>
              <w:bottom w:val="single" w:sz="4" w:space="0" w:color="auto"/>
              <w:right w:val="single" w:sz="4" w:space="0" w:color="auto"/>
            </w:tcBorders>
            <w:shd w:val="clear" w:color="000000" w:fill="DDD9C4"/>
            <w:noWrap/>
            <w:vAlign w:val="bottom"/>
            <w:hideMark/>
          </w:tcPr>
          <w:p w:rsidR="00D873CF" w:rsidRPr="00D873CF" w:rsidRDefault="00D873CF" w:rsidP="00D873CF">
            <w:pPr>
              <w:jc w:val="right"/>
              <w:rPr>
                <w:rFonts w:ascii="Arial" w:hAnsi="Arial" w:cs="Arial"/>
                <w:b/>
                <w:bCs/>
              </w:rPr>
            </w:pPr>
            <w:r w:rsidRPr="00D873CF">
              <w:rPr>
                <w:rFonts w:ascii="Arial" w:hAnsi="Arial" w:cs="Arial"/>
                <w:b/>
                <w:bCs/>
              </w:rPr>
              <w:t>$94,011,000</w:t>
            </w:r>
          </w:p>
        </w:tc>
        <w:tc>
          <w:tcPr>
            <w:tcW w:w="1695" w:type="dxa"/>
            <w:tcBorders>
              <w:top w:val="single" w:sz="4" w:space="0" w:color="auto"/>
              <w:left w:val="nil"/>
              <w:bottom w:val="single" w:sz="4" w:space="0" w:color="auto"/>
              <w:right w:val="single" w:sz="4" w:space="0" w:color="auto"/>
            </w:tcBorders>
            <w:shd w:val="clear" w:color="000000" w:fill="DDD9C4"/>
            <w:noWrap/>
            <w:vAlign w:val="bottom"/>
            <w:hideMark/>
          </w:tcPr>
          <w:p w:rsidR="00D873CF" w:rsidRPr="00D873CF" w:rsidRDefault="00D873CF" w:rsidP="00D873CF">
            <w:pPr>
              <w:jc w:val="right"/>
              <w:rPr>
                <w:rFonts w:ascii="Arial" w:hAnsi="Arial" w:cs="Arial"/>
                <w:b/>
                <w:bCs/>
              </w:rPr>
            </w:pPr>
            <w:r w:rsidRPr="00D873CF">
              <w:rPr>
                <w:rFonts w:ascii="Arial" w:hAnsi="Arial" w:cs="Arial"/>
                <w:b/>
                <w:bCs/>
              </w:rPr>
              <w:t>$94,011,000</w:t>
            </w:r>
          </w:p>
        </w:tc>
      </w:tr>
      <w:tr w:rsidR="00066756" w:rsidRPr="00D873CF" w:rsidTr="00BE0B57">
        <w:trPr>
          <w:trHeight w:val="255"/>
        </w:trPr>
        <w:tc>
          <w:tcPr>
            <w:tcW w:w="5315" w:type="dxa"/>
            <w:tcBorders>
              <w:top w:val="nil"/>
              <w:left w:val="single" w:sz="4" w:space="0" w:color="auto"/>
              <w:bottom w:val="single" w:sz="4" w:space="0" w:color="auto"/>
              <w:right w:val="single" w:sz="4" w:space="0" w:color="auto"/>
            </w:tcBorders>
            <w:shd w:val="clear" w:color="auto" w:fill="auto"/>
            <w:hideMark/>
          </w:tcPr>
          <w:p w:rsidR="00066756" w:rsidRPr="00D873CF" w:rsidRDefault="00066756" w:rsidP="00BE0B57">
            <w:pPr>
              <w:numPr>
                <w:ilvl w:val="0"/>
                <w:numId w:val="2"/>
              </w:numPr>
              <w:rPr>
                <w:rFonts w:ascii="Arial" w:hAnsi="Arial" w:cs="Arial"/>
                <w:bCs/>
              </w:rPr>
            </w:pPr>
            <w:r w:rsidRPr="00D873CF">
              <w:rPr>
                <w:rFonts w:ascii="Arial" w:hAnsi="Arial" w:cs="Arial"/>
                <w:bCs/>
              </w:rPr>
              <w:t>Infrastructure Grants</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066756" w:rsidRPr="00D873CF" w:rsidRDefault="00066756" w:rsidP="00B450E4">
            <w:pPr>
              <w:jc w:val="right"/>
              <w:rPr>
                <w:rFonts w:ascii="Arial" w:hAnsi="Arial" w:cs="Arial"/>
                <w:bCs/>
              </w:rPr>
            </w:pPr>
            <w:r w:rsidRPr="00D873CF">
              <w:rPr>
                <w:rFonts w:ascii="Arial" w:hAnsi="Arial" w:cs="Arial"/>
                <w:bCs/>
              </w:rPr>
              <w:t>$69,801,980</w:t>
            </w:r>
          </w:p>
        </w:tc>
        <w:tc>
          <w:tcPr>
            <w:tcW w:w="1695" w:type="dxa"/>
            <w:tcBorders>
              <w:top w:val="single" w:sz="4" w:space="0" w:color="auto"/>
              <w:left w:val="nil"/>
              <w:bottom w:val="single" w:sz="4" w:space="0" w:color="auto"/>
              <w:right w:val="single" w:sz="4" w:space="0" w:color="auto"/>
            </w:tcBorders>
            <w:shd w:val="clear" w:color="auto" w:fill="auto"/>
            <w:noWrap/>
            <w:vAlign w:val="bottom"/>
            <w:hideMark/>
          </w:tcPr>
          <w:p w:rsidR="00066756" w:rsidRPr="00D873CF" w:rsidRDefault="00A53979" w:rsidP="00B450E4">
            <w:pPr>
              <w:jc w:val="right"/>
              <w:rPr>
                <w:rFonts w:ascii="Arial" w:hAnsi="Arial" w:cs="Arial"/>
                <w:bCs/>
              </w:rPr>
            </w:pPr>
            <w:r>
              <w:rPr>
                <w:rFonts w:ascii="Arial" w:hAnsi="Arial" w:cs="Arial"/>
                <w:bCs/>
              </w:rPr>
              <w:t>$80,32</w:t>
            </w:r>
            <w:r w:rsidR="00066756" w:rsidRPr="00D873CF">
              <w:rPr>
                <w:rFonts w:ascii="Arial" w:hAnsi="Arial" w:cs="Arial"/>
                <w:bCs/>
              </w:rPr>
              <w:t>4,960</w:t>
            </w:r>
          </w:p>
        </w:tc>
      </w:tr>
      <w:tr w:rsidR="00066756" w:rsidRPr="00D873CF" w:rsidTr="00BE0B57">
        <w:trPr>
          <w:trHeight w:val="255"/>
        </w:trPr>
        <w:tc>
          <w:tcPr>
            <w:tcW w:w="5315" w:type="dxa"/>
            <w:tcBorders>
              <w:top w:val="nil"/>
              <w:left w:val="single" w:sz="4" w:space="0" w:color="auto"/>
              <w:bottom w:val="single" w:sz="4" w:space="0" w:color="auto"/>
              <w:right w:val="single" w:sz="4" w:space="0" w:color="auto"/>
            </w:tcBorders>
            <w:shd w:val="clear" w:color="auto" w:fill="auto"/>
            <w:hideMark/>
          </w:tcPr>
          <w:p w:rsidR="00066756" w:rsidRPr="00D873CF" w:rsidRDefault="00066756" w:rsidP="00BE0B57">
            <w:pPr>
              <w:numPr>
                <w:ilvl w:val="0"/>
                <w:numId w:val="2"/>
              </w:numPr>
              <w:rPr>
                <w:rFonts w:ascii="Arial" w:hAnsi="Arial" w:cs="Arial"/>
                <w:bCs/>
              </w:rPr>
            </w:pPr>
            <w:r w:rsidRPr="00D873CF">
              <w:rPr>
                <w:rFonts w:ascii="Arial" w:hAnsi="Arial" w:cs="Arial"/>
                <w:bCs/>
              </w:rPr>
              <w:t>Consortia Grants</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066756" w:rsidRPr="00D873CF" w:rsidRDefault="00066756" w:rsidP="00B450E4">
            <w:pPr>
              <w:jc w:val="right"/>
              <w:rPr>
                <w:rFonts w:ascii="Arial" w:hAnsi="Arial" w:cs="Arial"/>
                <w:bCs/>
              </w:rPr>
            </w:pPr>
            <w:r w:rsidRPr="00D873CF">
              <w:rPr>
                <w:rFonts w:ascii="Arial" w:hAnsi="Arial" w:cs="Arial"/>
                <w:bCs/>
              </w:rPr>
              <w:t>$3,798,285</w:t>
            </w:r>
          </w:p>
        </w:tc>
        <w:tc>
          <w:tcPr>
            <w:tcW w:w="1695" w:type="dxa"/>
            <w:tcBorders>
              <w:top w:val="single" w:sz="4" w:space="0" w:color="auto"/>
              <w:left w:val="nil"/>
              <w:bottom w:val="single" w:sz="4" w:space="0" w:color="auto"/>
              <w:right w:val="single" w:sz="4" w:space="0" w:color="auto"/>
            </w:tcBorders>
            <w:shd w:val="clear" w:color="auto" w:fill="auto"/>
            <w:noWrap/>
            <w:vAlign w:val="bottom"/>
            <w:hideMark/>
          </w:tcPr>
          <w:p w:rsidR="00066756" w:rsidRPr="00D873CF" w:rsidRDefault="00066756" w:rsidP="00B450E4">
            <w:pPr>
              <w:jc w:val="right"/>
              <w:rPr>
                <w:rFonts w:ascii="Arial" w:hAnsi="Arial" w:cs="Arial"/>
                <w:bCs/>
              </w:rPr>
            </w:pPr>
            <w:r w:rsidRPr="00D873CF">
              <w:rPr>
                <w:rFonts w:ascii="Arial" w:hAnsi="Arial" w:cs="Arial"/>
                <w:bCs/>
              </w:rPr>
              <w:t>$0</w:t>
            </w:r>
          </w:p>
        </w:tc>
      </w:tr>
      <w:tr w:rsidR="00066756" w:rsidRPr="00D873CF" w:rsidTr="00BE0B57">
        <w:trPr>
          <w:trHeight w:val="255"/>
        </w:trPr>
        <w:tc>
          <w:tcPr>
            <w:tcW w:w="5315" w:type="dxa"/>
            <w:tcBorders>
              <w:top w:val="nil"/>
              <w:left w:val="single" w:sz="4" w:space="0" w:color="auto"/>
              <w:bottom w:val="single" w:sz="4" w:space="0" w:color="auto"/>
              <w:right w:val="single" w:sz="4" w:space="0" w:color="auto"/>
            </w:tcBorders>
            <w:shd w:val="clear" w:color="auto" w:fill="auto"/>
            <w:hideMark/>
          </w:tcPr>
          <w:p w:rsidR="00066756" w:rsidRPr="00D873CF" w:rsidRDefault="00066756" w:rsidP="00BE0B57">
            <w:pPr>
              <w:numPr>
                <w:ilvl w:val="0"/>
                <w:numId w:val="2"/>
              </w:numPr>
              <w:rPr>
                <w:rFonts w:ascii="Arial" w:hAnsi="Arial" w:cs="Arial"/>
                <w:bCs/>
              </w:rPr>
            </w:pPr>
            <w:r w:rsidRPr="00F16726">
              <w:rPr>
                <w:rFonts w:ascii="Arial" w:hAnsi="Arial" w:cs="Arial"/>
                <w:bCs/>
              </w:rPr>
              <w:t xml:space="preserve">Infrastructure Revolving </w:t>
            </w:r>
            <w:r w:rsidRPr="00D873CF">
              <w:rPr>
                <w:rFonts w:ascii="Arial" w:hAnsi="Arial" w:cs="Arial"/>
                <w:bCs/>
              </w:rPr>
              <w:t>Loans</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066756" w:rsidRPr="00D873CF" w:rsidRDefault="00066756" w:rsidP="00B450E4">
            <w:pPr>
              <w:jc w:val="right"/>
              <w:rPr>
                <w:rFonts w:ascii="Arial" w:hAnsi="Arial" w:cs="Arial"/>
                <w:bCs/>
              </w:rPr>
            </w:pPr>
            <w:r w:rsidRPr="00D873CF">
              <w:rPr>
                <w:rFonts w:ascii="Arial" w:hAnsi="Arial" w:cs="Arial"/>
                <w:bCs/>
              </w:rPr>
              <w:t>$6,085,287</w:t>
            </w:r>
          </w:p>
        </w:tc>
        <w:tc>
          <w:tcPr>
            <w:tcW w:w="1695" w:type="dxa"/>
            <w:tcBorders>
              <w:top w:val="single" w:sz="4" w:space="0" w:color="auto"/>
              <w:left w:val="nil"/>
              <w:bottom w:val="single" w:sz="4" w:space="0" w:color="auto"/>
              <w:right w:val="single" w:sz="4" w:space="0" w:color="auto"/>
            </w:tcBorders>
            <w:shd w:val="clear" w:color="auto" w:fill="auto"/>
            <w:noWrap/>
            <w:vAlign w:val="bottom"/>
            <w:hideMark/>
          </w:tcPr>
          <w:p w:rsidR="00066756" w:rsidRPr="00D873CF" w:rsidRDefault="00066756" w:rsidP="00B450E4">
            <w:pPr>
              <w:jc w:val="right"/>
              <w:rPr>
                <w:rFonts w:ascii="Arial" w:hAnsi="Arial" w:cs="Arial"/>
                <w:bCs/>
              </w:rPr>
            </w:pPr>
            <w:r w:rsidRPr="00D873CF">
              <w:rPr>
                <w:rFonts w:ascii="Arial" w:hAnsi="Arial" w:cs="Arial"/>
                <w:bCs/>
              </w:rPr>
              <w:t>$3,456,986</w:t>
            </w:r>
          </w:p>
        </w:tc>
      </w:tr>
      <w:tr w:rsidR="00066756" w:rsidRPr="00D873CF" w:rsidTr="00BE0B57">
        <w:trPr>
          <w:trHeight w:val="255"/>
        </w:trPr>
        <w:tc>
          <w:tcPr>
            <w:tcW w:w="5315" w:type="dxa"/>
            <w:tcBorders>
              <w:top w:val="nil"/>
              <w:left w:val="single" w:sz="4" w:space="0" w:color="auto"/>
              <w:bottom w:val="single" w:sz="4" w:space="0" w:color="auto"/>
              <w:right w:val="single" w:sz="4" w:space="0" w:color="auto"/>
            </w:tcBorders>
            <w:shd w:val="clear" w:color="auto" w:fill="auto"/>
            <w:hideMark/>
          </w:tcPr>
          <w:p w:rsidR="00066756" w:rsidRPr="00D873CF" w:rsidRDefault="00066756" w:rsidP="00BE0B57">
            <w:pPr>
              <w:numPr>
                <w:ilvl w:val="0"/>
                <w:numId w:val="2"/>
              </w:numPr>
              <w:rPr>
                <w:rFonts w:ascii="Arial" w:hAnsi="Arial" w:cs="Arial"/>
                <w:bCs/>
              </w:rPr>
            </w:pPr>
            <w:r w:rsidRPr="00D873CF">
              <w:rPr>
                <w:rFonts w:ascii="Arial" w:hAnsi="Arial" w:cs="Arial"/>
                <w:bCs/>
              </w:rPr>
              <w:t xml:space="preserve">Public Housing </w:t>
            </w:r>
            <w:r w:rsidRPr="00F16726">
              <w:rPr>
                <w:rFonts w:ascii="Arial" w:hAnsi="Arial" w:cs="Arial"/>
                <w:bCs/>
              </w:rPr>
              <w:t>Grants/Loans</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066756" w:rsidRPr="00D873CF" w:rsidRDefault="00066756" w:rsidP="00B450E4">
            <w:pPr>
              <w:jc w:val="right"/>
              <w:rPr>
                <w:rFonts w:ascii="Arial" w:hAnsi="Arial" w:cs="Arial"/>
                <w:bCs/>
              </w:rPr>
            </w:pPr>
            <w:r w:rsidRPr="00D873CF">
              <w:rPr>
                <w:rFonts w:ascii="Arial" w:hAnsi="Arial" w:cs="Arial"/>
                <w:bCs/>
              </w:rPr>
              <w:t>$14,325,448</w:t>
            </w:r>
          </w:p>
        </w:tc>
        <w:tc>
          <w:tcPr>
            <w:tcW w:w="1695" w:type="dxa"/>
            <w:tcBorders>
              <w:top w:val="single" w:sz="4" w:space="0" w:color="auto"/>
              <w:left w:val="nil"/>
              <w:bottom w:val="single" w:sz="4" w:space="0" w:color="auto"/>
              <w:right w:val="single" w:sz="4" w:space="0" w:color="auto"/>
            </w:tcBorders>
            <w:shd w:val="clear" w:color="auto" w:fill="auto"/>
            <w:noWrap/>
            <w:vAlign w:val="bottom"/>
            <w:hideMark/>
          </w:tcPr>
          <w:p w:rsidR="00066756" w:rsidRPr="00D873CF" w:rsidRDefault="00066756" w:rsidP="00B450E4">
            <w:pPr>
              <w:jc w:val="right"/>
              <w:rPr>
                <w:rFonts w:ascii="Arial" w:hAnsi="Arial" w:cs="Arial"/>
                <w:bCs/>
              </w:rPr>
            </w:pPr>
            <w:r w:rsidRPr="00D873CF">
              <w:rPr>
                <w:rFonts w:ascii="Arial" w:hAnsi="Arial" w:cs="Arial"/>
                <w:bCs/>
              </w:rPr>
              <w:t>$10,</w:t>
            </w:r>
            <w:r w:rsidR="00A53979">
              <w:rPr>
                <w:rFonts w:ascii="Arial" w:hAnsi="Arial" w:cs="Arial"/>
                <w:bCs/>
              </w:rPr>
              <w:t>229</w:t>
            </w:r>
            <w:r w:rsidRPr="00D873CF">
              <w:rPr>
                <w:rFonts w:ascii="Arial" w:hAnsi="Arial" w:cs="Arial"/>
                <w:bCs/>
              </w:rPr>
              <w:t>,054</w:t>
            </w:r>
          </w:p>
        </w:tc>
      </w:tr>
      <w:tr w:rsidR="00D873CF" w:rsidRPr="00D873CF" w:rsidTr="00911739">
        <w:trPr>
          <w:trHeight w:val="255"/>
        </w:trPr>
        <w:tc>
          <w:tcPr>
            <w:tcW w:w="5315" w:type="dxa"/>
            <w:tcBorders>
              <w:top w:val="nil"/>
              <w:left w:val="single" w:sz="4" w:space="0" w:color="auto"/>
              <w:bottom w:val="single" w:sz="4" w:space="0" w:color="auto"/>
              <w:right w:val="single" w:sz="4" w:space="0" w:color="auto"/>
            </w:tcBorders>
            <w:shd w:val="clear" w:color="000000" w:fill="B8CCE4"/>
            <w:hideMark/>
          </w:tcPr>
          <w:p w:rsidR="00D873CF" w:rsidRPr="00D873CF" w:rsidRDefault="00D873CF" w:rsidP="00D873CF">
            <w:pPr>
              <w:rPr>
                <w:rFonts w:ascii="Arial" w:hAnsi="Arial" w:cs="Arial"/>
                <w:b/>
                <w:bCs/>
              </w:rPr>
            </w:pPr>
            <w:r w:rsidRPr="00D873CF">
              <w:rPr>
                <w:rFonts w:ascii="Arial" w:hAnsi="Arial" w:cs="Arial"/>
                <w:b/>
                <w:bCs/>
              </w:rPr>
              <w:t>8660 Public Utilities Commission</w:t>
            </w:r>
            <w:r w:rsidR="00A53979">
              <w:rPr>
                <w:rFonts w:ascii="Arial" w:hAnsi="Arial" w:cs="Arial"/>
                <w:b/>
                <w:bCs/>
              </w:rPr>
              <w:t xml:space="preserve"> Total</w:t>
            </w:r>
          </w:p>
        </w:tc>
        <w:tc>
          <w:tcPr>
            <w:tcW w:w="1710" w:type="dxa"/>
            <w:tcBorders>
              <w:top w:val="nil"/>
              <w:left w:val="nil"/>
              <w:bottom w:val="single" w:sz="4" w:space="0" w:color="auto"/>
              <w:right w:val="single" w:sz="4" w:space="0" w:color="auto"/>
            </w:tcBorders>
            <w:shd w:val="clear" w:color="000000" w:fill="B8CCE4"/>
            <w:noWrap/>
            <w:vAlign w:val="bottom"/>
            <w:hideMark/>
          </w:tcPr>
          <w:p w:rsidR="00D873CF" w:rsidRPr="00D873CF" w:rsidRDefault="00D873CF" w:rsidP="00D873CF">
            <w:pPr>
              <w:jc w:val="right"/>
              <w:rPr>
                <w:rFonts w:ascii="Arial" w:hAnsi="Arial" w:cs="Arial"/>
                <w:b/>
                <w:bCs/>
              </w:rPr>
            </w:pPr>
            <w:r w:rsidRPr="00D873CF">
              <w:rPr>
                <w:rFonts w:ascii="Arial" w:hAnsi="Arial" w:cs="Arial"/>
                <w:b/>
                <w:bCs/>
              </w:rPr>
              <w:t>$97,783,000</w:t>
            </w:r>
          </w:p>
        </w:tc>
        <w:tc>
          <w:tcPr>
            <w:tcW w:w="1695" w:type="dxa"/>
            <w:tcBorders>
              <w:top w:val="nil"/>
              <w:left w:val="nil"/>
              <w:bottom w:val="single" w:sz="4" w:space="0" w:color="auto"/>
              <w:right w:val="single" w:sz="4" w:space="0" w:color="auto"/>
            </w:tcBorders>
            <w:shd w:val="clear" w:color="000000" w:fill="B8CCE4"/>
            <w:noWrap/>
            <w:vAlign w:val="bottom"/>
            <w:hideMark/>
          </w:tcPr>
          <w:p w:rsidR="00D873CF" w:rsidRPr="00D873CF" w:rsidRDefault="00D873CF" w:rsidP="00D873CF">
            <w:pPr>
              <w:jc w:val="right"/>
              <w:rPr>
                <w:rFonts w:ascii="Arial" w:hAnsi="Arial" w:cs="Arial"/>
                <w:b/>
                <w:bCs/>
              </w:rPr>
            </w:pPr>
            <w:r w:rsidRPr="00D873CF">
              <w:rPr>
                <w:rFonts w:ascii="Arial" w:hAnsi="Arial" w:cs="Arial"/>
                <w:b/>
                <w:bCs/>
              </w:rPr>
              <w:t>$97,783,000</w:t>
            </w:r>
          </w:p>
        </w:tc>
      </w:tr>
      <w:tr w:rsidR="00A53979" w:rsidRPr="00A53979" w:rsidTr="00BE0B57">
        <w:trPr>
          <w:trHeight w:val="255"/>
        </w:trPr>
        <w:tc>
          <w:tcPr>
            <w:tcW w:w="5315" w:type="dxa"/>
            <w:tcBorders>
              <w:top w:val="nil"/>
              <w:left w:val="single" w:sz="4" w:space="0" w:color="auto"/>
              <w:bottom w:val="single" w:sz="4" w:space="0" w:color="auto"/>
              <w:right w:val="single" w:sz="4" w:space="0" w:color="auto"/>
            </w:tcBorders>
            <w:shd w:val="clear" w:color="auto" w:fill="auto"/>
            <w:hideMark/>
          </w:tcPr>
          <w:p w:rsidR="00A53979" w:rsidRPr="00A53979" w:rsidRDefault="00A53979" w:rsidP="00A53979">
            <w:pPr>
              <w:rPr>
                <w:rFonts w:ascii="Arial" w:hAnsi="Arial" w:cs="Arial"/>
                <w:b/>
                <w:bCs/>
              </w:rPr>
            </w:pPr>
            <w:r w:rsidRPr="00A53979">
              <w:rPr>
                <w:rFonts w:ascii="Arial" w:hAnsi="Arial" w:cs="Arial"/>
                <w:b/>
                <w:bCs/>
              </w:rPr>
              <w:t xml:space="preserve">0840 State Controller (State Operations) </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A53979" w:rsidRPr="00A53979" w:rsidRDefault="00A53979" w:rsidP="00A53979">
            <w:pPr>
              <w:jc w:val="right"/>
              <w:rPr>
                <w:rFonts w:ascii="Arial" w:hAnsi="Arial" w:cs="Arial"/>
                <w:b/>
                <w:bCs/>
              </w:rPr>
            </w:pPr>
            <w:r w:rsidRPr="00A53979">
              <w:rPr>
                <w:rFonts w:ascii="Arial" w:hAnsi="Arial" w:cs="Arial"/>
                <w:b/>
                <w:bCs/>
              </w:rPr>
              <w:t>$451</w:t>
            </w:r>
          </w:p>
        </w:tc>
        <w:tc>
          <w:tcPr>
            <w:tcW w:w="1695" w:type="dxa"/>
            <w:tcBorders>
              <w:top w:val="single" w:sz="4" w:space="0" w:color="auto"/>
              <w:left w:val="nil"/>
              <w:bottom w:val="single" w:sz="4" w:space="0" w:color="auto"/>
              <w:right w:val="single" w:sz="4" w:space="0" w:color="auto"/>
            </w:tcBorders>
            <w:shd w:val="clear" w:color="auto" w:fill="auto"/>
            <w:noWrap/>
            <w:vAlign w:val="bottom"/>
            <w:hideMark/>
          </w:tcPr>
          <w:p w:rsidR="00A53979" w:rsidRPr="00A53979" w:rsidRDefault="00A53979" w:rsidP="00A53979">
            <w:pPr>
              <w:jc w:val="right"/>
              <w:rPr>
                <w:rFonts w:ascii="Arial" w:hAnsi="Arial" w:cs="Arial"/>
                <w:b/>
                <w:bCs/>
              </w:rPr>
            </w:pPr>
            <w:r w:rsidRPr="00A53979">
              <w:rPr>
                <w:rFonts w:ascii="Arial" w:hAnsi="Arial" w:cs="Arial"/>
                <w:b/>
                <w:bCs/>
              </w:rPr>
              <w:t>$451</w:t>
            </w:r>
          </w:p>
        </w:tc>
      </w:tr>
      <w:tr w:rsidR="00066756" w:rsidRPr="00066756" w:rsidTr="00066756">
        <w:trPr>
          <w:trHeight w:val="255"/>
        </w:trPr>
        <w:tc>
          <w:tcPr>
            <w:tcW w:w="5315" w:type="dxa"/>
            <w:tcBorders>
              <w:top w:val="nil"/>
              <w:left w:val="single" w:sz="4" w:space="0" w:color="auto"/>
              <w:bottom w:val="single" w:sz="4" w:space="0" w:color="auto"/>
              <w:right w:val="single" w:sz="4" w:space="0" w:color="auto"/>
            </w:tcBorders>
            <w:shd w:val="clear" w:color="auto" w:fill="auto"/>
            <w:hideMark/>
          </w:tcPr>
          <w:p w:rsidR="00066756" w:rsidRPr="00A53979" w:rsidRDefault="00066756" w:rsidP="00066756">
            <w:pPr>
              <w:rPr>
                <w:rFonts w:ascii="Arial" w:hAnsi="Arial" w:cs="Arial"/>
                <w:b/>
                <w:bCs/>
              </w:rPr>
            </w:pPr>
            <w:r w:rsidRPr="00A53979">
              <w:rPr>
                <w:rFonts w:ascii="Arial" w:hAnsi="Arial" w:cs="Arial"/>
                <w:b/>
                <w:bCs/>
              </w:rPr>
              <w:t>8880 Financial Information System for California (State Operations)</w:t>
            </w:r>
          </w:p>
        </w:tc>
        <w:tc>
          <w:tcPr>
            <w:tcW w:w="1710" w:type="dxa"/>
            <w:tcBorders>
              <w:top w:val="nil"/>
              <w:left w:val="nil"/>
              <w:bottom w:val="single" w:sz="4" w:space="0" w:color="auto"/>
              <w:right w:val="single" w:sz="4" w:space="0" w:color="auto"/>
            </w:tcBorders>
            <w:shd w:val="clear" w:color="auto" w:fill="auto"/>
            <w:noWrap/>
            <w:vAlign w:val="bottom"/>
            <w:hideMark/>
          </w:tcPr>
          <w:p w:rsidR="00066756" w:rsidRPr="00A53979" w:rsidRDefault="00066756" w:rsidP="00A53979">
            <w:pPr>
              <w:jc w:val="right"/>
              <w:rPr>
                <w:rFonts w:ascii="Arial" w:hAnsi="Arial" w:cs="Arial"/>
                <w:b/>
                <w:bCs/>
              </w:rPr>
            </w:pPr>
            <w:r w:rsidRPr="00A53979">
              <w:rPr>
                <w:rFonts w:ascii="Arial" w:hAnsi="Arial" w:cs="Arial"/>
                <w:b/>
                <w:bCs/>
              </w:rPr>
              <w:t xml:space="preserve"> </w:t>
            </w:r>
            <w:r w:rsidR="00A53979" w:rsidRPr="00A53979">
              <w:rPr>
                <w:rFonts w:ascii="Arial" w:hAnsi="Arial" w:cs="Arial"/>
                <w:b/>
                <w:bCs/>
              </w:rPr>
              <w:t>$48,000</w:t>
            </w:r>
          </w:p>
        </w:tc>
        <w:tc>
          <w:tcPr>
            <w:tcW w:w="1695" w:type="dxa"/>
            <w:tcBorders>
              <w:top w:val="nil"/>
              <w:left w:val="nil"/>
              <w:bottom w:val="single" w:sz="4" w:space="0" w:color="auto"/>
              <w:right w:val="single" w:sz="4" w:space="0" w:color="auto"/>
            </w:tcBorders>
            <w:shd w:val="clear" w:color="auto" w:fill="auto"/>
            <w:noWrap/>
            <w:vAlign w:val="bottom"/>
          </w:tcPr>
          <w:p w:rsidR="00066756" w:rsidRPr="00066756" w:rsidRDefault="00A53979" w:rsidP="00A53979">
            <w:pPr>
              <w:jc w:val="right"/>
              <w:rPr>
                <w:rFonts w:ascii="Arial" w:hAnsi="Arial" w:cs="Arial"/>
                <w:b/>
                <w:bCs/>
              </w:rPr>
            </w:pPr>
            <w:r w:rsidRPr="00A53979">
              <w:rPr>
                <w:rFonts w:ascii="Arial" w:hAnsi="Arial" w:cs="Arial"/>
                <w:b/>
                <w:bCs/>
              </w:rPr>
              <w:t>$48,000</w:t>
            </w:r>
          </w:p>
        </w:tc>
      </w:tr>
      <w:tr w:rsidR="00066756" w:rsidRPr="00D873CF" w:rsidTr="00BE0B57">
        <w:trPr>
          <w:trHeight w:val="255"/>
        </w:trPr>
        <w:tc>
          <w:tcPr>
            <w:tcW w:w="5315" w:type="dxa"/>
            <w:tcBorders>
              <w:top w:val="nil"/>
              <w:left w:val="single" w:sz="4" w:space="0" w:color="auto"/>
              <w:bottom w:val="single" w:sz="4" w:space="0" w:color="auto"/>
              <w:right w:val="single" w:sz="4" w:space="0" w:color="auto"/>
            </w:tcBorders>
            <w:shd w:val="clear" w:color="000000" w:fill="B8CCE4"/>
            <w:hideMark/>
          </w:tcPr>
          <w:p w:rsidR="00066756" w:rsidRPr="00A53979" w:rsidRDefault="00A53979" w:rsidP="00BE0B57">
            <w:pPr>
              <w:rPr>
                <w:rFonts w:ascii="Arial" w:hAnsi="Arial" w:cs="Arial"/>
                <w:b/>
                <w:bCs/>
              </w:rPr>
            </w:pPr>
            <w:r w:rsidRPr="00A53979">
              <w:rPr>
                <w:rFonts w:ascii="Arial" w:hAnsi="Arial" w:cs="Arial"/>
                <w:b/>
                <w:bCs/>
              </w:rPr>
              <w:t>TOTAL FY</w:t>
            </w:r>
            <w:r>
              <w:rPr>
                <w:rFonts w:ascii="Arial" w:hAnsi="Arial" w:cs="Arial"/>
                <w:b/>
                <w:bCs/>
              </w:rPr>
              <w:t xml:space="preserve"> 2015-2016 BUDGET</w:t>
            </w:r>
          </w:p>
        </w:tc>
        <w:tc>
          <w:tcPr>
            <w:tcW w:w="1710" w:type="dxa"/>
            <w:tcBorders>
              <w:top w:val="nil"/>
              <w:left w:val="nil"/>
              <w:bottom w:val="single" w:sz="4" w:space="0" w:color="auto"/>
              <w:right w:val="single" w:sz="4" w:space="0" w:color="auto"/>
            </w:tcBorders>
            <w:shd w:val="clear" w:color="000000" w:fill="B8CCE4"/>
            <w:noWrap/>
            <w:vAlign w:val="bottom"/>
            <w:hideMark/>
          </w:tcPr>
          <w:p w:rsidR="00066756" w:rsidRPr="00A53979" w:rsidRDefault="00A53979" w:rsidP="00A53979">
            <w:pPr>
              <w:jc w:val="right"/>
              <w:rPr>
                <w:rFonts w:ascii="Arial" w:hAnsi="Arial" w:cs="Arial"/>
                <w:b/>
                <w:bCs/>
              </w:rPr>
            </w:pPr>
            <w:r>
              <w:rPr>
                <w:rFonts w:ascii="Arial" w:hAnsi="Arial" w:cs="Arial"/>
                <w:b/>
                <w:bCs/>
              </w:rPr>
              <w:t>$97,831,451</w:t>
            </w:r>
          </w:p>
        </w:tc>
        <w:tc>
          <w:tcPr>
            <w:tcW w:w="1695" w:type="dxa"/>
            <w:tcBorders>
              <w:top w:val="nil"/>
              <w:left w:val="nil"/>
              <w:bottom w:val="single" w:sz="4" w:space="0" w:color="auto"/>
              <w:right w:val="single" w:sz="4" w:space="0" w:color="auto"/>
            </w:tcBorders>
            <w:shd w:val="clear" w:color="000000" w:fill="B8CCE4"/>
            <w:noWrap/>
            <w:vAlign w:val="bottom"/>
            <w:hideMark/>
          </w:tcPr>
          <w:p w:rsidR="00066756" w:rsidRPr="00D873CF" w:rsidRDefault="00A53979" w:rsidP="00A53979">
            <w:pPr>
              <w:jc w:val="right"/>
              <w:rPr>
                <w:rFonts w:ascii="Arial" w:hAnsi="Arial" w:cs="Arial"/>
                <w:b/>
                <w:bCs/>
              </w:rPr>
            </w:pPr>
            <w:r>
              <w:rPr>
                <w:rFonts w:ascii="Arial" w:hAnsi="Arial" w:cs="Arial"/>
                <w:b/>
                <w:bCs/>
              </w:rPr>
              <w:t>$97,831,451</w:t>
            </w:r>
          </w:p>
        </w:tc>
      </w:tr>
    </w:tbl>
    <w:p w:rsidR="00E3362A" w:rsidRDefault="00E3362A" w:rsidP="008419AF">
      <w:pPr>
        <w:tabs>
          <w:tab w:val="left" w:pos="-1440"/>
          <w:tab w:val="left" w:pos="-720"/>
        </w:tabs>
        <w:suppressAutoHyphens/>
        <w:jc w:val="center"/>
        <w:rPr>
          <w:sz w:val="24"/>
          <w:szCs w:val="24"/>
          <w:u w:val="single"/>
        </w:rPr>
      </w:pPr>
    </w:p>
    <w:p w:rsidR="00FE2EB0" w:rsidRDefault="00FE2EB0" w:rsidP="008419AF">
      <w:pPr>
        <w:tabs>
          <w:tab w:val="left" w:pos="-1440"/>
          <w:tab w:val="left" w:pos="-720"/>
        </w:tabs>
        <w:suppressAutoHyphens/>
        <w:jc w:val="center"/>
        <w:rPr>
          <w:sz w:val="24"/>
          <w:szCs w:val="24"/>
          <w:u w:val="single"/>
        </w:rPr>
      </w:pPr>
    </w:p>
    <w:p w:rsidR="00B450E4" w:rsidRPr="00B450E4" w:rsidRDefault="00B450E4" w:rsidP="00F076F8">
      <w:pPr>
        <w:tabs>
          <w:tab w:val="left" w:pos="-1440"/>
          <w:tab w:val="left" w:pos="-720"/>
        </w:tabs>
        <w:suppressAutoHyphens/>
        <w:spacing w:after="120"/>
        <w:rPr>
          <w:i/>
          <w:sz w:val="24"/>
          <w:szCs w:val="24"/>
          <w:u w:val="single"/>
        </w:rPr>
      </w:pPr>
      <w:r w:rsidRPr="00B450E4">
        <w:rPr>
          <w:i/>
          <w:sz w:val="24"/>
          <w:szCs w:val="24"/>
          <w:u w:val="single"/>
        </w:rPr>
        <w:t xml:space="preserve">CPUC State Operations </w:t>
      </w:r>
    </w:p>
    <w:p w:rsidR="00FE2EB0" w:rsidRDefault="008D728B" w:rsidP="000311BE">
      <w:pPr>
        <w:tabs>
          <w:tab w:val="left" w:pos="-1440"/>
          <w:tab w:val="left" w:pos="-720"/>
        </w:tabs>
        <w:suppressAutoHyphens/>
        <w:rPr>
          <w:sz w:val="24"/>
          <w:szCs w:val="24"/>
        </w:rPr>
      </w:pPr>
      <w:r>
        <w:rPr>
          <w:sz w:val="24"/>
          <w:szCs w:val="24"/>
        </w:rPr>
        <w:t>The estimated budget for CPUC State Operations for the CASF program in FY 2015-16 is the same as the budget appropriation for FY 2014-15</w:t>
      </w:r>
      <w:r w:rsidR="00CB5BDD">
        <w:rPr>
          <w:sz w:val="24"/>
          <w:szCs w:val="24"/>
        </w:rPr>
        <w:t xml:space="preserve"> </w:t>
      </w:r>
      <w:r w:rsidR="00067103">
        <w:rPr>
          <w:sz w:val="24"/>
          <w:szCs w:val="24"/>
        </w:rPr>
        <w:t xml:space="preserve">(i.e., </w:t>
      </w:r>
      <w:r w:rsidR="00CB5BDD">
        <w:rPr>
          <w:sz w:val="24"/>
          <w:szCs w:val="24"/>
        </w:rPr>
        <w:t>$3,772,000</w:t>
      </w:r>
      <w:r w:rsidR="00067103">
        <w:rPr>
          <w:sz w:val="24"/>
          <w:szCs w:val="24"/>
        </w:rPr>
        <w:t>)</w:t>
      </w:r>
      <w:r>
        <w:rPr>
          <w:sz w:val="24"/>
          <w:szCs w:val="24"/>
        </w:rPr>
        <w:t xml:space="preserve">.  </w:t>
      </w:r>
      <w:r w:rsidR="00067103" w:rsidRPr="00067103">
        <w:rPr>
          <w:sz w:val="24"/>
          <w:szCs w:val="24"/>
        </w:rPr>
        <w:t>CD allocated certain forecasted State Operations costs items to each of the four CASF Accounts according to the percentage share of each account’s funding to the total authorized funding of $315 million to the CASF program overall per SB 740</w:t>
      </w:r>
      <w:r w:rsidR="00067103">
        <w:rPr>
          <w:sz w:val="24"/>
          <w:szCs w:val="24"/>
        </w:rPr>
        <w:t>.</w:t>
      </w:r>
      <w:r w:rsidR="00067103">
        <w:rPr>
          <w:rStyle w:val="FootnoteReference"/>
          <w:sz w:val="24"/>
          <w:szCs w:val="24"/>
        </w:rPr>
        <w:footnoteReference w:id="6"/>
      </w:r>
      <w:r w:rsidR="00067103">
        <w:rPr>
          <w:sz w:val="24"/>
          <w:szCs w:val="24"/>
        </w:rPr>
        <w:t xml:space="preserve">  </w:t>
      </w:r>
      <w:r w:rsidR="00067103" w:rsidRPr="00067103">
        <w:rPr>
          <w:sz w:val="24"/>
          <w:szCs w:val="24"/>
        </w:rPr>
        <w:t xml:space="preserve">Other State Operations costs are fully </w:t>
      </w:r>
      <w:r w:rsidR="00067103">
        <w:rPr>
          <w:sz w:val="24"/>
          <w:szCs w:val="24"/>
        </w:rPr>
        <w:t>allocated to a specific account</w:t>
      </w:r>
      <w:r w:rsidR="00AD1263">
        <w:rPr>
          <w:sz w:val="24"/>
          <w:szCs w:val="24"/>
        </w:rPr>
        <w:t xml:space="preserve"> depending on the cost item</w:t>
      </w:r>
      <w:r w:rsidR="00067103" w:rsidRPr="00067103">
        <w:rPr>
          <w:sz w:val="24"/>
          <w:szCs w:val="24"/>
        </w:rPr>
        <w:t>.</w:t>
      </w:r>
    </w:p>
    <w:p w:rsidR="00067103" w:rsidRDefault="00067103" w:rsidP="00FE2EB0">
      <w:pPr>
        <w:tabs>
          <w:tab w:val="left" w:pos="-1440"/>
          <w:tab w:val="left" w:pos="-720"/>
        </w:tabs>
        <w:suppressAutoHyphens/>
        <w:rPr>
          <w:sz w:val="24"/>
          <w:szCs w:val="24"/>
        </w:rPr>
      </w:pPr>
      <w:r w:rsidRPr="00067103">
        <w:rPr>
          <w:sz w:val="24"/>
          <w:szCs w:val="24"/>
        </w:rPr>
        <w:t xml:space="preserve">  </w:t>
      </w:r>
    </w:p>
    <w:p w:rsidR="008D728B" w:rsidRDefault="008D728B" w:rsidP="009138AE">
      <w:pPr>
        <w:tabs>
          <w:tab w:val="left" w:pos="-1440"/>
          <w:tab w:val="left" w:pos="-720"/>
        </w:tabs>
        <w:suppressAutoHyphens/>
        <w:spacing w:after="120"/>
        <w:rPr>
          <w:sz w:val="24"/>
          <w:szCs w:val="24"/>
        </w:rPr>
      </w:pPr>
      <w:r>
        <w:rPr>
          <w:sz w:val="24"/>
          <w:szCs w:val="24"/>
        </w:rPr>
        <w:t xml:space="preserve">The </w:t>
      </w:r>
      <w:r w:rsidR="00067103">
        <w:rPr>
          <w:sz w:val="24"/>
          <w:szCs w:val="24"/>
        </w:rPr>
        <w:t xml:space="preserve">CPUC </w:t>
      </w:r>
      <w:r>
        <w:rPr>
          <w:sz w:val="24"/>
          <w:szCs w:val="24"/>
        </w:rPr>
        <w:t xml:space="preserve">State Operations costs include the following items: </w:t>
      </w:r>
    </w:p>
    <w:p w:rsidR="008D728B" w:rsidRDefault="008D728B" w:rsidP="00F076F8">
      <w:pPr>
        <w:numPr>
          <w:ilvl w:val="0"/>
          <w:numId w:val="10"/>
        </w:numPr>
        <w:tabs>
          <w:tab w:val="left" w:pos="-1440"/>
          <w:tab w:val="left" w:pos="-720"/>
        </w:tabs>
        <w:suppressAutoHyphens/>
        <w:spacing w:after="120"/>
        <w:ind w:left="360"/>
        <w:rPr>
          <w:sz w:val="24"/>
          <w:szCs w:val="24"/>
        </w:rPr>
      </w:pPr>
      <w:r w:rsidRPr="0064037D">
        <w:rPr>
          <w:i/>
          <w:sz w:val="24"/>
          <w:szCs w:val="24"/>
        </w:rPr>
        <w:t xml:space="preserve">CPUC </w:t>
      </w:r>
      <w:r w:rsidR="009138AE" w:rsidRPr="0064037D">
        <w:rPr>
          <w:i/>
          <w:sz w:val="24"/>
          <w:szCs w:val="24"/>
        </w:rPr>
        <w:t xml:space="preserve">staff costs directly associated with the administration of the CASF program </w:t>
      </w:r>
      <w:r w:rsidRPr="0064037D">
        <w:rPr>
          <w:i/>
          <w:sz w:val="24"/>
          <w:szCs w:val="24"/>
        </w:rPr>
        <w:t>(includes salaries and benefits)</w:t>
      </w:r>
      <w:r w:rsidR="0064037D" w:rsidRPr="0064037D">
        <w:rPr>
          <w:i/>
          <w:sz w:val="24"/>
          <w:szCs w:val="24"/>
        </w:rPr>
        <w:t>:</w:t>
      </w:r>
      <w:r w:rsidR="0064037D">
        <w:rPr>
          <w:sz w:val="24"/>
          <w:szCs w:val="24"/>
        </w:rPr>
        <w:t xml:space="preserve"> </w:t>
      </w:r>
      <w:r w:rsidR="009138AE">
        <w:rPr>
          <w:sz w:val="24"/>
          <w:szCs w:val="24"/>
        </w:rPr>
        <w:t xml:space="preserve"> </w:t>
      </w:r>
      <w:r w:rsidR="009138AE" w:rsidRPr="009138AE">
        <w:rPr>
          <w:sz w:val="24"/>
          <w:szCs w:val="24"/>
        </w:rPr>
        <w:t xml:space="preserve">The amount budgeted for this item is based on the number of positions that are directly charged to the CASF fund and allocated across each of the four CASF accounts either fully or prorated according to the percentages discussed </w:t>
      </w:r>
      <w:r w:rsidR="00067103">
        <w:rPr>
          <w:sz w:val="24"/>
          <w:szCs w:val="24"/>
        </w:rPr>
        <w:t>above depend</w:t>
      </w:r>
      <w:r w:rsidR="009138AE" w:rsidRPr="009138AE">
        <w:rPr>
          <w:sz w:val="24"/>
          <w:szCs w:val="24"/>
        </w:rPr>
        <w:t>ing on the position</w:t>
      </w:r>
      <w:r w:rsidR="008229C8">
        <w:rPr>
          <w:sz w:val="24"/>
          <w:szCs w:val="24"/>
        </w:rPr>
        <w:t>.</w:t>
      </w:r>
    </w:p>
    <w:p w:rsidR="00823FD8" w:rsidRDefault="008D728B" w:rsidP="00F076F8">
      <w:pPr>
        <w:numPr>
          <w:ilvl w:val="0"/>
          <w:numId w:val="10"/>
        </w:numPr>
        <w:tabs>
          <w:tab w:val="left" w:pos="-1440"/>
          <w:tab w:val="left" w:pos="-720"/>
        </w:tabs>
        <w:suppressAutoHyphens/>
        <w:spacing w:after="120"/>
        <w:ind w:left="360"/>
        <w:rPr>
          <w:sz w:val="24"/>
          <w:szCs w:val="24"/>
        </w:rPr>
      </w:pPr>
      <w:r w:rsidRPr="0064037D">
        <w:rPr>
          <w:i/>
          <w:sz w:val="24"/>
          <w:szCs w:val="24"/>
        </w:rPr>
        <w:t>Indirect personnel costs allocated to CASF</w:t>
      </w:r>
      <w:r w:rsidR="0064037D" w:rsidRPr="0064037D">
        <w:rPr>
          <w:i/>
          <w:sz w:val="24"/>
          <w:szCs w:val="24"/>
        </w:rPr>
        <w:t xml:space="preserve">:  </w:t>
      </w:r>
      <w:r w:rsidR="0064037D" w:rsidRPr="0064037D">
        <w:rPr>
          <w:sz w:val="24"/>
          <w:szCs w:val="24"/>
        </w:rPr>
        <w:t xml:space="preserve">Beginning July 1, 2014, the Commission implemented a new costs allocation plan that directs how CPUC’s administrative charges will be allocated to the sixteen special funds the agency administers, as well as </w:t>
      </w:r>
      <w:r w:rsidR="00823FD8">
        <w:rPr>
          <w:sz w:val="24"/>
          <w:szCs w:val="24"/>
        </w:rPr>
        <w:t>expenses</w:t>
      </w:r>
      <w:r w:rsidR="0064037D" w:rsidRPr="0064037D">
        <w:rPr>
          <w:sz w:val="24"/>
          <w:szCs w:val="24"/>
        </w:rPr>
        <w:t xml:space="preserve"> charged to grants.  Cost allocation expenditures (sometimes r</w:t>
      </w:r>
      <w:r w:rsidR="00823FD8">
        <w:rPr>
          <w:sz w:val="24"/>
          <w:szCs w:val="24"/>
        </w:rPr>
        <w:t>eferred to as indirect charges</w:t>
      </w:r>
      <w:r w:rsidR="0064037D" w:rsidRPr="0064037D">
        <w:rPr>
          <w:sz w:val="24"/>
          <w:szCs w:val="24"/>
        </w:rPr>
        <w:t>) include Administrative Services salaries and operating expenses (CPUC Accounting and Budget Offices, Business Services, Contracts, Human Resources and Information Technology), facilities operations (rent, security and utility expenses), as well as Executive Division, Administrative Law Judge, and a portion of shared, legal expenses.  Using the new cost allocation plan methodology administrative expenses are allocated to funds primarily on a Personnel Year (PY) basis; funds</w:t>
      </w:r>
      <w:r w:rsidR="00823FD8">
        <w:rPr>
          <w:sz w:val="24"/>
          <w:szCs w:val="24"/>
        </w:rPr>
        <w:t xml:space="preserve"> that support more staff </w:t>
      </w:r>
      <w:r w:rsidR="0064037D" w:rsidRPr="0064037D">
        <w:rPr>
          <w:sz w:val="24"/>
          <w:szCs w:val="24"/>
        </w:rPr>
        <w:t xml:space="preserve">proportionally </w:t>
      </w:r>
      <w:r w:rsidR="00823FD8">
        <w:rPr>
          <w:sz w:val="24"/>
          <w:szCs w:val="24"/>
        </w:rPr>
        <w:t>have more CPUC indirect charges</w:t>
      </w:r>
      <w:r w:rsidR="0064037D" w:rsidRPr="0064037D">
        <w:rPr>
          <w:sz w:val="24"/>
          <w:szCs w:val="24"/>
        </w:rPr>
        <w:t xml:space="preserve">.  CPUC initiated development of a new cost allocation plan as a corrective action in response to a 2013 Department of Finance audit that highlighted the agencies lack of an updated, comprehensive, and methodologically consistent plan for allocating </w:t>
      </w:r>
      <w:r w:rsidR="00823FD8">
        <w:rPr>
          <w:sz w:val="24"/>
          <w:szCs w:val="24"/>
        </w:rPr>
        <w:t>indirect charges</w:t>
      </w:r>
      <w:r w:rsidR="0064037D" w:rsidRPr="0064037D">
        <w:rPr>
          <w:sz w:val="24"/>
          <w:szCs w:val="24"/>
        </w:rPr>
        <w:t xml:space="preserve"> to special funds and grants.  </w:t>
      </w:r>
    </w:p>
    <w:p w:rsidR="008D728B" w:rsidRDefault="0064037D" w:rsidP="00823FD8">
      <w:pPr>
        <w:tabs>
          <w:tab w:val="left" w:pos="-1440"/>
          <w:tab w:val="left" w:pos="-720"/>
        </w:tabs>
        <w:suppressAutoHyphens/>
        <w:spacing w:after="120"/>
        <w:ind w:left="360"/>
        <w:rPr>
          <w:sz w:val="24"/>
          <w:szCs w:val="24"/>
        </w:rPr>
      </w:pPr>
      <w:r w:rsidRPr="0064037D">
        <w:rPr>
          <w:sz w:val="24"/>
          <w:szCs w:val="24"/>
        </w:rPr>
        <w:t xml:space="preserve">As a result of implementing the new plan, some CPUC special funds received higher proportions of costs allocation than had been allocated in previous years due to the changes in methodology related to defining administrative cost “pools” and PY analysis.  </w:t>
      </w:r>
      <w:r w:rsidR="00823FD8">
        <w:rPr>
          <w:sz w:val="24"/>
          <w:szCs w:val="24"/>
        </w:rPr>
        <w:t>Indirect charges</w:t>
      </w:r>
      <w:r w:rsidRPr="0064037D">
        <w:rPr>
          <w:sz w:val="24"/>
          <w:szCs w:val="24"/>
        </w:rPr>
        <w:t xml:space="preserve"> will be built in as line-items into all funds as part of</w:t>
      </w:r>
      <w:r w:rsidR="00067103">
        <w:rPr>
          <w:sz w:val="24"/>
          <w:szCs w:val="24"/>
        </w:rPr>
        <w:t xml:space="preserve"> FY 2015-16 budget proposals. The</w:t>
      </w:r>
      <w:r w:rsidR="00067103" w:rsidRPr="00067103">
        <w:rPr>
          <w:sz w:val="24"/>
          <w:szCs w:val="24"/>
        </w:rPr>
        <w:t xml:space="preserve"> total amount</w:t>
      </w:r>
      <w:r w:rsidR="00067103">
        <w:rPr>
          <w:sz w:val="24"/>
          <w:szCs w:val="24"/>
        </w:rPr>
        <w:t xml:space="preserve"> budgeted for FY 2015-16 is </w:t>
      </w:r>
      <w:r w:rsidR="00067103" w:rsidRPr="00067103">
        <w:rPr>
          <w:sz w:val="24"/>
          <w:szCs w:val="24"/>
        </w:rPr>
        <w:t>allocated across the four CASF accounts according to each account’s share of the total CASF authorized funding as discussed</w:t>
      </w:r>
      <w:r w:rsidR="00067103">
        <w:rPr>
          <w:sz w:val="24"/>
          <w:szCs w:val="24"/>
        </w:rPr>
        <w:t xml:space="preserve"> above</w:t>
      </w:r>
      <w:r w:rsidR="00067103" w:rsidRPr="00067103">
        <w:rPr>
          <w:sz w:val="24"/>
          <w:szCs w:val="24"/>
        </w:rPr>
        <w:t>.</w:t>
      </w:r>
    </w:p>
    <w:p w:rsidR="00CB5BDD" w:rsidRDefault="008D728B" w:rsidP="00F076F8">
      <w:pPr>
        <w:numPr>
          <w:ilvl w:val="0"/>
          <w:numId w:val="10"/>
        </w:numPr>
        <w:tabs>
          <w:tab w:val="left" w:pos="-1440"/>
          <w:tab w:val="left" w:pos="-720"/>
        </w:tabs>
        <w:suppressAutoHyphens/>
        <w:spacing w:after="120"/>
        <w:ind w:left="360"/>
        <w:rPr>
          <w:sz w:val="24"/>
          <w:szCs w:val="24"/>
        </w:rPr>
      </w:pPr>
      <w:r w:rsidRPr="0064037D">
        <w:rPr>
          <w:i/>
          <w:sz w:val="24"/>
          <w:szCs w:val="24"/>
        </w:rPr>
        <w:t>CPUC staff travel cost</w:t>
      </w:r>
      <w:r w:rsidR="008229C8">
        <w:rPr>
          <w:i/>
          <w:sz w:val="24"/>
          <w:szCs w:val="24"/>
        </w:rPr>
        <w:t>s</w:t>
      </w:r>
      <w:r w:rsidR="0064037D">
        <w:rPr>
          <w:i/>
          <w:sz w:val="24"/>
          <w:szCs w:val="24"/>
        </w:rPr>
        <w:t xml:space="preserve">: </w:t>
      </w:r>
      <w:r>
        <w:rPr>
          <w:sz w:val="24"/>
          <w:szCs w:val="24"/>
        </w:rPr>
        <w:t xml:space="preserve"> </w:t>
      </w:r>
      <w:r w:rsidR="0064037D">
        <w:rPr>
          <w:sz w:val="24"/>
          <w:szCs w:val="24"/>
        </w:rPr>
        <w:t xml:space="preserve">These reflect estimated travel expenses </w:t>
      </w:r>
      <w:r>
        <w:rPr>
          <w:sz w:val="24"/>
          <w:szCs w:val="24"/>
        </w:rPr>
        <w:t>to conduct</w:t>
      </w:r>
      <w:r w:rsidR="00CB5BDD">
        <w:rPr>
          <w:sz w:val="24"/>
          <w:szCs w:val="24"/>
        </w:rPr>
        <w:t xml:space="preserve"> field visits and inspections of ongoing and completed infrastructure and public housing projects, attend meetings with various consortia groups, and organize the annual Consortia Learning Summit</w:t>
      </w:r>
      <w:r w:rsidR="0064037D">
        <w:rPr>
          <w:sz w:val="24"/>
          <w:szCs w:val="24"/>
        </w:rPr>
        <w:t xml:space="preserve">.  </w:t>
      </w:r>
      <w:r w:rsidR="0064037D" w:rsidRPr="0064037D">
        <w:rPr>
          <w:sz w:val="24"/>
          <w:szCs w:val="24"/>
        </w:rPr>
        <w:t xml:space="preserve">Travel estimates considered historical costs and projected number of visits to project sites, consortia meetings, and attendance at the annual </w:t>
      </w:r>
      <w:r w:rsidR="008229C8">
        <w:rPr>
          <w:sz w:val="24"/>
          <w:szCs w:val="24"/>
        </w:rPr>
        <w:t xml:space="preserve">consortia </w:t>
      </w:r>
      <w:r w:rsidR="0064037D" w:rsidRPr="0064037D">
        <w:rPr>
          <w:sz w:val="24"/>
          <w:szCs w:val="24"/>
        </w:rPr>
        <w:t xml:space="preserve">summit.     </w:t>
      </w:r>
    </w:p>
    <w:p w:rsidR="0064037D" w:rsidRDefault="00CB5BDD" w:rsidP="00F076F8">
      <w:pPr>
        <w:numPr>
          <w:ilvl w:val="0"/>
          <w:numId w:val="10"/>
        </w:numPr>
        <w:tabs>
          <w:tab w:val="left" w:pos="-1440"/>
          <w:tab w:val="left" w:pos="-720"/>
        </w:tabs>
        <w:suppressAutoHyphens/>
        <w:spacing w:after="120"/>
        <w:ind w:left="360"/>
        <w:rPr>
          <w:sz w:val="24"/>
          <w:szCs w:val="24"/>
        </w:rPr>
      </w:pPr>
      <w:r w:rsidRPr="0064037D">
        <w:rPr>
          <w:i/>
          <w:sz w:val="24"/>
          <w:szCs w:val="24"/>
        </w:rPr>
        <w:t>C</w:t>
      </w:r>
      <w:r w:rsidR="008D728B" w:rsidRPr="0064037D">
        <w:rPr>
          <w:i/>
          <w:sz w:val="24"/>
          <w:szCs w:val="24"/>
        </w:rPr>
        <w:t>ontract and personnel services for loan underwriting and servicing</w:t>
      </w:r>
      <w:r w:rsidR="0064037D" w:rsidRPr="0064037D">
        <w:rPr>
          <w:i/>
          <w:sz w:val="24"/>
          <w:szCs w:val="24"/>
        </w:rPr>
        <w:t>:</w:t>
      </w:r>
      <w:r w:rsidR="0064037D">
        <w:rPr>
          <w:sz w:val="24"/>
          <w:szCs w:val="24"/>
        </w:rPr>
        <w:t xml:space="preserve">  T</w:t>
      </w:r>
      <w:r w:rsidR="0064037D" w:rsidRPr="0064037D">
        <w:rPr>
          <w:sz w:val="24"/>
          <w:szCs w:val="24"/>
        </w:rPr>
        <w:t xml:space="preserve">he Commission has contracted with an external agency to perform the financial eligibility review of loan applications, processing, and servicing of loans since the Commission does not have the staff or expertise to perform these functions.  The </w:t>
      </w:r>
      <w:r w:rsidR="0064037D">
        <w:rPr>
          <w:sz w:val="24"/>
          <w:szCs w:val="24"/>
        </w:rPr>
        <w:t>budget</w:t>
      </w:r>
      <w:r w:rsidR="008229C8">
        <w:rPr>
          <w:sz w:val="24"/>
          <w:szCs w:val="24"/>
        </w:rPr>
        <w:t xml:space="preserve"> for FY 2015-16</w:t>
      </w:r>
      <w:r w:rsidR="0064037D" w:rsidRPr="0064037D">
        <w:rPr>
          <w:sz w:val="24"/>
          <w:szCs w:val="24"/>
        </w:rPr>
        <w:t xml:space="preserve"> reflects the estimated cost of the contract for </w:t>
      </w:r>
      <w:r w:rsidR="008229C8">
        <w:rPr>
          <w:sz w:val="24"/>
          <w:szCs w:val="24"/>
        </w:rPr>
        <w:t>the fiscal year, which</w:t>
      </w:r>
      <w:r w:rsidR="0064037D" w:rsidRPr="0064037D">
        <w:rPr>
          <w:sz w:val="24"/>
          <w:szCs w:val="24"/>
        </w:rPr>
        <w:t xml:space="preserve"> include</w:t>
      </w:r>
      <w:r w:rsidR="008229C8">
        <w:rPr>
          <w:sz w:val="24"/>
          <w:szCs w:val="24"/>
        </w:rPr>
        <w:t>s</w:t>
      </w:r>
      <w:r w:rsidR="0064037D" w:rsidRPr="0064037D">
        <w:rPr>
          <w:sz w:val="24"/>
          <w:szCs w:val="24"/>
        </w:rPr>
        <w:t xml:space="preserve"> loan underwriting and financial eligibility review of applications and servicing of loans awarded under the Revolving Loan Account.</w:t>
      </w:r>
    </w:p>
    <w:p w:rsidR="0064037D" w:rsidRPr="0064037D" w:rsidRDefault="0064037D" w:rsidP="00F076F8">
      <w:pPr>
        <w:numPr>
          <w:ilvl w:val="0"/>
          <w:numId w:val="10"/>
        </w:numPr>
        <w:tabs>
          <w:tab w:val="left" w:pos="-1440"/>
          <w:tab w:val="left" w:pos="-720"/>
        </w:tabs>
        <w:suppressAutoHyphens/>
        <w:spacing w:after="120"/>
        <w:ind w:left="360"/>
        <w:rPr>
          <w:sz w:val="24"/>
          <w:szCs w:val="24"/>
        </w:rPr>
      </w:pPr>
      <w:r w:rsidRPr="0064037D">
        <w:rPr>
          <w:i/>
          <w:sz w:val="24"/>
          <w:szCs w:val="24"/>
        </w:rPr>
        <w:t xml:space="preserve">Contract and personnel services for </w:t>
      </w:r>
      <w:r w:rsidR="008D728B" w:rsidRPr="0064037D">
        <w:rPr>
          <w:i/>
          <w:sz w:val="24"/>
          <w:szCs w:val="24"/>
        </w:rPr>
        <w:t>broadban</w:t>
      </w:r>
      <w:r w:rsidR="00CB5BDD" w:rsidRPr="0064037D">
        <w:rPr>
          <w:i/>
          <w:sz w:val="24"/>
          <w:szCs w:val="24"/>
        </w:rPr>
        <w:t>d mapping</w:t>
      </w:r>
      <w:r w:rsidRPr="0064037D">
        <w:rPr>
          <w:i/>
          <w:sz w:val="24"/>
          <w:szCs w:val="24"/>
        </w:rPr>
        <w:t>:</w:t>
      </w:r>
      <w:r>
        <w:rPr>
          <w:sz w:val="24"/>
          <w:szCs w:val="24"/>
        </w:rPr>
        <w:t xml:space="preserve">  </w:t>
      </w:r>
      <w:r w:rsidRPr="0064037D">
        <w:rPr>
          <w:sz w:val="24"/>
          <w:szCs w:val="24"/>
        </w:rPr>
        <w:t>Under a 2009 federal grant of $2.3 million, the Commission collects information on broadband service availability in the state and created an interactive web-based map that will give California residents the ability to access information about the services and providers available at their own address.  To implement this grant, the CPUC partnered with California State University (CSU), Chico Research Foundation through a four-year agreement.  In addition, the Commission conducts a field test every six months measuring actual mobile broadband performance throughout the state, and has created mobile applications to allow the public to provide the Commission with crowd-sourced data.  Much of this mobile testing work has been done for the Commission under contract with CSU Chico and CSU Monterey Bay.</w:t>
      </w:r>
    </w:p>
    <w:p w:rsidR="0064037D" w:rsidRDefault="0064037D" w:rsidP="00F076F8">
      <w:pPr>
        <w:tabs>
          <w:tab w:val="left" w:pos="-1440"/>
          <w:tab w:val="left" w:pos="-720"/>
        </w:tabs>
        <w:suppressAutoHyphens/>
        <w:spacing w:after="120"/>
        <w:ind w:left="360"/>
        <w:rPr>
          <w:sz w:val="24"/>
          <w:szCs w:val="24"/>
        </w:rPr>
      </w:pPr>
      <w:r w:rsidRPr="0064037D">
        <w:rPr>
          <w:sz w:val="24"/>
          <w:szCs w:val="24"/>
        </w:rPr>
        <w:t>The California Interactive Broadband Availability Map  including the demographic data collected through the federal grant, as well as the mobile testing activities, have been critical sources of information and tools in the implementation of the CASF program.  Infrastructure Grant applicants can use the tools built into the interactive map to complete their applications, and Commission staff uses the map to evaluate applications and challenges to determine if areas are grant-eligible and to determine how many households are impacted.  The broadband data the Commission collects also provide key information on the status of broadband availability in various areas of the state, which the Commission uses in providing reports to the Leg</w:t>
      </w:r>
      <w:r>
        <w:rPr>
          <w:sz w:val="24"/>
          <w:szCs w:val="24"/>
        </w:rPr>
        <w:t xml:space="preserve">islature on the CASF program.  </w:t>
      </w:r>
    </w:p>
    <w:p w:rsidR="0064037D" w:rsidRPr="0064037D" w:rsidRDefault="0064037D" w:rsidP="00F076F8">
      <w:pPr>
        <w:tabs>
          <w:tab w:val="left" w:pos="-1440"/>
          <w:tab w:val="left" w:pos="-720"/>
        </w:tabs>
        <w:suppressAutoHyphens/>
        <w:spacing w:after="120"/>
        <w:ind w:left="360"/>
        <w:rPr>
          <w:i/>
          <w:sz w:val="24"/>
          <w:szCs w:val="24"/>
        </w:rPr>
      </w:pPr>
      <w:r w:rsidRPr="0064037D">
        <w:rPr>
          <w:sz w:val="24"/>
          <w:szCs w:val="24"/>
        </w:rPr>
        <w:t xml:space="preserve">Since the federal grant is only through September 2014, it is imperative that the CASF program provides the needed funding to continue the Commission’s data collection, interactive map development and mobile testing application work and include it in the CASF budget beginning in FY 2014-15.  Accordingly, </w:t>
      </w:r>
      <w:r>
        <w:rPr>
          <w:sz w:val="24"/>
          <w:szCs w:val="24"/>
        </w:rPr>
        <w:t xml:space="preserve">the FY 2015-16 budget amount is based on </w:t>
      </w:r>
      <w:r w:rsidRPr="0064037D">
        <w:rPr>
          <w:sz w:val="24"/>
          <w:szCs w:val="24"/>
        </w:rPr>
        <w:t>the projected costs associated with the CSU Chico and CSU Monterey Bay contracts.  The total cost is pro-rated across the four CASF accounts as</w:t>
      </w:r>
      <w:r>
        <w:rPr>
          <w:sz w:val="24"/>
          <w:szCs w:val="24"/>
        </w:rPr>
        <w:t xml:space="preserve"> discussed </w:t>
      </w:r>
      <w:r w:rsidR="00067103">
        <w:rPr>
          <w:sz w:val="24"/>
          <w:szCs w:val="24"/>
        </w:rPr>
        <w:t>above</w:t>
      </w:r>
      <w:r w:rsidRPr="0064037D">
        <w:rPr>
          <w:sz w:val="24"/>
          <w:szCs w:val="24"/>
        </w:rPr>
        <w:t>.</w:t>
      </w:r>
    </w:p>
    <w:p w:rsidR="0064037D" w:rsidRPr="0064037D" w:rsidRDefault="0064037D" w:rsidP="00F076F8">
      <w:pPr>
        <w:numPr>
          <w:ilvl w:val="0"/>
          <w:numId w:val="10"/>
        </w:numPr>
        <w:tabs>
          <w:tab w:val="left" w:pos="-1440"/>
          <w:tab w:val="left" w:pos="-720"/>
        </w:tabs>
        <w:suppressAutoHyphens/>
        <w:spacing w:after="120"/>
        <w:ind w:left="360"/>
        <w:rPr>
          <w:i/>
          <w:sz w:val="24"/>
          <w:szCs w:val="24"/>
        </w:rPr>
      </w:pPr>
      <w:r>
        <w:rPr>
          <w:i/>
          <w:sz w:val="24"/>
          <w:szCs w:val="24"/>
        </w:rPr>
        <w:t>Contract and personnel services for</w:t>
      </w:r>
      <w:r w:rsidR="00CB5BDD" w:rsidRPr="0064037D">
        <w:rPr>
          <w:i/>
          <w:sz w:val="24"/>
          <w:szCs w:val="24"/>
        </w:rPr>
        <w:t xml:space="preserve"> </w:t>
      </w:r>
      <w:r w:rsidR="008229C8">
        <w:rPr>
          <w:i/>
          <w:sz w:val="24"/>
          <w:szCs w:val="24"/>
        </w:rPr>
        <w:t xml:space="preserve">audits:  </w:t>
      </w:r>
      <w:r w:rsidR="008229C8">
        <w:rPr>
          <w:sz w:val="24"/>
          <w:szCs w:val="24"/>
        </w:rPr>
        <w:t>Existing Commission d</w:t>
      </w:r>
      <w:r w:rsidR="008229C8" w:rsidRPr="008229C8">
        <w:rPr>
          <w:sz w:val="24"/>
          <w:szCs w:val="24"/>
        </w:rPr>
        <w:t>ecisions give the CPUC the right to audit CASF projects</w:t>
      </w:r>
      <w:r w:rsidR="008229C8">
        <w:rPr>
          <w:sz w:val="24"/>
          <w:szCs w:val="24"/>
        </w:rPr>
        <w:t>/grantees</w:t>
      </w:r>
      <w:r w:rsidR="008229C8" w:rsidRPr="008229C8">
        <w:rPr>
          <w:sz w:val="24"/>
          <w:szCs w:val="24"/>
        </w:rPr>
        <w:t xml:space="preserve"> in order to ensure that CASF funds are spent appropriately, and in accordance with CPUC directives and aut</w:t>
      </w:r>
      <w:r w:rsidR="008229C8">
        <w:rPr>
          <w:sz w:val="24"/>
          <w:szCs w:val="24"/>
        </w:rPr>
        <w:t>horization.  The total amount</w:t>
      </w:r>
      <w:r w:rsidR="008229C8" w:rsidRPr="008229C8">
        <w:rPr>
          <w:sz w:val="24"/>
          <w:szCs w:val="24"/>
        </w:rPr>
        <w:t xml:space="preserve"> budgeted for FY </w:t>
      </w:r>
      <w:r w:rsidR="008229C8">
        <w:rPr>
          <w:sz w:val="24"/>
          <w:szCs w:val="24"/>
        </w:rPr>
        <w:t>20</w:t>
      </w:r>
      <w:r w:rsidR="008229C8" w:rsidRPr="008229C8">
        <w:rPr>
          <w:sz w:val="24"/>
          <w:szCs w:val="24"/>
        </w:rPr>
        <w:t xml:space="preserve">15-16 represents costs associated with the audit of CASF </w:t>
      </w:r>
      <w:r w:rsidR="008229C8">
        <w:rPr>
          <w:sz w:val="24"/>
          <w:szCs w:val="24"/>
        </w:rPr>
        <w:t>projects/grantees</w:t>
      </w:r>
      <w:r w:rsidR="008229C8" w:rsidRPr="008229C8">
        <w:rPr>
          <w:sz w:val="24"/>
          <w:szCs w:val="24"/>
        </w:rPr>
        <w:t xml:space="preserve"> and costs to conduct a</w:t>
      </w:r>
      <w:r w:rsidR="008229C8">
        <w:rPr>
          <w:sz w:val="24"/>
          <w:szCs w:val="24"/>
        </w:rPr>
        <w:t>n audit of surcharge remittances.</w:t>
      </w:r>
      <w:r w:rsidR="00CB5BDD" w:rsidRPr="0064037D">
        <w:rPr>
          <w:i/>
          <w:sz w:val="24"/>
          <w:szCs w:val="24"/>
        </w:rPr>
        <w:t xml:space="preserve"> </w:t>
      </w:r>
    </w:p>
    <w:p w:rsidR="00D552F1" w:rsidRPr="008229C8" w:rsidRDefault="008229C8" w:rsidP="00F076F8">
      <w:pPr>
        <w:numPr>
          <w:ilvl w:val="0"/>
          <w:numId w:val="10"/>
        </w:numPr>
        <w:tabs>
          <w:tab w:val="left" w:pos="-1440"/>
          <w:tab w:val="left" w:pos="-720"/>
        </w:tabs>
        <w:suppressAutoHyphens/>
        <w:spacing w:after="120"/>
        <w:ind w:left="360"/>
        <w:rPr>
          <w:sz w:val="24"/>
          <w:szCs w:val="24"/>
        </w:rPr>
      </w:pPr>
      <w:r>
        <w:rPr>
          <w:i/>
          <w:sz w:val="24"/>
          <w:szCs w:val="24"/>
        </w:rPr>
        <w:t>I</w:t>
      </w:r>
      <w:r w:rsidR="00CB5BDD" w:rsidRPr="0064037D">
        <w:rPr>
          <w:i/>
          <w:sz w:val="24"/>
          <w:szCs w:val="24"/>
        </w:rPr>
        <w:t xml:space="preserve">nformation technology </w:t>
      </w:r>
      <w:r>
        <w:rPr>
          <w:i/>
          <w:sz w:val="24"/>
          <w:szCs w:val="24"/>
        </w:rPr>
        <w:t xml:space="preserve">cost:  </w:t>
      </w:r>
      <w:r w:rsidRPr="008229C8">
        <w:rPr>
          <w:sz w:val="24"/>
          <w:szCs w:val="24"/>
        </w:rPr>
        <w:t>The CPUC has established electronic filing for CASF surcharge remittances and electronic filing for grants and loans.  The</w:t>
      </w:r>
      <w:r>
        <w:rPr>
          <w:sz w:val="24"/>
          <w:szCs w:val="24"/>
        </w:rPr>
        <w:t xml:space="preserve"> budgeted amount for</w:t>
      </w:r>
      <w:r w:rsidRPr="008229C8">
        <w:rPr>
          <w:sz w:val="24"/>
          <w:szCs w:val="24"/>
        </w:rPr>
        <w:t xml:space="preserve"> FY 2015-16 represents CASF’s share of the contract costs for programming, operation, and maintenance of this electronic filing system as well as for costs of a new automated claims system being developed for pro</w:t>
      </w:r>
      <w:r>
        <w:rPr>
          <w:sz w:val="24"/>
          <w:szCs w:val="24"/>
        </w:rPr>
        <w:t xml:space="preserve">grams that includes the CASF.  </w:t>
      </w:r>
    </w:p>
    <w:p w:rsidR="00CB5BDD" w:rsidRPr="0064037D" w:rsidRDefault="00067103" w:rsidP="00F076F8">
      <w:pPr>
        <w:numPr>
          <w:ilvl w:val="0"/>
          <w:numId w:val="10"/>
        </w:numPr>
        <w:tabs>
          <w:tab w:val="left" w:pos="-1440"/>
          <w:tab w:val="left" w:pos="-720"/>
        </w:tabs>
        <w:suppressAutoHyphens/>
        <w:ind w:left="360"/>
        <w:rPr>
          <w:i/>
          <w:sz w:val="24"/>
          <w:szCs w:val="24"/>
        </w:rPr>
      </w:pPr>
      <w:r>
        <w:rPr>
          <w:i/>
          <w:sz w:val="24"/>
          <w:szCs w:val="24"/>
        </w:rPr>
        <w:t>P</w:t>
      </w:r>
      <w:r w:rsidR="00CB5BDD" w:rsidRPr="0064037D">
        <w:rPr>
          <w:i/>
          <w:sz w:val="24"/>
          <w:szCs w:val="24"/>
        </w:rPr>
        <w:t xml:space="preserve">ro-rata </w:t>
      </w:r>
      <w:r>
        <w:rPr>
          <w:i/>
          <w:sz w:val="24"/>
          <w:szCs w:val="24"/>
        </w:rPr>
        <w:t xml:space="preserve">interagency cost:  </w:t>
      </w:r>
      <w:r>
        <w:rPr>
          <w:sz w:val="24"/>
          <w:szCs w:val="24"/>
        </w:rPr>
        <w:t xml:space="preserve">This represents CASF’s contribution to the </w:t>
      </w:r>
      <w:r w:rsidR="00CB5BDD" w:rsidRPr="00067103">
        <w:rPr>
          <w:sz w:val="24"/>
          <w:szCs w:val="24"/>
        </w:rPr>
        <w:t>statewide administrative costs for services rendered by other State agencies</w:t>
      </w:r>
      <w:r>
        <w:rPr>
          <w:sz w:val="24"/>
          <w:szCs w:val="24"/>
        </w:rPr>
        <w:t>.</w:t>
      </w:r>
      <w:r w:rsidR="00CB5BDD" w:rsidRPr="0064037D">
        <w:rPr>
          <w:i/>
          <w:sz w:val="24"/>
          <w:szCs w:val="24"/>
        </w:rPr>
        <w:t xml:space="preserve"> </w:t>
      </w:r>
    </w:p>
    <w:p w:rsidR="00E97978" w:rsidRDefault="00E97978" w:rsidP="00EF35EE">
      <w:pPr>
        <w:tabs>
          <w:tab w:val="left" w:pos="-1440"/>
          <w:tab w:val="left" w:pos="-720"/>
        </w:tabs>
        <w:suppressAutoHyphens/>
        <w:rPr>
          <w:i/>
          <w:sz w:val="24"/>
          <w:szCs w:val="24"/>
        </w:rPr>
      </w:pPr>
    </w:p>
    <w:p w:rsidR="00647433" w:rsidRPr="00B450E4" w:rsidRDefault="00647433" w:rsidP="00FE2EB0">
      <w:pPr>
        <w:tabs>
          <w:tab w:val="left" w:pos="-1440"/>
          <w:tab w:val="left" w:pos="-720"/>
        </w:tabs>
        <w:suppressAutoHyphens/>
        <w:spacing w:after="120"/>
        <w:rPr>
          <w:i/>
          <w:sz w:val="24"/>
          <w:szCs w:val="24"/>
          <w:u w:val="single"/>
        </w:rPr>
      </w:pPr>
      <w:r w:rsidRPr="00B450E4">
        <w:rPr>
          <w:i/>
          <w:sz w:val="24"/>
          <w:szCs w:val="24"/>
          <w:u w:val="single"/>
        </w:rPr>
        <w:t xml:space="preserve">CPUC </w:t>
      </w:r>
      <w:r>
        <w:rPr>
          <w:i/>
          <w:sz w:val="24"/>
          <w:szCs w:val="24"/>
          <w:u w:val="single"/>
        </w:rPr>
        <w:t>Local Assistance</w:t>
      </w:r>
      <w:r w:rsidRPr="00B450E4">
        <w:rPr>
          <w:i/>
          <w:sz w:val="24"/>
          <w:szCs w:val="24"/>
          <w:u w:val="single"/>
        </w:rPr>
        <w:t xml:space="preserve"> </w:t>
      </w:r>
    </w:p>
    <w:p w:rsidR="00B450E4" w:rsidRDefault="00B450E4" w:rsidP="00B450E4">
      <w:pPr>
        <w:tabs>
          <w:tab w:val="left" w:pos="-1440"/>
          <w:tab w:val="left" w:pos="-720"/>
        </w:tabs>
        <w:suppressAutoHyphens/>
        <w:rPr>
          <w:sz w:val="24"/>
          <w:szCs w:val="24"/>
        </w:rPr>
      </w:pPr>
      <w:r w:rsidRPr="00B450E4">
        <w:rPr>
          <w:sz w:val="24"/>
          <w:szCs w:val="24"/>
        </w:rPr>
        <w:t>The Local Assistance budget category covers grants and/or loans to eligible entities under the Infrastructure Grant, Consortia Grant, Revolving Loan, and Public Housing Account</w:t>
      </w:r>
      <w:r w:rsidR="002412B5">
        <w:rPr>
          <w:sz w:val="24"/>
          <w:szCs w:val="24"/>
        </w:rPr>
        <w:t>s</w:t>
      </w:r>
      <w:r w:rsidR="00AD1263">
        <w:rPr>
          <w:sz w:val="24"/>
          <w:szCs w:val="24"/>
        </w:rPr>
        <w:t>.   The amounts shown in Lines A to D</w:t>
      </w:r>
      <w:r w:rsidR="002412B5">
        <w:rPr>
          <w:sz w:val="24"/>
          <w:szCs w:val="24"/>
        </w:rPr>
        <w:t xml:space="preserve"> in T</w:t>
      </w:r>
      <w:r w:rsidRPr="00B450E4">
        <w:rPr>
          <w:sz w:val="24"/>
          <w:szCs w:val="24"/>
        </w:rPr>
        <w:t xml:space="preserve">able </w:t>
      </w:r>
      <w:r w:rsidR="002412B5">
        <w:rPr>
          <w:sz w:val="24"/>
          <w:szCs w:val="24"/>
        </w:rPr>
        <w:t xml:space="preserve">1 </w:t>
      </w:r>
      <w:r w:rsidRPr="00B450E4">
        <w:rPr>
          <w:sz w:val="24"/>
          <w:szCs w:val="24"/>
        </w:rPr>
        <w:t>above represent funds available to expend for grants and/or loans during the fiscal year</w:t>
      </w:r>
      <w:r w:rsidR="00AD1263">
        <w:rPr>
          <w:sz w:val="24"/>
          <w:szCs w:val="24"/>
        </w:rPr>
        <w:t xml:space="preserve">.  The total </w:t>
      </w:r>
      <w:r w:rsidR="00AD1263" w:rsidRPr="00AD1263">
        <w:rPr>
          <w:sz w:val="24"/>
          <w:szCs w:val="24"/>
        </w:rPr>
        <w:t>budget for Local Assistance for the CASF program in FY 2015-16 is the same as the</w:t>
      </w:r>
      <w:r w:rsidR="00AD1263">
        <w:rPr>
          <w:sz w:val="24"/>
          <w:szCs w:val="24"/>
        </w:rPr>
        <w:t xml:space="preserve"> total</w:t>
      </w:r>
      <w:r w:rsidR="00AD1263" w:rsidRPr="00AD1263">
        <w:rPr>
          <w:sz w:val="24"/>
          <w:szCs w:val="24"/>
        </w:rPr>
        <w:t xml:space="preserve"> budget appropriation for FY 2014-15 (i.e., $94,011,000).  </w:t>
      </w:r>
      <w:r w:rsidR="00AD1263">
        <w:rPr>
          <w:sz w:val="24"/>
          <w:szCs w:val="24"/>
        </w:rPr>
        <w:t>However, the budget breakdown across the four CASF accounts for FY 2015-16 differs from FY 2014-15, as further discussed below.</w:t>
      </w:r>
    </w:p>
    <w:p w:rsidR="000311BE" w:rsidRDefault="000311BE" w:rsidP="00B450E4">
      <w:pPr>
        <w:tabs>
          <w:tab w:val="left" w:pos="-1440"/>
          <w:tab w:val="left" w:pos="-720"/>
        </w:tabs>
        <w:suppressAutoHyphens/>
        <w:rPr>
          <w:sz w:val="24"/>
          <w:szCs w:val="24"/>
        </w:rPr>
      </w:pPr>
    </w:p>
    <w:p w:rsidR="000311BE" w:rsidRDefault="000311BE" w:rsidP="00B450E4">
      <w:pPr>
        <w:tabs>
          <w:tab w:val="left" w:pos="-1440"/>
          <w:tab w:val="left" w:pos="-720"/>
        </w:tabs>
        <w:suppressAutoHyphens/>
        <w:rPr>
          <w:sz w:val="24"/>
          <w:szCs w:val="24"/>
        </w:rPr>
      </w:pPr>
    </w:p>
    <w:p w:rsidR="000311BE" w:rsidRDefault="000311BE" w:rsidP="00B450E4">
      <w:pPr>
        <w:tabs>
          <w:tab w:val="left" w:pos="-1440"/>
          <w:tab w:val="left" w:pos="-720"/>
        </w:tabs>
        <w:suppressAutoHyphens/>
        <w:rPr>
          <w:sz w:val="24"/>
          <w:szCs w:val="24"/>
        </w:rPr>
      </w:pPr>
    </w:p>
    <w:p w:rsidR="00AD1263" w:rsidRDefault="00AD1263" w:rsidP="00B450E4">
      <w:pPr>
        <w:tabs>
          <w:tab w:val="left" w:pos="-1440"/>
          <w:tab w:val="left" w:pos="-720"/>
        </w:tabs>
        <w:suppressAutoHyphens/>
        <w:rPr>
          <w:sz w:val="24"/>
          <w:szCs w:val="24"/>
        </w:rPr>
      </w:pPr>
    </w:p>
    <w:p w:rsidR="006545A0" w:rsidRDefault="006545A0" w:rsidP="00FE2EB0">
      <w:pPr>
        <w:tabs>
          <w:tab w:val="left" w:pos="-1440"/>
          <w:tab w:val="left" w:pos="-720"/>
        </w:tabs>
        <w:suppressAutoHyphens/>
        <w:spacing w:after="120"/>
        <w:rPr>
          <w:i/>
          <w:sz w:val="24"/>
          <w:szCs w:val="24"/>
        </w:rPr>
      </w:pPr>
    </w:p>
    <w:p w:rsidR="006545A0" w:rsidRDefault="006545A0" w:rsidP="00FE2EB0">
      <w:pPr>
        <w:tabs>
          <w:tab w:val="left" w:pos="-1440"/>
          <w:tab w:val="left" w:pos="-720"/>
        </w:tabs>
        <w:suppressAutoHyphens/>
        <w:spacing w:after="120"/>
        <w:rPr>
          <w:i/>
          <w:sz w:val="24"/>
          <w:szCs w:val="24"/>
        </w:rPr>
      </w:pPr>
    </w:p>
    <w:p w:rsidR="006545A0" w:rsidRDefault="006545A0" w:rsidP="00FE2EB0">
      <w:pPr>
        <w:tabs>
          <w:tab w:val="left" w:pos="-1440"/>
          <w:tab w:val="left" w:pos="-720"/>
        </w:tabs>
        <w:suppressAutoHyphens/>
        <w:spacing w:after="120"/>
        <w:rPr>
          <w:i/>
          <w:sz w:val="24"/>
          <w:szCs w:val="24"/>
        </w:rPr>
      </w:pPr>
    </w:p>
    <w:p w:rsidR="006545A0" w:rsidRDefault="006545A0" w:rsidP="00FE2EB0">
      <w:pPr>
        <w:tabs>
          <w:tab w:val="left" w:pos="-1440"/>
          <w:tab w:val="left" w:pos="-720"/>
        </w:tabs>
        <w:suppressAutoHyphens/>
        <w:spacing w:after="120"/>
        <w:rPr>
          <w:i/>
          <w:sz w:val="24"/>
          <w:szCs w:val="24"/>
        </w:rPr>
      </w:pPr>
    </w:p>
    <w:p w:rsidR="00647433" w:rsidRPr="002412B5" w:rsidRDefault="002A02D3" w:rsidP="00FE2EB0">
      <w:pPr>
        <w:tabs>
          <w:tab w:val="left" w:pos="-1440"/>
          <w:tab w:val="left" w:pos="-720"/>
        </w:tabs>
        <w:suppressAutoHyphens/>
        <w:spacing w:after="120"/>
        <w:rPr>
          <w:i/>
          <w:sz w:val="24"/>
          <w:szCs w:val="24"/>
        </w:rPr>
      </w:pPr>
      <w:r>
        <w:rPr>
          <w:i/>
          <w:sz w:val="24"/>
          <w:szCs w:val="24"/>
        </w:rPr>
        <w:t>A</w:t>
      </w:r>
      <w:r w:rsidR="00647433" w:rsidRPr="002412B5">
        <w:rPr>
          <w:i/>
          <w:sz w:val="24"/>
          <w:szCs w:val="24"/>
        </w:rPr>
        <w:t xml:space="preserve">. Infrastructure Grants </w:t>
      </w:r>
    </w:p>
    <w:p w:rsidR="00647433" w:rsidRPr="00647433" w:rsidRDefault="00647433" w:rsidP="00647433">
      <w:pPr>
        <w:tabs>
          <w:tab w:val="left" w:pos="-1440"/>
          <w:tab w:val="left" w:pos="-720"/>
        </w:tabs>
        <w:suppressAutoHyphens/>
        <w:rPr>
          <w:sz w:val="24"/>
          <w:szCs w:val="24"/>
        </w:rPr>
      </w:pPr>
      <w:r w:rsidRPr="00647433">
        <w:rPr>
          <w:sz w:val="24"/>
          <w:szCs w:val="24"/>
        </w:rPr>
        <w:t xml:space="preserve">The Infrastructure Grant Account provides funds to qualified applicants to finance a fixed percentage of the total construction or capital costs of broadband infrastructure in unserved and underserved areas of California. </w:t>
      </w:r>
    </w:p>
    <w:p w:rsidR="00647433" w:rsidRPr="00647433" w:rsidRDefault="00647433" w:rsidP="00647433">
      <w:pPr>
        <w:tabs>
          <w:tab w:val="left" w:pos="-1440"/>
          <w:tab w:val="left" w:pos="-720"/>
        </w:tabs>
        <w:suppressAutoHyphens/>
        <w:rPr>
          <w:sz w:val="24"/>
          <w:szCs w:val="24"/>
        </w:rPr>
      </w:pPr>
    </w:p>
    <w:p w:rsidR="00647433" w:rsidRDefault="00647433" w:rsidP="00647433">
      <w:pPr>
        <w:tabs>
          <w:tab w:val="left" w:pos="-1440"/>
          <w:tab w:val="left" w:pos="-720"/>
        </w:tabs>
        <w:suppressAutoHyphens/>
        <w:rPr>
          <w:sz w:val="24"/>
          <w:szCs w:val="24"/>
        </w:rPr>
      </w:pPr>
      <w:r w:rsidRPr="00647433">
        <w:rPr>
          <w:sz w:val="24"/>
          <w:szCs w:val="24"/>
        </w:rPr>
        <w:t xml:space="preserve">Infrastructure Grant funding for FY 2015-16 for new </w:t>
      </w:r>
      <w:r w:rsidR="001F6F9B">
        <w:rPr>
          <w:sz w:val="24"/>
          <w:szCs w:val="24"/>
        </w:rPr>
        <w:t xml:space="preserve">projects are estimated at $80.325 </w:t>
      </w:r>
      <w:r w:rsidRPr="00647433">
        <w:rPr>
          <w:sz w:val="24"/>
          <w:szCs w:val="24"/>
        </w:rPr>
        <w:t>million.  This total includes available funds from estimated surcharge revenue collections for FY 2015-16 and prior years’ SB 1040 CASF revenues that remain available for grant awards, less the $20 million that is transferred to the Public Housing Account, per SB 740 and AB 1299.  No additional moneys are being allocated in the FY 2015-16 budget for payment of already awarded CASF grants since there is sufficient budgetary authority to cover outstanding obligations and encumbrances.</w:t>
      </w:r>
      <w:r w:rsidR="002412B5">
        <w:rPr>
          <w:sz w:val="24"/>
          <w:szCs w:val="24"/>
        </w:rPr>
        <w:t xml:space="preserve">  The increase in the budgeted amount for Infrastructure Grants in FY 2015-16 is necessary given the expected increase in CASF infrastructure grant applications and the statutory mandate </w:t>
      </w:r>
      <w:r w:rsidR="00D2543A">
        <w:rPr>
          <w:sz w:val="24"/>
          <w:szCs w:val="24"/>
        </w:rPr>
        <w:t xml:space="preserve">in SB 740 that the Commission </w:t>
      </w:r>
      <w:r w:rsidR="002412B5">
        <w:rPr>
          <w:sz w:val="24"/>
          <w:szCs w:val="24"/>
        </w:rPr>
        <w:t xml:space="preserve">award grants to projects that </w:t>
      </w:r>
      <w:r w:rsidR="002412B5" w:rsidRPr="002412B5">
        <w:rPr>
          <w:sz w:val="24"/>
          <w:szCs w:val="24"/>
        </w:rPr>
        <w:t>will provide broadband access to no less than 98% of California households by no later than December 31, 2015</w:t>
      </w:r>
      <w:r w:rsidR="00D2543A">
        <w:rPr>
          <w:sz w:val="24"/>
          <w:szCs w:val="24"/>
        </w:rPr>
        <w:t xml:space="preserve">.  </w:t>
      </w:r>
    </w:p>
    <w:p w:rsidR="00D2543A" w:rsidRPr="00647433" w:rsidRDefault="00D2543A" w:rsidP="00647433">
      <w:pPr>
        <w:tabs>
          <w:tab w:val="left" w:pos="-1440"/>
          <w:tab w:val="left" w:pos="-720"/>
        </w:tabs>
        <w:suppressAutoHyphens/>
        <w:rPr>
          <w:sz w:val="24"/>
          <w:szCs w:val="24"/>
        </w:rPr>
      </w:pPr>
    </w:p>
    <w:p w:rsidR="00647433" w:rsidRPr="002412B5" w:rsidRDefault="002A02D3" w:rsidP="00FE2EB0">
      <w:pPr>
        <w:tabs>
          <w:tab w:val="left" w:pos="-1440"/>
          <w:tab w:val="left" w:pos="-720"/>
        </w:tabs>
        <w:suppressAutoHyphens/>
        <w:spacing w:after="120"/>
        <w:rPr>
          <w:i/>
          <w:sz w:val="24"/>
          <w:szCs w:val="24"/>
        </w:rPr>
      </w:pPr>
      <w:r>
        <w:rPr>
          <w:i/>
          <w:sz w:val="24"/>
          <w:szCs w:val="24"/>
        </w:rPr>
        <w:t>B</w:t>
      </w:r>
      <w:r w:rsidR="00647433" w:rsidRPr="002412B5">
        <w:rPr>
          <w:i/>
          <w:sz w:val="24"/>
          <w:szCs w:val="24"/>
        </w:rPr>
        <w:t xml:space="preserve">. Consortia Grants </w:t>
      </w:r>
    </w:p>
    <w:p w:rsidR="00647433" w:rsidRPr="00647433" w:rsidRDefault="00647433" w:rsidP="00647433">
      <w:pPr>
        <w:tabs>
          <w:tab w:val="left" w:pos="-1440"/>
          <w:tab w:val="left" w:pos="-720"/>
        </w:tabs>
        <w:suppressAutoHyphens/>
        <w:rPr>
          <w:sz w:val="24"/>
          <w:szCs w:val="24"/>
        </w:rPr>
      </w:pPr>
      <w:r w:rsidRPr="00647433">
        <w:rPr>
          <w:sz w:val="24"/>
          <w:szCs w:val="24"/>
        </w:rPr>
        <w:t>Funds in the Consortia Grant Account are made available for grants to eligible consortia to finance the cost of broadband deployment activities other than the capital cost of facilities.</w:t>
      </w:r>
    </w:p>
    <w:p w:rsidR="00647433" w:rsidRPr="00647433" w:rsidRDefault="00647433" w:rsidP="00647433">
      <w:pPr>
        <w:tabs>
          <w:tab w:val="left" w:pos="-1440"/>
          <w:tab w:val="left" w:pos="-720"/>
        </w:tabs>
        <w:suppressAutoHyphens/>
        <w:rPr>
          <w:sz w:val="24"/>
          <w:szCs w:val="24"/>
        </w:rPr>
      </w:pPr>
    </w:p>
    <w:p w:rsidR="00647433" w:rsidRPr="00647433" w:rsidRDefault="00647433" w:rsidP="00647433">
      <w:pPr>
        <w:tabs>
          <w:tab w:val="left" w:pos="-1440"/>
          <w:tab w:val="left" w:pos="-720"/>
        </w:tabs>
        <w:suppressAutoHyphens/>
        <w:rPr>
          <w:sz w:val="24"/>
          <w:szCs w:val="24"/>
        </w:rPr>
      </w:pPr>
      <w:r w:rsidRPr="00647433">
        <w:rPr>
          <w:sz w:val="24"/>
          <w:szCs w:val="24"/>
        </w:rPr>
        <w:t xml:space="preserve">Since the $10 million total Consortia Grant Account funding is expected to be fully awarded and encumbered during the current fiscal year 2014-15, no funds are budgeted for new Consortia Grant awards in FY 2015-16.  </w:t>
      </w:r>
    </w:p>
    <w:p w:rsidR="00647433" w:rsidRPr="00647433" w:rsidRDefault="00647433" w:rsidP="00647433">
      <w:pPr>
        <w:tabs>
          <w:tab w:val="left" w:pos="-1440"/>
          <w:tab w:val="left" w:pos="-720"/>
        </w:tabs>
        <w:suppressAutoHyphens/>
        <w:rPr>
          <w:sz w:val="24"/>
          <w:szCs w:val="24"/>
        </w:rPr>
      </w:pPr>
    </w:p>
    <w:p w:rsidR="00647433" w:rsidRPr="002412B5" w:rsidRDefault="002A02D3" w:rsidP="00FE2EB0">
      <w:pPr>
        <w:tabs>
          <w:tab w:val="left" w:pos="-1440"/>
          <w:tab w:val="left" w:pos="-720"/>
        </w:tabs>
        <w:suppressAutoHyphens/>
        <w:spacing w:after="120"/>
        <w:rPr>
          <w:i/>
          <w:sz w:val="24"/>
          <w:szCs w:val="24"/>
        </w:rPr>
      </w:pPr>
      <w:r>
        <w:rPr>
          <w:i/>
          <w:sz w:val="24"/>
          <w:szCs w:val="24"/>
        </w:rPr>
        <w:t>C</w:t>
      </w:r>
      <w:r w:rsidR="00647433" w:rsidRPr="002412B5">
        <w:rPr>
          <w:i/>
          <w:sz w:val="24"/>
          <w:szCs w:val="24"/>
        </w:rPr>
        <w:t>. Infrastructure Revolving Loans</w:t>
      </w:r>
    </w:p>
    <w:p w:rsidR="00647433" w:rsidRPr="00647433" w:rsidRDefault="00647433" w:rsidP="00647433">
      <w:pPr>
        <w:tabs>
          <w:tab w:val="left" w:pos="-1440"/>
          <w:tab w:val="left" w:pos="-720"/>
        </w:tabs>
        <w:suppressAutoHyphens/>
        <w:rPr>
          <w:sz w:val="24"/>
          <w:szCs w:val="24"/>
        </w:rPr>
      </w:pPr>
      <w:r w:rsidRPr="00647433">
        <w:rPr>
          <w:sz w:val="24"/>
          <w:szCs w:val="24"/>
        </w:rPr>
        <w:t>The Revolving Loan Account is intended to finance capital costs of broadband facilities not funded by a grant from the Infrastructure Grant Account.</w:t>
      </w:r>
    </w:p>
    <w:p w:rsidR="00647433" w:rsidRPr="00647433" w:rsidRDefault="00647433" w:rsidP="00647433">
      <w:pPr>
        <w:tabs>
          <w:tab w:val="left" w:pos="-1440"/>
          <w:tab w:val="left" w:pos="-720"/>
        </w:tabs>
        <w:suppressAutoHyphens/>
        <w:rPr>
          <w:sz w:val="24"/>
          <w:szCs w:val="24"/>
        </w:rPr>
      </w:pPr>
    </w:p>
    <w:p w:rsidR="00647433" w:rsidRPr="00647433" w:rsidRDefault="00647433" w:rsidP="00647433">
      <w:pPr>
        <w:tabs>
          <w:tab w:val="left" w:pos="-1440"/>
          <w:tab w:val="left" w:pos="-720"/>
        </w:tabs>
        <w:suppressAutoHyphens/>
        <w:rPr>
          <w:sz w:val="24"/>
          <w:szCs w:val="24"/>
        </w:rPr>
      </w:pPr>
      <w:r w:rsidRPr="00647433">
        <w:rPr>
          <w:sz w:val="24"/>
          <w:szCs w:val="24"/>
        </w:rPr>
        <w:t>Infrastructure loan funding for FY 2015-16 for new projects are estimated</w:t>
      </w:r>
      <w:r w:rsidR="00AD456F">
        <w:rPr>
          <w:sz w:val="24"/>
          <w:szCs w:val="24"/>
        </w:rPr>
        <w:t xml:space="preserve"> at $3.457</w:t>
      </w:r>
      <w:r w:rsidRPr="00647433">
        <w:rPr>
          <w:sz w:val="24"/>
          <w:szCs w:val="24"/>
        </w:rPr>
        <w:t xml:space="preserve"> million.  This amount represents the funds remaining from the $10 million authorized for the account (after transfer of $5 million to the Public Housing Account) that are available for new loan awards during the fiscal year.    </w:t>
      </w:r>
    </w:p>
    <w:p w:rsidR="00647433" w:rsidRPr="00647433" w:rsidRDefault="00647433" w:rsidP="00647433">
      <w:pPr>
        <w:tabs>
          <w:tab w:val="left" w:pos="-1440"/>
          <w:tab w:val="left" w:pos="-720"/>
        </w:tabs>
        <w:suppressAutoHyphens/>
        <w:rPr>
          <w:sz w:val="24"/>
          <w:szCs w:val="24"/>
        </w:rPr>
      </w:pPr>
    </w:p>
    <w:p w:rsidR="00647433" w:rsidRPr="002412B5" w:rsidRDefault="002A02D3" w:rsidP="00FE2EB0">
      <w:pPr>
        <w:tabs>
          <w:tab w:val="left" w:pos="-1440"/>
          <w:tab w:val="left" w:pos="-720"/>
        </w:tabs>
        <w:suppressAutoHyphens/>
        <w:spacing w:after="120"/>
        <w:rPr>
          <w:i/>
          <w:sz w:val="24"/>
          <w:szCs w:val="24"/>
        </w:rPr>
      </w:pPr>
      <w:r>
        <w:rPr>
          <w:i/>
          <w:sz w:val="24"/>
          <w:szCs w:val="24"/>
        </w:rPr>
        <w:t>D</w:t>
      </w:r>
      <w:r w:rsidR="00647433" w:rsidRPr="002412B5">
        <w:rPr>
          <w:i/>
          <w:sz w:val="24"/>
          <w:szCs w:val="24"/>
        </w:rPr>
        <w:t>. Public Housing Grants/Loans</w:t>
      </w:r>
    </w:p>
    <w:p w:rsidR="00647433" w:rsidRPr="00647433" w:rsidRDefault="00647433" w:rsidP="00647433">
      <w:pPr>
        <w:tabs>
          <w:tab w:val="left" w:pos="-1440"/>
          <w:tab w:val="left" w:pos="-720"/>
        </w:tabs>
        <w:suppressAutoHyphens/>
        <w:rPr>
          <w:sz w:val="24"/>
          <w:szCs w:val="24"/>
        </w:rPr>
      </w:pPr>
      <w:r w:rsidRPr="00647433">
        <w:rPr>
          <w:sz w:val="24"/>
          <w:szCs w:val="24"/>
        </w:rPr>
        <w:t xml:space="preserve">The Public Housing Account provides a total of $20 million for grants and loans to finance projects connecting eligible publicly supported communities (PSCs) with broadband internet, and $5 million for adoption projects for residents in PSCs.  </w:t>
      </w:r>
    </w:p>
    <w:p w:rsidR="00647433" w:rsidRPr="00647433" w:rsidRDefault="00647433" w:rsidP="00647433">
      <w:pPr>
        <w:tabs>
          <w:tab w:val="left" w:pos="-1440"/>
          <w:tab w:val="left" w:pos="-720"/>
        </w:tabs>
        <w:suppressAutoHyphens/>
        <w:rPr>
          <w:sz w:val="24"/>
          <w:szCs w:val="24"/>
        </w:rPr>
      </w:pPr>
    </w:p>
    <w:p w:rsidR="00647433" w:rsidRDefault="00AD456F" w:rsidP="00647433">
      <w:pPr>
        <w:tabs>
          <w:tab w:val="left" w:pos="-1440"/>
          <w:tab w:val="left" w:pos="-720"/>
        </w:tabs>
        <w:suppressAutoHyphens/>
        <w:rPr>
          <w:sz w:val="24"/>
          <w:szCs w:val="24"/>
        </w:rPr>
      </w:pPr>
      <w:r>
        <w:rPr>
          <w:sz w:val="24"/>
          <w:szCs w:val="24"/>
        </w:rPr>
        <w:t>A total of $10.229</w:t>
      </w:r>
      <w:r w:rsidR="00647433" w:rsidRPr="00647433">
        <w:rPr>
          <w:sz w:val="24"/>
          <w:szCs w:val="24"/>
        </w:rPr>
        <w:t xml:space="preserve"> million is budgeted for the Public Housing Account for FY 2015-16, which represents the remainder of the $25 million authorized for the account less the budgeted amount for FY 2014-15 and administrative costs for the program.     </w:t>
      </w:r>
    </w:p>
    <w:p w:rsidR="008E43B2" w:rsidRDefault="008E43B2" w:rsidP="00647433">
      <w:pPr>
        <w:tabs>
          <w:tab w:val="left" w:pos="-1440"/>
          <w:tab w:val="left" w:pos="-720"/>
        </w:tabs>
        <w:suppressAutoHyphens/>
        <w:rPr>
          <w:sz w:val="24"/>
          <w:szCs w:val="24"/>
        </w:rPr>
      </w:pPr>
    </w:p>
    <w:p w:rsidR="000311BE" w:rsidRDefault="000311BE" w:rsidP="00FE2EB0">
      <w:pPr>
        <w:tabs>
          <w:tab w:val="left" w:pos="-1440"/>
          <w:tab w:val="left" w:pos="-720"/>
        </w:tabs>
        <w:suppressAutoHyphens/>
        <w:spacing w:after="120"/>
        <w:rPr>
          <w:i/>
          <w:sz w:val="24"/>
          <w:szCs w:val="24"/>
          <w:u w:val="single"/>
        </w:rPr>
      </w:pPr>
    </w:p>
    <w:p w:rsidR="000311BE" w:rsidRDefault="000311BE" w:rsidP="00FE2EB0">
      <w:pPr>
        <w:tabs>
          <w:tab w:val="left" w:pos="-1440"/>
          <w:tab w:val="left" w:pos="-720"/>
        </w:tabs>
        <w:suppressAutoHyphens/>
        <w:spacing w:after="120"/>
        <w:rPr>
          <w:i/>
          <w:sz w:val="24"/>
          <w:szCs w:val="24"/>
          <w:u w:val="single"/>
        </w:rPr>
      </w:pPr>
    </w:p>
    <w:p w:rsidR="006545A0" w:rsidRDefault="006545A0" w:rsidP="00FE2EB0">
      <w:pPr>
        <w:tabs>
          <w:tab w:val="left" w:pos="-1440"/>
          <w:tab w:val="left" w:pos="-720"/>
        </w:tabs>
        <w:suppressAutoHyphens/>
        <w:spacing w:after="120"/>
        <w:rPr>
          <w:i/>
          <w:sz w:val="24"/>
          <w:szCs w:val="24"/>
          <w:u w:val="single"/>
        </w:rPr>
      </w:pPr>
      <w:r>
        <w:rPr>
          <w:i/>
          <w:sz w:val="24"/>
          <w:szCs w:val="24"/>
          <w:u w:val="single"/>
        </w:rPr>
        <w:t>\</w:t>
      </w:r>
    </w:p>
    <w:p w:rsidR="008E43B2" w:rsidRPr="00B450E4" w:rsidRDefault="008E43B2" w:rsidP="00FE2EB0">
      <w:pPr>
        <w:tabs>
          <w:tab w:val="left" w:pos="-1440"/>
          <w:tab w:val="left" w:pos="-720"/>
        </w:tabs>
        <w:suppressAutoHyphens/>
        <w:spacing w:after="120"/>
        <w:rPr>
          <w:i/>
          <w:sz w:val="24"/>
          <w:szCs w:val="24"/>
          <w:u w:val="single"/>
        </w:rPr>
      </w:pPr>
      <w:r>
        <w:rPr>
          <w:i/>
          <w:sz w:val="24"/>
          <w:szCs w:val="24"/>
          <w:u w:val="single"/>
        </w:rPr>
        <w:t xml:space="preserve">Other </w:t>
      </w:r>
      <w:r w:rsidRPr="00B450E4">
        <w:rPr>
          <w:i/>
          <w:sz w:val="24"/>
          <w:szCs w:val="24"/>
          <w:u w:val="single"/>
        </w:rPr>
        <w:t xml:space="preserve">State </w:t>
      </w:r>
      <w:r>
        <w:rPr>
          <w:i/>
          <w:sz w:val="24"/>
          <w:szCs w:val="24"/>
          <w:u w:val="single"/>
        </w:rPr>
        <w:t>Agencies</w:t>
      </w:r>
      <w:r w:rsidRPr="00B450E4">
        <w:rPr>
          <w:i/>
          <w:sz w:val="24"/>
          <w:szCs w:val="24"/>
          <w:u w:val="single"/>
        </w:rPr>
        <w:t xml:space="preserve"> </w:t>
      </w:r>
    </w:p>
    <w:p w:rsidR="00FD7501" w:rsidRPr="00FD7501" w:rsidRDefault="00FD7501" w:rsidP="00FE2EB0">
      <w:pPr>
        <w:tabs>
          <w:tab w:val="left" w:pos="-1440"/>
          <w:tab w:val="left" w:pos="-720"/>
        </w:tabs>
        <w:suppressAutoHyphens/>
        <w:spacing w:after="120"/>
        <w:rPr>
          <w:i/>
          <w:sz w:val="24"/>
          <w:szCs w:val="24"/>
        </w:rPr>
      </w:pPr>
      <w:r w:rsidRPr="00FD7501">
        <w:rPr>
          <w:i/>
          <w:sz w:val="24"/>
          <w:szCs w:val="24"/>
        </w:rPr>
        <w:t>0840 State Controller (State Operations)</w:t>
      </w:r>
    </w:p>
    <w:p w:rsidR="00FD7501" w:rsidRDefault="00FD7501" w:rsidP="00FD7501">
      <w:pPr>
        <w:tabs>
          <w:tab w:val="left" w:pos="-1440"/>
          <w:tab w:val="left" w:pos="-720"/>
        </w:tabs>
        <w:suppressAutoHyphens/>
        <w:rPr>
          <w:sz w:val="24"/>
          <w:szCs w:val="24"/>
        </w:rPr>
      </w:pPr>
      <w:r w:rsidRPr="00FD7501">
        <w:rPr>
          <w:sz w:val="24"/>
          <w:szCs w:val="24"/>
        </w:rPr>
        <w:t>This item represents funds for the State Controller’s Office</w:t>
      </w:r>
      <w:r>
        <w:rPr>
          <w:sz w:val="24"/>
          <w:szCs w:val="24"/>
        </w:rPr>
        <w:t xml:space="preserve">.  The </w:t>
      </w:r>
      <w:r w:rsidR="00AD456F">
        <w:rPr>
          <w:sz w:val="24"/>
          <w:szCs w:val="24"/>
        </w:rPr>
        <w:t xml:space="preserve">budget for FY 2015-16 </w:t>
      </w:r>
      <w:r>
        <w:rPr>
          <w:sz w:val="24"/>
          <w:szCs w:val="24"/>
        </w:rPr>
        <w:t xml:space="preserve">is based on the actual amount shown in the Detailed Fund Balance Report (DF-303) for FY 2013-14.   </w:t>
      </w:r>
      <w:r w:rsidRPr="00FD7501">
        <w:rPr>
          <w:sz w:val="24"/>
          <w:szCs w:val="24"/>
        </w:rPr>
        <w:t>Final appropriations will be determined when the Budget Act of 201</w:t>
      </w:r>
      <w:r>
        <w:rPr>
          <w:sz w:val="24"/>
          <w:szCs w:val="24"/>
        </w:rPr>
        <w:t>5</w:t>
      </w:r>
      <w:r w:rsidRPr="00FD7501">
        <w:rPr>
          <w:sz w:val="24"/>
          <w:szCs w:val="24"/>
        </w:rPr>
        <w:t xml:space="preserve"> is approved by the Legislature and the Governor.</w:t>
      </w:r>
    </w:p>
    <w:p w:rsidR="00FD7501" w:rsidRPr="00FD7501" w:rsidRDefault="00FD7501" w:rsidP="00FD7501">
      <w:pPr>
        <w:tabs>
          <w:tab w:val="left" w:pos="-1440"/>
          <w:tab w:val="left" w:pos="-720"/>
        </w:tabs>
        <w:suppressAutoHyphens/>
        <w:rPr>
          <w:sz w:val="24"/>
          <w:szCs w:val="24"/>
        </w:rPr>
      </w:pPr>
    </w:p>
    <w:p w:rsidR="00FD7501" w:rsidRPr="00FD7501" w:rsidRDefault="00FD7501" w:rsidP="00FE2EB0">
      <w:pPr>
        <w:tabs>
          <w:tab w:val="left" w:pos="-1440"/>
          <w:tab w:val="left" w:pos="-720"/>
        </w:tabs>
        <w:suppressAutoHyphens/>
        <w:spacing w:after="120"/>
        <w:rPr>
          <w:i/>
          <w:sz w:val="24"/>
          <w:szCs w:val="24"/>
        </w:rPr>
      </w:pPr>
      <w:r w:rsidRPr="00FD7501">
        <w:rPr>
          <w:i/>
          <w:sz w:val="24"/>
          <w:szCs w:val="24"/>
        </w:rPr>
        <w:t>8880 Financial Information System for California (State Operations)</w:t>
      </w:r>
    </w:p>
    <w:p w:rsidR="008E43B2" w:rsidRDefault="00FD7501" w:rsidP="00FD7501">
      <w:pPr>
        <w:tabs>
          <w:tab w:val="left" w:pos="-1440"/>
          <w:tab w:val="left" w:pos="-720"/>
        </w:tabs>
        <w:suppressAutoHyphens/>
        <w:rPr>
          <w:sz w:val="24"/>
          <w:szCs w:val="24"/>
        </w:rPr>
      </w:pPr>
      <w:r w:rsidRPr="00FD7501">
        <w:rPr>
          <w:sz w:val="24"/>
          <w:szCs w:val="24"/>
        </w:rPr>
        <w:t xml:space="preserve">This item represents funds for the Financial Information </w:t>
      </w:r>
      <w:r>
        <w:rPr>
          <w:sz w:val="24"/>
          <w:szCs w:val="24"/>
        </w:rPr>
        <w:t xml:space="preserve">System for California (FI$Cal).  </w:t>
      </w:r>
      <w:r w:rsidRPr="00FD7501">
        <w:rPr>
          <w:sz w:val="24"/>
          <w:szCs w:val="24"/>
        </w:rPr>
        <w:t xml:space="preserve">FI$Cal is an information technology (IT) project managed by a partnership of Department of Finance, the State Treasurer’s Office, the State Controller’s Office, and the </w:t>
      </w:r>
      <w:r>
        <w:rPr>
          <w:sz w:val="24"/>
          <w:szCs w:val="24"/>
        </w:rPr>
        <w:t>Department of General Services.  T</w:t>
      </w:r>
      <w:r w:rsidRPr="00FD7501">
        <w:rPr>
          <w:sz w:val="24"/>
          <w:szCs w:val="24"/>
        </w:rPr>
        <w:t xml:space="preserve">he purpose of this project is to create and implement a </w:t>
      </w:r>
      <w:r>
        <w:rPr>
          <w:sz w:val="24"/>
          <w:szCs w:val="24"/>
        </w:rPr>
        <w:t xml:space="preserve">new statewide financial system. </w:t>
      </w:r>
      <w:r w:rsidRPr="00FD7501">
        <w:rPr>
          <w:sz w:val="24"/>
          <w:szCs w:val="24"/>
        </w:rPr>
        <w:t xml:space="preserve">The </w:t>
      </w:r>
      <w:r>
        <w:rPr>
          <w:sz w:val="24"/>
          <w:szCs w:val="24"/>
        </w:rPr>
        <w:t xml:space="preserve">FY 2015-16 </w:t>
      </w:r>
      <w:r w:rsidRPr="00FD7501">
        <w:rPr>
          <w:sz w:val="24"/>
          <w:szCs w:val="24"/>
        </w:rPr>
        <w:t xml:space="preserve">budget </w:t>
      </w:r>
      <w:r>
        <w:rPr>
          <w:sz w:val="24"/>
          <w:szCs w:val="24"/>
        </w:rPr>
        <w:t>of $48</w:t>
      </w:r>
      <w:r w:rsidRPr="00FD7501">
        <w:rPr>
          <w:sz w:val="24"/>
          <w:szCs w:val="24"/>
        </w:rPr>
        <w:t>,000</w:t>
      </w:r>
      <w:r>
        <w:rPr>
          <w:sz w:val="24"/>
          <w:szCs w:val="24"/>
        </w:rPr>
        <w:t xml:space="preserve"> reflects estimates in the Governor’s budget for FY 2014-15</w:t>
      </w:r>
      <w:r w:rsidRPr="00FD7501">
        <w:rPr>
          <w:sz w:val="24"/>
          <w:szCs w:val="24"/>
        </w:rPr>
        <w:t>.</w:t>
      </w:r>
      <w:r>
        <w:rPr>
          <w:sz w:val="24"/>
          <w:szCs w:val="24"/>
        </w:rPr>
        <w:t xml:space="preserve">  </w:t>
      </w:r>
      <w:r w:rsidRPr="00FD7501">
        <w:rPr>
          <w:sz w:val="24"/>
          <w:szCs w:val="24"/>
        </w:rPr>
        <w:t>Final appropriations will be determined when the Budget Act of 201</w:t>
      </w:r>
      <w:r>
        <w:rPr>
          <w:sz w:val="24"/>
          <w:szCs w:val="24"/>
        </w:rPr>
        <w:t>5</w:t>
      </w:r>
      <w:r w:rsidRPr="00FD7501">
        <w:rPr>
          <w:sz w:val="24"/>
          <w:szCs w:val="24"/>
        </w:rPr>
        <w:t xml:space="preserve"> is approved by the Legislature and the Governor.</w:t>
      </w:r>
    </w:p>
    <w:p w:rsidR="008E43B2" w:rsidRDefault="008E43B2" w:rsidP="00B450E4">
      <w:pPr>
        <w:tabs>
          <w:tab w:val="left" w:pos="-1440"/>
          <w:tab w:val="left" w:pos="-720"/>
        </w:tabs>
        <w:suppressAutoHyphens/>
        <w:rPr>
          <w:sz w:val="24"/>
          <w:szCs w:val="24"/>
        </w:rPr>
      </w:pPr>
    </w:p>
    <w:p w:rsidR="00640B1B" w:rsidRDefault="00640B1B" w:rsidP="00640B1B">
      <w:pPr>
        <w:pStyle w:val="Heading4"/>
        <w:rPr>
          <w:rFonts w:ascii="Times New Roman" w:hAnsi="Times New Roman"/>
          <w:sz w:val="24"/>
          <w:szCs w:val="24"/>
        </w:rPr>
      </w:pPr>
      <w:r w:rsidRPr="00640B1B">
        <w:rPr>
          <w:rFonts w:ascii="Times New Roman" w:hAnsi="Times New Roman"/>
          <w:sz w:val="24"/>
          <w:szCs w:val="24"/>
        </w:rPr>
        <w:t>Safety</w:t>
      </w:r>
    </w:p>
    <w:p w:rsidR="00640B1B" w:rsidRPr="00640B1B" w:rsidRDefault="00640B1B" w:rsidP="00640B1B"/>
    <w:p w:rsidR="00640B1B" w:rsidRPr="00640B1B" w:rsidRDefault="00640B1B" w:rsidP="00640B1B">
      <w:pPr>
        <w:pStyle w:val="Heading4"/>
        <w:rPr>
          <w:rFonts w:ascii="Times New Roman" w:hAnsi="Times New Roman"/>
          <w:b w:val="0"/>
          <w:sz w:val="24"/>
          <w:szCs w:val="24"/>
        </w:rPr>
      </w:pPr>
      <w:r w:rsidRPr="00640B1B">
        <w:rPr>
          <w:rFonts w:ascii="Times New Roman" w:hAnsi="Times New Roman"/>
          <w:b w:val="0"/>
          <w:sz w:val="24"/>
          <w:szCs w:val="24"/>
        </w:rPr>
        <w:t xml:space="preserve">The CASF program encourages the deployment of broadband throughout the </w:t>
      </w:r>
      <w:r w:rsidR="007957BE">
        <w:rPr>
          <w:rFonts w:ascii="Times New Roman" w:hAnsi="Times New Roman"/>
          <w:b w:val="0"/>
          <w:sz w:val="24"/>
          <w:szCs w:val="24"/>
        </w:rPr>
        <w:t>S</w:t>
      </w:r>
      <w:r w:rsidRPr="00640B1B">
        <w:rPr>
          <w:rFonts w:ascii="Times New Roman" w:hAnsi="Times New Roman"/>
          <w:b w:val="0"/>
          <w:sz w:val="24"/>
          <w:szCs w:val="24"/>
        </w:rPr>
        <w:t>tate which can enable the public to access Internet-based safety applications, access to emergency services, and allow first responders to communicate with each other and collaborate during emergencies. The forecasted FY</w:t>
      </w:r>
      <w:r>
        <w:rPr>
          <w:rFonts w:ascii="Times New Roman" w:hAnsi="Times New Roman"/>
          <w:b w:val="0"/>
          <w:sz w:val="24"/>
          <w:szCs w:val="24"/>
        </w:rPr>
        <w:t xml:space="preserve"> 2015-16</w:t>
      </w:r>
      <w:r w:rsidRPr="00640B1B">
        <w:rPr>
          <w:rFonts w:ascii="Times New Roman" w:hAnsi="Times New Roman"/>
          <w:b w:val="0"/>
          <w:sz w:val="24"/>
          <w:szCs w:val="24"/>
        </w:rPr>
        <w:t xml:space="preserve"> CASF budget ensures that there are sufficient funds for the program to continue to promote the deployment of broadband throughout California.</w:t>
      </w:r>
    </w:p>
    <w:p w:rsidR="00640B1B" w:rsidRDefault="00640B1B">
      <w:pPr>
        <w:pStyle w:val="Heading4"/>
        <w:rPr>
          <w:rFonts w:ascii="Times New Roman" w:hAnsi="Times New Roman"/>
          <w:sz w:val="24"/>
          <w:szCs w:val="24"/>
        </w:rPr>
      </w:pPr>
    </w:p>
    <w:p w:rsidR="00E8334A" w:rsidRPr="00400ADF" w:rsidRDefault="00E8334A">
      <w:pPr>
        <w:pStyle w:val="Heading4"/>
        <w:rPr>
          <w:rFonts w:ascii="Times New Roman" w:hAnsi="Times New Roman"/>
          <w:sz w:val="24"/>
          <w:szCs w:val="24"/>
        </w:rPr>
      </w:pPr>
      <w:r w:rsidRPr="00400ADF">
        <w:rPr>
          <w:rFonts w:ascii="Times New Roman" w:hAnsi="Times New Roman"/>
          <w:sz w:val="24"/>
          <w:szCs w:val="24"/>
        </w:rPr>
        <w:t>Conclusion</w:t>
      </w:r>
    </w:p>
    <w:p w:rsidR="00E8334A" w:rsidRPr="000734FD" w:rsidRDefault="00E8334A">
      <w:pPr>
        <w:rPr>
          <w:sz w:val="24"/>
          <w:szCs w:val="24"/>
          <w:highlight w:val="yellow"/>
        </w:rPr>
      </w:pPr>
    </w:p>
    <w:p w:rsidR="00E8334A" w:rsidRPr="00400ADF" w:rsidRDefault="000D5D4D" w:rsidP="004B4F35">
      <w:pPr>
        <w:tabs>
          <w:tab w:val="left" w:pos="-1440"/>
          <w:tab w:val="left" w:pos="-720"/>
        </w:tabs>
        <w:suppressAutoHyphens/>
        <w:rPr>
          <w:sz w:val="24"/>
          <w:szCs w:val="24"/>
        </w:rPr>
      </w:pPr>
      <w:r w:rsidRPr="00400ADF">
        <w:rPr>
          <w:sz w:val="24"/>
          <w:szCs w:val="24"/>
        </w:rPr>
        <w:t>CD’s proposed California Advanced Services Fund F</w:t>
      </w:r>
      <w:r w:rsidR="00400ADF">
        <w:rPr>
          <w:sz w:val="24"/>
          <w:szCs w:val="24"/>
        </w:rPr>
        <w:t>Y</w:t>
      </w:r>
      <w:r w:rsidRPr="00400ADF">
        <w:rPr>
          <w:sz w:val="24"/>
          <w:szCs w:val="24"/>
        </w:rPr>
        <w:t xml:space="preserve"> 20</w:t>
      </w:r>
      <w:r w:rsidR="00400ADF">
        <w:rPr>
          <w:sz w:val="24"/>
          <w:szCs w:val="24"/>
        </w:rPr>
        <w:t>15-16</w:t>
      </w:r>
      <w:r w:rsidR="00D90DDD">
        <w:rPr>
          <w:sz w:val="24"/>
          <w:szCs w:val="24"/>
        </w:rPr>
        <w:t xml:space="preserve"> expense budget of </w:t>
      </w:r>
      <w:r w:rsidR="00D90DDD" w:rsidRPr="00D90DDD">
        <w:rPr>
          <w:sz w:val="24"/>
          <w:szCs w:val="24"/>
        </w:rPr>
        <w:t>$97,831</w:t>
      </w:r>
      <w:r w:rsidR="00D90DDD">
        <w:rPr>
          <w:sz w:val="24"/>
          <w:szCs w:val="24"/>
        </w:rPr>
        <w:t xml:space="preserve"> million </w:t>
      </w:r>
      <w:r w:rsidR="00D90DDD" w:rsidRPr="00D90DDD">
        <w:rPr>
          <w:sz w:val="24"/>
          <w:szCs w:val="24"/>
        </w:rPr>
        <w:t>for FY 2015-16</w:t>
      </w:r>
      <w:r w:rsidR="00D90DDD">
        <w:rPr>
          <w:sz w:val="24"/>
          <w:szCs w:val="24"/>
        </w:rPr>
        <w:t xml:space="preserve"> </w:t>
      </w:r>
      <w:r w:rsidRPr="00400ADF">
        <w:rPr>
          <w:sz w:val="24"/>
        </w:rPr>
        <w:t>composed</w:t>
      </w:r>
      <w:r w:rsidR="00400ADF">
        <w:rPr>
          <w:sz w:val="24"/>
        </w:rPr>
        <w:t xml:space="preserve"> of </w:t>
      </w:r>
      <w:r w:rsidR="00640B1B">
        <w:rPr>
          <w:sz w:val="24"/>
        </w:rPr>
        <w:t xml:space="preserve">$3.772 million for </w:t>
      </w:r>
      <w:r w:rsidR="00D90DDD">
        <w:rPr>
          <w:sz w:val="24"/>
        </w:rPr>
        <w:t xml:space="preserve">CPUC </w:t>
      </w:r>
      <w:r w:rsidRPr="00400ADF">
        <w:rPr>
          <w:sz w:val="24"/>
        </w:rPr>
        <w:t>State Operations</w:t>
      </w:r>
      <w:r w:rsidR="00D90DDD">
        <w:rPr>
          <w:sz w:val="24"/>
        </w:rPr>
        <w:t xml:space="preserve">, </w:t>
      </w:r>
      <w:r w:rsidR="00D90DDD" w:rsidRPr="00D90DDD">
        <w:rPr>
          <w:sz w:val="24"/>
        </w:rPr>
        <w:t>$94.011 million for Local Assistance</w:t>
      </w:r>
      <w:r w:rsidR="00D90DDD">
        <w:rPr>
          <w:sz w:val="24"/>
        </w:rPr>
        <w:t>,</w:t>
      </w:r>
      <w:r w:rsidR="00D90DDD" w:rsidRPr="00D90DDD">
        <w:rPr>
          <w:sz w:val="24"/>
        </w:rPr>
        <w:t xml:space="preserve"> and</w:t>
      </w:r>
      <w:r w:rsidR="00D90DDD">
        <w:rPr>
          <w:sz w:val="24"/>
        </w:rPr>
        <w:t xml:space="preserve"> $0.048 million for Other State Agencies</w:t>
      </w:r>
      <w:r w:rsidR="00640B1B">
        <w:rPr>
          <w:sz w:val="24"/>
        </w:rPr>
        <w:t xml:space="preserve"> is reasonable and should be adopted.  </w:t>
      </w:r>
      <w:r w:rsidRPr="00400ADF">
        <w:rPr>
          <w:sz w:val="24"/>
        </w:rPr>
        <w:t>The FY 20</w:t>
      </w:r>
      <w:r w:rsidR="00640B1B">
        <w:rPr>
          <w:sz w:val="24"/>
        </w:rPr>
        <w:t>1</w:t>
      </w:r>
      <w:r w:rsidRPr="00400ADF">
        <w:rPr>
          <w:sz w:val="24"/>
        </w:rPr>
        <w:t>5</w:t>
      </w:r>
      <w:r w:rsidR="00640B1B">
        <w:rPr>
          <w:sz w:val="24"/>
        </w:rPr>
        <w:t>-16</w:t>
      </w:r>
      <w:r w:rsidRPr="00400ADF">
        <w:rPr>
          <w:sz w:val="24"/>
        </w:rPr>
        <w:t xml:space="preserve"> budget adopted today is subject to final appropriations adopted in the Budget Act of 201</w:t>
      </w:r>
      <w:r w:rsidR="00640B1B">
        <w:rPr>
          <w:sz w:val="24"/>
        </w:rPr>
        <w:t>5</w:t>
      </w:r>
      <w:r w:rsidRPr="00400ADF">
        <w:rPr>
          <w:sz w:val="24"/>
        </w:rPr>
        <w:t xml:space="preserve">. </w:t>
      </w:r>
      <w:r w:rsidRPr="00400ADF">
        <w:rPr>
          <w:sz w:val="24"/>
          <w:szCs w:val="24"/>
        </w:rPr>
        <w:t xml:space="preserve">  </w:t>
      </w:r>
      <w:r w:rsidRPr="00400ADF">
        <w:rPr>
          <w:sz w:val="24"/>
        </w:rPr>
        <w:t>The appropriations adopted in the Budget Act of 201</w:t>
      </w:r>
      <w:r w:rsidR="00640B1B">
        <w:rPr>
          <w:sz w:val="24"/>
        </w:rPr>
        <w:t>5</w:t>
      </w:r>
      <w:r w:rsidRPr="00400ADF">
        <w:rPr>
          <w:sz w:val="24"/>
        </w:rPr>
        <w:t>, if different</w:t>
      </w:r>
      <w:r w:rsidR="00A9547C">
        <w:rPr>
          <w:sz w:val="24"/>
        </w:rPr>
        <w:t xml:space="preserve">, </w:t>
      </w:r>
      <w:r w:rsidRPr="00400ADF">
        <w:rPr>
          <w:sz w:val="24"/>
        </w:rPr>
        <w:t>will supersede the FY 201</w:t>
      </w:r>
      <w:r w:rsidR="00640B1B">
        <w:rPr>
          <w:sz w:val="24"/>
        </w:rPr>
        <w:t>5-16 b</w:t>
      </w:r>
      <w:r w:rsidRPr="00400ADF">
        <w:rPr>
          <w:sz w:val="24"/>
        </w:rPr>
        <w:t xml:space="preserve">udget adopted in this resolution. </w:t>
      </w:r>
    </w:p>
    <w:p w:rsidR="00E8334A" w:rsidRPr="00400ADF" w:rsidRDefault="00E8334A">
      <w:pPr>
        <w:rPr>
          <w:sz w:val="24"/>
          <w:szCs w:val="24"/>
        </w:rPr>
      </w:pPr>
    </w:p>
    <w:p w:rsidR="00E8334A" w:rsidRPr="00640B1B" w:rsidRDefault="00E8334A">
      <w:pPr>
        <w:pStyle w:val="Heading4"/>
        <w:rPr>
          <w:rFonts w:ascii="Times New Roman" w:hAnsi="Times New Roman"/>
          <w:sz w:val="24"/>
          <w:szCs w:val="24"/>
        </w:rPr>
      </w:pPr>
      <w:r w:rsidRPr="00640B1B">
        <w:rPr>
          <w:rFonts w:ascii="Times New Roman" w:hAnsi="Times New Roman"/>
          <w:sz w:val="24"/>
          <w:szCs w:val="24"/>
        </w:rPr>
        <w:t>Comments</w:t>
      </w:r>
    </w:p>
    <w:p w:rsidR="00E8334A" w:rsidRPr="00640B1B" w:rsidRDefault="00E8334A">
      <w:pPr>
        <w:rPr>
          <w:sz w:val="24"/>
          <w:szCs w:val="24"/>
        </w:rPr>
      </w:pPr>
    </w:p>
    <w:p w:rsidR="00E8334A" w:rsidRPr="00640B1B" w:rsidRDefault="00E8334A" w:rsidP="004B4F35">
      <w:pPr>
        <w:tabs>
          <w:tab w:val="left" w:pos="-1440"/>
          <w:tab w:val="left" w:pos="-720"/>
        </w:tabs>
        <w:suppressAutoHyphens/>
        <w:rPr>
          <w:sz w:val="24"/>
          <w:szCs w:val="24"/>
        </w:rPr>
      </w:pPr>
      <w:r w:rsidRPr="00640B1B">
        <w:rPr>
          <w:sz w:val="24"/>
          <w:szCs w:val="24"/>
        </w:rPr>
        <w:t xml:space="preserve">In compliance with PU Code § 311 (g), a Notice of Availability was e-mailed on </w:t>
      </w:r>
      <w:r w:rsidR="00004294">
        <w:rPr>
          <w:sz w:val="24"/>
          <w:szCs w:val="24"/>
        </w:rPr>
        <w:t>October 1</w:t>
      </w:r>
      <w:r w:rsidR="00640B1B" w:rsidRPr="00640B1B">
        <w:rPr>
          <w:sz w:val="24"/>
          <w:szCs w:val="24"/>
        </w:rPr>
        <w:t>, 2014</w:t>
      </w:r>
      <w:r w:rsidR="00764434" w:rsidRPr="00640B1B">
        <w:rPr>
          <w:sz w:val="24"/>
          <w:szCs w:val="24"/>
        </w:rPr>
        <w:t xml:space="preserve"> </w:t>
      </w:r>
      <w:r w:rsidRPr="00640B1B">
        <w:rPr>
          <w:sz w:val="24"/>
          <w:szCs w:val="24"/>
        </w:rPr>
        <w:t>to</w:t>
      </w:r>
      <w:r w:rsidR="00E11845" w:rsidRPr="00640B1B">
        <w:rPr>
          <w:sz w:val="24"/>
          <w:szCs w:val="24"/>
        </w:rPr>
        <w:t xml:space="preserve"> the CASF Distribution List, which is comprised of</w:t>
      </w:r>
      <w:r w:rsidRPr="00640B1B">
        <w:rPr>
          <w:sz w:val="24"/>
          <w:szCs w:val="24"/>
        </w:rPr>
        <w:t xml:space="preserve"> parties </w:t>
      </w:r>
      <w:r w:rsidR="00F61033" w:rsidRPr="00640B1B">
        <w:rPr>
          <w:sz w:val="24"/>
          <w:szCs w:val="24"/>
        </w:rPr>
        <w:t xml:space="preserve">of record in R.06-06-028, </w:t>
      </w:r>
      <w:r w:rsidR="00640B1B" w:rsidRPr="00640B1B">
        <w:rPr>
          <w:sz w:val="24"/>
          <w:szCs w:val="24"/>
        </w:rPr>
        <w:t xml:space="preserve">R.10-12-008, </w:t>
      </w:r>
      <w:r w:rsidR="00640B1B">
        <w:rPr>
          <w:sz w:val="24"/>
          <w:szCs w:val="24"/>
        </w:rPr>
        <w:t>and R.12-10-012</w:t>
      </w:r>
      <w:r w:rsidR="00A665EA">
        <w:rPr>
          <w:sz w:val="24"/>
          <w:szCs w:val="24"/>
        </w:rPr>
        <w:t>;</w:t>
      </w:r>
      <w:r w:rsidR="00640B1B">
        <w:rPr>
          <w:sz w:val="24"/>
          <w:szCs w:val="24"/>
        </w:rPr>
        <w:t xml:space="preserve"> </w:t>
      </w:r>
      <w:r w:rsidR="00F61033" w:rsidRPr="00640B1B">
        <w:rPr>
          <w:sz w:val="24"/>
          <w:szCs w:val="24"/>
        </w:rPr>
        <w:t>CASF applicants</w:t>
      </w:r>
      <w:r w:rsidR="00A665EA">
        <w:rPr>
          <w:sz w:val="24"/>
          <w:szCs w:val="24"/>
        </w:rPr>
        <w:t>;</w:t>
      </w:r>
      <w:r w:rsidR="00F61033" w:rsidRPr="00640B1B">
        <w:rPr>
          <w:sz w:val="24"/>
          <w:szCs w:val="24"/>
        </w:rPr>
        <w:t xml:space="preserve"> </w:t>
      </w:r>
      <w:r w:rsidR="00895030" w:rsidRPr="00640B1B">
        <w:rPr>
          <w:sz w:val="24"/>
          <w:szCs w:val="24"/>
        </w:rPr>
        <w:t>t</w:t>
      </w:r>
      <w:r w:rsidR="00F61033" w:rsidRPr="00640B1B">
        <w:rPr>
          <w:sz w:val="24"/>
          <w:szCs w:val="24"/>
        </w:rPr>
        <w:t xml:space="preserve">elecommunications </w:t>
      </w:r>
      <w:r w:rsidR="00895030" w:rsidRPr="00640B1B">
        <w:rPr>
          <w:sz w:val="24"/>
          <w:szCs w:val="24"/>
        </w:rPr>
        <w:t>service providers</w:t>
      </w:r>
      <w:r w:rsidR="00F61033" w:rsidRPr="00640B1B">
        <w:rPr>
          <w:sz w:val="24"/>
          <w:szCs w:val="24"/>
        </w:rPr>
        <w:t xml:space="preserve"> </w:t>
      </w:r>
      <w:r w:rsidR="00895030" w:rsidRPr="00640B1B">
        <w:rPr>
          <w:sz w:val="24"/>
          <w:szCs w:val="24"/>
        </w:rPr>
        <w:t xml:space="preserve">licensed and/or </w:t>
      </w:r>
      <w:r w:rsidR="00F61033" w:rsidRPr="00640B1B">
        <w:rPr>
          <w:sz w:val="24"/>
          <w:szCs w:val="24"/>
        </w:rPr>
        <w:t>registered with the Commission</w:t>
      </w:r>
      <w:r w:rsidR="00A665EA">
        <w:rPr>
          <w:sz w:val="24"/>
          <w:szCs w:val="24"/>
        </w:rPr>
        <w:t>;</w:t>
      </w:r>
      <w:r w:rsidR="00F61033" w:rsidRPr="00640B1B">
        <w:rPr>
          <w:sz w:val="24"/>
          <w:szCs w:val="24"/>
        </w:rPr>
        <w:t xml:space="preserve"> and other interested parties</w:t>
      </w:r>
      <w:r w:rsidR="00CA6DE6" w:rsidRPr="00640B1B">
        <w:rPr>
          <w:sz w:val="24"/>
          <w:szCs w:val="24"/>
        </w:rPr>
        <w:t xml:space="preserve">, </w:t>
      </w:r>
      <w:r w:rsidRPr="00640B1B">
        <w:rPr>
          <w:sz w:val="24"/>
          <w:szCs w:val="24"/>
        </w:rPr>
        <w:t xml:space="preserve">informing </w:t>
      </w:r>
      <w:r w:rsidR="00E11845" w:rsidRPr="00640B1B">
        <w:rPr>
          <w:sz w:val="24"/>
          <w:szCs w:val="24"/>
        </w:rPr>
        <w:t>them</w:t>
      </w:r>
      <w:r w:rsidRPr="00640B1B">
        <w:rPr>
          <w:sz w:val="24"/>
          <w:szCs w:val="24"/>
        </w:rPr>
        <w:t xml:space="preserve"> that the draft of this Resolution is available at the Commission’s website http://www.cpuc.ca.gov/ and is available for public comments.  In addition, CD </w:t>
      </w:r>
      <w:r w:rsidR="00F61033" w:rsidRPr="00640B1B">
        <w:rPr>
          <w:sz w:val="24"/>
          <w:szCs w:val="24"/>
        </w:rPr>
        <w:t xml:space="preserve">will </w:t>
      </w:r>
      <w:r w:rsidRPr="00640B1B">
        <w:rPr>
          <w:sz w:val="24"/>
          <w:szCs w:val="24"/>
        </w:rPr>
        <w:t xml:space="preserve">inform these parties of the subsequent availability of the conformed resolution, when adopted by the Commission, at the Commission’s website as indicated above. </w:t>
      </w:r>
    </w:p>
    <w:p w:rsidR="006A05EE" w:rsidRDefault="006A05EE">
      <w:pPr>
        <w:tabs>
          <w:tab w:val="left" w:pos="-1440"/>
          <w:tab w:val="left" w:pos="-720"/>
        </w:tabs>
        <w:suppressAutoHyphens/>
        <w:rPr>
          <w:sz w:val="24"/>
          <w:szCs w:val="24"/>
          <w:highlight w:val="yellow"/>
        </w:rPr>
      </w:pPr>
    </w:p>
    <w:p w:rsidR="00FE2EB0" w:rsidRDefault="00FE2EB0">
      <w:pPr>
        <w:tabs>
          <w:tab w:val="left" w:pos="-1440"/>
          <w:tab w:val="left" w:pos="-720"/>
        </w:tabs>
        <w:suppressAutoHyphens/>
        <w:rPr>
          <w:sz w:val="24"/>
          <w:szCs w:val="24"/>
          <w:highlight w:val="yellow"/>
        </w:rPr>
      </w:pPr>
    </w:p>
    <w:p w:rsidR="00FE2EB0" w:rsidRDefault="00FE2EB0">
      <w:pPr>
        <w:tabs>
          <w:tab w:val="left" w:pos="-1440"/>
          <w:tab w:val="left" w:pos="-720"/>
        </w:tabs>
        <w:suppressAutoHyphens/>
        <w:rPr>
          <w:sz w:val="24"/>
          <w:szCs w:val="24"/>
          <w:highlight w:val="yellow"/>
        </w:rPr>
      </w:pPr>
    </w:p>
    <w:p w:rsidR="00FE2EB0" w:rsidRPr="000734FD" w:rsidRDefault="00FE2EB0">
      <w:pPr>
        <w:tabs>
          <w:tab w:val="left" w:pos="-1440"/>
          <w:tab w:val="left" w:pos="-720"/>
        </w:tabs>
        <w:suppressAutoHyphens/>
        <w:rPr>
          <w:sz w:val="24"/>
          <w:szCs w:val="24"/>
          <w:highlight w:val="yellow"/>
        </w:rPr>
      </w:pPr>
    </w:p>
    <w:p w:rsidR="00E8334A" w:rsidRPr="00640B1B" w:rsidRDefault="00E8334A">
      <w:pPr>
        <w:pStyle w:val="Heading4"/>
        <w:rPr>
          <w:rFonts w:ascii="Times New Roman" w:hAnsi="Times New Roman"/>
          <w:sz w:val="24"/>
          <w:szCs w:val="24"/>
        </w:rPr>
      </w:pPr>
      <w:r w:rsidRPr="00640B1B">
        <w:rPr>
          <w:rFonts w:ascii="Times New Roman" w:hAnsi="Times New Roman"/>
          <w:bCs/>
          <w:sz w:val="24"/>
          <w:szCs w:val="24"/>
        </w:rPr>
        <w:t>Fin</w:t>
      </w:r>
      <w:r w:rsidRPr="00640B1B">
        <w:rPr>
          <w:rFonts w:ascii="Times New Roman" w:hAnsi="Times New Roman"/>
          <w:sz w:val="24"/>
          <w:szCs w:val="24"/>
        </w:rPr>
        <w:t>dings</w:t>
      </w:r>
    </w:p>
    <w:p w:rsidR="00E8334A" w:rsidRPr="00640B1B" w:rsidRDefault="00E8334A">
      <w:pPr>
        <w:rPr>
          <w:sz w:val="24"/>
          <w:szCs w:val="24"/>
        </w:rPr>
      </w:pPr>
    </w:p>
    <w:p w:rsidR="00E8334A" w:rsidRPr="00640B1B" w:rsidRDefault="00E8334A" w:rsidP="00FE2EB0">
      <w:pPr>
        <w:numPr>
          <w:ilvl w:val="0"/>
          <w:numId w:val="4"/>
        </w:numPr>
        <w:tabs>
          <w:tab w:val="left" w:pos="-1440"/>
          <w:tab w:val="left" w:pos="-720"/>
        </w:tabs>
        <w:suppressAutoHyphens/>
        <w:spacing w:after="120"/>
        <w:rPr>
          <w:sz w:val="24"/>
          <w:szCs w:val="24"/>
        </w:rPr>
      </w:pPr>
      <w:r w:rsidRPr="00640B1B">
        <w:rPr>
          <w:sz w:val="24"/>
          <w:szCs w:val="24"/>
        </w:rPr>
        <w:t xml:space="preserve">In Decision (D.) 07-12-054 dated December 20, 2007, the Commission created a new public purpose program, </w:t>
      </w:r>
      <w:r w:rsidR="00895030" w:rsidRPr="00640B1B">
        <w:rPr>
          <w:sz w:val="24"/>
          <w:szCs w:val="24"/>
        </w:rPr>
        <w:t xml:space="preserve">the </w:t>
      </w:r>
      <w:r w:rsidRPr="00640B1B">
        <w:rPr>
          <w:sz w:val="24"/>
          <w:szCs w:val="24"/>
        </w:rPr>
        <w:t>California Advanced Services Fund</w:t>
      </w:r>
      <w:r w:rsidR="00A9547C">
        <w:rPr>
          <w:sz w:val="24"/>
          <w:szCs w:val="24"/>
        </w:rPr>
        <w:t xml:space="preserve"> (CASF)</w:t>
      </w:r>
      <w:r w:rsidRPr="00640B1B">
        <w:rPr>
          <w:sz w:val="24"/>
          <w:szCs w:val="24"/>
        </w:rPr>
        <w:t xml:space="preserve">, to encourage the deployment of broadband services in unserved and underserved areas.  </w:t>
      </w:r>
    </w:p>
    <w:p w:rsidR="00E8334A" w:rsidRPr="00640B1B" w:rsidRDefault="00E8334A" w:rsidP="00FE2EB0">
      <w:pPr>
        <w:numPr>
          <w:ilvl w:val="0"/>
          <w:numId w:val="4"/>
        </w:numPr>
        <w:tabs>
          <w:tab w:val="left" w:pos="-1440"/>
          <w:tab w:val="left" w:pos="-720"/>
        </w:tabs>
        <w:suppressAutoHyphens/>
        <w:spacing w:after="120"/>
        <w:rPr>
          <w:sz w:val="24"/>
          <w:szCs w:val="24"/>
        </w:rPr>
      </w:pPr>
      <w:r w:rsidRPr="00640B1B">
        <w:rPr>
          <w:sz w:val="24"/>
          <w:szCs w:val="24"/>
        </w:rPr>
        <w:t xml:space="preserve">Chapter 393, Statutes of 2008 (SB 1193, Padilla) amended Sections 270 and 281 of the Public Utilities Code (PU Code) by establishing the </w:t>
      </w:r>
      <w:r w:rsidR="00A9547C">
        <w:rPr>
          <w:sz w:val="24"/>
          <w:szCs w:val="24"/>
        </w:rPr>
        <w:t>CASF</w:t>
      </w:r>
      <w:r w:rsidRPr="00640B1B">
        <w:rPr>
          <w:sz w:val="24"/>
          <w:szCs w:val="24"/>
        </w:rPr>
        <w:t xml:space="preserve"> through January 1, 2013, subject to the same fiscal and financial restrictions applicable to the six (6) existing universal service funds.</w:t>
      </w:r>
    </w:p>
    <w:p w:rsidR="00E8334A" w:rsidRPr="00640B1B" w:rsidRDefault="00E8334A" w:rsidP="00FE2EB0">
      <w:pPr>
        <w:numPr>
          <w:ilvl w:val="0"/>
          <w:numId w:val="4"/>
        </w:numPr>
        <w:tabs>
          <w:tab w:val="left" w:pos="-1440"/>
          <w:tab w:val="left" w:pos="-720"/>
        </w:tabs>
        <w:suppressAutoHyphens/>
        <w:spacing w:after="120"/>
        <w:rPr>
          <w:sz w:val="24"/>
          <w:szCs w:val="24"/>
        </w:rPr>
      </w:pPr>
      <w:r w:rsidRPr="00640B1B">
        <w:rPr>
          <w:sz w:val="24"/>
          <w:szCs w:val="24"/>
        </w:rPr>
        <w:t xml:space="preserve">Section 281 (a) of the PU Code requires the Commission to develop, implement, and administer the </w:t>
      </w:r>
      <w:r w:rsidR="00A9547C">
        <w:rPr>
          <w:sz w:val="24"/>
          <w:szCs w:val="24"/>
        </w:rPr>
        <w:t>CASF</w:t>
      </w:r>
      <w:r w:rsidRPr="00640B1B">
        <w:rPr>
          <w:sz w:val="24"/>
          <w:szCs w:val="24"/>
        </w:rPr>
        <w:t xml:space="preserve"> to encourage deployment of high-quality advanced communications services to all Californians that will promote economic growth, job creation, and substantial social benefits of advanced information and communications technologies, as provided in D</w:t>
      </w:r>
      <w:r w:rsidR="00E11845" w:rsidRPr="00640B1B">
        <w:rPr>
          <w:sz w:val="24"/>
          <w:szCs w:val="24"/>
        </w:rPr>
        <w:t>.</w:t>
      </w:r>
      <w:r w:rsidRPr="00640B1B">
        <w:rPr>
          <w:sz w:val="24"/>
          <w:szCs w:val="24"/>
        </w:rPr>
        <w:t>07-12-054.</w:t>
      </w:r>
    </w:p>
    <w:p w:rsidR="00E8334A" w:rsidRPr="00640B1B" w:rsidRDefault="00E8334A" w:rsidP="00FE2EB0">
      <w:pPr>
        <w:numPr>
          <w:ilvl w:val="0"/>
          <w:numId w:val="4"/>
        </w:numPr>
        <w:tabs>
          <w:tab w:val="left" w:pos="-1440"/>
          <w:tab w:val="left" w:pos="-720"/>
        </w:tabs>
        <w:suppressAutoHyphens/>
        <w:spacing w:after="120"/>
        <w:rPr>
          <w:sz w:val="24"/>
          <w:szCs w:val="24"/>
        </w:rPr>
      </w:pPr>
      <w:r w:rsidRPr="00640B1B">
        <w:rPr>
          <w:sz w:val="24"/>
          <w:szCs w:val="24"/>
        </w:rPr>
        <w:t>PU Code § 270 (b) requires that moneys in the C</w:t>
      </w:r>
      <w:r w:rsidR="00A9547C">
        <w:rPr>
          <w:sz w:val="24"/>
          <w:szCs w:val="24"/>
        </w:rPr>
        <w:t>ASF</w:t>
      </w:r>
      <w:r w:rsidRPr="00640B1B">
        <w:rPr>
          <w:sz w:val="24"/>
          <w:szCs w:val="24"/>
        </w:rPr>
        <w:t xml:space="preserve"> may only be disbursed pursuant to §§ 270 and 281 and upon appropriation in the annual Budget Act. </w:t>
      </w:r>
    </w:p>
    <w:p w:rsidR="00FD7501" w:rsidRDefault="00E8334A" w:rsidP="00FE2EB0">
      <w:pPr>
        <w:numPr>
          <w:ilvl w:val="0"/>
          <w:numId w:val="4"/>
        </w:numPr>
        <w:tabs>
          <w:tab w:val="left" w:pos="-1440"/>
          <w:tab w:val="left" w:pos="-720"/>
        </w:tabs>
        <w:suppressAutoHyphens/>
        <w:spacing w:after="120"/>
        <w:rPr>
          <w:sz w:val="24"/>
          <w:szCs w:val="24"/>
        </w:rPr>
      </w:pPr>
      <w:r w:rsidRPr="00640B1B">
        <w:rPr>
          <w:sz w:val="24"/>
          <w:szCs w:val="24"/>
        </w:rPr>
        <w:t>SB 1040 (</w:t>
      </w:r>
      <w:r w:rsidR="00FD7501">
        <w:rPr>
          <w:sz w:val="24"/>
          <w:szCs w:val="24"/>
        </w:rPr>
        <w:t xml:space="preserve">Chapter 317, Stats 2010) </w:t>
      </w:r>
      <w:r w:rsidRPr="00640B1B">
        <w:rPr>
          <w:sz w:val="24"/>
          <w:szCs w:val="24"/>
        </w:rPr>
        <w:t xml:space="preserve">expanded the CASF and increased the CASF appropriation from $100 million to $225 million.  The increase of $125 million to be collected after January 1, 2011 is allocated to the following accounts:  $100 million to the Broadband Infrastructure Grant Account, $10 million to the Rural and Urban Regional Broadband Consortia Grant Account, and $15 million to the Broadband Infrastructure Revolving Loan Account.  </w:t>
      </w:r>
      <w:r w:rsidR="00E11845" w:rsidRPr="00640B1B">
        <w:rPr>
          <w:sz w:val="24"/>
          <w:szCs w:val="24"/>
        </w:rPr>
        <w:t xml:space="preserve">The $125 million is to be funded by a surcharge assessed on revenues collected from end-users and collected at $25 million a year beginning on calendar year 2011.  </w:t>
      </w:r>
    </w:p>
    <w:p w:rsidR="001236E2" w:rsidRPr="00640B1B" w:rsidRDefault="00E11845" w:rsidP="00FE2EB0">
      <w:pPr>
        <w:numPr>
          <w:ilvl w:val="0"/>
          <w:numId w:val="4"/>
        </w:numPr>
        <w:tabs>
          <w:tab w:val="left" w:pos="-1440"/>
          <w:tab w:val="left" w:pos="-720"/>
        </w:tabs>
        <w:suppressAutoHyphens/>
        <w:spacing w:after="120"/>
        <w:rPr>
          <w:sz w:val="24"/>
          <w:szCs w:val="24"/>
        </w:rPr>
      </w:pPr>
      <w:r w:rsidRPr="00640B1B">
        <w:rPr>
          <w:sz w:val="24"/>
          <w:szCs w:val="24"/>
        </w:rPr>
        <w:t xml:space="preserve">To collect the additional funds authorized by SB 1040, the Commission </w:t>
      </w:r>
      <w:r w:rsidR="00D90DDD">
        <w:rPr>
          <w:sz w:val="24"/>
          <w:szCs w:val="24"/>
        </w:rPr>
        <w:t xml:space="preserve">revised the CASF surcharge from 0.0% to 0.14% effective November 1, 2011, in </w:t>
      </w:r>
      <w:hyperlink r:id="rId9" w:history="1">
        <w:r w:rsidRPr="00640B1B">
          <w:rPr>
            <w:sz w:val="24"/>
            <w:szCs w:val="24"/>
          </w:rPr>
          <w:t>Resolution T-17343</w:t>
        </w:r>
      </w:hyperlink>
      <w:r w:rsidR="00D90DDD">
        <w:rPr>
          <w:sz w:val="24"/>
          <w:szCs w:val="24"/>
        </w:rPr>
        <w:t xml:space="preserve">.  The Commission further revised the surcharge rate to </w:t>
      </w:r>
      <w:r w:rsidR="00AB6DCD">
        <w:rPr>
          <w:sz w:val="24"/>
          <w:szCs w:val="24"/>
        </w:rPr>
        <w:t>0</w:t>
      </w:r>
      <w:r w:rsidR="00D90DDD">
        <w:rPr>
          <w:sz w:val="24"/>
          <w:szCs w:val="24"/>
        </w:rPr>
        <w:t xml:space="preserve">.164% effective April 1, 2013, in </w:t>
      </w:r>
      <w:r w:rsidR="001236E2" w:rsidRPr="00640B1B">
        <w:rPr>
          <w:sz w:val="24"/>
          <w:szCs w:val="24"/>
        </w:rPr>
        <w:t xml:space="preserve"> </w:t>
      </w:r>
      <w:r w:rsidR="00D90DDD">
        <w:rPr>
          <w:sz w:val="24"/>
          <w:szCs w:val="24"/>
        </w:rPr>
        <w:t xml:space="preserve">Resolution T-17386, </w:t>
      </w:r>
      <w:r w:rsidR="001236E2" w:rsidRPr="00640B1B">
        <w:rPr>
          <w:sz w:val="24"/>
          <w:szCs w:val="24"/>
        </w:rPr>
        <w:t>after determining that the CASF has been under collecting from the cap limit of $25 million per calendar year.</w:t>
      </w:r>
    </w:p>
    <w:p w:rsidR="007D2978" w:rsidRPr="00640B1B" w:rsidRDefault="007D2978" w:rsidP="00FE2EB0">
      <w:pPr>
        <w:numPr>
          <w:ilvl w:val="0"/>
          <w:numId w:val="4"/>
        </w:numPr>
        <w:tabs>
          <w:tab w:val="left" w:pos="-1440"/>
          <w:tab w:val="left" w:pos="-720"/>
        </w:tabs>
        <w:suppressAutoHyphens/>
        <w:spacing w:after="120"/>
        <w:rPr>
          <w:sz w:val="24"/>
          <w:szCs w:val="24"/>
        </w:rPr>
      </w:pPr>
      <w:r w:rsidRPr="00640B1B">
        <w:rPr>
          <w:sz w:val="24"/>
          <w:szCs w:val="24"/>
        </w:rPr>
        <w:t xml:space="preserve">In 2012, the Department of Finance conducted a budget process performance audit of six public purpose programs administered by the Communications Division including the CASF. </w:t>
      </w:r>
    </w:p>
    <w:p w:rsidR="00D90DDD" w:rsidRDefault="00640B1B" w:rsidP="00FE2EB0">
      <w:pPr>
        <w:numPr>
          <w:ilvl w:val="0"/>
          <w:numId w:val="4"/>
        </w:numPr>
        <w:tabs>
          <w:tab w:val="left" w:pos="-1440"/>
          <w:tab w:val="left" w:pos="-720"/>
        </w:tabs>
        <w:suppressAutoHyphens/>
        <w:spacing w:after="120"/>
        <w:rPr>
          <w:sz w:val="24"/>
          <w:szCs w:val="24"/>
        </w:rPr>
      </w:pPr>
      <w:r w:rsidRPr="00640B1B">
        <w:rPr>
          <w:sz w:val="24"/>
          <w:szCs w:val="24"/>
        </w:rPr>
        <w:t>SB 740</w:t>
      </w:r>
      <w:r w:rsidR="00D90DDD">
        <w:rPr>
          <w:sz w:val="24"/>
          <w:szCs w:val="24"/>
        </w:rPr>
        <w:t>, enacted in October 2013,</w:t>
      </w:r>
      <w:r w:rsidRPr="00640B1B">
        <w:rPr>
          <w:sz w:val="24"/>
          <w:szCs w:val="24"/>
        </w:rPr>
        <w:t xml:space="preserve"> authorized the collection of an additional $90 million  to be deposited in the CASF Infrastructure Grant Account, extended the surcharge collection through the 2020 calendar year, established the goal of the CASF program to approve funding for infrastructure projects that will provide broadband access to no less than 98% of California households by no later than December 31, 2015, and allowed any entity which is not a telephone corporation to be eligible to apply for a CASF grant and loan if that entity otherwise satisfies the CASF’s eligibility requirements and any other requirements as defined by the Commission, amongst other requirements identified in the bill.  </w:t>
      </w:r>
    </w:p>
    <w:p w:rsidR="00640B1B" w:rsidRPr="00640B1B" w:rsidRDefault="00640B1B" w:rsidP="00FE2EB0">
      <w:pPr>
        <w:numPr>
          <w:ilvl w:val="0"/>
          <w:numId w:val="4"/>
        </w:numPr>
        <w:tabs>
          <w:tab w:val="left" w:pos="-1440"/>
          <w:tab w:val="left" w:pos="-720"/>
        </w:tabs>
        <w:suppressAutoHyphens/>
        <w:spacing w:after="120"/>
        <w:rPr>
          <w:sz w:val="24"/>
          <w:szCs w:val="24"/>
        </w:rPr>
      </w:pPr>
      <w:r w:rsidRPr="00640B1B">
        <w:rPr>
          <w:sz w:val="24"/>
          <w:szCs w:val="24"/>
        </w:rPr>
        <w:t>AB 1299</w:t>
      </w:r>
      <w:r w:rsidR="00D90DDD">
        <w:rPr>
          <w:sz w:val="24"/>
          <w:szCs w:val="24"/>
        </w:rPr>
        <w:t>, also enacted in October 2013,</w:t>
      </w:r>
      <w:r w:rsidRPr="00640B1B">
        <w:rPr>
          <w:sz w:val="24"/>
          <w:szCs w:val="24"/>
        </w:rPr>
        <w:t xml:space="preserve"> created an additional account under the CASF called the Broadband Public Housing Account (Public Housing Account) to support the deployment of broadband networks and adoption programs in eligible publicly supported communities.  The Public Housing Account efforts will be funded through $20 million from the Infrastructure Grant Account and $5 million from the Revolving Loan Account, respectively.  Any monies in the Public Housing Account that have not been awarded by December 31, 2016, shall be transferred back to the Infrastructure Grant Account and Revolving Loan Account in proportion to the amount transferred from the respective accounts.</w:t>
      </w:r>
    </w:p>
    <w:p w:rsidR="00640B1B" w:rsidRPr="00640B1B" w:rsidRDefault="00D90DDD" w:rsidP="00FE2EB0">
      <w:pPr>
        <w:numPr>
          <w:ilvl w:val="0"/>
          <w:numId w:val="4"/>
        </w:numPr>
        <w:tabs>
          <w:tab w:val="left" w:pos="-1440"/>
          <w:tab w:val="left" w:pos="-720"/>
        </w:tabs>
        <w:suppressAutoHyphens/>
        <w:spacing w:after="120"/>
        <w:rPr>
          <w:sz w:val="24"/>
          <w:szCs w:val="24"/>
        </w:rPr>
      </w:pPr>
      <w:r>
        <w:rPr>
          <w:sz w:val="24"/>
          <w:szCs w:val="24"/>
        </w:rPr>
        <w:t xml:space="preserve">In </w:t>
      </w:r>
      <w:r w:rsidR="00640B1B" w:rsidRPr="00640B1B">
        <w:rPr>
          <w:sz w:val="24"/>
          <w:szCs w:val="24"/>
        </w:rPr>
        <w:t xml:space="preserve">Resolution T-17434, </w:t>
      </w:r>
      <w:r>
        <w:rPr>
          <w:sz w:val="24"/>
          <w:szCs w:val="24"/>
        </w:rPr>
        <w:t>the Commission further</w:t>
      </w:r>
      <w:r w:rsidR="00640B1B" w:rsidRPr="00640B1B">
        <w:rPr>
          <w:sz w:val="24"/>
          <w:szCs w:val="24"/>
        </w:rPr>
        <w:t xml:space="preserve"> increased the CASF surcharge rate to 0.464% effective April 1, 2014.  The higher surcharge rate is intended to make up for the under collection of the authorized annual revenues for 2011 to 2013 and to have funds available to meet the new requirements imposed on the program by SB 740 and AB 1299. </w:t>
      </w:r>
    </w:p>
    <w:p w:rsidR="001C2444" w:rsidRPr="00A9547C" w:rsidRDefault="00A9547C" w:rsidP="00FE2EB0">
      <w:pPr>
        <w:numPr>
          <w:ilvl w:val="0"/>
          <w:numId w:val="4"/>
        </w:numPr>
        <w:tabs>
          <w:tab w:val="left" w:pos="-1440"/>
          <w:tab w:val="left" w:pos="-720"/>
        </w:tabs>
        <w:suppressAutoHyphens/>
        <w:spacing w:after="120"/>
        <w:rPr>
          <w:sz w:val="24"/>
          <w:szCs w:val="24"/>
        </w:rPr>
      </w:pPr>
      <w:r w:rsidRPr="00A9547C">
        <w:rPr>
          <w:sz w:val="24"/>
          <w:szCs w:val="24"/>
        </w:rPr>
        <w:t>C</w:t>
      </w:r>
      <w:r>
        <w:rPr>
          <w:sz w:val="24"/>
          <w:szCs w:val="24"/>
        </w:rPr>
        <w:t>ommunications Division’s</w:t>
      </w:r>
      <w:r w:rsidRPr="00A9547C">
        <w:rPr>
          <w:sz w:val="24"/>
          <w:szCs w:val="24"/>
        </w:rPr>
        <w:t xml:space="preserve"> proposed C</w:t>
      </w:r>
      <w:r>
        <w:rPr>
          <w:sz w:val="24"/>
          <w:szCs w:val="24"/>
        </w:rPr>
        <w:t>ASF</w:t>
      </w:r>
      <w:r w:rsidRPr="00A9547C">
        <w:rPr>
          <w:sz w:val="24"/>
          <w:szCs w:val="24"/>
        </w:rPr>
        <w:t xml:space="preserve"> FY 2015-16 expense budget of </w:t>
      </w:r>
      <w:r w:rsidR="00122E05">
        <w:rPr>
          <w:sz w:val="24"/>
          <w:szCs w:val="24"/>
        </w:rPr>
        <w:t xml:space="preserve">$97,831 million </w:t>
      </w:r>
      <w:r w:rsidR="00122E05" w:rsidRPr="00122E05">
        <w:rPr>
          <w:sz w:val="24"/>
          <w:szCs w:val="24"/>
        </w:rPr>
        <w:t xml:space="preserve">composed of $3.772 million for CPUC State Operations, $94.011 million for Local Assistance, and $0.048 million for Other State Agencies is reasonable and should be adopted.  </w:t>
      </w:r>
      <w:r w:rsidRPr="00A9547C">
        <w:rPr>
          <w:sz w:val="24"/>
          <w:szCs w:val="24"/>
        </w:rPr>
        <w:t xml:space="preserve">  </w:t>
      </w:r>
    </w:p>
    <w:p w:rsidR="007D2978" w:rsidRPr="00A9547C" w:rsidRDefault="00A9547C" w:rsidP="00FE2EB0">
      <w:pPr>
        <w:numPr>
          <w:ilvl w:val="0"/>
          <w:numId w:val="4"/>
        </w:numPr>
        <w:tabs>
          <w:tab w:val="left" w:pos="-1440"/>
          <w:tab w:val="left" w:pos="-720"/>
        </w:tabs>
        <w:suppressAutoHyphens/>
        <w:spacing w:after="120"/>
        <w:rPr>
          <w:sz w:val="24"/>
          <w:szCs w:val="24"/>
        </w:rPr>
      </w:pPr>
      <w:r w:rsidRPr="00A9547C">
        <w:rPr>
          <w:sz w:val="24"/>
          <w:szCs w:val="24"/>
        </w:rPr>
        <w:t>The FY 2015-16</w:t>
      </w:r>
      <w:r w:rsidR="007D2978" w:rsidRPr="00A9547C">
        <w:rPr>
          <w:sz w:val="24"/>
          <w:szCs w:val="24"/>
        </w:rPr>
        <w:t xml:space="preserve"> budget adopted today is subject to final appropriations adopted in the Budget Act of 201</w:t>
      </w:r>
      <w:r>
        <w:rPr>
          <w:sz w:val="24"/>
          <w:szCs w:val="24"/>
        </w:rPr>
        <w:t xml:space="preserve">5.  </w:t>
      </w:r>
      <w:r w:rsidR="007D2978" w:rsidRPr="00A9547C">
        <w:rPr>
          <w:sz w:val="24"/>
          <w:szCs w:val="24"/>
        </w:rPr>
        <w:t>The appropriations a</w:t>
      </w:r>
      <w:r>
        <w:rPr>
          <w:sz w:val="24"/>
          <w:szCs w:val="24"/>
        </w:rPr>
        <w:t>dopted in the Budget Act of 2015</w:t>
      </w:r>
      <w:r w:rsidR="007D2978" w:rsidRPr="00A9547C">
        <w:rPr>
          <w:sz w:val="24"/>
          <w:szCs w:val="24"/>
        </w:rPr>
        <w:t>, if different</w:t>
      </w:r>
      <w:r>
        <w:rPr>
          <w:sz w:val="24"/>
          <w:szCs w:val="24"/>
        </w:rPr>
        <w:t>, will supersede the FY 2015</w:t>
      </w:r>
      <w:r w:rsidR="007D2978" w:rsidRPr="00A9547C">
        <w:rPr>
          <w:sz w:val="24"/>
          <w:szCs w:val="24"/>
        </w:rPr>
        <w:t>-1</w:t>
      </w:r>
      <w:r>
        <w:rPr>
          <w:sz w:val="24"/>
          <w:szCs w:val="24"/>
        </w:rPr>
        <w:t>6 b</w:t>
      </w:r>
      <w:r w:rsidR="007D2978" w:rsidRPr="00A9547C">
        <w:rPr>
          <w:sz w:val="24"/>
          <w:szCs w:val="24"/>
        </w:rPr>
        <w:t>udget adopted in this resolution</w:t>
      </w:r>
      <w:r w:rsidR="000D5D4D" w:rsidRPr="00A9547C">
        <w:rPr>
          <w:sz w:val="24"/>
          <w:szCs w:val="24"/>
        </w:rPr>
        <w:t>.</w:t>
      </w:r>
    </w:p>
    <w:p w:rsidR="00A9547C" w:rsidRDefault="00A9547C" w:rsidP="00FE2EB0">
      <w:pPr>
        <w:numPr>
          <w:ilvl w:val="0"/>
          <w:numId w:val="4"/>
        </w:numPr>
        <w:tabs>
          <w:tab w:val="left" w:pos="-1440"/>
          <w:tab w:val="left" w:pos="-720"/>
        </w:tabs>
        <w:suppressAutoHyphens/>
        <w:spacing w:after="120"/>
        <w:rPr>
          <w:sz w:val="24"/>
          <w:szCs w:val="24"/>
        </w:rPr>
      </w:pPr>
      <w:r>
        <w:rPr>
          <w:sz w:val="24"/>
          <w:szCs w:val="24"/>
        </w:rPr>
        <w:t>A</w:t>
      </w:r>
      <w:r w:rsidRPr="00A9547C">
        <w:rPr>
          <w:sz w:val="24"/>
          <w:szCs w:val="24"/>
        </w:rPr>
        <w:t xml:space="preserve"> Notice of Availability was e-mailed on </w:t>
      </w:r>
      <w:r w:rsidR="00004294">
        <w:rPr>
          <w:sz w:val="24"/>
          <w:szCs w:val="24"/>
        </w:rPr>
        <w:t>October</w:t>
      </w:r>
      <w:r w:rsidRPr="00A9547C">
        <w:rPr>
          <w:sz w:val="24"/>
          <w:szCs w:val="24"/>
        </w:rPr>
        <w:t xml:space="preserve"> </w:t>
      </w:r>
      <w:r w:rsidR="00004294">
        <w:rPr>
          <w:sz w:val="24"/>
          <w:szCs w:val="24"/>
        </w:rPr>
        <w:t>1</w:t>
      </w:r>
      <w:r w:rsidRPr="00A9547C">
        <w:rPr>
          <w:sz w:val="24"/>
          <w:szCs w:val="24"/>
        </w:rPr>
        <w:t>, 2014 to the CASF Distribution List, which is comprised of parties of record in R.06-06-028, R.10-12-008, and R.12-10-012</w:t>
      </w:r>
      <w:r w:rsidR="00A665EA">
        <w:rPr>
          <w:sz w:val="24"/>
          <w:szCs w:val="24"/>
        </w:rPr>
        <w:t>;</w:t>
      </w:r>
      <w:r w:rsidRPr="00A9547C">
        <w:rPr>
          <w:sz w:val="24"/>
          <w:szCs w:val="24"/>
        </w:rPr>
        <w:t xml:space="preserve"> CASF applicants</w:t>
      </w:r>
      <w:r w:rsidR="00A665EA">
        <w:rPr>
          <w:sz w:val="24"/>
          <w:szCs w:val="24"/>
        </w:rPr>
        <w:t>;</w:t>
      </w:r>
      <w:r w:rsidRPr="00A9547C">
        <w:rPr>
          <w:sz w:val="24"/>
          <w:szCs w:val="24"/>
        </w:rPr>
        <w:t xml:space="preserve"> telecommunications service providers licensed and/or registered with the Commission</w:t>
      </w:r>
      <w:r w:rsidR="00A665EA">
        <w:rPr>
          <w:sz w:val="24"/>
          <w:szCs w:val="24"/>
        </w:rPr>
        <w:t>;</w:t>
      </w:r>
      <w:r w:rsidRPr="00A9547C">
        <w:rPr>
          <w:sz w:val="24"/>
          <w:szCs w:val="24"/>
        </w:rPr>
        <w:t xml:space="preserve"> and other interested parties, informing them that the draft of this Resolution is available at the Commission’s website http://www.cpuc.ca.gov/ and is available for public comments.  </w:t>
      </w:r>
    </w:p>
    <w:p w:rsidR="006545A0" w:rsidRDefault="006545A0">
      <w:pPr>
        <w:rPr>
          <w:sz w:val="24"/>
          <w:szCs w:val="24"/>
          <w:highlight w:val="yellow"/>
        </w:rPr>
      </w:pPr>
      <w:r>
        <w:rPr>
          <w:sz w:val="24"/>
          <w:szCs w:val="24"/>
          <w:highlight w:val="yellow"/>
        </w:rPr>
        <w:br w:type="page"/>
      </w:r>
    </w:p>
    <w:p w:rsidR="00E8334A" w:rsidRPr="000734FD" w:rsidRDefault="00E8334A">
      <w:pPr>
        <w:tabs>
          <w:tab w:val="left" w:pos="-1440"/>
          <w:tab w:val="left" w:pos="-720"/>
        </w:tabs>
        <w:suppressAutoHyphens/>
        <w:rPr>
          <w:sz w:val="24"/>
          <w:szCs w:val="24"/>
          <w:highlight w:val="yellow"/>
        </w:rPr>
      </w:pPr>
    </w:p>
    <w:p w:rsidR="00E8334A" w:rsidRPr="00A665EA" w:rsidRDefault="00E8334A">
      <w:pPr>
        <w:tabs>
          <w:tab w:val="left" w:pos="-1440"/>
          <w:tab w:val="left" w:pos="-720"/>
        </w:tabs>
        <w:suppressAutoHyphens/>
        <w:rPr>
          <w:b/>
          <w:sz w:val="24"/>
          <w:szCs w:val="24"/>
        </w:rPr>
      </w:pPr>
      <w:r w:rsidRPr="00A665EA">
        <w:rPr>
          <w:b/>
          <w:sz w:val="24"/>
          <w:szCs w:val="24"/>
        </w:rPr>
        <w:t>THEREFORE, IT IS ORDERED that:</w:t>
      </w:r>
    </w:p>
    <w:p w:rsidR="00E8334A" w:rsidRPr="00A665EA" w:rsidRDefault="00E8334A">
      <w:pPr>
        <w:keepNext/>
        <w:keepLines/>
        <w:rPr>
          <w:b/>
          <w:sz w:val="24"/>
          <w:szCs w:val="24"/>
        </w:rPr>
      </w:pPr>
    </w:p>
    <w:p w:rsidR="00120C24" w:rsidRPr="00A665EA" w:rsidRDefault="00E8334A" w:rsidP="00122E05">
      <w:pPr>
        <w:numPr>
          <w:ilvl w:val="0"/>
          <w:numId w:val="1"/>
        </w:numPr>
        <w:tabs>
          <w:tab w:val="left" w:pos="-1440"/>
          <w:tab w:val="left" w:pos="-720"/>
        </w:tabs>
        <w:suppressAutoHyphens/>
        <w:rPr>
          <w:sz w:val="24"/>
          <w:szCs w:val="24"/>
        </w:rPr>
      </w:pPr>
      <w:r w:rsidRPr="00A665EA">
        <w:rPr>
          <w:sz w:val="24"/>
          <w:szCs w:val="24"/>
        </w:rPr>
        <w:t xml:space="preserve">The Fiscal Year </w:t>
      </w:r>
      <w:r w:rsidR="001C2444" w:rsidRPr="00A665EA">
        <w:rPr>
          <w:sz w:val="24"/>
          <w:szCs w:val="24"/>
        </w:rPr>
        <w:t>201</w:t>
      </w:r>
      <w:r w:rsidR="00A665EA">
        <w:rPr>
          <w:sz w:val="24"/>
          <w:szCs w:val="24"/>
        </w:rPr>
        <w:t>5-16</w:t>
      </w:r>
      <w:r w:rsidRPr="00A665EA">
        <w:rPr>
          <w:sz w:val="24"/>
          <w:szCs w:val="24"/>
        </w:rPr>
        <w:t xml:space="preserve"> Californi</w:t>
      </w:r>
      <w:r w:rsidR="00A665EA">
        <w:rPr>
          <w:sz w:val="24"/>
          <w:szCs w:val="24"/>
        </w:rPr>
        <w:t xml:space="preserve">a Advanced Services Fund </w:t>
      </w:r>
      <w:r w:rsidR="00A665EA" w:rsidRPr="00A665EA">
        <w:rPr>
          <w:sz w:val="24"/>
          <w:szCs w:val="24"/>
        </w:rPr>
        <w:t xml:space="preserve">expense budget of </w:t>
      </w:r>
      <w:r w:rsidR="00122E05" w:rsidRPr="00122E05">
        <w:rPr>
          <w:sz w:val="24"/>
          <w:szCs w:val="24"/>
        </w:rPr>
        <w:t xml:space="preserve">$97,831 million composed of $3.772 million for CPUC State Operations, $94.011 million for Local Assistance, and $0.048 million for Other State Agencies </w:t>
      </w:r>
      <w:r w:rsidR="00122E05">
        <w:rPr>
          <w:sz w:val="24"/>
          <w:szCs w:val="24"/>
        </w:rPr>
        <w:t>is</w:t>
      </w:r>
      <w:r w:rsidR="00122E05" w:rsidRPr="00122E05">
        <w:rPr>
          <w:sz w:val="24"/>
          <w:szCs w:val="24"/>
        </w:rPr>
        <w:t xml:space="preserve"> adopted</w:t>
      </w:r>
      <w:r w:rsidRPr="00A665EA">
        <w:rPr>
          <w:sz w:val="24"/>
          <w:szCs w:val="24"/>
        </w:rPr>
        <w:t>.</w:t>
      </w:r>
      <w:r w:rsidR="00120C24" w:rsidRPr="00A665EA">
        <w:rPr>
          <w:sz w:val="24"/>
          <w:szCs w:val="24"/>
        </w:rPr>
        <w:t xml:space="preserve"> </w:t>
      </w:r>
      <w:r w:rsidRPr="00A665EA">
        <w:rPr>
          <w:sz w:val="24"/>
          <w:szCs w:val="24"/>
        </w:rPr>
        <w:t xml:space="preserve"> </w:t>
      </w:r>
    </w:p>
    <w:p w:rsidR="001962BB" w:rsidRPr="00A665EA" w:rsidRDefault="001962BB" w:rsidP="006C14B0">
      <w:pPr>
        <w:tabs>
          <w:tab w:val="left" w:pos="-1440"/>
          <w:tab w:val="left" w:pos="-720"/>
        </w:tabs>
        <w:suppressAutoHyphens/>
        <w:ind w:left="360"/>
        <w:rPr>
          <w:sz w:val="24"/>
          <w:szCs w:val="24"/>
        </w:rPr>
      </w:pPr>
    </w:p>
    <w:p w:rsidR="0040435E" w:rsidRPr="00A665EA" w:rsidRDefault="00120C24" w:rsidP="00F26C08">
      <w:pPr>
        <w:numPr>
          <w:ilvl w:val="0"/>
          <w:numId w:val="1"/>
        </w:numPr>
        <w:tabs>
          <w:tab w:val="left" w:pos="-1440"/>
          <w:tab w:val="left" w:pos="-720"/>
        </w:tabs>
        <w:suppressAutoHyphens/>
        <w:rPr>
          <w:sz w:val="24"/>
        </w:rPr>
      </w:pPr>
      <w:r w:rsidRPr="00A665EA">
        <w:rPr>
          <w:sz w:val="24"/>
        </w:rPr>
        <w:t xml:space="preserve">Communications Division </w:t>
      </w:r>
      <w:r w:rsidR="00CF4ECD" w:rsidRPr="00A665EA">
        <w:rPr>
          <w:sz w:val="24"/>
        </w:rPr>
        <w:t>staff is</w:t>
      </w:r>
      <w:r w:rsidRPr="00A665EA">
        <w:rPr>
          <w:sz w:val="24"/>
        </w:rPr>
        <w:t xml:space="preserve"> authorized to modify the FY 20</w:t>
      </w:r>
      <w:r w:rsidR="00A665EA" w:rsidRPr="00A665EA">
        <w:rPr>
          <w:sz w:val="24"/>
        </w:rPr>
        <w:t>15-16</w:t>
      </w:r>
      <w:r w:rsidRPr="00A665EA">
        <w:rPr>
          <w:sz w:val="24"/>
        </w:rPr>
        <w:t xml:space="preserve"> expense budget adopted today to conform to the final appropriations a</w:t>
      </w:r>
      <w:r w:rsidR="00A665EA" w:rsidRPr="00A665EA">
        <w:rPr>
          <w:sz w:val="24"/>
        </w:rPr>
        <w:t>dopted in the Budget Act of 2015</w:t>
      </w:r>
      <w:r w:rsidR="00A665EA">
        <w:rPr>
          <w:sz w:val="24"/>
        </w:rPr>
        <w:t>.</w:t>
      </w:r>
    </w:p>
    <w:p w:rsidR="00A665EA" w:rsidRPr="00A665EA" w:rsidRDefault="00A665EA" w:rsidP="00A665EA">
      <w:pPr>
        <w:pStyle w:val="ListParagraph"/>
        <w:rPr>
          <w:sz w:val="24"/>
        </w:rPr>
      </w:pPr>
    </w:p>
    <w:p w:rsidR="00A665EA" w:rsidRPr="00A665EA" w:rsidRDefault="00A665EA" w:rsidP="00A665EA">
      <w:pPr>
        <w:tabs>
          <w:tab w:val="left" w:pos="-1440"/>
          <w:tab w:val="left" w:pos="-720"/>
        </w:tabs>
        <w:suppressAutoHyphens/>
        <w:rPr>
          <w:sz w:val="24"/>
        </w:rPr>
      </w:pPr>
    </w:p>
    <w:p w:rsidR="00E8334A" w:rsidRPr="006C14B0" w:rsidRDefault="00E8334A">
      <w:pPr>
        <w:rPr>
          <w:sz w:val="24"/>
        </w:rPr>
      </w:pPr>
      <w:r w:rsidRPr="00A665EA">
        <w:rPr>
          <w:sz w:val="24"/>
        </w:rPr>
        <w:t xml:space="preserve">I hereby certify that this Resolution was adopted by the Public Utilities Commission at its regular meeting on </w:t>
      </w:r>
      <w:r w:rsidR="00A665EA" w:rsidRPr="00A665EA">
        <w:rPr>
          <w:sz w:val="24"/>
        </w:rPr>
        <w:t>November 6, 2014</w:t>
      </w:r>
      <w:r w:rsidRPr="00A665EA">
        <w:rPr>
          <w:sz w:val="24"/>
        </w:rPr>
        <w:t>.  The following Commissioners approved it:</w:t>
      </w:r>
    </w:p>
    <w:p w:rsidR="00E8334A" w:rsidRDefault="00E8334A">
      <w:pPr>
        <w:rPr>
          <w:rFonts w:ascii="Palatino" w:hAnsi="Palatino"/>
          <w:sz w:val="24"/>
        </w:rPr>
      </w:pPr>
    </w:p>
    <w:p w:rsidR="00375F11" w:rsidRDefault="00375F11">
      <w:pPr>
        <w:rPr>
          <w:rFonts w:ascii="Palatino" w:hAnsi="Palatino"/>
          <w:sz w:val="24"/>
        </w:rPr>
      </w:pPr>
    </w:p>
    <w:tbl>
      <w:tblPr>
        <w:tblW w:w="0" w:type="auto"/>
        <w:tblInd w:w="4788" w:type="dxa"/>
        <w:tblLayout w:type="fixed"/>
        <w:tblLook w:val="0000" w:firstRow="0" w:lastRow="0" w:firstColumn="0" w:lastColumn="0" w:noHBand="0" w:noVBand="0"/>
      </w:tblPr>
      <w:tblGrid>
        <w:gridCol w:w="3870"/>
      </w:tblGrid>
      <w:tr w:rsidR="00E8334A">
        <w:tc>
          <w:tcPr>
            <w:tcW w:w="3870" w:type="dxa"/>
            <w:tcBorders>
              <w:bottom w:val="single" w:sz="6" w:space="0" w:color="auto"/>
            </w:tcBorders>
          </w:tcPr>
          <w:p w:rsidR="00E8334A" w:rsidRDefault="00E8334A" w:rsidP="00004294">
            <w:pPr>
              <w:ind w:right="-648"/>
              <w:rPr>
                <w:rFonts w:ascii="Palatino" w:hAnsi="Palatino"/>
                <w:sz w:val="24"/>
              </w:rPr>
            </w:pPr>
            <w:r>
              <w:rPr>
                <w:rFonts w:ascii="Palatino" w:hAnsi="Palatino"/>
                <w:sz w:val="24"/>
              </w:rPr>
              <w:t xml:space="preserve">              </w:t>
            </w:r>
          </w:p>
        </w:tc>
      </w:tr>
      <w:tr w:rsidR="00E8334A">
        <w:tc>
          <w:tcPr>
            <w:tcW w:w="3870" w:type="dxa"/>
          </w:tcPr>
          <w:p w:rsidR="00E8334A" w:rsidRDefault="00E8334A">
            <w:pPr>
              <w:pStyle w:val="Heading6"/>
              <w:jc w:val="center"/>
              <w:rPr>
                <w:rFonts w:ascii="Palatino" w:hAnsi="Palatino"/>
              </w:rPr>
            </w:pPr>
            <w:r>
              <w:rPr>
                <w:rFonts w:ascii="Palatino" w:hAnsi="Palatino"/>
              </w:rPr>
              <w:t>PAUL CLANON</w:t>
            </w:r>
          </w:p>
          <w:p w:rsidR="00E8334A" w:rsidRDefault="00E8334A">
            <w:pPr>
              <w:pStyle w:val="Heading6"/>
              <w:spacing w:before="0"/>
              <w:jc w:val="center"/>
              <w:rPr>
                <w:rFonts w:ascii="Palatino" w:hAnsi="Palatino"/>
              </w:rPr>
            </w:pPr>
            <w:r>
              <w:rPr>
                <w:rFonts w:ascii="Palatino" w:hAnsi="Palatino"/>
              </w:rPr>
              <w:t>Executive Director</w:t>
            </w:r>
          </w:p>
        </w:tc>
      </w:tr>
    </w:tbl>
    <w:p w:rsidR="00E8334A" w:rsidRDefault="00E8334A">
      <w:pPr>
        <w:rPr>
          <w:rFonts w:ascii="Palatino" w:hAnsi="Palatino"/>
          <w:sz w:val="24"/>
        </w:rPr>
      </w:pPr>
    </w:p>
    <w:tbl>
      <w:tblPr>
        <w:tblW w:w="0" w:type="auto"/>
        <w:tblInd w:w="3168" w:type="dxa"/>
        <w:tblLayout w:type="fixed"/>
        <w:tblLook w:val="0000" w:firstRow="0" w:lastRow="0" w:firstColumn="0" w:lastColumn="0" w:noHBand="0" w:noVBand="0"/>
      </w:tblPr>
      <w:tblGrid>
        <w:gridCol w:w="3974"/>
      </w:tblGrid>
      <w:tr w:rsidR="00E8334A" w:rsidTr="008E377C">
        <w:trPr>
          <w:trHeight w:val="366"/>
        </w:trPr>
        <w:tc>
          <w:tcPr>
            <w:tcW w:w="3974" w:type="dxa"/>
          </w:tcPr>
          <w:p w:rsidR="00E8334A" w:rsidRDefault="00E8334A" w:rsidP="00EF0A34">
            <w:pPr>
              <w:rPr>
                <w:rFonts w:ascii="Palatino" w:hAnsi="Palatino"/>
                <w:sz w:val="24"/>
                <w:szCs w:val="24"/>
              </w:rPr>
            </w:pPr>
            <w:r>
              <w:rPr>
                <w:rFonts w:ascii="Palatino" w:hAnsi="Palatino"/>
                <w:sz w:val="24"/>
              </w:rPr>
              <w:tab/>
            </w:r>
            <w:r>
              <w:rPr>
                <w:rFonts w:ascii="Palatino" w:hAnsi="Palatino"/>
                <w:sz w:val="24"/>
              </w:rPr>
              <w:tab/>
            </w:r>
          </w:p>
        </w:tc>
      </w:tr>
    </w:tbl>
    <w:p w:rsidR="00E8334A" w:rsidRDefault="00E8334A" w:rsidP="00375F11"/>
    <w:sectPr w:rsidR="00E8334A">
      <w:headerReference w:type="even" r:id="rId10"/>
      <w:headerReference w:type="default" r:id="rId11"/>
      <w:footerReference w:type="even" r:id="rId12"/>
      <w:footerReference w:type="default" r:id="rId13"/>
      <w:headerReference w:type="first" r:id="rId14"/>
      <w:footerReference w:type="first" r:id="rId15"/>
      <w:pgSz w:w="12240" w:h="15840" w:code="1"/>
      <w:pgMar w:top="1152" w:right="1440" w:bottom="1152" w:left="1440" w:header="720" w:footer="432" w:gutter="0"/>
      <w:pgNumType w:fmt="numberI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313" w:rsidRDefault="00823313">
      <w:r>
        <w:separator/>
      </w:r>
    </w:p>
  </w:endnote>
  <w:endnote w:type="continuationSeparator" w:id="0">
    <w:p w:rsidR="00823313" w:rsidRDefault="0082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roman"/>
    <w:pitch w:val="variable"/>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76" w:rsidRDefault="00407D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rsidR="00407D76" w:rsidRDefault="00407D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76" w:rsidRDefault="00407D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020">
      <w:rPr>
        <w:rStyle w:val="PageNumber"/>
        <w:noProof/>
      </w:rPr>
      <w:t>- 2 -</w:t>
    </w:r>
    <w:r>
      <w:rPr>
        <w:rStyle w:val="PageNumber"/>
      </w:rPr>
      <w:fldChar w:fldCharType="end"/>
    </w:r>
  </w:p>
  <w:p w:rsidR="00407D76" w:rsidRDefault="00407D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E35" w:rsidRDefault="009D5E35">
    <w:pPr>
      <w:pStyle w:val="Footer"/>
    </w:pPr>
    <w:r>
      <w:rPr>
        <w:rFonts w:ascii="Tahoma" w:hAnsi="Tahoma" w:cs="Tahoma"/>
        <w:sz w:val="17"/>
        <w:szCs w:val="17"/>
      </w:rPr>
      <w:t>115195213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313" w:rsidRDefault="00823313">
      <w:r>
        <w:separator/>
      </w:r>
    </w:p>
  </w:footnote>
  <w:footnote w:type="continuationSeparator" w:id="0">
    <w:p w:rsidR="00823313" w:rsidRDefault="00823313">
      <w:r>
        <w:continuationSeparator/>
      </w:r>
    </w:p>
  </w:footnote>
  <w:footnote w:id="1">
    <w:p w:rsidR="00407D76" w:rsidRPr="0045708A" w:rsidRDefault="00407D76">
      <w:pPr>
        <w:pStyle w:val="content"/>
        <w:spacing w:before="0" w:beforeAutospacing="0" w:after="0" w:afterAutospacing="0"/>
        <w:rPr>
          <w:color w:val="auto"/>
          <w:sz w:val="20"/>
          <w:szCs w:val="20"/>
        </w:rPr>
      </w:pPr>
      <w:r w:rsidRPr="00BE5B35">
        <w:rPr>
          <w:rStyle w:val="FootnoteReference"/>
          <w:color w:val="auto"/>
          <w:sz w:val="20"/>
          <w:szCs w:val="20"/>
        </w:rPr>
        <w:footnoteRef/>
      </w:r>
      <w:r w:rsidRPr="00BE5B35">
        <w:rPr>
          <w:rStyle w:val="FootnoteReference"/>
          <w:color w:val="auto"/>
          <w:sz w:val="20"/>
          <w:szCs w:val="20"/>
        </w:rPr>
        <w:t xml:space="preserve"> </w:t>
      </w:r>
      <w:r w:rsidRPr="0045708A">
        <w:rPr>
          <w:color w:val="auto"/>
        </w:rPr>
        <w:t>The other six (6) universal service funds are:  the California High Cost Fund -A Administrative Committee Fund (CHCF-A), the California High Cost Fund -B Administrative Committee Fund (CHCF-B), the California Teleconnect Fund Administrative Committee Fund (CTF), the Universal Lifeline Telephone Service Trust Administrative Committee Fund (ULTS), the Deaf and Disabled Telecommunications Program Administrative Committee Fund (DDTP), and the Payphone Service Providers Committee Fund.</w:t>
      </w:r>
    </w:p>
  </w:footnote>
  <w:footnote w:id="2">
    <w:p w:rsidR="0052474F" w:rsidRDefault="0052474F">
      <w:pPr>
        <w:pStyle w:val="FootnoteText"/>
      </w:pPr>
      <w:r>
        <w:rPr>
          <w:rStyle w:val="FootnoteReference"/>
        </w:rPr>
        <w:footnoteRef/>
      </w:r>
      <w:r>
        <w:t xml:space="preserve"> </w:t>
      </w:r>
      <w:r w:rsidRPr="0052474F">
        <w:t>SB 740 (Padilla) Stats. 2013 Ch. 522, amending Cal. Pub. Util. Code § 281.</w:t>
      </w:r>
    </w:p>
  </w:footnote>
  <w:footnote w:id="3">
    <w:p w:rsidR="0052474F" w:rsidRDefault="0052474F">
      <w:pPr>
        <w:pStyle w:val="FootnoteText"/>
      </w:pPr>
      <w:r>
        <w:rPr>
          <w:rStyle w:val="FootnoteReference"/>
        </w:rPr>
        <w:footnoteRef/>
      </w:r>
      <w:r>
        <w:t xml:space="preserve"> AB </w:t>
      </w:r>
      <w:r w:rsidRPr="0052474F">
        <w:t>1299 (Bradford) Stats. 2013 Ch. 507, amending Cal. Pub. Util. Code § 281</w:t>
      </w:r>
    </w:p>
  </w:footnote>
  <w:footnote w:id="4">
    <w:p w:rsidR="0052474F" w:rsidRDefault="0052474F">
      <w:pPr>
        <w:pStyle w:val="FootnoteText"/>
      </w:pPr>
      <w:r>
        <w:rPr>
          <w:rStyle w:val="FootnoteReference"/>
        </w:rPr>
        <w:footnoteRef/>
      </w:r>
      <w:r>
        <w:t xml:space="preserve"> </w:t>
      </w:r>
      <w:r w:rsidRPr="0052474F">
        <w:t>On and after January 1, 2011, the Commission may collect an additional sum not to exceed $215 million, for a sum total of moneys collected not to exceed $315 million</w:t>
      </w:r>
    </w:p>
  </w:footnote>
  <w:footnote w:id="5">
    <w:p w:rsidR="001D7635" w:rsidRDefault="001D7635">
      <w:pPr>
        <w:pStyle w:val="FootnoteText"/>
      </w:pPr>
      <w:r>
        <w:rPr>
          <w:rStyle w:val="FootnoteReference"/>
        </w:rPr>
        <w:footnoteRef/>
      </w:r>
      <w:r>
        <w:t xml:space="preserve"> In Resolution T-17403,</w:t>
      </w:r>
      <w:r w:rsidR="00D9031E">
        <w:t xml:space="preserve"> issued September 19, 2013,</w:t>
      </w:r>
      <w:r>
        <w:t xml:space="preserve"> the Commission adopted $82,663,504 as the total CASF budget for FY</w:t>
      </w:r>
      <w:r w:rsidR="00715936">
        <w:t xml:space="preserve"> 201</w:t>
      </w:r>
      <w:r>
        <w:t xml:space="preserve">4-15.  With the passage of SB 740 and AB 1299, the Commission requested through the Budget Change Proposal (BCP) process increased CASF budgetary appropriation for FY </w:t>
      </w:r>
      <w:r w:rsidR="00715936">
        <w:t>20</w:t>
      </w:r>
      <w:r>
        <w:t>14-15.  The 2014 Budget Act approved the increase; hence</w:t>
      </w:r>
      <w:r w:rsidR="00D9031E">
        <w:t>,</w:t>
      </w:r>
      <w:r>
        <w:t xml:space="preserve"> the CASF budget for FY </w:t>
      </w:r>
      <w:r w:rsidR="00715936">
        <w:t>20</w:t>
      </w:r>
      <w:r>
        <w:t>14-15 is set at $</w:t>
      </w:r>
      <w:r w:rsidR="00B450E4">
        <w:t>97.831</w:t>
      </w:r>
      <w:r w:rsidR="00D9031E">
        <w:t xml:space="preserve"> million.</w:t>
      </w:r>
    </w:p>
  </w:footnote>
  <w:footnote w:id="6">
    <w:p w:rsidR="00067103" w:rsidRDefault="00067103">
      <w:pPr>
        <w:pStyle w:val="FootnoteText"/>
      </w:pPr>
      <w:r>
        <w:rPr>
          <w:rStyle w:val="FootnoteReference"/>
        </w:rPr>
        <w:footnoteRef/>
      </w:r>
      <w:r>
        <w:t xml:space="preserve"> </w:t>
      </w:r>
      <w:r w:rsidRPr="00067103">
        <w:t>The percentage allocations are as follows: Infrastructure Grant 86% ($270 million/$315 million), Revolving Loan 3% ($10 million/$315 million), Regional Consortia Grant 3% ($10 million/$315 million), and Public Housing 8% ($25 million/$315 million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727" w:rsidRDefault="006E17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82B" w:rsidRDefault="0094082B" w:rsidP="0094082B">
    <w:pPr>
      <w:pStyle w:val="Header"/>
      <w:tabs>
        <w:tab w:val="clear" w:pos="4320"/>
        <w:tab w:val="clear" w:pos="8640"/>
        <w:tab w:val="center" w:pos="4680"/>
        <w:tab w:val="right" w:pos="9450"/>
      </w:tabs>
      <w:ind w:right="90"/>
      <w:rPr>
        <w:rFonts w:ascii="Palatino" w:hAnsi="Palatino"/>
        <w:sz w:val="24"/>
      </w:rPr>
    </w:pPr>
    <w:r>
      <w:rPr>
        <w:rFonts w:ascii="Palatino" w:hAnsi="Palatino"/>
        <w:sz w:val="24"/>
      </w:rPr>
      <w:t>Resolution T-17</w:t>
    </w:r>
    <w:r w:rsidR="000D1730">
      <w:rPr>
        <w:rFonts w:ascii="Palatino" w:hAnsi="Palatino"/>
        <w:sz w:val="24"/>
      </w:rPr>
      <w:t>457</w:t>
    </w:r>
    <w:r>
      <w:rPr>
        <w:rFonts w:ascii="Palatino" w:hAnsi="Palatino"/>
        <w:sz w:val="24"/>
      </w:rPr>
      <w:t xml:space="preserve"> </w:t>
    </w:r>
    <w:r>
      <w:rPr>
        <w:rFonts w:ascii="Palatino" w:hAnsi="Palatino"/>
        <w:sz w:val="24"/>
      </w:rPr>
      <w:tab/>
    </w:r>
    <w:r w:rsidRPr="0094082B">
      <w:rPr>
        <w:rFonts w:ascii="Palatino" w:hAnsi="Palatino"/>
        <w:b/>
        <w:sz w:val="24"/>
      </w:rPr>
      <w:t>DRAFT</w:t>
    </w:r>
    <w:r w:rsidR="00004294">
      <w:rPr>
        <w:rFonts w:ascii="Palatino" w:hAnsi="Palatino"/>
        <w:b/>
        <w:sz w:val="24"/>
      </w:rPr>
      <w:tab/>
    </w:r>
    <w:r w:rsidR="00004294" w:rsidRPr="00004294">
      <w:rPr>
        <w:rFonts w:ascii="Palatino" w:hAnsi="Palatino"/>
        <w:sz w:val="24"/>
      </w:rPr>
      <w:t>11/06/20014</w:t>
    </w:r>
    <w:r>
      <w:rPr>
        <w:rFonts w:ascii="Palatino" w:hAnsi="Palatino"/>
        <w:sz w:val="24"/>
      </w:rPr>
      <w:tab/>
    </w:r>
    <w:r>
      <w:rPr>
        <w:rFonts w:ascii="Palatino" w:hAnsi="Palatino"/>
        <w:sz w:val="24"/>
      </w:rPr>
      <w:tab/>
    </w:r>
    <w:r>
      <w:rPr>
        <w:rFonts w:ascii="Palatino" w:hAnsi="Palatino"/>
        <w:sz w:val="24"/>
      </w:rPr>
      <w:tab/>
    </w:r>
    <w:r>
      <w:rPr>
        <w:rFonts w:ascii="Palatino" w:hAnsi="Palatino"/>
        <w:sz w:val="24"/>
      </w:rPr>
      <w:tab/>
    </w:r>
    <w:r>
      <w:rPr>
        <w:rFonts w:ascii="Palatino" w:hAnsi="Palatino"/>
        <w:sz w:val="24"/>
      </w:rPr>
      <w:tab/>
    </w:r>
    <w:r>
      <w:rPr>
        <w:rFonts w:ascii="Palatino" w:hAnsi="Palatino"/>
        <w:sz w:val="24"/>
      </w:rPr>
      <w:tab/>
    </w:r>
    <w:r>
      <w:rPr>
        <w:rFonts w:ascii="Palatino" w:hAnsi="Palatino"/>
        <w:sz w:val="24"/>
      </w:rPr>
      <w:tab/>
    </w:r>
  </w:p>
  <w:p w:rsidR="00407D76" w:rsidRDefault="0094082B" w:rsidP="0094082B">
    <w:pPr>
      <w:pStyle w:val="Header"/>
      <w:tabs>
        <w:tab w:val="clear" w:pos="8640"/>
        <w:tab w:val="right" w:pos="9270"/>
      </w:tabs>
      <w:ind w:right="90"/>
      <w:rPr>
        <w:rFonts w:ascii="Palatino" w:hAnsi="Palatino"/>
        <w:sz w:val="24"/>
      </w:rPr>
    </w:pPr>
    <w:r>
      <w:rPr>
        <w:rFonts w:ascii="Palatino" w:hAnsi="Palatino"/>
        <w:sz w:val="24"/>
      </w:rPr>
      <w:t>CD/</w:t>
    </w:r>
    <w:r w:rsidR="000D1730">
      <w:rPr>
        <w:rFonts w:ascii="Palatino" w:hAnsi="Palatino"/>
        <w:sz w:val="24"/>
      </w:rPr>
      <w:t>ZTC</w:t>
    </w:r>
  </w:p>
  <w:p w:rsidR="00E3362A" w:rsidRDefault="00E3362A" w:rsidP="0094082B">
    <w:pPr>
      <w:pStyle w:val="Header"/>
      <w:tabs>
        <w:tab w:val="clear" w:pos="8640"/>
        <w:tab w:val="right" w:pos="9270"/>
      </w:tabs>
      <w:ind w:right="9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76" w:rsidRDefault="00407D76" w:rsidP="001E6242">
    <w:pPr>
      <w:pStyle w:val="Header"/>
      <w:tabs>
        <w:tab w:val="clear" w:pos="4320"/>
        <w:tab w:val="clear" w:pos="8640"/>
        <w:tab w:val="center" w:pos="4680"/>
        <w:tab w:val="right" w:pos="9450"/>
      </w:tabs>
      <w:ind w:right="90"/>
      <w:rPr>
        <w:rFonts w:ascii="Palatino" w:hAnsi="Palatino"/>
        <w:sz w:val="24"/>
      </w:rPr>
    </w:pPr>
    <w:r>
      <w:rPr>
        <w:rFonts w:ascii="Palatino" w:hAnsi="Palatino"/>
        <w:sz w:val="24"/>
      </w:rPr>
      <w:tab/>
    </w:r>
    <w:r>
      <w:rPr>
        <w:rFonts w:ascii="Palatino" w:hAnsi="Palatino"/>
        <w:sz w:val="24"/>
      </w:rPr>
      <w:tab/>
    </w:r>
  </w:p>
  <w:p w:rsidR="00407D76" w:rsidRDefault="00407D76" w:rsidP="001E6242">
    <w:pPr>
      <w:pStyle w:val="Header"/>
      <w:tabs>
        <w:tab w:val="clear" w:pos="4320"/>
        <w:tab w:val="clear" w:pos="8640"/>
        <w:tab w:val="center" w:pos="4680"/>
        <w:tab w:val="right" w:pos="9450"/>
      </w:tabs>
      <w:ind w:right="90"/>
      <w:rPr>
        <w:rFonts w:ascii="Palatino" w:hAnsi="Palatino"/>
        <w:sz w:val="24"/>
      </w:rPr>
    </w:pPr>
    <w:r>
      <w:rPr>
        <w:rFonts w:ascii="Palatino" w:hAnsi="Palatino"/>
        <w:sz w:val="24"/>
      </w:rPr>
      <w:t>Resolution T-17</w:t>
    </w:r>
    <w:r w:rsidR="000D1730">
      <w:rPr>
        <w:rFonts w:ascii="Palatino" w:hAnsi="Palatino"/>
        <w:sz w:val="24"/>
      </w:rPr>
      <w:t>457</w:t>
    </w:r>
    <w:r>
      <w:rPr>
        <w:rFonts w:ascii="Palatino" w:hAnsi="Palatino"/>
        <w:sz w:val="24"/>
      </w:rPr>
      <w:t xml:space="preserve"> </w:t>
    </w:r>
    <w:r w:rsidR="0094082B">
      <w:rPr>
        <w:rFonts w:ascii="Palatino" w:hAnsi="Palatino"/>
        <w:sz w:val="24"/>
      </w:rPr>
      <w:tab/>
    </w:r>
    <w:r w:rsidR="0094082B" w:rsidRPr="0094082B">
      <w:rPr>
        <w:rFonts w:ascii="Palatino" w:hAnsi="Palatino"/>
        <w:b/>
        <w:sz w:val="24"/>
      </w:rPr>
      <w:t>DRAFT</w:t>
    </w:r>
    <w:r w:rsidR="00004294">
      <w:rPr>
        <w:rFonts w:ascii="Palatino" w:hAnsi="Palatino"/>
        <w:sz w:val="24"/>
      </w:rPr>
      <w:tab/>
    </w:r>
    <w:r w:rsidR="00FE24E3">
      <w:rPr>
        <w:rFonts w:ascii="Palatino" w:hAnsi="Palatino"/>
        <w:sz w:val="24"/>
      </w:rPr>
      <w:t xml:space="preserve">  </w:t>
    </w:r>
    <w:r w:rsidR="0094082B">
      <w:rPr>
        <w:rFonts w:ascii="Palatino" w:hAnsi="Palatino"/>
        <w:sz w:val="24"/>
      </w:rPr>
      <w:t xml:space="preserve">Agenda ID# </w:t>
    </w:r>
    <w:r w:rsidR="00004294">
      <w:rPr>
        <w:rFonts w:ascii="Palatino" w:hAnsi="Palatino"/>
        <w:sz w:val="24"/>
      </w:rPr>
      <w:t xml:space="preserve">  </w:t>
    </w:r>
    <w:r w:rsidR="00FE24E3">
      <w:rPr>
        <w:rFonts w:ascii="Palatino" w:hAnsi="Palatino"/>
        <w:sz w:val="24"/>
      </w:rPr>
      <w:t>13351</w:t>
    </w:r>
    <w:r w:rsidR="00004294">
      <w:rPr>
        <w:rFonts w:ascii="Palatino" w:hAnsi="Palatino"/>
        <w:sz w:val="24"/>
      </w:rPr>
      <w:t xml:space="preserve">   </w:t>
    </w:r>
    <w:r>
      <w:rPr>
        <w:rFonts w:ascii="Palatino" w:hAnsi="Palatino"/>
        <w:sz w:val="24"/>
      </w:rPr>
      <w:tab/>
    </w:r>
    <w:r>
      <w:rPr>
        <w:rFonts w:ascii="Palatino" w:hAnsi="Palatino"/>
        <w:sz w:val="24"/>
      </w:rPr>
      <w:tab/>
    </w:r>
    <w:r>
      <w:rPr>
        <w:rFonts w:ascii="Palatino" w:hAnsi="Palatino"/>
        <w:sz w:val="24"/>
      </w:rPr>
      <w:tab/>
    </w:r>
    <w:r>
      <w:rPr>
        <w:rFonts w:ascii="Palatino" w:hAnsi="Palatino"/>
        <w:sz w:val="24"/>
      </w:rPr>
      <w:tab/>
    </w:r>
    <w:r>
      <w:rPr>
        <w:rFonts w:ascii="Palatino" w:hAnsi="Palatino"/>
        <w:sz w:val="24"/>
      </w:rPr>
      <w:tab/>
    </w:r>
    <w:bookmarkStart w:id="3" w:name="OLE_LINK3"/>
    <w:bookmarkStart w:id="4" w:name="OLE_LINK4"/>
    <w:r>
      <w:rPr>
        <w:rFonts w:ascii="Palatino" w:hAnsi="Palatino"/>
        <w:sz w:val="24"/>
      </w:rPr>
      <w:tab/>
    </w:r>
  </w:p>
  <w:bookmarkEnd w:id="3"/>
  <w:bookmarkEnd w:id="4"/>
  <w:p w:rsidR="00407D76" w:rsidRPr="001E6242" w:rsidRDefault="00407D76" w:rsidP="00EF0A34">
    <w:pPr>
      <w:pStyle w:val="Header"/>
      <w:tabs>
        <w:tab w:val="clear" w:pos="8640"/>
        <w:tab w:val="left" w:pos="6300"/>
        <w:tab w:val="right" w:pos="12330"/>
      </w:tabs>
    </w:pPr>
    <w:r>
      <w:rPr>
        <w:rFonts w:ascii="Palatino" w:hAnsi="Palatino"/>
        <w:sz w:val="24"/>
      </w:rPr>
      <w:t>CD/</w:t>
    </w:r>
    <w:r w:rsidR="000D1730">
      <w:rPr>
        <w:rFonts w:ascii="Palatino" w:hAnsi="Palatino"/>
        <w:sz w:val="24"/>
      </w:rPr>
      <w:t>ZTC</w:t>
    </w:r>
    <w:r w:rsidR="0094082B">
      <w:rPr>
        <w:rFonts w:ascii="Palatino" w:hAnsi="Palatino"/>
        <w:sz w:val="24"/>
      </w:rPr>
      <w:tab/>
    </w:r>
    <w:r w:rsidR="0094082B">
      <w:rPr>
        <w:rFonts w:ascii="Palatino" w:hAnsi="Palatino"/>
        <w:sz w:val="24"/>
      </w:rPr>
      <w:tab/>
      <w:t xml:space="preserve">                 </w:t>
    </w:r>
    <w:r w:rsidR="000D1730">
      <w:rPr>
        <w:rFonts w:ascii="Palatino" w:hAnsi="Palatino"/>
        <w:sz w:val="24"/>
      </w:rPr>
      <w:t>11</w:t>
    </w:r>
    <w:r w:rsidR="0094082B">
      <w:rPr>
        <w:rFonts w:ascii="Palatino" w:hAnsi="Palatino"/>
        <w:sz w:val="24"/>
      </w:rPr>
      <w:t>/</w:t>
    </w:r>
    <w:r w:rsidR="000D1730">
      <w:rPr>
        <w:rFonts w:ascii="Palatino" w:hAnsi="Palatino"/>
        <w:sz w:val="24"/>
      </w:rPr>
      <w:t>06</w:t>
    </w:r>
    <w:r w:rsidR="0094082B">
      <w:rPr>
        <w:rFonts w:ascii="Palatino" w:hAnsi="Palatino"/>
        <w:sz w:val="24"/>
      </w:rPr>
      <w:t>/201</w:t>
    </w:r>
    <w:r w:rsidR="000D1730">
      <w:rPr>
        <w:rFonts w:ascii="Palatino" w:hAnsi="Palatino"/>
        <w:sz w:val="24"/>
      </w:rPr>
      <w:t>4</w:t>
    </w:r>
    <w:r>
      <w:rPr>
        <w:rFonts w:ascii="Palatino" w:hAnsi="Palatino"/>
        <w:sz w:val="24"/>
      </w:rPr>
      <w:tab/>
      <w:t xml:space="preserve">                 </w:t>
    </w:r>
    <w:r>
      <w:rPr>
        <w:rFonts w:ascii="Palatino" w:hAnsi="Palatino"/>
        <w:sz w:val="24"/>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46DCA"/>
    <w:multiLevelType w:val="hybridMultilevel"/>
    <w:tmpl w:val="79949DE6"/>
    <w:lvl w:ilvl="0" w:tplc="4768D7E8">
      <w:start w:val="840"/>
      <w:numFmt w:val="decimalZero"/>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EB3D24"/>
    <w:multiLevelType w:val="hybridMultilevel"/>
    <w:tmpl w:val="78086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005300"/>
    <w:multiLevelType w:val="hybridMultilevel"/>
    <w:tmpl w:val="A1D865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A881AF1"/>
    <w:multiLevelType w:val="hybridMultilevel"/>
    <w:tmpl w:val="F1F6F3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74C491D"/>
    <w:multiLevelType w:val="hybridMultilevel"/>
    <w:tmpl w:val="652CAE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C625707"/>
    <w:multiLevelType w:val="hybridMultilevel"/>
    <w:tmpl w:val="DD7A36DA"/>
    <w:lvl w:ilvl="0" w:tplc="E4F42AB4">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0B96524"/>
    <w:multiLevelType w:val="hybridMultilevel"/>
    <w:tmpl w:val="2564BE48"/>
    <w:lvl w:ilvl="0" w:tplc="0E0661E6">
      <w:start w:val="840"/>
      <w:numFmt w:val="decimalZero"/>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823359C"/>
    <w:multiLevelType w:val="hybridMultilevel"/>
    <w:tmpl w:val="5EC87D18"/>
    <w:lvl w:ilvl="0" w:tplc="6D98EE4C">
      <w:start w:val="844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190D25"/>
    <w:multiLevelType w:val="hybridMultilevel"/>
    <w:tmpl w:val="AF4A4B6C"/>
    <w:lvl w:ilvl="0" w:tplc="CCCE8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816423"/>
    <w:multiLevelType w:val="hybridMultilevel"/>
    <w:tmpl w:val="CEDC6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7"/>
  </w:num>
  <w:num w:numId="6">
    <w:abstractNumId w:val="0"/>
  </w:num>
  <w:num w:numId="7">
    <w:abstractNumId w:val="6"/>
  </w:num>
  <w:num w:numId="8">
    <w:abstractNumId w:val="1"/>
  </w:num>
  <w:num w:numId="9">
    <w:abstractNumId w:val="8"/>
  </w:num>
  <w:num w:numId="1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removePersonalInformation/>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fillcolor="white">
      <v:fill color="white"/>
      <v:stroke weight="1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34A"/>
    <w:rsid w:val="00004294"/>
    <w:rsid w:val="000311BE"/>
    <w:rsid w:val="00036C40"/>
    <w:rsid w:val="00055002"/>
    <w:rsid w:val="00061DE9"/>
    <w:rsid w:val="00066756"/>
    <w:rsid w:val="00067103"/>
    <w:rsid w:val="00067DC9"/>
    <w:rsid w:val="00071625"/>
    <w:rsid w:val="000734FD"/>
    <w:rsid w:val="00075017"/>
    <w:rsid w:val="000A51F0"/>
    <w:rsid w:val="000B05D0"/>
    <w:rsid w:val="000B7020"/>
    <w:rsid w:val="000C3D94"/>
    <w:rsid w:val="000C5720"/>
    <w:rsid w:val="000D1730"/>
    <w:rsid w:val="000D37E7"/>
    <w:rsid w:val="000D5D4D"/>
    <w:rsid w:val="000F0989"/>
    <w:rsid w:val="00101FCB"/>
    <w:rsid w:val="001047CB"/>
    <w:rsid w:val="001079F6"/>
    <w:rsid w:val="001163F5"/>
    <w:rsid w:val="00120C24"/>
    <w:rsid w:val="00122E05"/>
    <w:rsid w:val="001236E2"/>
    <w:rsid w:val="00157C7E"/>
    <w:rsid w:val="00160699"/>
    <w:rsid w:val="00166318"/>
    <w:rsid w:val="001807D3"/>
    <w:rsid w:val="0018241D"/>
    <w:rsid w:val="00182BCB"/>
    <w:rsid w:val="001962BB"/>
    <w:rsid w:val="001C2444"/>
    <w:rsid w:val="001C349C"/>
    <w:rsid w:val="001C75BF"/>
    <w:rsid w:val="001D21D4"/>
    <w:rsid w:val="001D3232"/>
    <w:rsid w:val="001D7635"/>
    <w:rsid w:val="001E4393"/>
    <w:rsid w:val="001E6242"/>
    <w:rsid w:val="001F6F9B"/>
    <w:rsid w:val="002278A1"/>
    <w:rsid w:val="002328B6"/>
    <w:rsid w:val="00233B17"/>
    <w:rsid w:val="002412B5"/>
    <w:rsid w:val="00242061"/>
    <w:rsid w:val="0024479F"/>
    <w:rsid w:val="002457D5"/>
    <w:rsid w:val="00290B52"/>
    <w:rsid w:val="0029519A"/>
    <w:rsid w:val="002A02D3"/>
    <w:rsid w:val="002A074E"/>
    <w:rsid w:val="002A4F54"/>
    <w:rsid w:val="002A501C"/>
    <w:rsid w:val="002A64BB"/>
    <w:rsid w:val="002B59A0"/>
    <w:rsid w:val="002B7044"/>
    <w:rsid w:val="002D3807"/>
    <w:rsid w:val="002D3982"/>
    <w:rsid w:val="002D572F"/>
    <w:rsid w:val="002E665B"/>
    <w:rsid w:val="002F1735"/>
    <w:rsid w:val="002F6B42"/>
    <w:rsid w:val="003021D7"/>
    <w:rsid w:val="00311B88"/>
    <w:rsid w:val="0032114A"/>
    <w:rsid w:val="00373210"/>
    <w:rsid w:val="00375F11"/>
    <w:rsid w:val="003812EA"/>
    <w:rsid w:val="00384405"/>
    <w:rsid w:val="003A6925"/>
    <w:rsid w:val="003B1B74"/>
    <w:rsid w:val="003C0D47"/>
    <w:rsid w:val="003C6EDA"/>
    <w:rsid w:val="003D1055"/>
    <w:rsid w:val="003D4B78"/>
    <w:rsid w:val="003D7EAA"/>
    <w:rsid w:val="003E04E6"/>
    <w:rsid w:val="003E3F8C"/>
    <w:rsid w:val="003F4674"/>
    <w:rsid w:val="00400ADF"/>
    <w:rsid w:val="0040435E"/>
    <w:rsid w:val="00407D76"/>
    <w:rsid w:val="0041707B"/>
    <w:rsid w:val="0042465E"/>
    <w:rsid w:val="00432DE3"/>
    <w:rsid w:val="004420DA"/>
    <w:rsid w:val="00442D3A"/>
    <w:rsid w:val="00442F7B"/>
    <w:rsid w:val="00454A3D"/>
    <w:rsid w:val="00456279"/>
    <w:rsid w:val="0045708A"/>
    <w:rsid w:val="00461BB2"/>
    <w:rsid w:val="00465FC9"/>
    <w:rsid w:val="00466B2E"/>
    <w:rsid w:val="004717A8"/>
    <w:rsid w:val="00472A94"/>
    <w:rsid w:val="00473612"/>
    <w:rsid w:val="004B4F35"/>
    <w:rsid w:val="004B54C2"/>
    <w:rsid w:val="004D25A3"/>
    <w:rsid w:val="00503955"/>
    <w:rsid w:val="005052C8"/>
    <w:rsid w:val="00507B7D"/>
    <w:rsid w:val="0051750A"/>
    <w:rsid w:val="0052474F"/>
    <w:rsid w:val="0055050C"/>
    <w:rsid w:val="005604EF"/>
    <w:rsid w:val="00560DE8"/>
    <w:rsid w:val="00575F62"/>
    <w:rsid w:val="005948F7"/>
    <w:rsid w:val="00595ECD"/>
    <w:rsid w:val="005B2367"/>
    <w:rsid w:val="005B6D29"/>
    <w:rsid w:val="005B7C2E"/>
    <w:rsid w:val="005C1E58"/>
    <w:rsid w:val="005E1C74"/>
    <w:rsid w:val="005E2B4C"/>
    <w:rsid w:val="005E40DA"/>
    <w:rsid w:val="005E679A"/>
    <w:rsid w:val="005F0191"/>
    <w:rsid w:val="005F58A0"/>
    <w:rsid w:val="006014E3"/>
    <w:rsid w:val="00601BCF"/>
    <w:rsid w:val="006114CE"/>
    <w:rsid w:val="00612015"/>
    <w:rsid w:val="00615953"/>
    <w:rsid w:val="00615AB1"/>
    <w:rsid w:val="00630DCF"/>
    <w:rsid w:val="0064037D"/>
    <w:rsid w:val="00640B1B"/>
    <w:rsid w:val="00641AAF"/>
    <w:rsid w:val="00647433"/>
    <w:rsid w:val="006541D2"/>
    <w:rsid w:val="006545A0"/>
    <w:rsid w:val="0066550C"/>
    <w:rsid w:val="006755A3"/>
    <w:rsid w:val="00693559"/>
    <w:rsid w:val="00693AA6"/>
    <w:rsid w:val="00695B91"/>
    <w:rsid w:val="006A05EE"/>
    <w:rsid w:val="006B550A"/>
    <w:rsid w:val="006C14B0"/>
    <w:rsid w:val="006E1727"/>
    <w:rsid w:val="006E6C73"/>
    <w:rsid w:val="006E7DB0"/>
    <w:rsid w:val="006F2433"/>
    <w:rsid w:val="007105CC"/>
    <w:rsid w:val="00712EA5"/>
    <w:rsid w:val="00715936"/>
    <w:rsid w:val="00720AD5"/>
    <w:rsid w:val="00723E56"/>
    <w:rsid w:val="00724501"/>
    <w:rsid w:val="00741FFE"/>
    <w:rsid w:val="00744D62"/>
    <w:rsid w:val="00745A57"/>
    <w:rsid w:val="00747C9D"/>
    <w:rsid w:val="007542CE"/>
    <w:rsid w:val="00755CF9"/>
    <w:rsid w:val="00764434"/>
    <w:rsid w:val="007673D6"/>
    <w:rsid w:val="00772D60"/>
    <w:rsid w:val="0077542D"/>
    <w:rsid w:val="00782D0A"/>
    <w:rsid w:val="00783155"/>
    <w:rsid w:val="00783547"/>
    <w:rsid w:val="007957BE"/>
    <w:rsid w:val="007A4573"/>
    <w:rsid w:val="007C03F5"/>
    <w:rsid w:val="007D2978"/>
    <w:rsid w:val="007F0C57"/>
    <w:rsid w:val="007F20FF"/>
    <w:rsid w:val="007F5059"/>
    <w:rsid w:val="007F632E"/>
    <w:rsid w:val="00804E5A"/>
    <w:rsid w:val="00811D05"/>
    <w:rsid w:val="0081733D"/>
    <w:rsid w:val="0082013D"/>
    <w:rsid w:val="008229C8"/>
    <w:rsid w:val="00823313"/>
    <w:rsid w:val="00823FD8"/>
    <w:rsid w:val="00834104"/>
    <w:rsid w:val="008419AF"/>
    <w:rsid w:val="008425F4"/>
    <w:rsid w:val="00853F64"/>
    <w:rsid w:val="00857259"/>
    <w:rsid w:val="008635E8"/>
    <w:rsid w:val="008678CD"/>
    <w:rsid w:val="00875673"/>
    <w:rsid w:val="00895030"/>
    <w:rsid w:val="008A4CE0"/>
    <w:rsid w:val="008A6E8D"/>
    <w:rsid w:val="008D728B"/>
    <w:rsid w:val="008E377C"/>
    <w:rsid w:val="008E43B2"/>
    <w:rsid w:val="008F03F0"/>
    <w:rsid w:val="008F5191"/>
    <w:rsid w:val="00900F85"/>
    <w:rsid w:val="00903421"/>
    <w:rsid w:val="00906836"/>
    <w:rsid w:val="00911739"/>
    <w:rsid w:val="009138AE"/>
    <w:rsid w:val="00924EC3"/>
    <w:rsid w:val="009314A2"/>
    <w:rsid w:val="0093397D"/>
    <w:rsid w:val="0094082B"/>
    <w:rsid w:val="00950147"/>
    <w:rsid w:val="00956628"/>
    <w:rsid w:val="009728E6"/>
    <w:rsid w:val="0097316F"/>
    <w:rsid w:val="00984F07"/>
    <w:rsid w:val="009A7906"/>
    <w:rsid w:val="009B1844"/>
    <w:rsid w:val="009D5E35"/>
    <w:rsid w:val="009F27C6"/>
    <w:rsid w:val="009F7088"/>
    <w:rsid w:val="00A12125"/>
    <w:rsid w:val="00A133D8"/>
    <w:rsid w:val="00A13418"/>
    <w:rsid w:val="00A22C3E"/>
    <w:rsid w:val="00A33B5F"/>
    <w:rsid w:val="00A4347A"/>
    <w:rsid w:val="00A53979"/>
    <w:rsid w:val="00A665EA"/>
    <w:rsid w:val="00A8113A"/>
    <w:rsid w:val="00A9183C"/>
    <w:rsid w:val="00A92C51"/>
    <w:rsid w:val="00A94AE4"/>
    <w:rsid w:val="00A9547C"/>
    <w:rsid w:val="00A96ECB"/>
    <w:rsid w:val="00AA06E9"/>
    <w:rsid w:val="00AA2061"/>
    <w:rsid w:val="00AA5B92"/>
    <w:rsid w:val="00AA6DEA"/>
    <w:rsid w:val="00AB46E4"/>
    <w:rsid w:val="00AB6DCD"/>
    <w:rsid w:val="00AC3659"/>
    <w:rsid w:val="00AC563F"/>
    <w:rsid w:val="00AD1263"/>
    <w:rsid w:val="00AD3403"/>
    <w:rsid w:val="00AD456F"/>
    <w:rsid w:val="00AE3308"/>
    <w:rsid w:val="00B056E8"/>
    <w:rsid w:val="00B17710"/>
    <w:rsid w:val="00B17AC4"/>
    <w:rsid w:val="00B222D2"/>
    <w:rsid w:val="00B4266E"/>
    <w:rsid w:val="00B450E4"/>
    <w:rsid w:val="00B45F7A"/>
    <w:rsid w:val="00B5296C"/>
    <w:rsid w:val="00B758DC"/>
    <w:rsid w:val="00B76DD1"/>
    <w:rsid w:val="00BA73C0"/>
    <w:rsid w:val="00BB19C1"/>
    <w:rsid w:val="00BB5513"/>
    <w:rsid w:val="00BC3421"/>
    <w:rsid w:val="00BE0B57"/>
    <w:rsid w:val="00BE5B35"/>
    <w:rsid w:val="00BE71FC"/>
    <w:rsid w:val="00C00B76"/>
    <w:rsid w:val="00C01100"/>
    <w:rsid w:val="00C021C4"/>
    <w:rsid w:val="00C13248"/>
    <w:rsid w:val="00C16972"/>
    <w:rsid w:val="00C2152D"/>
    <w:rsid w:val="00C25218"/>
    <w:rsid w:val="00C32677"/>
    <w:rsid w:val="00C405B6"/>
    <w:rsid w:val="00C43AC5"/>
    <w:rsid w:val="00C43AE5"/>
    <w:rsid w:val="00C5393B"/>
    <w:rsid w:val="00C542C1"/>
    <w:rsid w:val="00C70C1D"/>
    <w:rsid w:val="00C72A90"/>
    <w:rsid w:val="00C85C98"/>
    <w:rsid w:val="00C90E6B"/>
    <w:rsid w:val="00C973B5"/>
    <w:rsid w:val="00CA2ABD"/>
    <w:rsid w:val="00CA6DE6"/>
    <w:rsid w:val="00CA74B7"/>
    <w:rsid w:val="00CA78A0"/>
    <w:rsid w:val="00CB3CF1"/>
    <w:rsid w:val="00CB5BDD"/>
    <w:rsid w:val="00CC4C8B"/>
    <w:rsid w:val="00CC619B"/>
    <w:rsid w:val="00CE6C54"/>
    <w:rsid w:val="00CF4ECD"/>
    <w:rsid w:val="00CF744C"/>
    <w:rsid w:val="00D11EBD"/>
    <w:rsid w:val="00D15E77"/>
    <w:rsid w:val="00D253F8"/>
    <w:rsid w:val="00D2543A"/>
    <w:rsid w:val="00D36803"/>
    <w:rsid w:val="00D552F1"/>
    <w:rsid w:val="00D741D2"/>
    <w:rsid w:val="00D873CF"/>
    <w:rsid w:val="00D9031E"/>
    <w:rsid w:val="00D90DDD"/>
    <w:rsid w:val="00D96334"/>
    <w:rsid w:val="00D96493"/>
    <w:rsid w:val="00DB4ABD"/>
    <w:rsid w:val="00DC3227"/>
    <w:rsid w:val="00DC3990"/>
    <w:rsid w:val="00DD1B79"/>
    <w:rsid w:val="00DD503A"/>
    <w:rsid w:val="00DF6D41"/>
    <w:rsid w:val="00E00A03"/>
    <w:rsid w:val="00E0272D"/>
    <w:rsid w:val="00E02BC9"/>
    <w:rsid w:val="00E042C7"/>
    <w:rsid w:val="00E059EB"/>
    <w:rsid w:val="00E07AEB"/>
    <w:rsid w:val="00E11845"/>
    <w:rsid w:val="00E14EC7"/>
    <w:rsid w:val="00E3362A"/>
    <w:rsid w:val="00E62D4D"/>
    <w:rsid w:val="00E6612C"/>
    <w:rsid w:val="00E756BB"/>
    <w:rsid w:val="00E8334A"/>
    <w:rsid w:val="00E929C6"/>
    <w:rsid w:val="00E97978"/>
    <w:rsid w:val="00EA3CCC"/>
    <w:rsid w:val="00EA4EAE"/>
    <w:rsid w:val="00EA5D10"/>
    <w:rsid w:val="00EB0922"/>
    <w:rsid w:val="00EB4078"/>
    <w:rsid w:val="00EB5150"/>
    <w:rsid w:val="00EB5F48"/>
    <w:rsid w:val="00EB7DC3"/>
    <w:rsid w:val="00EC3314"/>
    <w:rsid w:val="00EC5406"/>
    <w:rsid w:val="00ED1E70"/>
    <w:rsid w:val="00ED2FEA"/>
    <w:rsid w:val="00ED4F24"/>
    <w:rsid w:val="00ED71E3"/>
    <w:rsid w:val="00EE4BAC"/>
    <w:rsid w:val="00EF0A34"/>
    <w:rsid w:val="00EF35EE"/>
    <w:rsid w:val="00EF4435"/>
    <w:rsid w:val="00F04DA5"/>
    <w:rsid w:val="00F076F8"/>
    <w:rsid w:val="00F07942"/>
    <w:rsid w:val="00F1339C"/>
    <w:rsid w:val="00F16726"/>
    <w:rsid w:val="00F21D2E"/>
    <w:rsid w:val="00F23CC3"/>
    <w:rsid w:val="00F26C08"/>
    <w:rsid w:val="00F3215A"/>
    <w:rsid w:val="00F35FAF"/>
    <w:rsid w:val="00F37117"/>
    <w:rsid w:val="00F61033"/>
    <w:rsid w:val="00F62532"/>
    <w:rsid w:val="00F755FA"/>
    <w:rsid w:val="00F81C55"/>
    <w:rsid w:val="00F87C3B"/>
    <w:rsid w:val="00FB02A7"/>
    <w:rsid w:val="00FB2353"/>
    <w:rsid w:val="00FB7857"/>
    <w:rsid w:val="00FC6E81"/>
    <w:rsid w:val="00FD5BE0"/>
    <w:rsid w:val="00FD7501"/>
    <w:rsid w:val="00FE24E3"/>
    <w:rsid w:val="00FE2EB0"/>
    <w:rsid w:val="00FF0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stroke weight="1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3B2"/>
  </w:style>
  <w:style w:type="paragraph" w:styleId="Heading1">
    <w:name w:val="heading 1"/>
    <w:basedOn w:val="Normal"/>
    <w:next w:val="Normal"/>
    <w:qFormat/>
    <w:pPr>
      <w:keepNext/>
      <w:autoSpaceDE w:val="0"/>
      <w:autoSpaceDN w:val="0"/>
      <w:adjustRightInd w:val="0"/>
      <w:outlineLvl w:val="0"/>
    </w:pPr>
    <w:rPr>
      <w:rFonts w:ascii="Palatino" w:hAnsi="Palatino" w:cs="Arial"/>
      <w:b/>
      <w:bCs/>
      <w:color w:val="000000"/>
      <w:sz w:val="12"/>
    </w:rPr>
  </w:style>
  <w:style w:type="paragraph" w:styleId="Heading2">
    <w:name w:val="heading 2"/>
    <w:basedOn w:val="Normal"/>
    <w:next w:val="Normal"/>
    <w:qFormat/>
    <w:pPr>
      <w:keepNext/>
      <w:jc w:val="right"/>
      <w:outlineLvl w:val="1"/>
    </w:pPr>
    <w:rPr>
      <w:b/>
      <w:bCs/>
      <w:sz w:val="18"/>
      <w:u w:val="single"/>
    </w:rPr>
  </w:style>
  <w:style w:type="paragraph" w:styleId="Heading3">
    <w:name w:val="heading 3"/>
    <w:basedOn w:val="Normal"/>
    <w:next w:val="Normal"/>
    <w:qFormat/>
    <w:pPr>
      <w:keepNext/>
      <w:tabs>
        <w:tab w:val="left" w:pos="2610"/>
      </w:tabs>
      <w:autoSpaceDE w:val="0"/>
      <w:autoSpaceDN w:val="0"/>
      <w:adjustRightInd w:val="0"/>
      <w:jc w:val="center"/>
      <w:outlineLvl w:val="2"/>
    </w:pPr>
    <w:rPr>
      <w:b/>
      <w:bCs/>
      <w:color w:val="000000"/>
      <w:sz w:val="12"/>
    </w:rPr>
  </w:style>
  <w:style w:type="paragraph" w:styleId="Heading4">
    <w:name w:val="heading 4"/>
    <w:basedOn w:val="Normal"/>
    <w:next w:val="Normal"/>
    <w:qFormat/>
    <w:pPr>
      <w:keepNext/>
      <w:outlineLvl w:val="3"/>
    </w:pPr>
    <w:rPr>
      <w:rFonts w:ascii="Palatino" w:hAnsi="Palatino"/>
      <w:b/>
      <w:sz w:val="26"/>
    </w:rPr>
  </w:style>
  <w:style w:type="paragraph" w:styleId="Heading5">
    <w:name w:val="heading 5"/>
    <w:basedOn w:val="Normal"/>
    <w:next w:val="Normal"/>
    <w:qFormat/>
    <w:pPr>
      <w:keepNext/>
      <w:autoSpaceDE w:val="0"/>
      <w:autoSpaceDN w:val="0"/>
      <w:adjustRightInd w:val="0"/>
      <w:outlineLvl w:val="4"/>
    </w:pPr>
    <w:rPr>
      <w:b/>
      <w:bCs/>
      <w:color w:val="000000"/>
      <w:sz w:val="12"/>
    </w:rPr>
  </w:style>
  <w:style w:type="paragraph" w:styleId="Heading6">
    <w:name w:val="heading 6"/>
    <w:basedOn w:val="Normal"/>
    <w:next w:val="Normal"/>
    <w:qFormat/>
    <w:pPr>
      <w:keepNext/>
      <w:spacing w:before="120"/>
      <w:jc w:val="right"/>
      <w:outlineLvl w:val="5"/>
    </w:pPr>
    <w:rPr>
      <w:sz w:val="24"/>
    </w:rPr>
  </w:style>
  <w:style w:type="paragraph" w:styleId="Heading7">
    <w:name w:val="heading 7"/>
    <w:basedOn w:val="Normal"/>
    <w:next w:val="Normal"/>
    <w:qFormat/>
    <w:pPr>
      <w:keepNext/>
      <w:outlineLvl w:val="6"/>
    </w:pPr>
    <w:rPr>
      <w:rFonts w:ascii="Palatino" w:hAnsi="Palatino"/>
      <w:b/>
      <w:sz w:val="24"/>
    </w:rPr>
  </w:style>
  <w:style w:type="paragraph" w:styleId="Heading8">
    <w:name w:val="heading 8"/>
    <w:basedOn w:val="Normal"/>
    <w:next w:val="Normal"/>
    <w:qFormat/>
    <w:pPr>
      <w:keepNext/>
      <w:autoSpaceDE w:val="0"/>
      <w:autoSpaceDN w:val="0"/>
      <w:adjustRightInd w:val="0"/>
      <w:outlineLvl w:val="7"/>
    </w:pPr>
    <w:rPr>
      <w:color w:val="000000"/>
      <w:sz w:val="16"/>
      <w:szCs w:val="18"/>
    </w:rPr>
  </w:style>
  <w:style w:type="paragraph" w:styleId="Heading9">
    <w:name w:val="heading 9"/>
    <w:basedOn w:val="Normal"/>
    <w:next w:val="Normal"/>
    <w:qFormat/>
    <w:pPr>
      <w:keepNext/>
      <w:jc w:val="center"/>
      <w:outlineLvl w:val="8"/>
    </w:pPr>
    <w:rPr>
      <w:rFonts w:ascii="Palatino" w:hAnsi="Palatino"/>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24"/>
    </w:rPr>
  </w:style>
  <w:style w:type="paragraph" w:styleId="BlockText">
    <w:name w:val="Block Text"/>
    <w:basedOn w:val="Normal"/>
    <w:pPr>
      <w:overflowPunct w:val="0"/>
      <w:autoSpaceDE w:val="0"/>
      <w:autoSpaceDN w:val="0"/>
      <w:adjustRightInd w:val="0"/>
      <w:ind w:left="720" w:right="720"/>
      <w:jc w:val="both"/>
      <w:textAlignment w:val="baseline"/>
    </w:pPr>
    <w:rPr>
      <w:rFonts w:ascii="Palatino" w:hAnsi="Palatino"/>
      <w:sz w:val="24"/>
    </w:rPr>
  </w:style>
  <w:style w:type="paragraph" w:styleId="FootnoteText">
    <w:name w:val="footnote text"/>
    <w:basedOn w:val="Normal"/>
    <w:link w:val="FootnoteTextChar"/>
    <w:semiHidden/>
    <w:pPr>
      <w:overflowPunct w:val="0"/>
      <w:autoSpaceDE w:val="0"/>
      <w:autoSpaceDN w:val="0"/>
      <w:adjustRightInd w:val="0"/>
      <w:textAlignment w:val="baseline"/>
    </w:p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BodyText">
    <w:name w:val="Body Text"/>
    <w:basedOn w:val="Normal"/>
    <w:pPr>
      <w:overflowPunct w:val="0"/>
      <w:autoSpaceDE w:val="0"/>
      <w:autoSpaceDN w:val="0"/>
      <w:adjustRightInd w:val="0"/>
      <w:textAlignment w:val="baseline"/>
    </w:pPr>
    <w:rPr>
      <w:sz w:val="24"/>
    </w:rPr>
  </w:style>
  <w:style w:type="paragraph" w:styleId="BodyText2">
    <w:name w:val="Body Text 2"/>
    <w:basedOn w:val="Normal"/>
    <w:pPr>
      <w:tabs>
        <w:tab w:val="left" w:pos="360"/>
      </w:tabs>
      <w:overflowPunct w:val="0"/>
      <w:autoSpaceDE w:val="0"/>
      <w:autoSpaceDN w:val="0"/>
      <w:adjustRightInd w:val="0"/>
      <w:ind w:left="360" w:hanging="360"/>
      <w:textAlignment w:val="baseline"/>
    </w:pPr>
    <w:rPr>
      <w:sz w:val="24"/>
    </w:rPr>
  </w:style>
  <w:style w:type="paragraph" w:customStyle="1" w:styleId="xl41">
    <w:name w:val="xl41"/>
    <w:basedOn w:val="Normal"/>
    <w:pPr>
      <w:overflowPunct w:val="0"/>
      <w:autoSpaceDE w:val="0"/>
      <w:autoSpaceDN w:val="0"/>
      <w:adjustRightInd w:val="0"/>
      <w:spacing w:before="100" w:after="100"/>
      <w:textAlignment w:val="baseline"/>
    </w:pPr>
    <w:rPr>
      <w:rFonts w:ascii="Arial Unicode MS" w:eastAsia="Arial Unicode MS"/>
      <w:sz w:val="24"/>
    </w:rPr>
  </w:style>
  <w:style w:type="paragraph" w:styleId="BodyTextIndent">
    <w:name w:val="Body Text Indent"/>
    <w:basedOn w:val="Normal"/>
    <w:pPr>
      <w:overflowPunct w:val="0"/>
      <w:autoSpaceDE w:val="0"/>
      <w:autoSpaceDN w:val="0"/>
      <w:adjustRightInd w:val="0"/>
      <w:ind w:left="450" w:hanging="450"/>
      <w:textAlignment w:val="baseline"/>
    </w:pPr>
    <w:rPr>
      <w:sz w:val="24"/>
    </w:rPr>
  </w:style>
  <w:style w:type="paragraph" w:styleId="BodyTextIndent3">
    <w:name w:val="Body Text Indent 3"/>
    <w:basedOn w:val="Normal"/>
    <w:pPr>
      <w:tabs>
        <w:tab w:val="left" w:pos="450"/>
      </w:tabs>
      <w:overflowPunct w:val="0"/>
      <w:autoSpaceDE w:val="0"/>
      <w:autoSpaceDN w:val="0"/>
      <w:adjustRightInd w:val="0"/>
      <w:ind w:left="540" w:hanging="540"/>
      <w:textAlignment w:val="baseline"/>
    </w:pPr>
    <w:rPr>
      <w:sz w:val="24"/>
    </w:rPr>
  </w:style>
  <w:style w:type="paragraph" w:customStyle="1" w:styleId="xl50">
    <w:name w:val="xl50"/>
    <w:basedOn w:val="Normal"/>
    <w:pPr>
      <w:spacing w:before="100" w:beforeAutospacing="1" w:after="100" w:afterAutospacing="1"/>
      <w:jc w:val="center"/>
    </w:pPr>
    <w:rPr>
      <w:rFonts w:ascii="Arial" w:eastAsia="Arial Unicode MS" w:hAnsi="Arial" w:cs="Arial"/>
      <w:sz w:val="24"/>
      <w:szCs w:val="24"/>
    </w:rPr>
  </w:style>
  <w:style w:type="paragraph" w:customStyle="1" w:styleId="xl48">
    <w:name w:val="xl48"/>
    <w:basedOn w:val="Normal"/>
    <w:pPr>
      <w:spacing w:before="100" w:beforeAutospacing="1" w:after="100" w:afterAutospacing="1"/>
    </w:pPr>
    <w:rPr>
      <w:rFonts w:ascii="Arial" w:eastAsia="Arial Unicode MS" w:hAnsi="Arial" w:cs="Arial"/>
      <w:sz w:val="18"/>
      <w:szCs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pPr>
      <w:pBdr>
        <w:top w:val="single" w:sz="4" w:space="1" w:color="auto"/>
        <w:left w:val="single" w:sz="4" w:space="4" w:color="auto"/>
        <w:bottom w:val="single" w:sz="4" w:space="1" w:color="auto"/>
        <w:right w:val="single" w:sz="4" w:space="4" w:color="auto"/>
      </w:pBdr>
    </w:pPr>
    <w:rPr>
      <w:rFonts w:ascii="Palatino" w:hAnsi="Palatino"/>
      <w:b/>
      <w:bCs/>
      <w:i/>
      <w:iCs/>
      <w:sz w:val="24"/>
    </w:rPr>
  </w:style>
  <w:style w:type="paragraph" w:styleId="BalloonText">
    <w:name w:val="Balloon Text"/>
    <w:basedOn w:val="Normal"/>
    <w:semiHidden/>
    <w:rPr>
      <w:rFonts w:ascii="Tahoma" w:hAnsi="Tahoma" w:cs="Tahoma"/>
      <w:sz w:val="16"/>
      <w:szCs w:val="16"/>
    </w:rPr>
  </w:style>
  <w:style w:type="paragraph" w:customStyle="1" w:styleId="content">
    <w:name w:val="content"/>
    <w:basedOn w:val="Normal"/>
    <w:link w:val="contentChar"/>
    <w:pPr>
      <w:spacing w:before="100" w:beforeAutospacing="1" w:after="100" w:afterAutospacing="1"/>
    </w:pPr>
    <w:rPr>
      <w:color w:val="000000"/>
      <w:sz w:val="19"/>
      <w:szCs w:val="19"/>
    </w:rPr>
  </w:style>
  <w:style w:type="character" w:customStyle="1" w:styleId="contentChar">
    <w:name w:val="content Char"/>
    <w:link w:val="content"/>
    <w:rPr>
      <w:color w:val="000000"/>
      <w:sz w:val="19"/>
      <w:szCs w:val="19"/>
      <w:lang w:val="en-US" w:eastAsia="en-US" w:bidi="ar-SA"/>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EndnoteText">
    <w:name w:val="endnote text"/>
    <w:basedOn w:val="Normal"/>
    <w:link w:val="EndnoteTextChar"/>
    <w:rsid w:val="001C75BF"/>
  </w:style>
  <w:style w:type="character" w:customStyle="1" w:styleId="EndnoteTextChar">
    <w:name w:val="Endnote Text Char"/>
    <w:basedOn w:val="DefaultParagraphFont"/>
    <w:link w:val="EndnoteText"/>
    <w:rsid w:val="001C75BF"/>
  </w:style>
  <w:style w:type="character" w:styleId="EndnoteReference">
    <w:name w:val="endnote reference"/>
    <w:rsid w:val="001C75BF"/>
    <w:rPr>
      <w:vertAlign w:val="superscript"/>
    </w:rPr>
  </w:style>
  <w:style w:type="paragraph" w:styleId="Revision">
    <w:name w:val="Revision"/>
    <w:hidden/>
    <w:uiPriority w:val="99"/>
    <w:semiHidden/>
    <w:rsid w:val="008A4CE0"/>
  </w:style>
  <w:style w:type="character" w:customStyle="1" w:styleId="HeaderChar">
    <w:name w:val="Header Char"/>
    <w:link w:val="Header"/>
    <w:rsid w:val="0094082B"/>
  </w:style>
  <w:style w:type="character" w:customStyle="1" w:styleId="FootnoteTextChar">
    <w:name w:val="Footnote Text Char"/>
    <w:link w:val="FootnoteText"/>
    <w:semiHidden/>
    <w:rsid w:val="00A96ECB"/>
  </w:style>
  <w:style w:type="character" w:customStyle="1" w:styleId="CommentTextChar">
    <w:name w:val="Comment Text Char"/>
    <w:link w:val="CommentText"/>
    <w:rsid w:val="002A64BB"/>
  </w:style>
  <w:style w:type="table" w:styleId="TableGrid">
    <w:name w:val="Table Grid"/>
    <w:basedOn w:val="TableNormal"/>
    <w:rsid w:val="00D552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65E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3B2"/>
  </w:style>
  <w:style w:type="paragraph" w:styleId="Heading1">
    <w:name w:val="heading 1"/>
    <w:basedOn w:val="Normal"/>
    <w:next w:val="Normal"/>
    <w:qFormat/>
    <w:pPr>
      <w:keepNext/>
      <w:autoSpaceDE w:val="0"/>
      <w:autoSpaceDN w:val="0"/>
      <w:adjustRightInd w:val="0"/>
      <w:outlineLvl w:val="0"/>
    </w:pPr>
    <w:rPr>
      <w:rFonts w:ascii="Palatino" w:hAnsi="Palatino" w:cs="Arial"/>
      <w:b/>
      <w:bCs/>
      <w:color w:val="000000"/>
      <w:sz w:val="12"/>
    </w:rPr>
  </w:style>
  <w:style w:type="paragraph" w:styleId="Heading2">
    <w:name w:val="heading 2"/>
    <w:basedOn w:val="Normal"/>
    <w:next w:val="Normal"/>
    <w:qFormat/>
    <w:pPr>
      <w:keepNext/>
      <w:jc w:val="right"/>
      <w:outlineLvl w:val="1"/>
    </w:pPr>
    <w:rPr>
      <w:b/>
      <w:bCs/>
      <w:sz w:val="18"/>
      <w:u w:val="single"/>
    </w:rPr>
  </w:style>
  <w:style w:type="paragraph" w:styleId="Heading3">
    <w:name w:val="heading 3"/>
    <w:basedOn w:val="Normal"/>
    <w:next w:val="Normal"/>
    <w:qFormat/>
    <w:pPr>
      <w:keepNext/>
      <w:tabs>
        <w:tab w:val="left" w:pos="2610"/>
      </w:tabs>
      <w:autoSpaceDE w:val="0"/>
      <w:autoSpaceDN w:val="0"/>
      <w:adjustRightInd w:val="0"/>
      <w:jc w:val="center"/>
      <w:outlineLvl w:val="2"/>
    </w:pPr>
    <w:rPr>
      <w:b/>
      <w:bCs/>
      <w:color w:val="000000"/>
      <w:sz w:val="12"/>
    </w:rPr>
  </w:style>
  <w:style w:type="paragraph" w:styleId="Heading4">
    <w:name w:val="heading 4"/>
    <w:basedOn w:val="Normal"/>
    <w:next w:val="Normal"/>
    <w:qFormat/>
    <w:pPr>
      <w:keepNext/>
      <w:outlineLvl w:val="3"/>
    </w:pPr>
    <w:rPr>
      <w:rFonts w:ascii="Palatino" w:hAnsi="Palatino"/>
      <w:b/>
      <w:sz w:val="26"/>
    </w:rPr>
  </w:style>
  <w:style w:type="paragraph" w:styleId="Heading5">
    <w:name w:val="heading 5"/>
    <w:basedOn w:val="Normal"/>
    <w:next w:val="Normal"/>
    <w:qFormat/>
    <w:pPr>
      <w:keepNext/>
      <w:autoSpaceDE w:val="0"/>
      <w:autoSpaceDN w:val="0"/>
      <w:adjustRightInd w:val="0"/>
      <w:outlineLvl w:val="4"/>
    </w:pPr>
    <w:rPr>
      <w:b/>
      <w:bCs/>
      <w:color w:val="000000"/>
      <w:sz w:val="12"/>
    </w:rPr>
  </w:style>
  <w:style w:type="paragraph" w:styleId="Heading6">
    <w:name w:val="heading 6"/>
    <w:basedOn w:val="Normal"/>
    <w:next w:val="Normal"/>
    <w:qFormat/>
    <w:pPr>
      <w:keepNext/>
      <w:spacing w:before="120"/>
      <w:jc w:val="right"/>
      <w:outlineLvl w:val="5"/>
    </w:pPr>
    <w:rPr>
      <w:sz w:val="24"/>
    </w:rPr>
  </w:style>
  <w:style w:type="paragraph" w:styleId="Heading7">
    <w:name w:val="heading 7"/>
    <w:basedOn w:val="Normal"/>
    <w:next w:val="Normal"/>
    <w:qFormat/>
    <w:pPr>
      <w:keepNext/>
      <w:outlineLvl w:val="6"/>
    </w:pPr>
    <w:rPr>
      <w:rFonts w:ascii="Palatino" w:hAnsi="Palatino"/>
      <w:b/>
      <w:sz w:val="24"/>
    </w:rPr>
  </w:style>
  <w:style w:type="paragraph" w:styleId="Heading8">
    <w:name w:val="heading 8"/>
    <w:basedOn w:val="Normal"/>
    <w:next w:val="Normal"/>
    <w:qFormat/>
    <w:pPr>
      <w:keepNext/>
      <w:autoSpaceDE w:val="0"/>
      <w:autoSpaceDN w:val="0"/>
      <w:adjustRightInd w:val="0"/>
      <w:outlineLvl w:val="7"/>
    </w:pPr>
    <w:rPr>
      <w:color w:val="000000"/>
      <w:sz w:val="16"/>
      <w:szCs w:val="18"/>
    </w:rPr>
  </w:style>
  <w:style w:type="paragraph" w:styleId="Heading9">
    <w:name w:val="heading 9"/>
    <w:basedOn w:val="Normal"/>
    <w:next w:val="Normal"/>
    <w:qFormat/>
    <w:pPr>
      <w:keepNext/>
      <w:jc w:val="center"/>
      <w:outlineLvl w:val="8"/>
    </w:pPr>
    <w:rPr>
      <w:rFonts w:ascii="Palatino" w:hAnsi="Palatino"/>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24"/>
    </w:rPr>
  </w:style>
  <w:style w:type="paragraph" w:styleId="BlockText">
    <w:name w:val="Block Text"/>
    <w:basedOn w:val="Normal"/>
    <w:pPr>
      <w:overflowPunct w:val="0"/>
      <w:autoSpaceDE w:val="0"/>
      <w:autoSpaceDN w:val="0"/>
      <w:adjustRightInd w:val="0"/>
      <w:ind w:left="720" w:right="720"/>
      <w:jc w:val="both"/>
      <w:textAlignment w:val="baseline"/>
    </w:pPr>
    <w:rPr>
      <w:rFonts w:ascii="Palatino" w:hAnsi="Palatino"/>
      <w:sz w:val="24"/>
    </w:rPr>
  </w:style>
  <w:style w:type="paragraph" w:styleId="FootnoteText">
    <w:name w:val="footnote text"/>
    <w:basedOn w:val="Normal"/>
    <w:link w:val="FootnoteTextChar"/>
    <w:semiHidden/>
    <w:pPr>
      <w:overflowPunct w:val="0"/>
      <w:autoSpaceDE w:val="0"/>
      <w:autoSpaceDN w:val="0"/>
      <w:adjustRightInd w:val="0"/>
      <w:textAlignment w:val="baseline"/>
    </w:p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BodyText">
    <w:name w:val="Body Text"/>
    <w:basedOn w:val="Normal"/>
    <w:pPr>
      <w:overflowPunct w:val="0"/>
      <w:autoSpaceDE w:val="0"/>
      <w:autoSpaceDN w:val="0"/>
      <w:adjustRightInd w:val="0"/>
      <w:textAlignment w:val="baseline"/>
    </w:pPr>
    <w:rPr>
      <w:sz w:val="24"/>
    </w:rPr>
  </w:style>
  <w:style w:type="paragraph" w:styleId="BodyText2">
    <w:name w:val="Body Text 2"/>
    <w:basedOn w:val="Normal"/>
    <w:pPr>
      <w:tabs>
        <w:tab w:val="left" w:pos="360"/>
      </w:tabs>
      <w:overflowPunct w:val="0"/>
      <w:autoSpaceDE w:val="0"/>
      <w:autoSpaceDN w:val="0"/>
      <w:adjustRightInd w:val="0"/>
      <w:ind w:left="360" w:hanging="360"/>
      <w:textAlignment w:val="baseline"/>
    </w:pPr>
    <w:rPr>
      <w:sz w:val="24"/>
    </w:rPr>
  </w:style>
  <w:style w:type="paragraph" w:customStyle="1" w:styleId="xl41">
    <w:name w:val="xl41"/>
    <w:basedOn w:val="Normal"/>
    <w:pPr>
      <w:overflowPunct w:val="0"/>
      <w:autoSpaceDE w:val="0"/>
      <w:autoSpaceDN w:val="0"/>
      <w:adjustRightInd w:val="0"/>
      <w:spacing w:before="100" w:after="100"/>
      <w:textAlignment w:val="baseline"/>
    </w:pPr>
    <w:rPr>
      <w:rFonts w:ascii="Arial Unicode MS" w:eastAsia="Arial Unicode MS"/>
      <w:sz w:val="24"/>
    </w:rPr>
  </w:style>
  <w:style w:type="paragraph" w:styleId="BodyTextIndent">
    <w:name w:val="Body Text Indent"/>
    <w:basedOn w:val="Normal"/>
    <w:pPr>
      <w:overflowPunct w:val="0"/>
      <w:autoSpaceDE w:val="0"/>
      <w:autoSpaceDN w:val="0"/>
      <w:adjustRightInd w:val="0"/>
      <w:ind w:left="450" w:hanging="450"/>
      <w:textAlignment w:val="baseline"/>
    </w:pPr>
    <w:rPr>
      <w:sz w:val="24"/>
    </w:rPr>
  </w:style>
  <w:style w:type="paragraph" w:styleId="BodyTextIndent3">
    <w:name w:val="Body Text Indent 3"/>
    <w:basedOn w:val="Normal"/>
    <w:pPr>
      <w:tabs>
        <w:tab w:val="left" w:pos="450"/>
      </w:tabs>
      <w:overflowPunct w:val="0"/>
      <w:autoSpaceDE w:val="0"/>
      <w:autoSpaceDN w:val="0"/>
      <w:adjustRightInd w:val="0"/>
      <w:ind w:left="540" w:hanging="540"/>
      <w:textAlignment w:val="baseline"/>
    </w:pPr>
    <w:rPr>
      <w:sz w:val="24"/>
    </w:rPr>
  </w:style>
  <w:style w:type="paragraph" w:customStyle="1" w:styleId="xl50">
    <w:name w:val="xl50"/>
    <w:basedOn w:val="Normal"/>
    <w:pPr>
      <w:spacing w:before="100" w:beforeAutospacing="1" w:after="100" w:afterAutospacing="1"/>
      <w:jc w:val="center"/>
    </w:pPr>
    <w:rPr>
      <w:rFonts w:ascii="Arial" w:eastAsia="Arial Unicode MS" w:hAnsi="Arial" w:cs="Arial"/>
      <w:sz w:val="24"/>
      <w:szCs w:val="24"/>
    </w:rPr>
  </w:style>
  <w:style w:type="paragraph" w:customStyle="1" w:styleId="xl48">
    <w:name w:val="xl48"/>
    <w:basedOn w:val="Normal"/>
    <w:pPr>
      <w:spacing w:before="100" w:beforeAutospacing="1" w:after="100" w:afterAutospacing="1"/>
    </w:pPr>
    <w:rPr>
      <w:rFonts w:ascii="Arial" w:eastAsia="Arial Unicode MS" w:hAnsi="Arial" w:cs="Arial"/>
      <w:sz w:val="18"/>
      <w:szCs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pPr>
      <w:pBdr>
        <w:top w:val="single" w:sz="4" w:space="1" w:color="auto"/>
        <w:left w:val="single" w:sz="4" w:space="4" w:color="auto"/>
        <w:bottom w:val="single" w:sz="4" w:space="1" w:color="auto"/>
        <w:right w:val="single" w:sz="4" w:space="4" w:color="auto"/>
      </w:pBdr>
    </w:pPr>
    <w:rPr>
      <w:rFonts w:ascii="Palatino" w:hAnsi="Palatino"/>
      <w:b/>
      <w:bCs/>
      <w:i/>
      <w:iCs/>
      <w:sz w:val="24"/>
    </w:rPr>
  </w:style>
  <w:style w:type="paragraph" w:styleId="BalloonText">
    <w:name w:val="Balloon Text"/>
    <w:basedOn w:val="Normal"/>
    <w:semiHidden/>
    <w:rPr>
      <w:rFonts w:ascii="Tahoma" w:hAnsi="Tahoma" w:cs="Tahoma"/>
      <w:sz w:val="16"/>
      <w:szCs w:val="16"/>
    </w:rPr>
  </w:style>
  <w:style w:type="paragraph" w:customStyle="1" w:styleId="content">
    <w:name w:val="content"/>
    <w:basedOn w:val="Normal"/>
    <w:link w:val="contentChar"/>
    <w:pPr>
      <w:spacing w:before="100" w:beforeAutospacing="1" w:after="100" w:afterAutospacing="1"/>
    </w:pPr>
    <w:rPr>
      <w:color w:val="000000"/>
      <w:sz w:val="19"/>
      <w:szCs w:val="19"/>
    </w:rPr>
  </w:style>
  <w:style w:type="character" w:customStyle="1" w:styleId="contentChar">
    <w:name w:val="content Char"/>
    <w:link w:val="content"/>
    <w:rPr>
      <w:color w:val="000000"/>
      <w:sz w:val="19"/>
      <w:szCs w:val="19"/>
      <w:lang w:val="en-US" w:eastAsia="en-US" w:bidi="ar-SA"/>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EndnoteText">
    <w:name w:val="endnote text"/>
    <w:basedOn w:val="Normal"/>
    <w:link w:val="EndnoteTextChar"/>
    <w:rsid w:val="001C75BF"/>
  </w:style>
  <w:style w:type="character" w:customStyle="1" w:styleId="EndnoteTextChar">
    <w:name w:val="Endnote Text Char"/>
    <w:basedOn w:val="DefaultParagraphFont"/>
    <w:link w:val="EndnoteText"/>
    <w:rsid w:val="001C75BF"/>
  </w:style>
  <w:style w:type="character" w:styleId="EndnoteReference">
    <w:name w:val="endnote reference"/>
    <w:rsid w:val="001C75BF"/>
    <w:rPr>
      <w:vertAlign w:val="superscript"/>
    </w:rPr>
  </w:style>
  <w:style w:type="paragraph" w:styleId="Revision">
    <w:name w:val="Revision"/>
    <w:hidden/>
    <w:uiPriority w:val="99"/>
    <w:semiHidden/>
    <w:rsid w:val="008A4CE0"/>
  </w:style>
  <w:style w:type="character" w:customStyle="1" w:styleId="HeaderChar">
    <w:name w:val="Header Char"/>
    <w:link w:val="Header"/>
    <w:rsid w:val="0094082B"/>
  </w:style>
  <w:style w:type="character" w:customStyle="1" w:styleId="FootnoteTextChar">
    <w:name w:val="Footnote Text Char"/>
    <w:link w:val="FootnoteText"/>
    <w:semiHidden/>
    <w:rsid w:val="00A96ECB"/>
  </w:style>
  <w:style w:type="character" w:customStyle="1" w:styleId="CommentTextChar">
    <w:name w:val="Comment Text Char"/>
    <w:link w:val="CommentText"/>
    <w:rsid w:val="002A64BB"/>
  </w:style>
  <w:style w:type="table" w:styleId="TableGrid">
    <w:name w:val="Table Grid"/>
    <w:basedOn w:val="TableNormal"/>
    <w:rsid w:val="00D552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65E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069">
      <w:bodyDiv w:val="1"/>
      <w:marLeft w:val="0"/>
      <w:marRight w:val="0"/>
      <w:marTop w:val="0"/>
      <w:marBottom w:val="0"/>
      <w:divBdr>
        <w:top w:val="none" w:sz="0" w:space="0" w:color="auto"/>
        <w:left w:val="none" w:sz="0" w:space="0" w:color="auto"/>
        <w:bottom w:val="none" w:sz="0" w:space="0" w:color="auto"/>
        <w:right w:val="none" w:sz="0" w:space="0" w:color="auto"/>
      </w:divBdr>
    </w:div>
    <w:div w:id="11299623">
      <w:bodyDiv w:val="1"/>
      <w:marLeft w:val="0"/>
      <w:marRight w:val="0"/>
      <w:marTop w:val="0"/>
      <w:marBottom w:val="0"/>
      <w:divBdr>
        <w:top w:val="none" w:sz="0" w:space="0" w:color="auto"/>
        <w:left w:val="none" w:sz="0" w:space="0" w:color="auto"/>
        <w:bottom w:val="none" w:sz="0" w:space="0" w:color="auto"/>
        <w:right w:val="none" w:sz="0" w:space="0" w:color="auto"/>
      </w:divBdr>
    </w:div>
    <w:div w:id="218245894">
      <w:bodyDiv w:val="1"/>
      <w:marLeft w:val="0"/>
      <w:marRight w:val="0"/>
      <w:marTop w:val="0"/>
      <w:marBottom w:val="0"/>
      <w:divBdr>
        <w:top w:val="none" w:sz="0" w:space="0" w:color="auto"/>
        <w:left w:val="none" w:sz="0" w:space="0" w:color="auto"/>
        <w:bottom w:val="none" w:sz="0" w:space="0" w:color="auto"/>
        <w:right w:val="none" w:sz="0" w:space="0" w:color="auto"/>
      </w:divBdr>
    </w:div>
    <w:div w:id="316230577">
      <w:bodyDiv w:val="1"/>
      <w:marLeft w:val="0"/>
      <w:marRight w:val="0"/>
      <w:marTop w:val="0"/>
      <w:marBottom w:val="0"/>
      <w:divBdr>
        <w:top w:val="none" w:sz="0" w:space="0" w:color="auto"/>
        <w:left w:val="none" w:sz="0" w:space="0" w:color="auto"/>
        <w:bottom w:val="none" w:sz="0" w:space="0" w:color="auto"/>
        <w:right w:val="none" w:sz="0" w:space="0" w:color="auto"/>
      </w:divBdr>
    </w:div>
    <w:div w:id="348919835">
      <w:bodyDiv w:val="1"/>
      <w:marLeft w:val="0"/>
      <w:marRight w:val="0"/>
      <w:marTop w:val="0"/>
      <w:marBottom w:val="0"/>
      <w:divBdr>
        <w:top w:val="none" w:sz="0" w:space="0" w:color="auto"/>
        <w:left w:val="none" w:sz="0" w:space="0" w:color="auto"/>
        <w:bottom w:val="none" w:sz="0" w:space="0" w:color="auto"/>
        <w:right w:val="none" w:sz="0" w:space="0" w:color="auto"/>
      </w:divBdr>
    </w:div>
    <w:div w:id="378096831">
      <w:bodyDiv w:val="1"/>
      <w:marLeft w:val="0"/>
      <w:marRight w:val="0"/>
      <w:marTop w:val="0"/>
      <w:marBottom w:val="0"/>
      <w:divBdr>
        <w:top w:val="none" w:sz="0" w:space="0" w:color="auto"/>
        <w:left w:val="none" w:sz="0" w:space="0" w:color="auto"/>
        <w:bottom w:val="none" w:sz="0" w:space="0" w:color="auto"/>
        <w:right w:val="none" w:sz="0" w:space="0" w:color="auto"/>
      </w:divBdr>
    </w:div>
    <w:div w:id="389809496">
      <w:bodyDiv w:val="1"/>
      <w:marLeft w:val="0"/>
      <w:marRight w:val="0"/>
      <w:marTop w:val="0"/>
      <w:marBottom w:val="0"/>
      <w:divBdr>
        <w:top w:val="none" w:sz="0" w:space="0" w:color="auto"/>
        <w:left w:val="none" w:sz="0" w:space="0" w:color="auto"/>
        <w:bottom w:val="none" w:sz="0" w:space="0" w:color="auto"/>
        <w:right w:val="none" w:sz="0" w:space="0" w:color="auto"/>
      </w:divBdr>
    </w:div>
    <w:div w:id="441463448">
      <w:bodyDiv w:val="1"/>
      <w:marLeft w:val="0"/>
      <w:marRight w:val="0"/>
      <w:marTop w:val="0"/>
      <w:marBottom w:val="0"/>
      <w:divBdr>
        <w:top w:val="none" w:sz="0" w:space="0" w:color="auto"/>
        <w:left w:val="none" w:sz="0" w:space="0" w:color="auto"/>
        <w:bottom w:val="none" w:sz="0" w:space="0" w:color="auto"/>
        <w:right w:val="none" w:sz="0" w:space="0" w:color="auto"/>
      </w:divBdr>
    </w:div>
    <w:div w:id="542787844">
      <w:bodyDiv w:val="1"/>
      <w:marLeft w:val="0"/>
      <w:marRight w:val="0"/>
      <w:marTop w:val="0"/>
      <w:marBottom w:val="0"/>
      <w:divBdr>
        <w:top w:val="none" w:sz="0" w:space="0" w:color="auto"/>
        <w:left w:val="none" w:sz="0" w:space="0" w:color="auto"/>
        <w:bottom w:val="none" w:sz="0" w:space="0" w:color="auto"/>
        <w:right w:val="none" w:sz="0" w:space="0" w:color="auto"/>
      </w:divBdr>
    </w:div>
    <w:div w:id="561645234">
      <w:bodyDiv w:val="1"/>
      <w:marLeft w:val="0"/>
      <w:marRight w:val="0"/>
      <w:marTop w:val="0"/>
      <w:marBottom w:val="0"/>
      <w:divBdr>
        <w:top w:val="none" w:sz="0" w:space="0" w:color="auto"/>
        <w:left w:val="none" w:sz="0" w:space="0" w:color="auto"/>
        <w:bottom w:val="none" w:sz="0" w:space="0" w:color="auto"/>
        <w:right w:val="none" w:sz="0" w:space="0" w:color="auto"/>
      </w:divBdr>
    </w:div>
    <w:div w:id="618951977">
      <w:bodyDiv w:val="1"/>
      <w:marLeft w:val="0"/>
      <w:marRight w:val="0"/>
      <w:marTop w:val="0"/>
      <w:marBottom w:val="0"/>
      <w:divBdr>
        <w:top w:val="none" w:sz="0" w:space="0" w:color="auto"/>
        <w:left w:val="none" w:sz="0" w:space="0" w:color="auto"/>
        <w:bottom w:val="none" w:sz="0" w:space="0" w:color="auto"/>
        <w:right w:val="none" w:sz="0" w:space="0" w:color="auto"/>
      </w:divBdr>
    </w:div>
    <w:div w:id="642806898">
      <w:bodyDiv w:val="1"/>
      <w:marLeft w:val="0"/>
      <w:marRight w:val="0"/>
      <w:marTop w:val="0"/>
      <w:marBottom w:val="0"/>
      <w:divBdr>
        <w:top w:val="none" w:sz="0" w:space="0" w:color="auto"/>
        <w:left w:val="none" w:sz="0" w:space="0" w:color="auto"/>
        <w:bottom w:val="none" w:sz="0" w:space="0" w:color="auto"/>
        <w:right w:val="none" w:sz="0" w:space="0" w:color="auto"/>
      </w:divBdr>
    </w:div>
    <w:div w:id="815147029">
      <w:bodyDiv w:val="1"/>
      <w:marLeft w:val="0"/>
      <w:marRight w:val="0"/>
      <w:marTop w:val="0"/>
      <w:marBottom w:val="0"/>
      <w:divBdr>
        <w:top w:val="none" w:sz="0" w:space="0" w:color="auto"/>
        <w:left w:val="none" w:sz="0" w:space="0" w:color="auto"/>
        <w:bottom w:val="none" w:sz="0" w:space="0" w:color="auto"/>
        <w:right w:val="none" w:sz="0" w:space="0" w:color="auto"/>
      </w:divBdr>
    </w:div>
    <w:div w:id="847863521">
      <w:bodyDiv w:val="1"/>
      <w:marLeft w:val="0"/>
      <w:marRight w:val="0"/>
      <w:marTop w:val="0"/>
      <w:marBottom w:val="0"/>
      <w:divBdr>
        <w:top w:val="none" w:sz="0" w:space="0" w:color="auto"/>
        <w:left w:val="none" w:sz="0" w:space="0" w:color="auto"/>
        <w:bottom w:val="none" w:sz="0" w:space="0" w:color="auto"/>
        <w:right w:val="none" w:sz="0" w:space="0" w:color="auto"/>
      </w:divBdr>
      <w:divsChild>
        <w:div w:id="541602440">
          <w:marLeft w:val="2985"/>
          <w:marRight w:val="0"/>
          <w:marTop w:val="0"/>
          <w:marBottom w:val="0"/>
          <w:divBdr>
            <w:top w:val="none" w:sz="0" w:space="0" w:color="auto"/>
            <w:left w:val="none" w:sz="0" w:space="0" w:color="auto"/>
            <w:bottom w:val="none" w:sz="0" w:space="0" w:color="auto"/>
            <w:right w:val="none" w:sz="0" w:space="0" w:color="auto"/>
          </w:divBdr>
          <w:divsChild>
            <w:div w:id="2083869069">
              <w:marLeft w:val="0"/>
              <w:marRight w:val="0"/>
              <w:marTop w:val="0"/>
              <w:marBottom w:val="0"/>
              <w:divBdr>
                <w:top w:val="none" w:sz="0" w:space="0" w:color="auto"/>
                <w:left w:val="none" w:sz="0" w:space="0" w:color="auto"/>
                <w:bottom w:val="none" w:sz="0" w:space="0" w:color="auto"/>
                <w:right w:val="none" w:sz="0" w:space="0" w:color="auto"/>
              </w:divBdr>
              <w:divsChild>
                <w:div w:id="18919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749061">
      <w:bodyDiv w:val="1"/>
      <w:marLeft w:val="0"/>
      <w:marRight w:val="0"/>
      <w:marTop w:val="0"/>
      <w:marBottom w:val="0"/>
      <w:divBdr>
        <w:top w:val="none" w:sz="0" w:space="0" w:color="auto"/>
        <w:left w:val="none" w:sz="0" w:space="0" w:color="auto"/>
        <w:bottom w:val="none" w:sz="0" w:space="0" w:color="auto"/>
        <w:right w:val="none" w:sz="0" w:space="0" w:color="auto"/>
      </w:divBdr>
    </w:div>
    <w:div w:id="1059285172">
      <w:bodyDiv w:val="1"/>
      <w:marLeft w:val="0"/>
      <w:marRight w:val="0"/>
      <w:marTop w:val="0"/>
      <w:marBottom w:val="0"/>
      <w:divBdr>
        <w:top w:val="none" w:sz="0" w:space="0" w:color="auto"/>
        <w:left w:val="none" w:sz="0" w:space="0" w:color="auto"/>
        <w:bottom w:val="none" w:sz="0" w:space="0" w:color="auto"/>
        <w:right w:val="none" w:sz="0" w:space="0" w:color="auto"/>
      </w:divBdr>
    </w:div>
    <w:div w:id="1204560489">
      <w:bodyDiv w:val="1"/>
      <w:marLeft w:val="0"/>
      <w:marRight w:val="0"/>
      <w:marTop w:val="0"/>
      <w:marBottom w:val="0"/>
      <w:divBdr>
        <w:top w:val="none" w:sz="0" w:space="0" w:color="auto"/>
        <w:left w:val="none" w:sz="0" w:space="0" w:color="auto"/>
        <w:bottom w:val="none" w:sz="0" w:space="0" w:color="auto"/>
        <w:right w:val="none" w:sz="0" w:space="0" w:color="auto"/>
      </w:divBdr>
    </w:div>
    <w:div w:id="1221284465">
      <w:bodyDiv w:val="1"/>
      <w:marLeft w:val="0"/>
      <w:marRight w:val="0"/>
      <w:marTop w:val="0"/>
      <w:marBottom w:val="0"/>
      <w:divBdr>
        <w:top w:val="none" w:sz="0" w:space="0" w:color="auto"/>
        <w:left w:val="none" w:sz="0" w:space="0" w:color="auto"/>
        <w:bottom w:val="none" w:sz="0" w:space="0" w:color="auto"/>
        <w:right w:val="none" w:sz="0" w:space="0" w:color="auto"/>
      </w:divBdr>
    </w:div>
    <w:div w:id="1360205623">
      <w:bodyDiv w:val="1"/>
      <w:marLeft w:val="0"/>
      <w:marRight w:val="0"/>
      <w:marTop w:val="0"/>
      <w:marBottom w:val="0"/>
      <w:divBdr>
        <w:top w:val="none" w:sz="0" w:space="0" w:color="auto"/>
        <w:left w:val="none" w:sz="0" w:space="0" w:color="auto"/>
        <w:bottom w:val="none" w:sz="0" w:space="0" w:color="auto"/>
        <w:right w:val="none" w:sz="0" w:space="0" w:color="auto"/>
      </w:divBdr>
    </w:div>
    <w:div w:id="1374159293">
      <w:bodyDiv w:val="1"/>
      <w:marLeft w:val="0"/>
      <w:marRight w:val="0"/>
      <w:marTop w:val="0"/>
      <w:marBottom w:val="0"/>
      <w:divBdr>
        <w:top w:val="none" w:sz="0" w:space="0" w:color="auto"/>
        <w:left w:val="none" w:sz="0" w:space="0" w:color="auto"/>
        <w:bottom w:val="none" w:sz="0" w:space="0" w:color="auto"/>
        <w:right w:val="none" w:sz="0" w:space="0" w:color="auto"/>
      </w:divBdr>
    </w:div>
    <w:div w:id="1505247850">
      <w:bodyDiv w:val="1"/>
      <w:marLeft w:val="0"/>
      <w:marRight w:val="0"/>
      <w:marTop w:val="0"/>
      <w:marBottom w:val="0"/>
      <w:divBdr>
        <w:top w:val="none" w:sz="0" w:space="0" w:color="auto"/>
        <w:left w:val="none" w:sz="0" w:space="0" w:color="auto"/>
        <w:bottom w:val="none" w:sz="0" w:space="0" w:color="auto"/>
        <w:right w:val="none" w:sz="0" w:space="0" w:color="auto"/>
      </w:divBdr>
    </w:div>
    <w:div w:id="1613901147">
      <w:bodyDiv w:val="1"/>
      <w:marLeft w:val="0"/>
      <w:marRight w:val="0"/>
      <w:marTop w:val="0"/>
      <w:marBottom w:val="0"/>
      <w:divBdr>
        <w:top w:val="none" w:sz="0" w:space="0" w:color="auto"/>
        <w:left w:val="none" w:sz="0" w:space="0" w:color="auto"/>
        <w:bottom w:val="none" w:sz="0" w:space="0" w:color="auto"/>
        <w:right w:val="none" w:sz="0" w:space="0" w:color="auto"/>
      </w:divBdr>
    </w:div>
    <w:div w:id="1775251754">
      <w:bodyDiv w:val="1"/>
      <w:marLeft w:val="0"/>
      <w:marRight w:val="0"/>
      <w:marTop w:val="0"/>
      <w:marBottom w:val="0"/>
      <w:divBdr>
        <w:top w:val="none" w:sz="0" w:space="0" w:color="auto"/>
        <w:left w:val="none" w:sz="0" w:space="0" w:color="auto"/>
        <w:bottom w:val="none" w:sz="0" w:space="0" w:color="auto"/>
        <w:right w:val="none" w:sz="0" w:space="0" w:color="auto"/>
      </w:divBdr>
    </w:div>
    <w:div w:id="1809973755">
      <w:bodyDiv w:val="1"/>
      <w:marLeft w:val="0"/>
      <w:marRight w:val="0"/>
      <w:marTop w:val="0"/>
      <w:marBottom w:val="0"/>
      <w:divBdr>
        <w:top w:val="none" w:sz="0" w:space="0" w:color="auto"/>
        <w:left w:val="none" w:sz="0" w:space="0" w:color="auto"/>
        <w:bottom w:val="none" w:sz="0" w:space="0" w:color="auto"/>
        <w:right w:val="none" w:sz="0" w:space="0" w:color="auto"/>
      </w:divBdr>
    </w:div>
    <w:div w:id="1833524679">
      <w:bodyDiv w:val="1"/>
      <w:marLeft w:val="0"/>
      <w:marRight w:val="0"/>
      <w:marTop w:val="0"/>
      <w:marBottom w:val="0"/>
      <w:divBdr>
        <w:top w:val="none" w:sz="0" w:space="0" w:color="auto"/>
        <w:left w:val="none" w:sz="0" w:space="0" w:color="auto"/>
        <w:bottom w:val="none" w:sz="0" w:space="0" w:color="auto"/>
        <w:right w:val="none" w:sz="0" w:space="0" w:color="auto"/>
      </w:divBdr>
    </w:div>
    <w:div w:id="1890611937">
      <w:bodyDiv w:val="1"/>
      <w:marLeft w:val="0"/>
      <w:marRight w:val="0"/>
      <w:marTop w:val="0"/>
      <w:marBottom w:val="0"/>
      <w:divBdr>
        <w:top w:val="none" w:sz="0" w:space="0" w:color="auto"/>
        <w:left w:val="none" w:sz="0" w:space="0" w:color="auto"/>
        <w:bottom w:val="none" w:sz="0" w:space="0" w:color="auto"/>
        <w:right w:val="none" w:sz="0" w:space="0" w:color="auto"/>
      </w:divBdr>
    </w:div>
    <w:div w:id="1919360644">
      <w:bodyDiv w:val="1"/>
      <w:marLeft w:val="0"/>
      <w:marRight w:val="0"/>
      <w:marTop w:val="0"/>
      <w:marBottom w:val="0"/>
      <w:divBdr>
        <w:top w:val="none" w:sz="0" w:space="0" w:color="auto"/>
        <w:left w:val="none" w:sz="0" w:space="0" w:color="auto"/>
        <w:bottom w:val="none" w:sz="0" w:space="0" w:color="auto"/>
        <w:right w:val="none" w:sz="0" w:space="0" w:color="auto"/>
      </w:divBdr>
    </w:div>
    <w:div w:id="1932271959">
      <w:bodyDiv w:val="1"/>
      <w:marLeft w:val="0"/>
      <w:marRight w:val="0"/>
      <w:marTop w:val="0"/>
      <w:marBottom w:val="0"/>
      <w:divBdr>
        <w:top w:val="none" w:sz="0" w:space="0" w:color="auto"/>
        <w:left w:val="none" w:sz="0" w:space="0" w:color="auto"/>
        <w:bottom w:val="none" w:sz="0" w:space="0" w:color="auto"/>
        <w:right w:val="none" w:sz="0" w:space="0" w:color="auto"/>
      </w:divBdr>
    </w:div>
    <w:div w:id="193528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puc.ca.gov/WORD_PDF/FINAL_RESOLUTION/144058.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cs.cpuc.ca.gov/WORD_PDF/FINAL_RESOLUTION/144058.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3789</Words>
  <Characters>21248</Characters>
  <Application>Microsoft Office Word</Application>
  <DocSecurity>0</DocSecurity>
  <Lines>411</Lines>
  <Paragraphs>117</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25079</CharactersWithSpaces>
  <SharedDoc>false</SharedDoc>
  <HyperlinkBase> </HyperlinkBase>
  <HLinks>
    <vt:vector size="12" baseType="variant">
      <vt:variant>
        <vt:i4>1441817</vt:i4>
      </vt:variant>
      <vt:variant>
        <vt:i4>3</vt:i4>
      </vt:variant>
      <vt:variant>
        <vt:i4>0</vt:i4>
      </vt:variant>
      <vt:variant>
        <vt:i4>5</vt:i4>
      </vt:variant>
      <vt:variant>
        <vt:lpwstr>http://docs.cpuc.ca.gov/WORD_PDF/FINAL_RESOLUTION/144058.PDF</vt:lpwstr>
      </vt:variant>
      <vt:variant>
        <vt:lpwstr/>
      </vt:variant>
      <vt:variant>
        <vt:i4>1441817</vt:i4>
      </vt:variant>
      <vt:variant>
        <vt:i4>0</vt:i4>
      </vt:variant>
      <vt:variant>
        <vt:i4>0</vt:i4>
      </vt:variant>
      <vt:variant>
        <vt:i4>5</vt:i4>
      </vt:variant>
      <vt:variant>
        <vt:lpwstr>http://docs.cpuc.ca.gov/WORD_PDF/FINAL_RESOLUTION/144058.PDF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2012-07-19T21:45:00Z</cp:lastPrinted>
  <dcterms:created xsi:type="dcterms:W3CDTF">2014-10-01T18:29:00Z</dcterms:created>
  <dcterms:modified xsi:type="dcterms:W3CDTF">2014-10-01T18:29:00Z</dcterms:modified>
  <cp:category> </cp:category>
  <cp:contentStatus> </cp:contentStatus>
</cp:coreProperties>
</file>