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11" w:rsidRDefault="00544B27" w:rsidP="00544B27">
      <w:pPr>
        <w:tabs>
          <w:tab w:val="left" w:pos="5689"/>
        </w:tabs>
        <w:rPr>
          <w:rFonts w:ascii="Palatino" w:hAnsi="Palatino"/>
          <w:sz w:val="24"/>
          <w:szCs w:val="24"/>
        </w:rPr>
      </w:pPr>
      <w:bookmarkStart w:id="0" w:name="_GoBack"/>
      <w:bookmarkEnd w:id="0"/>
      <w:r>
        <w:rPr>
          <w:rFonts w:ascii="Palatino" w:hAnsi="Palatino"/>
          <w:sz w:val="24"/>
          <w:szCs w:val="24"/>
        </w:rPr>
        <w:tab/>
      </w:r>
    </w:p>
    <w:p w:rsidR="00FD2111" w:rsidRDefault="00FD2111">
      <w:pPr>
        <w:rPr>
          <w:rFonts w:ascii="Palatino" w:hAnsi="Palatino"/>
          <w:b/>
          <w:sz w:val="28"/>
        </w:rPr>
      </w:pPr>
      <w:r>
        <w:rPr>
          <w:rFonts w:ascii="Palatino" w:hAnsi="Palatino"/>
          <w:b/>
          <w:sz w:val="28"/>
        </w:rPr>
        <w:t xml:space="preserve">          </w:t>
      </w:r>
      <w:r>
        <w:rPr>
          <w:rFonts w:ascii="Palatino" w:hAnsi="Palatino"/>
          <w:b/>
          <w:sz w:val="28"/>
        </w:rPr>
        <w:tab/>
      </w:r>
      <w:r>
        <w:rPr>
          <w:rFonts w:ascii="Palatino" w:hAnsi="Palatino"/>
          <w:b/>
          <w:sz w:val="28"/>
        </w:rPr>
        <w:tab/>
      </w:r>
      <w:r>
        <w:rPr>
          <w:rFonts w:ascii="Palatino" w:hAnsi="Palatino"/>
          <w:b/>
          <w:sz w:val="28"/>
        </w:rPr>
        <w:tab/>
      </w:r>
      <w:r>
        <w:rPr>
          <w:rFonts w:ascii="Palatino" w:hAnsi="Palatino"/>
          <w:b/>
          <w:sz w:val="28"/>
        </w:rPr>
        <w:tab/>
      </w:r>
      <w:r>
        <w:rPr>
          <w:rFonts w:ascii="Palatino" w:hAnsi="Palatino"/>
          <w:b/>
          <w:sz w:val="28"/>
        </w:rPr>
        <w:tab/>
      </w:r>
    </w:p>
    <w:p w:rsidR="00FD2111" w:rsidRDefault="00FD2111" w:rsidP="00F24729">
      <w:pPr>
        <w:jc w:val="center"/>
        <w:rPr>
          <w:rFonts w:ascii="Palatino" w:hAnsi="Palatino"/>
          <w:b/>
          <w:sz w:val="24"/>
        </w:rPr>
      </w:pPr>
      <w:r>
        <w:rPr>
          <w:rFonts w:ascii="Palatino" w:hAnsi="Palatino"/>
          <w:b/>
          <w:sz w:val="24"/>
        </w:rPr>
        <w:t>PUBLIC UTILITIES COMMISSION OF THE STATE OF CALIFORNIA</w:t>
      </w:r>
    </w:p>
    <w:p w:rsidR="00FD2111" w:rsidRDefault="00FD2111">
      <w:pPr>
        <w:pStyle w:val="xl28"/>
        <w:spacing w:before="0" w:beforeAutospacing="0" w:after="0" w:afterAutospacing="0"/>
        <w:rPr>
          <w:rFonts w:ascii="Palatino" w:hAnsi="Palatino" w:cs="Times New Roman"/>
          <w:bCs w:val="0"/>
          <w:szCs w:val="20"/>
        </w:rPr>
      </w:pPr>
    </w:p>
    <w:tbl>
      <w:tblPr>
        <w:tblW w:w="0" w:type="auto"/>
        <w:tblLayout w:type="fixed"/>
        <w:tblLook w:val="0000" w:firstRow="0" w:lastRow="0" w:firstColumn="0" w:lastColumn="0" w:noHBand="0" w:noVBand="0"/>
      </w:tblPr>
      <w:tblGrid>
        <w:gridCol w:w="6408"/>
        <w:gridCol w:w="3168"/>
      </w:tblGrid>
      <w:tr w:rsidR="00FD2111">
        <w:tc>
          <w:tcPr>
            <w:tcW w:w="6408" w:type="dxa"/>
          </w:tcPr>
          <w:p w:rsidR="00FD2111" w:rsidRDefault="00FD2111">
            <w:pPr>
              <w:rPr>
                <w:rFonts w:ascii="Palatino" w:hAnsi="Palatino"/>
                <w:b/>
                <w:sz w:val="24"/>
              </w:rPr>
            </w:pPr>
            <w:r>
              <w:rPr>
                <w:rFonts w:ascii="Palatino" w:hAnsi="Palatino"/>
                <w:b/>
                <w:sz w:val="24"/>
              </w:rPr>
              <w:t>Communications Division</w:t>
            </w:r>
          </w:p>
        </w:tc>
        <w:tc>
          <w:tcPr>
            <w:tcW w:w="3168" w:type="dxa"/>
          </w:tcPr>
          <w:p w:rsidR="00FD2111" w:rsidRDefault="00FD2111" w:rsidP="0052308A">
            <w:pPr>
              <w:pStyle w:val="xl24"/>
              <w:spacing w:before="0" w:beforeAutospacing="0" w:after="0" w:afterAutospacing="0"/>
              <w:rPr>
                <w:rFonts w:ascii="Palatino" w:hAnsi="Palatino" w:cs="Times New Roman"/>
                <w:bCs w:val="0"/>
                <w:szCs w:val="20"/>
              </w:rPr>
            </w:pPr>
            <w:r>
              <w:rPr>
                <w:rFonts w:ascii="Palatino" w:hAnsi="Palatino" w:cs="Times New Roman"/>
                <w:bCs w:val="0"/>
                <w:szCs w:val="20"/>
              </w:rPr>
              <w:t>RESOLUTION T- 17</w:t>
            </w:r>
            <w:r w:rsidR="0052308A">
              <w:rPr>
                <w:rFonts w:ascii="Palatino" w:hAnsi="Palatino" w:cs="Times New Roman"/>
                <w:bCs w:val="0"/>
                <w:szCs w:val="20"/>
              </w:rPr>
              <w:t>4</w:t>
            </w:r>
            <w:r w:rsidR="00ED1B43">
              <w:rPr>
                <w:rFonts w:ascii="Palatino" w:hAnsi="Palatino" w:cs="Times New Roman"/>
                <w:bCs w:val="0"/>
                <w:szCs w:val="20"/>
              </w:rPr>
              <w:t>61</w:t>
            </w:r>
          </w:p>
        </w:tc>
      </w:tr>
      <w:tr w:rsidR="00FD2111">
        <w:tc>
          <w:tcPr>
            <w:tcW w:w="6408" w:type="dxa"/>
          </w:tcPr>
          <w:p w:rsidR="00FD2111" w:rsidRDefault="00FD2111">
            <w:pPr>
              <w:tabs>
                <w:tab w:val="left" w:pos="4770"/>
              </w:tabs>
              <w:rPr>
                <w:rFonts w:ascii="Palatino" w:hAnsi="Palatino"/>
                <w:b/>
                <w:sz w:val="24"/>
                <w:szCs w:val="24"/>
              </w:rPr>
            </w:pPr>
            <w:r>
              <w:rPr>
                <w:rFonts w:ascii="Palatino" w:hAnsi="Palatino"/>
                <w:b/>
                <w:sz w:val="24"/>
                <w:szCs w:val="24"/>
              </w:rPr>
              <w:t>Carrier Oversight &amp; Programs Branch</w:t>
            </w:r>
            <w:r>
              <w:rPr>
                <w:rFonts w:ascii="Palatino" w:hAnsi="Palatino"/>
                <w:b/>
                <w:sz w:val="24"/>
                <w:szCs w:val="24"/>
              </w:rPr>
              <w:tab/>
            </w:r>
          </w:p>
        </w:tc>
        <w:tc>
          <w:tcPr>
            <w:tcW w:w="3168" w:type="dxa"/>
          </w:tcPr>
          <w:p w:rsidR="00FD2111" w:rsidRDefault="00C4302C">
            <w:pPr>
              <w:jc w:val="right"/>
              <w:rPr>
                <w:rFonts w:ascii="Palatino" w:hAnsi="Palatino"/>
                <w:b/>
                <w:sz w:val="24"/>
              </w:rPr>
            </w:pPr>
            <w:r>
              <w:rPr>
                <w:rFonts w:ascii="Palatino" w:hAnsi="Palatino"/>
                <w:b/>
                <w:sz w:val="24"/>
              </w:rPr>
              <w:t>January 15</w:t>
            </w:r>
            <w:r w:rsidR="00F345ED">
              <w:rPr>
                <w:rFonts w:ascii="Palatino" w:hAnsi="Palatino"/>
                <w:b/>
                <w:sz w:val="24"/>
              </w:rPr>
              <w:t>,</w:t>
            </w:r>
            <w:r w:rsidR="00FD2111">
              <w:rPr>
                <w:rFonts w:ascii="Palatino" w:hAnsi="Palatino"/>
                <w:b/>
                <w:sz w:val="24"/>
              </w:rPr>
              <w:t xml:space="preserve"> 201</w:t>
            </w:r>
            <w:r>
              <w:rPr>
                <w:rFonts w:ascii="Palatino" w:hAnsi="Palatino"/>
                <w:b/>
                <w:sz w:val="24"/>
              </w:rPr>
              <w:t>5</w:t>
            </w:r>
          </w:p>
        </w:tc>
      </w:tr>
    </w:tbl>
    <w:p w:rsidR="00FD2111" w:rsidRDefault="00FD2111">
      <w:pPr>
        <w:rPr>
          <w:rFonts w:ascii="Palatino" w:hAnsi="Palatino"/>
          <w:sz w:val="24"/>
        </w:rPr>
      </w:pPr>
    </w:p>
    <w:p w:rsidR="00FD2111" w:rsidRDefault="00FD2111">
      <w:pPr>
        <w:rPr>
          <w:rFonts w:ascii="Palatino" w:hAnsi="Palatino"/>
          <w:sz w:val="24"/>
        </w:rPr>
      </w:pPr>
    </w:p>
    <w:p w:rsidR="00FD2111" w:rsidRDefault="00FD2111" w:rsidP="00870167">
      <w:pPr>
        <w:jc w:val="center"/>
        <w:rPr>
          <w:rFonts w:ascii="Palatino" w:hAnsi="Palatino"/>
          <w:sz w:val="24"/>
        </w:rPr>
      </w:pPr>
      <w:r>
        <w:rPr>
          <w:rFonts w:ascii="Palatino" w:hAnsi="Palatino"/>
          <w:b/>
          <w:sz w:val="24"/>
          <w:u w:val="single"/>
        </w:rPr>
        <w:t>R</w:t>
      </w:r>
      <w:r>
        <w:rPr>
          <w:rFonts w:ascii="Palatino" w:hAnsi="Palatino"/>
          <w:sz w:val="24"/>
        </w:rPr>
        <w:t xml:space="preserve"> </w:t>
      </w:r>
      <w:r>
        <w:rPr>
          <w:rFonts w:ascii="Palatino" w:hAnsi="Palatino"/>
          <w:b/>
          <w:sz w:val="24"/>
          <w:u w:val="single"/>
        </w:rPr>
        <w:t>E</w:t>
      </w:r>
      <w:r>
        <w:rPr>
          <w:rFonts w:ascii="Palatino" w:hAnsi="Palatino"/>
          <w:sz w:val="24"/>
        </w:rPr>
        <w:t xml:space="preserve"> </w:t>
      </w:r>
      <w:r>
        <w:rPr>
          <w:rFonts w:ascii="Palatino" w:hAnsi="Palatino"/>
          <w:b/>
          <w:sz w:val="24"/>
          <w:u w:val="single"/>
        </w:rPr>
        <w:t>S</w:t>
      </w:r>
      <w:r>
        <w:rPr>
          <w:rFonts w:ascii="Palatino" w:hAnsi="Palatino"/>
          <w:sz w:val="24"/>
        </w:rPr>
        <w:t xml:space="preserve"> </w:t>
      </w:r>
      <w:r>
        <w:rPr>
          <w:rFonts w:ascii="Palatino" w:hAnsi="Palatino"/>
          <w:b/>
          <w:sz w:val="24"/>
          <w:u w:val="single"/>
        </w:rPr>
        <w:t>O</w:t>
      </w:r>
      <w:r>
        <w:rPr>
          <w:rFonts w:ascii="Palatino" w:hAnsi="Palatino"/>
          <w:sz w:val="24"/>
        </w:rPr>
        <w:t xml:space="preserve"> </w:t>
      </w:r>
      <w:r>
        <w:rPr>
          <w:rFonts w:ascii="Palatino" w:hAnsi="Palatino"/>
          <w:b/>
          <w:sz w:val="24"/>
          <w:u w:val="single"/>
        </w:rPr>
        <w:t>L</w:t>
      </w:r>
      <w:r>
        <w:rPr>
          <w:rFonts w:ascii="Palatino" w:hAnsi="Palatino"/>
          <w:sz w:val="24"/>
        </w:rPr>
        <w:t xml:space="preserve"> </w:t>
      </w:r>
      <w:r>
        <w:rPr>
          <w:rFonts w:ascii="Palatino" w:hAnsi="Palatino"/>
          <w:b/>
          <w:sz w:val="24"/>
          <w:u w:val="single"/>
        </w:rPr>
        <w:t>U</w:t>
      </w:r>
      <w:r>
        <w:rPr>
          <w:rFonts w:ascii="Palatino" w:hAnsi="Palatino"/>
          <w:sz w:val="24"/>
        </w:rPr>
        <w:t xml:space="preserve"> </w:t>
      </w:r>
      <w:r>
        <w:rPr>
          <w:rFonts w:ascii="Palatino" w:hAnsi="Palatino"/>
          <w:b/>
          <w:sz w:val="24"/>
          <w:u w:val="single"/>
        </w:rPr>
        <w:t>T</w:t>
      </w:r>
      <w:r>
        <w:rPr>
          <w:rFonts w:ascii="Palatino" w:hAnsi="Palatino"/>
          <w:sz w:val="24"/>
        </w:rPr>
        <w:t xml:space="preserve"> </w:t>
      </w:r>
      <w:r>
        <w:rPr>
          <w:rFonts w:ascii="Palatino" w:hAnsi="Palatino"/>
          <w:b/>
          <w:sz w:val="24"/>
          <w:u w:val="single"/>
        </w:rPr>
        <w:t>I</w:t>
      </w:r>
      <w:r>
        <w:rPr>
          <w:rFonts w:ascii="Palatino" w:hAnsi="Palatino"/>
          <w:sz w:val="24"/>
        </w:rPr>
        <w:t xml:space="preserve"> </w:t>
      </w:r>
      <w:r>
        <w:rPr>
          <w:rFonts w:ascii="Palatino" w:hAnsi="Palatino"/>
          <w:b/>
          <w:sz w:val="24"/>
          <w:u w:val="single"/>
        </w:rPr>
        <w:t>O</w:t>
      </w:r>
      <w:r>
        <w:rPr>
          <w:rFonts w:ascii="Palatino" w:hAnsi="Palatino"/>
          <w:sz w:val="24"/>
        </w:rPr>
        <w:t xml:space="preserve"> </w:t>
      </w:r>
      <w:r>
        <w:rPr>
          <w:rFonts w:ascii="Palatino" w:hAnsi="Palatino"/>
          <w:b/>
          <w:sz w:val="24"/>
          <w:u w:val="single"/>
        </w:rPr>
        <w:t>N</w:t>
      </w:r>
    </w:p>
    <w:p w:rsidR="00FD2111" w:rsidRDefault="00FD2111">
      <w:pPr>
        <w:rPr>
          <w:rFonts w:ascii="Palatino" w:hAnsi="Palatino"/>
          <w:sz w:val="24"/>
        </w:rPr>
      </w:pPr>
    </w:p>
    <w:p w:rsidR="00FD2111" w:rsidRDefault="00FD2111" w:rsidP="00BB3B39">
      <w:pPr>
        <w:ind w:left="720"/>
        <w:rPr>
          <w:rFonts w:ascii="Palatino" w:hAnsi="Palatino"/>
          <w:b/>
          <w:sz w:val="24"/>
        </w:rPr>
      </w:pPr>
      <w:r>
        <w:rPr>
          <w:rFonts w:ascii="Palatino" w:hAnsi="Palatino"/>
          <w:b/>
          <w:sz w:val="24"/>
        </w:rPr>
        <w:t xml:space="preserve">Resolution </w:t>
      </w:r>
      <w:r w:rsidR="00ED1B43">
        <w:rPr>
          <w:rFonts w:ascii="Palatino" w:hAnsi="Palatino"/>
          <w:b/>
          <w:sz w:val="24"/>
        </w:rPr>
        <w:t>T-17461</w:t>
      </w:r>
      <w:r>
        <w:rPr>
          <w:rFonts w:ascii="Palatino" w:hAnsi="Palatino"/>
          <w:b/>
          <w:sz w:val="24"/>
        </w:rPr>
        <w:t xml:space="preserve">.  </w:t>
      </w:r>
      <w:r w:rsidRPr="00AC3310">
        <w:rPr>
          <w:rFonts w:ascii="Palatino" w:hAnsi="Palatino"/>
          <w:sz w:val="24"/>
        </w:rPr>
        <w:t xml:space="preserve">This Resolution </w:t>
      </w:r>
      <w:r w:rsidR="00BB3B39">
        <w:rPr>
          <w:rFonts w:ascii="Palatino" w:hAnsi="Palatino"/>
          <w:sz w:val="24"/>
        </w:rPr>
        <w:t>A</w:t>
      </w:r>
      <w:r>
        <w:rPr>
          <w:rFonts w:ascii="Palatino" w:hAnsi="Palatino"/>
          <w:sz w:val="24"/>
        </w:rPr>
        <w:t>dopts $3</w:t>
      </w:r>
      <w:r w:rsidR="00D76B07">
        <w:rPr>
          <w:rFonts w:ascii="Palatino" w:hAnsi="Palatino"/>
          <w:sz w:val="24"/>
        </w:rPr>
        <w:t>2.9</w:t>
      </w:r>
      <w:r w:rsidR="00430CC0">
        <w:rPr>
          <w:rFonts w:ascii="Palatino" w:hAnsi="Palatino"/>
          <w:sz w:val="24"/>
        </w:rPr>
        <w:t>95</w:t>
      </w:r>
      <w:r>
        <w:rPr>
          <w:rFonts w:ascii="Palatino" w:hAnsi="Palatino"/>
          <w:sz w:val="24"/>
        </w:rPr>
        <w:t xml:space="preserve"> </w:t>
      </w:r>
      <w:r w:rsidR="00BB3B39">
        <w:rPr>
          <w:rFonts w:ascii="Palatino" w:hAnsi="Palatino"/>
          <w:sz w:val="24"/>
        </w:rPr>
        <w:t>M</w:t>
      </w:r>
      <w:r>
        <w:rPr>
          <w:rFonts w:ascii="Palatino" w:hAnsi="Palatino"/>
          <w:sz w:val="24"/>
        </w:rPr>
        <w:t xml:space="preserve">illion in </w:t>
      </w:r>
      <w:r w:rsidRPr="00AC3310">
        <w:rPr>
          <w:rFonts w:ascii="Palatino" w:hAnsi="Palatino"/>
          <w:sz w:val="24"/>
        </w:rPr>
        <w:t xml:space="preserve">California High Cost Fund-A </w:t>
      </w:r>
      <w:r w:rsidR="00BB3B39">
        <w:rPr>
          <w:rFonts w:ascii="Palatino" w:hAnsi="Palatino"/>
          <w:sz w:val="24"/>
        </w:rPr>
        <w:t>S</w:t>
      </w:r>
      <w:r w:rsidR="00B6027F" w:rsidRPr="00AC3310">
        <w:rPr>
          <w:rFonts w:ascii="Palatino" w:hAnsi="Palatino"/>
          <w:sz w:val="24"/>
        </w:rPr>
        <w:t xml:space="preserve">upport </w:t>
      </w:r>
      <w:r w:rsidR="00BB3B39">
        <w:rPr>
          <w:rFonts w:ascii="Palatino" w:hAnsi="Palatino"/>
          <w:sz w:val="24"/>
        </w:rPr>
        <w:t xml:space="preserve">for </w:t>
      </w:r>
      <w:r w:rsidRPr="00AC3310">
        <w:rPr>
          <w:rFonts w:ascii="Palatino" w:hAnsi="Palatino"/>
          <w:sz w:val="24"/>
        </w:rPr>
        <w:t>Calendar Year 201</w:t>
      </w:r>
      <w:r w:rsidR="00BE4E40">
        <w:rPr>
          <w:rFonts w:ascii="Palatino" w:hAnsi="Palatino"/>
          <w:sz w:val="24"/>
        </w:rPr>
        <w:t>5</w:t>
      </w:r>
      <w:r>
        <w:rPr>
          <w:rFonts w:ascii="Palatino" w:hAnsi="Palatino"/>
          <w:b/>
          <w:sz w:val="24"/>
        </w:rPr>
        <w:t>.</w:t>
      </w:r>
    </w:p>
    <w:p w:rsidR="00FD2111" w:rsidRDefault="00BB3B39">
      <w:pPr>
        <w:ind w:left="720" w:right="720"/>
        <w:rPr>
          <w:rFonts w:ascii="Palatino" w:hAnsi="Palatino"/>
          <w:sz w:val="24"/>
        </w:rPr>
      </w:pPr>
      <w:r>
        <w:rPr>
          <w:rFonts w:ascii="Palatino" w:hAnsi="Palatino"/>
          <w:sz w:val="24"/>
        </w:rPr>
        <w:t>__________________________________________________________________</w:t>
      </w:r>
    </w:p>
    <w:p w:rsidR="00BB3B39" w:rsidRDefault="00BB3B39">
      <w:pPr>
        <w:keepNext/>
        <w:rPr>
          <w:rFonts w:ascii="Palatino" w:hAnsi="Palatino"/>
          <w:b/>
          <w:sz w:val="26"/>
        </w:rPr>
      </w:pPr>
    </w:p>
    <w:p w:rsidR="00FD2111" w:rsidRDefault="00FD2111">
      <w:pPr>
        <w:keepNext/>
        <w:rPr>
          <w:rFonts w:ascii="Palatino" w:hAnsi="Palatino"/>
          <w:b/>
          <w:sz w:val="26"/>
        </w:rPr>
      </w:pPr>
      <w:r>
        <w:rPr>
          <w:rFonts w:ascii="Palatino" w:hAnsi="Palatino"/>
          <w:b/>
          <w:sz w:val="26"/>
        </w:rPr>
        <w:t>Summary</w:t>
      </w:r>
    </w:p>
    <w:p w:rsidR="00FD2111" w:rsidRDefault="00FD2111">
      <w:pPr>
        <w:pStyle w:val="xl41"/>
        <w:keepNext/>
        <w:overflowPunct/>
        <w:autoSpaceDE/>
        <w:autoSpaceDN/>
        <w:adjustRightInd/>
        <w:spacing w:before="0" w:after="0"/>
        <w:textAlignment w:val="auto"/>
        <w:rPr>
          <w:rFonts w:ascii="Palatino" w:hAnsi="Palatino"/>
        </w:rPr>
      </w:pPr>
    </w:p>
    <w:p w:rsidR="00FD2111" w:rsidRDefault="00FD2111" w:rsidP="0025370F">
      <w:pPr>
        <w:pStyle w:val="BodyText"/>
        <w:tabs>
          <w:tab w:val="clear" w:pos="720"/>
        </w:tabs>
        <w:spacing w:after="0"/>
      </w:pPr>
      <w:r>
        <w:t>This Resolution adopts</w:t>
      </w:r>
      <w:r w:rsidR="0025370F">
        <w:t xml:space="preserve"> a total of</w:t>
      </w:r>
      <w:r>
        <w:t xml:space="preserve"> </w:t>
      </w:r>
      <w:r w:rsidR="00BB3B39">
        <w:t>$3</w:t>
      </w:r>
      <w:r w:rsidR="004D74D8">
        <w:t>2.9</w:t>
      </w:r>
      <w:r w:rsidR="00A87F35">
        <w:t>95</w:t>
      </w:r>
      <w:r w:rsidR="00BB3B39">
        <w:t xml:space="preserve"> million</w:t>
      </w:r>
      <w:r w:rsidR="00BB3B39">
        <w:rPr>
          <w:rFonts w:ascii="Arial" w:hAnsi="Arial" w:cs="Arial"/>
          <w:color w:val="000000"/>
        </w:rPr>
        <w:t xml:space="preserve"> </w:t>
      </w:r>
      <w:r w:rsidR="00BB3B39">
        <w:t xml:space="preserve">in </w:t>
      </w:r>
      <w:r>
        <w:t xml:space="preserve">California High Cost Fund-A (CHCF-A) </w:t>
      </w:r>
      <w:r w:rsidR="000C79F1">
        <w:t xml:space="preserve">support for Calendar Year </w:t>
      </w:r>
      <w:r w:rsidR="006E5B04">
        <w:t xml:space="preserve">(CY) </w:t>
      </w:r>
      <w:r w:rsidR="00A64C91">
        <w:t>2015</w:t>
      </w:r>
      <w:r w:rsidR="0025370F">
        <w:t xml:space="preserve"> to be disbursed to the following</w:t>
      </w:r>
      <w:r w:rsidR="008367A7">
        <w:t xml:space="preserve"> ten</w:t>
      </w:r>
      <w:r w:rsidR="0025370F">
        <w:t xml:space="preserve"> Small </w:t>
      </w:r>
      <w:r w:rsidR="00187C31">
        <w:t xml:space="preserve">Incumbent </w:t>
      </w:r>
      <w:r w:rsidR="0025370F">
        <w:t xml:space="preserve">Local Exchange Carriers (Small </w:t>
      </w:r>
      <w:r w:rsidR="00187C31">
        <w:t>I</w:t>
      </w:r>
      <w:r w:rsidR="0025370F">
        <w:t xml:space="preserve">LECs):  1) </w:t>
      </w:r>
      <w:r>
        <w:rPr>
          <w:color w:val="000000"/>
          <w:szCs w:val="24"/>
        </w:rPr>
        <w:t>Calaveras</w:t>
      </w:r>
      <w:r w:rsidR="00BB1DF2">
        <w:rPr>
          <w:color w:val="000000"/>
          <w:szCs w:val="24"/>
        </w:rPr>
        <w:t xml:space="preserve"> Telephone Company</w:t>
      </w:r>
      <w:r w:rsidR="0025370F">
        <w:rPr>
          <w:color w:val="000000"/>
          <w:szCs w:val="24"/>
        </w:rPr>
        <w:t>; 2)</w:t>
      </w:r>
      <w:r>
        <w:rPr>
          <w:color w:val="000000"/>
          <w:szCs w:val="24"/>
        </w:rPr>
        <w:t xml:space="preserve"> Cal-Ore</w:t>
      </w:r>
      <w:r w:rsidR="00BB1DF2">
        <w:rPr>
          <w:color w:val="000000"/>
          <w:szCs w:val="24"/>
        </w:rPr>
        <w:t xml:space="preserve"> Telephone Company</w:t>
      </w:r>
      <w:r w:rsidR="0025370F">
        <w:rPr>
          <w:color w:val="000000"/>
          <w:szCs w:val="24"/>
        </w:rPr>
        <w:t>; 3)</w:t>
      </w:r>
      <w:r>
        <w:rPr>
          <w:color w:val="000000"/>
          <w:szCs w:val="24"/>
        </w:rPr>
        <w:t xml:space="preserve"> Ducor</w:t>
      </w:r>
      <w:r w:rsidR="00BB1DF2">
        <w:rPr>
          <w:color w:val="000000"/>
          <w:szCs w:val="24"/>
        </w:rPr>
        <w:t xml:space="preserve"> Telephone Company</w:t>
      </w:r>
      <w:r w:rsidR="0025370F">
        <w:rPr>
          <w:color w:val="000000"/>
          <w:szCs w:val="24"/>
        </w:rPr>
        <w:t>; 4)</w:t>
      </w:r>
      <w:r>
        <w:rPr>
          <w:color w:val="000000"/>
          <w:szCs w:val="24"/>
        </w:rPr>
        <w:t xml:space="preserve"> </w:t>
      </w:r>
      <w:r>
        <w:t>Foresthil</w:t>
      </w:r>
      <w:r w:rsidR="00E1733B">
        <w:t>l</w:t>
      </w:r>
      <w:r w:rsidR="00BB1DF2">
        <w:t xml:space="preserve"> Telephone Company</w:t>
      </w:r>
      <w:r w:rsidR="0025370F">
        <w:t>; 5)</w:t>
      </w:r>
      <w:r>
        <w:t xml:space="preserve">  Kerman</w:t>
      </w:r>
      <w:r w:rsidR="00BB1DF2">
        <w:t xml:space="preserve"> Telephone Company</w:t>
      </w:r>
      <w:r w:rsidR="0025370F">
        <w:t>; 6)</w:t>
      </w:r>
      <w:r>
        <w:t xml:space="preserve"> Pinnacles</w:t>
      </w:r>
      <w:r w:rsidR="00BB1DF2">
        <w:t xml:space="preserve"> Telephone Company</w:t>
      </w:r>
      <w:r w:rsidR="0025370F">
        <w:t>; 7)</w:t>
      </w:r>
      <w:r>
        <w:t xml:space="preserve"> </w:t>
      </w:r>
      <w:r w:rsidR="00F85FED" w:rsidRPr="00EA40F3">
        <w:t>The</w:t>
      </w:r>
      <w:r w:rsidR="00F85FED">
        <w:t xml:space="preserve"> </w:t>
      </w:r>
      <w:r>
        <w:t>Ponderosa</w:t>
      </w:r>
      <w:r w:rsidR="00BB1DF2">
        <w:t xml:space="preserve"> Telephone Company</w:t>
      </w:r>
      <w:r w:rsidR="0025370F">
        <w:t>; 8)</w:t>
      </w:r>
      <w:r>
        <w:t xml:space="preserve"> Sierra</w:t>
      </w:r>
      <w:r w:rsidR="00BB1DF2">
        <w:t xml:space="preserve"> Telephone Company</w:t>
      </w:r>
      <w:r w:rsidR="0025370F">
        <w:t>; 9)</w:t>
      </w:r>
      <w:r>
        <w:t xml:space="preserve"> Siskiyou</w:t>
      </w:r>
      <w:r w:rsidR="00BB1DF2">
        <w:t xml:space="preserve"> Telephone Company</w:t>
      </w:r>
      <w:r w:rsidR="0025370F">
        <w:t>;</w:t>
      </w:r>
      <w:r>
        <w:t xml:space="preserve"> and </w:t>
      </w:r>
      <w:r w:rsidR="0025370F">
        <w:t xml:space="preserve">10) </w:t>
      </w:r>
      <w:r>
        <w:t>Volcano</w:t>
      </w:r>
      <w:r w:rsidR="00BB1DF2">
        <w:t xml:space="preserve"> Telephone Company</w:t>
      </w:r>
      <w:r>
        <w:t xml:space="preserve">.  </w:t>
      </w:r>
      <w:r w:rsidR="008367A7">
        <w:t xml:space="preserve">The remaining three Small ILECs, </w:t>
      </w:r>
      <w:r>
        <w:t>Happy Valley</w:t>
      </w:r>
      <w:r w:rsidR="00781EA8">
        <w:t xml:space="preserve"> Telephone Company</w:t>
      </w:r>
      <w:r>
        <w:t>, Hornitos</w:t>
      </w:r>
      <w:r w:rsidR="00781EA8">
        <w:t xml:space="preserve"> Telephone Company</w:t>
      </w:r>
      <w:r>
        <w:t>, and Winterhaven</w:t>
      </w:r>
      <w:r w:rsidR="00781EA8">
        <w:t xml:space="preserve"> Telephone Company</w:t>
      </w:r>
      <w:r w:rsidR="00B0683E">
        <w:t xml:space="preserve"> </w:t>
      </w:r>
      <w:r>
        <w:t>d</w:t>
      </w:r>
      <w:r w:rsidR="0052003E">
        <w:t xml:space="preserve">id not request </w:t>
      </w:r>
      <w:r w:rsidR="008367A7">
        <w:t xml:space="preserve">any </w:t>
      </w:r>
      <w:r w:rsidR="0052003E">
        <w:t>CHCF-A support</w:t>
      </w:r>
      <w:r w:rsidR="008367A7">
        <w:t xml:space="preserve"> for CY 2015</w:t>
      </w:r>
      <w:r w:rsidR="0052003E">
        <w:t>.</w:t>
      </w:r>
    </w:p>
    <w:p w:rsidR="00FD2111" w:rsidRPr="006603FC" w:rsidRDefault="00FD2111">
      <w:pPr>
        <w:pStyle w:val="BodyText"/>
        <w:tabs>
          <w:tab w:val="clear" w:pos="720"/>
        </w:tabs>
        <w:spacing w:after="0"/>
      </w:pPr>
    </w:p>
    <w:p w:rsidR="00773439" w:rsidRDefault="00C4302C">
      <w:pPr>
        <w:pStyle w:val="BodyText"/>
        <w:tabs>
          <w:tab w:val="clear" w:pos="720"/>
        </w:tabs>
        <w:spacing w:after="0"/>
      </w:pPr>
      <w:r>
        <w:t>T</w:t>
      </w:r>
      <w:r w:rsidR="00FD2111">
        <w:t xml:space="preserve">able </w:t>
      </w:r>
      <w:r>
        <w:t xml:space="preserve">1 </w:t>
      </w:r>
      <w:r w:rsidR="0025370F">
        <w:t xml:space="preserve">provides </w:t>
      </w:r>
      <w:r w:rsidR="00E01214">
        <w:t xml:space="preserve">monthly and </w:t>
      </w:r>
      <w:r w:rsidR="00A3669D">
        <w:t>y</w:t>
      </w:r>
      <w:r w:rsidR="00FD2111">
        <w:t xml:space="preserve">early CHCF-A support </w:t>
      </w:r>
      <w:r w:rsidR="0025370F">
        <w:t xml:space="preserve">amounts that are </w:t>
      </w:r>
      <w:r w:rsidR="00FD2111">
        <w:t xml:space="preserve">authorized by this Resolution for the </w:t>
      </w:r>
      <w:r w:rsidR="00B6027F">
        <w:t xml:space="preserve">ten </w:t>
      </w:r>
      <w:r w:rsidR="00FD2111">
        <w:t>Small</w:t>
      </w:r>
      <w:r w:rsidR="00CC4F3E">
        <w:t xml:space="preserve"> ILEC</w:t>
      </w:r>
      <w:r w:rsidR="00FD2111">
        <w:t xml:space="preserve">s that requested </w:t>
      </w:r>
      <w:r w:rsidR="004C3A00">
        <w:t>CHCF-A</w:t>
      </w:r>
      <w:r w:rsidR="0025370F">
        <w:t xml:space="preserve"> </w:t>
      </w:r>
      <w:r w:rsidR="00FD2111">
        <w:t>support</w:t>
      </w:r>
      <w:r w:rsidR="00E01214">
        <w:t xml:space="preserve"> for </w:t>
      </w:r>
      <w:r w:rsidR="006E5B04">
        <w:t xml:space="preserve">CY </w:t>
      </w:r>
      <w:r w:rsidR="00A64C91">
        <w:t>2015</w:t>
      </w:r>
      <w:r w:rsidR="00896C35">
        <w:t>:</w:t>
      </w:r>
    </w:p>
    <w:p w:rsidR="0052003E" w:rsidRPr="006603FC" w:rsidRDefault="0052003E">
      <w:pPr>
        <w:pStyle w:val="BodyText"/>
        <w:tabs>
          <w:tab w:val="clear" w:pos="720"/>
        </w:tabs>
        <w:spacing w:after="0"/>
        <w:rPr>
          <w:sz w:val="14"/>
        </w:rPr>
      </w:pPr>
    </w:p>
    <w:p w:rsidR="00FD2111" w:rsidRDefault="001175B1" w:rsidP="002C4A18">
      <w:pPr>
        <w:pStyle w:val="BodyText"/>
        <w:tabs>
          <w:tab w:val="clear" w:pos="720"/>
        </w:tabs>
        <w:spacing w:after="0"/>
        <w:jc w:val="center"/>
      </w:pPr>
      <w:r w:rsidRPr="001175B1">
        <w:rPr>
          <w:noProof/>
        </w:rPr>
        <w:lastRenderedPageBreak/>
        <w:drawing>
          <wp:inline distT="0" distB="0" distL="0" distR="0" wp14:anchorId="11FA82D4" wp14:editId="5279B0C4">
            <wp:extent cx="553021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0215" cy="2787015"/>
                    </a:xfrm>
                    <a:prstGeom prst="rect">
                      <a:avLst/>
                    </a:prstGeom>
                    <a:noFill/>
                    <a:ln>
                      <a:noFill/>
                    </a:ln>
                  </pic:spPr>
                </pic:pic>
              </a:graphicData>
            </a:graphic>
          </wp:inline>
        </w:drawing>
      </w:r>
    </w:p>
    <w:p w:rsidR="008367A7" w:rsidRDefault="008367A7" w:rsidP="0025370F">
      <w:pPr>
        <w:pStyle w:val="BodyText"/>
        <w:tabs>
          <w:tab w:val="clear" w:pos="720"/>
          <w:tab w:val="left" w:pos="0"/>
          <w:tab w:val="left" w:pos="1080"/>
        </w:tabs>
        <w:spacing w:after="0"/>
      </w:pPr>
    </w:p>
    <w:p w:rsidR="00FD2111" w:rsidRDefault="00FD2111" w:rsidP="0025370F">
      <w:pPr>
        <w:pStyle w:val="BodyText"/>
        <w:tabs>
          <w:tab w:val="clear" w:pos="720"/>
          <w:tab w:val="left" w:pos="0"/>
          <w:tab w:val="left" w:pos="1080"/>
        </w:tabs>
        <w:spacing w:after="0"/>
      </w:pPr>
      <w:r>
        <w:t xml:space="preserve">This Resolution directs the Communications Division (CD) in concert with the Administrative Services Division (ASD) to </w:t>
      </w:r>
      <w:r w:rsidR="0025370F">
        <w:t xml:space="preserve">issue the </w:t>
      </w:r>
      <w:r w:rsidR="00E01214">
        <w:t xml:space="preserve">authorized </w:t>
      </w:r>
      <w:r w:rsidR="0025370F">
        <w:t xml:space="preserve">support payments to each of </w:t>
      </w:r>
      <w:r>
        <w:t xml:space="preserve">Small </w:t>
      </w:r>
      <w:r w:rsidR="00CC4F3E">
        <w:t>ILEC</w:t>
      </w:r>
      <w:r>
        <w:t xml:space="preserve">s </w:t>
      </w:r>
      <w:r w:rsidR="0025370F">
        <w:t>on a monthly basis</w:t>
      </w:r>
      <w:r>
        <w:t xml:space="preserve"> within 30 days after the close of each calendar month.  The </w:t>
      </w:r>
      <w:r w:rsidR="00A64C91">
        <w:t>CY 2015</w:t>
      </w:r>
      <w:r w:rsidR="006E5B04">
        <w:t xml:space="preserve"> </w:t>
      </w:r>
      <w:r w:rsidR="0025370F">
        <w:t>support payments are</w:t>
      </w:r>
      <w:r>
        <w:t xml:space="preserve"> contingent on the availability of funds </w:t>
      </w:r>
      <w:r w:rsidR="00393432">
        <w:t>and</w:t>
      </w:r>
      <w:r>
        <w:t xml:space="preserve"> </w:t>
      </w:r>
      <w:r w:rsidR="00393432">
        <w:t xml:space="preserve">the </w:t>
      </w:r>
      <w:r>
        <w:t xml:space="preserve">State adoption of the </w:t>
      </w:r>
      <w:r w:rsidR="006C7972">
        <w:t xml:space="preserve">CHCF-A program </w:t>
      </w:r>
      <w:r>
        <w:t>budgets covering the payment</w:t>
      </w:r>
      <w:r w:rsidR="006A1023">
        <w:t>s</w:t>
      </w:r>
      <w:r>
        <w:t xml:space="preserve"> </w:t>
      </w:r>
      <w:r w:rsidR="00CF5C38">
        <w:t xml:space="preserve">authorized for </w:t>
      </w:r>
      <w:r w:rsidR="005F4906">
        <w:t>CY 2015</w:t>
      </w:r>
      <w:r>
        <w:t xml:space="preserve"> CHCF-A support</w:t>
      </w:r>
      <w:r w:rsidR="008367A7">
        <w:t xml:space="preserve"> in this Resolution</w:t>
      </w:r>
      <w:r>
        <w:t xml:space="preserve">. </w:t>
      </w:r>
    </w:p>
    <w:p w:rsidR="00FD2111" w:rsidRDefault="00FD2111">
      <w:pPr>
        <w:pStyle w:val="BodyText"/>
        <w:tabs>
          <w:tab w:val="clear" w:pos="720"/>
          <w:tab w:val="left" w:pos="0"/>
          <w:tab w:val="left" w:pos="1080"/>
        </w:tabs>
        <w:spacing w:after="0"/>
      </w:pPr>
    </w:p>
    <w:p w:rsidR="00FD2111" w:rsidRDefault="00FD2111">
      <w:pPr>
        <w:pStyle w:val="Heading1"/>
        <w:rPr>
          <w:sz w:val="26"/>
          <w:u w:val="none"/>
        </w:rPr>
      </w:pPr>
      <w:r>
        <w:rPr>
          <w:sz w:val="26"/>
          <w:u w:val="none"/>
        </w:rPr>
        <w:t>Background</w:t>
      </w:r>
    </w:p>
    <w:p w:rsidR="00FD2111" w:rsidRDefault="00FD2111">
      <w:pPr>
        <w:rPr>
          <w:rFonts w:ascii="Palatino" w:hAnsi="Palatino"/>
          <w:sz w:val="24"/>
        </w:rPr>
      </w:pPr>
    </w:p>
    <w:p w:rsidR="00FD2111" w:rsidRDefault="00FD2111" w:rsidP="006A1023">
      <w:pPr>
        <w:rPr>
          <w:rFonts w:ascii="Palatino" w:hAnsi="Palatino"/>
          <w:sz w:val="24"/>
        </w:rPr>
      </w:pPr>
      <w:r>
        <w:rPr>
          <w:rFonts w:ascii="Palatino" w:hAnsi="Palatino"/>
          <w:sz w:val="24"/>
        </w:rPr>
        <w:t xml:space="preserve">The California High Cost Fund (HCF) was </w:t>
      </w:r>
      <w:r w:rsidR="008367A7">
        <w:rPr>
          <w:rFonts w:ascii="Palatino" w:hAnsi="Palatino"/>
          <w:sz w:val="24"/>
        </w:rPr>
        <w:t xml:space="preserve">originally established in </w:t>
      </w:r>
      <w:r>
        <w:rPr>
          <w:rFonts w:ascii="Palatino" w:hAnsi="Palatino"/>
          <w:sz w:val="24"/>
        </w:rPr>
        <w:t xml:space="preserve">Decision (D.) 88-07-022, </w:t>
      </w:r>
      <w:r w:rsidR="00055DA6">
        <w:rPr>
          <w:rFonts w:ascii="Palatino" w:hAnsi="Palatino"/>
          <w:sz w:val="24"/>
        </w:rPr>
        <w:t xml:space="preserve">and </w:t>
      </w:r>
      <w:r w:rsidR="008367A7">
        <w:rPr>
          <w:rFonts w:ascii="Palatino" w:hAnsi="Palatino"/>
          <w:sz w:val="24"/>
        </w:rPr>
        <w:t xml:space="preserve">subsequently </w:t>
      </w:r>
      <w:r>
        <w:rPr>
          <w:rFonts w:ascii="Palatino" w:hAnsi="Palatino"/>
          <w:sz w:val="24"/>
        </w:rPr>
        <w:t xml:space="preserve">modified </w:t>
      </w:r>
      <w:r w:rsidR="008367A7">
        <w:rPr>
          <w:rFonts w:ascii="Palatino" w:hAnsi="Palatino"/>
          <w:sz w:val="24"/>
        </w:rPr>
        <w:t>in</w:t>
      </w:r>
      <w:r>
        <w:rPr>
          <w:rFonts w:ascii="Palatino" w:hAnsi="Palatino"/>
          <w:sz w:val="24"/>
        </w:rPr>
        <w:t xml:space="preserve"> D.91-05-016 and D.91-09-042, to provide a source of supplemental revenues to three mid-size and seventeen Small </w:t>
      </w:r>
      <w:r w:rsidR="00CC4F3E">
        <w:rPr>
          <w:rFonts w:ascii="Palatino" w:hAnsi="Palatino"/>
          <w:sz w:val="24"/>
        </w:rPr>
        <w:t>ILEC</w:t>
      </w:r>
      <w:r>
        <w:rPr>
          <w:rFonts w:ascii="Palatino" w:hAnsi="Palatino"/>
          <w:sz w:val="24"/>
        </w:rPr>
        <w:t xml:space="preserve">s whose basic exchange access line service rates would otherwise be increased to levels that would threaten universal service.  These decisions </w:t>
      </w:r>
      <w:r w:rsidR="008367A7">
        <w:rPr>
          <w:rFonts w:ascii="Palatino" w:hAnsi="Palatino"/>
          <w:sz w:val="24"/>
        </w:rPr>
        <w:t xml:space="preserve">adopted </w:t>
      </w:r>
      <w:r>
        <w:rPr>
          <w:rFonts w:ascii="Palatino" w:hAnsi="Palatino"/>
          <w:sz w:val="24"/>
        </w:rPr>
        <w:t xml:space="preserve">program </w:t>
      </w:r>
      <w:r w:rsidR="008367A7">
        <w:rPr>
          <w:rFonts w:ascii="Palatino" w:hAnsi="Palatino"/>
          <w:sz w:val="24"/>
        </w:rPr>
        <w:t xml:space="preserve">rules and </w:t>
      </w:r>
      <w:r>
        <w:rPr>
          <w:rFonts w:ascii="Palatino" w:hAnsi="Palatino"/>
          <w:sz w:val="24"/>
        </w:rPr>
        <w:t xml:space="preserve">guidelines, </w:t>
      </w:r>
      <w:r w:rsidR="008367A7">
        <w:rPr>
          <w:rFonts w:ascii="Palatino" w:hAnsi="Palatino"/>
          <w:sz w:val="24"/>
        </w:rPr>
        <w:t xml:space="preserve">and appointed </w:t>
      </w:r>
      <w:r>
        <w:rPr>
          <w:rFonts w:ascii="Palatino" w:hAnsi="Palatino"/>
          <w:sz w:val="24"/>
        </w:rPr>
        <w:t>Pacific Bell as the administrator of the fund.</w:t>
      </w:r>
    </w:p>
    <w:p w:rsidR="00FD2111" w:rsidRDefault="00FD2111">
      <w:pPr>
        <w:rPr>
          <w:rFonts w:ascii="Palatino" w:hAnsi="Palatino"/>
          <w:sz w:val="24"/>
        </w:rPr>
      </w:pPr>
    </w:p>
    <w:p w:rsidR="00FD2111" w:rsidRDefault="00FD2111">
      <w:pPr>
        <w:rPr>
          <w:rFonts w:ascii="Palatino" w:hAnsi="Palatino"/>
          <w:sz w:val="24"/>
        </w:rPr>
      </w:pPr>
      <w:r>
        <w:rPr>
          <w:rFonts w:ascii="Palatino" w:hAnsi="Palatino"/>
          <w:sz w:val="24"/>
        </w:rPr>
        <w:t xml:space="preserve">In D.96-10-066, the </w:t>
      </w:r>
      <w:r w:rsidR="00393432">
        <w:rPr>
          <w:rFonts w:ascii="Palatino" w:hAnsi="Palatino"/>
          <w:sz w:val="24"/>
        </w:rPr>
        <w:t>California Public Utilities Commission (</w:t>
      </w:r>
      <w:r>
        <w:rPr>
          <w:rFonts w:ascii="Palatino" w:hAnsi="Palatino"/>
          <w:sz w:val="24"/>
        </w:rPr>
        <w:t>Commission</w:t>
      </w:r>
      <w:r w:rsidR="00393432">
        <w:rPr>
          <w:rFonts w:ascii="Palatino" w:hAnsi="Palatino"/>
          <w:sz w:val="24"/>
        </w:rPr>
        <w:t>)</w:t>
      </w:r>
      <w:r>
        <w:rPr>
          <w:rFonts w:ascii="Palatino" w:hAnsi="Palatino"/>
          <w:sz w:val="24"/>
        </w:rPr>
        <w:t xml:space="preserve"> changed the name of HCF to CHCF-A, and also created the California High Cost Fund-B (CHCF-B).  This decision included Pacific Bell (now AT&amp;T), GTE California Incorporated (now Verizon)</w:t>
      </w:r>
      <w:bookmarkStart w:id="1" w:name="_Ref349137680"/>
      <w:r w:rsidR="00527241">
        <w:rPr>
          <w:rFonts w:ascii="Palatino" w:hAnsi="Palatino"/>
          <w:sz w:val="24"/>
        </w:rPr>
        <w:t>,</w:t>
      </w:r>
      <w:r>
        <w:rPr>
          <w:rStyle w:val="FootnoteReference"/>
          <w:rFonts w:ascii="Palatino" w:hAnsi="Palatino"/>
          <w:sz w:val="24"/>
        </w:rPr>
        <w:footnoteReference w:id="1"/>
      </w:r>
      <w:bookmarkEnd w:id="1"/>
      <w:r>
        <w:rPr>
          <w:rFonts w:ascii="Palatino" w:hAnsi="Palatino"/>
          <w:sz w:val="24"/>
        </w:rPr>
        <w:t xml:space="preserve"> Roseville Telephone Company (now SureWest), and Citizens Telecommunications Company of California (now Frontier) in the CHCF-B for the purpose of determining universal service subsidy support and continued to maintain the CHCF-A for the 17 Small </w:t>
      </w:r>
      <w:r w:rsidR="00CC4F3E">
        <w:rPr>
          <w:rFonts w:ascii="Palatino" w:hAnsi="Palatino"/>
          <w:sz w:val="24"/>
        </w:rPr>
        <w:t>ILEC</w:t>
      </w:r>
      <w:r>
        <w:rPr>
          <w:rFonts w:ascii="Palatino" w:hAnsi="Palatino"/>
          <w:sz w:val="24"/>
        </w:rPr>
        <w:t>s. This decision also directed the Commission to take over the administration of the CHCF-A from Pacific Bell.</w:t>
      </w:r>
    </w:p>
    <w:p w:rsidR="00FD2111" w:rsidRDefault="00FD2111">
      <w:pPr>
        <w:rPr>
          <w:rFonts w:ascii="Palatino" w:hAnsi="Palatino"/>
          <w:sz w:val="24"/>
        </w:rPr>
      </w:pPr>
    </w:p>
    <w:p w:rsidR="00FD2111" w:rsidRDefault="00FD2111">
      <w:pPr>
        <w:rPr>
          <w:rFonts w:ascii="Palatino" w:hAnsi="Palatino"/>
          <w:sz w:val="24"/>
        </w:rPr>
      </w:pPr>
      <w:r>
        <w:rPr>
          <w:rFonts w:ascii="Palatino" w:hAnsi="Palatino"/>
          <w:sz w:val="24"/>
        </w:rPr>
        <w:lastRenderedPageBreak/>
        <w:t xml:space="preserve">In Resolution T-16092, the Commission approved the transfer of administrative control of the CHCF-A from Pacific Bell to the Commission effective January 1, 1998.  In D.98-06-065, the Commission renamed the </w:t>
      </w:r>
      <w:r w:rsidR="004A5CE2">
        <w:rPr>
          <w:rFonts w:ascii="Palatino" w:hAnsi="Palatino"/>
          <w:sz w:val="24"/>
        </w:rPr>
        <w:t xml:space="preserve">advisory </w:t>
      </w:r>
      <w:r>
        <w:rPr>
          <w:rFonts w:ascii="Palatino" w:hAnsi="Palatino"/>
          <w:sz w:val="24"/>
        </w:rPr>
        <w:t>committee as California High Cost Fund-A A</w:t>
      </w:r>
      <w:r w:rsidR="00EC124F">
        <w:rPr>
          <w:rFonts w:ascii="Palatino" w:hAnsi="Palatino"/>
          <w:sz w:val="24"/>
        </w:rPr>
        <w:t xml:space="preserve">dministrative </w:t>
      </w:r>
      <w:r>
        <w:rPr>
          <w:rFonts w:ascii="Palatino" w:hAnsi="Palatino"/>
          <w:sz w:val="24"/>
        </w:rPr>
        <w:t>C</w:t>
      </w:r>
      <w:r w:rsidR="00EC124F">
        <w:rPr>
          <w:rFonts w:ascii="Palatino" w:hAnsi="Palatino"/>
          <w:sz w:val="24"/>
        </w:rPr>
        <w:t>ommittee (AC)</w:t>
      </w:r>
      <w:r>
        <w:rPr>
          <w:rFonts w:ascii="Palatino" w:hAnsi="Palatino"/>
          <w:sz w:val="24"/>
        </w:rPr>
        <w:t xml:space="preserve"> and revised the governance of the CHCF-A consistent with </w:t>
      </w:r>
      <w:r w:rsidR="001E3A88">
        <w:rPr>
          <w:rFonts w:ascii="Palatino" w:hAnsi="Palatino"/>
          <w:sz w:val="24"/>
        </w:rPr>
        <w:t>s</w:t>
      </w:r>
      <w:r>
        <w:rPr>
          <w:rFonts w:ascii="Palatino" w:hAnsi="Palatino"/>
          <w:sz w:val="24"/>
        </w:rPr>
        <w:t xml:space="preserve">tate </w:t>
      </w:r>
      <w:r w:rsidR="001E3A88">
        <w:rPr>
          <w:rFonts w:ascii="Palatino" w:hAnsi="Palatino"/>
          <w:sz w:val="24"/>
        </w:rPr>
        <w:t>law</w:t>
      </w:r>
      <w:r>
        <w:rPr>
          <w:rFonts w:ascii="Palatino" w:hAnsi="Palatino"/>
          <w:sz w:val="24"/>
        </w:rPr>
        <w:t>.</w:t>
      </w:r>
      <w:r w:rsidR="001E3A88">
        <w:rPr>
          <w:rFonts w:ascii="Palatino" w:hAnsi="Palatino"/>
          <w:sz w:val="24"/>
        </w:rPr>
        <w:t xml:space="preserve"> </w:t>
      </w:r>
      <w:r w:rsidR="001E3A88">
        <w:rPr>
          <w:rStyle w:val="FootnoteReference"/>
          <w:rFonts w:ascii="Palatino" w:hAnsi="Palatino"/>
          <w:sz w:val="24"/>
        </w:rPr>
        <w:footnoteReference w:id="2"/>
      </w:r>
    </w:p>
    <w:p w:rsidR="00FD2111" w:rsidRDefault="00FD2111">
      <w:pPr>
        <w:pStyle w:val="xl41"/>
        <w:overflowPunct/>
        <w:autoSpaceDE/>
        <w:autoSpaceDN/>
        <w:adjustRightInd/>
        <w:spacing w:before="0" w:after="0"/>
        <w:textAlignment w:val="auto"/>
        <w:rPr>
          <w:rFonts w:ascii="Palatino" w:hAnsi="Palatino"/>
        </w:rPr>
      </w:pPr>
    </w:p>
    <w:p w:rsidR="00055DA6" w:rsidRDefault="00FD2111" w:rsidP="00055DA6">
      <w:pPr>
        <w:pStyle w:val="BodyText"/>
        <w:tabs>
          <w:tab w:val="clear" w:pos="720"/>
        </w:tabs>
        <w:spacing w:after="0"/>
      </w:pPr>
      <w:r>
        <w:t>In October 1999, Public Utilities (P</w:t>
      </w:r>
      <w:r w:rsidR="00ED19E7">
        <w:t>.</w:t>
      </w:r>
      <w:r>
        <w:t>U</w:t>
      </w:r>
      <w:r w:rsidR="00ED19E7">
        <w:t>.</w:t>
      </w:r>
      <w:r>
        <w:t xml:space="preserve">) Code §§ 270-281 were codified </w:t>
      </w:r>
      <w:r w:rsidR="00055DA6">
        <w:t xml:space="preserve">pursuant to </w:t>
      </w:r>
      <w:r>
        <w:t xml:space="preserve">the enactment of Senate Bill (SB) 669 (Stats. 1999, Chapter 677).  Section 270(b) requires that the monies in the CHCF-A be expended pursuant to §§ 270-281 and upon appropriation in the annual </w:t>
      </w:r>
      <w:r w:rsidR="00EC124F">
        <w:t xml:space="preserve">state </w:t>
      </w:r>
      <w:r>
        <w:t xml:space="preserve">Budget Act.  Since Fiscal Year (FY) 2001-02, the CHCF-A </w:t>
      </w:r>
      <w:r w:rsidR="00F55C78">
        <w:t>f</w:t>
      </w:r>
      <w:r>
        <w:t xml:space="preserve">und expenditures have been authorized </w:t>
      </w:r>
      <w:r w:rsidR="00055DA6">
        <w:t xml:space="preserve">through </w:t>
      </w:r>
      <w:r>
        <w:t xml:space="preserve">the </w:t>
      </w:r>
      <w:r w:rsidR="00416AA6">
        <w:t>s</w:t>
      </w:r>
      <w:r>
        <w:t>tate’s Annual Budget Act.</w:t>
      </w:r>
      <w:r w:rsidR="00055DA6">
        <w:t xml:space="preserve">  P</w:t>
      </w:r>
      <w:r w:rsidR="00ED19E7">
        <w:t>.</w:t>
      </w:r>
      <w:r w:rsidR="00055DA6">
        <w:t>U</w:t>
      </w:r>
      <w:r w:rsidR="00ED19E7">
        <w:t>.</w:t>
      </w:r>
      <w:r w:rsidR="00055DA6">
        <w:t xml:space="preserve"> Code § 275.6 requires the Commission to implement </w:t>
      </w:r>
      <w:r w:rsidR="00416AA6">
        <w:t xml:space="preserve">the CHCF-A </w:t>
      </w:r>
      <w:r w:rsidR="00055DA6">
        <w:t xml:space="preserve">program to reduce any rate disparity in rural areas charged by </w:t>
      </w:r>
      <w:r w:rsidR="00574C5B">
        <w:t xml:space="preserve">small </w:t>
      </w:r>
      <w:r w:rsidR="00055DA6">
        <w:t>telephone corporations that are subject to rate-of-return regulation</w:t>
      </w:r>
      <w:r w:rsidR="00330A62">
        <w:t xml:space="preserve">.  The </w:t>
      </w:r>
      <w:r w:rsidR="00CF4651">
        <w:t xml:space="preserve">CHCF-A program is scheduled to sunset on January 1, 2019. </w:t>
      </w:r>
      <w:r w:rsidR="00CF4651">
        <w:rPr>
          <w:rStyle w:val="FootnoteReference"/>
        </w:rPr>
        <w:footnoteReference w:id="3"/>
      </w:r>
      <w:r w:rsidR="00574C5B">
        <w:t xml:space="preserve">    </w:t>
      </w:r>
      <w:r w:rsidR="00055DA6">
        <w:t xml:space="preserve">  </w:t>
      </w:r>
    </w:p>
    <w:p w:rsidR="00EC124F" w:rsidRDefault="00EC124F" w:rsidP="00055DA6">
      <w:pPr>
        <w:pStyle w:val="BodyText"/>
        <w:tabs>
          <w:tab w:val="clear" w:pos="720"/>
        </w:tabs>
        <w:spacing w:after="0"/>
      </w:pPr>
    </w:p>
    <w:p w:rsidR="00AE5F55" w:rsidRDefault="00FD2111">
      <w:pPr>
        <w:pStyle w:val="BodyText"/>
        <w:tabs>
          <w:tab w:val="clear" w:pos="720"/>
        </w:tabs>
        <w:spacing w:after="0"/>
      </w:pPr>
      <w:r>
        <w:t xml:space="preserve">In D.08-10-010, the Commission authorized the consolidation of three Small </w:t>
      </w:r>
      <w:r w:rsidR="00CC4F3E">
        <w:t>ILEC</w:t>
      </w:r>
      <w:r>
        <w:t xml:space="preserve">s: Citizens Telecommunications Company of Tuolumne, Citizens Telecommunications Company of the Golden State and Global Valley Networks, Inc. with the midsize ILEC of Citizens Telecommunications Company of California Inc., which is now known as Frontier </w:t>
      </w:r>
      <w:r w:rsidR="00107478">
        <w:t xml:space="preserve">Communications, </w:t>
      </w:r>
      <w:r>
        <w:t xml:space="preserve">and subject to the </w:t>
      </w:r>
      <w:r w:rsidR="00836429">
        <w:t>CHCF</w:t>
      </w:r>
      <w:r>
        <w:t>-B</w:t>
      </w:r>
      <w:r w:rsidR="00107478">
        <w:t xml:space="preserve"> Fund</w:t>
      </w:r>
      <w:r>
        <w:t xml:space="preserve">.  </w:t>
      </w:r>
      <w:r w:rsidR="00574C5B">
        <w:t xml:space="preserve">This </w:t>
      </w:r>
      <w:r>
        <w:t>consolidation reduc</w:t>
      </w:r>
      <w:r w:rsidR="00574C5B">
        <w:t>ed</w:t>
      </w:r>
      <w:r>
        <w:t xml:space="preserve"> the total number of Small </w:t>
      </w:r>
      <w:r w:rsidR="00CC4F3E">
        <w:t>ILEC</w:t>
      </w:r>
      <w:r>
        <w:t>s eligible for CHCF-A support from 17 to 14.</w:t>
      </w:r>
      <w:r w:rsidR="00BB23A8">
        <w:t xml:space="preserve"> </w:t>
      </w:r>
      <w:r w:rsidR="00527241">
        <w:t>A</w:t>
      </w:r>
      <w:r w:rsidR="00335B0E">
        <w:t>ddition</w:t>
      </w:r>
      <w:r w:rsidR="00527241">
        <w:t>ally</w:t>
      </w:r>
      <w:r w:rsidR="00AE5F55" w:rsidRPr="00AE5F55">
        <w:t xml:space="preserve">, D.13-05-028 authorized </w:t>
      </w:r>
      <w:r w:rsidR="00DC0AC3">
        <w:t>the</w:t>
      </w:r>
      <w:r w:rsidR="00AE5F55" w:rsidRPr="00AE5F55">
        <w:t xml:space="preserve"> consolidation of Frontier Communications West Coast Inc. into Citizens Telecommunications Company of California Inc. </w:t>
      </w:r>
      <w:r w:rsidR="00BB23A8">
        <w:t>(</w:t>
      </w:r>
      <w:r w:rsidR="00AE5F55" w:rsidRPr="00AE5F55">
        <w:t>doing business as Frontier Communications of California</w:t>
      </w:r>
      <w:r w:rsidR="00BB23A8">
        <w:t>)</w:t>
      </w:r>
      <w:r w:rsidR="00527241">
        <w:t>,</w:t>
      </w:r>
      <w:r w:rsidR="00DC0AC3">
        <w:t xml:space="preserve"> reduc</w:t>
      </w:r>
      <w:r w:rsidR="00527241">
        <w:t>ing</w:t>
      </w:r>
      <w:r w:rsidR="00DC0AC3">
        <w:t xml:space="preserve"> the number of Small ILECs from 14 to 13</w:t>
      </w:r>
      <w:r w:rsidR="00AE5F55" w:rsidRPr="00AE5F55">
        <w:t xml:space="preserve">. </w:t>
      </w:r>
      <w:r w:rsidR="00DC0AC3">
        <w:t xml:space="preserve"> </w:t>
      </w:r>
      <w:r w:rsidR="00AE5F55" w:rsidRPr="00AE5F55">
        <w:t xml:space="preserve">Accordingly, 13 </w:t>
      </w:r>
      <w:r w:rsidR="00F30FF6">
        <w:t>S</w:t>
      </w:r>
      <w:r w:rsidR="00AE5F55" w:rsidRPr="00AE5F55">
        <w:t xml:space="preserve">mall ILECs </w:t>
      </w:r>
      <w:r w:rsidR="00527241" w:rsidRPr="00AE5F55">
        <w:t xml:space="preserve">now provide service in rural areas of California </w:t>
      </w:r>
      <w:r w:rsidR="00527241">
        <w:t xml:space="preserve">and </w:t>
      </w:r>
      <w:r w:rsidR="00AE5F55" w:rsidRPr="00AE5F55">
        <w:t>are eligible for CHCF-A funding.</w:t>
      </w:r>
    </w:p>
    <w:p w:rsidR="00FD2111" w:rsidRDefault="00FD2111">
      <w:pPr>
        <w:pStyle w:val="BodyText"/>
        <w:tabs>
          <w:tab w:val="clear" w:pos="720"/>
        </w:tabs>
        <w:spacing w:after="0"/>
      </w:pPr>
    </w:p>
    <w:p w:rsidR="00FD2111" w:rsidRDefault="00FD2111">
      <w:pPr>
        <w:pStyle w:val="BodyText"/>
        <w:tabs>
          <w:tab w:val="clear" w:pos="720"/>
        </w:tabs>
        <w:spacing w:after="0"/>
      </w:pPr>
      <w:r>
        <w:t xml:space="preserve">In D.10-02-016, the Commission reaffirmed that </w:t>
      </w:r>
      <w:r w:rsidR="00BB23A8">
        <w:t xml:space="preserve">a </w:t>
      </w:r>
      <w:r>
        <w:t xml:space="preserve">150% differential between Small </w:t>
      </w:r>
      <w:r w:rsidR="00CC4F3E">
        <w:t>ILEC</w:t>
      </w:r>
      <w:r>
        <w:t xml:space="preserve">s rates and California urban rates is a threshold that must be met in order to qualify for CHCF-A funding.  The Commission also </w:t>
      </w:r>
      <w:r w:rsidR="00B04DD7">
        <w:t xml:space="preserve">fixed </w:t>
      </w:r>
      <w:r>
        <w:t xml:space="preserve">the Small </w:t>
      </w:r>
      <w:r w:rsidR="00CC4F3E">
        <w:t>ILEC</w:t>
      </w:r>
      <w:r>
        <w:t>s</w:t>
      </w:r>
      <w:r w:rsidR="002576DA">
        <w:t>’ basic service</w:t>
      </w:r>
      <w:r>
        <w:t xml:space="preserve"> rate</w:t>
      </w:r>
      <w:r w:rsidR="002576DA">
        <w:t>, at</w:t>
      </w:r>
      <w:r>
        <w:t xml:space="preserve"> $20.25 per month</w:t>
      </w:r>
      <w:r w:rsidR="00527241">
        <w:t>,</w:t>
      </w:r>
      <w:r>
        <w:t xml:space="preserve"> and </w:t>
      </w:r>
      <w:r w:rsidR="002576DA">
        <w:t xml:space="preserve">held </w:t>
      </w:r>
      <w:r>
        <w:t xml:space="preserve">that the rate </w:t>
      </w:r>
      <w:r w:rsidR="002576DA">
        <w:t xml:space="preserve">would </w:t>
      </w:r>
      <w:r>
        <w:t xml:space="preserve">remain in effect until the Commission </w:t>
      </w:r>
      <w:r w:rsidR="002576DA">
        <w:t xml:space="preserve">changes the rate in the </w:t>
      </w:r>
      <w:r>
        <w:t>CHCF-A Order Instituting Rulemaking</w:t>
      </w:r>
      <w:r w:rsidR="00C4302C">
        <w:t xml:space="preserve"> (R.) 11-11-</w:t>
      </w:r>
      <w:r w:rsidR="00C4302C" w:rsidRPr="004D12EE">
        <w:t>007</w:t>
      </w:r>
      <w:r w:rsidR="00F25455" w:rsidRPr="00EA40F3">
        <w:t>)</w:t>
      </w:r>
      <w:r w:rsidRPr="00EA40F3">
        <w:t>.</w:t>
      </w:r>
      <w:r w:rsidR="00732400" w:rsidRPr="00EA40F3">
        <w:t xml:space="preserve">  On November 17, 2014, the Commission issued a Proposed Decision (PD) in R.11-11-007</w:t>
      </w:r>
      <w:r w:rsidR="004D12EE">
        <w:t xml:space="preserve">, </w:t>
      </w:r>
      <w:r w:rsidR="00E046A8">
        <w:t xml:space="preserve">and proposes to increase the basic service rate to $30 over a period of five years.  The PD is scheduled to be voted by the Commission on </w:t>
      </w:r>
      <w:r w:rsidR="004D12EE">
        <w:t>December 18, 2014</w:t>
      </w:r>
      <w:r w:rsidR="00732400" w:rsidRPr="00EA40F3">
        <w:t>.</w:t>
      </w:r>
    </w:p>
    <w:p w:rsidR="00574C5B" w:rsidRDefault="00574C5B">
      <w:pPr>
        <w:pStyle w:val="BodyText"/>
        <w:tabs>
          <w:tab w:val="clear" w:pos="720"/>
        </w:tabs>
        <w:spacing w:after="0"/>
      </w:pPr>
    </w:p>
    <w:p w:rsidR="00F25455" w:rsidRDefault="00F25455" w:rsidP="00F25455">
      <w:pPr>
        <w:pStyle w:val="Heading1"/>
        <w:rPr>
          <w:sz w:val="26"/>
          <w:u w:val="none"/>
        </w:rPr>
      </w:pPr>
      <w:r>
        <w:rPr>
          <w:sz w:val="26"/>
          <w:u w:val="none"/>
        </w:rPr>
        <w:t>Notice of Adv</w:t>
      </w:r>
      <w:r w:rsidR="00C15A8B">
        <w:rPr>
          <w:sz w:val="26"/>
          <w:u w:val="none"/>
        </w:rPr>
        <w:t>i</w:t>
      </w:r>
      <w:r>
        <w:rPr>
          <w:sz w:val="26"/>
          <w:u w:val="none"/>
        </w:rPr>
        <w:t>ce Letters</w:t>
      </w:r>
    </w:p>
    <w:p w:rsidR="00B55F90" w:rsidRPr="00AF509D" w:rsidRDefault="00B55F90" w:rsidP="00AF509D"/>
    <w:p w:rsidR="005320C5" w:rsidRDefault="00C44058" w:rsidP="005320C5">
      <w:pPr>
        <w:rPr>
          <w:rFonts w:ascii="Palatino" w:hAnsi="Palatino"/>
          <w:sz w:val="24"/>
        </w:rPr>
      </w:pPr>
      <w:r>
        <w:rPr>
          <w:rFonts w:ascii="Palatino" w:hAnsi="Palatino"/>
          <w:sz w:val="24"/>
        </w:rPr>
        <w:t xml:space="preserve">Between </w:t>
      </w:r>
      <w:r w:rsidR="006A1023">
        <w:rPr>
          <w:rFonts w:ascii="Palatino" w:hAnsi="Palatino"/>
          <w:sz w:val="24"/>
        </w:rPr>
        <w:t>September</w:t>
      </w:r>
      <w:r w:rsidR="00A11A8F">
        <w:rPr>
          <w:rFonts w:ascii="Palatino" w:hAnsi="Palatino"/>
          <w:sz w:val="24"/>
        </w:rPr>
        <w:t xml:space="preserve"> and October</w:t>
      </w:r>
      <w:r w:rsidR="00FD2111">
        <w:rPr>
          <w:rFonts w:ascii="Palatino" w:hAnsi="Palatino"/>
          <w:sz w:val="24"/>
        </w:rPr>
        <w:t>, 201</w:t>
      </w:r>
      <w:r w:rsidR="00A11A8F">
        <w:rPr>
          <w:rFonts w:ascii="Palatino" w:hAnsi="Palatino"/>
          <w:sz w:val="24"/>
        </w:rPr>
        <w:t>4</w:t>
      </w:r>
      <w:r w:rsidR="00FD2111">
        <w:rPr>
          <w:rFonts w:ascii="Palatino" w:hAnsi="Palatino"/>
          <w:sz w:val="24"/>
        </w:rPr>
        <w:t>, the 1</w:t>
      </w:r>
      <w:r w:rsidR="00AE5F55">
        <w:rPr>
          <w:rFonts w:ascii="Palatino" w:hAnsi="Palatino"/>
          <w:sz w:val="24"/>
        </w:rPr>
        <w:t>3</w:t>
      </w:r>
      <w:r w:rsidR="00FD2111">
        <w:rPr>
          <w:rFonts w:ascii="Palatino" w:hAnsi="Palatino"/>
          <w:sz w:val="24"/>
        </w:rPr>
        <w:t xml:space="preserve"> Small </w:t>
      </w:r>
      <w:r w:rsidR="00CC4F3E">
        <w:rPr>
          <w:rFonts w:ascii="Palatino" w:hAnsi="Palatino"/>
          <w:sz w:val="24"/>
        </w:rPr>
        <w:t>ILEC</w:t>
      </w:r>
      <w:r w:rsidR="00FD2111">
        <w:rPr>
          <w:rFonts w:ascii="Palatino" w:hAnsi="Palatino"/>
          <w:sz w:val="24"/>
        </w:rPr>
        <w:t xml:space="preserve">s </w:t>
      </w:r>
      <w:r w:rsidR="006C6A45">
        <w:rPr>
          <w:rFonts w:ascii="Palatino" w:hAnsi="Palatino"/>
          <w:sz w:val="24"/>
        </w:rPr>
        <w:t>submitted</w:t>
      </w:r>
      <w:r w:rsidR="00FD2111">
        <w:rPr>
          <w:rFonts w:ascii="Palatino" w:hAnsi="Palatino"/>
          <w:sz w:val="24"/>
        </w:rPr>
        <w:t xml:space="preserve"> their annual CHCF-A advice letter filings</w:t>
      </w:r>
      <w:r w:rsidR="00AE5F55">
        <w:rPr>
          <w:rFonts w:ascii="Palatino" w:hAnsi="Palatino"/>
          <w:sz w:val="24"/>
        </w:rPr>
        <w:t xml:space="preserve"> </w:t>
      </w:r>
      <w:r w:rsidR="00FD2111">
        <w:rPr>
          <w:rFonts w:ascii="Palatino" w:hAnsi="Palatino"/>
          <w:sz w:val="24"/>
        </w:rPr>
        <w:t>in accordance with D.91-09-042.  Ten of the 1</w:t>
      </w:r>
      <w:r w:rsidR="00AE5F55">
        <w:rPr>
          <w:rFonts w:ascii="Palatino" w:hAnsi="Palatino"/>
          <w:sz w:val="24"/>
        </w:rPr>
        <w:t>3</w:t>
      </w:r>
      <w:r w:rsidR="00FD2111">
        <w:rPr>
          <w:rFonts w:ascii="Palatino" w:hAnsi="Palatino"/>
          <w:sz w:val="24"/>
        </w:rPr>
        <w:t xml:space="preserve"> Small </w:t>
      </w:r>
      <w:r w:rsidR="00CC4F3E">
        <w:rPr>
          <w:rFonts w:ascii="Palatino" w:hAnsi="Palatino"/>
          <w:sz w:val="24"/>
        </w:rPr>
        <w:t>ILEC</w:t>
      </w:r>
      <w:r w:rsidR="00FD2111">
        <w:rPr>
          <w:rFonts w:ascii="Palatino" w:hAnsi="Palatino"/>
          <w:sz w:val="24"/>
        </w:rPr>
        <w:t>s requested a total CY 201</w:t>
      </w:r>
      <w:r w:rsidR="00A11A8F">
        <w:rPr>
          <w:rFonts w:ascii="Palatino" w:hAnsi="Palatino"/>
          <w:sz w:val="24"/>
        </w:rPr>
        <w:t>5</w:t>
      </w:r>
      <w:r w:rsidR="00FD2111">
        <w:rPr>
          <w:rFonts w:ascii="Palatino" w:hAnsi="Palatino"/>
          <w:sz w:val="24"/>
        </w:rPr>
        <w:t xml:space="preserve"> CH</w:t>
      </w:r>
      <w:r w:rsidR="00110480">
        <w:rPr>
          <w:rFonts w:ascii="Palatino" w:hAnsi="Palatino"/>
          <w:sz w:val="24"/>
        </w:rPr>
        <w:t xml:space="preserve">CF-A </w:t>
      </w:r>
      <w:r w:rsidR="00EB7378">
        <w:rPr>
          <w:rFonts w:ascii="Palatino" w:hAnsi="Palatino"/>
          <w:sz w:val="24"/>
        </w:rPr>
        <w:t>support of approximately $33.143</w:t>
      </w:r>
      <w:r w:rsidR="00FD2111">
        <w:rPr>
          <w:rFonts w:ascii="Palatino" w:hAnsi="Palatino"/>
          <w:sz w:val="24"/>
        </w:rPr>
        <w:t xml:space="preserve"> million. </w:t>
      </w:r>
      <w:r w:rsidR="008A32C7">
        <w:rPr>
          <w:rFonts w:ascii="Palatino" w:hAnsi="Palatino"/>
          <w:sz w:val="24"/>
        </w:rPr>
        <w:t xml:space="preserve">Three carriers did not request </w:t>
      </w:r>
      <w:r w:rsidR="006C6A45">
        <w:rPr>
          <w:rFonts w:ascii="Palatino" w:hAnsi="Palatino"/>
          <w:sz w:val="24"/>
        </w:rPr>
        <w:t xml:space="preserve">any CHCF-A </w:t>
      </w:r>
      <w:r w:rsidR="008A32C7">
        <w:rPr>
          <w:rFonts w:ascii="Palatino" w:hAnsi="Palatino"/>
          <w:sz w:val="24"/>
        </w:rPr>
        <w:t xml:space="preserve">support: </w:t>
      </w:r>
      <w:r w:rsidR="00B55F90">
        <w:rPr>
          <w:rFonts w:ascii="Palatino" w:hAnsi="Palatino"/>
          <w:sz w:val="24"/>
        </w:rPr>
        <w:t>Happy Valley</w:t>
      </w:r>
      <w:r w:rsidR="00635996">
        <w:rPr>
          <w:rFonts w:ascii="Palatino" w:hAnsi="Palatino"/>
          <w:sz w:val="24"/>
        </w:rPr>
        <w:t xml:space="preserve"> Telephone Company</w:t>
      </w:r>
      <w:r w:rsidR="00B55F90">
        <w:rPr>
          <w:rFonts w:ascii="Palatino" w:hAnsi="Palatino"/>
          <w:sz w:val="24"/>
        </w:rPr>
        <w:t xml:space="preserve">, </w:t>
      </w:r>
      <w:r w:rsidR="008A32C7">
        <w:rPr>
          <w:rFonts w:ascii="Palatino" w:hAnsi="Palatino"/>
          <w:sz w:val="24"/>
        </w:rPr>
        <w:t>Hornitos</w:t>
      </w:r>
      <w:r w:rsidR="00635996">
        <w:rPr>
          <w:rFonts w:ascii="Palatino" w:hAnsi="Palatino"/>
          <w:sz w:val="24"/>
        </w:rPr>
        <w:t xml:space="preserve"> Telephone Company</w:t>
      </w:r>
      <w:r w:rsidR="008A32C7">
        <w:rPr>
          <w:rFonts w:ascii="Palatino" w:hAnsi="Palatino"/>
          <w:sz w:val="24"/>
        </w:rPr>
        <w:t>, and Winterhaven</w:t>
      </w:r>
      <w:r w:rsidR="00635996">
        <w:rPr>
          <w:rFonts w:ascii="Palatino" w:hAnsi="Palatino"/>
          <w:sz w:val="24"/>
        </w:rPr>
        <w:t xml:space="preserve"> Telephone Company</w:t>
      </w:r>
      <w:r w:rsidR="008A32C7">
        <w:rPr>
          <w:rFonts w:ascii="Palatino" w:hAnsi="Palatino"/>
          <w:sz w:val="24"/>
        </w:rPr>
        <w:t>.</w:t>
      </w:r>
      <w:r w:rsidR="005320C5">
        <w:rPr>
          <w:rFonts w:ascii="Palatino" w:hAnsi="Palatino"/>
          <w:sz w:val="24"/>
        </w:rPr>
        <w:t xml:space="preserve">  </w:t>
      </w:r>
    </w:p>
    <w:p w:rsidR="005320C5" w:rsidRDefault="005320C5" w:rsidP="005320C5">
      <w:pPr>
        <w:rPr>
          <w:rFonts w:ascii="Palatino" w:hAnsi="Palatino"/>
          <w:sz w:val="24"/>
        </w:rPr>
      </w:pPr>
    </w:p>
    <w:p w:rsidR="00ED09F3" w:rsidRDefault="00ED09F3" w:rsidP="005320C5">
      <w:pPr>
        <w:rPr>
          <w:rFonts w:ascii="Palatino" w:hAnsi="Palatino"/>
          <w:sz w:val="24"/>
        </w:rPr>
      </w:pPr>
      <w:r w:rsidRPr="005320C5">
        <w:rPr>
          <w:rFonts w:ascii="Palatino" w:hAnsi="Palatino"/>
          <w:sz w:val="24"/>
        </w:rPr>
        <w:t>T</w:t>
      </w:r>
      <w:r w:rsidR="00107478" w:rsidRPr="005320C5">
        <w:rPr>
          <w:rFonts w:ascii="Palatino" w:hAnsi="Palatino"/>
          <w:sz w:val="24"/>
        </w:rPr>
        <w:t xml:space="preserve">able 2 </w:t>
      </w:r>
      <w:r w:rsidRPr="005320C5">
        <w:rPr>
          <w:rFonts w:ascii="Palatino" w:hAnsi="Palatino"/>
          <w:sz w:val="24"/>
        </w:rPr>
        <w:t xml:space="preserve">provides a summary of the advice letter filings of the </w:t>
      </w:r>
      <w:r w:rsidR="00527241" w:rsidRPr="005320C5">
        <w:rPr>
          <w:rFonts w:ascii="Palatino" w:hAnsi="Palatino"/>
          <w:sz w:val="24"/>
        </w:rPr>
        <w:t xml:space="preserve">13 </w:t>
      </w:r>
      <w:r w:rsidR="002D77FA" w:rsidRPr="005320C5">
        <w:rPr>
          <w:rFonts w:ascii="Palatino" w:hAnsi="Palatino"/>
          <w:sz w:val="24"/>
        </w:rPr>
        <w:t>S</w:t>
      </w:r>
      <w:r w:rsidRPr="005320C5">
        <w:rPr>
          <w:rFonts w:ascii="Palatino" w:hAnsi="Palatino"/>
          <w:sz w:val="24"/>
        </w:rPr>
        <w:t>mall ILECs:</w:t>
      </w:r>
    </w:p>
    <w:p w:rsidR="00DB2BD9" w:rsidRPr="005320C5" w:rsidRDefault="00DB2BD9" w:rsidP="005320C5">
      <w:pPr>
        <w:rPr>
          <w:rFonts w:ascii="Palatino" w:hAnsi="Palatino"/>
          <w:sz w:val="24"/>
        </w:rPr>
      </w:pPr>
    </w:p>
    <w:p w:rsidR="006713BB" w:rsidRDefault="002E4E23" w:rsidP="00DB2BD9">
      <w:pPr>
        <w:keepNext/>
        <w:jc w:val="center"/>
        <w:rPr>
          <w:rFonts w:ascii="Palatino" w:hAnsi="Palatino"/>
          <w:sz w:val="24"/>
        </w:rPr>
      </w:pPr>
      <w:r w:rsidRPr="002E4E23">
        <w:rPr>
          <w:noProof/>
        </w:rPr>
        <w:drawing>
          <wp:inline distT="0" distB="0" distL="0" distR="0" wp14:anchorId="2976D0D6" wp14:editId="4E3675E3">
            <wp:extent cx="5943600" cy="32643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64379"/>
                    </a:xfrm>
                    <a:prstGeom prst="rect">
                      <a:avLst/>
                    </a:prstGeom>
                    <a:noFill/>
                    <a:ln>
                      <a:noFill/>
                    </a:ln>
                  </pic:spPr>
                </pic:pic>
              </a:graphicData>
            </a:graphic>
          </wp:inline>
        </w:drawing>
      </w:r>
    </w:p>
    <w:p w:rsidR="006713BB" w:rsidRDefault="006713BB">
      <w:pPr>
        <w:keepNext/>
        <w:rPr>
          <w:rFonts w:ascii="Palatino" w:hAnsi="Palatino"/>
          <w:sz w:val="24"/>
        </w:rPr>
      </w:pPr>
    </w:p>
    <w:p w:rsidR="00FD2111" w:rsidRDefault="00003D5E">
      <w:pPr>
        <w:pStyle w:val="BodyText"/>
        <w:spacing w:after="0"/>
      </w:pPr>
      <w:r>
        <w:t>The 13</w:t>
      </w:r>
      <w:r w:rsidR="00FD2111">
        <w:t xml:space="preserve"> Small </w:t>
      </w:r>
      <w:r w:rsidR="00CC4F3E">
        <w:t>ILEC</w:t>
      </w:r>
      <w:r w:rsidR="000E2FA7">
        <w:t>s’ 2015</w:t>
      </w:r>
      <w:r w:rsidR="00FD2111">
        <w:t xml:space="preserve"> CHCF-A advice letter filings appeared in the Commission’</w:t>
      </w:r>
      <w:r>
        <w:t xml:space="preserve">s Daily Calendar </w:t>
      </w:r>
      <w:r w:rsidR="00B55F90">
        <w:t xml:space="preserve">during </w:t>
      </w:r>
      <w:r w:rsidR="000E2FA7">
        <w:t>September and October 2014</w:t>
      </w:r>
      <w:r w:rsidR="00FD2111">
        <w:t>.</w:t>
      </w:r>
    </w:p>
    <w:p w:rsidR="00512A4C" w:rsidRDefault="00512A4C">
      <w:pPr>
        <w:pStyle w:val="BodyText"/>
        <w:spacing w:after="0"/>
      </w:pPr>
    </w:p>
    <w:p w:rsidR="00512A4C" w:rsidRDefault="00512A4C" w:rsidP="00512A4C">
      <w:pPr>
        <w:keepNext/>
        <w:rPr>
          <w:rFonts w:ascii="Palatino" w:hAnsi="Palatino"/>
          <w:sz w:val="26"/>
        </w:rPr>
      </w:pPr>
      <w:r>
        <w:rPr>
          <w:rFonts w:ascii="Palatino" w:hAnsi="Palatino"/>
          <w:b/>
          <w:sz w:val="26"/>
        </w:rPr>
        <w:t>Protests</w:t>
      </w:r>
    </w:p>
    <w:p w:rsidR="00FD2111" w:rsidRDefault="00FD2111">
      <w:pPr>
        <w:pStyle w:val="BodyText"/>
        <w:spacing w:after="0"/>
      </w:pPr>
    </w:p>
    <w:p w:rsidR="004B5089" w:rsidRDefault="005B4A24" w:rsidP="006A1023">
      <w:pPr>
        <w:pStyle w:val="BodyText"/>
        <w:spacing w:after="0"/>
      </w:pPr>
      <w:r>
        <w:t>On September 30 and October 6, 7 and 20 of 2014,</w:t>
      </w:r>
      <w:r w:rsidR="005411E1">
        <w:t xml:space="preserve"> Office of Ratepayer Advocates (O</w:t>
      </w:r>
      <w:r w:rsidR="00FD2111">
        <w:t>RA</w:t>
      </w:r>
      <w:r w:rsidR="005411E1">
        <w:t>)</w:t>
      </w:r>
      <w:r w:rsidR="00FD2111">
        <w:t xml:space="preserve"> filed protest</w:t>
      </w:r>
      <w:r w:rsidR="00527241">
        <w:t>s</w:t>
      </w:r>
      <w:r>
        <w:t xml:space="preserve"> </w:t>
      </w:r>
      <w:r w:rsidR="00FD2111">
        <w:t xml:space="preserve">to </w:t>
      </w:r>
      <w:r w:rsidR="008A32C7">
        <w:t xml:space="preserve">ten of the thirteen advice letters: </w:t>
      </w:r>
      <w:r w:rsidR="00FD2111">
        <w:t xml:space="preserve">Calaveras’ </w:t>
      </w:r>
      <w:r w:rsidR="006A1023">
        <w:t>AL</w:t>
      </w:r>
      <w:r w:rsidR="005411E1">
        <w:t xml:space="preserve"> </w:t>
      </w:r>
      <w:r>
        <w:t>345</w:t>
      </w:r>
      <w:r w:rsidR="00FD2111">
        <w:t xml:space="preserve">, Cal-Ore’s </w:t>
      </w:r>
      <w:r w:rsidR="006A1023">
        <w:t>AL</w:t>
      </w:r>
      <w:r w:rsidR="005411E1">
        <w:t xml:space="preserve"> </w:t>
      </w:r>
      <w:r>
        <w:t>360</w:t>
      </w:r>
      <w:r w:rsidR="00FD2111">
        <w:t xml:space="preserve">, Ducor’s </w:t>
      </w:r>
      <w:r w:rsidR="006A1023">
        <w:t>AL</w:t>
      </w:r>
      <w:r w:rsidR="005411E1">
        <w:t xml:space="preserve"> 35</w:t>
      </w:r>
      <w:r>
        <w:t>9</w:t>
      </w:r>
      <w:r w:rsidR="005411E1">
        <w:t xml:space="preserve">, </w:t>
      </w:r>
      <w:r>
        <w:t>Foresthill’s AL 324, Kerman’s AL 401, Pinnacles’ AL 264</w:t>
      </w:r>
      <w:r w:rsidR="00FD2111">
        <w:t xml:space="preserve">, Ponderosa’s </w:t>
      </w:r>
      <w:r w:rsidR="006A1023">
        <w:t>AL</w:t>
      </w:r>
      <w:r>
        <w:t xml:space="preserve"> 439</w:t>
      </w:r>
      <w:r w:rsidR="00FD2111">
        <w:t xml:space="preserve">, Sierra’s </w:t>
      </w:r>
      <w:r w:rsidR="006A1023">
        <w:t>AL</w:t>
      </w:r>
      <w:r>
        <w:t xml:space="preserve"> 429</w:t>
      </w:r>
      <w:r w:rsidR="00D145FC">
        <w:t>, S</w:t>
      </w:r>
      <w:r w:rsidR="00FD2111">
        <w:t xml:space="preserve">iskiyou’s </w:t>
      </w:r>
      <w:r w:rsidR="006A1023">
        <w:t>AL</w:t>
      </w:r>
      <w:r>
        <w:t xml:space="preserve"> 394 and Volcano’s AL 384</w:t>
      </w:r>
      <w:r w:rsidR="004B5089">
        <w:t>.</w:t>
      </w:r>
      <w:r w:rsidR="00B55F90">
        <w:t xml:space="preserve">  No </w:t>
      </w:r>
      <w:r w:rsidR="006C6A45">
        <w:t xml:space="preserve">other </w:t>
      </w:r>
      <w:r w:rsidR="00B55F90">
        <w:t xml:space="preserve">parties </w:t>
      </w:r>
      <w:r w:rsidR="0020200C">
        <w:t xml:space="preserve">submitted </w:t>
      </w:r>
      <w:r w:rsidR="00B55F90">
        <w:t xml:space="preserve">protests. </w:t>
      </w:r>
    </w:p>
    <w:p w:rsidR="004B5089" w:rsidRDefault="004B5089" w:rsidP="006A1023">
      <w:pPr>
        <w:pStyle w:val="BodyText"/>
        <w:spacing w:after="0"/>
      </w:pPr>
    </w:p>
    <w:p w:rsidR="0059606B" w:rsidRDefault="004B5089" w:rsidP="006A1023">
      <w:pPr>
        <w:pStyle w:val="BodyText"/>
        <w:spacing w:after="0"/>
      </w:pPr>
      <w:r>
        <w:t>ORA</w:t>
      </w:r>
      <w:r w:rsidR="004F7E76">
        <w:t>’s protest</w:t>
      </w:r>
      <w:r w:rsidR="0059606B">
        <w:t xml:space="preserve">s </w:t>
      </w:r>
      <w:r w:rsidR="006C6A45">
        <w:t xml:space="preserve">claim </w:t>
      </w:r>
      <w:r w:rsidR="007C1D3D">
        <w:t>that the Small ILECs failed to adequately support the reasonableness of their</w:t>
      </w:r>
      <w:r w:rsidR="004B4C67">
        <w:t xml:space="preserve"> </w:t>
      </w:r>
      <w:r w:rsidR="0092737E">
        <w:t>CHCF-A fund</w:t>
      </w:r>
      <w:r w:rsidR="007C1D3D">
        <w:t xml:space="preserve"> requests for </w:t>
      </w:r>
      <w:r w:rsidR="0031677C">
        <w:t xml:space="preserve">CY </w:t>
      </w:r>
      <w:r w:rsidR="007C1D3D">
        <w:t>2015</w:t>
      </w:r>
      <w:r w:rsidR="0092737E">
        <w:t xml:space="preserve"> </w:t>
      </w:r>
      <w:r w:rsidR="003B56DE">
        <w:t>and</w:t>
      </w:r>
      <w:r w:rsidR="003B56DE" w:rsidRPr="003B56DE">
        <w:t xml:space="preserve"> </w:t>
      </w:r>
      <w:r w:rsidR="003B56DE">
        <w:t>raised the following points</w:t>
      </w:r>
      <w:r w:rsidR="00245330">
        <w:t>:</w:t>
      </w:r>
      <w:r w:rsidR="00170710">
        <w:t xml:space="preserve">  </w:t>
      </w:r>
    </w:p>
    <w:p w:rsidR="0059606B" w:rsidRDefault="0059606B" w:rsidP="006A1023">
      <w:pPr>
        <w:pStyle w:val="BodyText"/>
        <w:spacing w:after="0"/>
      </w:pPr>
    </w:p>
    <w:p w:rsidR="00170710" w:rsidRDefault="0059606B" w:rsidP="00AF509D">
      <w:pPr>
        <w:pStyle w:val="BodyText"/>
        <w:numPr>
          <w:ilvl w:val="0"/>
          <w:numId w:val="44"/>
        </w:numPr>
        <w:spacing w:after="0"/>
      </w:pPr>
      <w:r>
        <w:t>Calaveras, Cal-Ore, Ducor, Kerman, Pinnacles, Ponderosa, Sierra and Siskiyou did not</w:t>
      </w:r>
      <w:r w:rsidR="00170710">
        <w:t xml:space="preserve"> provide</w:t>
      </w:r>
      <w:r>
        <w:t xml:space="preserve"> adequate</w:t>
      </w:r>
      <w:r w:rsidR="00170710">
        <w:t xml:space="preserve"> </w:t>
      </w:r>
      <w:r>
        <w:t xml:space="preserve">California LifeLine Program (LifeLine) </w:t>
      </w:r>
      <w:r w:rsidR="00245330">
        <w:t>incremental administrative cost</w:t>
      </w:r>
      <w:r>
        <w:t xml:space="preserve"> </w:t>
      </w:r>
      <w:r w:rsidR="00170710">
        <w:t xml:space="preserve">documentation demonstrating that expenditures underlying the claimed administrative costs are truly incremental for </w:t>
      </w:r>
      <w:r w:rsidR="00281830">
        <w:t>LifeLine</w:t>
      </w:r>
      <w:r w:rsidR="00170710">
        <w:t xml:space="preserve"> customers only.</w:t>
      </w:r>
      <w:r w:rsidR="00245330">
        <w:t xml:space="preserve"> </w:t>
      </w:r>
      <w:r w:rsidR="00170710">
        <w:t xml:space="preserve">Without supporting documentation, ORA </w:t>
      </w:r>
      <w:r w:rsidR="003B56DE">
        <w:t xml:space="preserve">states </w:t>
      </w:r>
      <w:r w:rsidR="00170710">
        <w:t xml:space="preserve">that the Commission and ORA cannot verify </w:t>
      </w:r>
      <w:r w:rsidR="004467C4">
        <w:t xml:space="preserve">that </w:t>
      </w:r>
      <w:r w:rsidR="00170710">
        <w:t>the asserted numbers are accurate or verify the</w:t>
      </w:r>
      <w:r w:rsidR="004467C4">
        <w:t>ir</w:t>
      </w:r>
      <w:r w:rsidR="006414B2">
        <w:t xml:space="preserve"> </w:t>
      </w:r>
      <w:r w:rsidR="00170710">
        <w:t>appropriateness under the Commission guidelines.</w:t>
      </w:r>
    </w:p>
    <w:p w:rsidR="000069B3" w:rsidRDefault="000069B3" w:rsidP="00DC3159">
      <w:pPr>
        <w:pStyle w:val="BodyText"/>
        <w:spacing w:after="0"/>
        <w:ind w:left="360"/>
      </w:pPr>
    </w:p>
    <w:p w:rsidR="000069B3" w:rsidRDefault="000069B3" w:rsidP="000069B3">
      <w:pPr>
        <w:pStyle w:val="BodyText"/>
        <w:numPr>
          <w:ilvl w:val="0"/>
          <w:numId w:val="44"/>
        </w:numPr>
        <w:spacing w:after="0"/>
      </w:pPr>
      <w:r>
        <w:t>Kerman and Pinnacles</w:t>
      </w:r>
      <w:r w:rsidR="003B56DE">
        <w:t>’</w:t>
      </w:r>
      <w:r>
        <w:t xml:space="preserve"> claims for non-recurring LifeLine reimbursement were not adequately documented.  In the absence of adequate supporting documentation, </w:t>
      </w:r>
      <w:r w:rsidR="003B56DE">
        <w:t xml:space="preserve">ORA </w:t>
      </w:r>
      <w:r w:rsidR="006414B2">
        <w:t xml:space="preserve">asserts </w:t>
      </w:r>
      <w:r w:rsidR="003B56DE">
        <w:t xml:space="preserve">that </w:t>
      </w:r>
      <w:r>
        <w:t>the Commission must use $0.03 per customer per month as prescribed by D.10-11-033, Ordering Paragraph 18.</w:t>
      </w:r>
    </w:p>
    <w:p w:rsidR="00170710" w:rsidRDefault="00170710" w:rsidP="006A1023">
      <w:pPr>
        <w:pStyle w:val="BodyText"/>
        <w:spacing w:after="0"/>
      </w:pPr>
    </w:p>
    <w:p w:rsidR="003E06FA" w:rsidRDefault="00170710" w:rsidP="00DC3159">
      <w:pPr>
        <w:pStyle w:val="BodyText"/>
        <w:numPr>
          <w:ilvl w:val="0"/>
          <w:numId w:val="44"/>
        </w:numPr>
        <w:tabs>
          <w:tab w:val="clear" w:pos="720"/>
        </w:tabs>
        <w:spacing w:after="0"/>
      </w:pPr>
      <w:r>
        <w:t xml:space="preserve">Calaveras, Cal-Ore, Foresthill, Kerman, and Pinnacles failed to provide supporting data to substantiate the </w:t>
      </w:r>
      <w:r w:rsidR="00280289">
        <w:t>2014 seven-</w:t>
      </w:r>
      <w:r>
        <w:t>months operating revenues and operating expenses</w:t>
      </w:r>
      <w:r w:rsidR="00280289">
        <w:t xml:space="preserve"> for the means test calculation</w:t>
      </w:r>
      <w:r w:rsidR="004467C4">
        <w:t xml:space="preserve">, and </w:t>
      </w:r>
      <w:r w:rsidR="00AA5646">
        <w:t xml:space="preserve">failed to provide supporting data to substantiate the total amount </w:t>
      </w:r>
      <w:r w:rsidR="00EB7BF4">
        <w:t xml:space="preserve">for </w:t>
      </w:r>
      <w:r w:rsidR="00AA5646">
        <w:t xml:space="preserve">operating revenues and operating expenses </w:t>
      </w:r>
      <w:r w:rsidR="005A7F5F">
        <w:t xml:space="preserve">used </w:t>
      </w:r>
      <w:r w:rsidR="00AA5646">
        <w:t>in the means test</w:t>
      </w:r>
      <w:r w:rsidR="005A7F5F">
        <w:t xml:space="preserve"> calculation</w:t>
      </w:r>
      <w:r w:rsidR="00AA5646">
        <w:t xml:space="preserve">. </w:t>
      </w:r>
      <w:r w:rsidR="003E06FA">
        <w:t>With</w:t>
      </w:r>
      <w:r w:rsidR="003B56DE">
        <w:t xml:space="preserve">out </w:t>
      </w:r>
      <w:r w:rsidR="003E06FA">
        <w:t xml:space="preserve">adequate supporting data, ORA </w:t>
      </w:r>
      <w:r w:rsidR="003B56DE">
        <w:t>states</w:t>
      </w:r>
      <w:r w:rsidR="003E06FA">
        <w:t xml:space="preserve"> it cannot verify </w:t>
      </w:r>
      <w:r w:rsidR="00D51E55">
        <w:t xml:space="preserve">that </w:t>
      </w:r>
      <w:r w:rsidR="003E06FA">
        <w:t>the asserted numbers are accurate and reasonable.</w:t>
      </w:r>
    </w:p>
    <w:p w:rsidR="00C8467A" w:rsidRDefault="00AA5646" w:rsidP="00DC3159">
      <w:pPr>
        <w:pStyle w:val="BodyText"/>
        <w:spacing w:after="0"/>
        <w:ind w:left="720"/>
      </w:pPr>
      <w:r>
        <w:t xml:space="preserve"> </w:t>
      </w:r>
    </w:p>
    <w:p w:rsidR="00C8467A" w:rsidRDefault="00C8467A" w:rsidP="00DC3159">
      <w:pPr>
        <w:pStyle w:val="BodyText"/>
        <w:numPr>
          <w:ilvl w:val="0"/>
          <w:numId w:val="44"/>
        </w:numPr>
        <w:tabs>
          <w:tab w:val="clear" w:pos="720"/>
        </w:tabs>
        <w:spacing w:after="0"/>
      </w:pPr>
      <w:r>
        <w:t>Pinnacles’ operating expenses for 2014 increased by more than 25%</w:t>
      </w:r>
      <w:r w:rsidR="00D51E55">
        <w:t xml:space="preserve"> of 2013 expenses</w:t>
      </w:r>
      <w:r w:rsidR="00D2133F">
        <w:t>.</w:t>
      </w:r>
      <w:r>
        <w:t xml:space="preserve">  Foresthill’s </w:t>
      </w:r>
      <w:r w:rsidR="00634DF1">
        <w:t xml:space="preserve">and Kerman’s </w:t>
      </w:r>
      <w:r>
        <w:t>operating expenses for 2014 versus 2013 were significantly higher w</w:t>
      </w:r>
      <w:r w:rsidR="00634DF1">
        <w:t>hile</w:t>
      </w:r>
      <w:r>
        <w:t xml:space="preserve"> operating revenues decreased seven percent for the same period.</w:t>
      </w:r>
      <w:r w:rsidR="00634DF1">
        <w:t xml:space="preserve"> </w:t>
      </w:r>
      <w:r w:rsidR="00D2133F">
        <w:t>ORA asserts that n</w:t>
      </w:r>
      <w:r w:rsidR="00634DF1">
        <w:t xml:space="preserve">o supporting documentation </w:t>
      </w:r>
      <w:r w:rsidR="00D2133F">
        <w:t xml:space="preserve">was provided </w:t>
      </w:r>
      <w:r w:rsidR="00634DF1">
        <w:t>to substantiate these amounts.</w:t>
      </w:r>
    </w:p>
    <w:p w:rsidR="00174447" w:rsidRDefault="00174447" w:rsidP="006A1023">
      <w:pPr>
        <w:pStyle w:val="BodyText"/>
        <w:spacing w:after="0"/>
      </w:pPr>
    </w:p>
    <w:p w:rsidR="00B041DC" w:rsidRDefault="0028613B" w:rsidP="00AD3E18">
      <w:pPr>
        <w:pStyle w:val="BodyText"/>
        <w:numPr>
          <w:ilvl w:val="0"/>
          <w:numId w:val="44"/>
        </w:numPr>
        <w:spacing w:after="0"/>
      </w:pPr>
      <w:r>
        <w:t>A</w:t>
      </w:r>
      <w:r w:rsidR="004B4C67">
        <w:t>ll ten of the Small ILECs draw</w:t>
      </w:r>
      <w:r w:rsidR="00A12DF5">
        <w:t>ing</w:t>
      </w:r>
      <w:r w:rsidR="004B4C67">
        <w:t xml:space="preserve"> from the CHCF-A fund incorrectly claimed adjustments for FCC Intercarrier Compensation for C</w:t>
      </w:r>
      <w:r>
        <w:t>Y</w:t>
      </w:r>
      <w:r w:rsidR="004B4C67">
        <w:t xml:space="preserve"> 2015.  ORA </w:t>
      </w:r>
      <w:r w:rsidR="00245330">
        <w:t>claim</w:t>
      </w:r>
      <w:r>
        <w:t>s</w:t>
      </w:r>
      <w:r w:rsidR="00245330">
        <w:t xml:space="preserve"> </w:t>
      </w:r>
      <w:r w:rsidR="004B4C67">
        <w:t xml:space="preserve">that </w:t>
      </w:r>
      <w:r w:rsidR="00C8521E">
        <w:t xml:space="preserve">the Commission should support the </w:t>
      </w:r>
      <w:r w:rsidR="00785D54">
        <w:t>FC</w:t>
      </w:r>
      <w:r w:rsidR="00C85D13">
        <w:t>C’s</w:t>
      </w:r>
      <w:r w:rsidR="00785D54">
        <w:t xml:space="preserve"> </w:t>
      </w:r>
      <w:r w:rsidR="00C8521E">
        <w:t>efforts to encourage carrier efficiencies</w:t>
      </w:r>
      <w:r w:rsidR="00813B89">
        <w:t xml:space="preserve"> with the Connect America Fund adjustments for Intercarrier Compensation.  </w:t>
      </w:r>
      <w:r w:rsidR="002D5F19">
        <w:t>ORA further state</w:t>
      </w:r>
      <w:r>
        <w:t>s</w:t>
      </w:r>
      <w:r w:rsidR="002D5F19">
        <w:t xml:space="preserve"> that these </w:t>
      </w:r>
      <w:r w:rsidR="00813B89">
        <w:t>adjustments were intended to induce carrier efficiencies and should not be recovered from the CHCF-A Program.</w:t>
      </w:r>
    </w:p>
    <w:p w:rsidR="004247EF" w:rsidRDefault="004247EF" w:rsidP="00AD3E18">
      <w:pPr>
        <w:pStyle w:val="ListParagraph"/>
      </w:pPr>
    </w:p>
    <w:p w:rsidR="003E065B" w:rsidRDefault="0028613B" w:rsidP="00AF509D">
      <w:pPr>
        <w:pStyle w:val="BodyText"/>
        <w:numPr>
          <w:ilvl w:val="0"/>
          <w:numId w:val="44"/>
        </w:numPr>
        <w:spacing w:after="0"/>
      </w:pPr>
      <w:r>
        <w:t>A</w:t>
      </w:r>
      <w:r w:rsidR="00152933">
        <w:t>n advice letter is not the appropriate method</w:t>
      </w:r>
      <w:r w:rsidR="000D6D29">
        <w:t xml:space="preserve"> for Ducor</w:t>
      </w:r>
      <w:r w:rsidR="00152933">
        <w:t xml:space="preserve"> to </w:t>
      </w:r>
      <w:r w:rsidR="000D6D29">
        <w:t>include</w:t>
      </w:r>
      <w:r w:rsidR="00C843BF">
        <w:t xml:space="preserve"> the impact of</w:t>
      </w:r>
      <w:r w:rsidR="000D6D29">
        <w:t xml:space="preserve"> the </w:t>
      </w:r>
      <w:r w:rsidR="00C64E19">
        <w:t>General Rate Case (</w:t>
      </w:r>
      <w:r w:rsidR="000D6D29">
        <w:t>GRC</w:t>
      </w:r>
      <w:r w:rsidR="00C64E19">
        <w:t>)</w:t>
      </w:r>
      <w:r w:rsidR="000D6D29">
        <w:t xml:space="preserve"> Rehearing</w:t>
      </w:r>
      <w:r w:rsidR="00C843BF">
        <w:t xml:space="preserve"> application</w:t>
      </w:r>
      <w:r w:rsidR="0079567F">
        <w:t xml:space="preserve"> (A.09-03-002)</w:t>
      </w:r>
      <w:r w:rsidR="000D6D29">
        <w:t xml:space="preserve">.  The Commission had </w:t>
      </w:r>
      <w:r w:rsidR="00C843BF">
        <w:t xml:space="preserve">previously </w:t>
      </w:r>
      <w:r w:rsidR="000D6D29">
        <w:t>denied the requested modification in the CY 2014 Resolution T-17427 adopted December 19, 2013.</w:t>
      </w:r>
    </w:p>
    <w:p w:rsidR="004B5089" w:rsidRDefault="004B5089" w:rsidP="006A1023">
      <w:pPr>
        <w:pStyle w:val="BodyText"/>
        <w:spacing w:after="0"/>
      </w:pPr>
    </w:p>
    <w:p w:rsidR="00B55F90" w:rsidRDefault="00B55F90" w:rsidP="00B55F90">
      <w:pPr>
        <w:keepNext/>
        <w:rPr>
          <w:rFonts w:ascii="Palatino" w:hAnsi="Palatino"/>
          <w:b/>
          <w:sz w:val="26"/>
        </w:rPr>
      </w:pPr>
      <w:r>
        <w:rPr>
          <w:rFonts w:ascii="Palatino" w:hAnsi="Palatino"/>
          <w:b/>
          <w:sz w:val="26"/>
        </w:rPr>
        <w:t>Response to Protests</w:t>
      </w:r>
    </w:p>
    <w:p w:rsidR="00B55F90" w:rsidRDefault="00B55F90" w:rsidP="00B55F90">
      <w:pPr>
        <w:keepNext/>
        <w:rPr>
          <w:rFonts w:ascii="Palatino" w:hAnsi="Palatino"/>
          <w:sz w:val="26"/>
        </w:rPr>
      </w:pPr>
    </w:p>
    <w:p w:rsidR="00A04C19" w:rsidRDefault="00A04C19" w:rsidP="006A1023">
      <w:pPr>
        <w:pStyle w:val="BodyText"/>
        <w:spacing w:after="0"/>
      </w:pPr>
      <w:r>
        <w:t>On October 17</w:t>
      </w:r>
      <w:r w:rsidR="00A12DF5">
        <w:t xml:space="preserve"> and 27</w:t>
      </w:r>
      <w:r>
        <w:t xml:space="preserve">, 2014, the Small ILECs filed reply comments to the ORA protests of the CHCF-A annual advice letter filings.  The Small ILECs </w:t>
      </w:r>
      <w:r w:rsidR="00C85D13">
        <w:t xml:space="preserve">responded </w:t>
      </w:r>
      <w:r>
        <w:t>that</w:t>
      </w:r>
      <w:r w:rsidR="00AE29BF">
        <w:t>,</w:t>
      </w:r>
      <w:r>
        <w:t xml:space="preserve"> contrary to ORA’s claims, each of the Small ILECs advice letters were submitted in accordance with the plain language of the CHCF-A program requirements</w:t>
      </w:r>
      <w:r w:rsidR="00E163EA">
        <w:t xml:space="preserve"> and the requested modifications to CHCF-A are consistent with both the program rules and longstanding historical practice.  </w:t>
      </w:r>
      <w:r w:rsidR="004F7E76">
        <w:t xml:space="preserve">According </w:t>
      </w:r>
      <w:r w:rsidR="00832523">
        <w:t xml:space="preserve">to </w:t>
      </w:r>
      <w:r w:rsidR="004F7E76">
        <w:t xml:space="preserve">the Small ILECs, the </w:t>
      </w:r>
      <w:r w:rsidR="00E163EA">
        <w:t>adjustments for intercarrier compensation and high cost loop support are squarely within the CHCF-A program rules</w:t>
      </w:r>
      <w:r w:rsidR="004F7E76">
        <w:t xml:space="preserve">, and that </w:t>
      </w:r>
      <w:r w:rsidR="00E163EA">
        <w:t>D.91-09-042 explicitly provides that “advice letter filings” will include “</w:t>
      </w:r>
      <w:r w:rsidR="00E163EA" w:rsidRPr="006D42D1">
        <w:t>all other regulatory changes of industry-wide effect</w:t>
      </w:r>
      <w:r w:rsidR="00E9057C">
        <w:t>…</w:t>
      </w:r>
      <w:r w:rsidR="00E163EA">
        <w:t>”</w:t>
      </w:r>
      <w:r w:rsidR="00E9057C">
        <w:rPr>
          <w:rStyle w:val="FootnoteReference"/>
        </w:rPr>
        <w:footnoteReference w:id="4"/>
      </w:r>
    </w:p>
    <w:p w:rsidR="00E163EA" w:rsidRDefault="00E163EA" w:rsidP="006A1023">
      <w:pPr>
        <w:pStyle w:val="BodyText"/>
        <w:spacing w:after="0"/>
      </w:pPr>
    </w:p>
    <w:p w:rsidR="00E163EA" w:rsidRDefault="005638DA" w:rsidP="006A1023">
      <w:pPr>
        <w:pStyle w:val="BodyText"/>
        <w:spacing w:after="0"/>
      </w:pPr>
      <w:r>
        <w:t xml:space="preserve">The Small ILECs further stated that </w:t>
      </w:r>
      <w:r w:rsidR="00E163EA">
        <w:t xml:space="preserve">ORA’s recommendation to limit the Small ILECs </w:t>
      </w:r>
      <w:r w:rsidR="00281830">
        <w:t>LifeLine</w:t>
      </w:r>
      <w:r w:rsidR="00E163EA">
        <w:t xml:space="preserve"> claims to $0.03 (per customers per month) must be rejected as D.10-11-033 does not say what ORA purports to say.  </w:t>
      </w:r>
      <w:r w:rsidR="00F7183F">
        <w:t xml:space="preserve">The Small ILECs cited </w:t>
      </w:r>
      <w:r w:rsidR="00E163EA">
        <w:t>D.10-11-033 at p. 91</w:t>
      </w:r>
      <w:r w:rsidR="00F7183F">
        <w:t>, which</w:t>
      </w:r>
      <w:r w:rsidR="00E163EA">
        <w:t xml:space="preserve"> states that the Small ILECs </w:t>
      </w:r>
      <w:r w:rsidR="002D5F19">
        <w:t xml:space="preserve">are permitted to </w:t>
      </w:r>
      <w:r w:rsidR="00E163EA">
        <w:t>claim reimbursement for any costs above the allowable LifeLine</w:t>
      </w:r>
      <w:r>
        <w:t xml:space="preserve"> administrative claim.</w:t>
      </w:r>
      <w:r w:rsidR="00775DD3">
        <w:t xml:space="preserve">  </w:t>
      </w:r>
      <w:r w:rsidR="00F7183F">
        <w:t xml:space="preserve">Accordingly, the Small ILECs dismissed </w:t>
      </w:r>
      <w:r w:rsidR="00775DD3">
        <w:t xml:space="preserve">ORA’s assertion that the LifeLine process does not provide for “double recovery” of LifeLine administrative costs </w:t>
      </w:r>
      <w:r w:rsidR="00F7183F">
        <w:t>a</w:t>
      </w:r>
      <w:r w:rsidR="00775DD3">
        <w:t>s unwarranted</w:t>
      </w:r>
      <w:r w:rsidR="00F7183F">
        <w:t>, and argued that</w:t>
      </w:r>
      <w:r w:rsidR="00775DD3">
        <w:t xml:space="preserve"> D.10-11-033 allowed rate of return carriers to recover expenses beyond the $0.50 per customer until each carrier’s next rate case.</w:t>
      </w:r>
    </w:p>
    <w:p w:rsidR="00775DD3" w:rsidRDefault="00775DD3" w:rsidP="006A1023">
      <w:pPr>
        <w:pStyle w:val="BodyText"/>
        <w:spacing w:after="0"/>
      </w:pPr>
    </w:p>
    <w:p w:rsidR="00775DD3" w:rsidRDefault="00775DD3" w:rsidP="006A1023">
      <w:pPr>
        <w:pStyle w:val="BodyText"/>
        <w:spacing w:after="0"/>
      </w:pPr>
      <w:r>
        <w:t>The Small ILECs responded to the ORA protest of Pinnacles</w:t>
      </w:r>
      <w:r w:rsidR="00AC2B3A">
        <w:t>’</w:t>
      </w:r>
      <w:r>
        <w:t xml:space="preserve"> operating expenses </w:t>
      </w:r>
      <w:r w:rsidR="00457CF9">
        <w:t>and stated that the expenses, for</w:t>
      </w:r>
      <w:r>
        <w:t xml:space="preserve"> six out of eight expense cate</w:t>
      </w:r>
      <w:r w:rsidR="001171BC">
        <w:t xml:space="preserve">gories, </w:t>
      </w:r>
      <w:r w:rsidRPr="006B3AA4">
        <w:t xml:space="preserve">declined between 12.61% to 27.72%.  </w:t>
      </w:r>
      <w:r w:rsidR="00F7183F" w:rsidRPr="00470A7D">
        <w:t>The Small ILECs argued that</w:t>
      </w:r>
      <w:r w:rsidRPr="00470A7D">
        <w:t xml:space="preserve"> Foresthill’s</w:t>
      </w:r>
      <w:r>
        <w:t xml:space="preserve"> and Kerman’s operating expenses and/or revenues are nothing more than normal fluctuations that inform the means test calculation.  </w:t>
      </w:r>
      <w:r w:rsidR="00457CF9">
        <w:t>And the Small ILECs responded that t</w:t>
      </w:r>
      <w:r>
        <w:t xml:space="preserve">he CHCF-A </w:t>
      </w:r>
      <w:r w:rsidR="00457CF9">
        <w:t>a</w:t>
      </w:r>
      <w:r>
        <w:t xml:space="preserve">dvice </w:t>
      </w:r>
      <w:r w:rsidR="00457CF9">
        <w:t>l</w:t>
      </w:r>
      <w:r>
        <w:t>etter process is not intended to involve a reasonableness review of individual cost/revenue items</w:t>
      </w:r>
      <w:r w:rsidR="00457CF9">
        <w:t xml:space="preserve"> and that type of </w:t>
      </w:r>
      <w:r>
        <w:t>analysis is reserved for the rate case process.</w:t>
      </w:r>
    </w:p>
    <w:p w:rsidR="006D0129" w:rsidRDefault="006D0129" w:rsidP="006A1023">
      <w:pPr>
        <w:pStyle w:val="BodyText"/>
        <w:spacing w:after="0"/>
      </w:pPr>
    </w:p>
    <w:p w:rsidR="00F7183F" w:rsidRDefault="00775DD3" w:rsidP="006A1023">
      <w:pPr>
        <w:pStyle w:val="BodyText"/>
        <w:spacing w:after="0"/>
      </w:pPr>
      <w:r>
        <w:t xml:space="preserve">The Small ILECs </w:t>
      </w:r>
      <w:r w:rsidR="00F7183F">
        <w:t xml:space="preserve">responded </w:t>
      </w:r>
      <w:r>
        <w:t xml:space="preserve">to ORA’s protest regarding Ducor’s GRC application for rehearing </w:t>
      </w:r>
      <w:r w:rsidR="00F7183F">
        <w:t>by stating that they wanted</w:t>
      </w:r>
      <w:r>
        <w:t xml:space="preserve"> a placeholder in the CHCF-A CY resolution</w:t>
      </w:r>
      <w:r w:rsidR="00F7183F">
        <w:t xml:space="preserve"> in case the Commission ruled in their favor</w:t>
      </w:r>
      <w:r>
        <w:t>.</w:t>
      </w:r>
      <w:r w:rsidR="00137042">
        <w:t xml:space="preserve">  </w:t>
      </w:r>
    </w:p>
    <w:p w:rsidR="00137042" w:rsidRDefault="00137042" w:rsidP="006A1023">
      <w:pPr>
        <w:pStyle w:val="BodyText"/>
        <w:spacing w:after="0"/>
      </w:pPr>
    </w:p>
    <w:p w:rsidR="00EA18C9" w:rsidRDefault="00FD2111">
      <w:pPr>
        <w:rPr>
          <w:rFonts w:ascii="Palatino" w:hAnsi="Palatino"/>
          <w:b/>
          <w:sz w:val="26"/>
        </w:rPr>
      </w:pPr>
      <w:r>
        <w:rPr>
          <w:rFonts w:ascii="Palatino" w:hAnsi="Palatino"/>
          <w:b/>
          <w:sz w:val="26"/>
        </w:rPr>
        <w:t>Discussion</w:t>
      </w:r>
    </w:p>
    <w:p w:rsidR="00EA18C9" w:rsidRPr="00AF509D" w:rsidRDefault="00EA18C9">
      <w:pPr>
        <w:rPr>
          <w:rFonts w:ascii="Palatino" w:hAnsi="Palatino"/>
          <w:b/>
          <w:sz w:val="26"/>
        </w:rPr>
      </w:pPr>
    </w:p>
    <w:p w:rsidR="005503A6" w:rsidRDefault="00D302F3" w:rsidP="006A1023">
      <w:pPr>
        <w:pStyle w:val="Heading3"/>
      </w:pPr>
      <w:r w:rsidRPr="00AF509D">
        <w:rPr>
          <w:szCs w:val="24"/>
        </w:rPr>
        <w:t>Ten of the</w:t>
      </w:r>
      <w:r w:rsidR="00FD2111" w:rsidRPr="00AF509D">
        <w:rPr>
          <w:szCs w:val="24"/>
        </w:rPr>
        <w:t xml:space="preserve"> </w:t>
      </w:r>
      <w:r w:rsidR="00BD061C" w:rsidRPr="00AF509D">
        <w:rPr>
          <w:szCs w:val="24"/>
        </w:rPr>
        <w:t xml:space="preserve">thirteen </w:t>
      </w:r>
      <w:r w:rsidR="00FD2111" w:rsidRPr="00AF509D">
        <w:rPr>
          <w:szCs w:val="24"/>
        </w:rPr>
        <w:t xml:space="preserve">Small </w:t>
      </w:r>
      <w:r w:rsidR="00CC4F3E" w:rsidRPr="00AF509D">
        <w:rPr>
          <w:szCs w:val="24"/>
        </w:rPr>
        <w:t>ILEC</w:t>
      </w:r>
      <w:r w:rsidR="00FD2111" w:rsidRPr="00AF509D">
        <w:rPr>
          <w:szCs w:val="24"/>
        </w:rPr>
        <w:t>s request</w:t>
      </w:r>
      <w:r w:rsidR="00DD3D2F" w:rsidRPr="00AF509D">
        <w:rPr>
          <w:szCs w:val="24"/>
        </w:rPr>
        <w:t>ed</w:t>
      </w:r>
      <w:r w:rsidR="00FD2111" w:rsidRPr="00AF509D">
        <w:rPr>
          <w:szCs w:val="24"/>
        </w:rPr>
        <w:t xml:space="preserve"> a total of $</w:t>
      </w:r>
      <w:r w:rsidR="0051650D" w:rsidRPr="00AF509D">
        <w:rPr>
          <w:szCs w:val="24"/>
        </w:rPr>
        <w:t>33.143</w:t>
      </w:r>
      <w:r w:rsidR="00FD2111" w:rsidRPr="00AF509D">
        <w:rPr>
          <w:szCs w:val="24"/>
        </w:rPr>
        <w:t xml:space="preserve"> million in </w:t>
      </w:r>
      <w:r w:rsidR="00DE7347" w:rsidRPr="00AF509D">
        <w:rPr>
          <w:szCs w:val="24"/>
        </w:rPr>
        <w:t>CHCF-</w:t>
      </w:r>
      <w:r w:rsidR="00FD2111" w:rsidRPr="00AF509D">
        <w:rPr>
          <w:szCs w:val="24"/>
        </w:rPr>
        <w:t>A support</w:t>
      </w:r>
      <w:r w:rsidR="006A1023" w:rsidRPr="00AF509D">
        <w:rPr>
          <w:szCs w:val="24"/>
        </w:rPr>
        <w:t xml:space="preserve"> for CY 201</w:t>
      </w:r>
      <w:r w:rsidR="00D143F0" w:rsidRPr="00AF509D">
        <w:rPr>
          <w:szCs w:val="24"/>
        </w:rPr>
        <w:t>5</w:t>
      </w:r>
      <w:r w:rsidR="00FD2111" w:rsidRPr="00AF509D">
        <w:rPr>
          <w:szCs w:val="24"/>
        </w:rPr>
        <w:t xml:space="preserve">.  </w:t>
      </w:r>
      <w:r w:rsidR="006908B9">
        <w:rPr>
          <w:szCs w:val="24"/>
        </w:rPr>
        <w:t xml:space="preserve">We have </w:t>
      </w:r>
      <w:r w:rsidR="00C125A9" w:rsidRPr="00AF509D">
        <w:rPr>
          <w:szCs w:val="24"/>
        </w:rPr>
        <w:t>review</w:t>
      </w:r>
      <w:r w:rsidR="006908B9">
        <w:rPr>
          <w:szCs w:val="24"/>
        </w:rPr>
        <w:t>ed</w:t>
      </w:r>
      <w:r w:rsidR="00C125A9" w:rsidRPr="00AF509D">
        <w:rPr>
          <w:szCs w:val="24"/>
        </w:rPr>
        <w:t xml:space="preserve"> ORA’s protests and the Small ILEC</w:t>
      </w:r>
      <w:r w:rsidR="006908B9">
        <w:rPr>
          <w:szCs w:val="24"/>
        </w:rPr>
        <w:t>s</w:t>
      </w:r>
      <w:r w:rsidR="00C125A9" w:rsidRPr="00AF509D">
        <w:rPr>
          <w:szCs w:val="24"/>
        </w:rPr>
        <w:t>’ responses</w:t>
      </w:r>
      <w:r w:rsidR="006908B9">
        <w:rPr>
          <w:szCs w:val="24"/>
        </w:rPr>
        <w:t xml:space="preserve"> and find that the </w:t>
      </w:r>
      <w:r w:rsidR="00CC6103" w:rsidRPr="00AF509D">
        <w:rPr>
          <w:szCs w:val="24"/>
        </w:rPr>
        <w:t>reductions to intercarrier compensation and LifeLine are the result of net settlement effects of regulatory changes to federal and state support mechanisms ordered</w:t>
      </w:r>
      <w:r w:rsidR="006908B9">
        <w:rPr>
          <w:szCs w:val="24"/>
        </w:rPr>
        <w:t xml:space="preserve"> </w:t>
      </w:r>
      <w:r w:rsidR="00CC6103" w:rsidRPr="00AF509D">
        <w:rPr>
          <w:szCs w:val="24"/>
        </w:rPr>
        <w:t xml:space="preserve">by the Commission </w:t>
      </w:r>
      <w:r w:rsidR="006908B9">
        <w:rPr>
          <w:szCs w:val="24"/>
        </w:rPr>
        <w:t>and</w:t>
      </w:r>
      <w:r w:rsidR="00CC6103" w:rsidRPr="00AF509D">
        <w:rPr>
          <w:szCs w:val="24"/>
        </w:rPr>
        <w:t xml:space="preserve"> the FCC, which the Commission has allowed in past years (D.91-09-042, Appendix, Part B).  CD finds that cost adjustments proposed by the Small ILECs, with the exception of Ducor’s request for CHCF-A support modification resulting from its 2009 GRC rehearing application</w:t>
      </w:r>
      <w:r w:rsidR="006613D7">
        <w:rPr>
          <w:szCs w:val="24"/>
        </w:rPr>
        <w:t>,</w:t>
      </w:r>
      <w:r w:rsidR="00CC6103" w:rsidRPr="00AF509D">
        <w:rPr>
          <w:szCs w:val="24"/>
        </w:rPr>
        <w:t xml:space="preserve"> are reasonable.</w:t>
      </w:r>
      <w:r w:rsidR="00734ABE">
        <w:rPr>
          <w:szCs w:val="24"/>
        </w:rPr>
        <w:t xml:space="preserve">  CD </w:t>
      </w:r>
      <w:r w:rsidR="0052049C">
        <w:rPr>
          <w:szCs w:val="24"/>
        </w:rPr>
        <w:t xml:space="preserve">finds that </w:t>
      </w:r>
      <w:r w:rsidR="00734ABE">
        <w:rPr>
          <w:szCs w:val="24"/>
        </w:rPr>
        <w:t>the numbers provided by the Small ILECs are sufficiently clear.</w:t>
      </w:r>
      <w:r w:rsidR="00CC6103" w:rsidRPr="00AF509D">
        <w:rPr>
          <w:szCs w:val="24"/>
        </w:rPr>
        <w:t xml:space="preserve">  </w:t>
      </w:r>
      <w:r w:rsidR="00CC6103" w:rsidRPr="000C21B6">
        <w:rPr>
          <w:szCs w:val="24"/>
        </w:rPr>
        <w:t>The</w:t>
      </w:r>
      <w:r w:rsidR="006246A6" w:rsidRPr="008209B8">
        <w:rPr>
          <w:szCs w:val="24"/>
        </w:rPr>
        <w:t>r</w:t>
      </w:r>
      <w:r w:rsidR="00CC6103" w:rsidRPr="008209B8">
        <w:rPr>
          <w:szCs w:val="24"/>
        </w:rPr>
        <w:t xml:space="preserve">e </w:t>
      </w:r>
      <w:r w:rsidR="006246A6" w:rsidRPr="000C21B6">
        <w:rPr>
          <w:szCs w:val="24"/>
        </w:rPr>
        <w:t xml:space="preserve">is further discussion regarding the </w:t>
      </w:r>
      <w:r w:rsidR="00CC6103" w:rsidRPr="000C21B6">
        <w:rPr>
          <w:szCs w:val="24"/>
        </w:rPr>
        <w:t>issues in the CHCF-A Rulemaking R.11-11-007 and/or upcoming GRCs, in Section A.</w:t>
      </w:r>
    </w:p>
    <w:p w:rsidR="005503A6" w:rsidRDefault="005503A6" w:rsidP="006A1023">
      <w:pPr>
        <w:pStyle w:val="Heading3"/>
      </w:pPr>
    </w:p>
    <w:p w:rsidR="00FD2111" w:rsidRDefault="0013193D" w:rsidP="006A1023">
      <w:pPr>
        <w:pStyle w:val="Heading3"/>
      </w:pPr>
      <w:r>
        <w:t xml:space="preserve">Accordingly, </w:t>
      </w:r>
      <w:r w:rsidR="00FD2111">
        <w:t xml:space="preserve">CD approves and recommends a total </w:t>
      </w:r>
      <w:r w:rsidR="006A1023">
        <w:t xml:space="preserve">of </w:t>
      </w:r>
      <w:r w:rsidR="00FD2111">
        <w:t>$</w:t>
      </w:r>
      <w:r w:rsidR="0051650D">
        <w:t>32.9</w:t>
      </w:r>
      <w:r w:rsidR="00C36C1B">
        <w:t>95</w:t>
      </w:r>
      <w:r w:rsidR="00FD2111">
        <w:t xml:space="preserve"> million</w:t>
      </w:r>
      <w:r w:rsidR="007A0A10">
        <w:t xml:space="preserve"> </w:t>
      </w:r>
      <w:r w:rsidR="0052049C">
        <w:t xml:space="preserve">in CHCF-A fund support </w:t>
      </w:r>
      <w:r w:rsidR="007A0A10">
        <w:t xml:space="preserve">for </w:t>
      </w:r>
      <w:r>
        <w:t>C</w:t>
      </w:r>
      <w:r w:rsidR="00115176">
        <w:t>Y</w:t>
      </w:r>
      <w:r>
        <w:t xml:space="preserve"> 2015 as further</w:t>
      </w:r>
      <w:r w:rsidR="00DD6E5A">
        <w:t xml:space="preserve"> </w:t>
      </w:r>
      <w:r w:rsidR="007A0A10">
        <w:t>discussed in Section A</w:t>
      </w:r>
      <w:r w:rsidR="006A1023">
        <w:t>.</w:t>
      </w:r>
      <w:r w:rsidR="00FD2111">
        <w:t xml:space="preserve">  The specific authorized amount</w:t>
      </w:r>
      <w:r w:rsidR="00B6027F">
        <w:t>s</w:t>
      </w:r>
      <w:r w:rsidR="00FD2111">
        <w:t xml:space="preserve"> and the calculation</w:t>
      </w:r>
      <w:r w:rsidR="00B6027F">
        <w:t>s</w:t>
      </w:r>
      <w:r w:rsidR="00FD2111">
        <w:t xml:space="preserve"> for each of the Small </w:t>
      </w:r>
      <w:r w:rsidR="00CC4F3E">
        <w:t>ILEC</w:t>
      </w:r>
      <w:r w:rsidR="00FD2111">
        <w:t xml:space="preserve">s </w:t>
      </w:r>
      <w:r w:rsidR="00B6027F">
        <w:t>are</w:t>
      </w:r>
      <w:r w:rsidR="00FD2111">
        <w:t xml:space="preserve"> provided in </w:t>
      </w:r>
      <w:r w:rsidR="00DD6E5A">
        <w:t xml:space="preserve">the subsequent </w:t>
      </w:r>
      <w:r w:rsidR="00FD2111">
        <w:t>Section B (CHCF-A Support Summary by Carrier) of this Resolution.</w:t>
      </w:r>
    </w:p>
    <w:p w:rsidR="00FD2111" w:rsidRDefault="00FD2111">
      <w:pPr>
        <w:pStyle w:val="BodyText"/>
        <w:tabs>
          <w:tab w:val="clear" w:pos="720"/>
          <w:tab w:val="left" w:pos="0"/>
          <w:tab w:val="left" w:pos="1080"/>
        </w:tabs>
        <w:spacing w:after="0"/>
      </w:pPr>
    </w:p>
    <w:p w:rsidR="00FD2111" w:rsidRPr="0059723C" w:rsidRDefault="00D143F0">
      <w:pPr>
        <w:pStyle w:val="Heading2"/>
        <w:rPr>
          <w:i/>
          <w:sz w:val="26"/>
          <w:szCs w:val="26"/>
        </w:rPr>
      </w:pPr>
      <w:r>
        <w:rPr>
          <w:i/>
          <w:sz w:val="26"/>
          <w:szCs w:val="26"/>
        </w:rPr>
        <w:t>A.   2015</w:t>
      </w:r>
      <w:r w:rsidR="00FD2111" w:rsidRPr="0059723C">
        <w:rPr>
          <w:i/>
          <w:sz w:val="26"/>
          <w:szCs w:val="26"/>
        </w:rPr>
        <w:t xml:space="preserve"> CHCF-A Rules and Orders Considered</w:t>
      </w:r>
    </w:p>
    <w:p w:rsidR="00FD2111" w:rsidRDefault="00FD2111" w:rsidP="00016485">
      <w:pPr>
        <w:tabs>
          <w:tab w:val="left" w:pos="810"/>
        </w:tabs>
        <w:rPr>
          <w:rFonts w:ascii="Palatino" w:hAnsi="Palatino"/>
          <w:sz w:val="24"/>
        </w:rPr>
      </w:pPr>
      <w:r>
        <w:rPr>
          <w:rFonts w:ascii="Palatino" w:hAnsi="Palatino"/>
          <w:sz w:val="24"/>
        </w:rPr>
        <w:t xml:space="preserve">CD reviewed the advice letter filings made by the Small </w:t>
      </w:r>
      <w:r w:rsidR="00CC4F3E">
        <w:rPr>
          <w:rFonts w:ascii="Palatino" w:hAnsi="Palatino"/>
          <w:sz w:val="24"/>
        </w:rPr>
        <w:t>ILEC</w:t>
      </w:r>
      <w:r w:rsidR="00D143F0">
        <w:rPr>
          <w:rFonts w:ascii="Palatino" w:hAnsi="Palatino"/>
          <w:sz w:val="24"/>
        </w:rPr>
        <w:t>s in connection with the CY 2015</w:t>
      </w:r>
      <w:r>
        <w:rPr>
          <w:rFonts w:ascii="Palatino" w:hAnsi="Palatino"/>
          <w:sz w:val="24"/>
        </w:rPr>
        <w:t xml:space="preserve"> CHCF-A revenue requirements and</w:t>
      </w:r>
      <w:r w:rsidR="00DD6E5A">
        <w:rPr>
          <w:rFonts w:ascii="Palatino" w:hAnsi="Palatino"/>
          <w:sz w:val="24"/>
        </w:rPr>
        <w:t>, in many cases,</w:t>
      </w:r>
      <w:r>
        <w:rPr>
          <w:rFonts w:ascii="Palatino" w:hAnsi="Palatino"/>
          <w:sz w:val="24"/>
        </w:rPr>
        <w:t xml:space="preserve"> revised their </w:t>
      </w:r>
      <w:r w:rsidR="00DD6E5A">
        <w:rPr>
          <w:rFonts w:ascii="Palatino" w:hAnsi="Palatino"/>
          <w:sz w:val="24"/>
        </w:rPr>
        <w:t xml:space="preserve">respective </w:t>
      </w:r>
      <w:r>
        <w:rPr>
          <w:rFonts w:ascii="Palatino" w:hAnsi="Palatino"/>
          <w:sz w:val="24"/>
        </w:rPr>
        <w:t>requests</w:t>
      </w:r>
      <w:r w:rsidR="00DD6E5A">
        <w:rPr>
          <w:rFonts w:ascii="Palatino" w:hAnsi="Palatino"/>
          <w:sz w:val="24"/>
        </w:rPr>
        <w:t xml:space="preserve"> after reviewing data updates</w:t>
      </w:r>
      <w:r>
        <w:rPr>
          <w:rFonts w:ascii="Palatino" w:hAnsi="Palatino"/>
          <w:sz w:val="24"/>
        </w:rPr>
        <w:t>.  The $</w:t>
      </w:r>
      <w:r w:rsidR="00D143F0">
        <w:rPr>
          <w:rFonts w:ascii="Palatino" w:hAnsi="Palatino"/>
          <w:sz w:val="24"/>
        </w:rPr>
        <w:t>0.</w:t>
      </w:r>
      <w:r w:rsidR="001F494D">
        <w:rPr>
          <w:rFonts w:ascii="Palatino" w:hAnsi="Palatino"/>
          <w:sz w:val="24"/>
        </w:rPr>
        <w:t>1</w:t>
      </w:r>
      <w:r w:rsidR="00C36C1B">
        <w:rPr>
          <w:rFonts w:ascii="Palatino" w:hAnsi="Palatino"/>
          <w:sz w:val="24"/>
        </w:rPr>
        <w:t>48</w:t>
      </w:r>
      <w:r>
        <w:rPr>
          <w:rFonts w:ascii="Palatino" w:hAnsi="Palatino"/>
          <w:sz w:val="24"/>
        </w:rPr>
        <w:t xml:space="preserve"> million differential between t</w:t>
      </w:r>
      <w:r w:rsidR="001F494D">
        <w:rPr>
          <w:rFonts w:ascii="Palatino" w:hAnsi="Palatino"/>
          <w:sz w:val="24"/>
        </w:rPr>
        <w:t xml:space="preserve">he </w:t>
      </w:r>
      <w:r w:rsidR="0052049C">
        <w:rPr>
          <w:rFonts w:ascii="Palatino" w:hAnsi="Palatino"/>
          <w:sz w:val="24"/>
        </w:rPr>
        <w:t xml:space="preserve">Small ILECs’ </w:t>
      </w:r>
      <w:r w:rsidR="001F494D">
        <w:rPr>
          <w:rFonts w:ascii="Palatino" w:hAnsi="Palatino"/>
          <w:sz w:val="24"/>
        </w:rPr>
        <w:t>cumulative request of $33.143</w:t>
      </w:r>
      <w:r>
        <w:rPr>
          <w:rFonts w:ascii="Palatino" w:hAnsi="Palatino"/>
          <w:sz w:val="24"/>
        </w:rPr>
        <w:t xml:space="preserve"> million and </w:t>
      </w:r>
      <w:r w:rsidR="0052049C">
        <w:rPr>
          <w:rFonts w:ascii="Palatino" w:hAnsi="Palatino"/>
          <w:sz w:val="24"/>
        </w:rPr>
        <w:t xml:space="preserve">CD’s </w:t>
      </w:r>
      <w:r w:rsidR="001D3B0D">
        <w:rPr>
          <w:rFonts w:ascii="Palatino" w:hAnsi="Palatino"/>
          <w:sz w:val="24"/>
        </w:rPr>
        <w:t xml:space="preserve">recommended </w:t>
      </w:r>
      <w:r>
        <w:rPr>
          <w:rFonts w:ascii="Palatino" w:hAnsi="Palatino"/>
          <w:sz w:val="24"/>
        </w:rPr>
        <w:t>CHCF-A support of $</w:t>
      </w:r>
      <w:r w:rsidR="001F494D">
        <w:rPr>
          <w:rFonts w:ascii="Palatino" w:hAnsi="Palatino"/>
          <w:sz w:val="24"/>
        </w:rPr>
        <w:t>32.9</w:t>
      </w:r>
      <w:r w:rsidR="00C36C1B">
        <w:rPr>
          <w:rFonts w:ascii="Palatino" w:hAnsi="Palatino"/>
          <w:sz w:val="24"/>
        </w:rPr>
        <w:t>95</w:t>
      </w:r>
      <w:r>
        <w:rPr>
          <w:rFonts w:ascii="Palatino" w:hAnsi="Palatino"/>
          <w:sz w:val="24"/>
        </w:rPr>
        <w:t xml:space="preserve"> million is </w:t>
      </w:r>
      <w:r w:rsidR="00DD6E5A">
        <w:rPr>
          <w:rFonts w:ascii="Palatino" w:hAnsi="Palatino"/>
          <w:sz w:val="24"/>
        </w:rPr>
        <w:t>due</w:t>
      </w:r>
      <w:r>
        <w:rPr>
          <w:rFonts w:ascii="Palatino" w:hAnsi="Palatino"/>
          <w:sz w:val="24"/>
        </w:rPr>
        <w:t xml:space="preserve"> to final Net Interstate Expense Adjustment data provided by </w:t>
      </w:r>
      <w:r w:rsidR="00915610">
        <w:rPr>
          <w:rFonts w:ascii="Palatino" w:hAnsi="Palatino"/>
          <w:sz w:val="24"/>
        </w:rPr>
        <w:t>the National Exchange Carrier Association (</w:t>
      </w:r>
      <w:r>
        <w:rPr>
          <w:rFonts w:ascii="Palatino" w:hAnsi="Palatino"/>
          <w:sz w:val="24"/>
        </w:rPr>
        <w:t>NECA</w:t>
      </w:r>
      <w:r w:rsidR="00915610">
        <w:rPr>
          <w:rFonts w:ascii="Palatino" w:hAnsi="Palatino"/>
          <w:sz w:val="24"/>
        </w:rPr>
        <w:t>)</w:t>
      </w:r>
      <w:r w:rsidR="00DD6E5A">
        <w:rPr>
          <w:rFonts w:ascii="Palatino" w:hAnsi="Palatino"/>
          <w:sz w:val="24"/>
        </w:rPr>
        <w:t xml:space="preserve">, </w:t>
      </w:r>
      <w:r w:rsidR="00590B92">
        <w:rPr>
          <w:rFonts w:ascii="Palatino" w:hAnsi="Palatino"/>
          <w:sz w:val="24"/>
        </w:rPr>
        <w:t xml:space="preserve">other adjustments due to FCC </w:t>
      </w:r>
      <w:r w:rsidR="007A0A10">
        <w:rPr>
          <w:rFonts w:ascii="Palatino" w:hAnsi="Palatino"/>
          <w:sz w:val="24"/>
        </w:rPr>
        <w:t xml:space="preserve">and </w:t>
      </w:r>
      <w:r w:rsidR="00590B92">
        <w:rPr>
          <w:rFonts w:ascii="Palatino" w:hAnsi="Palatino"/>
          <w:sz w:val="24"/>
        </w:rPr>
        <w:t>Commission Decisions</w:t>
      </w:r>
      <w:r w:rsidR="00B75657">
        <w:rPr>
          <w:rFonts w:ascii="Palatino" w:hAnsi="Palatino"/>
          <w:sz w:val="24"/>
        </w:rPr>
        <w:t xml:space="preserve"> </w:t>
      </w:r>
      <w:r w:rsidR="007A0A10">
        <w:rPr>
          <w:rFonts w:ascii="Palatino" w:hAnsi="Palatino"/>
          <w:sz w:val="24"/>
        </w:rPr>
        <w:t xml:space="preserve">and </w:t>
      </w:r>
      <w:r w:rsidR="00AB3F35">
        <w:rPr>
          <w:rFonts w:ascii="Palatino" w:hAnsi="Palatino"/>
          <w:sz w:val="24"/>
        </w:rPr>
        <w:t>rulings</w:t>
      </w:r>
      <w:r w:rsidR="00DC308A">
        <w:rPr>
          <w:rFonts w:ascii="Palatino" w:hAnsi="Palatino"/>
          <w:sz w:val="24"/>
        </w:rPr>
        <w:t>,</w:t>
      </w:r>
      <w:r w:rsidR="00C36C1B" w:rsidRPr="001B2ED1">
        <w:rPr>
          <w:rFonts w:ascii="Palatino" w:hAnsi="Palatino"/>
          <w:sz w:val="24"/>
        </w:rPr>
        <w:t xml:space="preserve"> </w:t>
      </w:r>
      <w:r w:rsidR="00C36C1B" w:rsidRPr="00EA40F3">
        <w:rPr>
          <w:rFonts w:ascii="Palatino" w:hAnsi="Palatino"/>
          <w:sz w:val="24"/>
        </w:rPr>
        <w:t xml:space="preserve">and calculation errors </w:t>
      </w:r>
      <w:r w:rsidR="00A10EA5" w:rsidRPr="00EA40F3">
        <w:rPr>
          <w:rFonts w:ascii="Palatino" w:hAnsi="Palatino"/>
          <w:sz w:val="24"/>
        </w:rPr>
        <w:t xml:space="preserve">made </w:t>
      </w:r>
      <w:r w:rsidR="00C36C1B" w:rsidRPr="00EA40F3">
        <w:rPr>
          <w:rFonts w:ascii="Palatino" w:hAnsi="Palatino"/>
          <w:sz w:val="24"/>
        </w:rPr>
        <w:t>by the Small ILECs</w:t>
      </w:r>
      <w:r w:rsidRPr="00EA40F3">
        <w:rPr>
          <w:rFonts w:ascii="Palatino" w:hAnsi="Palatino"/>
          <w:sz w:val="24"/>
        </w:rPr>
        <w:t>.</w:t>
      </w:r>
    </w:p>
    <w:p w:rsidR="001D3B0D" w:rsidRDefault="001D3B0D">
      <w:pPr>
        <w:tabs>
          <w:tab w:val="left" w:pos="720"/>
        </w:tabs>
        <w:rPr>
          <w:rFonts w:ascii="Palatino" w:hAnsi="Palatino"/>
          <w:sz w:val="24"/>
        </w:rPr>
      </w:pPr>
    </w:p>
    <w:p w:rsidR="00FD2111" w:rsidRDefault="001D3B0D" w:rsidP="00822F65">
      <w:pPr>
        <w:tabs>
          <w:tab w:val="left" w:pos="720"/>
        </w:tabs>
        <w:rPr>
          <w:rFonts w:ascii="Palatino" w:hAnsi="Palatino"/>
          <w:sz w:val="24"/>
        </w:rPr>
      </w:pPr>
      <w:r>
        <w:rPr>
          <w:rFonts w:ascii="Palatino" w:hAnsi="Palatino"/>
          <w:sz w:val="24"/>
        </w:rPr>
        <w:t xml:space="preserve">CD’s </w:t>
      </w:r>
      <w:r w:rsidR="0052049C">
        <w:rPr>
          <w:rFonts w:ascii="Palatino" w:hAnsi="Palatino"/>
          <w:sz w:val="24"/>
        </w:rPr>
        <w:t xml:space="preserve">total </w:t>
      </w:r>
      <w:r>
        <w:rPr>
          <w:rFonts w:ascii="Palatino" w:hAnsi="Palatino"/>
          <w:sz w:val="24"/>
        </w:rPr>
        <w:t>recommended amount is also based on the following FCC and Commission rul</w:t>
      </w:r>
      <w:r w:rsidR="00AB3F35">
        <w:rPr>
          <w:rFonts w:ascii="Palatino" w:hAnsi="Palatino"/>
          <w:sz w:val="24"/>
        </w:rPr>
        <w:t>ings</w:t>
      </w:r>
      <w:r>
        <w:rPr>
          <w:rFonts w:ascii="Palatino" w:hAnsi="Palatino"/>
          <w:sz w:val="24"/>
        </w:rPr>
        <w:t xml:space="preserve"> and decisions:</w:t>
      </w:r>
    </w:p>
    <w:p w:rsidR="00822F65" w:rsidRDefault="00822F65" w:rsidP="00AF509D">
      <w:pPr>
        <w:keepNext/>
        <w:ind w:firstLine="720"/>
        <w:rPr>
          <w:rFonts w:ascii="Palatino" w:hAnsi="Palatino"/>
          <w:b/>
          <w:sz w:val="24"/>
          <w:u w:val="single"/>
        </w:rPr>
      </w:pPr>
    </w:p>
    <w:p w:rsidR="00FD2111" w:rsidRPr="006876A5" w:rsidRDefault="00FD2111">
      <w:pPr>
        <w:keepNext/>
        <w:spacing w:after="120"/>
        <w:ind w:right="1440" w:firstLine="720"/>
        <w:rPr>
          <w:rFonts w:ascii="Palatino" w:hAnsi="Palatino"/>
          <w:b/>
          <w:sz w:val="24"/>
          <w:u w:val="single"/>
        </w:rPr>
      </w:pPr>
      <w:r w:rsidRPr="006876A5">
        <w:rPr>
          <w:rFonts w:ascii="Palatino" w:hAnsi="Palatino"/>
          <w:b/>
          <w:sz w:val="24"/>
          <w:u w:val="single"/>
        </w:rPr>
        <w:t>GRCs</w:t>
      </w:r>
    </w:p>
    <w:p w:rsidR="006A2DD9" w:rsidRDefault="00305C3B" w:rsidP="006876A5">
      <w:pPr>
        <w:pStyle w:val="BodyText"/>
        <w:tabs>
          <w:tab w:val="clear" w:pos="720"/>
          <w:tab w:val="left" w:pos="-1440"/>
          <w:tab w:val="left" w:pos="-720"/>
        </w:tabs>
        <w:suppressAutoHyphens/>
        <w:spacing w:after="0"/>
        <w:rPr>
          <w:bCs/>
        </w:rPr>
      </w:pPr>
      <w:r>
        <w:rPr>
          <w:bCs/>
        </w:rPr>
        <w:t>On December 28, 2011</w:t>
      </w:r>
      <w:r w:rsidR="0052049C">
        <w:rPr>
          <w:bCs/>
        </w:rPr>
        <w:t>,</w:t>
      </w:r>
      <w:r>
        <w:rPr>
          <w:bCs/>
        </w:rPr>
        <w:t xml:space="preserve"> Kerman submitted a GRC application in A.11-12-011.  </w:t>
      </w:r>
      <w:r w:rsidR="00443328">
        <w:rPr>
          <w:bCs/>
        </w:rPr>
        <w:t xml:space="preserve">The </w:t>
      </w:r>
      <w:r w:rsidR="00D10A76">
        <w:rPr>
          <w:bCs/>
        </w:rPr>
        <w:t>Commission</w:t>
      </w:r>
      <w:r w:rsidR="00443328">
        <w:rPr>
          <w:bCs/>
        </w:rPr>
        <w:t>’s</w:t>
      </w:r>
      <w:r w:rsidR="00D10A76">
        <w:rPr>
          <w:bCs/>
        </w:rPr>
        <w:t xml:space="preserve"> D.12-12-003</w:t>
      </w:r>
      <w:r>
        <w:rPr>
          <w:bCs/>
        </w:rPr>
        <w:t xml:space="preserve"> in </w:t>
      </w:r>
      <w:r w:rsidR="00443328">
        <w:rPr>
          <w:bCs/>
        </w:rPr>
        <w:t xml:space="preserve">this </w:t>
      </w:r>
      <w:r w:rsidR="00675918">
        <w:rPr>
          <w:bCs/>
        </w:rPr>
        <w:t xml:space="preserve">ongoing </w:t>
      </w:r>
      <w:r w:rsidR="00443328">
        <w:rPr>
          <w:bCs/>
        </w:rPr>
        <w:t>proceeding</w:t>
      </w:r>
      <w:r w:rsidR="00D10A76">
        <w:rPr>
          <w:bCs/>
        </w:rPr>
        <w:t xml:space="preserve"> rejected </w:t>
      </w:r>
      <w:r>
        <w:rPr>
          <w:bCs/>
        </w:rPr>
        <w:t xml:space="preserve">a </w:t>
      </w:r>
      <w:r w:rsidR="00D10A76">
        <w:rPr>
          <w:bCs/>
        </w:rPr>
        <w:t>Joint Motion</w:t>
      </w:r>
      <w:r w:rsidR="00B73627">
        <w:rPr>
          <w:bCs/>
        </w:rPr>
        <w:t xml:space="preserve"> </w:t>
      </w:r>
      <w:r w:rsidR="00D10A76">
        <w:rPr>
          <w:bCs/>
        </w:rPr>
        <w:t>for Adoption of All-Party Settlement Agreement</w:t>
      </w:r>
      <w:r w:rsidR="00486EA7">
        <w:rPr>
          <w:bCs/>
        </w:rPr>
        <w:t xml:space="preserve"> between Kerman and ORA.   </w:t>
      </w:r>
      <w:r>
        <w:rPr>
          <w:bCs/>
        </w:rPr>
        <w:t xml:space="preserve">Subsequently, </w:t>
      </w:r>
      <w:r w:rsidR="00486EA7">
        <w:rPr>
          <w:bCs/>
        </w:rPr>
        <w:t xml:space="preserve">D.13-10-051 </w:t>
      </w:r>
      <w:r>
        <w:rPr>
          <w:bCs/>
        </w:rPr>
        <w:t xml:space="preserve">adopted </w:t>
      </w:r>
      <w:r w:rsidR="00486EA7">
        <w:rPr>
          <w:bCs/>
        </w:rPr>
        <w:t>a one</w:t>
      </w:r>
      <w:r w:rsidR="00DD7602">
        <w:rPr>
          <w:bCs/>
        </w:rPr>
        <w:t>-</w:t>
      </w:r>
      <w:r w:rsidR="00486EA7">
        <w:rPr>
          <w:bCs/>
        </w:rPr>
        <w:t>year freeze of A.11-12-011, retroactive to January 1</w:t>
      </w:r>
      <w:r w:rsidR="005F65E8">
        <w:rPr>
          <w:bCs/>
        </w:rPr>
        <w:t xml:space="preserve"> through </w:t>
      </w:r>
      <w:r w:rsidR="00486EA7">
        <w:rPr>
          <w:bCs/>
        </w:rPr>
        <w:t>December 31, 2013</w:t>
      </w:r>
      <w:r>
        <w:rPr>
          <w:bCs/>
        </w:rPr>
        <w:t>, and also adopted</w:t>
      </w:r>
      <w:r w:rsidR="00DD7602">
        <w:rPr>
          <w:bCs/>
        </w:rPr>
        <w:t xml:space="preserve"> a one-year freeze of Kerman’s </w:t>
      </w:r>
      <w:r w:rsidR="008D1089">
        <w:rPr>
          <w:bCs/>
        </w:rPr>
        <w:t>“</w:t>
      </w:r>
      <w:r w:rsidR="00DD7602">
        <w:rPr>
          <w:bCs/>
        </w:rPr>
        <w:t>waterfall</w:t>
      </w:r>
      <w:r w:rsidR="008D1089">
        <w:rPr>
          <w:bCs/>
        </w:rPr>
        <w:t>”</w:t>
      </w:r>
      <w:r w:rsidR="00DD7602">
        <w:rPr>
          <w:bCs/>
        </w:rPr>
        <w:t xml:space="preserve"> (</w:t>
      </w:r>
      <w:r w:rsidR="008D1089">
        <w:rPr>
          <w:bCs/>
        </w:rPr>
        <w:t xml:space="preserve">associated with CHCF-A funding levels </w:t>
      </w:r>
      <w:r w:rsidR="006F3DD0">
        <w:rPr>
          <w:bCs/>
        </w:rPr>
        <w:t xml:space="preserve">between a small ILEC’s GRC filing dates </w:t>
      </w:r>
      <w:r>
        <w:rPr>
          <w:bCs/>
        </w:rPr>
        <w:t>as</w:t>
      </w:r>
      <w:r w:rsidR="008D1089">
        <w:rPr>
          <w:bCs/>
        </w:rPr>
        <w:t xml:space="preserve"> described</w:t>
      </w:r>
      <w:r w:rsidR="00DD7602">
        <w:rPr>
          <w:bCs/>
        </w:rPr>
        <w:t xml:space="preserve"> later thi</w:t>
      </w:r>
      <w:r w:rsidR="00D13AE4">
        <w:rPr>
          <w:bCs/>
        </w:rPr>
        <w:t>s section) to December 31, 2013</w:t>
      </w:r>
      <w:r w:rsidR="00675918">
        <w:rPr>
          <w:bCs/>
        </w:rPr>
        <w:t>.</w:t>
      </w:r>
      <w:r w:rsidR="00D13AE4">
        <w:rPr>
          <w:bCs/>
        </w:rPr>
        <w:t xml:space="preserve"> </w:t>
      </w:r>
      <w:r w:rsidR="00675918">
        <w:rPr>
          <w:bCs/>
        </w:rPr>
        <w:t xml:space="preserve"> This freeze </w:t>
      </w:r>
      <w:r w:rsidR="0022214E">
        <w:rPr>
          <w:bCs/>
        </w:rPr>
        <w:t xml:space="preserve">has </w:t>
      </w:r>
      <w:r w:rsidR="00D13AE4">
        <w:rPr>
          <w:bCs/>
        </w:rPr>
        <w:t xml:space="preserve">subsequently </w:t>
      </w:r>
      <w:r w:rsidR="0022214E">
        <w:rPr>
          <w:bCs/>
        </w:rPr>
        <w:t xml:space="preserve">been </w:t>
      </w:r>
      <w:r w:rsidR="00D13AE4">
        <w:rPr>
          <w:bCs/>
        </w:rPr>
        <w:t>extended.</w:t>
      </w:r>
    </w:p>
    <w:p w:rsidR="006A2DD9" w:rsidRDefault="006A2DD9" w:rsidP="00060027">
      <w:pPr>
        <w:pStyle w:val="BodyText"/>
        <w:tabs>
          <w:tab w:val="clear" w:pos="720"/>
          <w:tab w:val="left" w:pos="-1440"/>
          <w:tab w:val="left" w:pos="-720"/>
        </w:tabs>
        <w:suppressAutoHyphens/>
        <w:spacing w:after="0"/>
        <w:ind w:left="720"/>
        <w:rPr>
          <w:bCs/>
        </w:rPr>
      </w:pPr>
    </w:p>
    <w:p w:rsidR="00675918" w:rsidRPr="006D42D1" w:rsidRDefault="00443328" w:rsidP="006D42D1">
      <w:pPr>
        <w:pStyle w:val="standard"/>
        <w:spacing w:line="240" w:lineRule="auto"/>
        <w:ind w:firstLine="0"/>
        <w:rPr>
          <w:bCs/>
          <w:sz w:val="24"/>
          <w:szCs w:val="24"/>
        </w:rPr>
      </w:pPr>
      <w:r w:rsidRPr="006D42D1">
        <w:rPr>
          <w:bCs/>
          <w:sz w:val="24"/>
          <w:szCs w:val="24"/>
        </w:rPr>
        <w:t xml:space="preserve">At the same time, the Commission </w:t>
      </w:r>
      <w:r w:rsidR="0028312D" w:rsidRPr="006D42D1">
        <w:rPr>
          <w:bCs/>
          <w:sz w:val="24"/>
          <w:szCs w:val="24"/>
        </w:rPr>
        <w:t xml:space="preserve">separately </w:t>
      </w:r>
      <w:r w:rsidRPr="006D42D1">
        <w:rPr>
          <w:bCs/>
          <w:sz w:val="24"/>
          <w:szCs w:val="24"/>
        </w:rPr>
        <w:t>review</w:t>
      </w:r>
      <w:r w:rsidR="007A0A10" w:rsidRPr="006D42D1">
        <w:rPr>
          <w:bCs/>
          <w:sz w:val="24"/>
          <w:szCs w:val="24"/>
        </w:rPr>
        <w:t>ed</w:t>
      </w:r>
      <w:r w:rsidR="00BB31A4" w:rsidRPr="006D42D1">
        <w:rPr>
          <w:bCs/>
          <w:sz w:val="24"/>
          <w:szCs w:val="24"/>
        </w:rPr>
        <w:t xml:space="preserve"> </w:t>
      </w:r>
      <w:r w:rsidRPr="006D42D1">
        <w:rPr>
          <w:bCs/>
          <w:sz w:val="24"/>
          <w:szCs w:val="24"/>
        </w:rPr>
        <w:t xml:space="preserve">the CHCF-A </w:t>
      </w:r>
      <w:r w:rsidR="00F701D7" w:rsidRPr="006D42D1">
        <w:rPr>
          <w:bCs/>
          <w:sz w:val="24"/>
          <w:szCs w:val="24"/>
        </w:rPr>
        <w:t xml:space="preserve">program </w:t>
      </w:r>
      <w:r w:rsidRPr="006D42D1">
        <w:rPr>
          <w:bCs/>
          <w:sz w:val="24"/>
          <w:szCs w:val="24"/>
        </w:rPr>
        <w:t xml:space="preserve">in </w:t>
      </w:r>
      <w:r w:rsidR="00F96E5F" w:rsidRPr="006D42D1">
        <w:rPr>
          <w:bCs/>
          <w:sz w:val="24"/>
          <w:szCs w:val="24"/>
        </w:rPr>
        <w:t xml:space="preserve">the ongoing </w:t>
      </w:r>
      <w:r w:rsidRPr="006D42D1">
        <w:rPr>
          <w:bCs/>
          <w:sz w:val="24"/>
          <w:szCs w:val="24"/>
        </w:rPr>
        <w:t>R.11-11-007</w:t>
      </w:r>
      <w:r w:rsidR="00A002AD" w:rsidRPr="006D42D1">
        <w:rPr>
          <w:bCs/>
          <w:sz w:val="24"/>
          <w:szCs w:val="24"/>
        </w:rPr>
        <w:t>.</w:t>
      </w:r>
      <w:r w:rsidRPr="006D42D1">
        <w:rPr>
          <w:bCs/>
          <w:sz w:val="24"/>
          <w:szCs w:val="24"/>
        </w:rPr>
        <w:t xml:space="preserve"> </w:t>
      </w:r>
      <w:r w:rsidR="00A002AD" w:rsidRPr="006D42D1">
        <w:rPr>
          <w:bCs/>
          <w:sz w:val="24"/>
          <w:szCs w:val="24"/>
        </w:rPr>
        <w:t xml:space="preserve"> </w:t>
      </w:r>
      <w:r w:rsidR="007A0A10" w:rsidRPr="006D42D1">
        <w:rPr>
          <w:bCs/>
          <w:sz w:val="24"/>
          <w:szCs w:val="24"/>
        </w:rPr>
        <w:t xml:space="preserve">In </w:t>
      </w:r>
      <w:r w:rsidR="00A002AD" w:rsidRPr="006D42D1">
        <w:rPr>
          <w:bCs/>
          <w:sz w:val="24"/>
          <w:szCs w:val="24"/>
        </w:rPr>
        <w:t>D.13-02-005</w:t>
      </w:r>
      <w:r w:rsidR="00B73627" w:rsidRPr="006D42D1">
        <w:rPr>
          <w:bCs/>
          <w:sz w:val="24"/>
          <w:szCs w:val="24"/>
        </w:rPr>
        <w:t xml:space="preserve"> on February 13, 2013</w:t>
      </w:r>
      <w:r w:rsidR="007A0A10" w:rsidRPr="006D42D1">
        <w:rPr>
          <w:bCs/>
          <w:sz w:val="24"/>
          <w:szCs w:val="24"/>
        </w:rPr>
        <w:t>,</w:t>
      </w:r>
      <w:r w:rsidR="006F732E" w:rsidRPr="006D42D1">
        <w:rPr>
          <w:bCs/>
          <w:sz w:val="24"/>
          <w:szCs w:val="24"/>
        </w:rPr>
        <w:t xml:space="preserve"> the Commission</w:t>
      </w:r>
      <w:r w:rsidR="00A002AD" w:rsidRPr="006D42D1">
        <w:rPr>
          <w:bCs/>
          <w:sz w:val="24"/>
          <w:szCs w:val="24"/>
        </w:rPr>
        <w:t xml:space="preserve"> stayed the waterfall mechanism (and associated pending GRC applications) subject to a one-year freeze for all of the </w:t>
      </w:r>
      <w:r w:rsidR="002D77FA" w:rsidRPr="006D42D1">
        <w:rPr>
          <w:bCs/>
          <w:sz w:val="24"/>
          <w:szCs w:val="24"/>
        </w:rPr>
        <w:t xml:space="preserve">Small </w:t>
      </w:r>
      <w:r w:rsidR="00A002AD" w:rsidRPr="006D42D1">
        <w:rPr>
          <w:bCs/>
          <w:sz w:val="24"/>
          <w:szCs w:val="24"/>
        </w:rPr>
        <w:t>ILECs except for Kerman.  The stay is retroactive to January 1, 2013</w:t>
      </w:r>
      <w:r w:rsidR="00BB31A4" w:rsidRPr="006D42D1">
        <w:rPr>
          <w:bCs/>
          <w:sz w:val="24"/>
          <w:szCs w:val="24"/>
        </w:rPr>
        <w:t xml:space="preserve"> </w:t>
      </w:r>
      <w:r w:rsidR="00A002AD" w:rsidRPr="006D42D1">
        <w:rPr>
          <w:bCs/>
          <w:sz w:val="24"/>
          <w:szCs w:val="24"/>
        </w:rPr>
        <w:t xml:space="preserve">and </w:t>
      </w:r>
      <w:r w:rsidR="00675918" w:rsidRPr="006D42D1">
        <w:rPr>
          <w:bCs/>
          <w:sz w:val="24"/>
          <w:szCs w:val="24"/>
        </w:rPr>
        <w:t xml:space="preserve">originally extended </w:t>
      </w:r>
      <w:r w:rsidR="00A002AD" w:rsidRPr="006D42D1">
        <w:rPr>
          <w:bCs/>
          <w:sz w:val="24"/>
          <w:szCs w:val="24"/>
        </w:rPr>
        <w:t xml:space="preserve">to December 31, 2013.  </w:t>
      </w:r>
      <w:r w:rsidR="00675918" w:rsidRPr="006D42D1">
        <w:rPr>
          <w:bCs/>
          <w:sz w:val="24"/>
          <w:szCs w:val="24"/>
        </w:rPr>
        <w:t xml:space="preserve">The decision stated that parties may seek a six-month freeze extension to June 30, 2014 if it appears that the CHCF-A review will not be concluded by December 31, 2013 and may seek another six-month freeze extension to December 31, 2014 if necessary.  </w:t>
      </w:r>
    </w:p>
    <w:p w:rsidR="00675918" w:rsidRDefault="00675918" w:rsidP="00675918">
      <w:pPr>
        <w:pStyle w:val="standard"/>
        <w:spacing w:line="240" w:lineRule="auto"/>
        <w:rPr>
          <w:bCs/>
        </w:rPr>
      </w:pPr>
    </w:p>
    <w:p w:rsidR="00B73627" w:rsidRDefault="00675918" w:rsidP="00B73627">
      <w:pPr>
        <w:pStyle w:val="standard"/>
        <w:spacing w:line="240" w:lineRule="auto"/>
        <w:ind w:firstLine="0"/>
        <w:rPr>
          <w:bCs/>
          <w:sz w:val="24"/>
          <w:szCs w:val="24"/>
        </w:rPr>
      </w:pPr>
      <w:r w:rsidRPr="00B73627">
        <w:rPr>
          <w:sz w:val="24"/>
          <w:szCs w:val="24"/>
        </w:rPr>
        <w:t xml:space="preserve">On </w:t>
      </w:r>
      <w:r w:rsidR="0052049C">
        <w:rPr>
          <w:sz w:val="24"/>
          <w:szCs w:val="24"/>
        </w:rPr>
        <w:t>August 14</w:t>
      </w:r>
      <w:r w:rsidRPr="00B73627">
        <w:rPr>
          <w:sz w:val="24"/>
          <w:szCs w:val="24"/>
        </w:rPr>
        <w:t>, 2014</w:t>
      </w:r>
      <w:r w:rsidR="0052049C">
        <w:rPr>
          <w:sz w:val="24"/>
          <w:szCs w:val="24"/>
        </w:rPr>
        <w:t xml:space="preserve">, the Commission </w:t>
      </w:r>
      <w:r w:rsidRPr="00B73627">
        <w:rPr>
          <w:sz w:val="24"/>
          <w:szCs w:val="24"/>
        </w:rPr>
        <w:t xml:space="preserve">issued </w:t>
      </w:r>
      <w:r w:rsidR="0052049C">
        <w:rPr>
          <w:sz w:val="24"/>
          <w:szCs w:val="24"/>
        </w:rPr>
        <w:t xml:space="preserve">D.14-08-010, which </w:t>
      </w:r>
      <w:r w:rsidRPr="00B73627">
        <w:rPr>
          <w:sz w:val="24"/>
          <w:szCs w:val="24"/>
        </w:rPr>
        <w:t>extended the current stay of the general rate case schedules and freeze of the w</w:t>
      </w:r>
      <w:r w:rsidRPr="0089313E">
        <w:rPr>
          <w:sz w:val="24"/>
          <w:szCs w:val="24"/>
        </w:rPr>
        <w:t>aterfall provisions for CHCF-A recipients adopted in D</w:t>
      </w:r>
      <w:r w:rsidR="0052049C">
        <w:rPr>
          <w:sz w:val="24"/>
          <w:szCs w:val="24"/>
        </w:rPr>
        <w:t>.</w:t>
      </w:r>
      <w:r w:rsidRPr="0089313E">
        <w:rPr>
          <w:sz w:val="24"/>
          <w:szCs w:val="24"/>
        </w:rPr>
        <w:t xml:space="preserve">13-02-005.  The current stay of the general rate case schedules and freeze of the waterfall provisions for CHCF-A recipients was </w:t>
      </w:r>
      <w:r w:rsidRPr="00707471">
        <w:rPr>
          <w:sz w:val="24"/>
          <w:szCs w:val="24"/>
        </w:rPr>
        <w:t>set to expire on August 29, 2014,</w:t>
      </w:r>
      <w:r w:rsidRPr="00B73627">
        <w:rPr>
          <w:sz w:val="24"/>
          <w:szCs w:val="24"/>
          <w:vertAlign w:val="superscript"/>
        </w:rPr>
        <w:footnoteReference w:id="5"/>
      </w:r>
      <w:r w:rsidRPr="00B73627">
        <w:rPr>
          <w:sz w:val="24"/>
          <w:szCs w:val="24"/>
        </w:rPr>
        <w:t xml:space="preserve">  and </w:t>
      </w:r>
      <w:r w:rsidR="00107478">
        <w:rPr>
          <w:sz w:val="24"/>
          <w:szCs w:val="24"/>
        </w:rPr>
        <w:t>was</w:t>
      </w:r>
      <w:r w:rsidRPr="00B73627">
        <w:rPr>
          <w:sz w:val="24"/>
          <w:szCs w:val="24"/>
        </w:rPr>
        <w:t xml:space="preserve"> extended.  The stay of the general rate case schedules </w:t>
      </w:r>
      <w:r w:rsidRPr="0089313E">
        <w:rPr>
          <w:sz w:val="24"/>
          <w:szCs w:val="24"/>
        </w:rPr>
        <w:t>was extended until December 31, 2014.   The freeze of the waterfall provisions for CHCF-A recipients was</w:t>
      </w:r>
      <w:r w:rsidRPr="00707471">
        <w:rPr>
          <w:sz w:val="24"/>
          <w:szCs w:val="24"/>
        </w:rPr>
        <w:t xml:space="preserve"> extended to April 2015.  </w:t>
      </w:r>
      <w:r w:rsidRPr="00F64362">
        <w:rPr>
          <w:sz w:val="24"/>
          <w:szCs w:val="24"/>
        </w:rPr>
        <w:t xml:space="preserve">The </w:t>
      </w:r>
      <w:r w:rsidR="0052049C">
        <w:rPr>
          <w:sz w:val="24"/>
          <w:szCs w:val="24"/>
        </w:rPr>
        <w:t>Decision</w:t>
      </w:r>
      <w:r w:rsidRPr="00F64362">
        <w:rPr>
          <w:sz w:val="24"/>
          <w:szCs w:val="24"/>
        </w:rPr>
        <w:t xml:space="preserve"> allowed</w:t>
      </w:r>
      <w:r w:rsidRPr="00707471">
        <w:rPr>
          <w:sz w:val="24"/>
          <w:szCs w:val="24"/>
        </w:rPr>
        <w:t xml:space="preserve"> for stay of the general rate case schedules be extended for three months by a ruling of the assigned Administrative Law Judge if Phase 1 of this proceeding is not completed by December 31, 2014.  </w:t>
      </w:r>
      <w:r w:rsidR="001B2ED1">
        <w:rPr>
          <w:bCs/>
          <w:sz w:val="24"/>
          <w:szCs w:val="24"/>
        </w:rPr>
        <w:t>On November 17, 2014, the Commission issued a PD in R.11-11-007, which is currently scheduled for vote on the December 18, 2014</w:t>
      </w:r>
      <w:r w:rsidR="00AC2B3A">
        <w:rPr>
          <w:bCs/>
          <w:sz w:val="24"/>
          <w:szCs w:val="24"/>
        </w:rPr>
        <w:t>,</w:t>
      </w:r>
      <w:r w:rsidR="001B2ED1">
        <w:rPr>
          <w:bCs/>
          <w:sz w:val="24"/>
          <w:szCs w:val="24"/>
        </w:rPr>
        <w:t xml:space="preserve"> Commission meeting agenda</w:t>
      </w:r>
      <w:r w:rsidR="00B73627" w:rsidRPr="0089313E">
        <w:rPr>
          <w:bCs/>
          <w:sz w:val="24"/>
          <w:szCs w:val="24"/>
        </w:rPr>
        <w:t>.</w:t>
      </w:r>
    </w:p>
    <w:p w:rsidR="00617056" w:rsidRDefault="00617056" w:rsidP="00B73627">
      <w:pPr>
        <w:pStyle w:val="standard"/>
        <w:spacing w:line="240" w:lineRule="auto"/>
        <w:ind w:firstLine="0"/>
        <w:rPr>
          <w:bCs/>
          <w:sz w:val="24"/>
          <w:szCs w:val="24"/>
        </w:rPr>
      </w:pPr>
    </w:p>
    <w:p w:rsidR="00FD2111" w:rsidRPr="006876A5" w:rsidRDefault="00FD2111">
      <w:pPr>
        <w:spacing w:after="120"/>
        <w:ind w:firstLine="720"/>
        <w:rPr>
          <w:rFonts w:ascii="Palatino" w:hAnsi="Palatino"/>
          <w:b/>
          <w:sz w:val="24"/>
          <w:u w:val="single"/>
        </w:rPr>
      </w:pPr>
      <w:r w:rsidRPr="006876A5">
        <w:rPr>
          <w:rFonts w:ascii="Palatino" w:hAnsi="Palatino"/>
          <w:b/>
          <w:sz w:val="24"/>
          <w:u w:val="single"/>
        </w:rPr>
        <w:t>Waterfall</w:t>
      </w:r>
    </w:p>
    <w:p w:rsidR="00FD2111" w:rsidRDefault="00FD2111" w:rsidP="006876A5">
      <w:pPr>
        <w:rPr>
          <w:rFonts w:ascii="Palatino" w:hAnsi="Palatino"/>
          <w:sz w:val="24"/>
        </w:rPr>
      </w:pPr>
      <w:r>
        <w:rPr>
          <w:rFonts w:ascii="Palatino" w:hAnsi="Palatino"/>
          <w:sz w:val="24"/>
        </w:rPr>
        <w:t xml:space="preserve">Pursuant to the Implementation Rules in D.91-09-042, the phase-down of the CHCF-A funding level is reinitiated effective January 1 following the year after the completion of a </w:t>
      </w:r>
      <w:r w:rsidR="002D77FA">
        <w:rPr>
          <w:rFonts w:ascii="Palatino" w:hAnsi="Palatino"/>
          <w:sz w:val="24"/>
        </w:rPr>
        <w:t xml:space="preserve">Small </w:t>
      </w:r>
      <w:r w:rsidR="00F701D7">
        <w:rPr>
          <w:rFonts w:ascii="Palatino" w:hAnsi="Palatino"/>
          <w:sz w:val="24"/>
        </w:rPr>
        <w:t xml:space="preserve">ILEC’s </w:t>
      </w:r>
      <w:r>
        <w:rPr>
          <w:rFonts w:ascii="Palatino" w:hAnsi="Palatino"/>
          <w:sz w:val="24"/>
        </w:rPr>
        <w:t>GRC</w:t>
      </w:r>
      <w:r w:rsidR="00F701D7">
        <w:rPr>
          <w:rFonts w:ascii="Palatino" w:hAnsi="Palatino"/>
          <w:sz w:val="24"/>
        </w:rPr>
        <w:t>, and follows a six-year course</w:t>
      </w:r>
      <w:r>
        <w:rPr>
          <w:rFonts w:ascii="Palatino" w:hAnsi="Palatino"/>
          <w:sz w:val="24"/>
        </w:rPr>
        <w:t xml:space="preserve">.  </w:t>
      </w:r>
      <w:r w:rsidR="00F701D7">
        <w:rPr>
          <w:rFonts w:ascii="Palatino" w:hAnsi="Palatino"/>
          <w:sz w:val="24"/>
        </w:rPr>
        <w:t xml:space="preserve">A </w:t>
      </w:r>
      <w:r w:rsidR="002D77FA">
        <w:rPr>
          <w:rFonts w:ascii="Palatino" w:hAnsi="Palatino"/>
          <w:sz w:val="24"/>
        </w:rPr>
        <w:t xml:space="preserve">Small </w:t>
      </w:r>
      <w:r w:rsidR="00F701D7">
        <w:rPr>
          <w:rFonts w:ascii="Palatino" w:hAnsi="Palatino"/>
          <w:sz w:val="24"/>
        </w:rPr>
        <w:t xml:space="preserve">ILEC’s CHCF-A </w:t>
      </w:r>
      <w:r>
        <w:rPr>
          <w:rFonts w:ascii="Palatino" w:hAnsi="Palatino"/>
          <w:sz w:val="24"/>
        </w:rPr>
        <w:t>funding level</w:t>
      </w:r>
      <w:r w:rsidR="00F701D7">
        <w:rPr>
          <w:rFonts w:ascii="Palatino" w:hAnsi="Palatino"/>
          <w:sz w:val="24"/>
        </w:rPr>
        <w:t xml:space="preserve"> remains at</w:t>
      </w:r>
      <w:r>
        <w:rPr>
          <w:rFonts w:ascii="Palatino" w:hAnsi="Palatino"/>
          <w:sz w:val="24"/>
        </w:rPr>
        <w:t xml:space="preserve"> 100% for the first 3 years</w:t>
      </w:r>
      <w:r w:rsidR="00F701D7">
        <w:rPr>
          <w:rFonts w:ascii="Palatino" w:hAnsi="Palatino"/>
          <w:sz w:val="24"/>
        </w:rPr>
        <w:t xml:space="preserve"> after GRC completion; the funding level is then reduced to</w:t>
      </w:r>
      <w:r>
        <w:rPr>
          <w:rFonts w:ascii="Palatino" w:hAnsi="Palatino"/>
          <w:sz w:val="24"/>
        </w:rPr>
        <w:t xml:space="preserve"> 80% </w:t>
      </w:r>
      <w:r w:rsidR="00F701D7">
        <w:rPr>
          <w:rFonts w:ascii="Palatino" w:hAnsi="Palatino"/>
          <w:sz w:val="24"/>
        </w:rPr>
        <w:t xml:space="preserve">during </w:t>
      </w:r>
      <w:r>
        <w:rPr>
          <w:rFonts w:ascii="Palatino" w:hAnsi="Palatino"/>
          <w:sz w:val="24"/>
        </w:rPr>
        <w:t>the fourth year</w:t>
      </w:r>
      <w:r w:rsidR="00F701D7">
        <w:rPr>
          <w:rFonts w:ascii="Palatino" w:hAnsi="Palatino"/>
          <w:sz w:val="24"/>
        </w:rPr>
        <w:t xml:space="preserve"> if no </w:t>
      </w:r>
      <w:r w:rsidR="005F65E8">
        <w:rPr>
          <w:rFonts w:ascii="Palatino" w:hAnsi="Palatino"/>
          <w:sz w:val="24"/>
        </w:rPr>
        <w:t xml:space="preserve">subsequent </w:t>
      </w:r>
      <w:r w:rsidR="00F701D7">
        <w:rPr>
          <w:rFonts w:ascii="Palatino" w:hAnsi="Palatino"/>
          <w:sz w:val="24"/>
        </w:rPr>
        <w:t xml:space="preserve">GRC application is submitted. The funding level then drops to </w:t>
      </w:r>
      <w:r>
        <w:rPr>
          <w:rFonts w:ascii="Palatino" w:hAnsi="Palatino"/>
          <w:sz w:val="24"/>
        </w:rPr>
        <w:t xml:space="preserve">50% </w:t>
      </w:r>
      <w:r w:rsidR="00F701D7">
        <w:rPr>
          <w:rFonts w:ascii="Palatino" w:hAnsi="Palatino"/>
          <w:sz w:val="24"/>
        </w:rPr>
        <w:t xml:space="preserve">during </w:t>
      </w:r>
      <w:r>
        <w:rPr>
          <w:rFonts w:ascii="Palatino" w:hAnsi="Palatino"/>
          <w:sz w:val="24"/>
        </w:rPr>
        <w:t>the fifth year</w:t>
      </w:r>
      <w:r w:rsidR="00F701D7">
        <w:rPr>
          <w:rFonts w:ascii="Palatino" w:hAnsi="Palatino"/>
          <w:sz w:val="24"/>
        </w:rPr>
        <w:t xml:space="preserve"> if no GRC application is submitted</w:t>
      </w:r>
      <w:r>
        <w:rPr>
          <w:rFonts w:ascii="Palatino" w:hAnsi="Palatino"/>
          <w:sz w:val="24"/>
        </w:rPr>
        <w:t xml:space="preserve">, </w:t>
      </w:r>
      <w:r w:rsidR="00F701D7">
        <w:rPr>
          <w:rFonts w:ascii="Palatino" w:hAnsi="Palatino"/>
          <w:sz w:val="24"/>
        </w:rPr>
        <w:t xml:space="preserve">and the funding level is further reduced to </w:t>
      </w:r>
      <w:r>
        <w:rPr>
          <w:rFonts w:ascii="Palatino" w:hAnsi="Palatino"/>
          <w:sz w:val="24"/>
        </w:rPr>
        <w:t xml:space="preserve">0% </w:t>
      </w:r>
      <w:r w:rsidR="00F701D7">
        <w:rPr>
          <w:rFonts w:ascii="Palatino" w:hAnsi="Palatino"/>
          <w:sz w:val="24"/>
        </w:rPr>
        <w:t>during the sixth year</w:t>
      </w:r>
      <w:r>
        <w:rPr>
          <w:rFonts w:ascii="Palatino" w:hAnsi="Palatino"/>
          <w:sz w:val="24"/>
        </w:rPr>
        <w:t>.  This 6-year phase down of funding level is known as the Waterfall.</w:t>
      </w:r>
    </w:p>
    <w:p w:rsidR="00224559" w:rsidRDefault="00224559" w:rsidP="006876A5">
      <w:pPr>
        <w:rPr>
          <w:rFonts w:ascii="Palatino" w:hAnsi="Palatino"/>
          <w:sz w:val="24"/>
        </w:rPr>
      </w:pPr>
    </w:p>
    <w:p w:rsidR="000D3FA3" w:rsidRDefault="008C3A0B" w:rsidP="005320C5">
      <w:pPr>
        <w:rPr>
          <w:rFonts w:ascii="Palatino" w:hAnsi="Palatino"/>
          <w:sz w:val="24"/>
        </w:rPr>
      </w:pPr>
      <w:r>
        <w:rPr>
          <w:rFonts w:ascii="Palatino" w:hAnsi="Palatino"/>
          <w:sz w:val="24"/>
        </w:rPr>
        <w:t>The f</w:t>
      </w:r>
      <w:r w:rsidR="00FD2111">
        <w:rPr>
          <w:rFonts w:ascii="Palatino" w:hAnsi="Palatino"/>
          <w:sz w:val="24"/>
        </w:rPr>
        <w:t>unding levels for the 1</w:t>
      </w:r>
      <w:r w:rsidR="0068744C">
        <w:rPr>
          <w:rFonts w:ascii="Palatino" w:hAnsi="Palatino"/>
          <w:sz w:val="24"/>
        </w:rPr>
        <w:t>3</w:t>
      </w:r>
      <w:r w:rsidR="00FD2111">
        <w:rPr>
          <w:rFonts w:ascii="Palatino" w:hAnsi="Palatino"/>
          <w:sz w:val="24"/>
        </w:rPr>
        <w:t xml:space="preserve"> Small </w:t>
      </w:r>
      <w:r w:rsidR="00CC4F3E">
        <w:rPr>
          <w:rFonts w:ascii="Palatino" w:hAnsi="Palatino"/>
          <w:sz w:val="24"/>
        </w:rPr>
        <w:t>ILEC</w:t>
      </w:r>
      <w:r w:rsidR="00FD2111">
        <w:rPr>
          <w:rFonts w:ascii="Palatino" w:hAnsi="Palatino"/>
          <w:sz w:val="24"/>
        </w:rPr>
        <w:t xml:space="preserve">s for </w:t>
      </w:r>
      <w:r w:rsidR="00845527">
        <w:rPr>
          <w:rFonts w:ascii="Palatino" w:hAnsi="Palatino"/>
          <w:sz w:val="24"/>
        </w:rPr>
        <w:t xml:space="preserve">CY </w:t>
      </w:r>
      <w:r w:rsidR="00FD2111" w:rsidRPr="00EA40F3">
        <w:rPr>
          <w:rFonts w:ascii="Palatino" w:hAnsi="Palatino"/>
          <w:sz w:val="24"/>
        </w:rPr>
        <w:t>201</w:t>
      </w:r>
      <w:r w:rsidR="009A0FE8" w:rsidRPr="00EA40F3">
        <w:rPr>
          <w:rFonts w:ascii="Palatino" w:hAnsi="Palatino"/>
          <w:sz w:val="24"/>
        </w:rPr>
        <w:t>5</w:t>
      </w:r>
      <w:r w:rsidR="00FD2111">
        <w:rPr>
          <w:rFonts w:ascii="Palatino" w:hAnsi="Palatino"/>
          <w:sz w:val="24"/>
        </w:rPr>
        <w:t xml:space="preserve"> are summarized </w:t>
      </w:r>
      <w:r w:rsidR="006B24D7">
        <w:rPr>
          <w:rFonts w:ascii="Palatino" w:hAnsi="Palatino"/>
          <w:sz w:val="24"/>
        </w:rPr>
        <w:t>in Table 3:</w:t>
      </w:r>
    </w:p>
    <w:p w:rsidR="00292892" w:rsidRPr="000D3FA3" w:rsidRDefault="00292892" w:rsidP="005320C5">
      <w:pPr>
        <w:rPr>
          <w:rFonts w:ascii="Palatino" w:hAnsi="Palatino"/>
          <w:sz w:val="24"/>
        </w:rPr>
      </w:pPr>
    </w:p>
    <w:p w:rsidR="00FD2111" w:rsidRDefault="002E4E23" w:rsidP="005320C5">
      <w:pPr>
        <w:pStyle w:val="BodyText"/>
        <w:tabs>
          <w:tab w:val="clear" w:pos="720"/>
          <w:tab w:val="left" w:pos="-1440"/>
          <w:tab w:val="left" w:pos="-720"/>
        </w:tabs>
        <w:suppressAutoHyphens/>
        <w:spacing w:after="0"/>
        <w:ind w:left="630"/>
        <w:jc w:val="center"/>
        <w:rPr>
          <w:b/>
          <w:bCs/>
        </w:rPr>
      </w:pPr>
      <w:r w:rsidRPr="002E4E23">
        <w:rPr>
          <w:noProof/>
        </w:rPr>
        <w:drawing>
          <wp:inline distT="0" distB="0" distL="0" distR="0" wp14:anchorId="253AA559" wp14:editId="55E5FBB5">
            <wp:extent cx="2623185" cy="31788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3185" cy="3178810"/>
                    </a:xfrm>
                    <a:prstGeom prst="rect">
                      <a:avLst/>
                    </a:prstGeom>
                    <a:noFill/>
                    <a:ln>
                      <a:noFill/>
                    </a:ln>
                  </pic:spPr>
                </pic:pic>
              </a:graphicData>
            </a:graphic>
          </wp:inline>
        </w:drawing>
      </w:r>
    </w:p>
    <w:p w:rsidR="00D94A96" w:rsidRDefault="00D94A96" w:rsidP="006876A5">
      <w:pPr>
        <w:pStyle w:val="BodyText"/>
        <w:tabs>
          <w:tab w:val="clear" w:pos="720"/>
          <w:tab w:val="left" w:pos="-1440"/>
          <w:tab w:val="left" w:pos="-720"/>
        </w:tabs>
        <w:suppressAutoHyphens/>
        <w:spacing w:after="0"/>
        <w:rPr>
          <w:bCs/>
        </w:rPr>
      </w:pPr>
    </w:p>
    <w:p w:rsidR="00FD2111" w:rsidRPr="005D4713" w:rsidRDefault="00FD2111" w:rsidP="006876A5">
      <w:pPr>
        <w:pStyle w:val="BodyText"/>
        <w:tabs>
          <w:tab w:val="clear" w:pos="720"/>
          <w:tab w:val="left" w:pos="-1440"/>
          <w:tab w:val="left" w:pos="-720"/>
        </w:tabs>
        <w:suppressAutoHyphens/>
        <w:spacing w:after="0"/>
        <w:rPr>
          <w:bCs/>
        </w:rPr>
      </w:pPr>
      <w:r w:rsidRPr="005D4713">
        <w:rPr>
          <w:bCs/>
        </w:rPr>
        <w:t>Sierra and Volcano did not</w:t>
      </w:r>
      <w:r w:rsidR="00115104">
        <w:rPr>
          <w:bCs/>
        </w:rPr>
        <w:t xml:space="preserve"> file a GRC by December 31, 2012</w:t>
      </w:r>
      <w:r w:rsidR="00A43618">
        <w:rPr>
          <w:bCs/>
        </w:rPr>
        <w:t>.  A</w:t>
      </w:r>
      <w:r>
        <w:rPr>
          <w:bCs/>
        </w:rPr>
        <w:t xml:space="preserve">ccordingly, </w:t>
      </w:r>
      <w:r w:rsidRPr="005D4713">
        <w:rPr>
          <w:bCs/>
        </w:rPr>
        <w:t xml:space="preserve">their </w:t>
      </w:r>
      <w:r w:rsidR="00390251">
        <w:rPr>
          <w:bCs/>
        </w:rPr>
        <w:t xml:space="preserve">respective funding levels </w:t>
      </w:r>
      <w:r>
        <w:rPr>
          <w:bCs/>
        </w:rPr>
        <w:t xml:space="preserve">remain at </w:t>
      </w:r>
      <w:r w:rsidRPr="005D4713">
        <w:rPr>
          <w:bCs/>
        </w:rPr>
        <w:t>80%</w:t>
      </w:r>
      <w:r w:rsidR="00390251">
        <w:rPr>
          <w:bCs/>
        </w:rPr>
        <w:t>,</w:t>
      </w:r>
      <w:r w:rsidR="00977134">
        <w:rPr>
          <w:bCs/>
        </w:rPr>
        <w:t xml:space="preserve"> </w:t>
      </w:r>
      <w:r w:rsidR="00A43618">
        <w:rPr>
          <w:bCs/>
        </w:rPr>
        <w:t>because</w:t>
      </w:r>
      <w:r w:rsidR="00977134">
        <w:rPr>
          <w:bCs/>
        </w:rPr>
        <w:t xml:space="preserve"> </w:t>
      </w:r>
      <w:r w:rsidR="00F96E5F">
        <w:rPr>
          <w:bCs/>
        </w:rPr>
        <w:t>there is a GRC moratorium pending a decision</w:t>
      </w:r>
      <w:r w:rsidR="00977134">
        <w:rPr>
          <w:bCs/>
        </w:rPr>
        <w:t xml:space="preserve"> in R.11-11-007</w:t>
      </w:r>
      <w:r w:rsidRPr="005D4713">
        <w:rPr>
          <w:bCs/>
        </w:rPr>
        <w:t>.</w:t>
      </w:r>
      <w:r w:rsidR="00DE7347">
        <w:rPr>
          <w:bCs/>
        </w:rPr>
        <w:t xml:space="preserve">  </w:t>
      </w:r>
      <w:r w:rsidRPr="005D4713">
        <w:rPr>
          <w:bCs/>
        </w:rPr>
        <w:t xml:space="preserve">Happy Valley, Hornitos and Winterhaven </w:t>
      </w:r>
      <w:r w:rsidR="00F96E5F">
        <w:rPr>
          <w:bCs/>
        </w:rPr>
        <w:t>do not draw</w:t>
      </w:r>
      <w:r w:rsidR="00DE7347">
        <w:rPr>
          <w:bCs/>
        </w:rPr>
        <w:t xml:space="preserve"> </w:t>
      </w:r>
      <w:r w:rsidR="006F732E">
        <w:rPr>
          <w:bCs/>
        </w:rPr>
        <w:t xml:space="preserve">support </w:t>
      </w:r>
      <w:r w:rsidR="00F96E5F">
        <w:rPr>
          <w:bCs/>
        </w:rPr>
        <w:t xml:space="preserve">from the CHCF-A fund as their respective </w:t>
      </w:r>
      <w:r w:rsidR="00DE7347">
        <w:rPr>
          <w:bCs/>
        </w:rPr>
        <w:t>funding level</w:t>
      </w:r>
      <w:r w:rsidR="00F96E5F">
        <w:rPr>
          <w:bCs/>
        </w:rPr>
        <w:t>s</w:t>
      </w:r>
      <w:r w:rsidR="00DE7347">
        <w:rPr>
          <w:bCs/>
        </w:rPr>
        <w:t xml:space="preserve"> pursuant to the CHCF-A waterfall criteria </w:t>
      </w:r>
      <w:r w:rsidR="00F96E5F">
        <w:rPr>
          <w:bCs/>
        </w:rPr>
        <w:t xml:space="preserve">have </w:t>
      </w:r>
      <w:r w:rsidR="00DE7347">
        <w:rPr>
          <w:bCs/>
        </w:rPr>
        <w:t>reached 0%</w:t>
      </w:r>
      <w:r w:rsidR="00F96E5F">
        <w:rPr>
          <w:bCs/>
        </w:rPr>
        <w:t>,</w:t>
      </w:r>
      <w:r w:rsidR="00DE7347">
        <w:rPr>
          <w:bCs/>
        </w:rPr>
        <w:t xml:space="preserve"> </w:t>
      </w:r>
      <w:r w:rsidR="00F96E5F">
        <w:rPr>
          <w:bCs/>
        </w:rPr>
        <w:t>and none of these carriers have</w:t>
      </w:r>
      <w:r>
        <w:rPr>
          <w:bCs/>
        </w:rPr>
        <w:t xml:space="preserve"> </w:t>
      </w:r>
      <w:r w:rsidRPr="005D4713">
        <w:rPr>
          <w:bCs/>
        </w:rPr>
        <w:t xml:space="preserve">requested </w:t>
      </w:r>
      <w:r w:rsidR="00F96E5F">
        <w:rPr>
          <w:bCs/>
        </w:rPr>
        <w:t xml:space="preserve">further </w:t>
      </w:r>
      <w:r>
        <w:rPr>
          <w:bCs/>
        </w:rPr>
        <w:t xml:space="preserve">support from the </w:t>
      </w:r>
      <w:r w:rsidR="00966D83" w:rsidRPr="00EA40F3">
        <w:rPr>
          <w:bCs/>
        </w:rPr>
        <w:t>CHCF-</w:t>
      </w:r>
      <w:r>
        <w:rPr>
          <w:bCs/>
        </w:rPr>
        <w:t>A fund</w:t>
      </w:r>
      <w:r w:rsidRPr="005D4713">
        <w:rPr>
          <w:bCs/>
        </w:rPr>
        <w:t>.</w:t>
      </w:r>
    </w:p>
    <w:p w:rsidR="00E545D3" w:rsidRDefault="00E545D3" w:rsidP="00EA40F3">
      <w:pPr>
        <w:pStyle w:val="BodyText"/>
        <w:tabs>
          <w:tab w:val="clear" w:pos="720"/>
          <w:tab w:val="left" w:pos="-1440"/>
          <w:tab w:val="left" w:pos="-720"/>
        </w:tabs>
        <w:suppressAutoHyphens/>
        <w:spacing w:after="0"/>
        <w:rPr>
          <w:b/>
          <w:bCs/>
        </w:rPr>
      </w:pPr>
    </w:p>
    <w:p w:rsidR="002D2DD9" w:rsidRDefault="002D2DD9" w:rsidP="00EA40F3">
      <w:pPr>
        <w:pStyle w:val="BodyText"/>
        <w:tabs>
          <w:tab w:val="clear" w:pos="720"/>
          <w:tab w:val="left" w:pos="-1440"/>
          <w:tab w:val="left" w:pos="-720"/>
        </w:tabs>
        <w:suppressAutoHyphens/>
        <w:spacing w:after="0"/>
        <w:rPr>
          <w:b/>
          <w:bCs/>
        </w:rPr>
      </w:pPr>
    </w:p>
    <w:p w:rsidR="00FD2111" w:rsidRPr="006876A5" w:rsidRDefault="00FD2111">
      <w:pPr>
        <w:pStyle w:val="BodyText"/>
        <w:tabs>
          <w:tab w:val="clear" w:pos="720"/>
        </w:tabs>
        <w:suppressAutoHyphens/>
        <w:spacing w:after="0"/>
        <w:ind w:left="630"/>
        <w:rPr>
          <w:b/>
          <w:bCs/>
          <w:u w:val="single"/>
        </w:rPr>
      </w:pPr>
      <w:r w:rsidRPr="006876A5">
        <w:rPr>
          <w:b/>
          <w:bCs/>
          <w:u w:val="single"/>
        </w:rPr>
        <w:t>Net Interstate Expense Adjustment</w:t>
      </w:r>
    </w:p>
    <w:p w:rsidR="00FD2111" w:rsidRDefault="00FD2111">
      <w:pPr>
        <w:pStyle w:val="BodyText"/>
        <w:tabs>
          <w:tab w:val="clear" w:pos="720"/>
          <w:tab w:val="left" w:pos="-1440"/>
          <w:tab w:val="left" w:pos="-720"/>
        </w:tabs>
        <w:suppressAutoHyphens/>
        <w:spacing w:after="0"/>
      </w:pPr>
    </w:p>
    <w:p w:rsidR="00FD2111" w:rsidRDefault="00FD2111" w:rsidP="006876A5">
      <w:pPr>
        <w:rPr>
          <w:rFonts w:ascii="Palatino" w:hAnsi="Palatino"/>
          <w:sz w:val="24"/>
        </w:rPr>
      </w:pPr>
      <w:r>
        <w:rPr>
          <w:rFonts w:ascii="Palatino" w:hAnsi="Palatino"/>
          <w:sz w:val="24"/>
        </w:rPr>
        <w:t xml:space="preserve">Section B of the Implementation Rules in D.91-09-042 authorizes the Small </w:t>
      </w:r>
      <w:r w:rsidR="00CC4F3E">
        <w:rPr>
          <w:rFonts w:ascii="Palatino" w:hAnsi="Palatino"/>
          <w:sz w:val="24"/>
        </w:rPr>
        <w:t>ILEC</w:t>
      </w:r>
      <w:r>
        <w:rPr>
          <w:rFonts w:ascii="Palatino" w:hAnsi="Palatino"/>
          <w:sz w:val="24"/>
        </w:rPr>
        <w:t>s to include the changes of their federal Universal Service Fund (USF) funding in the annual CHCF-A filings.  Under Resolution T-16117, the change of USF funding level must be determined for each carrier by the difference between the forecasted USF support for the current year and the forecasted USF support for the coming year.  The current year's forecasted USF support is the amount adopted by the Commission for the current year CHCF-A revenue requirement.  The coming year's forecasted USF is the amount projected by NECA, the administrator of USF.</w:t>
      </w:r>
      <w:r w:rsidR="009D39D8">
        <w:rPr>
          <w:rFonts w:ascii="Palatino" w:hAnsi="Palatino"/>
          <w:sz w:val="24"/>
        </w:rPr>
        <w:t xml:space="preserve"> </w:t>
      </w:r>
      <w:r>
        <w:rPr>
          <w:rStyle w:val="FootnoteReference"/>
          <w:rFonts w:ascii="Palatino" w:hAnsi="Palatino"/>
          <w:sz w:val="24"/>
        </w:rPr>
        <w:footnoteReference w:id="6"/>
      </w:r>
    </w:p>
    <w:p w:rsidR="00FD2111" w:rsidRDefault="00FD2111">
      <w:pPr>
        <w:ind w:left="630"/>
        <w:rPr>
          <w:rFonts w:ascii="Palatino" w:hAnsi="Palatino"/>
          <w:sz w:val="24"/>
        </w:rPr>
      </w:pPr>
    </w:p>
    <w:p w:rsidR="00FD2111" w:rsidRDefault="00FD2111" w:rsidP="006876A5">
      <w:pPr>
        <w:rPr>
          <w:rFonts w:ascii="Palatino" w:hAnsi="Palatino"/>
          <w:sz w:val="24"/>
        </w:rPr>
      </w:pPr>
      <w:r>
        <w:rPr>
          <w:rFonts w:ascii="Palatino" w:hAnsi="Palatino"/>
          <w:sz w:val="24"/>
        </w:rPr>
        <w:t xml:space="preserve">In response to the NECA funding changes, each carrier’s CHCF-A </w:t>
      </w:r>
      <w:r w:rsidR="00AB03B7">
        <w:rPr>
          <w:rFonts w:ascii="Palatino" w:hAnsi="Palatino"/>
          <w:sz w:val="24"/>
        </w:rPr>
        <w:t>CY</w:t>
      </w:r>
      <w:r>
        <w:rPr>
          <w:rFonts w:ascii="Palatino" w:hAnsi="Palatino"/>
          <w:sz w:val="24"/>
        </w:rPr>
        <w:t xml:space="preserve"> 201</w:t>
      </w:r>
      <w:r w:rsidR="00977134">
        <w:rPr>
          <w:rFonts w:ascii="Palatino" w:hAnsi="Palatino"/>
          <w:sz w:val="24"/>
        </w:rPr>
        <w:t>5</w:t>
      </w:r>
      <w:r>
        <w:rPr>
          <w:rFonts w:ascii="Palatino" w:hAnsi="Palatino"/>
          <w:sz w:val="24"/>
        </w:rPr>
        <w:t xml:space="preserve"> support has been adjusted by incorporating final NECA adjustment data in the means test, as described in Section B, titled “CHCF-A Support Summary by Carrier</w:t>
      </w:r>
      <w:r w:rsidRPr="00EA40F3">
        <w:rPr>
          <w:rFonts w:ascii="Palatino" w:hAnsi="Palatino"/>
          <w:sz w:val="24"/>
        </w:rPr>
        <w:t>.”</w:t>
      </w:r>
      <w:r w:rsidR="00A07840" w:rsidRPr="00EA40F3">
        <w:rPr>
          <w:rFonts w:ascii="Palatino" w:hAnsi="Palatino"/>
          <w:sz w:val="24"/>
        </w:rPr>
        <w:t xml:space="preserve">  In some cases, the final approved support amount exceeds the original </w:t>
      </w:r>
      <w:r w:rsidR="000901B2" w:rsidRPr="00EA40F3">
        <w:rPr>
          <w:rFonts w:ascii="Palatino" w:hAnsi="Palatino"/>
          <w:sz w:val="24"/>
        </w:rPr>
        <w:t xml:space="preserve">support request </w:t>
      </w:r>
      <w:r w:rsidR="00A07840" w:rsidRPr="00EA40F3">
        <w:rPr>
          <w:rFonts w:ascii="Palatino" w:hAnsi="Palatino"/>
          <w:sz w:val="24"/>
        </w:rPr>
        <w:t xml:space="preserve">submitted by </w:t>
      </w:r>
      <w:r w:rsidR="001A1433">
        <w:rPr>
          <w:rFonts w:ascii="Palatino" w:hAnsi="Palatino"/>
          <w:sz w:val="24"/>
        </w:rPr>
        <w:t xml:space="preserve">a </w:t>
      </w:r>
      <w:r w:rsidR="00A72C36" w:rsidRPr="00EA40F3">
        <w:rPr>
          <w:rFonts w:ascii="Palatino" w:hAnsi="Palatino"/>
          <w:sz w:val="24"/>
        </w:rPr>
        <w:t>Small ILEC</w:t>
      </w:r>
      <w:r w:rsidR="00A07840" w:rsidRPr="00EA40F3">
        <w:rPr>
          <w:rFonts w:ascii="Palatino" w:hAnsi="Palatino"/>
          <w:sz w:val="24"/>
        </w:rPr>
        <w:t xml:space="preserve"> (see Column A versus Column B results for carriers</w:t>
      </w:r>
      <w:r w:rsidR="009D39D8" w:rsidRPr="00EA40F3">
        <w:rPr>
          <w:rFonts w:ascii="Palatino" w:hAnsi="Palatino"/>
          <w:sz w:val="24"/>
        </w:rPr>
        <w:t xml:space="preserve"> in</w:t>
      </w:r>
      <w:r w:rsidR="00A07840" w:rsidRPr="00EA40F3">
        <w:rPr>
          <w:rFonts w:ascii="Palatino" w:hAnsi="Palatino"/>
          <w:sz w:val="24"/>
        </w:rPr>
        <w:t xml:space="preserve"> Appendix A</w:t>
      </w:r>
      <w:r w:rsidR="0042623B">
        <w:rPr>
          <w:rFonts w:ascii="Palatino" w:hAnsi="Palatino"/>
          <w:sz w:val="24"/>
        </w:rPr>
        <w:t>)</w:t>
      </w:r>
      <w:r w:rsidR="00A07840" w:rsidRPr="00EA40F3">
        <w:rPr>
          <w:rFonts w:ascii="Palatino" w:hAnsi="Palatino"/>
          <w:sz w:val="24"/>
        </w:rPr>
        <w:t>.</w:t>
      </w:r>
      <w:r w:rsidR="00F057F3" w:rsidRPr="00EA40F3">
        <w:rPr>
          <w:rFonts w:ascii="Palatino" w:hAnsi="Palatino"/>
          <w:sz w:val="24"/>
        </w:rPr>
        <w:t xml:space="preserve">  This may happen when </w:t>
      </w:r>
      <w:r w:rsidR="001A1433" w:rsidRPr="00EA40F3">
        <w:rPr>
          <w:rFonts w:ascii="Palatino" w:hAnsi="Palatino"/>
          <w:sz w:val="24"/>
        </w:rPr>
        <w:t xml:space="preserve">a </w:t>
      </w:r>
      <w:r w:rsidR="00F057F3" w:rsidRPr="00EA40F3">
        <w:rPr>
          <w:rFonts w:ascii="Palatino" w:hAnsi="Palatino"/>
          <w:sz w:val="24"/>
        </w:rPr>
        <w:t xml:space="preserve">Small ILEC submits </w:t>
      </w:r>
      <w:r w:rsidR="001A1433" w:rsidRPr="00EA40F3">
        <w:rPr>
          <w:rFonts w:ascii="Palatino" w:hAnsi="Palatino"/>
          <w:sz w:val="24"/>
        </w:rPr>
        <w:t xml:space="preserve">its original </w:t>
      </w:r>
      <w:r w:rsidR="00F057F3" w:rsidRPr="00EA40F3">
        <w:rPr>
          <w:rFonts w:ascii="Palatino" w:hAnsi="Palatino"/>
          <w:sz w:val="24"/>
        </w:rPr>
        <w:t xml:space="preserve">estimate for </w:t>
      </w:r>
      <w:r w:rsidR="002B1AC6" w:rsidRPr="00EA40F3">
        <w:rPr>
          <w:rFonts w:ascii="Palatino" w:hAnsi="Palatino"/>
          <w:sz w:val="24"/>
        </w:rPr>
        <w:t>USF</w:t>
      </w:r>
      <w:r w:rsidR="00F057F3" w:rsidRPr="00EA40F3">
        <w:rPr>
          <w:rFonts w:ascii="Palatino" w:hAnsi="Palatino"/>
          <w:sz w:val="24"/>
        </w:rPr>
        <w:t xml:space="preserve">; however, CD uses </w:t>
      </w:r>
      <w:r w:rsidR="009D39D8" w:rsidRPr="00EA40F3">
        <w:rPr>
          <w:rFonts w:ascii="Palatino" w:hAnsi="Palatino"/>
          <w:sz w:val="24"/>
        </w:rPr>
        <w:t xml:space="preserve">the </w:t>
      </w:r>
      <w:r w:rsidR="00804ED8">
        <w:rPr>
          <w:rFonts w:ascii="Palatino" w:hAnsi="Palatino"/>
          <w:sz w:val="24"/>
        </w:rPr>
        <w:t xml:space="preserve">updated </w:t>
      </w:r>
      <w:r w:rsidR="00F057F3" w:rsidRPr="00EA40F3">
        <w:rPr>
          <w:rFonts w:ascii="Palatino" w:hAnsi="Palatino"/>
          <w:sz w:val="24"/>
        </w:rPr>
        <w:t xml:space="preserve">NECA </w:t>
      </w:r>
      <w:r w:rsidR="002B1AC6" w:rsidRPr="00EA40F3">
        <w:rPr>
          <w:rFonts w:ascii="Palatino" w:hAnsi="Palatino"/>
          <w:sz w:val="24"/>
        </w:rPr>
        <w:t xml:space="preserve">USF projected </w:t>
      </w:r>
      <w:r w:rsidR="00533FCB" w:rsidRPr="00EA40F3">
        <w:rPr>
          <w:rFonts w:ascii="Palatino" w:hAnsi="Palatino"/>
          <w:sz w:val="24"/>
        </w:rPr>
        <w:t>funding</w:t>
      </w:r>
      <w:r w:rsidR="002B1AC6" w:rsidRPr="00EA40F3">
        <w:rPr>
          <w:rFonts w:ascii="Palatino" w:hAnsi="Palatino"/>
          <w:sz w:val="24"/>
        </w:rPr>
        <w:t xml:space="preserve"> amount</w:t>
      </w:r>
      <w:r w:rsidR="00804ED8">
        <w:rPr>
          <w:rFonts w:ascii="Palatino" w:hAnsi="Palatino"/>
          <w:sz w:val="24"/>
        </w:rPr>
        <w:t xml:space="preserve"> when making final updates in preparing the resolution</w:t>
      </w:r>
      <w:r w:rsidR="002B1AC6" w:rsidRPr="00EA40F3">
        <w:rPr>
          <w:rFonts w:ascii="Palatino" w:hAnsi="Palatino"/>
          <w:sz w:val="24"/>
        </w:rPr>
        <w:t xml:space="preserve">.  This </w:t>
      </w:r>
      <w:r w:rsidR="00804ED8">
        <w:rPr>
          <w:rFonts w:ascii="Palatino" w:hAnsi="Palatino"/>
          <w:sz w:val="24"/>
        </w:rPr>
        <w:t>process may cause</w:t>
      </w:r>
      <w:r w:rsidR="002B1AC6" w:rsidRPr="00EA40F3">
        <w:rPr>
          <w:rFonts w:ascii="Palatino" w:hAnsi="Palatino"/>
          <w:sz w:val="24"/>
        </w:rPr>
        <w:t xml:space="preserve"> Small ILECs to receive more or less funding than </w:t>
      </w:r>
      <w:r w:rsidR="0084720C" w:rsidRPr="00EA40F3">
        <w:rPr>
          <w:rFonts w:ascii="Palatino" w:hAnsi="Palatino"/>
          <w:sz w:val="24"/>
        </w:rPr>
        <w:t>their original support request</w:t>
      </w:r>
      <w:r w:rsidR="002B1AC6" w:rsidRPr="00EA40F3">
        <w:rPr>
          <w:rFonts w:ascii="Palatino" w:hAnsi="Palatino"/>
          <w:sz w:val="24"/>
        </w:rPr>
        <w:t>.</w:t>
      </w:r>
    </w:p>
    <w:p w:rsidR="00673A36" w:rsidRDefault="00673A36">
      <w:pPr>
        <w:ind w:left="630"/>
        <w:rPr>
          <w:rFonts w:ascii="Palatino" w:hAnsi="Palatino"/>
          <w:sz w:val="24"/>
        </w:rPr>
      </w:pPr>
    </w:p>
    <w:p w:rsidR="00FD2111" w:rsidRPr="006876A5" w:rsidRDefault="00FD2111" w:rsidP="00C82A73">
      <w:pPr>
        <w:pStyle w:val="BodyText"/>
        <w:tabs>
          <w:tab w:val="clear" w:pos="720"/>
        </w:tabs>
        <w:suppressAutoHyphens/>
        <w:spacing w:after="0"/>
        <w:ind w:left="630"/>
        <w:rPr>
          <w:b/>
          <w:bCs/>
          <w:u w:val="single"/>
        </w:rPr>
      </w:pPr>
      <w:r w:rsidRPr="006876A5">
        <w:rPr>
          <w:b/>
          <w:bCs/>
          <w:u w:val="single"/>
        </w:rPr>
        <w:t>Revenue Effect Associated with Connect America Fund – Intercarrier Compensation</w:t>
      </w:r>
    </w:p>
    <w:p w:rsidR="00FD2111" w:rsidRPr="00C82A73" w:rsidRDefault="00FD2111" w:rsidP="00C82A73">
      <w:pPr>
        <w:pStyle w:val="BodyText"/>
        <w:tabs>
          <w:tab w:val="clear" w:pos="720"/>
        </w:tabs>
        <w:suppressAutoHyphens/>
        <w:spacing w:after="0"/>
        <w:ind w:left="630"/>
        <w:rPr>
          <w:bCs/>
        </w:rPr>
      </w:pPr>
    </w:p>
    <w:p w:rsidR="00FD2111" w:rsidRDefault="00FD2111" w:rsidP="004E122C">
      <w:pPr>
        <w:rPr>
          <w:rFonts w:ascii="Palatino" w:hAnsi="Palatino"/>
          <w:bCs/>
          <w:sz w:val="24"/>
        </w:rPr>
      </w:pPr>
      <w:r w:rsidRPr="00C82A73">
        <w:rPr>
          <w:rFonts w:ascii="Palatino" w:hAnsi="Palatino"/>
          <w:bCs/>
          <w:sz w:val="24"/>
        </w:rPr>
        <w:t xml:space="preserve">The </w:t>
      </w:r>
      <w:r>
        <w:rPr>
          <w:rFonts w:ascii="Palatino" w:hAnsi="Palatino"/>
          <w:bCs/>
          <w:sz w:val="24"/>
        </w:rPr>
        <w:t>F</w:t>
      </w:r>
      <w:r w:rsidR="00BB31A4">
        <w:rPr>
          <w:rFonts w:ascii="Palatino" w:hAnsi="Palatino"/>
          <w:bCs/>
          <w:sz w:val="24"/>
        </w:rPr>
        <w:t>CC’s</w:t>
      </w:r>
      <w:r>
        <w:rPr>
          <w:rFonts w:ascii="Palatino" w:hAnsi="Palatino"/>
          <w:bCs/>
          <w:sz w:val="24"/>
        </w:rPr>
        <w:t xml:space="preserve"> </w:t>
      </w:r>
      <w:r w:rsidRPr="00C82A73">
        <w:rPr>
          <w:rFonts w:ascii="Palatino" w:hAnsi="Palatino"/>
          <w:bCs/>
          <w:sz w:val="24"/>
        </w:rPr>
        <w:t xml:space="preserve">Connect America Fund </w:t>
      </w:r>
      <w:r w:rsidR="00B51DCA">
        <w:rPr>
          <w:rFonts w:ascii="Palatino" w:hAnsi="Palatino"/>
          <w:bCs/>
          <w:sz w:val="24"/>
        </w:rPr>
        <w:t xml:space="preserve">(FCC 11-161) instituted comprehensive intercarrier compensation reform and the mechanism is described in Section 851  </w:t>
      </w:r>
      <w:r w:rsidRPr="00C82A73">
        <w:rPr>
          <w:rFonts w:ascii="Palatino" w:hAnsi="Palatino"/>
          <w:bCs/>
          <w:sz w:val="24"/>
        </w:rPr>
        <w:t xml:space="preserve">appeared in the Federal </w:t>
      </w:r>
      <w:r>
        <w:rPr>
          <w:rFonts w:ascii="Palatino" w:hAnsi="Palatino"/>
          <w:bCs/>
          <w:sz w:val="24"/>
        </w:rPr>
        <w:t>Register, Vol. 76, No. 229, page 73830 on Tuesday, November 29, 2011.  In part 39, “For rate-of-return carriers, recovery will be calculated initially based on rate-of-return carriers’ fiscal year 2011 interstate switched access revenue requirement, intrastate access revenues that are being reformed as part of this Order, and net reciprocal compensation revenues.  This baseline will dec</w:t>
      </w:r>
      <w:r w:rsidR="001118B8">
        <w:rPr>
          <w:rFonts w:ascii="Palatino" w:hAnsi="Palatino"/>
          <w:bCs/>
          <w:sz w:val="24"/>
        </w:rPr>
        <w:t>line at five percent annually…”</w:t>
      </w:r>
    </w:p>
    <w:p w:rsidR="001118B8" w:rsidRDefault="001118B8" w:rsidP="00C82A73">
      <w:pPr>
        <w:rPr>
          <w:rFonts w:ascii="Palatino" w:hAnsi="Palatino"/>
          <w:bCs/>
          <w:sz w:val="24"/>
        </w:rPr>
      </w:pPr>
    </w:p>
    <w:p w:rsidR="00FD2111" w:rsidRDefault="00FD2111">
      <w:pPr>
        <w:pStyle w:val="BodyText"/>
        <w:tabs>
          <w:tab w:val="clear" w:pos="720"/>
        </w:tabs>
        <w:suppressAutoHyphens/>
        <w:spacing w:after="0"/>
        <w:ind w:left="630"/>
        <w:rPr>
          <w:b/>
          <w:bCs/>
          <w:u w:val="single"/>
        </w:rPr>
      </w:pPr>
      <w:r w:rsidRPr="006876A5">
        <w:rPr>
          <w:b/>
          <w:bCs/>
          <w:u w:val="single"/>
        </w:rPr>
        <w:t>Revenue Effect Associated with California Lif</w:t>
      </w:r>
      <w:r w:rsidR="00977134">
        <w:rPr>
          <w:b/>
          <w:bCs/>
          <w:u w:val="single"/>
        </w:rPr>
        <w:t>eL</w:t>
      </w:r>
      <w:r w:rsidRPr="006876A5">
        <w:rPr>
          <w:b/>
          <w:bCs/>
          <w:u w:val="single"/>
        </w:rPr>
        <w:t>ine Decision 10-11-0</w:t>
      </w:r>
      <w:r w:rsidR="00977134">
        <w:rPr>
          <w:b/>
          <w:bCs/>
          <w:u w:val="single"/>
        </w:rPr>
        <w:t>3</w:t>
      </w:r>
      <w:r w:rsidRPr="006876A5">
        <w:rPr>
          <w:b/>
          <w:bCs/>
          <w:u w:val="single"/>
        </w:rPr>
        <w:t>3</w:t>
      </w:r>
    </w:p>
    <w:p w:rsidR="00744A7B" w:rsidRPr="006876A5" w:rsidRDefault="00744A7B">
      <w:pPr>
        <w:pStyle w:val="BodyText"/>
        <w:tabs>
          <w:tab w:val="clear" w:pos="720"/>
        </w:tabs>
        <w:suppressAutoHyphens/>
        <w:spacing w:after="0"/>
        <w:ind w:left="630"/>
        <w:rPr>
          <w:b/>
          <w:bCs/>
          <w:u w:val="single"/>
        </w:rPr>
      </w:pPr>
    </w:p>
    <w:p w:rsidR="00FD2111" w:rsidRDefault="00A43618" w:rsidP="006876A5">
      <w:pPr>
        <w:pStyle w:val="BodyText"/>
        <w:tabs>
          <w:tab w:val="clear" w:pos="720"/>
        </w:tabs>
        <w:suppressAutoHyphens/>
        <w:spacing w:after="0"/>
        <w:rPr>
          <w:bCs/>
        </w:rPr>
      </w:pPr>
      <w:r>
        <w:rPr>
          <w:bCs/>
        </w:rPr>
        <w:t xml:space="preserve">The Commission by </w:t>
      </w:r>
      <w:r w:rsidR="00977134">
        <w:rPr>
          <w:bCs/>
        </w:rPr>
        <w:t>D.10-11-03</w:t>
      </w:r>
      <w:r w:rsidR="006A2DD9">
        <w:rPr>
          <w:bCs/>
        </w:rPr>
        <w:t>3</w:t>
      </w:r>
      <w:r w:rsidR="00FD2111">
        <w:rPr>
          <w:bCs/>
        </w:rPr>
        <w:t xml:space="preserve"> modified the California </w:t>
      </w:r>
      <w:r w:rsidR="00FD2111" w:rsidRPr="0022483D">
        <w:rPr>
          <w:bCs/>
          <w:i/>
        </w:rPr>
        <w:t>Life</w:t>
      </w:r>
      <w:r w:rsidR="00977134">
        <w:rPr>
          <w:bCs/>
          <w:i/>
        </w:rPr>
        <w:t>L</w:t>
      </w:r>
      <w:r w:rsidR="00FD2111" w:rsidRPr="0022483D">
        <w:rPr>
          <w:bCs/>
          <w:i/>
        </w:rPr>
        <w:t>ine</w:t>
      </w:r>
      <w:r w:rsidR="00FD2111">
        <w:rPr>
          <w:bCs/>
        </w:rPr>
        <w:t xml:space="preserve"> program.  In relation to the Small </w:t>
      </w:r>
      <w:r w:rsidR="00CC4F3E">
        <w:rPr>
          <w:bCs/>
        </w:rPr>
        <w:t>ILEC</w:t>
      </w:r>
      <w:r w:rsidR="00FD2111">
        <w:rPr>
          <w:bCs/>
        </w:rPr>
        <w:t>s</w:t>
      </w:r>
      <w:r w:rsidR="00B6027F">
        <w:rPr>
          <w:bCs/>
        </w:rPr>
        <w:t>,</w:t>
      </w:r>
      <w:r w:rsidR="00FD2111">
        <w:rPr>
          <w:bCs/>
        </w:rPr>
        <w:t xml:space="preserve"> the decision limited the amount carriers </w:t>
      </w:r>
      <w:r w:rsidR="001D3B0D">
        <w:rPr>
          <w:bCs/>
        </w:rPr>
        <w:t xml:space="preserve">can </w:t>
      </w:r>
      <w:r w:rsidR="00FD2111">
        <w:rPr>
          <w:bCs/>
        </w:rPr>
        <w:t xml:space="preserve">receive for administration and bad debt losses.  The Small </w:t>
      </w:r>
      <w:r w:rsidR="00CC4F3E">
        <w:rPr>
          <w:bCs/>
        </w:rPr>
        <w:t>ILEC</w:t>
      </w:r>
      <w:r w:rsidR="00FD2111">
        <w:rPr>
          <w:bCs/>
        </w:rPr>
        <w:t xml:space="preserve">s </w:t>
      </w:r>
      <w:r w:rsidR="006A2DD9">
        <w:rPr>
          <w:bCs/>
        </w:rPr>
        <w:t>are</w:t>
      </w:r>
      <w:r w:rsidR="00FD2111">
        <w:rPr>
          <w:bCs/>
        </w:rPr>
        <w:t xml:space="preserve"> reimbursed for their administrative expenses at up to $0.50 per weighted average customer count as provided monthly by the Ca</w:t>
      </w:r>
      <w:r w:rsidR="008C167E">
        <w:rPr>
          <w:bCs/>
        </w:rPr>
        <w:t xml:space="preserve">lifornia </w:t>
      </w:r>
      <w:r w:rsidR="00281830">
        <w:rPr>
          <w:bCs/>
          <w:i/>
        </w:rPr>
        <w:t>LifeLine</w:t>
      </w:r>
      <w:r w:rsidR="008C167E">
        <w:rPr>
          <w:bCs/>
        </w:rPr>
        <w:t xml:space="preserve"> Administrator until their next GRC.</w:t>
      </w:r>
      <w:r w:rsidR="009E200E">
        <w:rPr>
          <w:bCs/>
        </w:rPr>
        <w:t xml:space="preserve">  </w:t>
      </w:r>
      <w:r w:rsidR="00467D4A">
        <w:rPr>
          <w:bCs/>
        </w:rPr>
        <w:t>This is reinforced in D.14-01-036, which states “Therefore, rate-of-return companies, operating under Commission-approved tariffs, may seek lost revenue recover as limited by D.10-02-016 for monthly recurring residential basic telephone service rates from the CHCF-A through the general rate case process (or through an annual advice letter until the general rate case filing year) for month</w:t>
      </w:r>
      <w:r w:rsidR="00443980">
        <w:rPr>
          <w:bCs/>
        </w:rPr>
        <w:t>l</w:t>
      </w:r>
      <w:r w:rsidR="00467D4A">
        <w:rPr>
          <w:bCs/>
        </w:rPr>
        <w:t>y recurring residential basic telephone service rates that neither the California Lifeline participant nor the California LifelIne Program will reimburse.</w:t>
      </w:r>
      <w:r w:rsidR="00467D4A">
        <w:rPr>
          <w:rStyle w:val="FootnoteReference"/>
          <w:bCs/>
        </w:rPr>
        <w:footnoteReference w:id="7"/>
      </w:r>
      <w:r w:rsidR="00467D4A">
        <w:rPr>
          <w:bCs/>
        </w:rPr>
        <w:t xml:space="preserve"> </w:t>
      </w:r>
      <w:r w:rsidR="009E200E">
        <w:rPr>
          <w:bCs/>
        </w:rPr>
        <w:t xml:space="preserve">CD staff has reviewed the detail of each ILEC’s </w:t>
      </w:r>
      <w:r w:rsidR="00281830">
        <w:rPr>
          <w:bCs/>
          <w:i/>
        </w:rPr>
        <w:t>LifeLine</w:t>
      </w:r>
      <w:r w:rsidR="009E200E">
        <w:rPr>
          <w:bCs/>
        </w:rPr>
        <w:t>-associated reimbursement request and finds these amounts reasonable.</w:t>
      </w:r>
      <w:r w:rsidR="00837CD0">
        <w:rPr>
          <w:bCs/>
        </w:rPr>
        <w:t xml:space="preserve">  Contrary to ORA’s protest, the Small ILECs have adequately supported these costs and resulting means test calculation</w:t>
      </w:r>
      <w:r w:rsidR="003D37DD">
        <w:rPr>
          <w:bCs/>
        </w:rPr>
        <w:t>s</w:t>
      </w:r>
      <w:r w:rsidR="00837CD0">
        <w:rPr>
          <w:bCs/>
        </w:rPr>
        <w:t>.</w:t>
      </w:r>
    </w:p>
    <w:p w:rsidR="004611AA" w:rsidRDefault="004611AA" w:rsidP="00C82A73">
      <w:pPr>
        <w:pStyle w:val="BodyText"/>
        <w:tabs>
          <w:tab w:val="clear" w:pos="720"/>
        </w:tabs>
        <w:suppressAutoHyphens/>
        <w:spacing w:after="0"/>
        <w:rPr>
          <w:bCs/>
        </w:rPr>
      </w:pPr>
    </w:p>
    <w:p w:rsidR="00FD2111" w:rsidRPr="006876A5" w:rsidRDefault="00F36A8E">
      <w:pPr>
        <w:pStyle w:val="BodyText"/>
        <w:tabs>
          <w:tab w:val="clear" w:pos="720"/>
        </w:tabs>
        <w:suppressAutoHyphens/>
        <w:spacing w:after="0"/>
        <w:ind w:left="630"/>
        <w:rPr>
          <w:b/>
          <w:bCs/>
          <w:u w:val="single"/>
        </w:rPr>
      </w:pPr>
      <w:r>
        <w:rPr>
          <w:b/>
          <w:bCs/>
          <w:u w:val="single"/>
        </w:rPr>
        <w:t>Revenue Effect Associated with R.11-11-007</w:t>
      </w:r>
      <w:r w:rsidR="00402B03">
        <w:rPr>
          <w:b/>
          <w:bCs/>
          <w:u w:val="single"/>
        </w:rPr>
        <w:t>:</w:t>
      </w:r>
      <w:r>
        <w:rPr>
          <w:b/>
          <w:bCs/>
          <w:u w:val="single"/>
        </w:rPr>
        <w:t xml:space="preserve"> CHCF-A Rulemaking</w:t>
      </w:r>
    </w:p>
    <w:p w:rsidR="00FD2111" w:rsidRDefault="00FD2111">
      <w:pPr>
        <w:pStyle w:val="BodyText"/>
        <w:tabs>
          <w:tab w:val="clear" w:pos="720"/>
        </w:tabs>
        <w:suppressAutoHyphens/>
        <w:spacing w:after="0"/>
        <w:ind w:left="630"/>
        <w:rPr>
          <w:b/>
          <w:bCs/>
        </w:rPr>
      </w:pPr>
    </w:p>
    <w:p w:rsidR="00766BFA" w:rsidRPr="0089313E" w:rsidRDefault="00766BFA" w:rsidP="00766BFA">
      <w:pPr>
        <w:pStyle w:val="standard"/>
        <w:spacing w:line="240" w:lineRule="auto"/>
        <w:ind w:firstLine="0"/>
        <w:rPr>
          <w:bCs/>
          <w:sz w:val="24"/>
          <w:szCs w:val="24"/>
        </w:rPr>
      </w:pPr>
      <w:r>
        <w:rPr>
          <w:bCs/>
          <w:sz w:val="24"/>
          <w:szCs w:val="24"/>
        </w:rPr>
        <w:t>The R.11-11-007 PD provides for incremental increases in the Small ILECs’ basic service rates, which would result in changes to their respective revenue requirements and resulting CHCF-A funding effective January 1, 2015</w:t>
      </w:r>
      <w:r w:rsidR="00D272B5">
        <w:rPr>
          <w:bCs/>
          <w:sz w:val="24"/>
          <w:szCs w:val="24"/>
        </w:rPr>
        <w:t>.  S</w:t>
      </w:r>
      <w:r w:rsidR="00E875FA">
        <w:rPr>
          <w:bCs/>
          <w:sz w:val="24"/>
          <w:szCs w:val="24"/>
        </w:rPr>
        <w:t xml:space="preserve">ince the PD has not been adopted at this time, CY 2015 CHCF-A support </w:t>
      </w:r>
      <w:r w:rsidR="00D272B5">
        <w:rPr>
          <w:bCs/>
          <w:sz w:val="24"/>
          <w:szCs w:val="24"/>
        </w:rPr>
        <w:t xml:space="preserve">amounts do not include the proposed increase to basic service rates.  If the Commission adopts the rate increase proposed in R.11-11-007 CD is authorized </w:t>
      </w:r>
      <w:r w:rsidR="003001E6">
        <w:rPr>
          <w:bCs/>
          <w:sz w:val="24"/>
          <w:szCs w:val="24"/>
        </w:rPr>
        <w:t xml:space="preserve">to recalculate the CHCF-A support </w:t>
      </w:r>
      <w:r w:rsidR="00D272B5">
        <w:rPr>
          <w:bCs/>
          <w:sz w:val="24"/>
          <w:szCs w:val="24"/>
        </w:rPr>
        <w:t>amounts to reflect the adopted rate increase for the ten Small ILECs for CY 2015</w:t>
      </w:r>
      <w:r w:rsidR="003001E6">
        <w:rPr>
          <w:bCs/>
          <w:sz w:val="24"/>
          <w:szCs w:val="24"/>
        </w:rPr>
        <w:t>.</w:t>
      </w:r>
      <w:r w:rsidR="00E875FA">
        <w:rPr>
          <w:bCs/>
          <w:sz w:val="24"/>
          <w:szCs w:val="24"/>
        </w:rPr>
        <w:t xml:space="preserve"> </w:t>
      </w:r>
    </w:p>
    <w:p w:rsidR="00766BFA" w:rsidRDefault="00766BFA" w:rsidP="00DC3159">
      <w:pPr>
        <w:pStyle w:val="BodyText"/>
        <w:tabs>
          <w:tab w:val="clear" w:pos="720"/>
        </w:tabs>
        <w:suppressAutoHyphens/>
        <w:spacing w:after="0"/>
        <w:rPr>
          <w:bCs/>
          <w:caps/>
        </w:rPr>
      </w:pPr>
    </w:p>
    <w:p w:rsidR="002C50B6" w:rsidRDefault="002C50B6" w:rsidP="00646CD7">
      <w:pPr>
        <w:pStyle w:val="BodyText"/>
        <w:tabs>
          <w:tab w:val="clear" w:pos="720"/>
        </w:tabs>
        <w:suppressAutoHyphens/>
        <w:spacing w:after="0"/>
        <w:ind w:left="630"/>
        <w:rPr>
          <w:bCs/>
          <w:caps/>
        </w:rPr>
      </w:pPr>
      <w:r w:rsidRPr="006876A5">
        <w:rPr>
          <w:b/>
          <w:bCs/>
          <w:u w:val="single"/>
        </w:rPr>
        <w:t>Revenue Effect Associated with GRC Modification</w:t>
      </w:r>
    </w:p>
    <w:p w:rsidR="002C50B6" w:rsidRDefault="002C50B6" w:rsidP="00DC3159">
      <w:pPr>
        <w:pStyle w:val="BodyText"/>
        <w:tabs>
          <w:tab w:val="clear" w:pos="720"/>
        </w:tabs>
        <w:suppressAutoHyphens/>
        <w:spacing w:after="0"/>
        <w:rPr>
          <w:bCs/>
          <w:caps/>
        </w:rPr>
      </w:pPr>
    </w:p>
    <w:p w:rsidR="000A02E9" w:rsidRDefault="00D560F5" w:rsidP="00DC3159">
      <w:pPr>
        <w:pStyle w:val="BodyText"/>
        <w:tabs>
          <w:tab w:val="clear" w:pos="720"/>
        </w:tabs>
        <w:suppressAutoHyphens/>
        <w:spacing w:after="0"/>
        <w:rPr>
          <w:bCs/>
        </w:rPr>
      </w:pPr>
      <w:r>
        <w:rPr>
          <w:bCs/>
        </w:rPr>
        <w:t xml:space="preserve">In its </w:t>
      </w:r>
      <w:r w:rsidR="00FD2111">
        <w:rPr>
          <w:bCs/>
        </w:rPr>
        <w:t>201</w:t>
      </w:r>
      <w:r w:rsidR="00936EDA">
        <w:rPr>
          <w:bCs/>
        </w:rPr>
        <w:t>5</w:t>
      </w:r>
      <w:r w:rsidR="00FD2111">
        <w:rPr>
          <w:bCs/>
        </w:rPr>
        <w:t xml:space="preserve"> </w:t>
      </w:r>
      <w:r>
        <w:rPr>
          <w:bCs/>
        </w:rPr>
        <w:t xml:space="preserve">CHCF-A </w:t>
      </w:r>
      <w:r w:rsidR="00AB03B7">
        <w:rPr>
          <w:bCs/>
        </w:rPr>
        <w:t>advice letter filing</w:t>
      </w:r>
      <w:r w:rsidR="00FD2111">
        <w:rPr>
          <w:bCs/>
        </w:rPr>
        <w:t xml:space="preserve">, </w:t>
      </w:r>
      <w:r w:rsidR="00936EDA">
        <w:rPr>
          <w:bCs/>
        </w:rPr>
        <w:t>Ducor</w:t>
      </w:r>
      <w:r w:rsidR="00FD2111">
        <w:rPr>
          <w:bCs/>
        </w:rPr>
        <w:t xml:space="preserve"> included </w:t>
      </w:r>
      <w:r w:rsidR="00936EDA">
        <w:rPr>
          <w:bCs/>
        </w:rPr>
        <w:t xml:space="preserve">a </w:t>
      </w:r>
      <w:r w:rsidR="00FD2111">
        <w:rPr>
          <w:bCs/>
        </w:rPr>
        <w:t xml:space="preserve">proposed modification to </w:t>
      </w:r>
      <w:r>
        <w:rPr>
          <w:bCs/>
        </w:rPr>
        <w:t>its</w:t>
      </w:r>
      <w:r w:rsidR="00FD2111">
        <w:rPr>
          <w:bCs/>
        </w:rPr>
        <w:t xml:space="preserve"> 201</w:t>
      </w:r>
      <w:r w:rsidR="00936EDA">
        <w:rPr>
          <w:bCs/>
        </w:rPr>
        <w:t>5 CHCF-A support</w:t>
      </w:r>
      <w:r w:rsidR="00FD2111">
        <w:rPr>
          <w:bCs/>
        </w:rPr>
        <w:t xml:space="preserve"> for items that are currently pending in </w:t>
      </w:r>
      <w:r w:rsidR="00936EDA">
        <w:rPr>
          <w:bCs/>
        </w:rPr>
        <w:t xml:space="preserve">an </w:t>
      </w:r>
      <w:r w:rsidR="00FD2111">
        <w:rPr>
          <w:bCs/>
        </w:rPr>
        <w:t xml:space="preserve">ongoing Application for Rehearing filed in response to </w:t>
      </w:r>
      <w:r w:rsidR="00697296">
        <w:rPr>
          <w:bCs/>
        </w:rPr>
        <w:t xml:space="preserve">its </w:t>
      </w:r>
      <w:r w:rsidR="00FD2111">
        <w:rPr>
          <w:bCs/>
        </w:rPr>
        <w:t>GRC for Test Year 2009.  Since th</w:t>
      </w:r>
      <w:r w:rsidR="00936EDA">
        <w:rPr>
          <w:bCs/>
        </w:rPr>
        <w:t>is</w:t>
      </w:r>
      <w:r w:rsidR="00FD2111">
        <w:rPr>
          <w:bCs/>
        </w:rPr>
        <w:t xml:space="preserve"> item</w:t>
      </w:r>
      <w:r w:rsidR="00936EDA">
        <w:rPr>
          <w:bCs/>
        </w:rPr>
        <w:t xml:space="preserve"> is </w:t>
      </w:r>
      <w:r w:rsidR="00FD2111">
        <w:rPr>
          <w:bCs/>
        </w:rPr>
        <w:t xml:space="preserve">currently </w:t>
      </w:r>
      <w:r>
        <w:rPr>
          <w:bCs/>
        </w:rPr>
        <w:t>under</w:t>
      </w:r>
      <w:r w:rsidR="00FD2111">
        <w:rPr>
          <w:bCs/>
        </w:rPr>
        <w:t xml:space="preserve"> review by the Commission</w:t>
      </w:r>
      <w:r w:rsidR="000A02E9">
        <w:rPr>
          <w:bCs/>
        </w:rPr>
        <w:t>,</w:t>
      </w:r>
      <w:r w:rsidR="00FD2111">
        <w:rPr>
          <w:bCs/>
        </w:rPr>
        <w:t xml:space="preserve"> we will not address </w:t>
      </w:r>
      <w:r w:rsidR="00697296">
        <w:rPr>
          <w:bCs/>
        </w:rPr>
        <w:t xml:space="preserve">this matter </w:t>
      </w:r>
      <w:r w:rsidR="00FD2111">
        <w:rPr>
          <w:bCs/>
        </w:rPr>
        <w:t>in this Resolution.  After the Commission issues a decision</w:t>
      </w:r>
      <w:r w:rsidR="000A02E9">
        <w:rPr>
          <w:bCs/>
        </w:rPr>
        <w:t xml:space="preserve"> on this matter, </w:t>
      </w:r>
      <w:r w:rsidR="00FD2111">
        <w:rPr>
          <w:bCs/>
        </w:rPr>
        <w:t>CD will make the necessary adjustments to the carriers’ CHCF-A support.</w:t>
      </w:r>
    </w:p>
    <w:p w:rsidR="00766BFA" w:rsidRDefault="00766BFA" w:rsidP="00DC3159">
      <w:pPr>
        <w:pStyle w:val="BodyText"/>
        <w:tabs>
          <w:tab w:val="clear" w:pos="720"/>
        </w:tabs>
        <w:suppressAutoHyphens/>
        <w:spacing w:after="0"/>
        <w:rPr>
          <w:bCs/>
        </w:rPr>
      </w:pPr>
    </w:p>
    <w:p w:rsidR="0013193D" w:rsidRPr="006876A5" w:rsidRDefault="0013193D" w:rsidP="0013193D">
      <w:pPr>
        <w:spacing w:after="120"/>
        <w:ind w:left="720"/>
        <w:rPr>
          <w:rFonts w:ascii="Palatino" w:hAnsi="Palatino"/>
          <w:sz w:val="24"/>
          <w:u w:val="single"/>
        </w:rPr>
      </w:pPr>
      <w:r w:rsidRPr="006876A5">
        <w:rPr>
          <w:rFonts w:ascii="Palatino" w:hAnsi="Palatino"/>
          <w:b/>
          <w:sz w:val="24"/>
          <w:u w:val="single"/>
        </w:rPr>
        <w:t>Means Test</w:t>
      </w:r>
    </w:p>
    <w:p w:rsidR="002369A6" w:rsidRDefault="0013193D" w:rsidP="0013193D">
      <w:pPr>
        <w:rPr>
          <w:rFonts w:ascii="Palatino" w:hAnsi="Palatino"/>
          <w:sz w:val="24"/>
        </w:rPr>
      </w:pPr>
      <w:r>
        <w:rPr>
          <w:rFonts w:ascii="Palatino" w:hAnsi="Palatino"/>
          <w:sz w:val="24"/>
        </w:rPr>
        <w:t xml:space="preserve">Section B of the Implementation Rules in D.91-09-042 requires that each </w:t>
      </w:r>
      <w:r w:rsidR="000D033D">
        <w:rPr>
          <w:rFonts w:ascii="Palatino" w:hAnsi="Palatino"/>
          <w:sz w:val="24"/>
        </w:rPr>
        <w:t xml:space="preserve">Small ILEC’s </w:t>
      </w:r>
      <w:r>
        <w:rPr>
          <w:rFonts w:ascii="Palatino" w:hAnsi="Palatino"/>
          <w:sz w:val="24"/>
        </w:rPr>
        <w:t>CHCF-A support request be subject to a means test</w:t>
      </w:r>
      <w:r w:rsidR="00296040">
        <w:rPr>
          <w:rFonts w:ascii="Palatino" w:hAnsi="Palatino"/>
          <w:sz w:val="24"/>
        </w:rPr>
        <w:t xml:space="preserve"> so that </w:t>
      </w:r>
      <w:r>
        <w:rPr>
          <w:rFonts w:ascii="Palatino" w:hAnsi="Palatino"/>
          <w:sz w:val="24"/>
        </w:rPr>
        <w:t xml:space="preserve">the support is limited to forecasted intrastate results of operations </w:t>
      </w:r>
      <w:r w:rsidR="000D033D">
        <w:rPr>
          <w:rFonts w:ascii="Palatino" w:hAnsi="Palatino"/>
          <w:sz w:val="24"/>
        </w:rPr>
        <w:t xml:space="preserve">and does </w:t>
      </w:r>
      <w:r>
        <w:rPr>
          <w:rFonts w:ascii="Palatino" w:hAnsi="Palatino"/>
          <w:sz w:val="24"/>
        </w:rPr>
        <w:t>not exceed the authorized rate of return</w:t>
      </w:r>
      <w:r w:rsidR="002231E3">
        <w:rPr>
          <w:rFonts w:ascii="Palatino" w:hAnsi="Palatino"/>
          <w:sz w:val="24"/>
        </w:rPr>
        <w:t xml:space="preserve"> of 10%</w:t>
      </w:r>
      <w:r>
        <w:rPr>
          <w:rFonts w:ascii="Palatino" w:hAnsi="Palatino"/>
          <w:sz w:val="24"/>
        </w:rPr>
        <w:t xml:space="preserve">.  </w:t>
      </w:r>
      <w:r w:rsidR="00293F96">
        <w:rPr>
          <w:rFonts w:ascii="Palatino" w:hAnsi="Palatino"/>
          <w:sz w:val="24"/>
        </w:rPr>
        <w:t xml:space="preserve">Means test calculation results indicate that </w:t>
      </w:r>
      <w:r w:rsidR="00EA2B41">
        <w:rPr>
          <w:rFonts w:ascii="Palatino" w:hAnsi="Palatino"/>
          <w:sz w:val="24"/>
        </w:rPr>
        <w:t xml:space="preserve">Cal-Ore, Ducor, Pinnacles, Ponderosa, Sierra and Volcano </w:t>
      </w:r>
      <w:r w:rsidR="00296040">
        <w:rPr>
          <w:rFonts w:ascii="Palatino" w:hAnsi="Palatino"/>
          <w:sz w:val="24"/>
        </w:rPr>
        <w:t>forecast</w:t>
      </w:r>
      <w:r w:rsidR="00EA2B41">
        <w:rPr>
          <w:rFonts w:ascii="Palatino" w:hAnsi="Palatino"/>
          <w:sz w:val="24"/>
        </w:rPr>
        <w:t xml:space="preserve"> earning</w:t>
      </w:r>
      <w:r w:rsidR="00296040">
        <w:rPr>
          <w:rFonts w:ascii="Palatino" w:hAnsi="Palatino"/>
          <w:sz w:val="24"/>
        </w:rPr>
        <w:t>s at various rates</w:t>
      </w:r>
      <w:r w:rsidR="00EA2B41">
        <w:rPr>
          <w:rFonts w:ascii="Palatino" w:hAnsi="Palatino"/>
          <w:sz w:val="24"/>
        </w:rPr>
        <w:t xml:space="preserve"> above </w:t>
      </w:r>
      <w:r w:rsidR="00296040">
        <w:rPr>
          <w:rFonts w:ascii="Palatino" w:hAnsi="Palatino"/>
          <w:sz w:val="24"/>
        </w:rPr>
        <w:t xml:space="preserve">a </w:t>
      </w:r>
      <w:r w:rsidR="00EA2B41">
        <w:rPr>
          <w:rFonts w:ascii="Palatino" w:hAnsi="Palatino"/>
          <w:sz w:val="24"/>
        </w:rPr>
        <w:t>10%</w:t>
      </w:r>
      <w:r w:rsidR="00293F96">
        <w:rPr>
          <w:rFonts w:ascii="Palatino" w:hAnsi="Palatino"/>
          <w:sz w:val="24"/>
        </w:rPr>
        <w:t xml:space="preserve"> </w:t>
      </w:r>
      <w:r w:rsidR="00EA2B41">
        <w:rPr>
          <w:rFonts w:ascii="Palatino" w:hAnsi="Palatino"/>
          <w:sz w:val="24"/>
        </w:rPr>
        <w:t>rate of return.  The</w:t>
      </w:r>
      <w:r w:rsidR="00296040">
        <w:rPr>
          <w:rFonts w:ascii="Palatino" w:hAnsi="Palatino"/>
          <w:sz w:val="24"/>
        </w:rPr>
        <w:t>refore—and in those cases—the means test is designed to calculate CHCF-A support that limits those Small ILECs’ resulting intrastate revenue requirement</w:t>
      </w:r>
      <w:r w:rsidR="00697296">
        <w:rPr>
          <w:rFonts w:ascii="Palatino" w:hAnsi="Palatino"/>
          <w:sz w:val="24"/>
        </w:rPr>
        <w:t>s</w:t>
      </w:r>
      <w:r w:rsidR="00296040">
        <w:rPr>
          <w:rFonts w:ascii="Palatino" w:hAnsi="Palatino"/>
          <w:sz w:val="24"/>
        </w:rPr>
        <w:t xml:space="preserve"> to an amount equal to no more than a </w:t>
      </w:r>
      <w:r w:rsidR="00EA2B41">
        <w:rPr>
          <w:rFonts w:ascii="Palatino" w:hAnsi="Palatino"/>
          <w:sz w:val="24"/>
        </w:rPr>
        <w:t>10%</w:t>
      </w:r>
      <w:r w:rsidR="00296040">
        <w:rPr>
          <w:rFonts w:ascii="Palatino" w:hAnsi="Palatino"/>
          <w:sz w:val="24"/>
        </w:rPr>
        <w:t xml:space="preserve"> rate of return.</w:t>
      </w:r>
    </w:p>
    <w:p w:rsidR="002369A6" w:rsidRDefault="002369A6" w:rsidP="0013193D">
      <w:pPr>
        <w:rPr>
          <w:rFonts w:ascii="Palatino" w:hAnsi="Palatino"/>
          <w:sz w:val="24"/>
        </w:rPr>
      </w:pPr>
    </w:p>
    <w:p w:rsidR="002369A6" w:rsidRDefault="003550FF" w:rsidP="0013193D">
      <w:pPr>
        <w:rPr>
          <w:rFonts w:ascii="Palatino" w:hAnsi="Palatino"/>
          <w:sz w:val="24"/>
        </w:rPr>
      </w:pPr>
      <w:r>
        <w:rPr>
          <w:rFonts w:ascii="Palatino" w:hAnsi="Palatino"/>
          <w:sz w:val="24"/>
        </w:rPr>
        <w:t>A</w:t>
      </w:r>
      <w:r w:rsidR="002369A6">
        <w:rPr>
          <w:rFonts w:ascii="Palatino" w:hAnsi="Palatino"/>
          <w:sz w:val="24"/>
        </w:rPr>
        <w:t>ddition</w:t>
      </w:r>
      <w:r>
        <w:rPr>
          <w:rFonts w:ascii="Palatino" w:hAnsi="Palatino"/>
          <w:sz w:val="24"/>
        </w:rPr>
        <w:t>ally</w:t>
      </w:r>
      <w:r w:rsidR="002369A6">
        <w:rPr>
          <w:rFonts w:ascii="Palatino" w:hAnsi="Palatino"/>
          <w:sz w:val="24"/>
        </w:rPr>
        <w:t xml:space="preserve">, </w:t>
      </w:r>
      <w:r>
        <w:rPr>
          <w:rFonts w:ascii="Palatino" w:hAnsi="Palatino"/>
          <w:sz w:val="24"/>
        </w:rPr>
        <w:t>the</w:t>
      </w:r>
      <w:r w:rsidR="002369A6">
        <w:rPr>
          <w:rFonts w:ascii="Palatino" w:hAnsi="Palatino"/>
          <w:sz w:val="24"/>
        </w:rPr>
        <w:t xml:space="preserve"> Small ILECs </w:t>
      </w:r>
      <w:r>
        <w:rPr>
          <w:rFonts w:ascii="Palatino" w:hAnsi="Palatino"/>
          <w:sz w:val="24"/>
        </w:rPr>
        <w:t xml:space="preserve">provide </w:t>
      </w:r>
      <w:r w:rsidR="002369A6">
        <w:rPr>
          <w:rFonts w:ascii="Palatino" w:hAnsi="Palatino"/>
          <w:sz w:val="24"/>
        </w:rPr>
        <w:t xml:space="preserve">an estimate for Line 5b USF-HCLS </w:t>
      </w:r>
      <w:r w:rsidR="00296040">
        <w:rPr>
          <w:rFonts w:ascii="Palatino" w:hAnsi="Palatino"/>
          <w:sz w:val="24"/>
        </w:rPr>
        <w:t>(under Ne</w:t>
      </w:r>
      <w:r>
        <w:rPr>
          <w:rFonts w:ascii="Palatino" w:hAnsi="Palatino"/>
          <w:sz w:val="24"/>
        </w:rPr>
        <w:t>t Interstate Expense Adjustment</w:t>
      </w:r>
      <w:r w:rsidR="00296040">
        <w:rPr>
          <w:rFonts w:ascii="Palatino" w:hAnsi="Palatino"/>
          <w:sz w:val="24"/>
        </w:rPr>
        <w:t xml:space="preserve"> </w:t>
      </w:r>
      <w:r w:rsidR="002369A6">
        <w:rPr>
          <w:rFonts w:ascii="Palatino" w:hAnsi="Palatino"/>
          <w:sz w:val="24"/>
        </w:rPr>
        <w:t>in Attachment A</w:t>
      </w:r>
      <w:r>
        <w:rPr>
          <w:rFonts w:ascii="Palatino" w:hAnsi="Palatino"/>
          <w:sz w:val="24"/>
        </w:rPr>
        <w:t>) when submitting their respective ALs</w:t>
      </w:r>
      <w:r w:rsidR="002369A6">
        <w:rPr>
          <w:rFonts w:ascii="Palatino" w:hAnsi="Palatino"/>
          <w:sz w:val="24"/>
        </w:rPr>
        <w:t>.  CD uses the</w:t>
      </w:r>
      <w:r w:rsidR="00296040">
        <w:rPr>
          <w:rFonts w:ascii="Palatino" w:hAnsi="Palatino"/>
          <w:sz w:val="24"/>
        </w:rPr>
        <w:t>se</w:t>
      </w:r>
      <w:r w:rsidR="002369A6">
        <w:rPr>
          <w:rFonts w:ascii="Palatino" w:hAnsi="Palatino"/>
          <w:sz w:val="24"/>
        </w:rPr>
        <w:t xml:space="preserve"> final NECA USF-HCLS numbers</w:t>
      </w:r>
      <w:r>
        <w:rPr>
          <w:rFonts w:ascii="Palatino" w:hAnsi="Palatino"/>
          <w:sz w:val="24"/>
        </w:rPr>
        <w:t>, which may result</w:t>
      </w:r>
      <w:r w:rsidR="002369A6">
        <w:rPr>
          <w:rFonts w:ascii="Palatino" w:hAnsi="Palatino"/>
          <w:sz w:val="24"/>
        </w:rPr>
        <w:t xml:space="preserve"> </w:t>
      </w:r>
      <w:r>
        <w:rPr>
          <w:rFonts w:ascii="Palatino" w:hAnsi="Palatino"/>
          <w:sz w:val="24"/>
        </w:rPr>
        <w:t>in</w:t>
      </w:r>
      <w:r w:rsidR="002369A6">
        <w:rPr>
          <w:rFonts w:ascii="Palatino" w:hAnsi="Palatino"/>
          <w:sz w:val="24"/>
        </w:rPr>
        <w:t xml:space="preserve"> the Small ILEC receiv</w:t>
      </w:r>
      <w:r>
        <w:rPr>
          <w:rFonts w:ascii="Palatino" w:hAnsi="Palatino"/>
          <w:sz w:val="24"/>
        </w:rPr>
        <w:t>ing</w:t>
      </w:r>
      <w:r w:rsidR="002369A6">
        <w:rPr>
          <w:rFonts w:ascii="Palatino" w:hAnsi="Palatino"/>
          <w:sz w:val="24"/>
        </w:rPr>
        <w:t xml:space="preserve"> more</w:t>
      </w:r>
      <w:r>
        <w:rPr>
          <w:rFonts w:ascii="Palatino" w:hAnsi="Palatino"/>
          <w:sz w:val="24"/>
        </w:rPr>
        <w:t xml:space="preserve"> or less</w:t>
      </w:r>
      <w:r w:rsidR="002369A6">
        <w:rPr>
          <w:rFonts w:ascii="Palatino" w:hAnsi="Palatino"/>
          <w:sz w:val="24"/>
        </w:rPr>
        <w:t xml:space="preserve"> funding than </w:t>
      </w:r>
      <w:r>
        <w:rPr>
          <w:rFonts w:ascii="Palatino" w:hAnsi="Palatino"/>
          <w:sz w:val="24"/>
        </w:rPr>
        <w:t xml:space="preserve">originally </w:t>
      </w:r>
      <w:r w:rsidR="002369A6">
        <w:rPr>
          <w:rFonts w:ascii="Palatino" w:hAnsi="Palatino"/>
          <w:sz w:val="24"/>
        </w:rPr>
        <w:t>requested.</w:t>
      </w:r>
    </w:p>
    <w:p w:rsidR="002369A6" w:rsidRDefault="002369A6" w:rsidP="0013193D">
      <w:pPr>
        <w:rPr>
          <w:rFonts w:ascii="Palatino" w:hAnsi="Palatino"/>
          <w:sz w:val="24"/>
        </w:rPr>
      </w:pPr>
    </w:p>
    <w:p w:rsidR="00D25716" w:rsidRDefault="0013193D" w:rsidP="0013193D">
      <w:pPr>
        <w:rPr>
          <w:rFonts w:ascii="Palatino" w:hAnsi="Palatino"/>
          <w:sz w:val="24"/>
        </w:rPr>
      </w:pPr>
      <w:r>
        <w:rPr>
          <w:rFonts w:ascii="Palatino" w:hAnsi="Palatino"/>
          <w:sz w:val="24"/>
        </w:rPr>
        <w:t>Th</w:t>
      </w:r>
      <w:r w:rsidR="002369A6">
        <w:rPr>
          <w:rFonts w:ascii="Palatino" w:hAnsi="Palatino"/>
          <w:sz w:val="24"/>
        </w:rPr>
        <w:t>e means test</w:t>
      </w:r>
      <w:r>
        <w:rPr>
          <w:rFonts w:ascii="Palatino" w:hAnsi="Palatino"/>
          <w:sz w:val="24"/>
        </w:rPr>
        <w:t xml:space="preserve"> includes consideration for state operating fixed charges (interest), subject to review by the means test process.</w:t>
      </w:r>
      <w:r>
        <w:rPr>
          <w:rStyle w:val="FootnoteReference"/>
          <w:rFonts w:ascii="Palatino" w:hAnsi="Palatino"/>
          <w:sz w:val="24"/>
        </w:rPr>
        <w:footnoteReference w:id="8"/>
      </w:r>
      <w:r>
        <w:rPr>
          <w:rFonts w:ascii="Palatino" w:hAnsi="Palatino"/>
          <w:sz w:val="24"/>
        </w:rPr>
        <w:t xml:space="preserve">   The forecasted earnings must be based on at least seven months of recorded financial data, annualized for the year that the advice letter is filed.  D. 91-09-042 also provides that the means test is not required in determining a Small ILEC’s CHCF-A funding for the first 12 months after a decision or resolution is issued by the Commission in a GRC proceeding.</w:t>
      </w:r>
    </w:p>
    <w:p w:rsidR="00D25716" w:rsidRDefault="00D25716" w:rsidP="0013193D">
      <w:pPr>
        <w:rPr>
          <w:rFonts w:ascii="Palatino" w:hAnsi="Palatino"/>
          <w:sz w:val="24"/>
        </w:rPr>
      </w:pPr>
    </w:p>
    <w:p w:rsidR="0013193D" w:rsidRDefault="0013193D" w:rsidP="0013193D">
      <w:pPr>
        <w:rPr>
          <w:rFonts w:ascii="Palatino" w:hAnsi="Palatino"/>
          <w:sz w:val="24"/>
        </w:rPr>
      </w:pPr>
      <w:r>
        <w:rPr>
          <w:rFonts w:ascii="Palatino" w:hAnsi="Palatino"/>
          <w:sz w:val="24"/>
        </w:rPr>
        <w:t>In response to ORA’s claim and upon further analysis, we find that the means test</w:t>
      </w:r>
      <w:r w:rsidR="00443980">
        <w:rPr>
          <w:rFonts w:ascii="Palatino" w:hAnsi="Palatino"/>
          <w:sz w:val="24"/>
        </w:rPr>
        <w:t xml:space="preserve"> </w:t>
      </w:r>
      <w:r>
        <w:rPr>
          <w:rFonts w:ascii="Palatino" w:hAnsi="Palatino"/>
          <w:sz w:val="24"/>
        </w:rPr>
        <w:t xml:space="preserve">supporting financial data provided by the CHCF-A carriers </w:t>
      </w:r>
      <w:r w:rsidR="00B67A3F">
        <w:rPr>
          <w:rFonts w:ascii="Palatino" w:hAnsi="Palatino"/>
          <w:sz w:val="24"/>
        </w:rPr>
        <w:t xml:space="preserve">is consistent with past submitted data and </w:t>
      </w:r>
      <w:r>
        <w:rPr>
          <w:rFonts w:ascii="Palatino" w:hAnsi="Palatino"/>
          <w:sz w:val="24"/>
        </w:rPr>
        <w:t xml:space="preserve">is adequate for the purpose of administering the means test calculation. </w:t>
      </w:r>
    </w:p>
    <w:p w:rsidR="00605ACC" w:rsidRDefault="0013193D">
      <w:pPr>
        <w:pStyle w:val="BodyText"/>
        <w:tabs>
          <w:tab w:val="clear" w:pos="720"/>
        </w:tabs>
        <w:suppressAutoHyphens/>
        <w:spacing w:after="0"/>
        <w:rPr>
          <w:bCs/>
        </w:rPr>
      </w:pPr>
      <w:r>
        <w:t xml:space="preserve"> </w:t>
      </w:r>
    </w:p>
    <w:p w:rsidR="00FD2111" w:rsidRPr="0059723C" w:rsidRDefault="00FD2111">
      <w:pPr>
        <w:pStyle w:val="Heading2"/>
        <w:rPr>
          <w:sz w:val="26"/>
          <w:szCs w:val="26"/>
        </w:rPr>
      </w:pPr>
      <w:r w:rsidRPr="0059723C">
        <w:rPr>
          <w:i/>
          <w:sz w:val="26"/>
          <w:szCs w:val="26"/>
        </w:rPr>
        <w:t>B.   CHCF-A Support Summary by Carrier</w:t>
      </w:r>
    </w:p>
    <w:p w:rsidR="00FD2111" w:rsidRDefault="00FD2111" w:rsidP="00F244D1">
      <w:pPr>
        <w:pStyle w:val="BodyText"/>
        <w:tabs>
          <w:tab w:val="clear" w:pos="720"/>
        </w:tabs>
        <w:spacing w:after="0"/>
      </w:pPr>
      <w:r>
        <w:t xml:space="preserve">CD reviewed the </w:t>
      </w:r>
      <w:r w:rsidR="004E29CC">
        <w:t>advice</w:t>
      </w:r>
      <w:r w:rsidR="00367873">
        <w:t xml:space="preserve"> letter</w:t>
      </w:r>
      <w:r w:rsidR="004E29CC">
        <w:t xml:space="preserve"> </w:t>
      </w:r>
      <w:r>
        <w:t>filings made by the 1</w:t>
      </w:r>
      <w:r w:rsidR="00372EEF">
        <w:t>3</w:t>
      </w:r>
      <w:r>
        <w:t xml:space="preserve"> Small </w:t>
      </w:r>
      <w:r w:rsidR="00CC4F3E">
        <w:t>ILEC</w:t>
      </w:r>
      <w:r>
        <w:t xml:space="preserve">s in connection with </w:t>
      </w:r>
      <w:r w:rsidR="00BB31A4">
        <w:t xml:space="preserve">CY </w:t>
      </w:r>
      <w:r>
        <w:t>201</w:t>
      </w:r>
      <w:r w:rsidR="00936EDA">
        <w:t>5</w:t>
      </w:r>
      <w:r>
        <w:t xml:space="preserve"> CHCF-</w:t>
      </w:r>
      <w:r w:rsidRPr="002F3F70">
        <w:t xml:space="preserve">A </w:t>
      </w:r>
      <w:r w:rsidR="00C66645" w:rsidRPr="00EA40F3">
        <w:t>support</w:t>
      </w:r>
      <w:r w:rsidR="00C66645" w:rsidRPr="002F3F70">
        <w:t xml:space="preserve"> </w:t>
      </w:r>
      <w:r w:rsidRPr="009306FA">
        <w:t>requirements</w:t>
      </w:r>
      <w:r>
        <w:t>.</w:t>
      </w:r>
      <w:r w:rsidRPr="00F244D1">
        <w:t xml:space="preserve"> </w:t>
      </w:r>
      <w:r>
        <w:t>Program support and rate designs for each of the 1</w:t>
      </w:r>
      <w:r w:rsidR="00FB224F">
        <w:t>3</w:t>
      </w:r>
      <w:r>
        <w:t xml:space="preserve"> Small </w:t>
      </w:r>
      <w:r w:rsidR="00CC4F3E">
        <w:t>ILEC</w:t>
      </w:r>
      <w:r>
        <w:t>s are summarized below.  The detailed tables showing the CHCF-A support for the 1</w:t>
      </w:r>
      <w:r w:rsidR="001118B8">
        <w:t>3</w:t>
      </w:r>
      <w:r>
        <w:t xml:space="preserve"> Small </w:t>
      </w:r>
      <w:r w:rsidR="00CC4F3E">
        <w:t>ILEC</w:t>
      </w:r>
      <w:r>
        <w:t xml:space="preserve">s are </w:t>
      </w:r>
      <w:r w:rsidR="006A2DD9">
        <w:t xml:space="preserve">itemized </w:t>
      </w:r>
      <w:r>
        <w:t>in Appendix A.</w:t>
      </w:r>
    </w:p>
    <w:p w:rsidR="00614545" w:rsidRDefault="00614545" w:rsidP="00AF509D">
      <w:pPr>
        <w:tabs>
          <w:tab w:val="left" w:pos="720"/>
          <w:tab w:val="left" w:pos="9540"/>
        </w:tabs>
        <w:ind w:left="720" w:right="-720"/>
        <w:rPr>
          <w:rFonts w:ascii="Palatino" w:hAnsi="Palatino"/>
          <w:b/>
          <w:sz w:val="24"/>
          <w:u w:val="single"/>
        </w:rPr>
      </w:pPr>
    </w:p>
    <w:p w:rsidR="00FD2111" w:rsidRDefault="00FD2111">
      <w:pPr>
        <w:tabs>
          <w:tab w:val="left" w:pos="720"/>
          <w:tab w:val="left" w:pos="9540"/>
        </w:tabs>
        <w:spacing w:after="120"/>
        <w:ind w:left="720" w:right="-720"/>
        <w:rPr>
          <w:rFonts w:ascii="Palatino" w:hAnsi="Palatino"/>
          <w:b/>
          <w:sz w:val="24"/>
          <w:u w:val="single"/>
        </w:rPr>
      </w:pPr>
      <w:r>
        <w:rPr>
          <w:rFonts w:ascii="Palatino" w:hAnsi="Palatino"/>
          <w:b/>
          <w:sz w:val="24"/>
          <w:u w:val="single"/>
        </w:rPr>
        <w:t>Calaveras, Page 1 of Appendix A</w:t>
      </w:r>
    </w:p>
    <w:p w:rsidR="00FD2111" w:rsidRDefault="00FD2111">
      <w:pPr>
        <w:tabs>
          <w:tab w:val="left" w:pos="720"/>
        </w:tabs>
        <w:rPr>
          <w:rFonts w:ascii="Palatino" w:hAnsi="Palatino"/>
          <w:sz w:val="24"/>
        </w:rPr>
      </w:pPr>
      <w:r>
        <w:rPr>
          <w:rFonts w:ascii="Palatino" w:hAnsi="Palatino"/>
          <w:sz w:val="24"/>
        </w:rPr>
        <w:t>Calaveras has a CY 201</w:t>
      </w:r>
      <w:r w:rsidR="00A83A98">
        <w:rPr>
          <w:rFonts w:ascii="Palatino" w:hAnsi="Palatino"/>
          <w:sz w:val="24"/>
        </w:rPr>
        <w:t>5</w:t>
      </w:r>
      <w:r>
        <w:rPr>
          <w:rFonts w:ascii="Palatino" w:hAnsi="Palatino"/>
          <w:sz w:val="24"/>
        </w:rPr>
        <w:t xml:space="preserve"> CHCF-A revenue requirement of $2,</w:t>
      </w:r>
      <w:r w:rsidR="00A83A98">
        <w:rPr>
          <w:rFonts w:ascii="Palatino" w:hAnsi="Palatino"/>
          <w:sz w:val="24"/>
        </w:rPr>
        <w:t>213,568.35</w:t>
      </w:r>
      <w:r>
        <w:rPr>
          <w:rFonts w:ascii="Palatino" w:hAnsi="Palatino"/>
          <w:sz w:val="24"/>
        </w:rPr>
        <w:t xml:space="preserve"> (at Line 6, Page </w:t>
      </w:r>
      <w:r w:rsidR="00362CB5">
        <w:rPr>
          <w:rFonts w:ascii="Palatino" w:hAnsi="Palatino"/>
          <w:sz w:val="24"/>
        </w:rPr>
        <w:t>A-</w:t>
      </w:r>
      <w:r>
        <w:rPr>
          <w:rFonts w:ascii="Palatino" w:hAnsi="Palatino"/>
          <w:sz w:val="24"/>
        </w:rPr>
        <w:t>1 of Appendix A).  After the means test, Calaveras will receive $2,</w:t>
      </w:r>
      <w:r w:rsidR="00A83A98">
        <w:rPr>
          <w:rFonts w:ascii="Palatino" w:hAnsi="Palatino"/>
          <w:sz w:val="24"/>
        </w:rPr>
        <w:t>213,568.35</w:t>
      </w:r>
      <w:r w:rsidR="00362CB5">
        <w:rPr>
          <w:rFonts w:ascii="Palatino" w:hAnsi="Palatino"/>
          <w:sz w:val="24"/>
        </w:rPr>
        <w:t xml:space="preserve"> (at Line 11, Page A-1 of Appendix A)</w:t>
      </w:r>
      <w:r>
        <w:rPr>
          <w:rFonts w:ascii="Palatino" w:hAnsi="Palatino"/>
          <w:sz w:val="24"/>
        </w:rPr>
        <w:t xml:space="preserve">.  Thus, Calaveras </w:t>
      </w:r>
      <w:r w:rsidR="00360C2C">
        <w:rPr>
          <w:rFonts w:ascii="Palatino" w:hAnsi="Palatino"/>
          <w:sz w:val="24"/>
        </w:rPr>
        <w:t xml:space="preserve">should </w:t>
      </w:r>
      <w:r>
        <w:rPr>
          <w:rFonts w:ascii="Palatino" w:hAnsi="Palatino"/>
          <w:sz w:val="24"/>
        </w:rPr>
        <w:t>receive monthly CHCF-A support in the amount of $</w:t>
      </w:r>
      <w:r w:rsidR="00A83A98">
        <w:rPr>
          <w:rFonts w:ascii="Palatino" w:hAnsi="Palatino"/>
          <w:sz w:val="24"/>
        </w:rPr>
        <w:t>184,464.03</w:t>
      </w:r>
      <w:r>
        <w:rPr>
          <w:rFonts w:ascii="Palatino" w:hAnsi="Palatino"/>
          <w:sz w:val="24"/>
        </w:rPr>
        <w:t>, i.e. one-twelfth of $2,</w:t>
      </w:r>
      <w:r w:rsidR="00A83A98">
        <w:rPr>
          <w:rFonts w:ascii="Palatino" w:hAnsi="Palatino"/>
          <w:sz w:val="24"/>
        </w:rPr>
        <w:t>213,568.35</w:t>
      </w:r>
      <w:r>
        <w:rPr>
          <w:rFonts w:ascii="Palatino" w:hAnsi="Palatino"/>
          <w:sz w:val="24"/>
        </w:rPr>
        <w:t xml:space="preserve"> for January through December 201</w:t>
      </w:r>
      <w:r w:rsidR="00A83A98">
        <w:rPr>
          <w:rFonts w:ascii="Palatino" w:hAnsi="Palatino"/>
          <w:sz w:val="24"/>
        </w:rPr>
        <w:t>5</w:t>
      </w:r>
      <w:r>
        <w:rPr>
          <w:rFonts w:ascii="Palatino" w:hAnsi="Palatino"/>
          <w:sz w:val="24"/>
        </w:rPr>
        <w:t>.</w:t>
      </w:r>
    </w:p>
    <w:p w:rsidR="00FD2111" w:rsidRDefault="00FD2111">
      <w:pPr>
        <w:pStyle w:val="BodyText"/>
        <w:tabs>
          <w:tab w:val="clear" w:pos="720"/>
        </w:tabs>
        <w:spacing w:after="0"/>
      </w:pPr>
      <w:r>
        <w:t xml:space="preserve"> </w:t>
      </w:r>
    </w:p>
    <w:p w:rsidR="00FD2111" w:rsidRDefault="00FD2111" w:rsidP="00614545">
      <w:pPr>
        <w:pStyle w:val="Heading6"/>
        <w:spacing w:before="0" w:after="120"/>
        <w:ind w:left="720"/>
        <w:jc w:val="left"/>
        <w:rPr>
          <w:rFonts w:ascii="Palatino" w:hAnsi="Palatino"/>
          <w:b/>
          <w:bCs/>
          <w:u w:val="single"/>
        </w:rPr>
      </w:pPr>
      <w:r>
        <w:rPr>
          <w:rFonts w:ascii="Palatino" w:hAnsi="Palatino"/>
          <w:b/>
          <w:bCs/>
          <w:u w:val="single"/>
        </w:rPr>
        <w:t>Cal-Ore, Page 2 of Appendix A</w:t>
      </w:r>
    </w:p>
    <w:p w:rsidR="00DD294A" w:rsidRDefault="00FD2111" w:rsidP="00F530E2">
      <w:pPr>
        <w:tabs>
          <w:tab w:val="left" w:pos="720"/>
        </w:tabs>
      </w:pPr>
      <w:r>
        <w:rPr>
          <w:rFonts w:ascii="Palatino" w:hAnsi="Palatino"/>
          <w:sz w:val="24"/>
        </w:rPr>
        <w:t>Cal-Ore has a CY 201</w:t>
      </w:r>
      <w:r w:rsidR="00822EF2">
        <w:rPr>
          <w:rFonts w:ascii="Palatino" w:hAnsi="Palatino"/>
          <w:sz w:val="24"/>
        </w:rPr>
        <w:t>5</w:t>
      </w:r>
      <w:r>
        <w:rPr>
          <w:rFonts w:ascii="Palatino" w:hAnsi="Palatino"/>
          <w:sz w:val="24"/>
        </w:rPr>
        <w:t xml:space="preserve"> CHCF-A revenue requirement of $1,</w:t>
      </w:r>
      <w:r w:rsidR="00822EF2">
        <w:rPr>
          <w:rFonts w:ascii="Palatino" w:hAnsi="Palatino"/>
          <w:sz w:val="24"/>
        </w:rPr>
        <w:t>1</w:t>
      </w:r>
      <w:r w:rsidR="00725785">
        <w:rPr>
          <w:rFonts w:ascii="Palatino" w:hAnsi="Palatino"/>
          <w:sz w:val="24"/>
        </w:rPr>
        <w:t>10</w:t>
      </w:r>
      <w:r w:rsidR="00822EF2">
        <w:rPr>
          <w:rFonts w:ascii="Palatino" w:hAnsi="Palatino"/>
          <w:sz w:val="24"/>
        </w:rPr>
        <w:t>,</w:t>
      </w:r>
      <w:r w:rsidR="00725785">
        <w:rPr>
          <w:rFonts w:ascii="Palatino" w:hAnsi="Palatino"/>
          <w:sz w:val="24"/>
        </w:rPr>
        <w:t>113.94</w:t>
      </w:r>
      <w:r>
        <w:rPr>
          <w:rFonts w:ascii="Palatino" w:hAnsi="Palatino"/>
          <w:sz w:val="24"/>
        </w:rPr>
        <w:t xml:space="preserve"> (at Line 6, Page </w:t>
      </w:r>
      <w:r w:rsidR="00362CB5">
        <w:rPr>
          <w:rFonts w:ascii="Palatino" w:hAnsi="Palatino"/>
          <w:sz w:val="24"/>
        </w:rPr>
        <w:t>A-</w:t>
      </w:r>
      <w:r>
        <w:rPr>
          <w:rFonts w:ascii="Palatino" w:hAnsi="Palatino"/>
          <w:sz w:val="24"/>
        </w:rPr>
        <w:t>2 of Appendix A).  After the means test, Cal-Ore has a revenue requirement of $1,</w:t>
      </w:r>
      <w:r w:rsidR="00822EF2">
        <w:rPr>
          <w:rFonts w:ascii="Palatino" w:hAnsi="Palatino"/>
          <w:sz w:val="24"/>
        </w:rPr>
        <w:t>0</w:t>
      </w:r>
      <w:r w:rsidR="00725785">
        <w:rPr>
          <w:rFonts w:ascii="Palatino" w:hAnsi="Palatino"/>
          <w:sz w:val="24"/>
        </w:rPr>
        <w:t>54,196.69</w:t>
      </w:r>
      <w:r>
        <w:rPr>
          <w:rFonts w:ascii="Palatino" w:hAnsi="Palatino"/>
          <w:sz w:val="24"/>
        </w:rPr>
        <w:t xml:space="preserve"> (at Line 11, Page </w:t>
      </w:r>
      <w:r w:rsidR="00362CB5">
        <w:rPr>
          <w:rFonts w:ascii="Palatino" w:hAnsi="Palatino"/>
          <w:sz w:val="24"/>
        </w:rPr>
        <w:t>A-</w:t>
      </w:r>
      <w:r>
        <w:rPr>
          <w:rFonts w:ascii="Palatino" w:hAnsi="Palatino"/>
          <w:sz w:val="24"/>
        </w:rPr>
        <w:t xml:space="preserve">2 of Appendix A).  Thus, Cal-Ore </w:t>
      </w:r>
      <w:r w:rsidR="00360C2C">
        <w:rPr>
          <w:rFonts w:ascii="Palatino" w:hAnsi="Palatino"/>
          <w:sz w:val="24"/>
        </w:rPr>
        <w:t xml:space="preserve">should </w:t>
      </w:r>
      <w:r>
        <w:rPr>
          <w:rFonts w:ascii="Palatino" w:hAnsi="Palatino"/>
          <w:sz w:val="24"/>
        </w:rPr>
        <w:t>receive monthly CHCF-A support in the amount of $</w:t>
      </w:r>
      <w:r w:rsidR="00822EF2">
        <w:rPr>
          <w:rFonts w:ascii="Palatino" w:hAnsi="Palatino"/>
          <w:sz w:val="24"/>
        </w:rPr>
        <w:t>87,</w:t>
      </w:r>
      <w:r w:rsidR="00725785">
        <w:rPr>
          <w:rFonts w:ascii="Palatino" w:hAnsi="Palatino"/>
          <w:sz w:val="24"/>
        </w:rPr>
        <w:t>849.72</w:t>
      </w:r>
      <w:r w:rsidR="00822EF2">
        <w:rPr>
          <w:rFonts w:ascii="Palatino" w:hAnsi="Palatino"/>
          <w:sz w:val="24"/>
        </w:rPr>
        <w:t>, i.e. one-twelfth of $1,0</w:t>
      </w:r>
      <w:r w:rsidR="00725785">
        <w:rPr>
          <w:rFonts w:ascii="Palatino" w:hAnsi="Palatino"/>
          <w:sz w:val="24"/>
        </w:rPr>
        <w:t>54,196.69</w:t>
      </w:r>
      <w:r>
        <w:rPr>
          <w:rFonts w:ascii="Palatino" w:hAnsi="Palatino"/>
          <w:sz w:val="24"/>
        </w:rPr>
        <w:t>, for January through December 201</w:t>
      </w:r>
      <w:r w:rsidR="00822EF2">
        <w:rPr>
          <w:rFonts w:ascii="Palatino" w:hAnsi="Palatino"/>
          <w:sz w:val="24"/>
        </w:rPr>
        <w:t>5</w:t>
      </w:r>
      <w:r>
        <w:rPr>
          <w:rFonts w:ascii="Palatino" w:hAnsi="Palatino"/>
          <w:sz w:val="24"/>
        </w:rPr>
        <w:t>.</w:t>
      </w:r>
      <w:r w:rsidR="00DD294A">
        <w:tab/>
      </w:r>
    </w:p>
    <w:p w:rsidR="00082BB0" w:rsidRDefault="00082BB0" w:rsidP="00EE0B0F">
      <w:pPr>
        <w:pStyle w:val="BodyText"/>
        <w:spacing w:after="0"/>
      </w:pPr>
    </w:p>
    <w:p w:rsidR="00FD2111" w:rsidRDefault="006D42D1" w:rsidP="00370545">
      <w:pPr>
        <w:pStyle w:val="BodyText"/>
        <w:rPr>
          <w:b/>
          <w:u w:val="single"/>
        </w:rPr>
      </w:pPr>
      <w:r>
        <w:tab/>
      </w:r>
      <w:r w:rsidR="00FD2111">
        <w:rPr>
          <w:b/>
          <w:u w:val="single"/>
        </w:rPr>
        <w:t>Ducor, Page 3 of Appendix A</w:t>
      </w:r>
    </w:p>
    <w:p w:rsidR="00FD2111" w:rsidRDefault="00FD2111">
      <w:pPr>
        <w:tabs>
          <w:tab w:val="left" w:pos="720"/>
        </w:tabs>
        <w:rPr>
          <w:rFonts w:ascii="Palatino" w:hAnsi="Palatino"/>
          <w:sz w:val="24"/>
        </w:rPr>
      </w:pPr>
      <w:r>
        <w:rPr>
          <w:rFonts w:ascii="Palatino" w:hAnsi="Palatino"/>
          <w:sz w:val="24"/>
        </w:rPr>
        <w:t>Ducor has a CY 201</w:t>
      </w:r>
      <w:r w:rsidR="00DD4973">
        <w:rPr>
          <w:rFonts w:ascii="Palatino" w:hAnsi="Palatino"/>
          <w:sz w:val="24"/>
        </w:rPr>
        <w:t>5</w:t>
      </w:r>
      <w:r>
        <w:rPr>
          <w:rFonts w:ascii="Palatino" w:hAnsi="Palatino"/>
          <w:sz w:val="24"/>
        </w:rPr>
        <w:t xml:space="preserve"> CHCF-A revenue requirement of $2,</w:t>
      </w:r>
      <w:r w:rsidR="00DD4973">
        <w:rPr>
          <w:rFonts w:ascii="Palatino" w:hAnsi="Palatino"/>
          <w:sz w:val="24"/>
        </w:rPr>
        <w:t>692,457.15</w:t>
      </w:r>
      <w:r>
        <w:rPr>
          <w:rFonts w:ascii="Palatino" w:hAnsi="Palatino"/>
          <w:sz w:val="24"/>
        </w:rPr>
        <w:t xml:space="preserve"> (at Line 6, Page </w:t>
      </w:r>
      <w:r w:rsidR="00362CB5">
        <w:rPr>
          <w:rFonts w:ascii="Palatino" w:hAnsi="Palatino"/>
          <w:sz w:val="24"/>
        </w:rPr>
        <w:t>A-</w:t>
      </w:r>
      <w:r>
        <w:rPr>
          <w:rFonts w:ascii="Palatino" w:hAnsi="Palatino"/>
          <w:sz w:val="24"/>
        </w:rPr>
        <w:t xml:space="preserve">3 of Appendix A).  After </w:t>
      </w:r>
      <w:r w:rsidR="00837CD0">
        <w:rPr>
          <w:rFonts w:ascii="Palatino" w:hAnsi="Palatino"/>
          <w:sz w:val="24"/>
        </w:rPr>
        <w:t xml:space="preserve">applying </w:t>
      </w:r>
      <w:r>
        <w:rPr>
          <w:rFonts w:ascii="Palatino" w:hAnsi="Palatino"/>
          <w:sz w:val="24"/>
        </w:rPr>
        <w:t xml:space="preserve">the means test, Ducor </w:t>
      </w:r>
      <w:r w:rsidR="00DD4973">
        <w:rPr>
          <w:rFonts w:ascii="Palatino" w:hAnsi="Palatino"/>
          <w:sz w:val="24"/>
        </w:rPr>
        <w:t>has a revenue requirement of $2,367,498.83</w:t>
      </w:r>
      <w:r w:rsidR="00362CB5">
        <w:rPr>
          <w:rFonts w:ascii="Palatino" w:hAnsi="Palatino"/>
          <w:sz w:val="24"/>
        </w:rPr>
        <w:t xml:space="preserve"> (at Line 11, Page A-3 of Appendix A)</w:t>
      </w:r>
      <w:r>
        <w:rPr>
          <w:rFonts w:ascii="Palatino" w:hAnsi="Palatino"/>
          <w:sz w:val="24"/>
        </w:rPr>
        <w:t xml:space="preserve">.  Thus, Ducor </w:t>
      </w:r>
      <w:r w:rsidR="00360C2C">
        <w:rPr>
          <w:rFonts w:ascii="Palatino" w:hAnsi="Palatino"/>
          <w:sz w:val="24"/>
        </w:rPr>
        <w:t xml:space="preserve">should </w:t>
      </w:r>
      <w:r>
        <w:rPr>
          <w:rFonts w:ascii="Palatino" w:hAnsi="Palatino"/>
          <w:sz w:val="24"/>
        </w:rPr>
        <w:t>receive monthly CHCF-A support in the amount of $</w:t>
      </w:r>
      <w:r w:rsidR="00DD4973">
        <w:rPr>
          <w:rFonts w:ascii="Palatino" w:hAnsi="Palatino"/>
          <w:sz w:val="24"/>
        </w:rPr>
        <w:t>197,291.57</w:t>
      </w:r>
      <w:r>
        <w:rPr>
          <w:rFonts w:ascii="Palatino" w:hAnsi="Palatino"/>
          <w:sz w:val="24"/>
        </w:rPr>
        <w:t>, i.e. one-twelfth of $</w:t>
      </w:r>
      <w:r w:rsidR="00AD4C58">
        <w:rPr>
          <w:rFonts w:ascii="Palatino" w:hAnsi="Palatino"/>
          <w:sz w:val="24"/>
        </w:rPr>
        <w:t>2,</w:t>
      </w:r>
      <w:r w:rsidR="00DD4973">
        <w:rPr>
          <w:rFonts w:ascii="Palatino" w:hAnsi="Palatino"/>
          <w:sz w:val="24"/>
        </w:rPr>
        <w:t>367,498.83</w:t>
      </w:r>
      <w:r>
        <w:rPr>
          <w:rFonts w:ascii="Palatino" w:hAnsi="Palatino"/>
          <w:sz w:val="24"/>
        </w:rPr>
        <w:t xml:space="preserve"> </w:t>
      </w:r>
      <w:r w:rsidR="00FF25EF">
        <w:rPr>
          <w:rFonts w:ascii="Palatino" w:hAnsi="Palatino"/>
          <w:sz w:val="24"/>
        </w:rPr>
        <w:t xml:space="preserve">for January </w:t>
      </w:r>
      <w:r>
        <w:rPr>
          <w:rFonts w:ascii="Palatino" w:hAnsi="Palatino"/>
          <w:sz w:val="24"/>
        </w:rPr>
        <w:t xml:space="preserve">through December </w:t>
      </w:r>
      <w:r w:rsidRPr="00524E77">
        <w:rPr>
          <w:rFonts w:ascii="Palatino" w:hAnsi="Palatino"/>
          <w:sz w:val="24"/>
        </w:rPr>
        <w:t>201</w:t>
      </w:r>
      <w:r w:rsidR="00DD4973" w:rsidRPr="00DD1786">
        <w:rPr>
          <w:rFonts w:ascii="Palatino" w:hAnsi="Palatino"/>
          <w:sz w:val="24"/>
        </w:rPr>
        <w:t>5</w:t>
      </w:r>
      <w:r w:rsidRPr="00EA40F3">
        <w:rPr>
          <w:rFonts w:ascii="Palatino" w:hAnsi="Palatino"/>
          <w:sz w:val="24"/>
        </w:rPr>
        <w:t>.</w:t>
      </w:r>
      <w:r w:rsidR="00837CD0" w:rsidRPr="00EA40F3">
        <w:rPr>
          <w:rFonts w:ascii="Palatino" w:hAnsi="Palatino"/>
          <w:sz w:val="24"/>
        </w:rPr>
        <w:t xml:space="preserve">  It should be noted that the final results exclude </w:t>
      </w:r>
      <w:r w:rsidR="00484098" w:rsidRPr="00EA40F3">
        <w:rPr>
          <w:rFonts w:ascii="Palatino" w:hAnsi="Palatino"/>
          <w:sz w:val="24"/>
        </w:rPr>
        <w:t>any</w:t>
      </w:r>
      <w:r w:rsidR="00837CD0" w:rsidRPr="00EA40F3">
        <w:rPr>
          <w:rFonts w:ascii="Palatino" w:hAnsi="Palatino"/>
          <w:sz w:val="24"/>
        </w:rPr>
        <w:t xml:space="preserve"> </w:t>
      </w:r>
      <w:r w:rsidR="00484098" w:rsidRPr="00EA40F3">
        <w:rPr>
          <w:rFonts w:ascii="Palatino" w:hAnsi="Palatino"/>
          <w:sz w:val="24"/>
        </w:rPr>
        <w:t xml:space="preserve">CHCF-A support </w:t>
      </w:r>
      <w:r w:rsidR="00510845" w:rsidRPr="00EA40F3">
        <w:rPr>
          <w:rFonts w:ascii="Palatino" w:hAnsi="Palatino"/>
          <w:sz w:val="24"/>
        </w:rPr>
        <w:t xml:space="preserve">for GRC </w:t>
      </w:r>
      <w:r w:rsidR="00484098" w:rsidRPr="00EA40F3">
        <w:rPr>
          <w:rFonts w:ascii="Palatino" w:hAnsi="Palatino"/>
          <w:sz w:val="24"/>
        </w:rPr>
        <w:t xml:space="preserve">modification </w:t>
      </w:r>
      <w:r w:rsidR="00510845" w:rsidRPr="00EA40F3">
        <w:rPr>
          <w:rFonts w:ascii="Palatino" w:hAnsi="Palatino"/>
          <w:sz w:val="24"/>
        </w:rPr>
        <w:t>as Ducor’s GRC application for rehearing will be addressed in a separate Commission resolution in early 2015</w:t>
      </w:r>
      <w:r w:rsidR="00510845" w:rsidRPr="00524E77">
        <w:rPr>
          <w:rFonts w:ascii="Palatino" w:hAnsi="Palatino"/>
          <w:sz w:val="24"/>
        </w:rPr>
        <w:t>.</w:t>
      </w:r>
    </w:p>
    <w:p w:rsidR="00DD4973" w:rsidRDefault="00DD4973">
      <w:pPr>
        <w:tabs>
          <w:tab w:val="left" w:pos="720"/>
        </w:tabs>
        <w:rPr>
          <w:rFonts w:ascii="Palatino" w:hAnsi="Palatino"/>
          <w:sz w:val="24"/>
        </w:rPr>
      </w:pPr>
    </w:p>
    <w:p w:rsidR="00FD2111" w:rsidRDefault="004E122C" w:rsidP="004E122C">
      <w:pPr>
        <w:tabs>
          <w:tab w:val="left" w:pos="720"/>
        </w:tabs>
        <w:rPr>
          <w:rFonts w:ascii="Palatino" w:hAnsi="Palatino"/>
          <w:b/>
          <w:sz w:val="24"/>
          <w:u w:val="single"/>
        </w:rPr>
      </w:pPr>
      <w:r>
        <w:rPr>
          <w:rFonts w:ascii="Palatino" w:hAnsi="Palatino"/>
          <w:sz w:val="24"/>
        </w:rPr>
        <w:tab/>
      </w:r>
      <w:r w:rsidR="00FD2111">
        <w:rPr>
          <w:rFonts w:ascii="Palatino" w:hAnsi="Palatino"/>
          <w:b/>
          <w:sz w:val="24"/>
          <w:u w:val="single"/>
        </w:rPr>
        <w:t>Foresthill, Page 4 of Appendix A</w:t>
      </w:r>
    </w:p>
    <w:p w:rsidR="00FD2111" w:rsidRDefault="00FD2111" w:rsidP="00F65640">
      <w:pPr>
        <w:tabs>
          <w:tab w:val="left" w:pos="720"/>
        </w:tabs>
        <w:rPr>
          <w:rFonts w:ascii="Palatino" w:hAnsi="Palatino"/>
          <w:sz w:val="24"/>
        </w:rPr>
      </w:pPr>
      <w:r>
        <w:rPr>
          <w:rFonts w:ascii="Palatino" w:hAnsi="Palatino"/>
          <w:sz w:val="24"/>
        </w:rPr>
        <w:t>Foresthill has a CY 201</w:t>
      </w:r>
      <w:r w:rsidR="00F6072C">
        <w:rPr>
          <w:rFonts w:ascii="Palatino" w:hAnsi="Palatino"/>
          <w:sz w:val="24"/>
        </w:rPr>
        <w:t>5</w:t>
      </w:r>
      <w:r>
        <w:rPr>
          <w:rFonts w:ascii="Palatino" w:hAnsi="Palatino"/>
          <w:sz w:val="24"/>
        </w:rPr>
        <w:t xml:space="preserve"> C</w:t>
      </w:r>
      <w:r w:rsidR="00F6072C">
        <w:rPr>
          <w:rFonts w:ascii="Palatino" w:hAnsi="Palatino"/>
          <w:sz w:val="24"/>
        </w:rPr>
        <w:t>HCF-A revenue requirement of $2,469,833.04</w:t>
      </w:r>
      <w:r>
        <w:rPr>
          <w:rFonts w:ascii="Palatino" w:hAnsi="Palatino"/>
          <w:sz w:val="24"/>
        </w:rPr>
        <w:t xml:space="preserve"> (at Line 6, Page </w:t>
      </w:r>
      <w:r w:rsidR="00362CB5">
        <w:rPr>
          <w:rFonts w:ascii="Palatino" w:hAnsi="Palatino"/>
          <w:sz w:val="24"/>
        </w:rPr>
        <w:t>A-</w:t>
      </w:r>
      <w:r>
        <w:rPr>
          <w:rFonts w:ascii="Palatino" w:hAnsi="Palatino"/>
          <w:sz w:val="24"/>
        </w:rPr>
        <w:t>4 of Appendix A).</w:t>
      </w:r>
      <w:r w:rsidR="00F6072C">
        <w:rPr>
          <w:rFonts w:ascii="Palatino" w:hAnsi="Palatino"/>
          <w:sz w:val="24"/>
        </w:rPr>
        <w:t xml:space="preserve">  </w:t>
      </w:r>
      <w:r w:rsidR="00841CF8">
        <w:rPr>
          <w:rFonts w:ascii="Palatino" w:hAnsi="Palatino"/>
          <w:sz w:val="24"/>
        </w:rPr>
        <w:t>After the means test, Foresthill</w:t>
      </w:r>
      <w:r w:rsidR="00F65640">
        <w:rPr>
          <w:rFonts w:ascii="Palatino" w:hAnsi="Palatino"/>
          <w:sz w:val="24"/>
        </w:rPr>
        <w:t xml:space="preserve"> h</w:t>
      </w:r>
      <w:r w:rsidR="00F6072C">
        <w:rPr>
          <w:rFonts w:ascii="Palatino" w:hAnsi="Palatino"/>
          <w:sz w:val="24"/>
        </w:rPr>
        <w:t>as a revenue requirement of $2,469,833.04</w:t>
      </w:r>
      <w:r w:rsidR="00362CB5">
        <w:rPr>
          <w:rFonts w:ascii="Palatino" w:hAnsi="Palatino"/>
          <w:sz w:val="24"/>
        </w:rPr>
        <w:t xml:space="preserve"> (at Line 11, Page A-4 of Appendix A)</w:t>
      </w:r>
      <w:r w:rsidR="00F65640">
        <w:rPr>
          <w:rFonts w:ascii="Palatino" w:hAnsi="Palatino"/>
          <w:sz w:val="24"/>
        </w:rPr>
        <w:t xml:space="preserve">.  Thus, </w:t>
      </w:r>
      <w:r w:rsidR="00841CF8">
        <w:rPr>
          <w:rFonts w:ascii="Palatino" w:hAnsi="Palatino"/>
          <w:sz w:val="24"/>
        </w:rPr>
        <w:t>Foresthill</w:t>
      </w:r>
      <w:r w:rsidR="00F65640">
        <w:rPr>
          <w:rFonts w:ascii="Palatino" w:hAnsi="Palatino"/>
          <w:sz w:val="24"/>
        </w:rPr>
        <w:t xml:space="preserve"> </w:t>
      </w:r>
      <w:r w:rsidR="00360C2C">
        <w:rPr>
          <w:rFonts w:ascii="Palatino" w:hAnsi="Palatino"/>
          <w:sz w:val="24"/>
        </w:rPr>
        <w:t xml:space="preserve">should </w:t>
      </w:r>
      <w:r w:rsidR="00F65640">
        <w:rPr>
          <w:rFonts w:ascii="Palatino" w:hAnsi="Palatino"/>
          <w:sz w:val="24"/>
        </w:rPr>
        <w:t>receive monthly CHCF-A support in the amount of $</w:t>
      </w:r>
      <w:r w:rsidR="00F6072C">
        <w:rPr>
          <w:rFonts w:ascii="Palatino" w:hAnsi="Palatino"/>
          <w:sz w:val="24"/>
        </w:rPr>
        <w:t>205,819.42</w:t>
      </w:r>
      <w:r w:rsidR="00F65640">
        <w:rPr>
          <w:rFonts w:ascii="Palatino" w:hAnsi="Palatino"/>
          <w:sz w:val="24"/>
        </w:rPr>
        <w:t>, i.e. one-twelfth of $</w:t>
      </w:r>
      <w:r w:rsidR="00F6072C">
        <w:rPr>
          <w:rFonts w:ascii="Palatino" w:hAnsi="Palatino"/>
          <w:sz w:val="24"/>
        </w:rPr>
        <w:t>2,469,833.04</w:t>
      </w:r>
      <w:r w:rsidR="00F65640">
        <w:rPr>
          <w:rFonts w:ascii="Palatino" w:hAnsi="Palatino"/>
          <w:sz w:val="24"/>
        </w:rPr>
        <w:t xml:space="preserve"> </w:t>
      </w:r>
      <w:r w:rsidR="00285394">
        <w:rPr>
          <w:rFonts w:ascii="Palatino" w:hAnsi="Palatino"/>
          <w:sz w:val="24"/>
        </w:rPr>
        <w:t xml:space="preserve">for January </w:t>
      </w:r>
      <w:r w:rsidR="00F6072C">
        <w:rPr>
          <w:rFonts w:ascii="Palatino" w:hAnsi="Palatino"/>
          <w:sz w:val="24"/>
        </w:rPr>
        <w:t>through December 2015</w:t>
      </w:r>
      <w:r w:rsidR="00F65640">
        <w:rPr>
          <w:rFonts w:ascii="Palatino" w:hAnsi="Palatino"/>
          <w:sz w:val="24"/>
        </w:rPr>
        <w:t>.</w:t>
      </w:r>
    </w:p>
    <w:p w:rsidR="00841CF8" w:rsidRDefault="00841CF8" w:rsidP="00F65640">
      <w:pPr>
        <w:tabs>
          <w:tab w:val="left" w:pos="720"/>
        </w:tabs>
      </w:pPr>
    </w:p>
    <w:p w:rsidR="00FD2111" w:rsidRDefault="009E221A">
      <w:pPr>
        <w:pStyle w:val="Heading7"/>
      </w:pPr>
      <w:r>
        <w:t>Happy Valley, Page 5</w:t>
      </w:r>
      <w:r w:rsidR="00FD2111">
        <w:t xml:space="preserve"> of Appendix A</w:t>
      </w:r>
    </w:p>
    <w:p w:rsidR="00FD2111" w:rsidRDefault="00FD2111">
      <w:pPr>
        <w:rPr>
          <w:rFonts w:ascii="Palatino" w:hAnsi="Palatino"/>
          <w:sz w:val="24"/>
        </w:rPr>
      </w:pPr>
      <w:r>
        <w:rPr>
          <w:rFonts w:ascii="Palatino" w:hAnsi="Palatino"/>
          <w:sz w:val="24"/>
        </w:rPr>
        <w:t>Happy Valley has a CY 201</w:t>
      </w:r>
      <w:r w:rsidR="00A45B3F">
        <w:rPr>
          <w:rFonts w:ascii="Palatino" w:hAnsi="Palatino"/>
          <w:sz w:val="24"/>
        </w:rPr>
        <w:t>5</w:t>
      </w:r>
      <w:r>
        <w:rPr>
          <w:rFonts w:ascii="Palatino" w:hAnsi="Palatino"/>
          <w:sz w:val="24"/>
        </w:rPr>
        <w:t xml:space="preserve"> CHCF-A revenue requirement of $2,8</w:t>
      </w:r>
      <w:r w:rsidR="00A45B3F">
        <w:rPr>
          <w:rFonts w:ascii="Palatino" w:hAnsi="Palatino"/>
          <w:sz w:val="24"/>
        </w:rPr>
        <w:t>16,019.27</w:t>
      </w:r>
      <w:r>
        <w:rPr>
          <w:rFonts w:ascii="Arial" w:hAnsi="Arial" w:cs="Arial"/>
          <w:color w:val="000000"/>
        </w:rPr>
        <w:t xml:space="preserve"> </w:t>
      </w:r>
      <w:r>
        <w:rPr>
          <w:rFonts w:ascii="Palatino" w:hAnsi="Palatino"/>
          <w:sz w:val="24"/>
        </w:rPr>
        <w:t>(at Li</w:t>
      </w:r>
      <w:r w:rsidR="00A04345">
        <w:rPr>
          <w:rFonts w:ascii="Palatino" w:hAnsi="Palatino"/>
          <w:sz w:val="24"/>
        </w:rPr>
        <w:t xml:space="preserve">ne 6, Page </w:t>
      </w:r>
      <w:r w:rsidR="00362CB5">
        <w:rPr>
          <w:rFonts w:ascii="Palatino" w:hAnsi="Palatino"/>
          <w:sz w:val="24"/>
        </w:rPr>
        <w:t>A-</w:t>
      </w:r>
      <w:r w:rsidR="00A04345">
        <w:rPr>
          <w:rFonts w:ascii="Palatino" w:hAnsi="Palatino"/>
          <w:sz w:val="24"/>
        </w:rPr>
        <w:t>5</w:t>
      </w:r>
      <w:r>
        <w:rPr>
          <w:rFonts w:ascii="Palatino" w:hAnsi="Palatino"/>
          <w:sz w:val="24"/>
        </w:rPr>
        <w:t xml:space="preserve"> of Appendix A).  </w:t>
      </w:r>
      <w:bookmarkStart w:id="2" w:name="OLE_LINK7"/>
      <w:bookmarkStart w:id="3" w:name="OLE_LINK8"/>
      <w:r>
        <w:rPr>
          <w:rFonts w:ascii="Palatino" w:hAnsi="Palatino"/>
          <w:sz w:val="24"/>
        </w:rPr>
        <w:t xml:space="preserve">In its advice letter, Happy Valley stated that </w:t>
      </w:r>
      <w:r w:rsidR="00BB31A4">
        <w:rPr>
          <w:rFonts w:ascii="Palatino" w:hAnsi="Palatino"/>
          <w:sz w:val="24"/>
        </w:rPr>
        <w:t>it</w:t>
      </w:r>
      <w:r>
        <w:rPr>
          <w:rFonts w:ascii="Palatino" w:hAnsi="Palatino"/>
          <w:sz w:val="24"/>
        </w:rPr>
        <w:t xml:space="preserve"> not requesting a draw from the CHCF-A</w:t>
      </w:r>
      <w:r w:rsidR="00AA22BA" w:rsidRPr="00DD1786">
        <w:rPr>
          <w:rFonts w:ascii="Palatino" w:hAnsi="Palatino"/>
          <w:sz w:val="24"/>
        </w:rPr>
        <w:t xml:space="preserve">.  </w:t>
      </w:r>
      <w:r w:rsidR="00DD1786" w:rsidRPr="00EA40F3">
        <w:rPr>
          <w:rFonts w:ascii="Palatino" w:hAnsi="Palatino"/>
          <w:sz w:val="24"/>
        </w:rPr>
        <w:t>Its</w:t>
      </w:r>
      <w:r w:rsidR="00AA22BA" w:rsidRPr="00EA40F3">
        <w:rPr>
          <w:rFonts w:ascii="Palatino" w:hAnsi="Palatino"/>
          <w:sz w:val="24"/>
        </w:rPr>
        <w:t xml:space="preserve"> </w:t>
      </w:r>
      <w:r w:rsidR="007A5C49" w:rsidRPr="00EA40F3">
        <w:rPr>
          <w:rFonts w:ascii="Palatino" w:hAnsi="Palatino"/>
          <w:sz w:val="24"/>
        </w:rPr>
        <w:t xml:space="preserve">waterfall </w:t>
      </w:r>
      <w:r w:rsidR="00DD1786" w:rsidRPr="00EA40F3">
        <w:rPr>
          <w:rFonts w:ascii="Palatino" w:hAnsi="Palatino"/>
          <w:sz w:val="24"/>
        </w:rPr>
        <w:t xml:space="preserve">funding level </w:t>
      </w:r>
      <w:r w:rsidR="007A5C49" w:rsidRPr="00EA40F3">
        <w:rPr>
          <w:rFonts w:ascii="Palatino" w:hAnsi="Palatino"/>
          <w:sz w:val="24"/>
        </w:rPr>
        <w:t>is already 0%</w:t>
      </w:r>
      <w:r w:rsidRPr="00EA40F3">
        <w:rPr>
          <w:rFonts w:ascii="Palatino" w:hAnsi="Palatino"/>
          <w:sz w:val="24"/>
        </w:rPr>
        <w:t>.</w:t>
      </w:r>
      <w:r w:rsidRPr="00DD1786">
        <w:rPr>
          <w:rFonts w:ascii="Palatino" w:hAnsi="Palatino"/>
          <w:sz w:val="24"/>
        </w:rPr>
        <w:t xml:space="preserve">  Thus, Happy Valley will not receive any CHCF-A support for CY 201</w:t>
      </w:r>
      <w:r w:rsidR="00A45B3F" w:rsidRPr="007075D7">
        <w:rPr>
          <w:rFonts w:ascii="Palatino" w:hAnsi="Palatino"/>
          <w:sz w:val="24"/>
        </w:rPr>
        <w:t>5</w:t>
      </w:r>
      <w:r w:rsidRPr="007075D7">
        <w:t>.</w:t>
      </w:r>
      <w:bookmarkEnd w:id="2"/>
      <w:bookmarkEnd w:id="3"/>
    </w:p>
    <w:p w:rsidR="00FD2111" w:rsidRDefault="00FD2111">
      <w:pPr>
        <w:rPr>
          <w:rFonts w:ascii="Palatino" w:hAnsi="Palatino"/>
          <w:sz w:val="24"/>
        </w:rPr>
      </w:pPr>
    </w:p>
    <w:p w:rsidR="00FD2111" w:rsidRDefault="009E221A">
      <w:pPr>
        <w:pStyle w:val="Heading9"/>
        <w:spacing w:after="120"/>
        <w:ind w:left="720"/>
        <w:rPr>
          <w:u w:val="single"/>
        </w:rPr>
      </w:pPr>
      <w:r>
        <w:rPr>
          <w:u w:val="single"/>
        </w:rPr>
        <w:t>Hornitos, Page 6</w:t>
      </w:r>
      <w:r w:rsidR="00FD2111">
        <w:rPr>
          <w:u w:val="single"/>
        </w:rPr>
        <w:t xml:space="preserve"> of Appendix A</w:t>
      </w:r>
    </w:p>
    <w:p w:rsidR="00FD2111" w:rsidRDefault="00B040D8">
      <w:pPr>
        <w:pStyle w:val="BodyTextIndent"/>
        <w:tabs>
          <w:tab w:val="clear" w:pos="360"/>
        </w:tabs>
        <w:ind w:left="0" w:firstLine="0"/>
      </w:pPr>
      <w:r>
        <w:t>Hornitos, has a CY 2015</w:t>
      </w:r>
      <w:r w:rsidR="00FD2111">
        <w:t xml:space="preserve"> CHCF-A</w:t>
      </w:r>
      <w:r>
        <w:t xml:space="preserve"> revenue requirement of $575,514</w:t>
      </w:r>
      <w:r w:rsidR="005C3993">
        <w:t>.00</w:t>
      </w:r>
      <w:r w:rsidR="00FD2111">
        <w:rPr>
          <w:rFonts w:ascii="Arial" w:hAnsi="Arial" w:cs="Arial"/>
          <w:color w:val="000000"/>
        </w:rPr>
        <w:t xml:space="preserve"> </w:t>
      </w:r>
      <w:r w:rsidR="00A04345">
        <w:t xml:space="preserve">(at Line 6, Page </w:t>
      </w:r>
      <w:r w:rsidR="00362CB5">
        <w:t>A-</w:t>
      </w:r>
      <w:r w:rsidR="00A04345">
        <w:t>6</w:t>
      </w:r>
      <w:r w:rsidR="00FD2111">
        <w:t xml:space="preserve"> of Appendix A).  In its advice letter, Hornitos stated </w:t>
      </w:r>
      <w:r w:rsidR="00BB31A4">
        <w:t>that it is</w:t>
      </w:r>
      <w:r w:rsidR="00FD2111">
        <w:t xml:space="preserve"> not requesting a draw from the CHCF-A</w:t>
      </w:r>
      <w:r w:rsidR="00AA22BA" w:rsidRPr="007075D7">
        <w:t xml:space="preserve">.  </w:t>
      </w:r>
      <w:r w:rsidR="00135E94">
        <w:t>Its</w:t>
      </w:r>
      <w:r w:rsidR="003E6524" w:rsidRPr="00EA40F3">
        <w:t xml:space="preserve"> waterfall </w:t>
      </w:r>
      <w:r w:rsidR="00135E94">
        <w:t xml:space="preserve">funding level </w:t>
      </w:r>
      <w:r w:rsidR="003E6524" w:rsidRPr="00EA40F3">
        <w:t>is already 0%</w:t>
      </w:r>
      <w:r w:rsidR="00FD2111" w:rsidRPr="007075D7">
        <w:t>.</w:t>
      </w:r>
      <w:r w:rsidR="00FD2111">
        <w:t xml:space="preserve">  Thus, Hornitos will not receive any CHCF-A support for CY 201</w:t>
      </w:r>
      <w:r>
        <w:t>5</w:t>
      </w:r>
      <w:r w:rsidR="00FD2111">
        <w:rPr>
          <w:rFonts w:ascii="Times New Roman" w:hAnsi="Times New Roman"/>
        </w:rPr>
        <w:t>.</w:t>
      </w:r>
    </w:p>
    <w:p w:rsidR="00FD2111" w:rsidRDefault="00FD2111">
      <w:pPr>
        <w:ind w:right="-720"/>
        <w:rPr>
          <w:rFonts w:ascii="Palatino" w:hAnsi="Palatino"/>
          <w:sz w:val="24"/>
        </w:rPr>
      </w:pPr>
    </w:p>
    <w:p w:rsidR="00FD2111" w:rsidRDefault="009E221A">
      <w:pPr>
        <w:pStyle w:val="Heading4"/>
        <w:rPr>
          <w:rFonts w:ascii="Times New Roman" w:hAnsi="Times New Roman"/>
        </w:rPr>
      </w:pPr>
      <w:r>
        <w:t>Kerman, Page 7</w:t>
      </w:r>
      <w:r w:rsidR="00FD2111">
        <w:t xml:space="preserve"> of Appendix A</w:t>
      </w:r>
      <w:r w:rsidR="00FD2111">
        <w:rPr>
          <w:rFonts w:ascii="Times New Roman" w:hAnsi="Times New Roman"/>
        </w:rPr>
        <w:t xml:space="preserve"> </w:t>
      </w:r>
    </w:p>
    <w:p w:rsidR="00FD2111" w:rsidRDefault="00930197">
      <w:pPr>
        <w:pStyle w:val="BodyText"/>
        <w:tabs>
          <w:tab w:val="clear" w:pos="720"/>
        </w:tabs>
        <w:spacing w:after="0"/>
      </w:pPr>
      <w:r>
        <w:t>Kerman</w:t>
      </w:r>
      <w:r w:rsidR="00F5342A">
        <w:t xml:space="preserve"> has a CY 201</w:t>
      </w:r>
      <w:r w:rsidR="00406417">
        <w:t>5</w:t>
      </w:r>
      <w:r w:rsidR="00F5342A">
        <w:t xml:space="preserve"> CHCF-A revenue requirement of $</w:t>
      </w:r>
      <w:r w:rsidR="00406417">
        <w:t>3,545,172.58</w:t>
      </w:r>
      <w:r>
        <w:t xml:space="preserve"> (at Line 6, Page </w:t>
      </w:r>
      <w:r w:rsidR="00362CB5">
        <w:t>A-</w:t>
      </w:r>
      <w:r>
        <w:t>7</w:t>
      </w:r>
      <w:r w:rsidR="00F5342A">
        <w:t xml:space="preserve"> of Appendix A). </w:t>
      </w:r>
      <w:r>
        <w:t xml:space="preserve"> After the </w:t>
      </w:r>
      <w:r w:rsidR="00406417">
        <w:t>means test, Kerman has a</w:t>
      </w:r>
      <w:r w:rsidR="00F5342A">
        <w:t xml:space="preserve"> re</w:t>
      </w:r>
      <w:r>
        <w:t xml:space="preserve">venue </w:t>
      </w:r>
      <w:r w:rsidR="00406417">
        <w:t>requirement of $3,545,172.58</w:t>
      </w:r>
      <w:r w:rsidR="00362CB5">
        <w:t xml:space="preserve"> (at Line 11, Page A-7 of Appendix A)</w:t>
      </w:r>
      <w:r>
        <w:t>.  Thus, Kerman</w:t>
      </w:r>
      <w:r w:rsidR="00F5342A">
        <w:t xml:space="preserve"> </w:t>
      </w:r>
      <w:r w:rsidR="00360C2C">
        <w:t xml:space="preserve">should </w:t>
      </w:r>
      <w:r w:rsidR="00F5342A">
        <w:t>receive monthly CHCF-A support i</w:t>
      </w:r>
      <w:r w:rsidR="00406417">
        <w:t>n the amount of $295,431.05</w:t>
      </w:r>
      <w:r w:rsidR="00F5342A">
        <w:t>, i.e. one-twelfth of $</w:t>
      </w:r>
      <w:r w:rsidR="00832AC4">
        <w:t>3,545,172.58</w:t>
      </w:r>
      <w:r w:rsidR="00F5342A">
        <w:t>, for January through December 201</w:t>
      </w:r>
      <w:r w:rsidR="00832AC4">
        <w:t>5</w:t>
      </w:r>
      <w:r w:rsidR="00F5342A">
        <w:t>.</w:t>
      </w:r>
    </w:p>
    <w:p w:rsidR="00FD2111" w:rsidRDefault="00FD2111">
      <w:pPr>
        <w:rPr>
          <w:sz w:val="24"/>
        </w:rPr>
      </w:pPr>
    </w:p>
    <w:p w:rsidR="00FD2111" w:rsidRDefault="00FD2111">
      <w:pPr>
        <w:pStyle w:val="Heading7"/>
      </w:pPr>
      <w:r>
        <w:t>Pinn</w:t>
      </w:r>
      <w:r w:rsidR="009E221A">
        <w:t>acles, Page 8</w:t>
      </w:r>
      <w:r>
        <w:t xml:space="preserve"> of Appendix A</w:t>
      </w:r>
    </w:p>
    <w:p w:rsidR="00FD2111" w:rsidRDefault="00FD2111">
      <w:pPr>
        <w:pStyle w:val="BodyText"/>
        <w:tabs>
          <w:tab w:val="clear" w:pos="720"/>
        </w:tabs>
        <w:spacing w:after="0"/>
      </w:pPr>
      <w:bookmarkStart w:id="4" w:name="OLE_LINK3"/>
      <w:bookmarkStart w:id="5" w:name="OLE_LINK4"/>
      <w:r>
        <w:t>Pinnacles</w:t>
      </w:r>
      <w:r w:rsidR="00B4063B">
        <w:t xml:space="preserve"> </w:t>
      </w:r>
      <w:r>
        <w:t>has a CY 201</w:t>
      </w:r>
      <w:r w:rsidR="00E06BC4">
        <w:t>5</w:t>
      </w:r>
      <w:r>
        <w:t xml:space="preserve"> CHCF-A revenue requirement o</w:t>
      </w:r>
      <w:r w:rsidR="00A31136">
        <w:t>f $393,825.44</w:t>
      </w:r>
      <w:r w:rsidR="00972037">
        <w:t xml:space="preserve"> (at Line 6, Page </w:t>
      </w:r>
      <w:r w:rsidR="00362CB5">
        <w:t>A-</w:t>
      </w:r>
      <w:r w:rsidR="00972037">
        <w:t>8</w:t>
      </w:r>
      <w:r>
        <w:t xml:space="preserve"> of Appendix A).  After the me</w:t>
      </w:r>
      <w:r w:rsidR="00A31136">
        <w:t xml:space="preserve">ans test, </w:t>
      </w:r>
      <w:r w:rsidR="005C3993">
        <w:t xml:space="preserve">Ponderosa </w:t>
      </w:r>
      <w:r w:rsidR="00A31136">
        <w:t>has a</w:t>
      </w:r>
      <w:r>
        <w:t xml:space="preserve"> re</w:t>
      </w:r>
      <w:r w:rsidR="00A31136">
        <w:t>venue requirement of $259,100.85</w:t>
      </w:r>
      <w:r w:rsidR="00362CB5">
        <w:t xml:space="preserve"> (at Line 11, Page A-8 of Appendix A)</w:t>
      </w:r>
      <w:r>
        <w:t xml:space="preserve">.  Thus, Pinnacles </w:t>
      </w:r>
      <w:r w:rsidR="00D67242">
        <w:t xml:space="preserve">should </w:t>
      </w:r>
      <w:r>
        <w:t>receive monthly CHCF-A support in the amount of $</w:t>
      </w:r>
      <w:r w:rsidR="00A31136">
        <w:t>21,591.74</w:t>
      </w:r>
      <w:r>
        <w:t>, i.e. one-twelfth of $</w:t>
      </w:r>
      <w:r w:rsidR="00A31136">
        <w:t>259,100.85</w:t>
      </w:r>
      <w:r>
        <w:t>, for January through December 201</w:t>
      </w:r>
      <w:r w:rsidR="00A31136">
        <w:t>5</w:t>
      </w:r>
      <w:r>
        <w:t>.</w:t>
      </w:r>
      <w:bookmarkEnd w:id="4"/>
      <w:bookmarkEnd w:id="5"/>
    </w:p>
    <w:p w:rsidR="00FD2111" w:rsidRDefault="00FD2111">
      <w:pPr>
        <w:rPr>
          <w:rFonts w:ascii="Palatino" w:hAnsi="Palatino"/>
          <w:sz w:val="24"/>
        </w:rPr>
      </w:pPr>
    </w:p>
    <w:p w:rsidR="00FD2111" w:rsidRPr="00EF7E9F" w:rsidRDefault="009E221A">
      <w:pPr>
        <w:pStyle w:val="Heading7"/>
        <w:rPr>
          <w:b w:val="0"/>
          <w:u w:val="none"/>
        </w:rPr>
      </w:pPr>
      <w:r w:rsidRPr="00EF7E9F">
        <w:t>Ponderosa, Page 9</w:t>
      </w:r>
      <w:r w:rsidR="00FD2111" w:rsidRPr="00EF7E9F">
        <w:t xml:space="preserve"> of Appendix A</w:t>
      </w:r>
    </w:p>
    <w:p w:rsidR="00FD2111" w:rsidRDefault="00EF7E9F">
      <w:pPr>
        <w:pStyle w:val="xl41"/>
        <w:overflowPunct/>
        <w:autoSpaceDE/>
        <w:autoSpaceDN/>
        <w:adjustRightInd/>
        <w:spacing w:before="0" w:after="0"/>
        <w:textAlignment w:val="auto"/>
        <w:rPr>
          <w:rFonts w:ascii="Palatino" w:hAnsi="Palatino"/>
        </w:rPr>
      </w:pPr>
      <w:r>
        <w:rPr>
          <w:rFonts w:ascii="Palatino" w:hAnsi="Palatino"/>
        </w:rPr>
        <w:t>Ponderosa</w:t>
      </w:r>
      <w:r w:rsidR="00A31136">
        <w:rPr>
          <w:rFonts w:ascii="Palatino" w:hAnsi="Palatino"/>
        </w:rPr>
        <w:t xml:space="preserve"> has a CY 2015</w:t>
      </w:r>
      <w:r w:rsidRPr="00EF7E9F">
        <w:rPr>
          <w:rFonts w:ascii="Palatino" w:hAnsi="Palatino"/>
        </w:rPr>
        <w:t xml:space="preserve"> CHCF-A revenue requirement of $</w:t>
      </w:r>
      <w:r w:rsidR="00A31136">
        <w:rPr>
          <w:rFonts w:ascii="Palatino" w:hAnsi="Palatino"/>
        </w:rPr>
        <w:t>3,914,047.42</w:t>
      </w:r>
      <w:r>
        <w:rPr>
          <w:rFonts w:ascii="Palatino" w:hAnsi="Palatino"/>
        </w:rPr>
        <w:t xml:space="preserve"> (at Line 6, Page </w:t>
      </w:r>
      <w:r w:rsidR="00362CB5">
        <w:rPr>
          <w:rFonts w:ascii="Palatino" w:hAnsi="Palatino"/>
        </w:rPr>
        <w:t>A-</w:t>
      </w:r>
      <w:r>
        <w:rPr>
          <w:rFonts w:ascii="Palatino" w:hAnsi="Palatino"/>
        </w:rPr>
        <w:t>9</w:t>
      </w:r>
      <w:r w:rsidRPr="00EF7E9F">
        <w:rPr>
          <w:rFonts w:ascii="Palatino" w:hAnsi="Palatino"/>
        </w:rPr>
        <w:t xml:space="preserve"> of Appendix A).  After the mea</w:t>
      </w:r>
      <w:r w:rsidR="00354C62">
        <w:rPr>
          <w:rFonts w:ascii="Palatino" w:hAnsi="Palatino"/>
        </w:rPr>
        <w:t>ns test, Ponderosa</w:t>
      </w:r>
      <w:r w:rsidR="00A31136">
        <w:rPr>
          <w:rFonts w:ascii="Palatino" w:hAnsi="Palatino"/>
        </w:rPr>
        <w:t xml:space="preserve"> has a</w:t>
      </w:r>
      <w:r w:rsidRPr="00EF7E9F">
        <w:rPr>
          <w:rFonts w:ascii="Palatino" w:hAnsi="Palatino"/>
        </w:rPr>
        <w:t xml:space="preserve"> revenue requirement of $</w:t>
      </w:r>
      <w:r w:rsidR="00A31136">
        <w:rPr>
          <w:rFonts w:ascii="Palatino" w:hAnsi="Palatino"/>
        </w:rPr>
        <w:t>3,706,998.34</w:t>
      </w:r>
      <w:r w:rsidR="00362CB5">
        <w:rPr>
          <w:rFonts w:ascii="Palatino" w:hAnsi="Palatino"/>
        </w:rPr>
        <w:t xml:space="preserve"> (at Line 11, Page A-9 of Appendix A)</w:t>
      </w:r>
      <w:r w:rsidRPr="00EF7E9F">
        <w:rPr>
          <w:rFonts w:ascii="Palatino" w:hAnsi="Palatino"/>
        </w:rPr>
        <w:t>.  Thus, P</w:t>
      </w:r>
      <w:r w:rsidR="00354C62">
        <w:rPr>
          <w:rFonts w:ascii="Palatino" w:hAnsi="Palatino"/>
        </w:rPr>
        <w:t>onderosa</w:t>
      </w:r>
      <w:r w:rsidRPr="00EF7E9F">
        <w:rPr>
          <w:rFonts w:ascii="Palatino" w:hAnsi="Palatino"/>
        </w:rPr>
        <w:t xml:space="preserve"> </w:t>
      </w:r>
      <w:r w:rsidR="00360C2C">
        <w:rPr>
          <w:rFonts w:ascii="Palatino" w:hAnsi="Palatino"/>
        </w:rPr>
        <w:t xml:space="preserve">should </w:t>
      </w:r>
      <w:r w:rsidRPr="00EF7E9F">
        <w:rPr>
          <w:rFonts w:ascii="Palatino" w:hAnsi="Palatino"/>
        </w:rPr>
        <w:t>receive monthly CHCF-A support in the amount of $</w:t>
      </w:r>
      <w:r w:rsidR="00A31136">
        <w:rPr>
          <w:rFonts w:ascii="Palatino" w:hAnsi="Palatino"/>
        </w:rPr>
        <w:t>308,916.</w:t>
      </w:r>
      <w:r w:rsidR="00A31136" w:rsidRPr="009F3677">
        <w:rPr>
          <w:rFonts w:ascii="Palatino" w:hAnsi="Palatino"/>
        </w:rPr>
        <w:t>53</w:t>
      </w:r>
      <w:r w:rsidRPr="009F3677">
        <w:rPr>
          <w:rFonts w:ascii="Palatino" w:hAnsi="Palatino"/>
        </w:rPr>
        <w:t>, i</w:t>
      </w:r>
      <w:r w:rsidRPr="00EF7E9F">
        <w:rPr>
          <w:rFonts w:ascii="Palatino" w:hAnsi="Palatino"/>
        </w:rPr>
        <w:t>.e. one-twelfth of $</w:t>
      </w:r>
      <w:r w:rsidR="00A31136">
        <w:rPr>
          <w:rFonts w:ascii="Palatino" w:hAnsi="Palatino"/>
        </w:rPr>
        <w:t>3,706,998.34</w:t>
      </w:r>
      <w:r w:rsidRPr="00EF7E9F">
        <w:rPr>
          <w:rFonts w:ascii="Palatino" w:hAnsi="Palatino"/>
        </w:rPr>
        <w:t xml:space="preserve">, for January </w:t>
      </w:r>
      <w:r w:rsidR="00A31136">
        <w:rPr>
          <w:rFonts w:ascii="Palatino" w:hAnsi="Palatino"/>
        </w:rPr>
        <w:t>through December 2015</w:t>
      </w:r>
      <w:r w:rsidRPr="00EF7E9F">
        <w:rPr>
          <w:rFonts w:ascii="Palatino" w:hAnsi="Palatino"/>
        </w:rPr>
        <w:t>.</w:t>
      </w:r>
    </w:p>
    <w:p w:rsidR="00FD2111" w:rsidRDefault="00FD2111">
      <w:pPr>
        <w:pStyle w:val="xl41"/>
        <w:overflowPunct/>
        <w:autoSpaceDE/>
        <w:autoSpaceDN/>
        <w:adjustRightInd/>
        <w:spacing w:before="0" w:after="0"/>
        <w:textAlignment w:val="auto"/>
        <w:rPr>
          <w:rFonts w:ascii="Palatino" w:hAnsi="Palatino"/>
        </w:rPr>
      </w:pPr>
    </w:p>
    <w:p w:rsidR="00FD2111" w:rsidRDefault="009E221A">
      <w:pPr>
        <w:pStyle w:val="Heading7"/>
      </w:pPr>
      <w:r>
        <w:t>Sierra, Page 10</w:t>
      </w:r>
      <w:r w:rsidR="00FD2111">
        <w:t xml:space="preserve"> of Appendix A</w:t>
      </w:r>
    </w:p>
    <w:p w:rsidR="00FD2111" w:rsidRDefault="00FD2111">
      <w:pPr>
        <w:pStyle w:val="BodyText"/>
        <w:tabs>
          <w:tab w:val="clear" w:pos="720"/>
        </w:tabs>
        <w:spacing w:after="0"/>
      </w:pPr>
      <w:r>
        <w:t>Sierra has a CY 201</w:t>
      </w:r>
      <w:r w:rsidR="00630E08">
        <w:t>5</w:t>
      </w:r>
      <w:r>
        <w:t xml:space="preserve"> </w:t>
      </w:r>
      <w:r w:rsidR="00630E08">
        <w:t>CHCF-A revenue requirement of $</w:t>
      </w:r>
      <w:r w:rsidR="00787C07">
        <w:t>15,517,432.77</w:t>
      </w:r>
      <w:r>
        <w:t xml:space="preserve"> (at Line 6, Page </w:t>
      </w:r>
      <w:r w:rsidR="00362CB5">
        <w:t>A-</w:t>
      </w:r>
      <w:r>
        <w:t>1</w:t>
      </w:r>
      <w:r w:rsidR="00972037">
        <w:t>0</w:t>
      </w:r>
      <w:r>
        <w:t xml:space="preserve"> of Appendix A).  After the means test Sierra’s revenue requirement is $</w:t>
      </w:r>
      <w:r w:rsidR="002B539E">
        <w:t>1</w:t>
      </w:r>
      <w:r w:rsidR="00787C07">
        <w:t>4,976,646.49</w:t>
      </w:r>
      <w:r w:rsidR="00362CB5">
        <w:t xml:space="preserve"> (at Line 11, Page A-10 of Appendix A)</w:t>
      </w:r>
      <w:r>
        <w:t>.  Sierra’s waterfall will remain at 80% for CY 201</w:t>
      </w:r>
      <w:r w:rsidR="00787C07">
        <w:t>5</w:t>
      </w:r>
      <w:r w:rsidR="0039548E">
        <w:t>; therefore, its</w:t>
      </w:r>
      <w:r>
        <w:t xml:space="preserve"> revenue requirement after </w:t>
      </w:r>
      <w:r w:rsidR="0039548E">
        <w:t xml:space="preserve">incorporating </w:t>
      </w:r>
      <w:r>
        <w:t xml:space="preserve">the waterfall </w:t>
      </w:r>
      <w:r w:rsidR="0039548E">
        <w:t xml:space="preserve">calculation </w:t>
      </w:r>
      <w:r>
        <w:t>is $</w:t>
      </w:r>
      <w:r w:rsidR="002B539E">
        <w:t>1</w:t>
      </w:r>
      <w:r w:rsidR="00727733">
        <w:t>1,</w:t>
      </w:r>
      <w:r w:rsidR="00787C07">
        <w:t>981,317.19 (at Line 13</w:t>
      </w:r>
      <w:r w:rsidR="00362CB5">
        <w:t>, Page A-10 of Appendix A)</w:t>
      </w:r>
      <w:r>
        <w:t xml:space="preserve">.  Thus, Sierra </w:t>
      </w:r>
      <w:r w:rsidR="00360C2C">
        <w:t xml:space="preserve">should </w:t>
      </w:r>
      <w:r>
        <w:t>receive monthly CHCF-A support in the amount of $</w:t>
      </w:r>
      <w:r w:rsidR="005870A7">
        <w:t>998,443.10</w:t>
      </w:r>
      <w:r>
        <w:t>, i.e. one-twelfth of $</w:t>
      </w:r>
      <w:r w:rsidR="005870A7">
        <w:t>11,981,317.19</w:t>
      </w:r>
      <w:r>
        <w:t>, for January through December 201</w:t>
      </w:r>
      <w:r w:rsidR="005870A7">
        <w:t>5</w:t>
      </w:r>
      <w:r>
        <w:t>.</w:t>
      </w:r>
    </w:p>
    <w:p w:rsidR="00FD2111" w:rsidRDefault="00FD2111">
      <w:pPr>
        <w:pStyle w:val="BodyText"/>
        <w:tabs>
          <w:tab w:val="clear" w:pos="720"/>
        </w:tabs>
        <w:spacing w:after="0"/>
      </w:pPr>
    </w:p>
    <w:p w:rsidR="00FD2111" w:rsidRDefault="00FD2111">
      <w:pPr>
        <w:keepNext/>
        <w:spacing w:after="120"/>
        <w:ind w:right="-720" w:firstLine="720"/>
        <w:rPr>
          <w:rFonts w:ascii="Palatino" w:hAnsi="Palatino"/>
          <w:sz w:val="24"/>
        </w:rPr>
      </w:pPr>
      <w:r>
        <w:rPr>
          <w:rFonts w:ascii="Palatino" w:hAnsi="Palatino"/>
          <w:b/>
          <w:sz w:val="24"/>
          <w:u w:val="single"/>
        </w:rPr>
        <w:t>Siskiyou, Page 1</w:t>
      </w:r>
      <w:r w:rsidR="009E221A">
        <w:rPr>
          <w:rFonts w:ascii="Palatino" w:hAnsi="Palatino"/>
          <w:b/>
          <w:sz w:val="24"/>
          <w:u w:val="single"/>
        </w:rPr>
        <w:t>1</w:t>
      </w:r>
      <w:r>
        <w:rPr>
          <w:rFonts w:ascii="Palatino" w:hAnsi="Palatino"/>
          <w:b/>
          <w:sz w:val="24"/>
          <w:u w:val="single"/>
        </w:rPr>
        <w:t xml:space="preserve"> of Appendix A</w:t>
      </w:r>
    </w:p>
    <w:p w:rsidR="00FD2111" w:rsidRDefault="00FD2111">
      <w:pPr>
        <w:pStyle w:val="BodyText"/>
        <w:tabs>
          <w:tab w:val="clear" w:pos="720"/>
        </w:tabs>
        <w:spacing w:after="0"/>
      </w:pPr>
      <w:r>
        <w:t>Siskiyou has a CY 201</w:t>
      </w:r>
      <w:r w:rsidR="001E161B">
        <w:t>5</w:t>
      </w:r>
      <w:r>
        <w:t xml:space="preserve"> CHCF-A revenue requirement of $</w:t>
      </w:r>
      <w:r w:rsidR="001E161B">
        <w:t>2,023,234.88</w:t>
      </w:r>
      <w:r>
        <w:t xml:space="preserve"> (at Line 6, Page </w:t>
      </w:r>
      <w:r w:rsidR="00362CB5">
        <w:t>A-</w:t>
      </w:r>
      <w:r>
        <w:t>1</w:t>
      </w:r>
      <w:r w:rsidR="00972037">
        <w:t>1</w:t>
      </w:r>
      <w:r>
        <w:t xml:space="preserve"> of Appendix A).  </w:t>
      </w:r>
      <w:r w:rsidR="00DF7459" w:rsidRPr="00EF7E9F">
        <w:t xml:space="preserve">After the means test, </w:t>
      </w:r>
      <w:r w:rsidR="00DF7459">
        <w:t>Siskiyou</w:t>
      </w:r>
      <w:r w:rsidR="001E161B">
        <w:t xml:space="preserve"> has a</w:t>
      </w:r>
      <w:r w:rsidR="00DF7459" w:rsidRPr="00EF7E9F">
        <w:t xml:space="preserve"> revenue requirement of $</w:t>
      </w:r>
      <w:r w:rsidR="001E161B">
        <w:t>2,023,234.88</w:t>
      </w:r>
      <w:r w:rsidR="00362CB5">
        <w:t xml:space="preserve"> (at Line 11, Page A-11 of Appendix A)</w:t>
      </w:r>
      <w:r w:rsidR="00DF7459" w:rsidRPr="00EF7E9F">
        <w:t>.</w:t>
      </w:r>
      <w:r w:rsidR="00DF7459">
        <w:t xml:space="preserve">  </w:t>
      </w:r>
      <w:r>
        <w:t xml:space="preserve">Thus, Siskiyou </w:t>
      </w:r>
      <w:r w:rsidR="00360C2C">
        <w:t xml:space="preserve">should </w:t>
      </w:r>
      <w:r>
        <w:t>receive monthly CHCF-A support in the amount of $</w:t>
      </w:r>
      <w:r w:rsidR="001E161B">
        <w:t>168,602.91</w:t>
      </w:r>
      <w:r>
        <w:t>, i.e. one-twelfth of $</w:t>
      </w:r>
      <w:r w:rsidR="001E161B">
        <w:t>2,023,234.88</w:t>
      </w:r>
      <w:r>
        <w:t>, for January through December 201</w:t>
      </w:r>
      <w:r w:rsidR="001E161B">
        <w:t>5</w:t>
      </w:r>
      <w:r>
        <w:t>.</w:t>
      </w:r>
    </w:p>
    <w:p w:rsidR="00FD2111" w:rsidRDefault="00FD2111">
      <w:pPr>
        <w:rPr>
          <w:rFonts w:ascii="Palatino" w:hAnsi="Palatino"/>
          <w:sz w:val="24"/>
          <w:szCs w:val="24"/>
        </w:rPr>
      </w:pPr>
    </w:p>
    <w:p w:rsidR="00FD2111" w:rsidRDefault="009E221A">
      <w:pPr>
        <w:pStyle w:val="Heading4"/>
      </w:pPr>
      <w:r>
        <w:t>Volcano, Page 12</w:t>
      </w:r>
      <w:r w:rsidR="00FD2111">
        <w:t xml:space="preserve"> of Appendix A</w:t>
      </w:r>
    </w:p>
    <w:p w:rsidR="00FD2111" w:rsidRDefault="000E0A76">
      <w:pPr>
        <w:pStyle w:val="BodyText"/>
        <w:tabs>
          <w:tab w:val="clear" w:pos="720"/>
        </w:tabs>
        <w:spacing w:after="0"/>
      </w:pPr>
      <w:r>
        <w:t>Volcano has a CY 2015</w:t>
      </w:r>
      <w:r w:rsidR="00485B36">
        <w:t xml:space="preserve"> CHCF-A reve</w:t>
      </w:r>
      <w:r w:rsidR="00093A26">
        <w:t>nue requirement of $4,345,712.39</w:t>
      </w:r>
      <w:r w:rsidR="00485B36">
        <w:t xml:space="preserve"> (at Line 6, Page </w:t>
      </w:r>
      <w:r w:rsidR="00362CB5">
        <w:t>A-</w:t>
      </w:r>
      <w:r w:rsidR="00485B36">
        <w:t>12 of Appendix A).  After the means test Volcano’s revenue requirement is $</w:t>
      </w:r>
      <w:r w:rsidR="00093A26">
        <w:t>4,218,020.13</w:t>
      </w:r>
      <w:r w:rsidR="00362CB5">
        <w:t xml:space="preserve"> (at Line 11, Page A-12 of Appendix A)</w:t>
      </w:r>
      <w:r w:rsidR="00485B36">
        <w:t>.  Volcano’s waterfal</w:t>
      </w:r>
      <w:r w:rsidR="00813F57">
        <w:t>l will remain at 80% for CY 2015</w:t>
      </w:r>
      <w:r w:rsidR="0039548E">
        <w:t>; therefore, its</w:t>
      </w:r>
      <w:r w:rsidR="00485B36">
        <w:t xml:space="preserve"> revenue requirement after </w:t>
      </w:r>
      <w:r w:rsidR="0039548E">
        <w:t xml:space="preserve">incorporating </w:t>
      </w:r>
      <w:r w:rsidR="00485B36">
        <w:t xml:space="preserve">the waterfall </w:t>
      </w:r>
      <w:r w:rsidR="0039548E">
        <w:t xml:space="preserve">calculation </w:t>
      </w:r>
      <w:r w:rsidR="00485B36">
        <w:t>is $3,</w:t>
      </w:r>
      <w:r w:rsidR="00093A26">
        <w:t>374,416.10</w:t>
      </w:r>
      <w:r w:rsidR="00362CB5">
        <w:t xml:space="preserve"> (at Line 13, Page A-12 of Appendix A)</w:t>
      </w:r>
      <w:r w:rsidR="00485B36">
        <w:t xml:space="preserve">.  Thus, Volcano </w:t>
      </w:r>
      <w:r w:rsidR="00360C2C">
        <w:t xml:space="preserve">should </w:t>
      </w:r>
      <w:r w:rsidR="00485B36">
        <w:t>receive monthly CHCF-A support in the amount of $</w:t>
      </w:r>
      <w:r w:rsidR="006F2418">
        <w:t>281,201.34</w:t>
      </w:r>
      <w:r w:rsidR="00813F57">
        <w:t>, i.e. one-twelfth of $3,374,416.10</w:t>
      </w:r>
      <w:r w:rsidR="00485B36">
        <w:t>, f</w:t>
      </w:r>
      <w:r w:rsidR="00813F57">
        <w:t>or January through December 2015</w:t>
      </w:r>
      <w:r w:rsidR="00FD2111">
        <w:t>.</w:t>
      </w:r>
    </w:p>
    <w:p w:rsidR="00FD2111" w:rsidRDefault="00FD2111">
      <w:pPr>
        <w:pStyle w:val="BodyText"/>
        <w:tabs>
          <w:tab w:val="clear" w:pos="720"/>
        </w:tabs>
        <w:spacing w:after="0"/>
      </w:pPr>
    </w:p>
    <w:p w:rsidR="00FD2111" w:rsidRDefault="009E221A">
      <w:pPr>
        <w:pStyle w:val="Heading4"/>
      </w:pPr>
      <w:r>
        <w:t>Winterhaven, Page 13</w:t>
      </w:r>
      <w:r w:rsidR="00FD2111">
        <w:t xml:space="preserve"> of Appendix A</w:t>
      </w:r>
    </w:p>
    <w:p w:rsidR="00744A7B" w:rsidRDefault="00FD2111">
      <w:pPr>
        <w:pStyle w:val="BodyText"/>
        <w:tabs>
          <w:tab w:val="clear" w:pos="720"/>
        </w:tabs>
        <w:spacing w:after="0"/>
      </w:pPr>
      <w:r>
        <w:t>Winterhaven has a CY 201</w:t>
      </w:r>
      <w:r w:rsidR="00813F57">
        <w:t>5</w:t>
      </w:r>
      <w:r>
        <w:t xml:space="preserve"> CHCF-A revenue requirement of $</w:t>
      </w:r>
      <w:r w:rsidR="00813F57">
        <w:t>307,465.05</w:t>
      </w:r>
      <w:r>
        <w:rPr>
          <w:rFonts w:ascii="Arial" w:hAnsi="Arial" w:cs="Arial"/>
          <w:color w:val="000000"/>
        </w:rPr>
        <w:t xml:space="preserve"> </w:t>
      </w:r>
      <w:r>
        <w:t xml:space="preserve">(at Line 6, Page </w:t>
      </w:r>
      <w:r w:rsidR="00362CB5">
        <w:t>A-</w:t>
      </w:r>
      <w:r>
        <w:t>1</w:t>
      </w:r>
      <w:r w:rsidR="00972037">
        <w:t>3</w:t>
      </w:r>
      <w:r>
        <w:t xml:space="preserve"> of Appendix A).  In its advice letter,</w:t>
      </w:r>
      <w:r w:rsidR="00813F57">
        <w:t xml:space="preserve"> W</w:t>
      </w:r>
      <w:r>
        <w:t xml:space="preserve">interhaven stated that </w:t>
      </w:r>
      <w:r w:rsidR="00BB31A4">
        <w:t>it is</w:t>
      </w:r>
      <w:r>
        <w:t xml:space="preserve"> not requesting a draw from the CHCF-A</w:t>
      </w:r>
      <w:r w:rsidR="00D81CA5">
        <w:t xml:space="preserve">.  </w:t>
      </w:r>
      <w:r w:rsidR="00570358">
        <w:t>Its</w:t>
      </w:r>
      <w:r w:rsidR="00D81CA5" w:rsidRPr="00EA40F3">
        <w:t xml:space="preserve"> waterfall </w:t>
      </w:r>
      <w:r w:rsidR="00570358">
        <w:t xml:space="preserve">funding level </w:t>
      </w:r>
      <w:r w:rsidR="00D81CA5" w:rsidRPr="00EA40F3">
        <w:t>is already 0%</w:t>
      </w:r>
      <w:r w:rsidRPr="00EA40F3">
        <w:t>.</w:t>
      </w:r>
      <w:r>
        <w:t xml:space="preserve">  Thus, Winterhaven will not receive any CHCF-A support for CY 201</w:t>
      </w:r>
      <w:r w:rsidR="00813F57">
        <w:t>5</w:t>
      </w:r>
      <w:r>
        <w:t>.</w:t>
      </w:r>
    </w:p>
    <w:p w:rsidR="00082BB0" w:rsidRDefault="00082BB0" w:rsidP="00377DA1">
      <w:pPr>
        <w:ind w:left="720"/>
        <w:rPr>
          <w:rFonts w:ascii="Palatino" w:hAnsi="Palatino"/>
          <w:b/>
          <w:sz w:val="24"/>
          <w:u w:val="single"/>
        </w:rPr>
      </w:pPr>
    </w:p>
    <w:p w:rsidR="00FD2111" w:rsidRPr="00377DA1" w:rsidRDefault="00FD2111" w:rsidP="00614545">
      <w:pPr>
        <w:spacing w:after="120"/>
        <w:ind w:left="720"/>
        <w:rPr>
          <w:rFonts w:ascii="Palatino" w:hAnsi="Palatino"/>
          <w:b/>
          <w:sz w:val="24"/>
          <w:u w:val="single"/>
        </w:rPr>
      </w:pPr>
      <w:r>
        <w:rPr>
          <w:rFonts w:ascii="Palatino" w:hAnsi="Palatino"/>
          <w:b/>
          <w:sz w:val="24"/>
          <w:u w:val="single"/>
        </w:rPr>
        <w:t>Appendix A Summation</w:t>
      </w:r>
    </w:p>
    <w:p w:rsidR="00FD2111" w:rsidRDefault="00FD2111">
      <w:pPr>
        <w:rPr>
          <w:rFonts w:ascii="Palatino" w:hAnsi="Palatino"/>
          <w:sz w:val="24"/>
        </w:rPr>
      </w:pPr>
      <w:r>
        <w:rPr>
          <w:rFonts w:ascii="Palatino" w:hAnsi="Palatino"/>
          <w:sz w:val="24"/>
        </w:rPr>
        <w:t xml:space="preserve">As shown in Appendix A, the total approved </w:t>
      </w:r>
      <w:r w:rsidR="00BB31A4">
        <w:rPr>
          <w:rFonts w:ascii="Palatino" w:hAnsi="Palatino"/>
          <w:sz w:val="24"/>
        </w:rPr>
        <w:t>CY</w:t>
      </w:r>
      <w:r>
        <w:rPr>
          <w:rFonts w:ascii="Palatino" w:hAnsi="Palatino"/>
          <w:sz w:val="24"/>
        </w:rPr>
        <w:t xml:space="preserve"> 201</w:t>
      </w:r>
      <w:r w:rsidR="00813F57">
        <w:rPr>
          <w:rFonts w:ascii="Palatino" w:hAnsi="Palatino"/>
          <w:sz w:val="24"/>
        </w:rPr>
        <w:t>5</w:t>
      </w:r>
      <w:r>
        <w:rPr>
          <w:rFonts w:ascii="Palatino" w:hAnsi="Palatino"/>
          <w:sz w:val="24"/>
        </w:rPr>
        <w:t xml:space="preserve"> CHCF-A draw for Calaveras, Cal-Ore</w:t>
      </w:r>
      <w:r w:rsidR="00D32A01">
        <w:rPr>
          <w:rFonts w:ascii="Palatino" w:hAnsi="Palatino"/>
          <w:sz w:val="24"/>
        </w:rPr>
        <w:t>,</w:t>
      </w:r>
      <w:r>
        <w:rPr>
          <w:rFonts w:ascii="Palatino" w:hAnsi="Palatino"/>
          <w:sz w:val="24"/>
        </w:rPr>
        <w:t xml:space="preserve"> Ducor, Foresthill, Happy Valley, Hornitos, Kerman, Pinnacles, Ponderosa, Sierra, Siskiyou, Volcano, and Winterhaven is $</w:t>
      </w:r>
      <w:r w:rsidR="00813F57">
        <w:rPr>
          <w:rFonts w:ascii="Palatino" w:hAnsi="Palatino"/>
          <w:sz w:val="24"/>
        </w:rPr>
        <w:t>32,9</w:t>
      </w:r>
      <w:r w:rsidR="00AC4413">
        <w:rPr>
          <w:rFonts w:ascii="Palatino" w:hAnsi="Palatino"/>
          <w:sz w:val="24"/>
        </w:rPr>
        <w:t>95,336.85</w:t>
      </w:r>
      <w:r>
        <w:rPr>
          <w:rFonts w:ascii="Palatino" w:hAnsi="Palatino"/>
          <w:sz w:val="24"/>
        </w:rPr>
        <w:t>.</w:t>
      </w:r>
      <w:r>
        <w:rPr>
          <w:rFonts w:ascii="Palatino" w:hAnsi="Palatino"/>
          <w:sz w:val="24"/>
        </w:rPr>
        <w:tab/>
      </w:r>
      <w:r w:rsidR="00BB31A4">
        <w:rPr>
          <w:rFonts w:ascii="Palatino" w:hAnsi="Palatino"/>
          <w:sz w:val="24"/>
        </w:rPr>
        <w:t xml:space="preserve">  </w:t>
      </w:r>
      <w:r>
        <w:rPr>
          <w:rFonts w:ascii="Palatino" w:hAnsi="Palatino"/>
          <w:sz w:val="24"/>
        </w:rPr>
        <w:t>The Commission finds CD’s recommended CHCF-A support amounts for the 1</w:t>
      </w:r>
      <w:r w:rsidR="002707CE">
        <w:rPr>
          <w:rFonts w:ascii="Palatino" w:hAnsi="Palatino"/>
          <w:sz w:val="24"/>
        </w:rPr>
        <w:t>3</w:t>
      </w:r>
      <w:r>
        <w:rPr>
          <w:rFonts w:ascii="Palatino" w:hAnsi="Palatino"/>
          <w:sz w:val="24"/>
        </w:rPr>
        <w:t xml:space="preserve"> Small </w:t>
      </w:r>
      <w:r w:rsidR="00CC4F3E">
        <w:rPr>
          <w:rFonts w:ascii="Palatino" w:hAnsi="Palatino"/>
          <w:sz w:val="24"/>
        </w:rPr>
        <w:t>ILEC</w:t>
      </w:r>
      <w:r>
        <w:rPr>
          <w:rFonts w:ascii="Palatino" w:hAnsi="Palatino"/>
          <w:sz w:val="24"/>
        </w:rPr>
        <w:t>s for CY 201</w:t>
      </w:r>
      <w:r w:rsidR="002D4C90">
        <w:rPr>
          <w:rFonts w:ascii="Palatino" w:hAnsi="Palatino"/>
          <w:sz w:val="24"/>
        </w:rPr>
        <w:t>5</w:t>
      </w:r>
      <w:r>
        <w:rPr>
          <w:rFonts w:ascii="Palatino" w:hAnsi="Palatino"/>
          <w:sz w:val="24"/>
        </w:rPr>
        <w:t xml:space="preserve"> </w:t>
      </w:r>
      <w:r w:rsidR="00BB31A4">
        <w:rPr>
          <w:rFonts w:ascii="Palatino" w:hAnsi="Palatino"/>
          <w:sz w:val="24"/>
        </w:rPr>
        <w:t xml:space="preserve">to be </w:t>
      </w:r>
      <w:r>
        <w:rPr>
          <w:rFonts w:ascii="Palatino" w:hAnsi="Palatino"/>
          <w:sz w:val="24"/>
        </w:rPr>
        <w:t>reasonable.</w:t>
      </w:r>
      <w:r w:rsidR="00293061">
        <w:rPr>
          <w:rFonts w:ascii="Palatino" w:hAnsi="Palatino"/>
          <w:sz w:val="24"/>
        </w:rPr>
        <w:t xml:space="preserve">  </w:t>
      </w:r>
    </w:p>
    <w:p w:rsidR="00FD2111" w:rsidRDefault="00FD2111">
      <w:pPr>
        <w:rPr>
          <w:rFonts w:ascii="Palatino" w:hAnsi="Palatino"/>
          <w:sz w:val="24"/>
        </w:rPr>
      </w:pPr>
    </w:p>
    <w:p w:rsidR="00FD2111" w:rsidRDefault="00FD2111" w:rsidP="007A164A">
      <w:pPr>
        <w:tabs>
          <w:tab w:val="left" w:pos="0"/>
          <w:tab w:val="left" w:pos="1080"/>
        </w:tabs>
        <w:rPr>
          <w:rFonts w:ascii="Palatino" w:hAnsi="Palatino"/>
          <w:sz w:val="24"/>
        </w:rPr>
      </w:pPr>
      <w:r>
        <w:rPr>
          <w:rFonts w:ascii="Palatino" w:hAnsi="Palatino"/>
          <w:sz w:val="24"/>
        </w:rPr>
        <w:t>CD, in concert with the A</w:t>
      </w:r>
      <w:r w:rsidR="00955871">
        <w:rPr>
          <w:rFonts w:ascii="Palatino" w:hAnsi="Palatino"/>
          <w:sz w:val="24"/>
        </w:rPr>
        <w:t>dministrative Services Division</w:t>
      </w:r>
      <w:r>
        <w:rPr>
          <w:rFonts w:ascii="Palatino" w:hAnsi="Palatino"/>
          <w:sz w:val="24"/>
        </w:rPr>
        <w:t>, shall make the monthly support payments within 30 days after the close of each calendar month</w:t>
      </w:r>
      <w:r w:rsidR="002863AA">
        <w:rPr>
          <w:rFonts w:ascii="Palatino" w:hAnsi="Palatino"/>
          <w:sz w:val="24"/>
        </w:rPr>
        <w:t xml:space="preserve"> subject to the availability of CHCF-A funds and state adoption of the budgets covering the payment of the CY 2015 CHCF-A support</w:t>
      </w:r>
      <w:r>
        <w:rPr>
          <w:rFonts w:ascii="Palatino" w:hAnsi="Palatino"/>
          <w:sz w:val="24"/>
        </w:rPr>
        <w:t>.</w:t>
      </w:r>
      <w:r>
        <w:rPr>
          <w:rFonts w:ascii="Palatino" w:hAnsi="Palatino"/>
          <w:sz w:val="24"/>
          <w:vertAlign w:val="superscript"/>
        </w:rPr>
        <w:footnoteReference w:id="9"/>
      </w:r>
      <w:r>
        <w:rPr>
          <w:rFonts w:ascii="Palatino" w:hAnsi="Palatino"/>
          <w:sz w:val="24"/>
        </w:rPr>
        <w:t xml:space="preserve">  In the event that the monthly support payments due to the Small </w:t>
      </w:r>
      <w:r w:rsidR="00CC4F3E">
        <w:rPr>
          <w:rFonts w:ascii="Palatino" w:hAnsi="Palatino"/>
          <w:sz w:val="24"/>
        </w:rPr>
        <w:t>ILEC</w:t>
      </w:r>
      <w:r>
        <w:rPr>
          <w:rFonts w:ascii="Palatino" w:hAnsi="Palatino"/>
          <w:sz w:val="24"/>
        </w:rPr>
        <w:t xml:space="preserve">s are not paid within 30 days after the close of each calendar month, CD shall include in those payments interest equal to the </w:t>
      </w:r>
      <w:r w:rsidR="005C3993">
        <w:rPr>
          <w:rFonts w:ascii="Palatino" w:hAnsi="Palatino"/>
          <w:sz w:val="24"/>
        </w:rPr>
        <w:t>three</w:t>
      </w:r>
      <w:r>
        <w:rPr>
          <w:rFonts w:ascii="Palatino" w:hAnsi="Palatino"/>
          <w:sz w:val="24"/>
        </w:rPr>
        <w:t>-month commercial paper rate.</w:t>
      </w:r>
    </w:p>
    <w:p w:rsidR="00657637" w:rsidRDefault="00657637" w:rsidP="007A164A">
      <w:pPr>
        <w:tabs>
          <w:tab w:val="left" w:pos="0"/>
          <w:tab w:val="left" w:pos="1080"/>
        </w:tabs>
        <w:rPr>
          <w:rFonts w:ascii="Palatino" w:hAnsi="Palatino"/>
          <w:sz w:val="24"/>
        </w:rPr>
      </w:pPr>
    </w:p>
    <w:p w:rsidR="00657637" w:rsidRDefault="00657637" w:rsidP="007A164A">
      <w:pPr>
        <w:tabs>
          <w:tab w:val="left" w:pos="0"/>
          <w:tab w:val="left" w:pos="1080"/>
        </w:tabs>
        <w:rPr>
          <w:rFonts w:ascii="Palatino" w:hAnsi="Palatino"/>
          <w:sz w:val="24"/>
        </w:rPr>
      </w:pPr>
      <w:r>
        <w:rPr>
          <w:rFonts w:ascii="Palatino" w:hAnsi="Palatino"/>
          <w:sz w:val="24"/>
        </w:rPr>
        <w:t xml:space="preserve">In the event basic service rates are changed in R.11-11-007, CD is directed to recalculate the Small ILECs funding for CY 2015 </w:t>
      </w:r>
      <w:r w:rsidR="00FD5D48">
        <w:rPr>
          <w:rFonts w:ascii="Palatino" w:hAnsi="Palatino"/>
          <w:sz w:val="24"/>
        </w:rPr>
        <w:t xml:space="preserve">to reflect the </w:t>
      </w:r>
      <w:r>
        <w:rPr>
          <w:rFonts w:ascii="Palatino" w:hAnsi="Palatino"/>
          <w:sz w:val="24"/>
        </w:rPr>
        <w:t>authorized basic service rate changes</w:t>
      </w:r>
      <w:r w:rsidR="00646CD7">
        <w:rPr>
          <w:rFonts w:ascii="Palatino" w:hAnsi="Palatino"/>
          <w:sz w:val="24"/>
        </w:rPr>
        <w:t>,</w:t>
      </w:r>
      <w:r>
        <w:rPr>
          <w:rFonts w:ascii="Palatino" w:hAnsi="Palatino"/>
          <w:sz w:val="24"/>
        </w:rPr>
        <w:t xml:space="preserve"> and to notify Small ILECs of revised levels of CHCF-A support.</w:t>
      </w:r>
    </w:p>
    <w:p w:rsidR="00657637" w:rsidRDefault="00657637" w:rsidP="007A164A">
      <w:pPr>
        <w:tabs>
          <w:tab w:val="left" w:pos="0"/>
          <w:tab w:val="left" w:pos="1080"/>
        </w:tabs>
        <w:rPr>
          <w:rFonts w:ascii="Palatino" w:hAnsi="Palatino"/>
          <w:sz w:val="24"/>
        </w:rPr>
      </w:pPr>
    </w:p>
    <w:p w:rsidR="00FD2111" w:rsidRDefault="00FD2111" w:rsidP="007A164A">
      <w:pPr>
        <w:tabs>
          <w:tab w:val="left" w:pos="0"/>
          <w:tab w:val="left" w:pos="1080"/>
        </w:tabs>
        <w:rPr>
          <w:rFonts w:ascii="Palatino" w:hAnsi="Palatino"/>
          <w:sz w:val="24"/>
        </w:rPr>
      </w:pPr>
    </w:p>
    <w:p w:rsidR="00FD2111" w:rsidRPr="0059723C" w:rsidRDefault="00FD2111">
      <w:pPr>
        <w:keepNext/>
        <w:spacing w:after="120"/>
        <w:ind w:left="720"/>
        <w:rPr>
          <w:rFonts w:ascii="Palatino" w:hAnsi="Palatino"/>
          <w:b/>
          <w:sz w:val="26"/>
          <w:szCs w:val="26"/>
        </w:rPr>
      </w:pPr>
      <w:r w:rsidRPr="0059723C">
        <w:rPr>
          <w:rFonts w:ascii="Palatino" w:hAnsi="Palatino"/>
          <w:b/>
          <w:i/>
          <w:sz w:val="26"/>
          <w:szCs w:val="26"/>
        </w:rPr>
        <w:t>C.  CHCF-A Budget for Fiscal Year (FY) 201</w:t>
      </w:r>
      <w:r w:rsidR="002B2C99">
        <w:rPr>
          <w:rFonts w:ascii="Palatino" w:hAnsi="Palatino"/>
          <w:b/>
          <w:i/>
          <w:sz w:val="26"/>
          <w:szCs w:val="26"/>
        </w:rPr>
        <w:t>4-15</w:t>
      </w:r>
      <w:r w:rsidRPr="0059723C">
        <w:rPr>
          <w:rFonts w:ascii="Palatino" w:hAnsi="Palatino"/>
          <w:b/>
          <w:i/>
          <w:sz w:val="26"/>
          <w:szCs w:val="26"/>
        </w:rPr>
        <w:t xml:space="preserve"> and FY 201</w:t>
      </w:r>
      <w:r w:rsidR="002B2C99">
        <w:rPr>
          <w:rFonts w:ascii="Palatino" w:hAnsi="Palatino"/>
          <w:b/>
          <w:i/>
          <w:sz w:val="26"/>
          <w:szCs w:val="26"/>
        </w:rPr>
        <w:t>5</w:t>
      </w:r>
      <w:r w:rsidR="00B04708" w:rsidRPr="0059723C">
        <w:rPr>
          <w:rFonts w:ascii="Palatino" w:hAnsi="Palatino"/>
          <w:b/>
          <w:i/>
          <w:sz w:val="26"/>
          <w:szCs w:val="26"/>
        </w:rPr>
        <w:t>-1</w:t>
      </w:r>
      <w:r w:rsidR="002B2C99">
        <w:rPr>
          <w:rFonts w:ascii="Palatino" w:hAnsi="Palatino"/>
          <w:b/>
          <w:i/>
          <w:sz w:val="26"/>
          <w:szCs w:val="26"/>
        </w:rPr>
        <w:t>6</w:t>
      </w:r>
    </w:p>
    <w:p w:rsidR="00FD2111" w:rsidRDefault="00A95A68" w:rsidP="00D63229">
      <w:pPr>
        <w:pStyle w:val="BodyTextIndent"/>
        <w:keepNext/>
        <w:tabs>
          <w:tab w:val="clear" w:pos="360"/>
        </w:tabs>
        <w:ind w:left="0" w:firstLine="0"/>
        <w:rPr>
          <w:bCs/>
        </w:rPr>
      </w:pPr>
      <w:r>
        <w:rPr>
          <w:bCs/>
        </w:rPr>
        <w:t>The Commission adopted $39.548 million for FY 2014-15 (Resolution T-17400</w:t>
      </w:r>
      <w:r w:rsidR="004E29CC">
        <w:rPr>
          <w:bCs/>
        </w:rPr>
        <w:t>)</w:t>
      </w:r>
      <w:r w:rsidR="00864F8D">
        <w:rPr>
          <w:bCs/>
        </w:rPr>
        <w:t xml:space="preserve"> and $</w:t>
      </w:r>
      <w:r>
        <w:rPr>
          <w:bCs/>
        </w:rPr>
        <w:t>43.328</w:t>
      </w:r>
      <w:r w:rsidR="00864F8D">
        <w:rPr>
          <w:bCs/>
        </w:rPr>
        <w:t xml:space="preserve"> million for </w:t>
      </w:r>
      <w:r w:rsidR="00FD2111">
        <w:rPr>
          <w:bCs/>
        </w:rPr>
        <w:t>FY 201</w:t>
      </w:r>
      <w:r>
        <w:rPr>
          <w:bCs/>
        </w:rPr>
        <w:t>5-16</w:t>
      </w:r>
      <w:r w:rsidR="00864F8D">
        <w:rPr>
          <w:bCs/>
        </w:rPr>
        <w:t xml:space="preserve"> (R</w:t>
      </w:r>
      <w:r w:rsidR="00FD2111">
        <w:rPr>
          <w:bCs/>
        </w:rPr>
        <w:t>esolution T-17</w:t>
      </w:r>
      <w:r>
        <w:rPr>
          <w:bCs/>
        </w:rPr>
        <w:t>447</w:t>
      </w:r>
      <w:r w:rsidR="0046122F">
        <w:rPr>
          <w:bCs/>
        </w:rPr>
        <w:t>)</w:t>
      </w:r>
      <w:r w:rsidR="00864F8D">
        <w:rPr>
          <w:bCs/>
        </w:rPr>
        <w:t xml:space="preserve"> for program budgets.  </w:t>
      </w:r>
      <w:r>
        <w:rPr>
          <w:bCs/>
        </w:rPr>
        <w:t>Of the budgeted amounts, $37.838</w:t>
      </w:r>
      <w:r w:rsidR="00FD2111">
        <w:rPr>
          <w:bCs/>
        </w:rPr>
        <w:t xml:space="preserve"> million and $</w:t>
      </w:r>
      <w:r>
        <w:rPr>
          <w:bCs/>
        </w:rPr>
        <w:t>41.813</w:t>
      </w:r>
      <w:r w:rsidR="00FD2111">
        <w:rPr>
          <w:bCs/>
        </w:rPr>
        <w:t xml:space="preserve"> million have been allocated as program payments to the Small </w:t>
      </w:r>
      <w:r w:rsidR="00CC4F3E">
        <w:rPr>
          <w:bCs/>
        </w:rPr>
        <w:t>ILEC</w:t>
      </w:r>
      <w:r>
        <w:rPr>
          <w:bCs/>
        </w:rPr>
        <w:t>s for FY 2014-15 and FY 2015-16</w:t>
      </w:r>
      <w:r w:rsidR="00FD2111">
        <w:rPr>
          <w:bCs/>
        </w:rPr>
        <w:t>, respectively.</w:t>
      </w:r>
      <w:r w:rsidR="00360C2C">
        <w:rPr>
          <w:bCs/>
        </w:rPr>
        <w:t xml:space="preserve">  There are </w:t>
      </w:r>
      <w:r w:rsidR="003A01F1">
        <w:rPr>
          <w:bCs/>
        </w:rPr>
        <w:t xml:space="preserve">sufficient </w:t>
      </w:r>
      <w:r>
        <w:rPr>
          <w:bCs/>
        </w:rPr>
        <w:t>funds in both the FY2014-15 and FY 2015-16 budgets to cover CY 2015</w:t>
      </w:r>
      <w:r w:rsidR="00360C2C">
        <w:rPr>
          <w:bCs/>
        </w:rPr>
        <w:t xml:space="preserve"> CHCF-A support </w:t>
      </w:r>
      <w:r w:rsidR="003A01F1">
        <w:rPr>
          <w:bCs/>
        </w:rPr>
        <w:t xml:space="preserve">payments </w:t>
      </w:r>
      <w:r w:rsidR="00360C2C">
        <w:rPr>
          <w:bCs/>
        </w:rPr>
        <w:t xml:space="preserve">to the </w:t>
      </w:r>
      <w:r w:rsidR="002D77FA">
        <w:rPr>
          <w:bCs/>
        </w:rPr>
        <w:t>S</w:t>
      </w:r>
      <w:r w:rsidR="00360C2C">
        <w:rPr>
          <w:bCs/>
        </w:rPr>
        <w:t>mall ILECs.</w:t>
      </w:r>
      <w:r w:rsidR="001C2E69">
        <w:rPr>
          <w:bCs/>
        </w:rPr>
        <w:t xml:space="preserve">  These adopted budgets and the associated program support payments are contingent on the availability of funds</w:t>
      </w:r>
      <w:r w:rsidR="00FC3969">
        <w:rPr>
          <w:bCs/>
        </w:rPr>
        <w:t>,</w:t>
      </w:r>
      <w:r w:rsidR="001C2E69">
        <w:rPr>
          <w:bCs/>
        </w:rPr>
        <w:t xml:space="preserve"> and the State’s adoption of the adopted CHCF-A budgets.</w:t>
      </w:r>
    </w:p>
    <w:p w:rsidR="00FD2111" w:rsidRDefault="00FD2111" w:rsidP="00D63229">
      <w:pPr>
        <w:tabs>
          <w:tab w:val="left" w:pos="0"/>
          <w:tab w:val="left" w:pos="1080"/>
        </w:tabs>
        <w:rPr>
          <w:rFonts w:ascii="Palatino" w:hAnsi="Palatino"/>
          <w:sz w:val="24"/>
        </w:rPr>
      </w:pPr>
    </w:p>
    <w:p w:rsidR="00FD2111" w:rsidRPr="00377DA1" w:rsidRDefault="00FD2111" w:rsidP="00D63229">
      <w:pPr>
        <w:tabs>
          <w:tab w:val="left" w:pos="0"/>
          <w:tab w:val="left" w:pos="1080"/>
        </w:tabs>
        <w:rPr>
          <w:rFonts w:ascii="Palatino" w:hAnsi="Palatino"/>
          <w:b/>
          <w:sz w:val="24"/>
        </w:rPr>
      </w:pPr>
      <w:r w:rsidRPr="00377DA1">
        <w:rPr>
          <w:rFonts w:ascii="Palatino" w:hAnsi="Palatino"/>
          <w:b/>
          <w:sz w:val="24"/>
        </w:rPr>
        <w:t>Safety Considerations</w:t>
      </w:r>
    </w:p>
    <w:p w:rsidR="00FD2111" w:rsidRPr="00631F81" w:rsidRDefault="00FD2111">
      <w:pPr>
        <w:tabs>
          <w:tab w:val="left" w:pos="0"/>
          <w:tab w:val="left" w:pos="1080"/>
        </w:tabs>
        <w:rPr>
          <w:rFonts w:ascii="Palatino" w:hAnsi="Palatino"/>
          <w:bCs/>
          <w:sz w:val="24"/>
        </w:rPr>
      </w:pPr>
    </w:p>
    <w:p w:rsidR="00631F81" w:rsidRDefault="00631F81" w:rsidP="00631F81">
      <w:pPr>
        <w:pStyle w:val="Default"/>
        <w:rPr>
          <w:rFonts w:ascii="Palatino" w:hAnsi="Palatino" w:cs="Times New Roman"/>
          <w:bCs/>
          <w:color w:val="auto"/>
          <w:szCs w:val="20"/>
        </w:rPr>
      </w:pPr>
      <w:r w:rsidRPr="00631F81">
        <w:rPr>
          <w:rFonts w:ascii="Palatino" w:hAnsi="Palatino" w:cs="Times New Roman"/>
          <w:bCs/>
          <w:color w:val="auto"/>
          <w:szCs w:val="20"/>
        </w:rPr>
        <w:t xml:space="preserve">The </w:t>
      </w:r>
      <w:r w:rsidR="000B3EED">
        <w:rPr>
          <w:rFonts w:ascii="Palatino" w:hAnsi="Palatino" w:cs="Times New Roman"/>
          <w:bCs/>
          <w:color w:val="auto"/>
          <w:szCs w:val="20"/>
        </w:rPr>
        <w:t>S</w:t>
      </w:r>
      <w:r w:rsidRPr="00631F81">
        <w:rPr>
          <w:rFonts w:ascii="Palatino" w:hAnsi="Palatino" w:cs="Times New Roman"/>
          <w:bCs/>
          <w:color w:val="auto"/>
          <w:szCs w:val="20"/>
        </w:rPr>
        <w:t>mall ILECs are required to adhere to all Commission rules, decisions, General Orders and statutes including P</w:t>
      </w:r>
      <w:r w:rsidR="00ED19E7">
        <w:rPr>
          <w:rFonts w:ascii="Palatino" w:hAnsi="Palatino" w:cs="Times New Roman"/>
          <w:bCs/>
          <w:color w:val="auto"/>
          <w:szCs w:val="20"/>
        </w:rPr>
        <w:t>.U.</w:t>
      </w:r>
      <w:r w:rsidRPr="00631F81">
        <w:rPr>
          <w:rFonts w:ascii="Palatino" w:hAnsi="Palatino" w:cs="Times New Roman"/>
          <w:bCs/>
          <w:color w:val="auto"/>
          <w:szCs w:val="20"/>
        </w:rPr>
        <w:t xml:space="preserve"> Code § 451 by undertaking all actions “…necessary to promote the safety, health, comfort, and convenience of its patrons, employees, and the public.” The CHCF-A subsidy provides carriers with the resources to provide safe, reliable and affordable telephone service to </w:t>
      </w:r>
      <w:r w:rsidR="000B3EED">
        <w:rPr>
          <w:rFonts w:ascii="Palatino" w:hAnsi="Palatino" w:cs="Times New Roman"/>
          <w:bCs/>
          <w:color w:val="auto"/>
          <w:szCs w:val="20"/>
        </w:rPr>
        <w:t>their</w:t>
      </w:r>
      <w:r w:rsidRPr="00631F81">
        <w:rPr>
          <w:rFonts w:ascii="Palatino" w:hAnsi="Palatino" w:cs="Times New Roman"/>
          <w:bCs/>
          <w:color w:val="auto"/>
          <w:szCs w:val="20"/>
        </w:rPr>
        <w:t xml:space="preserve"> custo</w:t>
      </w:r>
      <w:r>
        <w:rPr>
          <w:rFonts w:ascii="Palatino" w:hAnsi="Palatino" w:cs="Times New Roman"/>
          <w:bCs/>
          <w:color w:val="auto"/>
          <w:szCs w:val="20"/>
        </w:rPr>
        <w:t>mers in rural, high cost areas.</w:t>
      </w:r>
    </w:p>
    <w:p w:rsidR="00631F81" w:rsidRPr="00631F81" w:rsidRDefault="00631F81" w:rsidP="00631F81">
      <w:pPr>
        <w:pStyle w:val="Default"/>
        <w:rPr>
          <w:rFonts w:ascii="Palatino" w:hAnsi="Palatino" w:cs="Times New Roman"/>
          <w:bCs/>
          <w:color w:val="auto"/>
          <w:szCs w:val="20"/>
        </w:rPr>
      </w:pPr>
    </w:p>
    <w:p w:rsidR="00631F81" w:rsidRDefault="00631F81" w:rsidP="00631F81">
      <w:pPr>
        <w:pStyle w:val="Default"/>
        <w:rPr>
          <w:rFonts w:ascii="Palatino" w:hAnsi="Palatino" w:cs="Times New Roman"/>
          <w:bCs/>
          <w:color w:val="auto"/>
          <w:szCs w:val="20"/>
        </w:rPr>
      </w:pPr>
      <w:r w:rsidRPr="00631F81">
        <w:rPr>
          <w:rFonts w:ascii="Palatino" w:hAnsi="Palatino" w:cs="Times New Roman"/>
          <w:bCs/>
          <w:color w:val="auto"/>
          <w:szCs w:val="20"/>
        </w:rPr>
        <w:t>Reliable telephone service is essential in these generally rural</w:t>
      </w:r>
      <w:r w:rsidR="000B3EED">
        <w:rPr>
          <w:rFonts w:ascii="Palatino" w:hAnsi="Palatino" w:cs="Times New Roman"/>
          <w:bCs/>
          <w:color w:val="auto"/>
          <w:szCs w:val="20"/>
        </w:rPr>
        <w:t>, remote and isolated</w:t>
      </w:r>
      <w:r w:rsidRPr="00631F81">
        <w:rPr>
          <w:rFonts w:ascii="Palatino" w:hAnsi="Palatino" w:cs="Times New Roman"/>
          <w:bCs/>
          <w:color w:val="auto"/>
          <w:szCs w:val="20"/>
        </w:rPr>
        <w:t xml:space="preserve"> areas. The CHCF-A program provides financial support to the Small ILECs to aid them in providing customers</w:t>
      </w:r>
      <w:r w:rsidR="00472B5A">
        <w:rPr>
          <w:rFonts w:ascii="Palatino" w:hAnsi="Palatino" w:cs="Times New Roman"/>
          <w:bCs/>
          <w:color w:val="auto"/>
          <w:szCs w:val="20"/>
        </w:rPr>
        <w:t xml:space="preserve"> residing in these areas</w:t>
      </w:r>
      <w:r w:rsidRPr="00631F81">
        <w:rPr>
          <w:rFonts w:ascii="Palatino" w:hAnsi="Palatino" w:cs="Times New Roman"/>
          <w:bCs/>
          <w:color w:val="auto"/>
          <w:szCs w:val="20"/>
        </w:rPr>
        <w:t xml:space="preserve"> with access to 211 for essential community services, 311 for non-emergency municipal services, 511 for traffic and transportation information, 811 for public infrastructure underground location information, and 911 to reach police, fire and emergency medical responders when fire, natural disasters, medical emer</w:t>
      </w:r>
      <w:r>
        <w:rPr>
          <w:rFonts w:ascii="Palatino" w:hAnsi="Palatino" w:cs="Times New Roman"/>
          <w:bCs/>
          <w:color w:val="auto"/>
          <w:szCs w:val="20"/>
        </w:rPr>
        <w:t>gencies, or other crises occur.</w:t>
      </w:r>
    </w:p>
    <w:p w:rsidR="00631F81" w:rsidRDefault="00631F81" w:rsidP="00631F81">
      <w:pPr>
        <w:pStyle w:val="Default"/>
        <w:rPr>
          <w:rFonts w:ascii="Palatino" w:hAnsi="Palatino" w:cs="Times New Roman"/>
          <w:bCs/>
          <w:color w:val="auto"/>
          <w:szCs w:val="20"/>
        </w:rPr>
      </w:pPr>
      <w:r w:rsidRPr="00631F81">
        <w:rPr>
          <w:rFonts w:ascii="Palatino" w:hAnsi="Palatino" w:cs="Times New Roman"/>
          <w:bCs/>
          <w:color w:val="auto"/>
          <w:szCs w:val="20"/>
        </w:rPr>
        <w:t>P</w:t>
      </w:r>
      <w:r w:rsidR="00ED19E7">
        <w:rPr>
          <w:rFonts w:ascii="Palatino" w:hAnsi="Palatino" w:cs="Times New Roman"/>
          <w:bCs/>
          <w:color w:val="auto"/>
          <w:szCs w:val="20"/>
        </w:rPr>
        <w:t>.</w:t>
      </w:r>
      <w:r w:rsidRPr="00631F81">
        <w:rPr>
          <w:rFonts w:ascii="Palatino" w:hAnsi="Palatino" w:cs="Times New Roman"/>
          <w:bCs/>
          <w:color w:val="auto"/>
          <w:szCs w:val="20"/>
        </w:rPr>
        <w:t>U</w:t>
      </w:r>
      <w:r w:rsidR="00ED19E7">
        <w:rPr>
          <w:rFonts w:ascii="Palatino" w:hAnsi="Palatino" w:cs="Times New Roman"/>
          <w:bCs/>
          <w:color w:val="auto"/>
          <w:szCs w:val="20"/>
        </w:rPr>
        <w:t>.</w:t>
      </w:r>
      <w:r w:rsidRPr="00631F81">
        <w:rPr>
          <w:rFonts w:ascii="Palatino" w:hAnsi="Palatino" w:cs="Times New Roman"/>
          <w:bCs/>
          <w:color w:val="auto"/>
          <w:szCs w:val="20"/>
        </w:rPr>
        <w:t xml:space="preserve"> Code § 275.6 promotes customer access to advanced services and deployment of broadband-capable facilities in rate base, which benefits emergency response providers, educational institutions, teachers and students to have access to high speed broa</w:t>
      </w:r>
      <w:r>
        <w:rPr>
          <w:rFonts w:ascii="Palatino" w:hAnsi="Palatino" w:cs="Times New Roman"/>
          <w:bCs/>
          <w:color w:val="auto"/>
          <w:szCs w:val="20"/>
        </w:rPr>
        <w:t>dband for their important uses.</w:t>
      </w:r>
    </w:p>
    <w:p w:rsidR="00631F81" w:rsidRPr="00631F81" w:rsidRDefault="00631F81" w:rsidP="00631F81">
      <w:pPr>
        <w:pStyle w:val="Default"/>
        <w:rPr>
          <w:rFonts w:ascii="Palatino" w:hAnsi="Palatino" w:cs="Times New Roman"/>
          <w:bCs/>
          <w:color w:val="auto"/>
          <w:szCs w:val="20"/>
        </w:rPr>
      </w:pPr>
    </w:p>
    <w:p w:rsidR="00631F81" w:rsidRPr="00631F81" w:rsidRDefault="00631F81" w:rsidP="00631F81">
      <w:pPr>
        <w:pStyle w:val="Default"/>
        <w:rPr>
          <w:rFonts w:ascii="Palatino" w:hAnsi="Palatino" w:cs="Times New Roman"/>
          <w:bCs/>
          <w:color w:val="auto"/>
          <w:szCs w:val="20"/>
        </w:rPr>
      </w:pPr>
      <w:r w:rsidRPr="00631F81">
        <w:rPr>
          <w:rFonts w:ascii="Palatino" w:hAnsi="Palatino" w:cs="Times New Roman"/>
          <w:bCs/>
          <w:color w:val="auto"/>
          <w:szCs w:val="20"/>
        </w:rPr>
        <w:t xml:space="preserve">CHCF-A funding has allowed the Small ILECs to locate their facilities underground and use fiber optic cable which protects equipment in case of fire and allows for the quicker deployment of broadband-capable facilities. In some Small ILEC territories, emergency responders set up emergency command centers and the Small ILECs must quickly provide responders with access to high quality voice communications and broadband. </w:t>
      </w:r>
    </w:p>
    <w:p w:rsidR="00FD2111" w:rsidRDefault="00631F81" w:rsidP="00631F81">
      <w:pPr>
        <w:tabs>
          <w:tab w:val="left" w:pos="0"/>
          <w:tab w:val="left" w:pos="1080"/>
        </w:tabs>
        <w:rPr>
          <w:rFonts w:ascii="Palatino" w:hAnsi="Palatino"/>
          <w:bCs/>
          <w:sz w:val="24"/>
        </w:rPr>
      </w:pPr>
      <w:r w:rsidRPr="00631F81">
        <w:rPr>
          <w:rFonts w:ascii="Palatino" w:hAnsi="Palatino"/>
          <w:bCs/>
          <w:sz w:val="24"/>
        </w:rPr>
        <w:t>This Resolution ensures that the CHCF-A program continues to promote the goals of universal service by subsidizing essential communications links in high cost, rural communities.</w:t>
      </w:r>
    </w:p>
    <w:p w:rsidR="00631F81" w:rsidRPr="00631F81" w:rsidRDefault="00631F81" w:rsidP="00631F81">
      <w:pPr>
        <w:tabs>
          <w:tab w:val="left" w:pos="0"/>
          <w:tab w:val="left" w:pos="1080"/>
        </w:tabs>
        <w:rPr>
          <w:rFonts w:ascii="Palatino" w:hAnsi="Palatino"/>
          <w:bCs/>
          <w:sz w:val="24"/>
        </w:rPr>
      </w:pPr>
    </w:p>
    <w:p w:rsidR="00FD2111" w:rsidRDefault="00FD2111">
      <w:pPr>
        <w:pStyle w:val="Heading9"/>
        <w:rPr>
          <w:sz w:val="26"/>
        </w:rPr>
      </w:pPr>
      <w:r>
        <w:rPr>
          <w:sz w:val="26"/>
        </w:rPr>
        <w:t>Comments on Draft Resolution</w:t>
      </w:r>
    </w:p>
    <w:p w:rsidR="00FD2111" w:rsidRDefault="00FD2111"/>
    <w:p w:rsidR="009B5BD3" w:rsidRDefault="00FD2111">
      <w:pPr>
        <w:pStyle w:val="BodyText"/>
        <w:tabs>
          <w:tab w:val="clear" w:pos="720"/>
        </w:tabs>
        <w:spacing w:after="0"/>
      </w:pPr>
      <w:r>
        <w:t>In compliance with P</w:t>
      </w:r>
      <w:r w:rsidR="00ED19E7">
        <w:t>.</w:t>
      </w:r>
      <w:r>
        <w:t>U</w:t>
      </w:r>
      <w:r w:rsidR="00ED19E7">
        <w:t>.</w:t>
      </w:r>
      <w:r>
        <w:t xml:space="preserve"> Code § 311(g),</w:t>
      </w:r>
      <w:r w:rsidR="006F732E">
        <w:t xml:space="preserve"> the Commission e-mailed</w:t>
      </w:r>
      <w:r>
        <w:t xml:space="preserve"> </w:t>
      </w:r>
      <w:r w:rsidR="006F732E">
        <w:t xml:space="preserve">a notice letter </w:t>
      </w:r>
      <w:r w:rsidR="003F459B">
        <w:t xml:space="preserve">on </w:t>
      </w:r>
      <w:r w:rsidR="008209B8" w:rsidRPr="00D905AB">
        <w:t>December 9</w:t>
      </w:r>
      <w:r w:rsidR="003F459B" w:rsidRPr="00D905AB">
        <w:t>, 2014</w:t>
      </w:r>
      <w:r w:rsidR="003F459B">
        <w:t xml:space="preserve">, </w:t>
      </w:r>
      <w:r>
        <w:t>informing the 1</w:t>
      </w:r>
      <w:r w:rsidR="00231819">
        <w:t>3</w:t>
      </w:r>
      <w:r>
        <w:t xml:space="preserve"> Small </w:t>
      </w:r>
      <w:r w:rsidR="00CC4F3E">
        <w:t>ILEC</w:t>
      </w:r>
      <w:r>
        <w:t xml:space="preserve">s, </w:t>
      </w:r>
      <w:r w:rsidR="005C3993">
        <w:t xml:space="preserve">the </w:t>
      </w:r>
      <w:r>
        <w:t>CHCFA-A</w:t>
      </w:r>
      <w:r w:rsidR="005C3993">
        <w:t xml:space="preserve">dministrative </w:t>
      </w:r>
      <w:r>
        <w:t>C</w:t>
      </w:r>
      <w:r w:rsidR="005C3993">
        <w:t>ommittee (AC)</w:t>
      </w:r>
      <w:r>
        <w:t xml:space="preserve">, parties of record in Rulemaking 01-08-002 and parties on the service list of Application 99-09-044 of the availability of </w:t>
      </w:r>
      <w:r w:rsidR="006F732E">
        <w:t xml:space="preserve">this </w:t>
      </w:r>
      <w:r>
        <w:t>draft Resolution for comments</w:t>
      </w:r>
      <w:r w:rsidR="006F732E">
        <w:t>, as well as the availability of the conformed resolution, if adopted by the Commission, on the</w:t>
      </w:r>
      <w:r>
        <w:t xml:space="preserve"> Commission's website</w:t>
      </w:r>
      <w:r w:rsidR="003A01F1">
        <w:t xml:space="preserve"> </w:t>
      </w:r>
      <w:r w:rsidR="00955871" w:rsidRPr="00370545">
        <w:t>www.cpuc.ca.gov</w:t>
      </w:r>
      <w:r>
        <w:t>.</w:t>
      </w:r>
    </w:p>
    <w:p w:rsidR="00EE4FE5" w:rsidRDefault="00EE4FE5">
      <w:pPr>
        <w:pStyle w:val="BodyText"/>
        <w:tabs>
          <w:tab w:val="clear" w:pos="720"/>
        </w:tabs>
        <w:spacing w:after="0"/>
      </w:pPr>
    </w:p>
    <w:p w:rsidR="00AD13BD" w:rsidRDefault="00AD13BD">
      <w:pPr>
        <w:pStyle w:val="BodyText"/>
        <w:tabs>
          <w:tab w:val="clear" w:pos="720"/>
        </w:tabs>
        <w:spacing w:after="0"/>
      </w:pPr>
    </w:p>
    <w:p w:rsidR="00FD2111" w:rsidRDefault="00FD2111" w:rsidP="003962FF">
      <w:pPr>
        <w:pStyle w:val="BodyText"/>
        <w:tabs>
          <w:tab w:val="clear" w:pos="720"/>
        </w:tabs>
        <w:spacing w:after="0"/>
        <w:rPr>
          <w:b/>
          <w:bCs/>
          <w:sz w:val="26"/>
        </w:rPr>
      </w:pPr>
      <w:r>
        <w:rPr>
          <w:b/>
          <w:bCs/>
          <w:sz w:val="26"/>
        </w:rPr>
        <w:t>Findings</w:t>
      </w:r>
      <w:r w:rsidR="001D3B0D">
        <w:rPr>
          <w:b/>
          <w:bCs/>
          <w:sz w:val="26"/>
        </w:rPr>
        <w:t xml:space="preserve"> and Conclusions</w:t>
      </w:r>
    </w:p>
    <w:p w:rsidR="00FD2111" w:rsidRDefault="00FD2111">
      <w:pPr>
        <w:keepNext/>
        <w:rPr>
          <w:rFonts w:ascii="Palatino" w:hAnsi="Palatino"/>
          <w:sz w:val="24"/>
        </w:rPr>
      </w:pPr>
    </w:p>
    <w:p w:rsidR="001D3B0D" w:rsidRDefault="00FD2111">
      <w:pPr>
        <w:numPr>
          <w:ilvl w:val="0"/>
          <w:numId w:val="9"/>
        </w:numPr>
        <w:tabs>
          <w:tab w:val="left" w:pos="360"/>
        </w:tabs>
        <w:spacing w:after="120"/>
        <w:rPr>
          <w:rFonts w:ascii="Palatino" w:hAnsi="Palatino"/>
          <w:sz w:val="24"/>
        </w:rPr>
      </w:pPr>
      <w:r>
        <w:rPr>
          <w:rFonts w:ascii="Palatino" w:hAnsi="Palatino"/>
          <w:sz w:val="24"/>
        </w:rPr>
        <w:t xml:space="preserve">The California High Cost Fund (HCF) was </w:t>
      </w:r>
      <w:r w:rsidR="00472B5A">
        <w:rPr>
          <w:rFonts w:ascii="Palatino" w:hAnsi="Palatino"/>
          <w:sz w:val="24"/>
        </w:rPr>
        <w:t xml:space="preserve">originally </w:t>
      </w:r>
      <w:r w:rsidR="006F732E">
        <w:rPr>
          <w:rFonts w:ascii="Palatino" w:hAnsi="Palatino"/>
          <w:sz w:val="24"/>
        </w:rPr>
        <w:t>adopted in</w:t>
      </w:r>
      <w:r>
        <w:rPr>
          <w:rFonts w:ascii="Palatino" w:hAnsi="Palatino"/>
          <w:sz w:val="24"/>
        </w:rPr>
        <w:t xml:space="preserve"> (D.) 88-07-022, </w:t>
      </w:r>
      <w:r w:rsidR="006F732E">
        <w:rPr>
          <w:rFonts w:ascii="Palatino" w:hAnsi="Palatino"/>
          <w:sz w:val="24"/>
        </w:rPr>
        <w:t xml:space="preserve">and </w:t>
      </w:r>
      <w:r w:rsidR="00472B5A">
        <w:rPr>
          <w:rFonts w:ascii="Palatino" w:hAnsi="Palatino"/>
          <w:sz w:val="24"/>
        </w:rPr>
        <w:t xml:space="preserve">subsequently </w:t>
      </w:r>
      <w:r>
        <w:rPr>
          <w:rFonts w:ascii="Palatino" w:hAnsi="Palatino"/>
          <w:sz w:val="24"/>
        </w:rPr>
        <w:t xml:space="preserve">modified by D.91-05-016 and D.91-09-042.  </w:t>
      </w:r>
    </w:p>
    <w:p w:rsidR="00FD2111" w:rsidRDefault="00FD2111">
      <w:pPr>
        <w:numPr>
          <w:ilvl w:val="0"/>
          <w:numId w:val="9"/>
        </w:numPr>
        <w:tabs>
          <w:tab w:val="left" w:pos="360"/>
        </w:tabs>
        <w:spacing w:after="120"/>
        <w:rPr>
          <w:rFonts w:ascii="Palatino" w:hAnsi="Palatino"/>
          <w:sz w:val="24"/>
        </w:rPr>
      </w:pPr>
      <w:r>
        <w:rPr>
          <w:rFonts w:ascii="Palatino" w:hAnsi="Palatino"/>
          <w:sz w:val="24"/>
        </w:rPr>
        <w:t xml:space="preserve">The purpose of the HCF was to provide a source of supplemental revenues to three mid-size Incumbent Local Exchange Carriers (ILECs) and seventeen Small </w:t>
      </w:r>
      <w:r w:rsidR="00CC4F3E">
        <w:rPr>
          <w:rFonts w:ascii="Palatino" w:hAnsi="Palatino"/>
          <w:sz w:val="24"/>
        </w:rPr>
        <w:t>I</w:t>
      </w:r>
      <w:r>
        <w:rPr>
          <w:rFonts w:ascii="Palatino" w:hAnsi="Palatino"/>
          <w:sz w:val="24"/>
        </w:rPr>
        <w:t>LECs whose basic exchange access line service rates would otherwise be increased to levels that would threaten federal universal service.</w:t>
      </w:r>
    </w:p>
    <w:p w:rsidR="00FD2111" w:rsidRDefault="00FD2111" w:rsidP="00F44653">
      <w:pPr>
        <w:numPr>
          <w:ilvl w:val="0"/>
          <w:numId w:val="9"/>
        </w:numPr>
        <w:tabs>
          <w:tab w:val="left" w:pos="360"/>
        </w:tabs>
        <w:spacing w:after="120"/>
        <w:rPr>
          <w:rFonts w:ascii="Palatino" w:hAnsi="Palatino"/>
          <w:sz w:val="24"/>
        </w:rPr>
      </w:pPr>
      <w:r>
        <w:rPr>
          <w:rFonts w:ascii="Palatino" w:hAnsi="Palatino"/>
          <w:sz w:val="24"/>
        </w:rPr>
        <w:t>In October 1999, Public Utilities (P</w:t>
      </w:r>
      <w:r w:rsidR="00ED19E7">
        <w:rPr>
          <w:rFonts w:ascii="Palatino" w:hAnsi="Palatino"/>
          <w:sz w:val="24"/>
        </w:rPr>
        <w:t>.</w:t>
      </w:r>
      <w:r>
        <w:rPr>
          <w:rFonts w:ascii="Palatino" w:hAnsi="Palatino"/>
          <w:sz w:val="24"/>
        </w:rPr>
        <w:t>U</w:t>
      </w:r>
      <w:r w:rsidR="00ED19E7">
        <w:rPr>
          <w:rFonts w:ascii="Palatino" w:hAnsi="Palatino"/>
          <w:sz w:val="24"/>
        </w:rPr>
        <w:t>.</w:t>
      </w:r>
      <w:r>
        <w:rPr>
          <w:rFonts w:ascii="Palatino" w:hAnsi="Palatino"/>
          <w:sz w:val="24"/>
        </w:rPr>
        <w:t>) Codes §</w:t>
      </w:r>
      <w:r w:rsidR="00606D51">
        <w:rPr>
          <w:rFonts w:ascii="Palatino" w:hAnsi="Palatino"/>
          <w:sz w:val="24"/>
        </w:rPr>
        <w:t>§</w:t>
      </w:r>
      <w:r>
        <w:rPr>
          <w:rFonts w:ascii="Palatino" w:hAnsi="Palatino"/>
          <w:sz w:val="24"/>
        </w:rPr>
        <w:t xml:space="preserve"> 270-281 were codified </w:t>
      </w:r>
      <w:r w:rsidR="006F732E">
        <w:rPr>
          <w:rFonts w:ascii="Palatino" w:hAnsi="Palatino"/>
          <w:sz w:val="24"/>
        </w:rPr>
        <w:t xml:space="preserve">by </w:t>
      </w:r>
      <w:r>
        <w:rPr>
          <w:rFonts w:ascii="Palatino" w:hAnsi="Palatino"/>
          <w:sz w:val="24"/>
        </w:rPr>
        <w:t>the enactment of Senate Bill 669.</w:t>
      </w:r>
    </w:p>
    <w:p w:rsidR="00FD2111" w:rsidRDefault="00FD2111" w:rsidP="00F44653">
      <w:pPr>
        <w:numPr>
          <w:ilvl w:val="0"/>
          <w:numId w:val="9"/>
        </w:numPr>
        <w:tabs>
          <w:tab w:val="left" w:pos="360"/>
        </w:tabs>
        <w:spacing w:after="120"/>
        <w:rPr>
          <w:rFonts w:ascii="Palatino" w:hAnsi="Palatino"/>
          <w:sz w:val="24"/>
        </w:rPr>
      </w:pPr>
      <w:r>
        <w:rPr>
          <w:rFonts w:ascii="Palatino" w:hAnsi="Palatino"/>
          <w:sz w:val="24"/>
        </w:rPr>
        <w:t>P</w:t>
      </w:r>
      <w:r w:rsidR="00ED19E7">
        <w:rPr>
          <w:rFonts w:ascii="Palatino" w:hAnsi="Palatino"/>
          <w:sz w:val="24"/>
        </w:rPr>
        <w:t>.</w:t>
      </w:r>
      <w:r>
        <w:rPr>
          <w:rFonts w:ascii="Palatino" w:hAnsi="Palatino"/>
          <w:sz w:val="24"/>
        </w:rPr>
        <w:t>U</w:t>
      </w:r>
      <w:r w:rsidR="00ED19E7">
        <w:rPr>
          <w:rFonts w:ascii="Palatino" w:hAnsi="Palatino"/>
          <w:sz w:val="24"/>
        </w:rPr>
        <w:t>.</w:t>
      </w:r>
      <w:r w:rsidR="00C64E19">
        <w:rPr>
          <w:rFonts w:ascii="Palatino" w:hAnsi="Palatino"/>
          <w:sz w:val="24"/>
        </w:rPr>
        <w:t xml:space="preserve"> C</w:t>
      </w:r>
      <w:r>
        <w:rPr>
          <w:rFonts w:ascii="Palatino" w:hAnsi="Palatino"/>
          <w:sz w:val="24"/>
        </w:rPr>
        <w:t xml:space="preserve">ode § 270(b) requires that the </w:t>
      </w:r>
      <w:r w:rsidR="003A01F1">
        <w:rPr>
          <w:rFonts w:ascii="Palatino" w:hAnsi="Palatino"/>
          <w:sz w:val="24"/>
        </w:rPr>
        <w:t xml:space="preserve">money </w:t>
      </w:r>
      <w:r w:rsidR="00472B5A">
        <w:rPr>
          <w:rFonts w:ascii="Palatino" w:hAnsi="Palatino"/>
          <w:sz w:val="24"/>
        </w:rPr>
        <w:t xml:space="preserve">in </w:t>
      </w:r>
      <w:r w:rsidR="006F732E">
        <w:rPr>
          <w:rFonts w:ascii="Palatino" w:hAnsi="Palatino"/>
          <w:sz w:val="24"/>
        </w:rPr>
        <w:t xml:space="preserve">the </w:t>
      </w:r>
      <w:r>
        <w:rPr>
          <w:rFonts w:ascii="Palatino" w:hAnsi="Palatino"/>
          <w:sz w:val="24"/>
        </w:rPr>
        <w:t xml:space="preserve">CHCF-A </w:t>
      </w:r>
      <w:r w:rsidR="006F732E">
        <w:rPr>
          <w:rFonts w:ascii="Palatino" w:hAnsi="Palatino"/>
          <w:sz w:val="24"/>
        </w:rPr>
        <w:t xml:space="preserve">fund be used only for the purpose of the program and </w:t>
      </w:r>
      <w:r>
        <w:rPr>
          <w:rFonts w:ascii="Palatino" w:hAnsi="Palatino"/>
          <w:sz w:val="24"/>
        </w:rPr>
        <w:t>upon appropriation in the annual Budget Act.</w:t>
      </w:r>
    </w:p>
    <w:p w:rsidR="00F44653" w:rsidRPr="00852338" w:rsidRDefault="00F44653" w:rsidP="00852338">
      <w:pPr>
        <w:numPr>
          <w:ilvl w:val="0"/>
          <w:numId w:val="9"/>
        </w:numPr>
        <w:tabs>
          <w:tab w:val="left" w:pos="360"/>
        </w:tabs>
        <w:spacing w:after="120"/>
        <w:rPr>
          <w:rFonts w:ascii="Palatino" w:hAnsi="Palatino"/>
          <w:sz w:val="24"/>
        </w:rPr>
      </w:pPr>
      <w:r w:rsidRPr="00852338">
        <w:rPr>
          <w:rFonts w:ascii="Palatino" w:hAnsi="Palatino"/>
          <w:sz w:val="24"/>
        </w:rPr>
        <w:t xml:space="preserve">In D.08-10-010, the </w:t>
      </w:r>
      <w:r w:rsidR="0004402C" w:rsidRPr="00852338">
        <w:rPr>
          <w:rFonts w:ascii="Palatino" w:hAnsi="Palatino"/>
          <w:sz w:val="24"/>
        </w:rPr>
        <w:t xml:space="preserve">California Public Utilities </w:t>
      </w:r>
      <w:r w:rsidRPr="00852338">
        <w:rPr>
          <w:rFonts w:ascii="Palatino" w:hAnsi="Palatino"/>
          <w:sz w:val="24"/>
        </w:rPr>
        <w:t>Commission</w:t>
      </w:r>
      <w:r w:rsidR="0004402C" w:rsidRPr="00852338">
        <w:rPr>
          <w:rFonts w:ascii="Palatino" w:hAnsi="Palatino"/>
          <w:sz w:val="24"/>
        </w:rPr>
        <w:t xml:space="preserve"> (Commission)</w:t>
      </w:r>
      <w:r w:rsidRPr="00852338">
        <w:rPr>
          <w:rFonts w:ascii="Palatino" w:hAnsi="Palatino"/>
          <w:sz w:val="24"/>
        </w:rPr>
        <w:t xml:space="preserve"> authorized the consolidation of three Small ILECs: Citizens Telecommunications Company</w:t>
      </w:r>
      <w:r w:rsidRPr="00A71759">
        <w:rPr>
          <w:rFonts w:ascii="Palatino" w:hAnsi="Palatino"/>
          <w:sz w:val="24"/>
        </w:rPr>
        <w:t xml:space="preserve"> of Tuolumne, Citizens Telecommunications Company of the Golden State and Global Valley Networks, Inc. with the midsize ILEC of Citizens Telecommunications Company of California Inc., which is now known as Frontier.</w:t>
      </w:r>
      <w:r w:rsidR="00065037" w:rsidRPr="00852338">
        <w:rPr>
          <w:rFonts w:ascii="Palatino" w:hAnsi="Palatino"/>
          <w:sz w:val="24"/>
        </w:rPr>
        <w:t xml:space="preserve">  This </w:t>
      </w:r>
      <w:r w:rsidRPr="00852338">
        <w:rPr>
          <w:rFonts w:ascii="Palatino" w:hAnsi="Palatino"/>
          <w:sz w:val="24"/>
        </w:rPr>
        <w:t>consolidation became effective on January 1, 2009</w:t>
      </w:r>
      <w:r w:rsidR="006F732E" w:rsidRPr="00852338">
        <w:rPr>
          <w:rFonts w:ascii="Palatino" w:hAnsi="Palatino"/>
          <w:sz w:val="24"/>
        </w:rPr>
        <w:t xml:space="preserve"> and reduce</w:t>
      </w:r>
      <w:r w:rsidR="00195D33" w:rsidRPr="00852338">
        <w:rPr>
          <w:rFonts w:ascii="Palatino" w:hAnsi="Palatino"/>
          <w:sz w:val="24"/>
        </w:rPr>
        <w:t>d</w:t>
      </w:r>
      <w:r w:rsidRPr="00852338">
        <w:rPr>
          <w:rFonts w:ascii="Palatino" w:hAnsi="Palatino"/>
          <w:sz w:val="24"/>
        </w:rPr>
        <w:t xml:space="preserve"> the total number of Small ILECs eligible for CHCF-A support from 17 to 14.</w:t>
      </w:r>
    </w:p>
    <w:p w:rsidR="00335B0E" w:rsidRDefault="00335B0E" w:rsidP="00F44653">
      <w:pPr>
        <w:numPr>
          <w:ilvl w:val="0"/>
          <w:numId w:val="9"/>
        </w:numPr>
        <w:tabs>
          <w:tab w:val="left" w:pos="360"/>
        </w:tabs>
        <w:spacing w:after="120"/>
        <w:rPr>
          <w:rFonts w:ascii="Palatino" w:hAnsi="Palatino"/>
          <w:sz w:val="24"/>
        </w:rPr>
      </w:pPr>
      <w:r w:rsidRPr="00335B0E">
        <w:rPr>
          <w:rFonts w:ascii="Palatino" w:hAnsi="Palatino"/>
          <w:sz w:val="24"/>
        </w:rPr>
        <w:t>In D.13-05-028</w:t>
      </w:r>
      <w:r w:rsidR="00195D33">
        <w:rPr>
          <w:rFonts w:ascii="Palatino" w:hAnsi="Palatino"/>
          <w:sz w:val="24"/>
        </w:rPr>
        <w:t>, the Commission</w:t>
      </w:r>
      <w:r w:rsidRPr="00335B0E">
        <w:rPr>
          <w:rFonts w:ascii="Palatino" w:hAnsi="Palatino"/>
          <w:sz w:val="24"/>
        </w:rPr>
        <w:t xml:space="preserve"> authorized </w:t>
      </w:r>
      <w:r w:rsidR="00195D33">
        <w:rPr>
          <w:rFonts w:ascii="Palatino" w:hAnsi="Palatino"/>
          <w:sz w:val="24"/>
        </w:rPr>
        <w:t xml:space="preserve">the </w:t>
      </w:r>
      <w:r w:rsidRPr="00335B0E">
        <w:rPr>
          <w:rFonts w:ascii="Palatino" w:hAnsi="Palatino"/>
          <w:sz w:val="24"/>
        </w:rPr>
        <w:t xml:space="preserve">consolidation of Frontier Communications West Coast Inc., into the </w:t>
      </w:r>
      <w:r w:rsidR="00046DA4">
        <w:rPr>
          <w:rFonts w:ascii="Palatino" w:hAnsi="Palatino"/>
          <w:sz w:val="24"/>
        </w:rPr>
        <w:t xml:space="preserve">midsize </w:t>
      </w:r>
      <w:r w:rsidRPr="00335B0E">
        <w:rPr>
          <w:rFonts w:ascii="Palatino" w:hAnsi="Palatino"/>
          <w:sz w:val="24"/>
        </w:rPr>
        <w:t>ILEC, Citizens Telecommunications Company of California Inc. doing business as Frontier Communications of California</w:t>
      </w:r>
      <w:r w:rsidR="00D67242">
        <w:rPr>
          <w:rFonts w:ascii="Palatino" w:hAnsi="Palatino"/>
          <w:sz w:val="24"/>
        </w:rPr>
        <w:t>,</w:t>
      </w:r>
      <w:r w:rsidRPr="00335B0E">
        <w:rPr>
          <w:rFonts w:ascii="Palatino" w:hAnsi="Palatino"/>
          <w:sz w:val="24"/>
        </w:rPr>
        <w:t xml:space="preserve"> reducing the </w:t>
      </w:r>
      <w:r w:rsidR="00195D33">
        <w:rPr>
          <w:rFonts w:ascii="Palatino" w:hAnsi="Palatino"/>
          <w:sz w:val="24"/>
        </w:rPr>
        <w:t xml:space="preserve">total </w:t>
      </w:r>
      <w:r w:rsidRPr="00335B0E">
        <w:rPr>
          <w:rFonts w:ascii="Palatino" w:hAnsi="Palatino"/>
          <w:sz w:val="24"/>
        </w:rPr>
        <w:t>number of Small ILECs from 14 to 13.</w:t>
      </w:r>
    </w:p>
    <w:p w:rsidR="00FD2111" w:rsidRPr="00852338" w:rsidRDefault="00606D51" w:rsidP="00852338">
      <w:pPr>
        <w:numPr>
          <w:ilvl w:val="0"/>
          <w:numId w:val="9"/>
        </w:numPr>
        <w:tabs>
          <w:tab w:val="left" w:pos="360"/>
        </w:tabs>
        <w:spacing w:after="120"/>
        <w:rPr>
          <w:rFonts w:ascii="Palatino" w:hAnsi="Palatino"/>
          <w:sz w:val="24"/>
        </w:rPr>
      </w:pPr>
      <w:r w:rsidRPr="00852338">
        <w:rPr>
          <w:rFonts w:ascii="Palatino" w:hAnsi="Palatino"/>
          <w:sz w:val="24"/>
        </w:rPr>
        <w:t xml:space="preserve">In </w:t>
      </w:r>
      <w:r w:rsidR="00FD2111" w:rsidRPr="00A71759">
        <w:rPr>
          <w:rFonts w:ascii="Palatino" w:hAnsi="Palatino"/>
          <w:sz w:val="24"/>
        </w:rPr>
        <w:t>D.10-02-016</w:t>
      </w:r>
      <w:r w:rsidRPr="00D8766A">
        <w:rPr>
          <w:rFonts w:ascii="Palatino" w:hAnsi="Palatino"/>
          <w:sz w:val="24"/>
        </w:rPr>
        <w:t xml:space="preserve">, </w:t>
      </w:r>
      <w:r w:rsidR="001D3B0D" w:rsidRPr="00D8766A">
        <w:rPr>
          <w:rFonts w:ascii="Palatino" w:hAnsi="Palatino"/>
          <w:sz w:val="24"/>
        </w:rPr>
        <w:t>t</w:t>
      </w:r>
      <w:r w:rsidRPr="00D8766A">
        <w:rPr>
          <w:rFonts w:ascii="Palatino" w:hAnsi="Palatino"/>
          <w:sz w:val="24"/>
        </w:rPr>
        <w:t>he Commission</w:t>
      </w:r>
      <w:r w:rsidR="00FD2111" w:rsidRPr="00D8766A">
        <w:rPr>
          <w:rFonts w:ascii="Palatino" w:hAnsi="Palatino"/>
          <w:sz w:val="24"/>
        </w:rPr>
        <w:t xml:space="preserve"> reaffirmed that the 150% differential between Small ILEC rates and California urban rates is a threshold that must be met to qualify for CHCF-A funding</w:t>
      </w:r>
      <w:r w:rsidR="00046DA4">
        <w:rPr>
          <w:rFonts w:ascii="Palatino" w:hAnsi="Palatino"/>
          <w:sz w:val="24"/>
        </w:rPr>
        <w:t xml:space="preserve"> and o</w:t>
      </w:r>
      <w:r w:rsidR="008405D6" w:rsidRPr="00852338">
        <w:rPr>
          <w:rFonts w:ascii="Palatino" w:hAnsi="Palatino"/>
          <w:sz w:val="24"/>
        </w:rPr>
        <w:t>rdered</w:t>
      </w:r>
      <w:r w:rsidRPr="00852338">
        <w:rPr>
          <w:rFonts w:ascii="Palatino" w:hAnsi="Palatino"/>
          <w:sz w:val="24"/>
        </w:rPr>
        <w:t xml:space="preserve"> that</w:t>
      </w:r>
      <w:r w:rsidR="00FD2111" w:rsidRPr="00852338">
        <w:rPr>
          <w:rFonts w:ascii="Palatino" w:hAnsi="Palatino"/>
          <w:sz w:val="24"/>
        </w:rPr>
        <w:t xml:space="preserve"> the Small </w:t>
      </w:r>
      <w:r w:rsidR="00CC4F3E" w:rsidRPr="00852338">
        <w:rPr>
          <w:rFonts w:ascii="Palatino" w:hAnsi="Palatino"/>
          <w:sz w:val="24"/>
        </w:rPr>
        <w:t>ILEC</w:t>
      </w:r>
      <w:r w:rsidR="00FD2111" w:rsidRPr="00852338">
        <w:rPr>
          <w:rFonts w:ascii="Palatino" w:hAnsi="Palatino"/>
          <w:sz w:val="24"/>
        </w:rPr>
        <w:t>s</w:t>
      </w:r>
      <w:r w:rsidR="005C3993" w:rsidRPr="00852338">
        <w:rPr>
          <w:rFonts w:ascii="Palatino" w:hAnsi="Palatino"/>
          <w:sz w:val="24"/>
        </w:rPr>
        <w:t>’</w:t>
      </w:r>
      <w:r w:rsidR="00FD2111" w:rsidRPr="00852338">
        <w:rPr>
          <w:rFonts w:ascii="Palatino" w:hAnsi="Palatino"/>
          <w:sz w:val="24"/>
        </w:rPr>
        <w:t xml:space="preserve"> </w:t>
      </w:r>
      <w:r w:rsidR="005C3993" w:rsidRPr="00852338">
        <w:rPr>
          <w:rFonts w:ascii="Palatino" w:hAnsi="Palatino"/>
          <w:sz w:val="24"/>
        </w:rPr>
        <w:t xml:space="preserve">basic service </w:t>
      </w:r>
      <w:r w:rsidR="00FD2111" w:rsidRPr="00852338">
        <w:rPr>
          <w:rFonts w:ascii="Palatino" w:hAnsi="Palatino"/>
          <w:sz w:val="24"/>
        </w:rPr>
        <w:t>rates shall be fixed at $20.25 per month and remain in effect until the Commission issue</w:t>
      </w:r>
      <w:r w:rsidR="00195D33" w:rsidRPr="00852338">
        <w:rPr>
          <w:rFonts w:ascii="Palatino" w:hAnsi="Palatino"/>
          <w:sz w:val="24"/>
        </w:rPr>
        <w:t>s</w:t>
      </w:r>
      <w:r w:rsidR="00FD2111" w:rsidRPr="00852338">
        <w:rPr>
          <w:rFonts w:ascii="Palatino" w:hAnsi="Palatino"/>
          <w:sz w:val="24"/>
        </w:rPr>
        <w:t xml:space="preserve"> a </w:t>
      </w:r>
      <w:r w:rsidRPr="00852338">
        <w:rPr>
          <w:rFonts w:ascii="Palatino" w:hAnsi="Palatino"/>
          <w:sz w:val="24"/>
        </w:rPr>
        <w:t>d</w:t>
      </w:r>
      <w:r w:rsidR="00FD2111" w:rsidRPr="00852338">
        <w:rPr>
          <w:rFonts w:ascii="Palatino" w:hAnsi="Palatino"/>
          <w:sz w:val="24"/>
        </w:rPr>
        <w:t>ecision in the CHCF-A Order Instituting Rulemaking</w:t>
      </w:r>
      <w:r w:rsidR="00046DA4">
        <w:rPr>
          <w:rFonts w:ascii="Palatino" w:hAnsi="Palatino"/>
          <w:sz w:val="24"/>
        </w:rPr>
        <w:t xml:space="preserve"> (R.11-11-007)</w:t>
      </w:r>
      <w:r w:rsidR="00FD2111" w:rsidRPr="00852338">
        <w:rPr>
          <w:rFonts w:ascii="Palatino" w:hAnsi="Palatino"/>
          <w:sz w:val="24"/>
        </w:rPr>
        <w:t>.</w:t>
      </w:r>
    </w:p>
    <w:p w:rsidR="00852338" w:rsidRDefault="00852338" w:rsidP="00F44653">
      <w:pPr>
        <w:numPr>
          <w:ilvl w:val="0"/>
          <w:numId w:val="9"/>
        </w:numPr>
        <w:tabs>
          <w:tab w:val="left" w:pos="360"/>
        </w:tabs>
        <w:spacing w:after="120"/>
        <w:rPr>
          <w:rFonts w:ascii="Palatino" w:hAnsi="Palatino"/>
          <w:sz w:val="24"/>
        </w:rPr>
      </w:pPr>
      <w:r w:rsidRPr="004F2CBB">
        <w:rPr>
          <w:rFonts w:ascii="Palatino" w:hAnsi="Palatino"/>
          <w:sz w:val="24"/>
        </w:rPr>
        <w:t>P</w:t>
      </w:r>
      <w:r>
        <w:rPr>
          <w:rFonts w:ascii="Palatino" w:hAnsi="Palatino"/>
          <w:sz w:val="24"/>
        </w:rPr>
        <w:t>.</w:t>
      </w:r>
      <w:r w:rsidRPr="004F2CBB">
        <w:rPr>
          <w:rFonts w:ascii="Palatino" w:hAnsi="Palatino"/>
          <w:sz w:val="24"/>
        </w:rPr>
        <w:t>U</w:t>
      </w:r>
      <w:r>
        <w:rPr>
          <w:rFonts w:ascii="Palatino" w:hAnsi="Palatino"/>
          <w:sz w:val="24"/>
        </w:rPr>
        <w:t>.</w:t>
      </w:r>
      <w:r w:rsidRPr="004F2CBB">
        <w:rPr>
          <w:rFonts w:ascii="Palatino" w:hAnsi="Palatino"/>
          <w:sz w:val="24"/>
        </w:rPr>
        <w:t xml:space="preserve"> Code § 275.6 was amended to extend the CHCF-A program to January 1, 2019.</w:t>
      </w:r>
    </w:p>
    <w:p w:rsidR="00FD2111" w:rsidRPr="00F44653" w:rsidRDefault="00FD2111" w:rsidP="00F44653">
      <w:pPr>
        <w:numPr>
          <w:ilvl w:val="0"/>
          <w:numId w:val="9"/>
        </w:numPr>
        <w:tabs>
          <w:tab w:val="left" w:pos="360"/>
        </w:tabs>
        <w:spacing w:after="120"/>
        <w:rPr>
          <w:rFonts w:ascii="Palatino" w:hAnsi="Palatino"/>
          <w:sz w:val="24"/>
        </w:rPr>
      </w:pPr>
      <w:r w:rsidRPr="00F44653">
        <w:rPr>
          <w:rFonts w:ascii="Palatino" w:hAnsi="Palatino"/>
          <w:sz w:val="24"/>
        </w:rPr>
        <w:t>The 1</w:t>
      </w:r>
      <w:r w:rsidR="005F4314" w:rsidRPr="00F44653">
        <w:rPr>
          <w:rFonts w:ascii="Palatino" w:hAnsi="Palatino"/>
          <w:sz w:val="24"/>
        </w:rPr>
        <w:t>3</w:t>
      </w:r>
      <w:r w:rsidRPr="00F44653">
        <w:rPr>
          <w:rFonts w:ascii="Palatino" w:hAnsi="Palatino"/>
          <w:sz w:val="24"/>
        </w:rPr>
        <w:t xml:space="preserve"> Small </w:t>
      </w:r>
      <w:r w:rsidR="00CC4F3E" w:rsidRPr="00F44653">
        <w:rPr>
          <w:rFonts w:ascii="Palatino" w:hAnsi="Palatino"/>
          <w:sz w:val="24"/>
        </w:rPr>
        <w:t>ILEC</w:t>
      </w:r>
      <w:r w:rsidRPr="00F44653">
        <w:rPr>
          <w:rFonts w:ascii="Palatino" w:hAnsi="Palatino"/>
          <w:sz w:val="24"/>
        </w:rPr>
        <w:t>s</w:t>
      </w:r>
      <w:r w:rsidR="002F3FE7">
        <w:rPr>
          <w:rFonts w:ascii="Palatino" w:hAnsi="Palatino"/>
          <w:sz w:val="24"/>
        </w:rPr>
        <w:t xml:space="preserve">’ </w:t>
      </w:r>
      <w:r w:rsidRPr="00F44653">
        <w:rPr>
          <w:rFonts w:ascii="Palatino" w:hAnsi="Palatino"/>
          <w:sz w:val="24"/>
        </w:rPr>
        <w:t xml:space="preserve">advice letter filings </w:t>
      </w:r>
      <w:r w:rsidR="002F3FE7">
        <w:rPr>
          <w:rFonts w:ascii="Palatino" w:hAnsi="Palatino"/>
          <w:sz w:val="24"/>
        </w:rPr>
        <w:t xml:space="preserve">for 2014 CHCF-A fund requests </w:t>
      </w:r>
      <w:r w:rsidRPr="00F44653">
        <w:rPr>
          <w:rFonts w:ascii="Palatino" w:hAnsi="Palatino"/>
          <w:sz w:val="24"/>
        </w:rPr>
        <w:t>appeared in the Commission’</w:t>
      </w:r>
      <w:r w:rsidR="00850AC6" w:rsidRPr="00F44653">
        <w:rPr>
          <w:rFonts w:ascii="Palatino" w:hAnsi="Palatino"/>
          <w:sz w:val="24"/>
        </w:rPr>
        <w:t xml:space="preserve">s Daily Calendar in </w:t>
      </w:r>
      <w:r w:rsidR="009736C6">
        <w:rPr>
          <w:rFonts w:ascii="Palatino" w:hAnsi="Palatino"/>
          <w:sz w:val="24"/>
        </w:rPr>
        <w:t xml:space="preserve">September and </w:t>
      </w:r>
      <w:r w:rsidR="00850AC6" w:rsidRPr="00F44653">
        <w:rPr>
          <w:rFonts w:ascii="Palatino" w:hAnsi="Palatino"/>
          <w:sz w:val="24"/>
        </w:rPr>
        <w:t>October 201</w:t>
      </w:r>
      <w:r w:rsidR="009736C6">
        <w:rPr>
          <w:rFonts w:ascii="Palatino" w:hAnsi="Palatino"/>
          <w:sz w:val="24"/>
        </w:rPr>
        <w:t>4</w:t>
      </w:r>
      <w:r w:rsidRPr="00F44653">
        <w:rPr>
          <w:rFonts w:ascii="Palatino" w:hAnsi="Palatino"/>
          <w:sz w:val="24"/>
        </w:rPr>
        <w:t>.</w:t>
      </w:r>
    </w:p>
    <w:p w:rsidR="00FD2111" w:rsidRDefault="00FD2111" w:rsidP="00F44653">
      <w:pPr>
        <w:numPr>
          <w:ilvl w:val="0"/>
          <w:numId w:val="9"/>
        </w:numPr>
        <w:tabs>
          <w:tab w:val="left" w:pos="360"/>
        </w:tabs>
        <w:spacing w:after="120"/>
        <w:rPr>
          <w:rFonts w:ascii="Palatino" w:hAnsi="Palatino"/>
          <w:sz w:val="24"/>
        </w:rPr>
      </w:pPr>
      <w:r w:rsidRPr="00F44653">
        <w:rPr>
          <w:rFonts w:ascii="Palatino" w:hAnsi="Palatino"/>
          <w:sz w:val="24"/>
        </w:rPr>
        <w:t xml:space="preserve"> On </w:t>
      </w:r>
      <w:r w:rsidR="000E6EC8">
        <w:rPr>
          <w:rFonts w:ascii="Palatino" w:hAnsi="Palatino"/>
          <w:sz w:val="24"/>
        </w:rPr>
        <w:t xml:space="preserve">September 30, and October 6, 7 and 20 of 2014, </w:t>
      </w:r>
      <w:r w:rsidR="002339C8" w:rsidRPr="00F44653">
        <w:rPr>
          <w:rFonts w:ascii="Palatino" w:hAnsi="Palatino"/>
          <w:sz w:val="24"/>
        </w:rPr>
        <w:t xml:space="preserve">Office of Ratepayer Advocates (ORA) </w:t>
      </w:r>
      <w:r w:rsidRPr="00F44653">
        <w:rPr>
          <w:rFonts w:ascii="Palatino" w:hAnsi="Palatino"/>
          <w:sz w:val="24"/>
        </w:rPr>
        <w:t xml:space="preserve">filed </w:t>
      </w:r>
      <w:r w:rsidR="002807A8">
        <w:rPr>
          <w:rFonts w:ascii="Palatino" w:hAnsi="Palatino"/>
          <w:sz w:val="24"/>
        </w:rPr>
        <w:t xml:space="preserve">protests to Calaveras Telephone Company’s (Calaveras) </w:t>
      </w:r>
      <w:r w:rsidR="00606D51" w:rsidRPr="00F44653">
        <w:rPr>
          <w:rFonts w:ascii="Palatino" w:hAnsi="Palatino"/>
          <w:sz w:val="24"/>
        </w:rPr>
        <w:t>Advice L</w:t>
      </w:r>
      <w:r w:rsidRPr="00F44653">
        <w:rPr>
          <w:rFonts w:ascii="Palatino" w:hAnsi="Palatino"/>
          <w:sz w:val="24"/>
        </w:rPr>
        <w:t>etter</w:t>
      </w:r>
      <w:r w:rsidR="002339C8" w:rsidRPr="00F44653">
        <w:rPr>
          <w:rFonts w:ascii="Palatino" w:hAnsi="Palatino"/>
          <w:sz w:val="24"/>
        </w:rPr>
        <w:t xml:space="preserve"> (AL)</w:t>
      </w:r>
      <w:r w:rsidRPr="00F44653">
        <w:rPr>
          <w:rFonts w:ascii="Palatino" w:hAnsi="Palatino"/>
          <w:sz w:val="24"/>
        </w:rPr>
        <w:t xml:space="preserve"> 3</w:t>
      </w:r>
      <w:r w:rsidR="000E6EC8">
        <w:rPr>
          <w:rFonts w:ascii="Palatino" w:hAnsi="Palatino"/>
          <w:sz w:val="24"/>
        </w:rPr>
        <w:t>45</w:t>
      </w:r>
      <w:r w:rsidRPr="00F44653">
        <w:rPr>
          <w:rFonts w:ascii="Palatino" w:hAnsi="Palatino"/>
          <w:sz w:val="24"/>
        </w:rPr>
        <w:t>, Cal-Ore</w:t>
      </w:r>
      <w:r w:rsidR="002807A8">
        <w:rPr>
          <w:rFonts w:ascii="Palatino" w:hAnsi="Palatino"/>
          <w:sz w:val="24"/>
        </w:rPr>
        <w:t xml:space="preserve"> Telephone Company’s</w:t>
      </w:r>
      <w:r w:rsidRPr="00F44653">
        <w:rPr>
          <w:rFonts w:ascii="Palatino" w:hAnsi="Palatino"/>
          <w:sz w:val="24"/>
        </w:rPr>
        <w:t xml:space="preserve"> </w:t>
      </w:r>
      <w:r w:rsidR="002807A8">
        <w:rPr>
          <w:rFonts w:ascii="Palatino" w:hAnsi="Palatino"/>
          <w:sz w:val="24"/>
        </w:rPr>
        <w:t xml:space="preserve">(Cal-Ore) </w:t>
      </w:r>
      <w:r w:rsidR="002339C8" w:rsidRPr="00F44653">
        <w:rPr>
          <w:rFonts w:ascii="Palatino" w:hAnsi="Palatino"/>
          <w:sz w:val="24"/>
        </w:rPr>
        <w:t>AL</w:t>
      </w:r>
      <w:r w:rsidRPr="00F44653">
        <w:rPr>
          <w:rFonts w:ascii="Palatino" w:hAnsi="Palatino"/>
          <w:sz w:val="24"/>
        </w:rPr>
        <w:t xml:space="preserve"> 3</w:t>
      </w:r>
      <w:r w:rsidR="000E6EC8">
        <w:rPr>
          <w:rFonts w:ascii="Palatino" w:hAnsi="Palatino"/>
          <w:sz w:val="24"/>
        </w:rPr>
        <w:t>60</w:t>
      </w:r>
      <w:r w:rsidRPr="00F44653">
        <w:rPr>
          <w:rFonts w:ascii="Palatino" w:hAnsi="Palatino"/>
          <w:sz w:val="24"/>
        </w:rPr>
        <w:t>, Ducor</w:t>
      </w:r>
      <w:r w:rsidR="002807A8">
        <w:rPr>
          <w:rFonts w:ascii="Palatino" w:hAnsi="Palatino"/>
          <w:sz w:val="24"/>
        </w:rPr>
        <w:t xml:space="preserve"> Telephone Company</w:t>
      </w:r>
      <w:r w:rsidRPr="00F44653">
        <w:rPr>
          <w:rFonts w:ascii="Palatino" w:hAnsi="Palatino"/>
          <w:sz w:val="24"/>
        </w:rPr>
        <w:t xml:space="preserve">’s </w:t>
      </w:r>
      <w:r w:rsidR="002807A8">
        <w:rPr>
          <w:rFonts w:ascii="Palatino" w:hAnsi="Palatino"/>
          <w:sz w:val="24"/>
        </w:rPr>
        <w:t xml:space="preserve"> (Ducor) </w:t>
      </w:r>
      <w:r w:rsidR="00606D51" w:rsidRPr="00F44653">
        <w:rPr>
          <w:rFonts w:ascii="Palatino" w:hAnsi="Palatino"/>
          <w:sz w:val="24"/>
        </w:rPr>
        <w:t>AL</w:t>
      </w:r>
      <w:r w:rsidRPr="00F44653">
        <w:rPr>
          <w:rFonts w:ascii="Palatino" w:hAnsi="Palatino"/>
          <w:sz w:val="24"/>
        </w:rPr>
        <w:t xml:space="preserve"> 3</w:t>
      </w:r>
      <w:r w:rsidR="002339C8" w:rsidRPr="00F44653">
        <w:rPr>
          <w:rFonts w:ascii="Palatino" w:hAnsi="Palatino"/>
          <w:sz w:val="24"/>
        </w:rPr>
        <w:t>5</w:t>
      </w:r>
      <w:r w:rsidR="000E6EC8">
        <w:rPr>
          <w:rFonts w:ascii="Palatino" w:hAnsi="Palatino"/>
          <w:sz w:val="24"/>
        </w:rPr>
        <w:t>9</w:t>
      </w:r>
      <w:r w:rsidRPr="00F44653">
        <w:rPr>
          <w:rFonts w:ascii="Palatino" w:hAnsi="Palatino"/>
          <w:sz w:val="24"/>
        </w:rPr>
        <w:t xml:space="preserve">, </w:t>
      </w:r>
      <w:r w:rsidR="000E6EC8">
        <w:rPr>
          <w:rFonts w:ascii="Palatino" w:hAnsi="Palatino"/>
          <w:sz w:val="24"/>
        </w:rPr>
        <w:t>Foresthill</w:t>
      </w:r>
      <w:r w:rsidR="002807A8">
        <w:rPr>
          <w:rFonts w:ascii="Palatino" w:hAnsi="Palatino"/>
          <w:sz w:val="24"/>
        </w:rPr>
        <w:t xml:space="preserve"> Telephone Company</w:t>
      </w:r>
      <w:r w:rsidR="000E6EC8">
        <w:rPr>
          <w:rFonts w:ascii="Palatino" w:hAnsi="Palatino"/>
          <w:sz w:val="24"/>
        </w:rPr>
        <w:t xml:space="preserve">’s </w:t>
      </w:r>
      <w:r w:rsidR="002807A8">
        <w:rPr>
          <w:rFonts w:ascii="Palatino" w:hAnsi="Palatino"/>
          <w:sz w:val="24"/>
        </w:rPr>
        <w:t xml:space="preserve">(Foresthill) </w:t>
      </w:r>
      <w:r w:rsidR="000E6EC8">
        <w:rPr>
          <w:rFonts w:ascii="Palatino" w:hAnsi="Palatino"/>
          <w:sz w:val="24"/>
        </w:rPr>
        <w:t xml:space="preserve">AL 324, </w:t>
      </w:r>
      <w:r w:rsidR="002339C8" w:rsidRPr="00F44653">
        <w:rPr>
          <w:rFonts w:ascii="Palatino" w:hAnsi="Palatino"/>
          <w:sz w:val="24"/>
        </w:rPr>
        <w:t>Kerman</w:t>
      </w:r>
      <w:r w:rsidR="002807A8">
        <w:rPr>
          <w:rFonts w:ascii="Palatino" w:hAnsi="Palatino"/>
          <w:sz w:val="24"/>
        </w:rPr>
        <w:t xml:space="preserve"> Telephone Company</w:t>
      </w:r>
      <w:r w:rsidR="002339C8" w:rsidRPr="00F44653">
        <w:rPr>
          <w:rFonts w:ascii="Palatino" w:hAnsi="Palatino"/>
          <w:sz w:val="24"/>
        </w:rPr>
        <w:t xml:space="preserve">’s </w:t>
      </w:r>
      <w:r w:rsidR="002807A8">
        <w:rPr>
          <w:rFonts w:ascii="Palatino" w:hAnsi="Palatino"/>
          <w:sz w:val="24"/>
        </w:rPr>
        <w:t xml:space="preserve">(Kerman) </w:t>
      </w:r>
      <w:r w:rsidR="002339C8" w:rsidRPr="00F44653">
        <w:rPr>
          <w:rFonts w:ascii="Palatino" w:hAnsi="Palatino"/>
          <w:sz w:val="24"/>
        </w:rPr>
        <w:t xml:space="preserve">AL </w:t>
      </w:r>
      <w:r w:rsidR="000E6EC8">
        <w:rPr>
          <w:rFonts w:ascii="Palatino" w:hAnsi="Palatino"/>
          <w:sz w:val="24"/>
        </w:rPr>
        <w:t>401</w:t>
      </w:r>
      <w:r w:rsidR="002339C8" w:rsidRPr="00F44653">
        <w:rPr>
          <w:rFonts w:ascii="Palatino" w:hAnsi="Palatino"/>
          <w:sz w:val="24"/>
        </w:rPr>
        <w:t xml:space="preserve">, </w:t>
      </w:r>
      <w:r w:rsidR="008C5A1D">
        <w:rPr>
          <w:rFonts w:ascii="Palatino" w:hAnsi="Palatino"/>
          <w:sz w:val="24"/>
        </w:rPr>
        <w:t>Pinnacles</w:t>
      </w:r>
      <w:r w:rsidR="002807A8">
        <w:rPr>
          <w:rFonts w:ascii="Palatino" w:hAnsi="Palatino"/>
          <w:sz w:val="24"/>
        </w:rPr>
        <w:t xml:space="preserve"> Telephone Company’s (Pinnacles)</w:t>
      </w:r>
      <w:r w:rsidR="008C5A1D">
        <w:rPr>
          <w:rFonts w:ascii="Palatino" w:hAnsi="Palatino"/>
          <w:sz w:val="24"/>
        </w:rPr>
        <w:t xml:space="preserve"> AL 26</w:t>
      </w:r>
      <w:r w:rsidR="000E6EC8">
        <w:rPr>
          <w:rFonts w:ascii="Palatino" w:hAnsi="Palatino"/>
          <w:sz w:val="24"/>
        </w:rPr>
        <w:t>4</w:t>
      </w:r>
      <w:r w:rsidR="008C5A1D">
        <w:rPr>
          <w:rFonts w:ascii="Palatino" w:hAnsi="Palatino"/>
          <w:sz w:val="24"/>
        </w:rPr>
        <w:t xml:space="preserve">, </w:t>
      </w:r>
      <w:r w:rsidRPr="00F44653">
        <w:rPr>
          <w:rFonts w:ascii="Palatino" w:hAnsi="Palatino"/>
          <w:sz w:val="24"/>
        </w:rPr>
        <w:t>Ponderosa</w:t>
      </w:r>
      <w:r w:rsidR="002807A8">
        <w:rPr>
          <w:rFonts w:ascii="Palatino" w:hAnsi="Palatino"/>
          <w:sz w:val="24"/>
        </w:rPr>
        <w:t xml:space="preserve"> Telephone Company</w:t>
      </w:r>
      <w:r w:rsidRPr="00F44653">
        <w:rPr>
          <w:rFonts w:ascii="Palatino" w:hAnsi="Palatino"/>
          <w:sz w:val="24"/>
        </w:rPr>
        <w:t>’s</w:t>
      </w:r>
      <w:r w:rsidR="002807A8">
        <w:rPr>
          <w:rFonts w:ascii="Palatino" w:hAnsi="Palatino"/>
          <w:sz w:val="24"/>
        </w:rPr>
        <w:t xml:space="preserve"> (Ponderosa)</w:t>
      </w:r>
      <w:r w:rsidRPr="00F44653">
        <w:rPr>
          <w:rFonts w:ascii="Palatino" w:hAnsi="Palatino"/>
          <w:sz w:val="24"/>
        </w:rPr>
        <w:t xml:space="preserve"> </w:t>
      </w:r>
      <w:r w:rsidR="005A1731" w:rsidRPr="00F44653">
        <w:rPr>
          <w:rFonts w:ascii="Palatino" w:hAnsi="Palatino"/>
          <w:sz w:val="24"/>
        </w:rPr>
        <w:t>AL</w:t>
      </w:r>
      <w:r w:rsidRPr="00F44653">
        <w:rPr>
          <w:rFonts w:ascii="Palatino" w:hAnsi="Palatino"/>
          <w:sz w:val="24"/>
        </w:rPr>
        <w:t xml:space="preserve"> 4</w:t>
      </w:r>
      <w:r w:rsidR="005A1731" w:rsidRPr="00F44653">
        <w:rPr>
          <w:rFonts w:ascii="Palatino" w:hAnsi="Palatino"/>
          <w:sz w:val="24"/>
        </w:rPr>
        <w:t>3</w:t>
      </w:r>
      <w:r w:rsidR="000E6EC8">
        <w:rPr>
          <w:rFonts w:ascii="Palatino" w:hAnsi="Palatino"/>
          <w:sz w:val="24"/>
        </w:rPr>
        <w:t>9</w:t>
      </w:r>
      <w:r w:rsidRPr="00F44653">
        <w:rPr>
          <w:rFonts w:ascii="Palatino" w:hAnsi="Palatino"/>
          <w:sz w:val="24"/>
        </w:rPr>
        <w:t>, Sierra</w:t>
      </w:r>
      <w:r w:rsidR="002807A8">
        <w:rPr>
          <w:rFonts w:ascii="Palatino" w:hAnsi="Palatino"/>
          <w:sz w:val="24"/>
        </w:rPr>
        <w:t xml:space="preserve"> Telephone Company</w:t>
      </w:r>
      <w:r w:rsidRPr="00F44653">
        <w:rPr>
          <w:rFonts w:ascii="Palatino" w:hAnsi="Palatino"/>
          <w:sz w:val="24"/>
        </w:rPr>
        <w:t xml:space="preserve">’s </w:t>
      </w:r>
      <w:r w:rsidR="002807A8">
        <w:rPr>
          <w:rFonts w:ascii="Palatino" w:hAnsi="Palatino"/>
          <w:sz w:val="24"/>
        </w:rPr>
        <w:t xml:space="preserve">(Sierra) </w:t>
      </w:r>
      <w:r w:rsidR="005A1731" w:rsidRPr="00F44653">
        <w:rPr>
          <w:rFonts w:ascii="Palatino" w:hAnsi="Palatino"/>
          <w:sz w:val="24"/>
        </w:rPr>
        <w:t>AL</w:t>
      </w:r>
      <w:r w:rsidRPr="00F44653">
        <w:rPr>
          <w:rFonts w:ascii="Palatino" w:hAnsi="Palatino"/>
          <w:sz w:val="24"/>
        </w:rPr>
        <w:t xml:space="preserve"> 4</w:t>
      </w:r>
      <w:r w:rsidR="005A1731" w:rsidRPr="00F44653">
        <w:rPr>
          <w:rFonts w:ascii="Palatino" w:hAnsi="Palatino"/>
          <w:sz w:val="24"/>
        </w:rPr>
        <w:t>2</w:t>
      </w:r>
      <w:r w:rsidR="000E6EC8">
        <w:rPr>
          <w:rFonts w:ascii="Palatino" w:hAnsi="Palatino"/>
          <w:sz w:val="24"/>
        </w:rPr>
        <w:t xml:space="preserve">9, </w:t>
      </w:r>
      <w:r w:rsidRPr="00F44653">
        <w:rPr>
          <w:rFonts w:ascii="Palatino" w:hAnsi="Palatino"/>
          <w:sz w:val="24"/>
        </w:rPr>
        <w:t>Siskiyou</w:t>
      </w:r>
      <w:r w:rsidR="002807A8">
        <w:rPr>
          <w:rFonts w:ascii="Palatino" w:hAnsi="Palatino"/>
          <w:sz w:val="24"/>
        </w:rPr>
        <w:t xml:space="preserve"> Telephone Company</w:t>
      </w:r>
      <w:r w:rsidRPr="00F44653">
        <w:rPr>
          <w:rFonts w:ascii="Palatino" w:hAnsi="Palatino"/>
          <w:sz w:val="24"/>
        </w:rPr>
        <w:t xml:space="preserve">’s </w:t>
      </w:r>
      <w:r w:rsidR="002807A8">
        <w:rPr>
          <w:rFonts w:ascii="Palatino" w:hAnsi="Palatino"/>
          <w:sz w:val="24"/>
        </w:rPr>
        <w:t xml:space="preserve">(Siskiyou) </w:t>
      </w:r>
      <w:r w:rsidR="00606D51" w:rsidRPr="00F44653">
        <w:rPr>
          <w:rFonts w:ascii="Palatino" w:hAnsi="Palatino"/>
          <w:sz w:val="24"/>
        </w:rPr>
        <w:t>A</w:t>
      </w:r>
      <w:r w:rsidR="005A1731" w:rsidRPr="00F44653">
        <w:rPr>
          <w:rFonts w:ascii="Palatino" w:hAnsi="Palatino"/>
          <w:sz w:val="24"/>
        </w:rPr>
        <w:t>L 39</w:t>
      </w:r>
      <w:r w:rsidR="000E6EC8">
        <w:rPr>
          <w:rFonts w:ascii="Palatino" w:hAnsi="Palatino"/>
          <w:sz w:val="24"/>
        </w:rPr>
        <w:t>4 and Volcano</w:t>
      </w:r>
      <w:r w:rsidR="002807A8">
        <w:rPr>
          <w:rFonts w:ascii="Palatino" w:hAnsi="Palatino"/>
          <w:sz w:val="24"/>
        </w:rPr>
        <w:t xml:space="preserve"> Telephone Company</w:t>
      </w:r>
      <w:r w:rsidR="000E6EC8">
        <w:rPr>
          <w:rFonts w:ascii="Palatino" w:hAnsi="Palatino"/>
          <w:sz w:val="24"/>
        </w:rPr>
        <w:t>’s</w:t>
      </w:r>
      <w:r w:rsidR="002807A8">
        <w:rPr>
          <w:rFonts w:ascii="Palatino" w:hAnsi="Palatino"/>
          <w:sz w:val="24"/>
        </w:rPr>
        <w:t xml:space="preserve"> (Volcano)</w:t>
      </w:r>
      <w:r w:rsidR="000E6EC8">
        <w:rPr>
          <w:rFonts w:ascii="Palatino" w:hAnsi="Palatino"/>
          <w:sz w:val="24"/>
        </w:rPr>
        <w:t xml:space="preserve"> AL 384</w:t>
      </w:r>
      <w:r w:rsidRPr="00F44653">
        <w:rPr>
          <w:rFonts w:ascii="Palatino" w:hAnsi="Palatino"/>
          <w:sz w:val="24"/>
        </w:rPr>
        <w:t>.</w:t>
      </w:r>
    </w:p>
    <w:p w:rsidR="008C5A1D" w:rsidRDefault="008C5A1D" w:rsidP="00F44653">
      <w:pPr>
        <w:numPr>
          <w:ilvl w:val="0"/>
          <w:numId w:val="9"/>
        </w:numPr>
        <w:tabs>
          <w:tab w:val="left" w:pos="360"/>
        </w:tabs>
        <w:spacing w:after="120"/>
        <w:rPr>
          <w:rFonts w:ascii="Palatino" w:hAnsi="Palatino"/>
          <w:sz w:val="24"/>
        </w:rPr>
      </w:pPr>
      <w:r>
        <w:rPr>
          <w:rFonts w:ascii="Palatino" w:hAnsi="Palatino"/>
          <w:sz w:val="24"/>
        </w:rPr>
        <w:t xml:space="preserve">On </w:t>
      </w:r>
      <w:r w:rsidR="008C6873">
        <w:rPr>
          <w:rFonts w:ascii="Palatino" w:hAnsi="Palatino"/>
          <w:sz w:val="24"/>
        </w:rPr>
        <w:t>October 17</w:t>
      </w:r>
      <w:r w:rsidR="00852338">
        <w:rPr>
          <w:rFonts w:ascii="Palatino" w:hAnsi="Palatino"/>
          <w:sz w:val="24"/>
        </w:rPr>
        <w:t xml:space="preserve"> and 27</w:t>
      </w:r>
      <w:r w:rsidR="008C6873">
        <w:rPr>
          <w:rFonts w:ascii="Palatino" w:hAnsi="Palatino"/>
          <w:sz w:val="24"/>
        </w:rPr>
        <w:t>, 2014</w:t>
      </w:r>
      <w:r>
        <w:rPr>
          <w:rFonts w:ascii="Palatino" w:hAnsi="Palatino"/>
          <w:sz w:val="24"/>
        </w:rPr>
        <w:t xml:space="preserve">, the Small ILECs filed reply </w:t>
      </w:r>
      <w:r w:rsidR="00194E46">
        <w:rPr>
          <w:rFonts w:ascii="Palatino" w:hAnsi="Palatino"/>
          <w:sz w:val="24"/>
        </w:rPr>
        <w:t xml:space="preserve">comments </w:t>
      </w:r>
      <w:r>
        <w:rPr>
          <w:rFonts w:ascii="Palatino" w:hAnsi="Palatino"/>
          <w:sz w:val="24"/>
        </w:rPr>
        <w:t>to the ORA protest</w:t>
      </w:r>
      <w:r w:rsidR="0028312D">
        <w:rPr>
          <w:rFonts w:ascii="Palatino" w:hAnsi="Palatino"/>
          <w:sz w:val="24"/>
        </w:rPr>
        <w:t>s</w:t>
      </w:r>
      <w:r>
        <w:rPr>
          <w:rFonts w:ascii="Palatino" w:hAnsi="Palatino"/>
          <w:sz w:val="24"/>
        </w:rPr>
        <w:t>.</w:t>
      </w:r>
    </w:p>
    <w:p w:rsidR="00A71759" w:rsidRDefault="00A71759" w:rsidP="002D77FA">
      <w:pPr>
        <w:numPr>
          <w:ilvl w:val="0"/>
          <w:numId w:val="9"/>
        </w:numPr>
        <w:tabs>
          <w:tab w:val="left" w:pos="360"/>
        </w:tabs>
        <w:spacing w:after="120"/>
        <w:rPr>
          <w:rFonts w:ascii="Palatino" w:hAnsi="Palatino"/>
          <w:sz w:val="24"/>
        </w:rPr>
      </w:pPr>
      <w:r>
        <w:rPr>
          <w:rFonts w:ascii="Palatino" w:hAnsi="Palatino"/>
          <w:sz w:val="24"/>
        </w:rPr>
        <w:t>The</w:t>
      </w:r>
      <w:r w:rsidRPr="000B79A7">
        <w:rPr>
          <w:rFonts w:ascii="Palatino" w:hAnsi="Palatino"/>
          <w:sz w:val="24"/>
        </w:rPr>
        <w:t xml:space="preserve"> differential between the </w:t>
      </w:r>
      <w:r w:rsidR="002F3FE7">
        <w:rPr>
          <w:rFonts w:ascii="Palatino" w:hAnsi="Palatino"/>
          <w:sz w:val="24"/>
        </w:rPr>
        <w:t xml:space="preserve">Small ILECs’ </w:t>
      </w:r>
      <w:r w:rsidRPr="000B79A7">
        <w:rPr>
          <w:rFonts w:ascii="Palatino" w:hAnsi="Palatino"/>
          <w:sz w:val="24"/>
        </w:rPr>
        <w:t>cumulative request of $3</w:t>
      </w:r>
      <w:r>
        <w:rPr>
          <w:rFonts w:ascii="Palatino" w:hAnsi="Palatino"/>
          <w:sz w:val="24"/>
        </w:rPr>
        <w:t>3.143</w:t>
      </w:r>
      <w:r w:rsidRPr="000B79A7">
        <w:rPr>
          <w:rFonts w:ascii="Palatino" w:hAnsi="Palatino"/>
          <w:sz w:val="24"/>
        </w:rPr>
        <w:t xml:space="preserve"> million and </w:t>
      </w:r>
      <w:r w:rsidR="002F3FE7">
        <w:rPr>
          <w:rFonts w:ascii="Palatino" w:hAnsi="Palatino"/>
          <w:sz w:val="24"/>
        </w:rPr>
        <w:t xml:space="preserve">Communications Division’s (CD) </w:t>
      </w:r>
      <w:r>
        <w:rPr>
          <w:rFonts w:ascii="Palatino" w:hAnsi="Palatino"/>
          <w:sz w:val="24"/>
        </w:rPr>
        <w:t>recommended</w:t>
      </w:r>
      <w:r w:rsidRPr="000B79A7">
        <w:rPr>
          <w:rFonts w:ascii="Palatino" w:hAnsi="Palatino"/>
          <w:sz w:val="24"/>
        </w:rPr>
        <w:t xml:space="preserve"> CHCF-A support of $</w:t>
      </w:r>
      <w:r>
        <w:rPr>
          <w:rFonts w:ascii="Palatino" w:hAnsi="Palatino"/>
          <w:sz w:val="24"/>
        </w:rPr>
        <w:t>32.995</w:t>
      </w:r>
      <w:r w:rsidRPr="000B79A7">
        <w:rPr>
          <w:rFonts w:ascii="Palatino" w:hAnsi="Palatino"/>
          <w:sz w:val="24"/>
        </w:rPr>
        <w:t xml:space="preserve"> million is attributed to updated estimates of the Net Interstate Expense Adjustment</w:t>
      </w:r>
      <w:r w:rsidR="00292892">
        <w:rPr>
          <w:rFonts w:ascii="Palatino" w:hAnsi="Palatino"/>
          <w:sz w:val="24"/>
        </w:rPr>
        <w:t>,</w:t>
      </w:r>
      <w:r w:rsidRPr="000B79A7">
        <w:rPr>
          <w:rFonts w:ascii="Palatino" w:hAnsi="Palatino"/>
          <w:sz w:val="24"/>
        </w:rPr>
        <w:t xml:space="preserve"> provided by the N</w:t>
      </w:r>
      <w:r w:rsidR="00B87821">
        <w:rPr>
          <w:rFonts w:ascii="Palatino" w:hAnsi="Palatino"/>
          <w:sz w:val="24"/>
        </w:rPr>
        <w:t xml:space="preserve">ational </w:t>
      </w:r>
      <w:r w:rsidRPr="000B79A7">
        <w:rPr>
          <w:rFonts w:ascii="Palatino" w:hAnsi="Palatino"/>
          <w:sz w:val="24"/>
        </w:rPr>
        <w:t>E</w:t>
      </w:r>
      <w:r w:rsidR="00B87821">
        <w:rPr>
          <w:rFonts w:ascii="Palatino" w:hAnsi="Palatino"/>
          <w:sz w:val="24"/>
        </w:rPr>
        <w:t xml:space="preserve">xchange </w:t>
      </w:r>
      <w:r w:rsidRPr="000B79A7">
        <w:rPr>
          <w:rFonts w:ascii="Palatino" w:hAnsi="Palatino"/>
          <w:sz w:val="24"/>
        </w:rPr>
        <w:t>C</w:t>
      </w:r>
      <w:r w:rsidR="00B87821">
        <w:rPr>
          <w:rFonts w:ascii="Palatino" w:hAnsi="Palatino"/>
          <w:sz w:val="24"/>
        </w:rPr>
        <w:t xml:space="preserve">arrier </w:t>
      </w:r>
      <w:r w:rsidRPr="000B79A7">
        <w:rPr>
          <w:rFonts w:ascii="Palatino" w:hAnsi="Palatino"/>
          <w:sz w:val="24"/>
        </w:rPr>
        <w:t>A</w:t>
      </w:r>
      <w:r w:rsidR="00B87821">
        <w:rPr>
          <w:rFonts w:ascii="Palatino" w:hAnsi="Palatino"/>
          <w:sz w:val="24"/>
        </w:rPr>
        <w:t>ssociation (NECA)</w:t>
      </w:r>
      <w:r w:rsidR="00292892">
        <w:rPr>
          <w:rFonts w:ascii="Palatino" w:hAnsi="Palatino"/>
          <w:sz w:val="24"/>
        </w:rPr>
        <w:t>,</w:t>
      </w:r>
      <w:r>
        <w:rPr>
          <w:rFonts w:ascii="Palatino" w:hAnsi="Palatino"/>
          <w:sz w:val="24"/>
        </w:rPr>
        <w:t xml:space="preserve"> and other adjustments by the </w:t>
      </w:r>
      <w:r w:rsidR="00B87821">
        <w:rPr>
          <w:rFonts w:ascii="Palatino" w:hAnsi="Palatino"/>
          <w:sz w:val="24"/>
        </w:rPr>
        <w:t>Federal Communications Commission (</w:t>
      </w:r>
      <w:r>
        <w:rPr>
          <w:rFonts w:ascii="Palatino" w:hAnsi="Palatino"/>
          <w:sz w:val="24"/>
        </w:rPr>
        <w:t>FCC</w:t>
      </w:r>
      <w:r w:rsidR="00B87821">
        <w:rPr>
          <w:rFonts w:ascii="Palatino" w:hAnsi="Palatino"/>
          <w:sz w:val="24"/>
        </w:rPr>
        <w:t>)</w:t>
      </w:r>
      <w:r>
        <w:rPr>
          <w:rFonts w:ascii="Palatino" w:hAnsi="Palatino"/>
          <w:sz w:val="24"/>
        </w:rPr>
        <w:t xml:space="preserve"> </w:t>
      </w:r>
      <w:r w:rsidR="00B87821">
        <w:rPr>
          <w:rFonts w:ascii="Palatino" w:hAnsi="Palatino"/>
          <w:sz w:val="24"/>
        </w:rPr>
        <w:t>and</w:t>
      </w:r>
      <w:r>
        <w:rPr>
          <w:rFonts w:ascii="Palatino" w:hAnsi="Palatino"/>
          <w:sz w:val="24"/>
        </w:rPr>
        <w:t xml:space="preserve"> the Commission</w:t>
      </w:r>
      <w:r w:rsidRPr="000B79A7">
        <w:rPr>
          <w:rFonts w:ascii="Palatino" w:hAnsi="Palatino"/>
          <w:sz w:val="24"/>
        </w:rPr>
        <w:t>.</w:t>
      </w:r>
    </w:p>
    <w:p w:rsidR="00195D33" w:rsidRDefault="00C60493" w:rsidP="002D77FA">
      <w:pPr>
        <w:numPr>
          <w:ilvl w:val="0"/>
          <w:numId w:val="9"/>
        </w:numPr>
        <w:tabs>
          <w:tab w:val="left" w:pos="360"/>
        </w:tabs>
        <w:spacing w:after="120"/>
        <w:rPr>
          <w:rFonts w:ascii="Palatino" w:hAnsi="Palatino"/>
          <w:sz w:val="24"/>
        </w:rPr>
      </w:pPr>
      <w:r w:rsidRPr="002D77FA">
        <w:rPr>
          <w:rFonts w:ascii="Palatino" w:hAnsi="Palatino"/>
          <w:sz w:val="24"/>
        </w:rPr>
        <w:t>The Small ILEC</w:t>
      </w:r>
      <w:r w:rsidR="003A01F1">
        <w:rPr>
          <w:rFonts w:ascii="Palatino" w:hAnsi="Palatino"/>
          <w:sz w:val="24"/>
        </w:rPr>
        <w:t>s</w:t>
      </w:r>
      <w:r w:rsidRPr="002D77FA">
        <w:rPr>
          <w:rFonts w:ascii="Palatino" w:hAnsi="Palatino"/>
          <w:sz w:val="24"/>
        </w:rPr>
        <w:t xml:space="preserve"> </w:t>
      </w:r>
      <w:r w:rsidR="002D77FA" w:rsidRPr="002D77FA">
        <w:rPr>
          <w:rFonts w:ascii="Palatino" w:hAnsi="Palatino"/>
          <w:sz w:val="24"/>
        </w:rPr>
        <w:t xml:space="preserve">provide </w:t>
      </w:r>
      <w:r w:rsidR="0059723C" w:rsidRPr="00C03520">
        <w:rPr>
          <w:rFonts w:ascii="Palatino" w:hAnsi="Palatino"/>
          <w:sz w:val="24"/>
        </w:rPr>
        <w:t>detailed</w:t>
      </w:r>
      <w:r w:rsidR="002D77FA" w:rsidRPr="00D67242">
        <w:rPr>
          <w:rFonts w:ascii="Palatino" w:hAnsi="Palatino"/>
          <w:sz w:val="24"/>
        </w:rPr>
        <w:t xml:space="preserve"> adjustments and support </w:t>
      </w:r>
      <w:r w:rsidRPr="00D67242">
        <w:rPr>
          <w:rFonts w:ascii="Palatino" w:hAnsi="Palatino"/>
          <w:sz w:val="24"/>
        </w:rPr>
        <w:t>calculations</w:t>
      </w:r>
      <w:r w:rsidR="00FD3025">
        <w:rPr>
          <w:rFonts w:ascii="Palatino" w:hAnsi="Palatino"/>
          <w:sz w:val="24"/>
        </w:rPr>
        <w:t xml:space="preserve"> along with</w:t>
      </w:r>
      <w:r w:rsidR="00B87821">
        <w:rPr>
          <w:rFonts w:ascii="Palatino" w:hAnsi="Palatino"/>
          <w:sz w:val="24"/>
        </w:rPr>
        <w:t xml:space="preserve"> </w:t>
      </w:r>
      <w:r w:rsidR="00195D33" w:rsidRPr="00D67242">
        <w:rPr>
          <w:rFonts w:ascii="Palatino" w:hAnsi="Palatino"/>
          <w:sz w:val="24"/>
        </w:rPr>
        <w:t xml:space="preserve">source numbers from </w:t>
      </w:r>
      <w:r w:rsidR="00195D33" w:rsidRPr="00181BB7">
        <w:rPr>
          <w:rFonts w:ascii="Palatino" w:hAnsi="Palatino"/>
          <w:sz w:val="24"/>
        </w:rPr>
        <w:t>NECA and FCC</w:t>
      </w:r>
      <w:r w:rsidRPr="00D67242">
        <w:rPr>
          <w:rFonts w:ascii="Palatino" w:hAnsi="Palatino"/>
          <w:sz w:val="24"/>
        </w:rPr>
        <w:t xml:space="preserve"> to CD and ORA concurrently</w:t>
      </w:r>
      <w:r w:rsidR="00FD3025">
        <w:rPr>
          <w:rFonts w:ascii="Palatino" w:hAnsi="Palatino"/>
          <w:sz w:val="24"/>
        </w:rPr>
        <w:t>,</w:t>
      </w:r>
      <w:r w:rsidRPr="00D67242">
        <w:rPr>
          <w:rFonts w:ascii="Palatino" w:hAnsi="Palatino"/>
          <w:sz w:val="24"/>
        </w:rPr>
        <w:t xml:space="preserve"> </w:t>
      </w:r>
      <w:r w:rsidR="00FD3025">
        <w:rPr>
          <w:rFonts w:ascii="Palatino" w:hAnsi="Palatino"/>
          <w:sz w:val="24"/>
        </w:rPr>
        <w:t xml:space="preserve">for the </w:t>
      </w:r>
      <w:r w:rsidR="0013037B">
        <w:rPr>
          <w:rFonts w:ascii="Palatino" w:hAnsi="Palatino"/>
          <w:sz w:val="24"/>
        </w:rPr>
        <w:t>a</w:t>
      </w:r>
      <w:r w:rsidR="003229B0">
        <w:rPr>
          <w:rFonts w:ascii="Palatino" w:hAnsi="Palatino"/>
          <w:sz w:val="24"/>
        </w:rPr>
        <w:t xml:space="preserve">dvice </w:t>
      </w:r>
      <w:r w:rsidR="0013037B">
        <w:rPr>
          <w:rFonts w:ascii="Palatino" w:hAnsi="Palatino"/>
          <w:sz w:val="24"/>
        </w:rPr>
        <w:t>l</w:t>
      </w:r>
      <w:r w:rsidR="003229B0">
        <w:rPr>
          <w:rFonts w:ascii="Palatino" w:hAnsi="Palatino"/>
          <w:sz w:val="24"/>
        </w:rPr>
        <w:t>etter</w:t>
      </w:r>
      <w:r w:rsidRPr="00D67242">
        <w:rPr>
          <w:rFonts w:ascii="Palatino" w:hAnsi="Palatino"/>
          <w:sz w:val="24"/>
        </w:rPr>
        <w:t xml:space="preserve"> </w:t>
      </w:r>
      <w:r w:rsidR="00FD3025">
        <w:rPr>
          <w:rFonts w:ascii="Palatino" w:hAnsi="Palatino"/>
          <w:sz w:val="24"/>
        </w:rPr>
        <w:t>review process</w:t>
      </w:r>
      <w:r w:rsidRPr="00D67242">
        <w:rPr>
          <w:rFonts w:ascii="Palatino" w:hAnsi="Palatino"/>
          <w:sz w:val="24"/>
        </w:rPr>
        <w:t>.</w:t>
      </w:r>
      <w:r w:rsidRPr="00181BB7">
        <w:rPr>
          <w:rFonts w:ascii="Palatino" w:hAnsi="Palatino"/>
          <w:sz w:val="24"/>
        </w:rPr>
        <w:t xml:space="preserve"> </w:t>
      </w:r>
    </w:p>
    <w:p w:rsidR="007B6B9F" w:rsidRPr="00646CD7" w:rsidRDefault="00C64E19" w:rsidP="00646CD7">
      <w:pPr>
        <w:numPr>
          <w:ilvl w:val="0"/>
          <w:numId w:val="9"/>
        </w:numPr>
        <w:tabs>
          <w:tab w:val="left" w:pos="360"/>
        </w:tabs>
        <w:spacing w:after="120"/>
        <w:rPr>
          <w:bCs/>
          <w:sz w:val="24"/>
          <w:szCs w:val="24"/>
        </w:rPr>
      </w:pPr>
      <w:r>
        <w:rPr>
          <w:rFonts w:ascii="Palatino" w:hAnsi="Palatino"/>
          <w:sz w:val="24"/>
        </w:rPr>
        <w:t>CD</w:t>
      </w:r>
      <w:r w:rsidR="00FD2111" w:rsidRPr="002D77FA">
        <w:rPr>
          <w:rFonts w:ascii="Palatino" w:hAnsi="Palatino"/>
          <w:sz w:val="24"/>
        </w:rPr>
        <w:t xml:space="preserve"> reviewed the filings made by the 1</w:t>
      </w:r>
      <w:r w:rsidR="00D302F3" w:rsidRPr="002D77FA">
        <w:rPr>
          <w:rFonts w:ascii="Palatino" w:hAnsi="Palatino"/>
          <w:sz w:val="24"/>
        </w:rPr>
        <w:t>3</w:t>
      </w:r>
      <w:r w:rsidR="00FD2111" w:rsidRPr="00C03520">
        <w:rPr>
          <w:rFonts w:ascii="Palatino" w:hAnsi="Palatino"/>
          <w:sz w:val="24"/>
        </w:rPr>
        <w:t xml:space="preserve"> Small </w:t>
      </w:r>
      <w:r w:rsidR="00CC4F3E" w:rsidRPr="00C03520">
        <w:rPr>
          <w:rFonts w:ascii="Palatino" w:hAnsi="Palatino"/>
          <w:sz w:val="24"/>
        </w:rPr>
        <w:t>ILEC</w:t>
      </w:r>
      <w:r w:rsidR="00FD2111" w:rsidRPr="00C03520">
        <w:rPr>
          <w:rFonts w:ascii="Palatino" w:hAnsi="Palatino"/>
          <w:sz w:val="24"/>
        </w:rPr>
        <w:t>s in connection with the 201</w:t>
      </w:r>
      <w:r w:rsidR="00A9645B">
        <w:rPr>
          <w:rFonts w:ascii="Palatino" w:hAnsi="Palatino"/>
          <w:sz w:val="24"/>
        </w:rPr>
        <w:t>5</w:t>
      </w:r>
      <w:r w:rsidR="00FD2111" w:rsidRPr="005533CD">
        <w:rPr>
          <w:rFonts w:ascii="Palatino" w:hAnsi="Palatino"/>
          <w:sz w:val="24"/>
        </w:rPr>
        <w:t xml:space="preserve"> CHCF-A payment requirements.</w:t>
      </w:r>
    </w:p>
    <w:p w:rsidR="00FD2111" w:rsidRPr="00A71759" w:rsidRDefault="00FD2111" w:rsidP="00A71759">
      <w:pPr>
        <w:numPr>
          <w:ilvl w:val="0"/>
          <w:numId w:val="9"/>
        </w:numPr>
        <w:tabs>
          <w:tab w:val="left" w:pos="360"/>
        </w:tabs>
        <w:spacing w:after="120"/>
        <w:rPr>
          <w:rFonts w:ascii="Palatino" w:hAnsi="Palatino"/>
          <w:sz w:val="24"/>
        </w:rPr>
      </w:pPr>
      <w:r w:rsidRPr="00A71759">
        <w:rPr>
          <w:rFonts w:ascii="Palatino" w:hAnsi="Palatino"/>
          <w:sz w:val="24"/>
        </w:rPr>
        <w:t>As part of their calendar year 201</w:t>
      </w:r>
      <w:r w:rsidR="00BF7CDB" w:rsidRPr="00A71759">
        <w:rPr>
          <w:rFonts w:ascii="Palatino" w:hAnsi="Palatino"/>
          <w:sz w:val="24"/>
        </w:rPr>
        <w:t>5</w:t>
      </w:r>
      <w:r w:rsidRPr="00A71759">
        <w:rPr>
          <w:rFonts w:ascii="Palatino" w:hAnsi="Palatino"/>
          <w:sz w:val="24"/>
        </w:rPr>
        <w:t xml:space="preserve"> annual CHCF-A advice letter filings, Ducor included</w:t>
      </w:r>
      <w:r w:rsidR="00952F27" w:rsidRPr="00FD3025">
        <w:rPr>
          <w:rFonts w:ascii="Palatino" w:hAnsi="Palatino"/>
          <w:sz w:val="24"/>
        </w:rPr>
        <w:t xml:space="preserve"> a</w:t>
      </w:r>
      <w:r w:rsidRPr="00FD3025">
        <w:rPr>
          <w:rFonts w:ascii="Palatino" w:hAnsi="Palatino"/>
          <w:sz w:val="24"/>
        </w:rPr>
        <w:t xml:space="preserve"> modification to their test year 2009 General Rate Case.  </w:t>
      </w:r>
      <w:r w:rsidR="001D3B0D" w:rsidRPr="00FD3025">
        <w:rPr>
          <w:rFonts w:ascii="Palatino" w:hAnsi="Palatino"/>
          <w:sz w:val="24"/>
        </w:rPr>
        <w:t>T</w:t>
      </w:r>
      <w:r w:rsidRPr="00FD3025">
        <w:rPr>
          <w:rFonts w:ascii="Palatino" w:hAnsi="Palatino"/>
          <w:sz w:val="24"/>
        </w:rPr>
        <w:t>h</w:t>
      </w:r>
      <w:r w:rsidR="00BF7CDB" w:rsidRPr="00FD3025">
        <w:rPr>
          <w:rFonts w:ascii="Palatino" w:hAnsi="Palatino"/>
          <w:sz w:val="24"/>
        </w:rPr>
        <w:t>is</w:t>
      </w:r>
      <w:r w:rsidRPr="00FD3025">
        <w:rPr>
          <w:rFonts w:ascii="Palatino" w:hAnsi="Palatino"/>
          <w:sz w:val="24"/>
        </w:rPr>
        <w:t xml:space="preserve"> modification request </w:t>
      </w:r>
      <w:r w:rsidR="00BF7CDB" w:rsidRPr="00A71759">
        <w:rPr>
          <w:rFonts w:ascii="Palatino" w:hAnsi="Palatino"/>
          <w:sz w:val="24"/>
        </w:rPr>
        <w:t>is</w:t>
      </w:r>
      <w:r w:rsidRPr="00A71759">
        <w:rPr>
          <w:rFonts w:ascii="Palatino" w:hAnsi="Palatino"/>
          <w:sz w:val="24"/>
        </w:rPr>
        <w:t xml:space="preserve"> not addressed in th</w:t>
      </w:r>
      <w:r w:rsidR="00BF7CDB" w:rsidRPr="00A71759">
        <w:rPr>
          <w:rFonts w:ascii="Palatino" w:hAnsi="Palatino"/>
          <w:sz w:val="24"/>
        </w:rPr>
        <w:t xml:space="preserve">e Resolution because it </w:t>
      </w:r>
      <w:r w:rsidR="00B87821">
        <w:rPr>
          <w:rFonts w:ascii="Palatino" w:hAnsi="Palatino"/>
          <w:sz w:val="24"/>
        </w:rPr>
        <w:t xml:space="preserve">is being </w:t>
      </w:r>
      <w:r w:rsidR="00BF7CDB" w:rsidRPr="00A71759">
        <w:rPr>
          <w:rFonts w:ascii="Palatino" w:hAnsi="Palatino"/>
          <w:sz w:val="24"/>
        </w:rPr>
        <w:t>addressed in their</w:t>
      </w:r>
      <w:r w:rsidRPr="00A71759">
        <w:rPr>
          <w:rFonts w:ascii="Palatino" w:hAnsi="Palatino"/>
          <w:sz w:val="24"/>
        </w:rPr>
        <w:t xml:space="preserve"> </w:t>
      </w:r>
      <w:r w:rsidR="00B87821">
        <w:rPr>
          <w:rFonts w:ascii="Palatino" w:hAnsi="Palatino"/>
          <w:sz w:val="24"/>
        </w:rPr>
        <w:t xml:space="preserve">rehearing </w:t>
      </w:r>
      <w:r w:rsidRPr="00A71759">
        <w:rPr>
          <w:rFonts w:ascii="Palatino" w:hAnsi="Palatino"/>
          <w:sz w:val="24"/>
        </w:rPr>
        <w:t>proceeding.</w:t>
      </w:r>
    </w:p>
    <w:p w:rsidR="00FD2111" w:rsidRDefault="00FD2111" w:rsidP="00F44653">
      <w:pPr>
        <w:numPr>
          <w:ilvl w:val="0"/>
          <w:numId w:val="9"/>
        </w:numPr>
        <w:tabs>
          <w:tab w:val="left" w:pos="360"/>
        </w:tabs>
        <w:spacing w:after="120"/>
        <w:rPr>
          <w:rFonts w:ascii="Palatino" w:hAnsi="Palatino"/>
          <w:sz w:val="24"/>
        </w:rPr>
      </w:pPr>
      <w:r>
        <w:rPr>
          <w:rFonts w:ascii="Palatino" w:hAnsi="Palatino"/>
          <w:sz w:val="24"/>
        </w:rPr>
        <w:t>The total approved calendar year 201</w:t>
      </w:r>
      <w:r w:rsidR="00E17524">
        <w:rPr>
          <w:rFonts w:ascii="Palatino" w:hAnsi="Palatino"/>
          <w:sz w:val="24"/>
        </w:rPr>
        <w:t>5</w:t>
      </w:r>
      <w:r>
        <w:rPr>
          <w:rFonts w:ascii="Palatino" w:hAnsi="Palatino"/>
          <w:sz w:val="24"/>
        </w:rPr>
        <w:t xml:space="preserve"> CHCF-A draw for Calaveras, Cal-Ore</w:t>
      </w:r>
      <w:r w:rsidR="009F1811">
        <w:rPr>
          <w:rFonts w:ascii="Palatino" w:hAnsi="Palatino"/>
          <w:sz w:val="24"/>
        </w:rPr>
        <w:t>,</w:t>
      </w:r>
      <w:r>
        <w:rPr>
          <w:rFonts w:ascii="Palatino" w:hAnsi="Palatino"/>
          <w:sz w:val="24"/>
        </w:rPr>
        <w:t xml:space="preserve"> Ducor, Foresthill, Happy Valley Telephone Company, Hornitos Telephone Company, Kerman</w:t>
      </w:r>
      <w:r w:rsidR="009F1811">
        <w:rPr>
          <w:rFonts w:ascii="Palatino" w:hAnsi="Palatino"/>
          <w:sz w:val="24"/>
        </w:rPr>
        <w:t>,</w:t>
      </w:r>
      <w:r>
        <w:rPr>
          <w:rFonts w:ascii="Palatino" w:hAnsi="Palatino"/>
          <w:sz w:val="24"/>
        </w:rPr>
        <w:t xml:space="preserve"> Pinnacles</w:t>
      </w:r>
      <w:r w:rsidR="009F1811">
        <w:rPr>
          <w:rFonts w:ascii="Palatino" w:hAnsi="Palatino"/>
          <w:sz w:val="24"/>
        </w:rPr>
        <w:t>,</w:t>
      </w:r>
      <w:r>
        <w:rPr>
          <w:rFonts w:ascii="Palatino" w:hAnsi="Palatino"/>
          <w:sz w:val="24"/>
        </w:rPr>
        <w:t xml:space="preserve"> Ponderosa</w:t>
      </w:r>
      <w:r w:rsidR="009F1811">
        <w:rPr>
          <w:rFonts w:ascii="Palatino" w:hAnsi="Palatino"/>
          <w:sz w:val="24"/>
        </w:rPr>
        <w:t>, Si</w:t>
      </w:r>
      <w:r>
        <w:rPr>
          <w:rFonts w:ascii="Palatino" w:hAnsi="Palatino"/>
          <w:sz w:val="24"/>
        </w:rPr>
        <w:t>erra</w:t>
      </w:r>
      <w:r w:rsidR="009F1811">
        <w:rPr>
          <w:rFonts w:ascii="Palatino" w:hAnsi="Palatino"/>
          <w:sz w:val="24"/>
        </w:rPr>
        <w:t>,</w:t>
      </w:r>
      <w:r>
        <w:rPr>
          <w:rFonts w:ascii="Palatino" w:hAnsi="Palatino"/>
          <w:sz w:val="24"/>
        </w:rPr>
        <w:t xml:space="preserve"> Siskiyou</w:t>
      </w:r>
      <w:r w:rsidR="009F1811">
        <w:rPr>
          <w:rFonts w:ascii="Palatino" w:hAnsi="Palatino"/>
          <w:sz w:val="24"/>
        </w:rPr>
        <w:t>,</w:t>
      </w:r>
      <w:r>
        <w:rPr>
          <w:rFonts w:ascii="Palatino" w:hAnsi="Palatino"/>
          <w:sz w:val="24"/>
        </w:rPr>
        <w:t xml:space="preserve"> Volcano and Winterhaven Telephone Company is $</w:t>
      </w:r>
      <w:r w:rsidR="009F1811">
        <w:rPr>
          <w:rFonts w:ascii="Palatino" w:hAnsi="Palatino"/>
          <w:sz w:val="24"/>
        </w:rPr>
        <w:t>32,9</w:t>
      </w:r>
      <w:r w:rsidR="00EE7ED9">
        <w:rPr>
          <w:rFonts w:ascii="Palatino" w:hAnsi="Palatino"/>
          <w:sz w:val="24"/>
        </w:rPr>
        <w:t>95,336.85</w:t>
      </w:r>
      <w:r w:rsidR="00B56D53">
        <w:rPr>
          <w:rFonts w:ascii="Palatino" w:hAnsi="Palatino"/>
          <w:sz w:val="24"/>
        </w:rPr>
        <w:t>.</w:t>
      </w:r>
    </w:p>
    <w:p w:rsidR="001D3B0D" w:rsidRPr="00F44653" w:rsidRDefault="002106ED" w:rsidP="00F44653">
      <w:pPr>
        <w:numPr>
          <w:ilvl w:val="0"/>
          <w:numId w:val="9"/>
        </w:numPr>
        <w:tabs>
          <w:tab w:val="left" w:pos="360"/>
        </w:tabs>
        <w:spacing w:after="120"/>
        <w:rPr>
          <w:rFonts w:ascii="Palatino" w:hAnsi="Palatino"/>
          <w:sz w:val="24"/>
        </w:rPr>
      </w:pPr>
      <w:r w:rsidRPr="00F44653">
        <w:rPr>
          <w:rFonts w:ascii="Palatino" w:hAnsi="Palatino"/>
          <w:sz w:val="24"/>
        </w:rPr>
        <w:t>CD’s recommended C</w:t>
      </w:r>
      <w:r>
        <w:rPr>
          <w:rFonts w:ascii="Palatino" w:hAnsi="Palatino"/>
          <w:sz w:val="24"/>
        </w:rPr>
        <w:t>HCF-A support for each of the 13</w:t>
      </w:r>
      <w:r w:rsidRPr="00F44653">
        <w:rPr>
          <w:rFonts w:ascii="Palatino" w:hAnsi="Palatino"/>
          <w:sz w:val="24"/>
        </w:rPr>
        <w:t xml:space="preserve"> Small ILECs as summarized in Appendix A of this Resolution is reasonable and should be adopted.</w:t>
      </w:r>
      <w:r w:rsidR="00FD2111" w:rsidRPr="00F44653">
        <w:rPr>
          <w:rFonts w:ascii="Palatino" w:hAnsi="Palatino"/>
          <w:sz w:val="24"/>
        </w:rPr>
        <w:t xml:space="preserve">  </w:t>
      </w:r>
    </w:p>
    <w:p w:rsidR="002106ED" w:rsidRDefault="002106ED" w:rsidP="00F44653">
      <w:pPr>
        <w:numPr>
          <w:ilvl w:val="0"/>
          <w:numId w:val="9"/>
        </w:numPr>
        <w:tabs>
          <w:tab w:val="left" w:pos="360"/>
        </w:tabs>
        <w:spacing w:after="120"/>
        <w:rPr>
          <w:rFonts w:ascii="Palatino" w:hAnsi="Palatino"/>
          <w:sz w:val="24"/>
        </w:rPr>
      </w:pPr>
      <w:r w:rsidRPr="00F44653">
        <w:rPr>
          <w:rFonts w:ascii="Palatino" w:hAnsi="Palatino"/>
          <w:sz w:val="24"/>
        </w:rPr>
        <w:t>The monthly support payments for January 201</w:t>
      </w:r>
      <w:r>
        <w:rPr>
          <w:rFonts w:ascii="Palatino" w:hAnsi="Palatino"/>
          <w:sz w:val="24"/>
        </w:rPr>
        <w:t>5</w:t>
      </w:r>
      <w:r w:rsidRPr="00F44653">
        <w:rPr>
          <w:rFonts w:ascii="Palatino" w:hAnsi="Palatino"/>
          <w:sz w:val="24"/>
        </w:rPr>
        <w:t xml:space="preserve"> through December 201</w:t>
      </w:r>
      <w:r>
        <w:rPr>
          <w:rFonts w:ascii="Palatino" w:hAnsi="Palatino"/>
          <w:sz w:val="24"/>
        </w:rPr>
        <w:t>5</w:t>
      </w:r>
      <w:r w:rsidRPr="00F44653">
        <w:rPr>
          <w:rFonts w:ascii="Palatino" w:hAnsi="Palatino"/>
          <w:sz w:val="24"/>
        </w:rPr>
        <w:t xml:space="preserve"> </w:t>
      </w:r>
      <w:r w:rsidR="00F80FDB">
        <w:rPr>
          <w:rFonts w:ascii="Palatino" w:hAnsi="Palatino"/>
          <w:sz w:val="24"/>
        </w:rPr>
        <w:t xml:space="preserve">shall </w:t>
      </w:r>
      <w:r w:rsidRPr="00F44653">
        <w:rPr>
          <w:rFonts w:ascii="Palatino" w:hAnsi="Palatino"/>
          <w:sz w:val="24"/>
        </w:rPr>
        <w:t xml:space="preserve">be paid by CD in concert with the Administrative Services Division within 30 days after the close of each calendar month subject to the availability of </w:t>
      </w:r>
      <w:r>
        <w:rPr>
          <w:rFonts w:ascii="Palatino" w:hAnsi="Palatino"/>
          <w:sz w:val="24"/>
        </w:rPr>
        <w:t xml:space="preserve">CHCF-A </w:t>
      </w:r>
      <w:r w:rsidRPr="00F44653">
        <w:rPr>
          <w:rFonts w:ascii="Palatino" w:hAnsi="Palatino"/>
          <w:sz w:val="24"/>
        </w:rPr>
        <w:t>funds and State adoption of the budget</w:t>
      </w:r>
      <w:r w:rsidR="00F80FDB">
        <w:rPr>
          <w:rFonts w:ascii="Palatino" w:hAnsi="Palatino"/>
          <w:sz w:val="24"/>
        </w:rPr>
        <w:t xml:space="preserve"> of </w:t>
      </w:r>
      <w:r>
        <w:rPr>
          <w:rFonts w:ascii="Palatino" w:hAnsi="Palatino"/>
          <w:sz w:val="24"/>
        </w:rPr>
        <w:t>2015</w:t>
      </w:r>
      <w:r w:rsidRPr="00F44653">
        <w:rPr>
          <w:rFonts w:ascii="Palatino" w:hAnsi="Palatino"/>
          <w:sz w:val="24"/>
        </w:rPr>
        <w:t xml:space="preserve"> CHCF-A support.</w:t>
      </w:r>
    </w:p>
    <w:p w:rsidR="00FD2111" w:rsidRPr="00F44653" w:rsidRDefault="00FE15BE" w:rsidP="00F44653">
      <w:pPr>
        <w:numPr>
          <w:ilvl w:val="0"/>
          <w:numId w:val="9"/>
        </w:numPr>
        <w:tabs>
          <w:tab w:val="left" w:pos="360"/>
        </w:tabs>
        <w:spacing w:after="120"/>
        <w:rPr>
          <w:rFonts w:ascii="Palatino" w:hAnsi="Palatino"/>
          <w:sz w:val="24"/>
        </w:rPr>
      </w:pPr>
      <w:r>
        <w:rPr>
          <w:rFonts w:ascii="Palatino" w:hAnsi="Palatino"/>
          <w:sz w:val="24"/>
        </w:rPr>
        <w:t xml:space="preserve">If </w:t>
      </w:r>
      <w:r w:rsidR="00FD2111" w:rsidRPr="00F44653">
        <w:rPr>
          <w:rFonts w:ascii="Palatino" w:hAnsi="Palatino"/>
          <w:sz w:val="24"/>
        </w:rPr>
        <w:t xml:space="preserve">monthly support payments due </w:t>
      </w:r>
      <w:r>
        <w:rPr>
          <w:rFonts w:ascii="Palatino" w:hAnsi="Palatino"/>
          <w:sz w:val="24"/>
        </w:rPr>
        <w:t xml:space="preserve">to </w:t>
      </w:r>
      <w:r w:rsidR="00FD2111" w:rsidRPr="00F44653">
        <w:rPr>
          <w:rFonts w:ascii="Palatino" w:hAnsi="Palatino"/>
          <w:sz w:val="24"/>
        </w:rPr>
        <w:t xml:space="preserve">the Small </w:t>
      </w:r>
      <w:r w:rsidR="00CC4F3E" w:rsidRPr="00F44653">
        <w:rPr>
          <w:rFonts w:ascii="Palatino" w:hAnsi="Palatino"/>
          <w:sz w:val="24"/>
        </w:rPr>
        <w:t>ILEC</w:t>
      </w:r>
      <w:r w:rsidR="00FD2111" w:rsidRPr="00F44653">
        <w:rPr>
          <w:rFonts w:ascii="Palatino" w:hAnsi="Palatino"/>
          <w:sz w:val="24"/>
        </w:rPr>
        <w:t xml:space="preserve">s are not paid within 30 days after the close of each calendar month, CD </w:t>
      </w:r>
      <w:r w:rsidR="00181BB7">
        <w:rPr>
          <w:rFonts w:ascii="Palatino" w:hAnsi="Palatino"/>
          <w:sz w:val="24"/>
        </w:rPr>
        <w:t>should</w:t>
      </w:r>
      <w:r w:rsidR="00181BB7" w:rsidRPr="00F44653">
        <w:rPr>
          <w:rFonts w:ascii="Palatino" w:hAnsi="Palatino"/>
          <w:sz w:val="24"/>
        </w:rPr>
        <w:t xml:space="preserve"> </w:t>
      </w:r>
      <w:r w:rsidR="00FD2111" w:rsidRPr="00F44653">
        <w:rPr>
          <w:rFonts w:ascii="Palatino" w:hAnsi="Palatino"/>
          <w:sz w:val="24"/>
        </w:rPr>
        <w:t xml:space="preserve">include in those payments interest equal to the </w:t>
      </w:r>
      <w:r w:rsidR="005C3993">
        <w:rPr>
          <w:rFonts w:ascii="Palatino" w:hAnsi="Palatino"/>
          <w:sz w:val="24"/>
        </w:rPr>
        <w:t>three</w:t>
      </w:r>
      <w:r w:rsidR="00FD2111" w:rsidRPr="00F44653">
        <w:rPr>
          <w:rFonts w:ascii="Palatino" w:hAnsi="Palatino"/>
          <w:sz w:val="24"/>
        </w:rPr>
        <w:t>-month commercial paper rate.</w:t>
      </w:r>
    </w:p>
    <w:p w:rsidR="00F92332" w:rsidRDefault="00FE15BE" w:rsidP="00F44653">
      <w:pPr>
        <w:numPr>
          <w:ilvl w:val="0"/>
          <w:numId w:val="9"/>
        </w:numPr>
        <w:tabs>
          <w:tab w:val="left" w:pos="360"/>
        </w:tabs>
        <w:spacing w:after="120"/>
        <w:rPr>
          <w:rFonts w:ascii="Palatino" w:hAnsi="Palatino"/>
          <w:sz w:val="24"/>
        </w:rPr>
      </w:pPr>
      <w:r>
        <w:rPr>
          <w:bCs/>
          <w:sz w:val="24"/>
          <w:szCs w:val="24"/>
        </w:rPr>
        <w:t xml:space="preserve">CD shall revise the CHCF-A support levels for </w:t>
      </w:r>
      <w:r w:rsidR="00F92332">
        <w:rPr>
          <w:bCs/>
          <w:sz w:val="24"/>
          <w:szCs w:val="24"/>
        </w:rPr>
        <w:t>the Small ILECs</w:t>
      </w:r>
      <w:r>
        <w:rPr>
          <w:bCs/>
          <w:sz w:val="24"/>
          <w:szCs w:val="24"/>
        </w:rPr>
        <w:t xml:space="preserve"> and notify them of the revised support levels if the Commission increases their basic service rates in R.11-11-007</w:t>
      </w:r>
      <w:r w:rsidR="00F92332">
        <w:rPr>
          <w:bCs/>
          <w:sz w:val="24"/>
          <w:szCs w:val="24"/>
        </w:rPr>
        <w:t>.</w:t>
      </w:r>
    </w:p>
    <w:p w:rsidR="00606D51" w:rsidRPr="00F44653" w:rsidRDefault="00BC2EF6" w:rsidP="00F44653">
      <w:pPr>
        <w:numPr>
          <w:ilvl w:val="0"/>
          <w:numId w:val="9"/>
        </w:numPr>
        <w:tabs>
          <w:tab w:val="left" w:pos="360"/>
        </w:tabs>
        <w:spacing w:after="120"/>
        <w:rPr>
          <w:rFonts w:ascii="Palatino" w:hAnsi="Palatino"/>
          <w:sz w:val="24"/>
        </w:rPr>
      </w:pPr>
      <w:r>
        <w:rPr>
          <w:rFonts w:ascii="Palatino" w:hAnsi="Palatino"/>
          <w:sz w:val="24"/>
        </w:rPr>
        <w:t>In Resolution T- 17400</w:t>
      </w:r>
      <w:r w:rsidR="00FD2111" w:rsidRPr="00F44653">
        <w:rPr>
          <w:rFonts w:ascii="Palatino" w:hAnsi="Palatino"/>
          <w:sz w:val="24"/>
        </w:rPr>
        <w:t xml:space="preserve">, the Commission adopted </w:t>
      </w:r>
      <w:r>
        <w:rPr>
          <w:rFonts w:ascii="Palatino" w:hAnsi="Palatino"/>
          <w:sz w:val="24"/>
        </w:rPr>
        <w:t>a CHCF-A program budget of $39.548</w:t>
      </w:r>
      <w:r w:rsidR="00FD2111" w:rsidRPr="00F44653">
        <w:rPr>
          <w:rFonts w:ascii="Palatino" w:hAnsi="Palatino"/>
          <w:sz w:val="24"/>
        </w:rPr>
        <w:t xml:space="preserve"> million for Fiscal Year (FY) 201</w:t>
      </w:r>
      <w:r>
        <w:rPr>
          <w:rFonts w:ascii="Palatino" w:hAnsi="Palatino"/>
          <w:sz w:val="24"/>
        </w:rPr>
        <w:t>4-15</w:t>
      </w:r>
      <w:r w:rsidR="00FD2111" w:rsidRPr="00F44653">
        <w:rPr>
          <w:rFonts w:ascii="Palatino" w:hAnsi="Palatino"/>
          <w:sz w:val="24"/>
        </w:rPr>
        <w:t xml:space="preserve">.  </w:t>
      </w:r>
    </w:p>
    <w:p w:rsidR="00606D51" w:rsidRPr="00F44653" w:rsidRDefault="00195D33" w:rsidP="00F44653">
      <w:pPr>
        <w:numPr>
          <w:ilvl w:val="0"/>
          <w:numId w:val="9"/>
        </w:numPr>
        <w:tabs>
          <w:tab w:val="left" w:pos="360"/>
        </w:tabs>
        <w:spacing w:after="120"/>
        <w:rPr>
          <w:rFonts w:ascii="Palatino" w:hAnsi="Palatino"/>
          <w:sz w:val="24"/>
        </w:rPr>
      </w:pPr>
      <w:r>
        <w:rPr>
          <w:rFonts w:ascii="Palatino" w:hAnsi="Palatino"/>
          <w:sz w:val="24"/>
        </w:rPr>
        <w:t>In</w:t>
      </w:r>
      <w:r w:rsidR="00FD2111" w:rsidRPr="00F44653">
        <w:rPr>
          <w:rFonts w:ascii="Palatino" w:hAnsi="Palatino"/>
          <w:sz w:val="24"/>
        </w:rPr>
        <w:t xml:space="preserve"> Resolution T-17</w:t>
      </w:r>
      <w:r w:rsidR="00A53EA3">
        <w:rPr>
          <w:rFonts w:ascii="Palatino" w:hAnsi="Palatino"/>
          <w:sz w:val="24"/>
        </w:rPr>
        <w:t>447</w:t>
      </w:r>
      <w:r w:rsidR="00FD2111" w:rsidRPr="00F44653">
        <w:rPr>
          <w:rFonts w:ascii="Palatino" w:hAnsi="Palatino"/>
          <w:sz w:val="24"/>
        </w:rPr>
        <w:t xml:space="preserve">, the Commission adopted </w:t>
      </w:r>
      <w:r w:rsidR="00BC2EF6">
        <w:rPr>
          <w:rFonts w:ascii="Palatino" w:hAnsi="Palatino"/>
          <w:sz w:val="24"/>
        </w:rPr>
        <w:t xml:space="preserve">a </w:t>
      </w:r>
      <w:r>
        <w:rPr>
          <w:rFonts w:ascii="Palatino" w:hAnsi="Palatino"/>
          <w:sz w:val="24"/>
        </w:rPr>
        <w:t>CHCF-</w:t>
      </w:r>
      <w:r w:rsidR="007069D6">
        <w:rPr>
          <w:rFonts w:ascii="Palatino" w:hAnsi="Palatino"/>
          <w:sz w:val="24"/>
        </w:rPr>
        <w:t>A</w:t>
      </w:r>
      <w:r>
        <w:rPr>
          <w:rFonts w:ascii="Palatino" w:hAnsi="Palatino"/>
          <w:sz w:val="24"/>
        </w:rPr>
        <w:t xml:space="preserve"> program of </w:t>
      </w:r>
      <w:r w:rsidR="00FD2111" w:rsidRPr="00F44653">
        <w:rPr>
          <w:rFonts w:ascii="Palatino" w:hAnsi="Palatino"/>
          <w:sz w:val="24"/>
        </w:rPr>
        <w:t>budget $</w:t>
      </w:r>
      <w:r w:rsidR="00A53EA3">
        <w:rPr>
          <w:rFonts w:ascii="Palatino" w:hAnsi="Palatino"/>
          <w:sz w:val="24"/>
        </w:rPr>
        <w:t>4</w:t>
      </w:r>
      <w:r w:rsidR="008405D6">
        <w:rPr>
          <w:rFonts w:ascii="Palatino" w:hAnsi="Palatino"/>
          <w:sz w:val="24"/>
        </w:rPr>
        <w:t xml:space="preserve">3.328 </w:t>
      </w:r>
      <w:r w:rsidR="00FD2111" w:rsidRPr="00F44653">
        <w:rPr>
          <w:rFonts w:ascii="Palatino" w:hAnsi="Palatino"/>
          <w:sz w:val="24"/>
        </w:rPr>
        <w:t>million</w:t>
      </w:r>
      <w:r w:rsidR="00A53EA3">
        <w:rPr>
          <w:rFonts w:ascii="Palatino" w:hAnsi="Palatino"/>
          <w:sz w:val="24"/>
        </w:rPr>
        <w:t xml:space="preserve"> FY </w:t>
      </w:r>
      <w:r>
        <w:rPr>
          <w:rFonts w:ascii="Palatino" w:hAnsi="Palatino"/>
          <w:sz w:val="24"/>
        </w:rPr>
        <w:t>2015</w:t>
      </w:r>
      <w:r w:rsidR="00A53EA3">
        <w:rPr>
          <w:rFonts w:ascii="Palatino" w:hAnsi="Palatino"/>
          <w:sz w:val="24"/>
        </w:rPr>
        <w:t>-16</w:t>
      </w:r>
      <w:r w:rsidR="00FD2111" w:rsidRPr="00F44653">
        <w:rPr>
          <w:rFonts w:ascii="Palatino" w:hAnsi="Palatino"/>
          <w:sz w:val="24"/>
        </w:rPr>
        <w:t xml:space="preserve">. </w:t>
      </w:r>
    </w:p>
    <w:p w:rsidR="00FD2111" w:rsidRPr="00F44653" w:rsidRDefault="00606D51" w:rsidP="00F44653">
      <w:pPr>
        <w:numPr>
          <w:ilvl w:val="0"/>
          <w:numId w:val="9"/>
        </w:numPr>
        <w:tabs>
          <w:tab w:val="left" w:pos="360"/>
        </w:tabs>
        <w:spacing w:after="120"/>
        <w:rPr>
          <w:rFonts w:ascii="Palatino" w:hAnsi="Palatino"/>
          <w:sz w:val="24"/>
        </w:rPr>
      </w:pPr>
      <w:r w:rsidRPr="00F44653">
        <w:rPr>
          <w:rFonts w:ascii="Palatino" w:hAnsi="Palatino"/>
          <w:sz w:val="24"/>
        </w:rPr>
        <w:t>T</w:t>
      </w:r>
      <w:r w:rsidR="00FD2111" w:rsidRPr="00F44653">
        <w:rPr>
          <w:rFonts w:ascii="Palatino" w:hAnsi="Palatino"/>
          <w:sz w:val="24"/>
        </w:rPr>
        <w:t xml:space="preserve">here are </w:t>
      </w:r>
      <w:r w:rsidR="001358DF">
        <w:rPr>
          <w:rFonts w:ascii="Palatino" w:hAnsi="Palatino"/>
          <w:sz w:val="24"/>
        </w:rPr>
        <w:t>sufficient</w:t>
      </w:r>
      <w:r w:rsidR="00FD2111" w:rsidRPr="00F44653">
        <w:rPr>
          <w:rFonts w:ascii="Palatino" w:hAnsi="Palatino"/>
          <w:sz w:val="24"/>
        </w:rPr>
        <w:t xml:space="preserve"> funds from the FY 201</w:t>
      </w:r>
      <w:r w:rsidR="00AF696F">
        <w:rPr>
          <w:rFonts w:ascii="Palatino" w:hAnsi="Palatino"/>
          <w:sz w:val="24"/>
        </w:rPr>
        <w:t>4-15 and FY 2015-16</w:t>
      </w:r>
      <w:r w:rsidR="00FD2111" w:rsidRPr="00F44653">
        <w:rPr>
          <w:rFonts w:ascii="Palatino" w:hAnsi="Palatino"/>
          <w:sz w:val="24"/>
        </w:rPr>
        <w:t xml:space="preserve"> budgets to cover calendar year 201</w:t>
      </w:r>
      <w:r w:rsidR="00AF696F">
        <w:rPr>
          <w:rFonts w:ascii="Palatino" w:hAnsi="Palatino"/>
          <w:sz w:val="24"/>
        </w:rPr>
        <w:t>5</w:t>
      </w:r>
      <w:r w:rsidR="00FD2111" w:rsidRPr="00F44653">
        <w:rPr>
          <w:rFonts w:ascii="Palatino" w:hAnsi="Palatino"/>
          <w:sz w:val="24"/>
        </w:rPr>
        <w:t xml:space="preserve"> CHCF-A support </w:t>
      </w:r>
      <w:r w:rsidR="00195D33">
        <w:rPr>
          <w:rFonts w:ascii="Palatino" w:hAnsi="Palatino"/>
          <w:sz w:val="24"/>
        </w:rPr>
        <w:t xml:space="preserve">payments </w:t>
      </w:r>
      <w:r w:rsidR="00FD2111" w:rsidRPr="00F44653">
        <w:rPr>
          <w:rFonts w:ascii="Palatino" w:hAnsi="Palatino"/>
          <w:sz w:val="24"/>
        </w:rPr>
        <w:t xml:space="preserve">to the Small </w:t>
      </w:r>
      <w:r w:rsidR="00CC4F3E" w:rsidRPr="00F44653">
        <w:rPr>
          <w:rFonts w:ascii="Palatino" w:hAnsi="Palatino"/>
          <w:sz w:val="24"/>
        </w:rPr>
        <w:t>ILEC</w:t>
      </w:r>
      <w:r w:rsidR="00FD2111" w:rsidRPr="00F44653">
        <w:rPr>
          <w:rFonts w:ascii="Palatino" w:hAnsi="Palatino"/>
          <w:sz w:val="24"/>
        </w:rPr>
        <w:t>s.</w:t>
      </w:r>
    </w:p>
    <w:p w:rsidR="004902A8" w:rsidRPr="000A02E9" w:rsidRDefault="002D6A21" w:rsidP="002D6A21">
      <w:pPr>
        <w:numPr>
          <w:ilvl w:val="0"/>
          <w:numId w:val="9"/>
        </w:numPr>
        <w:tabs>
          <w:tab w:val="left" w:pos="360"/>
        </w:tabs>
        <w:spacing w:after="120"/>
        <w:rPr>
          <w:rFonts w:ascii="Palatino" w:hAnsi="Palatino"/>
          <w:sz w:val="24"/>
          <w:szCs w:val="24"/>
        </w:rPr>
      </w:pPr>
      <w:r w:rsidRPr="006D42D1">
        <w:rPr>
          <w:rFonts w:ascii="Palatino" w:hAnsi="Palatino"/>
          <w:bCs/>
          <w:sz w:val="24"/>
          <w:szCs w:val="24"/>
        </w:rPr>
        <w:t>P</w:t>
      </w:r>
      <w:r w:rsidR="00ED19E7">
        <w:rPr>
          <w:rFonts w:ascii="Palatino" w:hAnsi="Palatino"/>
          <w:bCs/>
          <w:sz w:val="24"/>
          <w:szCs w:val="24"/>
        </w:rPr>
        <w:t>.</w:t>
      </w:r>
      <w:r w:rsidRPr="006D42D1">
        <w:rPr>
          <w:rFonts w:ascii="Palatino" w:hAnsi="Palatino"/>
          <w:bCs/>
          <w:sz w:val="24"/>
          <w:szCs w:val="24"/>
        </w:rPr>
        <w:t>U</w:t>
      </w:r>
      <w:r w:rsidR="00ED19E7">
        <w:rPr>
          <w:rFonts w:ascii="Palatino" w:hAnsi="Palatino"/>
          <w:bCs/>
          <w:sz w:val="24"/>
          <w:szCs w:val="24"/>
        </w:rPr>
        <w:t>.</w:t>
      </w:r>
      <w:r w:rsidRPr="006D42D1">
        <w:rPr>
          <w:rFonts w:ascii="Palatino" w:hAnsi="Palatino"/>
          <w:bCs/>
          <w:sz w:val="24"/>
          <w:szCs w:val="24"/>
        </w:rPr>
        <w:t xml:space="preserve"> Code § 275.6 promotes customer access to advanced services and deployment of broadband-capable facilities in rate base, which benefits emergency response providers, educational institutions, teachers and students to have access to high speed broadband for their important uses.</w:t>
      </w:r>
    </w:p>
    <w:p w:rsidR="00C25DD6" w:rsidRPr="00AF076F" w:rsidRDefault="000A02E9" w:rsidP="00D905AB">
      <w:pPr>
        <w:numPr>
          <w:ilvl w:val="0"/>
          <w:numId w:val="9"/>
        </w:numPr>
        <w:tabs>
          <w:tab w:val="left" w:pos="360"/>
        </w:tabs>
        <w:spacing w:after="120"/>
        <w:rPr>
          <w:rFonts w:ascii="Palatino" w:hAnsi="Palatino"/>
          <w:sz w:val="24"/>
        </w:rPr>
      </w:pPr>
      <w:r w:rsidRPr="00AF076F">
        <w:rPr>
          <w:rFonts w:ascii="Palatino" w:hAnsi="Palatino"/>
          <w:bCs/>
          <w:sz w:val="24"/>
        </w:rPr>
        <w:t>Th</w:t>
      </w:r>
      <w:r w:rsidR="00AF076F" w:rsidRPr="00AF076F">
        <w:rPr>
          <w:rFonts w:ascii="Palatino" w:hAnsi="Palatino"/>
          <w:bCs/>
          <w:sz w:val="24"/>
        </w:rPr>
        <w:t xml:space="preserve">e </w:t>
      </w:r>
      <w:r w:rsidRPr="00AF076F">
        <w:rPr>
          <w:rFonts w:ascii="Palatino" w:hAnsi="Palatino"/>
          <w:bCs/>
          <w:sz w:val="24"/>
        </w:rPr>
        <w:t>CHCF-A program promote</w:t>
      </w:r>
      <w:r w:rsidR="00AF076F" w:rsidRPr="00AF076F">
        <w:rPr>
          <w:rFonts w:ascii="Palatino" w:hAnsi="Palatino"/>
          <w:bCs/>
          <w:sz w:val="24"/>
        </w:rPr>
        <w:t>s</w:t>
      </w:r>
      <w:r w:rsidRPr="00AF076F">
        <w:rPr>
          <w:rFonts w:ascii="Palatino" w:hAnsi="Palatino"/>
          <w:bCs/>
          <w:sz w:val="24"/>
        </w:rPr>
        <w:t xml:space="preserve"> universal service by subsidizing essential communications links in high cost, rural communities.</w:t>
      </w:r>
    </w:p>
    <w:p w:rsidR="006E3B27" w:rsidRDefault="006E3B27" w:rsidP="00370545">
      <w:pPr>
        <w:pStyle w:val="ListParagraph"/>
        <w:rPr>
          <w:rFonts w:ascii="Palatino" w:hAnsi="Palatino"/>
          <w:sz w:val="24"/>
        </w:rPr>
      </w:pPr>
    </w:p>
    <w:p w:rsidR="00FD2111" w:rsidRDefault="00FD2111" w:rsidP="00646CD7">
      <w:pPr>
        <w:tabs>
          <w:tab w:val="left" w:pos="360"/>
          <w:tab w:val="left" w:pos="9540"/>
        </w:tabs>
        <w:rPr>
          <w:rFonts w:ascii="Palatino" w:hAnsi="Palatino"/>
          <w:sz w:val="24"/>
          <w:szCs w:val="24"/>
        </w:rPr>
      </w:pPr>
      <w:r>
        <w:rPr>
          <w:rFonts w:ascii="Palatino" w:hAnsi="Palatino"/>
          <w:b/>
          <w:sz w:val="24"/>
          <w:szCs w:val="24"/>
        </w:rPr>
        <w:t>THEREFORE, IT IS ORDERED that:</w:t>
      </w:r>
    </w:p>
    <w:p w:rsidR="00FD2111" w:rsidRDefault="00FD2111">
      <w:pPr>
        <w:rPr>
          <w:rFonts w:ascii="Palatino" w:hAnsi="Palatino"/>
          <w:sz w:val="24"/>
        </w:rPr>
      </w:pPr>
    </w:p>
    <w:p w:rsidR="00FD2111" w:rsidRDefault="00FD2111" w:rsidP="001D3B0D">
      <w:pPr>
        <w:numPr>
          <w:ilvl w:val="0"/>
          <w:numId w:val="11"/>
        </w:numPr>
        <w:tabs>
          <w:tab w:val="left" w:pos="360"/>
          <w:tab w:val="left" w:pos="9540"/>
        </w:tabs>
        <w:spacing w:after="120"/>
        <w:rPr>
          <w:rFonts w:ascii="Palatino" w:hAnsi="Palatino"/>
          <w:sz w:val="24"/>
        </w:rPr>
      </w:pPr>
      <w:r>
        <w:rPr>
          <w:rFonts w:ascii="Palatino" w:hAnsi="Palatino"/>
          <w:sz w:val="24"/>
        </w:rPr>
        <w:t>The respective California High Cost Fund-A support for each of the 1</w:t>
      </w:r>
      <w:r w:rsidR="00B91331">
        <w:rPr>
          <w:rFonts w:ascii="Palatino" w:hAnsi="Palatino"/>
          <w:sz w:val="24"/>
        </w:rPr>
        <w:t>3</w:t>
      </w:r>
      <w:r>
        <w:rPr>
          <w:rFonts w:ascii="Palatino" w:hAnsi="Palatino"/>
          <w:sz w:val="24"/>
        </w:rPr>
        <w:t xml:space="preserve"> </w:t>
      </w:r>
      <w:r w:rsidR="001D3B0D">
        <w:rPr>
          <w:rFonts w:ascii="Palatino" w:hAnsi="Palatino"/>
          <w:sz w:val="24"/>
        </w:rPr>
        <w:t>S</w:t>
      </w:r>
      <w:r>
        <w:rPr>
          <w:rFonts w:ascii="Palatino" w:hAnsi="Palatino"/>
          <w:sz w:val="24"/>
        </w:rPr>
        <w:t xml:space="preserve">mall </w:t>
      </w:r>
      <w:bookmarkStart w:id="6" w:name="OLE_LINK9"/>
      <w:bookmarkStart w:id="7" w:name="OLE_LINK10"/>
      <w:r w:rsidR="008736D9">
        <w:rPr>
          <w:rFonts w:ascii="Palatino" w:hAnsi="Palatino"/>
          <w:sz w:val="24"/>
        </w:rPr>
        <w:t xml:space="preserve">Incumbent </w:t>
      </w:r>
      <w:r>
        <w:rPr>
          <w:rFonts w:ascii="Palatino" w:hAnsi="Palatino"/>
          <w:sz w:val="24"/>
        </w:rPr>
        <w:t>Local Exchange Carriers</w:t>
      </w:r>
      <w:bookmarkEnd w:id="6"/>
      <w:bookmarkEnd w:id="7"/>
      <w:r>
        <w:rPr>
          <w:rFonts w:ascii="Palatino" w:hAnsi="Palatino"/>
          <w:sz w:val="24"/>
        </w:rPr>
        <w:t>, as described in th</w:t>
      </w:r>
      <w:r w:rsidR="001D3B0D">
        <w:rPr>
          <w:rFonts w:ascii="Palatino" w:hAnsi="Palatino"/>
          <w:sz w:val="24"/>
        </w:rPr>
        <w:t>is Resolution</w:t>
      </w:r>
      <w:r>
        <w:rPr>
          <w:rFonts w:ascii="Palatino" w:hAnsi="Palatino"/>
          <w:sz w:val="24"/>
        </w:rPr>
        <w:t xml:space="preserve"> and summarized in Appendix A of this Resolution, is adopted.</w:t>
      </w:r>
    </w:p>
    <w:p w:rsidR="00FD2111" w:rsidRDefault="00FD2111">
      <w:pPr>
        <w:numPr>
          <w:ilvl w:val="0"/>
          <w:numId w:val="11"/>
        </w:numPr>
        <w:tabs>
          <w:tab w:val="left" w:pos="360"/>
          <w:tab w:val="left" w:pos="9540"/>
        </w:tabs>
        <w:spacing w:after="120"/>
        <w:rPr>
          <w:rFonts w:ascii="Palatino" w:hAnsi="Palatino"/>
          <w:sz w:val="24"/>
        </w:rPr>
      </w:pPr>
      <w:r>
        <w:rPr>
          <w:rFonts w:ascii="Palatino" w:hAnsi="Palatino"/>
          <w:sz w:val="24"/>
        </w:rPr>
        <w:t>The total approved California High Cost Fund-A support of $</w:t>
      </w:r>
      <w:r w:rsidR="00F970A3">
        <w:rPr>
          <w:rFonts w:ascii="Palatino" w:hAnsi="Palatino"/>
          <w:sz w:val="24"/>
        </w:rPr>
        <w:t>32.9</w:t>
      </w:r>
      <w:r w:rsidR="00DC3338">
        <w:rPr>
          <w:rFonts w:ascii="Palatino" w:hAnsi="Palatino"/>
          <w:sz w:val="24"/>
        </w:rPr>
        <w:t>95</w:t>
      </w:r>
      <w:r w:rsidR="00E735D4">
        <w:rPr>
          <w:rFonts w:ascii="Palatino" w:hAnsi="Palatino"/>
          <w:sz w:val="24"/>
        </w:rPr>
        <w:t xml:space="preserve"> million</w:t>
      </w:r>
      <w:r>
        <w:rPr>
          <w:rFonts w:ascii="Palatino" w:hAnsi="Palatino"/>
          <w:sz w:val="24"/>
        </w:rPr>
        <w:t xml:space="preserve"> </w:t>
      </w:r>
      <w:r>
        <w:rPr>
          <w:rFonts w:ascii="Palatino" w:hAnsi="Palatino"/>
          <w:color w:val="000000"/>
          <w:sz w:val="24"/>
          <w:szCs w:val="24"/>
        </w:rPr>
        <w:t>for</w:t>
      </w:r>
      <w:r>
        <w:rPr>
          <w:rFonts w:ascii="Palatino" w:hAnsi="Palatino"/>
          <w:sz w:val="24"/>
        </w:rPr>
        <w:t xml:space="preserve"> the </w:t>
      </w:r>
      <w:r w:rsidR="001D3B0D">
        <w:rPr>
          <w:rFonts w:ascii="Palatino" w:hAnsi="Palatino"/>
          <w:sz w:val="24"/>
        </w:rPr>
        <w:t>S</w:t>
      </w:r>
      <w:r>
        <w:rPr>
          <w:rFonts w:ascii="Palatino" w:hAnsi="Palatino"/>
          <w:sz w:val="24"/>
        </w:rPr>
        <w:t>mall Incumbent Local Exchange Carriers for Calendar Year 201</w:t>
      </w:r>
      <w:r w:rsidR="00812869">
        <w:rPr>
          <w:rFonts w:ascii="Palatino" w:hAnsi="Palatino"/>
          <w:sz w:val="24"/>
        </w:rPr>
        <w:t>5</w:t>
      </w:r>
      <w:r>
        <w:rPr>
          <w:rFonts w:ascii="Palatino" w:hAnsi="Palatino"/>
          <w:sz w:val="24"/>
        </w:rPr>
        <w:t xml:space="preserve"> is </w:t>
      </w:r>
      <w:r w:rsidR="00065037">
        <w:rPr>
          <w:rFonts w:ascii="Palatino" w:hAnsi="Palatino"/>
          <w:sz w:val="24"/>
        </w:rPr>
        <w:t>itemized</w:t>
      </w:r>
      <w:r w:rsidR="00712233">
        <w:rPr>
          <w:rFonts w:ascii="Palatino" w:hAnsi="Palatino"/>
          <w:sz w:val="24"/>
        </w:rPr>
        <w:t xml:space="preserve"> in Table 4</w:t>
      </w:r>
      <w:r w:rsidR="00B91331">
        <w:rPr>
          <w:rFonts w:ascii="Palatino" w:hAnsi="Palatino"/>
          <w:sz w:val="24"/>
        </w:rPr>
        <w:t>:</w:t>
      </w:r>
    </w:p>
    <w:p w:rsidR="00EC0BDE" w:rsidRPr="00CB23F6" w:rsidRDefault="00614545" w:rsidP="00CB23F6">
      <w:pPr>
        <w:tabs>
          <w:tab w:val="left" w:pos="360"/>
          <w:tab w:val="left" w:pos="9540"/>
        </w:tabs>
        <w:spacing w:after="120"/>
        <w:ind w:left="360"/>
        <w:jc w:val="center"/>
        <w:rPr>
          <w:rFonts w:ascii="Palatino" w:hAnsi="Palatino"/>
          <w:b/>
          <w:sz w:val="24"/>
          <w:szCs w:val="24"/>
        </w:rPr>
      </w:pPr>
      <w:r w:rsidRPr="00614545">
        <w:rPr>
          <w:noProof/>
        </w:rPr>
        <w:drawing>
          <wp:inline distT="0" distB="0" distL="0" distR="0" wp14:anchorId="2E7F3D6E" wp14:editId="62646CAA">
            <wp:extent cx="5530215" cy="2787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215" cy="2787015"/>
                    </a:xfrm>
                    <a:prstGeom prst="rect">
                      <a:avLst/>
                    </a:prstGeom>
                    <a:noFill/>
                    <a:ln>
                      <a:noFill/>
                    </a:ln>
                  </pic:spPr>
                </pic:pic>
              </a:graphicData>
            </a:graphic>
          </wp:inline>
        </w:drawing>
      </w:r>
    </w:p>
    <w:p w:rsidR="00EE317B" w:rsidRPr="003313BD" w:rsidRDefault="00EE317B" w:rsidP="00AF509D">
      <w:pPr>
        <w:tabs>
          <w:tab w:val="left" w:pos="360"/>
          <w:tab w:val="left" w:pos="9540"/>
        </w:tabs>
        <w:spacing w:after="120"/>
        <w:ind w:left="360"/>
        <w:rPr>
          <w:rFonts w:ascii="Palatino" w:hAnsi="Palatino"/>
          <w:sz w:val="24"/>
        </w:rPr>
      </w:pPr>
    </w:p>
    <w:p w:rsidR="001D3B0D" w:rsidRPr="000563CB" w:rsidRDefault="00FD2111" w:rsidP="000563CB">
      <w:pPr>
        <w:numPr>
          <w:ilvl w:val="0"/>
          <w:numId w:val="12"/>
        </w:numPr>
        <w:tabs>
          <w:tab w:val="left" w:pos="360"/>
        </w:tabs>
        <w:spacing w:after="120"/>
        <w:rPr>
          <w:rFonts w:ascii="Palatino" w:hAnsi="Palatino"/>
          <w:sz w:val="24"/>
        </w:rPr>
      </w:pPr>
      <w:r w:rsidRPr="000563CB">
        <w:rPr>
          <w:rFonts w:ascii="Palatino" w:hAnsi="Palatino"/>
          <w:sz w:val="24"/>
        </w:rPr>
        <w:t>Communications Division</w:t>
      </w:r>
      <w:r w:rsidR="00B27E15" w:rsidRPr="000563CB">
        <w:rPr>
          <w:rFonts w:ascii="Palatino" w:hAnsi="Palatino"/>
          <w:sz w:val="24"/>
        </w:rPr>
        <w:t>,</w:t>
      </w:r>
      <w:r w:rsidRPr="000563CB">
        <w:rPr>
          <w:rFonts w:ascii="Palatino" w:hAnsi="Palatino"/>
          <w:sz w:val="24"/>
        </w:rPr>
        <w:t xml:space="preserve"> in concert with the Administrative Services Division</w:t>
      </w:r>
      <w:r w:rsidR="00B27E15" w:rsidRPr="000563CB">
        <w:rPr>
          <w:rFonts w:ascii="Palatino" w:hAnsi="Palatino"/>
          <w:sz w:val="24"/>
        </w:rPr>
        <w:t>,</w:t>
      </w:r>
      <w:r w:rsidRPr="000563CB">
        <w:rPr>
          <w:rFonts w:ascii="Palatino" w:hAnsi="Palatino"/>
          <w:sz w:val="24"/>
        </w:rPr>
        <w:t xml:space="preserve"> </w:t>
      </w:r>
      <w:r w:rsidR="006E5B04" w:rsidRPr="000563CB">
        <w:rPr>
          <w:rFonts w:ascii="Palatino" w:hAnsi="Palatino"/>
          <w:sz w:val="24"/>
        </w:rPr>
        <w:t>shall pay the monthly s</w:t>
      </w:r>
      <w:r w:rsidR="000563CB" w:rsidRPr="000563CB">
        <w:rPr>
          <w:rFonts w:ascii="Palatino" w:hAnsi="Palatino"/>
          <w:sz w:val="24"/>
        </w:rPr>
        <w:t xml:space="preserve">upport payments </w:t>
      </w:r>
      <w:r w:rsidR="00940413">
        <w:rPr>
          <w:rFonts w:ascii="Palatino" w:hAnsi="Palatino"/>
          <w:sz w:val="24"/>
        </w:rPr>
        <w:t xml:space="preserve">to the ten Small Incumbent Local Exchange Carriers in Table 4 </w:t>
      </w:r>
      <w:r w:rsidR="000563CB" w:rsidRPr="000563CB">
        <w:rPr>
          <w:rFonts w:ascii="Palatino" w:hAnsi="Palatino"/>
          <w:sz w:val="24"/>
        </w:rPr>
        <w:t>for January 2015 through December 2015</w:t>
      </w:r>
      <w:r w:rsidR="006E5B04" w:rsidRPr="000563CB">
        <w:rPr>
          <w:rFonts w:ascii="Palatino" w:hAnsi="Palatino"/>
          <w:sz w:val="24"/>
        </w:rPr>
        <w:t xml:space="preserve"> </w:t>
      </w:r>
      <w:r w:rsidRPr="000563CB">
        <w:rPr>
          <w:rFonts w:ascii="Palatino" w:hAnsi="Palatino"/>
          <w:sz w:val="24"/>
        </w:rPr>
        <w:t>within 30 days after the close of each calendar month.</w:t>
      </w:r>
      <w:r w:rsidR="006E5B04" w:rsidRPr="000563CB">
        <w:rPr>
          <w:rFonts w:ascii="Palatino" w:hAnsi="Palatino"/>
          <w:sz w:val="24"/>
        </w:rPr>
        <w:t xml:space="preserve"> Late payments shall accrue interest at </w:t>
      </w:r>
      <w:r w:rsidR="008405D6">
        <w:rPr>
          <w:rFonts w:ascii="Palatino" w:hAnsi="Palatino"/>
          <w:sz w:val="24"/>
        </w:rPr>
        <w:t>the three</w:t>
      </w:r>
      <w:r w:rsidR="006E5B04" w:rsidRPr="000563CB">
        <w:rPr>
          <w:rFonts w:ascii="Palatino" w:hAnsi="Palatino"/>
          <w:sz w:val="24"/>
        </w:rPr>
        <w:t xml:space="preserve">-month commercial paper rate. </w:t>
      </w:r>
    </w:p>
    <w:p w:rsidR="003A4936" w:rsidRDefault="00FD2111" w:rsidP="00A14636">
      <w:pPr>
        <w:numPr>
          <w:ilvl w:val="0"/>
          <w:numId w:val="12"/>
        </w:numPr>
        <w:tabs>
          <w:tab w:val="left" w:pos="360"/>
        </w:tabs>
        <w:spacing w:after="120"/>
        <w:rPr>
          <w:rFonts w:ascii="Palatino" w:hAnsi="Palatino"/>
          <w:sz w:val="24"/>
        </w:rPr>
      </w:pPr>
      <w:r w:rsidRPr="00463E71">
        <w:rPr>
          <w:rFonts w:ascii="Palatino" w:hAnsi="Palatino"/>
          <w:sz w:val="24"/>
        </w:rPr>
        <w:t>The program support payments totaling $</w:t>
      </w:r>
      <w:r w:rsidR="006464DD" w:rsidRPr="00463E71">
        <w:rPr>
          <w:rFonts w:ascii="Palatino" w:hAnsi="Palatino"/>
          <w:sz w:val="24"/>
        </w:rPr>
        <w:t>3</w:t>
      </w:r>
      <w:r w:rsidR="000563CB" w:rsidRPr="00463E71">
        <w:rPr>
          <w:rFonts w:ascii="Palatino" w:hAnsi="Palatino"/>
          <w:sz w:val="24"/>
        </w:rPr>
        <w:t>2,9</w:t>
      </w:r>
      <w:r w:rsidR="00B959C8" w:rsidRPr="00463E71">
        <w:rPr>
          <w:rFonts w:ascii="Palatino" w:hAnsi="Palatino"/>
          <w:sz w:val="24"/>
        </w:rPr>
        <w:t>95,336.85</w:t>
      </w:r>
      <w:r w:rsidRPr="00463E71">
        <w:rPr>
          <w:rFonts w:ascii="Palatino" w:hAnsi="Palatino"/>
          <w:sz w:val="24"/>
        </w:rPr>
        <w:t xml:space="preserve"> for the 1</w:t>
      </w:r>
      <w:r w:rsidR="00B91331" w:rsidRPr="00463E71">
        <w:rPr>
          <w:rFonts w:ascii="Palatino" w:hAnsi="Palatino"/>
          <w:sz w:val="24"/>
        </w:rPr>
        <w:t>3</w:t>
      </w:r>
      <w:r w:rsidRPr="00463E71">
        <w:rPr>
          <w:rFonts w:ascii="Palatino" w:hAnsi="Palatino"/>
          <w:sz w:val="24"/>
        </w:rPr>
        <w:t xml:space="preserve"> </w:t>
      </w:r>
      <w:r w:rsidR="002D77FA" w:rsidRPr="00463E71">
        <w:rPr>
          <w:rFonts w:ascii="Palatino" w:hAnsi="Palatino"/>
          <w:sz w:val="24"/>
        </w:rPr>
        <w:t xml:space="preserve">Small </w:t>
      </w:r>
      <w:r w:rsidRPr="00463E71">
        <w:rPr>
          <w:rFonts w:ascii="Palatino" w:hAnsi="Palatino"/>
          <w:sz w:val="24"/>
        </w:rPr>
        <w:t>Incumbent Local Exchange Carriers shall be paid out of the California High Cost Fund-A</w:t>
      </w:r>
      <w:r w:rsidR="00FC3969">
        <w:rPr>
          <w:rFonts w:ascii="Palatino" w:hAnsi="Palatino"/>
          <w:sz w:val="24"/>
        </w:rPr>
        <w:t>,</w:t>
      </w:r>
      <w:r w:rsidR="00617056">
        <w:rPr>
          <w:rFonts w:ascii="Palatino" w:hAnsi="Palatino"/>
          <w:sz w:val="24"/>
        </w:rPr>
        <w:t xml:space="preserve"> contingent on the availability of funds and the state’s adoption </w:t>
      </w:r>
      <w:r w:rsidR="00FC3969">
        <w:rPr>
          <w:rFonts w:ascii="Palatino" w:hAnsi="Palatino"/>
          <w:sz w:val="24"/>
        </w:rPr>
        <w:t>of</w:t>
      </w:r>
      <w:r w:rsidR="00617056">
        <w:rPr>
          <w:rFonts w:ascii="Palatino" w:hAnsi="Palatino"/>
          <w:sz w:val="24"/>
        </w:rPr>
        <w:t xml:space="preserve"> the </w:t>
      </w:r>
      <w:r w:rsidR="00B92FE5">
        <w:rPr>
          <w:rFonts w:ascii="Palatino" w:hAnsi="Palatino"/>
          <w:sz w:val="24"/>
        </w:rPr>
        <w:t>California High Cost Fund-A</w:t>
      </w:r>
      <w:r w:rsidR="00617056">
        <w:rPr>
          <w:rFonts w:ascii="Palatino" w:hAnsi="Palatino"/>
          <w:sz w:val="24"/>
        </w:rPr>
        <w:t xml:space="preserve"> program budgets</w:t>
      </w:r>
      <w:r w:rsidR="00AC5098">
        <w:rPr>
          <w:rFonts w:ascii="Palatino" w:hAnsi="Palatino"/>
          <w:sz w:val="24"/>
        </w:rPr>
        <w:t xml:space="preserve"> covering the payments authorized for C</w:t>
      </w:r>
      <w:r w:rsidR="00940413">
        <w:rPr>
          <w:rFonts w:ascii="Palatino" w:hAnsi="Palatino"/>
          <w:sz w:val="24"/>
        </w:rPr>
        <w:t xml:space="preserve">alendar </w:t>
      </w:r>
      <w:r w:rsidR="00AC5098">
        <w:rPr>
          <w:rFonts w:ascii="Palatino" w:hAnsi="Palatino"/>
          <w:sz w:val="24"/>
        </w:rPr>
        <w:t>Y</w:t>
      </w:r>
      <w:r w:rsidR="00940413">
        <w:rPr>
          <w:rFonts w:ascii="Palatino" w:hAnsi="Palatino"/>
          <w:sz w:val="24"/>
        </w:rPr>
        <w:t>ear</w:t>
      </w:r>
      <w:r w:rsidR="00AC5098">
        <w:rPr>
          <w:rFonts w:ascii="Palatino" w:hAnsi="Palatino"/>
          <w:sz w:val="24"/>
        </w:rPr>
        <w:t xml:space="preserve"> 2015 </w:t>
      </w:r>
      <w:r w:rsidR="00B92FE5">
        <w:rPr>
          <w:rFonts w:ascii="Palatino" w:hAnsi="Palatino"/>
          <w:sz w:val="24"/>
        </w:rPr>
        <w:t>California High Cost Fund-A</w:t>
      </w:r>
      <w:r w:rsidR="00AC5098">
        <w:rPr>
          <w:rFonts w:ascii="Palatino" w:hAnsi="Palatino"/>
          <w:sz w:val="24"/>
        </w:rPr>
        <w:t xml:space="preserve"> support.</w:t>
      </w:r>
    </w:p>
    <w:p w:rsidR="003A4936" w:rsidRDefault="00B92FE5" w:rsidP="003A4936">
      <w:pPr>
        <w:pStyle w:val="standard"/>
        <w:numPr>
          <w:ilvl w:val="0"/>
          <w:numId w:val="12"/>
        </w:numPr>
        <w:spacing w:line="240" w:lineRule="auto"/>
        <w:rPr>
          <w:bCs/>
          <w:sz w:val="24"/>
          <w:szCs w:val="24"/>
        </w:rPr>
      </w:pPr>
      <w:r>
        <w:rPr>
          <w:bCs/>
          <w:sz w:val="24"/>
          <w:szCs w:val="24"/>
        </w:rPr>
        <w:t xml:space="preserve">Communications Division shall revise, as needed, </w:t>
      </w:r>
      <w:r w:rsidR="003A4936">
        <w:rPr>
          <w:bCs/>
          <w:sz w:val="24"/>
          <w:szCs w:val="24"/>
        </w:rPr>
        <w:t>the Small I</w:t>
      </w:r>
      <w:r>
        <w:rPr>
          <w:bCs/>
          <w:sz w:val="24"/>
          <w:szCs w:val="24"/>
        </w:rPr>
        <w:t xml:space="preserve">ncumbent </w:t>
      </w:r>
      <w:r w:rsidR="003A4936">
        <w:rPr>
          <w:bCs/>
          <w:sz w:val="24"/>
          <w:szCs w:val="24"/>
        </w:rPr>
        <w:t>L</w:t>
      </w:r>
      <w:r>
        <w:rPr>
          <w:bCs/>
          <w:sz w:val="24"/>
          <w:szCs w:val="24"/>
        </w:rPr>
        <w:t xml:space="preserve">ocal </w:t>
      </w:r>
      <w:r w:rsidR="003A4936">
        <w:rPr>
          <w:bCs/>
          <w:sz w:val="24"/>
          <w:szCs w:val="24"/>
        </w:rPr>
        <w:t>E</w:t>
      </w:r>
      <w:r>
        <w:rPr>
          <w:bCs/>
          <w:sz w:val="24"/>
          <w:szCs w:val="24"/>
        </w:rPr>
        <w:t xml:space="preserve">xchange </w:t>
      </w:r>
      <w:r w:rsidR="003A4936">
        <w:rPr>
          <w:bCs/>
          <w:sz w:val="24"/>
          <w:szCs w:val="24"/>
        </w:rPr>
        <w:t>C</w:t>
      </w:r>
      <w:r>
        <w:rPr>
          <w:bCs/>
          <w:sz w:val="24"/>
          <w:szCs w:val="24"/>
        </w:rPr>
        <w:t>arrier</w:t>
      </w:r>
      <w:r w:rsidR="003A4936">
        <w:rPr>
          <w:bCs/>
          <w:sz w:val="24"/>
          <w:szCs w:val="24"/>
        </w:rPr>
        <w:t xml:space="preserve">s’ </w:t>
      </w:r>
      <w:r>
        <w:rPr>
          <w:sz w:val="24"/>
        </w:rPr>
        <w:t>California High Cost Fund-A</w:t>
      </w:r>
      <w:r>
        <w:rPr>
          <w:bCs/>
          <w:sz w:val="24"/>
          <w:szCs w:val="24"/>
        </w:rPr>
        <w:t xml:space="preserve"> support levels for Calendar Year 2015, if the Commission increases their basic service rates in R.11-11-007 and shall inform them of any changes</w:t>
      </w:r>
      <w:r w:rsidR="003A4936">
        <w:rPr>
          <w:bCs/>
          <w:sz w:val="24"/>
          <w:szCs w:val="24"/>
        </w:rPr>
        <w:t>.</w:t>
      </w:r>
    </w:p>
    <w:p w:rsidR="003313BD" w:rsidRDefault="003313BD">
      <w:pPr>
        <w:tabs>
          <w:tab w:val="left" w:pos="360"/>
        </w:tabs>
        <w:rPr>
          <w:rFonts w:ascii="Palatino" w:hAnsi="Palatino"/>
          <w:sz w:val="24"/>
        </w:rPr>
      </w:pPr>
    </w:p>
    <w:p w:rsidR="00FD2111" w:rsidRDefault="00FD2111">
      <w:pPr>
        <w:tabs>
          <w:tab w:val="left" w:pos="360"/>
        </w:tabs>
        <w:rPr>
          <w:rFonts w:ascii="Palatino" w:hAnsi="Palatino"/>
          <w:sz w:val="24"/>
        </w:rPr>
      </w:pPr>
      <w:r>
        <w:rPr>
          <w:rFonts w:ascii="Palatino" w:hAnsi="Palatino"/>
          <w:sz w:val="24"/>
        </w:rPr>
        <w:t>This Resolution is effective today.</w:t>
      </w:r>
    </w:p>
    <w:p w:rsidR="00FD2111" w:rsidRDefault="00FD2111">
      <w:pPr>
        <w:pStyle w:val="xl41"/>
        <w:overflowPunct/>
        <w:autoSpaceDE/>
        <w:autoSpaceDN/>
        <w:adjustRightInd/>
        <w:spacing w:before="0" w:after="0"/>
        <w:textAlignment w:val="auto"/>
        <w:rPr>
          <w:rFonts w:ascii="Palatino" w:hAnsi="Palatino"/>
        </w:rPr>
      </w:pPr>
    </w:p>
    <w:p w:rsidR="00FD2111" w:rsidRDefault="00FD2111">
      <w:pPr>
        <w:rPr>
          <w:rFonts w:ascii="Palatino" w:hAnsi="Palatino"/>
          <w:sz w:val="24"/>
        </w:rPr>
      </w:pPr>
      <w:r>
        <w:rPr>
          <w:rFonts w:ascii="Palatino" w:hAnsi="Palatino"/>
          <w:sz w:val="24"/>
        </w:rPr>
        <w:t xml:space="preserve">I hereby certify that this Resolution was adopted by the Public Utilities Commission at its regular meeting on </w:t>
      </w:r>
      <w:r w:rsidR="008405D6">
        <w:rPr>
          <w:rFonts w:ascii="Palatino" w:hAnsi="Palatino"/>
          <w:sz w:val="24"/>
        </w:rPr>
        <w:t>January 15</w:t>
      </w:r>
      <w:r w:rsidR="000563CB">
        <w:rPr>
          <w:rFonts w:ascii="Palatino" w:hAnsi="Palatino"/>
          <w:sz w:val="24"/>
        </w:rPr>
        <w:t xml:space="preserve">, </w:t>
      </w:r>
      <w:r w:rsidR="008405D6">
        <w:rPr>
          <w:rFonts w:ascii="Palatino" w:hAnsi="Palatino"/>
          <w:sz w:val="24"/>
        </w:rPr>
        <w:t>2015</w:t>
      </w:r>
      <w:r>
        <w:rPr>
          <w:rFonts w:ascii="Palatino" w:hAnsi="Palatino"/>
          <w:sz w:val="24"/>
        </w:rPr>
        <w:t>.  The following Commissioners approved it:</w:t>
      </w:r>
    </w:p>
    <w:tbl>
      <w:tblPr>
        <w:tblW w:w="0" w:type="auto"/>
        <w:tblInd w:w="4788" w:type="dxa"/>
        <w:tblLayout w:type="fixed"/>
        <w:tblLook w:val="0000" w:firstRow="0" w:lastRow="0" w:firstColumn="0" w:lastColumn="0" w:noHBand="0" w:noVBand="0"/>
      </w:tblPr>
      <w:tblGrid>
        <w:gridCol w:w="3975"/>
      </w:tblGrid>
      <w:tr w:rsidR="0028440B" w:rsidTr="005411E1">
        <w:trPr>
          <w:trHeight w:val="289"/>
        </w:trPr>
        <w:tc>
          <w:tcPr>
            <w:tcW w:w="3975" w:type="dxa"/>
            <w:tcBorders>
              <w:bottom w:val="single" w:sz="6" w:space="0" w:color="auto"/>
            </w:tcBorders>
          </w:tcPr>
          <w:p w:rsidR="0028440B" w:rsidRPr="00B85CA3" w:rsidRDefault="00810EE4" w:rsidP="007D3CFB">
            <w:pPr>
              <w:ind w:right="-648"/>
              <w:rPr>
                <w:rFonts w:ascii="Palatino" w:hAnsi="Palatino"/>
                <w:sz w:val="24"/>
              </w:rPr>
            </w:pPr>
            <w:r w:rsidRPr="00B85CA3">
              <w:rPr>
                <w:rFonts w:ascii="Palatino" w:hAnsi="Palatino"/>
                <w:sz w:val="24"/>
              </w:rPr>
              <w:t xml:space="preserve">                </w:t>
            </w:r>
          </w:p>
          <w:p w:rsidR="003B43D9" w:rsidRPr="00B85CA3" w:rsidRDefault="003B43D9" w:rsidP="007D3CFB">
            <w:pPr>
              <w:ind w:right="-648"/>
              <w:rPr>
                <w:rFonts w:ascii="Palatino" w:hAnsi="Palatino"/>
                <w:sz w:val="24"/>
              </w:rPr>
            </w:pPr>
          </w:p>
          <w:p w:rsidR="003B43D9" w:rsidRPr="00B85CA3" w:rsidRDefault="003B43D9" w:rsidP="007D3CFB">
            <w:pPr>
              <w:ind w:right="-648"/>
              <w:rPr>
                <w:rFonts w:ascii="Palatino" w:hAnsi="Palatino"/>
                <w:sz w:val="24"/>
              </w:rPr>
            </w:pPr>
          </w:p>
          <w:p w:rsidR="003B43D9" w:rsidRPr="00B85CA3" w:rsidRDefault="00C66ED8" w:rsidP="00EB7378">
            <w:pPr>
              <w:ind w:right="-648"/>
              <w:rPr>
                <w:rFonts w:ascii="Palatino" w:hAnsi="Palatino"/>
                <w:sz w:val="24"/>
              </w:rPr>
            </w:pPr>
            <w:r w:rsidRPr="00B85CA3">
              <w:rPr>
                <w:rFonts w:ascii="Palatino" w:hAnsi="Palatino"/>
                <w:sz w:val="24"/>
              </w:rPr>
              <w:t xml:space="preserve">               </w:t>
            </w:r>
          </w:p>
        </w:tc>
      </w:tr>
      <w:tr w:rsidR="0028440B" w:rsidTr="005411E1">
        <w:trPr>
          <w:trHeight w:val="716"/>
        </w:trPr>
        <w:tc>
          <w:tcPr>
            <w:tcW w:w="3975" w:type="dxa"/>
          </w:tcPr>
          <w:p w:rsidR="0028440B" w:rsidRPr="00B85CA3" w:rsidRDefault="0028440B" w:rsidP="005411E1">
            <w:pPr>
              <w:pStyle w:val="Heading6"/>
              <w:jc w:val="center"/>
              <w:rPr>
                <w:rFonts w:ascii="Palatino" w:hAnsi="Palatino"/>
              </w:rPr>
            </w:pPr>
            <w:r w:rsidRPr="00B85CA3">
              <w:rPr>
                <w:rFonts w:ascii="Palatino" w:hAnsi="Palatino"/>
              </w:rPr>
              <w:t>PAUL CLANON</w:t>
            </w:r>
          </w:p>
          <w:p w:rsidR="0028440B" w:rsidRPr="00B85CA3" w:rsidRDefault="0028440B" w:rsidP="005411E1">
            <w:pPr>
              <w:pStyle w:val="Heading6"/>
              <w:spacing w:before="0"/>
              <w:jc w:val="center"/>
              <w:rPr>
                <w:rFonts w:ascii="Palatino" w:hAnsi="Palatino"/>
              </w:rPr>
            </w:pPr>
            <w:r w:rsidRPr="00B85CA3">
              <w:rPr>
                <w:rFonts w:ascii="Palatino" w:hAnsi="Palatino"/>
              </w:rPr>
              <w:t>Executive Director</w:t>
            </w:r>
          </w:p>
        </w:tc>
      </w:tr>
    </w:tbl>
    <w:p w:rsidR="0028440B" w:rsidRDefault="0028440B" w:rsidP="0028440B">
      <w:pPr>
        <w:jc w:val="center"/>
        <w:rPr>
          <w:b/>
          <w:sz w:val="28"/>
          <w:szCs w:val="28"/>
        </w:rPr>
      </w:pPr>
    </w:p>
    <w:p w:rsidR="004E1938" w:rsidRDefault="004E1938" w:rsidP="00613DFA">
      <w:pPr>
        <w:sectPr w:rsidR="004E193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75" w:gutter="0"/>
          <w:pgNumType w:start="1"/>
          <w:cols w:space="720"/>
          <w:titlePg/>
        </w:sectPr>
      </w:pPr>
    </w:p>
    <w:p w:rsidR="00FD2111" w:rsidRDefault="00FD2111" w:rsidP="00613DFA"/>
    <w:p w:rsidR="007523EA" w:rsidRDefault="007523EA" w:rsidP="00613DFA"/>
    <w:p w:rsidR="007523EA" w:rsidRDefault="007523EA" w:rsidP="007523EA">
      <w:pPr>
        <w:jc w:val="center"/>
        <w:rPr>
          <w:sz w:val="48"/>
          <w:szCs w:val="48"/>
        </w:rPr>
      </w:pPr>
    </w:p>
    <w:p w:rsidR="007523EA" w:rsidRDefault="007523EA" w:rsidP="007523EA">
      <w:pPr>
        <w:jc w:val="center"/>
        <w:rPr>
          <w:sz w:val="48"/>
          <w:szCs w:val="48"/>
        </w:rPr>
      </w:pPr>
    </w:p>
    <w:p w:rsidR="007523EA" w:rsidRDefault="007523EA" w:rsidP="007523EA">
      <w:pPr>
        <w:jc w:val="center"/>
        <w:rPr>
          <w:sz w:val="48"/>
          <w:szCs w:val="48"/>
        </w:rPr>
      </w:pPr>
    </w:p>
    <w:p w:rsidR="007523EA" w:rsidRDefault="007523EA" w:rsidP="007523EA">
      <w:pPr>
        <w:jc w:val="center"/>
        <w:rPr>
          <w:sz w:val="48"/>
          <w:szCs w:val="48"/>
        </w:rPr>
      </w:pPr>
    </w:p>
    <w:p w:rsidR="007523EA" w:rsidRDefault="007523EA" w:rsidP="007523EA">
      <w:pPr>
        <w:jc w:val="center"/>
        <w:rPr>
          <w:sz w:val="48"/>
          <w:szCs w:val="48"/>
        </w:rPr>
      </w:pPr>
    </w:p>
    <w:p w:rsidR="00137AC0" w:rsidRDefault="00137AC0" w:rsidP="007523EA">
      <w:pPr>
        <w:jc w:val="center"/>
        <w:rPr>
          <w:sz w:val="48"/>
          <w:szCs w:val="48"/>
        </w:rPr>
      </w:pPr>
    </w:p>
    <w:p w:rsidR="007523EA" w:rsidRDefault="007523EA" w:rsidP="007523EA">
      <w:pPr>
        <w:jc w:val="center"/>
        <w:rPr>
          <w:sz w:val="48"/>
          <w:szCs w:val="48"/>
        </w:rPr>
      </w:pPr>
    </w:p>
    <w:p w:rsidR="007523EA" w:rsidRPr="00137AC0" w:rsidRDefault="007523EA" w:rsidP="007523EA">
      <w:pPr>
        <w:jc w:val="center"/>
        <w:rPr>
          <w:rFonts w:ascii="Palatino" w:hAnsi="Palatino"/>
          <w:b/>
          <w:sz w:val="48"/>
          <w:szCs w:val="48"/>
        </w:rPr>
      </w:pPr>
      <w:r w:rsidRPr="00137AC0">
        <w:rPr>
          <w:rFonts w:ascii="Palatino" w:hAnsi="Palatino"/>
          <w:b/>
          <w:sz w:val="48"/>
          <w:szCs w:val="48"/>
        </w:rPr>
        <w:t>Appendix</w:t>
      </w:r>
    </w:p>
    <w:p w:rsidR="007523EA" w:rsidRPr="00137AC0" w:rsidRDefault="007523EA" w:rsidP="007523EA">
      <w:pPr>
        <w:jc w:val="center"/>
        <w:rPr>
          <w:rFonts w:ascii="Palatino" w:hAnsi="Palatino"/>
          <w:b/>
          <w:sz w:val="48"/>
          <w:szCs w:val="48"/>
        </w:rPr>
        <w:sectPr w:rsidR="007523EA" w:rsidRPr="00137AC0">
          <w:headerReference w:type="first" r:id="rId18"/>
          <w:footerReference w:type="first" r:id="rId19"/>
          <w:pgSz w:w="12240" w:h="15840" w:code="1"/>
          <w:pgMar w:top="1440" w:right="1440" w:bottom="1440" w:left="1440" w:header="720" w:footer="475" w:gutter="0"/>
          <w:pgNumType w:start="1"/>
          <w:cols w:space="720"/>
          <w:titlePg/>
        </w:sectPr>
      </w:pPr>
      <w:r w:rsidRPr="00137AC0">
        <w:rPr>
          <w:rFonts w:ascii="Palatino" w:hAnsi="Palatino"/>
          <w:b/>
          <w:sz w:val="48"/>
          <w:szCs w:val="48"/>
        </w:rPr>
        <w:t>Resolution T-17461</w:t>
      </w:r>
    </w:p>
    <w:p w:rsidR="002F4DD5" w:rsidRDefault="002F4DD5">
      <w:pPr>
        <w:rPr>
          <w:rFonts w:ascii="Palatino" w:hAnsi="Palatino"/>
          <w:sz w:val="18"/>
        </w:rPr>
      </w:pPr>
    </w:p>
    <w:p w:rsidR="002F4DD5" w:rsidRDefault="002F4DD5">
      <w:pPr>
        <w:rPr>
          <w:rFonts w:ascii="Palatino" w:hAnsi="Palatino"/>
          <w:sz w:val="18"/>
        </w:rPr>
      </w:pPr>
    </w:p>
    <w:p w:rsidR="00D82367" w:rsidRDefault="001237CB">
      <w:pPr>
        <w:rPr>
          <w:rFonts w:ascii="Palatino" w:hAnsi="Palatino"/>
          <w:sz w:val="18"/>
        </w:rPr>
      </w:pPr>
      <w:r w:rsidRPr="001237CB">
        <w:rPr>
          <w:noProof/>
        </w:rPr>
        <w:drawing>
          <wp:inline distT="0" distB="0" distL="0" distR="0" wp14:anchorId="63C68ADE" wp14:editId="52CA44C2">
            <wp:extent cx="6000750" cy="69563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0" cy="6956369"/>
                    </a:xfrm>
                    <a:prstGeom prst="rect">
                      <a:avLst/>
                    </a:prstGeom>
                    <a:noFill/>
                    <a:ln>
                      <a:noFill/>
                    </a:ln>
                  </pic:spPr>
                </pic:pic>
              </a:graphicData>
            </a:graphic>
          </wp:inline>
        </w:drawing>
      </w:r>
    </w:p>
    <w:p w:rsidR="001237CB" w:rsidRDefault="001237CB">
      <w:pPr>
        <w:rPr>
          <w:rFonts w:ascii="Palatino" w:hAnsi="Palatino"/>
          <w:sz w:val="18"/>
        </w:rPr>
      </w:pPr>
      <w:r>
        <w:rPr>
          <w:rFonts w:ascii="Palatino" w:hAnsi="Palatino"/>
          <w:sz w:val="18"/>
        </w:rPr>
        <w:br w:type="page"/>
      </w:r>
    </w:p>
    <w:p w:rsidR="001237CB" w:rsidRDefault="001237CB">
      <w:pPr>
        <w:rPr>
          <w:rFonts w:ascii="Palatino" w:hAnsi="Palatino"/>
          <w:sz w:val="18"/>
        </w:rPr>
      </w:pPr>
    </w:p>
    <w:p w:rsidR="001237CB" w:rsidRDefault="001712AA" w:rsidP="001237CB">
      <w:pPr>
        <w:jc w:val="center"/>
        <w:rPr>
          <w:rFonts w:ascii="Palatino" w:hAnsi="Palatino"/>
          <w:sz w:val="18"/>
        </w:rPr>
      </w:pPr>
      <w:r w:rsidRPr="001712AA">
        <w:rPr>
          <w:noProof/>
        </w:rPr>
        <w:drawing>
          <wp:inline distT="0" distB="0" distL="0" distR="0" wp14:anchorId="34BCA5B6" wp14:editId="442E0BC9">
            <wp:extent cx="6000750" cy="7062304"/>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0" cy="7062304"/>
                    </a:xfrm>
                    <a:prstGeom prst="rect">
                      <a:avLst/>
                    </a:prstGeom>
                    <a:noFill/>
                    <a:ln>
                      <a:noFill/>
                    </a:ln>
                  </pic:spPr>
                </pic:pic>
              </a:graphicData>
            </a:graphic>
          </wp:inline>
        </w:drawing>
      </w:r>
    </w:p>
    <w:p w:rsidR="001237CB" w:rsidRDefault="001237CB" w:rsidP="001237CB">
      <w:pPr>
        <w:jc w:val="center"/>
        <w:rPr>
          <w:rFonts w:ascii="Palatino" w:hAnsi="Palatino"/>
          <w:sz w:val="18"/>
        </w:rPr>
      </w:pPr>
    </w:p>
    <w:p w:rsidR="001237CB" w:rsidRDefault="001237CB">
      <w:pPr>
        <w:rPr>
          <w:rFonts w:ascii="Palatino" w:hAnsi="Palatino"/>
          <w:sz w:val="18"/>
        </w:rPr>
      </w:pPr>
      <w:r>
        <w:rPr>
          <w:rFonts w:ascii="Palatino" w:hAnsi="Palatino"/>
          <w:sz w:val="18"/>
        </w:rPr>
        <w:br w:type="page"/>
      </w:r>
    </w:p>
    <w:p w:rsidR="001237CB" w:rsidRDefault="001237CB" w:rsidP="001237CB">
      <w:pPr>
        <w:jc w:val="center"/>
        <w:rPr>
          <w:rFonts w:ascii="Palatino" w:hAnsi="Palatino"/>
          <w:sz w:val="18"/>
        </w:rPr>
      </w:pPr>
    </w:p>
    <w:p w:rsidR="001237CB" w:rsidRDefault="001237CB" w:rsidP="001237CB">
      <w:pPr>
        <w:jc w:val="center"/>
        <w:rPr>
          <w:rFonts w:ascii="Palatino" w:hAnsi="Palatino"/>
          <w:sz w:val="18"/>
        </w:rPr>
      </w:pPr>
      <w:r w:rsidRPr="001237CB">
        <w:rPr>
          <w:noProof/>
        </w:rPr>
        <w:drawing>
          <wp:inline distT="0" distB="0" distL="0" distR="0" wp14:anchorId="481817D3" wp14:editId="5F56C5DA">
            <wp:extent cx="6000750" cy="7103773"/>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0" cy="7103773"/>
                    </a:xfrm>
                    <a:prstGeom prst="rect">
                      <a:avLst/>
                    </a:prstGeom>
                    <a:noFill/>
                    <a:ln>
                      <a:noFill/>
                    </a:ln>
                  </pic:spPr>
                </pic:pic>
              </a:graphicData>
            </a:graphic>
          </wp:inline>
        </w:drawing>
      </w:r>
    </w:p>
    <w:p w:rsidR="00B12DB5" w:rsidRDefault="00B12DB5">
      <w:pPr>
        <w:rPr>
          <w:rFonts w:ascii="Palatino" w:hAnsi="Palatino"/>
          <w:sz w:val="18"/>
        </w:rPr>
      </w:pPr>
      <w:r>
        <w:rPr>
          <w:rFonts w:ascii="Palatino" w:hAnsi="Palatino"/>
          <w:sz w:val="18"/>
        </w:rPr>
        <w:br w:type="page"/>
      </w:r>
    </w:p>
    <w:p w:rsidR="00B12DB5" w:rsidRDefault="00B12DB5" w:rsidP="001237CB">
      <w:pPr>
        <w:jc w:val="center"/>
        <w:rPr>
          <w:rFonts w:ascii="Palatino" w:hAnsi="Palatino"/>
          <w:sz w:val="18"/>
        </w:rPr>
      </w:pPr>
    </w:p>
    <w:p w:rsidR="00B12DB5" w:rsidRDefault="00B12DB5" w:rsidP="001237CB">
      <w:pPr>
        <w:jc w:val="center"/>
        <w:rPr>
          <w:rFonts w:ascii="Palatino" w:hAnsi="Palatino"/>
          <w:sz w:val="18"/>
        </w:rPr>
      </w:pPr>
      <w:r w:rsidRPr="00B12DB5">
        <w:rPr>
          <w:noProof/>
        </w:rPr>
        <w:drawing>
          <wp:inline distT="0" distB="0" distL="0" distR="0" wp14:anchorId="75DE5A49" wp14:editId="6E3AA066">
            <wp:extent cx="6000750" cy="69563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0" cy="6956369"/>
                    </a:xfrm>
                    <a:prstGeom prst="rect">
                      <a:avLst/>
                    </a:prstGeom>
                    <a:noFill/>
                    <a:ln>
                      <a:noFill/>
                    </a:ln>
                  </pic:spPr>
                </pic:pic>
              </a:graphicData>
            </a:graphic>
          </wp:inline>
        </w:drawing>
      </w:r>
    </w:p>
    <w:p w:rsidR="00B12DB5" w:rsidRDefault="00B12DB5" w:rsidP="001237CB">
      <w:pPr>
        <w:jc w:val="center"/>
        <w:rPr>
          <w:rFonts w:ascii="Palatino" w:hAnsi="Palatino"/>
          <w:sz w:val="18"/>
        </w:rPr>
      </w:pPr>
    </w:p>
    <w:p w:rsidR="00B12DB5" w:rsidRDefault="00B12DB5">
      <w:pPr>
        <w:rPr>
          <w:rFonts w:ascii="Palatino" w:hAnsi="Palatino"/>
          <w:sz w:val="18"/>
        </w:rPr>
      </w:pPr>
      <w:r>
        <w:rPr>
          <w:rFonts w:ascii="Palatino" w:hAnsi="Palatino"/>
          <w:sz w:val="18"/>
        </w:rPr>
        <w:br w:type="page"/>
      </w:r>
    </w:p>
    <w:p w:rsidR="00B12DB5" w:rsidRDefault="00B12DB5" w:rsidP="001237CB">
      <w:pPr>
        <w:jc w:val="center"/>
        <w:rPr>
          <w:rFonts w:ascii="Palatino" w:hAnsi="Palatino"/>
          <w:sz w:val="18"/>
        </w:rPr>
      </w:pPr>
    </w:p>
    <w:p w:rsidR="00B12DB5" w:rsidRDefault="00B12DB5" w:rsidP="00B12DB5">
      <w:pPr>
        <w:jc w:val="center"/>
        <w:rPr>
          <w:rFonts w:ascii="Palatino" w:hAnsi="Palatino"/>
          <w:sz w:val="18"/>
        </w:rPr>
      </w:pPr>
      <w:r w:rsidRPr="00B12DB5">
        <w:rPr>
          <w:noProof/>
        </w:rPr>
        <w:drawing>
          <wp:inline distT="0" distB="0" distL="0" distR="0" wp14:anchorId="0FDCC254" wp14:editId="2317C6FE">
            <wp:extent cx="6000750" cy="7021317"/>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0" cy="7021317"/>
                    </a:xfrm>
                    <a:prstGeom prst="rect">
                      <a:avLst/>
                    </a:prstGeom>
                    <a:noFill/>
                    <a:ln>
                      <a:noFill/>
                    </a:ln>
                  </pic:spPr>
                </pic:pic>
              </a:graphicData>
            </a:graphic>
          </wp:inline>
        </w:drawing>
      </w:r>
    </w:p>
    <w:p w:rsidR="00B12DB5" w:rsidRDefault="00B12DB5">
      <w:pPr>
        <w:rPr>
          <w:rFonts w:ascii="Palatino" w:hAnsi="Palatino"/>
          <w:sz w:val="18"/>
        </w:rPr>
      </w:pPr>
      <w:r>
        <w:rPr>
          <w:rFonts w:ascii="Palatino" w:hAnsi="Palatino"/>
          <w:sz w:val="18"/>
        </w:rPr>
        <w:br w:type="page"/>
      </w:r>
    </w:p>
    <w:p w:rsidR="00B12DB5" w:rsidRDefault="00B12DB5" w:rsidP="00B12DB5">
      <w:pPr>
        <w:jc w:val="center"/>
        <w:rPr>
          <w:rFonts w:ascii="Palatino" w:hAnsi="Palatino"/>
          <w:sz w:val="18"/>
        </w:rPr>
      </w:pPr>
    </w:p>
    <w:p w:rsidR="00B12DB5" w:rsidRDefault="00B12DB5" w:rsidP="00B12DB5">
      <w:pPr>
        <w:jc w:val="center"/>
        <w:rPr>
          <w:rFonts w:ascii="Palatino" w:hAnsi="Palatino"/>
          <w:sz w:val="18"/>
        </w:rPr>
      </w:pPr>
      <w:r w:rsidRPr="00B12DB5">
        <w:rPr>
          <w:noProof/>
        </w:rPr>
        <w:drawing>
          <wp:inline distT="0" distB="0" distL="0" distR="0" wp14:anchorId="61459021" wp14:editId="44B73FA5">
            <wp:extent cx="6000750" cy="69563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0750" cy="6956369"/>
                    </a:xfrm>
                    <a:prstGeom prst="rect">
                      <a:avLst/>
                    </a:prstGeom>
                    <a:noFill/>
                    <a:ln>
                      <a:noFill/>
                    </a:ln>
                  </pic:spPr>
                </pic:pic>
              </a:graphicData>
            </a:graphic>
          </wp:inline>
        </w:drawing>
      </w:r>
    </w:p>
    <w:p w:rsidR="00B12DB5" w:rsidRDefault="00B12DB5">
      <w:pPr>
        <w:rPr>
          <w:rFonts w:ascii="Palatino" w:hAnsi="Palatino"/>
          <w:sz w:val="18"/>
        </w:rPr>
      </w:pPr>
      <w:r>
        <w:rPr>
          <w:rFonts w:ascii="Palatino" w:hAnsi="Palatino"/>
          <w:sz w:val="18"/>
        </w:rPr>
        <w:br w:type="page"/>
      </w:r>
    </w:p>
    <w:p w:rsidR="00B12DB5" w:rsidRDefault="00B12DB5" w:rsidP="00B12DB5">
      <w:pPr>
        <w:jc w:val="center"/>
        <w:rPr>
          <w:rFonts w:ascii="Palatino" w:hAnsi="Palatino"/>
          <w:sz w:val="18"/>
        </w:rPr>
      </w:pPr>
    </w:p>
    <w:p w:rsidR="00B12DB5" w:rsidRDefault="00B12DB5" w:rsidP="00B12DB5">
      <w:pPr>
        <w:jc w:val="center"/>
        <w:rPr>
          <w:rFonts w:ascii="Palatino" w:hAnsi="Palatino"/>
          <w:sz w:val="18"/>
        </w:rPr>
      </w:pPr>
      <w:r w:rsidRPr="00B12DB5">
        <w:rPr>
          <w:noProof/>
        </w:rPr>
        <w:drawing>
          <wp:inline distT="0" distB="0" distL="0" distR="0" wp14:anchorId="1EE821BA" wp14:editId="4A62AAA5">
            <wp:extent cx="6000750" cy="6976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0750" cy="6976135"/>
                    </a:xfrm>
                    <a:prstGeom prst="rect">
                      <a:avLst/>
                    </a:prstGeom>
                    <a:noFill/>
                    <a:ln>
                      <a:noFill/>
                    </a:ln>
                  </pic:spPr>
                </pic:pic>
              </a:graphicData>
            </a:graphic>
          </wp:inline>
        </w:drawing>
      </w:r>
    </w:p>
    <w:p w:rsidR="00B12DB5" w:rsidRDefault="00B12DB5" w:rsidP="00B12DB5">
      <w:pPr>
        <w:jc w:val="center"/>
        <w:rPr>
          <w:rFonts w:ascii="Palatino" w:hAnsi="Palatino"/>
          <w:sz w:val="18"/>
        </w:rPr>
      </w:pPr>
    </w:p>
    <w:p w:rsidR="00B12DB5" w:rsidRDefault="00B12DB5">
      <w:pPr>
        <w:rPr>
          <w:rFonts w:ascii="Palatino" w:hAnsi="Palatino"/>
          <w:sz w:val="18"/>
        </w:rPr>
      </w:pPr>
      <w:r>
        <w:rPr>
          <w:rFonts w:ascii="Palatino" w:hAnsi="Palatino"/>
          <w:sz w:val="18"/>
        </w:rPr>
        <w:br w:type="page"/>
      </w:r>
    </w:p>
    <w:p w:rsidR="00B12DB5" w:rsidRDefault="00B12DB5" w:rsidP="00B12DB5">
      <w:pPr>
        <w:jc w:val="center"/>
        <w:rPr>
          <w:rFonts w:ascii="Palatino" w:hAnsi="Palatino"/>
          <w:sz w:val="18"/>
        </w:rPr>
      </w:pPr>
    </w:p>
    <w:p w:rsidR="00B12DB5" w:rsidRDefault="00B12DB5" w:rsidP="00B12DB5">
      <w:pPr>
        <w:jc w:val="center"/>
        <w:rPr>
          <w:rFonts w:ascii="Palatino" w:hAnsi="Palatino"/>
          <w:sz w:val="18"/>
        </w:rPr>
      </w:pPr>
      <w:r w:rsidRPr="00B12DB5">
        <w:rPr>
          <w:noProof/>
        </w:rPr>
        <w:drawing>
          <wp:inline distT="0" distB="0" distL="0" distR="0" wp14:anchorId="2251D756" wp14:editId="38BEB88A">
            <wp:extent cx="6000750" cy="7155532"/>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0750" cy="7155532"/>
                    </a:xfrm>
                    <a:prstGeom prst="rect">
                      <a:avLst/>
                    </a:prstGeom>
                    <a:noFill/>
                    <a:ln>
                      <a:noFill/>
                    </a:ln>
                  </pic:spPr>
                </pic:pic>
              </a:graphicData>
            </a:graphic>
          </wp:inline>
        </w:drawing>
      </w:r>
    </w:p>
    <w:p w:rsidR="00865BB0" w:rsidRDefault="00865BB0">
      <w:pPr>
        <w:rPr>
          <w:rFonts w:ascii="Palatino" w:hAnsi="Palatino"/>
          <w:sz w:val="18"/>
        </w:rPr>
      </w:pPr>
      <w:r>
        <w:rPr>
          <w:rFonts w:ascii="Palatino" w:hAnsi="Palatino"/>
          <w:sz w:val="18"/>
        </w:rPr>
        <w:br w:type="page"/>
      </w:r>
    </w:p>
    <w:p w:rsidR="00865BB0" w:rsidRDefault="00865BB0" w:rsidP="00B12DB5">
      <w:pPr>
        <w:jc w:val="center"/>
        <w:rPr>
          <w:rFonts w:ascii="Palatino" w:hAnsi="Palatino"/>
          <w:sz w:val="18"/>
        </w:rPr>
      </w:pPr>
    </w:p>
    <w:p w:rsidR="00865BB0" w:rsidRDefault="00865BB0" w:rsidP="00B12DB5">
      <w:pPr>
        <w:jc w:val="center"/>
        <w:rPr>
          <w:rFonts w:ascii="Palatino" w:hAnsi="Palatino"/>
          <w:sz w:val="18"/>
        </w:rPr>
      </w:pPr>
      <w:r w:rsidRPr="00865BB0">
        <w:rPr>
          <w:noProof/>
        </w:rPr>
        <w:drawing>
          <wp:inline distT="0" distB="0" distL="0" distR="0" wp14:anchorId="7FB7499F" wp14:editId="359065C7">
            <wp:extent cx="6000750" cy="69761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00750" cy="6976135"/>
                    </a:xfrm>
                    <a:prstGeom prst="rect">
                      <a:avLst/>
                    </a:prstGeom>
                    <a:noFill/>
                    <a:ln>
                      <a:noFill/>
                    </a:ln>
                  </pic:spPr>
                </pic:pic>
              </a:graphicData>
            </a:graphic>
          </wp:inline>
        </w:drawing>
      </w:r>
    </w:p>
    <w:p w:rsidR="00865BB0" w:rsidRDefault="00865BB0" w:rsidP="00B12DB5">
      <w:pPr>
        <w:jc w:val="center"/>
        <w:rPr>
          <w:rFonts w:ascii="Palatino" w:hAnsi="Palatino"/>
          <w:sz w:val="18"/>
        </w:rPr>
      </w:pPr>
    </w:p>
    <w:p w:rsidR="00865BB0" w:rsidRDefault="00865BB0">
      <w:pPr>
        <w:rPr>
          <w:rFonts w:ascii="Palatino" w:hAnsi="Palatino"/>
          <w:sz w:val="18"/>
        </w:rPr>
      </w:pPr>
      <w:r>
        <w:rPr>
          <w:rFonts w:ascii="Palatino" w:hAnsi="Palatino"/>
          <w:sz w:val="18"/>
        </w:rPr>
        <w:br w:type="page"/>
      </w:r>
    </w:p>
    <w:p w:rsidR="00865BB0" w:rsidRDefault="00865BB0" w:rsidP="00B12DB5">
      <w:pPr>
        <w:jc w:val="center"/>
        <w:rPr>
          <w:rFonts w:ascii="Palatino" w:hAnsi="Palatino"/>
          <w:sz w:val="18"/>
        </w:rPr>
      </w:pPr>
    </w:p>
    <w:p w:rsidR="00865BB0" w:rsidRDefault="00865BB0" w:rsidP="00B12DB5">
      <w:pPr>
        <w:jc w:val="center"/>
        <w:rPr>
          <w:rFonts w:ascii="Palatino" w:hAnsi="Palatino"/>
          <w:sz w:val="18"/>
        </w:rPr>
      </w:pPr>
      <w:r w:rsidRPr="00865BB0">
        <w:rPr>
          <w:noProof/>
        </w:rPr>
        <w:drawing>
          <wp:inline distT="0" distB="0" distL="0" distR="0" wp14:anchorId="5456DA56" wp14:editId="2302FE38">
            <wp:extent cx="6000750" cy="685356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0750" cy="6853566"/>
                    </a:xfrm>
                    <a:prstGeom prst="rect">
                      <a:avLst/>
                    </a:prstGeom>
                    <a:noFill/>
                    <a:ln>
                      <a:noFill/>
                    </a:ln>
                  </pic:spPr>
                </pic:pic>
              </a:graphicData>
            </a:graphic>
          </wp:inline>
        </w:drawing>
      </w:r>
    </w:p>
    <w:p w:rsidR="008903F4" w:rsidRDefault="008903F4" w:rsidP="00B12DB5">
      <w:pPr>
        <w:jc w:val="center"/>
        <w:rPr>
          <w:rFonts w:ascii="Palatino" w:hAnsi="Palatino"/>
          <w:sz w:val="18"/>
        </w:rPr>
      </w:pPr>
    </w:p>
    <w:p w:rsidR="008903F4" w:rsidRDefault="008903F4">
      <w:pPr>
        <w:rPr>
          <w:rFonts w:ascii="Palatino" w:hAnsi="Palatino"/>
          <w:sz w:val="18"/>
        </w:rPr>
      </w:pPr>
      <w:r>
        <w:rPr>
          <w:rFonts w:ascii="Palatino" w:hAnsi="Palatino"/>
          <w:sz w:val="18"/>
        </w:rPr>
        <w:br w:type="page"/>
      </w:r>
    </w:p>
    <w:p w:rsidR="008903F4" w:rsidRDefault="008903F4" w:rsidP="00B12DB5">
      <w:pPr>
        <w:jc w:val="center"/>
        <w:rPr>
          <w:rFonts w:ascii="Palatino" w:hAnsi="Palatino"/>
          <w:sz w:val="18"/>
        </w:rPr>
      </w:pPr>
    </w:p>
    <w:p w:rsidR="008903F4" w:rsidRDefault="008903F4" w:rsidP="00B12DB5">
      <w:pPr>
        <w:jc w:val="center"/>
        <w:rPr>
          <w:rFonts w:ascii="Palatino" w:hAnsi="Palatino"/>
          <w:sz w:val="18"/>
        </w:rPr>
      </w:pPr>
      <w:r w:rsidRPr="008903F4">
        <w:rPr>
          <w:noProof/>
        </w:rPr>
        <w:drawing>
          <wp:inline distT="0" distB="0" distL="0" distR="0" wp14:anchorId="03AD4E80" wp14:editId="2AA924B9">
            <wp:extent cx="6000750" cy="69761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00750" cy="6976135"/>
                    </a:xfrm>
                    <a:prstGeom prst="rect">
                      <a:avLst/>
                    </a:prstGeom>
                    <a:noFill/>
                    <a:ln>
                      <a:noFill/>
                    </a:ln>
                  </pic:spPr>
                </pic:pic>
              </a:graphicData>
            </a:graphic>
          </wp:inline>
        </w:drawing>
      </w:r>
    </w:p>
    <w:p w:rsidR="008903F4" w:rsidRDefault="008903F4" w:rsidP="00B12DB5">
      <w:pPr>
        <w:jc w:val="center"/>
        <w:rPr>
          <w:rFonts w:ascii="Palatino" w:hAnsi="Palatino"/>
          <w:sz w:val="18"/>
        </w:rPr>
      </w:pPr>
    </w:p>
    <w:p w:rsidR="008903F4" w:rsidRDefault="008903F4">
      <w:pPr>
        <w:rPr>
          <w:rFonts w:ascii="Palatino" w:hAnsi="Palatino"/>
          <w:sz w:val="18"/>
        </w:rPr>
      </w:pPr>
      <w:r>
        <w:rPr>
          <w:rFonts w:ascii="Palatino" w:hAnsi="Palatino"/>
          <w:sz w:val="18"/>
        </w:rPr>
        <w:br w:type="page"/>
      </w:r>
    </w:p>
    <w:p w:rsidR="008903F4" w:rsidRDefault="008903F4" w:rsidP="00B12DB5">
      <w:pPr>
        <w:jc w:val="center"/>
        <w:rPr>
          <w:rFonts w:ascii="Palatino" w:hAnsi="Palatino"/>
          <w:sz w:val="18"/>
        </w:rPr>
      </w:pPr>
    </w:p>
    <w:p w:rsidR="008903F4" w:rsidRDefault="008903F4" w:rsidP="00B12DB5">
      <w:pPr>
        <w:jc w:val="center"/>
        <w:rPr>
          <w:rFonts w:ascii="Palatino" w:hAnsi="Palatino"/>
          <w:sz w:val="18"/>
        </w:rPr>
      </w:pPr>
    </w:p>
    <w:p w:rsidR="008903F4" w:rsidRDefault="008903F4" w:rsidP="00B12DB5">
      <w:pPr>
        <w:jc w:val="center"/>
        <w:rPr>
          <w:rFonts w:ascii="Palatino" w:hAnsi="Palatino"/>
          <w:sz w:val="18"/>
        </w:rPr>
      </w:pPr>
      <w:r w:rsidRPr="008903F4">
        <w:rPr>
          <w:noProof/>
        </w:rPr>
        <w:drawing>
          <wp:inline distT="0" distB="0" distL="0" distR="0" wp14:anchorId="141133CD" wp14:editId="72FCF5F1">
            <wp:extent cx="6000750" cy="69563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0750" cy="6956369"/>
                    </a:xfrm>
                    <a:prstGeom prst="rect">
                      <a:avLst/>
                    </a:prstGeom>
                    <a:noFill/>
                    <a:ln>
                      <a:noFill/>
                    </a:ln>
                  </pic:spPr>
                </pic:pic>
              </a:graphicData>
            </a:graphic>
          </wp:inline>
        </w:drawing>
      </w:r>
    </w:p>
    <w:p w:rsidR="008903F4" w:rsidRDefault="008903F4" w:rsidP="00B12DB5">
      <w:pPr>
        <w:jc w:val="center"/>
        <w:rPr>
          <w:rFonts w:ascii="Palatino" w:hAnsi="Palatino"/>
          <w:sz w:val="18"/>
        </w:rPr>
      </w:pPr>
    </w:p>
    <w:p w:rsidR="008903F4" w:rsidRDefault="008903F4">
      <w:pPr>
        <w:rPr>
          <w:rFonts w:ascii="Palatino" w:hAnsi="Palatino"/>
          <w:sz w:val="18"/>
        </w:rPr>
      </w:pPr>
      <w:r>
        <w:rPr>
          <w:rFonts w:ascii="Palatino" w:hAnsi="Palatino"/>
          <w:sz w:val="18"/>
        </w:rPr>
        <w:br w:type="page"/>
      </w:r>
    </w:p>
    <w:p w:rsidR="008903F4" w:rsidRDefault="008903F4" w:rsidP="00B12DB5">
      <w:pPr>
        <w:jc w:val="center"/>
        <w:rPr>
          <w:rFonts w:ascii="Palatino" w:hAnsi="Palatino"/>
          <w:sz w:val="18"/>
        </w:rPr>
      </w:pPr>
    </w:p>
    <w:p w:rsidR="008903F4" w:rsidRDefault="008903F4" w:rsidP="00B12DB5">
      <w:pPr>
        <w:jc w:val="center"/>
        <w:rPr>
          <w:rFonts w:ascii="Palatino" w:hAnsi="Palatino"/>
          <w:sz w:val="18"/>
        </w:rPr>
      </w:pPr>
      <w:r w:rsidRPr="008903F4">
        <w:rPr>
          <w:noProof/>
        </w:rPr>
        <w:drawing>
          <wp:inline distT="0" distB="0" distL="0" distR="0" wp14:anchorId="62EED2DB" wp14:editId="7F1BF458">
            <wp:extent cx="6000750" cy="7134738"/>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00750" cy="7134738"/>
                    </a:xfrm>
                    <a:prstGeom prst="rect">
                      <a:avLst/>
                    </a:prstGeom>
                    <a:noFill/>
                    <a:ln>
                      <a:noFill/>
                    </a:ln>
                  </pic:spPr>
                </pic:pic>
              </a:graphicData>
            </a:graphic>
          </wp:inline>
        </w:drawing>
      </w:r>
    </w:p>
    <w:p w:rsidR="005B4FA3" w:rsidRDefault="005B4FA3" w:rsidP="00B12DB5">
      <w:pPr>
        <w:jc w:val="center"/>
        <w:rPr>
          <w:rFonts w:ascii="Palatino" w:hAnsi="Palatino"/>
          <w:sz w:val="18"/>
        </w:rPr>
      </w:pPr>
    </w:p>
    <w:p w:rsidR="00680CB9" w:rsidRDefault="00680CB9" w:rsidP="00B12DB5">
      <w:pPr>
        <w:jc w:val="center"/>
        <w:rPr>
          <w:rFonts w:ascii="Palatino" w:hAnsi="Palatino"/>
          <w:sz w:val="18"/>
        </w:rPr>
      </w:pPr>
    </w:p>
    <w:p w:rsidR="00680CB9" w:rsidRDefault="00680CB9" w:rsidP="00B12DB5">
      <w:pPr>
        <w:jc w:val="center"/>
        <w:rPr>
          <w:rFonts w:ascii="Palatino" w:hAnsi="Palatino"/>
          <w:sz w:val="18"/>
        </w:rPr>
      </w:pPr>
    </w:p>
    <w:p w:rsidR="00680CB9" w:rsidRDefault="00680CB9" w:rsidP="00B12DB5">
      <w:pPr>
        <w:jc w:val="center"/>
        <w:rPr>
          <w:rFonts w:ascii="Palatino" w:hAnsi="Palatino"/>
          <w:sz w:val="18"/>
        </w:rPr>
      </w:pPr>
    </w:p>
    <w:p w:rsidR="00680CB9" w:rsidRDefault="00680CB9" w:rsidP="00B12DB5">
      <w:pPr>
        <w:jc w:val="center"/>
        <w:rPr>
          <w:rFonts w:ascii="Palatino" w:hAnsi="Palatino"/>
          <w:sz w:val="18"/>
        </w:rPr>
      </w:pPr>
    </w:p>
    <w:p w:rsidR="00680CB9" w:rsidRDefault="00680CB9" w:rsidP="00B12DB5">
      <w:pPr>
        <w:jc w:val="center"/>
        <w:rPr>
          <w:rFonts w:ascii="Palatino" w:hAnsi="Palatino"/>
          <w:sz w:val="18"/>
        </w:rPr>
      </w:pPr>
    </w:p>
    <w:p w:rsidR="005B4FA3" w:rsidRDefault="005B4FA3" w:rsidP="00B12DB5">
      <w:pPr>
        <w:jc w:val="center"/>
        <w:rPr>
          <w:rFonts w:ascii="Palatino" w:hAnsi="Palatino"/>
          <w:sz w:val="18"/>
        </w:rPr>
      </w:pPr>
      <w:r>
        <w:rPr>
          <w:rFonts w:ascii="Palatino" w:hAnsi="Palatino"/>
          <w:sz w:val="18"/>
        </w:rPr>
        <w:t>End of the Appendix</w:t>
      </w:r>
    </w:p>
    <w:sectPr w:rsidR="005B4FA3" w:rsidSect="00AC3310">
      <w:headerReference w:type="default" r:id="rId33"/>
      <w:footerReference w:type="default" r:id="rId34"/>
      <w:headerReference w:type="first" r:id="rId35"/>
      <w:footerReference w:type="first" r:id="rId36"/>
      <w:pgSz w:w="12240" w:h="15840" w:code="1"/>
      <w:pgMar w:top="720" w:right="1350" w:bottom="187" w:left="1440" w:header="720" w:footer="4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5B" w:rsidRDefault="008B355B">
      <w:r>
        <w:separator/>
      </w:r>
    </w:p>
  </w:endnote>
  <w:endnote w:type="continuationSeparator" w:id="0">
    <w:p w:rsidR="008B355B" w:rsidRDefault="008B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72" w:rsidRDefault="00AA2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Default="00C125A9">
    <w:pPr>
      <w:pStyle w:val="Footer"/>
      <w:jc w:val="center"/>
      <w:rPr>
        <w:rFonts w:ascii="Palatino Linotype" w:hAnsi="Palatino Linotype"/>
        <w:sz w:val="22"/>
        <w:szCs w:val="22"/>
      </w:rPr>
    </w:pPr>
    <w:r>
      <w:rPr>
        <w:rStyle w:val="PageNumber"/>
        <w:rFonts w:ascii="Palatino Linotype" w:hAnsi="Palatino Linotype"/>
        <w:sz w:val="22"/>
        <w:szCs w:val="22"/>
      </w:rPr>
      <w:fldChar w:fldCharType="begin"/>
    </w:r>
    <w:r>
      <w:rPr>
        <w:rStyle w:val="PageNumber"/>
        <w:rFonts w:ascii="Palatino Linotype" w:hAnsi="Palatino Linotype"/>
        <w:sz w:val="22"/>
        <w:szCs w:val="22"/>
      </w:rPr>
      <w:instrText xml:space="preserve"> PAGE </w:instrText>
    </w:r>
    <w:r>
      <w:rPr>
        <w:rStyle w:val="PageNumber"/>
        <w:rFonts w:ascii="Palatino Linotype" w:hAnsi="Palatino Linotype"/>
        <w:sz w:val="22"/>
        <w:szCs w:val="22"/>
      </w:rPr>
      <w:fldChar w:fldCharType="separate"/>
    </w:r>
    <w:r w:rsidR="002E24E0">
      <w:rPr>
        <w:rStyle w:val="PageNumber"/>
        <w:rFonts w:ascii="Palatino Linotype" w:hAnsi="Palatino Linotype"/>
        <w:noProof/>
        <w:sz w:val="22"/>
        <w:szCs w:val="22"/>
      </w:rPr>
      <w:t>2</w:t>
    </w:r>
    <w:r>
      <w:rPr>
        <w:rStyle w:val="PageNumber"/>
        <w:rFonts w:ascii="Palatino Linotype" w:hAnsi="Palatino Linotype"/>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Default="00C125A9">
    <w:pPr>
      <w:pStyle w:val="Footer"/>
      <w:framePr w:wrap="auto" w:vAnchor="text" w:hAnchor="margin" w:xAlign="center" w:y="1"/>
      <w:rPr>
        <w:rStyle w:val="PageNumber"/>
      </w:rPr>
    </w:pPr>
  </w:p>
  <w:p w:rsidR="00C125A9" w:rsidRPr="00F640CB" w:rsidRDefault="00F640CB">
    <w:pPr>
      <w:pStyle w:val="Footer"/>
      <w:tabs>
        <w:tab w:val="clear" w:pos="8640"/>
        <w:tab w:val="left" w:pos="4875"/>
      </w:tabs>
      <w:rPr>
        <w:rFonts w:ascii="Palatino" w:hAnsi="Palatino"/>
      </w:rPr>
    </w:pPr>
    <w:r w:rsidRPr="00F640CB">
      <w:rPr>
        <w:rFonts w:ascii="Tahoma" w:hAnsi="Tahoma" w:cs="Tahoma"/>
      </w:rPr>
      <w:t>143276262</w:t>
    </w:r>
    <w:r w:rsidR="002E24E0">
      <w:rPr>
        <w:rFonts w:ascii="Palatino" w:hAnsi="Palatino" w:cs="Tahoma"/>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75pt">
          <v:imagedata r:id="rId1" o:title=""/>
        </v:shape>
      </w:pict>
    </w:r>
    <w:r w:rsidR="00C125A9" w:rsidRPr="00F640CB">
      <w:rPr>
        <w:rFonts w:ascii="Palatino" w:hAnsi="Palatino"/>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CB" w:rsidRDefault="00F640CB">
    <w:pPr>
      <w:pStyle w:val="Footer"/>
      <w:framePr w:wrap="auto" w:vAnchor="text" w:hAnchor="margin" w:xAlign="center" w:y="1"/>
      <w:rPr>
        <w:rStyle w:val="PageNumber"/>
      </w:rPr>
    </w:pPr>
  </w:p>
  <w:p w:rsidR="00F640CB" w:rsidRPr="007510F0" w:rsidRDefault="002E24E0">
    <w:pPr>
      <w:pStyle w:val="Footer"/>
      <w:tabs>
        <w:tab w:val="clear" w:pos="8640"/>
        <w:tab w:val="left" w:pos="4875"/>
      </w:tabs>
      <w:rPr>
        <w:rFonts w:ascii="Palatino" w:hAnsi="Palatino"/>
      </w:rPr>
    </w:pPr>
    <w:r>
      <w:rPr>
        <w:rFonts w:ascii="Palatino" w:hAnsi="Palatino" w:cs="Tahoma"/>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75pt">
          <v:imagedata r:id="rId1" o:title=""/>
        </v:shape>
      </w:pict>
    </w:r>
    <w:r w:rsidR="00F640CB" w:rsidRPr="007510F0">
      <w:rPr>
        <w:rFonts w:ascii="Palatino" w:hAnsi="Palatino"/>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Default="00C125A9">
    <w:pPr>
      <w:pStyle w:val="Footer"/>
      <w:framePr w:wrap="auto" w:vAnchor="text" w:hAnchor="margin" w:xAlign="center" w:y="1"/>
      <w:rPr>
        <w:rStyle w:val="PageNumber"/>
        <w:rFonts w:ascii="Palatino" w:hAnsi="Palatino"/>
        <w:sz w:val="24"/>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680CB9">
      <w:rPr>
        <w:rStyle w:val="PageNumber"/>
        <w:noProof/>
      </w:rPr>
      <w:t>1</w:t>
    </w:r>
    <w:r>
      <w:rPr>
        <w:rStyle w:val="PageNumber"/>
      </w:rPr>
      <w:fldChar w:fldCharType="end"/>
    </w:r>
  </w:p>
  <w:p w:rsidR="00C125A9" w:rsidRDefault="00C125A9">
    <w:pPr>
      <w:pStyle w:val="Footer"/>
      <w:jc w:val="center"/>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Default="00C12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5B" w:rsidRDefault="008B355B">
      <w:r>
        <w:separator/>
      </w:r>
    </w:p>
  </w:footnote>
  <w:footnote w:type="continuationSeparator" w:id="0">
    <w:p w:rsidR="008B355B" w:rsidRDefault="008B355B">
      <w:r>
        <w:continuationSeparator/>
      </w:r>
    </w:p>
  </w:footnote>
  <w:footnote w:id="1">
    <w:p w:rsidR="00C125A9" w:rsidRDefault="00C125A9">
      <w:pPr>
        <w:pStyle w:val="FootnoteText"/>
      </w:pPr>
      <w:r>
        <w:rPr>
          <w:rStyle w:val="FootnoteReference"/>
        </w:rPr>
        <w:footnoteRef/>
      </w:r>
      <w:r>
        <w:t xml:space="preserve"> Verizon Telephone Company resulted from the merger of GTE of CA and GTE Contel.</w:t>
      </w:r>
    </w:p>
  </w:footnote>
  <w:footnote w:id="2">
    <w:p w:rsidR="001E3A88" w:rsidRDefault="001E3A88" w:rsidP="000B0D93">
      <w:pPr>
        <w:pStyle w:val="FootnoteText"/>
        <w:spacing w:after="120"/>
      </w:pPr>
      <w:r>
        <w:rPr>
          <w:rStyle w:val="FootnoteReference"/>
        </w:rPr>
        <w:footnoteRef/>
      </w:r>
      <w:r>
        <w:t xml:space="preserve"> </w:t>
      </w:r>
      <w:r w:rsidR="00CF4651">
        <w:t>By D.01-09-064, the Commission revised the charter of CHCFA-AC to conform to SB 669.</w:t>
      </w:r>
    </w:p>
  </w:footnote>
  <w:footnote w:id="3">
    <w:p w:rsidR="00CF4651" w:rsidRDefault="00CF4651" w:rsidP="000B0D93">
      <w:pPr>
        <w:pStyle w:val="FootnoteText"/>
        <w:spacing w:after="120"/>
      </w:pPr>
      <w:r>
        <w:rPr>
          <w:rStyle w:val="FootnoteReference"/>
        </w:rPr>
        <w:footnoteRef/>
      </w:r>
      <w:r>
        <w:t xml:space="preserve"> On September 22, 2014, the Governor signed into law SB 1364, extending the program from January 1, 2015, to January 1, 2019.  The bill is codified in Public Utilities Code § 275.6(g).</w:t>
      </w:r>
    </w:p>
  </w:footnote>
  <w:footnote w:id="4">
    <w:p w:rsidR="00C125A9" w:rsidRDefault="00C125A9">
      <w:pPr>
        <w:pStyle w:val="FootnoteText"/>
      </w:pPr>
      <w:r>
        <w:rPr>
          <w:rStyle w:val="FootnoteReference"/>
        </w:rPr>
        <w:footnoteRef/>
      </w:r>
      <w:r>
        <w:t xml:space="preserve"> D.91-09-042 at Appendix, page 2</w:t>
      </w:r>
    </w:p>
  </w:footnote>
  <w:footnote w:id="5">
    <w:p w:rsidR="00C125A9" w:rsidRPr="00B82FEA" w:rsidRDefault="00C125A9" w:rsidP="00675918">
      <w:pPr>
        <w:pStyle w:val="FootnoteText"/>
        <w:rPr>
          <w:sz w:val="22"/>
          <w:szCs w:val="22"/>
        </w:rPr>
      </w:pPr>
      <w:r w:rsidRPr="00BA3B64">
        <w:rPr>
          <w:rStyle w:val="FootnoteReference"/>
          <w:rFonts w:ascii="Palatino Linotype" w:hAnsi="Palatino Linotype"/>
        </w:rPr>
        <w:footnoteRef/>
      </w:r>
      <w:r w:rsidRPr="00BA3B64">
        <w:rPr>
          <w:rFonts w:ascii="Palatino Linotype" w:hAnsi="Palatino Linotype"/>
        </w:rPr>
        <w:t xml:space="preserve">  </w:t>
      </w:r>
      <w:r w:rsidRPr="00B82FEA">
        <w:rPr>
          <w:sz w:val="22"/>
          <w:szCs w:val="22"/>
        </w:rPr>
        <w:t>On April 29, 2014, the Commission’s Executive Direc</w:t>
      </w:r>
      <w:r>
        <w:rPr>
          <w:sz w:val="22"/>
          <w:szCs w:val="22"/>
        </w:rPr>
        <w:t>tor granted a request for a 60-</w:t>
      </w:r>
      <w:r w:rsidRPr="00B82FEA">
        <w:rPr>
          <w:sz w:val="22"/>
          <w:szCs w:val="22"/>
        </w:rPr>
        <w:t xml:space="preserve">day extension of the general rate case deadline.  </w:t>
      </w:r>
    </w:p>
  </w:footnote>
  <w:footnote w:id="6">
    <w:p w:rsidR="00C125A9" w:rsidRDefault="00C125A9">
      <w:pPr>
        <w:pStyle w:val="FootnoteText"/>
      </w:pPr>
      <w:r>
        <w:rPr>
          <w:rStyle w:val="FootnoteReference"/>
          <w:rFonts w:ascii="Palatino" w:hAnsi="Palatino"/>
        </w:rPr>
        <w:footnoteRef/>
      </w:r>
      <w:r>
        <w:rPr>
          <w:rFonts w:ascii="Palatino" w:hAnsi="Palatino"/>
        </w:rPr>
        <w:t xml:space="preserve"> Data used is the NECA projected 2015 USF </w:t>
      </w:r>
      <w:r w:rsidR="001A6863">
        <w:rPr>
          <w:rFonts w:ascii="Palatino" w:hAnsi="Palatino"/>
        </w:rPr>
        <w:t>p</w:t>
      </w:r>
      <w:r>
        <w:rPr>
          <w:rFonts w:ascii="Palatino" w:hAnsi="Palatino"/>
        </w:rPr>
        <w:t xml:space="preserve">ayments </w:t>
      </w:r>
      <w:r w:rsidR="0042623B">
        <w:rPr>
          <w:rFonts w:ascii="Palatino" w:hAnsi="Palatino"/>
        </w:rPr>
        <w:t xml:space="preserve">was </w:t>
      </w:r>
      <w:r>
        <w:rPr>
          <w:rFonts w:ascii="Palatino" w:hAnsi="Palatino"/>
        </w:rPr>
        <w:t xml:space="preserve">provided by </w:t>
      </w:r>
      <w:r w:rsidRPr="002F281E">
        <w:rPr>
          <w:rFonts w:ascii="Palatino" w:hAnsi="Palatino"/>
        </w:rPr>
        <w:t>NECA on October 1, 2014.</w:t>
      </w:r>
      <w:r w:rsidR="001A6863" w:rsidRPr="001A1433">
        <w:rPr>
          <w:rFonts w:ascii="Palatino" w:hAnsi="Palatino"/>
        </w:rPr>
        <w:t xml:space="preserve">  </w:t>
      </w:r>
      <w:r w:rsidR="001A6863" w:rsidRPr="00EA40F3">
        <w:rPr>
          <w:rFonts w:ascii="Palatino" w:hAnsi="Palatino"/>
        </w:rPr>
        <w:t>NECA updated Cal-Ore’s USF payments</w:t>
      </w:r>
      <w:r w:rsidR="00091098">
        <w:rPr>
          <w:rFonts w:ascii="Palatino" w:hAnsi="Palatino"/>
        </w:rPr>
        <w:t>,</w:t>
      </w:r>
      <w:r w:rsidRPr="00EA40F3">
        <w:rPr>
          <w:rFonts w:ascii="Palatino" w:hAnsi="Palatino"/>
        </w:rPr>
        <w:t xml:space="preserve"> </w:t>
      </w:r>
      <w:r w:rsidR="001A6863" w:rsidRPr="00EA40F3">
        <w:rPr>
          <w:rFonts w:ascii="Palatino" w:hAnsi="Palatino"/>
        </w:rPr>
        <w:t xml:space="preserve">and </w:t>
      </w:r>
      <w:r w:rsidR="00091098">
        <w:rPr>
          <w:rFonts w:ascii="Palatino" w:hAnsi="Palatino"/>
        </w:rPr>
        <w:t>its</w:t>
      </w:r>
      <w:r w:rsidR="001A6863" w:rsidRPr="00EA40F3">
        <w:rPr>
          <w:rFonts w:ascii="Palatino" w:hAnsi="Palatino"/>
        </w:rPr>
        <w:t xml:space="preserve"> number was </w:t>
      </w:r>
      <w:r w:rsidR="0042623B">
        <w:rPr>
          <w:rFonts w:ascii="Palatino" w:hAnsi="Palatino"/>
        </w:rPr>
        <w:t xml:space="preserve">then </w:t>
      </w:r>
      <w:r w:rsidR="001A6863" w:rsidRPr="00EA40F3">
        <w:rPr>
          <w:rFonts w:ascii="Palatino" w:hAnsi="Palatino"/>
        </w:rPr>
        <w:t>updated by CD.</w:t>
      </w:r>
      <w:r>
        <w:rPr>
          <w:rFonts w:ascii="Palatino" w:hAnsi="Palatino"/>
        </w:rPr>
        <w:t xml:space="preserve"> </w:t>
      </w:r>
    </w:p>
  </w:footnote>
  <w:footnote w:id="7">
    <w:p w:rsidR="00C125A9" w:rsidRDefault="00C125A9">
      <w:pPr>
        <w:pStyle w:val="FootnoteText"/>
      </w:pPr>
      <w:r>
        <w:rPr>
          <w:rStyle w:val="FootnoteReference"/>
        </w:rPr>
        <w:footnoteRef/>
      </w:r>
      <w:r>
        <w:t xml:space="preserve"> D.14-01-036 at page 39</w:t>
      </w:r>
    </w:p>
  </w:footnote>
  <w:footnote w:id="8">
    <w:p w:rsidR="0013193D" w:rsidRDefault="0013193D" w:rsidP="0013193D">
      <w:pPr>
        <w:pStyle w:val="FootnoteText"/>
      </w:pPr>
      <w:r>
        <w:rPr>
          <w:rStyle w:val="FootnoteReference"/>
        </w:rPr>
        <w:footnoteRef/>
      </w:r>
      <w:r>
        <w:t xml:space="preserve"> D.91-09-042 amending D.91-05-016, replacing Conclusion of Law 3, stating: “The CHCF rules should be modified to limit CHCF support to amounts which would provide no more than the utility’s authorized intrastate rate of return or to the current funding level for the year for which CHCF is being requested, whichever is lower, using a “means test” as proposed by DRA.  The means test should be based on forecasted intrastate rate of return using at least seven months of recorded data annual for the year in which the CHCF advice letter is filed and adjusted for known Commission regulatory decisions for determining appropriate funding levels for the utility.”</w:t>
      </w:r>
    </w:p>
  </w:footnote>
  <w:footnote w:id="9">
    <w:p w:rsidR="00C125A9" w:rsidRDefault="00C125A9" w:rsidP="007A164A">
      <w:pPr>
        <w:pStyle w:val="FootnoteText"/>
      </w:pPr>
      <w:r>
        <w:rPr>
          <w:rStyle w:val="FootnoteReference"/>
        </w:rPr>
        <w:footnoteRef/>
      </w:r>
      <w:r>
        <w:t xml:space="preserve"> The January 2015 monthly support will be paid in February 2015 and the December 2015 monthly support will be paid in January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72" w:rsidRDefault="00AA2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Pr="0052308A" w:rsidRDefault="00C125A9" w:rsidP="00577003">
    <w:pPr>
      <w:ind w:right="-360"/>
      <w:rPr>
        <w:rFonts w:ascii="Palatino" w:hAnsi="Palatino"/>
        <w:sz w:val="24"/>
        <w:szCs w:val="24"/>
      </w:rPr>
    </w:pPr>
    <w:r w:rsidRPr="0052308A">
      <w:rPr>
        <w:rFonts w:ascii="Palatino" w:hAnsi="Palatino"/>
        <w:sz w:val="24"/>
        <w:szCs w:val="24"/>
      </w:rPr>
      <w:t>R</w:t>
    </w:r>
    <w:r>
      <w:rPr>
        <w:rFonts w:ascii="Palatino" w:hAnsi="Palatino"/>
        <w:sz w:val="24"/>
        <w:szCs w:val="24"/>
      </w:rPr>
      <w:t>esolution T-17461</w:t>
    </w:r>
    <w:r>
      <w:rPr>
        <w:rFonts w:ascii="Palatino" w:hAnsi="Palatino"/>
        <w:sz w:val="24"/>
        <w:szCs w:val="24"/>
      </w:rPr>
      <w:tab/>
    </w:r>
    <w:r w:rsidRPr="0052308A">
      <w:rPr>
        <w:rFonts w:ascii="Palatino" w:hAnsi="Palatino"/>
        <w:sz w:val="24"/>
        <w:szCs w:val="24"/>
      </w:rPr>
      <w:tab/>
      <w:t xml:space="preserve"> </w:t>
    </w:r>
    <w:r>
      <w:rPr>
        <w:rFonts w:ascii="Palatino" w:hAnsi="Palatino"/>
        <w:sz w:val="24"/>
        <w:szCs w:val="24"/>
      </w:rPr>
      <w:t xml:space="preserve">            </w:t>
    </w:r>
    <w:r w:rsidR="00577003">
      <w:rPr>
        <w:rFonts w:ascii="Palatino" w:hAnsi="Palatino"/>
        <w:sz w:val="24"/>
        <w:szCs w:val="24"/>
      </w:rPr>
      <w:t xml:space="preserve">        </w:t>
    </w:r>
    <w:r w:rsidR="005D6794">
      <w:rPr>
        <w:rFonts w:ascii="Palatino" w:hAnsi="Palatino"/>
        <w:sz w:val="24"/>
        <w:szCs w:val="24"/>
      </w:rPr>
      <w:t>DRAFT</w:t>
    </w:r>
    <w:r w:rsidR="00577003">
      <w:rPr>
        <w:rFonts w:ascii="Palatino" w:hAnsi="Palatino"/>
        <w:sz w:val="24"/>
        <w:szCs w:val="24"/>
      </w:rPr>
      <w:t xml:space="preserve">                                                       1/15/2015</w:t>
    </w:r>
  </w:p>
  <w:p w:rsidR="00C125A9" w:rsidRDefault="00C125A9" w:rsidP="0052308A">
    <w:pPr>
      <w:pStyle w:val="Header"/>
    </w:pPr>
    <w:r w:rsidRPr="0052308A">
      <w:rPr>
        <w:rFonts w:ascii="Palatino" w:hAnsi="Palatino"/>
        <w:sz w:val="24"/>
        <w:szCs w:val="24"/>
      </w:rPr>
      <w:t>CD/MWC</w:t>
    </w:r>
    <w:r w:rsidRPr="0052308A">
      <w:rPr>
        <w:rFonts w:ascii="Palatino" w:hAnsi="Palatino"/>
        <w:sz w:val="24"/>
        <w:szCs w:val="24"/>
      </w:rPr>
      <w:tab/>
    </w:r>
    <w:r w:rsidR="002F4F67">
      <w:rPr>
        <w:rFonts w:ascii="Palatino" w:hAnsi="Palatino"/>
        <w:sz w:val="24"/>
        <w:szCs w:val="24"/>
      </w:rPr>
      <w:t xml:space="preserve">          </w:t>
    </w:r>
    <w:r w:rsidR="003718C8">
      <w:rPr>
        <w:rFonts w:ascii="Palatino" w:hAnsi="Palatino"/>
        <w:sz w:val="24"/>
        <w:szCs w:val="24"/>
      </w:rPr>
      <w:tab/>
    </w:r>
    <w:r>
      <w:rPr>
        <w:rFonts w:ascii="Palatino" w:hAnsi="Palatino"/>
        <w:sz w:val="24"/>
        <w:szCs w:val="24"/>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Pr="006C76E3" w:rsidRDefault="00C125A9" w:rsidP="006C76E3">
    <w:pPr>
      <w:ind w:right="-360"/>
      <w:rPr>
        <w:rFonts w:ascii="Palatino" w:hAnsi="Palatino"/>
        <w:sz w:val="24"/>
        <w:szCs w:val="24"/>
      </w:rPr>
    </w:pPr>
    <w:r>
      <w:rPr>
        <w:rFonts w:ascii="Palatino" w:hAnsi="Palatino"/>
        <w:sz w:val="24"/>
        <w:szCs w:val="24"/>
      </w:rPr>
      <w:t>Resolution T-17461</w:t>
    </w:r>
    <w:r w:rsidRPr="006C76E3">
      <w:rPr>
        <w:rFonts w:ascii="Palatino" w:hAnsi="Palatino"/>
        <w:sz w:val="24"/>
        <w:szCs w:val="24"/>
      </w:rPr>
      <w:tab/>
    </w:r>
    <w:r w:rsidRPr="006C76E3">
      <w:rPr>
        <w:rFonts w:ascii="Palatino" w:hAnsi="Palatino"/>
        <w:sz w:val="24"/>
        <w:szCs w:val="24"/>
      </w:rPr>
      <w:tab/>
    </w:r>
    <w:r w:rsidRPr="006C76E3">
      <w:rPr>
        <w:rFonts w:ascii="Palatino" w:hAnsi="Palatino"/>
        <w:sz w:val="24"/>
        <w:szCs w:val="24"/>
      </w:rPr>
      <w:tab/>
    </w:r>
    <w:r w:rsidR="00142E4E">
      <w:rPr>
        <w:rFonts w:ascii="Palatino" w:hAnsi="Palatino"/>
        <w:sz w:val="24"/>
        <w:szCs w:val="24"/>
      </w:rPr>
      <w:tab/>
    </w:r>
    <w:r w:rsidR="00142E4E">
      <w:rPr>
        <w:rFonts w:ascii="Palatino" w:hAnsi="Palatino"/>
        <w:sz w:val="24"/>
        <w:szCs w:val="24"/>
      </w:rPr>
      <w:tab/>
    </w:r>
    <w:r w:rsidR="00142E4E">
      <w:rPr>
        <w:rFonts w:ascii="Palatino" w:hAnsi="Palatino"/>
        <w:sz w:val="24"/>
        <w:szCs w:val="24"/>
      </w:rPr>
      <w:tab/>
    </w:r>
    <w:r w:rsidR="00142E4E">
      <w:rPr>
        <w:rFonts w:ascii="Palatino" w:hAnsi="Palatino"/>
        <w:sz w:val="24"/>
        <w:szCs w:val="24"/>
      </w:rPr>
      <w:tab/>
    </w:r>
    <w:r w:rsidR="00142E4E">
      <w:rPr>
        <w:rFonts w:ascii="Palatino" w:hAnsi="Palatino"/>
        <w:sz w:val="24"/>
        <w:szCs w:val="24"/>
      </w:rPr>
      <w:tab/>
    </w:r>
    <w:r>
      <w:rPr>
        <w:rFonts w:ascii="Palatino" w:hAnsi="Palatino"/>
        <w:sz w:val="24"/>
        <w:szCs w:val="24"/>
      </w:rPr>
      <w:t>Agenda ID#</w:t>
    </w:r>
    <w:r w:rsidR="00142E4E">
      <w:rPr>
        <w:rFonts w:ascii="Palatino" w:hAnsi="Palatino"/>
        <w:sz w:val="24"/>
        <w:szCs w:val="24"/>
      </w:rPr>
      <w:t>13566</w:t>
    </w:r>
  </w:p>
  <w:p w:rsidR="00C125A9" w:rsidRPr="006C76E3" w:rsidRDefault="00C125A9" w:rsidP="0091452C">
    <w:pPr>
      <w:rPr>
        <w:rFonts w:ascii="Palatino" w:hAnsi="Palatino"/>
        <w:sz w:val="24"/>
        <w:szCs w:val="24"/>
      </w:rPr>
    </w:pPr>
    <w:r w:rsidRPr="006C76E3">
      <w:rPr>
        <w:rFonts w:ascii="Palatino" w:hAnsi="Palatino"/>
        <w:sz w:val="24"/>
        <w:szCs w:val="24"/>
      </w:rPr>
      <w:t>CD/MWC</w:t>
    </w:r>
    <w:r w:rsidRPr="006C76E3">
      <w:rPr>
        <w:rFonts w:ascii="Palatino" w:hAnsi="Palatino"/>
        <w:sz w:val="24"/>
        <w:szCs w:val="24"/>
      </w:rPr>
      <w:tab/>
      <w:t xml:space="preserve">         </w:t>
    </w:r>
    <w:r>
      <w:rPr>
        <w:rFonts w:ascii="Palatino" w:hAnsi="Palatino"/>
        <w:sz w:val="24"/>
        <w:szCs w:val="24"/>
      </w:rPr>
      <w:t xml:space="preserve">  </w:t>
    </w:r>
    <w:r>
      <w:rPr>
        <w:rFonts w:ascii="Palatino" w:hAnsi="Palatino"/>
        <w:sz w:val="24"/>
        <w:szCs w:val="24"/>
      </w:rPr>
      <w:tab/>
    </w:r>
    <w:r w:rsidRPr="006C76E3">
      <w:rPr>
        <w:rFonts w:ascii="Palatino" w:hAnsi="Palatino"/>
        <w:sz w:val="24"/>
        <w:szCs w:val="24"/>
      </w:rPr>
      <w:tab/>
    </w:r>
    <w:r w:rsidRPr="006C76E3">
      <w:rPr>
        <w:rFonts w:ascii="Palatino" w:hAnsi="Palatino"/>
        <w:sz w:val="24"/>
        <w:szCs w:val="24"/>
      </w:rPr>
      <w:tab/>
      <w:t xml:space="preserve">   </w:t>
    </w:r>
    <w:r>
      <w:rPr>
        <w:rFonts w:ascii="Palatino" w:hAnsi="Palatino"/>
        <w:sz w:val="24"/>
        <w:szCs w:val="24"/>
      </w:rPr>
      <w:tab/>
    </w:r>
    <w:r w:rsidR="008D7316">
      <w:rPr>
        <w:rFonts w:ascii="Palatino" w:hAnsi="Palatino"/>
        <w:sz w:val="24"/>
        <w:szCs w:val="24"/>
      </w:rPr>
      <w:t>DRAFT</w:t>
    </w:r>
    <w:r>
      <w:rPr>
        <w:rFonts w:ascii="Palatino" w:hAnsi="Palatino"/>
        <w:sz w:val="24"/>
        <w:szCs w:val="24"/>
      </w:rPr>
      <w:tab/>
    </w:r>
    <w:r>
      <w:rPr>
        <w:rFonts w:ascii="Palatino" w:hAnsi="Palatino"/>
        <w:sz w:val="24"/>
        <w:szCs w:val="24"/>
      </w:rPr>
      <w:tab/>
      <w:t xml:space="preserve"> </w:t>
    </w:r>
    <w:r w:rsidR="00A30181">
      <w:rPr>
        <w:rFonts w:ascii="Palatino" w:hAnsi="Palatino"/>
        <w:sz w:val="24"/>
        <w:szCs w:val="24"/>
      </w:rPr>
      <w:tab/>
      <w:t xml:space="preserve">    </w:t>
    </w:r>
    <w:r w:rsidR="00C42147">
      <w:rPr>
        <w:rFonts w:ascii="Palatino" w:hAnsi="Palatino"/>
        <w:sz w:val="24"/>
        <w:szCs w:val="24"/>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EA" w:rsidRPr="006C76E3" w:rsidRDefault="007523EA" w:rsidP="006C76E3">
    <w:pPr>
      <w:ind w:right="-360"/>
      <w:rPr>
        <w:rFonts w:ascii="Palatino" w:hAnsi="Palatino"/>
        <w:sz w:val="24"/>
        <w:szCs w:val="24"/>
      </w:rPr>
    </w:pPr>
    <w:r>
      <w:rPr>
        <w:rFonts w:ascii="Palatino" w:hAnsi="Palatino"/>
        <w:sz w:val="24"/>
        <w:szCs w:val="24"/>
      </w:rPr>
      <w:t>Resolution T-17461</w:t>
    </w:r>
    <w:r w:rsidRPr="006C76E3">
      <w:rPr>
        <w:rFonts w:ascii="Palatino" w:hAnsi="Palatino"/>
        <w:sz w:val="24"/>
        <w:szCs w:val="24"/>
      </w:rPr>
      <w:tab/>
    </w:r>
    <w:r w:rsidRPr="006C76E3">
      <w:rPr>
        <w:rFonts w:ascii="Palatino" w:hAnsi="Palatino"/>
        <w:sz w:val="24"/>
        <w:szCs w:val="24"/>
      </w:rPr>
      <w:tab/>
    </w:r>
    <w:r w:rsidRPr="006C76E3">
      <w:rPr>
        <w:rFonts w:ascii="Palatino" w:hAnsi="Palatino"/>
        <w:sz w:val="24"/>
        <w:szCs w:val="24"/>
      </w:rPr>
      <w:tab/>
    </w:r>
    <w:r>
      <w:rPr>
        <w:rFonts w:ascii="Palatino" w:hAnsi="Palatino"/>
        <w:sz w:val="24"/>
        <w:szCs w:val="24"/>
      </w:rPr>
      <w:tab/>
    </w:r>
    <w:r>
      <w:rPr>
        <w:rFonts w:ascii="Palatino" w:hAnsi="Palatino"/>
        <w:sz w:val="24"/>
        <w:szCs w:val="24"/>
      </w:rPr>
      <w:tab/>
    </w:r>
    <w:r>
      <w:rPr>
        <w:rFonts w:ascii="Palatino" w:hAnsi="Palatino"/>
        <w:sz w:val="24"/>
        <w:szCs w:val="24"/>
      </w:rPr>
      <w:tab/>
    </w:r>
    <w:r>
      <w:rPr>
        <w:rFonts w:ascii="Palatino" w:hAnsi="Palatino"/>
        <w:sz w:val="24"/>
        <w:szCs w:val="24"/>
      </w:rPr>
      <w:tab/>
    </w:r>
    <w:r>
      <w:rPr>
        <w:rFonts w:ascii="Palatino" w:hAnsi="Palatino"/>
        <w:sz w:val="24"/>
        <w:szCs w:val="24"/>
      </w:rPr>
      <w:tab/>
    </w:r>
  </w:p>
  <w:p w:rsidR="007523EA" w:rsidRPr="006C76E3" w:rsidRDefault="007523EA" w:rsidP="0091452C">
    <w:pPr>
      <w:rPr>
        <w:rFonts w:ascii="Palatino" w:hAnsi="Palatino"/>
        <w:sz w:val="24"/>
        <w:szCs w:val="24"/>
      </w:rPr>
    </w:pPr>
    <w:r w:rsidRPr="006C76E3">
      <w:rPr>
        <w:rFonts w:ascii="Palatino" w:hAnsi="Palatino"/>
        <w:sz w:val="24"/>
        <w:szCs w:val="24"/>
      </w:rPr>
      <w:t>CD/MWC</w:t>
    </w:r>
    <w:r w:rsidRPr="006C76E3">
      <w:rPr>
        <w:rFonts w:ascii="Palatino" w:hAnsi="Palatino"/>
        <w:sz w:val="24"/>
        <w:szCs w:val="24"/>
      </w:rPr>
      <w:tab/>
      <w:t xml:space="preserve">         </w:t>
    </w:r>
    <w:r>
      <w:rPr>
        <w:rFonts w:ascii="Palatino" w:hAnsi="Palatino"/>
        <w:sz w:val="24"/>
        <w:szCs w:val="24"/>
      </w:rPr>
      <w:t xml:space="preserve">  </w:t>
    </w:r>
    <w:r>
      <w:rPr>
        <w:rFonts w:ascii="Palatino" w:hAnsi="Palatino"/>
        <w:sz w:val="24"/>
        <w:szCs w:val="24"/>
      </w:rPr>
      <w:tab/>
    </w:r>
    <w:r w:rsidRPr="006C76E3">
      <w:rPr>
        <w:rFonts w:ascii="Palatino" w:hAnsi="Palatino"/>
        <w:sz w:val="24"/>
        <w:szCs w:val="24"/>
      </w:rPr>
      <w:tab/>
    </w:r>
    <w:r w:rsidRPr="006C76E3">
      <w:rPr>
        <w:rFonts w:ascii="Palatino" w:hAnsi="Palatino"/>
        <w:sz w:val="24"/>
        <w:szCs w:val="24"/>
      </w:rPr>
      <w:tab/>
      <w:t xml:space="preserve">   </w:t>
    </w:r>
    <w:r>
      <w:rPr>
        <w:rFonts w:ascii="Palatino" w:hAnsi="Palatino"/>
        <w:sz w:val="24"/>
        <w:szCs w:val="24"/>
      </w:rPr>
      <w:tab/>
    </w:r>
    <w:r>
      <w:rPr>
        <w:rFonts w:ascii="Palatino" w:hAnsi="Palatino"/>
        <w:sz w:val="24"/>
        <w:szCs w:val="24"/>
      </w:rPr>
      <w:tab/>
    </w:r>
    <w:r>
      <w:rPr>
        <w:rFonts w:ascii="Palatino" w:hAnsi="Palatino"/>
        <w:sz w:val="24"/>
        <w:szCs w:val="24"/>
      </w:rPr>
      <w:tab/>
      <w:t xml:space="preserve"> </w:t>
    </w:r>
    <w:r>
      <w:rPr>
        <w:rFonts w:ascii="Palatino" w:hAnsi="Palatino"/>
        <w:sz w:val="24"/>
        <w:szCs w:val="24"/>
      </w:rPr>
      <w:tab/>
      <w:t xml:space="preserve">    </w:t>
    </w:r>
    <w:r>
      <w:rPr>
        <w:rFonts w:ascii="Palatino" w:hAnsi="Palatino"/>
        <w:sz w:val="24"/>
        <w:szCs w:val="24"/>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Default="00C125A9" w:rsidP="006325B7">
    <w:pPr>
      <w:pStyle w:val="Header"/>
      <w:tabs>
        <w:tab w:val="clear" w:pos="4320"/>
        <w:tab w:val="clear" w:pos="8640"/>
        <w:tab w:val="left" w:pos="4750"/>
        <w:tab w:val="right" w:pos="9450"/>
      </w:tabs>
      <w:ind w:right="-270"/>
      <w:rPr>
        <w:rFonts w:ascii="Palatino" w:hAnsi="Palatino"/>
        <w:sz w:val="24"/>
      </w:rPr>
    </w:pPr>
    <w:r>
      <w:rPr>
        <w:rFonts w:ascii="Palatino" w:hAnsi="Palatino"/>
        <w:sz w:val="24"/>
      </w:rPr>
      <w:t xml:space="preserve">Resolution T- 17461                                  </w:t>
    </w:r>
    <w:r>
      <w:rPr>
        <w:rFonts w:ascii="Palatino" w:hAnsi="Palatino"/>
        <w:sz w:val="24"/>
      </w:rPr>
      <w:tab/>
    </w:r>
  </w:p>
  <w:p w:rsidR="00C125A9" w:rsidRDefault="00C125A9">
    <w:pPr>
      <w:pStyle w:val="Header"/>
      <w:tabs>
        <w:tab w:val="clear" w:pos="4320"/>
        <w:tab w:val="clear" w:pos="8640"/>
      </w:tabs>
      <w:rPr>
        <w:rFonts w:ascii="Palatino" w:hAnsi="Palatino"/>
        <w:sz w:val="24"/>
      </w:rPr>
    </w:pPr>
    <w:r>
      <w:rPr>
        <w:rFonts w:ascii="Palatino" w:hAnsi="Palatino"/>
        <w:sz w:val="24"/>
      </w:rPr>
      <w:t>CD/MWC</w:t>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p>
  <w:p w:rsidR="00C125A9" w:rsidRDefault="00C125A9" w:rsidP="006C4DB5">
    <w:pPr>
      <w:pStyle w:val="Header"/>
      <w:jc w:val="center"/>
      <w:rPr>
        <w:rFonts w:ascii="Palatino" w:hAnsi="Palatino"/>
        <w:sz w:val="28"/>
      </w:rPr>
    </w:pPr>
    <w:r>
      <w:rPr>
        <w:rFonts w:ascii="Palatino" w:hAnsi="Palatino"/>
        <w:sz w:val="28"/>
      </w:rPr>
      <w:t>APPENDIX A</w:t>
    </w:r>
  </w:p>
  <w:p w:rsidR="00C125A9" w:rsidRDefault="00C125A9" w:rsidP="006C4DB5">
    <w:pPr>
      <w:pStyle w:val="Header"/>
      <w:tabs>
        <w:tab w:val="clear" w:pos="4320"/>
        <w:tab w:val="clear" w:pos="8640"/>
      </w:tabs>
      <w:jc w:val="center"/>
      <w:rPr>
        <w:rFonts w:ascii="Palatino" w:hAnsi="Palatino"/>
        <w:sz w:val="24"/>
      </w:rPr>
    </w:pPr>
    <w:r>
      <w:rPr>
        <w:rFonts w:ascii="Palatino" w:hAnsi="Palatino"/>
        <w:sz w:val="24"/>
      </w:rPr>
      <w:t>Resolution T- 17461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A9" w:rsidRDefault="00C125A9">
    <w:pPr>
      <w:pStyle w:val="Header"/>
      <w:tabs>
        <w:tab w:val="clear" w:pos="8640"/>
        <w:tab w:val="right" w:pos="9090"/>
      </w:tabs>
      <w:ind w:right="90"/>
      <w:rPr>
        <w:rFonts w:ascii="Palatino" w:hAnsi="Palatino"/>
        <w:sz w:val="24"/>
      </w:rPr>
    </w:pPr>
    <w:r>
      <w:rPr>
        <w:rFonts w:ascii="Palatino" w:hAnsi="Palatino"/>
        <w:sz w:val="24"/>
      </w:rPr>
      <w:t>Resolution T- 17181</w:t>
    </w:r>
  </w:p>
  <w:p w:rsidR="00C125A9" w:rsidRDefault="00C125A9">
    <w:pPr>
      <w:pStyle w:val="Header"/>
      <w:tabs>
        <w:tab w:val="clear" w:pos="8640"/>
        <w:tab w:val="right" w:pos="9630"/>
      </w:tabs>
      <w:rPr>
        <w:rFonts w:ascii="Palatino" w:hAnsi="Palatino"/>
        <w:sz w:val="24"/>
      </w:rPr>
    </w:pPr>
    <w:r>
      <w:rPr>
        <w:rFonts w:ascii="Palatino" w:hAnsi="Palatino"/>
        <w:sz w:val="24"/>
      </w:rPr>
      <w:t xml:space="preserve">CD/MWC </w:t>
    </w:r>
    <w:r>
      <w:rPr>
        <w:rFonts w:ascii="Palatino" w:hAnsi="Palatino"/>
        <w:sz w:val="24"/>
      </w:rPr>
      <w:tab/>
    </w:r>
    <w:r>
      <w:rPr>
        <w:rFonts w:ascii="Palatino" w:hAnsi="Palatino"/>
        <w:sz w:val="24"/>
      </w:rPr>
      <w:tab/>
      <w:t>January 29, 2008</w:t>
    </w:r>
  </w:p>
  <w:p w:rsidR="00C125A9" w:rsidRDefault="00C125A9">
    <w:pPr>
      <w:pStyle w:val="Header"/>
      <w:tabs>
        <w:tab w:val="clear" w:pos="8640"/>
        <w:tab w:val="right" w:pos="9630"/>
      </w:tabs>
      <w:jc w:val="center"/>
      <w:rPr>
        <w:rFonts w:ascii="Palatino" w:hAnsi="Palatino"/>
        <w:b/>
        <w:sz w:val="24"/>
      </w:rPr>
    </w:pPr>
    <w:r>
      <w:rPr>
        <w:rFonts w:ascii="Palatino" w:hAnsi="Palatino"/>
        <w:b/>
        <w:sz w:val="24"/>
      </w:rPr>
      <w:t>DRAFT</w:t>
    </w:r>
  </w:p>
  <w:p w:rsidR="00C125A9" w:rsidRDefault="00C125A9">
    <w:pPr>
      <w:pStyle w:val="Header"/>
      <w:tabs>
        <w:tab w:val="clear" w:pos="8640"/>
        <w:tab w:val="right" w:pos="9630"/>
      </w:tabs>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74E"/>
    <w:multiLevelType w:val="singleLevel"/>
    <w:tmpl w:val="067868B0"/>
    <w:lvl w:ilvl="0">
      <w:start w:val="1"/>
      <w:numFmt w:val="decimal"/>
      <w:lvlText w:val="%1."/>
      <w:legacy w:legacy="1" w:legacySpace="0" w:legacyIndent="360"/>
      <w:lvlJc w:val="left"/>
      <w:pPr>
        <w:ind w:left="360" w:hanging="360"/>
      </w:pPr>
      <w:rPr>
        <w:rFonts w:cs="Times New Roman"/>
        <w:sz w:val="22"/>
      </w:rPr>
    </w:lvl>
  </w:abstractNum>
  <w:abstractNum w:abstractNumId="1">
    <w:nsid w:val="0105526B"/>
    <w:multiLevelType w:val="hybridMultilevel"/>
    <w:tmpl w:val="494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75B2C"/>
    <w:multiLevelType w:val="hybridMultilevel"/>
    <w:tmpl w:val="CC207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4903BC5"/>
    <w:multiLevelType w:val="multilevel"/>
    <w:tmpl w:val="F3C2DE18"/>
    <w:lvl w:ilvl="0">
      <w:start w:val="3"/>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6245AC"/>
    <w:multiLevelType w:val="hybridMultilevel"/>
    <w:tmpl w:val="1A407230"/>
    <w:lvl w:ilvl="0" w:tplc="4DF8744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F0E4A08"/>
    <w:multiLevelType w:val="hybridMultilevel"/>
    <w:tmpl w:val="A692C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0443D88"/>
    <w:multiLevelType w:val="hybridMultilevel"/>
    <w:tmpl w:val="63A0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D5D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78F6B25"/>
    <w:multiLevelType w:val="hybridMultilevel"/>
    <w:tmpl w:val="2102C744"/>
    <w:lvl w:ilvl="0" w:tplc="8CDAE96A">
      <w:start w:val="2003"/>
      <w:numFmt w:val="decimal"/>
      <w:lvlText w:val="%1."/>
      <w:lvlJc w:val="left"/>
      <w:pPr>
        <w:tabs>
          <w:tab w:val="num" w:pos="1020"/>
        </w:tabs>
        <w:ind w:left="1020" w:hanging="6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7A96B97"/>
    <w:multiLevelType w:val="hybridMultilevel"/>
    <w:tmpl w:val="A0EE41EA"/>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8162FBC"/>
    <w:multiLevelType w:val="multilevel"/>
    <w:tmpl w:val="51EE780A"/>
    <w:lvl w:ilvl="0">
      <w:start w:val="3"/>
      <w:numFmt w:val="decimal"/>
      <w:lvlText w:val="%1."/>
      <w:lvlJc w:val="left"/>
      <w:pPr>
        <w:tabs>
          <w:tab w:val="num" w:pos="810"/>
        </w:tabs>
        <w:ind w:left="810" w:hanging="360"/>
      </w:pPr>
      <w:rPr>
        <w:rFonts w:cs="Times New Roman" w:hint="default"/>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nsid w:val="18954896"/>
    <w:multiLevelType w:val="hybridMultilevel"/>
    <w:tmpl w:val="E160DA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ECA6C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22F3085"/>
    <w:multiLevelType w:val="hybridMultilevel"/>
    <w:tmpl w:val="CA00F88C"/>
    <w:lvl w:ilvl="0" w:tplc="A094DC6A">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223C140D"/>
    <w:multiLevelType w:val="hybridMultilevel"/>
    <w:tmpl w:val="E594E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B226A42"/>
    <w:multiLevelType w:val="hybridMultilevel"/>
    <w:tmpl w:val="584A9332"/>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6">
    <w:nsid w:val="2D5250B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39831B4F"/>
    <w:multiLevelType w:val="hybridMultilevel"/>
    <w:tmpl w:val="C0B43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A416B4"/>
    <w:multiLevelType w:val="multilevel"/>
    <w:tmpl w:val="353E18C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3DA7608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3DC86816"/>
    <w:multiLevelType w:val="multilevel"/>
    <w:tmpl w:val="353E18C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nsid w:val="40ED00BC"/>
    <w:multiLevelType w:val="hybridMultilevel"/>
    <w:tmpl w:val="DA7A0100"/>
    <w:lvl w:ilvl="0" w:tplc="A094DC6A">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460D1A7D"/>
    <w:multiLevelType w:val="hybridMultilevel"/>
    <w:tmpl w:val="1570BE18"/>
    <w:lvl w:ilvl="0" w:tplc="96EEAA48">
      <w:start w:val="1"/>
      <w:numFmt w:val="decimal"/>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90"/>
        </w:tabs>
        <w:ind w:left="1890" w:hanging="360"/>
      </w:pPr>
      <w:rPr>
        <w:rFonts w:cs="Times New Roman"/>
      </w:rPr>
    </w:lvl>
    <w:lvl w:ilvl="2" w:tplc="0409001B">
      <w:start w:val="1"/>
      <w:numFmt w:val="lowerRoman"/>
      <w:lvlText w:val="%3."/>
      <w:lvlJc w:val="right"/>
      <w:pPr>
        <w:tabs>
          <w:tab w:val="num" w:pos="2610"/>
        </w:tabs>
        <w:ind w:left="2610" w:hanging="180"/>
      </w:pPr>
      <w:rPr>
        <w:rFonts w:cs="Times New Roman"/>
      </w:rPr>
    </w:lvl>
    <w:lvl w:ilvl="3" w:tplc="0409000F">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0409001B">
      <w:start w:val="1"/>
      <w:numFmt w:val="lowerRoman"/>
      <w:lvlText w:val="%6."/>
      <w:lvlJc w:val="right"/>
      <w:pPr>
        <w:tabs>
          <w:tab w:val="num" w:pos="4770"/>
        </w:tabs>
        <w:ind w:left="4770" w:hanging="180"/>
      </w:pPr>
      <w:rPr>
        <w:rFonts w:cs="Times New Roman"/>
      </w:rPr>
    </w:lvl>
    <w:lvl w:ilvl="6" w:tplc="0409000F">
      <w:start w:val="1"/>
      <w:numFmt w:val="decimal"/>
      <w:lvlText w:val="%7."/>
      <w:lvlJc w:val="left"/>
      <w:pPr>
        <w:tabs>
          <w:tab w:val="num" w:pos="5490"/>
        </w:tabs>
        <w:ind w:left="5490" w:hanging="360"/>
      </w:pPr>
      <w:rPr>
        <w:rFonts w:cs="Times New Roman"/>
      </w:rPr>
    </w:lvl>
    <w:lvl w:ilvl="7" w:tplc="04090019">
      <w:start w:val="1"/>
      <w:numFmt w:val="lowerLetter"/>
      <w:lvlText w:val="%8."/>
      <w:lvlJc w:val="left"/>
      <w:pPr>
        <w:tabs>
          <w:tab w:val="num" w:pos="6210"/>
        </w:tabs>
        <w:ind w:left="6210" w:hanging="360"/>
      </w:pPr>
      <w:rPr>
        <w:rFonts w:cs="Times New Roman"/>
      </w:rPr>
    </w:lvl>
    <w:lvl w:ilvl="8" w:tplc="0409001B">
      <w:start w:val="1"/>
      <w:numFmt w:val="lowerRoman"/>
      <w:lvlText w:val="%9."/>
      <w:lvlJc w:val="right"/>
      <w:pPr>
        <w:tabs>
          <w:tab w:val="num" w:pos="6930"/>
        </w:tabs>
        <w:ind w:left="6930" w:hanging="180"/>
      </w:pPr>
      <w:rPr>
        <w:rFonts w:cs="Times New Roman"/>
      </w:rPr>
    </w:lvl>
  </w:abstractNum>
  <w:abstractNum w:abstractNumId="23">
    <w:nsid w:val="48ED7838"/>
    <w:multiLevelType w:val="hybridMultilevel"/>
    <w:tmpl w:val="7FECF6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93708EB"/>
    <w:multiLevelType w:val="hybridMultilevel"/>
    <w:tmpl w:val="C21E9C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EB11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377E0B"/>
    <w:multiLevelType w:val="hybridMultilevel"/>
    <w:tmpl w:val="98CEA1C8"/>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27">
    <w:nsid w:val="56E12F34"/>
    <w:multiLevelType w:val="hybridMultilevel"/>
    <w:tmpl w:val="545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A0A7D21"/>
    <w:multiLevelType w:val="hybridMultilevel"/>
    <w:tmpl w:val="81CCDA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C06A20"/>
    <w:multiLevelType w:val="hybridMultilevel"/>
    <w:tmpl w:val="D8364A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D8572BE"/>
    <w:multiLevelType w:val="hybridMultilevel"/>
    <w:tmpl w:val="51EE780A"/>
    <w:lvl w:ilvl="0" w:tplc="A094DC6A">
      <w:start w:val="3"/>
      <w:numFmt w:val="decimal"/>
      <w:lvlText w:val="%1."/>
      <w:lvlJc w:val="left"/>
      <w:pPr>
        <w:tabs>
          <w:tab w:val="num" w:pos="810"/>
        </w:tabs>
        <w:ind w:left="81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31">
    <w:nsid w:val="5EDB4C63"/>
    <w:multiLevelType w:val="hybridMultilevel"/>
    <w:tmpl w:val="732E0AE8"/>
    <w:lvl w:ilvl="0" w:tplc="578620DA">
      <w:start w:val="1"/>
      <w:numFmt w:val="decimal"/>
      <w:lvlText w:val="%1."/>
      <w:legacy w:legacy="1" w:legacySpace="120" w:legacyIndent="360"/>
      <w:lvlJc w:val="left"/>
      <w:pPr>
        <w:ind w:left="4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FB276F"/>
    <w:multiLevelType w:val="hybridMultilevel"/>
    <w:tmpl w:val="87A8AF92"/>
    <w:lvl w:ilvl="0" w:tplc="F950398A">
      <w:start w:val="1"/>
      <w:numFmt w:val="lowerLetter"/>
      <w:lvlText w:val="%1."/>
      <w:lvlJc w:val="left"/>
      <w:pPr>
        <w:tabs>
          <w:tab w:val="num" w:pos="2160"/>
        </w:tabs>
        <w:ind w:left="216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263328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
    <w:nsid w:val="66157003"/>
    <w:multiLevelType w:val="hybridMultilevel"/>
    <w:tmpl w:val="C7687442"/>
    <w:lvl w:ilvl="0" w:tplc="0888C750">
      <w:start w:val="2"/>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670205B"/>
    <w:multiLevelType w:val="hybridMultilevel"/>
    <w:tmpl w:val="6E5EAF9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6D534E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EE93650"/>
    <w:multiLevelType w:val="hybridMultilevel"/>
    <w:tmpl w:val="40A08A06"/>
    <w:lvl w:ilvl="0" w:tplc="FFFFFFFF">
      <w:start w:val="4"/>
      <w:numFmt w:val="upperLetter"/>
      <w:lvlText w:val="%1."/>
      <w:lvlJc w:val="left"/>
      <w:pPr>
        <w:tabs>
          <w:tab w:val="num" w:pos="1140"/>
        </w:tabs>
        <w:ind w:left="1140" w:hanging="4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8">
    <w:nsid w:val="738058D6"/>
    <w:multiLevelType w:val="hybridMultilevel"/>
    <w:tmpl w:val="974E26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61149F7"/>
    <w:multiLevelType w:val="hybridMultilevel"/>
    <w:tmpl w:val="B90A2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74C61A7"/>
    <w:multiLevelType w:val="singleLevel"/>
    <w:tmpl w:val="383CBABE"/>
    <w:lvl w:ilvl="0">
      <w:start w:val="1"/>
      <w:numFmt w:val="decimal"/>
      <w:lvlText w:val="%1."/>
      <w:legacy w:legacy="1" w:legacySpace="0" w:legacyIndent="360"/>
      <w:lvlJc w:val="left"/>
      <w:pPr>
        <w:ind w:left="360" w:hanging="360"/>
      </w:pPr>
      <w:rPr>
        <w:rFonts w:cs="Times New Roman"/>
      </w:rPr>
    </w:lvl>
  </w:abstractNum>
  <w:abstractNum w:abstractNumId="41">
    <w:nsid w:val="7BFD6CAA"/>
    <w:multiLevelType w:val="hybridMultilevel"/>
    <w:tmpl w:val="F3C2DE18"/>
    <w:lvl w:ilvl="0" w:tplc="A094DC6A">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FC923DB"/>
    <w:multiLevelType w:val="multilevel"/>
    <w:tmpl w:val="974E26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16"/>
  </w:num>
  <w:num w:numId="4">
    <w:abstractNumId w:val="15"/>
  </w:num>
  <w:num w:numId="5">
    <w:abstractNumId w:val="36"/>
  </w:num>
  <w:num w:numId="6">
    <w:abstractNumId w:val="7"/>
  </w:num>
  <w:num w:numId="7">
    <w:abstractNumId w:val="25"/>
  </w:num>
  <w:num w:numId="8">
    <w:abstractNumId w:val="37"/>
  </w:num>
  <w:num w:numId="9">
    <w:abstractNumId w:val="0"/>
  </w:num>
  <w:num w:numId="10">
    <w:abstractNumId w:val="0"/>
    <w:lvlOverride w:ilvl="0">
      <w:lvl w:ilvl="0">
        <w:start w:val="1"/>
        <w:numFmt w:val="decimal"/>
        <w:lvlText w:val="%1."/>
        <w:legacy w:legacy="1" w:legacySpace="0" w:legacyIndent="360"/>
        <w:lvlJc w:val="left"/>
        <w:pPr>
          <w:ind w:left="360" w:hanging="360"/>
        </w:pPr>
        <w:rPr>
          <w:rFonts w:cs="Times New Roman"/>
          <w:b w:val="0"/>
        </w:rPr>
      </w:lvl>
    </w:lvlOverride>
  </w:num>
  <w:num w:numId="11">
    <w:abstractNumId w:val="40"/>
  </w:num>
  <w:num w:numId="12">
    <w:abstractNumId w:val="40"/>
    <w:lvlOverride w:ilvl="0">
      <w:lvl w:ilvl="0">
        <w:start w:val="1"/>
        <w:numFmt w:val="decimal"/>
        <w:lvlText w:val="%1."/>
        <w:legacy w:legacy="1" w:legacySpace="0" w:legacyIndent="360"/>
        <w:lvlJc w:val="left"/>
        <w:pPr>
          <w:ind w:left="360" w:hanging="360"/>
        </w:pPr>
        <w:rPr>
          <w:rFonts w:cs="Times New Roman"/>
        </w:rPr>
      </w:lvl>
    </w:lvlOverride>
  </w:num>
  <w:num w:numId="13">
    <w:abstractNumId w:val="34"/>
  </w:num>
  <w:num w:numId="14">
    <w:abstractNumId w:val="9"/>
  </w:num>
  <w:num w:numId="15">
    <w:abstractNumId w:val="11"/>
  </w:num>
  <w:num w:numId="16">
    <w:abstractNumId w:val="8"/>
  </w:num>
  <w:num w:numId="17">
    <w:abstractNumId w:val="12"/>
  </w:num>
  <w:num w:numId="18">
    <w:abstractNumId w:val="22"/>
  </w:num>
  <w:num w:numId="19">
    <w:abstractNumId w:val="32"/>
  </w:num>
  <w:num w:numId="20">
    <w:abstractNumId w:val="39"/>
  </w:num>
  <w:num w:numId="21">
    <w:abstractNumId w:val="14"/>
  </w:num>
  <w:num w:numId="22">
    <w:abstractNumId w:val="24"/>
  </w:num>
  <w:num w:numId="23">
    <w:abstractNumId w:val="23"/>
  </w:num>
  <w:num w:numId="24">
    <w:abstractNumId w:val="26"/>
  </w:num>
  <w:num w:numId="25">
    <w:abstractNumId w:val="35"/>
  </w:num>
  <w:num w:numId="26">
    <w:abstractNumId w:val="29"/>
  </w:num>
  <w:num w:numId="27">
    <w:abstractNumId w:val="27"/>
  </w:num>
  <w:num w:numId="28">
    <w:abstractNumId w:val="2"/>
  </w:num>
  <w:num w:numId="29">
    <w:abstractNumId w:val="13"/>
  </w:num>
  <w:num w:numId="30">
    <w:abstractNumId w:val="18"/>
  </w:num>
  <w:num w:numId="31">
    <w:abstractNumId w:val="20"/>
  </w:num>
  <w:num w:numId="32">
    <w:abstractNumId w:val="38"/>
  </w:num>
  <w:num w:numId="33">
    <w:abstractNumId w:val="42"/>
  </w:num>
  <w:num w:numId="34">
    <w:abstractNumId w:val="28"/>
  </w:num>
  <w:num w:numId="35">
    <w:abstractNumId w:val="41"/>
  </w:num>
  <w:num w:numId="36">
    <w:abstractNumId w:val="3"/>
  </w:num>
  <w:num w:numId="37">
    <w:abstractNumId w:val="21"/>
  </w:num>
  <w:num w:numId="38">
    <w:abstractNumId w:val="30"/>
  </w:num>
  <w:num w:numId="39">
    <w:abstractNumId w:val="10"/>
  </w:num>
  <w:num w:numId="40">
    <w:abstractNumId w:val="4"/>
  </w:num>
  <w:num w:numId="41">
    <w:abstractNumId w:val="5"/>
  </w:num>
  <w:num w:numId="42">
    <w:abstractNumId w:val="31"/>
  </w:num>
  <w:num w:numId="43">
    <w:abstractNumId w:val="1"/>
  </w:num>
  <w:num w:numId="44">
    <w:abstractNumId w:val="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B5"/>
    <w:rsid w:val="00001162"/>
    <w:rsid w:val="00003D5E"/>
    <w:rsid w:val="00004642"/>
    <w:rsid w:val="000069B3"/>
    <w:rsid w:val="000131C1"/>
    <w:rsid w:val="00016485"/>
    <w:rsid w:val="000260C0"/>
    <w:rsid w:val="000302AE"/>
    <w:rsid w:val="00032114"/>
    <w:rsid w:val="000327D6"/>
    <w:rsid w:val="00033547"/>
    <w:rsid w:val="00034FF2"/>
    <w:rsid w:val="00035236"/>
    <w:rsid w:val="000356C1"/>
    <w:rsid w:val="00035C10"/>
    <w:rsid w:val="00036D2E"/>
    <w:rsid w:val="00041ED4"/>
    <w:rsid w:val="0004396D"/>
    <w:rsid w:val="0004402C"/>
    <w:rsid w:val="00044647"/>
    <w:rsid w:val="00046DA4"/>
    <w:rsid w:val="00047729"/>
    <w:rsid w:val="000526EE"/>
    <w:rsid w:val="0005393A"/>
    <w:rsid w:val="00053DB7"/>
    <w:rsid w:val="00054104"/>
    <w:rsid w:val="00055DA6"/>
    <w:rsid w:val="000563CB"/>
    <w:rsid w:val="00060027"/>
    <w:rsid w:val="00065037"/>
    <w:rsid w:val="00070479"/>
    <w:rsid w:val="00070867"/>
    <w:rsid w:val="0007133E"/>
    <w:rsid w:val="000736DE"/>
    <w:rsid w:val="00074B58"/>
    <w:rsid w:val="00080ACF"/>
    <w:rsid w:val="000811F0"/>
    <w:rsid w:val="00082BB0"/>
    <w:rsid w:val="00082DD6"/>
    <w:rsid w:val="00082E02"/>
    <w:rsid w:val="00085785"/>
    <w:rsid w:val="000901B2"/>
    <w:rsid w:val="000905C5"/>
    <w:rsid w:val="00091098"/>
    <w:rsid w:val="00091FD5"/>
    <w:rsid w:val="00093A26"/>
    <w:rsid w:val="00096885"/>
    <w:rsid w:val="000A02E9"/>
    <w:rsid w:val="000A4BF5"/>
    <w:rsid w:val="000A6754"/>
    <w:rsid w:val="000B0D93"/>
    <w:rsid w:val="000B1798"/>
    <w:rsid w:val="000B2209"/>
    <w:rsid w:val="000B3EED"/>
    <w:rsid w:val="000B708C"/>
    <w:rsid w:val="000B756F"/>
    <w:rsid w:val="000B79A7"/>
    <w:rsid w:val="000C2012"/>
    <w:rsid w:val="000C21B6"/>
    <w:rsid w:val="000C2F06"/>
    <w:rsid w:val="000C6EB6"/>
    <w:rsid w:val="000C79F1"/>
    <w:rsid w:val="000D033D"/>
    <w:rsid w:val="000D1C08"/>
    <w:rsid w:val="000D3FA3"/>
    <w:rsid w:val="000D49D0"/>
    <w:rsid w:val="000D6241"/>
    <w:rsid w:val="000D6D29"/>
    <w:rsid w:val="000D7D7B"/>
    <w:rsid w:val="000E05CA"/>
    <w:rsid w:val="000E0A76"/>
    <w:rsid w:val="000E2FA7"/>
    <w:rsid w:val="000E3994"/>
    <w:rsid w:val="000E3FE9"/>
    <w:rsid w:val="000E4D61"/>
    <w:rsid w:val="000E51E9"/>
    <w:rsid w:val="000E6EC8"/>
    <w:rsid w:val="000E7C4E"/>
    <w:rsid w:val="000F0570"/>
    <w:rsid w:val="000F07C3"/>
    <w:rsid w:val="000F3139"/>
    <w:rsid w:val="000F35CF"/>
    <w:rsid w:val="000F4A2F"/>
    <w:rsid w:val="000F5371"/>
    <w:rsid w:val="000F6FA9"/>
    <w:rsid w:val="00106F53"/>
    <w:rsid w:val="00107478"/>
    <w:rsid w:val="00110480"/>
    <w:rsid w:val="001118B8"/>
    <w:rsid w:val="00113226"/>
    <w:rsid w:val="00115104"/>
    <w:rsid w:val="00115176"/>
    <w:rsid w:val="001171BC"/>
    <w:rsid w:val="001175B1"/>
    <w:rsid w:val="00122C66"/>
    <w:rsid w:val="001237CB"/>
    <w:rsid w:val="0013037B"/>
    <w:rsid w:val="0013112E"/>
    <w:rsid w:val="0013193D"/>
    <w:rsid w:val="00134BCC"/>
    <w:rsid w:val="001358DF"/>
    <w:rsid w:val="00135E94"/>
    <w:rsid w:val="00137042"/>
    <w:rsid w:val="00137A44"/>
    <w:rsid w:val="00137AC0"/>
    <w:rsid w:val="00140052"/>
    <w:rsid w:val="0014278B"/>
    <w:rsid w:val="00142DD7"/>
    <w:rsid w:val="00142E4E"/>
    <w:rsid w:val="0014540C"/>
    <w:rsid w:val="00150C89"/>
    <w:rsid w:val="00152933"/>
    <w:rsid w:val="00152B10"/>
    <w:rsid w:val="00153BF5"/>
    <w:rsid w:val="00154D13"/>
    <w:rsid w:val="0015631D"/>
    <w:rsid w:val="00156C43"/>
    <w:rsid w:val="00160170"/>
    <w:rsid w:val="00164676"/>
    <w:rsid w:val="001668F4"/>
    <w:rsid w:val="00166983"/>
    <w:rsid w:val="00170710"/>
    <w:rsid w:val="001712AA"/>
    <w:rsid w:val="00174447"/>
    <w:rsid w:val="00181BB7"/>
    <w:rsid w:val="0018268E"/>
    <w:rsid w:val="001854A3"/>
    <w:rsid w:val="00187C31"/>
    <w:rsid w:val="00190887"/>
    <w:rsid w:val="001926D4"/>
    <w:rsid w:val="001927FB"/>
    <w:rsid w:val="00194E46"/>
    <w:rsid w:val="00195D33"/>
    <w:rsid w:val="00197CC1"/>
    <w:rsid w:val="00197F41"/>
    <w:rsid w:val="001A1433"/>
    <w:rsid w:val="001A4346"/>
    <w:rsid w:val="001A584E"/>
    <w:rsid w:val="001A6863"/>
    <w:rsid w:val="001B0E3E"/>
    <w:rsid w:val="001B10B5"/>
    <w:rsid w:val="001B2ED1"/>
    <w:rsid w:val="001B2FA7"/>
    <w:rsid w:val="001B40C9"/>
    <w:rsid w:val="001B40CC"/>
    <w:rsid w:val="001B6296"/>
    <w:rsid w:val="001C07BC"/>
    <w:rsid w:val="001C2E69"/>
    <w:rsid w:val="001C3FC1"/>
    <w:rsid w:val="001C4B70"/>
    <w:rsid w:val="001C7B39"/>
    <w:rsid w:val="001D125A"/>
    <w:rsid w:val="001D3B0D"/>
    <w:rsid w:val="001E01C0"/>
    <w:rsid w:val="001E161B"/>
    <w:rsid w:val="001E164E"/>
    <w:rsid w:val="001E3A88"/>
    <w:rsid w:val="001E430D"/>
    <w:rsid w:val="001E5602"/>
    <w:rsid w:val="001F0492"/>
    <w:rsid w:val="001F33CA"/>
    <w:rsid w:val="001F3BE0"/>
    <w:rsid w:val="001F42F9"/>
    <w:rsid w:val="001F494D"/>
    <w:rsid w:val="001F5E83"/>
    <w:rsid w:val="001F7DB6"/>
    <w:rsid w:val="0020200C"/>
    <w:rsid w:val="002106ED"/>
    <w:rsid w:val="00215470"/>
    <w:rsid w:val="00215D45"/>
    <w:rsid w:val="00216F65"/>
    <w:rsid w:val="0022214E"/>
    <w:rsid w:val="002231E3"/>
    <w:rsid w:val="00224559"/>
    <w:rsid w:val="0022483D"/>
    <w:rsid w:val="00224A60"/>
    <w:rsid w:val="00224B7D"/>
    <w:rsid w:val="0023179A"/>
    <w:rsid w:val="00231819"/>
    <w:rsid w:val="002321AA"/>
    <w:rsid w:val="002339C8"/>
    <w:rsid w:val="002350F1"/>
    <w:rsid w:val="0023552F"/>
    <w:rsid w:val="002369A6"/>
    <w:rsid w:val="0024493E"/>
    <w:rsid w:val="00245330"/>
    <w:rsid w:val="00247A1D"/>
    <w:rsid w:val="00250205"/>
    <w:rsid w:val="002506A1"/>
    <w:rsid w:val="0025370F"/>
    <w:rsid w:val="002576DA"/>
    <w:rsid w:val="002614BB"/>
    <w:rsid w:val="00261B43"/>
    <w:rsid w:val="00261B9F"/>
    <w:rsid w:val="00263FAC"/>
    <w:rsid w:val="0026614B"/>
    <w:rsid w:val="00266500"/>
    <w:rsid w:val="00266D28"/>
    <w:rsid w:val="002707CE"/>
    <w:rsid w:val="00273E54"/>
    <w:rsid w:val="002754CB"/>
    <w:rsid w:val="00280289"/>
    <w:rsid w:val="002802E3"/>
    <w:rsid w:val="002807A8"/>
    <w:rsid w:val="00281830"/>
    <w:rsid w:val="0028312D"/>
    <w:rsid w:val="0028440B"/>
    <w:rsid w:val="002845F2"/>
    <w:rsid w:val="00285394"/>
    <w:rsid w:val="0028613B"/>
    <w:rsid w:val="002863AA"/>
    <w:rsid w:val="00286A5F"/>
    <w:rsid w:val="00292892"/>
    <w:rsid w:val="00293061"/>
    <w:rsid w:val="00293F96"/>
    <w:rsid w:val="0029495E"/>
    <w:rsid w:val="00295904"/>
    <w:rsid w:val="00296040"/>
    <w:rsid w:val="00296E7D"/>
    <w:rsid w:val="0029742B"/>
    <w:rsid w:val="00297BA4"/>
    <w:rsid w:val="002A0A07"/>
    <w:rsid w:val="002A5896"/>
    <w:rsid w:val="002A5CC4"/>
    <w:rsid w:val="002B09FE"/>
    <w:rsid w:val="002B1AC6"/>
    <w:rsid w:val="002B1BF8"/>
    <w:rsid w:val="002B2995"/>
    <w:rsid w:val="002B2C3E"/>
    <w:rsid w:val="002B2C99"/>
    <w:rsid w:val="002B2CDB"/>
    <w:rsid w:val="002B3279"/>
    <w:rsid w:val="002B539E"/>
    <w:rsid w:val="002B6E3B"/>
    <w:rsid w:val="002C0259"/>
    <w:rsid w:val="002C06FA"/>
    <w:rsid w:val="002C0897"/>
    <w:rsid w:val="002C1DC6"/>
    <w:rsid w:val="002C4399"/>
    <w:rsid w:val="002C4A18"/>
    <w:rsid w:val="002C4C27"/>
    <w:rsid w:val="002C50B6"/>
    <w:rsid w:val="002C7DF4"/>
    <w:rsid w:val="002D084B"/>
    <w:rsid w:val="002D2DD9"/>
    <w:rsid w:val="002D4C90"/>
    <w:rsid w:val="002D5EA1"/>
    <w:rsid w:val="002D5F19"/>
    <w:rsid w:val="002D6A21"/>
    <w:rsid w:val="002D77FA"/>
    <w:rsid w:val="002E096E"/>
    <w:rsid w:val="002E24E0"/>
    <w:rsid w:val="002E4E23"/>
    <w:rsid w:val="002E4F49"/>
    <w:rsid w:val="002E6DBB"/>
    <w:rsid w:val="002F281E"/>
    <w:rsid w:val="002F2A2E"/>
    <w:rsid w:val="002F3F70"/>
    <w:rsid w:val="002F3FE7"/>
    <w:rsid w:val="002F4DD5"/>
    <w:rsid w:val="002F4F67"/>
    <w:rsid w:val="003001E6"/>
    <w:rsid w:val="00302444"/>
    <w:rsid w:val="00304D93"/>
    <w:rsid w:val="00305516"/>
    <w:rsid w:val="00305C3B"/>
    <w:rsid w:val="003066B4"/>
    <w:rsid w:val="00311E02"/>
    <w:rsid w:val="003139A9"/>
    <w:rsid w:val="00314691"/>
    <w:rsid w:val="0031677C"/>
    <w:rsid w:val="00316E7F"/>
    <w:rsid w:val="003205B3"/>
    <w:rsid w:val="00321573"/>
    <w:rsid w:val="003229B0"/>
    <w:rsid w:val="00322D6F"/>
    <w:rsid w:val="00323C42"/>
    <w:rsid w:val="00330A62"/>
    <w:rsid w:val="003313BD"/>
    <w:rsid w:val="00333AB5"/>
    <w:rsid w:val="00333DC6"/>
    <w:rsid w:val="0033466F"/>
    <w:rsid w:val="00335125"/>
    <w:rsid w:val="00335B0E"/>
    <w:rsid w:val="00336734"/>
    <w:rsid w:val="00340B71"/>
    <w:rsid w:val="00347785"/>
    <w:rsid w:val="00354C62"/>
    <w:rsid w:val="003550FF"/>
    <w:rsid w:val="00360C2C"/>
    <w:rsid w:val="0036268D"/>
    <w:rsid w:val="00362CB5"/>
    <w:rsid w:val="00367873"/>
    <w:rsid w:val="00370545"/>
    <w:rsid w:val="00370577"/>
    <w:rsid w:val="003718C8"/>
    <w:rsid w:val="003720AC"/>
    <w:rsid w:val="00372EEF"/>
    <w:rsid w:val="00374D60"/>
    <w:rsid w:val="00376712"/>
    <w:rsid w:val="0037708C"/>
    <w:rsid w:val="00377DA1"/>
    <w:rsid w:val="00380B82"/>
    <w:rsid w:val="00380F6F"/>
    <w:rsid w:val="0038462A"/>
    <w:rsid w:val="00387021"/>
    <w:rsid w:val="00390251"/>
    <w:rsid w:val="00390DB1"/>
    <w:rsid w:val="00392251"/>
    <w:rsid w:val="00393432"/>
    <w:rsid w:val="00393B95"/>
    <w:rsid w:val="00393BB5"/>
    <w:rsid w:val="0039434A"/>
    <w:rsid w:val="003944CF"/>
    <w:rsid w:val="0039548E"/>
    <w:rsid w:val="003962FF"/>
    <w:rsid w:val="003A01F1"/>
    <w:rsid w:val="003A1384"/>
    <w:rsid w:val="003A2A17"/>
    <w:rsid w:val="003A347F"/>
    <w:rsid w:val="003A41EA"/>
    <w:rsid w:val="003A4905"/>
    <w:rsid w:val="003A4936"/>
    <w:rsid w:val="003A4A65"/>
    <w:rsid w:val="003A6C37"/>
    <w:rsid w:val="003A7D38"/>
    <w:rsid w:val="003B0D0B"/>
    <w:rsid w:val="003B1CE5"/>
    <w:rsid w:val="003B2BA3"/>
    <w:rsid w:val="003B3E56"/>
    <w:rsid w:val="003B43D9"/>
    <w:rsid w:val="003B52B5"/>
    <w:rsid w:val="003B56DE"/>
    <w:rsid w:val="003B7474"/>
    <w:rsid w:val="003B7EC1"/>
    <w:rsid w:val="003C1774"/>
    <w:rsid w:val="003C33CE"/>
    <w:rsid w:val="003C4EA6"/>
    <w:rsid w:val="003C4EB2"/>
    <w:rsid w:val="003C7740"/>
    <w:rsid w:val="003D37DD"/>
    <w:rsid w:val="003D4862"/>
    <w:rsid w:val="003D6410"/>
    <w:rsid w:val="003D649A"/>
    <w:rsid w:val="003E065B"/>
    <w:rsid w:val="003E06FA"/>
    <w:rsid w:val="003E395B"/>
    <w:rsid w:val="003E5043"/>
    <w:rsid w:val="003E6524"/>
    <w:rsid w:val="003F459B"/>
    <w:rsid w:val="003F60DA"/>
    <w:rsid w:val="00401F1A"/>
    <w:rsid w:val="00402B03"/>
    <w:rsid w:val="00406417"/>
    <w:rsid w:val="00406C12"/>
    <w:rsid w:val="00410953"/>
    <w:rsid w:val="00412CBB"/>
    <w:rsid w:val="00416AA6"/>
    <w:rsid w:val="0042176C"/>
    <w:rsid w:val="00421C56"/>
    <w:rsid w:val="0042253B"/>
    <w:rsid w:val="004247EF"/>
    <w:rsid w:val="00424EF8"/>
    <w:rsid w:val="0042623B"/>
    <w:rsid w:val="004305CB"/>
    <w:rsid w:val="00430CC0"/>
    <w:rsid w:val="00431BD3"/>
    <w:rsid w:val="004339CB"/>
    <w:rsid w:val="0043556A"/>
    <w:rsid w:val="00436ADA"/>
    <w:rsid w:val="0043798A"/>
    <w:rsid w:val="00443328"/>
    <w:rsid w:val="00443980"/>
    <w:rsid w:val="004445B4"/>
    <w:rsid w:val="004467C4"/>
    <w:rsid w:val="0045048D"/>
    <w:rsid w:val="00451BC9"/>
    <w:rsid w:val="0045402C"/>
    <w:rsid w:val="00454A17"/>
    <w:rsid w:val="00457CF9"/>
    <w:rsid w:val="00460F59"/>
    <w:rsid w:val="004611AA"/>
    <w:rsid w:val="0046122F"/>
    <w:rsid w:val="00461735"/>
    <w:rsid w:val="00463E71"/>
    <w:rsid w:val="0046549C"/>
    <w:rsid w:val="00467D4A"/>
    <w:rsid w:val="00470A7D"/>
    <w:rsid w:val="00471F97"/>
    <w:rsid w:val="00472B5A"/>
    <w:rsid w:val="00473ECA"/>
    <w:rsid w:val="00475B8F"/>
    <w:rsid w:val="004771BB"/>
    <w:rsid w:val="004805CA"/>
    <w:rsid w:val="00483322"/>
    <w:rsid w:val="00484098"/>
    <w:rsid w:val="004859E5"/>
    <w:rsid w:val="00485B36"/>
    <w:rsid w:val="00486EA7"/>
    <w:rsid w:val="004902A8"/>
    <w:rsid w:val="00490B1F"/>
    <w:rsid w:val="00491FA7"/>
    <w:rsid w:val="004923A8"/>
    <w:rsid w:val="004931F4"/>
    <w:rsid w:val="004940AA"/>
    <w:rsid w:val="0049437E"/>
    <w:rsid w:val="004A125C"/>
    <w:rsid w:val="004A1A2E"/>
    <w:rsid w:val="004A5CE2"/>
    <w:rsid w:val="004B4C67"/>
    <w:rsid w:val="004B5089"/>
    <w:rsid w:val="004B5FA0"/>
    <w:rsid w:val="004C1F5A"/>
    <w:rsid w:val="004C2407"/>
    <w:rsid w:val="004C3A00"/>
    <w:rsid w:val="004C6566"/>
    <w:rsid w:val="004C7A48"/>
    <w:rsid w:val="004D12EE"/>
    <w:rsid w:val="004D2C5D"/>
    <w:rsid w:val="004D35D7"/>
    <w:rsid w:val="004D74D8"/>
    <w:rsid w:val="004E108E"/>
    <w:rsid w:val="004E122C"/>
    <w:rsid w:val="004E14F1"/>
    <w:rsid w:val="004E1938"/>
    <w:rsid w:val="004E29CC"/>
    <w:rsid w:val="004E3790"/>
    <w:rsid w:val="004E47CE"/>
    <w:rsid w:val="004E4F59"/>
    <w:rsid w:val="004E603A"/>
    <w:rsid w:val="004E7A08"/>
    <w:rsid w:val="004F0645"/>
    <w:rsid w:val="004F1E33"/>
    <w:rsid w:val="004F21C9"/>
    <w:rsid w:val="004F28DD"/>
    <w:rsid w:val="004F2CBB"/>
    <w:rsid w:val="004F7E76"/>
    <w:rsid w:val="00500936"/>
    <w:rsid w:val="005044F0"/>
    <w:rsid w:val="00504ECA"/>
    <w:rsid w:val="00505599"/>
    <w:rsid w:val="00507E2F"/>
    <w:rsid w:val="00510845"/>
    <w:rsid w:val="00512A4C"/>
    <w:rsid w:val="005136E2"/>
    <w:rsid w:val="005145C2"/>
    <w:rsid w:val="00515B6A"/>
    <w:rsid w:val="0051650D"/>
    <w:rsid w:val="005169F9"/>
    <w:rsid w:val="00516EB0"/>
    <w:rsid w:val="0052003E"/>
    <w:rsid w:val="0052049C"/>
    <w:rsid w:val="0052308A"/>
    <w:rsid w:val="005232A9"/>
    <w:rsid w:val="00524E77"/>
    <w:rsid w:val="0052667E"/>
    <w:rsid w:val="00527241"/>
    <w:rsid w:val="0052727B"/>
    <w:rsid w:val="0053026E"/>
    <w:rsid w:val="00531E09"/>
    <w:rsid w:val="005320C5"/>
    <w:rsid w:val="00533381"/>
    <w:rsid w:val="00533B91"/>
    <w:rsid w:val="00533DBE"/>
    <w:rsid w:val="00533FCB"/>
    <w:rsid w:val="00534EC5"/>
    <w:rsid w:val="005411E1"/>
    <w:rsid w:val="00542AEF"/>
    <w:rsid w:val="00544B27"/>
    <w:rsid w:val="00547BD3"/>
    <w:rsid w:val="005503A6"/>
    <w:rsid w:val="005533CD"/>
    <w:rsid w:val="005634BB"/>
    <w:rsid w:val="005638DA"/>
    <w:rsid w:val="00566538"/>
    <w:rsid w:val="00570358"/>
    <w:rsid w:val="00574C5B"/>
    <w:rsid w:val="00577003"/>
    <w:rsid w:val="00581840"/>
    <w:rsid w:val="0058349B"/>
    <w:rsid w:val="005870A7"/>
    <w:rsid w:val="00587149"/>
    <w:rsid w:val="00590B92"/>
    <w:rsid w:val="005940C2"/>
    <w:rsid w:val="00595D31"/>
    <w:rsid w:val="0059606B"/>
    <w:rsid w:val="005963E1"/>
    <w:rsid w:val="0059723C"/>
    <w:rsid w:val="005A08A0"/>
    <w:rsid w:val="005A1731"/>
    <w:rsid w:val="005A3635"/>
    <w:rsid w:val="005A3C72"/>
    <w:rsid w:val="005A7F5F"/>
    <w:rsid w:val="005B20AF"/>
    <w:rsid w:val="005B238D"/>
    <w:rsid w:val="005B2A44"/>
    <w:rsid w:val="005B4A24"/>
    <w:rsid w:val="005B4FA3"/>
    <w:rsid w:val="005B5F38"/>
    <w:rsid w:val="005C3993"/>
    <w:rsid w:val="005C41A9"/>
    <w:rsid w:val="005C4488"/>
    <w:rsid w:val="005C52A5"/>
    <w:rsid w:val="005C637C"/>
    <w:rsid w:val="005C72DC"/>
    <w:rsid w:val="005D1622"/>
    <w:rsid w:val="005D2E1A"/>
    <w:rsid w:val="005D301A"/>
    <w:rsid w:val="005D4713"/>
    <w:rsid w:val="005D65FA"/>
    <w:rsid w:val="005D6794"/>
    <w:rsid w:val="005D70D8"/>
    <w:rsid w:val="005E191C"/>
    <w:rsid w:val="005E528B"/>
    <w:rsid w:val="005F0470"/>
    <w:rsid w:val="005F076C"/>
    <w:rsid w:val="005F21F6"/>
    <w:rsid w:val="005F4314"/>
    <w:rsid w:val="005F4906"/>
    <w:rsid w:val="005F59DA"/>
    <w:rsid w:val="005F607C"/>
    <w:rsid w:val="005F65E8"/>
    <w:rsid w:val="00600733"/>
    <w:rsid w:val="00605ACC"/>
    <w:rsid w:val="00605AE9"/>
    <w:rsid w:val="00606D51"/>
    <w:rsid w:val="0061014A"/>
    <w:rsid w:val="00610236"/>
    <w:rsid w:val="006111AE"/>
    <w:rsid w:val="00613810"/>
    <w:rsid w:val="00613DFA"/>
    <w:rsid w:val="00614545"/>
    <w:rsid w:val="006149ED"/>
    <w:rsid w:val="006155E6"/>
    <w:rsid w:val="006158D5"/>
    <w:rsid w:val="006158ED"/>
    <w:rsid w:val="00617056"/>
    <w:rsid w:val="006246A6"/>
    <w:rsid w:val="00625D35"/>
    <w:rsid w:val="00630E08"/>
    <w:rsid w:val="00631223"/>
    <w:rsid w:val="00631F81"/>
    <w:rsid w:val="006325B7"/>
    <w:rsid w:val="00633790"/>
    <w:rsid w:val="00634DF1"/>
    <w:rsid w:val="00635996"/>
    <w:rsid w:val="006414B2"/>
    <w:rsid w:val="00646138"/>
    <w:rsid w:val="006464DD"/>
    <w:rsid w:val="00646CD7"/>
    <w:rsid w:val="0064702D"/>
    <w:rsid w:val="00651CB3"/>
    <w:rsid w:val="006525F6"/>
    <w:rsid w:val="006544B1"/>
    <w:rsid w:val="00654D5A"/>
    <w:rsid w:val="00657637"/>
    <w:rsid w:val="00657E41"/>
    <w:rsid w:val="00657F23"/>
    <w:rsid w:val="006603FC"/>
    <w:rsid w:val="006613D7"/>
    <w:rsid w:val="00661E18"/>
    <w:rsid w:val="006644DD"/>
    <w:rsid w:val="006668EB"/>
    <w:rsid w:val="00667665"/>
    <w:rsid w:val="0066787B"/>
    <w:rsid w:val="00670CD5"/>
    <w:rsid w:val="006713BB"/>
    <w:rsid w:val="00673A36"/>
    <w:rsid w:val="0067490E"/>
    <w:rsid w:val="00675756"/>
    <w:rsid w:val="00675918"/>
    <w:rsid w:val="00676E2E"/>
    <w:rsid w:val="00680CB9"/>
    <w:rsid w:val="00682411"/>
    <w:rsid w:val="00683FA7"/>
    <w:rsid w:val="0068439F"/>
    <w:rsid w:val="00687177"/>
    <w:rsid w:val="0068744C"/>
    <w:rsid w:val="006876A5"/>
    <w:rsid w:val="0069069F"/>
    <w:rsid w:val="006908B9"/>
    <w:rsid w:val="00691834"/>
    <w:rsid w:val="006923EA"/>
    <w:rsid w:val="00694486"/>
    <w:rsid w:val="00695550"/>
    <w:rsid w:val="00697296"/>
    <w:rsid w:val="006A1023"/>
    <w:rsid w:val="006A1514"/>
    <w:rsid w:val="006A2DD9"/>
    <w:rsid w:val="006A4BFA"/>
    <w:rsid w:val="006A56FB"/>
    <w:rsid w:val="006A788C"/>
    <w:rsid w:val="006A7F2E"/>
    <w:rsid w:val="006B19B5"/>
    <w:rsid w:val="006B24D7"/>
    <w:rsid w:val="006B38AB"/>
    <w:rsid w:val="006B3AA4"/>
    <w:rsid w:val="006B45CE"/>
    <w:rsid w:val="006B48DE"/>
    <w:rsid w:val="006B5BF9"/>
    <w:rsid w:val="006C270E"/>
    <w:rsid w:val="006C2943"/>
    <w:rsid w:val="006C345F"/>
    <w:rsid w:val="006C3830"/>
    <w:rsid w:val="006C4DB5"/>
    <w:rsid w:val="006C501A"/>
    <w:rsid w:val="006C6A45"/>
    <w:rsid w:val="006C6E70"/>
    <w:rsid w:val="006C76E3"/>
    <w:rsid w:val="006C7972"/>
    <w:rsid w:val="006D0129"/>
    <w:rsid w:val="006D42D1"/>
    <w:rsid w:val="006D572B"/>
    <w:rsid w:val="006D61D1"/>
    <w:rsid w:val="006E293A"/>
    <w:rsid w:val="006E3B27"/>
    <w:rsid w:val="006E3C83"/>
    <w:rsid w:val="006E5B04"/>
    <w:rsid w:val="006F07B1"/>
    <w:rsid w:val="006F0E9D"/>
    <w:rsid w:val="006F22FF"/>
    <w:rsid w:val="006F2418"/>
    <w:rsid w:val="006F3DD0"/>
    <w:rsid w:val="006F732E"/>
    <w:rsid w:val="006F7BB5"/>
    <w:rsid w:val="0070429B"/>
    <w:rsid w:val="007069D6"/>
    <w:rsid w:val="00707471"/>
    <w:rsid w:val="007075D7"/>
    <w:rsid w:val="0071054C"/>
    <w:rsid w:val="00711A73"/>
    <w:rsid w:val="00712233"/>
    <w:rsid w:val="00712B25"/>
    <w:rsid w:val="007165DF"/>
    <w:rsid w:val="007218CA"/>
    <w:rsid w:val="00724574"/>
    <w:rsid w:val="00725785"/>
    <w:rsid w:val="00727733"/>
    <w:rsid w:val="00732400"/>
    <w:rsid w:val="007329F3"/>
    <w:rsid w:val="00732B02"/>
    <w:rsid w:val="00734ABE"/>
    <w:rsid w:val="007363FB"/>
    <w:rsid w:val="00742318"/>
    <w:rsid w:val="00744A7B"/>
    <w:rsid w:val="00747D39"/>
    <w:rsid w:val="007501BC"/>
    <w:rsid w:val="007510F0"/>
    <w:rsid w:val="007518C1"/>
    <w:rsid w:val="007523EA"/>
    <w:rsid w:val="0075283F"/>
    <w:rsid w:val="007568B6"/>
    <w:rsid w:val="00757F6A"/>
    <w:rsid w:val="0076151A"/>
    <w:rsid w:val="007644B6"/>
    <w:rsid w:val="00766BFA"/>
    <w:rsid w:val="007715E6"/>
    <w:rsid w:val="00773439"/>
    <w:rsid w:val="007745B3"/>
    <w:rsid w:val="007752FF"/>
    <w:rsid w:val="00775DD3"/>
    <w:rsid w:val="00776EE6"/>
    <w:rsid w:val="00780904"/>
    <w:rsid w:val="00781EA8"/>
    <w:rsid w:val="00783144"/>
    <w:rsid w:val="00783863"/>
    <w:rsid w:val="00784A6E"/>
    <w:rsid w:val="00785D54"/>
    <w:rsid w:val="00785E69"/>
    <w:rsid w:val="007872C5"/>
    <w:rsid w:val="00787C07"/>
    <w:rsid w:val="00790027"/>
    <w:rsid w:val="0079200E"/>
    <w:rsid w:val="007928BA"/>
    <w:rsid w:val="00795546"/>
    <w:rsid w:val="0079567F"/>
    <w:rsid w:val="007A07EE"/>
    <w:rsid w:val="007A0A10"/>
    <w:rsid w:val="007A164A"/>
    <w:rsid w:val="007A2EB2"/>
    <w:rsid w:val="007A3E03"/>
    <w:rsid w:val="007A4095"/>
    <w:rsid w:val="007A5C49"/>
    <w:rsid w:val="007A6F43"/>
    <w:rsid w:val="007B1067"/>
    <w:rsid w:val="007B54A4"/>
    <w:rsid w:val="007B68EA"/>
    <w:rsid w:val="007B6B9F"/>
    <w:rsid w:val="007C1D3D"/>
    <w:rsid w:val="007C3D74"/>
    <w:rsid w:val="007C5338"/>
    <w:rsid w:val="007D02C0"/>
    <w:rsid w:val="007D0374"/>
    <w:rsid w:val="007D3CFB"/>
    <w:rsid w:val="007D739A"/>
    <w:rsid w:val="007D7BC0"/>
    <w:rsid w:val="007E6664"/>
    <w:rsid w:val="007F2210"/>
    <w:rsid w:val="007F265E"/>
    <w:rsid w:val="00800192"/>
    <w:rsid w:val="00804381"/>
    <w:rsid w:val="00804ED8"/>
    <w:rsid w:val="00806599"/>
    <w:rsid w:val="00806C78"/>
    <w:rsid w:val="00810EE4"/>
    <w:rsid w:val="0081218F"/>
    <w:rsid w:val="00812869"/>
    <w:rsid w:val="00813B89"/>
    <w:rsid w:val="00813F57"/>
    <w:rsid w:val="008209B8"/>
    <w:rsid w:val="008224A8"/>
    <w:rsid w:val="00822E20"/>
    <w:rsid w:val="00822EF2"/>
    <w:rsid w:val="00822F65"/>
    <w:rsid w:val="0082431D"/>
    <w:rsid w:val="00826B3D"/>
    <w:rsid w:val="00827B88"/>
    <w:rsid w:val="008302E9"/>
    <w:rsid w:val="00831932"/>
    <w:rsid w:val="00832523"/>
    <w:rsid w:val="00832AC4"/>
    <w:rsid w:val="0083426E"/>
    <w:rsid w:val="00835ADD"/>
    <w:rsid w:val="008361FD"/>
    <w:rsid w:val="00836429"/>
    <w:rsid w:val="008367A7"/>
    <w:rsid w:val="00837CD0"/>
    <w:rsid w:val="008405D6"/>
    <w:rsid w:val="00841CF8"/>
    <w:rsid w:val="00841ECE"/>
    <w:rsid w:val="008423D8"/>
    <w:rsid w:val="00842600"/>
    <w:rsid w:val="00844BFA"/>
    <w:rsid w:val="00845150"/>
    <w:rsid w:val="00845527"/>
    <w:rsid w:val="0084720C"/>
    <w:rsid w:val="00850AC6"/>
    <w:rsid w:val="00852338"/>
    <w:rsid w:val="008526A7"/>
    <w:rsid w:val="00852A3B"/>
    <w:rsid w:val="00860A09"/>
    <w:rsid w:val="00862C92"/>
    <w:rsid w:val="00864F8D"/>
    <w:rsid w:val="0086573E"/>
    <w:rsid w:val="00865BB0"/>
    <w:rsid w:val="00866695"/>
    <w:rsid w:val="00867D51"/>
    <w:rsid w:val="00870167"/>
    <w:rsid w:val="0087094B"/>
    <w:rsid w:val="008736D9"/>
    <w:rsid w:val="00877106"/>
    <w:rsid w:val="00880DDE"/>
    <w:rsid w:val="008856D2"/>
    <w:rsid w:val="008857E1"/>
    <w:rsid w:val="00887BAA"/>
    <w:rsid w:val="008903F4"/>
    <w:rsid w:val="0089313E"/>
    <w:rsid w:val="00893CA9"/>
    <w:rsid w:val="00895567"/>
    <w:rsid w:val="00896C35"/>
    <w:rsid w:val="008A17AA"/>
    <w:rsid w:val="008A183F"/>
    <w:rsid w:val="008A32C7"/>
    <w:rsid w:val="008B0D96"/>
    <w:rsid w:val="008B355B"/>
    <w:rsid w:val="008B4056"/>
    <w:rsid w:val="008C167E"/>
    <w:rsid w:val="008C2502"/>
    <w:rsid w:val="008C31B4"/>
    <w:rsid w:val="008C3A0B"/>
    <w:rsid w:val="008C5A1D"/>
    <w:rsid w:val="008C61A1"/>
    <w:rsid w:val="008C6873"/>
    <w:rsid w:val="008C7195"/>
    <w:rsid w:val="008C7BD9"/>
    <w:rsid w:val="008D0CA6"/>
    <w:rsid w:val="008D1089"/>
    <w:rsid w:val="008D2EB0"/>
    <w:rsid w:val="008D30DE"/>
    <w:rsid w:val="008D5020"/>
    <w:rsid w:val="008D7316"/>
    <w:rsid w:val="008E1B61"/>
    <w:rsid w:val="008E1DAC"/>
    <w:rsid w:val="008E463F"/>
    <w:rsid w:val="008E4B65"/>
    <w:rsid w:val="008E6F5A"/>
    <w:rsid w:val="008F0185"/>
    <w:rsid w:val="008F1F48"/>
    <w:rsid w:val="008F2C81"/>
    <w:rsid w:val="008F74F6"/>
    <w:rsid w:val="00900627"/>
    <w:rsid w:val="0090485E"/>
    <w:rsid w:val="00904C67"/>
    <w:rsid w:val="009055B4"/>
    <w:rsid w:val="009072A7"/>
    <w:rsid w:val="00910FE0"/>
    <w:rsid w:val="0091452C"/>
    <w:rsid w:val="00915610"/>
    <w:rsid w:val="009207B5"/>
    <w:rsid w:val="0092601F"/>
    <w:rsid w:val="00926697"/>
    <w:rsid w:val="0092737E"/>
    <w:rsid w:val="00930197"/>
    <w:rsid w:val="009306FA"/>
    <w:rsid w:val="00936EDA"/>
    <w:rsid w:val="00940413"/>
    <w:rsid w:val="009411C0"/>
    <w:rsid w:val="00943526"/>
    <w:rsid w:val="00951176"/>
    <w:rsid w:val="00952F27"/>
    <w:rsid w:val="00953303"/>
    <w:rsid w:val="00955871"/>
    <w:rsid w:val="00962AB6"/>
    <w:rsid w:val="0096379F"/>
    <w:rsid w:val="00966D83"/>
    <w:rsid w:val="00970B1A"/>
    <w:rsid w:val="009710FA"/>
    <w:rsid w:val="00972037"/>
    <w:rsid w:val="009721B6"/>
    <w:rsid w:val="009722E8"/>
    <w:rsid w:val="0097251D"/>
    <w:rsid w:val="009727FA"/>
    <w:rsid w:val="009736C6"/>
    <w:rsid w:val="00977134"/>
    <w:rsid w:val="009777B1"/>
    <w:rsid w:val="0098443D"/>
    <w:rsid w:val="0098473C"/>
    <w:rsid w:val="009854EA"/>
    <w:rsid w:val="0098572D"/>
    <w:rsid w:val="00986572"/>
    <w:rsid w:val="00986E56"/>
    <w:rsid w:val="0099430D"/>
    <w:rsid w:val="00994E7E"/>
    <w:rsid w:val="00995664"/>
    <w:rsid w:val="0099762A"/>
    <w:rsid w:val="009A0FE8"/>
    <w:rsid w:val="009A3D51"/>
    <w:rsid w:val="009A4059"/>
    <w:rsid w:val="009A7EF3"/>
    <w:rsid w:val="009B1276"/>
    <w:rsid w:val="009B1C40"/>
    <w:rsid w:val="009B3FDA"/>
    <w:rsid w:val="009B4E61"/>
    <w:rsid w:val="009B5BD3"/>
    <w:rsid w:val="009B648C"/>
    <w:rsid w:val="009B7CE3"/>
    <w:rsid w:val="009C0E14"/>
    <w:rsid w:val="009C295A"/>
    <w:rsid w:val="009C658E"/>
    <w:rsid w:val="009D28DE"/>
    <w:rsid w:val="009D39D8"/>
    <w:rsid w:val="009D3C0D"/>
    <w:rsid w:val="009D4322"/>
    <w:rsid w:val="009D48AD"/>
    <w:rsid w:val="009D517F"/>
    <w:rsid w:val="009D679E"/>
    <w:rsid w:val="009D6BAA"/>
    <w:rsid w:val="009E1E41"/>
    <w:rsid w:val="009E200E"/>
    <w:rsid w:val="009E221A"/>
    <w:rsid w:val="009F1811"/>
    <w:rsid w:val="009F3677"/>
    <w:rsid w:val="009F3CB6"/>
    <w:rsid w:val="00A002AD"/>
    <w:rsid w:val="00A04345"/>
    <w:rsid w:val="00A04C19"/>
    <w:rsid w:val="00A04DD2"/>
    <w:rsid w:val="00A07840"/>
    <w:rsid w:val="00A10EA5"/>
    <w:rsid w:val="00A11A8F"/>
    <w:rsid w:val="00A12CCF"/>
    <w:rsid w:val="00A12DF5"/>
    <w:rsid w:val="00A14636"/>
    <w:rsid w:val="00A14965"/>
    <w:rsid w:val="00A14B52"/>
    <w:rsid w:val="00A21FAD"/>
    <w:rsid w:val="00A22D1B"/>
    <w:rsid w:val="00A24961"/>
    <w:rsid w:val="00A26E31"/>
    <w:rsid w:val="00A30181"/>
    <w:rsid w:val="00A31136"/>
    <w:rsid w:val="00A32116"/>
    <w:rsid w:val="00A3225E"/>
    <w:rsid w:val="00A34D03"/>
    <w:rsid w:val="00A35818"/>
    <w:rsid w:val="00A3669D"/>
    <w:rsid w:val="00A3795C"/>
    <w:rsid w:val="00A405F9"/>
    <w:rsid w:val="00A43618"/>
    <w:rsid w:val="00A44F2A"/>
    <w:rsid w:val="00A45B3F"/>
    <w:rsid w:val="00A47D62"/>
    <w:rsid w:val="00A52B7D"/>
    <w:rsid w:val="00A53EA3"/>
    <w:rsid w:val="00A54918"/>
    <w:rsid w:val="00A5695D"/>
    <w:rsid w:val="00A56C48"/>
    <w:rsid w:val="00A629F0"/>
    <w:rsid w:val="00A64C91"/>
    <w:rsid w:val="00A67862"/>
    <w:rsid w:val="00A71759"/>
    <w:rsid w:val="00A72C36"/>
    <w:rsid w:val="00A7329F"/>
    <w:rsid w:val="00A7439D"/>
    <w:rsid w:val="00A77DFD"/>
    <w:rsid w:val="00A81208"/>
    <w:rsid w:val="00A83A98"/>
    <w:rsid w:val="00A85B41"/>
    <w:rsid w:val="00A868BB"/>
    <w:rsid w:val="00A86E64"/>
    <w:rsid w:val="00A87F35"/>
    <w:rsid w:val="00A9234D"/>
    <w:rsid w:val="00A930F6"/>
    <w:rsid w:val="00A9380B"/>
    <w:rsid w:val="00A95A68"/>
    <w:rsid w:val="00A9629F"/>
    <w:rsid w:val="00A9645B"/>
    <w:rsid w:val="00A979E2"/>
    <w:rsid w:val="00AA0021"/>
    <w:rsid w:val="00AA0352"/>
    <w:rsid w:val="00AA22BA"/>
    <w:rsid w:val="00AA2591"/>
    <w:rsid w:val="00AA2A72"/>
    <w:rsid w:val="00AA2EEB"/>
    <w:rsid w:val="00AA5646"/>
    <w:rsid w:val="00AA6F79"/>
    <w:rsid w:val="00AB03B7"/>
    <w:rsid w:val="00AB3070"/>
    <w:rsid w:val="00AB3D1C"/>
    <w:rsid w:val="00AB3F35"/>
    <w:rsid w:val="00AB7201"/>
    <w:rsid w:val="00AC1B7F"/>
    <w:rsid w:val="00AC223D"/>
    <w:rsid w:val="00AC287C"/>
    <w:rsid w:val="00AC295C"/>
    <w:rsid w:val="00AC2B3A"/>
    <w:rsid w:val="00AC3310"/>
    <w:rsid w:val="00AC4413"/>
    <w:rsid w:val="00AC5098"/>
    <w:rsid w:val="00AC55A6"/>
    <w:rsid w:val="00AC71AA"/>
    <w:rsid w:val="00AD0026"/>
    <w:rsid w:val="00AD0340"/>
    <w:rsid w:val="00AD078B"/>
    <w:rsid w:val="00AD08AB"/>
    <w:rsid w:val="00AD0BDB"/>
    <w:rsid w:val="00AD13BD"/>
    <w:rsid w:val="00AD19DC"/>
    <w:rsid w:val="00AD3E18"/>
    <w:rsid w:val="00AD4C58"/>
    <w:rsid w:val="00AD70AB"/>
    <w:rsid w:val="00AE01F1"/>
    <w:rsid w:val="00AE19C3"/>
    <w:rsid w:val="00AE29BF"/>
    <w:rsid w:val="00AE37CE"/>
    <w:rsid w:val="00AE51CA"/>
    <w:rsid w:val="00AE5E01"/>
    <w:rsid w:val="00AE5F55"/>
    <w:rsid w:val="00AF076F"/>
    <w:rsid w:val="00AF078B"/>
    <w:rsid w:val="00AF2087"/>
    <w:rsid w:val="00AF2408"/>
    <w:rsid w:val="00AF3384"/>
    <w:rsid w:val="00AF509D"/>
    <w:rsid w:val="00AF5E90"/>
    <w:rsid w:val="00AF696F"/>
    <w:rsid w:val="00AF7407"/>
    <w:rsid w:val="00B004C7"/>
    <w:rsid w:val="00B01850"/>
    <w:rsid w:val="00B02A34"/>
    <w:rsid w:val="00B03111"/>
    <w:rsid w:val="00B040D8"/>
    <w:rsid w:val="00B041DC"/>
    <w:rsid w:val="00B04708"/>
    <w:rsid w:val="00B04DD7"/>
    <w:rsid w:val="00B0683E"/>
    <w:rsid w:val="00B07B3C"/>
    <w:rsid w:val="00B12DB5"/>
    <w:rsid w:val="00B132DB"/>
    <w:rsid w:val="00B13D36"/>
    <w:rsid w:val="00B20519"/>
    <w:rsid w:val="00B20B23"/>
    <w:rsid w:val="00B20C71"/>
    <w:rsid w:val="00B21266"/>
    <w:rsid w:val="00B2654E"/>
    <w:rsid w:val="00B27E15"/>
    <w:rsid w:val="00B27EB6"/>
    <w:rsid w:val="00B27EE4"/>
    <w:rsid w:val="00B30110"/>
    <w:rsid w:val="00B304CA"/>
    <w:rsid w:val="00B30D00"/>
    <w:rsid w:val="00B350DE"/>
    <w:rsid w:val="00B4063B"/>
    <w:rsid w:val="00B40CD9"/>
    <w:rsid w:val="00B418A2"/>
    <w:rsid w:val="00B42A10"/>
    <w:rsid w:val="00B461FB"/>
    <w:rsid w:val="00B470D4"/>
    <w:rsid w:val="00B51DCA"/>
    <w:rsid w:val="00B55F90"/>
    <w:rsid w:val="00B56D53"/>
    <w:rsid w:val="00B579EF"/>
    <w:rsid w:val="00B6027F"/>
    <w:rsid w:val="00B67377"/>
    <w:rsid w:val="00B67A3F"/>
    <w:rsid w:val="00B70118"/>
    <w:rsid w:val="00B70E7A"/>
    <w:rsid w:val="00B71404"/>
    <w:rsid w:val="00B73126"/>
    <w:rsid w:val="00B73627"/>
    <w:rsid w:val="00B7417D"/>
    <w:rsid w:val="00B74D9F"/>
    <w:rsid w:val="00B75271"/>
    <w:rsid w:val="00B75657"/>
    <w:rsid w:val="00B768EB"/>
    <w:rsid w:val="00B778E2"/>
    <w:rsid w:val="00B8151A"/>
    <w:rsid w:val="00B818D0"/>
    <w:rsid w:val="00B85145"/>
    <w:rsid w:val="00B85C64"/>
    <w:rsid w:val="00B85CA3"/>
    <w:rsid w:val="00B863E2"/>
    <w:rsid w:val="00B87821"/>
    <w:rsid w:val="00B87C4A"/>
    <w:rsid w:val="00B91331"/>
    <w:rsid w:val="00B92FE5"/>
    <w:rsid w:val="00B935B7"/>
    <w:rsid w:val="00B94DF4"/>
    <w:rsid w:val="00B959C8"/>
    <w:rsid w:val="00BA766D"/>
    <w:rsid w:val="00BB0977"/>
    <w:rsid w:val="00BB1DF2"/>
    <w:rsid w:val="00BB23A8"/>
    <w:rsid w:val="00BB31A4"/>
    <w:rsid w:val="00BB3B39"/>
    <w:rsid w:val="00BB40E3"/>
    <w:rsid w:val="00BB4EC7"/>
    <w:rsid w:val="00BB6037"/>
    <w:rsid w:val="00BB74A7"/>
    <w:rsid w:val="00BC11BF"/>
    <w:rsid w:val="00BC2EF6"/>
    <w:rsid w:val="00BC4AF2"/>
    <w:rsid w:val="00BC6110"/>
    <w:rsid w:val="00BD061C"/>
    <w:rsid w:val="00BD1021"/>
    <w:rsid w:val="00BD42C5"/>
    <w:rsid w:val="00BD5567"/>
    <w:rsid w:val="00BD71F7"/>
    <w:rsid w:val="00BD7AAA"/>
    <w:rsid w:val="00BE2688"/>
    <w:rsid w:val="00BE4098"/>
    <w:rsid w:val="00BE4229"/>
    <w:rsid w:val="00BE4E40"/>
    <w:rsid w:val="00BE5B56"/>
    <w:rsid w:val="00BE61D6"/>
    <w:rsid w:val="00BE6D8F"/>
    <w:rsid w:val="00BF1DC1"/>
    <w:rsid w:val="00BF7CDB"/>
    <w:rsid w:val="00C02C4B"/>
    <w:rsid w:val="00C03520"/>
    <w:rsid w:val="00C04575"/>
    <w:rsid w:val="00C04EC6"/>
    <w:rsid w:val="00C116BC"/>
    <w:rsid w:val="00C125A9"/>
    <w:rsid w:val="00C15A8B"/>
    <w:rsid w:val="00C15EF0"/>
    <w:rsid w:val="00C17300"/>
    <w:rsid w:val="00C17440"/>
    <w:rsid w:val="00C2158F"/>
    <w:rsid w:val="00C25DD6"/>
    <w:rsid w:val="00C2606B"/>
    <w:rsid w:val="00C263B4"/>
    <w:rsid w:val="00C263BC"/>
    <w:rsid w:val="00C2677F"/>
    <w:rsid w:val="00C27052"/>
    <w:rsid w:val="00C3381C"/>
    <w:rsid w:val="00C33B6C"/>
    <w:rsid w:val="00C34B37"/>
    <w:rsid w:val="00C36C1B"/>
    <w:rsid w:val="00C42147"/>
    <w:rsid w:val="00C4302C"/>
    <w:rsid w:val="00C44058"/>
    <w:rsid w:val="00C446DC"/>
    <w:rsid w:val="00C506DC"/>
    <w:rsid w:val="00C521AF"/>
    <w:rsid w:val="00C555D9"/>
    <w:rsid w:val="00C55639"/>
    <w:rsid w:val="00C60493"/>
    <w:rsid w:val="00C6246D"/>
    <w:rsid w:val="00C64228"/>
    <w:rsid w:val="00C64E19"/>
    <w:rsid w:val="00C66645"/>
    <w:rsid w:val="00C66ED8"/>
    <w:rsid w:val="00C742FD"/>
    <w:rsid w:val="00C76F0E"/>
    <w:rsid w:val="00C82682"/>
    <w:rsid w:val="00C82A73"/>
    <w:rsid w:val="00C843BF"/>
    <w:rsid w:val="00C8467A"/>
    <w:rsid w:val="00C8521E"/>
    <w:rsid w:val="00C85D13"/>
    <w:rsid w:val="00C94F88"/>
    <w:rsid w:val="00C951E6"/>
    <w:rsid w:val="00C9587D"/>
    <w:rsid w:val="00CA1FE6"/>
    <w:rsid w:val="00CA4C2E"/>
    <w:rsid w:val="00CB0765"/>
    <w:rsid w:val="00CB0C5E"/>
    <w:rsid w:val="00CB20A6"/>
    <w:rsid w:val="00CB23F6"/>
    <w:rsid w:val="00CB2587"/>
    <w:rsid w:val="00CB4D23"/>
    <w:rsid w:val="00CB4D44"/>
    <w:rsid w:val="00CB6D43"/>
    <w:rsid w:val="00CC06E5"/>
    <w:rsid w:val="00CC2210"/>
    <w:rsid w:val="00CC27F2"/>
    <w:rsid w:val="00CC2FAC"/>
    <w:rsid w:val="00CC4F3E"/>
    <w:rsid w:val="00CC5950"/>
    <w:rsid w:val="00CC6103"/>
    <w:rsid w:val="00CC6F97"/>
    <w:rsid w:val="00CC7A57"/>
    <w:rsid w:val="00CD0262"/>
    <w:rsid w:val="00CD0B55"/>
    <w:rsid w:val="00CD1380"/>
    <w:rsid w:val="00CD4235"/>
    <w:rsid w:val="00CD4C54"/>
    <w:rsid w:val="00CD51B0"/>
    <w:rsid w:val="00CD6FA0"/>
    <w:rsid w:val="00CE0731"/>
    <w:rsid w:val="00CE30C5"/>
    <w:rsid w:val="00CE3605"/>
    <w:rsid w:val="00CF1728"/>
    <w:rsid w:val="00CF2867"/>
    <w:rsid w:val="00CF4651"/>
    <w:rsid w:val="00CF5C38"/>
    <w:rsid w:val="00D01BB1"/>
    <w:rsid w:val="00D0734A"/>
    <w:rsid w:val="00D076C6"/>
    <w:rsid w:val="00D10A76"/>
    <w:rsid w:val="00D11012"/>
    <w:rsid w:val="00D11978"/>
    <w:rsid w:val="00D1348C"/>
    <w:rsid w:val="00D13AE4"/>
    <w:rsid w:val="00D143F0"/>
    <w:rsid w:val="00D145FC"/>
    <w:rsid w:val="00D176C5"/>
    <w:rsid w:val="00D2133F"/>
    <w:rsid w:val="00D228DB"/>
    <w:rsid w:val="00D24269"/>
    <w:rsid w:val="00D25716"/>
    <w:rsid w:val="00D272B5"/>
    <w:rsid w:val="00D302F3"/>
    <w:rsid w:val="00D30E0B"/>
    <w:rsid w:val="00D31BD9"/>
    <w:rsid w:val="00D32A01"/>
    <w:rsid w:val="00D3303E"/>
    <w:rsid w:val="00D33978"/>
    <w:rsid w:val="00D3510F"/>
    <w:rsid w:val="00D35706"/>
    <w:rsid w:val="00D42ED8"/>
    <w:rsid w:val="00D44979"/>
    <w:rsid w:val="00D46DBB"/>
    <w:rsid w:val="00D4779F"/>
    <w:rsid w:val="00D50365"/>
    <w:rsid w:val="00D51E55"/>
    <w:rsid w:val="00D52B2D"/>
    <w:rsid w:val="00D5412F"/>
    <w:rsid w:val="00D56083"/>
    <w:rsid w:val="00D560F5"/>
    <w:rsid w:val="00D5754A"/>
    <w:rsid w:val="00D63229"/>
    <w:rsid w:val="00D655AF"/>
    <w:rsid w:val="00D65984"/>
    <w:rsid w:val="00D67242"/>
    <w:rsid w:val="00D70E38"/>
    <w:rsid w:val="00D70F5D"/>
    <w:rsid w:val="00D7103F"/>
    <w:rsid w:val="00D734C1"/>
    <w:rsid w:val="00D73E07"/>
    <w:rsid w:val="00D74558"/>
    <w:rsid w:val="00D75A75"/>
    <w:rsid w:val="00D76A79"/>
    <w:rsid w:val="00D76B07"/>
    <w:rsid w:val="00D80ACB"/>
    <w:rsid w:val="00D8179B"/>
    <w:rsid w:val="00D81ABA"/>
    <w:rsid w:val="00D81CA5"/>
    <w:rsid w:val="00D82367"/>
    <w:rsid w:val="00D83275"/>
    <w:rsid w:val="00D8766A"/>
    <w:rsid w:val="00D87B5E"/>
    <w:rsid w:val="00D905AB"/>
    <w:rsid w:val="00D91E39"/>
    <w:rsid w:val="00D93C56"/>
    <w:rsid w:val="00D94566"/>
    <w:rsid w:val="00D94A96"/>
    <w:rsid w:val="00D960ED"/>
    <w:rsid w:val="00D971DF"/>
    <w:rsid w:val="00DA06C1"/>
    <w:rsid w:val="00DA11A6"/>
    <w:rsid w:val="00DA1313"/>
    <w:rsid w:val="00DA3C20"/>
    <w:rsid w:val="00DA745F"/>
    <w:rsid w:val="00DB018B"/>
    <w:rsid w:val="00DB0F0B"/>
    <w:rsid w:val="00DB1AF3"/>
    <w:rsid w:val="00DB2BD9"/>
    <w:rsid w:val="00DB599B"/>
    <w:rsid w:val="00DB5C79"/>
    <w:rsid w:val="00DB5FFB"/>
    <w:rsid w:val="00DB7338"/>
    <w:rsid w:val="00DB792D"/>
    <w:rsid w:val="00DC062D"/>
    <w:rsid w:val="00DC0AC3"/>
    <w:rsid w:val="00DC308A"/>
    <w:rsid w:val="00DC3159"/>
    <w:rsid w:val="00DC3338"/>
    <w:rsid w:val="00DC4DC8"/>
    <w:rsid w:val="00DC652E"/>
    <w:rsid w:val="00DD0D7D"/>
    <w:rsid w:val="00DD15CA"/>
    <w:rsid w:val="00DD16FE"/>
    <w:rsid w:val="00DD1786"/>
    <w:rsid w:val="00DD24FA"/>
    <w:rsid w:val="00DD294A"/>
    <w:rsid w:val="00DD3D2F"/>
    <w:rsid w:val="00DD4973"/>
    <w:rsid w:val="00DD5820"/>
    <w:rsid w:val="00DD6E5A"/>
    <w:rsid w:val="00DD7602"/>
    <w:rsid w:val="00DD7DC2"/>
    <w:rsid w:val="00DE41C6"/>
    <w:rsid w:val="00DE7347"/>
    <w:rsid w:val="00DF7459"/>
    <w:rsid w:val="00E01214"/>
    <w:rsid w:val="00E02C01"/>
    <w:rsid w:val="00E034F9"/>
    <w:rsid w:val="00E03C4F"/>
    <w:rsid w:val="00E046A8"/>
    <w:rsid w:val="00E05D67"/>
    <w:rsid w:val="00E06BC4"/>
    <w:rsid w:val="00E11086"/>
    <w:rsid w:val="00E12B72"/>
    <w:rsid w:val="00E163EA"/>
    <w:rsid w:val="00E1733B"/>
    <w:rsid w:val="00E17524"/>
    <w:rsid w:val="00E22CD2"/>
    <w:rsid w:val="00E23631"/>
    <w:rsid w:val="00E24193"/>
    <w:rsid w:val="00E2461C"/>
    <w:rsid w:val="00E31DC0"/>
    <w:rsid w:val="00E327F5"/>
    <w:rsid w:val="00E331EB"/>
    <w:rsid w:val="00E35F9B"/>
    <w:rsid w:val="00E36B06"/>
    <w:rsid w:val="00E36D6F"/>
    <w:rsid w:val="00E41FBE"/>
    <w:rsid w:val="00E42337"/>
    <w:rsid w:val="00E42DB7"/>
    <w:rsid w:val="00E44471"/>
    <w:rsid w:val="00E4604C"/>
    <w:rsid w:val="00E4723D"/>
    <w:rsid w:val="00E50086"/>
    <w:rsid w:val="00E50193"/>
    <w:rsid w:val="00E53A9B"/>
    <w:rsid w:val="00E545D3"/>
    <w:rsid w:val="00E55AF2"/>
    <w:rsid w:val="00E5718E"/>
    <w:rsid w:val="00E57615"/>
    <w:rsid w:val="00E735D4"/>
    <w:rsid w:val="00E76D5B"/>
    <w:rsid w:val="00E844A8"/>
    <w:rsid w:val="00E875FA"/>
    <w:rsid w:val="00E90417"/>
    <w:rsid w:val="00E9057C"/>
    <w:rsid w:val="00E90F35"/>
    <w:rsid w:val="00E92B77"/>
    <w:rsid w:val="00E93DB3"/>
    <w:rsid w:val="00E93FE0"/>
    <w:rsid w:val="00EA0163"/>
    <w:rsid w:val="00EA18C9"/>
    <w:rsid w:val="00EA1E06"/>
    <w:rsid w:val="00EA2B41"/>
    <w:rsid w:val="00EA40F3"/>
    <w:rsid w:val="00EA6254"/>
    <w:rsid w:val="00EA65D2"/>
    <w:rsid w:val="00EB62B2"/>
    <w:rsid w:val="00EB7378"/>
    <w:rsid w:val="00EB7BF4"/>
    <w:rsid w:val="00EC0BDE"/>
    <w:rsid w:val="00EC124F"/>
    <w:rsid w:val="00EC14CA"/>
    <w:rsid w:val="00EC16B3"/>
    <w:rsid w:val="00EC335B"/>
    <w:rsid w:val="00EC52C9"/>
    <w:rsid w:val="00EC601B"/>
    <w:rsid w:val="00EC604E"/>
    <w:rsid w:val="00EC67C6"/>
    <w:rsid w:val="00EC7065"/>
    <w:rsid w:val="00EC7E9B"/>
    <w:rsid w:val="00ED09F3"/>
    <w:rsid w:val="00ED19E7"/>
    <w:rsid w:val="00ED1B43"/>
    <w:rsid w:val="00ED1F7A"/>
    <w:rsid w:val="00ED2476"/>
    <w:rsid w:val="00ED3EB6"/>
    <w:rsid w:val="00ED4B67"/>
    <w:rsid w:val="00EE0B0F"/>
    <w:rsid w:val="00EE2378"/>
    <w:rsid w:val="00EE317B"/>
    <w:rsid w:val="00EE48A4"/>
    <w:rsid w:val="00EE4FE5"/>
    <w:rsid w:val="00EE6203"/>
    <w:rsid w:val="00EE7B7A"/>
    <w:rsid w:val="00EE7ED9"/>
    <w:rsid w:val="00EF0E89"/>
    <w:rsid w:val="00EF2219"/>
    <w:rsid w:val="00EF2385"/>
    <w:rsid w:val="00EF6ED7"/>
    <w:rsid w:val="00EF7E9F"/>
    <w:rsid w:val="00F036E9"/>
    <w:rsid w:val="00F046AA"/>
    <w:rsid w:val="00F057F3"/>
    <w:rsid w:val="00F11537"/>
    <w:rsid w:val="00F14B4D"/>
    <w:rsid w:val="00F160DB"/>
    <w:rsid w:val="00F16A7A"/>
    <w:rsid w:val="00F23248"/>
    <w:rsid w:val="00F2348B"/>
    <w:rsid w:val="00F244D1"/>
    <w:rsid w:val="00F24729"/>
    <w:rsid w:val="00F25455"/>
    <w:rsid w:val="00F30FF6"/>
    <w:rsid w:val="00F31974"/>
    <w:rsid w:val="00F345ED"/>
    <w:rsid w:val="00F36A8E"/>
    <w:rsid w:val="00F37689"/>
    <w:rsid w:val="00F37A9B"/>
    <w:rsid w:val="00F42F2B"/>
    <w:rsid w:val="00F44653"/>
    <w:rsid w:val="00F461F6"/>
    <w:rsid w:val="00F530E2"/>
    <w:rsid w:val="00F5342A"/>
    <w:rsid w:val="00F557E6"/>
    <w:rsid w:val="00F55C78"/>
    <w:rsid w:val="00F56A6E"/>
    <w:rsid w:val="00F60685"/>
    <w:rsid w:val="00F6072C"/>
    <w:rsid w:val="00F61705"/>
    <w:rsid w:val="00F62068"/>
    <w:rsid w:val="00F640CB"/>
    <w:rsid w:val="00F64362"/>
    <w:rsid w:val="00F6562D"/>
    <w:rsid w:val="00F65640"/>
    <w:rsid w:val="00F66C38"/>
    <w:rsid w:val="00F66C4F"/>
    <w:rsid w:val="00F67ABE"/>
    <w:rsid w:val="00F700CB"/>
    <w:rsid w:val="00F701D7"/>
    <w:rsid w:val="00F71490"/>
    <w:rsid w:val="00F7183F"/>
    <w:rsid w:val="00F726AA"/>
    <w:rsid w:val="00F80FDB"/>
    <w:rsid w:val="00F8181B"/>
    <w:rsid w:val="00F833E7"/>
    <w:rsid w:val="00F83FCC"/>
    <w:rsid w:val="00F85FED"/>
    <w:rsid w:val="00F86941"/>
    <w:rsid w:val="00F90B87"/>
    <w:rsid w:val="00F90E06"/>
    <w:rsid w:val="00F92332"/>
    <w:rsid w:val="00F92E2A"/>
    <w:rsid w:val="00F93093"/>
    <w:rsid w:val="00F94849"/>
    <w:rsid w:val="00F96E5F"/>
    <w:rsid w:val="00F970A3"/>
    <w:rsid w:val="00FA281B"/>
    <w:rsid w:val="00FA5287"/>
    <w:rsid w:val="00FA7F79"/>
    <w:rsid w:val="00FB0A32"/>
    <w:rsid w:val="00FB224F"/>
    <w:rsid w:val="00FB2479"/>
    <w:rsid w:val="00FB2B7C"/>
    <w:rsid w:val="00FB39C8"/>
    <w:rsid w:val="00FB3D01"/>
    <w:rsid w:val="00FB54DA"/>
    <w:rsid w:val="00FB6D3D"/>
    <w:rsid w:val="00FC11E7"/>
    <w:rsid w:val="00FC3969"/>
    <w:rsid w:val="00FC3D9E"/>
    <w:rsid w:val="00FC47E9"/>
    <w:rsid w:val="00FC592A"/>
    <w:rsid w:val="00FC637B"/>
    <w:rsid w:val="00FD1D1D"/>
    <w:rsid w:val="00FD2111"/>
    <w:rsid w:val="00FD3025"/>
    <w:rsid w:val="00FD5D48"/>
    <w:rsid w:val="00FD6B41"/>
    <w:rsid w:val="00FE15BE"/>
    <w:rsid w:val="00FE3641"/>
    <w:rsid w:val="00FE7F67"/>
    <w:rsid w:val="00FF25EF"/>
    <w:rsid w:val="00FF55BD"/>
    <w:rsid w:val="00FF5A3B"/>
    <w:rsid w:val="00FF5EC7"/>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70"/>
  </w:style>
  <w:style w:type="paragraph" w:styleId="Heading1">
    <w:name w:val="heading 1"/>
    <w:basedOn w:val="Normal"/>
    <w:next w:val="Normal"/>
    <w:link w:val="Heading1Char"/>
    <w:qFormat/>
    <w:rsid w:val="005F0470"/>
    <w:pPr>
      <w:keepNext/>
      <w:outlineLvl w:val="0"/>
    </w:pPr>
    <w:rPr>
      <w:rFonts w:ascii="Palatino" w:hAnsi="Palatino"/>
      <w:b/>
      <w:sz w:val="24"/>
      <w:u w:val="single"/>
    </w:rPr>
  </w:style>
  <w:style w:type="paragraph" w:styleId="Heading2">
    <w:name w:val="heading 2"/>
    <w:basedOn w:val="Normal"/>
    <w:next w:val="Normal"/>
    <w:link w:val="Heading2Char"/>
    <w:qFormat/>
    <w:rsid w:val="005F0470"/>
    <w:pPr>
      <w:keepNext/>
      <w:tabs>
        <w:tab w:val="left" w:pos="720"/>
      </w:tabs>
      <w:spacing w:after="120"/>
      <w:ind w:left="720"/>
      <w:outlineLvl w:val="1"/>
    </w:pPr>
    <w:rPr>
      <w:rFonts w:ascii="Palatino" w:hAnsi="Palatino"/>
      <w:b/>
      <w:sz w:val="24"/>
    </w:rPr>
  </w:style>
  <w:style w:type="paragraph" w:styleId="Heading3">
    <w:name w:val="heading 3"/>
    <w:basedOn w:val="Normal"/>
    <w:next w:val="Normal"/>
    <w:link w:val="Heading3Char"/>
    <w:qFormat/>
    <w:rsid w:val="005F0470"/>
    <w:pPr>
      <w:keepNext/>
      <w:outlineLvl w:val="2"/>
    </w:pPr>
    <w:rPr>
      <w:rFonts w:ascii="Palatino" w:hAnsi="Palatino"/>
      <w:sz w:val="24"/>
    </w:rPr>
  </w:style>
  <w:style w:type="paragraph" w:styleId="Heading4">
    <w:name w:val="heading 4"/>
    <w:basedOn w:val="Normal"/>
    <w:next w:val="Normal"/>
    <w:link w:val="Heading4Char"/>
    <w:qFormat/>
    <w:rsid w:val="005F0470"/>
    <w:pPr>
      <w:keepNext/>
      <w:spacing w:after="120"/>
      <w:ind w:left="720"/>
      <w:outlineLvl w:val="3"/>
    </w:pPr>
    <w:rPr>
      <w:rFonts w:ascii="Palatino" w:hAnsi="Palatino"/>
      <w:b/>
      <w:sz w:val="24"/>
      <w:u w:val="single"/>
    </w:rPr>
  </w:style>
  <w:style w:type="paragraph" w:styleId="Heading5">
    <w:name w:val="heading 5"/>
    <w:basedOn w:val="Normal"/>
    <w:next w:val="Normal"/>
    <w:link w:val="Heading5Char"/>
    <w:qFormat/>
    <w:rsid w:val="005F0470"/>
    <w:pPr>
      <w:keepNext/>
      <w:ind w:left="720" w:right="1440"/>
      <w:outlineLvl w:val="4"/>
    </w:pPr>
    <w:rPr>
      <w:rFonts w:ascii="Palatino" w:hAnsi="Palatino"/>
      <w:b/>
      <w:bCs/>
      <w:sz w:val="24"/>
    </w:rPr>
  </w:style>
  <w:style w:type="paragraph" w:styleId="Heading6">
    <w:name w:val="heading 6"/>
    <w:basedOn w:val="Normal"/>
    <w:next w:val="Normal"/>
    <w:link w:val="Heading6Char"/>
    <w:qFormat/>
    <w:rsid w:val="005F0470"/>
    <w:pPr>
      <w:keepNext/>
      <w:spacing w:before="120"/>
      <w:jc w:val="right"/>
      <w:outlineLvl w:val="5"/>
    </w:pPr>
    <w:rPr>
      <w:sz w:val="24"/>
    </w:rPr>
  </w:style>
  <w:style w:type="paragraph" w:styleId="Heading7">
    <w:name w:val="heading 7"/>
    <w:basedOn w:val="Normal"/>
    <w:next w:val="Normal"/>
    <w:link w:val="Heading7Char"/>
    <w:qFormat/>
    <w:rsid w:val="005F0470"/>
    <w:pPr>
      <w:keepNext/>
      <w:spacing w:after="120"/>
      <w:ind w:right="-720" w:firstLine="720"/>
      <w:outlineLvl w:val="6"/>
    </w:pPr>
    <w:rPr>
      <w:rFonts w:ascii="Palatino" w:hAnsi="Palatino"/>
      <w:b/>
      <w:sz w:val="24"/>
      <w:u w:val="single"/>
    </w:rPr>
  </w:style>
  <w:style w:type="paragraph" w:styleId="Heading8">
    <w:name w:val="heading 8"/>
    <w:basedOn w:val="Normal"/>
    <w:next w:val="Normal"/>
    <w:link w:val="Heading8Char"/>
    <w:qFormat/>
    <w:rsid w:val="005F0470"/>
    <w:pPr>
      <w:keepNext/>
      <w:spacing w:after="120"/>
      <w:ind w:firstLine="720"/>
      <w:outlineLvl w:val="7"/>
    </w:pPr>
    <w:rPr>
      <w:b/>
      <w:sz w:val="24"/>
      <w:u w:val="single"/>
    </w:rPr>
  </w:style>
  <w:style w:type="paragraph" w:styleId="Heading9">
    <w:name w:val="heading 9"/>
    <w:basedOn w:val="Normal"/>
    <w:next w:val="Normal"/>
    <w:link w:val="Heading9Char"/>
    <w:qFormat/>
    <w:rsid w:val="005F0470"/>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character" w:customStyle="1" w:styleId="Heading5Char">
    <w:name w:val="Heading 5 Char"/>
    <w:link w:val="Heading5"/>
    <w:semiHidden/>
    <w:rPr>
      <w:rFonts w:ascii="Calibri" w:hAnsi="Calibri" w:cs="Times New Roman"/>
      <w:b/>
      <w:bCs/>
      <w:i/>
      <w:iCs/>
      <w:sz w:val="26"/>
      <w:szCs w:val="26"/>
    </w:rPr>
  </w:style>
  <w:style w:type="character" w:customStyle="1" w:styleId="Heading6Char">
    <w:name w:val="Heading 6 Char"/>
    <w:link w:val="Heading6"/>
    <w:semiHidden/>
    <w:rPr>
      <w:rFonts w:ascii="Calibri" w:hAnsi="Calibri" w:cs="Times New Roman"/>
      <w:b/>
      <w:bCs/>
    </w:rPr>
  </w:style>
  <w:style w:type="character" w:customStyle="1" w:styleId="Heading7Char">
    <w:name w:val="Heading 7 Char"/>
    <w:link w:val="Heading7"/>
    <w:semiHidden/>
    <w:rPr>
      <w:rFonts w:ascii="Calibri" w:hAnsi="Calibri" w:cs="Times New Roman"/>
      <w:sz w:val="24"/>
      <w:szCs w:val="24"/>
    </w:rPr>
  </w:style>
  <w:style w:type="character" w:customStyle="1" w:styleId="Heading8Char">
    <w:name w:val="Heading 8 Char"/>
    <w:link w:val="Heading8"/>
    <w:semiHidden/>
    <w:rPr>
      <w:rFonts w:ascii="Calibri" w:hAnsi="Calibri" w:cs="Times New Roman"/>
      <w:i/>
      <w:iCs/>
      <w:sz w:val="24"/>
      <w:szCs w:val="24"/>
    </w:rPr>
  </w:style>
  <w:style w:type="character" w:customStyle="1" w:styleId="Heading9Char">
    <w:name w:val="Heading 9 Char"/>
    <w:link w:val="Heading9"/>
    <w:semiHidden/>
    <w:rPr>
      <w:rFonts w:ascii="Cambria" w:hAnsi="Cambria" w:cs="Times New Roman"/>
    </w:rPr>
  </w:style>
  <w:style w:type="paragraph" w:styleId="BalloonText">
    <w:name w:val="Balloon Text"/>
    <w:basedOn w:val="Normal"/>
    <w:link w:val="BalloonTextChar"/>
    <w:semiHidden/>
    <w:rsid w:val="005F0470"/>
    <w:rPr>
      <w:rFonts w:ascii="Tahoma" w:hAnsi="Tahoma" w:cs="Tahoma"/>
      <w:sz w:val="16"/>
      <w:szCs w:val="16"/>
    </w:rPr>
  </w:style>
  <w:style w:type="character" w:customStyle="1" w:styleId="BalloonTextChar">
    <w:name w:val="Balloon Text Char"/>
    <w:link w:val="BalloonText"/>
    <w:semiHidden/>
    <w:rPr>
      <w:rFonts w:cs="Times New Roman"/>
      <w:sz w:val="2"/>
    </w:rPr>
  </w:style>
  <w:style w:type="paragraph" w:styleId="Header">
    <w:name w:val="header"/>
    <w:basedOn w:val="Normal"/>
    <w:link w:val="HeaderChar"/>
    <w:rsid w:val="005F0470"/>
    <w:pPr>
      <w:tabs>
        <w:tab w:val="center" w:pos="4320"/>
        <w:tab w:val="right" w:pos="8640"/>
      </w:tabs>
    </w:pPr>
  </w:style>
  <w:style w:type="character" w:customStyle="1" w:styleId="HeaderChar">
    <w:name w:val="Header Char"/>
    <w:link w:val="Header"/>
    <w:semiHidden/>
    <w:rPr>
      <w:rFonts w:cs="Times New Roman"/>
      <w:sz w:val="20"/>
      <w:szCs w:val="20"/>
    </w:rPr>
  </w:style>
  <w:style w:type="paragraph" w:styleId="Footer">
    <w:name w:val="footer"/>
    <w:basedOn w:val="Normal"/>
    <w:link w:val="FooterChar"/>
    <w:rsid w:val="005F0470"/>
    <w:pPr>
      <w:tabs>
        <w:tab w:val="center" w:pos="4320"/>
        <w:tab w:val="right" w:pos="8640"/>
      </w:tabs>
    </w:pPr>
  </w:style>
  <w:style w:type="character" w:customStyle="1" w:styleId="FooterChar">
    <w:name w:val="Footer Char"/>
    <w:link w:val="Footer"/>
    <w:semiHidden/>
    <w:rPr>
      <w:rFonts w:cs="Times New Roman"/>
      <w:sz w:val="20"/>
      <w:szCs w:val="20"/>
    </w:rPr>
  </w:style>
  <w:style w:type="character" w:styleId="PageNumber">
    <w:name w:val="page number"/>
    <w:rsid w:val="005F0470"/>
    <w:rPr>
      <w:rFonts w:cs="Times New Roman"/>
    </w:rPr>
  </w:style>
  <w:style w:type="paragraph" w:styleId="Title">
    <w:name w:val="Title"/>
    <w:basedOn w:val="Normal"/>
    <w:link w:val="TitleChar"/>
    <w:qFormat/>
    <w:rsid w:val="005F0470"/>
    <w:pPr>
      <w:jc w:val="center"/>
    </w:pPr>
    <w:rPr>
      <w:b/>
      <w:sz w:val="24"/>
    </w:rPr>
  </w:style>
  <w:style w:type="character" w:customStyle="1" w:styleId="TitleChar">
    <w:name w:val="Title Char"/>
    <w:link w:val="Title"/>
    <w:rPr>
      <w:rFonts w:ascii="Cambria" w:hAnsi="Cambria" w:cs="Times New Roman"/>
      <w:b/>
      <w:bCs/>
      <w:kern w:val="28"/>
      <w:sz w:val="32"/>
      <w:szCs w:val="32"/>
    </w:rPr>
  </w:style>
  <w:style w:type="paragraph" w:styleId="BlockText">
    <w:name w:val="Block Text"/>
    <w:basedOn w:val="Normal"/>
    <w:rsid w:val="005F0470"/>
    <w:pPr>
      <w:ind w:left="720" w:right="720"/>
      <w:jc w:val="both"/>
    </w:pPr>
    <w:rPr>
      <w:rFonts w:ascii="Palatino" w:hAnsi="Palatino"/>
      <w:sz w:val="24"/>
    </w:rPr>
  </w:style>
  <w:style w:type="paragraph" w:styleId="BodyText">
    <w:name w:val="Body Text"/>
    <w:basedOn w:val="Normal"/>
    <w:link w:val="BodyTextChar"/>
    <w:rsid w:val="005F0470"/>
    <w:pPr>
      <w:tabs>
        <w:tab w:val="left" w:pos="720"/>
      </w:tabs>
      <w:spacing w:after="120"/>
    </w:pPr>
    <w:rPr>
      <w:rFonts w:ascii="Palatino" w:hAnsi="Palatino"/>
      <w:sz w:val="24"/>
    </w:rPr>
  </w:style>
  <w:style w:type="character" w:customStyle="1" w:styleId="BodyTextChar">
    <w:name w:val="Body Text Char"/>
    <w:link w:val="BodyText"/>
    <w:semiHidden/>
    <w:rPr>
      <w:rFonts w:cs="Times New Roman"/>
      <w:sz w:val="20"/>
      <w:szCs w:val="20"/>
    </w:rPr>
  </w:style>
  <w:style w:type="paragraph" w:styleId="FootnoteText">
    <w:name w:val="footnote text"/>
    <w:basedOn w:val="Normal"/>
    <w:link w:val="FootnoteTextChar"/>
    <w:rsid w:val="005F0470"/>
  </w:style>
  <w:style w:type="character" w:customStyle="1" w:styleId="FootnoteTextChar">
    <w:name w:val="Footnote Text Char"/>
    <w:link w:val="FootnoteText"/>
    <w:rPr>
      <w:rFonts w:cs="Times New Roman"/>
      <w:sz w:val="20"/>
      <w:szCs w:val="20"/>
    </w:rPr>
  </w:style>
  <w:style w:type="character" w:styleId="FootnoteReference">
    <w:name w:val="footnote reference"/>
    <w:uiPriority w:val="99"/>
    <w:rsid w:val="005F0470"/>
    <w:rPr>
      <w:rFonts w:cs="Times New Roman"/>
      <w:vertAlign w:val="superscript"/>
    </w:rPr>
  </w:style>
  <w:style w:type="paragraph" w:styleId="BodyTextIndent">
    <w:name w:val="Body Text Indent"/>
    <w:basedOn w:val="Normal"/>
    <w:link w:val="BodyTextIndentChar"/>
    <w:rsid w:val="005F0470"/>
    <w:pPr>
      <w:tabs>
        <w:tab w:val="left" w:pos="360"/>
      </w:tabs>
      <w:ind w:left="360" w:hanging="360"/>
    </w:pPr>
    <w:rPr>
      <w:rFonts w:ascii="Palatino" w:hAnsi="Palatino"/>
      <w:sz w:val="24"/>
    </w:rPr>
  </w:style>
  <w:style w:type="character" w:customStyle="1" w:styleId="BodyText2Char">
    <w:name w:val="Body Text 2 Char"/>
    <w:semiHidden/>
    <w:rPr>
      <w:rFonts w:cs="Times New Roman"/>
      <w:sz w:val="20"/>
      <w:szCs w:val="20"/>
    </w:rPr>
  </w:style>
  <w:style w:type="character" w:styleId="Hyperlink">
    <w:name w:val="Hyperlink"/>
    <w:rsid w:val="005F0470"/>
    <w:rPr>
      <w:rFonts w:cs="Times New Roman"/>
      <w:color w:val="0000FF"/>
      <w:u w:val="single"/>
    </w:rPr>
  </w:style>
  <w:style w:type="paragraph" w:customStyle="1" w:styleId="xl41">
    <w:name w:val="xl41"/>
    <w:basedOn w:val="Normal"/>
    <w:rsid w:val="005F0470"/>
    <w:pPr>
      <w:overflowPunct w:val="0"/>
      <w:autoSpaceDE w:val="0"/>
      <w:autoSpaceDN w:val="0"/>
      <w:adjustRightInd w:val="0"/>
      <w:spacing w:before="100" w:after="100"/>
      <w:textAlignment w:val="baseline"/>
    </w:pPr>
    <w:rPr>
      <w:rFonts w:ascii="Arial Unicode MS"/>
      <w:sz w:val="24"/>
    </w:rPr>
  </w:style>
  <w:style w:type="character" w:styleId="FollowedHyperlink">
    <w:name w:val="FollowedHyperlink"/>
    <w:rsid w:val="005F0470"/>
    <w:rPr>
      <w:rFonts w:cs="Times New Roman"/>
      <w:color w:val="800080"/>
      <w:u w:val="single"/>
    </w:rPr>
  </w:style>
  <w:style w:type="character" w:customStyle="1" w:styleId="BodyTextIndentChar">
    <w:name w:val="Body Text Indent Char"/>
    <w:link w:val="BodyTextIndent"/>
    <w:semiHidden/>
    <w:rPr>
      <w:rFonts w:cs="Times New Roman"/>
      <w:sz w:val="20"/>
      <w:szCs w:val="20"/>
    </w:rPr>
  </w:style>
  <w:style w:type="paragraph" w:styleId="BodyTextIndent2">
    <w:name w:val="Body Text Indent 2"/>
    <w:basedOn w:val="Normal"/>
    <w:link w:val="BodyTextIndent2Char"/>
    <w:rsid w:val="005F0470"/>
    <w:pPr>
      <w:ind w:left="60"/>
    </w:pPr>
    <w:rPr>
      <w:rFonts w:ascii="Palatino" w:hAnsi="Palatino"/>
      <w:sz w:val="24"/>
    </w:rPr>
  </w:style>
  <w:style w:type="character" w:customStyle="1" w:styleId="BodyTextIndent2Char">
    <w:name w:val="Body Text Indent 2 Char"/>
    <w:link w:val="BodyTextIndent2"/>
    <w:semiHidden/>
    <w:rPr>
      <w:rFonts w:cs="Times New Roman"/>
      <w:sz w:val="20"/>
      <w:szCs w:val="20"/>
    </w:rPr>
  </w:style>
  <w:style w:type="paragraph" w:styleId="HTMLPreformatted">
    <w:name w:val="HTML Preformatted"/>
    <w:basedOn w:val="Normal"/>
    <w:link w:val="HTMLPreformattedChar"/>
    <w:rsid w:val="005F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rPr>
  </w:style>
  <w:style w:type="character" w:customStyle="1" w:styleId="HTMLPreformattedChar">
    <w:name w:val="HTML Preformatted Char"/>
    <w:link w:val="HTMLPreformatted"/>
    <w:semiHidden/>
    <w:rPr>
      <w:rFonts w:ascii="Courier New" w:hAnsi="Courier New" w:cs="Courier New"/>
      <w:sz w:val="20"/>
      <w:szCs w:val="20"/>
    </w:rPr>
  </w:style>
  <w:style w:type="paragraph" w:styleId="BodyTextIndent3">
    <w:name w:val="Body Text Indent 3"/>
    <w:basedOn w:val="Normal"/>
    <w:link w:val="BodyTextIndent3Char"/>
    <w:rsid w:val="005F0470"/>
    <w:pPr>
      <w:tabs>
        <w:tab w:val="left" w:pos="360"/>
        <w:tab w:val="left" w:pos="9540"/>
      </w:tabs>
      <w:spacing w:after="120"/>
      <w:ind w:left="360"/>
    </w:pPr>
    <w:rPr>
      <w:rFonts w:ascii="Palatino" w:hAnsi="Palatino"/>
      <w:sz w:val="24"/>
    </w:rPr>
  </w:style>
  <w:style w:type="character" w:customStyle="1" w:styleId="BodyTextIndent3Char">
    <w:name w:val="Body Text Indent 3 Char"/>
    <w:link w:val="BodyTextIndent3"/>
    <w:semiHidden/>
    <w:rPr>
      <w:rFonts w:cs="Times New Roman"/>
      <w:sz w:val="16"/>
      <w:szCs w:val="16"/>
    </w:rPr>
  </w:style>
  <w:style w:type="paragraph" w:customStyle="1" w:styleId="font0">
    <w:name w:val="font0"/>
    <w:basedOn w:val="Normal"/>
    <w:rsid w:val="005F0470"/>
    <w:pPr>
      <w:spacing w:before="100" w:beforeAutospacing="1" w:after="100" w:afterAutospacing="1"/>
    </w:pPr>
    <w:rPr>
      <w:rFonts w:ascii="Arial" w:hAnsi="Arial" w:cs="Arial"/>
    </w:rPr>
  </w:style>
  <w:style w:type="paragraph" w:customStyle="1" w:styleId="font5">
    <w:name w:val="font5"/>
    <w:basedOn w:val="Normal"/>
    <w:rsid w:val="005F0470"/>
    <w:pPr>
      <w:spacing w:before="100" w:beforeAutospacing="1" w:after="100" w:afterAutospacing="1"/>
    </w:pPr>
    <w:rPr>
      <w:rFonts w:ascii="Arial" w:hAnsi="Arial" w:cs="Arial"/>
      <w:sz w:val="16"/>
      <w:szCs w:val="16"/>
    </w:rPr>
  </w:style>
  <w:style w:type="paragraph" w:customStyle="1" w:styleId="xl24">
    <w:name w:val="xl24"/>
    <w:basedOn w:val="Normal"/>
    <w:rsid w:val="005F0470"/>
    <w:pPr>
      <w:spacing w:before="100" w:beforeAutospacing="1" w:after="100" w:afterAutospacing="1"/>
      <w:jc w:val="right"/>
    </w:pPr>
    <w:rPr>
      <w:rFonts w:ascii="Arial Unicode MS" w:eastAsia="Arial Unicode MS" w:cs="Arial Unicode MS"/>
      <w:b/>
      <w:bCs/>
      <w:sz w:val="24"/>
      <w:szCs w:val="24"/>
    </w:rPr>
  </w:style>
  <w:style w:type="paragraph" w:customStyle="1" w:styleId="xl25">
    <w:name w:val="xl25"/>
    <w:basedOn w:val="Normal"/>
    <w:rsid w:val="005F0470"/>
    <w:pPr>
      <w:spacing w:before="100" w:beforeAutospacing="1" w:after="100" w:afterAutospacing="1"/>
      <w:jc w:val="right"/>
    </w:pPr>
    <w:rPr>
      <w:rFonts w:ascii="Arial" w:hAnsi="Arial" w:cs="Arial"/>
      <w:b/>
      <w:bCs/>
      <w:sz w:val="24"/>
      <w:szCs w:val="24"/>
      <w:u w:val="single"/>
    </w:rPr>
  </w:style>
  <w:style w:type="paragraph" w:customStyle="1" w:styleId="xl27">
    <w:name w:val="xl27"/>
    <w:basedOn w:val="Normal"/>
    <w:rsid w:val="005F0470"/>
    <w:pPr>
      <w:spacing w:before="100" w:beforeAutospacing="1" w:after="100" w:afterAutospacing="1"/>
    </w:pPr>
    <w:rPr>
      <w:rFonts w:ascii="Arial" w:hAnsi="Arial" w:cs="Arial"/>
      <w:sz w:val="24"/>
      <w:szCs w:val="24"/>
    </w:rPr>
  </w:style>
  <w:style w:type="paragraph" w:customStyle="1" w:styleId="xl28">
    <w:name w:val="xl28"/>
    <w:basedOn w:val="Normal"/>
    <w:rsid w:val="005F0470"/>
    <w:pPr>
      <w:spacing w:before="100" w:beforeAutospacing="1" w:after="100" w:afterAutospacing="1"/>
    </w:pPr>
    <w:rPr>
      <w:rFonts w:ascii="Arial" w:hAnsi="Arial" w:cs="Arial"/>
      <w:b/>
      <w:bCs/>
      <w:sz w:val="24"/>
      <w:szCs w:val="24"/>
    </w:rPr>
  </w:style>
  <w:style w:type="paragraph" w:customStyle="1" w:styleId="xl30">
    <w:name w:val="xl30"/>
    <w:basedOn w:val="Normal"/>
    <w:rsid w:val="005F0470"/>
    <w:pPr>
      <w:spacing w:before="100" w:beforeAutospacing="1" w:after="100" w:afterAutospacing="1"/>
    </w:pPr>
    <w:rPr>
      <w:rFonts w:ascii="Arial Unicode MS" w:eastAsia="Arial Unicode MS" w:cs="Arial Unicode MS"/>
      <w:b/>
      <w:bCs/>
      <w:sz w:val="24"/>
      <w:szCs w:val="24"/>
    </w:rPr>
  </w:style>
  <w:style w:type="paragraph" w:customStyle="1" w:styleId="xl31">
    <w:name w:val="xl31"/>
    <w:basedOn w:val="Normal"/>
    <w:rsid w:val="005F0470"/>
    <w:pPr>
      <w:spacing w:before="100" w:beforeAutospacing="1" w:after="100" w:afterAutospacing="1"/>
    </w:pPr>
    <w:rPr>
      <w:rFonts w:ascii="Arial" w:hAnsi="Arial" w:cs="Arial"/>
      <w:b/>
      <w:bCs/>
      <w:sz w:val="24"/>
      <w:szCs w:val="24"/>
    </w:rPr>
  </w:style>
  <w:style w:type="paragraph" w:customStyle="1" w:styleId="xl32">
    <w:name w:val="xl32"/>
    <w:basedOn w:val="Normal"/>
    <w:rsid w:val="005F0470"/>
    <w:pPr>
      <w:spacing w:before="100" w:beforeAutospacing="1" w:after="100" w:afterAutospacing="1"/>
    </w:pPr>
    <w:rPr>
      <w:rFonts w:ascii="Arial" w:hAnsi="Arial" w:cs="Arial"/>
      <w:sz w:val="16"/>
      <w:szCs w:val="16"/>
    </w:rPr>
  </w:style>
  <w:style w:type="paragraph" w:customStyle="1" w:styleId="xl33">
    <w:name w:val="xl33"/>
    <w:basedOn w:val="Normal"/>
    <w:rsid w:val="005F0470"/>
    <w:pPr>
      <w:spacing w:before="100" w:beforeAutospacing="1" w:after="100" w:afterAutospacing="1"/>
      <w:jc w:val="right"/>
    </w:pPr>
    <w:rPr>
      <w:rFonts w:ascii="Arial Unicode MS" w:eastAsia="Arial Unicode MS" w:cs="Arial Unicode MS"/>
      <w:b/>
      <w:bCs/>
      <w:sz w:val="24"/>
      <w:szCs w:val="24"/>
    </w:rPr>
  </w:style>
  <w:style w:type="paragraph" w:customStyle="1" w:styleId="xl34">
    <w:name w:val="xl34"/>
    <w:basedOn w:val="Normal"/>
    <w:rsid w:val="005F0470"/>
    <w:pPr>
      <w:spacing w:before="100" w:beforeAutospacing="1" w:after="100" w:afterAutospacing="1"/>
      <w:jc w:val="right"/>
    </w:pPr>
    <w:rPr>
      <w:rFonts w:ascii="Arial" w:hAnsi="Arial" w:cs="Arial"/>
      <w:b/>
      <w:bCs/>
      <w:sz w:val="24"/>
      <w:szCs w:val="24"/>
      <w:u w:val="single"/>
    </w:rPr>
  </w:style>
  <w:style w:type="paragraph" w:customStyle="1" w:styleId="xl35">
    <w:name w:val="xl35"/>
    <w:basedOn w:val="Normal"/>
    <w:rsid w:val="005F0470"/>
    <w:pPr>
      <w:spacing w:before="100" w:beforeAutospacing="1" w:after="100" w:afterAutospacing="1"/>
      <w:jc w:val="right"/>
    </w:pPr>
    <w:rPr>
      <w:rFonts w:ascii="Arial Unicode MS" w:eastAsia="Arial Unicode MS" w:cs="Arial Unicode MS"/>
      <w:sz w:val="24"/>
      <w:szCs w:val="24"/>
    </w:rPr>
  </w:style>
  <w:style w:type="paragraph" w:customStyle="1" w:styleId="xl36">
    <w:name w:val="xl36"/>
    <w:basedOn w:val="Normal"/>
    <w:rsid w:val="005F0470"/>
    <w:pPr>
      <w:spacing w:before="100" w:beforeAutospacing="1" w:after="100" w:afterAutospacing="1"/>
      <w:jc w:val="right"/>
    </w:pPr>
    <w:rPr>
      <w:rFonts w:ascii="Arial" w:hAnsi="Arial" w:cs="Arial"/>
      <w:sz w:val="24"/>
      <w:szCs w:val="24"/>
    </w:rPr>
  </w:style>
  <w:style w:type="paragraph" w:customStyle="1" w:styleId="xl37">
    <w:name w:val="xl37"/>
    <w:basedOn w:val="Normal"/>
    <w:rsid w:val="005F0470"/>
    <w:pPr>
      <w:spacing w:before="100" w:beforeAutospacing="1" w:after="100" w:afterAutospacing="1"/>
      <w:jc w:val="right"/>
    </w:pPr>
    <w:rPr>
      <w:rFonts w:ascii="Arial" w:hAnsi="Arial" w:cs="Arial"/>
      <w:b/>
      <w:bCs/>
      <w:sz w:val="24"/>
      <w:szCs w:val="24"/>
    </w:rPr>
  </w:style>
  <w:style w:type="paragraph" w:customStyle="1" w:styleId="xl38">
    <w:name w:val="xl38"/>
    <w:basedOn w:val="Normal"/>
    <w:rsid w:val="005F0470"/>
    <w:pPr>
      <w:spacing w:before="100" w:beforeAutospacing="1" w:after="100" w:afterAutospacing="1"/>
    </w:pPr>
    <w:rPr>
      <w:rFonts w:ascii="Arial" w:hAnsi="Arial" w:cs="Arial"/>
      <w:b/>
      <w:bCs/>
      <w:sz w:val="24"/>
      <w:szCs w:val="24"/>
    </w:rPr>
  </w:style>
  <w:style w:type="paragraph" w:customStyle="1" w:styleId="xl39">
    <w:name w:val="xl39"/>
    <w:basedOn w:val="Normal"/>
    <w:rsid w:val="005F0470"/>
    <w:pPr>
      <w:spacing w:before="100" w:beforeAutospacing="1" w:after="100" w:afterAutospacing="1"/>
      <w:textAlignment w:val="top"/>
    </w:pPr>
    <w:rPr>
      <w:rFonts w:ascii="Arial" w:hAnsi="Arial" w:cs="Arial"/>
      <w:b/>
      <w:bCs/>
      <w:sz w:val="24"/>
      <w:szCs w:val="24"/>
    </w:rPr>
  </w:style>
  <w:style w:type="paragraph" w:customStyle="1" w:styleId="xl40">
    <w:name w:val="xl40"/>
    <w:basedOn w:val="Normal"/>
    <w:rsid w:val="005F0470"/>
    <w:pPr>
      <w:spacing w:before="100" w:beforeAutospacing="1" w:after="100" w:afterAutospacing="1"/>
      <w:textAlignment w:val="top"/>
    </w:pPr>
    <w:rPr>
      <w:rFonts w:ascii="Arial" w:hAnsi="Arial" w:cs="Arial"/>
      <w:sz w:val="24"/>
      <w:szCs w:val="24"/>
    </w:rPr>
  </w:style>
  <w:style w:type="paragraph" w:customStyle="1" w:styleId="xl42">
    <w:name w:val="xl42"/>
    <w:basedOn w:val="Normal"/>
    <w:rsid w:val="005F0470"/>
    <w:pPr>
      <w:spacing w:before="100" w:beforeAutospacing="1" w:after="100" w:afterAutospacing="1"/>
      <w:jc w:val="right"/>
    </w:pPr>
    <w:rPr>
      <w:rFonts w:ascii="Arial Unicode MS" w:eastAsia="Arial Unicode MS" w:cs="Arial Unicode MS"/>
      <w:b/>
      <w:bCs/>
      <w:sz w:val="24"/>
      <w:szCs w:val="24"/>
    </w:rPr>
  </w:style>
  <w:style w:type="paragraph" w:customStyle="1" w:styleId="xl43">
    <w:name w:val="xl43"/>
    <w:basedOn w:val="Normal"/>
    <w:rsid w:val="005F0470"/>
    <w:pPr>
      <w:spacing w:before="100" w:beforeAutospacing="1" w:after="100" w:afterAutospacing="1"/>
      <w:textAlignment w:val="top"/>
    </w:pPr>
    <w:rPr>
      <w:rFonts w:ascii="Arial" w:hAnsi="Arial" w:cs="Arial"/>
      <w:sz w:val="16"/>
      <w:szCs w:val="16"/>
    </w:rPr>
  </w:style>
  <w:style w:type="paragraph" w:customStyle="1" w:styleId="xl44">
    <w:name w:val="xl44"/>
    <w:basedOn w:val="Normal"/>
    <w:rsid w:val="005F0470"/>
    <w:pPr>
      <w:spacing w:before="100" w:beforeAutospacing="1" w:after="100" w:afterAutospacing="1"/>
    </w:pPr>
    <w:rPr>
      <w:rFonts w:ascii="Arial" w:hAnsi="Arial" w:cs="Arial"/>
      <w:sz w:val="24"/>
      <w:szCs w:val="24"/>
      <w:u w:val="single"/>
    </w:rPr>
  </w:style>
  <w:style w:type="paragraph" w:customStyle="1" w:styleId="xl45">
    <w:name w:val="xl45"/>
    <w:basedOn w:val="Normal"/>
    <w:rsid w:val="005F0470"/>
    <w:pPr>
      <w:spacing w:before="100" w:beforeAutospacing="1" w:after="100" w:afterAutospacing="1"/>
    </w:pPr>
    <w:rPr>
      <w:rFonts w:ascii="Arial" w:hAnsi="Arial" w:cs="Arial"/>
      <w:color w:val="000000"/>
      <w:sz w:val="24"/>
      <w:szCs w:val="24"/>
    </w:rPr>
  </w:style>
  <w:style w:type="paragraph" w:customStyle="1" w:styleId="xl46">
    <w:name w:val="xl46"/>
    <w:basedOn w:val="Normal"/>
    <w:rsid w:val="005F0470"/>
    <w:pPr>
      <w:spacing w:before="100" w:beforeAutospacing="1" w:after="100" w:afterAutospacing="1"/>
      <w:jc w:val="right"/>
    </w:pPr>
    <w:rPr>
      <w:rFonts w:ascii="Arial Unicode MS" w:eastAsia="Arial Unicode MS" w:cs="Arial Unicode MS"/>
      <w:sz w:val="24"/>
      <w:szCs w:val="24"/>
    </w:rPr>
  </w:style>
  <w:style w:type="paragraph" w:customStyle="1" w:styleId="xl47">
    <w:name w:val="xl47"/>
    <w:basedOn w:val="Normal"/>
    <w:rsid w:val="005F0470"/>
    <w:pPr>
      <w:spacing w:before="100" w:beforeAutospacing="1" w:after="100" w:afterAutospacing="1"/>
      <w:textAlignment w:val="top"/>
    </w:pPr>
    <w:rPr>
      <w:rFonts w:ascii="Arial Unicode MS" w:eastAsia="Arial Unicode MS" w:cs="Arial Unicode MS"/>
      <w:sz w:val="24"/>
      <w:szCs w:val="24"/>
    </w:rPr>
  </w:style>
  <w:style w:type="paragraph" w:customStyle="1" w:styleId="xl48">
    <w:name w:val="xl48"/>
    <w:basedOn w:val="Normal"/>
    <w:rsid w:val="005F0470"/>
    <w:pPr>
      <w:spacing w:before="100" w:beforeAutospacing="1" w:after="100" w:afterAutospacing="1"/>
      <w:jc w:val="right"/>
      <w:textAlignment w:val="top"/>
    </w:pPr>
    <w:rPr>
      <w:rFonts w:ascii="Arial Unicode MS" w:eastAsia="Arial Unicode MS" w:cs="Arial Unicode MS"/>
      <w:sz w:val="24"/>
      <w:szCs w:val="24"/>
    </w:rPr>
  </w:style>
  <w:style w:type="paragraph" w:customStyle="1" w:styleId="xl49">
    <w:name w:val="xl49"/>
    <w:basedOn w:val="Normal"/>
    <w:rsid w:val="005F0470"/>
    <w:pPr>
      <w:spacing w:before="100" w:beforeAutospacing="1" w:after="100" w:afterAutospacing="1"/>
    </w:pPr>
    <w:rPr>
      <w:rFonts w:ascii="Arial" w:hAnsi="Arial" w:cs="Arial"/>
      <w:b/>
      <w:bCs/>
      <w:sz w:val="24"/>
      <w:szCs w:val="24"/>
    </w:rPr>
  </w:style>
  <w:style w:type="paragraph" w:customStyle="1" w:styleId="xl51">
    <w:name w:val="xl51"/>
    <w:basedOn w:val="Normal"/>
    <w:rsid w:val="005F0470"/>
    <w:pPr>
      <w:spacing w:before="100" w:beforeAutospacing="1" w:after="100" w:afterAutospacing="1"/>
      <w:jc w:val="center"/>
    </w:pPr>
    <w:rPr>
      <w:rFonts w:ascii="Arial" w:hAnsi="Arial" w:cs="Arial"/>
      <w:b/>
      <w:bCs/>
      <w:sz w:val="24"/>
      <w:szCs w:val="24"/>
      <w:u w:val="single"/>
    </w:rPr>
  </w:style>
  <w:style w:type="paragraph" w:customStyle="1" w:styleId="xl52">
    <w:name w:val="xl52"/>
    <w:basedOn w:val="Normal"/>
    <w:rsid w:val="005F0470"/>
    <w:pPr>
      <w:spacing w:before="100" w:beforeAutospacing="1" w:after="100" w:afterAutospacing="1"/>
      <w:jc w:val="center"/>
    </w:pPr>
    <w:rPr>
      <w:rFonts w:ascii="Arial Unicode MS" w:eastAsia="Arial Unicode MS" w:cs="Arial Unicode MS"/>
      <w:b/>
      <w:bCs/>
      <w:sz w:val="24"/>
      <w:szCs w:val="24"/>
    </w:rPr>
  </w:style>
  <w:style w:type="paragraph" w:customStyle="1" w:styleId="xl53">
    <w:name w:val="xl53"/>
    <w:basedOn w:val="Normal"/>
    <w:rsid w:val="005F0470"/>
    <w:pPr>
      <w:spacing w:before="100" w:beforeAutospacing="1" w:after="100" w:afterAutospacing="1"/>
    </w:pPr>
    <w:rPr>
      <w:rFonts w:ascii="Arial" w:hAnsi="Arial" w:cs="Arial"/>
      <w:color w:val="000000"/>
      <w:sz w:val="24"/>
      <w:szCs w:val="24"/>
    </w:rPr>
  </w:style>
  <w:style w:type="paragraph" w:customStyle="1" w:styleId="xl56">
    <w:name w:val="xl56"/>
    <w:basedOn w:val="Normal"/>
    <w:rsid w:val="005F0470"/>
    <w:pPr>
      <w:spacing w:before="100" w:beforeAutospacing="1" w:after="100" w:afterAutospacing="1"/>
    </w:pPr>
    <w:rPr>
      <w:rFonts w:ascii="Arial" w:hAnsi="Arial" w:cs="Arial"/>
      <w:color w:val="000000"/>
      <w:sz w:val="24"/>
      <w:szCs w:val="24"/>
    </w:rPr>
  </w:style>
  <w:style w:type="paragraph" w:customStyle="1" w:styleId="xl57">
    <w:name w:val="xl57"/>
    <w:basedOn w:val="Normal"/>
    <w:rsid w:val="005F0470"/>
    <w:pPr>
      <w:spacing w:before="100" w:beforeAutospacing="1" w:after="100" w:afterAutospacing="1"/>
      <w:textAlignment w:val="top"/>
    </w:pPr>
    <w:rPr>
      <w:rFonts w:ascii="Arial" w:hAnsi="Arial" w:cs="Arial"/>
      <w:b/>
      <w:bCs/>
      <w:sz w:val="24"/>
      <w:szCs w:val="24"/>
    </w:rPr>
  </w:style>
  <w:style w:type="paragraph" w:styleId="DocumentMap">
    <w:name w:val="Document Map"/>
    <w:basedOn w:val="Normal"/>
    <w:link w:val="DocumentMapChar"/>
    <w:semiHidden/>
    <w:rsid w:val="005F0470"/>
    <w:pPr>
      <w:shd w:val="clear" w:color="auto" w:fill="000080"/>
    </w:pPr>
    <w:rPr>
      <w:rFonts w:ascii="Tahoma" w:hAnsi="Tahoma" w:cs="Tahoma"/>
    </w:rPr>
  </w:style>
  <w:style w:type="character" w:customStyle="1" w:styleId="DocumentMapChar">
    <w:name w:val="Document Map Char"/>
    <w:link w:val="DocumentMap"/>
    <w:semiHidden/>
    <w:rPr>
      <w:rFonts w:cs="Times New Roman"/>
      <w:sz w:val="2"/>
    </w:rPr>
  </w:style>
  <w:style w:type="paragraph" w:styleId="BodyText3">
    <w:name w:val="Body Text 3"/>
    <w:basedOn w:val="Normal"/>
    <w:link w:val="BodyText3Char"/>
    <w:rsid w:val="005F0470"/>
    <w:pPr>
      <w:keepNext/>
      <w:spacing w:after="120"/>
      <w:ind w:right="90"/>
    </w:pPr>
    <w:rPr>
      <w:rFonts w:ascii="Palatino" w:hAnsi="Palatino"/>
      <w:bCs/>
      <w:sz w:val="24"/>
    </w:rPr>
  </w:style>
  <w:style w:type="character" w:customStyle="1" w:styleId="BodyText3Char">
    <w:name w:val="Body Text 3 Char"/>
    <w:link w:val="BodyText3"/>
    <w:semiHidden/>
    <w:rPr>
      <w:rFonts w:cs="Times New Roman"/>
      <w:sz w:val="16"/>
      <w:szCs w:val="16"/>
    </w:rPr>
  </w:style>
  <w:style w:type="table" w:styleId="TableGrid">
    <w:name w:val="Table Grid"/>
    <w:basedOn w:val="TableNormal"/>
    <w:rsid w:val="005F0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58349B"/>
    <w:rPr>
      <w:rFonts w:cs="Times New Roman"/>
      <w:sz w:val="16"/>
      <w:szCs w:val="16"/>
    </w:rPr>
  </w:style>
  <w:style w:type="paragraph" w:styleId="CommentText">
    <w:name w:val="annotation text"/>
    <w:basedOn w:val="Normal"/>
    <w:link w:val="CommentTextChar"/>
    <w:semiHidden/>
    <w:rsid w:val="0058349B"/>
  </w:style>
  <w:style w:type="character" w:customStyle="1" w:styleId="CommentTextChar">
    <w:name w:val="Comment Text Char"/>
    <w:link w:val="CommentText"/>
    <w:rsid w:val="0058349B"/>
    <w:rPr>
      <w:rFonts w:cs="Times New Roman"/>
    </w:rPr>
  </w:style>
  <w:style w:type="paragraph" w:styleId="CommentSubject">
    <w:name w:val="annotation subject"/>
    <w:basedOn w:val="CommentText"/>
    <w:next w:val="CommentText"/>
    <w:link w:val="CommentSubjectChar"/>
    <w:semiHidden/>
    <w:rsid w:val="0058349B"/>
    <w:rPr>
      <w:b/>
      <w:bCs/>
    </w:rPr>
  </w:style>
  <w:style w:type="character" w:customStyle="1" w:styleId="CommentSubjectChar">
    <w:name w:val="Comment Subject Char"/>
    <w:link w:val="CommentSubject"/>
    <w:rsid w:val="0058349B"/>
    <w:rPr>
      <w:rFonts w:cs="Times New Roman"/>
      <w:b/>
      <w:bCs/>
    </w:rPr>
  </w:style>
  <w:style w:type="paragraph" w:styleId="ListParagraph">
    <w:name w:val="List Paragraph"/>
    <w:basedOn w:val="Normal"/>
    <w:qFormat/>
    <w:rsid w:val="008D2EB0"/>
    <w:pPr>
      <w:ind w:left="720"/>
    </w:pPr>
  </w:style>
  <w:style w:type="paragraph" w:styleId="EndnoteText">
    <w:name w:val="endnote text"/>
    <w:basedOn w:val="Normal"/>
    <w:link w:val="EndnoteTextChar"/>
    <w:uiPriority w:val="99"/>
    <w:semiHidden/>
    <w:unhideWhenUsed/>
    <w:rsid w:val="008F74F6"/>
  </w:style>
  <w:style w:type="character" w:customStyle="1" w:styleId="EndnoteTextChar">
    <w:name w:val="Endnote Text Char"/>
    <w:basedOn w:val="DefaultParagraphFont"/>
    <w:link w:val="EndnoteText"/>
    <w:uiPriority w:val="99"/>
    <w:semiHidden/>
    <w:rsid w:val="008F74F6"/>
  </w:style>
  <w:style w:type="character" w:styleId="EndnoteReference">
    <w:name w:val="endnote reference"/>
    <w:basedOn w:val="DefaultParagraphFont"/>
    <w:uiPriority w:val="99"/>
    <w:semiHidden/>
    <w:unhideWhenUsed/>
    <w:rsid w:val="008F74F6"/>
    <w:rPr>
      <w:vertAlign w:val="superscript"/>
    </w:rPr>
  </w:style>
  <w:style w:type="paragraph" w:styleId="Revision">
    <w:name w:val="Revision"/>
    <w:hidden/>
    <w:uiPriority w:val="99"/>
    <w:semiHidden/>
    <w:rsid w:val="006E5B04"/>
  </w:style>
  <w:style w:type="paragraph" w:customStyle="1" w:styleId="Default">
    <w:name w:val="Default"/>
    <w:rsid w:val="00631F81"/>
    <w:pPr>
      <w:autoSpaceDE w:val="0"/>
      <w:autoSpaceDN w:val="0"/>
      <w:adjustRightInd w:val="0"/>
    </w:pPr>
    <w:rPr>
      <w:rFonts w:ascii="Book Antiqua" w:hAnsi="Book Antiqua" w:cs="Book Antiqua"/>
      <w:color w:val="000000"/>
      <w:sz w:val="24"/>
      <w:szCs w:val="24"/>
    </w:rPr>
  </w:style>
  <w:style w:type="paragraph" w:customStyle="1" w:styleId="standard">
    <w:name w:val="standard"/>
    <w:basedOn w:val="Normal"/>
    <w:link w:val="standardChar"/>
    <w:rsid w:val="00D50365"/>
    <w:pPr>
      <w:spacing w:line="360" w:lineRule="auto"/>
      <w:ind w:firstLine="720"/>
    </w:pPr>
    <w:rPr>
      <w:rFonts w:ascii="Palatino" w:hAnsi="Palatino"/>
      <w:sz w:val="26"/>
    </w:rPr>
  </w:style>
  <w:style w:type="character" w:customStyle="1" w:styleId="standardChar">
    <w:name w:val="standard Char"/>
    <w:link w:val="standard"/>
    <w:locked/>
    <w:rsid w:val="00D50365"/>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70"/>
  </w:style>
  <w:style w:type="paragraph" w:styleId="Heading1">
    <w:name w:val="heading 1"/>
    <w:basedOn w:val="Normal"/>
    <w:next w:val="Normal"/>
    <w:link w:val="Heading1Char"/>
    <w:qFormat/>
    <w:rsid w:val="005F0470"/>
    <w:pPr>
      <w:keepNext/>
      <w:outlineLvl w:val="0"/>
    </w:pPr>
    <w:rPr>
      <w:rFonts w:ascii="Palatino" w:hAnsi="Palatino"/>
      <w:b/>
      <w:sz w:val="24"/>
      <w:u w:val="single"/>
    </w:rPr>
  </w:style>
  <w:style w:type="paragraph" w:styleId="Heading2">
    <w:name w:val="heading 2"/>
    <w:basedOn w:val="Normal"/>
    <w:next w:val="Normal"/>
    <w:link w:val="Heading2Char"/>
    <w:qFormat/>
    <w:rsid w:val="005F0470"/>
    <w:pPr>
      <w:keepNext/>
      <w:tabs>
        <w:tab w:val="left" w:pos="720"/>
      </w:tabs>
      <w:spacing w:after="120"/>
      <w:ind w:left="720"/>
      <w:outlineLvl w:val="1"/>
    </w:pPr>
    <w:rPr>
      <w:rFonts w:ascii="Palatino" w:hAnsi="Palatino"/>
      <w:b/>
      <w:sz w:val="24"/>
    </w:rPr>
  </w:style>
  <w:style w:type="paragraph" w:styleId="Heading3">
    <w:name w:val="heading 3"/>
    <w:basedOn w:val="Normal"/>
    <w:next w:val="Normal"/>
    <w:link w:val="Heading3Char"/>
    <w:qFormat/>
    <w:rsid w:val="005F0470"/>
    <w:pPr>
      <w:keepNext/>
      <w:outlineLvl w:val="2"/>
    </w:pPr>
    <w:rPr>
      <w:rFonts w:ascii="Palatino" w:hAnsi="Palatino"/>
      <w:sz w:val="24"/>
    </w:rPr>
  </w:style>
  <w:style w:type="paragraph" w:styleId="Heading4">
    <w:name w:val="heading 4"/>
    <w:basedOn w:val="Normal"/>
    <w:next w:val="Normal"/>
    <w:link w:val="Heading4Char"/>
    <w:qFormat/>
    <w:rsid w:val="005F0470"/>
    <w:pPr>
      <w:keepNext/>
      <w:spacing w:after="120"/>
      <w:ind w:left="720"/>
      <w:outlineLvl w:val="3"/>
    </w:pPr>
    <w:rPr>
      <w:rFonts w:ascii="Palatino" w:hAnsi="Palatino"/>
      <w:b/>
      <w:sz w:val="24"/>
      <w:u w:val="single"/>
    </w:rPr>
  </w:style>
  <w:style w:type="paragraph" w:styleId="Heading5">
    <w:name w:val="heading 5"/>
    <w:basedOn w:val="Normal"/>
    <w:next w:val="Normal"/>
    <w:link w:val="Heading5Char"/>
    <w:qFormat/>
    <w:rsid w:val="005F0470"/>
    <w:pPr>
      <w:keepNext/>
      <w:ind w:left="720" w:right="1440"/>
      <w:outlineLvl w:val="4"/>
    </w:pPr>
    <w:rPr>
      <w:rFonts w:ascii="Palatino" w:hAnsi="Palatino"/>
      <w:b/>
      <w:bCs/>
      <w:sz w:val="24"/>
    </w:rPr>
  </w:style>
  <w:style w:type="paragraph" w:styleId="Heading6">
    <w:name w:val="heading 6"/>
    <w:basedOn w:val="Normal"/>
    <w:next w:val="Normal"/>
    <w:link w:val="Heading6Char"/>
    <w:qFormat/>
    <w:rsid w:val="005F0470"/>
    <w:pPr>
      <w:keepNext/>
      <w:spacing w:before="120"/>
      <w:jc w:val="right"/>
      <w:outlineLvl w:val="5"/>
    </w:pPr>
    <w:rPr>
      <w:sz w:val="24"/>
    </w:rPr>
  </w:style>
  <w:style w:type="paragraph" w:styleId="Heading7">
    <w:name w:val="heading 7"/>
    <w:basedOn w:val="Normal"/>
    <w:next w:val="Normal"/>
    <w:link w:val="Heading7Char"/>
    <w:qFormat/>
    <w:rsid w:val="005F0470"/>
    <w:pPr>
      <w:keepNext/>
      <w:spacing w:after="120"/>
      <w:ind w:right="-720" w:firstLine="720"/>
      <w:outlineLvl w:val="6"/>
    </w:pPr>
    <w:rPr>
      <w:rFonts w:ascii="Palatino" w:hAnsi="Palatino"/>
      <w:b/>
      <w:sz w:val="24"/>
      <w:u w:val="single"/>
    </w:rPr>
  </w:style>
  <w:style w:type="paragraph" w:styleId="Heading8">
    <w:name w:val="heading 8"/>
    <w:basedOn w:val="Normal"/>
    <w:next w:val="Normal"/>
    <w:link w:val="Heading8Char"/>
    <w:qFormat/>
    <w:rsid w:val="005F0470"/>
    <w:pPr>
      <w:keepNext/>
      <w:spacing w:after="120"/>
      <w:ind w:firstLine="720"/>
      <w:outlineLvl w:val="7"/>
    </w:pPr>
    <w:rPr>
      <w:b/>
      <w:sz w:val="24"/>
      <w:u w:val="single"/>
    </w:rPr>
  </w:style>
  <w:style w:type="paragraph" w:styleId="Heading9">
    <w:name w:val="heading 9"/>
    <w:basedOn w:val="Normal"/>
    <w:next w:val="Normal"/>
    <w:link w:val="Heading9Char"/>
    <w:qFormat/>
    <w:rsid w:val="005F0470"/>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character" w:customStyle="1" w:styleId="Heading5Char">
    <w:name w:val="Heading 5 Char"/>
    <w:link w:val="Heading5"/>
    <w:semiHidden/>
    <w:rPr>
      <w:rFonts w:ascii="Calibri" w:hAnsi="Calibri" w:cs="Times New Roman"/>
      <w:b/>
      <w:bCs/>
      <w:i/>
      <w:iCs/>
      <w:sz w:val="26"/>
      <w:szCs w:val="26"/>
    </w:rPr>
  </w:style>
  <w:style w:type="character" w:customStyle="1" w:styleId="Heading6Char">
    <w:name w:val="Heading 6 Char"/>
    <w:link w:val="Heading6"/>
    <w:semiHidden/>
    <w:rPr>
      <w:rFonts w:ascii="Calibri" w:hAnsi="Calibri" w:cs="Times New Roman"/>
      <w:b/>
      <w:bCs/>
    </w:rPr>
  </w:style>
  <w:style w:type="character" w:customStyle="1" w:styleId="Heading7Char">
    <w:name w:val="Heading 7 Char"/>
    <w:link w:val="Heading7"/>
    <w:semiHidden/>
    <w:rPr>
      <w:rFonts w:ascii="Calibri" w:hAnsi="Calibri" w:cs="Times New Roman"/>
      <w:sz w:val="24"/>
      <w:szCs w:val="24"/>
    </w:rPr>
  </w:style>
  <w:style w:type="character" w:customStyle="1" w:styleId="Heading8Char">
    <w:name w:val="Heading 8 Char"/>
    <w:link w:val="Heading8"/>
    <w:semiHidden/>
    <w:rPr>
      <w:rFonts w:ascii="Calibri" w:hAnsi="Calibri" w:cs="Times New Roman"/>
      <w:i/>
      <w:iCs/>
      <w:sz w:val="24"/>
      <w:szCs w:val="24"/>
    </w:rPr>
  </w:style>
  <w:style w:type="character" w:customStyle="1" w:styleId="Heading9Char">
    <w:name w:val="Heading 9 Char"/>
    <w:link w:val="Heading9"/>
    <w:semiHidden/>
    <w:rPr>
      <w:rFonts w:ascii="Cambria" w:hAnsi="Cambria" w:cs="Times New Roman"/>
    </w:rPr>
  </w:style>
  <w:style w:type="paragraph" w:styleId="BalloonText">
    <w:name w:val="Balloon Text"/>
    <w:basedOn w:val="Normal"/>
    <w:link w:val="BalloonTextChar"/>
    <w:semiHidden/>
    <w:rsid w:val="005F0470"/>
    <w:rPr>
      <w:rFonts w:ascii="Tahoma" w:hAnsi="Tahoma" w:cs="Tahoma"/>
      <w:sz w:val="16"/>
      <w:szCs w:val="16"/>
    </w:rPr>
  </w:style>
  <w:style w:type="character" w:customStyle="1" w:styleId="BalloonTextChar">
    <w:name w:val="Balloon Text Char"/>
    <w:link w:val="BalloonText"/>
    <w:semiHidden/>
    <w:rPr>
      <w:rFonts w:cs="Times New Roman"/>
      <w:sz w:val="2"/>
    </w:rPr>
  </w:style>
  <w:style w:type="paragraph" w:styleId="Header">
    <w:name w:val="header"/>
    <w:basedOn w:val="Normal"/>
    <w:link w:val="HeaderChar"/>
    <w:rsid w:val="005F0470"/>
    <w:pPr>
      <w:tabs>
        <w:tab w:val="center" w:pos="4320"/>
        <w:tab w:val="right" w:pos="8640"/>
      </w:tabs>
    </w:pPr>
  </w:style>
  <w:style w:type="character" w:customStyle="1" w:styleId="HeaderChar">
    <w:name w:val="Header Char"/>
    <w:link w:val="Header"/>
    <w:semiHidden/>
    <w:rPr>
      <w:rFonts w:cs="Times New Roman"/>
      <w:sz w:val="20"/>
      <w:szCs w:val="20"/>
    </w:rPr>
  </w:style>
  <w:style w:type="paragraph" w:styleId="Footer">
    <w:name w:val="footer"/>
    <w:basedOn w:val="Normal"/>
    <w:link w:val="FooterChar"/>
    <w:rsid w:val="005F0470"/>
    <w:pPr>
      <w:tabs>
        <w:tab w:val="center" w:pos="4320"/>
        <w:tab w:val="right" w:pos="8640"/>
      </w:tabs>
    </w:pPr>
  </w:style>
  <w:style w:type="character" w:customStyle="1" w:styleId="FooterChar">
    <w:name w:val="Footer Char"/>
    <w:link w:val="Footer"/>
    <w:semiHidden/>
    <w:rPr>
      <w:rFonts w:cs="Times New Roman"/>
      <w:sz w:val="20"/>
      <w:szCs w:val="20"/>
    </w:rPr>
  </w:style>
  <w:style w:type="character" w:styleId="PageNumber">
    <w:name w:val="page number"/>
    <w:rsid w:val="005F0470"/>
    <w:rPr>
      <w:rFonts w:cs="Times New Roman"/>
    </w:rPr>
  </w:style>
  <w:style w:type="paragraph" w:styleId="Title">
    <w:name w:val="Title"/>
    <w:basedOn w:val="Normal"/>
    <w:link w:val="TitleChar"/>
    <w:qFormat/>
    <w:rsid w:val="005F0470"/>
    <w:pPr>
      <w:jc w:val="center"/>
    </w:pPr>
    <w:rPr>
      <w:b/>
      <w:sz w:val="24"/>
    </w:rPr>
  </w:style>
  <w:style w:type="character" w:customStyle="1" w:styleId="TitleChar">
    <w:name w:val="Title Char"/>
    <w:link w:val="Title"/>
    <w:rPr>
      <w:rFonts w:ascii="Cambria" w:hAnsi="Cambria" w:cs="Times New Roman"/>
      <w:b/>
      <w:bCs/>
      <w:kern w:val="28"/>
      <w:sz w:val="32"/>
      <w:szCs w:val="32"/>
    </w:rPr>
  </w:style>
  <w:style w:type="paragraph" w:styleId="BlockText">
    <w:name w:val="Block Text"/>
    <w:basedOn w:val="Normal"/>
    <w:rsid w:val="005F0470"/>
    <w:pPr>
      <w:ind w:left="720" w:right="720"/>
      <w:jc w:val="both"/>
    </w:pPr>
    <w:rPr>
      <w:rFonts w:ascii="Palatino" w:hAnsi="Palatino"/>
      <w:sz w:val="24"/>
    </w:rPr>
  </w:style>
  <w:style w:type="paragraph" w:styleId="BodyText">
    <w:name w:val="Body Text"/>
    <w:basedOn w:val="Normal"/>
    <w:link w:val="BodyTextChar"/>
    <w:rsid w:val="005F0470"/>
    <w:pPr>
      <w:tabs>
        <w:tab w:val="left" w:pos="720"/>
      </w:tabs>
      <w:spacing w:after="120"/>
    </w:pPr>
    <w:rPr>
      <w:rFonts w:ascii="Palatino" w:hAnsi="Palatino"/>
      <w:sz w:val="24"/>
    </w:rPr>
  </w:style>
  <w:style w:type="character" w:customStyle="1" w:styleId="BodyTextChar">
    <w:name w:val="Body Text Char"/>
    <w:link w:val="BodyText"/>
    <w:semiHidden/>
    <w:rPr>
      <w:rFonts w:cs="Times New Roman"/>
      <w:sz w:val="20"/>
      <w:szCs w:val="20"/>
    </w:rPr>
  </w:style>
  <w:style w:type="paragraph" w:styleId="FootnoteText">
    <w:name w:val="footnote text"/>
    <w:basedOn w:val="Normal"/>
    <w:link w:val="FootnoteTextChar"/>
    <w:rsid w:val="005F0470"/>
  </w:style>
  <w:style w:type="character" w:customStyle="1" w:styleId="FootnoteTextChar">
    <w:name w:val="Footnote Text Char"/>
    <w:link w:val="FootnoteText"/>
    <w:rPr>
      <w:rFonts w:cs="Times New Roman"/>
      <w:sz w:val="20"/>
      <w:szCs w:val="20"/>
    </w:rPr>
  </w:style>
  <w:style w:type="character" w:styleId="FootnoteReference">
    <w:name w:val="footnote reference"/>
    <w:uiPriority w:val="99"/>
    <w:rsid w:val="005F0470"/>
    <w:rPr>
      <w:rFonts w:cs="Times New Roman"/>
      <w:vertAlign w:val="superscript"/>
    </w:rPr>
  </w:style>
  <w:style w:type="paragraph" w:styleId="BodyTextIndent">
    <w:name w:val="Body Text Indent"/>
    <w:basedOn w:val="Normal"/>
    <w:link w:val="BodyTextIndentChar"/>
    <w:rsid w:val="005F0470"/>
    <w:pPr>
      <w:tabs>
        <w:tab w:val="left" w:pos="360"/>
      </w:tabs>
      <w:ind w:left="360" w:hanging="360"/>
    </w:pPr>
    <w:rPr>
      <w:rFonts w:ascii="Palatino" w:hAnsi="Palatino"/>
      <w:sz w:val="24"/>
    </w:rPr>
  </w:style>
  <w:style w:type="character" w:customStyle="1" w:styleId="BodyText2Char">
    <w:name w:val="Body Text 2 Char"/>
    <w:semiHidden/>
    <w:rPr>
      <w:rFonts w:cs="Times New Roman"/>
      <w:sz w:val="20"/>
      <w:szCs w:val="20"/>
    </w:rPr>
  </w:style>
  <w:style w:type="character" w:styleId="Hyperlink">
    <w:name w:val="Hyperlink"/>
    <w:rsid w:val="005F0470"/>
    <w:rPr>
      <w:rFonts w:cs="Times New Roman"/>
      <w:color w:val="0000FF"/>
      <w:u w:val="single"/>
    </w:rPr>
  </w:style>
  <w:style w:type="paragraph" w:customStyle="1" w:styleId="xl41">
    <w:name w:val="xl41"/>
    <w:basedOn w:val="Normal"/>
    <w:rsid w:val="005F0470"/>
    <w:pPr>
      <w:overflowPunct w:val="0"/>
      <w:autoSpaceDE w:val="0"/>
      <w:autoSpaceDN w:val="0"/>
      <w:adjustRightInd w:val="0"/>
      <w:spacing w:before="100" w:after="100"/>
      <w:textAlignment w:val="baseline"/>
    </w:pPr>
    <w:rPr>
      <w:rFonts w:ascii="Arial Unicode MS"/>
      <w:sz w:val="24"/>
    </w:rPr>
  </w:style>
  <w:style w:type="character" w:styleId="FollowedHyperlink">
    <w:name w:val="FollowedHyperlink"/>
    <w:rsid w:val="005F0470"/>
    <w:rPr>
      <w:rFonts w:cs="Times New Roman"/>
      <w:color w:val="800080"/>
      <w:u w:val="single"/>
    </w:rPr>
  </w:style>
  <w:style w:type="character" w:customStyle="1" w:styleId="BodyTextIndentChar">
    <w:name w:val="Body Text Indent Char"/>
    <w:link w:val="BodyTextIndent"/>
    <w:semiHidden/>
    <w:rPr>
      <w:rFonts w:cs="Times New Roman"/>
      <w:sz w:val="20"/>
      <w:szCs w:val="20"/>
    </w:rPr>
  </w:style>
  <w:style w:type="paragraph" w:styleId="BodyTextIndent2">
    <w:name w:val="Body Text Indent 2"/>
    <w:basedOn w:val="Normal"/>
    <w:link w:val="BodyTextIndent2Char"/>
    <w:rsid w:val="005F0470"/>
    <w:pPr>
      <w:ind w:left="60"/>
    </w:pPr>
    <w:rPr>
      <w:rFonts w:ascii="Palatino" w:hAnsi="Palatino"/>
      <w:sz w:val="24"/>
    </w:rPr>
  </w:style>
  <w:style w:type="character" w:customStyle="1" w:styleId="BodyTextIndent2Char">
    <w:name w:val="Body Text Indent 2 Char"/>
    <w:link w:val="BodyTextIndent2"/>
    <w:semiHidden/>
    <w:rPr>
      <w:rFonts w:cs="Times New Roman"/>
      <w:sz w:val="20"/>
      <w:szCs w:val="20"/>
    </w:rPr>
  </w:style>
  <w:style w:type="paragraph" w:styleId="HTMLPreformatted">
    <w:name w:val="HTML Preformatted"/>
    <w:basedOn w:val="Normal"/>
    <w:link w:val="HTMLPreformattedChar"/>
    <w:rsid w:val="005F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rPr>
  </w:style>
  <w:style w:type="character" w:customStyle="1" w:styleId="HTMLPreformattedChar">
    <w:name w:val="HTML Preformatted Char"/>
    <w:link w:val="HTMLPreformatted"/>
    <w:semiHidden/>
    <w:rPr>
      <w:rFonts w:ascii="Courier New" w:hAnsi="Courier New" w:cs="Courier New"/>
      <w:sz w:val="20"/>
      <w:szCs w:val="20"/>
    </w:rPr>
  </w:style>
  <w:style w:type="paragraph" w:styleId="BodyTextIndent3">
    <w:name w:val="Body Text Indent 3"/>
    <w:basedOn w:val="Normal"/>
    <w:link w:val="BodyTextIndent3Char"/>
    <w:rsid w:val="005F0470"/>
    <w:pPr>
      <w:tabs>
        <w:tab w:val="left" w:pos="360"/>
        <w:tab w:val="left" w:pos="9540"/>
      </w:tabs>
      <w:spacing w:after="120"/>
      <w:ind w:left="360"/>
    </w:pPr>
    <w:rPr>
      <w:rFonts w:ascii="Palatino" w:hAnsi="Palatino"/>
      <w:sz w:val="24"/>
    </w:rPr>
  </w:style>
  <w:style w:type="character" w:customStyle="1" w:styleId="BodyTextIndent3Char">
    <w:name w:val="Body Text Indent 3 Char"/>
    <w:link w:val="BodyTextIndent3"/>
    <w:semiHidden/>
    <w:rPr>
      <w:rFonts w:cs="Times New Roman"/>
      <w:sz w:val="16"/>
      <w:szCs w:val="16"/>
    </w:rPr>
  </w:style>
  <w:style w:type="paragraph" w:customStyle="1" w:styleId="font0">
    <w:name w:val="font0"/>
    <w:basedOn w:val="Normal"/>
    <w:rsid w:val="005F0470"/>
    <w:pPr>
      <w:spacing w:before="100" w:beforeAutospacing="1" w:after="100" w:afterAutospacing="1"/>
    </w:pPr>
    <w:rPr>
      <w:rFonts w:ascii="Arial" w:hAnsi="Arial" w:cs="Arial"/>
    </w:rPr>
  </w:style>
  <w:style w:type="paragraph" w:customStyle="1" w:styleId="font5">
    <w:name w:val="font5"/>
    <w:basedOn w:val="Normal"/>
    <w:rsid w:val="005F0470"/>
    <w:pPr>
      <w:spacing w:before="100" w:beforeAutospacing="1" w:after="100" w:afterAutospacing="1"/>
    </w:pPr>
    <w:rPr>
      <w:rFonts w:ascii="Arial" w:hAnsi="Arial" w:cs="Arial"/>
      <w:sz w:val="16"/>
      <w:szCs w:val="16"/>
    </w:rPr>
  </w:style>
  <w:style w:type="paragraph" w:customStyle="1" w:styleId="xl24">
    <w:name w:val="xl24"/>
    <w:basedOn w:val="Normal"/>
    <w:rsid w:val="005F0470"/>
    <w:pPr>
      <w:spacing w:before="100" w:beforeAutospacing="1" w:after="100" w:afterAutospacing="1"/>
      <w:jc w:val="right"/>
    </w:pPr>
    <w:rPr>
      <w:rFonts w:ascii="Arial Unicode MS" w:eastAsia="Arial Unicode MS" w:cs="Arial Unicode MS"/>
      <w:b/>
      <w:bCs/>
      <w:sz w:val="24"/>
      <w:szCs w:val="24"/>
    </w:rPr>
  </w:style>
  <w:style w:type="paragraph" w:customStyle="1" w:styleId="xl25">
    <w:name w:val="xl25"/>
    <w:basedOn w:val="Normal"/>
    <w:rsid w:val="005F0470"/>
    <w:pPr>
      <w:spacing w:before="100" w:beforeAutospacing="1" w:after="100" w:afterAutospacing="1"/>
      <w:jc w:val="right"/>
    </w:pPr>
    <w:rPr>
      <w:rFonts w:ascii="Arial" w:hAnsi="Arial" w:cs="Arial"/>
      <w:b/>
      <w:bCs/>
      <w:sz w:val="24"/>
      <w:szCs w:val="24"/>
      <w:u w:val="single"/>
    </w:rPr>
  </w:style>
  <w:style w:type="paragraph" w:customStyle="1" w:styleId="xl27">
    <w:name w:val="xl27"/>
    <w:basedOn w:val="Normal"/>
    <w:rsid w:val="005F0470"/>
    <w:pPr>
      <w:spacing w:before="100" w:beforeAutospacing="1" w:after="100" w:afterAutospacing="1"/>
    </w:pPr>
    <w:rPr>
      <w:rFonts w:ascii="Arial" w:hAnsi="Arial" w:cs="Arial"/>
      <w:sz w:val="24"/>
      <w:szCs w:val="24"/>
    </w:rPr>
  </w:style>
  <w:style w:type="paragraph" w:customStyle="1" w:styleId="xl28">
    <w:name w:val="xl28"/>
    <w:basedOn w:val="Normal"/>
    <w:rsid w:val="005F0470"/>
    <w:pPr>
      <w:spacing w:before="100" w:beforeAutospacing="1" w:after="100" w:afterAutospacing="1"/>
    </w:pPr>
    <w:rPr>
      <w:rFonts w:ascii="Arial" w:hAnsi="Arial" w:cs="Arial"/>
      <w:b/>
      <w:bCs/>
      <w:sz w:val="24"/>
      <w:szCs w:val="24"/>
    </w:rPr>
  </w:style>
  <w:style w:type="paragraph" w:customStyle="1" w:styleId="xl30">
    <w:name w:val="xl30"/>
    <w:basedOn w:val="Normal"/>
    <w:rsid w:val="005F0470"/>
    <w:pPr>
      <w:spacing w:before="100" w:beforeAutospacing="1" w:after="100" w:afterAutospacing="1"/>
    </w:pPr>
    <w:rPr>
      <w:rFonts w:ascii="Arial Unicode MS" w:eastAsia="Arial Unicode MS" w:cs="Arial Unicode MS"/>
      <w:b/>
      <w:bCs/>
      <w:sz w:val="24"/>
      <w:szCs w:val="24"/>
    </w:rPr>
  </w:style>
  <w:style w:type="paragraph" w:customStyle="1" w:styleId="xl31">
    <w:name w:val="xl31"/>
    <w:basedOn w:val="Normal"/>
    <w:rsid w:val="005F0470"/>
    <w:pPr>
      <w:spacing w:before="100" w:beforeAutospacing="1" w:after="100" w:afterAutospacing="1"/>
    </w:pPr>
    <w:rPr>
      <w:rFonts w:ascii="Arial" w:hAnsi="Arial" w:cs="Arial"/>
      <w:b/>
      <w:bCs/>
      <w:sz w:val="24"/>
      <w:szCs w:val="24"/>
    </w:rPr>
  </w:style>
  <w:style w:type="paragraph" w:customStyle="1" w:styleId="xl32">
    <w:name w:val="xl32"/>
    <w:basedOn w:val="Normal"/>
    <w:rsid w:val="005F0470"/>
    <w:pPr>
      <w:spacing w:before="100" w:beforeAutospacing="1" w:after="100" w:afterAutospacing="1"/>
    </w:pPr>
    <w:rPr>
      <w:rFonts w:ascii="Arial" w:hAnsi="Arial" w:cs="Arial"/>
      <w:sz w:val="16"/>
      <w:szCs w:val="16"/>
    </w:rPr>
  </w:style>
  <w:style w:type="paragraph" w:customStyle="1" w:styleId="xl33">
    <w:name w:val="xl33"/>
    <w:basedOn w:val="Normal"/>
    <w:rsid w:val="005F0470"/>
    <w:pPr>
      <w:spacing w:before="100" w:beforeAutospacing="1" w:after="100" w:afterAutospacing="1"/>
      <w:jc w:val="right"/>
    </w:pPr>
    <w:rPr>
      <w:rFonts w:ascii="Arial Unicode MS" w:eastAsia="Arial Unicode MS" w:cs="Arial Unicode MS"/>
      <w:b/>
      <w:bCs/>
      <w:sz w:val="24"/>
      <w:szCs w:val="24"/>
    </w:rPr>
  </w:style>
  <w:style w:type="paragraph" w:customStyle="1" w:styleId="xl34">
    <w:name w:val="xl34"/>
    <w:basedOn w:val="Normal"/>
    <w:rsid w:val="005F0470"/>
    <w:pPr>
      <w:spacing w:before="100" w:beforeAutospacing="1" w:after="100" w:afterAutospacing="1"/>
      <w:jc w:val="right"/>
    </w:pPr>
    <w:rPr>
      <w:rFonts w:ascii="Arial" w:hAnsi="Arial" w:cs="Arial"/>
      <w:b/>
      <w:bCs/>
      <w:sz w:val="24"/>
      <w:szCs w:val="24"/>
      <w:u w:val="single"/>
    </w:rPr>
  </w:style>
  <w:style w:type="paragraph" w:customStyle="1" w:styleId="xl35">
    <w:name w:val="xl35"/>
    <w:basedOn w:val="Normal"/>
    <w:rsid w:val="005F0470"/>
    <w:pPr>
      <w:spacing w:before="100" w:beforeAutospacing="1" w:after="100" w:afterAutospacing="1"/>
      <w:jc w:val="right"/>
    </w:pPr>
    <w:rPr>
      <w:rFonts w:ascii="Arial Unicode MS" w:eastAsia="Arial Unicode MS" w:cs="Arial Unicode MS"/>
      <w:sz w:val="24"/>
      <w:szCs w:val="24"/>
    </w:rPr>
  </w:style>
  <w:style w:type="paragraph" w:customStyle="1" w:styleId="xl36">
    <w:name w:val="xl36"/>
    <w:basedOn w:val="Normal"/>
    <w:rsid w:val="005F0470"/>
    <w:pPr>
      <w:spacing w:before="100" w:beforeAutospacing="1" w:after="100" w:afterAutospacing="1"/>
      <w:jc w:val="right"/>
    </w:pPr>
    <w:rPr>
      <w:rFonts w:ascii="Arial" w:hAnsi="Arial" w:cs="Arial"/>
      <w:sz w:val="24"/>
      <w:szCs w:val="24"/>
    </w:rPr>
  </w:style>
  <w:style w:type="paragraph" w:customStyle="1" w:styleId="xl37">
    <w:name w:val="xl37"/>
    <w:basedOn w:val="Normal"/>
    <w:rsid w:val="005F0470"/>
    <w:pPr>
      <w:spacing w:before="100" w:beforeAutospacing="1" w:after="100" w:afterAutospacing="1"/>
      <w:jc w:val="right"/>
    </w:pPr>
    <w:rPr>
      <w:rFonts w:ascii="Arial" w:hAnsi="Arial" w:cs="Arial"/>
      <w:b/>
      <w:bCs/>
      <w:sz w:val="24"/>
      <w:szCs w:val="24"/>
    </w:rPr>
  </w:style>
  <w:style w:type="paragraph" w:customStyle="1" w:styleId="xl38">
    <w:name w:val="xl38"/>
    <w:basedOn w:val="Normal"/>
    <w:rsid w:val="005F0470"/>
    <w:pPr>
      <w:spacing w:before="100" w:beforeAutospacing="1" w:after="100" w:afterAutospacing="1"/>
    </w:pPr>
    <w:rPr>
      <w:rFonts w:ascii="Arial" w:hAnsi="Arial" w:cs="Arial"/>
      <w:b/>
      <w:bCs/>
      <w:sz w:val="24"/>
      <w:szCs w:val="24"/>
    </w:rPr>
  </w:style>
  <w:style w:type="paragraph" w:customStyle="1" w:styleId="xl39">
    <w:name w:val="xl39"/>
    <w:basedOn w:val="Normal"/>
    <w:rsid w:val="005F0470"/>
    <w:pPr>
      <w:spacing w:before="100" w:beforeAutospacing="1" w:after="100" w:afterAutospacing="1"/>
      <w:textAlignment w:val="top"/>
    </w:pPr>
    <w:rPr>
      <w:rFonts w:ascii="Arial" w:hAnsi="Arial" w:cs="Arial"/>
      <w:b/>
      <w:bCs/>
      <w:sz w:val="24"/>
      <w:szCs w:val="24"/>
    </w:rPr>
  </w:style>
  <w:style w:type="paragraph" w:customStyle="1" w:styleId="xl40">
    <w:name w:val="xl40"/>
    <w:basedOn w:val="Normal"/>
    <w:rsid w:val="005F0470"/>
    <w:pPr>
      <w:spacing w:before="100" w:beforeAutospacing="1" w:after="100" w:afterAutospacing="1"/>
      <w:textAlignment w:val="top"/>
    </w:pPr>
    <w:rPr>
      <w:rFonts w:ascii="Arial" w:hAnsi="Arial" w:cs="Arial"/>
      <w:sz w:val="24"/>
      <w:szCs w:val="24"/>
    </w:rPr>
  </w:style>
  <w:style w:type="paragraph" w:customStyle="1" w:styleId="xl42">
    <w:name w:val="xl42"/>
    <w:basedOn w:val="Normal"/>
    <w:rsid w:val="005F0470"/>
    <w:pPr>
      <w:spacing w:before="100" w:beforeAutospacing="1" w:after="100" w:afterAutospacing="1"/>
      <w:jc w:val="right"/>
    </w:pPr>
    <w:rPr>
      <w:rFonts w:ascii="Arial Unicode MS" w:eastAsia="Arial Unicode MS" w:cs="Arial Unicode MS"/>
      <w:b/>
      <w:bCs/>
      <w:sz w:val="24"/>
      <w:szCs w:val="24"/>
    </w:rPr>
  </w:style>
  <w:style w:type="paragraph" w:customStyle="1" w:styleId="xl43">
    <w:name w:val="xl43"/>
    <w:basedOn w:val="Normal"/>
    <w:rsid w:val="005F0470"/>
    <w:pPr>
      <w:spacing w:before="100" w:beforeAutospacing="1" w:after="100" w:afterAutospacing="1"/>
      <w:textAlignment w:val="top"/>
    </w:pPr>
    <w:rPr>
      <w:rFonts w:ascii="Arial" w:hAnsi="Arial" w:cs="Arial"/>
      <w:sz w:val="16"/>
      <w:szCs w:val="16"/>
    </w:rPr>
  </w:style>
  <w:style w:type="paragraph" w:customStyle="1" w:styleId="xl44">
    <w:name w:val="xl44"/>
    <w:basedOn w:val="Normal"/>
    <w:rsid w:val="005F0470"/>
    <w:pPr>
      <w:spacing w:before="100" w:beforeAutospacing="1" w:after="100" w:afterAutospacing="1"/>
    </w:pPr>
    <w:rPr>
      <w:rFonts w:ascii="Arial" w:hAnsi="Arial" w:cs="Arial"/>
      <w:sz w:val="24"/>
      <w:szCs w:val="24"/>
      <w:u w:val="single"/>
    </w:rPr>
  </w:style>
  <w:style w:type="paragraph" w:customStyle="1" w:styleId="xl45">
    <w:name w:val="xl45"/>
    <w:basedOn w:val="Normal"/>
    <w:rsid w:val="005F0470"/>
    <w:pPr>
      <w:spacing w:before="100" w:beforeAutospacing="1" w:after="100" w:afterAutospacing="1"/>
    </w:pPr>
    <w:rPr>
      <w:rFonts w:ascii="Arial" w:hAnsi="Arial" w:cs="Arial"/>
      <w:color w:val="000000"/>
      <w:sz w:val="24"/>
      <w:szCs w:val="24"/>
    </w:rPr>
  </w:style>
  <w:style w:type="paragraph" w:customStyle="1" w:styleId="xl46">
    <w:name w:val="xl46"/>
    <w:basedOn w:val="Normal"/>
    <w:rsid w:val="005F0470"/>
    <w:pPr>
      <w:spacing w:before="100" w:beforeAutospacing="1" w:after="100" w:afterAutospacing="1"/>
      <w:jc w:val="right"/>
    </w:pPr>
    <w:rPr>
      <w:rFonts w:ascii="Arial Unicode MS" w:eastAsia="Arial Unicode MS" w:cs="Arial Unicode MS"/>
      <w:sz w:val="24"/>
      <w:szCs w:val="24"/>
    </w:rPr>
  </w:style>
  <w:style w:type="paragraph" w:customStyle="1" w:styleId="xl47">
    <w:name w:val="xl47"/>
    <w:basedOn w:val="Normal"/>
    <w:rsid w:val="005F0470"/>
    <w:pPr>
      <w:spacing w:before="100" w:beforeAutospacing="1" w:after="100" w:afterAutospacing="1"/>
      <w:textAlignment w:val="top"/>
    </w:pPr>
    <w:rPr>
      <w:rFonts w:ascii="Arial Unicode MS" w:eastAsia="Arial Unicode MS" w:cs="Arial Unicode MS"/>
      <w:sz w:val="24"/>
      <w:szCs w:val="24"/>
    </w:rPr>
  </w:style>
  <w:style w:type="paragraph" w:customStyle="1" w:styleId="xl48">
    <w:name w:val="xl48"/>
    <w:basedOn w:val="Normal"/>
    <w:rsid w:val="005F0470"/>
    <w:pPr>
      <w:spacing w:before="100" w:beforeAutospacing="1" w:after="100" w:afterAutospacing="1"/>
      <w:jc w:val="right"/>
      <w:textAlignment w:val="top"/>
    </w:pPr>
    <w:rPr>
      <w:rFonts w:ascii="Arial Unicode MS" w:eastAsia="Arial Unicode MS" w:cs="Arial Unicode MS"/>
      <w:sz w:val="24"/>
      <w:szCs w:val="24"/>
    </w:rPr>
  </w:style>
  <w:style w:type="paragraph" w:customStyle="1" w:styleId="xl49">
    <w:name w:val="xl49"/>
    <w:basedOn w:val="Normal"/>
    <w:rsid w:val="005F0470"/>
    <w:pPr>
      <w:spacing w:before="100" w:beforeAutospacing="1" w:after="100" w:afterAutospacing="1"/>
    </w:pPr>
    <w:rPr>
      <w:rFonts w:ascii="Arial" w:hAnsi="Arial" w:cs="Arial"/>
      <w:b/>
      <w:bCs/>
      <w:sz w:val="24"/>
      <w:szCs w:val="24"/>
    </w:rPr>
  </w:style>
  <w:style w:type="paragraph" w:customStyle="1" w:styleId="xl51">
    <w:name w:val="xl51"/>
    <w:basedOn w:val="Normal"/>
    <w:rsid w:val="005F0470"/>
    <w:pPr>
      <w:spacing w:before="100" w:beforeAutospacing="1" w:after="100" w:afterAutospacing="1"/>
      <w:jc w:val="center"/>
    </w:pPr>
    <w:rPr>
      <w:rFonts w:ascii="Arial" w:hAnsi="Arial" w:cs="Arial"/>
      <w:b/>
      <w:bCs/>
      <w:sz w:val="24"/>
      <w:szCs w:val="24"/>
      <w:u w:val="single"/>
    </w:rPr>
  </w:style>
  <w:style w:type="paragraph" w:customStyle="1" w:styleId="xl52">
    <w:name w:val="xl52"/>
    <w:basedOn w:val="Normal"/>
    <w:rsid w:val="005F0470"/>
    <w:pPr>
      <w:spacing w:before="100" w:beforeAutospacing="1" w:after="100" w:afterAutospacing="1"/>
      <w:jc w:val="center"/>
    </w:pPr>
    <w:rPr>
      <w:rFonts w:ascii="Arial Unicode MS" w:eastAsia="Arial Unicode MS" w:cs="Arial Unicode MS"/>
      <w:b/>
      <w:bCs/>
      <w:sz w:val="24"/>
      <w:szCs w:val="24"/>
    </w:rPr>
  </w:style>
  <w:style w:type="paragraph" w:customStyle="1" w:styleId="xl53">
    <w:name w:val="xl53"/>
    <w:basedOn w:val="Normal"/>
    <w:rsid w:val="005F0470"/>
    <w:pPr>
      <w:spacing w:before="100" w:beforeAutospacing="1" w:after="100" w:afterAutospacing="1"/>
    </w:pPr>
    <w:rPr>
      <w:rFonts w:ascii="Arial" w:hAnsi="Arial" w:cs="Arial"/>
      <w:color w:val="000000"/>
      <w:sz w:val="24"/>
      <w:szCs w:val="24"/>
    </w:rPr>
  </w:style>
  <w:style w:type="paragraph" w:customStyle="1" w:styleId="xl56">
    <w:name w:val="xl56"/>
    <w:basedOn w:val="Normal"/>
    <w:rsid w:val="005F0470"/>
    <w:pPr>
      <w:spacing w:before="100" w:beforeAutospacing="1" w:after="100" w:afterAutospacing="1"/>
    </w:pPr>
    <w:rPr>
      <w:rFonts w:ascii="Arial" w:hAnsi="Arial" w:cs="Arial"/>
      <w:color w:val="000000"/>
      <w:sz w:val="24"/>
      <w:szCs w:val="24"/>
    </w:rPr>
  </w:style>
  <w:style w:type="paragraph" w:customStyle="1" w:styleId="xl57">
    <w:name w:val="xl57"/>
    <w:basedOn w:val="Normal"/>
    <w:rsid w:val="005F0470"/>
    <w:pPr>
      <w:spacing w:before="100" w:beforeAutospacing="1" w:after="100" w:afterAutospacing="1"/>
      <w:textAlignment w:val="top"/>
    </w:pPr>
    <w:rPr>
      <w:rFonts w:ascii="Arial" w:hAnsi="Arial" w:cs="Arial"/>
      <w:b/>
      <w:bCs/>
      <w:sz w:val="24"/>
      <w:szCs w:val="24"/>
    </w:rPr>
  </w:style>
  <w:style w:type="paragraph" w:styleId="DocumentMap">
    <w:name w:val="Document Map"/>
    <w:basedOn w:val="Normal"/>
    <w:link w:val="DocumentMapChar"/>
    <w:semiHidden/>
    <w:rsid w:val="005F0470"/>
    <w:pPr>
      <w:shd w:val="clear" w:color="auto" w:fill="000080"/>
    </w:pPr>
    <w:rPr>
      <w:rFonts w:ascii="Tahoma" w:hAnsi="Tahoma" w:cs="Tahoma"/>
    </w:rPr>
  </w:style>
  <w:style w:type="character" w:customStyle="1" w:styleId="DocumentMapChar">
    <w:name w:val="Document Map Char"/>
    <w:link w:val="DocumentMap"/>
    <w:semiHidden/>
    <w:rPr>
      <w:rFonts w:cs="Times New Roman"/>
      <w:sz w:val="2"/>
    </w:rPr>
  </w:style>
  <w:style w:type="paragraph" w:styleId="BodyText3">
    <w:name w:val="Body Text 3"/>
    <w:basedOn w:val="Normal"/>
    <w:link w:val="BodyText3Char"/>
    <w:rsid w:val="005F0470"/>
    <w:pPr>
      <w:keepNext/>
      <w:spacing w:after="120"/>
      <w:ind w:right="90"/>
    </w:pPr>
    <w:rPr>
      <w:rFonts w:ascii="Palatino" w:hAnsi="Palatino"/>
      <w:bCs/>
      <w:sz w:val="24"/>
    </w:rPr>
  </w:style>
  <w:style w:type="character" w:customStyle="1" w:styleId="BodyText3Char">
    <w:name w:val="Body Text 3 Char"/>
    <w:link w:val="BodyText3"/>
    <w:semiHidden/>
    <w:rPr>
      <w:rFonts w:cs="Times New Roman"/>
      <w:sz w:val="16"/>
      <w:szCs w:val="16"/>
    </w:rPr>
  </w:style>
  <w:style w:type="table" w:styleId="TableGrid">
    <w:name w:val="Table Grid"/>
    <w:basedOn w:val="TableNormal"/>
    <w:rsid w:val="005F0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58349B"/>
    <w:rPr>
      <w:rFonts w:cs="Times New Roman"/>
      <w:sz w:val="16"/>
      <w:szCs w:val="16"/>
    </w:rPr>
  </w:style>
  <w:style w:type="paragraph" w:styleId="CommentText">
    <w:name w:val="annotation text"/>
    <w:basedOn w:val="Normal"/>
    <w:link w:val="CommentTextChar"/>
    <w:semiHidden/>
    <w:rsid w:val="0058349B"/>
  </w:style>
  <w:style w:type="character" w:customStyle="1" w:styleId="CommentTextChar">
    <w:name w:val="Comment Text Char"/>
    <w:link w:val="CommentText"/>
    <w:rsid w:val="0058349B"/>
    <w:rPr>
      <w:rFonts w:cs="Times New Roman"/>
    </w:rPr>
  </w:style>
  <w:style w:type="paragraph" w:styleId="CommentSubject">
    <w:name w:val="annotation subject"/>
    <w:basedOn w:val="CommentText"/>
    <w:next w:val="CommentText"/>
    <w:link w:val="CommentSubjectChar"/>
    <w:semiHidden/>
    <w:rsid w:val="0058349B"/>
    <w:rPr>
      <w:b/>
      <w:bCs/>
    </w:rPr>
  </w:style>
  <w:style w:type="character" w:customStyle="1" w:styleId="CommentSubjectChar">
    <w:name w:val="Comment Subject Char"/>
    <w:link w:val="CommentSubject"/>
    <w:rsid w:val="0058349B"/>
    <w:rPr>
      <w:rFonts w:cs="Times New Roman"/>
      <w:b/>
      <w:bCs/>
    </w:rPr>
  </w:style>
  <w:style w:type="paragraph" w:styleId="ListParagraph">
    <w:name w:val="List Paragraph"/>
    <w:basedOn w:val="Normal"/>
    <w:qFormat/>
    <w:rsid w:val="008D2EB0"/>
    <w:pPr>
      <w:ind w:left="720"/>
    </w:pPr>
  </w:style>
  <w:style w:type="paragraph" w:styleId="EndnoteText">
    <w:name w:val="endnote text"/>
    <w:basedOn w:val="Normal"/>
    <w:link w:val="EndnoteTextChar"/>
    <w:uiPriority w:val="99"/>
    <w:semiHidden/>
    <w:unhideWhenUsed/>
    <w:rsid w:val="008F74F6"/>
  </w:style>
  <w:style w:type="character" w:customStyle="1" w:styleId="EndnoteTextChar">
    <w:name w:val="Endnote Text Char"/>
    <w:basedOn w:val="DefaultParagraphFont"/>
    <w:link w:val="EndnoteText"/>
    <w:uiPriority w:val="99"/>
    <w:semiHidden/>
    <w:rsid w:val="008F74F6"/>
  </w:style>
  <w:style w:type="character" w:styleId="EndnoteReference">
    <w:name w:val="endnote reference"/>
    <w:basedOn w:val="DefaultParagraphFont"/>
    <w:uiPriority w:val="99"/>
    <w:semiHidden/>
    <w:unhideWhenUsed/>
    <w:rsid w:val="008F74F6"/>
    <w:rPr>
      <w:vertAlign w:val="superscript"/>
    </w:rPr>
  </w:style>
  <w:style w:type="paragraph" w:styleId="Revision">
    <w:name w:val="Revision"/>
    <w:hidden/>
    <w:uiPriority w:val="99"/>
    <w:semiHidden/>
    <w:rsid w:val="006E5B04"/>
  </w:style>
  <w:style w:type="paragraph" w:customStyle="1" w:styleId="Default">
    <w:name w:val="Default"/>
    <w:rsid w:val="00631F81"/>
    <w:pPr>
      <w:autoSpaceDE w:val="0"/>
      <w:autoSpaceDN w:val="0"/>
      <w:adjustRightInd w:val="0"/>
    </w:pPr>
    <w:rPr>
      <w:rFonts w:ascii="Book Antiqua" w:hAnsi="Book Antiqua" w:cs="Book Antiqua"/>
      <w:color w:val="000000"/>
      <w:sz w:val="24"/>
      <w:szCs w:val="24"/>
    </w:rPr>
  </w:style>
  <w:style w:type="paragraph" w:customStyle="1" w:styleId="standard">
    <w:name w:val="standard"/>
    <w:basedOn w:val="Normal"/>
    <w:link w:val="standardChar"/>
    <w:rsid w:val="00D50365"/>
    <w:pPr>
      <w:spacing w:line="360" w:lineRule="auto"/>
      <w:ind w:firstLine="720"/>
    </w:pPr>
    <w:rPr>
      <w:rFonts w:ascii="Palatino" w:hAnsi="Palatino"/>
      <w:sz w:val="26"/>
    </w:rPr>
  </w:style>
  <w:style w:type="character" w:customStyle="1" w:styleId="standardChar">
    <w:name w:val="standard Char"/>
    <w:link w:val="standard"/>
    <w:locked/>
    <w:rsid w:val="00D50365"/>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189270579">
      <w:bodyDiv w:val="1"/>
      <w:marLeft w:val="0"/>
      <w:marRight w:val="0"/>
      <w:marTop w:val="0"/>
      <w:marBottom w:val="0"/>
      <w:divBdr>
        <w:top w:val="none" w:sz="0" w:space="0" w:color="auto"/>
        <w:left w:val="none" w:sz="0" w:space="0" w:color="auto"/>
        <w:bottom w:val="none" w:sz="0" w:space="0" w:color="auto"/>
        <w:right w:val="none" w:sz="0" w:space="0" w:color="auto"/>
      </w:divBdr>
    </w:div>
    <w:div w:id="199588133">
      <w:bodyDiv w:val="1"/>
      <w:marLeft w:val="0"/>
      <w:marRight w:val="0"/>
      <w:marTop w:val="0"/>
      <w:marBottom w:val="0"/>
      <w:divBdr>
        <w:top w:val="none" w:sz="0" w:space="0" w:color="auto"/>
        <w:left w:val="none" w:sz="0" w:space="0" w:color="auto"/>
        <w:bottom w:val="none" w:sz="0" w:space="0" w:color="auto"/>
        <w:right w:val="none" w:sz="0" w:space="0" w:color="auto"/>
      </w:divBdr>
    </w:div>
    <w:div w:id="213398393">
      <w:bodyDiv w:val="1"/>
      <w:marLeft w:val="0"/>
      <w:marRight w:val="0"/>
      <w:marTop w:val="0"/>
      <w:marBottom w:val="0"/>
      <w:divBdr>
        <w:top w:val="none" w:sz="0" w:space="0" w:color="auto"/>
        <w:left w:val="none" w:sz="0" w:space="0" w:color="auto"/>
        <w:bottom w:val="none" w:sz="0" w:space="0" w:color="auto"/>
        <w:right w:val="none" w:sz="0" w:space="0" w:color="auto"/>
      </w:divBdr>
    </w:div>
    <w:div w:id="9485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12.emf"/><Relationship Id="rId3" Type="http://schemas.microsoft.com/office/2007/relationships/stylesWithEffects" Target="stylesWithEffects.xml"/><Relationship Id="rId21" Type="http://schemas.openxmlformats.org/officeDocument/2006/relationships/image" Target="media/image7.emf"/><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1.emf"/><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oter" Target="footer6.xml"/><Relationship Id="rId10" Type="http://schemas.openxmlformats.org/officeDocument/2006/relationships/image" Target="media/image3.emf"/><Relationship Id="rId19" Type="http://schemas.openxmlformats.org/officeDocument/2006/relationships/footer" Target="footer4.xml"/><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footer4.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6144</Words>
  <Characters>33834</Characters>
  <Application>Microsoft Office Word</Application>
  <DocSecurity>0</DocSecurity>
  <Lines>735</Lines>
  <Paragraphs>148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40047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2012-01-31T22:30:00Z</cp:lastPrinted>
  <dcterms:created xsi:type="dcterms:W3CDTF">2014-12-10T18:40:00Z</dcterms:created>
  <dcterms:modified xsi:type="dcterms:W3CDTF">2014-12-10T18:40:00Z</dcterms:modified>
  <cp:category> </cp:category>
  <cp:contentStatus> </cp:contentStatus>
</cp:coreProperties>
</file>