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E7" w:rsidRDefault="004325E7">
      <w:pPr>
        <w:ind w:right="432"/>
        <w:rPr>
          <w:rFonts w:ascii="Palatino" w:hAnsi="Palatino"/>
          <w:sz w:val="24"/>
          <w:szCs w:val="24"/>
        </w:rPr>
      </w:pPr>
      <w:bookmarkStart w:id="0" w:name="_GoBack"/>
      <w:bookmarkEnd w:id="0"/>
    </w:p>
    <w:p w:rsidR="004341AC" w:rsidRDefault="004341AC">
      <w:pPr>
        <w:ind w:right="432"/>
        <w:jc w:val="center"/>
        <w:rPr>
          <w:rFonts w:ascii="Palatino" w:hAnsi="Palatino"/>
          <w:b/>
          <w:sz w:val="24"/>
        </w:rPr>
      </w:pPr>
      <w:r>
        <w:rPr>
          <w:rFonts w:ascii="Palatino" w:hAnsi="Palatino"/>
          <w:b/>
          <w:sz w:val="24"/>
        </w:rPr>
        <w:t>PUBLIC UTILITIES COMMISSION OF THE STATE OF CALIFORNIA</w:t>
      </w:r>
    </w:p>
    <w:p w:rsidR="004341AC" w:rsidRDefault="004341AC">
      <w:pPr>
        <w:ind w:right="432"/>
        <w:rPr>
          <w:rFonts w:ascii="Palatino" w:hAnsi="Palatino"/>
          <w:b/>
          <w:sz w:val="24"/>
        </w:rPr>
      </w:pPr>
    </w:p>
    <w:p w:rsidR="004341AC" w:rsidRDefault="004341AC">
      <w:pPr>
        <w:pStyle w:val="xl28"/>
        <w:spacing w:before="0" w:beforeAutospacing="0" w:after="0" w:afterAutospacing="0"/>
        <w:ind w:right="432"/>
        <w:rPr>
          <w:rFonts w:ascii="Palatino" w:eastAsia="Times New Roman" w:hAnsi="Palatino" w:cs="Times New Roman"/>
          <w:bCs w:val="0"/>
          <w:szCs w:val="20"/>
        </w:rPr>
      </w:pPr>
    </w:p>
    <w:tbl>
      <w:tblPr>
        <w:tblW w:w="0" w:type="auto"/>
        <w:tblLayout w:type="fixed"/>
        <w:tblLook w:val="0000" w:firstRow="0" w:lastRow="0" w:firstColumn="0" w:lastColumn="0" w:noHBand="0" w:noVBand="0"/>
      </w:tblPr>
      <w:tblGrid>
        <w:gridCol w:w="6329"/>
        <w:gridCol w:w="3289"/>
      </w:tblGrid>
      <w:tr w:rsidR="004341AC" w:rsidTr="00A05221">
        <w:trPr>
          <w:trHeight w:val="296"/>
        </w:trPr>
        <w:tc>
          <w:tcPr>
            <w:tcW w:w="6329" w:type="dxa"/>
          </w:tcPr>
          <w:p w:rsidR="004341AC" w:rsidRDefault="004341AC">
            <w:pPr>
              <w:ind w:right="432"/>
              <w:rPr>
                <w:rFonts w:ascii="Palatino" w:hAnsi="Palatino"/>
                <w:b/>
                <w:sz w:val="24"/>
              </w:rPr>
            </w:pPr>
            <w:r>
              <w:rPr>
                <w:rFonts w:ascii="Palatino" w:hAnsi="Palatino"/>
                <w:b/>
                <w:sz w:val="24"/>
              </w:rPr>
              <w:t>Communications Division</w:t>
            </w:r>
          </w:p>
        </w:tc>
        <w:tc>
          <w:tcPr>
            <w:tcW w:w="3289" w:type="dxa"/>
          </w:tcPr>
          <w:p w:rsidR="004341AC" w:rsidRDefault="004341AC" w:rsidP="00AA46D4">
            <w:pPr>
              <w:pStyle w:val="xl24"/>
              <w:spacing w:before="0" w:beforeAutospacing="0" w:after="0" w:afterAutospacing="0"/>
              <w:ind w:right="-18"/>
              <w:jc w:val="left"/>
              <w:rPr>
                <w:rFonts w:ascii="Palatino" w:eastAsia="Times New Roman" w:hAnsi="Palatino" w:cs="Times New Roman"/>
                <w:bCs w:val="0"/>
                <w:szCs w:val="20"/>
              </w:rPr>
            </w:pPr>
            <w:r>
              <w:rPr>
                <w:rFonts w:ascii="Palatino" w:eastAsia="Times New Roman" w:hAnsi="Palatino" w:cs="Times New Roman"/>
                <w:bCs w:val="0"/>
                <w:szCs w:val="20"/>
              </w:rPr>
              <w:t xml:space="preserve">    </w:t>
            </w:r>
            <w:r w:rsidR="007D3007">
              <w:rPr>
                <w:rFonts w:ascii="Palatino" w:eastAsia="Times New Roman" w:hAnsi="Palatino" w:cs="Times New Roman"/>
                <w:bCs w:val="0"/>
                <w:szCs w:val="20"/>
              </w:rPr>
              <w:t>R</w:t>
            </w:r>
            <w:r w:rsidR="007F0254">
              <w:rPr>
                <w:rFonts w:ascii="Palatino" w:eastAsia="Times New Roman" w:hAnsi="Palatino" w:cs="Times New Roman"/>
                <w:bCs w:val="0"/>
                <w:szCs w:val="20"/>
              </w:rPr>
              <w:t>ESOLUTION T- 17</w:t>
            </w:r>
            <w:r w:rsidR="00EA55E0">
              <w:rPr>
                <w:rFonts w:ascii="Palatino" w:eastAsia="Times New Roman" w:hAnsi="Palatino" w:cs="Times New Roman"/>
                <w:bCs w:val="0"/>
                <w:szCs w:val="20"/>
              </w:rPr>
              <w:t>453</w:t>
            </w:r>
          </w:p>
        </w:tc>
      </w:tr>
      <w:tr w:rsidR="004341AC" w:rsidTr="00A05221">
        <w:trPr>
          <w:trHeight w:val="304"/>
        </w:trPr>
        <w:tc>
          <w:tcPr>
            <w:tcW w:w="6329" w:type="dxa"/>
          </w:tcPr>
          <w:p w:rsidR="004341AC" w:rsidRDefault="004341AC">
            <w:pPr>
              <w:ind w:right="432"/>
              <w:rPr>
                <w:rFonts w:ascii="Palatino" w:hAnsi="Palatino"/>
                <w:b/>
                <w:sz w:val="24"/>
                <w:szCs w:val="24"/>
              </w:rPr>
            </w:pPr>
            <w:r>
              <w:rPr>
                <w:rFonts w:ascii="Palatino" w:hAnsi="Palatino"/>
                <w:b/>
                <w:sz w:val="24"/>
                <w:szCs w:val="24"/>
              </w:rPr>
              <w:t>Carrier Oversight &amp; Programs Branch</w:t>
            </w:r>
          </w:p>
        </w:tc>
        <w:tc>
          <w:tcPr>
            <w:tcW w:w="3289" w:type="dxa"/>
          </w:tcPr>
          <w:p w:rsidR="004341AC" w:rsidRDefault="004341AC" w:rsidP="00AA46D4">
            <w:pPr>
              <w:ind w:right="-18"/>
              <w:rPr>
                <w:rFonts w:ascii="Palatino" w:hAnsi="Palatino"/>
                <w:b/>
                <w:sz w:val="24"/>
              </w:rPr>
            </w:pPr>
            <w:r>
              <w:rPr>
                <w:rFonts w:ascii="Palatino" w:hAnsi="Palatino"/>
                <w:b/>
                <w:sz w:val="24"/>
              </w:rPr>
              <w:t xml:space="preserve">             </w:t>
            </w:r>
            <w:r w:rsidR="005C53A0">
              <w:rPr>
                <w:rFonts w:ascii="Palatino" w:hAnsi="Palatino"/>
                <w:b/>
                <w:sz w:val="24"/>
              </w:rPr>
              <w:t>November 20</w:t>
            </w:r>
            <w:r w:rsidR="001B1694">
              <w:rPr>
                <w:rFonts w:ascii="Palatino" w:hAnsi="Palatino"/>
                <w:b/>
                <w:sz w:val="24"/>
              </w:rPr>
              <w:t>, 2014</w:t>
            </w:r>
          </w:p>
        </w:tc>
      </w:tr>
    </w:tbl>
    <w:p w:rsidR="004341AC" w:rsidRDefault="004341AC">
      <w:pPr>
        <w:ind w:right="432"/>
        <w:rPr>
          <w:rFonts w:ascii="Palatino" w:hAnsi="Palatino"/>
          <w:sz w:val="24"/>
        </w:rPr>
      </w:pPr>
    </w:p>
    <w:p w:rsidR="004341AC" w:rsidRDefault="004341AC">
      <w:pPr>
        <w:ind w:right="432"/>
        <w:rPr>
          <w:rFonts w:ascii="Palatino" w:hAnsi="Palatino"/>
          <w:sz w:val="24"/>
        </w:rPr>
      </w:pPr>
    </w:p>
    <w:p w:rsidR="004341AC" w:rsidRDefault="004341AC" w:rsidP="00956DBB">
      <w:pPr>
        <w:ind w:right="432"/>
        <w:jc w:val="center"/>
        <w:rPr>
          <w:rFonts w:ascii="Palatino" w:hAnsi="Palatino"/>
          <w:sz w:val="24"/>
        </w:rPr>
      </w:pPr>
      <w:r>
        <w:rPr>
          <w:rFonts w:ascii="Palatino" w:hAnsi="Palatino"/>
          <w:b/>
          <w:sz w:val="24"/>
          <w:u w:val="single"/>
        </w:rPr>
        <w:t>R</w:t>
      </w:r>
      <w:r>
        <w:rPr>
          <w:rFonts w:ascii="Palatino" w:hAnsi="Palatino"/>
          <w:sz w:val="24"/>
        </w:rPr>
        <w:t xml:space="preserve"> </w:t>
      </w:r>
      <w:r>
        <w:rPr>
          <w:rFonts w:ascii="Palatino" w:hAnsi="Palatino"/>
          <w:b/>
          <w:sz w:val="24"/>
          <w:u w:val="single"/>
        </w:rPr>
        <w:t>E</w:t>
      </w:r>
      <w:r>
        <w:rPr>
          <w:rFonts w:ascii="Palatino" w:hAnsi="Palatino"/>
          <w:sz w:val="24"/>
        </w:rPr>
        <w:t xml:space="preserve"> </w:t>
      </w:r>
      <w:r>
        <w:rPr>
          <w:rFonts w:ascii="Palatino" w:hAnsi="Palatino"/>
          <w:b/>
          <w:sz w:val="24"/>
          <w:u w:val="single"/>
        </w:rPr>
        <w:t>S</w:t>
      </w:r>
      <w:r>
        <w:rPr>
          <w:rFonts w:ascii="Palatino" w:hAnsi="Palatino"/>
          <w:sz w:val="24"/>
        </w:rPr>
        <w:t xml:space="preserve"> </w:t>
      </w:r>
      <w:r>
        <w:rPr>
          <w:rFonts w:ascii="Palatino" w:hAnsi="Palatino"/>
          <w:b/>
          <w:sz w:val="24"/>
          <w:u w:val="single"/>
        </w:rPr>
        <w:t>O</w:t>
      </w:r>
      <w:r>
        <w:rPr>
          <w:rFonts w:ascii="Palatino" w:hAnsi="Palatino"/>
          <w:sz w:val="24"/>
        </w:rPr>
        <w:t xml:space="preserve"> </w:t>
      </w:r>
      <w:r>
        <w:rPr>
          <w:rFonts w:ascii="Palatino" w:hAnsi="Palatino"/>
          <w:b/>
          <w:sz w:val="24"/>
          <w:u w:val="single"/>
        </w:rPr>
        <w:t>L</w:t>
      </w:r>
      <w:r>
        <w:rPr>
          <w:rFonts w:ascii="Palatino" w:hAnsi="Palatino"/>
          <w:sz w:val="24"/>
        </w:rPr>
        <w:t xml:space="preserve"> </w:t>
      </w:r>
      <w:r>
        <w:rPr>
          <w:rFonts w:ascii="Palatino" w:hAnsi="Palatino"/>
          <w:b/>
          <w:sz w:val="24"/>
          <w:u w:val="single"/>
        </w:rPr>
        <w:t>U</w:t>
      </w:r>
      <w:r>
        <w:rPr>
          <w:rFonts w:ascii="Palatino" w:hAnsi="Palatino"/>
          <w:sz w:val="24"/>
        </w:rPr>
        <w:t xml:space="preserve"> </w:t>
      </w:r>
      <w:r>
        <w:rPr>
          <w:rFonts w:ascii="Palatino" w:hAnsi="Palatino"/>
          <w:b/>
          <w:sz w:val="24"/>
          <w:u w:val="single"/>
        </w:rPr>
        <w:t>T</w:t>
      </w:r>
      <w:r>
        <w:rPr>
          <w:rFonts w:ascii="Palatino" w:hAnsi="Palatino"/>
          <w:sz w:val="24"/>
        </w:rPr>
        <w:t xml:space="preserve"> </w:t>
      </w:r>
      <w:r>
        <w:rPr>
          <w:rFonts w:ascii="Palatino" w:hAnsi="Palatino"/>
          <w:b/>
          <w:sz w:val="24"/>
          <w:u w:val="single"/>
        </w:rPr>
        <w:t>I</w:t>
      </w:r>
      <w:r>
        <w:rPr>
          <w:rFonts w:ascii="Palatino" w:hAnsi="Palatino"/>
          <w:sz w:val="24"/>
        </w:rPr>
        <w:t xml:space="preserve"> </w:t>
      </w:r>
      <w:r>
        <w:rPr>
          <w:rFonts w:ascii="Palatino" w:hAnsi="Palatino"/>
          <w:b/>
          <w:sz w:val="24"/>
          <w:u w:val="single"/>
        </w:rPr>
        <w:t>O</w:t>
      </w:r>
      <w:r>
        <w:rPr>
          <w:rFonts w:ascii="Palatino" w:hAnsi="Palatino"/>
          <w:sz w:val="24"/>
        </w:rPr>
        <w:t xml:space="preserve"> </w:t>
      </w:r>
      <w:r>
        <w:rPr>
          <w:rFonts w:ascii="Palatino" w:hAnsi="Palatino"/>
          <w:b/>
          <w:sz w:val="24"/>
          <w:u w:val="single"/>
        </w:rPr>
        <w:t>N</w:t>
      </w:r>
    </w:p>
    <w:p w:rsidR="004341AC" w:rsidRDefault="004341AC">
      <w:pPr>
        <w:ind w:right="432"/>
        <w:rPr>
          <w:rFonts w:ascii="Palatino" w:hAnsi="Palatino"/>
          <w:sz w:val="24"/>
        </w:rPr>
      </w:pPr>
    </w:p>
    <w:p w:rsidR="004341AC" w:rsidRDefault="00EA55E0">
      <w:pPr>
        <w:ind w:right="432"/>
        <w:rPr>
          <w:rFonts w:ascii="Palatino" w:hAnsi="Palatino"/>
          <w:b/>
          <w:sz w:val="24"/>
        </w:rPr>
      </w:pPr>
      <w:r>
        <w:rPr>
          <w:rFonts w:ascii="Palatino" w:hAnsi="Palatino"/>
          <w:b/>
          <w:sz w:val="24"/>
        </w:rPr>
        <w:t>Resolution T-17453</w:t>
      </w:r>
      <w:r w:rsidR="004341AC">
        <w:rPr>
          <w:rFonts w:ascii="Palatino" w:hAnsi="Palatino"/>
          <w:b/>
          <w:sz w:val="24"/>
        </w:rPr>
        <w:t xml:space="preserve"> Approval of the California High Cost Fund-A </w:t>
      </w:r>
      <w:r w:rsidR="003B70FA">
        <w:rPr>
          <w:rFonts w:ascii="Palatino" w:hAnsi="Palatino"/>
          <w:b/>
          <w:sz w:val="24"/>
        </w:rPr>
        <w:t>Program</w:t>
      </w:r>
      <w:r w:rsidR="009305C6">
        <w:rPr>
          <w:rFonts w:ascii="Palatino" w:hAnsi="Palatino"/>
          <w:b/>
          <w:sz w:val="24"/>
        </w:rPr>
        <w:t xml:space="preserve"> Surcharge Rate of 0</w:t>
      </w:r>
      <w:r w:rsidR="00890F8E">
        <w:rPr>
          <w:rFonts w:ascii="Palatino" w:hAnsi="Palatino"/>
          <w:b/>
          <w:sz w:val="24"/>
        </w:rPr>
        <w:t>.</w:t>
      </w:r>
      <w:r w:rsidR="007E788D">
        <w:rPr>
          <w:rFonts w:ascii="Palatino" w:hAnsi="Palatino"/>
          <w:b/>
          <w:sz w:val="24"/>
        </w:rPr>
        <w:t>35</w:t>
      </w:r>
      <w:r w:rsidR="003A0466">
        <w:rPr>
          <w:rFonts w:ascii="Palatino" w:hAnsi="Palatino"/>
          <w:b/>
          <w:sz w:val="24"/>
        </w:rPr>
        <w:t xml:space="preserve">% Effective </w:t>
      </w:r>
      <w:r w:rsidR="00BE3AF9">
        <w:rPr>
          <w:rFonts w:ascii="Palatino" w:hAnsi="Palatino"/>
          <w:b/>
          <w:sz w:val="24"/>
        </w:rPr>
        <w:t>January 1, 2015</w:t>
      </w:r>
      <w:r w:rsidR="004341AC">
        <w:rPr>
          <w:rFonts w:ascii="Palatino" w:hAnsi="Palatino"/>
          <w:b/>
          <w:sz w:val="24"/>
        </w:rPr>
        <w:t>.</w:t>
      </w:r>
    </w:p>
    <w:p w:rsidR="004341AC" w:rsidRDefault="004341AC">
      <w:pPr>
        <w:ind w:left="720" w:right="432"/>
        <w:rPr>
          <w:rFonts w:ascii="Palatino" w:hAnsi="Palatino"/>
          <w:b/>
          <w:sz w:val="24"/>
        </w:rPr>
      </w:pPr>
    </w:p>
    <w:tbl>
      <w:tblPr>
        <w:tblW w:w="0" w:type="auto"/>
        <w:tblInd w:w="108" w:type="dxa"/>
        <w:tblBorders>
          <w:top w:val="single" w:sz="4" w:space="0" w:color="auto"/>
        </w:tblBorders>
        <w:tblLook w:val="01E0" w:firstRow="1" w:lastRow="1" w:firstColumn="1" w:lastColumn="1" w:noHBand="0" w:noVBand="0"/>
      </w:tblPr>
      <w:tblGrid>
        <w:gridCol w:w="9090"/>
      </w:tblGrid>
      <w:tr w:rsidR="004341AC">
        <w:tc>
          <w:tcPr>
            <w:tcW w:w="9090" w:type="dxa"/>
            <w:shd w:val="clear" w:color="auto" w:fill="auto"/>
          </w:tcPr>
          <w:p w:rsidR="004341AC" w:rsidRDefault="004341AC">
            <w:pPr>
              <w:ind w:right="432"/>
              <w:rPr>
                <w:rFonts w:ascii="Palatino" w:hAnsi="Palatino"/>
                <w:sz w:val="24"/>
              </w:rPr>
            </w:pPr>
          </w:p>
        </w:tc>
      </w:tr>
    </w:tbl>
    <w:p w:rsidR="004341AC" w:rsidRDefault="004341AC" w:rsidP="009312E3">
      <w:pPr>
        <w:widowControl w:val="0"/>
        <w:ind w:right="432"/>
        <w:rPr>
          <w:rFonts w:ascii="Palatino" w:hAnsi="Palatino"/>
          <w:b/>
          <w:sz w:val="26"/>
          <w:u w:val="single"/>
        </w:rPr>
      </w:pPr>
      <w:r>
        <w:rPr>
          <w:rFonts w:ascii="Palatino" w:hAnsi="Palatino"/>
          <w:b/>
          <w:sz w:val="26"/>
          <w:u w:val="single"/>
        </w:rPr>
        <w:t>SUMMARY</w:t>
      </w:r>
    </w:p>
    <w:p w:rsidR="004341AC" w:rsidRDefault="004341AC" w:rsidP="009312E3">
      <w:pPr>
        <w:pStyle w:val="xl41"/>
        <w:widowControl w:val="0"/>
        <w:overflowPunct/>
        <w:autoSpaceDE/>
        <w:autoSpaceDN/>
        <w:adjustRightInd/>
        <w:spacing w:before="0" w:after="0"/>
        <w:ind w:right="432"/>
        <w:textAlignment w:val="auto"/>
        <w:rPr>
          <w:rFonts w:ascii="Palatino" w:eastAsia="Times New Roman" w:hAnsi="Palatino"/>
        </w:rPr>
      </w:pPr>
    </w:p>
    <w:p w:rsidR="004341AC" w:rsidRDefault="004341AC">
      <w:pPr>
        <w:pStyle w:val="BodyText"/>
        <w:tabs>
          <w:tab w:val="clear" w:pos="720"/>
        </w:tabs>
        <w:spacing w:after="0"/>
        <w:ind w:right="432"/>
      </w:pPr>
      <w:r>
        <w:t xml:space="preserve">This resolution adopts </w:t>
      </w:r>
      <w:r w:rsidR="00AE6F60">
        <w:t xml:space="preserve">a </w:t>
      </w:r>
      <w:r>
        <w:t xml:space="preserve">California High Cost Fund-A (CHCF-A) </w:t>
      </w:r>
      <w:r w:rsidR="0050460C">
        <w:t>p</w:t>
      </w:r>
      <w:r>
        <w:t>ro</w:t>
      </w:r>
      <w:r w:rsidR="009305C6">
        <w:t xml:space="preserve">gram surcharge rate of </w:t>
      </w:r>
      <w:r w:rsidR="002727DA">
        <w:t>0.35</w:t>
      </w:r>
      <w:r w:rsidR="00E46FDA">
        <w:t>%</w:t>
      </w:r>
      <w:r w:rsidR="006F343B">
        <w:t>,</w:t>
      </w:r>
      <w:r w:rsidR="009305C6">
        <w:t xml:space="preserve"> </w:t>
      </w:r>
      <w:r w:rsidR="00AA0267">
        <w:t xml:space="preserve">effective </w:t>
      </w:r>
      <w:r w:rsidR="002727DA">
        <w:t>January</w:t>
      </w:r>
      <w:r w:rsidR="00FB0E8F">
        <w:t xml:space="preserve"> 1</w:t>
      </w:r>
      <w:r w:rsidR="002727DA">
        <w:t>, 2015</w:t>
      </w:r>
      <w:r>
        <w:t xml:space="preserve">, until further revised by the </w:t>
      </w:r>
      <w:r w:rsidR="00455C1C">
        <w:t>California Public Utilities Commission (</w:t>
      </w:r>
      <w:r>
        <w:t>Commission</w:t>
      </w:r>
      <w:r w:rsidR="00455C1C">
        <w:t>)</w:t>
      </w:r>
      <w:r>
        <w:t xml:space="preserve">.  All telecommunications carriers </w:t>
      </w:r>
      <w:r w:rsidR="00653C53">
        <w:t xml:space="preserve">and interconnected Voice over Internet Protocol (VOIP) service providers </w:t>
      </w:r>
      <w:r>
        <w:t xml:space="preserve">shall </w:t>
      </w:r>
      <w:r w:rsidR="00AE6F60">
        <w:t>change</w:t>
      </w:r>
      <w:r>
        <w:t xml:space="preserve"> the CHCF-A surcharge rate assessed on </w:t>
      </w:r>
      <w:r w:rsidR="003B70FA">
        <w:t>revenues collected from</w:t>
      </w:r>
      <w:r w:rsidR="004C0EAA">
        <w:t xml:space="preserve"> end users for</w:t>
      </w:r>
      <w:r w:rsidR="003B70FA">
        <w:t xml:space="preserve"> </w:t>
      </w:r>
      <w:r>
        <w:t>intrastate telecommuni</w:t>
      </w:r>
      <w:r w:rsidR="009305C6">
        <w:t>cations service</w:t>
      </w:r>
      <w:r w:rsidR="003B70FA">
        <w:t>s</w:t>
      </w:r>
      <w:r w:rsidR="009305C6">
        <w:t xml:space="preserve"> </w:t>
      </w:r>
      <w:r w:rsidR="003B70FA">
        <w:t>subject to surcharge</w:t>
      </w:r>
      <w:r w:rsidR="0050460C">
        <w:t xml:space="preserve"> </w:t>
      </w:r>
      <w:r w:rsidR="002727DA">
        <w:t>from 0.18</w:t>
      </w:r>
      <w:r w:rsidR="003F75B5">
        <w:t xml:space="preserve">% </w:t>
      </w:r>
      <w:r w:rsidR="009305C6">
        <w:t xml:space="preserve">to </w:t>
      </w:r>
      <w:r w:rsidR="002727DA">
        <w:t>0.35</w:t>
      </w:r>
      <w:r w:rsidR="00E46FDA">
        <w:t>%</w:t>
      </w:r>
      <w:r>
        <w:t xml:space="preserve"> </w:t>
      </w:r>
      <w:r w:rsidR="00AA0267">
        <w:t>effective</w:t>
      </w:r>
      <w:r w:rsidR="009305C6">
        <w:t xml:space="preserve"> </w:t>
      </w:r>
      <w:r w:rsidR="002727DA">
        <w:t>January</w:t>
      </w:r>
      <w:r w:rsidR="00FB0E8F">
        <w:t xml:space="preserve"> 1</w:t>
      </w:r>
      <w:r w:rsidR="002727DA">
        <w:t>, 2015</w:t>
      </w:r>
      <w:r w:rsidR="00C018F3">
        <w:t>,</w:t>
      </w:r>
      <w:r w:rsidR="003B70FA">
        <w:t xml:space="preserve"> and thereafter</w:t>
      </w:r>
      <w:r>
        <w:t>.</w:t>
      </w:r>
    </w:p>
    <w:p w:rsidR="004341AC" w:rsidRDefault="004341AC">
      <w:pPr>
        <w:pStyle w:val="BodyText"/>
        <w:tabs>
          <w:tab w:val="clear" w:pos="720"/>
        </w:tabs>
        <w:spacing w:after="0"/>
        <w:ind w:right="432"/>
      </w:pPr>
    </w:p>
    <w:p w:rsidR="004341AC" w:rsidRDefault="004341AC" w:rsidP="009312E3">
      <w:pPr>
        <w:pStyle w:val="Heading1"/>
        <w:keepNext w:val="0"/>
        <w:widowControl w:val="0"/>
        <w:ind w:right="432"/>
        <w:rPr>
          <w:sz w:val="26"/>
        </w:rPr>
      </w:pPr>
      <w:r>
        <w:rPr>
          <w:sz w:val="26"/>
        </w:rPr>
        <w:t>BACKGROUND</w:t>
      </w:r>
    </w:p>
    <w:p w:rsidR="004341AC" w:rsidRDefault="004341AC">
      <w:pPr>
        <w:ind w:right="432"/>
        <w:rPr>
          <w:rFonts w:ascii="Palatino" w:hAnsi="Palatino"/>
          <w:sz w:val="24"/>
        </w:rPr>
      </w:pPr>
    </w:p>
    <w:p w:rsidR="004341AC" w:rsidRDefault="004341AC">
      <w:pPr>
        <w:ind w:right="432"/>
        <w:rPr>
          <w:rFonts w:ascii="Palatino" w:hAnsi="Palatino"/>
          <w:sz w:val="24"/>
        </w:rPr>
      </w:pPr>
      <w:r>
        <w:rPr>
          <w:rFonts w:ascii="Palatino" w:hAnsi="Palatino"/>
          <w:sz w:val="24"/>
        </w:rPr>
        <w:t>The California High Cost Fund (HCF) was implemented by Decision (D.) 88-07-022, a</w:t>
      </w:r>
      <w:r w:rsidR="00913995">
        <w:rPr>
          <w:rFonts w:ascii="Palatino" w:hAnsi="Palatino"/>
          <w:sz w:val="24"/>
        </w:rPr>
        <w:t>nd</w:t>
      </w:r>
      <w:r>
        <w:rPr>
          <w:rFonts w:ascii="Palatino" w:hAnsi="Palatino"/>
          <w:sz w:val="24"/>
        </w:rPr>
        <w:t xml:space="preserve"> modified by D.91-05-016 and D.91-09-042, to provide a source of supplemental revenues to three mid-size and seventeen small Incumbent Local Exchange Carriers (ILECs) whose basic exchange access line service rates would otherwise be increased to levels that would threaten universal service.  Pacific Bell was appointed as the administrator of the fund and established a separate trust.</w:t>
      </w:r>
    </w:p>
    <w:p w:rsidR="004341AC" w:rsidRDefault="004341AC">
      <w:pPr>
        <w:ind w:right="432"/>
        <w:rPr>
          <w:rFonts w:ascii="Palatino" w:hAnsi="Palatino"/>
          <w:sz w:val="24"/>
        </w:rPr>
      </w:pPr>
    </w:p>
    <w:p w:rsidR="005260AA" w:rsidRDefault="00913995">
      <w:pPr>
        <w:ind w:right="432"/>
        <w:rPr>
          <w:rFonts w:ascii="Palatino" w:hAnsi="Palatino"/>
          <w:sz w:val="24"/>
        </w:rPr>
      </w:pPr>
      <w:r>
        <w:rPr>
          <w:rFonts w:ascii="Palatino" w:hAnsi="Palatino"/>
          <w:sz w:val="24"/>
        </w:rPr>
        <w:t xml:space="preserve">In </w:t>
      </w:r>
      <w:r w:rsidR="004341AC">
        <w:rPr>
          <w:rFonts w:ascii="Palatino" w:hAnsi="Palatino"/>
          <w:sz w:val="24"/>
        </w:rPr>
        <w:t>D.96-10-066</w:t>
      </w:r>
      <w:r>
        <w:rPr>
          <w:rFonts w:ascii="Palatino" w:hAnsi="Palatino"/>
          <w:sz w:val="24"/>
        </w:rPr>
        <w:t>, the Commission</w:t>
      </w:r>
      <w:r w:rsidR="004341AC">
        <w:rPr>
          <w:rFonts w:ascii="Palatino" w:hAnsi="Palatino"/>
          <w:sz w:val="24"/>
        </w:rPr>
        <w:t xml:space="preserve"> change</w:t>
      </w:r>
      <w:r w:rsidR="009807A1">
        <w:rPr>
          <w:rFonts w:ascii="Palatino" w:hAnsi="Palatino"/>
          <w:sz w:val="24"/>
        </w:rPr>
        <w:t xml:space="preserve">d the name of HCF to CHCF-A, and </w:t>
      </w:r>
      <w:r>
        <w:rPr>
          <w:rFonts w:ascii="Palatino" w:hAnsi="Palatino"/>
          <w:sz w:val="24"/>
        </w:rPr>
        <w:t xml:space="preserve">also </w:t>
      </w:r>
      <w:r w:rsidR="004341AC">
        <w:rPr>
          <w:rFonts w:ascii="Palatino" w:hAnsi="Palatino"/>
          <w:sz w:val="24"/>
        </w:rPr>
        <w:t xml:space="preserve">created the California High Cost Fund-B (CHCF-B).  This decision included Pacific Bell (now </w:t>
      </w:r>
      <w:r>
        <w:rPr>
          <w:rFonts w:ascii="Palatino" w:hAnsi="Palatino"/>
          <w:sz w:val="24"/>
        </w:rPr>
        <w:t>AT&amp;T</w:t>
      </w:r>
      <w:r w:rsidR="004341AC">
        <w:rPr>
          <w:rFonts w:ascii="Palatino" w:hAnsi="Palatino"/>
          <w:sz w:val="24"/>
        </w:rPr>
        <w:t>), GTE California Incorporated (now Verizon)</w:t>
      </w:r>
      <w:r w:rsidR="003F37AD">
        <w:rPr>
          <w:rFonts w:ascii="Palatino" w:hAnsi="Palatino"/>
          <w:sz w:val="24"/>
        </w:rPr>
        <w:t>,</w:t>
      </w:r>
      <w:r w:rsidR="004341AC" w:rsidRPr="004552E0">
        <w:footnoteReference w:id="1"/>
      </w:r>
      <w:r w:rsidR="003F37AD">
        <w:rPr>
          <w:rFonts w:ascii="Palatino" w:hAnsi="Palatino"/>
          <w:sz w:val="24"/>
        </w:rPr>
        <w:t xml:space="preserve"> </w:t>
      </w:r>
      <w:r w:rsidR="004341AC">
        <w:rPr>
          <w:rFonts w:ascii="Palatino" w:hAnsi="Palatino"/>
          <w:sz w:val="24"/>
        </w:rPr>
        <w:t>Roseville Telephone Company (now SureWest), and Citizens Telecommunications Company of California (now Frontier) in the</w:t>
      </w:r>
      <w:r w:rsidR="00D94469">
        <w:rPr>
          <w:rFonts w:ascii="Palatino" w:hAnsi="Palatino"/>
          <w:sz w:val="24"/>
        </w:rPr>
        <w:t xml:space="preserve"> newly-created</w:t>
      </w:r>
      <w:r w:rsidR="004341AC">
        <w:rPr>
          <w:rFonts w:ascii="Palatino" w:hAnsi="Palatino"/>
          <w:sz w:val="24"/>
        </w:rPr>
        <w:t xml:space="preserve"> CHCF-B for the purpose of determining universal service subsidy support </w:t>
      </w:r>
      <w:r w:rsidR="00D94469">
        <w:rPr>
          <w:rFonts w:ascii="Palatino" w:hAnsi="Palatino"/>
          <w:sz w:val="24"/>
        </w:rPr>
        <w:t xml:space="preserve">for large and mid-sized carriers, </w:t>
      </w:r>
      <w:r w:rsidR="004341AC">
        <w:rPr>
          <w:rFonts w:ascii="Palatino" w:hAnsi="Palatino"/>
          <w:sz w:val="24"/>
        </w:rPr>
        <w:t>and maintained the CHCF-A for the</w:t>
      </w:r>
      <w:r w:rsidR="00100447">
        <w:rPr>
          <w:rFonts w:ascii="Palatino" w:hAnsi="Palatino"/>
          <w:sz w:val="24"/>
        </w:rPr>
        <w:t xml:space="preserve"> </w:t>
      </w:r>
      <w:r w:rsidR="004341AC">
        <w:rPr>
          <w:rFonts w:ascii="Palatino" w:hAnsi="Palatino"/>
          <w:sz w:val="24"/>
        </w:rPr>
        <w:t>small ILECs. This decision also directed the Commission to take over the administration o</w:t>
      </w:r>
      <w:r w:rsidR="005260AA">
        <w:rPr>
          <w:rFonts w:ascii="Palatino" w:hAnsi="Palatino"/>
          <w:sz w:val="24"/>
        </w:rPr>
        <w:t>f the CHCF-A from Pacific Bell.</w:t>
      </w:r>
    </w:p>
    <w:p w:rsidR="005260AA" w:rsidRDefault="005260AA">
      <w:pPr>
        <w:ind w:right="432"/>
        <w:rPr>
          <w:rFonts w:ascii="Palatino" w:hAnsi="Palatino"/>
          <w:sz w:val="24"/>
        </w:rPr>
      </w:pPr>
    </w:p>
    <w:p w:rsidR="004341AC" w:rsidRDefault="004341AC">
      <w:pPr>
        <w:pStyle w:val="BodyText"/>
        <w:tabs>
          <w:tab w:val="clear" w:pos="720"/>
        </w:tabs>
        <w:spacing w:after="0"/>
        <w:ind w:right="432"/>
      </w:pPr>
      <w:r>
        <w:lastRenderedPageBreak/>
        <w:t>In October 1999,</w:t>
      </w:r>
      <w:r w:rsidR="0050460C">
        <w:t xml:space="preserve"> </w:t>
      </w:r>
      <w:r>
        <w:t>Public Utilities (PU) Code §</w:t>
      </w:r>
      <w:r w:rsidR="00653C53">
        <w:t>§</w:t>
      </w:r>
      <w:r>
        <w:t xml:space="preserve"> 270-281 were codified as a result of the enactment of Senate Bill (SB) 669 (Stats. 1999, Chapter 677).  PU Code § 270(b) requires CHCF-A and five other </w:t>
      </w:r>
      <w:r w:rsidR="00913995">
        <w:t xml:space="preserve">public purpose program </w:t>
      </w:r>
      <w:r>
        <w:t xml:space="preserve">funds </w:t>
      </w:r>
      <w:r w:rsidR="00913995">
        <w:t xml:space="preserve">to </w:t>
      </w:r>
      <w:r>
        <w:t>be expended pursuant to §</w:t>
      </w:r>
      <w:r w:rsidR="00653C53">
        <w:t>§</w:t>
      </w:r>
      <w:r>
        <w:t xml:space="preserve"> 270-281 and upon appropriation in the annual </w:t>
      </w:r>
      <w:r w:rsidR="00653C53">
        <w:t xml:space="preserve">State </w:t>
      </w:r>
      <w:r>
        <w:t>Budget Act.  Since Fiscal Year (FY) 2001-02, the CHCF-A Fund expenditures have been authorized in the State’s Annual Budget Act.</w:t>
      </w:r>
    </w:p>
    <w:p w:rsidR="004341AC" w:rsidRDefault="004341AC">
      <w:pPr>
        <w:ind w:right="432"/>
        <w:rPr>
          <w:rFonts w:ascii="Palatino" w:hAnsi="Palatino"/>
          <w:sz w:val="24"/>
        </w:rPr>
      </w:pPr>
    </w:p>
    <w:p w:rsidR="00C5446E" w:rsidRDefault="00363BE7">
      <w:pPr>
        <w:pStyle w:val="BodyText"/>
        <w:tabs>
          <w:tab w:val="clear" w:pos="720"/>
        </w:tabs>
        <w:spacing w:after="0"/>
        <w:ind w:right="432"/>
      </w:pPr>
      <w:r>
        <w:t>T</w:t>
      </w:r>
      <w:r w:rsidR="001B5770">
        <w:t xml:space="preserve">he CHCF-A initially </w:t>
      </w:r>
      <w:r w:rsidR="0059734F">
        <w:t xml:space="preserve">supported </w:t>
      </w:r>
      <w:r w:rsidR="00033F83">
        <w:t>seventeen</w:t>
      </w:r>
      <w:r w:rsidR="001B5770">
        <w:t xml:space="preserve"> small ILECs</w:t>
      </w:r>
      <w:r>
        <w:t>.</w:t>
      </w:r>
      <w:r w:rsidR="001B5770">
        <w:t xml:space="preserve"> </w:t>
      </w:r>
      <w:r w:rsidR="00913995">
        <w:t xml:space="preserve"> In </w:t>
      </w:r>
      <w:r w:rsidR="004341AC">
        <w:t>D.08-10-010</w:t>
      </w:r>
      <w:r w:rsidR="00913995">
        <w:t>, the Commission</w:t>
      </w:r>
      <w:r>
        <w:t xml:space="preserve"> </w:t>
      </w:r>
      <w:r w:rsidR="004341AC">
        <w:t xml:space="preserve">authorized the consolidation of three small ILECs: Citizens Telecommunications Company of Tuolumne, Citizens Telecommunications Company of the Golden State and Global Valley Networks, Inc., with the midsize </w:t>
      </w:r>
      <w:r w:rsidR="0050460C">
        <w:t>ILEC</w:t>
      </w:r>
      <w:r w:rsidR="004341AC">
        <w:t xml:space="preserve">, Citizens Telecommunications Company of California Inc., </w:t>
      </w:r>
      <w:r w:rsidR="00196801">
        <w:t>(</w:t>
      </w:r>
      <w:r w:rsidR="004341AC">
        <w:t xml:space="preserve">now </w:t>
      </w:r>
      <w:r w:rsidR="00196801">
        <w:t>doing business as Frontier Communications of California)</w:t>
      </w:r>
      <w:r w:rsidR="004341AC">
        <w:t>.</w:t>
      </w:r>
      <w:r w:rsidR="001B5770">
        <w:t xml:space="preserve">  In addition, </w:t>
      </w:r>
      <w:r w:rsidR="0050460C">
        <w:t xml:space="preserve">in </w:t>
      </w:r>
      <w:r w:rsidR="00C5446E">
        <w:t>D.13-</w:t>
      </w:r>
      <w:r w:rsidR="003F37AD">
        <w:t>05-028</w:t>
      </w:r>
      <w:r w:rsidR="00913995">
        <w:t>, the Commission</w:t>
      </w:r>
      <w:r w:rsidR="001B5770">
        <w:t xml:space="preserve"> authorize</w:t>
      </w:r>
      <w:r w:rsidR="00913995">
        <w:t>d</w:t>
      </w:r>
      <w:r w:rsidR="001B5770">
        <w:t xml:space="preserve"> another </w:t>
      </w:r>
      <w:r w:rsidR="00C5446E">
        <w:t xml:space="preserve">consolidation of Frontier Communications West Coast Inc., into the larger ILEC, Citizens Telecommunications Company of California Inc. doing business as Frontier Communications of California.  </w:t>
      </w:r>
      <w:r w:rsidR="001B5770">
        <w:t xml:space="preserve">As a result, </w:t>
      </w:r>
      <w:r>
        <w:t>there are</w:t>
      </w:r>
      <w:r w:rsidR="0082312A">
        <w:t xml:space="preserve"> now</w:t>
      </w:r>
      <w:r>
        <w:t xml:space="preserve"> </w:t>
      </w:r>
      <w:r w:rsidR="00176C0D">
        <w:t>thirteen</w:t>
      </w:r>
      <w:r w:rsidR="001B5770">
        <w:t xml:space="preserve"> small ILECs </w:t>
      </w:r>
      <w:r w:rsidR="00E459AA">
        <w:t xml:space="preserve">providing service in </w:t>
      </w:r>
      <w:r w:rsidR="001B5770">
        <w:t>rural areas of California</w:t>
      </w:r>
      <w:r>
        <w:t xml:space="preserve"> that are eligible for CHCF-A funding</w:t>
      </w:r>
      <w:r w:rsidR="00C5446E">
        <w:t>.</w:t>
      </w:r>
      <w:r w:rsidR="00B272CC">
        <w:t xml:space="preserve"> </w:t>
      </w:r>
      <w:r w:rsidR="00B272CC">
        <w:rPr>
          <w:rStyle w:val="FootnoteReference"/>
        </w:rPr>
        <w:footnoteReference w:id="2"/>
      </w:r>
    </w:p>
    <w:p w:rsidR="004341AC" w:rsidRDefault="004341AC">
      <w:pPr>
        <w:pStyle w:val="BodyText"/>
        <w:tabs>
          <w:tab w:val="clear" w:pos="720"/>
        </w:tabs>
        <w:spacing w:after="0"/>
        <w:ind w:right="432"/>
      </w:pPr>
    </w:p>
    <w:p w:rsidR="00F65814" w:rsidRDefault="008C0F29">
      <w:pPr>
        <w:ind w:right="432"/>
        <w:rPr>
          <w:rFonts w:ascii="Palatino" w:hAnsi="Palatino"/>
          <w:sz w:val="24"/>
        </w:rPr>
      </w:pPr>
      <w:r>
        <w:rPr>
          <w:rFonts w:ascii="Palatino" w:hAnsi="Palatino"/>
          <w:sz w:val="24"/>
        </w:rPr>
        <w:t xml:space="preserve">The Commission’s action in establishing and administering the CHCF-A is in compliance with statute.  </w:t>
      </w:r>
      <w:r w:rsidR="004341AC">
        <w:rPr>
          <w:rFonts w:ascii="Palatino" w:hAnsi="Palatino"/>
          <w:sz w:val="24"/>
        </w:rPr>
        <w:t xml:space="preserve">PU Code § 275.6 requires the Commission to implement a program for universal service support to reduce any rate disparity in rural areas charged by small telephone corporations that are subject to rate-of-return regulation by the Commission.  </w:t>
      </w:r>
    </w:p>
    <w:p w:rsidR="00F65814" w:rsidRDefault="00F65814">
      <w:pPr>
        <w:ind w:right="432"/>
        <w:rPr>
          <w:rFonts w:ascii="Palatino" w:hAnsi="Palatino"/>
          <w:sz w:val="24"/>
        </w:rPr>
      </w:pPr>
    </w:p>
    <w:p w:rsidR="004341AC" w:rsidRDefault="004341AC">
      <w:pPr>
        <w:ind w:right="432"/>
        <w:rPr>
          <w:rFonts w:ascii="Palatino" w:hAnsi="Palatino"/>
          <w:sz w:val="24"/>
        </w:rPr>
      </w:pPr>
      <w:r>
        <w:rPr>
          <w:rFonts w:ascii="Palatino" w:hAnsi="Palatino"/>
          <w:sz w:val="24"/>
        </w:rPr>
        <w:t xml:space="preserve">The CHCF-A program is funded by a surcharge </w:t>
      </w:r>
      <w:r w:rsidR="0050460C">
        <w:rPr>
          <w:rFonts w:ascii="Palatino" w:hAnsi="Palatino"/>
          <w:sz w:val="24"/>
        </w:rPr>
        <w:t xml:space="preserve">assessed </w:t>
      </w:r>
      <w:r>
        <w:rPr>
          <w:rFonts w:ascii="Palatino" w:hAnsi="Palatino"/>
          <w:sz w:val="24"/>
        </w:rPr>
        <w:t>on revenues collected from</w:t>
      </w:r>
      <w:r w:rsidR="006032F9">
        <w:rPr>
          <w:rFonts w:ascii="Palatino" w:hAnsi="Palatino"/>
          <w:sz w:val="24"/>
        </w:rPr>
        <w:t xml:space="preserve"> </w:t>
      </w:r>
      <w:r>
        <w:rPr>
          <w:rFonts w:ascii="Palatino" w:hAnsi="Palatino"/>
          <w:sz w:val="24"/>
        </w:rPr>
        <w:t xml:space="preserve">intrastate telecommunications services subject to surcharge.  </w:t>
      </w:r>
      <w:r w:rsidR="006032F9">
        <w:rPr>
          <w:rFonts w:ascii="Palatino" w:hAnsi="Palatino"/>
          <w:sz w:val="24"/>
        </w:rPr>
        <w:t xml:space="preserve">The Commission </w:t>
      </w:r>
      <w:r w:rsidR="005F4959">
        <w:rPr>
          <w:rFonts w:ascii="Palatino" w:hAnsi="Palatino"/>
          <w:sz w:val="24"/>
        </w:rPr>
        <w:t xml:space="preserve">  </w:t>
      </w:r>
      <w:r w:rsidR="006032F9">
        <w:rPr>
          <w:rFonts w:ascii="Palatino" w:hAnsi="Palatino"/>
          <w:sz w:val="24"/>
        </w:rPr>
        <w:t xml:space="preserve">periodically </w:t>
      </w:r>
      <w:r w:rsidR="005F4959">
        <w:rPr>
          <w:rFonts w:ascii="Palatino" w:hAnsi="Palatino"/>
          <w:sz w:val="24"/>
        </w:rPr>
        <w:t xml:space="preserve">reviews public purpose program fund balances and adjusts surcharge rates to ensure that the programs are sufficiently funded.  </w:t>
      </w:r>
      <w:r>
        <w:rPr>
          <w:rFonts w:ascii="Palatino" w:hAnsi="Palatino"/>
          <w:sz w:val="24"/>
        </w:rPr>
        <w:t>Historical CHCF-A surcharge rates since the inception of the program are available online at</w:t>
      </w:r>
      <w:r w:rsidR="00E37D60">
        <w:rPr>
          <w:rStyle w:val="Hyperlink"/>
          <w:rFonts w:ascii="Palatino" w:hAnsi="Palatino"/>
          <w:sz w:val="24"/>
        </w:rPr>
        <w:t xml:space="preserve"> http://www.cpuc.ca.gov</w:t>
      </w:r>
      <w:r>
        <w:rPr>
          <w:rFonts w:ascii="Palatino" w:hAnsi="Palatino"/>
          <w:sz w:val="24"/>
        </w:rPr>
        <w:t>.</w:t>
      </w:r>
    </w:p>
    <w:p w:rsidR="00D83421" w:rsidRDefault="00D83421">
      <w:pPr>
        <w:ind w:right="432"/>
        <w:rPr>
          <w:rFonts w:ascii="Palatino" w:hAnsi="Palatino"/>
          <w:b/>
          <w:sz w:val="26"/>
        </w:rPr>
      </w:pPr>
    </w:p>
    <w:p w:rsidR="009B7DB8" w:rsidRDefault="009B7DB8">
      <w:pPr>
        <w:ind w:right="432"/>
        <w:rPr>
          <w:rFonts w:ascii="Palatino" w:hAnsi="Palatino"/>
          <w:b/>
          <w:sz w:val="26"/>
        </w:rPr>
      </w:pPr>
    </w:p>
    <w:p w:rsidR="004341AC" w:rsidRDefault="004341AC">
      <w:pPr>
        <w:ind w:right="432"/>
        <w:rPr>
          <w:rFonts w:ascii="Palatino" w:hAnsi="Palatino"/>
          <w:sz w:val="26"/>
          <w:u w:val="single"/>
        </w:rPr>
      </w:pPr>
      <w:r>
        <w:rPr>
          <w:rFonts w:ascii="Palatino" w:hAnsi="Palatino"/>
          <w:b/>
          <w:sz w:val="26"/>
          <w:u w:val="single"/>
        </w:rPr>
        <w:t>DISCUSSION</w:t>
      </w:r>
    </w:p>
    <w:p w:rsidR="004341AC" w:rsidRDefault="004341AC">
      <w:pPr>
        <w:ind w:right="432"/>
        <w:rPr>
          <w:rFonts w:ascii="Palatino" w:hAnsi="Palatino"/>
          <w:sz w:val="24"/>
        </w:rPr>
      </w:pPr>
    </w:p>
    <w:p w:rsidR="00707F11" w:rsidRDefault="004341AC" w:rsidP="00654572">
      <w:pPr>
        <w:pStyle w:val="Heading3"/>
      </w:pPr>
      <w:r>
        <w:t xml:space="preserve">In this Resolution, the Commission </w:t>
      </w:r>
      <w:r w:rsidR="00ED59A3">
        <w:t xml:space="preserve">increases the </w:t>
      </w:r>
      <w:r w:rsidR="009305C6">
        <w:t xml:space="preserve">CHCF-A surcharge rate </w:t>
      </w:r>
      <w:r w:rsidR="00ED59A3">
        <w:t>from 0.18% to</w:t>
      </w:r>
      <w:r w:rsidR="009305C6">
        <w:t xml:space="preserve"> </w:t>
      </w:r>
      <w:r w:rsidR="009765E1">
        <w:t>0.35</w:t>
      </w:r>
      <w:r w:rsidR="00E46FDA">
        <w:t>%</w:t>
      </w:r>
      <w:r w:rsidR="006F343B">
        <w:t>,</w:t>
      </w:r>
      <w:r w:rsidR="009305C6">
        <w:t xml:space="preserve"> </w:t>
      </w:r>
      <w:r w:rsidR="00AA0267">
        <w:t>effective</w:t>
      </w:r>
      <w:r w:rsidR="009765E1">
        <w:t xml:space="preserve"> January</w:t>
      </w:r>
      <w:r w:rsidR="00FB0E8F">
        <w:t xml:space="preserve"> 1</w:t>
      </w:r>
      <w:r w:rsidR="009765E1">
        <w:t>, 2015</w:t>
      </w:r>
      <w:r>
        <w:t>, until further revised by the Commission.</w:t>
      </w:r>
      <w:r w:rsidR="000C6667">
        <w:t xml:space="preserve">  </w:t>
      </w:r>
      <w:r w:rsidR="00ED59A3">
        <w:t xml:space="preserve">The </w:t>
      </w:r>
      <w:r w:rsidR="009C475F">
        <w:t>C</w:t>
      </w:r>
      <w:r w:rsidR="00ED59A3">
        <w:t xml:space="preserve">ommunications </w:t>
      </w:r>
      <w:r w:rsidR="009C475F">
        <w:t>D</w:t>
      </w:r>
      <w:r w:rsidR="00ED59A3">
        <w:t>ivision (CD)</w:t>
      </w:r>
      <w:r w:rsidR="009C475F">
        <w:t xml:space="preserve"> strives to maintain a program fund level with a reserve covering approximately </w:t>
      </w:r>
      <w:r w:rsidR="004E23C5">
        <w:t>six</w:t>
      </w:r>
      <w:r w:rsidR="009B0027">
        <w:t xml:space="preserve"> </w:t>
      </w:r>
      <w:r w:rsidR="009C475F">
        <w:t xml:space="preserve">months of </w:t>
      </w:r>
      <w:r w:rsidR="00ED59A3">
        <w:t xml:space="preserve">annual </w:t>
      </w:r>
      <w:r w:rsidR="009C475F">
        <w:t>expenditures.</w:t>
      </w:r>
      <w:r w:rsidR="006237F5">
        <w:t xml:space="preserve">  </w:t>
      </w:r>
      <w:r w:rsidR="009C475F">
        <w:t xml:space="preserve">This reserve strikes a </w:t>
      </w:r>
      <w:r w:rsidR="00913995">
        <w:t xml:space="preserve">reasonable </w:t>
      </w:r>
      <w:r w:rsidR="009C475F">
        <w:t xml:space="preserve">balance between the need to have sufficient liquidity in the fund to cover </w:t>
      </w:r>
      <w:r w:rsidR="009C475F">
        <w:lastRenderedPageBreak/>
        <w:t xml:space="preserve">program </w:t>
      </w:r>
      <w:r w:rsidR="002A7B97">
        <w:t>expenditures</w:t>
      </w:r>
      <w:r w:rsidR="009C475F">
        <w:t xml:space="preserve"> and the desire to not overburden ratepayers by collecting too much in program surcharges.</w:t>
      </w:r>
    </w:p>
    <w:p w:rsidR="009C475F" w:rsidRDefault="009C475F">
      <w:pPr>
        <w:ind w:right="432"/>
        <w:rPr>
          <w:rFonts w:ascii="Palatino" w:hAnsi="Palatino"/>
          <w:sz w:val="24"/>
        </w:rPr>
      </w:pPr>
    </w:p>
    <w:p w:rsidR="000D71C9" w:rsidRDefault="0093500E" w:rsidP="0018519B">
      <w:pPr>
        <w:ind w:right="432"/>
        <w:rPr>
          <w:rFonts w:ascii="Palatino" w:hAnsi="Palatino"/>
          <w:sz w:val="24"/>
        </w:rPr>
      </w:pPr>
      <w:r>
        <w:rPr>
          <w:rFonts w:ascii="Palatino" w:hAnsi="Palatino"/>
          <w:sz w:val="24"/>
        </w:rPr>
        <w:t>If</w:t>
      </w:r>
      <w:r w:rsidR="006E42EF">
        <w:rPr>
          <w:rFonts w:ascii="Palatino" w:hAnsi="Palatino"/>
          <w:sz w:val="24"/>
        </w:rPr>
        <w:t xml:space="preserve"> the current </w:t>
      </w:r>
      <w:r w:rsidR="002C022F">
        <w:rPr>
          <w:rFonts w:ascii="Palatino" w:hAnsi="Palatino"/>
          <w:sz w:val="24"/>
        </w:rPr>
        <w:t xml:space="preserve">surcharge rate </w:t>
      </w:r>
      <w:r>
        <w:rPr>
          <w:rFonts w:ascii="Palatino" w:hAnsi="Palatino"/>
          <w:sz w:val="24"/>
        </w:rPr>
        <w:t>remains at</w:t>
      </w:r>
      <w:r w:rsidR="009765E1">
        <w:rPr>
          <w:rFonts w:ascii="Palatino" w:hAnsi="Palatino"/>
          <w:sz w:val="24"/>
        </w:rPr>
        <w:t xml:space="preserve"> 0.18</w:t>
      </w:r>
      <w:r w:rsidR="004341AC">
        <w:rPr>
          <w:rFonts w:ascii="Palatino" w:hAnsi="Palatino"/>
          <w:sz w:val="24"/>
        </w:rPr>
        <w:t xml:space="preserve">%, </w:t>
      </w:r>
      <w:r>
        <w:rPr>
          <w:rFonts w:ascii="Palatino" w:hAnsi="Palatino"/>
          <w:sz w:val="24"/>
        </w:rPr>
        <w:t xml:space="preserve">CD forecasts that </w:t>
      </w:r>
      <w:r w:rsidR="004341AC">
        <w:rPr>
          <w:rFonts w:ascii="Palatino" w:hAnsi="Palatino"/>
          <w:sz w:val="24"/>
        </w:rPr>
        <w:t xml:space="preserve">the CHCF-A </w:t>
      </w:r>
      <w:r w:rsidR="001450AB">
        <w:rPr>
          <w:rFonts w:ascii="Palatino" w:hAnsi="Palatino"/>
          <w:sz w:val="24"/>
        </w:rPr>
        <w:t xml:space="preserve">fund </w:t>
      </w:r>
      <w:r w:rsidR="004341AC">
        <w:rPr>
          <w:rFonts w:ascii="Palatino" w:hAnsi="Palatino"/>
          <w:sz w:val="24"/>
        </w:rPr>
        <w:t>balance</w:t>
      </w:r>
      <w:r w:rsidR="0052225C">
        <w:rPr>
          <w:rFonts w:ascii="Palatino" w:hAnsi="Palatino"/>
          <w:sz w:val="24"/>
        </w:rPr>
        <w:t xml:space="preserve"> </w:t>
      </w:r>
      <w:r w:rsidR="009765E1">
        <w:rPr>
          <w:rFonts w:ascii="Palatino" w:hAnsi="Palatino"/>
          <w:sz w:val="24"/>
        </w:rPr>
        <w:t>would decrease from approximately $20</w:t>
      </w:r>
      <w:r w:rsidR="00E21132">
        <w:rPr>
          <w:rFonts w:ascii="Palatino" w:hAnsi="Palatino"/>
          <w:sz w:val="24"/>
        </w:rPr>
        <w:t xml:space="preserve"> million as of </w:t>
      </w:r>
      <w:r w:rsidR="009765E1">
        <w:rPr>
          <w:rFonts w:ascii="Palatino" w:hAnsi="Palatino"/>
          <w:sz w:val="24"/>
        </w:rPr>
        <w:t>June</w:t>
      </w:r>
      <w:r>
        <w:rPr>
          <w:rFonts w:ascii="Palatino" w:hAnsi="Palatino"/>
          <w:sz w:val="24"/>
        </w:rPr>
        <w:t xml:space="preserve"> 30, </w:t>
      </w:r>
      <w:r w:rsidR="009765E1">
        <w:rPr>
          <w:rFonts w:ascii="Palatino" w:hAnsi="Palatino"/>
          <w:sz w:val="24"/>
        </w:rPr>
        <w:t>2014</w:t>
      </w:r>
      <w:r>
        <w:rPr>
          <w:rFonts w:ascii="Palatino" w:hAnsi="Palatino"/>
          <w:sz w:val="24"/>
        </w:rPr>
        <w:t>,</w:t>
      </w:r>
      <w:r w:rsidR="009765E1">
        <w:rPr>
          <w:rFonts w:ascii="Palatino" w:hAnsi="Palatino"/>
          <w:sz w:val="24"/>
        </w:rPr>
        <w:t xml:space="preserve"> to </w:t>
      </w:r>
      <w:r w:rsidR="00734B84">
        <w:rPr>
          <w:rFonts w:ascii="Palatino" w:hAnsi="Palatino"/>
          <w:sz w:val="24"/>
        </w:rPr>
        <w:t xml:space="preserve">zero </w:t>
      </w:r>
      <w:r w:rsidR="000D71C9">
        <w:rPr>
          <w:rFonts w:ascii="Palatino" w:hAnsi="Palatino"/>
          <w:sz w:val="24"/>
        </w:rPr>
        <w:t xml:space="preserve">by approximately </w:t>
      </w:r>
      <w:r w:rsidR="00F25357">
        <w:rPr>
          <w:rFonts w:ascii="Palatino" w:hAnsi="Palatino"/>
          <w:sz w:val="24"/>
        </w:rPr>
        <w:t>October</w:t>
      </w:r>
      <w:r w:rsidR="000D71C9">
        <w:rPr>
          <w:rFonts w:ascii="Palatino" w:hAnsi="Palatino"/>
          <w:sz w:val="24"/>
        </w:rPr>
        <w:t xml:space="preserve"> 2015</w:t>
      </w:r>
      <w:r w:rsidR="00734B84">
        <w:rPr>
          <w:rFonts w:ascii="Palatino" w:hAnsi="Palatino"/>
          <w:sz w:val="24"/>
        </w:rPr>
        <w:t>, completely depleting the fund.</w:t>
      </w:r>
    </w:p>
    <w:p w:rsidR="000D71C9" w:rsidRDefault="000D71C9" w:rsidP="0018519B">
      <w:pPr>
        <w:ind w:right="432"/>
        <w:rPr>
          <w:rFonts w:ascii="Palatino" w:hAnsi="Palatino"/>
          <w:sz w:val="24"/>
        </w:rPr>
      </w:pPr>
    </w:p>
    <w:p w:rsidR="0018519B" w:rsidRDefault="00026B6E" w:rsidP="0018519B">
      <w:pPr>
        <w:ind w:right="432"/>
        <w:rPr>
          <w:rFonts w:ascii="Palatino" w:hAnsi="Palatino"/>
          <w:sz w:val="24"/>
        </w:rPr>
      </w:pPr>
      <w:r>
        <w:rPr>
          <w:rFonts w:ascii="Palatino" w:hAnsi="Palatino"/>
          <w:sz w:val="24"/>
        </w:rPr>
        <w:t>With</w:t>
      </w:r>
      <w:r w:rsidR="00A3301A">
        <w:rPr>
          <w:rFonts w:ascii="Palatino" w:hAnsi="Palatino"/>
          <w:sz w:val="24"/>
        </w:rPr>
        <w:t>out</w:t>
      </w:r>
      <w:r>
        <w:rPr>
          <w:rFonts w:ascii="Palatino" w:hAnsi="Palatino"/>
          <w:sz w:val="24"/>
        </w:rPr>
        <w:t xml:space="preserve"> a surcharge rate increase</w:t>
      </w:r>
      <w:r w:rsidR="00A3301A">
        <w:rPr>
          <w:rFonts w:ascii="Palatino" w:hAnsi="Palatino"/>
          <w:sz w:val="24"/>
        </w:rPr>
        <w:t xml:space="preserve">, </w:t>
      </w:r>
      <w:r w:rsidR="004E23C5">
        <w:rPr>
          <w:rFonts w:ascii="Palatino" w:hAnsi="Palatino"/>
          <w:sz w:val="24"/>
        </w:rPr>
        <w:t xml:space="preserve">CD estimates </w:t>
      </w:r>
      <w:r w:rsidR="002A7B97">
        <w:rPr>
          <w:rFonts w:ascii="Palatino" w:hAnsi="Palatino"/>
          <w:sz w:val="24"/>
        </w:rPr>
        <w:t xml:space="preserve">that </w:t>
      </w:r>
      <w:r w:rsidR="00A0543F">
        <w:rPr>
          <w:rFonts w:ascii="Palatino" w:hAnsi="Palatino"/>
          <w:sz w:val="24"/>
        </w:rPr>
        <w:t xml:space="preserve">it </w:t>
      </w:r>
      <w:r w:rsidR="00734B84">
        <w:rPr>
          <w:rFonts w:ascii="Palatino" w:hAnsi="Palatino"/>
          <w:sz w:val="24"/>
        </w:rPr>
        <w:t xml:space="preserve">would </w:t>
      </w:r>
      <w:r w:rsidR="00A0543F">
        <w:rPr>
          <w:rFonts w:ascii="Palatino" w:hAnsi="Palatino"/>
          <w:sz w:val="24"/>
        </w:rPr>
        <w:t>collect approximately $</w:t>
      </w:r>
      <w:r w:rsidR="001628FC">
        <w:rPr>
          <w:rFonts w:ascii="Palatino" w:hAnsi="Palatino"/>
          <w:sz w:val="24"/>
        </w:rPr>
        <w:t>2</w:t>
      </w:r>
      <w:r w:rsidR="00A0543F">
        <w:rPr>
          <w:rFonts w:ascii="Palatino" w:hAnsi="Palatino"/>
          <w:sz w:val="24"/>
        </w:rPr>
        <w:t xml:space="preserve"> million</w:t>
      </w:r>
      <w:r w:rsidR="001B3F09">
        <w:rPr>
          <w:rFonts w:ascii="Palatino" w:hAnsi="Palatino"/>
          <w:sz w:val="24"/>
        </w:rPr>
        <w:t xml:space="preserve"> </w:t>
      </w:r>
      <w:r w:rsidR="00021240">
        <w:rPr>
          <w:rFonts w:ascii="Palatino" w:hAnsi="Palatino"/>
          <w:sz w:val="24"/>
        </w:rPr>
        <w:t xml:space="preserve">per month going forward.  </w:t>
      </w:r>
      <w:r w:rsidR="002A7B97">
        <w:rPr>
          <w:rFonts w:ascii="Palatino" w:hAnsi="Palatino"/>
          <w:sz w:val="24"/>
        </w:rPr>
        <w:t xml:space="preserve">Since average </w:t>
      </w:r>
      <w:r w:rsidR="004E23C5">
        <w:rPr>
          <w:rFonts w:ascii="Palatino" w:hAnsi="Palatino"/>
          <w:sz w:val="24"/>
        </w:rPr>
        <w:t>CHCF-A monthly expenditure</w:t>
      </w:r>
      <w:r w:rsidR="001B3F09">
        <w:rPr>
          <w:rFonts w:ascii="Palatino" w:hAnsi="Palatino"/>
          <w:sz w:val="24"/>
        </w:rPr>
        <w:t xml:space="preserve">s are </w:t>
      </w:r>
      <w:r>
        <w:rPr>
          <w:rFonts w:ascii="Palatino" w:hAnsi="Palatino"/>
          <w:sz w:val="24"/>
        </w:rPr>
        <w:t>approximately</w:t>
      </w:r>
      <w:r w:rsidR="002A7B97">
        <w:rPr>
          <w:rFonts w:ascii="Palatino" w:hAnsi="Palatino"/>
          <w:sz w:val="24"/>
        </w:rPr>
        <w:t xml:space="preserve"> </w:t>
      </w:r>
      <w:r w:rsidR="004E23C5">
        <w:rPr>
          <w:rFonts w:ascii="Palatino" w:hAnsi="Palatino"/>
          <w:sz w:val="24"/>
        </w:rPr>
        <w:t>$3</w:t>
      </w:r>
      <w:r w:rsidR="00DD20FC">
        <w:rPr>
          <w:rFonts w:ascii="Palatino" w:hAnsi="Palatino"/>
          <w:sz w:val="24"/>
        </w:rPr>
        <w:t xml:space="preserve"> to $3.5</w:t>
      </w:r>
      <w:r w:rsidR="004E23C5">
        <w:rPr>
          <w:rFonts w:ascii="Palatino" w:hAnsi="Palatino"/>
          <w:sz w:val="24"/>
        </w:rPr>
        <w:t xml:space="preserve"> million, </w:t>
      </w:r>
      <w:r w:rsidR="008000CC">
        <w:rPr>
          <w:rFonts w:ascii="Palatino" w:hAnsi="Palatino"/>
          <w:sz w:val="24"/>
        </w:rPr>
        <w:t xml:space="preserve">a </w:t>
      </w:r>
      <w:r w:rsidR="008A6A78">
        <w:rPr>
          <w:rFonts w:ascii="Palatino" w:hAnsi="Palatino"/>
          <w:sz w:val="24"/>
        </w:rPr>
        <w:t>surcharge rate remain</w:t>
      </w:r>
      <w:r w:rsidR="008000CC">
        <w:rPr>
          <w:rFonts w:ascii="Palatino" w:hAnsi="Palatino"/>
          <w:sz w:val="24"/>
        </w:rPr>
        <w:t>ing</w:t>
      </w:r>
      <w:r w:rsidR="008A6A78">
        <w:rPr>
          <w:rFonts w:ascii="Palatino" w:hAnsi="Palatino"/>
          <w:sz w:val="24"/>
        </w:rPr>
        <w:t xml:space="preserve"> at 0.18</w:t>
      </w:r>
      <w:r w:rsidR="002A7B97">
        <w:rPr>
          <w:rFonts w:ascii="Palatino" w:hAnsi="Palatino"/>
          <w:sz w:val="24"/>
        </w:rPr>
        <w:t>%</w:t>
      </w:r>
      <w:r w:rsidR="008000CC">
        <w:rPr>
          <w:rFonts w:ascii="Palatino" w:hAnsi="Palatino"/>
          <w:sz w:val="24"/>
        </w:rPr>
        <w:t xml:space="preserve"> would </w:t>
      </w:r>
      <w:r w:rsidR="009A069B">
        <w:rPr>
          <w:rFonts w:ascii="Palatino" w:hAnsi="Palatino"/>
          <w:sz w:val="24"/>
        </w:rPr>
        <w:t xml:space="preserve">eventually </w:t>
      </w:r>
      <w:r w:rsidR="008000CC">
        <w:rPr>
          <w:rFonts w:ascii="Palatino" w:hAnsi="Palatino"/>
          <w:sz w:val="24"/>
        </w:rPr>
        <w:t>deplete</w:t>
      </w:r>
      <w:r w:rsidR="004E23C5">
        <w:rPr>
          <w:rFonts w:ascii="Palatino" w:hAnsi="Palatino"/>
          <w:sz w:val="24"/>
        </w:rPr>
        <w:t xml:space="preserve"> the </w:t>
      </w:r>
      <w:r w:rsidR="002A7B97">
        <w:rPr>
          <w:rFonts w:ascii="Palatino" w:hAnsi="Palatino"/>
          <w:sz w:val="24"/>
        </w:rPr>
        <w:t xml:space="preserve">fund </w:t>
      </w:r>
      <w:r w:rsidR="004E23C5">
        <w:rPr>
          <w:rFonts w:ascii="Palatino" w:hAnsi="Palatino"/>
          <w:sz w:val="24"/>
        </w:rPr>
        <w:t>balance</w:t>
      </w:r>
      <w:r w:rsidR="002A7B97">
        <w:rPr>
          <w:rFonts w:ascii="Palatino" w:hAnsi="Palatino"/>
          <w:sz w:val="24"/>
        </w:rPr>
        <w:t xml:space="preserve"> </w:t>
      </w:r>
      <w:r w:rsidR="008000CC">
        <w:rPr>
          <w:rFonts w:ascii="Palatino" w:hAnsi="Palatino"/>
          <w:sz w:val="24"/>
        </w:rPr>
        <w:t xml:space="preserve">by an average of $1.5 million monthly, resulting in a zero balance by </w:t>
      </w:r>
      <w:r w:rsidR="00984A49">
        <w:rPr>
          <w:rFonts w:ascii="Palatino" w:hAnsi="Palatino"/>
          <w:sz w:val="24"/>
        </w:rPr>
        <w:t xml:space="preserve">approximately </w:t>
      </w:r>
      <w:r w:rsidR="00BC23BB">
        <w:rPr>
          <w:rFonts w:ascii="Palatino" w:hAnsi="Palatino"/>
          <w:sz w:val="24"/>
        </w:rPr>
        <w:t>October</w:t>
      </w:r>
      <w:r w:rsidR="008000CC">
        <w:rPr>
          <w:rFonts w:ascii="Palatino" w:hAnsi="Palatino"/>
          <w:sz w:val="24"/>
        </w:rPr>
        <w:t xml:space="preserve"> 2015, therefore compromising the CHCF-A program’s ability to provide support to the </w:t>
      </w:r>
      <w:r w:rsidR="00F65814">
        <w:rPr>
          <w:rFonts w:ascii="Palatino" w:hAnsi="Palatino"/>
          <w:sz w:val="24"/>
        </w:rPr>
        <w:t>s</w:t>
      </w:r>
      <w:r w:rsidR="008000CC">
        <w:rPr>
          <w:rFonts w:ascii="Palatino" w:hAnsi="Palatino"/>
          <w:sz w:val="24"/>
        </w:rPr>
        <w:t>mall ILECs</w:t>
      </w:r>
      <w:r w:rsidR="00B6069E">
        <w:rPr>
          <w:rFonts w:ascii="Palatino" w:hAnsi="Palatino"/>
          <w:sz w:val="24"/>
        </w:rPr>
        <w:t xml:space="preserve">.  The fund has already </w:t>
      </w:r>
      <w:r w:rsidR="001D7653">
        <w:rPr>
          <w:rFonts w:ascii="Palatino" w:hAnsi="Palatino"/>
          <w:sz w:val="24"/>
        </w:rPr>
        <w:t xml:space="preserve">been </w:t>
      </w:r>
      <w:r w:rsidR="00B6069E">
        <w:rPr>
          <w:rFonts w:ascii="Palatino" w:hAnsi="Palatino"/>
          <w:sz w:val="24"/>
        </w:rPr>
        <w:t xml:space="preserve">reduced </w:t>
      </w:r>
      <w:r w:rsidR="008000CC">
        <w:rPr>
          <w:rFonts w:ascii="Palatino" w:hAnsi="Palatino"/>
          <w:sz w:val="24"/>
        </w:rPr>
        <w:t>to less than a reasonable six month reserve</w:t>
      </w:r>
      <w:r w:rsidR="004E23C5">
        <w:rPr>
          <w:rFonts w:ascii="Palatino" w:hAnsi="Palatino"/>
          <w:sz w:val="24"/>
        </w:rPr>
        <w:t>.  A calculation showing this analysis is presented in Table 1.</w:t>
      </w:r>
    </w:p>
    <w:p w:rsidR="001450AB" w:rsidRDefault="001450AB">
      <w:pPr>
        <w:ind w:right="432"/>
        <w:rPr>
          <w:rFonts w:ascii="Palatino" w:hAnsi="Palatino"/>
          <w:sz w:val="24"/>
          <w:szCs w:val="24"/>
        </w:rPr>
      </w:pPr>
    </w:p>
    <w:p w:rsidR="001450AB" w:rsidRDefault="00B5466B" w:rsidP="000341F6">
      <w:pPr>
        <w:ind w:right="432"/>
        <w:jc w:val="center"/>
        <w:rPr>
          <w:rFonts w:ascii="Palatino" w:hAnsi="Palatino"/>
          <w:sz w:val="24"/>
          <w:szCs w:val="24"/>
        </w:rPr>
      </w:pPr>
      <w:r w:rsidRPr="00B5466B">
        <w:rPr>
          <w:noProof/>
        </w:rPr>
        <w:drawing>
          <wp:inline distT="0" distB="0" distL="0" distR="0" wp14:anchorId="2BDF09E5" wp14:editId="268B6DC9">
            <wp:extent cx="4914900" cy="2683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683510"/>
                    </a:xfrm>
                    <a:prstGeom prst="rect">
                      <a:avLst/>
                    </a:prstGeom>
                    <a:noFill/>
                    <a:ln>
                      <a:noFill/>
                    </a:ln>
                  </pic:spPr>
                </pic:pic>
              </a:graphicData>
            </a:graphic>
          </wp:inline>
        </w:drawing>
      </w:r>
      <w:r w:rsidR="008C2862">
        <w:rPr>
          <w:rFonts w:ascii="Palatino" w:hAnsi="Palatino"/>
          <w:sz w:val="24"/>
          <w:szCs w:val="24"/>
        </w:rPr>
        <w:br w:type="textWrapping" w:clear="all"/>
      </w:r>
    </w:p>
    <w:p w:rsidR="00707F11" w:rsidRDefault="00D96D80">
      <w:pPr>
        <w:ind w:right="432"/>
        <w:rPr>
          <w:rFonts w:ascii="Palatino" w:hAnsi="Palatino"/>
          <w:sz w:val="24"/>
          <w:szCs w:val="24"/>
        </w:rPr>
      </w:pPr>
      <w:r>
        <w:rPr>
          <w:rFonts w:ascii="Palatino" w:hAnsi="Palatino"/>
          <w:sz w:val="24"/>
          <w:szCs w:val="24"/>
        </w:rPr>
        <w:t xml:space="preserve">To </w:t>
      </w:r>
      <w:r w:rsidR="001D776F">
        <w:rPr>
          <w:rFonts w:ascii="Palatino" w:hAnsi="Palatino"/>
          <w:sz w:val="24"/>
          <w:szCs w:val="24"/>
        </w:rPr>
        <w:t xml:space="preserve">arrive at </w:t>
      </w:r>
      <w:r w:rsidR="001258E3">
        <w:rPr>
          <w:rFonts w:ascii="Palatino" w:hAnsi="Palatino"/>
          <w:sz w:val="24"/>
          <w:szCs w:val="24"/>
        </w:rPr>
        <w:t xml:space="preserve">a target </w:t>
      </w:r>
      <w:r w:rsidR="009A54A2">
        <w:rPr>
          <w:rFonts w:ascii="Palatino" w:hAnsi="Palatino"/>
          <w:sz w:val="24"/>
          <w:szCs w:val="24"/>
        </w:rPr>
        <w:t>six</w:t>
      </w:r>
      <w:r w:rsidR="001258E3">
        <w:rPr>
          <w:rFonts w:ascii="Palatino" w:hAnsi="Palatino"/>
          <w:sz w:val="24"/>
          <w:szCs w:val="24"/>
        </w:rPr>
        <w:t xml:space="preserve"> month reserve of </w:t>
      </w:r>
      <w:r w:rsidR="001D776F">
        <w:rPr>
          <w:rFonts w:ascii="Palatino" w:hAnsi="Palatino"/>
          <w:sz w:val="24"/>
          <w:szCs w:val="24"/>
        </w:rPr>
        <w:t>forecaste</w:t>
      </w:r>
      <w:r w:rsidR="001258E3">
        <w:rPr>
          <w:rFonts w:ascii="Palatino" w:hAnsi="Palatino"/>
          <w:sz w:val="24"/>
          <w:szCs w:val="24"/>
        </w:rPr>
        <w:t xml:space="preserve">d expenditures, </w:t>
      </w:r>
      <w:r w:rsidR="004341AC">
        <w:rPr>
          <w:rFonts w:ascii="Palatino" w:hAnsi="Palatino"/>
          <w:sz w:val="24"/>
          <w:szCs w:val="24"/>
        </w:rPr>
        <w:t xml:space="preserve">CD </w:t>
      </w:r>
      <w:r w:rsidR="002F13B3">
        <w:rPr>
          <w:rFonts w:ascii="Palatino" w:hAnsi="Palatino"/>
          <w:sz w:val="24"/>
          <w:szCs w:val="24"/>
        </w:rPr>
        <w:t>recommends that the</w:t>
      </w:r>
      <w:r w:rsidR="0018519B">
        <w:rPr>
          <w:rFonts w:ascii="Palatino" w:hAnsi="Palatino"/>
          <w:sz w:val="24"/>
          <w:szCs w:val="24"/>
        </w:rPr>
        <w:t xml:space="preserve"> surcharge rate</w:t>
      </w:r>
      <w:r w:rsidR="001258E3">
        <w:rPr>
          <w:rFonts w:ascii="Palatino" w:hAnsi="Palatino"/>
          <w:sz w:val="24"/>
          <w:szCs w:val="24"/>
        </w:rPr>
        <w:t xml:space="preserve"> be increas</w:t>
      </w:r>
      <w:r w:rsidR="002F13B3">
        <w:rPr>
          <w:rFonts w:ascii="Palatino" w:hAnsi="Palatino"/>
          <w:sz w:val="24"/>
          <w:szCs w:val="24"/>
        </w:rPr>
        <w:t>ed</w:t>
      </w:r>
      <w:r w:rsidR="001258E3">
        <w:rPr>
          <w:rFonts w:ascii="Palatino" w:hAnsi="Palatino"/>
          <w:sz w:val="24"/>
          <w:szCs w:val="24"/>
        </w:rPr>
        <w:t xml:space="preserve"> from 0.18</w:t>
      </w:r>
      <w:r w:rsidR="0018519B">
        <w:rPr>
          <w:rFonts w:ascii="Palatino" w:hAnsi="Palatino"/>
          <w:sz w:val="24"/>
          <w:szCs w:val="24"/>
        </w:rPr>
        <w:t xml:space="preserve">% to </w:t>
      </w:r>
      <w:r w:rsidR="001258E3">
        <w:rPr>
          <w:rFonts w:ascii="Palatino" w:hAnsi="Palatino"/>
          <w:sz w:val="24"/>
          <w:szCs w:val="24"/>
        </w:rPr>
        <w:t>0.35</w:t>
      </w:r>
      <w:r w:rsidR="00E46FDA">
        <w:rPr>
          <w:rFonts w:ascii="Palatino" w:hAnsi="Palatino"/>
          <w:sz w:val="24"/>
          <w:szCs w:val="24"/>
        </w:rPr>
        <w:t>%</w:t>
      </w:r>
      <w:r w:rsidR="001258E3">
        <w:rPr>
          <w:rFonts w:ascii="Palatino" w:hAnsi="Palatino"/>
          <w:sz w:val="24"/>
          <w:szCs w:val="24"/>
        </w:rPr>
        <w:t xml:space="preserve"> effective January</w:t>
      </w:r>
      <w:r w:rsidR="0018519B">
        <w:rPr>
          <w:rFonts w:ascii="Palatino" w:hAnsi="Palatino"/>
          <w:sz w:val="24"/>
          <w:szCs w:val="24"/>
        </w:rPr>
        <w:t xml:space="preserve"> 1, 201</w:t>
      </w:r>
      <w:r w:rsidR="001258E3">
        <w:rPr>
          <w:rFonts w:ascii="Palatino" w:hAnsi="Palatino"/>
          <w:sz w:val="24"/>
          <w:szCs w:val="24"/>
        </w:rPr>
        <w:t>5</w:t>
      </w:r>
      <w:r w:rsidR="0018519B">
        <w:rPr>
          <w:rFonts w:ascii="Palatino" w:hAnsi="Palatino"/>
          <w:sz w:val="24"/>
          <w:szCs w:val="24"/>
        </w:rPr>
        <w:t xml:space="preserve">.  The new rate </w:t>
      </w:r>
      <w:r w:rsidR="00A1139E">
        <w:rPr>
          <w:rFonts w:ascii="Palatino" w:hAnsi="Palatino"/>
          <w:sz w:val="24"/>
          <w:szCs w:val="24"/>
        </w:rPr>
        <w:t>would</w:t>
      </w:r>
      <w:r w:rsidR="0018519B">
        <w:rPr>
          <w:rFonts w:ascii="Palatino" w:hAnsi="Palatino"/>
          <w:sz w:val="24"/>
          <w:szCs w:val="24"/>
        </w:rPr>
        <w:t xml:space="preserve"> </w:t>
      </w:r>
      <w:r w:rsidR="00707F11">
        <w:rPr>
          <w:rFonts w:ascii="Palatino" w:hAnsi="Palatino"/>
          <w:sz w:val="24"/>
          <w:szCs w:val="24"/>
        </w:rPr>
        <w:t xml:space="preserve">allow CD to </w:t>
      </w:r>
      <w:r w:rsidR="004341AC">
        <w:rPr>
          <w:rFonts w:ascii="Palatino" w:hAnsi="Palatino"/>
          <w:sz w:val="24"/>
          <w:szCs w:val="24"/>
        </w:rPr>
        <w:t xml:space="preserve">meet </w:t>
      </w:r>
      <w:r w:rsidR="00E21132">
        <w:rPr>
          <w:rFonts w:ascii="Palatino" w:hAnsi="Palatino"/>
          <w:sz w:val="24"/>
          <w:szCs w:val="24"/>
        </w:rPr>
        <w:t xml:space="preserve">the </w:t>
      </w:r>
      <w:r w:rsidR="00243DA4">
        <w:rPr>
          <w:rFonts w:ascii="Palatino" w:hAnsi="Palatino"/>
          <w:sz w:val="24"/>
          <w:szCs w:val="24"/>
        </w:rPr>
        <w:t xml:space="preserve">forecasted </w:t>
      </w:r>
      <w:r w:rsidR="001258E3">
        <w:rPr>
          <w:rFonts w:ascii="Palatino" w:hAnsi="Palatino"/>
          <w:sz w:val="24"/>
          <w:szCs w:val="24"/>
        </w:rPr>
        <w:t>ex</w:t>
      </w:r>
      <w:r w:rsidR="00E21132">
        <w:rPr>
          <w:rFonts w:ascii="Palatino" w:hAnsi="Palatino"/>
          <w:sz w:val="24"/>
          <w:szCs w:val="24"/>
        </w:rPr>
        <w:t>penditure</w:t>
      </w:r>
      <w:r w:rsidR="00A1139E">
        <w:rPr>
          <w:rFonts w:ascii="Palatino" w:hAnsi="Palatino"/>
          <w:sz w:val="24"/>
          <w:szCs w:val="24"/>
        </w:rPr>
        <w:t xml:space="preserve"> obligations</w:t>
      </w:r>
      <w:r w:rsidR="00E21132">
        <w:rPr>
          <w:rFonts w:ascii="Palatino" w:hAnsi="Palatino"/>
          <w:sz w:val="24"/>
          <w:szCs w:val="24"/>
        </w:rPr>
        <w:t xml:space="preserve"> for FY 201</w:t>
      </w:r>
      <w:r w:rsidR="001258E3">
        <w:rPr>
          <w:rFonts w:ascii="Palatino" w:hAnsi="Palatino"/>
          <w:sz w:val="24"/>
          <w:szCs w:val="24"/>
        </w:rPr>
        <w:t>4-15</w:t>
      </w:r>
      <w:r w:rsidR="00E21132">
        <w:rPr>
          <w:rFonts w:ascii="Palatino" w:hAnsi="Palatino"/>
          <w:sz w:val="24"/>
          <w:szCs w:val="24"/>
        </w:rPr>
        <w:t xml:space="preserve"> and</w:t>
      </w:r>
      <w:r w:rsidR="0018519B">
        <w:rPr>
          <w:rFonts w:ascii="Palatino" w:hAnsi="Palatino"/>
          <w:sz w:val="24"/>
          <w:szCs w:val="24"/>
        </w:rPr>
        <w:t xml:space="preserve"> </w:t>
      </w:r>
      <w:r w:rsidR="00243DA4">
        <w:rPr>
          <w:rFonts w:ascii="Palatino" w:hAnsi="Palatino"/>
          <w:sz w:val="24"/>
          <w:szCs w:val="24"/>
        </w:rPr>
        <w:t>FY</w:t>
      </w:r>
      <w:r w:rsidR="001258E3">
        <w:rPr>
          <w:rFonts w:ascii="Palatino" w:hAnsi="Palatino"/>
          <w:sz w:val="24"/>
          <w:szCs w:val="24"/>
        </w:rPr>
        <w:t xml:space="preserve"> 2015-16 through June 30, 2016</w:t>
      </w:r>
      <w:r w:rsidR="00E21132">
        <w:rPr>
          <w:rFonts w:ascii="Palatino" w:hAnsi="Palatino"/>
          <w:sz w:val="24"/>
          <w:szCs w:val="24"/>
        </w:rPr>
        <w:t>.</w:t>
      </w:r>
      <w:r w:rsidR="007B3AAA">
        <w:rPr>
          <w:rFonts w:ascii="Palatino" w:hAnsi="Palatino"/>
          <w:sz w:val="24"/>
          <w:szCs w:val="24"/>
        </w:rPr>
        <w:t xml:space="preserve">  The ending CHCF-A fund balance </w:t>
      </w:r>
      <w:r w:rsidR="00A1139E">
        <w:rPr>
          <w:rFonts w:ascii="Palatino" w:hAnsi="Palatino"/>
          <w:sz w:val="24"/>
          <w:szCs w:val="24"/>
        </w:rPr>
        <w:t>on</w:t>
      </w:r>
      <w:r w:rsidR="007B3AAA">
        <w:rPr>
          <w:rFonts w:ascii="Palatino" w:hAnsi="Palatino"/>
          <w:sz w:val="24"/>
          <w:szCs w:val="24"/>
        </w:rPr>
        <w:t xml:space="preserve"> </w:t>
      </w:r>
      <w:r w:rsidR="001258E3">
        <w:rPr>
          <w:rFonts w:ascii="Palatino" w:hAnsi="Palatino"/>
          <w:sz w:val="24"/>
          <w:szCs w:val="24"/>
        </w:rPr>
        <w:t>June 30, 2016</w:t>
      </w:r>
      <w:r w:rsidR="007B3AAA">
        <w:rPr>
          <w:rFonts w:ascii="Palatino" w:hAnsi="Palatino"/>
          <w:sz w:val="24"/>
          <w:szCs w:val="24"/>
        </w:rPr>
        <w:t xml:space="preserve">, </w:t>
      </w:r>
      <w:r w:rsidR="00A1139E">
        <w:rPr>
          <w:rFonts w:ascii="Palatino" w:hAnsi="Palatino"/>
          <w:sz w:val="24"/>
          <w:szCs w:val="24"/>
        </w:rPr>
        <w:t>is forecasted at</w:t>
      </w:r>
      <w:r w:rsidR="007B3AAA">
        <w:rPr>
          <w:rFonts w:ascii="Palatino" w:hAnsi="Palatino"/>
          <w:sz w:val="24"/>
          <w:szCs w:val="24"/>
        </w:rPr>
        <w:t xml:space="preserve"> approximately $</w:t>
      </w:r>
      <w:r w:rsidR="001258E3">
        <w:rPr>
          <w:rFonts w:ascii="Palatino" w:hAnsi="Palatino"/>
          <w:sz w:val="24"/>
          <w:szCs w:val="24"/>
        </w:rPr>
        <w:t>20</w:t>
      </w:r>
      <w:r w:rsidR="007B3AAA">
        <w:rPr>
          <w:rFonts w:ascii="Palatino" w:hAnsi="Palatino"/>
          <w:sz w:val="24"/>
          <w:szCs w:val="24"/>
        </w:rPr>
        <w:t xml:space="preserve"> million</w:t>
      </w:r>
      <w:r w:rsidR="00AE2308">
        <w:rPr>
          <w:rFonts w:ascii="Palatino" w:hAnsi="Palatino"/>
          <w:sz w:val="24"/>
          <w:szCs w:val="24"/>
        </w:rPr>
        <w:t xml:space="preserve">, as shown in </w:t>
      </w:r>
      <w:r w:rsidR="00A1139E">
        <w:rPr>
          <w:rFonts w:ascii="Palatino" w:hAnsi="Palatino"/>
          <w:sz w:val="24"/>
          <w:szCs w:val="24"/>
        </w:rPr>
        <w:t>Table 2</w:t>
      </w:r>
      <w:r w:rsidR="00AE2308">
        <w:rPr>
          <w:rFonts w:ascii="Palatino" w:hAnsi="Palatino"/>
          <w:sz w:val="24"/>
          <w:szCs w:val="24"/>
        </w:rPr>
        <w:t xml:space="preserve">, </w:t>
      </w:r>
      <w:r w:rsidR="007B3AAA">
        <w:rPr>
          <w:rFonts w:ascii="Palatino" w:hAnsi="Palatino"/>
          <w:sz w:val="24"/>
          <w:szCs w:val="24"/>
        </w:rPr>
        <w:t xml:space="preserve">or </w:t>
      </w:r>
      <w:r w:rsidR="001258E3">
        <w:rPr>
          <w:rFonts w:ascii="Palatino" w:hAnsi="Palatino"/>
          <w:sz w:val="24"/>
          <w:szCs w:val="24"/>
        </w:rPr>
        <w:t xml:space="preserve">approximately </w:t>
      </w:r>
      <w:r w:rsidR="00796D05">
        <w:rPr>
          <w:rFonts w:ascii="Palatino" w:hAnsi="Palatino"/>
          <w:sz w:val="24"/>
          <w:szCs w:val="24"/>
        </w:rPr>
        <w:t>six</w:t>
      </w:r>
      <w:r w:rsidR="009A54A2">
        <w:rPr>
          <w:rFonts w:ascii="Palatino" w:hAnsi="Palatino"/>
          <w:sz w:val="24"/>
          <w:szCs w:val="24"/>
        </w:rPr>
        <w:t xml:space="preserve"> </w:t>
      </w:r>
      <w:r w:rsidR="007B3AAA">
        <w:rPr>
          <w:rFonts w:ascii="Palatino" w:hAnsi="Palatino"/>
          <w:sz w:val="24"/>
          <w:szCs w:val="24"/>
        </w:rPr>
        <w:t>times monthly expenditures</w:t>
      </w:r>
      <w:r w:rsidR="00A1139E">
        <w:rPr>
          <w:rFonts w:ascii="Palatino" w:hAnsi="Palatino"/>
          <w:sz w:val="24"/>
          <w:szCs w:val="24"/>
        </w:rPr>
        <w:t>,</w:t>
      </w:r>
      <w:r w:rsidR="007B3AAA">
        <w:rPr>
          <w:rFonts w:ascii="Palatino" w:hAnsi="Palatino"/>
          <w:sz w:val="24"/>
          <w:szCs w:val="24"/>
        </w:rPr>
        <w:t xml:space="preserve"> </w:t>
      </w:r>
      <w:r w:rsidR="007A41BD">
        <w:rPr>
          <w:rFonts w:ascii="Palatino" w:hAnsi="Palatino"/>
          <w:sz w:val="24"/>
          <w:szCs w:val="24"/>
        </w:rPr>
        <w:t xml:space="preserve">which is </w:t>
      </w:r>
      <w:r w:rsidR="007B3AAA">
        <w:rPr>
          <w:rFonts w:ascii="Palatino" w:hAnsi="Palatino"/>
          <w:sz w:val="24"/>
          <w:szCs w:val="24"/>
        </w:rPr>
        <w:t>within our target</w:t>
      </w:r>
      <w:r w:rsidR="00A1139E">
        <w:rPr>
          <w:rFonts w:ascii="Palatino" w:hAnsi="Palatino"/>
          <w:sz w:val="24"/>
          <w:szCs w:val="24"/>
        </w:rPr>
        <w:t xml:space="preserve"> balance</w:t>
      </w:r>
      <w:r w:rsidR="007B3AAA">
        <w:rPr>
          <w:rFonts w:ascii="Palatino" w:hAnsi="Palatino"/>
          <w:sz w:val="24"/>
          <w:szCs w:val="24"/>
        </w:rPr>
        <w:t xml:space="preserve"> of </w:t>
      </w:r>
      <w:r w:rsidR="00796D05">
        <w:rPr>
          <w:rFonts w:ascii="Palatino" w:hAnsi="Palatino"/>
          <w:sz w:val="24"/>
          <w:szCs w:val="24"/>
        </w:rPr>
        <w:t>six</w:t>
      </w:r>
      <w:r w:rsidR="001D776F">
        <w:rPr>
          <w:rFonts w:ascii="Palatino" w:hAnsi="Palatino"/>
          <w:sz w:val="24"/>
          <w:szCs w:val="24"/>
        </w:rPr>
        <w:t xml:space="preserve"> </w:t>
      </w:r>
      <w:r w:rsidR="007B3AAA">
        <w:rPr>
          <w:rFonts w:ascii="Palatino" w:hAnsi="Palatino"/>
          <w:sz w:val="24"/>
          <w:szCs w:val="24"/>
        </w:rPr>
        <w:t>months</w:t>
      </w:r>
      <w:r w:rsidR="00A1139E">
        <w:rPr>
          <w:rFonts w:ascii="Palatino" w:hAnsi="Palatino"/>
          <w:sz w:val="24"/>
          <w:szCs w:val="24"/>
        </w:rPr>
        <w:t xml:space="preserve"> of monthly expenditures.</w:t>
      </w:r>
    </w:p>
    <w:p w:rsidR="002A7B97" w:rsidRDefault="002A7B97">
      <w:pPr>
        <w:ind w:right="432"/>
        <w:rPr>
          <w:rFonts w:ascii="Palatino" w:hAnsi="Palatino"/>
          <w:sz w:val="24"/>
          <w:szCs w:val="24"/>
        </w:rPr>
      </w:pPr>
    </w:p>
    <w:p w:rsidR="002A7B97" w:rsidDel="007A41BD" w:rsidRDefault="002A7B97" w:rsidP="002A7B97">
      <w:pPr>
        <w:ind w:right="432"/>
        <w:rPr>
          <w:rFonts w:ascii="Palatino" w:hAnsi="Palatino"/>
          <w:sz w:val="24"/>
          <w:szCs w:val="24"/>
        </w:rPr>
      </w:pPr>
      <w:r w:rsidDel="007A41BD">
        <w:rPr>
          <w:rFonts w:ascii="Palatino" w:hAnsi="Palatino"/>
          <w:sz w:val="24"/>
        </w:rPr>
        <w:t>All telecommunications carriers</w:t>
      </w:r>
      <w:r w:rsidR="00F65814">
        <w:rPr>
          <w:rStyle w:val="FootnoteReference"/>
          <w:rFonts w:ascii="Palatino" w:hAnsi="Palatino"/>
          <w:sz w:val="24"/>
        </w:rPr>
        <w:footnoteReference w:id="3"/>
      </w:r>
      <w:r w:rsidDel="007A41BD">
        <w:rPr>
          <w:rFonts w:ascii="Palatino" w:hAnsi="Palatino"/>
          <w:sz w:val="24"/>
        </w:rPr>
        <w:t xml:space="preserve"> </w:t>
      </w:r>
      <w:r w:rsidR="00ED59A3" w:rsidRPr="00F67FFE">
        <w:rPr>
          <w:rFonts w:ascii="Palatino" w:hAnsi="Palatino"/>
          <w:sz w:val="24"/>
          <w:szCs w:val="24"/>
        </w:rPr>
        <w:t>and interconnected VoIP service providers</w:t>
      </w:r>
      <w:r w:rsidR="004C0EAA">
        <w:rPr>
          <w:rStyle w:val="FootnoteReference"/>
          <w:rFonts w:ascii="Palatino" w:hAnsi="Palatino"/>
          <w:sz w:val="24"/>
          <w:szCs w:val="24"/>
        </w:rPr>
        <w:footnoteReference w:id="4"/>
      </w:r>
      <w:r w:rsidR="00ED59A3">
        <w:rPr>
          <w:rFonts w:ascii="Palatino" w:hAnsi="Palatino"/>
          <w:sz w:val="24"/>
          <w:szCs w:val="24"/>
        </w:rPr>
        <w:t xml:space="preserve"> </w:t>
      </w:r>
      <w:r w:rsidR="00ED59A3">
        <w:rPr>
          <w:rFonts w:ascii="Palatino" w:hAnsi="Palatino"/>
          <w:sz w:val="24"/>
        </w:rPr>
        <w:t xml:space="preserve">shall </w:t>
      </w:r>
      <w:r w:rsidDel="007A41BD">
        <w:rPr>
          <w:rFonts w:ascii="Palatino" w:hAnsi="Palatino"/>
          <w:sz w:val="24"/>
        </w:rPr>
        <w:t>assess a CHCF-A surcharge rate of 0.</w:t>
      </w:r>
      <w:r w:rsidR="001258E3">
        <w:rPr>
          <w:rFonts w:ascii="Palatino" w:hAnsi="Palatino"/>
          <w:sz w:val="24"/>
        </w:rPr>
        <w:t>35</w:t>
      </w:r>
      <w:r w:rsidDel="007A41BD">
        <w:rPr>
          <w:rFonts w:ascii="Palatino" w:hAnsi="Palatino"/>
          <w:sz w:val="24"/>
        </w:rPr>
        <w:t xml:space="preserve">% on their revenues collected from </w:t>
      </w:r>
      <w:r w:rsidR="00ED59A3">
        <w:rPr>
          <w:rFonts w:ascii="Palatino" w:hAnsi="Palatino"/>
          <w:sz w:val="24"/>
        </w:rPr>
        <w:t xml:space="preserve">end users for </w:t>
      </w:r>
      <w:r w:rsidDel="007A41BD">
        <w:rPr>
          <w:rFonts w:ascii="Palatino" w:hAnsi="Palatino"/>
          <w:sz w:val="24"/>
        </w:rPr>
        <w:t xml:space="preserve">intrastate telecommunications services subject to surcharge effective  </w:t>
      </w:r>
      <w:r w:rsidR="001258E3">
        <w:rPr>
          <w:rFonts w:ascii="Palatino" w:hAnsi="Palatino"/>
          <w:sz w:val="24"/>
        </w:rPr>
        <w:t>January</w:t>
      </w:r>
      <w:r w:rsidDel="007A41BD">
        <w:rPr>
          <w:rFonts w:ascii="Palatino" w:hAnsi="Palatino"/>
          <w:sz w:val="24"/>
        </w:rPr>
        <w:t xml:space="preserve"> 1</w:t>
      </w:r>
      <w:r w:rsidDel="007A41BD">
        <w:rPr>
          <w:rFonts w:ascii="Palatino" w:hAnsi="Palatino"/>
          <w:sz w:val="24"/>
          <w:szCs w:val="24"/>
        </w:rPr>
        <w:t>, 201</w:t>
      </w:r>
      <w:r w:rsidR="001258E3">
        <w:rPr>
          <w:rFonts w:ascii="Palatino" w:hAnsi="Palatino"/>
          <w:sz w:val="24"/>
          <w:szCs w:val="24"/>
        </w:rPr>
        <w:t>5</w:t>
      </w:r>
      <w:r w:rsidDel="007A41BD">
        <w:rPr>
          <w:rFonts w:ascii="Palatino" w:hAnsi="Palatino"/>
          <w:sz w:val="24"/>
          <w:szCs w:val="24"/>
        </w:rPr>
        <w:t xml:space="preserve">, until </w:t>
      </w:r>
      <w:r w:rsidR="00ED59A3">
        <w:rPr>
          <w:rFonts w:ascii="Palatino" w:hAnsi="Palatino"/>
          <w:sz w:val="24"/>
          <w:szCs w:val="24"/>
        </w:rPr>
        <w:t>further</w:t>
      </w:r>
      <w:r w:rsidR="00ED59A3" w:rsidDel="007A41BD">
        <w:rPr>
          <w:rFonts w:ascii="Palatino" w:hAnsi="Palatino"/>
          <w:sz w:val="24"/>
          <w:szCs w:val="24"/>
        </w:rPr>
        <w:t xml:space="preserve"> </w:t>
      </w:r>
      <w:r w:rsidDel="007A41BD">
        <w:rPr>
          <w:rFonts w:ascii="Palatino" w:hAnsi="Palatino"/>
          <w:sz w:val="24"/>
          <w:szCs w:val="24"/>
        </w:rPr>
        <w:t>directed by the Commission.</w:t>
      </w:r>
    </w:p>
    <w:p w:rsidR="002A7B97" w:rsidRDefault="002A7B97">
      <w:pPr>
        <w:ind w:right="432"/>
        <w:rPr>
          <w:rFonts w:ascii="Palatino" w:hAnsi="Palatino"/>
          <w:sz w:val="24"/>
          <w:szCs w:val="24"/>
        </w:rPr>
      </w:pPr>
    </w:p>
    <w:p w:rsidR="00E21132" w:rsidRDefault="00614179" w:rsidP="00363BE7">
      <w:pPr>
        <w:ind w:right="432"/>
        <w:jc w:val="center"/>
        <w:rPr>
          <w:rFonts w:ascii="Palatino" w:hAnsi="Palatino"/>
          <w:sz w:val="24"/>
          <w:szCs w:val="24"/>
        </w:rPr>
      </w:pPr>
      <w:r w:rsidRPr="00614179">
        <w:rPr>
          <w:noProof/>
        </w:rPr>
        <w:drawing>
          <wp:inline distT="0" distB="0" distL="0" distR="0" wp14:anchorId="4DFF7875" wp14:editId="5CBD026F">
            <wp:extent cx="4914900" cy="3537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537585"/>
                    </a:xfrm>
                    <a:prstGeom prst="rect">
                      <a:avLst/>
                    </a:prstGeom>
                    <a:noFill/>
                    <a:ln>
                      <a:noFill/>
                    </a:ln>
                  </pic:spPr>
                </pic:pic>
              </a:graphicData>
            </a:graphic>
          </wp:inline>
        </w:drawing>
      </w:r>
    </w:p>
    <w:p w:rsidR="00894784" w:rsidRDefault="00894784">
      <w:pPr>
        <w:ind w:right="432"/>
        <w:rPr>
          <w:rFonts w:ascii="Palatino" w:hAnsi="Palatino"/>
          <w:sz w:val="24"/>
          <w:szCs w:val="24"/>
        </w:rPr>
      </w:pPr>
    </w:p>
    <w:p w:rsidR="00D344E5" w:rsidRDefault="002A7B97">
      <w:pPr>
        <w:ind w:right="432"/>
        <w:rPr>
          <w:rFonts w:ascii="Palatino" w:hAnsi="Palatino"/>
          <w:sz w:val="24"/>
          <w:szCs w:val="24"/>
        </w:rPr>
      </w:pPr>
      <w:r>
        <w:rPr>
          <w:rFonts w:ascii="Palatino" w:hAnsi="Palatino"/>
          <w:sz w:val="24"/>
          <w:szCs w:val="24"/>
        </w:rPr>
        <w:t>We note</w:t>
      </w:r>
      <w:r w:rsidR="003E3034">
        <w:rPr>
          <w:rFonts w:ascii="Palatino" w:hAnsi="Palatino"/>
          <w:sz w:val="24"/>
          <w:szCs w:val="24"/>
        </w:rPr>
        <w:t xml:space="preserve"> that t</w:t>
      </w:r>
      <w:r w:rsidR="00D344E5">
        <w:rPr>
          <w:rFonts w:ascii="Palatino" w:hAnsi="Palatino"/>
          <w:sz w:val="24"/>
          <w:szCs w:val="24"/>
        </w:rPr>
        <w:t>h</w:t>
      </w:r>
      <w:r w:rsidR="00E12D58">
        <w:rPr>
          <w:rFonts w:ascii="Palatino" w:hAnsi="Palatino"/>
          <w:sz w:val="24"/>
          <w:szCs w:val="24"/>
        </w:rPr>
        <w:t xml:space="preserve">e Commission </w:t>
      </w:r>
      <w:r w:rsidR="00D74191">
        <w:rPr>
          <w:rFonts w:ascii="Palatino" w:hAnsi="Palatino"/>
          <w:sz w:val="24"/>
          <w:szCs w:val="24"/>
        </w:rPr>
        <w:t>currently has an open R</w:t>
      </w:r>
      <w:r w:rsidR="007A41BD">
        <w:rPr>
          <w:rFonts w:ascii="Palatino" w:hAnsi="Palatino"/>
          <w:sz w:val="24"/>
          <w:szCs w:val="24"/>
        </w:rPr>
        <w:t>ulemaking (R.11-11-007)</w:t>
      </w:r>
      <w:r>
        <w:rPr>
          <w:rFonts w:ascii="Palatino" w:hAnsi="Palatino"/>
          <w:sz w:val="24"/>
          <w:szCs w:val="24"/>
        </w:rPr>
        <w:t xml:space="preserve"> performing a comprehensive </w:t>
      </w:r>
      <w:r w:rsidR="00E12D58">
        <w:rPr>
          <w:rFonts w:ascii="Palatino" w:hAnsi="Palatino"/>
          <w:sz w:val="24"/>
          <w:szCs w:val="24"/>
        </w:rPr>
        <w:t>review</w:t>
      </w:r>
      <w:r>
        <w:rPr>
          <w:rFonts w:ascii="Palatino" w:hAnsi="Palatino"/>
          <w:sz w:val="24"/>
          <w:szCs w:val="24"/>
        </w:rPr>
        <w:t xml:space="preserve"> of </w:t>
      </w:r>
      <w:r w:rsidR="00E12D58">
        <w:rPr>
          <w:rFonts w:ascii="Palatino" w:hAnsi="Palatino"/>
          <w:sz w:val="24"/>
          <w:szCs w:val="24"/>
        </w:rPr>
        <w:t>the CHCF-A program</w:t>
      </w:r>
      <w:r w:rsidR="00D344E5">
        <w:rPr>
          <w:rFonts w:ascii="Palatino" w:hAnsi="Palatino"/>
          <w:sz w:val="24"/>
          <w:szCs w:val="24"/>
        </w:rPr>
        <w:t xml:space="preserve">.  If the Rulemaking </w:t>
      </w:r>
      <w:r w:rsidR="007A41BD">
        <w:rPr>
          <w:rFonts w:ascii="Palatino" w:hAnsi="Palatino"/>
          <w:sz w:val="24"/>
          <w:szCs w:val="24"/>
        </w:rPr>
        <w:t>results in a</w:t>
      </w:r>
      <w:r w:rsidR="00A1139E">
        <w:rPr>
          <w:rFonts w:ascii="Palatino" w:hAnsi="Palatino"/>
          <w:sz w:val="24"/>
          <w:szCs w:val="24"/>
        </w:rPr>
        <w:t xml:space="preserve"> significant change to the forecasted level of </w:t>
      </w:r>
      <w:r w:rsidR="00D344E5">
        <w:rPr>
          <w:rFonts w:ascii="Palatino" w:hAnsi="Palatino"/>
          <w:sz w:val="24"/>
          <w:szCs w:val="24"/>
        </w:rPr>
        <w:t xml:space="preserve">CHCF-A funding, </w:t>
      </w:r>
      <w:r w:rsidR="007A41BD">
        <w:rPr>
          <w:rFonts w:ascii="Palatino" w:hAnsi="Palatino"/>
          <w:sz w:val="24"/>
          <w:szCs w:val="24"/>
        </w:rPr>
        <w:t>a</w:t>
      </w:r>
      <w:r w:rsidR="001258E3">
        <w:rPr>
          <w:rFonts w:ascii="Palatino" w:hAnsi="Palatino"/>
          <w:sz w:val="24"/>
          <w:szCs w:val="24"/>
        </w:rPr>
        <w:t xml:space="preserve"> resolution may</w:t>
      </w:r>
      <w:r w:rsidR="007A41BD">
        <w:rPr>
          <w:rFonts w:ascii="Palatino" w:hAnsi="Palatino"/>
          <w:sz w:val="24"/>
          <w:szCs w:val="24"/>
        </w:rPr>
        <w:t xml:space="preserve"> be issued </w:t>
      </w:r>
      <w:r w:rsidR="00D344E5">
        <w:rPr>
          <w:rFonts w:ascii="Palatino" w:hAnsi="Palatino"/>
          <w:sz w:val="24"/>
          <w:szCs w:val="24"/>
        </w:rPr>
        <w:t xml:space="preserve">to </w:t>
      </w:r>
      <w:r w:rsidR="001D776F">
        <w:rPr>
          <w:rFonts w:ascii="Palatino" w:hAnsi="Palatino"/>
          <w:sz w:val="24"/>
          <w:szCs w:val="24"/>
        </w:rPr>
        <w:t xml:space="preserve">further </w:t>
      </w:r>
      <w:r w:rsidR="00D344E5">
        <w:rPr>
          <w:rFonts w:ascii="Palatino" w:hAnsi="Palatino"/>
          <w:sz w:val="24"/>
          <w:szCs w:val="24"/>
        </w:rPr>
        <w:t>change the CHCF-A surcharge rate.</w:t>
      </w:r>
    </w:p>
    <w:p w:rsidR="00534FC5" w:rsidRDefault="00534FC5" w:rsidP="009312E3">
      <w:pPr>
        <w:widowControl w:val="0"/>
        <w:ind w:right="432"/>
        <w:rPr>
          <w:rFonts w:ascii="Palatino" w:hAnsi="Palatino"/>
          <w:sz w:val="24"/>
          <w:szCs w:val="24"/>
          <w:u w:val="single"/>
        </w:rPr>
      </w:pPr>
    </w:p>
    <w:p w:rsidR="004341AC" w:rsidRPr="004552E0" w:rsidRDefault="004341AC" w:rsidP="009312E3">
      <w:pPr>
        <w:widowControl w:val="0"/>
        <w:ind w:right="432"/>
        <w:rPr>
          <w:rFonts w:ascii="Palatino" w:hAnsi="Palatino"/>
          <w:b/>
          <w:bCs/>
          <w:sz w:val="26"/>
          <w:u w:val="single"/>
        </w:rPr>
      </w:pPr>
      <w:r w:rsidRPr="004552E0">
        <w:rPr>
          <w:rFonts w:ascii="Palatino" w:hAnsi="Palatino"/>
          <w:b/>
          <w:bCs/>
          <w:sz w:val="26"/>
          <w:u w:val="single"/>
        </w:rPr>
        <w:t>A</w:t>
      </w:r>
      <w:r w:rsidR="00F505DB">
        <w:rPr>
          <w:rFonts w:ascii="Palatino" w:hAnsi="Palatino"/>
          <w:b/>
          <w:bCs/>
          <w:sz w:val="26"/>
          <w:u w:val="single"/>
        </w:rPr>
        <w:t>DVICE LETTER FILING</w:t>
      </w:r>
      <w:r w:rsidR="00ED59A3">
        <w:rPr>
          <w:rFonts w:ascii="Palatino" w:hAnsi="Palatino"/>
          <w:b/>
          <w:bCs/>
          <w:sz w:val="26"/>
          <w:u w:val="single"/>
        </w:rPr>
        <w:t xml:space="preserve"> AND SURCHARGE CHANGES</w:t>
      </w:r>
    </w:p>
    <w:p w:rsidR="004341AC" w:rsidRDefault="004341AC" w:rsidP="009312E3">
      <w:pPr>
        <w:widowControl w:val="0"/>
        <w:ind w:right="432"/>
        <w:rPr>
          <w:rFonts w:ascii="Palatino" w:hAnsi="Palatino"/>
          <w:b/>
          <w:bCs/>
          <w:sz w:val="24"/>
          <w:szCs w:val="24"/>
        </w:rPr>
      </w:pPr>
    </w:p>
    <w:p w:rsidR="004341AC" w:rsidRDefault="004341AC" w:rsidP="009312E3">
      <w:pPr>
        <w:widowControl w:val="0"/>
        <w:ind w:right="432"/>
        <w:rPr>
          <w:rFonts w:ascii="Palatino" w:hAnsi="Palatino"/>
          <w:bCs/>
          <w:sz w:val="24"/>
          <w:szCs w:val="24"/>
        </w:rPr>
      </w:pPr>
      <w:r>
        <w:rPr>
          <w:rFonts w:ascii="Palatino" w:hAnsi="Palatino"/>
          <w:bCs/>
          <w:sz w:val="24"/>
          <w:szCs w:val="24"/>
        </w:rPr>
        <w:t xml:space="preserve">Consistent with Resolution T-16901, dated December 2, 2004, AT&amp;T (formerly SBC) </w:t>
      </w:r>
      <w:r w:rsidR="00ED59A3">
        <w:rPr>
          <w:rFonts w:ascii="Palatino" w:hAnsi="Palatino"/>
          <w:bCs/>
          <w:sz w:val="24"/>
          <w:szCs w:val="24"/>
        </w:rPr>
        <w:t xml:space="preserve">should </w:t>
      </w:r>
      <w:r>
        <w:rPr>
          <w:rFonts w:ascii="Palatino" w:hAnsi="Palatino"/>
          <w:bCs/>
          <w:sz w:val="24"/>
          <w:szCs w:val="24"/>
        </w:rPr>
        <w:t xml:space="preserve">file an </w:t>
      </w:r>
      <w:r w:rsidR="00ED59A3">
        <w:rPr>
          <w:rFonts w:ascii="Palatino" w:hAnsi="Palatino"/>
          <w:bCs/>
          <w:sz w:val="24"/>
          <w:szCs w:val="24"/>
        </w:rPr>
        <w:t>a</w:t>
      </w:r>
      <w:r>
        <w:rPr>
          <w:rFonts w:ascii="Palatino" w:hAnsi="Palatino"/>
          <w:bCs/>
          <w:sz w:val="24"/>
          <w:szCs w:val="24"/>
        </w:rPr>
        <w:t>d</w:t>
      </w:r>
      <w:r w:rsidR="00A91DF5">
        <w:rPr>
          <w:rFonts w:ascii="Palatino" w:hAnsi="Palatino"/>
          <w:bCs/>
          <w:sz w:val="24"/>
          <w:szCs w:val="24"/>
        </w:rPr>
        <w:t xml:space="preserve">vice </w:t>
      </w:r>
      <w:r w:rsidR="00ED59A3">
        <w:rPr>
          <w:rFonts w:ascii="Palatino" w:hAnsi="Palatino"/>
          <w:bCs/>
          <w:sz w:val="24"/>
          <w:szCs w:val="24"/>
        </w:rPr>
        <w:t>l</w:t>
      </w:r>
      <w:r w:rsidR="00A91DF5">
        <w:rPr>
          <w:rFonts w:ascii="Palatino" w:hAnsi="Palatino"/>
          <w:bCs/>
          <w:sz w:val="24"/>
          <w:szCs w:val="24"/>
        </w:rPr>
        <w:t xml:space="preserve">etter on or before </w:t>
      </w:r>
      <w:r w:rsidR="001258E3">
        <w:rPr>
          <w:rFonts w:ascii="Palatino" w:hAnsi="Palatino"/>
          <w:bCs/>
          <w:sz w:val="24"/>
          <w:szCs w:val="24"/>
        </w:rPr>
        <w:t>Dece</w:t>
      </w:r>
      <w:r w:rsidR="00AD310D">
        <w:rPr>
          <w:rFonts w:ascii="Palatino" w:hAnsi="Palatino"/>
          <w:bCs/>
          <w:sz w:val="24"/>
          <w:szCs w:val="24"/>
        </w:rPr>
        <w:t xml:space="preserve">mber </w:t>
      </w:r>
      <w:r w:rsidR="001258E3">
        <w:rPr>
          <w:rFonts w:ascii="Palatino" w:hAnsi="Palatino"/>
          <w:bCs/>
          <w:sz w:val="24"/>
          <w:szCs w:val="24"/>
        </w:rPr>
        <w:t>4, 2014</w:t>
      </w:r>
      <w:r>
        <w:rPr>
          <w:rFonts w:ascii="Palatino" w:hAnsi="Palatino"/>
          <w:bCs/>
          <w:sz w:val="24"/>
          <w:szCs w:val="24"/>
        </w:rPr>
        <w:t>, modifying th</w:t>
      </w:r>
      <w:r w:rsidR="00A91DF5">
        <w:rPr>
          <w:rFonts w:ascii="Palatino" w:hAnsi="Palatino"/>
          <w:bCs/>
          <w:sz w:val="24"/>
          <w:szCs w:val="24"/>
        </w:rPr>
        <w:t>e</w:t>
      </w:r>
      <w:r w:rsidR="001258E3">
        <w:rPr>
          <w:rFonts w:ascii="Palatino" w:hAnsi="Palatino"/>
          <w:bCs/>
          <w:sz w:val="24"/>
          <w:szCs w:val="24"/>
        </w:rPr>
        <w:t xml:space="preserve"> CHCF-A surcharge rate from 0.18</w:t>
      </w:r>
      <w:r w:rsidR="00A91DF5">
        <w:rPr>
          <w:rFonts w:ascii="Palatino" w:hAnsi="Palatino"/>
          <w:bCs/>
          <w:sz w:val="24"/>
          <w:szCs w:val="24"/>
        </w:rPr>
        <w:t xml:space="preserve">% to </w:t>
      </w:r>
      <w:r w:rsidR="001258E3">
        <w:rPr>
          <w:rFonts w:ascii="Palatino" w:hAnsi="Palatino"/>
          <w:bCs/>
          <w:sz w:val="24"/>
          <w:szCs w:val="24"/>
        </w:rPr>
        <w:t>0.35</w:t>
      </w:r>
      <w:r w:rsidR="00E46FDA">
        <w:rPr>
          <w:rFonts w:ascii="Palatino" w:hAnsi="Palatino"/>
          <w:bCs/>
          <w:sz w:val="24"/>
          <w:szCs w:val="24"/>
        </w:rPr>
        <w:t>%</w:t>
      </w:r>
      <w:r w:rsidR="006F343B">
        <w:rPr>
          <w:rFonts w:ascii="Palatino" w:hAnsi="Palatino"/>
          <w:bCs/>
          <w:sz w:val="24"/>
          <w:szCs w:val="24"/>
        </w:rPr>
        <w:t>,</w:t>
      </w:r>
      <w:r w:rsidR="00A91DF5">
        <w:rPr>
          <w:rFonts w:ascii="Palatino" w:hAnsi="Palatino"/>
          <w:bCs/>
          <w:sz w:val="24"/>
          <w:szCs w:val="24"/>
        </w:rPr>
        <w:t xml:space="preserve"> </w:t>
      </w:r>
      <w:r w:rsidR="00383714">
        <w:rPr>
          <w:rFonts w:ascii="Palatino" w:hAnsi="Palatino"/>
          <w:bCs/>
          <w:sz w:val="24"/>
          <w:szCs w:val="24"/>
        </w:rPr>
        <w:t>effective</w:t>
      </w:r>
      <w:r w:rsidR="005E4589">
        <w:rPr>
          <w:rFonts w:ascii="Palatino" w:hAnsi="Palatino"/>
          <w:bCs/>
          <w:sz w:val="24"/>
          <w:szCs w:val="24"/>
        </w:rPr>
        <w:t xml:space="preserve"> </w:t>
      </w:r>
      <w:r w:rsidR="001258E3">
        <w:rPr>
          <w:rFonts w:ascii="Palatino" w:hAnsi="Palatino"/>
          <w:bCs/>
          <w:sz w:val="24"/>
          <w:szCs w:val="24"/>
        </w:rPr>
        <w:t xml:space="preserve">January </w:t>
      </w:r>
      <w:r w:rsidR="00FB0E8F">
        <w:rPr>
          <w:rFonts w:ascii="Palatino" w:hAnsi="Palatino"/>
          <w:bCs/>
          <w:sz w:val="24"/>
          <w:szCs w:val="24"/>
        </w:rPr>
        <w:t>1</w:t>
      </w:r>
      <w:r w:rsidR="00A91DF5">
        <w:rPr>
          <w:rFonts w:ascii="Palatino" w:hAnsi="Palatino"/>
          <w:bCs/>
          <w:sz w:val="24"/>
          <w:szCs w:val="24"/>
        </w:rPr>
        <w:t>, 201</w:t>
      </w:r>
      <w:r w:rsidR="001258E3">
        <w:rPr>
          <w:rFonts w:ascii="Palatino" w:hAnsi="Palatino"/>
          <w:bCs/>
          <w:sz w:val="24"/>
          <w:szCs w:val="24"/>
        </w:rPr>
        <w:t>5</w:t>
      </w:r>
      <w:r>
        <w:rPr>
          <w:rFonts w:ascii="Palatino" w:hAnsi="Palatino"/>
          <w:bCs/>
          <w:sz w:val="24"/>
          <w:szCs w:val="24"/>
        </w:rPr>
        <w:t xml:space="preserve">, until further revised by the Commission.  </w:t>
      </w:r>
      <w:r w:rsidR="00ED59A3">
        <w:rPr>
          <w:rFonts w:ascii="Palatino" w:hAnsi="Palatino"/>
          <w:sz w:val="24"/>
          <w:szCs w:val="24"/>
        </w:rPr>
        <w:t xml:space="preserve">Further, </w:t>
      </w:r>
      <w:r w:rsidR="00ED59A3" w:rsidRPr="00F67FFE">
        <w:rPr>
          <w:rFonts w:ascii="Palatino" w:hAnsi="Palatino"/>
          <w:sz w:val="24"/>
          <w:szCs w:val="24"/>
        </w:rPr>
        <w:t>all telephone corporations and interconnected VoIP service providers</w:t>
      </w:r>
      <w:r w:rsidR="00ED59A3">
        <w:rPr>
          <w:rFonts w:ascii="Palatino" w:hAnsi="Palatino"/>
          <w:sz w:val="24"/>
          <w:szCs w:val="24"/>
        </w:rPr>
        <w:t xml:space="preserve"> shall revise the CHCF-A surcharge rate assessed on revenues collected from end-users for intrastate telecommunications services, subject to surcharge, from 0.</w:t>
      </w:r>
      <w:r w:rsidR="00F65814">
        <w:rPr>
          <w:rFonts w:ascii="Palatino" w:hAnsi="Palatino"/>
          <w:sz w:val="24"/>
          <w:szCs w:val="24"/>
        </w:rPr>
        <w:t>18</w:t>
      </w:r>
      <w:r w:rsidR="00ED59A3">
        <w:rPr>
          <w:rFonts w:ascii="Palatino" w:hAnsi="Palatino"/>
          <w:sz w:val="24"/>
          <w:szCs w:val="24"/>
        </w:rPr>
        <w:t xml:space="preserve">% to 0.35%.  </w:t>
      </w:r>
      <w:r>
        <w:rPr>
          <w:rFonts w:ascii="Palatino" w:hAnsi="Palatino"/>
          <w:bCs/>
          <w:sz w:val="24"/>
          <w:szCs w:val="24"/>
        </w:rPr>
        <w:t>AT&amp;T is not required to inform competing carriers of tariff changes which comply with this resolution.</w:t>
      </w:r>
    </w:p>
    <w:p w:rsidR="00534FC5" w:rsidRDefault="00534FC5" w:rsidP="009312E3">
      <w:pPr>
        <w:widowControl w:val="0"/>
        <w:ind w:right="432"/>
        <w:rPr>
          <w:rFonts w:ascii="Palatino" w:hAnsi="Palatino"/>
          <w:b/>
          <w:bCs/>
          <w:sz w:val="24"/>
          <w:szCs w:val="24"/>
        </w:rPr>
      </w:pPr>
    </w:p>
    <w:p w:rsidR="00B41F30" w:rsidRDefault="00B41F30" w:rsidP="00B23D41">
      <w:pPr>
        <w:pStyle w:val="Heading9"/>
        <w:keepNext w:val="0"/>
        <w:widowControl w:val="0"/>
        <w:ind w:right="432"/>
        <w:rPr>
          <w:sz w:val="26"/>
          <w:u w:val="single"/>
        </w:rPr>
      </w:pPr>
    </w:p>
    <w:p w:rsidR="00444D5B" w:rsidRDefault="005E2BB8" w:rsidP="00B23D41">
      <w:pPr>
        <w:pStyle w:val="Heading9"/>
        <w:keepNext w:val="0"/>
        <w:widowControl w:val="0"/>
        <w:ind w:right="432"/>
        <w:rPr>
          <w:bCs/>
        </w:rPr>
      </w:pPr>
      <w:r w:rsidRPr="009312E3">
        <w:rPr>
          <w:sz w:val="26"/>
          <w:u w:val="single"/>
        </w:rPr>
        <w:t>SAFETY ISSUES</w:t>
      </w:r>
    </w:p>
    <w:p w:rsidR="00444D5B" w:rsidRDefault="00444D5B" w:rsidP="00A91096">
      <w:pPr>
        <w:pStyle w:val="Default"/>
        <w:rPr>
          <w:rFonts w:ascii="Palatino" w:hAnsi="Palatino" w:cs="Times New Roman"/>
          <w:bCs/>
          <w:color w:val="auto"/>
        </w:rPr>
      </w:pPr>
    </w:p>
    <w:p w:rsidR="00A91096" w:rsidRDefault="00A91096" w:rsidP="00A91096">
      <w:pPr>
        <w:pStyle w:val="Default"/>
        <w:rPr>
          <w:rFonts w:ascii="Palatino" w:hAnsi="Palatino" w:cs="Times New Roman"/>
          <w:bCs/>
          <w:color w:val="auto"/>
        </w:rPr>
      </w:pPr>
      <w:r w:rsidRPr="00A91096">
        <w:rPr>
          <w:rFonts w:ascii="Palatino" w:hAnsi="Palatino" w:cs="Times New Roman"/>
          <w:bCs/>
          <w:color w:val="auto"/>
        </w:rPr>
        <w:t>The small ILECs are required to adhere to all Commission rules, decisions, General Orders and statutes including Public Utilities Code § 451 by undertaking all actions “…necessary to promote the safety, health, comfort, and convenience of its patrons, employees, and the public.” The CHCF-A subsidy provides carriers with the resources to provide safe, reliable and affordable telephone service to its custo</w:t>
      </w:r>
      <w:r>
        <w:rPr>
          <w:rFonts w:ascii="Palatino" w:hAnsi="Palatino" w:cs="Times New Roman"/>
          <w:bCs/>
          <w:color w:val="auto"/>
        </w:rPr>
        <w:t>mers in rural, high cost areas.</w:t>
      </w:r>
    </w:p>
    <w:p w:rsidR="00A91096" w:rsidRDefault="00A91096" w:rsidP="00A91096">
      <w:pPr>
        <w:pStyle w:val="Default"/>
        <w:rPr>
          <w:rFonts w:ascii="Palatino" w:hAnsi="Palatino" w:cs="Times New Roman"/>
          <w:bCs/>
          <w:color w:val="auto"/>
        </w:rPr>
      </w:pPr>
    </w:p>
    <w:p w:rsidR="00A91096" w:rsidRDefault="00A91096" w:rsidP="00A91096">
      <w:pPr>
        <w:pStyle w:val="Default"/>
        <w:rPr>
          <w:rFonts w:ascii="Palatino" w:hAnsi="Palatino" w:cs="Times New Roman"/>
          <w:bCs/>
          <w:color w:val="auto"/>
        </w:rPr>
      </w:pPr>
      <w:r w:rsidRPr="00A91096">
        <w:rPr>
          <w:rFonts w:ascii="Palatino" w:hAnsi="Palatino" w:cs="Times New Roman"/>
          <w:bCs/>
          <w:color w:val="auto"/>
        </w:rPr>
        <w:t xml:space="preserve">Reliable telephone service is essential in these generally rural areas that are sometimes isolated. The CHCF-A program provides financial support to the </w:t>
      </w:r>
      <w:r w:rsidR="00512C49">
        <w:rPr>
          <w:rFonts w:ascii="Palatino" w:hAnsi="Palatino" w:cs="Times New Roman"/>
          <w:bCs/>
          <w:color w:val="auto"/>
        </w:rPr>
        <w:t>s</w:t>
      </w:r>
      <w:r w:rsidRPr="00A91096">
        <w:rPr>
          <w:rFonts w:ascii="Palatino" w:hAnsi="Palatino" w:cs="Times New Roman"/>
          <w:bCs/>
          <w:color w:val="auto"/>
        </w:rPr>
        <w:t>mall ILECs to aid them in providing customers with access to 211 for essential community services, 311 for non-emergency municipal services, 511 for traffic and transportation information, 811 for public infrastructure underground location information, and 911 to reach police, fire and emergency medical responders when fire, natural disasters, medical emer</w:t>
      </w:r>
      <w:r>
        <w:rPr>
          <w:rFonts w:ascii="Palatino" w:hAnsi="Palatino" w:cs="Times New Roman"/>
          <w:bCs/>
          <w:color w:val="auto"/>
        </w:rPr>
        <w:t>gencies, or other crises occur.</w:t>
      </w:r>
    </w:p>
    <w:p w:rsidR="00A91096" w:rsidRDefault="00A91096" w:rsidP="00A91096">
      <w:pPr>
        <w:pStyle w:val="Default"/>
        <w:rPr>
          <w:rFonts w:ascii="Palatino" w:hAnsi="Palatino" w:cs="Times New Roman"/>
          <w:bCs/>
          <w:color w:val="auto"/>
        </w:rPr>
      </w:pPr>
    </w:p>
    <w:p w:rsidR="005E2BB8" w:rsidRPr="004552E0" w:rsidRDefault="00A91096" w:rsidP="00A91096">
      <w:pPr>
        <w:pStyle w:val="Default"/>
        <w:rPr>
          <w:rFonts w:ascii="Palatino" w:hAnsi="Palatino"/>
          <w:bCs/>
        </w:rPr>
      </w:pPr>
      <w:r w:rsidRPr="00A91096">
        <w:rPr>
          <w:rFonts w:ascii="Palatino" w:hAnsi="Palatino"/>
          <w:bCs/>
        </w:rPr>
        <w:t xml:space="preserve">This Resolution ensures that the CHCF-A program </w:t>
      </w:r>
      <w:r w:rsidR="009A069B">
        <w:rPr>
          <w:rFonts w:ascii="Palatino" w:hAnsi="Palatino"/>
          <w:bCs/>
        </w:rPr>
        <w:t xml:space="preserve">has adequate funds to </w:t>
      </w:r>
      <w:r w:rsidRPr="00A91096">
        <w:rPr>
          <w:rFonts w:ascii="Palatino" w:hAnsi="Palatino"/>
          <w:bCs/>
        </w:rPr>
        <w:t>continue to promote the goals of universal service by subsidizing essential communications links in high cost, rural communities.</w:t>
      </w:r>
    </w:p>
    <w:p w:rsidR="005E2BB8" w:rsidRDefault="005E2BB8" w:rsidP="009312E3">
      <w:pPr>
        <w:rPr>
          <w:rFonts w:ascii="Palatino" w:hAnsi="Palatino"/>
          <w:bCs/>
          <w:sz w:val="24"/>
          <w:szCs w:val="24"/>
        </w:rPr>
      </w:pPr>
    </w:p>
    <w:p w:rsidR="004341AC" w:rsidRDefault="004341AC" w:rsidP="009312E3">
      <w:pPr>
        <w:pStyle w:val="Heading9"/>
        <w:keepNext w:val="0"/>
        <w:widowControl w:val="0"/>
        <w:ind w:right="432"/>
        <w:rPr>
          <w:sz w:val="26"/>
          <w:u w:val="single"/>
        </w:rPr>
      </w:pPr>
      <w:r>
        <w:rPr>
          <w:sz w:val="26"/>
          <w:u w:val="single"/>
        </w:rPr>
        <w:t>COMMENTS</w:t>
      </w:r>
    </w:p>
    <w:p w:rsidR="004341AC" w:rsidRPr="004552E0" w:rsidRDefault="004341AC">
      <w:pPr>
        <w:ind w:right="432"/>
        <w:rPr>
          <w:rFonts w:ascii="Palatino" w:hAnsi="Palatino"/>
          <w:bCs/>
          <w:sz w:val="24"/>
          <w:szCs w:val="24"/>
        </w:rPr>
      </w:pPr>
    </w:p>
    <w:p w:rsidR="004341AC" w:rsidRDefault="004341AC">
      <w:pPr>
        <w:pStyle w:val="BodyText"/>
        <w:tabs>
          <w:tab w:val="clear" w:pos="720"/>
        </w:tabs>
        <w:spacing w:after="0"/>
        <w:ind w:right="432"/>
      </w:pPr>
      <w:r w:rsidRPr="004552E0">
        <w:rPr>
          <w:bCs/>
          <w:szCs w:val="24"/>
        </w:rPr>
        <w:t xml:space="preserve">In compliance with PU Code § 311(g), </w:t>
      </w:r>
      <w:r w:rsidR="00512C49">
        <w:rPr>
          <w:bCs/>
          <w:szCs w:val="24"/>
        </w:rPr>
        <w:t xml:space="preserve">the Commission, </w:t>
      </w:r>
      <w:r w:rsidR="003967E2">
        <w:rPr>
          <w:bCs/>
          <w:szCs w:val="24"/>
        </w:rPr>
        <w:t xml:space="preserve">on </w:t>
      </w:r>
      <w:r w:rsidR="006D6C7B">
        <w:rPr>
          <w:bCs/>
          <w:szCs w:val="24"/>
        </w:rPr>
        <w:t>October 21</w:t>
      </w:r>
      <w:r w:rsidR="003967E2">
        <w:rPr>
          <w:bCs/>
          <w:szCs w:val="24"/>
        </w:rPr>
        <w:t>, 2014</w:t>
      </w:r>
      <w:r w:rsidRPr="004552E0">
        <w:rPr>
          <w:bCs/>
          <w:szCs w:val="24"/>
        </w:rPr>
        <w:t xml:space="preserve">, </w:t>
      </w:r>
      <w:r w:rsidR="00512C49">
        <w:rPr>
          <w:bCs/>
          <w:szCs w:val="24"/>
        </w:rPr>
        <w:t xml:space="preserve">emailed a draft of this resolution </w:t>
      </w:r>
      <w:r w:rsidRPr="004552E0">
        <w:rPr>
          <w:bCs/>
          <w:szCs w:val="24"/>
        </w:rPr>
        <w:t>to all telecommunications carriers, the CHCF-A AC and the parties of record in Rulemaking 01-08-002</w:t>
      </w:r>
      <w:r w:rsidR="008918CC">
        <w:rPr>
          <w:bCs/>
          <w:szCs w:val="24"/>
        </w:rPr>
        <w:t xml:space="preserve">, </w:t>
      </w:r>
      <w:r w:rsidR="006D6C7B">
        <w:rPr>
          <w:bCs/>
          <w:szCs w:val="24"/>
        </w:rPr>
        <w:t xml:space="preserve">and </w:t>
      </w:r>
      <w:r w:rsidRPr="004552E0">
        <w:rPr>
          <w:bCs/>
          <w:szCs w:val="24"/>
        </w:rPr>
        <w:t>Application 99-09-044</w:t>
      </w:r>
      <w:r w:rsidR="008918CC">
        <w:rPr>
          <w:bCs/>
          <w:szCs w:val="24"/>
        </w:rPr>
        <w:t xml:space="preserve"> </w:t>
      </w:r>
      <w:r w:rsidRPr="004552E0">
        <w:rPr>
          <w:bCs/>
          <w:szCs w:val="24"/>
        </w:rPr>
        <w:t>informing</w:t>
      </w:r>
      <w:r w:rsidR="00F65814">
        <w:rPr>
          <w:bCs/>
          <w:szCs w:val="24"/>
        </w:rPr>
        <w:t xml:space="preserve"> them</w:t>
      </w:r>
      <w:r w:rsidRPr="004552E0">
        <w:rPr>
          <w:bCs/>
          <w:szCs w:val="24"/>
        </w:rPr>
        <w:t xml:space="preserve"> </w:t>
      </w:r>
      <w:r w:rsidR="00512C49">
        <w:rPr>
          <w:bCs/>
          <w:szCs w:val="24"/>
        </w:rPr>
        <w:t>that it is available for</w:t>
      </w:r>
      <w:r>
        <w:t xml:space="preserve"> public comments</w:t>
      </w:r>
      <w:r w:rsidR="00F65814">
        <w:t xml:space="preserve">.  The email notice also informed the parties </w:t>
      </w:r>
      <w:r>
        <w:t xml:space="preserve">that the final Resolution, </w:t>
      </w:r>
      <w:r w:rsidR="00F65814">
        <w:t xml:space="preserve">when </w:t>
      </w:r>
      <w:r>
        <w:t>adopted by the Commission, will be available</w:t>
      </w:r>
      <w:r w:rsidR="00512C49">
        <w:t xml:space="preserve"> on the Commission</w:t>
      </w:r>
      <w:r>
        <w:t xml:space="preserve"> website</w:t>
      </w:r>
      <w:r w:rsidR="00512C49">
        <w:t xml:space="preserve"> </w:t>
      </w:r>
      <w:hyperlink r:id="rId10" w:history="1">
        <w:r w:rsidR="003E4CF1" w:rsidRPr="009E545B">
          <w:rPr>
            <w:rStyle w:val="Hyperlink"/>
          </w:rPr>
          <w:t>http://www.cpuc.ca.gov</w:t>
        </w:r>
      </w:hyperlink>
      <w:r>
        <w:t>.</w:t>
      </w:r>
    </w:p>
    <w:p w:rsidR="003E4CF1" w:rsidRDefault="003E4CF1">
      <w:pPr>
        <w:pStyle w:val="BodyText"/>
        <w:tabs>
          <w:tab w:val="clear" w:pos="720"/>
        </w:tabs>
        <w:spacing w:after="0"/>
        <w:ind w:right="432"/>
      </w:pPr>
    </w:p>
    <w:p w:rsidR="003E4CF1" w:rsidRDefault="003E4CF1">
      <w:pPr>
        <w:pStyle w:val="BodyText"/>
        <w:tabs>
          <w:tab w:val="clear" w:pos="720"/>
        </w:tabs>
        <w:spacing w:after="0"/>
        <w:ind w:right="432"/>
      </w:pPr>
      <w:r>
        <w:t xml:space="preserve">On November 5, 2014, the Small ILECs filed comments on the proposed resolution.  The Small ILECs agree </w:t>
      </w:r>
      <w:r w:rsidR="007D3007">
        <w:t>that</w:t>
      </w:r>
      <w:r>
        <w:t xml:space="preserve"> the surcharge rate increase </w:t>
      </w:r>
      <w:r w:rsidR="007D3007">
        <w:t>is necessary as CD’s</w:t>
      </w:r>
      <w:r>
        <w:t xml:space="preserve"> forecast indicate</w:t>
      </w:r>
      <w:r w:rsidR="007D3007">
        <w:t>s</w:t>
      </w:r>
      <w:r>
        <w:t xml:space="preserve"> </w:t>
      </w:r>
      <w:r w:rsidR="007738F9">
        <w:t xml:space="preserve">that </w:t>
      </w:r>
      <w:r>
        <w:t>the CHCF-A fund would be depleted by October 2015 if the surcharge rate remained at the current</w:t>
      </w:r>
      <w:r w:rsidR="000A3BB6">
        <w:t xml:space="preserve"> rate.  The Small ILECs also believe</w:t>
      </w:r>
      <w:r w:rsidR="00976F63">
        <w:t>,</w:t>
      </w:r>
      <w:r w:rsidR="000A3BB6">
        <w:t xml:space="preserve"> based on </w:t>
      </w:r>
      <w:r w:rsidR="007D3007">
        <w:t xml:space="preserve">the </w:t>
      </w:r>
      <w:r w:rsidR="000A3BB6">
        <w:t>CD forecast</w:t>
      </w:r>
      <w:r w:rsidR="007D3007">
        <w:t>,</w:t>
      </w:r>
      <w:r w:rsidR="000A3BB6">
        <w:t xml:space="preserve"> that the revised surcharge rate appears to be reasonable and </w:t>
      </w:r>
      <w:r w:rsidR="007D3007">
        <w:t xml:space="preserve">that </w:t>
      </w:r>
      <w:r w:rsidR="000A3BB6">
        <w:t xml:space="preserve">they appreciate the Commission’s diligence in ensuring </w:t>
      </w:r>
      <w:r w:rsidR="007D3007">
        <w:t xml:space="preserve">that </w:t>
      </w:r>
      <w:r w:rsidR="000A3BB6">
        <w:t>the fund remains sufficient to meet the program</w:t>
      </w:r>
      <w:r w:rsidR="007D3007">
        <w:t>’</w:t>
      </w:r>
      <w:r w:rsidR="000A3BB6">
        <w:t>s funding requirements.</w:t>
      </w:r>
    </w:p>
    <w:p w:rsidR="00E56F6D" w:rsidRDefault="00E56F6D">
      <w:pPr>
        <w:pStyle w:val="BodyText"/>
        <w:tabs>
          <w:tab w:val="clear" w:pos="720"/>
        </w:tabs>
        <w:spacing w:after="0"/>
        <w:ind w:right="432"/>
      </w:pPr>
    </w:p>
    <w:p w:rsidR="004341AC" w:rsidRDefault="004341AC" w:rsidP="009312E3">
      <w:pPr>
        <w:widowControl w:val="0"/>
        <w:ind w:right="432"/>
        <w:rPr>
          <w:rFonts w:ascii="Palatino" w:hAnsi="Palatino"/>
          <w:b/>
          <w:bCs/>
          <w:sz w:val="26"/>
          <w:u w:val="single"/>
        </w:rPr>
      </w:pPr>
      <w:r>
        <w:rPr>
          <w:rFonts w:ascii="Palatino" w:hAnsi="Palatino"/>
          <w:b/>
          <w:bCs/>
          <w:sz w:val="26"/>
          <w:u w:val="single"/>
        </w:rPr>
        <w:t>FINDINGS</w:t>
      </w:r>
      <w:r w:rsidR="007A41BD">
        <w:rPr>
          <w:rFonts w:ascii="Palatino" w:hAnsi="Palatino"/>
          <w:b/>
          <w:bCs/>
          <w:sz w:val="26"/>
          <w:u w:val="single"/>
        </w:rPr>
        <w:t xml:space="preserve"> AND CONCLUSIONS</w:t>
      </w:r>
    </w:p>
    <w:p w:rsidR="004341AC" w:rsidRDefault="004341AC" w:rsidP="009312E3">
      <w:pPr>
        <w:widowControl w:val="0"/>
        <w:ind w:right="432"/>
        <w:rPr>
          <w:rFonts w:ascii="Palatino" w:hAnsi="Palatino"/>
          <w:sz w:val="24"/>
        </w:rPr>
      </w:pPr>
    </w:p>
    <w:p w:rsidR="004341AC" w:rsidRDefault="00512C49" w:rsidP="00512C49">
      <w:pPr>
        <w:numPr>
          <w:ilvl w:val="0"/>
          <w:numId w:val="9"/>
        </w:numPr>
        <w:spacing w:after="120"/>
        <w:ind w:right="432"/>
        <w:rPr>
          <w:rFonts w:ascii="Palatino" w:hAnsi="Palatino"/>
          <w:sz w:val="24"/>
        </w:rPr>
      </w:pPr>
      <w:r>
        <w:rPr>
          <w:rFonts w:ascii="Palatino" w:hAnsi="Palatino"/>
          <w:sz w:val="24"/>
        </w:rPr>
        <w:t xml:space="preserve">In D.88-07-022, the Commission established </w:t>
      </w:r>
      <w:r w:rsidR="008E6C22">
        <w:rPr>
          <w:rFonts w:ascii="Palatino" w:hAnsi="Palatino"/>
          <w:sz w:val="24"/>
        </w:rPr>
        <w:t>the High Cost Fund (</w:t>
      </w:r>
      <w:r>
        <w:rPr>
          <w:rFonts w:ascii="Palatino" w:hAnsi="Palatino"/>
          <w:sz w:val="24"/>
        </w:rPr>
        <w:t>HCF</w:t>
      </w:r>
      <w:r w:rsidR="008E6C22">
        <w:rPr>
          <w:rFonts w:ascii="Palatino" w:hAnsi="Palatino"/>
          <w:sz w:val="24"/>
        </w:rPr>
        <w:t>)</w:t>
      </w:r>
      <w:r w:rsidR="00F65814">
        <w:rPr>
          <w:rFonts w:ascii="Palatino" w:hAnsi="Palatino"/>
          <w:sz w:val="24"/>
        </w:rPr>
        <w:t xml:space="preserve"> </w:t>
      </w:r>
      <w:r w:rsidR="004341AC">
        <w:rPr>
          <w:rFonts w:ascii="Palatino" w:hAnsi="Palatino"/>
          <w:sz w:val="24"/>
        </w:rPr>
        <w:t>to provide a source of supplemental revenues to three mid-size and seventeen small ILECs whose basic exchange access line service rates would otherwise be increased to levels that would threaten universal service.</w:t>
      </w:r>
    </w:p>
    <w:p w:rsidR="00512C49" w:rsidRDefault="00512C49" w:rsidP="00512C49">
      <w:pPr>
        <w:numPr>
          <w:ilvl w:val="0"/>
          <w:numId w:val="9"/>
        </w:numPr>
        <w:spacing w:after="120"/>
        <w:ind w:right="432"/>
        <w:rPr>
          <w:rFonts w:ascii="Palatino" w:hAnsi="Palatino"/>
          <w:sz w:val="24"/>
        </w:rPr>
      </w:pPr>
      <w:r>
        <w:rPr>
          <w:rFonts w:ascii="Palatino" w:hAnsi="Palatino"/>
          <w:sz w:val="24"/>
        </w:rPr>
        <w:t>D.88-07-022</w:t>
      </w:r>
      <w:r w:rsidR="00F65814">
        <w:rPr>
          <w:rFonts w:ascii="Palatino" w:hAnsi="Palatino"/>
          <w:sz w:val="24"/>
        </w:rPr>
        <w:t xml:space="preserve"> was </w:t>
      </w:r>
      <w:r>
        <w:rPr>
          <w:rFonts w:ascii="Palatino" w:hAnsi="Palatino"/>
          <w:sz w:val="24"/>
        </w:rPr>
        <w:t>modified by D.91-05-016 and D.91-09-042.</w:t>
      </w:r>
    </w:p>
    <w:p w:rsidR="002F13B3" w:rsidRDefault="007A41BD">
      <w:pPr>
        <w:numPr>
          <w:ilvl w:val="0"/>
          <w:numId w:val="9"/>
        </w:numPr>
        <w:spacing w:after="120"/>
        <w:ind w:right="432"/>
        <w:rPr>
          <w:rFonts w:ascii="Palatino" w:hAnsi="Palatino"/>
          <w:sz w:val="24"/>
        </w:rPr>
      </w:pPr>
      <w:r>
        <w:rPr>
          <w:rFonts w:ascii="Palatino" w:hAnsi="Palatino"/>
          <w:sz w:val="24"/>
        </w:rPr>
        <w:t xml:space="preserve">In </w:t>
      </w:r>
      <w:r w:rsidR="004341AC">
        <w:rPr>
          <w:rFonts w:ascii="Palatino" w:hAnsi="Palatino"/>
          <w:sz w:val="24"/>
        </w:rPr>
        <w:t>D.96-10-066</w:t>
      </w:r>
      <w:r>
        <w:rPr>
          <w:rFonts w:ascii="Palatino" w:hAnsi="Palatino"/>
          <w:sz w:val="24"/>
        </w:rPr>
        <w:t>, the Commission</w:t>
      </w:r>
      <w:r w:rsidR="004341AC">
        <w:rPr>
          <w:rFonts w:ascii="Palatino" w:hAnsi="Palatino"/>
          <w:sz w:val="24"/>
        </w:rPr>
        <w:t xml:space="preserve"> changed the name of HCF to C</w:t>
      </w:r>
      <w:r w:rsidR="00512C49">
        <w:rPr>
          <w:rFonts w:ascii="Palatino" w:hAnsi="Palatino"/>
          <w:sz w:val="24"/>
        </w:rPr>
        <w:t>HCF-A</w:t>
      </w:r>
      <w:r w:rsidR="00F65814">
        <w:rPr>
          <w:rFonts w:ascii="Palatino" w:hAnsi="Palatino"/>
          <w:sz w:val="24"/>
        </w:rPr>
        <w:t xml:space="preserve"> </w:t>
      </w:r>
      <w:r w:rsidR="004341AC">
        <w:rPr>
          <w:rFonts w:ascii="Palatino" w:hAnsi="Palatino"/>
          <w:sz w:val="24"/>
        </w:rPr>
        <w:t xml:space="preserve">and </w:t>
      </w:r>
      <w:r w:rsidR="00512C49">
        <w:rPr>
          <w:rFonts w:ascii="Palatino" w:hAnsi="Palatino"/>
          <w:sz w:val="24"/>
        </w:rPr>
        <w:t xml:space="preserve">also </w:t>
      </w:r>
      <w:r w:rsidR="004341AC">
        <w:rPr>
          <w:rFonts w:ascii="Palatino" w:hAnsi="Palatino"/>
          <w:sz w:val="24"/>
        </w:rPr>
        <w:t xml:space="preserve">created </w:t>
      </w:r>
      <w:r w:rsidR="00F476BB">
        <w:rPr>
          <w:rFonts w:ascii="Palatino" w:hAnsi="Palatino"/>
          <w:sz w:val="24"/>
        </w:rPr>
        <w:t xml:space="preserve">the </w:t>
      </w:r>
      <w:r w:rsidR="004341AC">
        <w:rPr>
          <w:rFonts w:ascii="Palatino" w:hAnsi="Palatino"/>
          <w:sz w:val="24"/>
        </w:rPr>
        <w:t xml:space="preserve">CHCF-B.  </w:t>
      </w:r>
    </w:p>
    <w:p w:rsidR="007A41BD" w:rsidRDefault="002F13B3">
      <w:pPr>
        <w:numPr>
          <w:ilvl w:val="0"/>
          <w:numId w:val="9"/>
        </w:numPr>
        <w:spacing w:after="120"/>
        <w:ind w:right="432"/>
        <w:rPr>
          <w:rFonts w:ascii="Palatino" w:hAnsi="Palatino"/>
          <w:sz w:val="24"/>
        </w:rPr>
      </w:pPr>
      <w:r>
        <w:rPr>
          <w:rFonts w:ascii="Palatino" w:hAnsi="Palatino"/>
          <w:sz w:val="24"/>
        </w:rPr>
        <w:t xml:space="preserve">In D.96-10-066, the Commission </w:t>
      </w:r>
      <w:r w:rsidR="004341AC">
        <w:rPr>
          <w:rFonts w:ascii="Palatino" w:hAnsi="Palatino"/>
          <w:sz w:val="24"/>
        </w:rPr>
        <w:t>included the three mid-size</w:t>
      </w:r>
      <w:r w:rsidR="00F476BB">
        <w:rPr>
          <w:rFonts w:ascii="Palatino" w:hAnsi="Palatino"/>
          <w:sz w:val="24"/>
        </w:rPr>
        <w:t xml:space="preserve"> Incumbent Local Exchange Carriers</w:t>
      </w:r>
      <w:r w:rsidR="004341AC">
        <w:rPr>
          <w:rFonts w:ascii="Palatino" w:hAnsi="Palatino"/>
          <w:sz w:val="24"/>
        </w:rPr>
        <w:t xml:space="preserve"> </w:t>
      </w:r>
      <w:r w:rsidR="00F476BB">
        <w:rPr>
          <w:rFonts w:ascii="Palatino" w:hAnsi="Palatino"/>
          <w:sz w:val="24"/>
        </w:rPr>
        <w:t xml:space="preserve">(ILECs) </w:t>
      </w:r>
      <w:r w:rsidR="004341AC">
        <w:rPr>
          <w:rFonts w:ascii="Palatino" w:hAnsi="Palatino"/>
          <w:sz w:val="24"/>
        </w:rPr>
        <w:t xml:space="preserve">in the CHCF-B for the purpose of determining universal service subsidy support and maintained the CHCF-A for </w:t>
      </w:r>
      <w:r w:rsidR="007A41BD">
        <w:rPr>
          <w:rFonts w:ascii="Palatino" w:hAnsi="Palatino"/>
          <w:sz w:val="24"/>
        </w:rPr>
        <w:t xml:space="preserve">seventeen </w:t>
      </w:r>
      <w:r w:rsidR="004341AC">
        <w:rPr>
          <w:rFonts w:ascii="Palatino" w:hAnsi="Palatino"/>
          <w:sz w:val="24"/>
        </w:rPr>
        <w:t xml:space="preserve">small ILECs.   </w:t>
      </w:r>
    </w:p>
    <w:p w:rsidR="004341AC" w:rsidRDefault="007A41BD">
      <w:pPr>
        <w:numPr>
          <w:ilvl w:val="0"/>
          <w:numId w:val="9"/>
        </w:numPr>
        <w:spacing w:after="120"/>
        <w:ind w:right="432"/>
        <w:rPr>
          <w:rFonts w:ascii="Palatino" w:hAnsi="Palatino"/>
          <w:sz w:val="24"/>
        </w:rPr>
      </w:pPr>
      <w:r>
        <w:rPr>
          <w:rFonts w:ascii="Palatino" w:hAnsi="Palatino"/>
          <w:sz w:val="24"/>
        </w:rPr>
        <w:t xml:space="preserve">In </w:t>
      </w:r>
      <w:r w:rsidR="004341AC">
        <w:rPr>
          <w:rFonts w:ascii="Palatino" w:hAnsi="Palatino"/>
          <w:sz w:val="24"/>
        </w:rPr>
        <w:t>D.98-06-065</w:t>
      </w:r>
      <w:r>
        <w:rPr>
          <w:rFonts w:ascii="Palatino" w:hAnsi="Palatino"/>
          <w:sz w:val="24"/>
        </w:rPr>
        <w:t>, the Commission</w:t>
      </w:r>
      <w:r w:rsidR="004341AC">
        <w:rPr>
          <w:rFonts w:ascii="Palatino" w:hAnsi="Palatino"/>
          <w:sz w:val="24"/>
        </w:rPr>
        <w:t xml:space="preserve"> renamed the CHCF-A Trust Administrative Committee to CHCF-A Administrative Committee (AC) and revised the governance of CHCF-A to be consistent with </w:t>
      </w:r>
      <w:r>
        <w:rPr>
          <w:rFonts w:ascii="Palatino" w:hAnsi="Palatino"/>
          <w:sz w:val="24"/>
        </w:rPr>
        <w:t xml:space="preserve">state </w:t>
      </w:r>
      <w:r w:rsidR="004341AC">
        <w:rPr>
          <w:rFonts w:ascii="Palatino" w:hAnsi="Palatino"/>
          <w:sz w:val="24"/>
        </w:rPr>
        <w:t>rules</w:t>
      </w:r>
      <w:r>
        <w:rPr>
          <w:rFonts w:ascii="Palatino" w:hAnsi="Palatino"/>
          <w:sz w:val="24"/>
        </w:rPr>
        <w:t>, practices,</w:t>
      </w:r>
      <w:r w:rsidR="004341AC">
        <w:rPr>
          <w:rFonts w:ascii="Palatino" w:hAnsi="Palatino"/>
          <w:sz w:val="24"/>
        </w:rPr>
        <w:t xml:space="preserve"> and procedures.</w:t>
      </w:r>
    </w:p>
    <w:p w:rsidR="004341AC" w:rsidRDefault="004341AC">
      <w:pPr>
        <w:numPr>
          <w:ilvl w:val="0"/>
          <w:numId w:val="9"/>
        </w:numPr>
        <w:spacing w:after="120"/>
        <w:ind w:right="432"/>
        <w:rPr>
          <w:rFonts w:ascii="Palatino" w:hAnsi="Palatino"/>
          <w:sz w:val="24"/>
        </w:rPr>
      </w:pPr>
      <w:r>
        <w:rPr>
          <w:rFonts w:ascii="Palatino" w:hAnsi="Palatino"/>
          <w:sz w:val="24"/>
        </w:rPr>
        <w:t xml:space="preserve">In October 1999, </w:t>
      </w:r>
      <w:r w:rsidR="00F476BB">
        <w:rPr>
          <w:rFonts w:ascii="Palatino" w:hAnsi="Palatino"/>
          <w:sz w:val="24"/>
        </w:rPr>
        <w:t>Public Utilities (</w:t>
      </w:r>
      <w:r>
        <w:rPr>
          <w:rFonts w:ascii="Palatino" w:hAnsi="Palatino"/>
          <w:sz w:val="24"/>
        </w:rPr>
        <w:t>PU</w:t>
      </w:r>
      <w:r w:rsidR="00F476BB">
        <w:rPr>
          <w:rFonts w:ascii="Palatino" w:hAnsi="Palatino"/>
          <w:sz w:val="24"/>
        </w:rPr>
        <w:t>)</w:t>
      </w:r>
      <w:r>
        <w:rPr>
          <w:rFonts w:ascii="Palatino" w:hAnsi="Palatino"/>
          <w:sz w:val="24"/>
        </w:rPr>
        <w:t xml:space="preserve"> Code §</w:t>
      </w:r>
      <w:r w:rsidR="004C0EAA">
        <w:rPr>
          <w:rFonts w:ascii="Palatino" w:hAnsi="Palatino"/>
          <w:sz w:val="24"/>
        </w:rPr>
        <w:t>§</w:t>
      </w:r>
      <w:r>
        <w:rPr>
          <w:rFonts w:ascii="Palatino" w:hAnsi="Palatino"/>
          <w:sz w:val="24"/>
        </w:rPr>
        <w:t xml:space="preserve"> 270-281 were codified as a result of the enactment of Senate Bill 669.</w:t>
      </w:r>
    </w:p>
    <w:p w:rsidR="00356C65" w:rsidRDefault="00356C65">
      <w:pPr>
        <w:numPr>
          <w:ilvl w:val="0"/>
          <w:numId w:val="9"/>
        </w:numPr>
        <w:spacing w:after="120"/>
        <w:ind w:right="432"/>
        <w:rPr>
          <w:rFonts w:ascii="Palatino" w:hAnsi="Palatino"/>
          <w:sz w:val="24"/>
        </w:rPr>
      </w:pPr>
      <w:r>
        <w:rPr>
          <w:rFonts w:ascii="Palatino" w:hAnsi="Palatino"/>
          <w:sz w:val="24"/>
        </w:rPr>
        <w:t xml:space="preserve">PU Code § 270(b) requires that the monies in the CHCF-A and five other </w:t>
      </w:r>
      <w:r w:rsidR="007A41BD">
        <w:rPr>
          <w:rFonts w:ascii="Palatino" w:hAnsi="Palatino"/>
          <w:sz w:val="24"/>
        </w:rPr>
        <w:t xml:space="preserve">public purpose program </w:t>
      </w:r>
      <w:r>
        <w:rPr>
          <w:rFonts w:ascii="Palatino" w:hAnsi="Palatino"/>
          <w:sz w:val="24"/>
        </w:rPr>
        <w:t>funds be expended pursuant to §</w:t>
      </w:r>
      <w:r w:rsidR="004C0EAA">
        <w:rPr>
          <w:rFonts w:ascii="Palatino" w:hAnsi="Palatino"/>
          <w:sz w:val="24"/>
        </w:rPr>
        <w:t>§</w:t>
      </w:r>
      <w:r>
        <w:rPr>
          <w:rFonts w:ascii="Palatino" w:hAnsi="Palatino"/>
          <w:sz w:val="24"/>
        </w:rPr>
        <w:t xml:space="preserve"> 270-281 and upon appropriation in the annual </w:t>
      </w:r>
      <w:r w:rsidR="007A41BD">
        <w:rPr>
          <w:rFonts w:ascii="Palatino" w:hAnsi="Palatino"/>
          <w:sz w:val="24"/>
        </w:rPr>
        <w:t xml:space="preserve">State </w:t>
      </w:r>
      <w:r>
        <w:rPr>
          <w:rFonts w:ascii="Palatino" w:hAnsi="Palatino"/>
          <w:sz w:val="24"/>
        </w:rPr>
        <w:t>Budget Act.</w:t>
      </w:r>
    </w:p>
    <w:p w:rsidR="00E459AA" w:rsidRPr="008E65DD" w:rsidRDefault="00E459AA">
      <w:pPr>
        <w:numPr>
          <w:ilvl w:val="0"/>
          <w:numId w:val="10"/>
        </w:numPr>
        <w:spacing w:after="120"/>
        <w:ind w:right="432"/>
        <w:rPr>
          <w:rFonts w:ascii="Palatino" w:hAnsi="Palatino"/>
          <w:sz w:val="24"/>
        </w:rPr>
      </w:pPr>
      <w:r w:rsidRPr="008E65DD">
        <w:rPr>
          <w:rFonts w:ascii="Palatino" w:hAnsi="Palatino"/>
          <w:sz w:val="24"/>
        </w:rPr>
        <w:t>The</w:t>
      </w:r>
      <w:r w:rsidR="00576691" w:rsidRPr="008E65DD">
        <w:rPr>
          <w:rFonts w:ascii="Palatino" w:hAnsi="Palatino"/>
          <w:sz w:val="24"/>
        </w:rPr>
        <w:t xml:space="preserve">re are </w:t>
      </w:r>
      <w:r w:rsidR="00744058">
        <w:rPr>
          <w:rFonts w:ascii="Palatino" w:hAnsi="Palatino"/>
          <w:sz w:val="24"/>
        </w:rPr>
        <w:t xml:space="preserve">currently </w:t>
      </w:r>
      <w:r w:rsidR="00176C0D">
        <w:rPr>
          <w:rFonts w:ascii="Palatino" w:hAnsi="Palatino"/>
          <w:sz w:val="24"/>
        </w:rPr>
        <w:t>thirteen</w:t>
      </w:r>
      <w:r w:rsidRPr="008E65DD">
        <w:rPr>
          <w:rFonts w:ascii="Palatino" w:hAnsi="Palatino"/>
          <w:sz w:val="24"/>
        </w:rPr>
        <w:t xml:space="preserve"> small ILECs providing service in rural areas of California</w:t>
      </w:r>
      <w:r w:rsidR="00576691" w:rsidRPr="008E65DD">
        <w:rPr>
          <w:rFonts w:ascii="Palatino" w:hAnsi="Palatino"/>
          <w:sz w:val="24"/>
        </w:rPr>
        <w:t xml:space="preserve"> that are eligible for CHCF-A funding</w:t>
      </w:r>
      <w:r w:rsidRPr="008E65DD">
        <w:rPr>
          <w:rFonts w:ascii="Palatino" w:hAnsi="Palatino"/>
          <w:sz w:val="24"/>
        </w:rPr>
        <w:t>.</w:t>
      </w:r>
    </w:p>
    <w:p w:rsidR="004341AC" w:rsidRPr="00356C65" w:rsidRDefault="007A41BD">
      <w:pPr>
        <w:numPr>
          <w:ilvl w:val="0"/>
          <w:numId w:val="10"/>
        </w:numPr>
        <w:spacing w:after="120"/>
        <w:ind w:right="432"/>
        <w:rPr>
          <w:rFonts w:ascii="Palatino" w:hAnsi="Palatino"/>
          <w:sz w:val="24"/>
        </w:rPr>
      </w:pPr>
      <w:r>
        <w:rPr>
          <w:rFonts w:ascii="Palatino" w:hAnsi="Palatino"/>
          <w:sz w:val="24"/>
        </w:rPr>
        <w:t>In Resolution T-173</w:t>
      </w:r>
      <w:r w:rsidR="00FD5A8A">
        <w:rPr>
          <w:rFonts w:ascii="Palatino" w:hAnsi="Palatino"/>
          <w:sz w:val="24"/>
        </w:rPr>
        <w:t>98</w:t>
      </w:r>
      <w:r>
        <w:rPr>
          <w:rFonts w:ascii="Palatino" w:hAnsi="Palatino"/>
          <w:sz w:val="24"/>
        </w:rPr>
        <w:t>, t</w:t>
      </w:r>
      <w:r w:rsidR="004341AC" w:rsidRPr="00356C65">
        <w:rPr>
          <w:rFonts w:ascii="Palatino" w:hAnsi="Palatino"/>
          <w:sz w:val="24"/>
        </w:rPr>
        <w:t xml:space="preserve">he Commission authorized </w:t>
      </w:r>
      <w:r w:rsidR="0011726A">
        <w:rPr>
          <w:rFonts w:ascii="Palatino" w:hAnsi="Palatino"/>
          <w:sz w:val="24"/>
        </w:rPr>
        <w:t xml:space="preserve">a </w:t>
      </w:r>
      <w:r w:rsidR="002F13B3">
        <w:rPr>
          <w:rFonts w:ascii="Palatino" w:hAnsi="Palatino"/>
          <w:sz w:val="24"/>
        </w:rPr>
        <w:t>CHCF-A program</w:t>
      </w:r>
      <w:r w:rsidR="00A91DF5" w:rsidRPr="00356C65">
        <w:rPr>
          <w:rFonts w:ascii="Palatino" w:hAnsi="Palatino"/>
          <w:sz w:val="24"/>
        </w:rPr>
        <w:t xml:space="preserve"> surcharge rate of 0.</w:t>
      </w:r>
      <w:r w:rsidR="00FD5A8A">
        <w:rPr>
          <w:rFonts w:ascii="Palatino" w:hAnsi="Palatino"/>
          <w:sz w:val="24"/>
        </w:rPr>
        <w:t>18</w:t>
      </w:r>
      <w:r w:rsidR="00A91DF5" w:rsidRPr="00356C65">
        <w:rPr>
          <w:rFonts w:ascii="Palatino" w:hAnsi="Palatino"/>
          <w:sz w:val="24"/>
        </w:rPr>
        <w:t xml:space="preserve">% effective </w:t>
      </w:r>
      <w:r w:rsidR="00FD5A8A">
        <w:rPr>
          <w:rFonts w:ascii="Palatino" w:hAnsi="Palatino"/>
          <w:sz w:val="24"/>
        </w:rPr>
        <w:t xml:space="preserve">October </w:t>
      </w:r>
      <w:r w:rsidR="00A91DF5" w:rsidRPr="00356C65">
        <w:rPr>
          <w:rFonts w:ascii="Palatino" w:hAnsi="Palatino"/>
          <w:sz w:val="24"/>
        </w:rPr>
        <w:t>1, 201</w:t>
      </w:r>
      <w:r w:rsidR="00FD5A8A">
        <w:rPr>
          <w:rFonts w:ascii="Palatino" w:hAnsi="Palatino"/>
          <w:sz w:val="24"/>
        </w:rPr>
        <w:t>3</w:t>
      </w:r>
      <w:r w:rsidR="004341AC" w:rsidRPr="00356C65">
        <w:rPr>
          <w:rFonts w:ascii="Palatino" w:hAnsi="Palatino"/>
          <w:sz w:val="24"/>
        </w:rPr>
        <w:t>.</w:t>
      </w:r>
    </w:p>
    <w:p w:rsidR="00F93147" w:rsidRDefault="00F93147" w:rsidP="00C87495">
      <w:pPr>
        <w:numPr>
          <w:ilvl w:val="0"/>
          <w:numId w:val="10"/>
        </w:numPr>
        <w:spacing w:after="120"/>
        <w:ind w:right="432"/>
        <w:rPr>
          <w:rFonts w:ascii="Palatino" w:hAnsi="Palatino"/>
          <w:sz w:val="24"/>
        </w:rPr>
      </w:pPr>
      <w:r>
        <w:rPr>
          <w:rFonts w:ascii="Palatino" w:hAnsi="Palatino"/>
          <w:sz w:val="24"/>
        </w:rPr>
        <w:t xml:space="preserve">If the </w:t>
      </w:r>
      <w:r w:rsidR="004C0EAA">
        <w:rPr>
          <w:rFonts w:ascii="Palatino" w:hAnsi="Palatino"/>
          <w:sz w:val="24"/>
        </w:rPr>
        <w:t xml:space="preserve">CHCF-A </w:t>
      </w:r>
      <w:r w:rsidR="00A91DF5" w:rsidRPr="00D07445">
        <w:rPr>
          <w:rFonts w:ascii="Palatino" w:hAnsi="Palatino"/>
          <w:sz w:val="24"/>
        </w:rPr>
        <w:t xml:space="preserve">surcharge rate </w:t>
      </w:r>
      <w:r>
        <w:rPr>
          <w:rFonts w:ascii="Palatino" w:hAnsi="Palatino"/>
          <w:sz w:val="24"/>
        </w:rPr>
        <w:t>remain</w:t>
      </w:r>
      <w:r w:rsidR="002F13B3">
        <w:rPr>
          <w:rFonts w:ascii="Palatino" w:hAnsi="Palatino"/>
          <w:sz w:val="24"/>
        </w:rPr>
        <w:t xml:space="preserve">s </w:t>
      </w:r>
      <w:r w:rsidR="00576691">
        <w:rPr>
          <w:rFonts w:ascii="Palatino" w:hAnsi="Palatino"/>
          <w:sz w:val="24"/>
        </w:rPr>
        <w:t xml:space="preserve">at </w:t>
      </w:r>
      <w:r w:rsidR="00A91DF5" w:rsidRPr="00D07445">
        <w:rPr>
          <w:rFonts w:ascii="Palatino" w:hAnsi="Palatino"/>
          <w:sz w:val="24"/>
        </w:rPr>
        <w:t>0.</w:t>
      </w:r>
      <w:r w:rsidR="00FD5A8A">
        <w:rPr>
          <w:rFonts w:ascii="Palatino" w:hAnsi="Palatino"/>
          <w:sz w:val="24"/>
        </w:rPr>
        <w:t>18</w:t>
      </w:r>
      <w:r w:rsidR="004341AC" w:rsidRPr="00D07445">
        <w:rPr>
          <w:rFonts w:ascii="Palatino" w:hAnsi="Palatino"/>
          <w:sz w:val="24"/>
        </w:rPr>
        <w:t xml:space="preserve">%, the </w:t>
      </w:r>
      <w:r w:rsidR="00C60BA4">
        <w:rPr>
          <w:rFonts w:ascii="Palatino" w:hAnsi="Palatino"/>
          <w:sz w:val="24"/>
        </w:rPr>
        <w:t xml:space="preserve">fund </w:t>
      </w:r>
      <w:r w:rsidR="00A91DF5" w:rsidRPr="00D07445">
        <w:rPr>
          <w:rFonts w:ascii="Palatino" w:hAnsi="Palatino"/>
          <w:sz w:val="24"/>
        </w:rPr>
        <w:t xml:space="preserve">balance </w:t>
      </w:r>
      <w:r w:rsidR="00C60BA4">
        <w:rPr>
          <w:rFonts w:ascii="Palatino" w:hAnsi="Palatino"/>
          <w:sz w:val="24"/>
        </w:rPr>
        <w:t xml:space="preserve">would </w:t>
      </w:r>
      <w:r w:rsidR="008B118E">
        <w:rPr>
          <w:rFonts w:ascii="Palatino" w:hAnsi="Palatino"/>
          <w:sz w:val="24"/>
        </w:rPr>
        <w:t xml:space="preserve">be depleted by </w:t>
      </w:r>
      <w:r w:rsidR="00984A49">
        <w:rPr>
          <w:rFonts w:ascii="Palatino" w:hAnsi="Palatino"/>
          <w:sz w:val="24"/>
        </w:rPr>
        <w:t>approximately October</w:t>
      </w:r>
      <w:r w:rsidR="008B118E">
        <w:rPr>
          <w:rFonts w:ascii="Palatino" w:hAnsi="Palatino"/>
          <w:sz w:val="24"/>
        </w:rPr>
        <w:t xml:space="preserve"> 2015</w:t>
      </w:r>
      <w:r w:rsidR="006E4B55">
        <w:rPr>
          <w:rFonts w:ascii="Palatino" w:hAnsi="Palatino"/>
          <w:sz w:val="24"/>
        </w:rPr>
        <w:t>.</w:t>
      </w:r>
    </w:p>
    <w:p w:rsidR="00D07445" w:rsidRDefault="00A91DF5" w:rsidP="00C87495">
      <w:pPr>
        <w:numPr>
          <w:ilvl w:val="0"/>
          <w:numId w:val="10"/>
        </w:numPr>
        <w:spacing w:after="120"/>
        <w:ind w:right="432"/>
        <w:rPr>
          <w:rFonts w:ascii="Palatino" w:hAnsi="Palatino"/>
          <w:sz w:val="24"/>
        </w:rPr>
      </w:pPr>
      <w:r w:rsidRPr="00D07445">
        <w:rPr>
          <w:rFonts w:ascii="Palatino" w:hAnsi="Palatino"/>
          <w:sz w:val="24"/>
        </w:rPr>
        <w:t>With a C</w:t>
      </w:r>
      <w:r w:rsidR="004341AC" w:rsidRPr="00D07445">
        <w:rPr>
          <w:rFonts w:ascii="Palatino" w:hAnsi="Palatino"/>
          <w:sz w:val="24"/>
        </w:rPr>
        <w:t xml:space="preserve">HCF-A </w:t>
      </w:r>
      <w:r w:rsidR="00857057" w:rsidRPr="00D07445">
        <w:rPr>
          <w:rFonts w:ascii="Palatino" w:hAnsi="Palatino"/>
          <w:sz w:val="24"/>
        </w:rPr>
        <w:t xml:space="preserve">surcharge rate of </w:t>
      </w:r>
      <w:r w:rsidR="00E537F6">
        <w:rPr>
          <w:rFonts w:ascii="Palatino" w:hAnsi="Palatino"/>
          <w:sz w:val="24"/>
        </w:rPr>
        <w:t>0.35</w:t>
      </w:r>
      <w:r w:rsidR="00E46FDA">
        <w:rPr>
          <w:rFonts w:ascii="Palatino" w:hAnsi="Palatino"/>
          <w:sz w:val="24"/>
        </w:rPr>
        <w:t>%</w:t>
      </w:r>
      <w:r w:rsidR="006F343B" w:rsidRPr="00D07445">
        <w:rPr>
          <w:rFonts w:ascii="Palatino" w:hAnsi="Palatino"/>
          <w:sz w:val="24"/>
        </w:rPr>
        <w:t>,</w:t>
      </w:r>
      <w:r w:rsidR="00857057" w:rsidRPr="00D07445">
        <w:rPr>
          <w:rFonts w:ascii="Palatino" w:hAnsi="Palatino"/>
          <w:sz w:val="24"/>
        </w:rPr>
        <w:t xml:space="preserve"> the </w:t>
      </w:r>
      <w:r w:rsidR="00474260">
        <w:rPr>
          <w:rFonts w:ascii="Palatino" w:hAnsi="Palatino"/>
          <w:sz w:val="24"/>
        </w:rPr>
        <w:t>fund</w:t>
      </w:r>
      <w:r w:rsidR="00857057" w:rsidRPr="00D07445">
        <w:rPr>
          <w:rFonts w:ascii="Palatino" w:hAnsi="Palatino"/>
          <w:sz w:val="24"/>
        </w:rPr>
        <w:t xml:space="preserve"> balance is forecast</w:t>
      </w:r>
      <w:r w:rsidR="00474260">
        <w:rPr>
          <w:rFonts w:ascii="Palatino" w:hAnsi="Palatino"/>
          <w:sz w:val="24"/>
        </w:rPr>
        <w:t>ed</w:t>
      </w:r>
      <w:r w:rsidR="00857057" w:rsidRPr="00D07445">
        <w:rPr>
          <w:rFonts w:ascii="Palatino" w:hAnsi="Palatino"/>
          <w:sz w:val="24"/>
        </w:rPr>
        <w:t xml:space="preserve"> to be </w:t>
      </w:r>
      <w:r w:rsidR="0079742E" w:rsidRPr="00D07445">
        <w:rPr>
          <w:rFonts w:ascii="Palatino" w:hAnsi="Palatino"/>
          <w:sz w:val="24"/>
        </w:rPr>
        <w:t xml:space="preserve">approximately </w:t>
      </w:r>
      <w:r w:rsidR="00857057" w:rsidRPr="00D07445">
        <w:rPr>
          <w:rFonts w:ascii="Palatino" w:hAnsi="Palatino"/>
          <w:sz w:val="24"/>
        </w:rPr>
        <w:t>$</w:t>
      </w:r>
      <w:r w:rsidR="00E537F6">
        <w:rPr>
          <w:rFonts w:ascii="Palatino" w:hAnsi="Palatino"/>
          <w:sz w:val="24"/>
        </w:rPr>
        <w:t>20</w:t>
      </w:r>
      <w:r w:rsidR="00857057" w:rsidRPr="00D07445">
        <w:rPr>
          <w:rFonts w:ascii="Palatino" w:hAnsi="Palatino"/>
          <w:sz w:val="24"/>
        </w:rPr>
        <w:t xml:space="preserve"> million </w:t>
      </w:r>
      <w:r w:rsidR="00F93147">
        <w:rPr>
          <w:rFonts w:ascii="Palatino" w:hAnsi="Palatino"/>
          <w:sz w:val="24"/>
        </w:rPr>
        <w:t>by</w:t>
      </w:r>
      <w:r w:rsidR="00F93147" w:rsidRPr="00D07445">
        <w:rPr>
          <w:rFonts w:ascii="Palatino" w:hAnsi="Palatino"/>
          <w:sz w:val="24"/>
        </w:rPr>
        <w:t xml:space="preserve"> </w:t>
      </w:r>
      <w:r w:rsidR="00E537F6">
        <w:rPr>
          <w:rFonts w:ascii="Palatino" w:hAnsi="Palatino"/>
          <w:sz w:val="24"/>
        </w:rPr>
        <w:t>June 30, 2016</w:t>
      </w:r>
      <w:r w:rsidR="004341AC" w:rsidRPr="00D07445">
        <w:rPr>
          <w:rFonts w:ascii="Palatino" w:hAnsi="Palatino"/>
          <w:sz w:val="24"/>
        </w:rPr>
        <w:t>.</w:t>
      </w:r>
    </w:p>
    <w:p w:rsidR="004341AC" w:rsidRPr="004552E0" w:rsidRDefault="004341AC" w:rsidP="00FB0E8F">
      <w:pPr>
        <w:numPr>
          <w:ilvl w:val="0"/>
          <w:numId w:val="10"/>
        </w:numPr>
        <w:spacing w:after="120"/>
        <w:ind w:right="432"/>
        <w:rPr>
          <w:rFonts w:ascii="Palatino" w:hAnsi="Palatino"/>
          <w:sz w:val="24"/>
        </w:rPr>
      </w:pPr>
      <w:bookmarkStart w:id="1" w:name="OLE_LINK3"/>
      <w:bookmarkStart w:id="2" w:name="OLE_LINK4"/>
      <w:r w:rsidRPr="00D07445">
        <w:rPr>
          <w:rFonts w:ascii="Palatino" w:hAnsi="Palatino"/>
          <w:sz w:val="24"/>
        </w:rPr>
        <w:t xml:space="preserve">All telecommunications carriers </w:t>
      </w:r>
      <w:r w:rsidR="004C0EAA">
        <w:rPr>
          <w:rFonts w:ascii="Palatino" w:hAnsi="Palatino"/>
          <w:sz w:val="24"/>
        </w:rPr>
        <w:t xml:space="preserve">and interconnected VoIP service providers </w:t>
      </w:r>
      <w:r w:rsidRPr="00D07445">
        <w:rPr>
          <w:rFonts w:ascii="Palatino" w:hAnsi="Palatino"/>
          <w:sz w:val="24"/>
        </w:rPr>
        <w:t xml:space="preserve">should revise the CHCF-A surcharge rate assessed on intrastate telecommunications service revenues to </w:t>
      </w:r>
      <w:r w:rsidR="00131463">
        <w:rPr>
          <w:rFonts w:ascii="Palatino" w:hAnsi="Palatino"/>
          <w:sz w:val="24"/>
        </w:rPr>
        <w:t>0.35</w:t>
      </w:r>
      <w:r w:rsidR="00E46FDA">
        <w:rPr>
          <w:rFonts w:ascii="Palatino" w:hAnsi="Palatino"/>
          <w:sz w:val="24"/>
        </w:rPr>
        <w:t>%</w:t>
      </w:r>
      <w:r w:rsidR="006F343B" w:rsidRPr="00D07445">
        <w:rPr>
          <w:rFonts w:ascii="Palatino" w:hAnsi="Palatino"/>
          <w:sz w:val="24"/>
        </w:rPr>
        <w:t>,</w:t>
      </w:r>
      <w:r w:rsidRPr="00D07445">
        <w:rPr>
          <w:rFonts w:ascii="Palatino" w:hAnsi="Palatino"/>
          <w:sz w:val="24"/>
        </w:rPr>
        <w:t xml:space="preserve"> </w:t>
      </w:r>
      <w:r w:rsidR="0052641A" w:rsidRPr="00D07445">
        <w:rPr>
          <w:rFonts w:ascii="Palatino" w:hAnsi="Palatino"/>
          <w:sz w:val="24"/>
        </w:rPr>
        <w:t>effective</w:t>
      </w:r>
      <w:r w:rsidRPr="00D07445">
        <w:rPr>
          <w:rFonts w:ascii="Palatino" w:hAnsi="Palatino"/>
          <w:sz w:val="24"/>
        </w:rPr>
        <w:t xml:space="preserve"> </w:t>
      </w:r>
      <w:bookmarkEnd w:id="1"/>
      <w:bookmarkEnd w:id="2"/>
      <w:r w:rsidR="00131463">
        <w:rPr>
          <w:rFonts w:ascii="Palatino" w:hAnsi="Palatino"/>
          <w:sz w:val="24"/>
        </w:rPr>
        <w:t>January</w:t>
      </w:r>
      <w:r w:rsidR="00FB0E8F">
        <w:rPr>
          <w:rFonts w:ascii="Palatino" w:hAnsi="Palatino"/>
          <w:sz w:val="24"/>
        </w:rPr>
        <w:t xml:space="preserve"> 1</w:t>
      </w:r>
      <w:r w:rsidR="004108A3" w:rsidRPr="00D07445">
        <w:rPr>
          <w:rFonts w:ascii="Palatino" w:hAnsi="Palatino"/>
          <w:sz w:val="24"/>
        </w:rPr>
        <w:t>, 201</w:t>
      </w:r>
      <w:r w:rsidR="00131463">
        <w:rPr>
          <w:rFonts w:ascii="Palatino" w:hAnsi="Palatino"/>
          <w:sz w:val="24"/>
        </w:rPr>
        <w:t>5</w:t>
      </w:r>
      <w:r w:rsidRPr="00D07445">
        <w:rPr>
          <w:rFonts w:ascii="Palatino" w:hAnsi="Palatino"/>
          <w:sz w:val="24"/>
        </w:rPr>
        <w:t xml:space="preserve">, </w:t>
      </w:r>
      <w:r w:rsidR="004C0EAA">
        <w:rPr>
          <w:rFonts w:ascii="Palatino" w:hAnsi="Palatino"/>
          <w:sz w:val="24"/>
        </w:rPr>
        <w:t>and thereafter, until further</w:t>
      </w:r>
      <w:r w:rsidRPr="00D07445">
        <w:rPr>
          <w:rFonts w:ascii="Palatino" w:hAnsi="Palatino"/>
          <w:sz w:val="24"/>
        </w:rPr>
        <w:t xml:space="preserve"> directed by the Commission.</w:t>
      </w:r>
    </w:p>
    <w:p w:rsidR="002E080A" w:rsidRDefault="002E080A">
      <w:pPr>
        <w:pStyle w:val="BodyText"/>
        <w:numPr>
          <w:ilvl w:val="0"/>
          <w:numId w:val="10"/>
        </w:numPr>
        <w:tabs>
          <w:tab w:val="clear" w:pos="720"/>
        </w:tabs>
        <w:ind w:right="432"/>
      </w:pPr>
      <w:r>
        <w:t xml:space="preserve">The Commission is conducting a review of the CHCF-A program </w:t>
      </w:r>
      <w:r w:rsidR="00576691">
        <w:t>in</w:t>
      </w:r>
      <w:r>
        <w:t xml:space="preserve"> Rulemaking 11-11-007</w:t>
      </w:r>
      <w:r w:rsidR="00576691">
        <w:t>.</w:t>
      </w:r>
      <w:r w:rsidR="00F707E1">
        <w:t xml:space="preserve">  </w:t>
      </w:r>
    </w:p>
    <w:p w:rsidR="004341AC" w:rsidRDefault="004341AC">
      <w:pPr>
        <w:pStyle w:val="BodyText"/>
        <w:numPr>
          <w:ilvl w:val="0"/>
          <w:numId w:val="10"/>
        </w:numPr>
        <w:tabs>
          <w:tab w:val="clear" w:pos="720"/>
        </w:tabs>
        <w:ind w:right="432"/>
      </w:pPr>
      <w:r>
        <w:t xml:space="preserve">In accordance with Resolution T-16901, dated December 2, 2004, AT&amp;T should file an </w:t>
      </w:r>
      <w:r w:rsidR="00F93147">
        <w:t>a</w:t>
      </w:r>
      <w:r>
        <w:t xml:space="preserve">dvice </w:t>
      </w:r>
      <w:r w:rsidR="00F93147">
        <w:t>l</w:t>
      </w:r>
      <w:r w:rsidR="004108A3">
        <w:t xml:space="preserve">etter </w:t>
      </w:r>
      <w:r w:rsidR="00F93147">
        <w:t xml:space="preserve">by </w:t>
      </w:r>
      <w:r w:rsidR="00131463">
        <w:t>Dec</w:t>
      </w:r>
      <w:r w:rsidR="00576691">
        <w:t>ember</w:t>
      </w:r>
      <w:r w:rsidR="00904D3E">
        <w:t xml:space="preserve"> </w:t>
      </w:r>
      <w:r w:rsidR="00131463">
        <w:t>4</w:t>
      </w:r>
      <w:r w:rsidR="004108A3">
        <w:t>, 201</w:t>
      </w:r>
      <w:r w:rsidR="00131463">
        <w:t>4</w:t>
      </w:r>
      <w:r>
        <w:t xml:space="preserve">, modifying the CHCF-A surcharge rate </w:t>
      </w:r>
      <w:r w:rsidR="004108A3">
        <w:t>from 0.</w:t>
      </w:r>
      <w:r w:rsidR="00131463">
        <w:t>18</w:t>
      </w:r>
      <w:r w:rsidR="004108A3">
        <w:t xml:space="preserve">% to </w:t>
      </w:r>
      <w:r w:rsidR="00E46FDA">
        <w:t>0.</w:t>
      </w:r>
      <w:r w:rsidR="00131463">
        <w:t>35</w:t>
      </w:r>
      <w:r w:rsidR="00E46FDA">
        <w:t>%</w:t>
      </w:r>
      <w:r w:rsidR="006F343B">
        <w:t>,</w:t>
      </w:r>
      <w:r w:rsidR="004108A3">
        <w:t xml:space="preserve"> </w:t>
      </w:r>
      <w:r w:rsidR="007B1AB0">
        <w:t>effective</w:t>
      </w:r>
      <w:r w:rsidR="009D4659">
        <w:t xml:space="preserve"> </w:t>
      </w:r>
      <w:r w:rsidR="00131463">
        <w:t xml:space="preserve">January </w:t>
      </w:r>
      <w:r w:rsidR="00FB0E8F">
        <w:t>1</w:t>
      </w:r>
      <w:r w:rsidR="004108A3">
        <w:t>, 201</w:t>
      </w:r>
      <w:r w:rsidR="002E286B">
        <w:t>5</w:t>
      </w:r>
      <w:r>
        <w:t xml:space="preserve">, until further revised by the Commission.  </w:t>
      </w:r>
      <w:r w:rsidRPr="004552E0">
        <w:t>AT&amp;T is not required to inform competing carriers of tariff changes which comply with this resolution.</w:t>
      </w:r>
    </w:p>
    <w:p w:rsidR="00643517" w:rsidRDefault="00643517">
      <w:pPr>
        <w:pStyle w:val="BodyText"/>
        <w:numPr>
          <w:ilvl w:val="0"/>
          <w:numId w:val="10"/>
        </w:numPr>
        <w:tabs>
          <w:tab w:val="clear" w:pos="720"/>
        </w:tabs>
        <w:ind w:right="432"/>
      </w:pPr>
      <w:r>
        <w:t>On November 5, 2014, the Small ILECs filed comments on the proposed resolution.</w:t>
      </w:r>
    </w:p>
    <w:p w:rsidR="00035D08" w:rsidRDefault="00035D08">
      <w:pPr>
        <w:pStyle w:val="BodyText"/>
        <w:tabs>
          <w:tab w:val="clear" w:pos="720"/>
        </w:tabs>
        <w:spacing w:after="0"/>
        <w:ind w:left="-86" w:right="432" w:hanging="34"/>
      </w:pPr>
    </w:p>
    <w:p w:rsidR="00C57A57" w:rsidRDefault="00C57A57">
      <w:pPr>
        <w:tabs>
          <w:tab w:val="left" w:pos="9540"/>
        </w:tabs>
        <w:ind w:left="-86" w:right="432"/>
        <w:rPr>
          <w:rFonts w:ascii="Palatino" w:hAnsi="Palatino"/>
          <w:b/>
          <w:sz w:val="26"/>
        </w:rPr>
      </w:pPr>
    </w:p>
    <w:p w:rsidR="00C57A57" w:rsidRDefault="00C57A57">
      <w:pPr>
        <w:tabs>
          <w:tab w:val="left" w:pos="9540"/>
        </w:tabs>
        <w:ind w:left="-86" w:right="432"/>
        <w:rPr>
          <w:rFonts w:ascii="Palatino" w:hAnsi="Palatino"/>
          <w:b/>
          <w:sz w:val="26"/>
        </w:rPr>
      </w:pPr>
    </w:p>
    <w:p w:rsidR="00C57A57" w:rsidRDefault="00C57A57">
      <w:pPr>
        <w:tabs>
          <w:tab w:val="left" w:pos="9540"/>
        </w:tabs>
        <w:ind w:left="-86" w:right="432"/>
        <w:rPr>
          <w:rFonts w:ascii="Palatino" w:hAnsi="Palatino"/>
          <w:b/>
          <w:sz w:val="26"/>
        </w:rPr>
      </w:pPr>
    </w:p>
    <w:p w:rsidR="00956DBB" w:rsidRDefault="00956DBB">
      <w:pPr>
        <w:tabs>
          <w:tab w:val="left" w:pos="9540"/>
        </w:tabs>
        <w:ind w:left="-86" w:right="432"/>
        <w:rPr>
          <w:rFonts w:ascii="Palatino" w:hAnsi="Palatino"/>
          <w:b/>
          <w:sz w:val="26"/>
        </w:rPr>
      </w:pPr>
    </w:p>
    <w:p w:rsidR="00956DBB" w:rsidRDefault="00956DBB">
      <w:pPr>
        <w:tabs>
          <w:tab w:val="left" w:pos="9540"/>
        </w:tabs>
        <w:ind w:left="-86" w:right="432"/>
        <w:rPr>
          <w:rFonts w:ascii="Palatino" w:hAnsi="Palatino"/>
          <w:b/>
          <w:sz w:val="26"/>
        </w:rPr>
      </w:pPr>
    </w:p>
    <w:p w:rsidR="00956DBB" w:rsidRDefault="00956DBB">
      <w:pPr>
        <w:tabs>
          <w:tab w:val="left" w:pos="9540"/>
        </w:tabs>
        <w:ind w:left="-86" w:right="432"/>
        <w:rPr>
          <w:rFonts w:ascii="Palatino" w:hAnsi="Palatino"/>
          <w:b/>
          <w:sz w:val="26"/>
        </w:rPr>
      </w:pPr>
    </w:p>
    <w:p w:rsidR="00956DBB" w:rsidRDefault="00956DBB">
      <w:pPr>
        <w:tabs>
          <w:tab w:val="left" w:pos="9540"/>
        </w:tabs>
        <w:ind w:left="-86" w:right="432"/>
        <w:rPr>
          <w:rFonts w:ascii="Palatino" w:hAnsi="Palatino"/>
          <w:b/>
          <w:sz w:val="26"/>
        </w:rPr>
      </w:pPr>
    </w:p>
    <w:p w:rsidR="004341AC" w:rsidRDefault="004341AC">
      <w:pPr>
        <w:tabs>
          <w:tab w:val="left" w:pos="9540"/>
        </w:tabs>
        <w:ind w:left="-86" w:right="432"/>
        <w:rPr>
          <w:rFonts w:ascii="Palatino" w:hAnsi="Palatino"/>
          <w:sz w:val="26"/>
        </w:rPr>
      </w:pPr>
      <w:r>
        <w:rPr>
          <w:rFonts w:ascii="Palatino" w:hAnsi="Palatino"/>
          <w:b/>
          <w:sz w:val="26"/>
        </w:rPr>
        <w:t xml:space="preserve">THEREFORE, IT IS ORDERED </w:t>
      </w:r>
      <w:r>
        <w:rPr>
          <w:rFonts w:ascii="Palatino" w:hAnsi="Palatino"/>
          <w:sz w:val="26"/>
        </w:rPr>
        <w:t>that:</w:t>
      </w:r>
    </w:p>
    <w:p w:rsidR="004341AC" w:rsidRDefault="004341AC">
      <w:pPr>
        <w:ind w:right="432"/>
        <w:rPr>
          <w:rFonts w:ascii="Palatino" w:hAnsi="Palatino"/>
          <w:sz w:val="24"/>
        </w:rPr>
      </w:pPr>
    </w:p>
    <w:p w:rsidR="004341AC" w:rsidRDefault="004341AC">
      <w:pPr>
        <w:numPr>
          <w:ilvl w:val="0"/>
          <w:numId w:val="12"/>
        </w:numPr>
        <w:spacing w:after="120"/>
        <w:ind w:right="432"/>
        <w:rPr>
          <w:rFonts w:ascii="Palatino" w:hAnsi="Palatino"/>
          <w:sz w:val="24"/>
        </w:rPr>
      </w:pPr>
      <w:r>
        <w:rPr>
          <w:rFonts w:ascii="Palatino" w:hAnsi="Palatino"/>
          <w:sz w:val="24"/>
        </w:rPr>
        <w:t>The California High C</w:t>
      </w:r>
      <w:r w:rsidR="00857057">
        <w:rPr>
          <w:rFonts w:ascii="Palatino" w:hAnsi="Palatino"/>
          <w:sz w:val="24"/>
        </w:rPr>
        <w:t xml:space="preserve">ost Fund-A surcharge rate of </w:t>
      </w:r>
      <w:r w:rsidR="005F3C8C">
        <w:rPr>
          <w:rFonts w:ascii="Palatino" w:hAnsi="Palatino"/>
          <w:sz w:val="24"/>
        </w:rPr>
        <w:t>0.</w:t>
      </w:r>
      <w:r w:rsidR="00BF6092">
        <w:rPr>
          <w:rFonts w:ascii="Palatino" w:hAnsi="Palatino"/>
          <w:sz w:val="24"/>
        </w:rPr>
        <w:t>35</w:t>
      </w:r>
      <w:r w:rsidR="00E46FDA">
        <w:rPr>
          <w:rFonts w:ascii="Palatino" w:hAnsi="Palatino"/>
          <w:sz w:val="24"/>
        </w:rPr>
        <w:t>%</w:t>
      </w:r>
      <w:r w:rsidR="006F343B">
        <w:rPr>
          <w:rFonts w:ascii="Palatino" w:hAnsi="Palatino"/>
          <w:sz w:val="24"/>
        </w:rPr>
        <w:t>,</w:t>
      </w:r>
      <w:r w:rsidR="004108A3">
        <w:rPr>
          <w:rFonts w:ascii="Palatino" w:hAnsi="Palatino"/>
          <w:sz w:val="24"/>
        </w:rPr>
        <w:t xml:space="preserve"> </w:t>
      </w:r>
      <w:r w:rsidR="00F93147">
        <w:rPr>
          <w:rFonts w:ascii="Palatino" w:hAnsi="Palatino"/>
          <w:sz w:val="24"/>
        </w:rPr>
        <w:t xml:space="preserve">shall be </w:t>
      </w:r>
      <w:r w:rsidR="004108A3">
        <w:rPr>
          <w:rFonts w:ascii="Palatino" w:hAnsi="Palatino"/>
          <w:sz w:val="24"/>
        </w:rPr>
        <w:t xml:space="preserve">effective </w:t>
      </w:r>
      <w:r w:rsidR="00BF6092">
        <w:rPr>
          <w:rFonts w:ascii="Palatino" w:hAnsi="Palatino"/>
          <w:sz w:val="24"/>
        </w:rPr>
        <w:t>January</w:t>
      </w:r>
      <w:r w:rsidR="00FB0E8F">
        <w:rPr>
          <w:rFonts w:ascii="Palatino" w:hAnsi="Palatino"/>
          <w:sz w:val="24"/>
        </w:rPr>
        <w:t xml:space="preserve"> 1</w:t>
      </w:r>
      <w:r w:rsidR="00C871FD">
        <w:rPr>
          <w:rFonts w:ascii="Palatino" w:hAnsi="Palatino"/>
          <w:sz w:val="24"/>
        </w:rPr>
        <w:t>, 201</w:t>
      </w:r>
      <w:r w:rsidR="00BF6092">
        <w:rPr>
          <w:rFonts w:ascii="Palatino" w:hAnsi="Palatino"/>
          <w:sz w:val="24"/>
        </w:rPr>
        <w:t>5</w:t>
      </w:r>
      <w:r>
        <w:rPr>
          <w:rFonts w:ascii="Palatino" w:hAnsi="Palatino"/>
          <w:sz w:val="24"/>
        </w:rPr>
        <w:t>, until further revised by the Commission</w:t>
      </w:r>
      <w:r w:rsidR="00F93147">
        <w:rPr>
          <w:rFonts w:ascii="Palatino" w:hAnsi="Palatino"/>
          <w:sz w:val="24"/>
        </w:rPr>
        <w:t>, is adopted</w:t>
      </w:r>
      <w:r>
        <w:rPr>
          <w:rFonts w:ascii="Palatino" w:hAnsi="Palatino"/>
          <w:sz w:val="24"/>
        </w:rPr>
        <w:t>.</w:t>
      </w:r>
    </w:p>
    <w:p w:rsidR="004341AC" w:rsidRDefault="004341AC">
      <w:pPr>
        <w:numPr>
          <w:ilvl w:val="0"/>
          <w:numId w:val="12"/>
        </w:numPr>
        <w:spacing w:after="120"/>
        <w:ind w:right="432"/>
        <w:rPr>
          <w:rFonts w:ascii="Palatino" w:hAnsi="Palatino"/>
          <w:sz w:val="24"/>
        </w:rPr>
      </w:pPr>
      <w:r>
        <w:rPr>
          <w:rFonts w:ascii="Palatino" w:hAnsi="Palatino"/>
          <w:sz w:val="24"/>
        </w:rPr>
        <w:t>AT&amp;T shall file an</w:t>
      </w:r>
      <w:r w:rsidR="00F65814">
        <w:rPr>
          <w:rFonts w:ascii="Palatino" w:hAnsi="Palatino"/>
          <w:sz w:val="24"/>
        </w:rPr>
        <w:t xml:space="preserve"> </w:t>
      </w:r>
      <w:r w:rsidR="004C0EAA">
        <w:rPr>
          <w:rFonts w:ascii="Palatino" w:hAnsi="Palatino"/>
          <w:sz w:val="24"/>
        </w:rPr>
        <w:t>a</w:t>
      </w:r>
      <w:r>
        <w:rPr>
          <w:rFonts w:ascii="Palatino" w:hAnsi="Palatino"/>
          <w:sz w:val="24"/>
        </w:rPr>
        <w:t>d</w:t>
      </w:r>
      <w:r w:rsidR="004108A3">
        <w:rPr>
          <w:rFonts w:ascii="Palatino" w:hAnsi="Palatino"/>
          <w:sz w:val="24"/>
        </w:rPr>
        <w:t xml:space="preserve">vice </w:t>
      </w:r>
      <w:r w:rsidR="004C0EAA">
        <w:rPr>
          <w:rFonts w:ascii="Palatino" w:hAnsi="Palatino"/>
          <w:sz w:val="24"/>
        </w:rPr>
        <w:t>l</w:t>
      </w:r>
      <w:r w:rsidR="004108A3">
        <w:rPr>
          <w:rFonts w:ascii="Palatino" w:hAnsi="Palatino"/>
          <w:sz w:val="24"/>
        </w:rPr>
        <w:t xml:space="preserve">etter on or before </w:t>
      </w:r>
      <w:r w:rsidR="00BF6092">
        <w:rPr>
          <w:rFonts w:ascii="Palatino" w:hAnsi="Palatino"/>
          <w:sz w:val="24"/>
        </w:rPr>
        <w:t>December 4</w:t>
      </w:r>
      <w:r w:rsidR="005F3C8C">
        <w:rPr>
          <w:rFonts w:ascii="Palatino" w:hAnsi="Palatino"/>
          <w:sz w:val="24"/>
        </w:rPr>
        <w:t>, 2014</w:t>
      </w:r>
      <w:r>
        <w:rPr>
          <w:rFonts w:ascii="Palatino" w:hAnsi="Palatino"/>
          <w:sz w:val="24"/>
        </w:rPr>
        <w:t>, modifying the surcharge rate for the Calif</w:t>
      </w:r>
      <w:r w:rsidR="004108A3">
        <w:rPr>
          <w:rFonts w:ascii="Palatino" w:hAnsi="Palatino"/>
          <w:sz w:val="24"/>
        </w:rPr>
        <w:t>ornia Hig</w:t>
      </w:r>
      <w:r w:rsidR="005F3C8C">
        <w:rPr>
          <w:rFonts w:ascii="Palatino" w:hAnsi="Palatino"/>
          <w:sz w:val="24"/>
        </w:rPr>
        <w:t>h Cost Fund-A, from 0.18</w:t>
      </w:r>
      <w:r w:rsidR="004108A3">
        <w:rPr>
          <w:rFonts w:ascii="Palatino" w:hAnsi="Palatino"/>
          <w:sz w:val="24"/>
        </w:rPr>
        <w:t xml:space="preserve">% to </w:t>
      </w:r>
      <w:r w:rsidR="005F3C8C">
        <w:rPr>
          <w:rFonts w:ascii="Palatino" w:hAnsi="Palatino"/>
          <w:sz w:val="24"/>
        </w:rPr>
        <w:t>0.</w:t>
      </w:r>
      <w:r w:rsidR="00BF6092">
        <w:rPr>
          <w:rFonts w:ascii="Palatino" w:hAnsi="Palatino"/>
          <w:sz w:val="24"/>
        </w:rPr>
        <w:t>35</w:t>
      </w:r>
      <w:r w:rsidR="00E46FDA">
        <w:rPr>
          <w:rFonts w:ascii="Palatino" w:hAnsi="Palatino"/>
          <w:sz w:val="24"/>
        </w:rPr>
        <w:t>%</w:t>
      </w:r>
      <w:r w:rsidR="004108A3">
        <w:rPr>
          <w:rFonts w:ascii="Palatino" w:hAnsi="Palatino"/>
          <w:sz w:val="24"/>
        </w:rPr>
        <w:t xml:space="preserve">, effective </w:t>
      </w:r>
      <w:r w:rsidR="00BF6092">
        <w:rPr>
          <w:rFonts w:ascii="Palatino" w:hAnsi="Palatino"/>
          <w:sz w:val="24"/>
        </w:rPr>
        <w:t>January</w:t>
      </w:r>
      <w:r w:rsidR="00FB0E8F">
        <w:rPr>
          <w:rFonts w:ascii="Palatino" w:hAnsi="Palatino"/>
          <w:sz w:val="24"/>
        </w:rPr>
        <w:t xml:space="preserve"> 1</w:t>
      </w:r>
      <w:r>
        <w:rPr>
          <w:rFonts w:ascii="Palatino" w:hAnsi="Palatino"/>
          <w:sz w:val="24"/>
        </w:rPr>
        <w:t>, 201</w:t>
      </w:r>
      <w:r w:rsidR="00BF6092">
        <w:rPr>
          <w:rFonts w:ascii="Palatino" w:hAnsi="Palatino"/>
          <w:sz w:val="24"/>
        </w:rPr>
        <w:t>5</w:t>
      </w:r>
      <w:r>
        <w:rPr>
          <w:rFonts w:ascii="Palatino" w:hAnsi="Palatino"/>
          <w:sz w:val="24"/>
        </w:rPr>
        <w:t xml:space="preserve">, </w:t>
      </w:r>
      <w:r w:rsidR="00F93147">
        <w:rPr>
          <w:rFonts w:ascii="Palatino" w:hAnsi="Palatino"/>
          <w:sz w:val="24"/>
        </w:rPr>
        <w:t xml:space="preserve">and thereafter, </w:t>
      </w:r>
      <w:r>
        <w:rPr>
          <w:rFonts w:ascii="Palatino" w:hAnsi="Palatino"/>
          <w:sz w:val="24"/>
        </w:rPr>
        <w:t xml:space="preserve">until further revised by the Commission.  </w:t>
      </w:r>
    </w:p>
    <w:p w:rsidR="00A11869" w:rsidRPr="007B1EAE" w:rsidRDefault="004341AC" w:rsidP="007B1EAE">
      <w:pPr>
        <w:numPr>
          <w:ilvl w:val="0"/>
          <w:numId w:val="12"/>
        </w:numPr>
        <w:spacing w:after="120"/>
        <w:ind w:right="432"/>
        <w:rPr>
          <w:rFonts w:ascii="Palatino" w:hAnsi="Palatino"/>
          <w:sz w:val="24"/>
        </w:rPr>
      </w:pPr>
      <w:r w:rsidRPr="007B1EAE">
        <w:rPr>
          <w:rFonts w:ascii="Palatino" w:hAnsi="Palatino"/>
          <w:sz w:val="24"/>
        </w:rPr>
        <w:t xml:space="preserve">All telecommunications carriers </w:t>
      </w:r>
      <w:r w:rsidR="004C0EAA" w:rsidRPr="007B1EAE">
        <w:rPr>
          <w:rFonts w:ascii="Palatino" w:hAnsi="Palatino"/>
          <w:sz w:val="24"/>
        </w:rPr>
        <w:t xml:space="preserve">and interconnected VoIP service providers </w:t>
      </w:r>
      <w:r w:rsidRPr="007B1EAE">
        <w:rPr>
          <w:rFonts w:ascii="Palatino" w:hAnsi="Palatino"/>
          <w:sz w:val="24"/>
        </w:rPr>
        <w:t xml:space="preserve">shall revise the California High Cost Fund-A surcharge rate assessed on </w:t>
      </w:r>
      <w:r w:rsidR="00F93147" w:rsidRPr="007B1EAE">
        <w:rPr>
          <w:rFonts w:ascii="Palatino" w:hAnsi="Palatino"/>
          <w:sz w:val="24"/>
        </w:rPr>
        <w:t xml:space="preserve">revenues collected from </w:t>
      </w:r>
      <w:r w:rsidR="004C0EAA" w:rsidRPr="007B1EAE">
        <w:rPr>
          <w:rFonts w:ascii="Palatino" w:hAnsi="Palatino"/>
          <w:sz w:val="24"/>
        </w:rPr>
        <w:t xml:space="preserve">end users for </w:t>
      </w:r>
      <w:r w:rsidRPr="007B1EAE">
        <w:rPr>
          <w:rFonts w:ascii="Palatino" w:hAnsi="Palatino"/>
          <w:sz w:val="24"/>
        </w:rPr>
        <w:t>intrastate telecommun</w:t>
      </w:r>
      <w:r w:rsidR="004108A3" w:rsidRPr="007B1EAE">
        <w:rPr>
          <w:rFonts w:ascii="Palatino" w:hAnsi="Palatino"/>
          <w:sz w:val="24"/>
        </w:rPr>
        <w:t>ications service</w:t>
      </w:r>
      <w:r w:rsidR="00F93147" w:rsidRPr="007B1EAE">
        <w:rPr>
          <w:rFonts w:ascii="Palatino" w:hAnsi="Palatino"/>
          <w:sz w:val="24"/>
        </w:rPr>
        <w:t>s, subject to surcharge,</w:t>
      </w:r>
      <w:r w:rsidR="004108A3" w:rsidRPr="007B1EAE">
        <w:rPr>
          <w:rFonts w:ascii="Palatino" w:hAnsi="Palatino"/>
          <w:sz w:val="24"/>
        </w:rPr>
        <w:t xml:space="preserve"> </w:t>
      </w:r>
      <w:r w:rsidR="00662842" w:rsidRPr="007B1EAE">
        <w:rPr>
          <w:rFonts w:ascii="Palatino" w:hAnsi="Palatino"/>
          <w:sz w:val="24"/>
        </w:rPr>
        <w:t>from 0.18</w:t>
      </w:r>
      <w:r w:rsidR="00F93147" w:rsidRPr="007B1EAE">
        <w:rPr>
          <w:rFonts w:ascii="Palatino" w:hAnsi="Palatino"/>
          <w:sz w:val="24"/>
        </w:rPr>
        <w:t xml:space="preserve">%  </w:t>
      </w:r>
      <w:r w:rsidR="004108A3" w:rsidRPr="007B1EAE">
        <w:rPr>
          <w:rFonts w:ascii="Palatino" w:hAnsi="Palatino"/>
          <w:sz w:val="24"/>
        </w:rPr>
        <w:t xml:space="preserve">to </w:t>
      </w:r>
      <w:r w:rsidR="00662842" w:rsidRPr="007B1EAE">
        <w:rPr>
          <w:rFonts w:ascii="Palatino" w:hAnsi="Palatino"/>
          <w:sz w:val="24"/>
        </w:rPr>
        <w:t>0.</w:t>
      </w:r>
      <w:r w:rsidR="00BF6092" w:rsidRPr="007B1EAE">
        <w:rPr>
          <w:rFonts w:ascii="Palatino" w:hAnsi="Palatino"/>
          <w:sz w:val="24"/>
        </w:rPr>
        <w:t>35</w:t>
      </w:r>
      <w:r w:rsidR="00E46FDA" w:rsidRPr="007B1EAE">
        <w:rPr>
          <w:rFonts w:ascii="Palatino" w:hAnsi="Palatino"/>
          <w:sz w:val="24"/>
        </w:rPr>
        <w:t>%</w:t>
      </w:r>
      <w:r w:rsidR="006F343B" w:rsidRPr="007B1EAE">
        <w:rPr>
          <w:rFonts w:ascii="Palatino" w:hAnsi="Palatino"/>
          <w:sz w:val="24"/>
        </w:rPr>
        <w:t>,</w:t>
      </w:r>
      <w:r w:rsidR="004108A3" w:rsidRPr="007B1EAE">
        <w:rPr>
          <w:rFonts w:ascii="Palatino" w:hAnsi="Palatino"/>
          <w:sz w:val="24"/>
        </w:rPr>
        <w:t xml:space="preserve"> </w:t>
      </w:r>
      <w:r w:rsidR="00B94473" w:rsidRPr="007B1EAE">
        <w:rPr>
          <w:rFonts w:ascii="Palatino" w:hAnsi="Palatino"/>
          <w:sz w:val="24"/>
        </w:rPr>
        <w:t>effective</w:t>
      </w:r>
      <w:r w:rsidR="004108A3" w:rsidRPr="007B1EAE">
        <w:rPr>
          <w:rFonts w:ascii="Palatino" w:hAnsi="Palatino"/>
          <w:sz w:val="24"/>
        </w:rPr>
        <w:t xml:space="preserve"> </w:t>
      </w:r>
      <w:r w:rsidR="00BF6092" w:rsidRPr="007B1EAE">
        <w:rPr>
          <w:rFonts w:ascii="Palatino" w:hAnsi="Palatino"/>
          <w:sz w:val="24"/>
        </w:rPr>
        <w:t>January</w:t>
      </w:r>
      <w:r w:rsidR="00FB0E8F" w:rsidRPr="007B1EAE">
        <w:rPr>
          <w:rFonts w:ascii="Palatino" w:hAnsi="Palatino"/>
          <w:sz w:val="24"/>
        </w:rPr>
        <w:t xml:space="preserve"> 1</w:t>
      </w:r>
      <w:r w:rsidR="00662842" w:rsidRPr="007B1EAE">
        <w:rPr>
          <w:rFonts w:ascii="Palatino" w:hAnsi="Palatino"/>
          <w:sz w:val="24"/>
        </w:rPr>
        <w:t>, 201</w:t>
      </w:r>
      <w:r w:rsidR="00BF6092" w:rsidRPr="007B1EAE">
        <w:rPr>
          <w:rFonts w:ascii="Palatino" w:hAnsi="Palatino"/>
          <w:sz w:val="24"/>
        </w:rPr>
        <w:t>5</w:t>
      </w:r>
      <w:r w:rsidR="00662842" w:rsidRPr="007B1EAE">
        <w:rPr>
          <w:rFonts w:ascii="Palatino" w:hAnsi="Palatino"/>
          <w:sz w:val="24"/>
        </w:rPr>
        <w:t>,</w:t>
      </w:r>
      <w:r w:rsidR="00F93147" w:rsidRPr="007B1EAE">
        <w:rPr>
          <w:rFonts w:ascii="Palatino" w:hAnsi="Palatino"/>
          <w:sz w:val="24"/>
        </w:rPr>
        <w:t xml:space="preserve"> and thereafter</w:t>
      </w:r>
      <w:r w:rsidRPr="007B1EAE">
        <w:rPr>
          <w:rFonts w:ascii="Palatino" w:hAnsi="Palatino"/>
          <w:sz w:val="24"/>
        </w:rPr>
        <w:t>, until further revised by the Commission.</w:t>
      </w:r>
    </w:p>
    <w:p w:rsidR="00D74ADB" w:rsidRDefault="00D74ADB">
      <w:pPr>
        <w:ind w:right="432"/>
        <w:rPr>
          <w:rFonts w:ascii="Palatino" w:hAnsi="Palatino"/>
          <w:sz w:val="24"/>
        </w:rPr>
      </w:pPr>
    </w:p>
    <w:p w:rsidR="004341AC" w:rsidRDefault="0058342A">
      <w:pPr>
        <w:ind w:right="432"/>
        <w:rPr>
          <w:rFonts w:ascii="Palatino" w:hAnsi="Palatino"/>
          <w:sz w:val="24"/>
        </w:rPr>
      </w:pPr>
      <w:r>
        <w:rPr>
          <w:rFonts w:ascii="Palatino" w:hAnsi="Palatino"/>
          <w:sz w:val="24"/>
        </w:rPr>
        <w:t>T</w:t>
      </w:r>
      <w:r w:rsidR="004341AC">
        <w:rPr>
          <w:rFonts w:ascii="Palatino" w:hAnsi="Palatino"/>
          <w:sz w:val="24"/>
        </w:rPr>
        <w:t>his Resolution is effective today.</w:t>
      </w:r>
    </w:p>
    <w:p w:rsidR="004341AC" w:rsidRDefault="004341AC">
      <w:pPr>
        <w:pStyle w:val="xl41"/>
        <w:overflowPunct/>
        <w:autoSpaceDE/>
        <w:autoSpaceDN/>
        <w:adjustRightInd/>
        <w:spacing w:before="0" w:after="0"/>
        <w:ind w:right="432"/>
        <w:textAlignment w:val="auto"/>
        <w:rPr>
          <w:rFonts w:ascii="Palatino" w:eastAsia="Times New Roman" w:hAnsi="Palatino"/>
        </w:rPr>
      </w:pPr>
    </w:p>
    <w:p w:rsidR="004341AC" w:rsidRDefault="004341AC">
      <w:pPr>
        <w:ind w:right="432"/>
        <w:rPr>
          <w:rFonts w:ascii="Palatino" w:hAnsi="Palatino"/>
          <w:sz w:val="24"/>
        </w:rPr>
      </w:pPr>
      <w:r>
        <w:rPr>
          <w:rFonts w:ascii="Palatino" w:hAnsi="Palatino"/>
          <w:sz w:val="24"/>
        </w:rPr>
        <w:t xml:space="preserve">I hereby certify that this Resolution was adopted by the Public Utilities Commission </w:t>
      </w:r>
      <w:r w:rsidR="004108A3">
        <w:rPr>
          <w:rFonts w:ascii="Palatino" w:hAnsi="Palatino"/>
          <w:sz w:val="24"/>
        </w:rPr>
        <w:t xml:space="preserve">at its regular meeting on </w:t>
      </w:r>
      <w:r w:rsidR="00BF6092">
        <w:rPr>
          <w:rFonts w:ascii="Palatino" w:hAnsi="Palatino"/>
          <w:sz w:val="24"/>
        </w:rPr>
        <w:t>November 20, 2014</w:t>
      </w:r>
      <w:r>
        <w:rPr>
          <w:rFonts w:ascii="Palatino" w:hAnsi="Palatino"/>
          <w:sz w:val="24"/>
        </w:rPr>
        <w:t>.  The following Commissioners approved it:</w:t>
      </w:r>
    </w:p>
    <w:p w:rsidR="004341AC" w:rsidRDefault="004341AC">
      <w:pPr>
        <w:ind w:right="432"/>
        <w:rPr>
          <w:rFonts w:ascii="Palatino" w:hAnsi="Palatino"/>
          <w:sz w:val="24"/>
        </w:rPr>
      </w:pPr>
    </w:p>
    <w:p w:rsidR="00191608" w:rsidRDefault="00191608">
      <w:pPr>
        <w:ind w:right="432"/>
        <w:rPr>
          <w:rFonts w:ascii="Palatino" w:hAnsi="Palatino"/>
          <w:sz w:val="24"/>
        </w:rPr>
      </w:pPr>
    </w:p>
    <w:p w:rsidR="00191608" w:rsidRDefault="00191608">
      <w:pPr>
        <w:ind w:right="432"/>
        <w:rPr>
          <w:rFonts w:ascii="Palatino" w:hAnsi="Palatino"/>
          <w:sz w:val="24"/>
        </w:rPr>
      </w:pPr>
    </w:p>
    <w:p w:rsidR="004341AC" w:rsidRDefault="004341AC">
      <w:pPr>
        <w:ind w:right="432"/>
        <w:rPr>
          <w:rFonts w:ascii="Palatino" w:hAnsi="Palatino"/>
          <w:sz w:val="24"/>
        </w:rPr>
      </w:pPr>
    </w:p>
    <w:p w:rsidR="004341AC" w:rsidRDefault="004341AC">
      <w:pPr>
        <w:ind w:right="432"/>
        <w:rPr>
          <w:rFonts w:ascii="Palatino" w:hAnsi="Palatino"/>
          <w:sz w:val="24"/>
        </w:rPr>
      </w:pPr>
    </w:p>
    <w:tbl>
      <w:tblPr>
        <w:tblW w:w="0" w:type="auto"/>
        <w:tblInd w:w="4788" w:type="dxa"/>
        <w:tblLayout w:type="fixed"/>
        <w:tblLook w:val="0000" w:firstRow="0" w:lastRow="0" w:firstColumn="0" w:lastColumn="0" w:noHBand="0" w:noVBand="0"/>
      </w:tblPr>
      <w:tblGrid>
        <w:gridCol w:w="3870"/>
      </w:tblGrid>
      <w:tr w:rsidR="004341AC">
        <w:tc>
          <w:tcPr>
            <w:tcW w:w="3870" w:type="dxa"/>
            <w:tcBorders>
              <w:bottom w:val="single" w:sz="6" w:space="0" w:color="auto"/>
            </w:tcBorders>
          </w:tcPr>
          <w:p w:rsidR="004341AC" w:rsidRDefault="004341AC" w:rsidP="0005529C">
            <w:pPr>
              <w:ind w:right="432"/>
              <w:rPr>
                <w:rFonts w:ascii="Palatino" w:hAnsi="Palatino"/>
                <w:sz w:val="24"/>
              </w:rPr>
            </w:pPr>
            <w:r>
              <w:rPr>
                <w:rFonts w:ascii="Palatino" w:hAnsi="Palatino"/>
                <w:sz w:val="24"/>
              </w:rPr>
              <w:t xml:space="preserve">           </w:t>
            </w:r>
            <w:r w:rsidR="00D9208F">
              <w:rPr>
                <w:rFonts w:ascii="Palatino" w:hAnsi="Palatino"/>
                <w:sz w:val="24"/>
              </w:rPr>
              <w:t>/s/ Paul Clanon</w:t>
            </w:r>
          </w:p>
        </w:tc>
      </w:tr>
      <w:tr w:rsidR="004341AC">
        <w:tc>
          <w:tcPr>
            <w:tcW w:w="3870" w:type="dxa"/>
          </w:tcPr>
          <w:p w:rsidR="004341AC" w:rsidRDefault="004341AC">
            <w:pPr>
              <w:pStyle w:val="Heading6"/>
              <w:ind w:right="432"/>
              <w:jc w:val="center"/>
              <w:rPr>
                <w:rFonts w:ascii="Palatino" w:hAnsi="Palatino"/>
              </w:rPr>
            </w:pPr>
            <w:r>
              <w:rPr>
                <w:rFonts w:ascii="Palatino" w:hAnsi="Palatino"/>
              </w:rPr>
              <w:t>PAUL CLANON</w:t>
            </w:r>
          </w:p>
          <w:p w:rsidR="004341AC" w:rsidRDefault="004341AC">
            <w:pPr>
              <w:pStyle w:val="Heading6"/>
              <w:spacing w:before="0"/>
              <w:ind w:right="432"/>
              <w:jc w:val="center"/>
              <w:rPr>
                <w:rFonts w:ascii="Palatino" w:hAnsi="Palatino"/>
              </w:rPr>
            </w:pPr>
            <w:r>
              <w:rPr>
                <w:rFonts w:ascii="Palatino" w:hAnsi="Palatino"/>
              </w:rPr>
              <w:t>Executive Director</w:t>
            </w:r>
          </w:p>
        </w:tc>
      </w:tr>
    </w:tbl>
    <w:p w:rsidR="004341AC" w:rsidRDefault="004341AC">
      <w:pPr>
        <w:ind w:right="432"/>
        <w:rPr>
          <w:rFonts w:ascii="Palatino" w:hAnsi="Palatino"/>
          <w:sz w:val="24"/>
        </w:rPr>
      </w:pPr>
    </w:p>
    <w:p w:rsidR="00780842" w:rsidRPr="001B5FBF" w:rsidRDefault="004341AC" w:rsidP="00956DBB">
      <w:pPr>
        <w:ind w:right="432"/>
      </w:pPr>
      <w:r>
        <w:tab/>
      </w:r>
      <w:r w:rsidR="001B5FBF">
        <w:t xml:space="preserve">                    </w:t>
      </w:r>
    </w:p>
    <w:tbl>
      <w:tblPr>
        <w:tblW w:w="0" w:type="auto"/>
        <w:tblInd w:w="4788" w:type="dxa"/>
        <w:tblLayout w:type="fixed"/>
        <w:tblLook w:val="0000" w:firstRow="0" w:lastRow="0" w:firstColumn="0" w:lastColumn="0" w:noHBand="0" w:noVBand="0"/>
      </w:tblPr>
      <w:tblGrid>
        <w:gridCol w:w="4050"/>
      </w:tblGrid>
      <w:tr w:rsidR="00AB4CEC" w:rsidRPr="008C0C78" w:rsidTr="00AB1E5D">
        <w:trPr>
          <w:trHeight w:val="366"/>
        </w:trPr>
        <w:tc>
          <w:tcPr>
            <w:tcW w:w="4050" w:type="dxa"/>
          </w:tcPr>
          <w:p w:rsidR="00AB4CEC" w:rsidRPr="008C0C78" w:rsidRDefault="00AB4CEC" w:rsidP="00AB1E5D">
            <w:pPr>
              <w:tabs>
                <w:tab w:val="left" w:pos="2947"/>
              </w:tabs>
              <w:ind w:left="162" w:hanging="934"/>
              <w:rPr>
                <w:rFonts w:ascii="Palatino Linotype" w:hAnsi="Palatino Linotype"/>
                <w:sz w:val="24"/>
                <w:szCs w:val="24"/>
              </w:rPr>
            </w:pPr>
            <w:r w:rsidRPr="008C0C78">
              <w:rPr>
                <w:rFonts w:ascii="Palatino Linotype" w:hAnsi="Palatino Linotype"/>
                <w:sz w:val="24"/>
                <w:szCs w:val="24"/>
              </w:rPr>
              <w:t xml:space="preserve">                      MICHAEL R. PEEVEY</w:t>
            </w:r>
          </w:p>
          <w:p w:rsidR="00AB4CEC" w:rsidRPr="008C0C78" w:rsidRDefault="00AB4CEC" w:rsidP="00AB1E5D">
            <w:pPr>
              <w:ind w:right="792"/>
              <w:jc w:val="right"/>
              <w:rPr>
                <w:rFonts w:ascii="Palatino Linotype" w:hAnsi="Palatino Linotype"/>
                <w:sz w:val="24"/>
                <w:szCs w:val="24"/>
              </w:rPr>
            </w:pPr>
            <w:r w:rsidRPr="008C0C78">
              <w:rPr>
                <w:rFonts w:ascii="Palatino Linotype" w:hAnsi="Palatino Linotype"/>
                <w:sz w:val="24"/>
                <w:szCs w:val="24"/>
              </w:rPr>
              <w:t xml:space="preserve">                      President</w:t>
            </w:r>
          </w:p>
        </w:tc>
      </w:tr>
      <w:tr w:rsidR="00AB4CEC" w:rsidRPr="008C0C78" w:rsidTr="00AB1E5D">
        <w:trPr>
          <w:trHeight w:val="178"/>
        </w:trPr>
        <w:tc>
          <w:tcPr>
            <w:tcW w:w="4050" w:type="dxa"/>
          </w:tcPr>
          <w:p w:rsidR="00AB4CEC" w:rsidRPr="008C0C78" w:rsidRDefault="00AB4CEC" w:rsidP="00AB1E5D">
            <w:pPr>
              <w:tabs>
                <w:tab w:val="left" w:pos="327"/>
              </w:tabs>
              <w:jc w:val="center"/>
              <w:rPr>
                <w:rFonts w:ascii="Palatino Linotype" w:hAnsi="Palatino Linotype"/>
                <w:sz w:val="24"/>
                <w:szCs w:val="24"/>
              </w:rPr>
            </w:pPr>
            <w:r w:rsidRPr="008C0C78">
              <w:rPr>
                <w:rFonts w:ascii="Palatino Linotype" w:hAnsi="Palatino Linotype"/>
                <w:color w:val="000000"/>
                <w:sz w:val="24"/>
                <w:szCs w:val="24"/>
              </w:rPr>
              <w:t xml:space="preserve"> MICHEL PETER FLORIO</w:t>
            </w:r>
          </w:p>
        </w:tc>
      </w:tr>
      <w:tr w:rsidR="00AB4CEC" w:rsidRPr="008C0C78" w:rsidTr="00AB1E5D">
        <w:trPr>
          <w:trHeight w:val="178"/>
        </w:trPr>
        <w:tc>
          <w:tcPr>
            <w:tcW w:w="4050" w:type="dxa"/>
          </w:tcPr>
          <w:p w:rsidR="00AB4CEC" w:rsidRPr="008C0C78" w:rsidRDefault="00191608" w:rsidP="00AB1E5D">
            <w:pPr>
              <w:jc w:val="right"/>
              <w:rPr>
                <w:rFonts w:ascii="Palatino Linotype" w:hAnsi="Palatino Linotype"/>
                <w:sz w:val="24"/>
                <w:szCs w:val="24"/>
              </w:rPr>
            </w:pPr>
            <w:r>
              <w:rPr>
                <w:rFonts w:ascii="Palatino Linotype" w:hAnsi="Palatino Linotype"/>
                <w:sz w:val="24"/>
                <w:szCs w:val="24"/>
              </w:rPr>
              <w:t xml:space="preserve"> </w:t>
            </w:r>
            <w:r w:rsidR="00AB4CEC" w:rsidRPr="008C0C78">
              <w:rPr>
                <w:rFonts w:ascii="Palatino Linotype" w:hAnsi="Palatino Linotype"/>
                <w:sz w:val="24"/>
                <w:szCs w:val="24"/>
              </w:rPr>
              <w:t>CATHERINE J.K. SANDOVAL</w:t>
            </w:r>
            <w:r w:rsidR="00AB4CEC" w:rsidRPr="008C0C78">
              <w:rPr>
                <w:rFonts w:ascii="Palatino Linotype" w:hAnsi="Palatino Linotype"/>
                <w:color w:val="000000"/>
                <w:sz w:val="24"/>
                <w:szCs w:val="24"/>
              </w:rPr>
              <w:t xml:space="preserve">  </w:t>
            </w:r>
          </w:p>
        </w:tc>
      </w:tr>
      <w:tr w:rsidR="00AB4CEC" w:rsidRPr="008C0C78" w:rsidTr="00AB1E5D">
        <w:trPr>
          <w:trHeight w:val="178"/>
        </w:trPr>
        <w:tc>
          <w:tcPr>
            <w:tcW w:w="4050" w:type="dxa"/>
          </w:tcPr>
          <w:p w:rsidR="00AB4CEC" w:rsidRPr="008C0C78" w:rsidRDefault="00AB4CEC" w:rsidP="00AB1E5D">
            <w:pPr>
              <w:rPr>
                <w:rFonts w:ascii="Palatino Linotype" w:hAnsi="Palatino Linotype"/>
                <w:sz w:val="24"/>
                <w:szCs w:val="24"/>
              </w:rPr>
            </w:pPr>
            <w:r w:rsidRPr="008C0C78">
              <w:rPr>
                <w:rFonts w:ascii="Palatino Linotype" w:hAnsi="Palatino Linotype"/>
                <w:color w:val="000000"/>
                <w:sz w:val="24"/>
                <w:szCs w:val="24"/>
              </w:rPr>
              <w:t xml:space="preserve">   </w:t>
            </w:r>
            <w:r w:rsidR="00191608">
              <w:rPr>
                <w:rFonts w:ascii="Palatino Linotype" w:hAnsi="Palatino Linotype"/>
                <w:color w:val="000000"/>
                <w:sz w:val="24"/>
                <w:szCs w:val="24"/>
              </w:rPr>
              <w:t xml:space="preserve"> </w:t>
            </w:r>
            <w:r w:rsidRPr="008C0C78">
              <w:rPr>
                <w:rFonts w:ascii="Palatino Linotype" w:hAnsi="Palatino Linotype"/>
                <w:color w:val="000000"/>
                <w:sz w:val="24"/>
                <w:szCs w:val="24"/>
              </w:rPr>
              <w:t xml:space="preserve">     CARLA J. PETERMAN</w:t>
            </w:r>
            <w:r w:rsidRPr="008C0C78">
              <w:rPr>
                <w:rFonts w:ascii="Palatino Linotype" w:hAnsi="Palatino Linotype"/>
                <w:sz w:val="24"/>
                <w:szCs w:val="24"/>
              </w:rPr>
              <w:t xml:space="preserve">   </w:t>
            </w:r>
          </w:p>
        </w:tc>
      </w:tr>
      <w:tr w:rsidR="00AB4CEC" w:rsidRPr="008C0C78" w:rsidTr="00AB1E5D">
        <w:trPr>
          <w:trHeight w:val="187"/>
        </w:trPr>
        <w:tc>
          <w:tcPr>
            <w:tcW w:w="4050" w:type="dxa"/>
          </w:tcPr>
          <w:p w:rsidR="00AB4CEC" w:rsidRPr="008C0C78" w:rsidRDefault="00AB4CEC" w:rsidP="00AB1E5D">
            <w:pPr>
              <w:ind w:right="-198"/>
              <w:rPr>
                <w:rFonts w:ascii="Palatino Linotype" w:hAnsi="Palatino Linotype"/>
                <w:color w:val="000000"/>
                <w:sz w:val="24"/>
                <w:szCs w:val="24"/>
              </w:rPr>
            </w:pPr>
            <w:r w:rsidRPr="008C0C78">
              <w:rPr>
                <w:rFonts w:ascii="Palatino Linotype" w:hAnsi="Palatino Linotype"/>
                <w:color w:val="000000"/>
                <w:sz w:val="24"/>
                <w:szCs w:val="24"/>
              </w:rPr>
              <w:t xml:space="preserve">     </w:t>
            </w:r>
            <w:r w:rsidR="00191608">
              <w:rPr>
                <w:rFonts w:ascii="Palatino Linotype" w:hAnsi="Palatino Linotype"/>
                <w:color w:val="000000"/>
                <w:sz w:val="24"/>
                <w:szCs w:val="24"/>
              </w:rPr>
              <w:t xml:space="preserve"> </w:t>
            </w:r>
            <w:r w:rsidRPr="008C0C78">
              <w:rPr>
                <w:rFonts w:ascii="Palatino Linotype" w:hAnsi="Palatino Linotype"/>
                <w:color w:val="000000"/>
                <w:sz w:val="24"/>
                <w:szCs w:val="24"/>
              </w:rPr>
              <w:t xml:space="preserve">   MICHAEL PICKER                        </w:t>
            </w:r>
          </w:p>
        </w:tc>
      </w:tr>
      <w:tr w:rsidR="00AB4CEC" w:rsidRPr="008C0C78" w:rsidTr="00AB1E5D">
        <w:trPr>
          <w:trHeight w:val="187"/>
        </w:trPr>
        <w:tc>
          <w:tcPr>
            <w:tcW w:w="4050" w:type="dxa"/>
          </w:tcPr>
          <w:p w:rsidR="00AB4CEC" w:rsidRPr="008C0C78" w:rsidRDefault="00AB4CEC" w:rsidP="00191608">
            <w:pPr>
              <w:jc w:val="right"/>
              <w:rPr>
                <w:rFonts w:ascii="Palatino Linotype" w:hAnsi="Palatino Linotype"/>
                <w:sz w:val="24"/>
                <w:szCs w:val="24"/>
              </w:rPr>
            </w:pPr>
            <w:r w:rsidRPr="008C0C78">
              <w:rPr>
                <w:rFonts w:ascii="Palatino Linotype" w:hAnsi="Palatino Linotype"/>
                <w:sz w:val="24"/>
                <w:szCs w:val="24"/>
              </w:rPr>
              <w:t xml:space="preserve">    Commissioners</w:t>
            </w:r>
          </w:p>
        </w:tc>
      </w:tr>
    </w:tbl>
    <w:p w:rsidR="004341AC" w:rsidRPr="00780842" w:rsidRDefault="004341AC" w:rsidP="00780842">
      <w:pPr>
        <w:tabs>
          <w:tab w:val="left" w:pos="6071"/>
        </w:tabs>
        <w:rPr>
          <w:sz w:val="22"/>
          <w:szCs w:val="22"/>
        </w:rPr>
      </w:pPr>
    </w:p>
    <w:sectPr w:rsidR="004341AC" w:rsidRPr="00780842">
      <w:headerReference w:type="even" r:id="rId11"/>
      <w:headerReference w:type="default" r:id="rId12"/>
      <w:footerReference w:type="even" r:id="rId13"/>
      <w:footerReference w:type="default" r:id="rId14"/>
      <w:headerReference w:type="first" r:id="rId15"/>
      <w:footerReference w:type="first" r:id="rId16"/>
      <w:pgSz w:w="12240" w:h="15840" w:code="1"/>
      <w:pgMar w:top="1614" w:right="1008" w:bottom="1008" w:left="1440" w:header="63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0E" w:rsidRDefault="003C2C0E">
      <w:r>
        <w:separator/>
      </w:r>
    </w:p>
  </w:endnote>
  <w:endnote w:type="continuationSeparator" w:id="0">
    <w:p w:rsidR="003C2C0E" w:rsidRDefault="003C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99" w:rsidRDefault="007D3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pStyle w:val="Footer"/>
      <w:tabs>
        <w:tab w:val="clear" w:pos="4320"/>
        <w:tab w:val="center" w:pos="4680"/>
      </w:tabs>
      <w:rPr>
        <w:rFonts w:ascii="Palatino Linotype" w:hAnsi="Palatino Linotype"/>
      </w:rPr>
    </w:pPr>
    <w:r>
      <w:rPr>
        <w:rStyle w:val="PageNumber"/>
        <w:rFonts w:ascii="Palatino Linotype" w:hAnsi="Palatino Linotype"/>
      </w:rPr>
      <w:tab/>
    </w:r>
    <w:r>
      <w:rPr>
        <w:rStyle w:val="PageNumber"/>
        <w:rFonts w:ascii="Palatino Linotype" w:hAnsi="Palatino Linotype"/>
      </w:rPr>
      <w:fldChar w:fldCharType="begin"/>
    </w:r>
    <w:r>
      <w:rPr>
        <w:rStyle w:val="PageNumber"/>
        <w:rFonts w:ascii="Palatino Linotype" w:hAnsi="Palatino Linotype"/>
      </w:rPr>
      <w:instrText xml:space="preserve"> PAGE </w:instrText>
    </w:r>
    <w:r>
      <w:rPr>
        <w:rStyle w:val="PageNumber"/>
        <w:rFonts w:ascii="Palatino Linotype" w:hAnsi="Palatino Linotype"/>
      </w:rPr>
      <w:fldChar w:fldCharType="separate"/>
    </w:r>
    <w:r w:rsidR="00DF3045">
      <w:rPr>
        <w:rStyle w:val="PageNumber"/>
        <w:rFonts w:ascii="Palatino Linotype" w:hAnsi="Palatino Linotype"/>
        <w:noProof/>
      </w:rPr>
      <w:t>2</w:t>
    </w:r>
    <w:r>
      <w:rPr>
        <w:rStyle w:val="PageNumber"/>
        <w:rFonts w:ascii="Palatino Linotype" w:hAnsi="Palatino Linotyp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B" w:rsidRPr="00956DBB" w:rsidRDefault="00956DBB">
    <w:pPr>
      <w:pStyle w:val="Footer"/>
    </w:pPr>
    <w:r w:rsidRPr="00956DBB">
      <w:rPr>
        <w:rFonts w:ascii="Tahoma" w:hAnsi="Tahoma" w:cs="Tahoma"/>
      </w:rPr>
      <w:t>143294858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0E" w:rsidRDefault="003C2C0E">
      <w:r>
        <w:separator/>
      </w:r>
    </w:p>
  </w:footnote>
  <w:footnote w:type="continuationSeparator" w:id="0">
    <w:p w:rsidR="003C2C0E" w:rsidRDefault="003C2C0E">
      <w:r>
        <w:continuationSeparator/>
      </w:r>
    </w:p>
  </w:footnote>
  <w:footnote w:id="1">
    <w:p w:rsidR="00C871FD" w:rsidRDefault="00C871FD">
      <w:pPr>
        <w:pStyle w:val="FootnoteText"/>
      </w:pPr>
      <w:r>
        <w:rPr>
          <w:rStyle w:val="FootnoteReference"/>
        </w:rPr>
        <w:footnoteRef/>
      </w:r>
      <w:r>
        <w:t xml:space="preserve"> Verizon Telephone Company resulted from the merger of GTE of CA and GTE Contel.</w:t>
      </w:r>
    </w:p>
  </w:footnote>
  <w:footnote w:id="2">
    <w:p w:rsidR="00B272CC" w:rsidRDefault="00B272CC">
      <w:pPr>
        <w:pStyle w:val="FootnoteText"/>
      </w:pPr>
      <w:r>
        <w:rPr>
          <w:rStyle w:val="FootnoteReference"/>
        </w:rPr>
        <w:footnoteRef/>
      </w:r>
      <w:r>
        <w:t xml:space="preserve"> The </w:t>
      </w:r>
      <w:r w:rsidR="00710599">
        <w:t>thirteen</w:t>
      </w:r>
      <w:r>
        <w:t xml:space="preserve"> </w:t>
      </w:r>
      <w:r w:rsidR="00176C0D">
        <w:t>s</w:t>
      </w:r>
      <w:r>
        <w:t>mall ILECs are: Calaveras Telephone Company, California-Oregon Telephone Company, Ducor Telephone Company, Foresthill Telephone Company, Happy Valley Telephone Company, Hornitos Telephone Company, Kerman Telephone Company, Pinnacles Telephone Company, Ponderosa Telephone Company, Sierra Telephone Company, Siskiyou Telephone Company, Volcano Telephone Company, and Winterhaven Telephone Company.</w:t>
      </w:r>
    </w:p>
  </w:footnote>
  <w:footnote w:id="3">
    <w:p w:rsidR="00F65814" w:rsidRDefault="00F65814">
      <w:pPr>
        <w:pStyle w:val="FootnoteText"/>
      </w:pPr>
      <w:r>
        <w:rPr>
          <w:rStyle w:val="FootnoteReference"/>
        </w:rPr>
        <w:footnoteRef/>
      </w:r>
      <w:r>
        <w:t xml:space="preserve"> </w:t>
      </w:r>
      <w:r>
        <w:rPr>
          <w:i/>
        </w:rPr>
        <w:t xml:space="preserve">See </w:t>
      </w:r>
      <w:r>
        <w:t>PU Code § 275.</w:t>
      </w:r>
    </w:p>
  </w:footnote>
  <w:footnote w:id="4">
    <w:p w:rsidR="004C0EAA" w:rsidRDefault="004C0EAA">
      <w:pPr>
        <w:pStyle w:val="FootnoteText"/>
      </w:pPr>
      <w:r>
        <w:rPr>
          <w:rStyle w:val="FootnoteReference"/>
        </w:rPr>
        <w:footnoteRef/>
      </w:r>
      <w:r>
        <w:t xml:space="preserve"> </w:t>
      </w:r>
      <w:r>
        <w:rPr>
          <w:i/>
        </w:rPr>
        <w:t xml:space="preserve">See </w:t>
      </w:r>
      <w:r>
        <w:t xml:space="preserve">PU Code § 285(c).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99" w:rsidRDefault="007D3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D" w:rsidRDefault="00C871FD">
    <w:pPr>
      <w:tabs>
        <w:tab w:val="left" w:pos="4590"/>
      </w:tabs>
      <w:rPr>
        <w:rFonts w:ascii="Palatino" w:hAnsi="Palatino"/>
        <w:sz w:val="24"/>
      </w:rPr>
    </w:pPr>
    <w:r>
      <w:rPr>
        <w:rFonts w:ascii="Palatino" w:hAnsi="Palatino"/>
        <w:sz w:val="24"/>
      </w:rPr>
      <w:t>Resolution T-17453</w:t>
    </w:r>
  </w:p>
  <w:p w:rsidR="00C871FD" w:rsidRDefault="005A254B">
    <w:pPr>
      <w:pStyle w:val="Header"/>
      <w:tabs>
        <w:tab w:val="clear" w:pos="4320"/>
        <w:tab w:val="clear" w:pos="8640"/>
        <w:tab w:val="right" w:pos="9630"/>
      </w:tabs>
      <w:rPr>
        <w:rFonts w:ascii="Palatino" w:hAnsi="Palatino"/>
        <w:sz w:val="24"/>
      </w:rPr>
    </w:pPr>
    <w:r>
      <w:rPr>
        <w:rFonts w:ascii="Palatino" w:hAnsi="Palatino"/>
        <w:sz w:val="24"/>
      </w:rPr>
      <w:t>CD\MWC</w:t>
    </w:r>
    <w:r w:rsidR="00444D5B">
      <w:rPr>
        <w:rFonts w:ascii="Palatino" w:hAnsi="Palatino"/>
        <w:sz w:val="24"/>
      </w:rPr>
      <w:t xml:space="preserve">                                        </w:t>
    </w:r>
    <w:r w:rsidR="00444D5B" w:rsidRPr="00444D5B">
      <w:rPr>
        <w:rFonts w:ascii="Palatino" w:hAnsi="Palatino"/>
        <w:sz w:val="24"/>
      </w:rPr>
      <w:t xml:space="preserve"> </w:t>
    </w:r>
    <w:r>
      <w:rPr>
        <w:rFonts w:ascii="Palatino" w:hAnsi="Palatino"/>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B" w:rsidRDefault="00956DBB">
    <w:pPr>
      <w:tabs>
        <w:tab w:val="left" w:pos="4590"/>
      </w:tabs>
      <w:rPr>
        <w:rFonts w:ascii="Palatino" w:hAnsi="Palatino"/>
        <w:sz w:val="24"/>
      </w:rPr>
    </w:pPr>
  </w:p>
  <w:p w:rsidR="00C871FD" w:rsidRDefault="00C871FD">
    <w:pPr>
      <w:tabs>
        <w:tab w:val="left" w:pos="4590"/>
      </w:tabs>
      <w:rPr>
        <w:rFonts w:ascii="Palatino" w:hAnsi="Palatino"/>
        <w:sz w:val="24"/>
      </w:rPr>
    </w:pPr>
    <w:r>
      <w:rPr>
        <w:rFonts w:ascii="Palatino" w:hAnsi="Palatino"/>
        <w:sz w:val="24"/>
      </w:rPr>
      <w:t>Resolution T-17453</w:t>
    </w:r>
    <w:r>
      <w:rPr>
        <w:rFonts w:ascii="Palatino" w:hAnsi="Palatino"/>
        <w:sz w:val="24"/>
      </w:rPr>
      <w:tab/>
    </w:r>
    <w:r>
      <w:rPr>
        <w:rFonts w:ascii="Palatino" w:hAnsi="Palatino"/>
        <w:sz w:val="24"/>
      </w:rPr>
      <w:tab/>
      <w:t xml:space="preserve"> </w:t>
    </w:r>
    <w:r>
      <w:rPr>
        <w:rFonts w:ascii="Palatino" w:hAnsi="Palatino"/>
        <w:sz w:val="24"/>
      </w:rPr>
      <w:tab/>
    </w:r>
    <w:r>
      <w:rPr>
        <w:rFonts w:ascii="Palatino" w:hAnsi="Palatino"/>
        <w:sz w:val="24"/>
      </w:rPr>
      <w:tab/>
      <w:t xml:space="preserve"> </w:t>
    </w:r>
    <w:r w:rsidR="00233696">
      <w:rPr>
        <w:rFonts w:ascii="Palatino" w:hAnsi="Palatino"/>
        <w:sz w:val="24"/>
      </w:rPr>
      <w:tab/>
    </w:r>
    <w:r w:rsidR="004D1FAE">
      <w:rPr>
        <w:rFonts w:ascii="Palatino" w:hAnsi="Palatino"/>
        <w:sz w:val="24"/>
      </w:rPr>
      <w:tab/>
      <w:t xml:space="preserve">      </w:t>
    </w:r>
  </w:p>
  <w:p w:rsidR="00C871FD" w:rsidRDefault="00C871FD">
    <w:pPr>
      <w:tabs>
        <w:tab w:val="left" w:pos="4590"/>
      </w:tabs>
      <w:rPr>
        <w:rFonts w:ascii="Palatino" w:hAnsi="Palatino"/>
        <w:sz w:val="24"/>
      </w:rPr>
    </w:pPr>
    <w:r>
      <w:rPr>
        <w:rFonts w:ascii="Palatino" w:hAnsi="Palatino"/>
        <w:sz w:val="24"/>
      </w:rPr>
      <w:t>CD\MWC</w:t>
    </w:r>
    <w:r>
      <w:rPr>
        <w:rFonts w:ascii="Palatino" w:hAnsi="Palatino"/>
        <w:sz w:val="24"/>
      </w:rPr>
      <w:tab/>
    </w:r>
    <w:r w:rsidR="004D1FAE">
      <w:rPr>
        <w:rFonts w:ascii="Palatino" w:hAnsi="Palatino"/>
        <w:sz w:val="24"/>
      </w:rPr>
      <w:tab/>
    </w:r>
    <w:r w:rsidR="004D1FAE">
      <w:rPr>
        <w:rFonts w:ascii="Palatino" w:hAnsi="Palatino"/>
        <w:sz w:val="24"/>
      </w:rPr>
      <w:tab/>
    </w:r>
    <w:r w:rsidR="00AB4CEC">
      <w:rPr>
        <w:rFonts w:ascii="Palatino" w:hAnsi="Palatino"/>
        <w:sz w:val="24"/>
      </w:rPr>
      <w:t xml:space="preserve">   Date of Issuance: 11/21/2014</w:t>
    </w:r>
    <w:r>
      <w:rPr>
        <w:rFonts w:ascii="Palatino" w:hAnsi="Palatino"/>
        <w:sz w:val="24"/>
      </w:rPr>
      <w:t xml:space="preserve">       </w:t>
    </w:r>
    <w:r>
      <w:rPr>
        <w:rFonts w:ascii="Palatino" w:hAnsi="Palatino"/>
        <w:sz w:val="24"/>
      </w:rPr>
      <w:tab/>
    </w:r>
    <w:r>
      <w:rPr>
        <w:rFonts w:ascii="Palatino" w:hAnsi="Palatino"/>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74E"/>
    <w:multiLevelType w:val="singleLevel"/>
    <w:tmpl w:val="F990C7A8"/>
    <w:lvl w:ilvl="0">
      <w:start w:val="1"/>
      <w:numFmt w:val="decimal"/>
      <w:lvlText w:val="%1."/>
      <w:legacy w:legacy="1" w:legacySpace="0" w:legacyIndent="360"/>
      <w:lvlJc w:val="left"/>
      <w:pPr>
        <w:ind w:left="360" w:hanging="360"/>
      </w:pPr>
    </w:lvl>
  </w:abstractNum>
  <w:abstractNum w:abstractNumId="1">
    <w:nsid w:val="0A85514A"/>
    <w:multiLevelType w:val="hybridMultilevel"/>
    <w:tmpl w:val="71089C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7574E"/>
    <w:multiLevelType w:val="hybridMultilevel"/>
    <w:tmpl w:val="24A418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D5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8F6B25"/>
    <w:multiLevelType w:val="hybridMultilevel"/>
    <w:tmpl w:val="2102C744"/>
    <w:lvl w:ilvl="0" w:tplc="8CDAE96A">
      <w:start w:val="200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96B97"/>
    <w:multiLevelType w:val="hybridMultilevel"/>
    <w:tmpl w:val="A0EE41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54896"/>
    <w:multiLevelType w:val="hybridMultilevel"/>
    <w:tmpl w:val="E160D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A6C5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2B226A42"/>
    <w:multiLevelType w:val="hybridMultilevel"/>
    <w:tmpl w:val="584A933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
    <w:nsid w:val="2D5250BD"/>
    <w:multiLevelType w:val="singleLevel"/>
    <w:tmpl w:val="0409000F"/>
    <w:lvl w:ilvl="0">
      <w:start w:val="1"/>
      <w:numFmt w:val="decimal"/>
      <w:lvlText w:val="%1."/>
      <w:lvlJc w:val="left"/>
      <w:pPr>
        <w:tabs>
          <w:tab w:val="num" w:pos="360"/>
        </w:tabs>
        <w:ind w:left="360" w:hanging="360"/>
      </w:pPr>
    </w:lvl>
  </w:abstractNum>
  <w:abstractNum w:abstractNumId="10">
    <w:nsid w:val="3DA76080"/>
    <w:multiLevelType w:val="singleLevel"/>
    <w:tmpl w:val="0409000F"/>
    <w:lvl w:ilvl="0">
      <w:start w:val="1"/>
      <w:numFmt w:val="decimal"/>
      <w:lvlText w:val="%1."/>
      <w:lvlJc w:val="left"/>
      <w:pPr>
        <w:tabs>
          <w:tab w:val="num" w:pos="360"/>
        </w:tabs>
        <w:ind w:left="360" w:hanging="360"/>
      </w:pPr>
    </w:lvl>
  </w:abstractNum>
  <w:abstractNum w:abstractNumId="11">
    <w:nsid w:val="460D1A7D"/>
    <w:multiLevelType w:val="hybridMultilevel"/>
    <w:tmpl w:val="1570BE18"/>
    <w:lvl w:ilvl="0" w:tplc="96EEAA4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4EB11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6553382"/>
    <w:multiLevelType w:val="hybridMultilevel"/>
    <w:tmpl w:val="87D6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FB276F"/>
    <w:multiLevelType w:val="hybridMultilevel"/>
    <w:tmpl w:val="87A8AF92"/>
    <w:lvl w:ilvl="0" w:tplc="F950398A">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63328E"/>
    <w:multiLevelType w:val="singleLevel"/>
    <w:tmpl w:val="0409000F"/>
    <w:lvl w:ilvl="0">
      <w:start w:val="1"/>
      <w:numFmt w:val="decimal"/>
      <w:lvlText w:val="%1."/>
      <w:lvlJc w:val="left"/>
      <w:pPr>
        <w:tabs>
          <w:tab w:val="num" w:pos="360"/>
        </w:tabs>
        <w:ind w:left="360" w:hanging="360"/>
      </w:pPr>
    </w:lvl>
  </w:abstractNum>
  <w:abstractNum w:abstractNumId="16">
    <w:nsid w:val="66157003"/>
    <w:multiLevelType w:val="hybridMultilevel"/>
    <w:tmpl w:val="C7687442"/>
    <w:lvl w:ilvl="0" w:tplc="0888C75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534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EE93650"/>
    <w:multiLevelType w:val="hybridMultilevel"/>
    <w:tmpl w:val="40A08A06"/>
    <w:lvl w:ilvl="0" w:tplc="FFFFFFFF">
      <w:start w:val="4"/>
      <w:numFmt w:val="upp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774C61A7"/>
    <w:multiLevelType w:val="singleLevel"/>
    <w:tmpl w:val="383CBABE"/>
    <w:lvl w:ilvl="0">
      <w:start w:val="1"/>
      <w:numFmt w:val="decimal"/>
      <w:lvlText w:val="%1."/>
      <w:legacy w:legacy="1" w:legacySpace="0" w:legacyIndent="360"/>
      <w:lvlJc w:val="left"/>
      <w:pPr>
        <w:ind w:left="360" w:hanging="360"/>
      </w:pPr>
    </w:lvl>
  </w:abstractNum>
  <w:abstractNum w:abstractNumId="20">
    <w:nsid w:val="7C5C3100"/>
    <w:multiLevelType w:val="hybridMultilevel"/>
    <w:tmpl w:val="FACAE2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17"/>
  </w:num>
  <w:num w:numId="6">
    <w:abstractNumId w:val="3"/>
  </w:num>
  <w:num w:numId="7">
    <w:abstractNumId w:val="12"/>
  </w:num>
  <w:num w:numId="8">
    <w:abstractNumId w:val="18"/>
  </w:num>
  <w:num w:numId="9">
    <w:abstractNumId w:val="0"/>
  </w:num>
  <w:num w:numId="10">
    <w:abstractNumId w:val="0"/>
    <w:lvlOverride w:ilvl="0">
      <w:lvl w:ilvl="0">
        <w:start w:val="1"/>
        <w:numFmt w:val="decimal"/>
        <w:lvlText w:val="%1."/>
        <w:legacy w:legacy="1" w:legacySpace="0" w:legacyIndent="360"/>
        <w:lvlJc w:val="left"/>
        <w:pPr>
          <w:ind w:left="360" w:hanging="360"/>
        </w:pPr>
        <w:rPr>
          <w:b w:val="0"/>
        </w:rPr>
      </w:lvl>
    </w:lvlOverride>
  </w:num>
  <w:num w:numId="11">
    <w:abstractNumId w:val="19"/>
  </w:num>
  <w:num w:numId="12">
    <w:abstractNumId w:val="19"/>
    <w:lvlOverride w:ilvl="0">
      <w:lvl w:ilvl="0">
        <w:start w:val="1"/>
        <w:numFmt w:val="decimal"/>
        <w:lvlText w:val="%1."/>
        <w:legacy w:legacy="1" w:legacySpace="0" w:legacyIndent="360"/>
        <w:lvlJc w:val="left"/>
        <w:pPr>
          <w:ind w:left="360" w:hanging="360"/>
        </w:pPr>
      </w:lvl>
    </w:lvlOverride>
  </w:num>
  <w:num w:numId="13">
    <w:abstractNumId w:val="16"/>
  </w:num>
  <w:num w:numId="14">
    <w:abstractNumId w:val="5"/>
  </w:num>
  <w:num w:numId="15">
    <w:abstractNumId w:val="6"/>
  </w:num>
  <w:num w:numId="16">
    <w:abstractNumId w:val="4"/>
  </w:num>
  <w:num w:numId="17">
    <w:abstractNumId w:val="7"/>
  </w:num>
  <w:num w:numId="18">
    <w:abstractNumId w:val="11"/>
  </w:num>
  <w:num w:numId="19">
    <w:abstractNumId w:val="14"/>
  </w:num>
  <w:num w:numId="20">
    <w:abstractNumId w:val="13"/>
  </w:num>
  <w:num w:numId="21">
    <w:abstractNumId w:val="1"/>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60"/>
    <w:rsid w:val="00006293"/>
    <w:rsid w:val="000158ED"/>
    <w:rsid w:val="00021240"/>
    <w:rsid w:val="0002178D"/>
    <w:rsid w:val="00022206"/>
    <w:rsid w:val="000241D2"/>
    <w:rsid w:val="00026008"/>
    <w:rsid w:val="00026B6E"/>
    <w:rsid w:val="000326E0"/>
    <w:rsid w:val="00033F83"/>
    <w:rsid w:val="000340D1"/>
    <w:rsid w:val="000341F6"/>
    <w:rsid w:val="00035D08"/>
    <w:rsid w:val="00040D18"/>
    <w:rsid w:val="00041217"/>
    <w:rsid w:val="00043F02"/>
    <w:rsid w:val="00052276"/>
    <w:rsid w:val="0005529C"/>
    <w:rsid w:val="0005709F"/>
    <w:rsid w:val="00063F45"/>
    <w:rsid w:val="00074EC4"/>
    <w:rsid w:val="00076CDF"/>
    <w:rsid w:val="00085EAF"/>
    <w:rsid w:val="000925E0"/>
    <w:rsid w:val="00092D0C"/>
    <w:rsid w:val="000A0CD7"/>
    <w:rsid w:val="000A3BB6"/>
    <w:rsid w:val="000B0F57"/>
    <w:rsid w:val="000C27BA"/>
    <w:rsid w:val="000C2B75"/>
    <w:rsid w:val="000C3698"/>
    <w:rsid w:val="000C4946"/>
    <w:rsid w:val="000C6667"/>
    <w:rsid w:val="000D3543"/>
    <w:rsid w:val="000D71C9"/>
    <w:rsid w:val="000D7D91"/>
    <w:rsid w:val="00100447"/>
    <w:rsid w:val="00114D80"/>
    <w:rsid w:val="0011726A"/>
    <w:rsid w:val="00121FA5"/>
    <w:rsid w:val="00124452"/>
    <w:rsid w:val="001258E3"/>
    <w:rsid w:val="00131463"/>
    <w:rsid w:val="00144119"/>
    <w:rsid w:val="001450AB"/>
    <w:rsid w:val="001506FE"/>
    <w:rsid w:val="001562A3"/>
    <w:rsid w:val="001628FC"/>
    <w:rsid w:val="00176C0D"/>
    <w:rsid w:val="0018519B"/>
    <w:rsid w:val="00191608"/>
    <w:rsid w:val="0019184D"/>
    <w:rsid w:val="00196801"/>
    <w:rsid w:val="001B1694"/>
    <w:rsid w:val="001B3F09"/>
    <w:rsid w:val="001B5770"/>
    <w:rsid w:val="001B5C48"/>
    <w:rsid w:val="001B5FBF"/>
    <w:rsid w:val="001C216D"/>
    <w:rsid w:val="001C3769"/>
    <w:rsid w:val="001C6262"/>
    <w:rsid w:val="001D4D9F"/>
    <w:rsid w:val="001D4F2D"/>
    <w:rsid w:val="001D7653"/>
    <w:rsid w:val="001D776F"/>
    <w:rsid w:val="002007A1"/>
    <w:rsid w:val="00202070"/>
    <w:rsid w:val="0020479F"/>
    <w:rsid w:val="00210CC4"/>
    <w:rsid w:val="002143AE"/>
    <w:rsid w:val="002310B9"/>
    <w:rsid w:val="00233696"/>
    <w:rsid w:val="00234A31"/>
    <w:rsid w:val="00235976"/>
    <w:rsid w:val="00243DA4"/>
    <w:rsid w:val="00245E55"/>
    <w:rsid w:val="002620B1"/>
    <w:rsid w:val="00263A44"/>
    <w:rsid w:val="002709B7"/>
    <w:rsid w:val="00271CD1"/>
    <w:rsid w:val="002727DA"/>
    <w:rsid w:val="00292D12"/>
    <w:rsid w:val="002A7B97"/>
    <w:rsid w:val="002C022F"/>
    <w:rsid w:val="002C0F9A"/>
    <w:rsid w:val="002D36AE"/>
    <w:rsid w:val="002E080A"/>
    <w:rsid w:val="002E286B"/>
    <w:rsid w:val="002F13B3"/>
    <w:rsid w:val="002F4210"/>
    <w:rsid w:val="002F746F"/>
    <w:rsid w:val="003010C8"/>
    <w:rsid w:val="00350582"/>
    <w:rsid w:val="003565CD"/>
    <w:rsid w:val="00356C65"/>
    <w:rsid w:val="00360E15"/>
    <w:rsid w:val="00363BE7"/>
    <w:rsid w:val="00371A72"/>
    <w:rsid w:val="00377680"/>
    <w:rsid w:val="00383714"/>
    <w:rsid w:val="00387A40"/>
    <w:rsid w:val="00393F33"/>
    <w:rsid w:val="003967E2"/>
    <w:rsid w:val="003A0466"/>
    <w:rsid w:val="003A0D32"/>
    <w:rsid w:val="003A63DB"/>
    <w:rsid w:val="003A7B18"/>
    <w:rsid w:val="003B184E"/>
    <w:rsid w:val="003B4801"/>
    <w:rsid w:val="003B70FA"/>
    <w:rsid w:val="003B75BC"/>
    <w:rsid w:val="003C2C0E"/>
    <w:rsid w:val="003C2E36"/>
    <w:rsid w:val="003C317E"/>
    <w:rsid w:val="003D0114"/>
    <w:rsid w:val="003D1A8E"/>
    <w:rsid w:val="003D7ECA"/>
    <w:rsid w:val="003E3034"/>
    <w:rsid w:val="003E4CF1"/>
    <w:rsid w:val="003F37AD"/>
    <w:rsid w:val="003F75B5"/>
    <w:rsid w:val="004108A3"/>
    <w:rsid w:val="00410C56"/>
    <w:rsid w:val="00424146"/>
    <w:rsid w:val="004325E7"/>
    <w:rsid w:val="004341AC"/>
    <w:rsid w:val="00444D5B"/>
    <w:rsid w:val="00445968"/>
    <w:rsid w:val="00446CB4"/>
    <w:rsid w:val="00447236"/>
    <w:rsid w:val="00451C86"/>
    <w:rsid w:val="00451D9E"/>
    <w:rsid w:val="004552E0"/>
    <w:rsid w:val="004553FB"/>
    <w:rsid w:val="00455C1C"/>
    <w:rsid w:val="00462107"/>
    <w:rsid w:val="00470677"/>
    <w:rsid w:val="00474260"/>
    <w:rsid w:val="004767BC"/>
    <w:rsid w:val="004811AE"/>
    <w:rsid w:val="00481325"/>
    <w:rsid w:val="00482385"/>
    <w:rsid w:val="00483C39"/>
    <w:rsid w:val="00484160"/>
    <w:rsid w:val="00491C92"/>
    <w:rsid w:val="004922C0"/>
    <w:rsid w:val="004A47C6"/>
    <w:rsid w:val="004C0EAA"/>
    <w:rsid w:val="004D1FAE"/>
    <w:rsid w:val="004E23C5"/>
    <w:rsid w:val="0050460C"/>
    <w:rsid w:val="00511AD5"/>
    <w:rsid w:val="00512C49"/>
    <w:rsid w:val="005159F1"/>
    <w:rsid w:val="005215E3"/>
    <w:rsid w:val="00521EBF"/>
    <w:rsid w:val="0052225C"/>
    <w:rsid w:val="005260AA"/>
    <w:rsid w:val="0052641A"/>
    <w:rsid w:val="00531573"/>
    <w:rsid w:val="00532580"/>
    <w:rsid w:val="00534FC5"/>
    <w:rsid w:val="005410B0"/>
    <w:rsid w:val="0054537A"/>
    <w:rsid w:val="00552FCB"/>
    <w:rsid w:val="00553B30"/>
    <w:rsid w:val="00567DB2"/>
    <w:rsid w:val="005719A5"/>
    <w:rsid w:val="00576691"/>
    <w:rsid w:val="0058342A"/>
    <w:rsid w:val="00583836"/>
    <w:rsid w:val="00591D15"/>
    <w:rsid w:val="0059734F"/>
    <w:rsid w:val="005A254B"/>
    <w:rsid w:val="005B0F2A"/>
    <w:rsid w:val="005B1A11"/>
    <w:rsid w:val="005C0388"/>
    <w:rsid w:val="005C44B9"/>
    <w:rsid w:val="005C53A0"/>
    <w:rsid w:val="005C6F67"/>
    <w:rsid w:val="005D18D2"/>
    <w:rsid w:val="005D1AA6"/>
    <w:rsid w:val="005D1FF3"/>
    <w:rsid w:val="005E2BB8"/>
    <w:rsid w:val="005E4589"/>
    <w:rsid w:val="005E56A0"/>
    <w:rsid w:val="005F3C8C"/>
    <w:rsid w:val="005F4959"/>
    <w:rsid w:val="006032F9"/>
    <w:rsid w:val="0060786A"/>
    <w:rsid w:val="00614179"/>
    <w:rsid w:val="006237F5"/>
    <w:rsid w:val="00635633"/>
    <w:rsid w:val="006403CA"/>
    <w:rsid w:val="00643517"/>
    <w:rsid w:val="00644A6F"/>
    <w:rsid w:val="00652877"/>
    <w:rsid w:val="00653C53"/>
    <w:rsid w:val="00654572"/>
    <w:rsid w:val="00662842"/>
    <w:rsid w:val="00674CAA"/>
    <w:rsid w:val="00681D88"/>
    <w:rsid w:val="00692792"/>
    <w:rsid w:val="006A10D8"/>
    <w:rsid w:val="006B05C5"/>
    <w:rsid w:val="006B079D"/>
    <w:rsid w:val="006B3CBD"/>
    <w:rsid w:val="006B77AB"/>
    <w:rsid w:val="006D49E1"/>
    <w:rsid w:val="006D6C7B"/>
    <w:rsid w:val="006E1260"/>
    <w:rsid w:val="006E42EF"/>
    <w:rsid w:val="006E4B55"/>
    <w:rsid w:val="006F343B"/>
    <w:rsid w:val="006F7876"/>
    <w:rsid w:val="007003B7"/>
    <w:rsid w:val="0070069F"/>
    <w:rsid w:val="00705C5B"/>
    <w:rsid w:val="00706C58"/>
    <w:rsid w:val="00706E42"/>
    <w:rsid w:val="00707F11"/>
    <w:rsid w:val="00710599"/>
    <w:rsid w:val="00720C73"/>
    <w:rsid w:val="007245C9"/>
    <w:rsid w:val="0072688F"/>
    <w:rsid w:val="0073493B"/>
    <w:rsid w:val="00734B84"/>
    <w:rsid w:val="00744058"/>
    <w:rsid w:val="00744917"/>
    <w:rsid w:val="007514E1"/>
    <w:rsid w:val="00763081"/>
    <w:rsid w:val="00763F6C"/>
    <w:rsid w:val="00764370"/>
    <w:rsid w:val="00766D93"/>
    <w:rsid w:val="00767A8C"/>
    <w:rsid w:val="007738F9"/>
    <w:rsid w:val="00775720"/>
    <w:rsid w:val="00780842"/>
    <w:rsid w:val="00791BB3"/>
    <w:rsid w:val="00792AF1"/>
    <w:rsid w:val="00793A2B"/>
    <w:rsid w:val="00793F8E"/>
    <w:rsid w:val="00795FF1"/>
    <w:rsid w:val="007965CB"/>
    <w:rsid w:val="00796D05"/>
    <w:rsid w:val="0079742E"/>
    <w:rsid w:val="007A41BD"/>
    <w:rsid w:val="007B1AB0"/>
    <w:rsid w:val="007B1EAE"/>
    <w:rsid w:val="007B3AAA"/>
    <w:rsid w:val="007B5630"/>
    <w:rsid w:val="007D160B"/>
    <w:rsid w:val="007D3007"/>
    <w:rsid w:val="007D3899"/>
    <w:rsid w:val="007E6451"/>
    <w:rsid w:val="007E6B22"/>
    <w:rsid w:val="007E788D"/>
    <w:rsid w:val="007F0254"/>
    <w:rsid w:val="007F0DE1"/>
    <w:rsid w:val="007F4A5B"/>
    <w:rsid w:val="008000CC"/>
    <w:rsid w:val="00802571"/>
    <w:rsid w:val="0080341B"/>
    <w:rsid w:val="00806215"/>
    <w:rsid w:val="0082312A"/>
    <w:rsid w:val="00831D53"/>
    <w:rsid w:val="00847202"/>
    <w:rsid w:val="00850CD9"/>
    <w:rsid w:val="00854FED"/>
    <w:rsid w:val="00857057"/>
    <w:rsid w:val="008622E8"/>
    <w:rsid w:val="00862790"/>
    <w:rsid w:val="00862BAB"/>
    <w:rsid w:val="0086556E"/>
    <w:rsid w:val="00890F8E"/>
    <w:rsid w:val="008918CC"/>
    <w:rsid w:val="00894784"/>
    <w:rsid w:val="008A5B4A"/>
    <w:rsid w:val="008A6A78"/>
    <w:rsid w:val="008B118E"/>
    <w:rsid w:val="008B3F18"/>
    <w:rsid w:val="008B7420"/>
    <w:rsid w:val="008B7D67"/>
    <w:rsid w:val="008B7DD7"/>
    <w:rsid w:val="008C0F29"/>
    <w:rsid w:val="008C2862"/>
    <w:rsid w:val="008C33FC"/>
    <w:rsid w:val="008C74D9"/>
    <w:rsid w:val="008D7E96"/>
    <w:rsid w:val="008E65DD"/>
    <w:rsid w:val="008E6C22"/>
    <w:rsid w:val="00903AC2"/>
    <w:rsid w:val="0090473F"/>
    <w:rsid w:val="00904D3E"/>
    <w:rsid w:val="00913995"/>
    <w:rsid w:val="00915803"/>
    <w:rsid w:val="0092747B"/>
    <w:rsid w:val="009305C6"/>
    <w:rsid w:val="009312E3"/>
    <w:rsid w:val="00931361"/>
    <w:rsid w:val="0093500E"/>
    <w:rsid w:val="00952A76"/>
    <w:rsid w:val="00956C50"/>
    <w:rsid w:val="00956DBB"/>
    <w:rsid w:val="009713CB"/>
    <w:rsid w:val="009765E1"/>
    <w:rsid w:val="00976F63"/>
    <w:rsid w:val="009807A1"/>
    <w:rsid w:val="00984A49"/>
    <w:rsid w:val="00987AA6"/>
    <w:rsid w:val="00990E97"/>
    <w:rsid w:val="009932DC"/>
    <w:rsid w:val="0099734F"/>
    <w:rsid w:val="009A069B"/>
    <w:rsid w:val="009A54A2"/>
    <w:rsid w:val="009A7C8F"/>
    <w:rsid w:val="009B0027"/>
    <w:rsid w:val="009B7DB8"/>
    <w:rsid w:val="009C2EAB"/>
    <w:rsid w:val="009C475F"/>
    <w:rsid w:val="009C6DC0"/>
    <w:rsid w:val="009D4659"/>
    <w:rsid w:val="009D4796"/>
    <w:rsid w:val="009E1BEC"/>
    <w:rsid w:val="009E3B36"/>
    <w:rsid w:val="009E799B"/>
    <w:rsid w:val="009F733F"/>
    <w:rsid w:val="00A05221"/>
    <w:rsid w:val="00A0543F"/>
    <w:rsid w:val="00A067F2"/>
    <w:rsid w:val="00A1139E"/>
    <w:rsid w:val="00A11869"/>
    <w:rsid w:val="00A158F5"/>
    <w:rsid w:val="00A24658"/>
    <w:rsid w:val="00A2497D"/>
    <w:rsid w:val="00A24C5E"/>
    <w:rsid w:val="00A32B85"/>
    <w:rsid w:val="00A3301A"/>
    <w:rsid w:val="00A4228D"/>
    <w:rsid w:val="00A620BC"/>
    <w:rsid w:val="00A710EA"/>
    <w:rsid w:val="00A739FD"/>
    <w:rsid w:val="00A73A09"/>
    <w:rsid w:val="00A85185"/>
    <w:rsid w:val="00A87AB3"/>
    <w:rsid w:val="00A90108"/>
    <w:rsid w:val="00A91096"/>
    <w:rsid w:val="00A91DF5"/>
    <w:rsid w:val="00A9686A"/>
    <w:rsid w:val="00AA0267"/>
    <w:rsid w:val="00AA46D4"/>
    <w:rsid w:val="00AA5E9A"/>
    <w:rsid w:val="00AA773E"/>
    <w:rsid w:val="00AB0E80"/>
    <w:rsid w:val="00AB3CDD"/>
    <w:rsid w:val="00AB4CEC"/>
    <w:rsid w:val="00AB5EC0"/>
    <w:rsid w:val="00AC5E0F"/>
    <w:rsid w:val="00AD310D"/>
    <w:rsid w:val="00AE2308"/>
    <w:rsid w:val="00AE2E12"/>
    <w:rsid w:val="00AE3E14"/>
    <w:rsid w:val="00AE4AB5"/>
    <w:rsid w:val="00AE4DD9"/>
    <w:rsid w:val="00AE6F60"/>
    <w:rsid w:val="00AF1CD6"/>
    <w:rsid w:val="00B17BEE"/>
    <w:rsid w:val="00B23D41"/>
    <w:rsid w:val="00B272CC"/>
    <w:rsid w:val="00B32F3F"/>
    <w:rsid w:val="00B3359F"/>
    <w:rsid w:val="00B41F30"/>
    <w:rsid w:val="00B536EB"/>
    <w:rsid w:val="00B5466B"/>
    <w:rsid w:val="00B55341"/>
    <w:rsid w:val="00B6069E"/>
    <w:rsid w:val="00B60BFA"/>
    <w:rsid w:val="00B65FDC"/>
    <w:rsid w:val="00B67C64"/>
    <w:rsid w:val="00B76E52"/>
    <w:rsid w:val="00B85BA1"/>
    <w:rsid w:val="00B94473"/>
    <w:rsid w:val="00BA6A7D"/>
    <w:rsid w:val="00BB1398"/>
    <w:rsid w:val="00BB5AC2"/>
    <w:rsid w:val="00BB68DE"/>
    <w:rsid w:val="00BB7C7D"/>
    <w:rsid w:val="00BC23BB"/>
    <w:rsid w:val="00BD5A99"/>
    <w:rsid w:val="00BD5E56"/>
    <w:rsid w:val="00BE1C45"/>
    <w:rsid w:val="00BE3AF9"/>
    <w:rsid w:val="00BE3B65"/>
    <w:rsid w:val="00BF6092"/>
    <w:rsid w:val="00BF60FC"/>
    <w:rsid w:val="00C0095A"/>
    <w:rsid w:val="00C018F3"/>
    <w:rsid w:val="00C0523F"/>
    <w:rsid w:val="00C17C3D"/>
    <w:rsid w:val="00C4312C"/>
    <w:rsid w:val="00C434E4"/>
    <w:rsid w:val="00C5104D"/>
    <w:rsid w:val="00C51315"/>
    <w:rsid w:val="00C5446E"/>
    <w:rsid w:val="00C56371"/>
    <w:rsid w:val="00C57A57"/>
    <w:rsid w:val="00C57E06"/>
    <w:rsid w:val="00C60BA4"/>
    <w:rsid w:val="00C64693"/>
    <w:rsid w:val="00C871FD"/>
    <w:rsid w:val="00C87495"/>
    <w:rsid w:val="00CA17C5"/>
    <w:rsid w:val="00CA5708"/>
    <w:rsid w:val="00CA7CFD"/>
    <w:rsid w:val="00CC5C0B"/>
    <w:rsid w:val="00CD1344"/>
    <w:rsid w:val="00CD2146"/>
    <w:rsid w:val="00CD436B"/>
    <w:rsid w:val="00CE56C7"/>
    <w:rsid w:val="00CF7A74"/>
    <w:rsid w:val="00D02D03"/>
    <w:rsid w:val="00D07445"/>
    <w:rsid w:val="00D30760"/>
    <w:rsid w:val="00D327AD"/>
    <w:rsid w:val="00D344E5"/>
    <w:rsid w:val="00D43C70"/>
    <w:rsid w:val="00D43CD7"/>
    <w:rsid w:val="00D6384D"/>
    <w:rsid w:val="00D73804"/>
    <w:rsid w:val="00D74191"/>
    <w:rsid w:val="00D74ADB"/>
    <w:rsid w:val="00D765D4"/>
    <w:rsid w:val="00D80480"/>
    <w:rsid w:val="00D83421"/>
    <w:rsid w:val="00D91AF5"/>
    <w:rsid w:val="00D9208F"/>
    <w:rsid w:val="00D94469"/>
    <w:rsid w:val="00D96D80"/>
    <w:rsid w:val="00DB0BAD"/>
    <w:rsid w:val="00DC4B49"/>
    <w:rsid w:val="00DC4EF5"/>
    <w:rsid w:val="00DC5128"/>
    <w:rsid w:val="00DD1F4D"/>
    <w:rsid w:val="00DD20FC"/>
    <w:rsid w:val="00DD2507"/>
    <w:rsid w:val="00DD4869"/>
    <w:rsid w:val="00DF3045"/>
    <w:rsid w:val="00E10D15"/>
    <w:rsid w:val="00E117D4"/>
    <w:rsid w:val="00E12D58"/>
    <w:rsid w:val="00E1510D"/>
    <w:rsid w:val="00E166C0"/>
    <w:rsid w:val="00E1740E"/>
    <w:rsid w:val="00E21132"/>
    <w:rsid w:val="00E23E03"/>
    <w:rsid w:val="00E27FBC"/>
    <w:rsid w:val="00E3385C"/>
    <w:rsid w:val="00E37704"/>
    <w:rsid w:val="00E37D60"/>
    <w:rsid w:val="00E459AA"/>
    <w:rsid w:val="00E46FDA"/>
    <w:rsid w:val="00E537F6"/>
    <w:rsid w:val="00E56F6D"/>
    <w:rsid w:val="00E57597"/>
    <w:rsid w:val="00E61D19"/>
    <w:rsid w:val="00E61D9C"/>
    <w:rsid w:val="00E62DC0"/>
    <w:rsid w:val="00E665B1"/>
    <w:rsid w:val="00E82C42"/>
    <w:rsid w:val="00EA55E0"/>
    <w:rsid w:val="00EB01ED"/>
    <w:rsid w:val="00EB0BF3"/>
    <w:rsid w:val="00EB7F6A"/>
    <w:rsid w:val="00EC1372"/>
    <w:rsid w:val="00EC2EA9"/>
    <w:rsid w:val="00EC6B4E"/>
    <w:rsid w:val="00ED0AC5"/>
    <w:rsid w:val="00ED59A3"/>
    <w:rsid w:val="00EF607A"/>
    <w:rsid w:val="00F005E5"/>
    <w:rsid w:val="00F10781"/>
    <w:rsid w:val="00F168F7"/>
    <w:rsid w:val="00F20578"/>
    <w:rsid w:val="00F25357"/>
    <w:rsid w:val="00F401BF"/>
    <w:rsid w:val="00F46752"/>
    <w:rsid w:val="00F476BB"/>
    <w:rsid w:val="00F47921"/>
    <w:rsid w:val="00F505DB"/>
    <w:rsid w:val="00F65814"/>
    <w:rsid w:val="00F707E1"/>
    <w:rsid w:val="00F83C8D"/>
    <w:rsid w:val="00F93147"/>
    <w:rsid w:val="00FA667A"/>
    <w:rsid w:val="00FB0E8F"/>
    <w:rsid w:val="00FB1B39"/>
    <w:rsid w:val="00FD0984"/>
    <w:rsid w:val="00FD509C"/>
    <w:rsid w:val="00FD5A8A"/>
    <w:rsid w:val="00FD64F9"/>
    <w:rsid w:val="00FE6DC7"/>
    <w:rsid w:val="00FE7627"/>
    <w:rsid w:val="00FF0D3C"/>
    <w:rsid w:val="00FF432D"/>
    <w:rsid w:val="00FF594B"/>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pPr>
      <w:tabs>
        <w:tab w:val="left" w:pos="720"/>
      </w:tabs>
      <w:spacing w:after="120"/>
    </w:pPr>
    <w:rPr>
      <w:rFonts w:ascii="Palatino" w:hAnsi="Palatino"/>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A41BD"/>
    <w:rPr>
      <w:sz w:val="16"/>
      <w:szCs w:val="16"/>
    </w:rPr>
  </w:style>
  <w:style w:type="paragraph" w:styleId="CommentText">
    <w:name w:val="annotation text"/>
    <w:basedOn w:val="Normal"/>
    <w:link w:val="CommentTextChar"/>
    <w:rsid w:val="007A41BD"/>
  </w:style>
  <w:style w:type="character" w:customStyle="1" w:styleId="CommentTextChar">
    <w:name w:val="Comment Text Char"/>
    <w:basedOn w:val="DefaultParagraphFont"/>
    <w:link w:val="CommentText"/>
    <w:rsid w:val="007A41BD"/>
  </w:style>
  <w:style w:type="paragraph" w:styleId="CommentSubject">
    <w:name w:val="annotation subject"/>
    <w:basedOn w:val="CommentText"/>
    <w:next w:val="CommentText"/>
    <w:link w:val="CommentSubjectChar"/>
    <w:rsid w:val="007A41BD"/>
    <w:rPr>
      <w:b/>
      <w:bCs/>
    </w:rPr>
  </w:style>
  <w:style w:type="character" w:customStyle="1" w:styleId="CommentSubjectChar">
    <w:name w:val="Comment Subject Char"/>
    <w:basedOn w:val="CommentTextChar"/>
    <w:link w:val="CommentSubject"/>
    <w:rsid w:val="007A41BD"/>
    <w:rPr>
      <w:b/>
      <w:bCs/>
    </w:rPr>
  </w:style>
  <w:style w:type="paragraph" w:styleId="ListParagraph">
    <w:name w:val="List Paragraph"/>
    <w:basedOn w:val="Normal"/>
    <w:uiPriority w:val="34"/>
    <w:qFormat/>
    <w:rsid w:val="007A41BD"/>
    <w:pPr>
      <w:ind w:left="720"/>
      <w:contextualSpacing/>
    </w:pPr>
  </w:style>
  <w:style w:type="paragraph" w:customStyle="1" w:styleId="Default">
    <w:name w:val="Default"/>
    <w:rsid w:val="00A91096"/>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pPr>
      <w:tabs>
        <w:tab w:val="left" w:pos="720"/>
      </w:tabs>
      <w:spacing w:after="120"/>
    </w:pPr>
    <w:rPr>
      <w:rFonts w:ascii="Palatino" w:hAnsi="Palatino"/>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A41BD"/>
    <w:rPr>
      <w:sz w:val="16"/>
      <w:szCs w:val="16"/>
    </w:rPr>
  </w:style>
  <w:style w:type="paragraph" w:styleId="CommentText">
    <w:name w:val="annotation text"/>
    <w:basedOn w:val="Normal"/>
    <w:link w:val="CommentTextChar"/>
    <w:rsid w:val="007A41BD"/>
  </w:style>
  <w:style w:type="character" w:customStyle="1" w:styleId="CommentTextChar">
    <w:name w:val="Comment Text Char"/>
    <w:basedOn w:val="DefaultParagraphFont"/>
    <w:link w:val="CommentText"/>
    <w:rsid w:val="007A41BD"/>
  </w:style>
  <w:style w:type="paragraph" w:styleId="CommentSubject">
    <w:name w:val="annotation subject"/>
    <w:basedOn w:val="CommentText"/>
    <w:next w:val="CommentText"/>
    <w:link w:val="CommentSubjectChar"/>
    <w:rsid w:val="007A41BD"/>
    <w:rPr>
      <w:b/>
      <w:bCs/>
    </w:rPr>
  </w:style>
  <w:style w:type="character" w:customStyle="1" w:styleId="CommentSubjectChar">
    <w:name w:val="Comment Subject Char"/>
    <w:basedOn w:val="CommentTextChar"/>
    <w:link w:val="CommentSubject"/>
    <w:rsid w:val="007A41BD"/>
    <w:rPr>
      <w:b/>
      <w:bCs/>
    </w:rPr>
  </w:style>
  <w:style w:type="paragraph" w:styleId="ListParagraph">
    <w:name w:val="List Paragraph"/>
    <w:basedOn w:val="Normal"/>
    <w:uiPriority w:val="34"/>
    <w:qFormat/>
    <w:rsid w:val="007A41BD"/>
    <w:pPr>
      <w:ind w:left="720"/>
      <w:contextualSpacing/>
    </w:pPr>
  </w:style>
  <w:style w:type="paragraph" w:customStyle="1" w:styleId="Default">
    <w:name w:val="Default"/>
    <w:rsid w:val="00A91096"/>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0390575">
      <w:bodyDiv w:val="1"/>
      <w:marLeft w:val="0"/>
      <w:marRight w:val="0"/>
      <w:marTop w:val="0"/>
      <w:marBottom w:val="0"/>
      <w:divBdr>
        <w:top w:val="none" w:sz="0" w:space="0" w:color="auto"/>
        <w:left w:val="none" w:sz="0" w:space="0" w:color="auto"/>
        <w:bottom w:val="none" w:sz="0" w:space="0" w:color="auto"/>
        <w:right w:val="none" w:sz="0" w:space="0" w:color="auto"/>
      </w:divBdr>
    </w:div>
    <w:div w:id="195508698">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436369272">
      <w:bodyDiv w:val="1"/>
      <w:marLeft w:val="0"/>
      <w:marRight w:val="0"/>
      <w:marTop w:val="0"/>
      <w:marBottom w:val="0"/>
      <w:divBdr>
        <w:top w:val="none" w:sz="0" w:space="0" w:color="auto"/>
        <w:left w:val="none" w:sz="0" w:space="0" w:color="auto"/>
        <w:bottom w:val="none" w:sz="0" w:space="0" w:color="auto"/>
        <w:right w:val="none" w:sz="0" w:space="0" w:color="auto"/>
      </w:divBdr>
    </w:div>
    <w:div w:id="474874536">
      <w:bodyDiv w:val="1"/>
      <w:marLeft w:val="0"/>
      <w:marRight w:val="0"/>
      <w:marTop w:val="0"/>
      <w:marBottom w:val="0"/>
      <w:divBdr>
        <w:top w:val="none" w:sz="0" w:space="0" w:color="auto"/>
        <w:left w:val="none" w:sz="0" w:space="0" w:color="auto"/>
        <w:bottom w:val="none" w:sz="0" w:space="0" w:color="auto"/>
        <w:right w:val="none" w:sz="0" w:space="0" w:color="auto"/>
      </w:divBdr>
    </w:div>
    <w:div w:id="486942394">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669901">
      <w:bodyDiv w:val="1"/>
      <w:marLeft w:val="0"/>
      <w:marRight w:val="0"/>
      <w:marTop w:val="0"/>
      <w:marBottom w:val="0"/>
      <w:divBdr>
        <w:top w:val="none" w:sz="0" w:space="0" w:color="auto"/>
        <w:left w:val="none" w:sz="0" w:space="0" w:color="auto"/>
        <w:bottom w:val="none" w:sz="0" w:space="0" w:color="auto"/>
        <w:right w:val="none" w:sz="0" w:space="0" w:color="auto"/>
      </w:divBdr>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55720446">
      <w:bodyDiv w:val="1"/>
      <w:marLeft w:val="0"/>
      <w:marRight w:val="0"/>
      <w:marTop w:val="0"/>
      <w:marBottom w:val="0"/>
      <w:divBdr>
        <w:top w:val="none" w:sz="0" w:space="0" w:color="auto"/>
        <w:left w:val="none" w:sz="0" w:space="0" w:color="auto"/>
        <w:bottom w:val="none" w:sz="0" w:space="0" w:color="auto"/>
        <w:right w:val="none" w:sz="0" w:space="0" w:color="auto"/>
      </w:divBdr>
    </w:div>
    <w:div w:id="65792729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1444441">
      <w:bodyDiv w:val="1"/>
      <w:marLeft w:val="0"/>
      <w:marRight w:val="0"/>
      <w:marTop w:val="0"/>
      <w:marBottom w:val="0"/>
      <w:divBdr>
        <w:top w:val="none" w:sz="0" w:space="0" w:color="auto"/>
        <w:left w:val="none" w:sz="0" w:space="0" w:color="auto"/>
        <w:bottom w:val="none" w:sz="0" w:space="0" w:color="auto"/>
        <w:right w:val="none" w:sz="0" w:space="0" w:color="auto"/>
      </w:divBdr>
    </w:div>
    <w:div w:id="799763413">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895966487">
      <w:bodyDiv w:val="1"/>
      <w:marLeft w:val="0"/>
      <w:marRight w:val="0"/>
      <w:marTop w:val="0"/>
      <w:marBottom w:val="0"/>
      <w:divBdr>
        <w:top w:val="none" w:sz="0" w:space="0" w:color="auto"/>
        <w:left w:val="none" w:sz="0" w:space="0" w:color="auto"/>
        <w:bottom w:val="none" w:sz="0" w:space="0" w:color="auto"/>
        <w:right w:val="none" w:sz="0" w:space="0" w:color="auto"/>
      </w:divBdr>
    </w:div>
    <w:div w:id="934171990">
      <w:bodyDiv w:val="1"/>
      <w:marLeft w:val="0"/>
      <w:marRight w:val="0"/>
      <w:marTop w:val="0"/>
      <w:marBottom w:val="0"/>
      <w:divBdr>
        <w:top w:val="none" w:sz="0" w:space="0" w:color="auto"/>
        <w:left w:val="none" w:sz="0" w:space="0" w:color="auto"/>
        <w:bottom w:val="none" w:sz="0" w:space="0" w:color="auto"/>
        <w:right w:val="none" w:sz="0" w:space="0" w:color="auto"/>
      </w:divBdr>
    </w:div>
    <w:div w:id="969553893">
      <w:bodyDiv w:val="1"/>
      <w:marLeft w:val="0"/>
      <w:marRight w:val="0"/>
      <w:marTop w:val="0"/>
      <w:marBottom w:val="0"/>
      <w:divBdr>
        <w:top w:val="none" w:sz="0" w:space="0" w:color="auto"/>
        <w:left w:val="none" w:sz="0" w:space="0" w:color="auto"/>
        <w:bottom w:val="none" w:sz="0" w:space="0" w:color="auto"/>
        <w:right w:val="none" w:sz="0" w:space="0" w:color="auto"/>
      </w:divBdr>
    </w:div>
    <w:div w:id="1013917723">
      <w:bodyDiv w:val="1"/>
      <w:marLeft w:val="0"/>
      <w:marRight w:val="0"/>
      <w:marTop w:val="0"/>
      <w:marBottom w:val="0"/>
      <w:divBdr>
        <w:top w:val="none" w:sz="0" w:space="0" w:color="auto"/>
        <w:left w:val="none" w:sz="0" w:space="0" w:color="auto"/>
        <w:bottom w:val="none" w:sz="0" w:space="0" w:color="auto"/>
        <w:right w:val="none" w:sz="0" w:space="0" w:color="auto"/>
      </w:divBdr>
    </w:div>
    <w:div w:id="1184443240">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43484913">
      <w:bodyDiv w:val="1"/>
      <w:marLeft w:val="0"/>
      <w:marRight w:val="0"/>
      <w:marTop w:val="0"/>
      <w:marBottom w:val="0"/>
      <w:divBdr>
        <w:top w:val="none" w:sz="0" w:space="0" w:color="auto"/>
        <w:left w:val="none" w:sz="0" w:space="0" w:color="auto"/>
        <w:bottom w:val="none" w:sz="0" w:space="0" w:color="auto"/>
        <w:right w:val="none" w:sz="0" w:space="0" w:color="auto"/>
      </w:divBdr>
    </w:div>
    <w:div w:id="1273200492">
      <w:bodyDiv w:val="1"/>
      <w:marLeft w:val="0"/>
      <w:marRight w:val="0"/>
      <w:marTop w:val="0"/>
      <w:marBottom w:val="0"/>
      <w:divBdr>
        <w:top w:val="none" w:sz="0" w:space="0" w:color="auto"/>
        <w:left w:val="none" w:sz="0" w:space="0" w:color="auto"/>
        <w:bottom w:val="none" w:sz="0" w:space="0" w:color="auto"/>
        <w:right w:val="none" w:sz="0" w:space="0" w:color="auto"/>
      </w:divBdr>
    </w:div>
    <w:div w:id="1284117193">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53825315">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24450525">
      <w:bodyDiv w:val="1"/>
      <w:marLeft w:val="0"/>
      <w:marRight w:val="0"/>
      <w:marTop w:val="0"/>
      <w:marBottom w:val="0"/>
      <w:divBdr>
        <w:top w:val="none" w:sz="0" w:space="0" w:color="auto"/>
        <w:left w:val="none" w:sz="0" w:space="0" w:color="auto"/>
        <w:bottom w:val="none" w:sz="0" w:space="0" w:color="auto"/>
        <w:right w:val="none" w:sz="0" w:space="0" w:color="auto"/>
      </w:divBdr>
    </w:div>
    <w:div w:id="1745836780">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906329319">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94987519">
      <w:bodyDiv w:val="1"/>
      <w:marLeft w:val="0"/>
      <w:marRight w:val="0"/>
      <w:marTop w:val="0"/>
      <w:marBottom w:val="0"/>
      <w:divBdr>
        <w:top w:val="none" w:sz="0" w:space="0" w:color="auto"/>
        <w:left w:val="none" w:sz="0" w:space="0" w:color="auto"/>
        <w:bottom w:val="none" w:sz="0" w:space="0" w:color="auto"/>
        <w:right w:val="none" w:sz="0" w:space="0" w:color="auto"/>
      </w:divBdr>
    </w:div>
    <w:div w:id="21260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uc.c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1931</Words>
  <Characters>11015</Characters>
  <Application>Microsoft Office Word</Application>
  <DocSecurity>0</DocSecurity>
  <Lines>252</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13071</CharactersWithSpaces>
  <SharedDoc>false</SharedDoc>
  <HyperlinkBase> </HyperlinkBase>
  <HLinks>
    <vt:vector size="6" baseType="variant">
      <vt:variant>
        <vt:i4>6488161</vt:i4>
      </vt:variant>
      <vt:variant>
        <vt:i4>0</vt:i4>
      </vt:variant>
      <vt:variant>
        <vt:i4>0</vt:i4>
      </vt:variant>
      <vt:variant>
        <vt:i4>5</vt:i4>
      </vt:variant>
      <vt:variant>
        <vt:lpwstr>http://www.cpuc.ca.gov/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2012-06-08T21:54:00Z</cp:lastPrinted>
  <dcterms:created xsi:type="dcterms:W3CDTF">2014-11-21T20:50:00Z</dcterms:created>
  <dcterms:modified xsi:type="dcterms:W3CDTF">2014-11-21T20:50:00Z</dcterms:modified>
  <cp:category> </cp:category>
  <cp:contentStatus> </cp:contentStatus>
</cp:coreProperties>
</file>