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EE" w:rsidRPr="00EB020F" w:rsidRDefault="00C9095D" w:rsidP="00C9095D">
      <w:pPr>
        <w:pStyle w:val="Header"/>
        <w:tabs>
          <w:tab w:val="clear" w:pos="8640"/>
        </w:tabs>
        <w:rPr>
          <w:b/>
        </w:rPr>
      </w:pPr>
      <w:bookmarkStart w:id="0" w:name="_GoBack"/>
      <w:bookmarkEnd w:id="0"/>
      <w:r>
        <w:t>ALJ</w:t>
      </w:r>
      <w:r w:rsidR="00906840">
        <w:t>/</w:t>
      </w:r>
      <w:r w:rsidR="00E82017">
        <w:t>RIM</w:t>
      </w:r>
      <w:r w:rsidR="009B103F">
        <w:t>/</w:t>
      </w:r>
      <w:r>
        <w:t>ek4</w:t>
      </w:r>
      <w:r>
        <w:tab/>
      </w:r>
      <w:r w:rsidR="00EB020F">
        <w:tab/>
      </w:r>
      <w:r w:rsidR="00EB020F">
        <w:tab/>
        <w:t xml:space="preserve">       </w:t>
      </w:r>
      <w:r w:rsidR="00EB020F">
        <w:rPr>
          <w:b/>
        </w:rPr>
        <w:t>Date of Issuance 3/27/2015</w:t>
      </w:r>
    </w:p>
    <w:p w:rsidR="00056BEE" w:rsidRDefault="00056BEE">
      <w:pPr>
        <w:pStyle w:val="Header"/>
      </w:pPr>
    </w:p>
    <w:p w:rsidR="00EB020F" w:rsidRDefault="00EB020F">
      <w:pPr>
        <w:pStyle w:val="Header"/>
      </w:pPr>
    </w:p>
    <w:p w:rsidR="00056BEE" w:rsidRDefault="00C9095D">
      <w:pPr>
        <w:pStyle w:val="Header"/>
      </w:pPr>
      <w:r>
        <w:t xml:space="preserve">Decision </w:t>
      </w:r>
      <w:r w:rsidR="00EB020F">
        <w:t>15-03-030  March 26, 2015</w:t>
      </w:r>
    </w:p>
    <w:p w:rsidR="00C9095D" w:rsidRDefault="00C9095D">
      <w:pPr>
        <w:pStyle w:val="Header"/>
      </w:pPr>
    </w:p>
    <w:p w:rsidR="00056BEE" w:rsidRDefault="00056BEE">
      <w:pPr>
        <w:rPr>
          <w:rFonts w:ascii="Helvetica" w:hAnsi="Helvetica"/>
          <w:b/>
          <w:sz w:val="24"/>
          <w:szCs w:val="24"/>
        </w:rPr>
      </w:pPr>
      <w:r>
        <w:rPr>
          <w:rFonts w:ascii="Helvetica" w:hAnsi="Helvetica"/>
          <w:b/>
          <w:sz w:val="24"/>
          <w:szCs w:val="24"/>
        </w:rPr>
        <w:t>BEFORE THE PUBLIC UTILITIES COMMISSION OF THE STATE OF CALIFORNIA</w:t>
      </w:r>
    </w:p>
    <w:p w:rsidR="00056BEE" w:rsidRDefault="00056BEE">
      <w:pPr>
        <w:suppressAutoHyphens/>
      </w:pPr>
    </w:p>
    <w:tbl>
      <w:tblPr>
        <w:tblW w:w="0" w:type="auto"/>
        <w:tblLayout w:type="fixed"/>
        <w:tblLook w:val="0000" w:firstRow="0" w:lastRow="0" w:firstColumn="0" w:lastColumn="0" w:noHBand="0" w:noVBand="0"/>
      </w:tblPr>
      <w:tblGrid>
        <w:gridCol w:w="5328"/>
        <w:gridCol w:w="3917"/>
      </w:tblGrid>
      <w:tr w:rsidR="00906840">
        <w:tc>
          <w:tcPr>
            <w:tcW w:w="5328" w:type="dxa"/>
            <w:tcBorders>
              <w:bottom w:val="single" w:sz="6" w:space="0" w:color="auto"/>
              <w:right w:val="single" w:sz="6" w:space="0" w:color="auto"/>
            </w:tcBorders>
          </w:tcPr>
          <w:p w:rsidR="00906840" w:rsidRDefault="00094A35" w:rsidP="00AE0E7F">
            <w:pPr>
              <w:tabs>
                <w:tab w:val="left" w:pos="4575"/>
              </w:tabs>
            </w:pPr>
            <w:r w:rsidRPr="00094A35">
              <w:t>Application of Pacific Gas and Electric Company, a California corporation, for a Permit to Construct the Santa Cruz 115 Kilovolt Reinforcement Project Pursuant to General Order 131-D (U39E)</w:t>
            </w:r>
            <w:r w:rsidR="00BD6549">
              <w:t>.</w:t>
            </w:r>
          </w:p>
          <w:p w:rsidR="00EE080A" w:rsidRPr="00825448" w:rsidRDefault="00EE080A" w:rsidP="00AE0E7F">
            <w:pPr>
              <w:tabs>
                <w:tab w:val="left" w:pos="4575"/>
              </w:tabs>
            </w:pPr>
          </w:p>
        </w:tc>
        <w:tc>
          <w:tcPr>
            <w:tcW w:w="3917" w:type="dxa"/>
            <w:tcBorders>
              <w:left w:val="nil"/>
            </w:tcBorders>
          </w:tcPr>
          <w:p w:rsidR="00FD11D2" w:rsidRDefault="00FD11D2" w:rsidP="00AE0E7F">
            <w:pPr>
              <w:jc w:val="center"/>
            </w:pPr>
          </w:p>
          <w:p w:rsidR="00906840" w:rsidRDefault="00E61BF6" w:rsidP="00AE0E7F">
            <w:pPr>
              <w:jc w:val="center"/>
            </w:pPr>
            <w:r>
              <w:t>A</w:t>
            </w:r>
            <w:r w:rsidR="00BD6549">
              <w:t xml:space="preserve">pplication </w:t>
            </w:r>
            <w:r w:rsidR="006D1AAA">
              <w:t>12-</w:t>
            </w:r>
            <w:r>
              <w:t>0</w:t>
            </w:r>
            <w:r w:rsidR="006D1AAA">
              <w:t>1-01</w:t>
            </w:r>
            <w:r>
              <w:t>2</w:t>
            </w:r>
          </w:p>
          <w:p w:rsidR="00EE080A" w:rsidRDefault="00B138B1" w:rsidP="00E61BF6">
            <w:pPr>
              <w:jc w:val="center"/>
            </w:pPr>
            <w:r>
              <w:t xml:space="preserve">(Filed </w:t>
            </w:r>
            <w:r w:rsidR="00E61BF6">
              <w:t>January 25,</w:t>
            </w:r>
            <w:r w:rsidR="006D1AAA">
              <w:t xml:space="preserve"> 2012</w:t>
            </w:r>
            <w:r>
              <w:t>)</w:t>
            </w:r>
          </w:p>
        </w:tc>
      </w:tr>
    </w:tbl>
    <w:p w:rsidR="00056BEE" w:rsidRDefault="00056BEE"/>
    <w:p w:rsidR="00056BEE" w:rsidRDefault="00056BEE"/>
    <w:p w:rsidR="00906840" w:rsidRDefault="00EA0F57" w:rsidP="00906840">
      <w:pPr>
        <w:pStyle w:val="main"/>
      </w:pPr>
      <w:r>
        <w:t xml:space="preserve">DECISION GRANTING PACIFIC GAS AND ELECTRIC COMPANY’S </w:t>
      </w:r>
      <w:r w:rsidR="00BB68FD">
        <w:br/>
      </w:r>
      <w:r>
        <w:t>MOTION TO DISMISS APPLICATION FOR A PERMIT TO CONSTRUCT WITHOUT PREJUDICE</w:t>
      </w:r>
    </w:p>
    <w:p w:rsidR="00825448" w:rsidRDefault="00825448" w:rsidP="00825448">
      <w:pPr>
        <w:pStyle w:val="main"/>
      </w:pPr>
    </w:p>
    <w:p w:rsidR="0012174A" w:rsidRDefault="0012174A" w:rsidP="00A84500">
      <w:pPr>
        <w:pStyle w:val="Heading1"/>
      </w:pPr>
      <w:r>
        <w:t>Summary</w:t>
      </w:r>
    </w:p>
    <w:p w:rsidR="00AC32D0" w:rsidRDefault="0012174A" w:rsidP="00863D38">
      <w:pPr>
        <w:pStyle w:val="standard"/>
      </w:pPr>
      <w:r>
        <w:t xml:space="preserve">This decision </w:t>
      </w:r>
      <w:r w:rsidR="002B0D63">
        <w:t>grants</w:t>
      </w:r>
      <w:r>
        <w:t xml:space="preserve"> Pacific Gas </w:t>
      </w:r>
      <w:r w:rsidR="00ED74B7">
        <w:t>and</w:t>
      </w:r>
      <w:r>
        <w:t xml:space="preserve"> Electric Company’s </w:t>
      </w:r>
      <w:r w:rsidR="002B0D63">
        <w:t xml:space="preserve">Motion to Dismiss its </w:t>
      </w:r>
      <w:r>
        <w:t>Application for a permit to construct the Santa Cruz 115 Kilovolt Reinforcement Project (Project)</w:t>
      </w:r>
      <w:r w:rsidR="002B0D63">
        <w:t>, without prejudice,</w:t>
      </w:r>
      <w:r>
        <w:t xml:space="preserve"> on the grounds that the </w:t>
      </w:r>
      <w:r w:rsidR="00367CF2">
        <w:t>California Independent Systems Operator</w:t>
      </w:r>
      <w:r>
        <w:t xml:space="preserve"> has determined that this Project is no longer needed at this time</w:t>
      </w:r>
      <w:r w:rsidR="00AC32D0">
        <w:t>.</w:t>
      </w:r>
    </w:p>
    <w:p w:rsidR="00863D38" w:rsidRDefault="00AC32D0" w:rsidP="00863D38">
      <w:pPr>
        <w:pStyle w:val="standard"/>
      </w:pPr>
      <w:r>
        <w:t>This proceeding is closed.</w:t>
      </w:r>
    </w:p>
    <w:p w:rsidR="00863D38" w:rsidRDefault="00863D38" w:rsidP="00EF3AEC">
      <w:pPr>
        <w:pStyle w:val="Heading1"/>
        <w:keepNext w:val="0"/>
        <w:widowControl w:val="0"/>
        <w:tabs>
          <w:tab w:val="num" w:pos="720"/>
        </w:tabs>
        <w:ind w:left="720" w:right="720" w:hanging="720"/>
      </w:pPr>
      <w:r>
        <w:t>1.</w:t>
      </w:r>
      <w:r>
        <w:tab/>
        <w:t>Background</w:t>
      </w:r>
    </w:p>
    <w:p w:rsidR="00AC32D0" w:rsidRPr="00367CF2" w:rsidRDefault="00BA5B12" w:rsidP="00367CF2">
      <w:pPr>
        <w:pStyle w:val="Heading2"/>
        <w:ind w:firstLine="720"/>
        <w:rPr>
          <w:i w:val="0"/>
        </w:rPr>
      </w:pPr>
      <w:r w:rsidRPr="00367CF2">
        <w:rPr>
          <w:i w:val="0"/>
        </w:rPr>
        <w:t>1.1.</w:t>
      </w:r>
      <w:r w:rsidRPr="00367CF2">
        <w:rPr>
          <w:i w:val="0"/>
        </w:rPr>
        <w:tab/>
      </w:r>
      <w:r w:rsidR="00AC32D0" w:rsidRPr="00367CF2">
        <w:rPr>
          <w:i w:val="0"/>
        </w:rPr>
        <w:t>The Application</w:t>
      </w:r>
    </w:p>
    <w:p w:rsidR="008769E8" w:rsidRDefault="00863D38" w:rsidP="00863D38">
      <w:pPr>
        <w:pStyle w:val="standard"/>
      </w:pPr>
      <w:r>
        <w:t xml:space="preserve">On </w:t>
      </w:r>
      <w:r w:rsidR="009438D6">
        <w:t>January 25, 2012, P</w:t>
      </w:r>
      <w:r w:rsidR="00A84500">
        <w:t>acific</w:t>
      </w:r>
      <w:r w:rsidR="009438D6">
        <w:t xml:space="preserve"> G</w:t>
      </w:r>
      <w:r w:rsidR="00A84500">
        <w:t>as</w:t>
      </w:r>
      <w:r w:rsidR="009438D6">
        <w:t xml:space="preserve"> </w:t>
      </w:r>
      <w:r w:rsidR="00A84500">
        <w:t>and</w:t>
      </w:r>
      <w:r w:rsidR="009438D6">
        <w:t xml:space="preserve"> E</w:t>
      </w:r>
      <w:r w:rsidR="00A84500">
        <w:t>lectric</w:t>
      </w:r>
      <w:r w:rsidR="009438D6">
        <w:t xml:space="preserve"> C</w:t>
      </w:r>
      <w:r w:rsidR="00A84500">
        <w:t>ompany</w:t>
      </w:r>
      <w:r w:rsidR="009438D6">
        <w:t xml:space="preserve"> (PG&amp;E),</w:t>
      </w:r>
      <w:r w:rsidR="00367CF2">
        <w:t xml:space="preserve"> </w:t>
      </w:r>
      <w:r w:rsidR="009438D6">
        <w:t xml:space="preserve">filed this Application for </w:t>
      </w:r>
      <w:r w:rsidR="00077F4C">
        <w:t>a permit to</w:t>
      </w:r>
      <w:r w:rsidR="009438D6">
        <w:t xml:space="preserve"> construct</w:t>
      </w:r>
      <w:r w:rsidR="00077F4C">
        <w:t xml:space="preserve"> (PTC)</w:t>
      </w:r>
      <w:r w:rsidR="009438D6">
        <w:t xml:space="preserve"> the “Santa Cruz 115 Kilovolt Reinforcement Project” (Project)</w:t>
      </w:r>
      <w:r w:rsidR="00077F4C">
        <w:t xml:space="preserve"> pursuant to General Order (GO) 131-D. </w:t>
      </w:r>
      <w:r w:rsidR="00367CF2">
        <w:t xml:space="preserve"> </w:t>
      </w:r>
      <w:r w:rsidR="009722AA">
        <w:t>The</w:t>
      </w:r>
      <w:r w:rsidR="00077F4C">
        <w:t xml:space="preserve"> Project</w:t>
      </w:r>
      <w:r w:rsidR="009438D6">
        <w:t xml:space="preserve"> will add a second 115 kilovolt </w:t>
      </w:r>
      <w:r w:rsidR="008769E8">
        <w:t xml:space="preserve">(kV) circuit between </w:t>
      </w:r>
      <w:r w:rsidR="00077F4C">
        <w:t xml:space="preserve">the </w:t>
      </w:r>
      <w:r w:rsidR="008769E8">
        <w:t xml:space="preserve">Green Valley </w:t>
      </w:r>
      <w:r w:rsidR="008769E8">
        <w:lastRenderedPageBreak/>
        <w:t xml:space="preserve">Substation and </w:t>
      </w:r>
      <w:r w:rsidR="00077F4C">
        <w:t xml:space="preserve">the </w:t>
      </w:r>
      <w:r w:rsidR="008769E8">
        <w:t xml:space="preserve">Rob Roy Substation in Santa Cruz County. </w:t>
      </w:r>
      <w:r w:rsidR="00367CF2">
        <w:t xml:space="preserve"> </w:t>
      </w:r>
      <w:r w:rsidR="008769E8">
        <w:t>PG&amp;E asserts that the Project is needed</w:t>
      </w:r>
      <w:r w:rsidR="009722AA">
        <w:t xml:space="preserve"> in order</w:t>
      </w:r>
      <w:r w:rsidR="008769E8">
        <w:t xml:space="preserve"> to increase reliab</w:t>
      </w:r>
      <w:r w:rsidR="009722AA">
        <w:t>le electrical service</w:t>
      </w:r>
      <w:r w:rsidR="008769E8">
        <w:t xml:space="preserve"> and to prevent potential service interruptions if there are overlapping outages in the existing electricity-supply system.</w:t>
      </w:r>
    </w:p>
    <w:p w:rsidR="00AC32D0" w:rsidRDefault="00AC32D0" w:rsidP="00863D38">
      <w:pPr>
        <w:pStyle w:val="standard"/>
      </w:pPr>
      <w:r>
        <w:t xml:space="preserve">As this Project has been pending before the Commission for over four years and has gone through various permutations in response to public and Commission staff concerns, it </w:t>
      </w:r>
      <w:r w:rsidR="008B6B44">
        <w:t>will be helpful</w:t>
      </w:r>
      <w:r>
        <w:t xml:space="preserve"> to explain how the Project got to the juncture where its dismissal is, for now, appropriate.</w:t>
      </w:r>
    </w:p>
    <w:p w:rsidR="0012174A" w:rsidRPr="00D4241D" w:rsidRDefault="00D4241D" w:rsidP="00D4241D">
      <w:pPr>
        <w:pStyle w:val="Heading2"/>
        <w:ind w:firstLine="720"/>
        <w:rPr>
          <w:i w:val="0"/>
        </w:rPr>
      </w:pPr>
      <w:r>
        <w:rPr>
          <w:i w:val="0"/>
        </w:rPr>
        <w:t>1.2.</w:t>
      </w:r>
      <w:r>
        <w:rPr>
          <w:i w:val="0"/>
        </w:rPr>
        <w:tab/>
      </w:r>
      <w:r w:rsidR="00AC32D0" w:rsidRPr="00D4241D">
        <w:rPr>
          <w:i w:val="0"/>
        </w:rPr>
        <w:t>Public Concerns</w:t>
      </w:r>
    </w:p>
    <w:p w:rsidR="0012174A" w:rsidRDefault="0012174A" w:rsidP="0050007B">
      <w:pPr>
        <w:spacing w:line="360" w:lineRule="auto"/>
        <w:ind w:firstLine="720"/>
      </w:pPr>
      <w:r>
        <w:t xml:space="preserve">Though PG&amp;E had done some public outreach prior to filing the application for a PTC, community members learned much more about the </w:t>
      </w:r>
      <w:r w:rsidR="0050007B">
        <w:t>P</w:t>
      </w:r>
      <w:r>
        <w:t>roject after the application was filed via PG&amp;E notices pursuant to G</w:t>
      </w:r>
      <w:r w:rsidR="00BD6549">
        <w:t xml:space="preserve">O </w:t>
      </w:r>
      <w:r>
        <w:t>131-D to property owners and via the C</w:t>
      </w:r>
      <w:r w:rsidR="0050007B">
        <w:t>ommission’s</w:t>
      </w:r>
      <w:r>
        <w:t xml:space="preserve"> </w:t>
      </w:r>
      <w:r w:rsidR="0050007B">
        <w:t>P</w:t>
      </w:r>
      <w:r>
        <w:t xml:space="preserve">roject website and notices associated with </w:t>
      </w:r>
      <w:r w:rsidR="0050007B">
        <w:t xml:space="preserve">the </w:t>
      </w:r>
      <w:r>
        <w:t>environmental review.  Public interest grew in 2013 as more community members learned about the project from each other.</w:t>
      </w:r>
      <w:r w:rsidR="0050007B">
        <w:t xml:space="preserve"> </w:t>
      </w:r>
      <w:r w:rsidR="00D4241D">
        <w:t xml:space="preserve"> </w:t>
      </w:r>
      <w:r>
        <w:t>In response to public concerns</w:t>
      </w:r>
      <w:r w:rsidR="0050007B">
        <w:t>, Commission staff and the environmental consultant responsible for drafting the environmental documents</w:t>
      </w:r>
      <w:r>
        <w:t xml:space="preserve"> met with Santa Cruz Second District Supervisor Zack Friend in July 2013 to discuss public concerns and to provide clarification regarding the C</w:t>
      </w:r>
      <w:r w:rsidR="0050007B">
        <w:t>ommission’s</w:t>
      </w:r>
      <w:r>
        <w:t xml:space="preserve"> and </w:t>
      </w:r>
      <w:r w:rsidR="008B6B44">
        <w:t xml:space="preserve">the California </w:t>
      </w:r>
      <w:r w:rsidR="00EC3740">
        <w:t>Environmental Quality Act’s (</w:t>
      </w:r>
      <w:r>
        <w:t>CEQA</w:t>
      </w:r>
      <w:r w:rsidR="00EC3740">
        <w:t>)</w:t>
      </w:r>
      <w:r>
        <w:t xml:space="preserve"> processes.</w:t>
      </w:r>
    </w:p>
    <w:p w:rsidR="0050007B" w:rsidRDefault="00BA5B12" w:rsidP="00BA5B12">
      <w:pPr>
        <w:pStyle w:val="Heading1"/>
        <w:ind w:firstLine="720"/>
      </w:pPr>
      <w:r>
        <w:t>1.</w:t>
      </w:r>
      <w:r w:rsidR="00D4241D">
        <w:t>3</w:t>
      </w:r>
      <w:r>
        <w:t>.</w:t>
      </w:r>
      <w:r>
        <w:tab/>
      </w:r>
      <w:r w:rsidR="0050007B">
        <w:t>The Mitigated Negative</w:t>
      </w:r>
      <w:r w:rsidR="00D4241D">
        <w:br/>
      </w:r>
      <w:r w:rsidR="00D4241D">
        <w:tab/>
      </w:r>
      <w:r w:rsidR="00D4241D">
        <w:tab/>
      </w:r>
      <w:r w:rsidR="0050007B">
        <w:t>Declaration</w:t>
      </w:r>
    </w:p>
    <w:p w:rsidR="00BA5B12" w:rsidRDefault="0081782D" w:rsidP="00BA5B12">
      <w:pPr>
        <w:spacing w:line="360" w:lineRule="auto"/>
        <w:ind w:firstLine="720"/>
      </w:pPr>
      <w:r>
        <w:t>C</w:t>
      </w:r>
      <w:r w:rsidR="0012174A">
        <w:t xml:space="preserve">onsistent with CEQA, </w:t>
      </w:r>
      <w:r>
        <w:t xml:space="preserve">the Commission’s staff </w:t>
      </w:r>
      <w:r w:rsidR="0012174A">
        <w:t xml:space="preserve">first prepared and released to the public an Initial Study (IS) and Mitigated Negative Declaration (MND) in October 2013. </w:t>
      </w:r>
      <w:r>
        <w:t xml:space="preserve"> </w:t>
      </w:r>
      <w:r w:rsidR="0012174A">
        <w:t xml:space="preserve">The IS/MND was circulated for an extended 49-day comment period to allow extended time for public review. </w:t>
      </w:r>
      <w:r w:rsidR="00D4241D">
        <w:t xml:space="preserve"> </w:t>
      </w:r>
      <w:r w:rsidR="0012174A">
        <w:t xml:space="preserve">Key areas of controversy raised </w:t>
      </w:r>
      <w:r w:rsidR="0012174A">
        <w:lastRenderedPageBreak/>
        <w:t>by the public prior to and during the public review of the Draft IS/MND were primarily related to visual impacts, community values, and traffic and safety impacts</w:t>
      </w:r>
      <w:r>
        <w:t xml:space="preserve">. </w:t>
      </w:r>
      <w:r w:rsidR="00D4241D">
        <w:t xml:space="preserve"> </w:t>
      </w:r>
      <w:r w:rsidR="0012174A">
        <w:t xml:space="preserve">Concern came mostly from residents in the Day Valley area along </w:t>
      </w:r>
      <w:r w:rsidR="00D4241D">
        <w:br/>
      </w:r>
      <w:r w:rsidR="0012174A">
        <w:t>Cox Road, McDonald Road, and Day Valley Road, where up to 89</w:t>
      </w:r>
      <w:r w:rsidR="00616620">
        <w:t>-</w:t>
      </w:r>
      <w:r w:rsidR="0012174A">
        <w:t>foot tall wooden poles would replace the existing 39</w:t>
      </w:r>
      <w:r w:rsidR="00616620">
        <w:t>-</w:t>
      </w:r>
      <w:r w:rsidR="0012174A">
        <w:t xml:space="preserve">foot tall wooden poles. </w:t>
      </w:r>
      <w:r w:rsidR="00D4241D">
        <w:t xml:space="preserve"> </w:t>
      </w:r>
      <w:r w:rsidR="0012174A">
        <w:t xml:space="preserve">Members of the public felt the poles would degrade the visual and aesthetic quality of the area and would not be consistent with the rural and agricultural visual characteristics of the area. </w:t>
      </w:r>
      <w:r w:rsidR="00D4241D">
        <w:t xml:space="preserve"> </w:t>
      </w:r>
      <w:r w:rsidR="0012174A">
        <w:t xml:space="preserve">The </w:t>
      </w:r>
      <w:r>
        <w:t>P</w:t>
      </w:r>
      <w:r w:rsidR="0012174A">
        <w:t xml:space="preserve">roject would also require removal of up to </w:t>
      </w:r>
      <w:r w:rsidR="00D4241D">
        <w:br/>
      </w:r>
      <w:r w:rsidR="0012174A">
        <w:t xml:space="preserve">165 trees, 60 percent of which would be along the Cox Road to </w:t>
      </w:r>
      <w:r w:rsidR="00D4241D">
        <w:br/>
      </w:r>
      <w:r w:rsidR="0012174A">
        <w:t xml:space="preserve">Freedom Boulevard segment. </w:t>
      </w:r>
      <w:r w:rsidR="00D4241D">
        <w:t xml:space="preserve"> </w:t>
      </w:r>
      <w:r w:rsidR="0012174A">
        <w:t xml:space="preserve">The community was concerned with the visual impacts of tree removal and trimming. </w:t>
      </w:r>
    </w:p>
    <w:p w:rsidR="0012174A" w:rsidRPr="0081782D" w:rsidRDefault="00BA5B12" w:rsidP="00BA5B12">
      <w:pPr>
        <w:pStyle w:val="Heading1"/>
        <w:ind w:firstLine="720"/>
        <w:rPr>
          <w:i/>
        </w:rPr>
      </w:pPr>
      <w:r>
        <w:t>1.3.</w:t>
      </w:r>
      <w:r>
        <w:tab/>
      </w:r>
      <w:r w:rsidR="0012174A" w:rsidRPr="0081782D">
        <w:t xml:space="preserve">The </w:t>
      </w:r>
      <w:r>
        <w:t>R</w:t>
      </w:r>
      <w:r w:rsidR="0012174A" w:rsidRPr="0081782D">
        <w:t>ationale for Preparing an</w:t>
      </w:r>
      <w:r w:rsidR="00D4241D">
        <w:br/>
      </w:r>
      <w:r w:rsidR="00D4241D">
        <w:tab/>
      </w:r>
      <w:r w:rsidR="00D4241D">
        <w:tab/>
      </w:r>
      <w:r w:rsidR="0012174A" w:rsidRPr="0081782D">
        <w:t>E</w:t>
      </w:r>
      <w:r w:rsidR="0081782D">
        <w:t xml:space="preserve">nvironmental </w:t>
      </w:r>
      <w:r w:rsidR="0012174A" w:rsidRPr="0081782D">
        <w:t>I</w:t>
      </w:r>
      <w:r w:rsidR="0081782D">
        <w:t xml:space="preserve">mpact </w:t>
      </w:r>
      <w:r w:rsidR="0012174A" w:rsidRPr="0081782D">
        <w:t>R</w:t>
      </w:r>
      <w:r w:rsidR="0081782D">
        <w:t>eport</w:t>
      </w:r>
      <w:r w:rsidR="00BD6549">
        <w:t xml:space="preserve"> (EIR)</w:t>
      </w:r>
    </w:p>
    <w:p w:rsidR="0012174A" w:rsidRDefault="0012174A" w:rsidP="00DC776D">
      <w:pPr>
        <w:spacing w:line="360" w:lineRule="auto"/>
        <w:ind w:firstLine="720"/>
      </w:pPr>
      <w:r>
        <w:t xml:space="preserve">The </w:t>
      </w:r>
      <w:r w:rsidR="00BD6549">
        <w:t xml:space="preserve">Commission </w:t>
      </w:r>
      <w:r>
        <w:t xml:space="preserve">decided to prepare an </w:t>
      </w:r>
      <w:r w:rsidR="00DC776D">
        <w:t>Environmental Impact Report (</w:t>
      </w:r>
      <w:r>
        <w:t>EIR</w:t>
      </w:r>
      <w:r w:rsidR="00DC776D">
        <w:t>)</w:t>
      </w:r>
      <w:r>
        <w:t xml:space="preserve"> after review of public comments on the Draft IS/MND </w:t>
      </w:r>
      <w:r w:rsidR="00DC776D">
        <w:t>revealed</w:t>
      </w:r>
      <w:r>
        <w:t xml:space="preserve"> the public’s concern over the visual impacts of the </w:t>
      </w:r>
      <w:r w:rsidR="0081782D">
        <w:t>P</w:t>
      </w:r>
      <w:r>
        <w:t xml:space="preserve">roject. </w:t>
      </w:r>
      <w:r w:rsidR="00D4241D">
        <w:t xml:space="preserve"> </w:t>
      </w:r>
      <w:r>
        <w:t xml:space="preserve">An EIR (as opposed to an MND) requires consideration of alternative means to meet the project need. </w:t>
      </w:r>
      <w:r w:rsidR="00D4241D">
        <w:t xml:space="preserve"> </w:t>
      </w:r>
      <w:r>
        <w:t>Alternatives considered and evaluated in the Santa Cruz EIR included:</w:t>
      </w:r>
    </w:p>
    <w:p w:rsidR="0012174A" w:rsidRPr="00D4241D" w:rsidRDefault="0012174A" w:rsidP="00616620">
      <w:pPr>
        <w:pStyle w:val="ListParagraph"/>
        <w:numPr>
          <w:ilvl w:val="0"/>
          <w:numId w:val="46"/>
        </w:numPr>
        <w:spacing w:after="240" w:line="240" w:lineRule="auto"/>
        <w:ind w:left="1080" w:right="1440"/>
        <w:rPr>
          <w:rFonts w:ascii="Palatino" w:eastAsia="Times New Roman" w:hAnsi="Palatino"/>
          <w:sz w:val="26"/>
          <w:szCs w:val="20"/>
        </w:rPr>
      </w:pPr>
      <w:r w:rsidRPr="00D4241D">
        <w:rPr>
          <w:rFonts w:ascii="Palatino" w:eastAsia="Times New Roman" w:hAnsi="Palatino"/>
          <w:sz w:val="26"/>
          <w:szCs w:val="20"/>
        </w:rPr>
        <w:t>An undergrounding alternative for part of the alignment (Partial Underground Alternative)</w:t>
      </w:r>
      <w:r w:rsidR="00DC776D" w:rsidRPr="00D4241D">
        <w:rPr>
          <w:rFonts w:ascii="Palatino" w:eastAsia="Times New Roman" w:hAnsi="Palatino"/>
          <w:sz w:val="26"/>
          <w:szCs w:val="20"/>
        </w:rPr>
        <w:t>;</w:t>
      </w:r>
    </w:p>
    <w:p w:rsidR="0012174A" w:rsidRPr="00D4241D" w:rsidRDefault="0012174A" w:rsidP="00616620">
      <w:pPr>
        <w:pStyle w:val="ListParagraph"/>
        <w:numPr>
          <w:ilvl w:val="0"/>
          <w:numId w:val="46"/>
        </w:numPr>
        <w:spacing w:after="240" w:line="240" w:lineRule="auto"/>
        <w:ind w:left="1080" w:right="1440"/>
        <w:rPr>
          <w:rFonts w:ascii="Palatino" w:eastAsia="Times New Roman" w:hAnsi="Palatino"/>
          <w:sz w:val="26"/>
          <w:szCs w:val="20"/>
        </w:rPr>
      </w:pPr>
      <w:r w:rsidRPr="00D4241D">
        <w:rPr>
          <w:rFonts w:ascii="Palatino" w:eastAsia="Times New Roman" w:hAnsi="Palatino"/>
          <w:sz w:val="26"/>
          <w:szCs w:val="20"/>
        </w:rPr>
        <w:t>A separate routing alternative along another 115</w:t>
      </w:r>
      <w:r w:rsidR="00BD6549">
        <w:rPr>
          <w:rFonts w:ascii="Palatino" w:eastAsia="Times New Roman" w:hAnsi="Palatino"/>
          <w:sz w:val="26"/>
          <w:szCs w:val="20"/>
        </w:rPr>
        <w:t xml:space="preserve"> </w:t>
      </w:r>
      <w:r w:rsidRPr="00D4241D">
        <w:rPr>
          <w:rFonts w:ascii="Palatino" w:eastAsia="Times New Roman" w:hAnsi="Palatino"/>
          <w:sz w:val="26"/>
          <w:szCs w:val="20"/>
        </w:rPr>
        <w:t>kV circuit (the Southern Alignment)</w:t>
      </w:r>
      <w:r w:rsidR="00DC776D" w:rsidRPr="00D4241D">
        <w:rPr>
          <w:rFonts w:ascii="Palatino" w:eastAsia="Times New Roman" w:hAnsi="Palatino"/>
          <w:sz w:val="26"/>
          <w:szCs w:val="20"/>
        </w:rPr>
        <w:t>; and</w:t>
      </w:r>
    </w:p>
    <w:p w:rsidR="0012174A" w:rsidRPr="00D4241D" w:rsidRDefault="0012174A" w:rsidP="00616620">
      <w:pPr>
        <w:pStyle w:val="ListParagraph"/>
        <w:numPr>
          <w:ilvl w:val="0"/>
          <w:numId w:val="46"/>
        </w:numPr>
        <w:spacing w:after="240" w:line="240" w:lineRule="auto"/>
        <w:ind w:left="1080" w:right="1440"/>
        <w:rPr>
          <w:rFonts w:ascii="Palatino" w:eastAsia="Times New Roman" w:hAnsi="Palatino"/>
          <w:sz w:val="26"/>
          <w:szCs w:val="20"/>
        </w:rPr>
      </w:pPr>
      <w:r w:rsidRPr="00D4241D">
        <w:rPr>
          <w:rFonts w:ascii="Palatino" w:eastAsia="Times New Roman" w:hAnsi="Palatino"/>
          <w:sz w:val="26"/>
          <w:szCs w:val="20"/>
        </w:rPr>
        <w:t xml:space="preserve">A partial routing alternative that avoided the heart of </w:t>
      </w:r>
      <w:r w:rsidR="00D4241D">
        <w:rPr>
          <w:rFonts w:ascii="Palatino" w:eastAsia="Times New Roman" w:hAnsi="Palatino"/>
          <w:sz w:val="26"/>
          <w:szCs w:val="20"/>
        </w:rPr>
        <w:br/>
      </w:r>
      <w:r w:rsidRPr="00D4241D">
        <w:rPr>
          <w:rFonts w:ascii="Palatino" w:eastAsia="Times New Roman" w:hAnsi="Palatino"/>
          <w:sz w:val="26"/>
          <w:szCs w:val="20"/>
        </w:rPr>
        <w:t>Day Valley by following Freedom Boulevard, a major arterial (Freedom Alternative)</w:t>
      </w:r>
      <w:r w:rsidR="00BD6549">
        <w:rPr>
          <w:rFonts w:ascii="Palatino" w:eastAsia="Times New Roman" w:hAnsi="Palatino"/>
          <w:sz w:val="26"/>
          <w:szCs w:val="20"/>
        </w:rPr>
        <w:t>.</w:t>
      </w:r>
    </w:p>
    <w:p w:rsidR="0012174A" w:rsidRDefault="0012174A" w:rsidP="00DC776D">
      <w:pPr>
        <w:spacing w:line="360" w:lineRule="auto"/>
      </w:pPr>
      <w:r>
        <w:t xml:space="preserve">Other alternatives were considered but determined infeasible, such as reconductoring the existing power lines, creating </w:t>
      </w:r>
      <w:r w:rsidR="00F96A02">
        <w:t>energy</w:t>
      </w:r>
      <w:r>
        <w:t xml:space="preserve"> storage project adjacent to Paul Sweet Substation, and system alternatives. </w:t>
      </w:r>
    </w:p>
    <w:p w:rsidR="00D4241D" w:rsidRDefault="00D4241D" w:rsidP="00DC776D">
      <w:pPr>
        <w:spacing w:line="360" w:lineRule="auto"/>
      </w:pPr>
    </w:p>
    <w:p w:rsidR="0081782D" w:rsidRPr="00D4241D" w:rsidRDefault="00BA5B12" w:rsidP="00D4241D">
      <w:pPr>
        <w:pStyle w:val="Heading2"/>
        <w:ind w:firstLine="720"/>
        <w:rPr>
          <w:i w:val="0"/>
        </w:rPr>
      </w:pPr>
      <w:r w:rsidRPr="00D4241D">
        <w:rPr>
          <w:i w:val="0"/>
        </w:rPr>
        <w:t>1.4.</w:t>
      </w:r>
      <w:r w:rsidRPr="00D4241D">
        <w:rPr>
          <w:i w:val="0"/>
        </w:rPr>
        <w:tab/>
      </w:r>
      <w:r w:rsidR="00F40EDD">
        <w:rPr>
          <w:i w:val="0"/>
        </w:rPr>
        <w:t>The California Independent Systems</w:t>
      </w:r>
      <w:r w:rsidR="00F40EDD">
        <w:rPr>
          <w:i w:val="0"/>
        </w:rPr>
        <w:br/>
      </w:r>
      <w:r w:rsidR="00F40EDD">
        <w:rPr>
          <w:i w:val="0"/>
        </w:rPr>
        <w:tab/>
      </w:r>
      <w:r w:rsidR="00F40EDD">
        <w:rPr>
          <w:i w:val="0"/>
        </w:rPr>
        <w:tab/>
        <w:t xml:space="preserve">Operator </w:t>
      </w:r>
      <w:r w:rsidR="0081782D" w:rsidRPr="00D4241D">
        <w:rPr>
          <w:i w:val="0"/>
        </w:rPr>
        <w:t>(CAISO) Involvement</w:t>
      </w:r>
    </w:p>
    <w:p w:rsidR="0012174A" w:rsidRDefault="0012174A" w:rsidP="00F96A02">
      <w:pPr>
        <w:spacing w:line="360" w:lineRule="auto"/>
        <w:ind w:firstLine="720"/>
      </w:pPr>
      <w:r>
        <w:t xml:space="preserve">PG&amp;E submitted the project to the CAISO in 2009 based on the load forecasts at the time. </w:t>
      </w:r>
      <w:r w:rsidR="00D4241D">
        <w:t xml:space="preserve"> </w:t>
      </w:r>
      <w:r w:rsidR="00831AFD">
        <w:t xml:space="preserve">The </w:t>
      </w:r>
      <w:r>
        <w:t xml:space="preserve">CAISO approves projects submitted by the </w:t>
      </w:r>
      <w:r w:rsidR="00D4241D">
        <w:br/>
      </w:r>
      <w:r>
        <w:t xml:space="preserve">Investor-Owned Utilities (IOUs) that are less than $50 million. </w:t>
      </w:r>
      <w:r w:rsidR="00F96A02">
        <w:t xml:space="preserve"> </w:t>
      </w:r>
      <w:r>
        <w:t xml:space="preserve">The PTC application was prepared and submitted to the </w:t>
      </w:r>
      <w:r w:rsidR="00BD6549">
        <w:t>Commission</w:t>
      </w:r>
      <w:r>
        <w:t xml:space="preserve"> two and a half years after approval of the </w:t>
      </w:r>
      <w:r w:rsidR="00DC776D">
        <w:t>P</w:t>
      </w:r>
      <w:r>
        <w:t xml:space="preserve">roject by </w:t>
      </w:r>
      <w:r w:rsidR="00831AFD">
        <w:t xml:space="preserve">the </w:t>
      </w:r>
      <w:r>
        <w:t xml:space="preserve">CAISO in January 2012. </w:t>
      </w:r>
      <w:r w:rsidR="00F96A02">
        <w:t xml:space="preserve"> </w:t>
      </w:r>
      <w:r w:rsidR="00DC776D">
        <w:t>I</w:t>
      </w:r>
      <w:r>
        <w:t>n response to public opposition and to questions from the C</w:t>
      </w:r>
      <w:r w:rsidR="00831AFD">
        <w:t>ommission</w:t>
      </w:r>
      <w:r>
        <w:t xml:space="preserve"> about alternatives to the </w:t>
      </w:r>
      <w:r w:rsidR="00831AFD">
        <w:t>P</w:t>
      </w:r>
      <w:r>
        <w:t xml:space="preserve">roject, PG&amp;E revisited the load forecasts made in 2009 on which the need </w:t>
      </w:r>
      <w:r w:rsidR="00DC776D">
        <w:t xml:space="preserve">for the Project </w:t>
      </w:r>
      <w:r>
        <w:t xml:space="preserve">was based. </w:t>
      </w:r>
      <w:r w:rsidR="00BD6549">
        <w:t xml:space="preserve"> </w:t>
      </w:r>
      <w:r>
        <w:t>PG&amp;E had, as well, installed equipment at a local substation to reinforce its system in the area.  PG&amp;E found these measures effective and also found that the load levels were not as high as initially predicted.</w:t>
      </w:r>
      <w:r w:rsidR="00831AFD">
        <w:t xml:space="preserve"> </w:t>
      </w:r>
      <w:r>
        <w:t xml:space="preserve"> PG&amp;E requested the CAISO re-evaluate the need as </w:t>
      </w:r>
      <w:r w:rsidR="00831AFD">
        <w:t xml:space="preserve">the </w:t>
      </w:r>
      <w:r>
        <w:t xml:space="preserve">CAISO had previously determined that the </w:t>
      </w:r>
      <w:r w:rsidR="00DC776D">
        <w:t>P</w:t>
      </w:r>
      <w:r>
        <w:t xml:space="preserve">roject was needed and included it in the amended 2009 CAISO Transmission Plan. </w:t>
      </w:r>
      <w:r w:rsidR="00F96A02">
        <w:t xml:space="preserve"> </w:t>
      </w:r>
      <w:r w:rsidR="002B7742">
        <w:t>In</w:t>
      </w:r>
      <w:r>
        <w:t xml:space="preserve"> the </w:t>
      </w:r>
      <w:r w:rsidR="0049632C">
        <w:t>December 17, 2014</w:t>
      </w:r>
      <w:r>
        <w:t xml:space="preserve"> letter forwarded to the C</w:t>
      </w:r>
      <w:r w:rsidR="00BD6549">
        <w:t>ommission</w:t>
      </w:r>
      <w:r w:rsidR="00F96A02">
        <w:t xml:space="preserve"> on</w:t>
      </w:r>
      <w:r>
        <w:t xml:space="preserve"> December 23, 2014</w:t>
      </w:r>
      <w:r w:rsidR="0049632C">
        <w:t>,</w:t>
      </w:r>
      <w:r>
        <w:t xml:space="preserve"> the CAISO agreed that the </w:t>
      </w:r>
      <w:r w:rsidR="0049632C">
        <w:t>P</w:t>
      </w:r>
      <w:r>
        <w:t xml:space="preserve">roject </w:t>
      </w:r>
      <w:r w:rsidR="0049632C">
        <w:t>“</w:t>
      </w:r>
      <w:r>
        <w:t>is not ne</w:t>
      </w:r>
      <w:r w:rsidR="0049632C">
        <w:t>eded within the 10</w:t>
      </w:r>
      <w:r w:rsidR="00F96A02">
        <w:t>-</w:t>
      </w:r>
      <w:r w:rsidR="0049632C">
        <w:t xml:space="preserve">year planning horizon, and therefore has approved cancellation of this [P]roject.” </w:t>
      </w:r>
    </w:p>
    <w:p w:rsidR="00863D38" w:rsidRPr="00EF3AEC" w:rsidRDefault="00077F4C" w:rsidP="00EF3AEC">
      <w:pPr>
        <w:pStyle w:val="Heading1"/>
        <w:keepNext w:val="0"/>
        <w:widowControl w:val="0"/>
        <w:tabs>
          <w:tab w:val="num" w:pos="720"/>
        </w:tabs>
        <w:ind w:left="720" w:right="720" w:hanging="720"/>
      </w:pPr>
      <w:r>
        <w:rPr>
          <w:bCs/>
        </w:rPr>
        <w:t>2</w:t>
      </w:r>
      <w:r w:rsidR="00EF3AEC">
        <w:rPr>
          <w:bCs/>
        </w:rPr>
        <w:t>.</w:t>
      </w:r>
      <w:r w:rsidR="00EF3AEC">
        <w:rPr>
          <w:bCs/>
        </w:rPr>
        <w:tab/>
      </w:r>
      <w:r w:rsidR="00863D38" w:rsidRPr="00863D38">
        <w:rPr>
          <w:bCs/>
        </w:rPr>
        <w:t>Pre</w:t>
      </w:r>
      <w:r w:rsidR="00852A0F">
        <w:rPr>
          <w:bCs/>
        </w:rPr>
        <w:t>h</w:t>
      </w:r>
      <w:r w:rsidR="00863D38" w:rsidRPr="00863D38">
        <w:rPr>
          <w:bCs/>
        </w:rPr>
        <w:t>earing Conference (PHC)</w:t>
      </w:r>
    </w:p>
    <w:p w:rsidR="00863D38" w:rsidRDefault="00847963" w:rsidP="00863D38">
      <w:pPr>
        <w:spacing w:line="360" w:lineRule="auto"/>
        <w:ind w:firstLine="720"/>
      </w:pPr>
      <w:r>
        <w:t>A</w:t>
      </w:r>
      <w:r w:rsidR="00863D38" w:rsidRPr="00863D38">
        <w:t xml:space="preserve"> PHC was held on </w:t>
      </w:r>
      <w:r w:rsidR="008769E8">
        <w:t>June 11,</w:t>
      </w:r>
      <w:r w:rsidR="00863D38" w:rsidRPr="00863D38">
        <w:t xml:space="preserve"> 2013</w:t>
      </w:r>
      <w:r w:rsidR="00A60D8C">
        <w:t xml:space="preserve">, </w:t>
      </w:r>
      <w:r w:rsidR="00A60D8C" w:rsidRPr="001C499B">
        <w:rPr>
          <w:rFonts w:cs="TimesNewRomanPSMT"/>
        </w:rPr>
        <w:t>to identify issues that may require evidentiary hearings, and to establish a proceeding schedule</w:t>
      </w:r>
      <w:r w:rsidR="00863D38" w:rsidRPr="00863D38">
        <w:t xml:space="preserve">.  </w:t>
      </w:r>
      <w:r w:rsidR="00077F4C">
        <w:t>The parties filed a Joint PHC Statement on June 10, 2013.</w:t>
      </w:r>
      <w:r w:rsidR="0045431E">
        <w:t xml:space="preserve">  </w:t>
      </w:r>
    </w:p>
    <w:p w:rsidR="008F6604" w:rsidRDefault="008F6604" w:rsidP="00863D38">
      <w:pPr>
        <w:spacing w:line="360" w:lineRule="auto"/>
        <w:ind w:firstLine="720"/>
      </w:pPr>
      <w:r>
        <w:t xml:space="preserve">Via </w:t>
      </w:r>
      <w:r w:rsidR="006D4FAB">
        <w:t>e</w:t>
      </w:r>
      <w:r w:rsidR="00367CF2">
        <w:t>-</w:t>
      </w:r>
      <w:r>
        <w:t xml:space="preserve">mail </w:t>
      </w:r>
      <w:r w:rsidR="002B7742">
        <w:t xml:space="preserve">ruling </w:t>
      </w:r>
      <w:r>
        <w:t xml:space="preserve">dated October 28, 2014, the </w:t>
      </w:r>
      <w:r w:rsidR="00367CF2">
        <w:t>a</w:t>
      </w:r>
      <w:r>
        <w:t xml:space="preserve">ssigned </w:t>
      </w:r>
      <w:r w:rsidR="00BD6549">
        <w:t>Administrative Law Judge</w:t>
      </w:r>
      <w:r>
        <w:t xml:space="preserve"> </w:t>
      </w:r>
      <w:r w:rsidR="002B7742">
        <w:t xml:space="preserve">(ALJ) </w:t>
      </w:r>
      <w:r>
        <w:t xml:space="preserve">set a further PHC for </w:t>
      </w:r>
      <w:r w:rsidR="0049632C">
        <w:t>December 12, 2014</w:t>
      </w:r>
      <w:r>
        <w:t>.</w:t>
      </w:r>
      <w:r w:rsidR="00367CF2">
        <w:t xml:space="preserve"> </w:t>
      </w:r>
      <w:r>
        <w:t xml:space="preserve"> In their PHC Statements, the parties were instructed to address the following questions:</w:t>
      </w:r>
    </w:p>
    <w:p w:rsidR="008F6604" w:rsidRPr="00367CF2" w:rsidRDefault="008F6604" w:rsidP="00367CF2">
      <w:pPr>
        <w:pStyle w:val="ListParagraph"/>
        <w:numPr>
          <w:ilvl w:val="0"/>
          <w:numId w:val="46"/>
        </w:numPr>
        <w:spacing w:after="120" w:line="240" w:lineRule="auto"/>
        <w:ind w:left="1080" w:right="1440"/>
        <w:rPr>
          <w:rFonts w:ascii="Palatino" w:eastAsia="Times New Roman" w:hAnsi="Palatino"/>
          <w:sz w:val="26"/>
          <w:szCs w:val="20"/>
        </w:rPr>
      </w:pPr>
      <w:r w:rsidRPr="00367CF2">
        <w:rPr>
          <w:rFonts w:ascii="Palatino" w:eastAsia="Times New Roman" w:hAnsi="Palatino"/>
          <w:sz w:val="26"/>
          <w:szCs w:val="20"/>
        </w:rPr>
        <w:t>Should this application for a permit to construct be dismissed, without prejudice, while PG&amp;E and the CAISO re-evaluate the need for the Santa Cruz 115</w:t>
      </w:r>
      <w:r w:rsidR="00BD6549">
        <w:rPr>
          <w:rFonts w:ascii="Palatino" w:eastAsia="Times New Roman" w:hAnsi="Palatino"/>
          <w:sz w:val="26"/>
          <w:szCs w:val="20"/>
        </w:rPr>
        <w:t xml:space="preserve"> </w:t>
      </w:r>
      <w:r w:rsidRPr="00367CF2">
        <w:rPr>
          <w:rFonts w:ascii="Palatino" w:eastAsia="Times New Roman" w:hAnsi="Palatino"/>
          <w:sz w:val="26"/>
          <w:szCs w:val="20"/>
        </w:rPr>
        <w:t>kV Reinforcement Project?</w:t>
      </w:r>
    </w:p>
    <w:p w:rsidR="008F6604" w:rsidRPr="00367CF2" w:rsidRDefault="008F6604" w:rsidP="00367CF2">
      <w:pPr>
        <w:pStyle w:val="ListParagraph"/>
        <w:numPr>
          <w:ilvl w:val="0"/>
          <w:numId w:val="46"/>
        </w:numPr>
        <w:spacing w:after="120" w:line="240" w:lineRule="auto"/>
        <w:ind w:left="1080" w:right="1440"/>
        <w:rPr>
          <w:rFonts w:ascii="Palatino" w:eastAsia="Times New Roman" w:hAnsi="Palatino"/>
          <w:sz w:val="26"/>
          <w:szCs w:val="20"/>
        </w:rPr>
      </w:pPr>
      <w:r w:rsidRPr="00367CF2">
        <w:rPr>
          <w:rFonts w:ascii="Palatino" w:eastAsia="Times New Roman" w:hAnsi="Palatino"/>
          <w:sz w:val="26"/>
          <w:szCs w:val="20"/>
        </w:rPr>
        <w:t>Will there be any negative impacts in the Santa Cruz area if the application for a permit to construct is dismissed, without prejudice?</w:t>
      </w:r>
    </w:p>
    <w:p w:rsidR="008F6604" w:rsidRPr="00367CF2" w:rsidRDefault="008F6604" w:rsidP="00367CF2">
      <w:pPr>
        <w:pStyle w:val="ListParagraph"/>
        <w:numPr>
          <w:ilvl w:val="0"/>
          <w:numId w:val="46"/>
        </w:numPr>
        <w:spacing w:after="120" w:line="240" w:lineRule="auto"/>
        <w:ind w:left="1080" w:right="1440"/>
        <w:rPr>
          <w:rFonts w:ascii="Palatino" w:eastAsia="Times New Roman" w:hAnsi="Palatino"/>
          <w:sz w:val="26"/>
          <w:szCs w:val="20"/>
        </w:rPr>
      </w:pPr>
      <w:r w:rsidRPr="00367CF2">
        <w:rPr>
          <w:rFonts w:ascii="Palatino" w:eastAsia="Times New Roman" w:hAnsi="Palatino"/>
          <w:sz w:val="26"/>
          <w:szCs w:val="20"/>
        </w:rPr>
        <w:t>If this application for a permit to construct is not dismissed, without prejudice, what is the timeline for when this matter should be put to the Commission for a vote?</w:t>
      </w:r>
    </w:p>
    <w:p w:rsidR="0049632C" w:rsidRDefault="008F6604" w:rsidP="00F96A02">
      <w:pPr>
        <w:spacing w:line="360" w:lineRule="auto"/>
        <w:ind w:firstLine="720"/>
      </w:pPr>
      <w:r>
        <w:t xml:space="preserve">PG&amp;E filed its PHC Statement on December 5, 2014 and advised that the CAISO would provide its reassessment of the need for the Project within a few weeks. </w:t>
      </w:r>
      <w:r w:rsidR="00F96A02">
        <w:t xml:space="preserve"> </w:t>
      </w:r>
      <w:r>
        <w:t xml:space="preserve">Neighbors Organized to Protect Our Community also filed a </w:t>
      </w:r>
      <w:r w:rsidR="00F96A02">
        <w:br/>
      </w:r>
      <w:r>
        <w:t>PHC Statement and asked for the dismissal of the application, without prejudice, if the CAISO reassessment was not forthcoming by the end of December 2014.</w:t>
      </w:r>
    </w:p>
    <w:p w:rsidR="008D5190" w:rsidRDefault="008F6604" w:rsidP="00EA0F57">
      <w:pPr>
        <w:spacing w:line="360" w:lineRule="auto"/>
        <w:ind w:firstLine="720"/>
      </w:pPr>
      <w:r>
        <w:t>The PHC was held on December 12, 2014, and the parties</w:t>
      </w:r>
      <w:r w:rsidR="00D63888">
        <w:t>’</w:t>
      </w:r>
      <w:r>
        <w:t xml:space="preserve"> positions were consistent with the positions taken in their respective PHC Statements.</w:t>
      </w:r>
    </w:p>
    <w:p w:rsidR="002B0D63" w:rsidRDefault="00D62568" w:rsidP="00EA0F57">
      <w:pPr>
        <w:pStyle w:val="Heading1"/>
      </w:pPr>
      <w:r>
        <w:t>3.</w:t>
      </w:r>
      <w:r>
        <w:tab/>
      </w:r>
      <w:r w:rsidR="002B0D63">
        <w:t xml:space="preserve">PG&amp;E’s Motion to Dismiss, without </w:t>
      </w:r>
      <w:r>
        <w:t>Prejudice</w:t>
      </w:r>
    </w:p>
    <w:p w:rsidR="00D62568" w:rsidRDefault="00D62568" w:rsidP="00EA0F57">
      <w:pPr>
        <w:spacing w:line="360" w:lineRule="auto"/>
        <w:ind w:firstLine="720"/>
      </w:pPr>
      <w:r>
        <w:t>On January 27, 2015, the assigned ALJ issued an e</w:t>
      </w:r>
      <w:r w:rsidR="00EA0F57">
        <w:t>-</w:t>
      </w:r>
      <w:r>
        <w:t>mail ruling instructing PG&amp;E to file a motion to dismiss the application, without prejudice.</w:t>
      </w:r>
    </w:p>
    <w:p w:rsidR="002B0D63" w:rsidRDefault="00D62568" w:rsidP="00EA0F57">
      <w:pPr>
        <w:spacing w:line="360" w:lineRule="auto"/>
        <w:ind w:firstLine="720"/>
      </w:pPr>
      <w:r>
        <w:t>In response, o</w:t>
      </w:r>
      <w:r w:rsidR="002B0D63">
        <w:t>n Fe</w:t>
      </w:r>
      <w:r>
        <w:t>b</w:t>
      </w:r>
      <w:r w:rsidR="002B0D63">
        <w:t>r</w:t>
      </w:r>
      <w:r>
        <w:t>uary</w:t>
      </w:r>
      <w:r w:rsidR="002B0D63">
        <w:t xml:space="preserve"> 9, 2015, PG&amp;E filed its motion to dismiss </w:t>
      </w:r>
      <w:r w:rsidR="00F969FD">
        <w:t>the application</w:t>
      </w:r>
      <w:r>
        <w:t xml:space="preserve">, without prejudice. </w:t>
      </w:r>
      <w:r w:rsidR="00616620">
        <w:t xml:space="preserve"> </w:t>
      </w:r>
      <w:r>
        <w:t>PG&amp;E reasoned that first, it had reassessed its own load forecasts for the Santa Cruz are and determined that the Project, while needed, might not be needed within five years; and second, CAISO determined that the Project is not needed within the 10-year planning horizon.</w:t>
      </w:r>
      <w:r>
        <w:rPr>
          <w:rStyle w:val="FootnoteReference"/>
        </w:rPr>
        <w:footnoteReference w:id="2"/>
      </w:r>
      <w:r w:rsidR="002B0D63">
        <w:t xml:space="preserve"> </w:t>
      </w:r>
    </w:p>
    <w:p w:rsidR="00F40EDD" w:rsidRDefault="00D62568" w:rsidP="00F40EDD">
      <w:pPr>
        <w:pStyle w:val="Heading1"/>
      </w:pPr>
      <w:r>
        <w:t>4</w:t>
      </w:r>
      <w:r w:rsidR="00F40EDD">
        <w:t>.</w:t>
      </w:r>
      <w:r w:rsidR="00F40EDD">
        <w:tab/>
      </w:r>
      <w:r w:rsidR="007C35F0">
        <w:t xml:space="preserve">Waiver </w:t>
      </w:r>
      <w:r w:rsidR="00F40EDD">
        <w:t>of Comment Period</w:t>
      </w:r>
    </w:p>
    <w:p w:rsidR="00F40EDD" w:rsidRDefault="007C35F0" w:rsidP="00F40EDD">
      <w:pPr>
        <w:pStyle w:val="standard"/>
      </w:pPr>
      <w:r>
        <w:t>As t</w:t>
      </w:r>
      <w:r w:rsidR="00F40EDD">
        <w:t xml:space="preserve">he parties have agreed that the </w:t>
      </w:r>
      <w:r>
        <w:t xml:space="preserve">application should be dismissed without prejudice, the </w:t>
      </w:r>
      <w:r w:rsidR="00F40EDD">
        <w:t>30</w:t>
      </w:r>
      <w:r w:rsidR="00616620">
        <w:t>-</w:t>
      </w:r>
      <w:r w:rsidR="00F40EDD">
        <w:t xml:space="preserve">day comment period required by Pub. Util. Code § 311 </w:t>
      </w:r>
      <w:r>
        <w:t>is waived</w:t>
      </w:r>
      <w:r w:rsidR="00F40EDD">
        <w:t xml:space="preserve">.  This decision shall be published 10 days before the scheduled vote by the Commission.  </w:t>
      </w:r>
    </w:p>
    <w:p w:rsidR="006D4FAB" w:rsidRPr="008C7375" w:rsidRDefault="00616620" w:rsidP="006D4FAB">
      <w:pPr>
        <w:pStyle w:val="Heading1"/>
      </w:pPr>
      <w:r>
        <w:t>5.</w:t>
      </w:r>
      <w:r>
        <w:tab/>
      </w:r>
      <w:r w:rsidR="006D4FAB" w:rsidRPr="008C7375">
        <w:t>Assignment of Proceeding</w:t>
      </w:r>
    </w:p>
    <w:p w:rsidR="006D4FAB" w:rsidRDefault="006D4FAB" w:rsidP="006D4FAB">
      <w:pPr>
        <w:spacing w:line="360" w:lineRule="auto"/>
        <w:ind w:firstLine="720"/>
      </w:pPr>
      <w:r>
        <w:t xml:space="preserve">Liane M. Randolph </w:t>
      </w:r>
      <w:r w:rsidRPr="008C7375">
        <w:t xml:space="preserve">is the assigned </w:t>
      </w:r>
      <w:r w:rsidRPr="005E0E62">
        <w:t xml:space="preserve">Commissioner </w:t>
      </w:r>
      <w:r w:rsidRPr="0031515D">
        <w:t xml:space="preserve">and </w:t>
      </w:r>
      <w:r>
        <w:t xml:space="preserve">Robert M. </w:t>
      </w:r>
      <w:r>
        <w:br/>
        <w:t>Mason, III</w:t>
      </w:r>
      <w:r w:rsidRPr="008C7375">
        <w:t xml:space="preserve"> is the assigned A</w:t>
      </w:r>
      <w:r>
        <w:t>LJ</w:t>
      </w:r>
      <w:r w:rsidRPr="005E0E62">
        <w:t xml:space="preserve"> </w:t>
      </w:r>
      <w:r w:rsidRPr="008C7375">
        <w:t xml:space="preserve">in this proceeding. </w:t>
      </w:r>
    </w:p>
    <w:p w:rsidR="008D5190" w:rsidRDefault="008D5190" w:rsidP="008D5190">
      <w:pPr>
        <w:pStyle w:val="Heading1"/>
      </w:pPr>
      <w:r>
        <w:t>Findings of Fact</w:t>
      </w:r>
    </w:p>
    <w:p w:rsidR="008D5190" w:rsidRDefault="008D5190" w:rsidP="003A2BE4">
      <w:pPr>
        <w:pStyle w:val="standard"/>
        <w:numPr>
          <w:ilvl w:val="0"/>
          <w:numId w:val="47"/>
        </w:numPr>
        <w:ind w:left="0" w:firstLine="360"/>
      </w:pPr>
      <w:r>
        <w:t xml:space="preserve">On January 25, 2012,  PG&amp;E filed this Application for a permit to construct the Santa Cruz 115 Kilovolt Reinforcement Project (Project) pursuant to </w:t>
      </w:r>
      <w:r w:rsidR="00BD6549">
        <w:br/>
      </w:r>
      <w:r>
        <w:t>GO 131-D.</w:t>
      </w:r>
    </w:p>
    <w:p w:rsidR="008D5190" w:rsidRDefault="008D5190" w:rsidP="003A2BE4">
      <w:pPr>
        <w:pStyle w:val="standard"/>
        <w:numPr>
          <w:ilvl w:val="0"/>
          <w:numId w:val="47"/>
        </w:numPr>
        <w:ind w:left="0" w:firstLine="360"/>
      </w:pPr>
      <w:r>
        <w:t>The Commission’s staff first prepared and released to the public an IS and MND in October 2013.  The IS/MND was circulated for an extended 49-day comment period to allow extended time for public review.</w:t>
      </w:r>
    </w:p>
    <w:p w:rsidR="008D5190" w:rsidRDefault="008D5190" w:rsidP="003A2BE4">
      <w:pPr>
        <w:pStyle w:val="standard"/>
        <w:numPr>
          <w:ilvl w:val="0"/>
          <w:numId w:val="47"/>
        </w:numPr>
        <w:ind w:left="0" w:firstLine="360"/>
      </w:pPr>
      <w:r>
        <w:t>The Commission’s staff decided to prepare an EIR after review of public comments on the Draft IS/MND revealed the public’s concern over the visual impacts of the Project.</w:t>
      </w:r>
    </w:p>
    <w:p w:rsidR="008D5190" w:rsidRDefault="008D5190" w:rsidP="003A2BE4">
      <w:pPr>
        <w:pStyle w:val="standard"/>
        <w:numPr>
          <w:ilvl w:val="0"/>
          <w:numId w:val="47"/>
        </w:numPr>
        <w:ind w:left="0" w:firstLine="360"/>
      </w:pPr>
      <w:r>
        <w:t xml:space="preserve">PG&amp;E submitted the Project to the CAISO in 2009 based on the load forecasts at the time. </w:t>
      </w:r>
      <w:r w:rsidR="00F96A02">
        <w:t xml:space="preserve"> </w:t>
      </w:r>
      <w:r>
        <w:t xml:space="preserve">The PTC application was prepared and submitted to the </w:t>
      </w:r>
      <w:r w:rsidR="00BD6549">
        <w:t>Commission</w:t>
      </w:r>
      <w:r>
        <w:t xml:space="preserve"> two</w:t>
      </w:r>
      <w:r w:rsidR="006D4FAB">
        <w:t>-</w:t>
      </w:r>
      <w:r>
        <w:t>and</w:t>
      </w:r>
      <w:r w:rsidR="006D4FAB">
        <w:t>-</w:t>
      </w:r>
      <w:r>
        <w:t>a</w:t>
      </w:r>
      <w:r w:rsidR="006D4FAB">
        <w:t>-</w:t>
      </w:r>
      <w:r>
        <w:t xml:space="preserve">half years after approval of the Project by the CAISO in </w:t>
      </w:r>
      <w:r w:rsidR="00F96A02">
        <w:br/>
      </w:r>
      <w:r>
        <w:t>January 2012.</w:t>
      </w:r>
    </w:p>
    <w:p w:rsidR="008D5190" w:rsidRDefault="008D5190" w:rsidP="003A2BE4">
      <w:pPr>
        <w:pStyle w:val="standard"/>
        <w:numPr>
          <w:ilvl w:val="0"/>
          <w:numId w:val="47"/>
        </w:numPr>
        <w:ind w:left="0" w:firstLine="360"/>
      </w:pPr>
      <w:r>
        <w:t>In response to public opposition and to questions from the Commission about alternatives to the Project, PG&amp;E revisited the load forecasts made in 2009 on which the need for the Project was based.</w:t>
      </w:r>
    </w:p>
    <w:p w:rsidR="008D5190" w:rsidRPr="00367CF2" w:rsidRDefault="008D5190" w:rsidP="00367CF2">
      <w:pPr>
        <w:pStyle w:val="standard"/>
        <w:numPr>
          <w:ilvl w:val="0"/>
          <w:numId w:val="47"/>
        </w:numPr>
        <w:ind w:left="0" w:firstLine="360"/>
      </w:pPr>
      <w:r w:rsidRPr="00367CF2">
        <w:t xml:space="preserve">PG&amp;E requested the CAISO re-evaluate the need as the CAISO had previously determined that the Project was needed and included it in the amended 2009 CAISO Transmission Plan. </w:t>
      </w:r>
    </w:p>
    <w:p w:rsidR="008D5190" w:rsidRDefault="008D5190" w:rsidP="003A2BE4">
      <w:pPr>
        <w:pStyle w:val="standard"/>
        <w:numPr>
          <w:ilvl w:val="0"/>
          <w:numId w:val="47"/>
        </w:numPr>
        <w:ind w:left="0" w:firstLine="360"/>
      </w:pPr>
      <w:r>
        <w:t>Per the CAISO’s December 17, 2014 letter</w:t>
      </w:r>
      <w:r w:rsidR="00BA5B12">
        <w:t xml:space="preserve">, </w:t>
      </w:r>
      <w:r>
        <w:t>the CAISO agreed that the Project “is not needed within the 10 year planning horizon, and therefore has approved cancellation of this [P]roject.”</w:t>
      </w:r>
    </w:p>
    <w:p w:rsidR="00D62568" w:rsidRDefault="00D62568" w:rsidP="003A2BE4">
      <w:pPr>
        <w:pStyle w:val="standard"/>
        <w:numPr>
          <w:ilvl w:val="0"/>
          <w:numId w:val="47"/>
        </w:numPr>
        <w:ind w:left="0" w:firstLine="360"/>
      </w:pPr>
      <w:r>
        <w:t>On February 9, 2015, PG&amp;E filed its motion to dismiss the application, without prejudice.</w:t>
      </w:r>
    </w:p>
    <w:p w:rsidR="001C50AA" w:rsidRPr="00EA0F57" w:rsidRDefault="001C50AA">
      <w:pPr>
        <w:rPr>
          <w:rFonts w:ascii="Helvetica" w:hAnsi="Helvetica"/>
          <w:b/>
          <w:kern w:val="28"/>
        </w:rPr>
      </w:pPr>
    </w:p>
    <w:p w:rsidR="008D5190" w:rsidRDefault="008D5190" w:rsidP="008D5190">
      <w:pPr>
        <w:pStyle w:val="Heading1"/>
      </w:pPr>
      <w:r>
        <w:t>Conclusion</w:t>
      </w:r>
      <w:r w:rsidR="00EA0F57">
        <w:t>s</w:t>
      </w:r>
      <w:r>
        <w:t xml:space="preserve"> of Law</w:t>
      </w:r>
    </w:p>
    <w:p w:rsidR="009D6755" w:rsidRPr="009D6755" w:rsidRDefault="009D6755" w:rsidP="00EA0F57">
      <w:pPr>
        <w:pStyle w:val="standard"/>
        <w:numPr>
          <w:ilvl w:val="0"/>
          <w:numId w:val="49"/>
        </w:numPr>
        <w:ind w:left="0" w:firstLine="360"/>
      </w:pPr>
      <w:r>
        <w:t>The motion to dismiss is appropriate under Rule 11.1 of the Commission’s Rules of Practice and Procedure</w:t>
      </w:r>
      <w:r w:rsidR="001A3C34">
        <w:t xml:space="preserve"> and should be granted, without prejudice. </w:t>
      </w:r>
    </w:p>
    <w:p w:rsidR="008D5190" w:rsidRDefault="001A3C34" w:rsidP="00EA0F57">
      <w:pPr>
        <w:pStyle w:val="standard"/>
        <w:numPr>
          <w:ilvl w:val="0"/>
          <w:numId w:val="49"/>
        </w:numPr>
        <w:ind w:left="0" w:firstLine="360"/>
      </w:pPr>
      <w:r>
        <w:t>In light of PG&amp;E’s revised</w:t>
      </w:r>
      <w:r w:rsidR="00F969FD">
        <w:t xml:space="preserve"> load forecasts and CAISO’s re</w:t>
      </w:r>
      <w:r w:rsidR="00373DB9">
        <w:t>assessment</w:t>
      </w:r>
      <w:r w:rsidR="00F969FD">
        <w:t xml:space="preserve"> of the amended 2009 CAISO Transmission Plan,</w:t>
      </w:r>
      <w:r w:rsidR="008D5190">
        <w:t xml:space="preserve"> the Project is not needed at this time.</w:t>
      </w:r>
    </w:p>
    <w:p w:rsidR="00F969FD" w:rsidRDefault="00F969FD" w:rsidP="00EA0F57">
      <w:pPr>
        <w:pStyle w:val="standard"/>
        <w:numPr>
          <w:ilvl w:val="0"/>
          <w:numId w:val="49"/>
        </w:numPr>
        <w:ind w:left="0" w:firstLine="360"/>
      </w:pPr>
      <w:r>
        <w:t>No hearings are needed.</w:t>
      </w:r>
    </w:p>
    <w:p w:rsidR="008D5190" w:rsidRDefault="003A2BE4" w:rsidP="003A2BE4">
      <w:pPr>
        <w:pStyle w:val="Heading1"/>
        <w:jc w:val="center"/>
      </w:pPr>
      <w:r>
        <w:t>O R D E R</w:t>
      </w:r>
    </w:p>
    <w:p w:rsidR="00E45E17" w:rsidRDefault="008D5190" w:rsidP="00616620">
      <w:pPr>
        <w:pStyle w:val="standard"/>
        <w:numPr>
          <w:ilvl w:val="0"/>
          <w:numId w:val="50"/>
        </w:numPr>
        <w:ind w:left="0" w:firstLine="360"/>
      </w:pPr>
      <w:r>
        <w:t xml:space="preserve">Pacific Gas and Electric Company’s </w:t>
      </w:r>
      <w:r w:rsidR="00D62568">
        <w:t xml:space="preserve">motion to dismiss its </w:t>
      </w:r>
      <w:r>
        <w:t>application for a permit to construct the Santa Cruz 115 Kilovolt Reinforcement Project pursuant to General Order 131-D</w:t>
      </w:r>
      <w:r w:rsidR="00BA5B12">
        <w:t>, without prejudice</w:t>
      </w:r>
      <w:r w:rsidR="00D62568">
        <w:t>, is granted</w:t>
      </w:r>
      <w:r w:rsidR="00BA5B12">
        <w:t>.</w:t>
      </w:r>
    </w:p>
    <w:p w:rsidR="001C50AA" w:rsidRDefault="001C50AA" w:rsidP="00616620">
      <w:pPr>
        <w:pStyle w:val="standard"/>
        <w:numPr>
          <w:ilvl w:val="0"/>
          <w:numId w:val="50"/>
        </w:numPr>
        <w:ind w:left="0" w:firstLine="360"/>
      </w:pPr>
      <w:r>
        <w:t>The 30</w:t>
      </w:r>
      <w:r w:rsidR="006D4FAB">
        <w:t>-</w:t>
      </w:r>
      <w:r>
        <w:t xml:space="preserve">day period for comments is </w:t>
      </w:r>
      <w:r w:rsidR="007C35F0">
        <w:t>waived</w:t>
      </w:r>
      <w:r>
        <w:t xml:space="preserve">.  This decision shall be </w:t>
      </w:r>
      <w:r>
        <w:br/>
        <w:t>web published 10 days before the scheduled vote by the Commission.</w:t>
      </w:r>
    </w:p>
    <w:p w:rsidR="00EB020F" w:rsidRDefault="00F969FD" w:rsidP="00616620">
      <w:pPr>
        <w:pStyle w:val="standard"/>
        <w:numPr>
          <w:ilvl w:val="0"/>
          <w:numId w:val="50"/>
        </w:numPr>
        <w:ind w:left="0" w:firstLine="360"/>
      </w:pPr>
      <w:r>
        <w:t>No hearings are needed.</w:t>
      </w:r>
    </w:p>
    <w:p w:rsidR="00EB020F" w:rsidRDefault="00EB020F">
      <w:r>
        <w:br w:type="page"/>
      </w:r>
    </w:p>
    <w:p w:rsidR="00BA5B12" w:rsidRDefault="001C50AA" w:rsidP="00616620">
      <w:pPr>
        <w:pStyle w:val="standard"/>
        <w:numPr>
          <w:ilvl w:val="0"/>
          <w:numId w:val="50"/>
        </w:numPr>
        <w:ind w:left="0" w:firstLine="360"/>
      </w:pPr>
      <w:r>
        <w:t>Application</w:t>
      </w:r>
      <w:r w:rsidR="00E45E17">
        <w:t xml:space="preserve"> 12-</w:t>
      </w:r>
      <w:r>
        <w:t>01</w:t>
      </w:r>
      <w:r w:rsidR="00E45E17">
        <w:t>-01</w:t>
      </w:r>
      <w:r>
        <w:t>2</w:t>
      </w:r>
      <w:r w:rsidR="00E45E17">
        <w:t xml:space="preserve"> is closed.</w:t>
      </w:r>
    </w:p>
    <w:p w:rsidR="00E45E17" w:rsidRDefault="00E45E17" w:rsidP="00EB020F">
      <w:pPr>
        <w:pStyle w:val="standard"/>
        <w:ind w:left="360" w:firstLine="360"/>
      </w:pPr>
      <w:r>
        <w:t>This order is effective today.</w:t>
      </w:r>
    </w:p>
    <w:p w:rsidR="00056BEE" w:rsidRDefault="003A2BE4" w:rsidP="003A2BE4">
      <w:pPr>
        <w:keepNext/>
        <w:keepLines/>
        <w:spacing w:line="360" w:lineRule="auto"/>
        <w:ind w:left="360" w:firstLine="360"/>
      </w:pPr>
      <w:r>
        <w:t xml:space="preserve">Dated </w:t>
      </w:r>
      <w:r w:rsidR="00EB020F">
        <w:t>March 26, 2015</w:t>
      </w:r>
      <w:r w:rsidR="00F50719">
        <w:t>,</w:t>
      </w:r>
      <w:r w:rsidR="00EB020F">
        <w:t xml:space="preserve"> </w:t>
      </w:r>
      <w:r w:rsidR="00056BEE">
        <w:t>at San Francisco, California.</w:t>
      </w:r>
    </w:p>
    <w:p w:rsidR="00EB020F" w:rsidRDefault="00EB020F" w:rsidP="00EB020F">
      <w:pPr>
        <w:keepNext/>
        <w:keepLines/>
        <w:spacing w:line="360" w:lineRule="auto"/>
      </w:pP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ab/>
      </w:r>
      <w:r w:rsidRPr="0064736E">
        <w:rPr>
          <w:rFonts w:ascii="Times New Roman" w:hAnsi="Times New Roman"/>
          <w:sz w:val="28"/>
          <w:szCs w:val="28"/>
        </w:rPr>
        <w:tab/>
      </w:r>
      <w:r w:rsidRPr="0064736E">
        <w:rPr>
          <w:rFonts w:ascii="Times New Roman" w:hAnsi="Times New Roman"/>
          <w:sz w:val="28"/>
          <w:szCs w:val="28"/>
        </w:rPr>
        <w:tab/>
      </w:r>
      <w:r w:rsidRPr="0064736E">
        <w:rPr>
          <w:rFonts w:ascii="Times New Roman" w:hAnsi="Times New Roman"/>
          <w:sz w:val="28"/>
          <w:szCs w:val="28"/>
        </w:rPr>
        <w:tab/>
      </w:r>
      <w:r>
        <w:rPr>
          <w:rFonts w:ascii="Times New Roman" w:hAnsi="Times New Roman"/>
          <w:sz w:val="28"/>
          <w:szCs w:val="28"/>
        </w:rPr>
        <w:t xml:space="preserve">                   </w:t>
      </w:r>
      <w:r w:rsidRPr="0064736E">
        <w:rPr>
          <w:rFonts w:ascii="Times New Roman" w:hAnsi="Times New Roman"/>
          <w:sz w:val="28"/>
          <w:szCs w:val="28"/>
        </w:rPr>
        <w:t>MICHAEL PICKER</w:t>
      </w: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                                                                    President</w:t>
      </w: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                                                   MICHEL PETER FLORIO</w:t>
      </w: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                                             </w:t>
      </w:r>
      <w:r w:rsidRPr="0064736E">
        <w:rPr>
          <w:sz w:val="28"/>
          <w:szCs w:val="28"/>
        </w:rPr>
        <w:t xml:space="preserve">      </w:t>
      </w:r>
      <w:r w:rsidRPr="0064736E">
        <w:rPr>
          <w:rFonts w:ascii="Times New Roman" w:hAnsi="Times New Roman"/>
          <w:sz w:val="28"/>
          <w:szCs w:val="28"/>
        </w:rPr>
        <w:t>CATHERINE J.K. SANDOVAL</w:t>
      </w: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                                                   CARLA J. PETERMAN</w:t>
      </w:r>
    </w:p>
    <w:p w:rsidR="00EB020F" w:rsidRPr="0064736E" w:rsidRDefault="00EB020F" w:rsidP="00EB020F">
      <w:pPr>
        <w:ind w:left="720" w:hanging="90"/>
        <w:rPr>
          <w:rFonts w:ascii="Times New Roman" w:hAnsi="Times New Roman"/>
          <w:sz w:val="28"/>
          <w:szCs w:val="28"/>
        </w:rPr>
      </w:pPr>
      <w:r w:rsidRPr="0064736E">
        <w:rPr>
          <w:rFonts w:ascii="Times New Roman" w:hAnsi="Times New Roman"/>
          <w:sz w:val="28"/>
          <w:szCs w:val="28"/>
        </w:rPr>
        <w:t>                                                   LIANE M. RANDOLPH</w:t>
      </w:r>
    </w:p>
    <w:p w:rsidR="00EB020F" w:rsidRPr="0064736E" w:rsidRDefault="00EB020F" w:rsidP="00EB020F">
      <w:pPr>
        <w:ind w:left="720" w:hanging="90"/>
        <w:rPr>
          <w:sz w:val="28"/>
          <w:szCs w:val="28"/>
        </w:rPr>
      </w:pPr>
      <w:r w:rsidRPr="0064736E">
        <w:rPr>
          <w:sz w:val="28"/>
          <w:szCs w:val="28"/>
        </w:rPr>
        <w:t>                                                               Commissioners</w:t>
      </w:r>
    </w:p>
    <w:p w:rsidR="00EB020F" w:rsidRDefault="00EB020F" w:rsidP="00EB020F"/>
    <w:p w:rsidR="00EB020F" w:rsidRDefault="00EB020F" w:rsidP="00EB020F">
      <w:pPr>
        <w:keepNext/>
        <w:keepLines/>
        <w:spacing w:line="360" w:lineRule="auto"/>
      </w:pPr>
    </w:p>
    <w:sectPr w:rsidR="00EB020F" w:rsidSect="002363C9">
      <w:headerReference w:type="even" r:id="rId8"/>
      <w:headerReference w:type="default" r:id="rId9"/>
      <w:footerReference w:type="even" r:id="rId10"/>
      <w:footerReference w:type="default" r:id="rId11"/>
      <w:headerReference w:type="first" r:id="rId12"/>
      <w:footerReference w:type="first" r:id="rId13"/>
      <w:pgSz w:w="12240" w:h="15840" w:code="1"/>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04" w:rsidRDefault="00D20704">
      <w:r>
        <w:separator/>
      </w:r>
    </w:p>
  </w:endnote>
  <w:endnote w:type="continuationSeparator" w:id="0">
    <w:p w:rsidR="00D20704" w:rsidRDefault="00D2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B54" w:rsidRDefault="00140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9" w:rsidRDefault="002363C9" w:rsidP="002363C9">
    <w:pPr>
      <w:pStyle w:val="Footer"/>
      <w:tabs>
        <w:tab w:val="clear" w:pos="8640"/>
      </w:tabs>
      <w:ind w:left="4320"/>
      <w:jc w:val="left"/>
    </w:pPr>
    <w:r>
      <w:t xml:space="preserve">- </w:t>
    </w:r>
    <w:r>
      <w:fldChar w:fldCharType="begin"/>
    </w:r>
    <w:r>
      <w:instrText xml:space="preserve"> PAGE   \* MERGEFORMAT </w:instrText>
    </w:r>
    <w:r>
      <w:fldChar w:fldCharType="separate"/>
    </w:r>
    <w:r w:rsidR="00823F4E">
      <w:rPr>
        <w:noProof/>
      </w:rPr>
      <w:t>2</w:t>
    </w:r>
    <w:r>
      <w:rPr>
        <w:noProof/>
      </w:rPr>
      <w:fldChar w:fldCharType="end"/>
    </w:r>
    <w:r>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E8" w:rsidRPr="002363C9" w:rsidRDefault="00EB020F" w:rsidP="002363C9">
    <w:pPr>
      <w:pStyle w:val="Footer"/>
      <w:tabs>
        <w:tab w:val="clear" w:pos="8640"/>
      </w:tabs>
      <w:jc w:val="left"/>
      <w:rPr>
        <w:szCs w:val="26"/>
      </w:rPr>
    </w:pPr>
    <w:r>
      <w:rPr>
        <w:rFonts w:ascii="Tahoma" w:hAnsi="Tahoma" w:cs="Tahoma"/>
        <w:sz w:val="17"/>
        <w:szCs w:val="17"/>
      </w:rPr>
      <w:t>149915253</w:t>
    </w:r>
    <w:r w:rsidR="002363C9">
      <w:rPr>
        <w:sz w:val="16"/>
        <w:szCs w:val="16"/>
      </w:rPr>
      <w:tab/>
    </w:r>
    <w:r w:rsidR="002363C9">
      <w:rPr>
        <w:szCs w:val="26"/>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04" w:rsidRDefault="00D20704">
      <w:r>
        <w:separator/>
      </w:r>
    </w:p>
  </w:footnote>
  <w:footnote w:type="continuationSeparator" w:id="0">
    <w:p w:rsidR="00D20704" w:rsidRDefault="00D20704">
      <w:r>
        <w:continuationSeparator/>
      </w:r>
    </w:p>
  </w:footnote>
  <w:footnote w:type="continuationNotice" w:id="1">
    <w:p w:rsidR="00D20704" w:rsidRDefault="00D20704">
      <w:pPr>
        <w:rPr>
          <w:sz w:val="22"/>
        </w:rPr>
      </w:pPr>
    </w:p>
    <w:p w:rsidR="00D20704" w:rsidRDefault="00D20704">
      <w:pPr>
        <w:jc w:val="right"/>
        <w:rPr>
          <w:sz w:val="22"/>
        </w:rPr>
      </w:pPr>
      <w:r>
        <w:rPr>
          <w:i/>
          <w:sz w:val="22"/>
        </w:rPr>
        <w:t>Footnote continued on next page</w:t>
      </w:r>
    </w:p>
  </w:footnote>
  <w:footnote w:id="2">
    <w:p w:rsidR="00D62568" w:rsidRPr="00EA0F57" w:rsidRDefault="00D62568" w:rsidP="00EA0F57">
      <w:pPr>
        <w:pStyle w:val="FootnoteText"/>
        <w:spacing w:after="120"/>
        <w:rPr>
          <w:sz w:val="22"/>
          <w:szCs w:val="22"/>
        </w:rPr>
      </w:pPr>
      <w:r w:rsidRPr="00EA0F57">
        <w:rPr>
          <w:rStyle w:val="FootnoteReference"/>
          <w:sz w:val="22"/>
          <w:szCs w:val="22"/>
        </w:rPr>
        <w:footnoteRef/>
      </w:r>
      <w:r w:rsidRPr="00EA0F57">
        <w:rPr>
          <w:sz w:val="22"/>
          <w:szCs w:val="22"/>
        </w:rPr>
        <w:t xml:space="preserve"> </w:t>
      </w:r>
      <w:r w:rsidR="00EA0F57" w:rsidRPr="00EA0F57">
        <w:rPr>
          <w:sz w:val="22"/>
          <w:szCs w:val="22"/>
        </w:rPr>
        <w:t xml:space="preserve"> </w:t>
      </w:r>
      <w:r w:rsidRPr="00EA0F57">
        <w:rPr>
          <w:sz w:val="22"/>
          <w:szCs w:val="22"/>
        </w:rPr>
        <w:t>Motion to dismiss at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B54" w:rsidRDefault="00140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9" w:rsidRPr="00616620" w:rsidRDefault="001C50AA" w:rsidP="00616620">
    <w:pPr>
      <w:pStyle w:val="Header"/>
      <w:tabs>
        <w:tab w:val="clear" w:pos="8640"/>
      </w:tabs>
      <w:rPr>
        <w:b/>
      </w:rPr>
    </w:pPr>
    <w:r>
      <w:t>A</w:t>
    </w:r>
    <w:r w:rsidR="002363C9" w:rsidRPr="002363C9">
      <w:t>.12-</w:t>
    </w:r>
    <w:r>
      <w:t>01</w:t>
    </w:r>
    <w:r w:rsidR="002363C9" w:rsidRPr="002363C9">
      <w:t>-01</w:t>
    </w:r>
    <w:r w:rsidR="00F40EDD">
      <w:t>2</w:t>
    </w:r>
    <w:r w:rsidR="002363C9" w:rsidRPr="002363C9">
      <w:t xml:space="preserve">  </w:t>
    </w:r>
    <w:r w:rsidR="00BD6549">
      <w:t>ALJ/</w:t>
    </w:r>
    <w:r w:rsidR="003A2BE4">
      <w:t>R</w:t>
    </w:r>
    <w:r w:rsidR="002363C9" w:rsidRPr="002363C9">
      <w:t>IM/</w:t>
    </w:r>
    <w:r w:rsidR="00C9095D">
      <w:t>ek4</w:t>
    </w:r>
  </w:p>
  <w:p w:rsidR="002363C9" w:rsidRDefault="002363C9">
    <w:pPr>
      <w:pStyle w:val="Header"/>
    </w:pPr>
  </w:p>
  <w:p w:rsidR="002363C9" w:rsidRDefault="00236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B54" w:rsidRDefault="00140B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8C1"/>
    <w:multiLevelType w:val="hybridMultilevel"/>
    <w:tmpl w:val="B5C49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E82F38"/>
    <w:multiLevelType w:val="hybridMultilevel"/>
    <w:tmpl w:val="52805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EB569B"/>
    <w:multiLevelType w:val="singleLevel"/>
    <w:tmpl w:val="E46A7320"/>
    <w:lvl w:ilvl="0">
      <w:start w:val="1"/>
      <w:numFmt w:val="decimal"/>
      <w:lvlText w:val="%1."/>
      <w:legacy w:legacy="1" w:legacySpace="144" w:legacyIndent="0"/>
      <w:lvlJc w:val="left"/>
    </w:lvl>
  </w:abstractNum>
  <w:abstractNum w:abstractNumId="3">
    <w:nsid w:val="0DDE1FB2"/>
    <w:multiLevelType w:val="hybridMultilevel"/>
    <w:tmpl w:val="E564DD3A"/>
    <w:lvl w:ilvl="0" w:tplc="C938FC54">
      <w:start w:val="1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EFF7C64"/>
    <w:multiLevelType w:val="hybridMultilevel"/>
    <w:tmpl w:val="85AC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36B4E"/>
    <w:multiLevelType w:val="singleLevel"/>
    <w:tmpl w:val="E46A7320"/>
    <w:lvl w:ilvl="0">
      <w:start w:val="1"/>
      <w:numFmt w:val="decimal"/>
      <w:lvlText w:val="%1."/>
      <w:legacy w:legacy="1" w:legacySpace="144" w:legacyIndent="0"/>
      <w:lvlJc w:val="left"/>
    </w:lvl>
  </w:abstractNum>
  <w:abstractNum w:abstractNumId="7">
    <w:nsid w:val="11BA4BB5"/>
    <w:multiLevelType w:val="singleLevel"/>
    <w:tmpl w:val="E46A7320"/>
    <w:lvl w:ilvl="0">
      <w:start w:val="1"/>
      <w:numFmt w:val="decimal"/>
      <w:lvlText w:val="%1."/>
      <w:legacy w:legacy="1" w:legacySpace="144" w:legacyIndent="0"/>
      <w:lvlJc w:val="left"/>
    </w:lvl>
  </w:abstractNum>
  <w:abstractNum w:abstractNumId="8">
    <w:nsid w:val="120339A5"/>
    <w:multiLevelType w:val="singleLevel"/>
    <w:tmpl w:val="E46A7320"/>
    <w:lvl w:ilvl="0">
      <w:start w:val="1"/>
      <w:numFmt w:val="decimal"/>
      <w:lvlText w:val="%1."/>
      <w:legacy w:legacy="1" w:legacySpace="144" w:legacyIndent="0"/>
      <w:lvlJc w:val="left"/>
    </w:lvl>
  </w:abstractNum>
  <w:abstractNum w:abstractNumId="9">
    <w:nsid w:val="130B33A9"/>
    <w:multiLevelType w:val="singleLevel"/>
    <w:tmpl w:val="E46A7320"/>
    <w:lvl w:ilvl="0">
      <w:start w:val="1"/>
      <w:numFmt w:val="decimal"/>
      <w:lvlText w:val="%1."/>
      <w:legacy w:legacy="1" w:legacySpace="144" w:legacyIndent="0"/>
      <w:lvlJc w:val="left"/>
    </w:lvl>
  </w:abstractNum>
  <w:abstractNum w:abstractNumId="10">
    <w:nsid w:val="17060642"/>
    <w:multiLevelType w:val="singleLevel"/>
    <w:tmpl w:val="F3AE1DA0"/>
    <w:lvl w:ilvl="0">
      <w:start w:val="1"/>
      <w:numFmt w:val="decimal"/>
      <w:lvlText w:val="%1."/>
      <w:legacy w:legacy="1" w:legacySpace="0" w:legacyIndent="0"/>
      <w:lvlJc w:val="left"/>
    </w:lvl>
  </w:abstractNum>
  <w:abstractNum w:abstractNumId="11">
    <w:nsid w:val="1B1F2A61"/>
    <w:multiLevelType w:val="singleLevel"/>
    <w:tmpl w:val="E46A7320"/>
    <w:lvl w:ilvl="0">
      <w:start w:val="1"/>
      <w:numFmt w:val="decimal"/>
      <w:lvlText w:val="%1."/>
      <w:legacy w:legacy="1" w:legacySpace="144" w:legacyIndent="0"/>
      <w:lvlJc w:val="left"/>
    </w:lvl>
  </w:abstractNum>
  <w:abstractNum w:abstractNumId="12">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0A34DE1"/>
    <w:multiLevelType w:val="hybridMultilevel"/>
    <w:tmpl w:val="43EC19BE"/>
    <w:lvl w:ilvl="0" w:tplc="03D8D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40E62B6"/>
    <w:multiLevelType w:val="singleLevel"/>
    <w:tmpl w:val="F3AE1DA0"/>
    <w:lvl w:ilvl="0">
      <w:start w:val="1"/>
      <w:numFmt w:val="decimal"/>
      <w:lvlText w:val="%1."/>
      <w:legacy w:legacy="1" w:legacySpace="0" w:legacyIndent="0"/>
      <w:lvlJc w:val="left"/>
    </w:lvl>
  </w:abstractNum>
  <w:abstractNum w:abstractNumId="17">
    <w:nsid w:val="2A832F16"/>
    <w:multiLevelType w:val="singleLevel"/>
    <w:tmpl w:val="E46A7320"/>
    <w:lvl w:ilvl="0">
      <w:start w:val="1"/>
      <w:numFmt w:val="decimal"/>
      <w:lvlText w:val="%1."/>
      <w:legacy w:legacy="1" w:legacySpace="144" w:legacyIndent="0"/>
      <w:lvlJc w:val="left"/>
    </w:lvl>
  </w:abstractNum>
  <w:abstractNum w:abstractNumId="18">
    <w:nsid w:val="2D6B1AE0"/>
    <w:multiLevelType w:val="singleLevel"/>
    <w:tmpl w:val="F3AE1DA0"/>
    <w:lvl w:ilvl="0">
      <w:start w:val="1"/>
      <w:numFmt w:val="decimal"/>
      <w:lvlText w:val="%1."/>
      <w:legacy w:legacy="1" w:legacySpace="0" w:legacyIndent="0"/>
      <w:lvlJc w:val="left"/>
    </w:lvl>
  </w:abstractNum>
  <w:abstractNum w:abstractNumId="19">
    <w:nsid w:val="2EEE0DBF"/>
    <w:multiLevelType w:val="hybridMultilevel"/>
    <w:tmpl w:val="40E2AAB8"/>
    <w:lvl w:ilvl="0" w:tplc="DEC02C5A">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9B0666"/>
    <w:multiLevelType w:val="hybridMultilevel"/>
    <w:tmpl w:val="95DEFC4A"/>
    <w:lvl w:ilvl="0" w:tplc="CC44D58A">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65E0A"/>
    <w:multiLevelType w:val="singleLevel"/>
    <w:tmpl w:val="E46A7320"/>
    <w:lvl w:ilvl="0">
      <w:start w:val="1"/>
      <w:numFmt w:val="decimal"/>
      <w:lvlText w:val="%1."/>
      <w:legacy w:legacy="1" w:legacySpace="144" w:legacyIndent="0"/>
      <w:lvlJc w:val="left"/>
    </w:lvl>
  </w:abstractNum>
  <w:abstractNum w:abstractNumId="22">
    <w:nsid w:val="31BB081B"/>
    <w:multiLevelType w:val="singleLevel"/>
    <w:tmpl w:val="E46A7320"/>
    <w:lvl w:ilvl="0">
      <w:start w:val="1"/>
      <w:numFmt w:val="decimal"/>
      <w:lvlText w:val="%1."/>
      <w:legacy w:legacy="1" w:legacySpace="144" w:legacyIndent="0"/>
      <w:lvlJc w:val="left"/>
    </w:lvl>
  </w:abstractNum>
  <w:abstractNum w:abstractNumId="23">
    <w:nsid w:val="33B028AA"/>
    <w:multiLevelType w:val="hybridMultilevel"/>
    <w:tmpl w:val="DF4AAE82"/>
    <w:lvl w:ilvl="0" w:tplc="48844404">
      <w:start w:val="1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F61F84"/>
    <w:multiLevelType w:val="singleLevel"/>
    <w:tmpl w:val="F3AE1DA0"/>
    <w:lvl w:ilvl="0">
      <w:start w:val="1"/>
      <w:numFmt w:val="decimal"/>
      <w:lvlText w:val="%1."/>
      <w:legacy w:legacy="1" w:legacySpace="0" w:legacyIndent="0"/>
      <w:lvlJc w:val="left"/>
    </w:lvl>
  </w:abstractNum>
  <w:abstractNum w:abstractNumId="25">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5D4236"/>
    <w:multiLevelType w:val="singleLevel"/>
    <w:tmpl w:val="F3AE1DA0"/>
    <w:lvl w:ilvl="0">
      <w:start w:val="1"/>
      <w:numFmt w:val="decimal"/>
      <w:lvlText w:val="%1."/>
      <w:legacy w:legacy="1" w:legacySpace="0" w:legacyIndent="0"/>
      <w:lvlJc w:val="left"/>
    </w:lvl>
  </w:abstractNum>
  <w:abstractNum w:abstractNumId="27">
    <w:nsid w:val="3CC22DAD"/>
    <w:multiLevelType w:val="singleLevel"/>
    <w:tmpl w:val="E46A7320"/>
    <w:lvl w:ilvl="0">
      <w:start w:val="1"/>
      <w:numFmt w:val="decimal"/>
      <w:lvlText w:val="%1."/>
      <w:legacy w:legacy="1" w:legacySpace="144" w:legacyIndent="0"/>
      <w:lvlJc w:val="left"/>
    </w:lvl>
  </w:abstractNum>
  <w:abstractNum w:abstractNumId="28">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B86AB5"/>
    <w:multiLevelType w:val="hybridMultilevel"/>
    <w:tmpl w:val="81C4BF3C"/>
    <w:lvl w:ilvl="0" w:tplc="C6D4564E">
      <w:start w:val="14"/>
      <w:numFmt w:val="bullet"/>
      <w:lvlText w:val="-"/>
      <w:lvlJc w:val="left"/>
      <w:pPr>
        <w:ind w:left="4650" w:hanging="360"/>
      </w:pPr>
      <w:rPr>
        <w:rFonts w:ascii="Palatino" w:eastAsia="Times New Roman" w:hAnsi="Palatino" w:cs="Times New Roman" w:hint="default"/>
      </w:rPr>
    </w:lvl>
    <w:lvl w:ilvl="1" w:tplc="04090003" w:tentative="1">
      <w:start w:val="1"/>
      <w:numFmt w:val="bullet"/>
      <w:lvlText w:val="o"/>
      <w:lvlJc w:val="left"/>
      <w:pPr>
        <w:ind w:left="5370" w:hanging="360"/>
      </w:pPr>
      <w:rPr>
        <w:rFonts w:ascii="Courier New" w:hAnsi="Courier New" w:cs="Courier New" w:hint="default"/>
      </w:rPr>
    </w:lvl>
    <w:lvl w:ilvl="2" w:tplc="04090005" w:tentative="1">
      <w:start w:val="1"/>
      <w:numFmt w:val="bullet"/>
      <w:lvlText w:val=""/>
      <w:lvlJc w:val="left"/>
      <w:pPr>
        <w:ind w:left="6090" w:hanging="360"/>
      </w:pPr>
      <w:rPr>
        <w:rFonts w:ascii="Wingdings" w:hAnsi="Wingdings" w:hint="default"/>
      </w:rPr>
    </w:lvl>
    <w:lvl w:ilvl="3" w:tplc="04090001" w:tentative="1">
      <w:start w:val="1"/>
      <w:numFmt w:val="bullet"/>
      <w:lvlText w:val=""/>
      <w:lvlJc w:val="left"/>
      <w:pPr>
        <w:ind w:left="6810" w:hanging="360"/>
      </w:pPr>
      <w:rPr>
        <w:rFonts w:ascii="Symbol" w:hAnsi="Symbol" w:hint="default"/>
      </w:rPr>
    </w:lvl>
    <w:lvl w:ilvl="4" w:tplc="04090003" w:tentative="1">
      <w:start w:val="1"/>
      <w:numFmt w:val="bullet"/>
      <w:lvlText w:val="o"/>
      <w:lvlJc w:val="left"/>
      <w:pPr>
        <w:ind w:left="7530" w:hanging="360"/>
      </w:pPr>
      <w:rPr>
        <w:rFonts w:ascii="Courier New" w:hAnsi="Courier New" w:cs="Courier New" w:hint="default"/>
      </w:rPr>
    </w:lvl>
    <w:lvl w:ilvl="5" w:tplc="04090005" w:tentative="1">
      <w:start w:val="1"/>
      <w:numFmt w:val="bullet"/>
      <w:lvlText w:val=""/>
      <w:lvlJc w:val="left"/>
      <w:pPr>
        <w:ind w:left="8250" w:hanging="360"/>
      </w:pPr>
      <w:rPr>
        <w:rFonts w:ascii="Wingdings" w:hAnsi="Wingdings" w:hint="default"/>
      </w:rPr>
    </w:lvl>
    <w:lvl w:ilvl="6" w:tplc="04090001" w:tentative="1">
      <w:start w:val="1"/>
      <w:numFmt w:val="bullet"/>
      <w:lvlText w:val=""/>
      <w:lvlJc w:val="left"/>
      <w:pPr>
        <w:ind w:left="8970" w:hanging="360"/>
      </w:pPr>
      <w:rPr>
        <w:rFonts w:ascii="Symbol" w:hAnsi="Symbol" w:hint="default"/>
      </w:rPr>
    </w:lvl>
    <w:lvl w:ilvl="7" w:tplc="04090003" w:tentative="1">
      <w:start w:val="1"/>
      <w:numFmt w:val="bullet"/>
      <w:lvlText w:val="o"/>
      <w:lvlJc w:val="left"/>
      <w:pPr>
        <w:ind w:left="9690" w:hanging="360"/>
      </w:pPr>
      <w:rPr>
        <w:rFonts w:ascii="Courier New" w:hAnsi="Courier New" w:cs="Courier New" w:hint="default"/>
      </w:rPr>
    </w:lvl>
    <w:lvl w:ilvl="8" w:tplc="04090005" w:tentative="1">
      <w:start w:val="1"/>
      <w:numFmt w:val="bullet"/>
      <w:lvlText w:val=""/>
      <w:lvlJc w:val="left"/>
      <w:pPr>
        <w:ind w:left="10410" w:hanging="360"/>
      </w:pPr>
      <w:rPr>
        <w:rFonts w:ascii="Wingdings" w:hAnsi="Wingdings" w:hint="default"/>
      </w:rPr>
    </w:lvl>
  </w:abstractNum>
  <w:abstractNum w:abstractNumId="30">
    <w:nsid w:val="429E7753"/>
    <w:multiLevelType w:val="singleLevel"/>
    <w:tmpl w:val="F3AE1DA0"/>
    <w:lvl w:ilvl="0">
      <w:start w:val="1"/>
      <w:numFmt w:val="decimal"/>
      <w:lvlText w:val="%1."/>
      <w:legacy w:legacy="1" w:legacySpace="0" w:legacyIndent="0"/>
      <w:lvlJc w:val="left"/>
    </w:lvl>
  </w:abstractNum>
  <w:abstractNum w:abstractNumId="31">
    <w:nsid w:val="42BF523E"/>
    <w:multiLevelType w:val="singleLevel"/>
    <w:tmpl w:val="F3AE1DA0"/>
    <w:lvl w:ilvl="0">
      <w:start w:val="1"/>
      <w:numFmt w:val="decimal"/>
      <w:lvlText w:val="%1."/>
      <w:legacy w:legacy="1" w:legacySpace="0" w:legacyIndent="0"/>
      <w:lvlJc w:val="left"/>
    </w:lvl>
  </w:abstractNum>
  <w:abstractNum w:abstractNumId="32">
    <w:nsid w:val="434C0C3E"/>
    <w:multiLevelType w:val="hybridMultilevel"/>
    <w:tmpl w:val="C52A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53077A7"/>
    <w:multiLevelType w:val="singleLevel"/>
    <w:tmpl w:val="E46A7320"/>
    <w:lvl w:ilvl="0">
      <w:start w:val="1"/>
      <w:numFmt w:val="decimal"/>
      <w:lvlText w:val="%1."/>
      <w:legacy w:legacy="1" w:legacySpace="144" w:legacyIndent="0"/>
      <w:lvlJc w:val="left"/>
    </w:lvl>
  </w:abstractNum>
  <w:abstractNum w:abstractNumId="34">
    <w:nsid w:val="462B1B9C"/>
    <w:multiLevelType w:val="hybridMultilevel"/>
    <w:tmpl w:val="B9DA68DE"/>
    <w:lvl w:ilvl="0" w:tplc="76285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527F38"/>
    <w:multiLevelType w:val="singleLevel"/>
    <w:tmpl w:val="E46A7320"/>
    <w:lvl w:ilvl="0">
      <w:start w:val="1"/>
      <w:numFmt w:val="decimal"/>
      <w:lvlText w:val="%1."/>
      <w:legacy w:legacy="1" w:legacySpace="144" w:legacyIndent="0"/>
      <w:lvlJc w:val="left"/>
    </w:lvl>
  </w:abstractNum>
  <w:abstractNum w:abstractNumId="36">
    <w:nsid w:val="4C9C4791"/>
    <w:multiLevelType w:val="singleLevel"/>
    <w:tmpl w:val="F3AE1DA0"/>
    <w:lvl w:ilvl="0">
      <w:start w:val="1"/>
      <w:numFmt w:val="decimal"/>
      <w:lvlText w:val="%1."/>
      <w:legacy w:legacy="1" w:legacySpace="0" w:legacyIndent="0"/>
      <w:lvlJc w:val="left"/>
    </w:lvl>
  </w:abstractNum>
  <w:abstractNum w:abstractNumId="37">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0FD3C73"/>
    <w:multiLevelType w:val="singleLevel"/>
    <w:tmpl w:val="E46A7320"/>
    <w:lvl w:ilvl="0">
      <w:start w:val="1"/>
      <w:numFmt w:val="decimal"/>
      <w:lvlText w:val="%1."/>
      <w:legacy w:legacy="1" w:legacySpace="144" w:legacyIndent="0"/>
      <w:lvlJc w:val="left"/>
    </w:lvl>
  </w:abstractNum>
  <w:abstractNum w:abstractNumId="39">
    <w:nsid w:val="5202507F"/>
    <w:multiLevelType w:val="hybridMultilevel"/>
    <w:tmpl w:val="3C04DE7C"/>
    <w:lvl w:ilvl="0" w:tplc="1F9C0B42">
      <w:start w:val="2"/>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770878"/>
    <w:multiLevelType w:val="singleLevel"/>
    <w:tmpl w:val="F3AE1DA0"/>
    <w:lvl w:ilvl="0">
      <w:start w:val="1"/>
      <w:numFmt w:val="decimal"/>
      <w:lvlText w:val="%1."/>
      <w:legacy w:legacy="1" w:legacySpace="0" w:legacyIndent="0"/>
      <w:lvlJc w:val="left"/>
    </w:lvl>
  </w:abstractNum>
  <w:abstractNum w:abstractNumId="41">
    <w:nsid w:val="558931C7"/>
    <w:multiLevelType w:val="hybridMultilevel"/>
    <w:tmpl w:val="C5E0A1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84A4699"/>
    <w:multiLevelType w:val="singleLevel"/>
    <w:tmpl w:val="F3AE1DA0"/>
    <w:lvl w:ilvl="0">
      <w:start w:val="1"/>
      <w:numFmt w:val="decimal"/>
      <w:lvlText w:val="%1."/>
      <w:legacy w:legacy="1" w:legacySpace="0" w:legacyIndent="0"/>
      <w:lvlJc w:val="left"/>
    </w:lvl>
  </w:abstractNum>
  <w:abstractNum w:abstractNumId="43">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23D1C82"/>
    <w:multiLevelType w:val="singleLevel"/>
    <w:tmpl w:val="F3AE1DA0"/>
    <w:lvl w:ilvl="0">
      <w:start w:val="1"/>
      <w:numFmt w:val="decimal"/>
      <w:lvlText w:val="%1."/>
      <w:legacy w:legacy="1" w:legacySpace="0" w:legacyIndent="0"/>
      <w:lvlJc w:val="left"/>
    </w:lvl>
  </w:abstractNum>
  <w:abstractNum w:abstractNumId="45">
    <w:nsid w:val="69941F85"/>
    <w:multiLevelType w:val="singleLevel"/>
    <w:tmpl w:val="F3AE1DA0"/>
    <w:lvl w:ilvl="0">
      <w:start w:val="1"/>
      <w:numFmt w:val="decimal"/>
      <w:lvlText w:val="%1."/>
      <w:legacy w:legacy="1" w:legacySpace="0" w:legacyIndent="0"/>
      <w:lvlJc w:val="left"/>
    </w:lvl>
  </w:abstractNum>
  <w:abstractNum w:abstractNumId="46">
    <w:nsid w:val="74023022"/>
    <w:multiLevelType w:val="hybridMultilevel"/>
    <w:tmpl w:val="E3A24704"/>
    <w:lvl w:ilvl="0" w:tplc="F12E0AA0">
      <w:start w:val="14"/>
      <w:numFmt w:val="bullet"/>
      <w:lvlText w:val="-"/>
      <w:lvlJc w:val="left"/>
      <w:pPr>
        <w:ind w:left="4650" w:hanging="360"/>
      </w:pPr>
      <w:rPr>
        <w:rFonts w:ascii="Palatino" w:eastAsia="Times New Roman" w:hAnsi="Palatino" w:cs="Times New Roman" w:hint="default"/>
        <w:sz w:val="16"/>
      </w:rPr>
    </w:lvl>
    <w:lvl w:ilvl="1" w:tplc="04090003" w:tentative="1">
      <w:start w:val="1"/>
      <w:numFmt w:val="bullet"/>
      <w:lvlText w:val="o"/>
      <w:lvlJc w:val="left"/>
      <w:pPr>
        <w:ind w:left="5370" w:hanging="360"/>
      </w:pPr>
      <w:rPr>
        <w:rFonts w:ascii="Courier New" w:hAnsi="Courier New" w:cs="Courier New" w:hint="default"/>
      </w:rPr>
    </w:lvl>
    <w:lvl w:ilvl="2" w:tplc="04090005" w:tentative="1">
      <w:start w:val="1"/>
      <w:numFmt w:val="bullet"/>
      <w:lvlText w:val=""/>
      <w:lvlJc w:val="left"/>
      <w:pPr>
        <w:ind w:left="6090" w:hanging="360"/>
      </w:pPr>
      <w:rPr>
        <w:rFonts w:ascii="Wingdings" w:hAnsi="Wingdings" w:hint="default"/>
      </w:rPr>
    </w:lvl>
    <w:lvl w:ilvl="3" w:tplc="04090001" w:tentative="1">
      <w:start w:val="1"/>
      <w:numFmt w:val="bullet"/>
      <w:lvlText w:val=""/>
      <w:lvlJc w:val="left"/>
      <w:pPr>
        <w:ind w:left="6810" w:hanging="360"/>
      </w:pPr>
      <w:rPr>
        <w:rFonts w:ascii="Symbol" w:hAnsi="Symbol" w:hint="default"/>
      </w:rPr>
    </w:lvl>
    <w:lvl w:ilvl="4" w:tplc="04090003" w:tentative="1">
      <w:start w:val="1"/>
      <w:numFmt w:val="bullet"/>
      <w:lvlText w:val="o"/>
      <w:lvlJc w:val="left"/>
      <w:pPr>
        <w:ind w:left="7530" w:hanging="360"/>
      </w:pPr>
      <w:rPr>
        <w:rFonts w:ascii="Courier New" w:hAnsi="Courier New" w:cs="Courier New" w:hint="default"/>
      </w:rPr>
    </w:lvl>
    <w:lvl w:ilvl="5" w:tplc="04090005" w:tentative="1">
      <w:start w:val="1"/>
      <w:numFmt w:val="bullet"/>
      <w:lvlText w:val=""/>
      <w:lvlJc w:val="left"/>
      <w:pPr>
        <w:ind w:left="8250" w:hanging="360"/>
      </w:pPr>
      <w:rPr>
        <w:rFonts w:ascii="Wingdings" w:hAnsi="Wingdings" w:hint="default"/>
      </w:rPr>
    </w:lvl>
    <w:lvl w:ilvl="6" w:tplc="04090001" w:tentative="1">
      <w:start w:val="1"/>
      <w:numFmt w:val="bullet"/>
      <w:lvlText w:val=""/>
      <w:lvlJc w:val="left"/>
      <w:pPr>
        <w:ind w:left="8970" w:hanging="360"/>
      </w:pPr>
      <w:rPr>
        <w:rFonts w:ascii="Symbol" w:hAnsi="Symbol" w:hint="default"/>
      </w:rPr>
    </w:lvl>
    <w:lvl w:ilvl="7" w:tplc="04090003" w:tentative="1">
      <w:start w:val="1"/>
      <w:numFmt w:val="bullet"/>
      <w:lvlText w:val="o"/>
      <w:lvlJc w:val="left"/>
      <w:pPr>
        <w:ind w:left="9690" w:hanging="360"/>
      </w:pPr>
      <w:rPr>
        <w:rFonts w:ascii="Courier New" w:hAnsi="Courier New" w:cs="Courier New" w:hint="default"/>
      </w:rPr>
    </w:lvl>
    <w:lvl w:ilvl="8" w:tplc="04090005" w:tentative="1">
      <w:start w:val="1"/>
      <w:numFmt w:val="bullet"/>
      <w:lvlText w:val=""/>
      <w:lvlJc w:val="left"/>
      <w:pPr>
        <w:ind w:left="10410" w:hanging="360"/>
      </w:pPr>
      <w:rPr>
        <w:rFonts w:ascii="Wingdings" w:hAnsi="Wingdings" w:hint="default"/>
      </w:rPr>
    </w:lvl>
  </w:abstractNum>
  <w:abstractNum w:abstractNumId="47">
    <w:nsid w:val="7D142BE1"/>
    <w:multiLevelType w:val="singleLevel"/>
    <w:tmpl w:val="E46A7320"/>
    <w:lvl w:ilvl="0">
      <w:start w:val="1"/>
      <w:numFmt w:val="decimal"/>
      <w:lvlText w:val="%1."/>
      <w:legacy w:legacy="1" w:legacySpace="144" w:legacyIndent="0"/>
      <w:lvlJc w:val="left"/>
    </w:lvl>
  </w:abstractNum>
  <w:abstractNum w:abstractNumId="48">
    <w:nsid w:val="7D905A9E"/>
    <w:multiLevelType w:val="singleLevel"/>
    <w:tmpl w:val="F3AE1DA0"/>
    <w:lvl w:ilvl="0">
      <w:start w:val="1"/>
      <w:numFmt w:val="decimal"/>
      <w:lvlText w:val="%1."/>
      <w:legacy w:legacy="1" w:legacySpace="0" w:legacyIndent="0"/>
      <w:lvlJc w:val="left"/>
    </w:lvl>
  </w:abstractNum>
  <w:abstractNum w:abstractNumId="49">
    <w:nsid w:val="7FA24549"/>
    <w:multiLevelType w:val="singleLevel"/>
    <w:tmpl w:val="E46A7320"/>
    <w:lvl w:ilvl="0">
      <w:start w:val="1"/>
      <w:numFmt w:val="decimal"/>
      <w:lvlText w:val="%1."/>
      <w:legacy w:legacy="1" w:legacySpace="144" w:legacyIndent="0"/>
      <w:lvlJc w:val="left"/>
    </w:lvl>
  </w:abstractNum>
  <w:num w:numId="1">
    <w:abstractNumId w:val="30"/>
  </w:num>
  <w:num w:numId="2">
    <w:abstractNumId w:val="45"/>
  </w:num>
  <w:num w:numId="3">
    <w:abstractNumId w:val="26"/>
  </w:num>
  <w:num w:numId="4">
    <w:abstractNumId w:val="44"/>
  </w:num>
  <w:num w:numId="5">
    <w:abstractNumId w:val="48"/>
  </w:num>
  <w:num w:numId="6">
    <w:abstractNumId w:val="10"/>
  </w:num>
  <w:num w:numId="7">
    <w:abstractNumId w:val="31"/>
  </w:num>
  <w:num w:numId="8">
    <w:abstractNumId w:val="40"/>
  </w:num>
  <w:num w:numId="9">
    <w:abstractNumId w:val="16"/>
  </w:num>
  <w:num w:numId="10">
    <w:abstractNumId w:val="18"/>
  </w:num>
  <w:num w:numId="11">
    <w:abstractNumId w:val="24"/>
  </w:num>
  <w:num w:numId="12">
    <w:abstractNumId w:val="36"/>
  </w:num>
  <w:num w:numId="13">
    <w:abstractNumId w:val="42"/>
  </w:num>
  <w:num w:numId="14">
    <w:abstractNumId w:val="21"/>
  </w:num>
  <w:num w:numId="15">
    <w:abstractNumId w:val="49"/>
  </w:num>
  <w:num w:numId="16">
    <w:abstractNumId w:val="22"/>
  </w:num>
  <w:num w:numId="17">
    <w:abstractNumId w:val="17"/>
  </w:num>
  <w:num w:numId="18">
    <w:abstractNumId w:val="11"/>
  </w:num>
  <w:num w:numId="19">
    <w:abstractNumId w:val="9"/>
  </w:num>
  <w:num w:numId="20">
    <w:abstractNumId w:val="2"/>
  </w:num>
  <w:num w:numId="21">
    <w:abstractNumId w:val="33"/>
  </w:num>
  <w:num w:numId="22">
    <w:abstractNumId w:val="8"/>
  </w:num>
  <w:num w:numId="23">
    <w:abstractNumId w:val="6"/>
  </w:num>
  <w:num w:numId="24">
    <w:abstractNumId w:val="38"/>
  </w:num>
  <w:num w:numId="25">
    <w:abstractNumId w:val="27"/>
  </w:num>
  <w:num w:numId="26">
    <w:abstractNumId w:val="47"/>
  </w:num>
  <w:num w:numId="27">
    <w:abstractNumId w:val="7"/>
  </w:num>
  <w:num w:numId="28">
    <w:abstractNumId w:val="37"/>
  </w:num>
  <w:num w:numId="29">
    <w:abstractNumId w:val="35"/>
  </w:num>
  <w:num w:numId="30">
    <w:abstractNumId w:val="12"/>
  </w:num>
  <w:num w:numId="31">
    <w:abstractNumId w:val="43"/>
  </w:num>
  <w:num w:numId="32">
    <w:abstractNumId w:val="4"/>
  </w:num>
  <w:num w:numId="33">
    <w:abstractNumId w:val="15"/>
  </w:num>
  <w:num w:numId="34">
    <w:abstractNumId w:val="25"/>
  </w:num>
  <w:num w:numId="35">
    <w:abstractNumId w:val="13"/>
  </w:num>
  <w:num w:numId="36">
    <w:abstractNumId w:val="28"/>
  </w:num>
  <w:num w:numId="37">
    <w:abstractNumId w:val="0"/>
  </w:num>
  <w:num w:numId="38">
    <w:abstractNumId w:val="46"/>
  </w:num>
  <w:num w:numId="39">
    <w:abstractNumId w:val="29"/>
  </w:num>
  <w:num w:numId="40">
    <w:abstractNumId w:val="23"/>
  </w:num>
  <w:num w:numId="41">
    <w:abstractNumId w:val="3"/>
  </w:num>
  <w:num w:numId="42">
    <w:abstractNumId w:val="20"/>
  </w:num>
  <w:num w:numId="43">
    <w:abstractNumId w:val="39"/>
  </w:num>
  <w:num w:numId="44">
    <w:abstractNumId w:val="14"/>
  </w:num>
  <w:num w:numId="45">
    <w:abstractNumId w:val="19"/>
  </w:num>
  <w:num w:numId="46">
    <w:abstractNumId w:val="32"/>
  </w:num>
  <w:num w:numId="47">
    <w:abstractNumId w:val="1"/>
  </w:num>
  <w:num w:numId="48">
    <w:abstractNumId w:val="41"/>
  </w:num>
  <w:num w:numId="49">
    <w:abstractNumId w:val="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48"/>
    <w:rsid w:val="0004150A"/>
    <w:rsid w:val="000440D0"/>
    <w:rsid w:val="00045746"/>
    <w:rsid w:val="00056BEE"/>
    <w:rsid w:val="000630F8"/>
    <w:rsid w:val="00077F4C"/>
    <w:rsid w:val="00094A35"/>
    <w:rsid w:val="000A247F"/>
    <w:rsid w:val="000D5EB8"/>
    <w:rsid w:val="000E46E6"/>
    <w:rsid w:val="0010196D"/>
    <w:rsid w:val="00121128"/>
    <w:rsid w:val="0012174A"/>
    <w:rsid w:val="00122D34"/>
    <w:rsid w:val="00140515"/>
    <w:rsid w:val="00140B54"/>
    <w:rsid w:val="00144DE8"/>
    <w:rsid w:val="001679DF"/>
    <w:rsid w:val="00190E89"/>
    <w:rsid w:val="001A3C34"/>
    <w:rsid w:val="001C4FCA"/>
    <w:rsid w:val="001C50AA"/>
    <w:rsid w:val="001D0DA7"/>
    <w:rsid w:val="001E21BC"/>
    <w:rsid w:val="001E2BB4"/>
    <w:rsid w:val="00224136"/>
    <w:rsid w:val="00224361"/>
    <w:rsid w:val="002264DD"/>
    <w:rsid w:val="002363C9"/>
    <w:rsid w:val="002400EE"/>
    <w:rsid w:val="00247ACD"/>
    <w:rsid w:val="0027392E"/>
    <w:rsid w:val="00290F21"/>
    <w:rsid w:val="002A3EA0"/>
    <w:rsid w:val="002B0D63"/>
    <w:rsid w:val="002B7742"/>
    <w:rsid w:val="002C40DA"/>
    <w:rsid w:val="002D22C6"/>
    <w:rsid w:val="002E1EC3"/>
    <w:rsid w:val="00320621"/>
    <w:rsid w:val="003242D3"/>
    <w:rsid w:val="003434F9"/>
    <w:rsid w:val="00363C3F"/>
    <w:rsid w:val="00367BDF"/>
    <w:rsid w:val="00367CF2"/>
    <w:rsid w:val="00373DB9"/>
    <w:rsid w:val="003A2BE4"/>
    <w:rsid w:val="003A5278"/>
    <w:rsid w:val="003A65A4"/>
    <w:rsid w:val="003D44CF"/>
    <w:rsid w:val="003E42B0"/>
    <w:rsid w:val="003F2E34"/>
    <w:rsid w:val="00431F94"/>
    <w:rsid w:val="00452CBA"/>
    <w:rsid w:val="00452F2F"/>
    <w:rsid w:val="0045431E"/>
    <w:rsid w:val="004773A2"/>
    <w:rsid w:val="0049632C"/>
    <w:rsid w:val="004B1D16"/>
    <w:rsid w:val="004B5183"/>
    <w:rsid w:val="0050007B"/>
    <w:rsid w:val="00510176"/>
    <w:rsid w:val="00513771"/>
    <w:rsid w:val="00520FA2"/>
    <w:rsid w:val="00541948"/>
    <w:rsid w:val="00573137"/>
    <w:rsid w:val="0058164D"/>
    <w:rsid w:val="0058744B"/>
    <w:rsid w:val="0059407C"/>
    <w:rsid w:val="00597E9B"/>
    <w:rsid w:val="005C0A24"/>
    <w:rsid w:val="005C6670"/>
    <w:rsid w:val="005D1B7F"/>
    <w:rsid w:val="005D6622"/>
    <w:rsid w:val="00604608"/>
    <w:rsid w:val="00616620"/>
    <w:rsid w:val="006357BE"/>
    <w:rsid w:val="00637CAA"/>
    <w:rsid w:val="006A0CF3"/>
    <w:rsid w:val="006A192B"/>
    <w:rsid w:val="006A5B55"/>
    <w:rsid w:val="006A6C73"/>
    <w:rsid w:val="006B4CFA"/>
    <w:rsid w:val="006D1AAA"/>
    <w:rsid w:val="006D4A0E"/>
    <w:rsid w:val="006D4FAB"/>
    <w:rsid w:val="00700854"/>
    <w:rsid w:val="007432EE"/>
    <w:rsid w:val="00744907"/>
    <w:rsid w:val="00760E3B"/>
    <w:rsid w:val="007659B3"/>
    <w:rsid w:val="007901BF"/>
    <w:rsid w:val="00790F74"/>
    <w:rsid w:val="00793377"/>
    <w:rsid w:val="007B1D0C"/>
    <w:rsid w:val="007C35F0"/>
    <w:rsid w:val="007C7E8B"/>
    <w:rsid w:val="007D5F70"/>
    <w:rsid w:val="007E07E0"/>
    <w:rsid w:val="007E08A5"/>
    <w:rsid w:val="007F3874"/>
    <w:rsid w:val="007F4FD6"/>
    <w:rsid w:val="00802912"/>
    <w:rsid w:val="00803C29"/>
    <w:rsid w:val="0081782D"/>
    <w:rsid w:val="00823F4E"/>
    <w:rsid w:val="00825448"/>
    <w:rsid w:val="00831AFD"/>
    <w:rsid w:val="00844AD0"/>
    <w:rsid w:val="00847963"/>
    <w:rsid w:val="00850149"/>
    <w:rsid w:val="00852A0F"/>
    <w:rsid w:val="0085474E"/>
    <w:rsid w:val="00863D38"/>
    <w:rsid w:val="00873CD4"/>
    <w:rsid w:val="008769E8"/>
    <w:rsid w:val="00882919"/>
    <w:rsid w:val="008B6B44"/>
    <w:rsid w:val="008C6707"/>
    <w:rsid w:val="008D5190"/>
    <w:rsid w:val="008F6604"/>
    <w:rsid w:val="009055E1"/>
    <w:rsid w:val="00906840"/>
    <w:rsid w:val="00907D4F"/>
    <w:rsid w:val="00941649"/>
    <w:rsid w:val="009438D6"/>
    <w:rsid w:val="009722AA"/>
    <w:rsid w:val="009B103F"/>
    <w:rsid w:val="009B405E"/>
    <w:rsid w:val="009D2F9B"/>
    <w:rsid w:val="009D4C1F"/>
    <w:rsid w:val="009D6755"/>
    <w:rsid w:val="009F3B0F"/>
    <w:rsid w:val="00A2695E"/>
    <w:rsid w:val="00A37000"/>
    <w:rsid w:val="00A47238"/>
    <w:rsid w:val="00A60D8C"/>
    <w:rsid w:val="00A63BD3"/>
    <w:rsid w:val="00A84500"/>
    <w:rsid w:val="00A928A0"/>
    <w:rsid w:val="00A9317E"/>
    <w:rsid w:val="00A976D8"/>
    <w:rsid w:val="00AC147C"/>
    <w:rsid w:val="00AC19A8"/>
    <w:rsid w:val="00AC32D0"/>
    <w:rsid w:val="00AE0E7F"/>
    <w:rsid w:val="00B138B1"/>
    <w:rsid w:val="00B13930"/>
    <w:rsid w:val="00B151A7"/>
    <w:rsid w:val="00B674B8"/>
    <w:rsid w:val="00B82E3C"/>
    <w:rsid w:val="00BA3CFC"/>
    <w:rsid w:val="00BA4421"/>
    <w:rsid w:val="00BA5B12"/>
    <w:rsid w:val="00BB68FD"/>
    <w:rsid w:val="00BD0031"/>
    <w:rsid w:val="00BD2BA7"/>
    <w:rsid w:val="00BD6549"/>
    <w:rsid w:val="00C175CE"/>
    <w:rsid w:val="00C17DAE"/>
    <w:rsid w:val="00C23BC4"/>
    <w:rsid w:val="00C47D67"/>
    <w:rsid w:val="00C50340"/>
    <w:rsid w:val="00C5455F"/>
    <w:rsid w:val="00C9095D"/>
    <w:rsid w:val="00CD1AE3"/>
    <w:rsid w:val="00CD7BBD"/>
    <w:rsid w:val="00CE4E5B"/>
    <w:rsid w:val="00CF6203"/>
    <w:rsid w:val="00D1267C"/>
    <w:rsid w:val="00D16485"/>
    <w:rsid w:val="00D20704"/>
    <w:rsid w:val="00D251B3"/>
    <w:rsid w:val="00D2596D"/>
    <w:rsid w:val="00D32957"/>
    <w:rsid w:val="00D4241D"/>
    <w:rsid w:val="00D565D7"/>
    <w:rsid w:val="00D62568"/>
    <w:rsid w:val="00D63888"/>
    <w:rsid w:val="00D772F6"/>
    <w:rsid w:val="00D82EE8"/>
    <w:rsid w:val="00DA1349"/>
    <w:rsid w:val="00DC776D"/>
    <w:rsid w:val="00E147A7"/>
    <w:rsid w:val="00E254EA"/>
    <w:rsid w:val="00E45AF0"/>
    <w:rsid w:val="00E45E17"/>
    <w:rsid w:val="00E55B39"/>
    <w:rsid w:val="00E61BF6"/>
    <w:rsid w:val="00E63746"/>
    <w:rsid w:val="00E82017"/>
    <w:rsid w:val="00EA0F57"/>
    <w:rsid w:val="00EB020F"/>
    <w:rsid w:val="00EC3740"/>
    <w:rsid w:val="00EC64AF"/>
    <w:rsid w:val="00ED2D86"/>
    <w:rsid w:val="00ED5722"/>
    <w:rsid w:val="00ED74B7"/>
    <w:rsid w:val="00EE080A"/>
    <w:rsid w:val="00EF0277"/>
    <w:rsid w:val="00EF3AEC"/>
    <w:rsid w:val="00F05454"/>
    <w:rsid w:val="00F06EFE"/>
    <w:rsid w:val="00F13FF7"/>
    <w:rsid w:val="00F300BA"/>
    <w:rsid w:val="00F40EDD"/>
    <w:rsid w:val="00F425EA"/>
    <w:rsid w:val="00F50719"/>
    <w:rsid w:val="00F62D93"/>
    <w:rsid w:val="00F74E03"/>
    <w:rsid w:val="00F85BD7"/>
    <w:rsid w:val="00F872EE"/>
    <w:rsid w:val="00F969FD"/>
    <w:rsid w:val="00F96A02"/>
    <w:rsid w:val="00FB3157"/>
    <w:rsid w:val="00FC5534"/>
    <w:rsid w:val="00FC6CC3"/>
    <w:rsid w:val="00FD11D2"/>
    <w:rsid w:val="00FD26C0"/>
    <w:rsid w:val="00FD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6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
    <w:basedOn w:val="Normal"/>
    <w:link w:val="FootnoteTextChar"/>
    <w:pPr>
      <w:spacing w:after="240"/>
    </w:pPr>
    <w:rPr>
      <w:sz w:val="24"/>
    </w:rPr>
  </w:style>
  <w:style w:type="character" w:styleId="FootnoteReference">
    <w:name w:val="footnote reference"/>
    <w:aliases w:val="o,fr,Style 3,o1,o2,o3,o4,o5,o6,o11,o21,o7,o + Times New Roman,Style 12,(NECG) Footnote Reference,Appel note de bas de p,Style 124,Style 58"/>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pPr>
      <w:spacing w:line="360" w:lineRule="auto"/>
      <w:ind w:firstLine="144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rsid w:val="00056BEE"/>
    <w:rPr>
      <w:rFonts w:ascii="Palatino" w:hAnsi="Palatino"/>
      <w:sz w:val="24"/>
      <w:lang w:val="en-US" w:eastAsia="en-US" w:bidi="ar-SA"/>
    </w:rPr>
  </w:style>
  <w:style w:type="paragraph" w:styleId="BodyText">
    <w:name w:val="Body Text"/>
    <w:basedOn w:val="Normal"/>
    <w:link w:val="BodyTextChar"/>
    <w:rsid w:val="00863D38"/>
    <w:pPr>
      <w:spacing w:after="120"/>
    </w:pPr>
  </w:style>
  <w:style w:type="character" w:customStyle="1" w:styleId="BodyTextChar">
    <w:name w:val="Body Text Char"/>
    <w:link w:val="BodyText"/>
    <w:rsid w:val="00863D38"/>
    <w:rPr>
      <w:rFonts w:ascii="Palatino" w:hAnsi="Palatino"/>
      <w:sz w:val="26"/>
    </w:rPr>
  </w:style>
  <w:style w:type="character" w:customStyle="1" w:styleId="FootnoteTextChar1">
    <w:name w:val="Footnote Text Char1"/>
    <w:aliases w:val="Footnote Text Char2 Char Char1,Footnote Text Char Char Char Char1,Footnote Text Char2 Char Char Char Char1,Footnote Text Char Char Char Char Char Char1,Footnote Text Char2 Char Char Char Char1 Char Char1,Footnote Text Char2 Char2"/>
    <w:uiPriority w:val="99"/>
    <w:semiHidden/>
    <w:locked/>
    <w:rsid w:val="00863D38"/>
    <w:rPr>
      <w:rFonts w:ascii="Palatino" w:hAnsi="Palatino"/>
      <w:sz w:val="24"/>
    </w:rPr>
  </w:style>
  <w:style w:type="paragraph" w:styleId="BalloonText">
    <w:name w:val="Balloon Text"/>
    <w:basedOn w:val="Normal"/>
    <w:link w:val="BalloonTextChar"/>
    <w:rsid w:val="00BD0031"/>
    <w:rPr>
      <w:rFonts w:ascii="Tahoma" w:hAnsi="Tahoma" w:cs="Tahoma"/>
      <w:sz w:val="16"/>
      <w:szCs w:val="16"/>
    </w:rPr>
  </w:style>
  <w:style w:type="character" w:customStyle="1" w:styleId="BalloonTextChar">
    <w:name w:val="Balloon Text Char"/>
    <w:link w:val="BalloonText"/>
    <w:rsid w:val="00BD0031"/>
    <w:rPr>
      <w:rFonts w:ascii="Tahoma" w:hAnsi="Tahoma" w:cs="Tahoma"/>
      <w:sz w:val="16"/>
      <w:szCs w:val="16"/>
    </w:rPr>
  </w:style>
  <w:style w:type="character" w:customStyle="1" w:styleId="HeaderChar">
    <w:name w:val="Header Char"/>
    <w:link w:val="Header"/>
    <w:rsid w:val="00CD1AE3"/>
    <w:rPr>
      <w:rFonts w:ascii="Palatino" w:hAnsi="Palatino"/>
      <w:sz w:val="26"/>
    </w:rPr>
  </w:style>
  <w:style w:type="character" w:customStyle="1" w:styleId="FooterChar">
    <w:name w:val="Footer Char"/>
    <w:link w:val="Footer"/>
    <w:uiPriority w:val="99"/>
    <w:rsid w:val="002363C9"/>
    <w:rPr>
      <w:rFonts w:ascii="Palatino" w:hAnsi="Palatino"/>
      <w:sz w:val="26"/>
    </w:rPr>
  </w:style>
  <w:style w:type="paragraph" w:customStyle="1" w:styleId="Default">
    <w:name w:val="Default"/>
    <w:rsid w:val="00873CD4"/>
    <w:pPr>
      <w:autoSpaceDE w:val="0"/>
      <w:autoSpaceDN w:val="0"/>
      <w:adjustRightInd w:val="0"/>
    </w:pPr>
    <w:rPr>
      <w:color w:val="000000"/>
      <w:sz w:val="24"/>
      <w:szCs w:val="24"/>
    </w:rPr>
  </w:style>
  <w:style w:type="character" w:styleId="CommentReference">
    <w:name w:val="annotation reference"/>
    <w:basedOn w:val="DefaultParagraphFont"/>
    <w:rsid w:val="002400EE"/>
    <w:rPr>
      <w:sz w:val="16"/>
      <w:szCs w:val="16"/>
    </w:rPr>
  </w:style>
  <w:style w:type="paragraph" w:styleId="CommentText">
    <w:name w:val="annotation text"/>
    <w:basedOn w:val="Normal"/>
    <w:link w:val="CommentTextChar"/>
    <w:rsid w:val="002400EE"/>
    <w:rPr>
      <w:sz w:val="20"/>
    </w:rPr>
  </w:style>
  <w:style w:type="character" w:customStyle="1" w:styleId="CommentTextChar">
    <w:name w:val="Comment Text Char"/>
    <w:basedOn w:val="DefaultParagraphFont"/>
    <w:link w:val="CommentText"/>
    <w:rsid w:val="002400EE"/>
    <w:rPr>
      <w:rFonts w:ascii="Palatino" w:hAnsi="Palatino"/>
    </w:rPr>
  </w:style>
  <w:style w:type="paragraph" w:styleId="CommentSubject">
    <w:name w:val="annotation subject"/>
    <w:basedOn w:val="CommentText"/>
    <w:next w:val="CommentText"/>
    <w:link w:val="CommentSubjectChar"/>
    <w:rsid w:val="002400EE"/>
    <w:rPr>
      <w:b/>
      <w:bCs/>
    </w:rPr>
  </w:style>
  <w:style w:type="character" w:customStyle="1" w:styleId="CommentSubjectChar">
    <w:name w:val="Comment Subject Char"/>
    <w:basedOn w:val="CommentTextChar"/>
    <w:link w:val="CommentSubject"/>
    <w:rsid w:val="002400EE"/>
    <w:rPr>
      <w:rFonts w:ascii="Palatino" w:hAnsi="Palatino"/>
      <w:b/>
      <w:bCs/>
    </w:rPr>
  </w:style>
  <w:style w:type="paragraph" w:customStyle="1" w:styleId="Quote2">
    <w:name w:val="Quote2"/>
    <w:basedOn w:val="standard"/>
    <w:next w:val="standard"/>
    <w:rsid w:val="00077F4C"/>
    <w:pPr>
      <w:spacing w:before="120" w:after="240" w:line="240" w:lineRule="auto"/>
      <w:ind w:left="720" w:right="720" w:firstLine="0"/>
    </w:pPr>
  </w:style>
  <w:style w:type="paragraph" w:styleId="ListBullet">
    <w:name w:val="List Bullet"/>
    <w:basedOn w:val="Normal"/>
    <w:uiPriority w:val="99"/>
    <w:unhideWhenUsed/>
    <w:rsid w:val="0012174A"/>
    <w:pPr>
      <w:numPr>
        <w:numId w:val="45"/>
      </w:numPr>
      <w:spacing w:after="60"/>
      <w:ind w:left="450" w:right="720" w:hanging="270"/>
      <w:contextualSpacing/>
    </w:pPr>
    <w:rPr>
      <w:rFonts w:asciiTheme="minorHAnsi" w:eastAsiaTheme="minorHAnsi" w:hAnsiTheme="minorHAnsi" w:cstheme="minorBidi"/>
      <w:sz w:val="22"/>
      <w:szCs w:val="22"/>
      <w:shd w:val="clear" w:color="auto" w:fill="FFFFFF"/>
    </w:rPr>
  </w:style>
  <w:style w:type="paragraph" w:styleId="ListParagraph">
    <w:name w:val="List Paragraph"/>
    <w:basedOn w:val="Normal"/>
    <w:uiPriority w:val="34"/>
    <w:qFormat/>
    <w:rsid w:val="008F6604"/>
    <w:pPr>
      <w:spacing w:after="200" w:line="276" w:lineRule="auto"/>
      <w:ind w:left="720"/>
      <w:contextualSpacing/>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6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
    <w:basedOn w:val="Normal"/>
    <w:link w:val="FootnoteTextChar"/>
    <w:pPr>
      <w:spacing w:after="240"/>
    </w:pPr>
    <w:rPr>
      <w:sz w:val="24"/>
    </w:rPr>
  </w:style>
  <w:style w:type="character" w:styleId="FootnoteReference">
    <w:name w:val="footnote reference"/>
    <w:aliases w:val="o,fr,Style 3,o1,o2,o3,o4,o5,o6,o11,o21,o7,o + Times New Roman,Style 12,(NECG) Footnote Reference,Appel note de bas de p,Style 124,Style 58"/>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pPr>
      <w:spacing w:line="360" w:lineRule="auto"/>
      <w:ind w:firstLine="144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rsid w:val="00056BEE"/>
    <w:rPr>
      <w:rFonts w:ascii="Palatino" w:hAnsi="Palatino"/>
      <w:sz w:val="24"/>
      <w:lang w:val="en-US" w:eastAsia="en-US" w:bidi="ar-SA"/>
    </w:rPr>
  </w:style>
  <w:style w:type="paragraph" w:styleId="BodyText">
    <w:name w:val="Body Text"/>
    <w:basedOn w:val="Normal"/>
    <w:link w:val="BodyTextChar"/>
    <w:rsid w:val="00863D38"/>
    <w:pPr>
      <w:spacing w:after="120"/>
    </w:pPr>
  </w:style>
  <w:style w:type="character" w:customStyle="1" w:styleId="BodyTextChar">
    <w:name w:val="Body Text Char"/>
    <w:link w:val="BodyText"/>
    <w:rsid w:val="00863D38"/>
    <w:rPr>
      <w:rFonts w:ascii="Palatino" w:hAnsi="Palatino"/>
      <w:sz w:val="26"/>
    </w:rPr>
  </w:style>
  <w:style w:type="character" w:customStyle="1" w:styleId="FootnoteTextChar1">
    <w:name w:val="Footnote Text Char1"/>
    <w:aliases w:val="Footnote Text Char2 Char Char1,Footnote Text Char Char Char Char1,Footnote Text Char2 Char Char Char Char1,Footnote Text Char Char Char Char Char Char1,Footnote Text Char2 Char Char Char Char1 Char Char1,Footnote Text Char2 Char2"/>
    <w:uiPriority w:val="99"/>
    <w:semiHidden/>
    <w:locked/>
    <w:rsid w:val="00863D38"/>
    <w:rPr>
      <w:rFonts w:ascii="Palatino" w:hAnsi="Palatino"/>
      <w:sz w:val="24"/>
    </w:rPr>
  </w:style>
  <w:style w:type="paragraph" w:styleId="BalloonText">
    <w:name w:val="Balloon Text"/>
    <w:basedOn w:val="Normal"/>
    <w:link w:val="BalloonTextChar"/>
    <w:rsid w:val="00BD0031"/>
    <w:rPr>
      <w:rFonts w:ascii="Tahoma" w:hAnsi="Tahoma" w:cs="Tahoma"/>
      <w:sz w:val="16"/>
      <w:szCs w:val="16"/>
    </w:rPr>
  </w:style>
  <w:style w:type="character" w:customStyle="1" w:styleId="BalloonTextChar">
    <w:name w:val="Balloon Text Char"/>
    <w:link w:val="BalloonText"/>
    <w:rsid w:val="00BD0031"/>
    <w:rPr>
      <w:rFonts w:ascii="Tahoma" w:hAnsi="Tahoma" w:cs="Tahoma"/>
      <w:sz w:val="16"/>
      <w:szCs w:val="16"/>
    </w:rPr>
  </w:style>
  <w:style w:type="character" w:customStyle="1" w:styleId="HeaderChar">
    <w:name w:val="Header Char"/>
    <w:link w:val="Header"/>
    <w:rsid w:val="00CD1AE3"/>
    <w:rPr>
      <w:rFonts w:ascii="Palatino" w:hAnsi="Palatino"/>
      <w:sz w:val="26"/>
    </w:rPr>
  </w:style>
  <w:style w:type="character" w:customStyle="1" w:styleId="FooterChar">
    <w:name w:val="Footer Char"/>
    <w:link w:val="Footer"/>
    <w:uiPriority w:val="99"/>
    <w:rsid w:val="002363C9"/>
    <w:rPr>
      <w:rFonts w:ascii="Palatino" w:hAnsi="Palatino"/>
      <w:sz w:val="26"/>
    </w:rPr>
  </w:style>
  <w:style w:type="paragraph" w:customStyle="1" w:styleId="Default">
    <w:name w:val="Default"/>
    <w:rsid w:val="00873CD4"/>
    <w:pPr>
      <w:autoSpaceDE w:val="0"/>
      <w:autoSpaceDN w:val="0"/>
      <w:adjustRightInd w:val="0"/>
    </w:pPr>
    <w:rPr>
      <w:color w:val="000000"/>
      <w:sz w:val="24"/>
      <w:szCs w:val="24"/>
    </w:rPr>
  </w:style>
  <w:style w:type="character" w:styleId="CommentReference">
    <w:name w:val="annotation reference"/>
    <w:basedOn w:val="DefaultParagraphFont"/>
    <w:rsid w:val="002400EE"/>
    <w:rPr>
      <w:sz w:val="16"/>
      <w:szCs w:val="16"/>
    </w:rPr>
  </w:style>
  <w:style w:type="paragraph" w:styleId="CommentText">
    <w:name w:val="annotation text"/>
    <w:basedOn w:val="Normal"/>
    <w:link w:val="CommentTextChar"/>
    <w:rsid w:val="002400EE"/>
    <w:rPr>
      <w:sz w:val="20"/>
    </w:rPr>
  </w:style>
  <w:style w:type="character" w:customStyle="1" w:styleId="CommentTextChar">
    <w:name w:val="Comment Text Char"/>
    <w:basedOn w:val="DefaultParagraphFont"/>
    <w:link w:val="CommentText"/>
    <w:rsid w:val="002400EE"/>
    <w:rPr>
      <w:rFonts w:ascii="Palatino" w:hAnsi="Palatino"/>
    </w:rPr>
  </w:style>
  <w:style w:type="paragraph" w:styleId="CommentSubject">
    <w:name w:val="annotation subject"/>
    <w:basedOn w:val="CommentText"/>
    <w:next w:val="CommentText"/>
    <w:link w:val="CommentSubjectChar"/>
    <w:rsid w:val="002400EE"/>
    <w:rPr>
      <w:b/>
      <w:bCs/>
    </w:rPr>
  </w:style>
  <w:style w:type="character" w:customStyle="1" w:styleId="CommentSubjectChar">
    <w:name w:val="Comment Subject Char"/>
    <w:basedOn w:val="CommentTextChar"/>
    <w:link w:val="CommentSubject"/>
    <w:rsid w:val="002400EE"/>
    <w:rPr>
      <w:rFonts w:ascii="Palatino" w:hAnsi="Palatino"/>
      <w:b/>
      <w:bCs/>
    </w:rPr>
  </w:style>
  <w:style w:type="paragraph" w:customStyle="1" w:styleId="Quote2">
    <w:name w:val="Quote2"/>
    <w:basedOn w:val="standard"/>
    <w:next w:val="standard"/>
    <w:rsid w:val="00077F4C"/>
    <w:pPr>
      <w:spacing w:before="120" w:after="240" w:line="240" w:lineRule="auto"/>
      <w:ind w:left="720" w:right="720" w:firstLine="0"/>
    </w:pPr>
  </w:style>
  <w:style w:type="paragraph" w:styleId="ListBullet">
    <w:name w:val="List Bullet"/>
    <w:basedOn w:val="Normal"/>
    <w:uiPriority w:val="99"/>
    <w:unhideWhenUsed/>
    <w:rsid w:val="0012174A"/>
    <w:pPr>
      <w:numPr>
        <w:numId w:val="45"/>
      </w:numPr>
      <w:spacing w:after="60"/>
      <w:ind w:left="450" w:right="720" w:hanging="270"/>
      <w:contextualSpacing/>
    </w:pPr>
    <w:rPr>
      <w:rFonts w:asciiTheme="minorHAnsi" w:eastAsiaTheme="minorHAnsi" w:hAnsiTheme="minorHAnsi" w:cstheme="minorBidi"/>
      <w:sz w:val="22"/>
      <w:szCs w:val="22"/>
      <w:shd w:val="clear" w:color="auto" w:fill="FFFFFF"/>
    </w:rPr>
  </w:style>
  <w:style w:type="paragraph" w:styleId="ListParagraph">
    <w:name w:val="List Paragraph"/>
    <w:basedOn w:val="Normal"/>
    <w:uiPriority w:val="34"/>
    <w:qFormat/>
    <w:rsid w:val="008F6604"/>
    <w:pPr>
      <w:spacing w:after="200"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0881">
      <w:bodyDiv w:val="1"/>
      <w:marLeft w:val="0"/>
      <w:marRight w:val="0"/>
      <w:marTop w:val="0"/>
      <w:marBottom w:val="0"/>
      <w:divBdr>
        <w:top w:val="none" w:sz="0" w:space="0" w:color="auto"/>
        <w:left w:val="none" w:sz="0" w:space="0" w:color="auto"/>
        <w:bottom w:val="none" w:sz="0" w:space="0" w:color="auto"/>
        <w:right w:val="none" w:sz="0" w:space="0" w:color="auto"/>
      </w:divBdr>
    </w:div>
    <w:div w:id="119256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1699</Words>
  <Characters>8996</Characters>
  <Application>Microsoft Office Word</Application>
  <DocSecurity>0</DocSecurity>
  <Lines>200</Lines>
  <Paragraphs>68</Paragraphs>
  <ScaleCrop>false</ScaleCrop>
  <HeadingPairs>
    <vt:vector size="2" baseType="variant">
      <vt:variant>
        <vt:lpstr>Title</vt:lpstr>
      </vt:variant>
      <vt:variant>
        <vt:i4>1</vt:i4>
      </vt:variant>
    </vt:vector>
  </HeadingPairs>
  <TitlesOfParts>
    <vt:vector size="1" baseType="lpstr">
      <vt:lpstr>BEFORE THE PUBLIC UTILITIES COMMISSION OF THE STATE OF CALIFORNIA</vt:lpstr>
    </vt:vector>
  </TitlesOfParts>
  <Manager/>
  <Company/>
  <LinksUpToDate>false</LinksUpToDate>
  <CharactersWithSpaces>11057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2015-03-09T21:30:00Z</cp:lastPrinted>
  <dcterms:created xsi:type="dcterms:W3CDTF">2015-03-27T18:02:00Z</dcterms:created>
  <dcterms:modified xsi:type="dcterms:W3CDTF">2015-03-27T18:02:00Z</dcterms:modified>
  <cp:category> </cp:category>
  <cp:contentStatus> </cp:contentStatus>
</cp:coreProperties>
</file>