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96" w:rsidRDefault="00366E18" w:rsidP="00127770">
      <w:pPr>
        <w:tabs>
          <w:tab w:val="center" w:pos="4680"/>
          <w:tab w:val="left" w:pos="5850"/>
          <w:tab w:val="right" w:pos="9360"/>
        </w:tabs>
      </w:pPr>
      <w:bookmarkStart w:id="0" w:name="_GoBack"/>
      <w:bookmarkEnd w:id="0"/>
      <w:r>
        <w:t>ALJ/</w:t>
      </w:r>
      <w:r w:rsidR="008B785B">
        <w:t>CEK</w:t>
      </w:r>
      <w:r>
        <w:t>/ms6</w:t>
      </w:r>
      <w:r w:rsidR="001D0F77">
        <w:t>/sbf/lil</w:t>
      </w:r>
      <w:r>
        <w:t xml:space="preserve"> </w:t>
      </w:r>
      <w:r>
        <w:tab/>
      </w:r>
      <w:r w:rsidR="009E2F3B">
        <w:tab/>
        <w:t xml:space="preserve">Date of Issuance </w:t>
      </w:r>
      <w:r w:rsidR="005A7639">
        <w:t>4/</w:t>
      </w:r>
      <w:r w:rsidR="00263EF0">
        <w:t>2</w:t>
      </w:r>
      <w:r w:rsidR="005A7639">
        <w:t>/2015</w:t>
      </w:r>
    </w:p>
    <w:p w:rsidR="009E2F3B" w:rsidRDefault="009E2F3B" w:rsidP="009E2F3B">
      <w:pPr>
        <w:tabs>
          <w:tab w:val="center" w:pos="4680"/>
          <w:tab w:val="right" w:pos="9360"/>
        </w:tabs>
      </w:pPr>
    </w:p>
    <w:p w:rsidR="00D051A3" w:rsidRPr="00186D6E" w:rsidRDefault="00D051A3" w:rsidP="00D051A3">
      <w:pPr>
        <w:tabs>
          <w:tab w:val="right" w:pos="9360"/>
        </w:tabs>
        <w:rPr>
          <w:sz w:val="24"/>
          <w:szCs w:val="24"/>
        </w:rPr>
      </w:pPr>
    </w:p>
    <w:p w:rsidR="00F57A96" w:rsidRPr="00186D6E" w:rsidRDefault="00F57A96">
      <w:pPr>
        <w:rPr>
          <w:sz w:val="24"/>
          <w:szCs w:val="24"/>
        </w:rPr>
      </w:pPr>
    </w:p>
    <w:p w:rsidR="00F57A96" w:rsidRPr="00186D6E" w:rsidRDefault="00F57A96">
      <w:pPr>
        <w:rPr>
          <w:rFonts w:ascii="Helvetica" w:hAnsi="Helvetica"/>
          <w:b/>
          <w:bCs/>
          <w:sz w:val="24"/>
          <w:szCs w:val="24"/>
        </w:rPr>
      </w:pPr>
      <w:r w:rsidRPr="00186D6E">
        <w:rPr>
          <w:rFonts w:ascii="Helvetica" w:hAnsi="Helvetica"/>
          <w:b/>
          <w:bCs/>
          <w:sz w:val="24"/>
          <w:szCs w:val="24"/>
        </w:rPr>
        <w:t>BEFORE THE PUBLIC UTILITIES COMMISSION OF THE STATE OF CALIFORNIA</w:t>
      </w:r>
    </w:p>
    <w:p w:rsidR="00F57A96" w:rsidRPr="00186D6E" w:rsidRDefault="00F57A96">
      <w:pPr>
        <w:suppressAutoHyphens/>
        <w:rPr>
          <w:sz w:val="24"/>
          <w:szCs w:val="24"/>
        </w:rPr>
      </w:pPr>
    </w:p>
    <w:tbl>
      <w:tblPr>
        <w:tblW w:w="0" w:type="auto"/>
        <w:tblLayout w:type="fixed"/>
        <w:tblLook w:val="0000" w:firstRow="0" w:lastRow="0" w:firstColumn="0" w:lastColumn="0" w:noHBand="0" w:noVBand="0"/>
      </w:tblPr>
      <w:tblGrid>
        <w:gridCol w:w="4968"/>
        <w:gridCol w:w="4590"/>
      </w:tblGrid>
      <w:tr w:rsidR="00F57A96" w:rsidRPr="00186D6E">
        <w:tc>
          <w:tcPr>
            <w:tcW w:w="4968" w:type="dxa"/>
            <w:tcBorders>
              <w:bottom w:val="single" w:sz="6" w:space="0" w:color="auto"/>
              <w:right w:val="single" w:sz="6" w:space="0" w:color="auto"/>
            </w:tcBorders>
          </w:tcPr>
          <w:p w:rsidR="00F57A96" w:rsidRDefault="00F57A96" w:rsidP="006D733E">
            <w:pPr>
              <w:ind w:right="-108"/>
              <w:rPr>
                <w:bCs/>
                <w:szCs w:val="26"/>
              </w:rPr>
            </w:pPr>
            <w:r w:rsidRPr="00484735">
              <w:rPr>
                <w:szCs w:val="26"/>
              </w:rPr>
              <w:t xml:space="preserve">Order Instituting Rulemaking </w:t>
            </w:r>
            <w:r w:rsidR="005E3651" w:rsidRPr="00484735">
              <w:rPr>
                <w:bCs/>
                <w:szCs w:val="26"/>
              </w:rPr>
              <w:t xml:space="preserve">to consider policy and implementation refinements to the Energy Storage Procurement Framework and Design Program </w:t>
            </w:r>
            <w:r w:rsidR="003C5C9E">
              <w:rPr>
                <w:bCs/>
                <w:szCs w:val="26"/>
              </w:rPr>
              <w:br/>
            </w:r>
            <w:r w:rsidR="005E3651" w:rsidRPr="00484735">
              <w:rPr>
                <w:bCs/>
                <w:szCs w:val="26"/>
              </w:rPr>
              <w:t>(D.13-10-040</w:t>
            </w:r>
            <w:r w:rsidR="00732DAE" w:rsidRPr="00484735">
              <w:rPr>
                <w:bCs/>
                <w:szCs w:val="26"/>
              </w:rPr>
              <w:t>, D.14-10-045</w:t>
            </w:r>
            <w:r w:rsidR="005E3651" w:rsidRPr="00484735">
              <w:rPr>
                <w:bCs/>
                <w:szCs w:val="26"/>
              </w:rPr>
              <w:t>) and related Action Plan of the California Energy Storage Roadmap</w:t>
            </w:r>
            <w:r w:rsidR="001D0F77">
              <w:rPr>
                <w:bCs/>
                <w:szCs w:val="26"/>
              </w:rPr>
              <w:t>.</w:t>
            </w:r>
          </w:p>
          <w:p w:rsidR="00057756" w:rsidRPr="00484735" w:rsidRDefault="00057756" w:rsidP="006D733E">
            <w:pPr>
              <w:ind w:right="-108"/>
              <w:rPr>
                <w:szCs w:val="26"/>
              </w:rPr>
            </w:pPr>
          </w:p>
        </w:tc>
        <w:tc>
          <w:tcPr>
            <w:tcW w:w="4590" w:type="dxa"/>
            <w:tcBorders>
              <w:left w:val="nil"/>
            </w:tcBorders>
          </w:tcPr>
          <w:p w:rsidR="00F57A96" w:rsidRDefault="00F57A96" w:rsidP="008B5BBC">
            <w:pPr>
              <w:jc w:val="center"/>
              <w:rPr>
                <w:sz w:val="24"/>
                <w:szCs w:val="24"/>
              </w:rPr>
            </w:pPr>
          </w:p>
          <w:p w:rsidR="00F232C1" w:rsidRPr="00F232C1" w:rsidRDefault="00F232C1" w:rsidP="00F232C1">
            <w:pPr>
              <w:jc w:val="center"/>
              <w:rPr>
                <w:szCs w:val="26"/>
              </w:rPr>
            </w:pPr>
            <w:r w:rsidRPr="00F232C1">
              <w:rPr>
                <w:szCs w:val="26"/>
              </w:rPr>
              <w:t>FILED</w:t>
            </w:r>
          </w:p>
          <w:p w:rsidR="00F232C1" w:rsidRPr="00F232C1" w:rsidRDefault="00F232C1" w:rsidP="00F232C1">
            <w:pPr>
              <w:jc w:val="center"/>
              <w:rPr>
                <w:szCs w:val="26"/>
              </w:rPr>
            </w:pPr>
            <w:r w:rsidRPr="00F232C1">
              <w:rPr>
                <w:szCs w:val="26"/>
              </w:rPr>
              <w:t>PUBLIC UTILITIES COMMISSION</w:t>
            </w:r>
          </w:p>
          <w:p w:rsidR="00F232C1" w:rsidRPr="00F232C1" w:rsidRDefault="00F232C1" w:rsidP="00F232C1">
            <w:pPr>
              <w:jc w:val="center"/>
              <w:rPr>
                <w:szCs w:val="26"/>
              </w:rPr>
            </w:pPr>
            <w:r>
              <w:rPr>
                <w:szCs w:val="26"/>
              </w:rPr>
              <w:t>MARCH 26, 2015</w:t>
            </w:r>
          </w:p>
          <w:p w:rsidR="00380F25" w:rsidRPr="00F232C1" w:rsidRDefault="00F232C1" w:rsidP="00F232C1">
            <w:pPr>
              <w:jc w:val="center"/>
              <w:rPr>
                <w:szCs w:val="26"/>
              </w:rPr>
            </w:pPr>
            <w:r w:rsidRPr="00F232C1">
              <w:rPr>
                <w:szCs w:val="26"/>
              </w:rPr>
              <w:t>SAN FRANCISCO, CALIFORNIA</w:t>
            </w:r>
          </w:p>
          <w:p w:rsidR="00380F25" w:rsidRPr="00186D6E" w:rsidRDefault="00380F25" w:rsidP="009E2F3B">
            <w:pPr>
              <w:jc w:val="center"/>
              <w:rPr>
                <w:sz w:val="24"/>
                <w:szCs w:val="24"/>
              </w:rPr>
            </w:pPr>
            <w:r>
              <w:rPr>
                <w:szCs w:val="26"/>
              </w:rPr>
              <w:t>R</w:t>
            </w:r>
            <w:r w:rsidR="009E2F3B">
              <w:rPr>
                <w:szCs w:val="26"/>
              </w:rPr>
              <w:t>ULEMAKING 15-03-011</w:t>
            </w:r>
          </w:p>
        </w:tc>
      </w:tr>
    </w:tbl>
    <w:p w:rsidR="00F57A96" w:rsidRPr="00186D6E" w:rsidRDefault="00F57A96">
      <w:pPr>
        <w:suppressAutoHyphens/>
        <w:rPr>
          <w:sz w:val="24"/>
          <w:szCs w:val="24"/>
        </w:rPr>
      </w:pPr>
    </w:p>
    <w:p w:rsidR="00F57A96" w:rsidRPr="00186D6E" w:rsidRDefault="00F57A96">
      <w:pPr>
        <w:rPr>
          <w:sz w:val="24"/>
          <w:szCs w:val="24"/>
        </w:rPr>
      </w:pPr>
    </w:p>
    <w:p w:rsidR="00073707" w:rsidRPr="00062BC4" w:rsidRDefault="00F57A96">
      <w:pPr>
        <w:pStyle w:val="main"/>
        <w:rPr>
          <w:szCs w:val="26"/>
        </w:rPr>
        <w:sectPr w:rsidR="00073707" w:rsidRPr="00062BC4">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docGrid w:linePitch="354"/>
        </w:sectPr>
      </w:pPr>
      <w:bookmarkStart w:id="1" w:name="_Toc414880637"/>
      <w:r w:rsidRPr="00062BC4">
        <w:rPr>
          <w:szCs w:val="26"/>
        </w:rPr>
        <w:t>ORDER INSTITUTING RULEMAKING</w:t>
      </w:r>
      <w:bookmarkEnd w:id="1"/>
    </w:p>
    <w:p w:rsidR="002835E2" w:rsidRDefault="002C2D9F">
      <w:pPr>
        <w:pStyle w:val="TOC1"/>
        <w:rPr>
          <w:rFonts w:asciiTheme="minorHAnsi" w:eastAsiaTheme="minorEastAsia" w:hAnsiTheme="minorHAnsi" w:cstheme="minorBidi"/>
          <w:sz w:val="22"/>
          <w:szCs w:val="22"/>
        </w:rPr>
      </w:pPr>
      <w:r>
        <w:rPr>
          <w:sz w:val="24"/>
          <w:szCs w:val="24"/>
        </w:rPr>
        <w:lastRenderedPageBreak/>
        <w:fldChar w:fldCharType="begin"/>
      </w:r>
      <w:r>
        <w:rPr>
          <w:sz w:val="24"/>
          <w:szCs w:val="24"/>
        </w:rPr>
        <w:instrText xml:space="preserve"> TOC \h \z \t "Heading 1,2,Heading 2,3,Heading 3,4,main,1,mainex,1,dummy,1,Style Heading 1 + Before:  0 pt After:  0 pt Line spacing:  1.5 l...,1" </w:instrText>
      </w:r>
      <w:r>
        <w:rPr>
          <w:sz w:val="24"/>
          <w:szCs w:val="24"/>
        </w:rPr>
        <w:fldChar w:fldCharType="separate"/>
      </w:r>
      <w:hyperlink w:anchor="_Toc414880637" w:history="1">
        <w:r w:rsidR="002835E2" w:rsidRPr="00DA20E1">
          <w:rPr>
            <w:rStyle w:val="Hyperlink"/>
          </w:rPr>
          <w:t>ORDER INSTITUTING RULEMAKING</w:t>
        </w:r>
        <w:r w:rsidR="002835E2">
          <w:rPr>
            <w:webHidden/>
          </w:rPr>
          <w:tab/>
        </w:r>
        <w:r w:rsidR="002835E2">
          <w:rPr>
            <w:webHidden/>
          </w:rPr>
          <w:fldChar w:fldCharType="begin"/>
        </w:r>
        <w:r w:rsidR="002835E2">
          <w:rPr>
            <w:webHidden/>
          </w:rPr>
          <w:instrText xml:space="preserve"> PAGEREF _Toc414880637 \h </w:instrText>
        </w:r>
        <w:r w:rsidR="002835E2">
          <w:rPr>
            <w:webHidden/>
          </w:rPr>
        </w:r>
        <w:r w:rsidR="002835E2">
          <w:rPr>
            <w:webHidden/>
          </w:rPr>
          <w:fldChar w:fldCharType="separate"/>
        </w:r>
        <w:r w:rsidR="00D954FD">
          <w:rPr>
            <w:webHidden/>
          </w:rPr>
          <w:t>1</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39" w:history="1">
        <w:r w:rsidR="002835E2" w:rsidRPr="00DA20E1">
          <w:rPr>
            <w:rStyle w:val="Hyperlink"/>
          </w:rPr>
          <w:t>Summary</w:t>
        </w:r>
        <w:r w:rsidR="002835E2">
          <w:rPr>
            <w:webHidden/>
          </w:rPr>
          <w:tab/>
        </w:r>
        <w:r w:rsidR="002835E2">
          <w:rPr>
            <w:webHidden/>
          </w:rPr>
          <w:fldChar w:fldCharType="begin"/>
        </w:r>
        <w:r w:rsidR="002835E2">
          <w:rPr>
            <w:webHidden/>
          </w:rPr>
          <w:instrText xml:space="preserve"> PAGEREF _Toc414880639 \h </w:instrText>
        </w:r>
        <w:r w:rsidR="002835E2">
          <w:rPr>
            <w:webHidden/>
          </w:rPr>
        </w:r>
        <w:r w:rsidR="002835E2">
          <w:rPr>
            <w:webHidden/>
          </w:rPr>
          <w:fldChar w:fldCharType="separate"/>
        </w:r>
        <w:r>
          <w:rPr>
            <w:webHidden/>
          </w:rPr>
          <w:t>2</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40" w:history="1">
        <w:r w:rsidR="002835E2" w:rsidRPr="00DA20E1">
          <w:rPr>
            <w:rStyle w:val="Hyperlink"/>
            <w14:scene3d>
              <w14:camera w14:prst="orthographicFront"/>
              <w14:lightRig w14:rig="threePt" w14:dir="t">
                <w14:rot w14:lat="0" w14:lon="0" w14:rev="0"/>
              </w14:lightRig>
            </w14:scene3d>
          </w:rPr>
          <w:t>1.</w:t>
        </w:r>
        <w:r w:rsidR="002835E2">
          <w:rPr>
            <w:rFonts w:asciiTheme="minorHAnsi" w:eastAsiaTheme="minorEastAsia" w:hAnsiTheme="minorHAnsi" w:cstheme="minorBidi"/>
            <w:sz w:val="22"/>
            <w:szCs w:val="22"/>
          </w:rPr>
          <w:tab/>
        </w:r>
        <w:r w:rsidR="002835E2" w:rsidRPr="00DA20E1">
          <w:rPr>
            <w:rStyle w:val="Hyperlink"/>
          </w:rPr>
          <w:t>Guiding Principles</w:t>
        </w:r>
        <w:r w:rsidR="002835E2">
          <w:rPr>
            <w:webHidden/>
          </w:rPr>
          <w:tab/>
        </w:r>
        <w:r w:rsidR="002835E2">
          <w:rPr>
            <w:webHidden/>
          </w:rPr>
          <w:fldChar w:fldCharType="begin"/>
        </w:r>
        <w:r w:rsidR="002835E2">
          <w:rPr>
            <w:webHidden/>
          </w:rPr>
          <w:instrText xml:space="preserve"> PAGEREF _Toc414880640 \h </w:instrText>
        </w:r>
        <w:r w:rsidR="002835E2">
          <w:rPr>
            <w:webHidden/>
          </w:rPr>
        </w:r>
        <w:r w:rsidR="002835E2">
          <w:rPr>
            <w:webHidden/>
          </w:rPr>
          <w:fldChar w:fldCharType="separate"/>
        </w:r>
        <w:r>
          <w:rPr>
            <w:webHidden/>
          </w:rPr>
          <w:t>2</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41" w:history="1">
        <w:r w:rsidR="002835E2" w:rsidRPr="00DA20E1">
          <w:rPr>
            <w:rStyle w:val="Hyperlink"/>
            <w14:scene3d>
              <w14:camera w14:prst="orthographicFront"/>
              <w14:lightRig w14:rig="threePt" w14:dir="t">
                <w14:rot w14:lat="0" w14:lon="0" w14:rev="0"/>
              </w14:lightRig>
            </w14:scene3d>
          </w:rPr>
          <w:t>2.</w:t>
        </w:r>
        <w:r w:rsidR="002835E2">
          <w:rPr>
            <w:rFonts w:asciiTheme="minorHAnsi" w:eastAsiaTheme="minorEastAsia" w:hAnsiTheme="minorHAnsi" w:cstheme="minorBidi"/>
            <w:sz w:val="22"/>
            <w:szCs w:val="22"/>
          </w:rPr>
          <w:tab/>
        </w:r>
        <w:r w:rsidR="002835E2" w:rsidRPr="00DA20E1">
          <w:rPr>
            <w:rStyle w:val="Hyperlink"/>
          </w:rPr>
          <w:t>Background</w:t>
        </w:r>
        <w:r w:rsidR="002835E2">
          <w:rPr>
            <w:webHidden/>
          </w:rPr>
          <w:tab/>
        </w:r>
        <w:r w:rsidR="002835E2">
          <w:rPr>
            <w:webHidden/>
          </w:rPr>
          <w:fldChar w:fldCharType="begin"/>
        </w:r>
        <w:r w:rsidR="002835E2">
          <w:rPr>
            <w:webHidden/>
          </w:rPr>
          <w:instrText xml:space="preserve"> PAGEREF _Toc414880641 \h </w:instrText>
        </w:r>
        <w:r w:rsidR="002835E2">
          <w:rPr>
            <w:webHidden/>
          </w:rPr>
        </w:r>
        <w:r w:rsidR="002835E2">
          <w:rPr>
            <w:webHidden/>
          </w:rPr>
          <w:fldChar w:fldCharType="separate"/>
        </w:r>
        <w:r>
          <w:rPr>
            <w:webHidden/>
          </w:rPr>
          <w:t>3</w:t>
        </w:r>
        <w:r w:rsidR="002835E2">
          <w:rPr>
            <w:webHidden/>
          </w:rPr>
          <w:fldChar w:fldCharType="end"/>
        </w:r>
      </w:hyperlink>
    </w:p>
    <w:p w:rsidR="002835E2" w:rsidRDefault="00D954FD">
      <w:pPr>
        <w:pStyle w:val="TOC3"/>
        <w:rPr>
          <w:rFonts w:asciiTheme="minorHAnsi" w:eastAsiaTheme="minorEastAsia" w:hAnsiTheme="minorHAnsi" w:cstheme="minorBidi"/>
          <w:sz w:val="22"/>
          <w:szCs w:val="22"/>
        </w:rPr>
      </w:pPr>
      <w:hyperlink w:anchor="_Toc414880642" w:history="1">
        <w:r w:rsidR="002835E2" w:rsidRPr="00DA20E1">
          <w:rPr>
            <w:rStyle w:val="Hyperlink"/>
          </w:rPr>
          <w:t>2.1.</w:t>
        </w:r>
        <w:r w:rsidR="002835E2">
          <w:rPr>
            <w:rFonts w:asciiTheme="minorHAnsi" w:eastAsiaTheme="minorEastAsia" w:hAnsiTheme="minorHAnsi" w:cstheme="minorBidi"/>
            <w:sz w:val="22"/>
            <w:szCs w:val="22"/>
          </w:rPr>
          <w:tab/>
        </w:r>
        <w:r w:rsidR="002835E2" w:rsidRPr="00DA20E1">
          <w:rPr>
            <w:rStyle w:val="Hyperlink"/>
          </w:rPr>
          <w:t>D.12-08-016:  Framework for Analyzing Energy Storage Needs</w:t>
        </w:r>
        <w:r w:rsidR="002835E2">
          <w:rPr>
            <w:webHidden/>
          </w:rPr>
          <w:tab/>
        </w:r>
        <w:r w:rsidR="002835E2">
          <w:rPr>
            <w:webHidden/>
          </w:rPr>
          <w:fldChar w:fldCharType="begin"/>
        </w:r>
        <w:r w:rsidR="002835E2">
          <w:rPr>
            <w:webHidden/>
          </w:rPr>
          <w:instrText xml:space="preserve"> PAGEREF _Toc414880642 \h </w:instrText>
        </w:r>
        <w:r w:rsidR="002835E2">
          <w:rPr>
            <w:webHidden/>
          </w:rPr>
        </w:r>
        <w:r w:rsidR="002835E2">
          <w:rPr>
            <w:webHidden/>
          </w:rPr>
          <w:fldChar w:fldCharType="separate"/>
        </w:r>
        <w:r>
          <w:rPr>
            <w:webHidden/>
          </w:rPr>
          <w:t>3</w:t>
        </w:r>
        <w:r w:rsidR="002835E2">
          <w:rPr>
            <w:webHidden/>
          </w:rPr>
          <w:fldChar w:fldCharType="end"/>
        </w:r>
      </w:hyperlink>
    </w:p>
    <w:p w:rsidR="002835E2" w:rsidRDefault="00D954FD">
      <w:pPr>
        <w:pStyle w:val="TOC3"/>
        <w:rPr>
          <w:rFonts w:asciiTheme="minorHAnsi" w:eastAsiaTheme="minorEastAsia" w:hAnsiTheme="minorHAnsi" w:cstheme="minorBidi"/>
          <w:sz w:val="22"/>
          <w:szCs w:val="22"/>
        </w:rPr>
      </w:pPr>
      <w:hyperlink w:anchor="_Toc414880643" w:history="1">
        <w:r w:rsidR="002835E2" w:rsidRPr="00DA20E1">
          <w:rPr>
            <w:rStyle w:val="Hyperlink"/>
          </w:rPr>
          <w:t>2.2.</w:t>
        </w:r>
        <w:r w:rsidR="002835E2">
          <w:rPr>
            <w:rFonts w:asciiTheme="minorHAnsi" w:eastAsiaTheme="minorEastAsia" w:hAnsiTheme="minorHAnsi" w:cstheme="minorBidi"/>
            <w:sz w:val="22"/>
            <w:szCs w:val="22"/>
          </w:rPr>
          <w:tab/>
        </w:r>
        <w:r w:rsidR="002835E2" w:rsidRPr="00DA20E1">
          <w:rPr>
            <w:rStyle w:val="Hyperlink"/>
          </w:rPr>
          <w:t xml:space="preserve">D.13-10-040:  (Energy Storage Procurement Framework </w:t>
        </w:r>
        <w:r w:rsidR="00272F29">
          <w:rPr>
            <w:rStyle w:val="Hyperlink"/>
          </w:rPr>
          <w:br/>
        </w:r>
        <w:r w:rsidR="002835E2" w:rsidRPr="00DA20E1">
          <w:rPr>
            <w:rStyle w:val="Hyperlink"/>
          </w:rPr>
          <w:t>and Design Program)</w:t>
        </w:r>
        <w:r w:rsidR="002835E2">
          <w:rPr>
            <w:webHidden/>
          </w:rPr>
          <w:tab/>
        </w:r>
        <w:r w:rsidR="002835E2">
          <w:rPr>
            <w:webHidden/>
          </w:rPr>
          <w:fldChar w:fldCharType="begin"/>
        </w:r>
        <w:r w:rsidR="002835E2">
          <w:rPr>
            <w:webHidden/>
          </w:rPr>
          <w:instrText xml:space="preserve"> PAGEREF _Toc414880643 \h </w:instrText>
        </w:r>
        <w:r w:rsidR="002835E2">
          <w:rPr>
            <w:webHidden/>
          </w:rPr>
        </w:r>
        <w:r w:rsidR="002835E2">
          <w:rPr>
            <w:webHidden/>
          </w:rPr>
          <w:fldChar w:fldCharType="separate"/>
        </w:r>
        <w:r>
          <w:rPr>
            <w:webHidden/>
          </w:rPr>
          <w:t>4</w:t>
        </w:r>
        <w:r w:rsidR="002835E2">
          <w:rPr>
            <w:webHidden/>
          </w:rPr>
          <w:fldChar w:fldCharType="end"/>
        </w:r>
      </w:hyperlink>
    </w:p>
    <w:p w:rsidR="002835E2" w:rsidRDefault="00D954FD">
      <w:pPr>
        <w:pStyle w:val="TOC3"/>
        <w:rPr>
          <w:rFonts w:asciiTheme="minorHAnsi" w:eastAsiaTheme="minorEastAsia" w:hAnsiTheme="minorHAnsi" w:cstheme="minorBidi"/>
          <w:sz w:val="22"/>
          <w:szCs w:val="22"/>
        </w:rPr>
      </w:pPr>
      <w:hyperlink w:anchor="_Toc414880644" w:history="1">
        <w:r w:rsidR="002835E2" w:rsidRPr="00DA20E1">
          <w:rPr>
            <w:rStyle w:val="Hyperlink"/>
          </w:rPr>
          <w:t>2.3.</w:t>
        </w:r>
        <w:r w:rsidR="002835E2">
          <w:rPr>
            <w:rFonts w:asciiTheme="minorHAnsi" w:eastAsiaTheme="minorEastAsia" w:hAnsiTheme="minorHAnsi" w:cstheme="minorBidi"/>
            <w:sz w:val="22"/>
            <w:szCs w:val="22"/>
          </w:rPr>
          <w:tab/>
        </w:r>
        <w:r w:rsidR="002835E2" w:rsidRPr="00DA20E1">
          <w:rPr>
            <w:rStyle w:val="Hyperlink"/>
          </w:rPr>
          <w:t>D.14-10-045 (2014-2016 Energy Storage Compliance Decision)</w:t>
        </w:r>
        <w:r w:rsidR="002835E2">
          <w:rPr>
            <w:webHidden/>
          </w:rPr>
          <w:tab/>
        </w:r>
        <w:r w:rsidR="002835E2">
          <w:rPr>
            <w:webHidden/>
          </w:rPr>
          <w:fldChar w:fldCharType="begin"/>
        </w:r>
        <w:r w:rsidR="002835E2">
          <w:rPr>
            <w:webHidden/>
          </w:rPr>
          <w:instrText xml:space="preserve"> PAGEREF _Toc414880644 \h </w:instrText>
        </w:r>
        <w:r w:rsidR="002835E2">
          <w:rPr>
            <w:webHidden/>
          </w:rPr>
        </w:r>
        <w:r w:rsidR="002835E2">
          <w:rPr>
            <w:webHidden/>
          </w:rPr>
          <w:fldChar w:fldCharType="separate"/>
        </w:r>
        <w:r>
          <w:rPr>
            <w:webHidden/>
          </w:rPr>
          <w:t>5</w:t>
        </w:r>
        <w:r w:rsidR="002835E2">
          <w:rPr>
            <w:webHidden/>
          </w:rPr>
          <w:fldChar w:fldCharType="end"/>
        </w:r>
      </w:hyperlink>
    </w:p>
    <w:p w:rsidR="002835E2" w:rsidRDefault="00D954FD">
      <w:pPr>
        <w:pStyle w:val="TOC3"/>
        <w:rPr>
          <w:rFonts w:asciiTheme="minorHAnsi" w:eastAsiaTheme="minorEastAsia" w:hAnsiTheme="minorHAnsi" w:cstheme="minorBidi"/>
          <w:sz w:val="22"/>
          <w:szCs w:val="22"/>
        </w:rPr>
      </w:pPr>
      <w:hyperlink w:anchor="_Toc414880645" w:history="1">
        <w:r w:rsidR="002835E2" w:rsidRPr="00DA20E1">
          <w:rPr>
            <w:rStyle w:val="Hyperlink"/>
          </w:rPr>
          <w:t>2.4.</w:t>
        </w:r>
        <w:r w:rsidR="002835E2">
          <w:rPr>
            <w:rFonts w:asciiTheme="minorHAnsi" w:eastAsiaTheme="minorEastAsia" w:hAnsiTheme="minorHAnsi" w:cstheme="minorBidi"/>
            <w:sz w:val="22"/>
            <w:szCs w:val="22"/>
          </w:rPr>
          <w:tab/>
        </w:r>
        <w:r w:rsidR="002835E2" w:rsidRPr="00DA20E1">
          <w:rPr>
            <w:rStyle w:val="Hyperlink"/>
          </w:rPr>
          <w:t>California Energy Storage Roadmap</w:t>
        </w:r>
        <w:r w:rsidR="002835E2">
          <w:rPr>
            <w:webHidden/>
          </w:rPr>
          <w:tab/>
        </w:r>
        <w:r w:rsidR="002835E2">
          <w:rPr>
            <w:webHidden/>
          </w:rPr>
          <w:fldChar w:fldCharType="begin"/>
        </w:r>
        <w:r w:rsidR="002835E2">
          <w:rPr>
            <w:webHidden/>
          </w:rPr>
          <w:instrText xml:space="preserve"> PAGEREF _Toc414880645 \h </w:instrText>
        </w:r>
        <w:r w:rsidR="002835E2">
          <w:rPr>
            <w:webHidden/>
          </w:rPr>
        </w:r>
        <w:r w:rsidR="002835E2">
          <w:rPr>
            <w:webHidden/>
          </w:rPr>
          <w:fldChar w:fldCharType="separate"/>
        </w:r>
        <w:r>
          <w:rPr>
            <w:webHidden/>
          </w:rPr>
          <w:t>7</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46" w:history="1">
        <w:r w:rsidR="002835E2" w:rsidRPr="00DA20E1">
          <w:rPr>
            <w:rStyle w:val="Hyperlink"/>
            <w14:scene3d>
              <w14:camera w14:prst="orthographicFront"/>
              <w14:lightRig w14:rig="threePt" w14:dir="t">
                <w14:rot w14:lat="0" w14:lon="0" w14:rev="0"/>
              </w14:lightRig>
            </w14:scene3d>
          </w:rPr>
          <w:t>3.</w:t>
        </w:r>
        <w:r w:rsidR="002835E2">
          <w:rPr>
            <w:rFonts w:asciiTheme="minorHAnsi" w:eastAsiaTheme="minorEastAsia" w:hAnsiTheme="minorHAnsi" w:cstheme="minorBidi"/>
            <w:sz w:val="22"/>
            <w:szCs w:val="22"/>
          </w:rPr>
          <w:tab/>
        </w:r>
        <w:r w:rsidR="002835E2" w:rsidRPr="00DA20E1">
          <w:rPr>
            <w:rStyle w:val="Hyperlink"/>
          </w:rPr>
          <w:t>Preliminary Scope of This Proceeding</w:t>
        </w:r>
        <w:r w:rsidR="002835E2">
          <w:rPr>
            <w:webHidden/>
          </w:rPr>
          <w:tab/>
        </w:r>
        <w:r w:rsidR="002835E2">
          <w:rPr>
            <w:webHidden/>
          </w:rPr>
          <w:fldChar w:fldCharType="begin"/>
        </w:r>
        <w:r w:rsidR="002835E2">
          <w:rPr>
            <w:webHidden/>
          </w:rPr>
          <w:instrText xml:space="preserve"> PAGEREF _Toc414880646 \h </w:instrText>
        </w:r>
        <w:r w:rsidR="002835E2">
          <w:rPr>
            <w:webHidden/>
          </w:rPr>
        </w:r>
        <w:r w:rsidR="002835E2">
          <w:rPr>
            <w:webHidden/>
          </w:rPr>
          <w:fldChar w:fldCharType="separate"/>
        </w:r>
        <w:r>
          <w:rPr>
            <w:webHidden/>
          </w:rPr>
          <w:t>9</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47" w:history="1">
        <w:r w:rsidR="002835E2" w:rsidRPr="00DA20E1">
          <w:rPr>
            <w:rStyle w:val="Hyperlink"/>
            <w14:scene3d>
              <w14:camera w14:prst="orthographicFront"/>
              <w14:lightRig w14:rig="threePt" w14:dir="t">
                <w14:rot w14:lat="0" w14:lon="0" w14:rev="0"/>
              </w14:lightRig>
            </w14:scene3d>
          </w:rPr>
          <w:t>4.</w:t>
        </w:r>
        <w:r w:rsidR="002835E2">
          <w:rPr>
            <w:rFonts w:asciiTheme="minorHAnsi" w:eastAsiaTheme="minorEastAsia" w:hAnsiTheme="minorHAnsi" w:cstheme="minorBidi"/>
            <w:sz w:val="22"/>
            <w:szCs w:val="22"/>
          </w:rPr>
          <w:tab/>
        </w:r>
        <w:r w:rsidR="002835E2" w:rsidRPr="00DA20E1">
          <w:rPr>
            <w:rStyle w:val="Hyperlink"/>
          </w:rPr>
          <w:t>Preliminary Schedule</w:t>
        </w:r>
        <w:r w:rsidR="002835E2">
          <w:rPr>
            <w:webHidden/>
          </w:rPr>
          <w:tab/>
        </w:r>
        <w:r w:rsidR="002835E2">
          <w:rPr>
            <w:webHidden/>
          </w:rPr>
          <w:fldChar w:fldCharType="begin"/>
        </w:r>
        <w:r w:rsidR="002835E2">
          <w:rPr>
            <w:webHidden/>
          </w:rPr>
          <w:instrText xml:space="preserve"> PAGEREF _Toc414880647 \h </w:instrText>
        </w:r>
        <w:r w:rsidR="002835E2">
          <w:rPr>
            <w:webHidden/>
          </w:rPr>
        </w:r>
        <w:r w:rsidR="002835E2">
          <w:rPr>
            <w:webHidden/>
          </w:rPr>
          <w:fldChar w:fldCharType="separate"/>
        </w:r>
        <w:r>
          <w:rPr>
            <w:webHidden/>
          </w:rPr>
          <w:t>16</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48" w:history="1">
        <w:r w:rsidR="002835E2" w:rsidRPr="00DA20E1">
          <w:rPr>
            <w:rStyle w:val="Hyperlink"/>
            <w14:scene3d>
              <w14:camera w14:prst="orthographicFront"/>
              <w14:lightRig w14:rig="threePt" w14:dir="t">
                <w14:rot w14:lat="0" w14:lon="0" w14:rev="0"/>
              </w14:lightRig>
            </w14:scene3d>
          </w:rPr>
          <w:t>5.</w:t>
        </w:r>
        <w:r w:rsidR="002835E2">
          <w:rPr>
            <w:rFonts w:asciiTheme="minorHAnsi" w:eastAsiaTheme="minorEastAsia" w:hAnsiTheme="minorHAnsi" w:cstheme="minorBidi"/>
            <w:sz w:val="22"/>
            <w:szCs w:val="22"/>
          </w:rPr>
          <w:tab/>
        </w:r>
        <w:r w:rsidR="002835E2" w:rsidRPr="00DA20E1">
          <w:rPr>
            <w:rStyle w:val="Hyperlink"/>
          </w:rPr>
          <w:t>Proceeding Category and Need for Hearing</w:t>
        </w:r>
        <w:r w:rsidR="002835E2">
          <w:rPr>
            <w:webHidden/>
          </w:rPr>
          <w:tab/>
        </w:r>
        <w:r w:rsidR="002835E2">
          <w:rPr>
            <w:webHidden/>
          </w:rPr>
          <w:fldChar w:fldCharType="begin"/>
        </w:r>
        <w:r w:rsidR="002835E2">
          <w:rPr>
            <w:webHidden/>
          </w:rPr>
          <w:instrText xml:space="preserve"> PAGEREF _Toc414880648 \h </w:instrText>
        </w:r>
        <w:r w:rsidR="002835E2">
          <w:rPr>
            <w:webHidden/>
          </w:rPr>
        </w:r>
        <w:r w:rsidR="002835E2">
          <w:rPr>
            <w:webHidden/>
          </w:rPr>
          <w:fldChar w:fldCharType="separate"/>
        </w:r>
        <w:r>
          <w:rPr>
            <w:webHidden/>
          </w:rPr>
          <w:t>17</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49" w:history="1">
        <w:r w:rsidR="002835E2" w:rsidRPr="00DA20E1">
          <w:rPr>
            <w:rStyle w:val="Hyperlink"/>
            <w14:scene3d>
              <w14:camera w14:prst="orthographicFront"/>
              <w14:lightRig w14:rig="threePt" w14:dir="t">
                <w14:rot w14:lat="0" w14:lon="0" w14:rev="0"/>
              </w14:lightRig>
            </w14:scene3d>
          </w:rPr>
          <w:t>6.</w:t>
        </w:r>
        <w:r w:rsidR="002835E2">
          <w:rPr>
            <w:rFonts w:asciiTheme="minorHAnsi" w:eastAsiaTheme="minorEastAsia" w:hAnsiTheme="minorHAnsi" w:cstheme="minorBidi"/>
            <w:sz w:val="22"/>
            <w:szCs w:val="22"/>
          </w:rPr>
          <w:tab/>
        </w:r>
        <w:r w:rsidR="002835E2" w:rsidRPr="00DA20E1">
          <w:rPr>
            <w:rStyle w:val="Hyperlink"/>
          </w:rPr>
          <w:t>Becoming a Party; Joining and Using the Service List</w:t>
        </w:r>
        <w:r w:rsidR="002835E2">
          <w:rPr>
            <w:webHidden/>
          </w:rPr>
          <w:tab/>
        </w:r>
        <w:r w:rsidR="002835E2">
          <w:rPr>
            <w:webHidden/>
          </w:rPr>
          <w:fldChar w:fldCharType="begin"/>
        </w:r>
        <w:r w:rsidR="002835E2">
          <w:rPr>
            <w:webHidden/>
          </w:rPr>
          <w:instrText xml:space="preserve"> PAGEREF _Toc414880649 \h </w:instrText>
        </w:r>
        <w:r w:rsidR="002835E2">
          <w:rPr>
            <w:webHidden/>
          </w:rPr>
        </w:r>
        <w:r w:rsidR="002835E2">
          <w:rPr>
            <w:webHidden/>
          </w:rPr>
          <w:fldChar w:fldCharType="separate"/>
        </w:r>
        <w:r>
          <w:rPr>
            <w:webHidden/>
          </w:rPr>
          <w:t>17</w:t>
        </w:r>
        <w:r w:rsidR="002835E2">
          <w:rPr>
            <w:webHidden/>
          </w:rPr>
          <w:fldChar w:fldCharType="end"/>
        </w:r>
      </w:hyperlink>
    </w:p>
    <w:p w:rsidR="002835E2" w:rsidRDefault="00D954FD">
      <w:pPr>
        <w:pStyle w:val="TOC3"/>
        <w:rPr>
          <w:rFonts w:asciiTheme="minorHAnsi" w:eastAsiaTheme="minorEastAsia" w:hAnsiTheme="minorHAnsi" w:cstheme="minorBidi"/>
          <w:sz w:val="22"/>
          <w:szCs w:val="22"/>
        </w:rPr>
      </w:pPr>
      <w:hyperlink w:anchor="_Toc414880650" w:history="1">
        <w:r w:rsidR="002835E2" w:rsidRPr="00DA20E1">
          <w:rPr>
            <w:rStyle w:val="Hyperlink"/>
          </w:rPr>
          <w:t>6.1.</w:t>
        </w:r>
        <w:r w:rsidR="002835E2">
          <w:rPr>
            <w:rFonts w:asciiTheme="minorHAnsi" w:eastAsiaTheme="minorEastAsia" w:hAnsiTheme="minorHAnsi" w:cstheme="minorBidi"/>
            <w:sz w:val="22"/>
            <w:szCs w:val="22"/>
          </w:rPr>
          <w:tab/>
        </w:r>
        <w:r w:rsidR="002835E2" w:rsidRPr="00DA20E1">
          <w:rPr>
            <w:rStyle w:val="Hyperlink"/>
          </w:rPr>
          <w:t>During the First 30 days</w:t>
        </w:r>
        <w:r w:rsidR="002835E2">
          <w:rPr>
            <w:webHidden/>
          </w:rPr>
          <w:tab/>
        </w:r>
        <w:r w:rsidR="002835E2">
          <w:rPr>
            <w:webHidden/>
          </w:rPr>
          <w:fldChar w:fldCharType="begin"/>
        </w:r>
        <w:r w:rsidR="002835E2">
          <w:rPr>
            <w:webHidden/>
          </w:rPr>
          <w:instrText xml:space="preserve"> PAGEREF _Toc414880650 \h </w:instrText>
        </w:r>
        <w:r w:rsidR="002835E2">
          <w:rPr>
            <w:webHidden/>
          </w:rPr>
        </w:r>
        <w:r w:rsidR="002835E2">
          <w:rPr>
            <w:webHidden/>
          </w:rPr>
          <w:fldChar w:fldCharType="separate"/>
        </w:r>
        <w:r>
          <w:rPr>
            <w:webHidden/>
          </w:rPr>
          <w:t>18</w:t>
        </w:r>
        <w:r w:rsidR="002835E2">
          <w:rPr>
            <w:webHidden/>
          </w:rPr>
          <w:fldChar w:fldCharType="end"/>
        </w:r>
      </w:hyperlink>
    </w:p>
    <w:p w:rsidR="002835E2" w:rsidRDefault="00D954FD">
      <w:pPr>
        <w:pStyle w:val="TOC3"/>
        <w:rPr>
          <w:rFonts w:asciiTheme="minorHAnsi" w:eastAsiaTheme="minorEastAsia" w:hAnsiTheme="minorHAnsi" w:cstheme="minorBidi"/>
          <w:sz w:val="22"/>
          <w:szCs w:val="22"/>
        </w:rPr>
      </w:pPr>
      <w:hyperlink w:anchor="_Toc414880651" w:history="1">
        <w:r w:rsidR="002835E2" w:rsidRPr="00DA20E1">
          <w:rPr>
            <w:rStyle w:val="Hyperlink"/>
          </w:rPr>
          <w:t>6.2.</w:t>
        </w:r>
        <w:r w:rsidR="002835E2">
          <w:rPr>
            <w:rFonts w:asciiTheme="minorHAnsi" w:eastAsiaTheme="minorEastAsia" w:hAnsiTheme="minorHAnsi" w:cstheme="minorBidi"/>
            <w:sz w:val="22"/>
            <w:szCs w:val="22"/>
          </w:rPr>
          <w:tab/>
        </w:r>
        <w:r w:rsidR="002835E2" w:rsidRPr="00DA20E1">
          <w:rPr>
            <w:rStyle w:val="Hyperlink"/>
          </w:rPr>
          <w:t>After the First 30 Days</w:t>
        </w:r>
        <w:r w:rsidR="002835E2">
          <w:rPr>
            <w:webHidden/>
          </w:rPr>
          <w:tab/>
        </w:r>
        <w:r w:rsidR="002835E2">
          <w:rPr>
            <w:webHidden/>
          </w:rPr>
          <w:fldChar w:fldCharType="begin"/>
        </w:r>
        <w:r w:rsidR="002835E2">
          <w:rPr>
            <w:webHidden/>
          </w:rPr>
          <w:instrText xml:space="preserve"> PAGEREF _Toc414880651 \h </w:instrText>
        </w:r>
        <w:r w:rsidR="002835E2">
          <w:rPr>
            <w:webHidden/>
          </w:rPr>
        </w:r>
        <w:r w:rsidR="002835E2">
          <w:rPr>
            <w:webHidden/>
          </w:rPr>
          <w:fldChar w:fldCharType="separate"/>
        </w:r>
        <w:r>
          <w:rPr>
            <w:webHidden/>
          </w:rPr>
          <w:t>19</w:t>
        </w:r>
        <w:r w:rsidR="002835E2">
          <w:rPr>
            <w:webHidden/>
          </w:rPr>
          <w:fldChar w:fldCharType="end"/>
        </w:r>
      </w:hyperlink>
    </w:p>
    <w:p w:rsidR="002835E2" w:rsidRDefault="00D954FD">
      <w:pPr>
        <w:pStyle w:val="TOC3"/>
        <w:rPr>
          <w:rFonts w:asciiTheme="minorHAnsi" w:eastAsiaTheme="minorEastAsia" w:hAnsiTheme="minorHAnsi" w:cstheme="minorBidi"/>
          <w:sz w:val="22"/>
          <w:szCs w:val="22"/>
        </w:rPr>
      </w:pPr>
      <w:hyperlink w:anchor="_Toc414880652" w:history="1">
        <w:r w:rsidR="002835E2" w:rsidRPr="00DA20E1">
          <w:rPr>
            <w:rStyle w:val="Hyperlink"/>
          </w:rPr>
          <w:t>6.3.</w:t>
        </w:r>
        <w:r w:rsidR="002835E2">
          <w:rPr>
            <w:rFonts w:asciiTheme="minorHAnsi" w:eastAsiaTheme="minorEastAsia" w:hAnsiTheme="minorHAnsi" w:cstheme="minorBidi"/>
            <w:sz w:val="22"/>
            <w:szCs w:val="22"/>
          </w:rPr>
          <w:tab/>
        </w:r>
        <w:r w:rsidR="002835E2" w:rsidRPr="00DA20E1">
          <w:rPr>
            <w:rStyle w:val="Hyperlink"/>
          </w:rPr>
          <w:t>Updating Information</w:t>
        </w:r>
        <w:r w:rsidR="002835E2">
          <w:rPr>
            <w:webHidden/>
          </w:rPr>
          <w:tab/>
        </w:r>
        <w:r w:rsidR="002835E2">
          <w:rPr>
            <w:webHidden/>
          </w:rPr>
          <w:fldChar w:fldCharType="begin"/>
        </w:r>
        <w:r w:rsidR="002835E2">
          <w:rPr>
            <w:webHidden/>
          </w:rPr>
          <w:instrText xml:space="preserve"> PAGEREF _Toc414880652 \h </w:instrText>
        </w:r>
        <w:r w:rsidR="002835E2">
          <w:rPr>
            <w:webHidden/>
          </w:rPr>
        </w:r>
        <w:r w:rsidR="002835E2">
          <w:rPr>
            <w:webHidden/>
          </w:rPr>
          <w:fldChar w:fldCharType="separate"/>
        </w:r>
        <w:r>
          <w:rPr>
            <w:webHidden/>
          </w:rPr>
          <w:t>19</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53" w:history="1">
        <w:r w:rsidR="002835E2" w:rsidRPr="00DA20E1">
          <w:rPr>
            <w:rStyle w:val="Hyperlink"/>
            <w14:scene3d>
              <w14:camera w14:prst="orthographicFront"/>
              <w14:lightRig w14:rig="threePt" w14:dir="t">
                <w14:rot w14:lat="0" w14:lon="0" w14:rev="0"/>
              </w14:lightRig>
            </w14:scene3d>
          </w:rPr>
          <w:t>7.</w:t>
        </w:r>
        <w:r w:rsidR="002835E2">
          <w:rPr>
            <w:rFonts w:asciiTheme="minorHAnsi" w:eastAsiaTheme="minorEastAsia" w:hAnsiTheme="minorHAnsi" w:cstheme="minorBidi"/>
            <w:sz w:val="22"/>
            <w:szCs w:val="22"/>
          </w:rPr>
          <w:tab/>
        </w:r>
        <w:r w:rsidR="002835E2" w:rsidRPr="00DA20E1">
          <w:rPr>
            <w:rStyle w:val="Hyperlink"/>
          </w:rPr>
          <w:t>Service List</w:t>
        </w:r>
        <w:r w:rsidR="002835E2">
          <w:rPr>
            <w:webHidden/>
          </w:rPr>
          <w:tab/>
        </w:r>
        <w:r w:rsidR="002835E2">
          <w:rPr>
            <w:webHidden/>
          </w:rPr>
          <w:fldChar w:fldCharType="begin"/>
        </w:r>
        <w:r w:rsidR="002835E2">
          <w:rPr>
            <w:webHidden/>
          </w:rPr>
          <w:instrText xml:space="preserve"> PAGEREF _Toc414880653 \h </w:instrText>
        </w:r>
        <w:r w:rsidR="002835E2">
          <w:rPr>
            <w:webHidden/>
          </w:rPr>
        </w:r>
        <w:r w:rsidR="002835E2">
          <w:rPr>
            <w:webHidden/>
          </w:rPr>
          <w:fldChar w:fldCharType="separate"/>
        </w:r>
        <w:r>
          <w:rPr>
            <w:webHidden/>
          </w:rPr>
          <w:t>19</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54" w:history="1">
        <w:r w:rsidR="002835E2" w:rsidRPr="00DA20E1">
          <w:rPr>
            <w:rStyle w:val="Hyperlink"/>
            <w14:scene3d>
              <w14:camera w14:prst="orthographicFront"/>
              <w14:lightRig w14:rig="threePt" w14:dir="t">
                <w14:rot w14:lat="0" w14:lon="0" w14:rev="0"/>
              </w14:lightRig>
            </w14:scene3d>
          </w:rPr>
          <w:t>8.</w:t>
        </w:r>
        <w:r w:rsidR="002835E2">
          <w:rPr>
            <w:rFonts w:asciiTheme="minorHAnsi" w:eastAsiaTheme="minorEastAsia" w:hAnsiTheme="minorHAnsi" w:cstheme="minorBidi"/>
            <w:sz w:val="22"/>
            <w:szCs w:val="22"/>
          </w:rPr>
          <w:tab/>
        </w:r>
        <w:r w:rsidR="002835E2" w:rsidRPr="00DA20E1">
          <w:rPr>
            <w:rStyle w:val="Hyperlink"/>
          </w:rPr>
          <w:t>Subscription Service</w:t>
        </w:r>
        <w:r w:rsidR="002835E2">
          <w:rPr>
            <w:webHidden/>
          </w:rPr>
          <w:tab/>
        </w:r>
        <w:r w:rsidR="002835E2">
          <w:rPr>
            <w:webHidden/>
          </w:rPr>
          <w:fldChar w:fldCharType="begin"/>
        </w:r>
        <w:r w:rsidR="002835E2">
          <w:rPr>
            <w:webHidden/>
          </w:rPr>
          <w:instrText xml:space="preserve"> PAGEREF _Toc414880654 \h </w:instrText>
        </w:r>
        <w:r w:rsidR="002835E2">
          <w:rPr>
            <w:webHidden/>
          </w:rPr>
        </w:r>
        <w:r w:rsidR="002835E2">
          <w:rPr>
            <w:webHidden/>
          </w:rPr>
          <w:fldChar w:fldCharType="separate"/>
        </w:r>
        <w:r>
          <w:rPr>
            <w:webHidden/>
          </w:rPr>
          <w:t>20</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55" w:history="1">
        <w:r w:rsidR="002835E2" w:rsidRPr="00DA20E1">
          <w:rPr>
            <w:rStyle w:val="Hyperlink"/>
            <w14:scene3d>
              <w14:camera w14:prst="orthographicFront"/>
              <w14:lightRig w14:rig="threePt" w14:dir="t">
                <w14:rot w14:lat="0" w14:lon="0" w14:rev="0"/>
              </w14:lightRig>
            </w14:scene3d>
          </w:rPr>
          <w:t>9.</w:t>
        </w:r>
        <w:r w:rsidR="002835E2">
          <w:rPr>
            <w:rFonts w:asciiTheme="minorHAnsi" w:eastAsiaTheme="minorEastAsia" w:hAnsiTheme="minorHAnsi" w:cstheme="minorBidi"/>
            <w:sz w:val="22"/>
            <w:szCs w:val="22"/>
          </w:rPr>
          <w:tab/>
        </w:r>
        <w:r w:rsidR="002835E2" w:rsidRPr="00DA20E1">
          <w:rPr>
            <w:rStyle w:val="Hyperlink"/>
          </w:rPr>
          <w:t>Filing and Service of Comments and Other Documents</w:t>
        </w:r>
        <w:r w:rsidR="002835E2">
          <w:rPr>
            <w:webHidden/>
          </w:rPr>
          <w:tab/>
        </w:r>
        <w:r w:rsidR="002835E2">
          <w:rPr>
            <w:webHidden/>
          </w:rPr>
          <w:fldChar w:fldCharType="begin"/>
        </w:r>
        <w:r w:rsidR="002835E2">
          <w:rPr>
            <w:webHidden/>
          </w:rPr>
          <w:instrText xml:space="preserve"> PAGEREF _Toc414880655 \h </w:instrText>
        </w:r>
        <w:r w:rsidR="002835E2">
          <w:rPr>
            <w:webHidden/>
          </w:rPr>
        </w:r>
        <w:r w:rsidR="002835E2">
          <w:rPr>
            <w:webHidden/>
          </w:rPr>
          <w:fldChar w:fldCharType="separate"/>
        </w:r>
        <w:r>
          <w:rPr>
            <w:webHidden/>
          </w:rPr>
          <w:t>20</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56" w:history="1">
        <w:r w:rsidR="002835E2" w:rsidRPr="00DA20E1">
          <w:rPr>
            <w:rStyle w:val="Hyperlink"/>
            <w14:scene3d>
              <w14:camera w14:prst="orthographicFront"/>
              <w14:lightRig w14:rig="threePt" w14:dir="t">
                <w14:rot w14:lat="0" w14:lon="0" w14:rev="0"/>
              </w14:lightRig>
            </w14:scene3d>
          </w:rPr>
          <w:t>10.</w:t>
        </w:r>
        <w:r w:rsidR="002835E2">
          <w:rPr>
            <w:rFonts w:asciiTheme="minorHAnsi" w:eastAsiaTheme="minorEastAsia" w:hAnsiTheme="minorHAnsi" w:cstheme="minorBidi"/>
            <w:sz w:val="22"/>
            <w:szCs w:val="22"/>
          </w:rPr>
          <w:tab/>
        </w:r>
        <w:r w:rsidR="002835E2" w:rsidRPr="00DA20E1">
          <w:rPr>
            <w:rStyle w:val="Hyperlink"/>
          </w:rPr>
          <w:t>Public Advisor</w:t>
        </w:r>
        <w:r w:rsidR="002835E2">
          <w:rPr>
            <w:webHidden/>
          </w:rPr>
          <w:tab/>
        </w:r>
        <w:r w:rsidR="002835E2">
          <w:rPr>
            <w:webHidden/>
          </w:rPr>
          <w:fldChar w:fldCharType="begin"/>
        </w:r>
        <w:r w:rsidR="002835E2">
          <w:rPr>
            <w:webHidden/>
          </w:rPr>
          <w:instrText xml:space="preserve"> PAGEREF _Toc414880656 \h </w:instrText>
        </w:r>
        <w:r w:rsidR="002835E2">
          <w:rPr>
            <w:webHidden/>
          </w:rPr>
        </w:r>
        <w:r w:rsidR="002835E2">
          <w:rPr>
            <w:webHidden/>
          </w:rPr>
          <w:fldChar w:fldCharType="separate"/>
        </w:r>
        <w:r>
          <w:rPr>
            <w:webHidden/>
          </w:rPr>
          <w:t>20</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57" w:history="1">
        <w:r w:rsidR="002835E2" w:rsidRPr="00DA20E1">
          <w:rPr>
            <w:rStyle w:val="Hyperlink"/>
            <w14:scene3d>
              <w14:camera w14:prst="orthographicFront"/>
              <w14:lightRig w14:rig="threePt" w14:dir="t">
                <w14:rot w14:lat="0" w14:lon="0" w14:rev="0"/>
              </w14:lightRig>
            </w14:scene3d>
          </w:rPr>
          <w:t>11.</w:t>
        </w:r>
        <w:r w:rsidR="002835E2">
          <w:rPr>
            <w:rFonts w:asciiTheme="minorHAnsi" w:eastAsiaTheme="minorEastAsia" w:hAnsiTheme="minorHAnsi" w:cstheme="minorBidi"/>
            <w:sz w:val="22"/>
            <w:szCs w:val="22"/>
          </w:rPr>
          <w:tab/>
        </w:r>
        <w:r w:rsidR="002835E2" w:rsidRPr="00DA20E1">
          <w:rPr>
            <w:rStyle w:val="Hyperlink"/>
          </w:rPr>
          <w:t>Intervenor Compensation</w:t>
        </w:r>
        <w:r w:rsidR="002835E2">
          <w:rPr>
            <w:webHidden/>
          </w:rPr>
          <w:tab/>
        </w:r>
        <w:r w:rsidR="002835E2">
          <w:rPr>
            <w:webHidden/>
          </w:rPr>
          <w:fldChar w:fldCharType="begin"/>
        </w:r>
        <w:r w:rsidR="002835E2">
          <w:rPr>
            <w:webHidden/>
          </w:rPr>
          <w:instrText xml:space="preserve"> PAGEREF _Toc414880657 \h </w:instrText>
        </w:r>
        <w:r w:rsidR="002835E2">
          <w:rPr>
            <w:webHidden/>
          </w:rPr>
        </w:r>
        <w:r w:rsidR="002835E2">
          <w:rPr>
            <w:webHidden/>
          </w:rPr>
          <w:fldChar w:fldCharType="separate"/>
        </w:r>
        <w:r>
          <w:rPr>
            <w:webHidden/>
          </w:rPr>
          <w:t>21</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58" w:history="1">
        <w:r w:rsidR="002835E2" w:rsidRPr="00DA20E1">
          <w:rPr>
            <w:rStyle w:val="Hyperlink"/>
            <w14:scene3d>
              <w14:camera w14:prst="orthographicFront"/>
              <w14:lightRig w14:rig="threePt" w14:dir="t">
                <w14:rot w14:lat="0" w14:lon="0" w14:rev="0"/>
              </w14:lightRig>
            </w14:scene3d>
          </w:rPr>
          <w:t>12.</w:t>
        </w:r>
        <w:r w:rsidR="002835E2">
          <w:rPr>
            <w:rFonts w:asciiTheme="minorHAnsi" w:eastAsiaTheme="minorEastAsia" w:hAnsiTheme="minorHAnsi" w:cstheme="minorBidi"/>
            <w:sz w:val="22"/>
            <w:szCs w:val="22"/>
          </w:rPr>
          <w:tab/>
        </w:r>
        <w:r w:rsidR="002835E2" w:rsidRPr="00DA20E1">
          <w:rPr>
            <w:rStyle w:val="Hyperlink"/>
            <w:i/>
          </w:rPr>
          <w:t>Ex Parte</w:t>
        </w:r>
        <w:r w:rsidR="002835E2" w:rsidRPr="00DA20E1">
          <w:rPr>
            <w:rStyle w:val="Hyperlink"/>
          </w:rPr>
          <w:t xml:space="preserve"> Communications</w:t>
        </w:r>
        <w:r w:rsidR="002835E2">
          <w:rPr>
            <w:webHidden/>
          </w:rPr>
          <w:tab/>
        </w:r>
        <w:r w:rsidR="002835E2">
          <w:rPr>
            <w:webHidden/>
          </w:rPr>
          <w:fldChar w:fldCharType="begin"/>
        </w:r>
        <w:r w:rsidR="002835E2">
          <w:rPr>
            <w:webHidden/>
          </w:rPr>
          <w:instrText xml:space="preserve"> PAGEREF _Toc414880658 \h </w:instrText>
        </w:r>
        <w:r w:rsidR="002835E2">
          <w:rPr>
            <w:webHidden/>
          </w:rPr>
        </w:r>
        <w:r w:rsidR="002835E2">
          <w:rPr>
            <w:webHidden/>
          </w:rPr>
          <w:fldChar w:fldCharType="separate"/>
        </w:r>
        <w:r>
          <w:rPr>
            <w:webHidden/>
          </w:rPr>
          <w:t>21</w:t>
        </w:r>
        <w:r w:rsidR="002835E2">
          <w:rPr>
            <w:webHidden/>
          </w:rPr>
          <w:fldChar w:fldCharType="end"/>
        </w:r>
      </w:hyperlink>
    </w:p>
    <w:p w:rsidR="002835E2" w:rsidRDefault="00D954FD">
      <w:pPr>
        <w:pStyle w:val="TOC2"/>
        <w:rPr>
          <w:rFonts w:asciiTheme="minorHAnsi" w:eastAsiaTheme="minorEastAsia" w:hAnsiTheme="minorHAnsi" w:cstheme="minorBidi"/>
          <w:sz w:val="22"/>
          <w:szCs w:val="22"/>
        </w:rPr>
      </w:pPr>
      <w:hyperlink w:anchor="_Toc414880659" w:history="1">
        <w:r w:rsidR="002835E2" w:rsidRPr="00DA20E1">
          <w:rPr>
            <w:rStyle w:val="Hyperlink"/>
            <w14:scene3d>
              <w14:camera w14:prst="orthographicFront"/>
              <w14:lightRig w14:rig="threePt" w14:dir="t">
                <w14:rot w14:lat="0" w14:lon="0" w14:rev="0"/>
              </w14:lightRig>
            </w14:scene3d>
          </w:rPr>
          <w:t>13.</w:t>
        </w:r>
        <w:r w:rsidR="002835E2">
          <w:rPr>
            <w:rFonts w:asciiTheme="minorHAnsi" w:eastAsiaTheme="minorEastAsia" w:hAnsiTheme="minorHAnsi" w:cstheme="minorBidi"/>
            <w:sz w:val="22"/>
            <w:szCs w:val="22"/>
          </w:rPr>
          <w:tab/>
        </w:r>
        <w:r w:rsidR="002835E2" w:rsidRPr="00DA20E1">
          <w:rPr>
            <w:rStyle w:val="Hyperlink"/>
          </w:rPr>
          <w:t>Assignment of Rulemaking</w:t>
        </w:r>
        <w:r w:rsidR="002835E2">
          <w:rPr>
            <w:webHidden/>
          </w:rPr>
          <w:tab/>
        </w:r>
        <w:r w:rsidR="002835E2">
          <w:rPr>
            <w:webHidden/>
          </w:rPr>
          <w:fldChar w:fldCharType="begin"/>
        </w:r>
        <w:r w:rsidR="002835E2">
          <w:rPr>
            <w:webHidden/>
          </w:rPr>
          <w:instrText xml:space="preserve"> PAGEREF _Toc414880659 \h </w:instrText>
        </w:r>
        <w:r w:rsidR="002835E2">
          <w:rPr>
            <w:webHidden/>
          </w:rPr>
        </w:r>
        <w:r w:rsidR="002835E2">
          <w:rPr>
            <w:webHidden/>
          </w:rPr>
          <w:fldChar w:fldCharType="separate"/>
        </w:r>
        <w:r>
          <w:rPr>
            <w:webHidden/>
          </w:rPr>
          <w:t>21</w:t>
        </w:r>
        <w:r w:rsidR="002835E2">
          <w:rPr>
            <w:webHidden/>
          </w:rPr>
          <w:fldChar w:fldCharType="end"/>
        </w:r>
      </w:hyperlink>
    </w:p>
    <w:p w:rsidR="00073707" w:rsidRDefault="002C2D9F">
      <w:pPr>
        <w:pStyle w:val="main"/>
        <w:rPr>
          <w:sz w:val="24"/>
          <w:szCs w:val="24"/>
        </w:rPr>
        <w:sectPr w:rsidR="00073707" w:rsidSect="002C2D9F">
          <w:headerReference w:type="first" r:id="rId14"/>
          <w:footerReference w:type="first" r:id="rId15"/>
          <w:pgSz w:w="12240" w:h="15840" w:code="1"/>
          <w:pgMar w:top="1152" w:right="1440" w:bottom="1440" w:left="1440" w:header="720" w:footer="720" w:gutter="0"/>
          <w:pgNumType w:fmt="lowerRoman" w:start="1"/>
          <w:cols w:space="720"/>
          <w:titlePg/>
          <w:docGrid w:linePitch="354"/>
        </w:sectPr>
      </w:pPr>
      <w:r>
        <w:rPr>
          <w:sz w:val="24"/>
          <w:szCs w:val="24"/>
        </w:rPr>
        <w:fldChar w:fldCharType="end"/>
      </w:r>
    </w:p>
    <w:p w:rsidR="00F57A96" w:rsidRPr="00062BC4" w:rsidRDefault="00062BC4">
      <w:pPr>
        <w:pStyle w:val="main"/>
        <w:rPr>
          <w:szCs w:val="26"/>
        </w:rPr>
      </w:pPr>
      <w:bookmarkStart w:id="2" w:name="_Toc414880638"/>
      <w:r w:rsidRPr="00062BC4">
        <w:rPr>
          <w:szCs w:val="26"/>
        </w:rPr>
        <w:lastRenderedPageBreak/>
        <w:t>ORDER INSTITUTING RULEMAKING</w:t>
      </w:r>
      <w:bookmarkEnd w:id="2"/>
    </w:p>
    <w:p w:rsidR="00062BC4" w:rsidRPr="00186D6E" w:rsidRDefault="00062BC4">
      <w:pPr>
        <w:pStyle w:val="main"/>
        <w:rPr>
          <w:sz w:val="24"/>
          <w:szCs w:val="24"/>
        </w:rPr>
      </w:pPr>
    </w:p>
    <w:p w:rsidR="00F57A96" w:rsidRPr="00186D6E" w:rsidRDefault="00F57A96" w:rsidP="00E60C19">
      <w:pPr>
        <w:pStyle w:val="Heading1"/>
        <w:numPr>
          <w:ilvl w:val="0"/>
          <w:numId w:val="0"/>
        </w:numPr>
        <w:ind w:left="720" w:hanging="720"/>
      </w:pPr>
      <w:bookmarkStart w:id="3" w:name="_Toc414880639"/>
      <w:bookmarkStart w:id="4" w:name="_Toc370798910"/>
      <w:r w:rsidRPr="00E60C19">
        <w:t>Summary</w:t>
      </w:r>
      <w:bookmarkEnd w:id="3"/>
    </w:p>
    <w:p w:rsidR="008B5BBC" w:rsidRPr="001B6B1D" w:rsidRDefault="00D56DE5" w:rsidP="0076107B">
      <w:pPr>
        <w:pStyle w:val="standard"/>
      </w:pPr>
      <w:r>
        <w:t>The California Public Utilities Commission (</w:t>
      </w:r>
      <w:r w:rsidR="00D641E6">
        <w:t xml:space="preserve">CPUC or </w:t>
      </w:r>
      <w:r>
        <w:t>Commission) opens</w:t>
      </w:r>
      <w:r w:rsidR="001B6B1D" w:rsidRPr="001B6B1D">
        <w:t xml:space="preserve"> this </w:t>
      </w:r>
      <w:r w:rsidR="00733DF3">
        <w:t>Order I</w:t>
      </w:r>
      <w:r w:rsidR="00413D0D">
        <w:t xml:space="preserve">nstituting </w:t>
      </w:r>
      <w:r w:rsidR="00733DF3">
        <w:t>R</w:t>
      </w:r>
      <w:r w:rsidR="001B6B1D" w:rsidRPr="001B6B1D">
        <w:t xml:space="preserve">ulemaking </w:t>
      </w:r>
      <w:r w:rsidR="001B6B1D">
        <w:t>in response to the enactment and ongoing implementation of legislation Assembly Bill 2514-</w:t>
      </w:r>
      <w:r>
        <w:t>(</w:t>
      </w:r>
      <w:r w:rsidR="001B6B1D">
        <w:t xml:space="preserve">Skinner, Stats. </w:t>
      </w:r>
      <w:r w:rsidR="00D15F4B">
        <w:br/>
      </w:r>
      <w:r w:rsidR="001B6B1D">
        <w:t>2010 – ch. 469)</w:t>
      </w:r>
      <w:r w:rsidR="00BA71B8">
        <w:t xml:space="preserve"> and </w:t>
      </w:r>
      <w:r w:rsidR="001B6B1D">
        <w:t xml:space="preserve">to continue to </w:t>
      </w:r>
      <w:r w:rsidR="001B6B1D" w:rsidRPr="009C7F29">
        <w:rPr>
          <w:i/>
        </w:rPr>
        <w:t>refine</w:t>
      </w:r>
      <w:r w:rsidR="001B6B1D">
        <w:t xml:space="preserve"> policies and program details </w:t>
      </w:r>
      <w:r w:rsidR="00511755">
        <w:t>as required</w:t>
      </w:r>
      <w:r w:rsidR="00413D0D">
        <w:t xml:space="preserve"> or recommended</w:t>
      </w:r>
      <w:r w:rsidR="00511755">
        <w:t xml:space="preserve"> by</w:t>
      </w:r>
      <w:r w:rsidR="00540E9A">
        <w:t xml:space="preserve"> D</w:t>
      </w:r>
      <w:r w:rsidR="00966323">
        <w:t>ecision (D</w:t>
      </w:r>
      <w:r w:rsidR="0049004D">
        <w:t>.</w:t>
      </w:r>
      <w:r w:rsidR="00966323">
        <w:t>)</w:t>
      </w:r>
      <w:r w:rsidR="006730A7">
        <w:t xml:space="preserve"> </w:t>
      </w:r>
      <w:r w:rsidR="00540E9A">
        <w:t>13-10-040 and D</w:t>
      </w:r>
      <w:r w:rsidR="00966323">
        <w:t>.</w:t>
      </w:r>
      <w:r w:rsidR="00540E9A">
        <w:t>14.10-045</w:t>
      </w:r>
      <w:r w:rsidR="00966323">
        <w:t>, which established the Energy Storage Procurement Framework and Program and approved the utilities’ applications in implementing the program.  This rulemaking consider</w:t>
      </w:r>
      <w:r w:rsidR="00452225">
        <w:t>s</w:t>
      </w:r>
      <w:r w:rsidR="00966323">
        <w:t xml:space="preserve"> recommendations included in the California Energy Storage Roadmap, an interagency guidance document which was jointly developed by the California </w:t>
      </w:r>
      <w:r w:rsidR="00D641E6">
        <w:t>Independent System Operator, the California Energy Commission and the CPUC.</w:t>
      </w:r>
    </w:p>
    <w:p w:rsidR="002B7F3B" w:rsidRPr="006F7710" w:rsidRDefault="00452225" w:rsidP="002B7F3B">
      <w:pPr>
        <w:pStyle w:val="standard"/>
      </w:pPr>
      <w:r>
        <w:t xml:space="preserve">The Commission utilizes this rulemaking </w:t>
      </w:r>
      <w:r w:rsidR="002B7F3B">
        <w:t xml:space="preserve">as a procedural forum to effectuate policy and program details that </w:t>
      </w:r>
      <w:r w:rsidR="00511755">
        <w:t>shall</w:t>
      </w:r>
      <w:r w:rsidR="002B7F3B">
        <w:t xml:space="preserve"> apply to </w:t>
      </w:r>
      <w:r w:rsidR="002B7F3B" w:rsidRPr="002B7F3B">
        <w:rPr>
          <w:i/>
        </w:rPr>
        <w:t>future</w:t>
      </w:r>
      <w:r w:rsidR="002B7F3B">
        <w:t xml:space="preserve"> </w:t>
      </w:r>
      <w:r w:rsidR="006E6179">
        <w:t>solicitations</w:t>
      </w:r>
      <w:r w:rsidR="002B7F3B">
        <w:t xml:space="preserve"> beyond the </w:t>
      </w:r>
      <w:r w:rsidR="00511755">
        <w:t xml:space="preserve">present </w:t>
      </w:r>
      <w:r w:rsidR="002B7F3B">
        <w:t xml:space="preserve">2014-2016 procurement period. </w:t>
      </w:r>
    </w:p>
    <w:p w:rsidR="00CA2571" w:rsidRDefault="00CA2571" w:rsidP="00E60C19">
      <w:pPr>
        <w:pStyle w:val="Heading1"/>
      </w:pPr>
      <w:bookmarkStart w:id="5" w:name="_Toc414880640"/>
      <w:r w:rsidRPr="00E60C19">
        <w:t>Guiding</w:t>
      </w:r>
      <w:r>
        <w:t xml:space="preserve"> Principles</w:t>
      </w:r>
      <w:bookmarkEnd w:id="5"/>
      <w:r>
        <w:t xml:space="preserve"> </w:t>
      </w:r>
    </w:p>
    <w:p w:rsidR="00CA2571" w:rsidRPr="002827F2" w:rsidRDefault="00CA2571" w:rsidP="00CA2571">
      <w:pPr>
        <w:pStyle w:val="standard"/>
      </w:pPr>
      <w:r w:rsidRPr="002827F2">
        <w:t xml:space="preserve">In this rulemaking, consistent with </w:t>
      </w:r>
      <w:r w:rsidR="00AB0CDB">
        <w:t>Assembly Bill (AB)</w:t>
      </w:r>
      <w:r w:rsidRPr="002827F2">
        <w:t xml:space="preserve"> 2514 and current Commission energy storage policy, we will continue to adhere to the following guiding principles: </w:t>
      </w:r>
    </w:p>
    <w:p w:rsidR="00CA2571" w:rsidRPr="002827F2" w:rsidRDefault="00CA2571" w:rsidP="00057756">
      <w:pPr>
        <w:pStyle w:val="standard"/>
        <w:numPr>
          <w:ilvl w:val="0"/>
          <w:numId w:val="26"/>
        </w:numPr>
        <w:spacing w:after="120" w:line="240" w:lineRule="auto"/>
        <w:ind w:right="1440"/>
      </w:pPr>
      <w:r w:rsidRPr="002827F2">
        <w:t xml:space="preserve">The optimization of the grid, including peak reduction, contribution to reliability needs, or deferment of transmission and distribution upgrade investments; </w:t>
      </w:r>
    </w:p>
    <w:p w:rsidR="00CA2571" w:rsidRDefault="00CA2571" w:rsidP="00057756">
      <w:pPr>
        <w:pStyle w:val="standard"/>
        <w:numPr>
          <w:ilvl w:val="0"/>
          <w:numId w:val="26"/>
        </w:numPr>
        <w:spacing w:after="120" w:line="240" w:lineRule="auto"/>
        <w:ind w:right="1440"/>
      </w:pPr>
      <w:r w:rsidRPr="002827F2">
        <w:t xml:space="preserve">The integration of renewable energy; and </w:t>
      </w:r>
    </w:p>
    <w:p w:rsidR="004628E1" w:rsidRDefault="00CA2571" w:rsidP="00057756">
      <w:pPr>
        <w:pStyle w:val="standard"/>
        <w:numPr>
          <w:ilvl w:val="0"/>
          <w:numId w:val="26"/>
        </w:numPr>
        <w:spacing w:after="120" w:line="240" w:lineRule="auto"/>
        <w:ind w:right="1440"/>
        <w:rPr>
          <w:sz w:val="24"/>
          <w:szCs w:val="24"/>
        </w:rPr>
      </w:pPr>
      <w:r w:rsidRPr="002827F2">
        <w:lastRenderedPageBreak/>
        <w:t xml:space="preserve">The reduction of greenhouse gas emissions to 80 percent below 1900 levels by 2050, </w:t>
      </w:r>
      <w:r w:rsidR="004628E1" w:rsidRPr="002827F2">
        <w:t>per California goals</w:t>
      </w:r>
      <w:r w:rsidR="004628E1">
        <w:rPr>
          <w:sz w:val="24"/>
          <w:szCs w:val="24"/>
        </w:rPr>
        <w:t>.</w:t>
      </w:r>
      <w:r w:rsidR="004628E1">
        <w:rPr>
          <w:rStyle w:val="FootnoteReference"/>
          <w:szCs w:val="24"/>
        </w:rPr>
        <w:footnoteReference w:id="2"/>
      </w:r>
    </w:p>
    <w:p w:rsidR="00F57A96" w:rsidRDefault="008B5BBC" w:rsidP="00F232C1">
      <w:pPr>
        <w:pStyle w:val="Heading1"/>
      </w:pPr>
      <w:bookmarkStart w:id="6" w:name="_Toc414880641"/>
      <w:r w:rsidRPr="00F232C1">
        <w:t>Background</w:t>
      </w:r>
      <w:bookmarkEnd w:id="6"/>
    </w:p>
    <w:p w:rsidR="0060652D" w:rsidRDefault="00C17057" w:rsidP="00F44E20">
      <w:pPr>
        <w:pStyle w:val="standard"/>
      </w:pPr>
      <w:r>
        <w:t xml:space="preserve">On December 16, 2010, the Commission opened Rulemaking (R.) 10-12-007 to implement the provision of </w:t>
      </w:r>
      <w:r w:rsidR="00E00003">
        <w:t>AB</w:t>
      </w:r>
      <w:r w:rsidR="009F5B5E">
        <w:t xml:space="preserve"> </w:t>
      </w:r>
      <w:r w:rsidR="00976F3F">
        <w:t xml:space="preserve">2514 </w:t>
      </w:r>
      <w:r>
        <w:t>(</w:t>
      </w:r>
      <w:r w:rsidR="00D56DE5">
        <w:t xml:space="preserve">Skinner, </w:t>
      </w:r>
      <w:r>
        <w:t>Stats. 2010, ch. 469)</w:t>
      </w:r>
      <w:r w:rsidR="000728BB">
        <w:t>.</w:t>
      </w:r>
      <w:r w:rsidR="00976F3F">
        <w:rPr>
          <w:rStyle w:val="FootnoteReference"/>
        </w:rPr>
        <w:footnoteReference w:id="3"/>
      </w:r>
      <w:r>
        <w:t xml:space="preserve"> </w:t>
      </w:r>
      <w:r w:rsidR="00AB0CDB">
        <w:t xml:space="preserve"> </w:t>
      </w:r>
      <w:r w:rsidR="00413D0D">
        <w:t xml:space="preserve">AB 2514 directed the Commission to determine appropriate targets, if any, for each load serving entity as defined by Pub. Util. Code </w:t>
      </w:r>
      <w:r w:rsidR="00AB0CDB">
        <w:rPr>
          <w:rFonts w:ascii="Book Antiqua" w:hAnsi="Book Antiqua"/>
        </w:rPr>
        <w:t>§</w:t>
      </w:r>
      <w:r w:rsidR="00AB0CDB">
        <w:t xml:space="preserve"> </w:t>
      </w:r>
      <w:r w:rsidR="002F40E2">
        <w:t>380</w:t>
      </w:r>
      <w:r w:rsidR="008C5658">
        <w:t>(j) to procure viable and cost</w:t>
      </w:r>
      <w:r w:rsidR="008C5658">
        <w:noBreakHyphen/>
      </w:r>
      <w:r w:rsidR="00413D0D">
        <w:t>effective energy storage systems and sets dates for any targets deemed appropriate to achieve.</w:t>
      </w:r>
      <w:r>
        <w:rPr>
          <w:rStyle w:val="FootnoteReference"/>
        </w:rPr>
        <w:footnoteReference w:id="4"/>
      </w:r>
      <w:r>
        <w:t xml:space="preserve">  In response to </w:t>
      </w:r>
      <w:r w:rsidR="006E6179">
        <w:t>legislation</w:t>
      </w:r>
      <w:r>
        <w:t>, the Commission</w:t>
      </w:r>
      <w:r w:rsidR="00976F3F">
        <w:t xml:space="preserve"> </w:t>
      </w:r>
      <w:r w:rsidR="006E6179">
        <w:t>took immediate action</w:t>
      </w:r>
      <w:r w:rsidR="00976F3F">
        <w:t xml:space="preserve"> to advance energy storage through </w:t>
      </w:r>
      <w:r w:rsidR="00D95367">
        <w:t xml:space="preserve">a robust stakeholder process and </w:t>
      </w:r>
      <w:r w:rsidR="00EB3DCD">
        <w:t xml:space="preserve">three </w:t>
      </w:r>
      <w:r w:rsidR="00234862">
        <w:t xml:space="preserve">subsequent </w:t>
      </w:r>
      <w:r w:rsidR="00413D0D">
        <w:t xml:space="preserve">energy storage </w:t>
      </w:r>
      <w:r w:rsidR="00976F3F">
        <w:t>decisions</w:t>
      </w:r>
      <w:r w:rsidR="00234862">
        <w:t xml:space="preserve"> in 2012, 2013, and 2014.</w:t>
      </w:r>
      <w:r w:rsidR="004628E1">
        <w:t xml:space="preserve"> </w:t>
      </w:r>
      <w:r w:rsidR="009F5B5E">
        <w:t xml:space="preserve"> </w:t>
      </w:r>
      <w:r w:rsidR="004628E1">
        <w:t>As described in Sections 2.1, 2.2, and 2.3 below, t</w:t>
      </w:r>
      <w:r w:rsidR="00D95367">
        <w:t>hese three</w:t>
      </w:r>
      <w:r w:rsidR="00976F3F">
        <w:t xml:space="preserve"> decisions </w:t>
      </w:r>
      <w:r w:rsidR="00036AD9">
        <w:t>establish</w:t>
      </w:r>
      <w:r w:rsidR="00D95367">
        <w:t>ed</w:t>
      </w:r>
      <w:r w:rsidR="00036AD9">
        <w:t xml:space="preserve"> the groundbreaking foundation for the current </w:t>
      </w:r>
      <w:r w:rsidR="00AD1771">
        <w:t>Commission</w:t>
      </w:r>
      <w:r w:rsidR="00036AD9">
        <w:t xml:space="preserve"> Energy Storage Procurement Framework and Design Program</w:t>
      </w:r>
      <w:r w:rsidR="004628E1">
        <w:t>.</w:t>
      </w:r>
      <w:r>
        <w:t xml:space="preserve"> </w:t>
      </w:r>
    </w:p>
    <w:p w:rsidR="00DD4C71" w:rsidRPr="001D0F77" w:rsidRDefault="00DD4C71" w:rsidP="00F232C1">
      <w:pPr>
        <w:pStyle w:val="Heading2"/>
      </w:pPr>
      <w:bookmarkStart w:id="7" w:name="_Toc414880642"/>
      <w:r w:rsidRPr="001D0F77">
        <w:t>D.12-08-</w:t>
      </w:r>
      <w:r w:rsidR="002F40E2">
        <w:t>0</w:t>
      </w:r>
      <w:r w:rsidRPr="001D0F77">
        <w:t>16:</w:t>
      </w:r>
      <w:r w:rsidR="00D95367" w:rsidRPr="001D0F77">
        <w:t xml:space="preserve"> </w:t>
      </w:r>
      <w:r w:rsidR="00AB0CDB" w:rsidRPr="001D0F77">
        <w:t xml:space="preserve"> </w:t>
      </w:r>
      <w:r w:rsidR="00D95367" w:rsidRPr="00F232C1">
        <w:t>Framework</w:t>
      </w:r>
      <w:r w:rsidR="00D95367" w:rsidRPr="001D0F77">
        <w:t xml:space="preserve"> for Analyzing Energy Storage Needs</w:t>
      </w:r>
      <w:bookmarkEnd w:id="7"/>
      <w:r w:rsidR="00D95367" w:rsidRPr="001D0F77">
        <w:t xml:space="preserve"> </w:t>
      </w:r>
    </w:p>
    <w:p w:rsidR="009F5B5E" w:rsidRDefault="004628E1" w:rsidP="00F44E20">
      <w:pPr>
        <w:pStyle w:val="standard"/>
      </w:pPr>
      <w:r>
        <w:t>The first decision</w:t>
      </w:r>
      <w:r w:rsidR="009F5B5E">
        <w:t xml:space="preserve">, </w:t>
      </w:r>
      <w:r w:rsidR="00AC7CB4">
        <w:t xml:space="preserve">among other things, </w:t>
      </w:r>
      <w:r w:rsidR="00B6547C">
        <w:t>D.</w:t>
      </w:r>
      <w:r w:rsidR="009F5B5E">
        <w:t>12-08-</w:t>
      </w:r>
      <w:r w:rsidR="002F40E2">
        <w:t>0</w:t>
      </w:r>
      <w:r w:rsidR="009F5B5E">
        <w:t>16</w:t>
      </w:r>
      <w:r w:rsidR="00D95367">
        <w:t xml:space="preserve"> </w:t>
      </w:r>
      <w:r>
        <w:t>(</w:t>
      </w:r>
      <w:r w:rsidR="00AC7CB4">
        <w:t>“</w:t>
      </w:r>
      <w:r w:rsidR="00D95367">
        <w:t>Decision Adopting Framework for Analyzing Energy Storage Needs</w:t>
      </w:r>
      <w:r>
        <w:t>”</w:t>
      </w:r>
      <w:r w:rsidR="00D95367">
        <w:t xml:space="preserve"> </w:t>
      </w:r>
      <w:r w:rsidR="00AC7CB4">
        <w:t>issued August 2, 2012</w:t>
      </w:r>
      <w:r>
        <w:t>)</w:t>
      </w:r>
      <w:r w:rsidR="00AC7CB4">
        <w:t>,</w:t>
      </w:r>
      <w:r w:rsidR="009F5B5E">
        <w:t xml:space="preserve"> adopted </w:t>
      </w:r>
      <w:r w:rsidR="0004378B">
        <w:t xml:space="preserve">a </w:t>
      </w:r>
      <w:r w:rsidR="009F5B5E">
        <w:t xml:space="preserve">framework and a plan for developing policies and guidelines pertaining to energy storage.  It adopted an energy storage “end use” framework, which identified 20 types of storage depending on its application </w:t>
      </w:r>
      <w:r w:rsidR="009F5B5E">
        <w:lastRenderedPageBreak/>
        <w:t>and use in the various market segments</w:t>
      </w:r>
      <w:r w:rsidR="00D95367">
        <w:t xml:space="preserve"> or grid domains</w:t>
      </w:r>
      <w:r w:rsidR="009F5B5E">
        <w:t xml:space="preserve"> (e.g.,</w:t>
      </w:r>
      <w:r w:rsidR="00AB0CDB">
        <w:t> </w:t>
      </w:r>
      <w:r w:rsidR="009F5B5E">
        <w:t xml:space="preserve">Customer, Transmission/Distribution, Generation, </w:t>
      </w:r>
      <w:r>
        <w:t>California Independent System Operator (</w:t>
      </w:r>
      <w:r w:rsidR="009F5B5E">
        <w:t>ISO</w:t>
      </w:r>
      <w:r>
        <w:t>)</w:t>
      </w:r>
      <w:r w:rsidR="009F5B5E">
        <w:t xml:space="preserve">/Market). </w:t>
      </w:r>
    </w:p>
    <w:p w:rsidR="00DD4C71" w:rsidRDefault="00DD4C71" w:rsidP="00F232C1">
      <w:pPr>
        <w:pStyle w:val="Heading2"/>
      </w:pPr>
      <w:bookmarkStart w:id="8" w:name="_Toc414880643"/>
      <w:r w:rsidRPr="00DD4C71">
        <w:t>D.13-10-040</w:t>
      </w:r>
      <w:r>
        <w:t>:</w:t>
      </w:r>
      <w:r w:rsidR="00F163B3">
        <w:t xml:space="preserve"> </w:t>
      </w:r>
      <w:r w:rsidR="00AB0CDB">
        <w:t xml:space="preserve"> </w:t>
      </w:r>
      <w:r w:rsidR="00F163B3">
        <w:t>(</w:t>
      </w:r>
      <w:r w:rsidR="00F163B3" w:rsidRPr="00F232C1">
        <w:t>Energy</w:t>
      </w:r>
      <w:r w:rsidR="00F163B3">
        <w:t xml:space="preserve"> Storage Procurement Framework and Design Program)</w:t>
      </w:r>
      <w:bookmarkEnd w:id="8"/>
    </w:p>
    <w:p w:rsidR="008B25C5" w:rsidRDefault="004628E1" w:rsidP="00474403">
      <w:pPr>
        <w:pStyle w:val="standard"/>
      </w:pPr>
      <w:r>
        <w:t>The second decision</w:t>
      </w:r>
      <w:r w:rsidR="00AC7CB4">
        <w:t xml:space="preserve">, </w:t>
      </w:r>
      <w:r w:rsidR="00036AD9">
        <w:t xml:space="preserve">D.13-10-040 </w:t>
      </w:r>
      <w:r>
        <w:t>(</w:t>
      </w:r>
      <w:r w:rsidR="00036AD9">
        <w:t>“Decision Adopting Energy Storage Procurement Framework and Design Program</w:t>
      </w:r>
      <w:r>
        <w:t>”</w:t>
      </w:r>
      <w:r w:rsidR="00976F3F">
        <w:t xml:space="preserve"> issued </w:t>
      </w:r>
      <w:r w:rsidR="00F40156">
        <w:t>on October 2013</w:t>
      </w:r>
      <w:r>
        <w:t>)</w:t>
      </w:r>
      <w:r w:rsidR="00F40156">
        <w:t xml:space="preserve">, directed </w:t>
      </w:r>
      <w:r w:rsidR="00D95367">
        <w:t xml:space="preserve">San Diego Gas &amp; Electric </w:t>
      </w:r>
      <w:r w:rsidR="0092625D">
        <w:t xml:space="preserve">Company </w:t>
      </w:r>
      <w:r w:rsidR="00D95367">
        <w:t xml:space="preserve">(SDG&amp;E), Pacific, Gas and Electric </w:t>
      </w:r>
      <w:r w:rsidR="0092625D">
        <w:t xml:space="preserve">Company </w:t>
      </w:r>
      <w:r w:rsidR="00D95367">
        <w:t xml:space="preserve">(PG&amp;E), and Southern California Edison </w:t>
      </w:r>
      <w:r w:rsidR="003962AE">
        <w:t xml:space="preserve">Company </w:t>
      </w:r>
      <w:r w:rsidR="00D95367">
        <w:t>(SCE)</w:t>
      </w:r>
      <w:r w:rsidR="00E00003">
        <w:t xml:space="preserve"> – together, the</w:t>
      </w:r>
      <w:r w:rsidR="00D95367">
        <w:t xml:space="preserve"> Investor</w:t>
      </w:r>
      <w:r w:rsidR="009A102B">
        <w:t>-</w:t>
      </w:r>
      <w:r w:rsidR="00D95367">
        <w:t>Owned Utilities (</w:t>
      </w:r>
      <w:r w:rsidR="00F40156">
        <w:t>IOUs</w:t>
      </w:r>
      <w:r w:rsidR="00D95367">
        <w:t>)</w:t>
      </w:r>
      <w:r w:rsidR="00E00003">
        <w:t xml:space="preserve"> - </w:t>
      </w:r>
      <w:r w:rsidR="00F40156">
        <w:t xml:space="preserve">to procure at least 1,325 </w:t>
      </w:r>
      <w:r w:rsidR="00E00003">
        <w:t>megawatts (</w:t>
      </w:r>
      <w:r w:rsidR="00F40156">
        <w:t>MW</w:t>
      </w:r>
      <w:r w:rsidR="00E00003">
        <w:t>)</w:t>
      </w:r>
      <w:r w:rsidR="00F40156">
        <w:t xml:space="preserve"> of energy storage in four biennial solicitations through 2020.  </w:t>
      </w:r>
      <w:r w:rsidR="00234862">
        <w:t>(</w:t>
      </w:r>
      <w:r w:rsidR="00E51895">
        <w:t xml:space="preserve">Non-IOU </w:t>
      </w:r>
      <w:r w:rsidR="00D01879">
        <w:t>Load serving entities have targets based on 1% peak load by 2020.</w:t>
      </w:r>
      <w:r w:rsidR="00234862">
        <w:t>)</w:t>
      </w:r>
      <w:r w:rsidR="00D01879">
        <w:t xml:space="preserve">  </w:t>
      </w:r>
      <w:r w:rsidR="00D56DE5">
        <w:t xml:space="preserve">D.13-10-040 </w:t>
      </w:r>
      <w:r w:rsidR="00D01879">
        <w:t xml:space="preserve">also </w:t>
      </w:r>
      <w:r w:rsidR="00F40156">
        <w:t xml:space="preserve">directed IOUs to file separate procurement applications containing a </w:t>
      </w:r>
      <w:r w:rsidR="00E51895">
        <w:t xml:space="preserve">solicitation </w:t>
      </w:r>
      <w:r w:rsidR="00F40156">
        <w:t xml:space="preserve">proposal for their first energy storage procurement period by March 1, 2014. </w:t>
      </w:r>
      <w:r w:rsidR="00D01879">
        <w:t xml:space="preserve"> </w:t>
      </w:r>
    </w:p>
    <w:p w:rsidR="008B25C5" w:rsidRDefault="002827F2" w:rsidP="00474403">
      <w:pPr>
        <w:pStyle w:val="standard"/>
      </w:pPr>
      <w:r>
        <w:t xml:space="preserve">D.13-10-040 </w:t>
      </w:r>
      <w:r w:rsidR="000A31B3">
        <w:t>provided</w:t>
      </w:r>
      <w:r w:rsidR="00D01879">
        <w:t xml:space="preserve"> a basis for cost/benefit analysis in several use cases, illustrating how storage may provide services to the utility grid in transmission, distribution, and customer applications.  </w:t>
      </w:r>
      <w:r w:rsidR="00D95367">
        <w:t>Because the energy storage market is new and untested, t</w:t>
      </w:r>
      <w:r w:rsidR="00F44E20">
        <w:t xml:space="preserve">he decision </w:t>
      </w:r>
      <w:r w:rsidR="000A31B3">
        <w:t>allowed</w:t>
      </w:r>
      <w:r w:rsidR="00F44E20">
        <w:t xml:space="preserve"> some flexibility among grid domains, subject to certain requirements. </w:t>
      </w:r>
      <w:r w:rsidR="00DD038E">
        <w:t xml:space="preserve"> </w:t>
      </w:r>
    </w:p>
    <w:p w:rsidR="00F44E20" w:rsidRDefault="00234862" w:rsidP="00474403">
      <w:pPr>
        <w:pStyle w:val="standard"/>
      </w:pPr>
      <w:r>
        <w:t xml:space="preserve">The </w:t>
      </w:r>
      <w:r w:rsidR="00F40156">
        <w:t xml:space="preserve">decision also </w:t>
      </w:r>
      <w:r w:rsidR="00F44E20">
        <w:t xml:space="preserve">allowed each IOU to </w:t>
      </w:r>
      <w:r w:rsidR="00E51895">
        <w:t xml:space="preserve">utilize their proprietary </w:t>
      </w:r>
      <w:r w:rsidR="00F44E20">
        <w:t>evaluation protocol</w:t>
      </w:r>
      <w:r w:rsidR="00E51895">
        <w:t>s</w:t>
      </w:r>
      <w:r w:rsidR="00F44E20">
        <w:t xml:space="preserve"> for assessing </w:t>
      </w:r>
      <w:r w:rsidR="00E51895">
        <w:t xml:space="preserve">and selecting winning </w:t>
      </w:r>
      <w:r w:rsidR="00F44E20">
        <w:t>bids</w:t>
      </w:r>
      <w:r w:rsidR="00E51895">
        <w:t xml:space="preserve">, but required the IOUs to develop a consistent evaluation protocol (CEP) for </w:t>
      </w:r>
      <w:r w:rsidR="00D31AE4">
        <w:t xml:space="preserve">reporting/benchmarking and facilitating </w:t>
      </w:r>
      <w:r w:rsidR="00F44E20">
        <w:t xml:space="preserve">a consistent comparison across utilities, bids, and use-cases. </w:t>
      </w:r>
      <w:r w:rsidR="00DD038E">
        <w:t xml:space="preserve"> Finally, t</w:t>
      </w:r>
      <w:r w:rsidR="00F44E20">
        <w:t xml:space="preserve">he decision directed a comprehensive evaluation of the Energy Storage Framework and Design Program by no later </w:t>
      </w:r>
      <w:r w:rsidR="002F40E2">
        <w:t>than 2016, and once every three </w:t>
      </w:r>
      <w:r w:rsidR="00F44E20">
        <w:t xml:space="preserve">years </w:t>
      </w:r>
      <w:r w:rsidR="00606D3D">
        <w:t>thereafter.</w:t>
      </w:r>
    </w:p>
    <w:p w:rsidR="00976F3F" w:rsidRDefault="00AC7CB4" w:rsidP="00AC7CB4">
      <w:pPr>
        <w:pStyle w:val="standard"/>
      </w:pPr>
      <w:r>
        <w:lastRenderedPageBreak/>
        <w:t xml:space="preserve">In </w:t>
      </w:r>
      <w:r w:rsidR="0060652D">
        <w:t xml:space="preserve">compliance, </w:t>
      </w:r>
      <w:r w:rsidR="00DD038E">
        <w:t xml:space="preserve">the three IOUs filed </w:t>
      </w:r>
      <w:r w:rsidR="00D95367">
        <w:t>plans</w:t>
      </w:r>
      <w:r w:rsidR="00DD038E">
        <w:t xml:space="preserve"> for the initial solicitation issued December 2014.</w:t>
      </w:r>
      <w:r>
        <w:t xml:space="preserve">  The plans included a CEP to provide a common benchmark for evaluating programs selected by the IOUs in their solicitation. </w:t>
      </w:r>
    </w:p>
    <w:p w:rsidR="00485D0B" w:rsidRDefault="009C771E" w:rsidP="006F7710">
      <w:pPr>
        <w:pStyle w:val="standard"/>
      </w:pPr>
      <w:r>
        <w:t>D.13-10-040</w:t>
      </w:r>
      <w:r w:rsidR="00401342">
        <w:t xml:space="preserve"> encouraged adjustment</w:t>
      </w:r>
      <w:r w:rsidR="002827F2">
        <w:t>s</w:t>
      </w:r>
      <w:r w:rsidR="00401342">
        <w:t xml:space="preserve"> to the energy storage program based on </w:t>
      </w:r>
      <w:r>
        <w:t xml:space="preserve">various </w:t>
      </w:r>
      <w:r w:rsidR="00401342">
        <w:t>market and program developments</w:t>
      </w:r>
      <w:r w:rsidR="006F7710">
        <w:t xml:space="preserve">. </w:t>
      </w:r>
      <w:r w:rsidR="00D95367">
        <w:t xml:space="preserve"> </w:t>
      </w:r>
      <w:r w:rsidR="006F7710">
        <w:t>In D.13-10-040</w:t>
      </w:r>
      <w:r w:rsidR="003C3614">
        <w:t>,</w:t>
      </w:r>
      <w:r w:rsidR="006F7710">
        <w:t xml:space="preserve"> </w:t>
      </w:r>
      <w:r w:rsidR="006E6179">
        <w:t>the Commission</w:t>
      </w:r>
      <w:r w:rsidR="006F7710">
        <w:t xml:space="preserve"> agreed with parties that being overly prescriptive in a nascent market may have </w:t>
      </w:r>
      <w:r w:rsidR="00D31AE4">
        <w:t>un</w:t>
      </w:r>
      <w:r w:rsidR="006F7710">
        <w:t xml:space="preserve">intended consequences. </w:t>
      </w:r>
      <w:r w:rsidR="006700D9">
        <w:t xml:space="preserve"> </w:t>
      </w:r>
      <w:r w:rsidR="006F7710">
        <w:t xml:space="preserve">Consequently, </w:t>
      </w:r>
      <w:r w:rsidR="006E6179">
        <w:t>the Commission</w:t>
      </w:r>
      <w:r w:rsidR="006F7710">
        <w:t xml:space="preserve"> found it reasonable to adopt a broad framework initially and add additional details later, if necessary, as more experience is gained and lessons can be applied</w:t>
      </w:r>
      <w:r w:rsidR="00485D0B">
        <w:t>.</w:t>
      </w:r>
      <w:r w:rsidR="00485D0B">
        <w:rPr>
          <w:rStyle w:val="FootnoteReference"/>
        </w:rPr>
        <w:footnoteReference w:id="5"/>
      </w:r>
    </w:p>
    <w:p w:rsidR="002827F2" w:rsidRDefault="00D95367" w:rsidP="006F7710">
      <w:pPr>
        <w:pStyle w:val="standard"/>
      </w:pPr>
      <w:r>
        <w:t xml:space="preserve">Accordingly, </w:t>
      </w:r>
      <w:r w:rsidR="002827F2">
        <w:t>D.13-10-040 directed the following:</w:t>
      </w:r>
    </w:p>
    <w:p w:rsidR="00401342" w:rsidRPr="002827F2" w:rsidRDefault="00401342" w:rsidP="003962AE">
      <w:pPr>
        <w:pStyle w:val="Quote"/>
      </w:pPr>
      <w:r w:rsidRPr="002827F2">
        <w:t xml:space="preserve">After the first procurement period in December 2014, Energy Division will assess best practices and challenges within the procurement process and recommend, if needed, adjustments to the procurement  process in the context of an appropriate proceeding (rulemaking or otherwise) available during that time period.  It is premature to anticipate what the precise nature of these changes will be.  However, we believe that the timing of the solicitations </w:t>
      </w:r>
      <w:r w:rsidR="00D95367">
        <w:t xml:space="preserve">[December 2014] </w:t>
      </w:r>
      <w:r w:rsidRPr="002827F2">
        <w:t>will allow sufficient time for review.</w:t>
      </w:r>
      <w:r w:rsidRPr="002827F2">
        <w:rPr>
          <w:rStyle w:val="FootnoteReference"/>
        </w:rPr>
        <w:footnoteReference w:id="6"/>
      </w:r>
      <w:r w:rsidRPr="002827F2">
        <w:t xml:space="preserve"> </w:t>
      </w:r>
    </w:p>
    <w:p w:rsidR="00DD4C71" w:rsidRPr="00EC3EB8" w:rsidRDefault="00DD4C71" w:rsidP="001D0F77">
      <w:pPr>
        <w:pStyle w:val="Heading2"/>
      </w:pPr>
      <w:bookmarkStart w:id="9" w:name="_Toc414880644"/>
      <w:r w:rsidRPr="00EC3EB8">
        <w:t>D.14-10-045</w:t>
      </w:r>
      <w:r w:rsidR="00F163B3" w:rsidRPr="00EC3EB8">
        <w:t xml:space="preserve"> (2014-2016 Energy Storage Compliance Decision)</w:t>
      </w:r>
      <w:bookmarkEnd w:id="9"/>
    </w:p>
    <w:p w:rsidR="008B25C5" w:rsidRDefault="004628E1" w:rsidP="008B25C5">
      <w:pPr>
        <w:pStyle w:val="standard"/>
      </w:pPr>
      <w:r>
        <w:t>The third decision</w:t>
      </w:r>
      <w:r w:rsidR="000A31B3">
        <w:t>, D.14-</w:t>
      </w:r>
      <w:r w:rsidR="00377B5E">
        <w:t>10-045</w:t>
      </w:r>
      <w:r w:rsidR="000A31B3">
        <w:t xml:space="preserve"> </w:t>
      </w:r>
      <w:r>
        <w:t>(</w:t>
      </w:r>
      <w:r w:rsidR="000A31B3">
        <w:t xml:space="preserve">“Decision Approving  </w:t>
      </w:r>
      <w:r w:rsidR="00AB0CDB">
        <w:t>SDG&amp;E</w:t>
      </w:r>
      <w:r w:rsidR="000A31B3">
        <w:t xml:space="preserve"> Company, </w:t>
      </w:r>
      <w:r w:rsidR="00AB0CDB">
        <w:t>PG&amp;E</w:t>
      </w:r>
      <w:r w:rsidR="000A31B3">
        <w:t>, and SCE Company’s Storage Procurement Framework and Program Applications for the 2014 Biennial Procurement Period</w:t>
      </w:r>
      <w:r w:rsidR="002827F2">
        <w:t>,</w:t>
      </w:r>
      <w:r w:rsidR="000A31B3">
        <w:t xml:space="preserve">” </w:t>
      </w:r>
      <w:r w:rsidR="002827F2">
        <w:t>issued October 22, 2014</w:t>
      </w:r>
      <w:r>
        <w:t>)</w:t>
      </w:r>
      <w:r w:rsidR="002827F2">
        <w:t xml:space="preserve">, </w:t>
      </w:r>
      <w:r w:rsidR="000A31B3">
        <w:t xml:space="preserve">approved IOU energy storage plans </w:t>
      </w:r>
      <w:r>
        <w:t xml:space="preserve">(for the 2014 biennial period only) </w:t>
      </w:r>
      <w:r w:rsidR="000A31B3">
        <w:t xml:space="preserve">with minor modifications and closed the rulemaking proceeding. </w:t>
      </w:r>
      <w:r w:rsidR="002827F2">
        <w:t xml:space="preserve"> </w:t>
      </w:r>
      <w:r w:rsidR="00474403">
        <w:t xml:space="preserve">More </w:t>
      </w:r>
      <w:r w:rsidR="00474403">
        <w:lastRenderedPageBreak/>
        <w:t xml:space="preserve">specifically, </w:t>
      </w:r>
      <w:r w:rsidR="00CA2571">
        <w:t>this compliance</w:t>
      </w:r>
      <w:r w:rsidR="00474403">
        <w:t xml:space="preserve"> decision approved proposed energy storage procurement targets of SDG&amp;E (16</w:t>
      </w:r>
      <w:r w:rsidR="00E00003">
        <w:t xml:space="preserve"> </w:t>
      </w:r>
      <w:r w:rsidR="00474403">
        <w:t xml:space="preserve">MW); SCE (16.3 MW); and modified the storage proposal of PG&amp;E to 80.5 MW.  </w:t>
      </w:r>
    </w:p>
    <w:p w:rsidR="008B25C5" w:rsidRDefault="00092D6C" w:rsidP="008B25C5">
      <w:pPr>
        <w:pStyle w:val="standard"/>
      </w:pPr>
      <w:r>
        <w:t xml:space="preserve">Further, this compliance decision approved “eligible” technologies including vehicle-to-grid (V2G) electric vehicle technologies, eligible storage component of biogas, eligible storage component of solar thermal </w:t>
      </w:r>
      <w:r w:rsidRPr="00935E87">
        <w:t>(Concentratin</w:t>
      </w:r>
      <w:r>
        <w:t>g</w:t>
      </w:r>
      <w:r w:rsidRPr="00935E87">
        <w:t xml:space="preserve"> Solar Power-Thermal Energy Storage (CSP-TES))</w:t>
      </w:r>
      <w:r w:rsidRPr="003F72D7">
        <w:t>,</w:t>
      </w:r>
      <w:r>
        <w:t xml:space="preserve"> eligible storage component of hybrid thermal generation (Hybrid-TES), but excluding </w:t>
      </w:r>
      <w:r w:rsidRPr="00935E87">
        <w:t>Vehicle-grid integratio</w:t>
      </w:r>
      <w:r>
        <w:t>n</w:t>
      </w:r>
      <w:r w:rsidRPr="00935E87">
        <w:t xml:space="preserve"> (V1G)</w:t>
      </w:r>
      <w:r>
        <w:t xml:space="preserve"> (managed charging) and biogas (without eligible storage component).</w:t>
      </w:r>
      <w:r w:rsidR="00815480">
        <w:t xml:space="preserve">  </w:t>
      </w:r>
    </w:p>
    <w:p w:rsidR="002827F2" w:rsidRDefault="00815480" w:rsidP="008B25C5">
      <w:pPr>
        <w:pStyle w:val="standard"/>
      </w:pPr>
      <w:r>
        <w:t xml:space="preserve">As to cost recovery, </w:t>
      </w:r>
      <w:r w:rsidR="00474403">
        <w:t xml:space="preserve"> </w:t>
      </w:r>
      <w:r>
        <w:t xml:space="preserve">the </w:t>
      </w:r>
      <w:r w:rsidR="00F163B3">
        <w:t xml:space="preserve">compliance </w:t>
      </w:r>
      <w:r>
        <w:t>decision authorized the Power Charge Indifference Adjustment (PCIA) mechanism to</w:t>
      </w:r>
      <w:r w:rsidR="00BA71B8">
        <w:t xml:space="preserve"> allow</w:t>
      </w:r>
      <w:r>
        <w:t xml:space="preserve"> recover</w:t>
      </w:r>
      <w:r w:rsidR="00BA71B8">
        <w:t>y of</w:t>
      </w:r>
      <w:r>
        <w:t xml:space="preserve"> above-market costs associated with departing load for market/”bundled” energy storage projects but denied a request for an extension of the PCIA mechanism for market/”bundled” energy storage contracts beyond 10 years. </w:t>
      </w:r>
      <w:r w:rsidR="00377B5E">
        <w:t xml:space="preserve"> </w:t>
      </w:r>
      <w:r w:rsidR="00D56DE5">
        <w:t xml:space="preserve">It directed the IOUs to submit for Commission review and approval a “Joint </w:t>
      </w:r>
      <w:r w:rsidR="007818B5">
        <w:t>IOU</w:t>
      </w:r>
      <w:r w:rsidR="00D56DE5">
        <w:t xml:space="preserve"> Protocol” proposal for a PCIA methodology to determine potential above market stranded cost of bundled service storage (procured in the 2</w:t>
      </w:r>
      <w:r w:rsidR="002827F2">
        <w:t>014-2016 solicitation</w:t>
      </w:r>
      <w:r w:rsidR="00D31AE4">
        <w:t>)</w:t>
      </w:r>
      <w:r w:rsidR="002827F2">
        <w:t>.</w:t>
      </w:r>
    </w:p>
    <w:p w:rsidR="008B25C5" w:rsidRDefault="00377B5E" w:rsidP="008B25C5">
      <w:pPr>
        <w:pStyle w:val="standard"/>
      </w:pPr>
      <w:r>
        <w:t xml:space="preserve">The </w:t>
      </w:r>
      <w:r w:rsidR="00CA2571">
        <w:t xml:space="preserve">compliance </w:t>
      </w:r>
      <w:r>
        <w:t xml:space="preserve">decision </w:t>
      </w:r>
      <w:r w:rsidR="008413CA">
        <w:t xml:space="preserve">deferred the resolution of the </w:t>
      </w:r>
      <w:r>
        <w:t xml:space="preserve">“dual usage” cost recovery proposal for combined generation/distribution energy storage but directed IOUs to file “dual use” cost recovery methodologies for combined generation/distribution storage projects if and when they propose such projects to the Commission for approval.  </w:t>
      </w:r>
    </w:p>
    <w:p w:rsidR="00AC7CB4" w:rsidRDefault="00F163B3" w:rsidP="008B25C5">
      <w:pPr>
        <w:pStyle w:val="standard"/>
      </w:pPr>
      <w:r>
        <w:t>The compliance decision</w:t>
      </w:r>
      <w:r w:rsidR="00377B5E">
        <w:t xml:space="preserve"> approved</w:t>
      </w:r>
      <w:r w:rsidR="00BA71B8">
        <w:t xml:space="preserve"> the proposed</w:t>
      </w:r>
      <w:r w:rsidR="00377B5E">
        <w:t xml:space="preserve"> IOU CEP, with some modifications, for reporting and benchmarking purposes, and proprietary evaluation protocols for bid selection, and directed that these </w:t>
      </w:r>
      <w:r w:rsidR="0004378B">
        <w:t>protocols</w:t>
      </w:r>
      <w:r w:rsidR="00377B5E">
        <w:t xml:space="preserve"> be </w:t>
      </w:r>
      <w:r w:rsidR="008413CA">
        <w:t xml:space="preserve">used </w:t>
      </w:r>
      <w:r w:rsidR="00377B5E">
        <w:t xml:space="preserve">in December 2014 solicitation requirements and bid materials. </w:t>
      </w:r>
    </w:p>
    <w:p w:rsidR="00377B5E" w:rsidRDefault="00F163B3" w:rsidP="00AC7CB4">
      <w:pPr>
        <w:pStyle w:val="standard"/>
      </w:pPr>
      <w:r>
        <w:lastRenderedPageBreak/>
        <w:t>Given</w:t>
      </w:r>
      <w:r w:rsidR="008B25C5">
        <w:t xml:space="preserve"> </w:t>
      </w:r>
      <w:r w:rsidR="00542093">
        <w:t xml:space="preserve">changing market conditions in a nascent </w:t>
      </w:r>
      <w:r w:rsidR="00FA097D">
        <w:t xml:space="preserve">storage </w:t>
      </w:r>
      <w:r w:rsidR="00542093">
        <w:t>market</w:t>
      </w:r>
      <w:r w:rsidR="002827F2">
        <w:t xml:space="preserve"> and the aggressive timelines to implement </w:t>
      </w:r>
      <w:r w:rsidR="00CA2571">
        <w:t>the decisions</w:t>
      </w:r>
      <w:r w:rsidR="002827F2">
        <w:t xml:space="preserve">, </w:t>
      </w:r>
      <w:r w:rsidR="00377B5E">
        <w:t xml:space="preserve">the Commission allowed some flexibility to consider adjustments to help resolve contentious issues </w:t>
      </w:r>
      <w:r w:rsidR="00B459E9">
        <w:t>in future</w:t>
      </w:r>
      <w:r w:rsidR="006E6179">
        <w:t xml:space="preserve"> solicitations and </w:t>
      </w:r>
      <w:r w:rsidR="00B459E9">
        <w:t>biennial periods</w:t>
      </w:r>
      <w:r w:rsidR="00377B5E">
        <w:t>:</w:t>
      </w:r>
    </w:p>
    <w:p w:rsidR="00377B5E" w:rsidRPr="009A102B" w:rsidRDefault="00B459E9" w:rsidP="009A102B">
      <w:pPr>
        <w:pStyle w:val="Quote"/>
      </w:pPr>
      <w:r w:rsidRPr="009A102B">
        <w:t xml:space="preserve">As to subsequent solicitations beyond </w:t>
      </w:r>
      <w:r w:rsidR="008B25C5" w:rsidRPr="009A102B">
        <w:t>the 2014 Biennial Procurement Period, the Commission may consider other venues such as worksh</w:t>
      </w:r>
      <w:r w:rsidR="008B25C5" w:rsidRPr="003962AE">
        <w:t>o</w:t>
      </w:r>
      <w:r w:rsidR="008B25C5" w:rsidRPr="009A102B">
        <w:t>ps or Order Instituting Rulemaking</w:t>
      </w:r>
      <w:r w:rsidR="00733DF3">
        <w:t xml:space="preserve"> [OIR]</w:t>
      </w:r>
      <w:r w:rsidR="008B25C5" w:rsidRPr="009A102B">
        <w:t xml:space="preserve"> to help resolve contentious issues including, but not limited to: </w:t>
      </w:r>
      <w:r w:rsidR="00690BBF" w:rsidRPr="009A102B">
        <w:t xml:space="preserve"> </w:t>
      </w:r>
      <w:r w:rsidR="008B25C5" w:rsidRPr="009A102B">
        <w:t>1) storage definition and eligibility rules; 2) PCIA to recover above-market stranded and Dual Usage cost recovery methodologies; and 3) extension of PCIA treatment to the life of the contract beyond 10 years.</w:t>
      </w:r>
      <w:r w:rsidR="008B25C5" w:rsidRPr="009A102B">
        <w:rPr>
          <w:vertAlign w:val="superscript"/>
        </w:rPr>
        <w:footnoteReference w:id="7"/>
      </w:r>
    </w:p>
    <w:p w:rsidR="00F57A96" w:rsidRPr="00582E0B" w:rsidRDefault="006D733E" w:rsidP="001D0F77">
      <w:pPr>
        <w:pStyle w:val="Heading2"/>
      </w:pPr>
      <w:bookmarkStart w:id="10" w:name="_Toc414880645"/>
      <w:r w:rsidRPr="00582E0B">
        <w:t xml:space="preserve">California </w:t>
      </w:r>
      <w:r w:rsidR="008B5BBC" w:rsidRPr="00582E0B">
        <w:t>Energy Storage Roadmap</w:t>
      </w:r>
      <w:bookmarkEnd w:id="10"/>
    </w:p>
    <w:p w:rsidR="007B2209" w:rsidRPr="002827F2" w:rsidRDefault="00385F0A">
      <w:pPr>
        <w:pStyle w:val="standard"/>
      </w:pPr>
      <w:r w:rsidRPr="002827F2">
        <w:t xml:space="preserve">Following the issuance of the three energy storage decisions, in </w:t>
      </w:r>
      <w:r w:rsidR="00DE1D04">
        <w:br/>
      </w:r>
      <w:r w:rsidR="007B2209" w:rsidRPr="002827F2">
        <w:t xml:space="preserve">December 2014, the </w:t>
      </w:r>
      <w:r w:rsidR="008151ED">
        <w:t>ISO,</w:t>
      </w:r>
      <w:r w:rsidR="007B2209" w:rsidRPr="002827F2">
        <w:t xml:space="preserve"> the </w:t>
      </w:r>
      <w:r w:rsidR="00C00B71">
        <w:t>CPUC</w:t>
      </w:r>
      <w:r w:rsidR="007B2209" w:rsidRPr="002827F2">
        <w:t xml:space="preserve"> and the California Energy Commission, in cooperation with 400 interested parties, including utilities, energy storage developers, generators, environmental groups and other i</w:t>
      </w:r>
      <w:r w:rsidR="008F721E" w:rsidRPr="002827F2">
        <w:t>ndustry stakeholders published “</w:t>
      </w:r>
      <w:r w:rsidR="00234862" w:rsidRPr="002827F2">
        <w:t>A</w:t>
      </w:r>
      <w:r w:rsidR="007B2209" w:rsidRPr="002827F2">
        <w:t xml:space="preserve">dvancing and Maximizing the Value of Energy Storage Technology-A California Roadmap” (Storage Roadmap). </w:t>
      </w:r>
    </w:p>
    <w:p w:rsidR="007B2209" w:rsidRPr="002827F2" w:rsidRDefault="007B2209" w:rsidP="00057756">
      <w:pPr>
        <w:pStyle w:val="standard"/>
      </w:pPr>
      <w:r w:rsidRPr="002827F2">
        <w:t xml:space="preserve">The [Storage] [R]oadmap focuses on actions that address three categories of challenges expressed by stakeholders: </w:t>
      </w:r>
    </w:p>
    <w:p w:rsidR="007B2209" w:rsidRPr="002827F2" w:rsidRDefault="007B2209" w:rsidP="00057756">
      <w:pPr>
        <w:pStyle w:val="standard"/>
        <w:numPr>
          <w:ilvl w:val="0"/>
          <w:numId w:val="31"/>
        </w:numPr>
        <w:spacing w:after="120" w:line="240" w:lineRule="auto"/>
        <w:ind w:left="1080" w:right="1440"/>
      </w:pPr>
      <w:r w:rsidRPr="002827F2">
        <w:t>Expanding revenue opportunities</w:t>
      </w:r>
      <w:r w:rsidR="006730A7">
        <w:t>;</w:t>
      </w:r>
    </w:p>
    <w:p w:rsidR="007B2209" w:rsidRPr="002827F2" w:rsidRDefault="007B2209" w:rsidP="00057756">
      <w:pPr>
        <w:pStyle w:val="standard"/>
        <w:numPr>
          <w:ilvl w:val="0"/>
          <w:numId w:val="31"/>
        </w:numPr>
        <w:spacing w:after="120" w:line="240" w:lineRule="auto"/>
        <w:ind w:left="1080" w:right="1440"/>
      </w:pPr>
      <w:r w:rsidRPr="002827F2">
        <w:t>Reducing costs of integrating and connecting to the grid</w:t>
      </w:r>
      <w:r w:rsidR="006730A7">
        <w:t>; and</w:t>
      </w:r>
    </w:p>
    <w:p w:rsidR="007B2209" w:rsidRPr="00057756" w:rsidRDefault="007B2209" w:rsidP="00057756">
      <w:pPr>
        <w:pStyle w:val="standard"/>
        <w:numPr>
          <w:ilvl w:val="0"/>
          <w:numId w:val="31"/>
        </w:numPr>
        <w:spacing w:after="120" w:line="240" w:lineRule="auto"/>
        <w:ind w:left="1080" w:right="1440"/>
      </w:pPr>
      <w:r w:rsidRPr="002827F2">
        <w:t>Streamlining and spelling out policies and processes to increase certainty</w:t>
      </w:r>
      <w:r w:rsidR="0092625D">
        <w:t>.</w:t>
      </w:r>
    </w:p>
    <w:p w:rsidR="00F57A96" w:rsidRPr="00553AF2" w:rsidRDefault="007B2209" w:rsidP="00057756">
      <w:pPr>
        <w:pStyle w:val="standard"/>
      </w:pPr>
      <w:r w:rsidRPr="002827F2">
        <w:lastRenderedPageBreak/>
        <w:t xml:space="preserve">It analyzes the current state to identity needed actions, sets priorities for the next steps and defines the responsibilities of each organization to address the issues. </w:t>
      </w:r>
      <w:r w:rsidR="006730A7">
        <w:t xml:space="preserve"> </w:t>
      </w:r>
      <w:r w:rsidRPr="002827F2">
        <w:t xml:space="preserve">The document highlights actions and will act as a platform to inform future regulatory proceedings, initiatives, and policies; however, it does not lay out a plan to perform </w:t>
      </w:r>
      <w:r w:rsidR="009A60FB" w:rsidRPr="002827F2">
        <w:t>t</w:t>
      </w:r>
      <w:r w:rsidRPr="002827F2">
        <w:t xml:space="preserve">hem.  Work on many of those actions </w:t>
      </w:r>
      <w:r w:rsidR="00A376E4">
        <w:t>is</w:t>
      </w:r>
      <w:r w:rsidR="00A376E4" w:rsidRPr="002827F2">
        <w:t xml:space="preserve"> </w:t>
      </w:r>
      <w:r w:rsidR="009F2D0E" w:rsidRPr="002827F2">
        <w:t>underway or planned</w:t>
      </w:r>
      <w:r w:rsidR="00F57A96" w:rsidRPr="00057756">
        <w:t>.</w:t>
      </w:r>
      <w:r w:rsidR="009F2D0E" w:rsidRPr="00057756">
        <w:rPr>
          <w:sz w:val="24"/>
          <w:szCs w:val="24"/>
          <w:vertAlign w:val="superscript"/>
        </w:rPr>
        <w:footnoteReference w:id="8"/>
      </w:r>
    </w:p>
    <w:p w:rsidR="00B25DB9" w:rsidRPr="00CA2571" w:rsidRDefault="009F2D0E" w:rsidP="009F2D0E">
      <w:pPr>
        <w:pStyle w:val="standard"/>
      </w:pPr>
      <w:r w:rsidRPr="002827F2">
        <w:t xml:space="preserve">With the passage of </w:t>
      </w:r>
      <w:r w:rsidR="00AB0CDB">
        <w:t>AB</w:t>
      </w:r>
      <w:r w:rsidRPr="002827F2">
        <w:t xml:space="preserve"> 2514 and the resulting CPUC decisions to adopt energy storage targets and implement the first utility plans for the</w:t>
      </w:r>
      <w:r w:rsidR="00165FD6">
        <w:t xml:space="preserve"> 2014-2016 biennial procurement </w:t>
      </w:r>
      <w:r w:rsidRPr="002827F2">
        <w:t xml:space="preserve">period, a </w:t>
      </w:r>
      <w:r w:rsidR="00CA2571">
        <w:t xml:space="preserve">strong </w:t>
      </w:r>
      <w:r w:rsidRPr="002827F2">
        <w:t xml:space="preserve">foundation has been laid to introduce more storage resources into the </w:t>
      </w:r>
      <w:r w:rsidR="007E53BD">
        <w:t>power grid</w:t>
      </w:r>
      <w:r w:rsidRPr="002827F2">
        <w:t xml:space="preserve">.  Although much progress has been made in </w:t>
      </w:r>
      <w:r w:rsidR="007E53BD">
        <w:t xml:space="preserve">the </w:t>
      </w:r>
      <w:r w:rsidR="006E6179" w:rsidRPr="002827F2">
        <w:t xml:space="preserve">emerging </w:t>
      </w:r>
      <w:r w:rsidR="007E53BD">
        <w:t xml:space="preserve">storage </w:t>
      </w:r>
      <w:r w:rsidRPr="002827F2">
        <w:t xml:space="preserve">market, </w:t>
      </w:r>
      <w:r w:rsidR="00234862" w:rsidRPr="002827F2">
        <w:t>some</w:t>
      </w:r>
      <w:r w:rsidRPr="002827F2">
        <w:t xml:space="preserve"> </w:t>
      </w:r>
      <w:r w:rsidR="006D7BF1" w:rsidRPr="002827F2">
        <w:t>“</w:t>
      </w:r>
      <w:r w:rsidRPr="002827F2">
        <w:t>unanswered questions</w:t>
      </w:r>
      <w:r w:rsidR="006D7BF1" w:rsidRPr="002827F2">
        <w:t>”</w:t>
      </w:r>
      <w:r w:rsidRPr="002827F2">
        <w:t xml:space="preserve"> propelled the CPUC, Energy Commission, and ISO to partner to develop the </w:t>
      </w:r>
      <w:r w:rsidR="00B25DB9" w:rsidRPr="002827F2">
        <w:t>Storage Roadmap</w:t>
      </w:r>
      <w:r w:rsidR="00CA2571">
        <w:t xml:space="preserve"> or interagency energy storage “action plan.”</w:t>
      </w:r>
      <w:r w:rsidR="00B25DB9" w:rsidRPr="00D56DE5">
        <w:rPr>
          <w:rFonts w:ascii="Palatino Linotype" w:hAnsi="Palatino Linotype"/>
          <w:sz w:val="24"/>
          <w:szCs w:val="24"/>
        </w:rPr>
        <w:t xml:space="preserve">  </w:t>
      </w:r>
      <w:r w:rsidR="00845CFE">
        <w:t>To meet the aforementioned challenges</w:t>
      </w:r>
      <w:r w:rsidR="00CA2571" w:rsidRPr="00CA2571">
        <w:t xml:space="preserve">, each agency is accountable for specific or shared deliverables in specific </w:t>
      </w:r>
      <w:r w:rsidR="00845CFE">
        <w:t xml:space="preserve">areas </w:t>
      </w:r>
      <w:r w:rsidR="00CA2571" w:rsidRPr="00CA2571">
        <w:t>(e.g., planning, market participation, rate treatment, procurement)</w:t>
      </w:r>
      <w:r w:rsidR="00FA097D">
        <w:t xml:space="preserve">; </w:t>
      </w:r>
      <w:r w:rsidR="00452225">
        <w:t xml:space="preserve">each </w:t>
      </w:r>
      <w:r w:rsidR="00165FD6">
        <w:t xml:space="preserve">deliverable is designated </w:t>
      </w:r>
      <w:r w:rsidR="000F3A69">
        <w:t>a</w:t>
      </w:r>
      <w:r w:rsidR="00CA2571" w:rsidRPr="00CA2571">
        <w:t xml:space="preserve"> “high,” “medium,” or “low</w:t>
      </w:r>
      <w:r w:rsidR="00845CFE">
        <w:t>”</w:t>
      </w:r>
      <w:r w:rsidR="00CA2571" w:rsidRPr="00CA2571">
        <w:t xml:space="preserve"> </w:t>
      </w:r>
      <w:r w:rsidR="000F3A69">
        <w:t>priority.</w:t>
      </w:r>
    </w:p>
    <w:p w:rsidR="005C02E7" w:rsidRPr="001D0F77" w:rsidRDefault="00B25DB9" w:rsidP="009F2D0E">
      <w:pPr>
        <w:pStyle w:val="standard"/>
      </w:pPr>
      <w:r w:rsidRPr="002827F2">
        <w:t xml:space="preserve">Many </w:t>
      </w:r>
      <w:r w:rsidR="006E6179" w:rsidRPr="002827F2">
        <w:t>Commission</w:t>
      </w:r>
      <w:r w:rsidRPr="002827F2">
        <w:t xml:space="preserve"> proceeding</w:t>
      </w:r>
      <w:r w:rsidR="006E6179" w:rsidRPr="002827F2">
        <w:t>s</w:t>
      </w:r>
      <w:r w:rsidRPr="002827F2">
        <w:t xml:space="preserve"> and </w:t>
      </w:r>
      <w:r w:rsidR="007209C5" w:rsidRPr="002827F2">
        <w:t xml:space="preserve">initiatives </w:t>
      </w:r>
      <w:r w:rsidRPr="002827F2">
        <w:t>are directly related to ene</w:t>
      </w:r>
      <w:r w:rsidR="00065033">
        <w:t>rgy storage procurement and/</w:t>
      </w:r>
      <w:r w:rsidRPr="002827F2">
        <w:t>or interconnection</w:t>
      </w:r>
      <w:r w:rsidR="007209C5" w:rsidRPr="002827F2">
        <w:t xml:space="preserve"> while others establish policies or incentives for installation of energy storage.</w:t>
      </w:r>
      <w:r w:rsidR="00BA71B8">
        <w:rPr>
          <w:rStyle w:val="FootnoteReference"/>
        </w:rPr>
        <w:footnoteReference w:id="9"/>
      </w:r>
      <w:r w:rsidR="00BA71B8" w:rsidRPr="002827F2">
        <w:t xml:space="preserve"> </w:t>
      </w:r>
      <w:r w:rsidR="007209C5" w:rsidRPr="002827F2">
        <w:t xml:space="preserve"> In this rulemaking, in addition to storage procurement and design program issues, we address a more limited set of </w:t>
      </w:r>
      <w:r w:rsidR="00D056B0">
        <w:t xml:space="preserve">three </w:t>
      </w:r>
      <w:r w:rsidR="00547D30" w:rsidRPr="002827F2">
        <w:t>action items</w:t>
      </w:r>
      <w:r w:rsidR="007209C5" w:rsidRPr="002827F2">
        <w:t xml:space="preserve"> </w:t>
      </w:r>
      <w:r w:rsidR="007E53BD">
        <w:t xml:space="preserve">from the </w:t>
      </w:r>
      <w:r w:rsidR="006604A7">
        <w:t xml:space="preserve">Storage </w:t>
      </w:r>
      <w:r w:rsidR="007E53BD">
        <w:t xml:space="preserve">Roadmap </w:t>
      </w:r>
      <w:r w:rsidR="00D056B0">
        <w:t xml:space="preserve">that relate to </w:t>
      </w:r>
      <w:r w:rsidR="00D056B0">
        <w:lastRenderedPageBreak/>
        <w:t xml:space="preserve">planning, market participation, or procurement areas, </w:t>
      </w:r>
      <w:r w:rsidR="006E6179" w:rsidRPr="002827F2">
        <w:t xml:space="preserve">as </w:t>
      </w:r>
      <w:r w:rsidR="000E333F" w:rsidRPr="002827F2">
        <w:t>detailed</w:t>
      </w:r>
      <w:r w:rsidR="00D056B0">
        <w:t xml:space="preserve"> in </w:t>
      </w:r>
      <w:r w:rsidR="00F24F5C">
        <w:t xml:space="preserve">the </w:t>
      </w:r>
      <w:r w:rsidR="00D056B0">
        <w:t xml:space="preserve">following </w:t>
      </w:r>
      <w:r w:rsidR="00F24F5C">
        <w:t xml:space="preserve">preliminary </w:t>
      </w:r>
      <w:r w:rsidR="00547D30" w:rsidRPr="002827F2">
        <w:t>scope of this proceeding</w:t>
      </w:r>
      <w:r w:rsidR="00845CFE">
        <w:t>.</w:t>
      </w:r>
      <w:r w:rsidR="005C02E7" w:rsidRPr="00057756">
        <w:rPr>
          <w:sz w:val="24"/>
          <w:szCs w:val="24"/>
          <w:vertAlign w:val="superscript"/>
        </w:rPr>
        <w:footnoteReference w:id="10"/>
      </w:r>
    </w:p>
    <w:p w:rsidR="00F57A96" w:rsidRPr="00186D6E" w:rsidRDefault="00165FD6" w:rsidP="00F232C1">
      <w:pPr>
        <w:pStyle w:val="Heading1"/>
      </w:pPr>
      <w:bookmarkStart w:id="11" w:name="_Toc414880646"/>
      <w:r>
        <w:t xml:space="preserve">Preliminary </w:t>
      </w:r>
      <w:r w:rsidR="00F57A96" w:rsidRPr="00186D6E">
        <w:t xml:space="preserve">Scope of </w:t>
      </w:r>
      <w:r w:rsidR="00F57A96" w:rsidRPr="00F232C1">
        <w:t>This</w:t>
      </w:r>
      <w:r w:rsidR="00F57A96" w:rsidRPr="00186D6E">
        <w:t xml:space="preserve"> Proceeding</w:t>
      </w:r>
      <w:bookmarkEnd w:id="11"/>
    </w:p>
    <w:p w:rsidR="00C005E7" w:rsidRDefault="00C005E7" w:rsidP="00C005E7">
      <w:pPr>
        <w:pStyle w:val="standard"/>
      </w:pPr>
      <w:r w:rsidRPr="002827F2">
        <w:t>As set forth in Rule 7.1(d)</w:t>
      </w:r>
      <w:r w:rsidR="00165FD6">
        <w:t>,</w:t>
      </w:r>
      <w:r w:rsidR="00AB24C7">
        <w:rPr>
          <w:rStyle w:val="FootnoteReference"/>
        </w:rPr>
        <w:footnoteReference w:id="11"/>
      </w:r>
      <w:r w:rsidRPr="002827F2">
        <w:t xml:space="preserve"> we include a preliminary scoping memo in this </w:t>
      </w:r>
      <w:r w:rsidR="006E6179" w:rsidRPr="002827F2">
        <w:t>rulemaking</w:t>
      </w:r>
      <w:r w:rsidRPr="002827F2">
        <w:t xml:space="preserve">. </w:t>
      </w:r>
      <w:r w:rsidR="00542093" w:rsidRPr="002827F2">
        <w:t xml:space="preserve"> </w:t>
      </w:r>
      <w:r w:rsidRPr="002827F2">
        <w:t xml:space="preserve">As discussed in the sections below, this preliminary scoping memo is composed of the proposed issues, preliminary determination of category, preliminary determination of need for hearing, and proposed schedule. </w:t>
      </w:r>
    </w:p>
    <w:p w:rsidR="00845CFE" w:rsidRPr="008F721E" w:rsidRDefault="00845CFE" w:rsidP="00845CFE">
      <w:pPr>
        <w:pStyle w:val="standard"/>
      </w:pPr>
      <w:r>
        <w:t xml:space="preserve">As the three IOUs conduct bid solicitations and award bids to satisfy requirements in fulfillment of energy storage targets, both the aforementioned decisions and Storage Roadmap raise a number of policy and implementation </w:t>
      </w:r>
      <w:r w:rsidR="002A1C73">
        <w:t xml:space="preserve">questions </w:t>
      </w:r>
      <w:r>
        <w:t xml:space="preserve">that were either </w:t>
      </w:r>
      <w:r w:rsidR="002A1C73">
        <w:t>short-term only</w:t>
      </w:r>
      <w:r>
        <w:t xml:space="preserve"> (i.e.</w:t>
      </w:r>
      <w:r w:rsidR="0092625D">
        <w:t>,</w:t>
      </w:r>
      <w:r>
        <w:t xml:space="preserve"> addressed </w:t>
      </w:r>
      <w:r w:rsidRPr="002827F2">
        <w:t>only</w:t>
      </w:r>
      <w:r w:rsidR="002A1C73">
        <w:t xml:space="preserve"> through </w:t>
      </w:r>
      <w:r>
        <w:t xml:space="preserve">the </w:t>
      </w:r>
      <w:r w:rsidR="002A1C73">
        <w:br/>
      </w:r>
      <w:r>
        <w:t xml:space="preserve">2014-2016 solicitation), not clear, or unaddressed.  </w:t>
      </w:r>
      <w:r w:rsidRPr="002827F2">
        <w:t xml:space="preserve">These “open” questions and other </w:t>
      </w:r>
      <w:r w:rsidR="00EC6CAB">
        <w:t>“</w:t>
      </w:r>
      <w:r w:rsidRPr="002827F2">
        <w:t>emerging</w:t>
      </w:r>
      <w:r w:rsidR="00EC6CAB">
        <w:t>”</w:t>
      </w:r>
      <w:r w:rsidRPr="002827F2">
        <w:t xml:space="preserve"> issues form the foundation of the scoping issues listed below</w:t>
      </w:r>
      <w:r w:rsidRPr="00057756">
        <w:t xml:space="preserve">. </w:t>
      </w:r>
    </w:p>
    <w:p w:rsidR="00907512" w:rsidRPr="00FA097D" w:rsidRDefault="00907512" w:rsidP="009A102B">
      <w:pPr>
        <w:spacing w:after="120"/>
        <w:ind w:left="720"/>
        <w:rPr>
          <w:b/>
        </w:rPr>
      </w:pPr>
      <w:r w:rsidRPr="00FA097D">
        <w:rPr>
          <w:b/>
        </w:rPr>
        <w:t>Issue 1:</w:t>
      </w:r>
      <w:r w:rsidR="002A1C73" w:rsidRPr="00FA097D">
        <w:rPr>
          <w:b/>
        </w:rPr>
        <w:t xml:space="preserve"> </w:t>
      </w:r>
      <w:r w:rsidRPr="00FA097D">
        <w:rPr>
          <w:b/>
        </w:rPr>
        <w:t xml:space="preserve"> Address Outstanding Implementation</w:t>
      </w:r>
      <w:r w:rsidR="002F178D" w:rsidRPr="00FA097D">
        <w:rPr>
          <w:b/>
        </w:rPr>
        <w:t xml:space="preserve"> Issues pertaining to </w:t>
      </w:r>
      <w:r w:rsidR="002A1C73" w:rsidRPr="00FA097D">
        <w:rPr>
          <w:b/>
        </w:rPr>
        <w:br/>
      </w:r>
      <w:r w:rsidRPr="00FA097D">
        <w:rPr>
          <w:b/>
        </w:rPr>
        <w:t xml:space="preserve">D.13-10-040 (“Decision Adopting Energy Storage Procurement Framework and Design Program”) </w:t>
      </w:r>
    </w:p>
    <w:p w:rsidR="00907512" w:rsidRPr="002827F2" w:rsidRDefault="00907512" w:rsidP="002F2D0B">
      <w:pPr>
        <w:pStyle w:val="ListParagraph"/>
        <w:spacing w:after="240"/>
        <w:ind w:right="1080"/>
        <w:rPr>
          <w:rFonts w:ascii="Palatino" w:hAnsi="Palatino"/>
          <w:sz w:val="26"/>
          <w:szCs w:val="20"/>
        </w:rPr>
      </w:pPr>
      <w:r w:rsidRPr="002827F2">
        <w:rPr>
          <w:rFonts w:ascii="Palatino" w:hAnsi="Palatino"/>
          <w:sz w:val="26"/>
          <w:szCs w:val="20"/>
        </w:rPr>
        <w:t xml:space="preserve">1(a) Develop a Measurement and Evaluation (M&amp;E) plan for 2016 </w:t>
      </w:r>
      <w:r w:rsidR="002F2D0B">
        <w:rPr>
          <w:rFonts w:ascii="Palatino" w:hAnsi="Palatino"/>
          <w:sz w:val="26"/>
          <w:szCs w:val="20"/>
        </w:rPr>
        <w:t>(Energy </w:t>
      </w:r>
      <w:r w:rsidR="000B18DA" w:rsidRPr="002827F2">
        <w:rPr>
          <w:rFonts w:ascii="Palatino" w:hAnsi="Palatino"/>
          <w:sz w:val="26"/>
          <w:szCs w:val="20"/>
        </w:rPr>
        <w:t xml:space="preserve">Division) </w:t>
      </w:r>
    </w:p>
    <w:p w:rsidR="00907512" w:rsidRPr="002827F2" w:rsidRDefault="0031655A" w:rsidP="0092626D">
      <w:pPr>
        <w:pStyle w:val="ListParagraph"/>
        <w:numPr>
          <w:ilvl w:val="1"/>
          <w:numId w:val="12"/>
        </w:numPr>
        <w:spacing w:after="120"/>
        <w:ind w:right="1440"/>
        <w:rPr>
          <w:rFonts w:ascii="Palatino" w:hAnsi="Palatino"/>
          <w:sz w:val="26"/>
          <w:szCs w:val="20"/>
        </w:rPr>
      </w:pPr>
      <w:r w:rsidRPr="002827F2">
        <w:rPr>
          <w:rFonts w:ascii="Palatino" w:hAnsi="Palatino"/>
          <w:sz w:val="26"/>
          <w:szCs w:val="20"/>
        </w:rPr>
        <w:t>D.13-10-040 requires Energy Division to c</w:t>
      </w:r>
      <w:r w:rsidR="00907512" w:rsidRPr="002827F2">
        <w:rPr>
          <w:rFonts w:ascii="Palatino" w:hAnsi="Palatino"/>
          <w:sz w:val="26"/>
          <w:szCs w:val="20"/>
        </w:rPr>
        <w:t>onduct a comprehensive evaluation of the Storage Framework by no later than 2016 and every 3 years thereafter</w:t>
      </w:r>
      <w:r w:rsidR="000B18DA" w:rsidRPr="002827F2">
        <w:rPr>
          <w:rFonts w:ascii="Palatino" w:hAnsi="Palatino"/>
          <w:sz w:val="26"/>
          <w:szCs w:val="20"/>
        </w:rPr>
        <w:t xml:space="preserve"> that demonstrates the following:</w:t>
      </w:r>
    </w:p>
    <w:p w:rsidR="00907512" w:rsidRPr="002827F2" w:rsidRDefault="00907512" w:rsidP="0092626D">
      <w:pPr>
        <w:pStyle w:val="ListParagraph"/>
        <w:numPr>
          <w:ilvl w:val="0"/>
          <w:numId w:val="18"/>
        </w:numPr>
        <w:spacing w:after="120"/>
        <w:ind w:left="1440" w:right="1440"/>
        <w:rPr>
          <w:rFonts w:ascii="Palatino" w:hAnsi="Palatino"/>
          <w:sz w:val="26"/>
          <w:szCs w:val="20"/>
        </w:rPr>
      </w:pPr>
      <w:r w:rsidRPr="002827F2">
        <w:rPr>
          <w:rFonts w:ascii="Palatino" w:hAnsi="Palatino"/>
          <w:sz w:val="26"/>
          <w:szCs w:val="20"/>
        </w:rPr>
        <w:t xml:space="preserve">Whether the energy storage procured pursuant to this proposal meets the stated purposes of optimizing the </w:t>
      </w:r>
      <w:r w:rsidRPr="002827F2">
        <w:rPr>
          <w:rFonts w:ascii="Palatino" w:hAnsi="Palatino"/>
          <w:sz w:val="26"/>
          <w:szCs w:val="20"/>
        </w:rPr>
        <w:lastRenderedPageBreak/>
        <w:t>grid, integrating renewables, and/or reducing greenhouse gas emissions;</w:t>
      </w:r>
    </w:p>
    <w:p w:rsidR="00907512" w:rsidRPr="002827F2" w:rsidRDefault="00907512" w:rsidP="0092626D">
      <w:pPr>
        <w:pStyle w:val="ListParagraph"/>
        <w:numPr>
          <w:ilvl w:val="0"/>
          <w:numId w:val="18"/>
        </w:numPr>
        <w:spacing w:after="120"/>
        <w:ind w:left="1440" w:right="1440"/>
        <w:rPr>
          <w:rFonts w:ascii="Palatino" w:hAnsi="Palatino"/>
          <w:sz w:val="26"/>
          <w:szCs w:val="20"/>
        </w:rPr>
      </w:pPr>
      <w:r w:rsidRPr="002827F2">
        <w:rPr>
          <w:rFonts w:ascii="Palatino" w:hAnsi="Palatino"/>
          <w:sz w:val="26"/>
          <w:szCs w:val="20"/>
        </w:rPr>
        <w:t>Progress toward market transformation;</w:t>
      </w:r>
    </w:p>
    <w:p w:rsidR="00907512" w:rsidRPr="002827F2" w:rsidRDefault="00907512" w:rsidP="0092626D">
      <w:pPr>
        <w:pStyle w:val="ListParagraph"/>
        <w:numPr>
          <w:ilvl w:val="0"/>
          <w:numId w:val="18"/>
        </w:numPr>
        <w:spacing w:after="120"/>
        <w:ind w:left="1440" w:right="1440"/>
        <w:rPr>
          <w:rFonts w:ascii="Palatino" w:hAnsi="Palatino"/>
          <w:sz w:val="26"/>
          <w:szCs w:val="20"/>
        </w:rPr>
      </w:pPr>
      <w:r w:rsidRPr="002827F2">
        <w:rPr>
          <w:rFonts w:ascii="Palatino" w:hAnsi="Palatino"/>
          <w:sz w:val="26"/>
          <w:szCs w:val="20"/>
        </w:rPr>
        <w:t>Learning from collection, analysis, and reporting of energy storage operational data; and</w:t>
      </w:r>
    </w:p>
    <w:p w:rsidR="00907512" w:rsidRPr="002827F2" w:rsidRDefault="00907512" w:rsidP="0092626D">
      <w:pPr>
        <w:pStyle w:val="ListParagraph"/>
        <w:numPr>
          <w:ilvl w:val="0"/>
          <w:numId w:val="18"/>
        </w:numPr>
        <w:spacing w:after="120"/>
        <w:ind w:left="1440" w:right="1440"/>
        <w:rPr>
          <w:rFonts w:ascii="Palatino" w:hAnsi="Palatino"/>
          <w:sz w:val="26"/>
          <w:szCs w:val="20"/>
        </w:rPr>
      </w:pPr>
      <w:r w:rsidRPr="002827F2">
        <w:rPr>
          <w:rFonts w:ascii="Palatino" w:hAnsi="Palatino"/>
          <w:sz w:val="26"/>
          <w:szCs w:val="20"/>
        </w:rPr>
        <w:t>Learning from collection, analysis, and reporting of the cost-effectiveness of the energy storage systems procured, with at</w:t>
      </w:r>
      <w:r w:rsidR="006059B3">
        <w:rPr>
          <w:rFonts w:ascii="Palatino" w:hAnsi="Palatino"/>
          <w:sz w:val="26"/>
          <w:szCs w:val="20"/>
        </w:rPr>
        <w:t>tention to data confidentiality;</w:t>
      </w:r>
    </w:p>
    <w:p w:rsidR="00907512" w:rsidRPr="00186D6E" w:rsidRDefault="00907512" w:rsidP="0092626D">
      <w:pPr>
        <w:pStyle w:val="ListParagraph"/>
        <w:numPr>
          <w:ilvl w:val="0"/>
          <w:numId w:val="18"/>
        </w:numPr>
        <w:spacing w:after="120"/>
        <w:ind w:left="1440" w:right="1440"/>
        <w:rPr>
          <w:rFonts w:ascii="Palatino" w:hAnsi="Palatino"/>
          <w:sz w:val="24"/>
          <w:szCs w:val="24"/>
        </w:rPr>
      </w:pPr>
      <w:r w:rsidRPr="002827F2">
        <w:rPr>
          <w:rFonts w:ascii="Palatino" w:hAnsi="Palatino"/>
          <w:sz w:val="26"/>
          <w:szCs w:val="20"/>
        </w:rPr>
        <w:t>Best practices for the safe operation of energy storage technologies</w:t>
      </w:r>
      <w:r w:rsidRPr="00186D6E">
        <w:rPr>
          <w:rFonts w:ascii="Palatino" w:hAnsi="Palatino"/>
          <w:sz w:val="24"/>
          <w:szCs w:val="24"/>
        </w:rPr>
        <w:t>.</w:t>
      </w:r>
      <w:r w:rsidRPr="00186D6E">
        <w:rPr>
          <w:rStyle w:val="FootnoteReference"/>
          <w:rFonts w:ascii="Palatino" w:hAnsi="Palatino"/>
          <w:szCs w:val="24"/>
        </w:rPr>
        <w:footnoteReference w:id="12"/>
      </w:r>
    </w:p>
    <w:p w:rsidR="00907512" w:rsidRPr="00FF2D7E" w:rsidRDefault="0031655A" w:rsidP="00401D7F">
      <w:pPr>
        <w:pStyle w:val="ListParagraph"/>
        <w:numPr>
          <w:ilvl w:val="1"/>
          <w:numId w:val="12"/>
        </w:numPr>
        <w:spacing w:after="120"/>
        <w:ind w:right="1440"/>
        <w:rPr>
          <w:rFonts w:ascii="Palatino" w:hAnsi="Palatino"/>
          <w:sz w:val="26"/>
          <w:szCs w:val="20"/>
        </w:rPr>
      </w:pPr>
      <w:r w:rsidRPr="00FF2D7E">
        <w:rPr>
          <w:rFonts w:ascii="Palatino" w:hAnsi="Palatino"/>
          <w:sz w:val="26"/>
          <w:szCs w:val="20"/>
        </w:rPr>
        <w:t>In this rulemaking, a plan shall be e</w:t>
      </w:r>
      <w:r w:rsidR="000B18DA" w:rsidRPr="00FF2D7E">
        <w:rPr>
          <w:rFonts w:ascii="Palatino" w:hAnsi="Palatino"/>
          <w:sz w:val="26"/>
          <w:szCs w:val="20"/>
        </w:rPr>
        <w:t>stablish</w:t>
      </w:r>
      <w:r w:rsidRPr="00FF2D7E">
        <w:rPr>
          <w:rFonts w:ascii="Palatino" w:hAnsi="Palatino"/>
          <w:sz w:val="26"/>
          <w:szCs w:val="20"/>
        </w:rPr>
        <w:t>ed</w:t>
      </w:r>
      <w:r w:rsidR="000B18DA" w:rsidRPr="00FF2D7E">
        <w:rPr>
          <w:rFonts w:ascii="Palatino" w:hAnsi="Palatino"/>
          <w:sz w:val="26"/>
          <w:szCs w:val="20"/>
        </w:rPr>
        <w:t xml:space="preserve"> </w:t>
      </w:r>
      <w:r w:rsidR="003C3614">
        <w:rPr>
          <w:rFonts w:ascii="Palatino" w:hAnsi="Palatino"/>
          <w:sz w:val="26"/>
          <w:szCs w:val="20"/>
        </w:rPr>
        <w:t xml:space="preserve">for </w:t>
      </w:r>
      <w:r w:rsidR="00907512" w:rsidRPr="00FF2D7E">
        <w:rPr>
          <w:rFonts w:ascii="Palatino" w:hAnsi="Palatino"/>
          <w:sz w:val="26"/>
          <w:szCs w:val="20"/>
        </w:rPr>
        <w:t>the 2016 evaluation</w:t>
      </w:r>
      <w:r w:rsidR="00BA71B8">
        <w:rPr>
          <w:rFonts w:ascii="Palatino" w:hAnsi="Palatino"/>
          <w:sz w:val="26"/>
          <w:szCs w:val="20"/>
        </w:rPr>
        <w:t xml:space="preserve"> plan</w:t>
      </w:r>
      <w:r w:rsidR="00907512" w:rsidRPr="00FF2D7E">
        <w:rPr>
          <w:rFonts w:ascii="Palatino" w:hAnsi="Palatino"/>
          <w:sz w:val="26"/>
          <w:szCs w:val="20"/>
        </w:rPr>
        <w:t xml:space="preserve">, including determining which studies </w:t>
      </w:r>
      <w:r w:rsidR="00487903">
        <w:rPr>
          <w:rFonts w:ascii="Palatino" w:hAnsi="Palatino"/>
          <w:sz w:val="26"/>
          <w:szCs w:val="20"/>
        </w:rPr>
        <w:br/>
      </w:r>
      <w:r w:rsidR="00907512" w:rsidRPr="00FF2D7E">
        <w:rPr>
          <w:rFonts w:ascii="Palatino" w:hAnsi="Palatino"/>
          <w:sz w:val="26"/>
          <w:szCs w:val="20"/>
        </w:rPr>
        <w:t>(e.g., cost-effectiveness, impact)</w:t>
      </w:r>
      <w:r w:rsidR="002F178D" w:rsidRPr="00FF2D7E">
        <w:rPr>
          <w:rFonts w:ascii="Palatino" w:hAnsi="Palatino"/>
          <w:sz w:val="26"/>
          <w:szCs w:val="20"/>
        </w:rPr>
        <w:t xml:space="preserve"> or other factors </w:t>
      </w:r>
      <w:r w:rsidR="00907512" w:rsidRPr="00FF2D7E">
        <w:rPr>
          <w:rFonts w:ascii="Palatino" w:hAnsi="Palatino"/>
          <w:sz w:val="26"/>
          <w:szCs w:val="20"/>
        </w:rPr>
        <w:t>shall be included in the evaluation.</w:t>
      </w:r>
    </w:p>
    <w:p w:rsidR="003C3614" w:rsidRDefault="000B18DA" w:rsidP="002F2D0B">
      <w:pPr>
        <w:pStyle w:val="ListParagraph"/>
        <w:spacing w:after="240"/>
        <w:ind w:right="1080"/>
        <w:rPr>
          <w:rFonts w:ascii="Palatino" w:hAnsi="Palatino"/>
          <w:sz w:val="26"/>
          <w:szCs w:val="20"/>
        </w:rPr>
      </w:pPr>
      <w:r w:rsidRPr="00FF2D7E">
        <w:rPr>
          <w:rFonts w:ascii="Palatino" w:hAnsi="Palatino"/>
          <w:sz w:val="26"/>
          <w:szCs w:val="20"/>
        </w:rPr>
        <w:t>1(b) Assess</w:t>
      </w:r>
      <w:r w:rsidR="00907512" w:rsidRPr="00FF2D7E">
        <w:rPr>
          <w:rFonts w:ascii="Palatino" w:hAnsi="Palatino"/>
          <w:sz w:val="26"/>
          <w:szCs w:val="20"/>
        </w:rPr>
        <w:t xml:space="preserve"> best practices and challenges within the procurement process in the context of a future proceeding and recommend, if needed, adjustments to the process.</w:t>
      </w:r>
    </w:p>
    <w:p w:rsidR="006604A7" w:rsidRDefault="006604A7" w:rsidP="00057756">
      <w:pPr>
        <w:pStyle w:val="ListParagraph"/>
        <w:numPr>
          <w:ilvl w:val="1"/>
          <w:numId w:val="12"/>
        </w:numPr>
        <w:spacing w:after="120"/>
        <w:ind w:right="1440"/>
        <w:rPr>
          <w:rFonts w:ascii="Palatino" w:hAnsi="Palatino"/>
          <w:sz w:val="26"/>
          <w:szCs w:val="20"/>
        </w:rPr>
      </w:pPr>
      <w:r>
        <w:rPr>
          <w:rFonts w:ascii="Palatino" w:hAnsi="Palatino"/>
          <w:sz w:val="26"/>
          <w:szCs w:val="20"/>
        </w:rPr>
        <w:t>D.13-10-040 directed IOUs to file procurement applications in biennial energy storage procurement periods 2016, 2018 and 2020 with any proposed modifications based on data and experiences from previous procurement periods.</w:t>
      </w:r>
      <w:r>
        <w:rPr>
          <w:rStyle w:val="FootnoteReference"/>
          <w:rFonts w:ascii="Palatino" w:hAnsi="Palatino"/>
          <w:szCs w:val="20"/>
        </w:rPr>
        <w:footnoteReference w:id="13"/>
      </w:r>
      <w:r w:rsidR="00A23F26">
        <w:rPr>
          <w:rFonts w:ascii="Palatino" w:hAnsi="Palatino"/>
          <w:sz w:val="26"/>
          <w:szCs w:val="20"/>
        </w:rPr>
        <w:t xml:space="preserve">  E</w:t>
      </w:r>
      <w:r w:rsidR="002835E2">
        <w:rPr>
          <w:rFonts w:ascii="Palatino" w:hAnsi="Palatino"/>
          <w:sz w:val="26"/>
          <w:szCs w:val="20"/>
        </w:rPr>
        <w:t>nergy Division</w:t>
      </w:r>
      <w:r w:rsidR="00A23F26">
        <w:rPr>
          <w:rFonts w:ascii="Palatino" w:hAnsi="Palatino"/>
          <w:sz w:val="26"/>
          <w:szCs w:val="20"/>
        </w:rPr>
        <w:t xml:space="preserve"> staff is continuously interacting with Independent Evaluators regarding the desired achievement of RFO “best practices.”</w:t>
      </w:r>
    </w:p>
    <w:p w:rsidR="006604A7" w:rsidRPr="00FF2D7E" w:rsidRDefault="006604A7" w:rsidP="00057756">
      <w:pPr>
        <w:pStyle w:val="ListParagraph"/>
        <w:numPr>
          <w:ilvl w:val="1"/>
          <w:numId w:val="12"/>
        </w:numPr>
        <w:spacing w:after="120"/>
        <w:ind w:right="1440"/>
        <w:rPr>
          <w:rFonts w:ascii="Palatino" w:hAnsi="Palatino"/>
          <w:sz w:val="26"/>
          <w:szCs w:val="20"/>
        </w:rPr>
      </w:pPr>
      <w:r>
        <w:rPr>
          <w:rFonts w:ascii="Palatino" w:hAnsi="Palatino"/>
          <w:sz w:val="26"/>
          <w:szCs w:val="20"/>
        </w:rPr>
        <w:t xml:space="preserve">In this rulemaking, we will strive for continuous improvement in energy storage program details and make </w:t>
      </w:r>
      <w:r w:rsidR="00534A68">
        <w:rPr>
          <w:rFonts w:ascii="Palatino" w:hAnsi="Palatino"/>
          <w:sz w:val="26"/>
          <w:szCs w:val="20"/>
        </w:rPr>
        <w:t xml:space="preserve">appropriate </w:t>
      </w:r>
      <w:r>
        <w:rPr>
          <w:rFonts w:ascii="Palatino" w:hAnsi="Palatino"/>
          <w:sz w:val="26"/>
          <w:szCs w:val="20"/>
        </w:rPr>
        <w:t>recommendations consistent with overall program objectives.</w:t>
      </w:r>
    </w:p>
    <w:p w:rsidR="00907512" w:rsidRPr="00FF2D7E" w:rsidRDefault="000B18DA" w:rsidP="002F2D0B">
      <w:pPr>
        <w:pStyle w:val="ListParagraph"/>
        <w:tabs>
          <w:tab w:val="left" w:pos="8280"/>
        </w:tabs>
        <w:spacing w:after="120"/>
        <w:ind w:right="1080"/>
        <w:rPr>
          <w:rFonts w:ascii="Palatino" w:hAnsi="Palatino"/>
          <w:sz w:val="26"/>
          <w:szCs w:val="20"/>
        </w:rPr>
      </w:pPr>
      <w:r w:rsidRPr="00FF2D7E">
        <w:rPr>
          <w:rFonts w:ascii="Palatino" w:hAnsi="Palatino"/>
          <w:sz w:val="26"/>
          <w:szCs w:val="20"/>
        </w:rPr>
        <w:t xml:space="preserve">1(c) Consider </w:t>
      </w:r>
      <w:r w:rsidR="00907512" w:rsidRPr="00FF2D7E">
        <w:rPr>
          <w:rFonts w:ascii="Palatino" w:hAnsi="Palatino"/>
          <w:sz w:val="26"/>
          <w:szCs w:val="20"/>
        </w:rPr>
        <w:t>revising allocation/fle</w:t>
      </w:r>
      <w:r w:rsidR="002F2D0B">
        <w:rPr>
          <w:rFonts w:ascii="Palatino" w:hAnsi="Palatino"/>
          <w:sz w:val="26"/>
          <w:szCs w:val="20"/>
        </w:rPr>
        <w:t>xibility of targets within grid</w:t>
      </w:r>
      <w:r w:rsidR="002F2D0B">
        <w:rPr>
          <w:rFonts w:ascii="Palatino" w:hAnsi="Palatino"/>
          <w:sz w:val="26"/>
          <w:szCs w:val="20"/>
        </w:rPr>
        <w:noBreakHyphen/>
      </w:r>
      <w:r w:rsidR="00907512" w:rsidRPr="00FF2D7E">
        <w:rPr>
          <w:rFonts w:ascii="Palatino" w:hAnsi="Palatino"/>
          <w:sz w:val="26"/>
          <w:szCs w:val="20"/>
        </w:rPr>
        <w:t>domains</w:t>
      </w:r>
      <w:r w:rsidR="00296120" w:rsidRPr="00FF2D7E">
        <w:rPr>
          <w:rFonts w:ascii="Palatino" w:hAnsi="Palatino"/>
          <w:sz w:val="26"/>
          <w:szCs w:val="20"/>
        </w:rPr>
        <w:t>.</w:t>
      </w:r>
    </w:p>
    <w:p w:rsidR="00296120" w:rsidRDefault="00296120" w:rsidP="00401D7F">
      <w:pPr>
        <w:pStyle w:val="ListParagraph"/>
        <w:numPr>
          <w:ilvl w:val="1"/>
          <w:numId w:val="12"/>
        </w:numPr>
        <w:spacing w:after="120"/>
        <w:ind w:right="1440"/>
        <w:rPr>
          <w:rFonts w:ascii="Palatino" w:hAnsi="Palatino"/>
          <w:sz w:val="24"/>
          <w:szCs w:val="24"/>
        </w:rPr>
      </w:pPr>
      <w:r w:rsidRPr="00FF2D7E">
        <w:rPr>
          <w:rFonts w:ascii="Palatino" w:hAnsi="Palatino"/>
          <w:sz w:val="26"/>
          <w:szCs w:val="20"/>
        </w:rPr>
        <w:lastRenderedPageBreak/>
        <w:t>D.</w:t>
      </w:r>
      <w:r w:rsidR="006059B3">
        <w:rPr>
          <w:rFonts w:ascii="Palatino" w:hAnsi="Palatino"/>
          <w:sz w:val="26"/>
          <w:szCs w:val="20"/>
        </w:rPr>
        <w:t xml:space="preserve">13-10-040 </w:t>
      </w:r>
      <w:r w:rsidRPr="00FF2D7E">
        <w:rPr>
          <w:rFonts w:ascii="Palatino" w:hAnsi="Palatino"/>
          <w:sz w:val="26"/>
          <w:szCs w:val="20"/>
        </w:rPr>
        <w:t>provided the IOUs some flexibility in shifting MW</w:t>
      </w:r>
      <w:r w:rsidR="0031655A" w:rsidRPr="00FF2D7E">
        <w:rPr>
          <w:rFonts w:ascii="Palatino" w:hAnsi="Palatino"/>
          <w:sz w:val="26"/>
          <w:szCs w:val="20"/>
        </w:rPr>
        <w:t>s</w:t>
      </w:r>
      <w:r w:rsidRPr="00FF2D7E">
        <w:rPr>
          <w:rFonts w:ascii="Palatino" w:hAnsi="Palatino"/>
          <w:sz w:val="26"/>
          <w:szCs w:val="20"/>
        </w:rPr>
        <w:t xml:space="preserve"> between targets.  Specifically, the IOU</w:t>
      </w:r>
      <w:r w:rsidR="00075020">
        <w:rPr>
          <w:rFonts w:ascii="Palatino" w:hAnsi="Palatino"/>
          <w:sz w:val="26"/>
          <w:szCs w:val="20"/>
        </w:rPr>
        <w:t>s</w:t>
      </w:r>
      <w:r w:rsidRPr="00FF2D7E">
        <w:rPr>
          <w:rFonts w:ascii="Palatino" w:hAnsi="Palatino"/>
          <w:sz w:val="26"/>
          <w:szCs w:val="20"/>
        </w:rPr>
        <w:t xml:space="preserve"> are allowed to shift up to 80% of MW</w:t>
      </w:r>
      <w:r w:rsidR="00845CFE">
        <w:rPr>
          <w:rFonts w:ascii="Palatino" w:hAnsi="Palatino"/>
          <w:sz w:val="26"/>
          <w:szCs w:val="20"/>
        </w:rPr>
        <w:t>s</w:t>
      </w:r>
      <w:r w:rsidRPr="00FF2D7E">
        <w:rPr>
          <w:rFonts w:ascii="Palatino" w:hAnsi="Palatino"/>
          <w:sz w:val="26"/>
          <w:szCs w:val="20"/>
        </w:rPr>
        <w:t xml:space="preserve"> between the Transmission and Distribution (T&amp;D) grid domains, but no shifting is allowed between the Customer and the T&amp;D domains</w:t>
      </w:r>
      <w:r w:rsidR="00032503">
        <w:rPr>
          <w:rFonts w:ascii="Palatino" w:hAnsi="Palatino"/>
          <w:sz w:val="24"/>
          <w:szCs w:val="24"/>
        </w:rPr>
        <w:t>.</w:t>
      </w:r>
      <w:r w:rsidR="00032503">
        <w:rPr>
          <w:rStyle w:val="FootnoteReference"/>
          <w:rFonts w:ascii="Palatino" w:hAnsi="Palatino"/>
          <w:szCs w:val="24"/>
        </w:rPr>
        <w:footnoteReference w:id="14"/>
      </w:r>
    </w:p>
    <w:p w:rsidR="00075020" w:rsidRPr="00186D6E" w:rsidRDefault="00075020" w:rsidP="00401D7F">
      <w:pPr>
        <w:pStyle w:val="ListParagraph"/>
        <w:numPr>
          <w:ilvl w:val="1"/>
          <w:numId w:val="12"/>
        </w:numPr>
        <w:spacing w:after="120"/>
        <w:ind w:right="1440"/>
        <w:rPr>
          <w:rFonts w:ascii="Palatino" w:hAnsi="Palatino"/>
          <w:sz w:val="24"/>
          <w:szCs w:val="24"/>
        </w:rPr>
      </w:pPr>
      <w:r>
        <w:rPr>
          <w:rFonts w:ascii="Palatino" w:hAnsi="Palatino"/>
          <w:sz w:val="26"/>
          <w:szCs w:val="20"/>
        </w:rPr>
        <w:t>This rulemaking will consider whether the IOUs should be granted the additional flexibility of shifting MWs into and out of the Customer grid</w:t>
      </w:r>
      <w:r w:rsidR="002835E2">
        <w:rPr>
          <w:rFonts w:ascii="Palatino" w:hAnsi="Palatino"/>
          <w:sz w:val="26"/>
          <w:szCs w:val="20"/>
        </w:rPr>
        <w:t xml:space="preserve"> </w:t>
      </w:r>
      <w:r w:rsidRPr="00D649A9">
        <w:rPr>
          <w:rFonts w:ascii="Palatino" w:hAnsi="Palatino"/>
          <w:sz w:val="26"/>
          <w:szCs w:val="26"/>
        </w:rPr>
        <w:t>domain.</w:t>
      </w:r>
    </w:p>
    <w:p w:rsidR="00907512" w:rsidRPr="00FF2D7E" w:rsidRDefault="002F178D" w:rsidP="002F2D0B">
      <w:pPr>
        <w:pStyle w:val="ListParagraph"/>
        <w:tabs>
          <w:tab w:val="left" w:pos="8280"/>
        </w:tabs>
        <w:spacing w:after="120"/>
        <w:ind w:right="1080"/>
        <w:rPr>
          <w:rFonts w:ascii="Palatino" w:hAnsi="Palatino"/>
          <w:sz w:val="26"/>
          <w:szCs w:val="20"/>
        </w:rPr>
      </w:pPr>
      <w:r w:rsidRPr="00186D6E">
        <w:rPr>
          <w:rFonts w:ascii="Palatino" w:hAnsi="Palatino"/>
          <w:sz w:val="24"/>
          <w:szCs w:val="24"/>
        </w:rPr>
        <w:t>1(</w:t>
      </w:r>
      <w:r w:rsidR="006E6179">
        <w:rPr>
          <w:rFonts w:ascii="Palatino" w:hAnsi="Palatino"/>
          <w:sz w:val="24"/>
          <w:szCs w:val="24"/>
        </w:rPr>
        <w:t>d</w:t>
      </w:r>
      <w:r w:rsidRPr="00186D6E">
        <w:rPr>
          <w:rFonts w:ascii="Palatino" w:hAnsi="Palatino"/>
          <w:sz w:val="24"/>
          <w:szCs w:val="24"/>
        </w:rPr>
        <w:t xml:space="preserve">) </w:t>
      </w:r>
      <w:r w:rsidRPr="00FF2D7E">
        <w:rPr>
          <w:rFonts w:ascii="Palatino" w:hAnsi="Palatino"/>
          <w:sz w:val="26"/>
          <w:szCs w:val="20"/>
        </w:rPr>
        <w:t>Examine</w:t>
      </w:r>
      <w:r w:rsidR="00907512" w:rsidRPr="00FF2D7E">
        <w:rPr>
          <w:rFonts w:ascii="Palatino" w:hAnsi="Palatino"/>
          <w:sz w:val="26"/>
          <w:szCs w:val="20"/>
        </w:rPr>
        <w:t xml:space="preserve"> utility safety standards and certifications</w:t>
      </w:r>
      <w:r w:rsidRPr="00FF2D7E">
        <w:rPr>
          <w:rFonts w:ascii="Palatino" w:hAnsi="Palatino"/>
          <w:sz w:val="26"/>
          <w:szCs w:val="20"/>
        </w:rPr>
        <w:t xml:space="preserve"> that must be met by devices, whether utility owned or third party owned and operated</w:t>
      </w:r>
      <w:r w:rsidR="00907512" w:rsidRPr="00FF2D7E">
        <w:rPr>
          <w:rFonts w:ascii="Palatino" w:hAnsi="Palatino"/>
          <w:sz w:val="26"/>
          <w:szCs w:val="20"/>
        </w:rPr>
        <w:t>.</w:t>
      </w:r>
    </w:p>
    <w:p w:rsidR="00F95716" w:rsidRPr="00F95716" w:rsidRDefault="00F95716" w:rsidP="00401D7F">
      <w:pPr>
        <w:pStyle w:val="ListParagraph"/>
        <w:numPr>
          <w:ilvl w:val="1"/>
          <w:numId w:val="12"/>
        </w:numPr>
        <w:spacing w:after="120"/>
        <w:ind w:right="1440"/>
        <w:rPr>
          <w:rFonts w:ascii="Palatino" w:hAnsi="Palatino"/>
          <w:sz w:val="24"/>
          <w:szCs w:val="24"/>
        </w:rPr>
      </w:pPr>
      <w:r w:rsidRPr="00FF2D7E">
        <w:rPr>
          <w:rFonts w:ascii="Palatino" w:hAnsi="Palatino"/>
          <w:sz w:val="26"/>
          <w:szCs w:val="20"/>
        </w:rPr>
        <w:t xml:space="preserve">Best practices for permitting and interconnection of </w:t>
      </w:r>
      <w:r w:rsidR="00FE364C">
        <w:rPr>
          <w:rFonts w:ascii="Palatino" w:hAnsi="Palatino"/>
          <w:sz w:val="26"/>
          <w:szCs w:val="20"/>
        </w:rPr>
        <w:t>s</w:t>
      </w:r>
      <w:r w:rsidRPr="00FF2D7E">
        <w:rPr>
          <w:rFonts w:ascii="Palatino" w:hAnsi="Palatino"/>
          <w:sz w:val="26"/>
          <w:szCs w:val="20"/>
        </w:rPr>
        <w:t xml:space="preserve">afety of energy storage systems at residential and commercial </w:t>
      </w:r>
      <w:r w:rsidR="003C5C9E">
        <w:rPr>
          <w:rFonts w:ascii="Palatino" w:hAnsi="Palatino"/>
          <w:sz w:val="26"/>
          <w:szCs w:val="20"/>
        </w:rPr>
        <w:t>locations were addressed in D.</w:t>
      </w:r>
      <w:r w:rsidRPr="00FF2D7E">
        <w:rPr>
          <w:rFonts w:ascii="Palatino" w:hAnsi="Palatino"/>
          <w:sz w:val="26"/>
          <w:szCs w:val="20"/>
        </w:rPr>
        <w:t>14-05-033</w:t>
      </w:r>
      <w:r w:rsidR="00032503" w:rsidRPr="00FF2D7E">
        <w:rPr>
          <w:rFonts w:ascii="Palatino" w:hAnsi="Palatino"/>
          <w:sz w:val="26"/>
          <w:szCs w:val="20"/>
        </w:rPr>
        <w:t>.</w:t>
      </w:r>
      <w:r w:rsidR="00032503">
        <w:rPr>
          <w:rStyle w:val="FootnoteReference"/>
          <w:rFonts w:ascii="Palatino" w:hAnsi="Palatino"/>
          <w:szCs w:val="24"/>
        </w:rPr>
        <w:footnoteReference w:id="15"/>
      </w:r>
      <w:r w:rsidR="002F40E2">
        <w:rPr>
          <w:rFonts w:ascii="Palatino" w:hAnsi="Palatino"/>
          <w:sz w:val="24"/>
          <w:szCs w:val="24"/>
        </w:rPr>
        <w:t> </w:t>
      </w:r>
      <w:r w:rsidRPr="00F95716">
        <w:rPr>
          <w:rFonts w:ascii="Palatino" w:hAnsi="Palatino"/>
          <w:sz w:val="24"/>
          <w:szCs w:val="24"/>
        </w:rPr>
        <w:t> </w:t>
      </w:r>
      <w:r w:rsidRPr="00D649A9">
        <w:rPr>
          <w:rFonts w:ascii="Palatino" w:hAnsi="Palatino"/>
          <w:sz w:val="26"/>
          <w:szCs w:val="26"/>
        </w:rPr>
        <w:t xml:space="preserve">This </w:t>
      </w:r>
      <w:r w:rsidR="00032503" w:rsidRPr="00D649A9">
        <w:rPr>
          <w:rFonts w:ascii="Palatino" w:hAnsi="Palatino"/>
          <w:sz w:val="26"/>
          <w:szCs w:val="26"/>
        </w:rPr>
        <w:t>decision</w:t>
      </w:r>
      <w:r w:rsidRPr="00F95716">
        <w:rPr>
          <w:rFonts w:ascii="Palatino" w:hAnsi="Palatino"/>
          <w:sz w:val="24"/>
          <w:szCs w:val="24"/>
        </w:rPr>
        <w:t xml:space="preserve"> directed </w:t>
      </w:r>
      <w:r w:rsidR="00773940">
        <w:rPr>
          <w:rFonts w:ascii="Palatino" w:hAnsi="Palatino"/>
          <w:sz w:val="24"/>
          <w:szCs w:val="24"/>
        </w:rPr>
        <w:t>the Safety and Enforcement Division (SED)</w:t>
      </w:r>
      <w:r w:rsidR="00773940" w:rsidRPr="00F95716">
        <w:rPr>
          <w:rFonts w:ascii="Palatino" w:hAnsi="Palatino"/>
          <w:sz w:val="24"/>
          <w:szCs w:val="24"/>
        </w:rPr>
        <w:t xml:space="preserve"> </w:t>
      </w:r>
      <w:r w:rsidRPr="00F95716">
        <w:rPr>
          <w:rFonts w:ascii="Palatino" w:hAnsi="Palatino"/>
          <w:sz w:val="24"/>
          <w:szCs w:val="24"/>
        </w:rPr>
        <w:t xml:space="preserve">and </w:t>
      </w:r>
      <w:r w:rsidR="00032503">
        <w:rPr>
          <w:rFonts w:ascii="Palatino" w:hAnsi="Palatino"/>
          <w:sz w:val="24"/>
          <w:szCs w:val="24"/>
        </w:rPr>
        <w:t>ED</w:t>
      </w:r>
      <w:r w:rsidRPr="00F95716">
        <w:rPr>
          <w:rFonts w:ascii="Palatino" w:hAnsi="Palatino"/>
          <w:sz w:val="24"/>
          <w:szCs w:val="24"/>
        </w:rPr>
        <w:t xml:space="preserve"> to “</w:t>
      </w:r>
      <w:r w:rsidRPr="00FF2D7E">
        <w:rPr>
          <w:rFonts w:ascii="Palatino" w:hAnsi="Palatino"/>
          <w:sz w:val="26"/>
          <w:szCs w:val="20"/>
        </w:rPr>
        <w:t xml:space="preserve">work with the Office of the State Fire Marshall and the Governor’s Office of Planning and Research to develop a set of best practices that seek to improve the permitting for local authorities and should work to improve the coordination of standards and rules addressing safety at the state level. </w:t>
      </w:r>
      <w:r w:rsidR="00D649A9">
        <w:rPr>
          <w:rFonts w:ascii="Palatino" w:hAnsi="Palatino"/>
          <w:sz w:val="26"/>
          <w:szCs w:val="20"/>
        </w:rPr>
        <w:t xml:space="preserve"> </w:t>
      </w:r>
      <w:r w:rsidRPr="00FF2D7E">
        <w:rPr>
          <w:rFonts w:ascii="Palatino" w:hAnsi="Palatino"/>
          <w:sz w:val="26"/>
          <w:szCs w:val="20"/>
        </w:rPr>
        <w:t>The resulting best practices should be posted on the Commission’s website.”</w:t>
      </w:r>
      <w:r w:rsidR="00032503">
        <w:rPr>
          <w:rStyle w:val="FootnoteReference"/>
          <w:rFonts w:ascii="Palatino" w:hAnsi="Palatino"/>
          <w:szCs w:val="24"/>
        </w:rPr>
        <w:footnoteReference w:id="16"/>
      </w:r>
      <w:r w:rsidRPr="00F95716">
        <w:rPr>
          <w:rFonts w:ascii="Palatino" w:hAnsi="Palatino"/>
          <w:sz w:val="24"/>
          <w:szCs w:val="24"/>
        </w:rPr>
        <w:t xml:space="preserve"> </w:t>
      </w:r>
    </w:p>
    <w:p w:rsidR="00F95716" w:rsidRPr="00032503" w:rsidRDefault="00F95716" w:rsidP="00401D7F">
      <w:pPr>
        <w:pStyle w:val="ListParagraph"/>
        <w:numPr>
          <w:ilvl w:val="1"/>
          <w:numId w:val="12"/>
        </w:numPr>
        <w:spacing w:after="120"/>
        <w:ind w:right="1440"/>
        <w:rPr>
          <w:rFonts w:ascii="Palatino" w:hAnsi="Palatino"/>
          <w:sz w:val="24"/>
          <w:szCs w:val="24"/>
        </w:rPr>
      </w:pPr>
      <w:r w:rsidRPr="00FF2D7E">
        <w:rPr>
          <w:rFonts w:ascii="Palatino" w:hAnsi="Palatino"/>
          <w:sz w:val="26"/>
          <w:szCs w:val="20"/>
        </w:rPr>
        <w:t xml:space="preserve">While this </w:t>
      </w:r>
      <w:r w:rsidR="00032503" w:rsidRPr="00FF2D7E">
        <w:rPr>
          <w:rFonts w:ascii="Palatino" w:hAnsi="Palatino"/>
          <w:sz w:val="26"/>
          <w:szCs w:val="20"/>
        </w:rPr>
        <w:t>decision</w:t>
      </w:r>
      <w:r w:rsidRPr="00FF2D7E">
        <w:rPr>
          <w:rFonts w:ascii="Palatino" w:hAnsi="Palatino"/>
          <w:sz w:val="26"/>
          <w:szCs w:val="20"/>
        </w:rPr>
        <w:t xml:space="preserve"> recognizes that safety requirements for local interconnections are the responsibility of local </w:t>
      </w:r>
      <w:r w:rsidR="006700D9">
        <w:rPr>
          <w:rFonts w:ascii="Palatino" w:hAnsi="Palatino"/>
          <w:sz w:val="26"/>
          <w:szCs w:val="20"/>
        </w:rPr>
        <w:t>Authorities Having Jurisdiction</w:t>
      </w:r>
      <w:r w:rsidRPr="00FF2D7E">
        <w:rPr>
          <w:rFonts w:ascii="Palatino" w:hAnsi="Palatino"/>
          <w:sz w:val="26"/>
          <w:szCs w:val="20"/>
        </w:rPr>
        <w:t>, there remains a need for the Commission to address safety of larger storage systems that are connected to the distribution grid and which may be located at utility substations or co-located with power generation facilities</w:t>
      </w:r>
      <w:r w:rsidRPr="00F95716">
        <w:rPr>
          <w:rFonts w:ascii="Palatino" w:hAnsi="Palatino"/>
          <w:sz w:val="24"/>
          <w:szCs w:val="24"/>
        </w:rPr>
        <w:t xml:space="preserve">. </w:t>
      </w:r>
    </w:p>
    <w:p w:rsidR="00907512" w:rsidRPr="00983AFA" w:rsidRDefault="002F178D" w:rsidP="009A102B">
      <w:pPr>
        <w:spacing w:after="120"/>
        <w:ind w:left="720"/>
        <w:rPr>
          <w:b/>
        </w:rPr>
      </w:pPr>
      <w:r w:rsidRPr="00983AFA">
        <w:rPr>
          <w:b/>
        </w:rPr>
        <w:lastRenderedPageBreak/>
        <w:t>Issue 2:</w:t>
      </w:r>
      <w:r w:rsidR="00C858AB">
        <w:rPr>
          <w:b/>
        </w:rPr>
        <w:t xml:space="preserve"> </w:t>
      </w:r>
      <w:r w:rsidRPr="00983AFA">
        <w:rPr>
          <w:b/>
        </w:rPr>
        <w:t xml:space="preserve"> Address policy issues raised in </w:t>
      </w:r>
      <w:r w:rsidR="00907512" w:rsidRPr="00983AFA">
        <w:rPr>
          <w:b/>
        </w:rPr>
        <w:t>D.14-10-045 (</w:t>
      </w:r>
      <w:r w:rsidR="005B7A6A" w:rsidRPr="00983AFA">
        <w:rPr>
          <w:b/>
        </w:rPr>
        <w:t xml:space="preserve">“Decision </w:t>
      </w:r>
      <w:r w:rsidR="005B7A6A" w:rsidRPr="00983AFA">
        <w:rPr>
          <w:b/>
        </w:rPr>
        <w:br/>
        <w:t>Approving SDG&amp;E Company, PG</w:t>
      </w:r>
      <w:r w:rsidR="00AB0CDB" w:rsidRPr="00983AFA">
        <w:rPr>
          <w:b/>
        </w:rPr>
        <w:t>&amp;</w:t>
      </w:r>
      <w:r w:rsidR="005B7A6A" w:rsidRPr="00983AFA">
        <w:rPr>
          <w:b/>
        </w:rPr>
        <w:t xml:space="preserve">E Company, and SCE Company’s Storage Procurement Framework and Program Applications for the </w:t>
      </w:r>
      <w:r w:rsidR="00907512" w:rsidRPr="00983AFA">
        <w:rPr>
          <w:b/>
        </w:rPr>
        <w:t xml:space="preserve">2014 Procurement </w:t>
      </w:r>
      <w:r w:rsidR="005B7A6A" w:rsidRPr="00983AFA">
        <w:rPr>
          <w:b/>
        </w:rPr>
        <w:t>Period”</w:t>
      </w:r>
      <w:r w:rsidR="00907512" w:rsidRPr="00983AFA">
        <w:rPr>
          <w:b/>
        </w:rPr>
        <w:t>)</w:t>
      </w:r>
    </w:p>
    <w:p w:rsidR="00907512" w:rsidRPr="00FF2D7E" w:rsidRDefault="00E26086" w:rsidP="002F2D0B">
      <w:pPr>
        <w:pStyle w:val="ListParagraph"/>
        <w:spacing w:line="360" w:lineRule="auto"/>
        <w:ind w:left="0" w:right="1080" w:firstLine="720"/>
        <w:rPr>
          <w:rFonts w:ascii="Palatino" w:hAnsi="Palatino"/>
          <w:sz w:val="26"/>
          <w:szCs w:val="20"/>
        </w:rPr>
      </w:pPr>
      <w:r w:rsidRPr="00FF2D7E">
        <w:rPr>
          <w:rFonts w:ascii="Palatino" w:hAnsi="Palatino"/>
          <w:sz w:val="26"/>
          <w:szCs w:val="20"/>
        </w:rPr>
        <w:t xml:space="preserve">2(a) </w:t>
      </w:r>
      <w:r w:rsidR="00907512" w:rsidRPr="00FF2D7E">
        <w:rPr>
          <w:rFonts w:ascii="Palatino" w:hAnsi="Palatino"/>
          <w:sz w:val="26"/>
          <w:szCs w:val="20"/>
        </w:rPr>
        <w:t>Clarify rules on storage technology eligibility and definitions</w:t>
      </w:r>
    </w:p>
    <w:p w:rsidR="00907512" w:rsidRPr="00FF2D7E" w:rsidRDefault="00907512" w:rsidP="00401D7F">
      <w:pPr>
        <w:pStyle w:val="ListParagraph"/>
        <w:numPr>
          <w:ilvl w:val="1"/>
          <w:numId w:val="10"/>
        </w:numPr>
        <w:spacing w:after="120"/>
        <w:ind w:right="1440"/>
        <w:rPr>
          <w:rFonts w:ascii="Palatino" w:hAnsi="Palatino"/>
          <w:sz w:val="26"/>
          <w:szCs w:val="26"/>
        </w:rPr>
      </w:pPr>
      <w:r w:rsidRPr="00FF2D7E">
        <w:rPr>
          <w:rFonts w:ascii="Palatino" w:hAnsi="Palatino"/>
          <w:sz w:val="26"/>
          <w:szCs w:val="26"/>
        </w:rPr>
        <w:t xml:space="preserve">D.14-10-045 clarified eligible technologies to be included in the 2014 Storage Solicitation.  These clarifications were limited to the 2014 procurement cycle and applied only to </w:t>
      </w:r>
      <w:r w:rsidR="00032503" w:rsidRPr="00FF2D7E">
        <w:rPr>
          <w:rFonts w:ascii="Palatino" w:hAnsi="Palatino"/>
          <w:sz w:val="26"/>
          <w:szCs w:val="26"/>
        </w:rPr>
        <w:t xml:space="preserve">the eligible storage component of </w:t>
      </w:r>
      <w:r w:rsidRPr="00FF2D7E">
        <w:rPr>
          <w:rFonts w:ascii="Palatino" w:hAnsi="Palatino"/>
          <w:sz w:val="26"/>
          <w:szCs w:val="26"/>
        </w:rPr>
        <w:t xml:space="preserve">biogas, </w:t>
      </w:r>
      <w:r w:rsidR="00032503" w:rsidRPr="00FF2D7E">
        <w:rPr>
          <w:rFonts w:ascii="Palatino" w:hAnsi="Palatino"/>
          <w:sz w:val="26"/>
          <w:szCs w:val="26"/>
        </w:rPr>
        <w:t xml:space="preserve">eligible storage component of </w:t>
      </w:r>
      <w:r w:rsidRPr="00FF2D7E">
        <w:rPr>
          <w:rFonts w:ascii="Palatino" w:hAnsi="Palatino"/>
          <w:sz w:val="26"/>
          <w:szCs w:val="26"/>
        </w:rPr>
        <w:t>solar</w:t>
      </w:r>
      <w:r w:rsidR="00032503" w:rsidRPr="00FF2D7E">
        <w:rPr>
          <w:rFonts w:ascii="Palatino" w:hAnsi="Palatino"/>
          <w:sz w:val="26"/>
          <w:szCs w:val="26"/>
        </w:rPr>
        <w:t xml:space="preserve"> thermal (CSP-TES)</w:t>
      </w:r>
      <w:r w:rsidRPr="00FF2D7E">
        <w:rPr>
          <w:rFonts w:ascii="Palatino" w:hAnsi="Palatino"/>
          <w:sz w:val="26"/>
          <w:szCs w:val="26"/>
        </w:rPr>
        <w:t xml:space="preserve">, </w:t>
      </w:r>
      <w:r w:rsidR="00032503" w:rsidRPr="00FF2D7E">
        <w:rPr>
          <w:rFonts w:ascii="Palatino" w:hAnsi="Palatino"/>
          <w:sz w:val="26"/>
          <w:szCs w:val="26"/>
        </w:rPr>
        <w:t xml:space="preserve">eligible storage component of hybrid thermal generation (Hybrid-TES), and excluded </w:t>
      </w:r>
      <w:r w:rsidRPr="00FF2D7E">
        <w:rPr>
          <w:rFonts w:ascii="Palatino" w:hAnsi="Palatino"/>
          <w:sz w:val="26"/>
          <w:szCs w:val="26"/>
        </w:rPr>
        <w:t>V1G electric vehicles</w:t>
      </w:r>
      <w:r w:rsidR="0031655A" w:rsidRPr="00FF2D7E">
        <w:rPr>
          <w:rFonts w:ascii="Palatino" w:hAnsi="Palatino"/>
          <w:sz w:val="26"/>
          <w:szCs w:val="26"/>
        </w:rPr>
        <w:t>,</w:t>
      </w:r>
      <w:r w:rsidRPr="00FF2D7E">
        <w:rPr>
          <w:rFonts w:ascii="Palatino" w:hAnsi="Palatino"/>
          <w:sz w:val="26"/>
          <w:szCs w:val="26"/>
        </w:rPr>
        <w:t xml:space="preserve"> and </w:t>
      </w:r>
      <w:r w:rsidR="00032503" w:rsidRPr="00FF2D7E">
        <w:rPr>
          <w:rFonts w:ascii="Palatino" w:hAnsi="Palatino"/>
          <w:sz w:val="26"/>
          <w:szCs w:val="26"/>
        </w:rPr>
        <w:t>biogas (without the eligible storage component</w:t>
      </w:r>
      <w:r w:rsidR="00EC6CAB">
        <w:rPr>
          <w:rFonts w:ascii="Palatino" w:hAnsi="Palatino"/>
          <w:sz w:val="26"/>
          <w:szCs w:val="26"/>
        </w:rPr>
        <w:t>)</w:t>
      </w:r>
      <w:r w:rsidRPr="00FF2D7E">
        <w:rPr>
          <w:rFonts w:ascii="Palatino" w:hAnsi="Palatino"/>
          <w:sz w:val="26"/>
          <w:szCs w:val="26"/>
        </w:rPr>
        <w:t>.</w:t>
      </w:r>
    </w:p>
    <w:p w:rsidR="00907512" w:rsidRPr="00EC6CAB" w:rsidRDefault="00907512" w:rsidP="00401D7F">
      <w:pPr>
        <w:pStyle w:val="ListParagraph"/>
        <w:numPr>
          <w:ilvl w:val="1"/>
          <w:numId w:val="10"/>
        </w:numPr>
        <w:spacing w:after="120"/>
        <w:ind w:right="1440"/>
        <w:rPr>
          <w:rFonts w:ascii="Palatino" w:hAnsi="Palatino"/>
          <w:sz w:val="26"/>
          <w:szCs w:val="26"/>
        </w:rPr>
      </w:pPr>
      <w:r w:rsidRPr="00FF2D7E">
        <w:rPr>
          <w:rFonts w:ascii="Palatino" w:hAnsi="Palatino"/>
          <w:sz w:val="26"/>
          <w:szCs w:val="26"/>
        </w:rPr>
        <w:t>D.14-10-045 deferred a broader discussion of storage eligibility to a future quasi-legislative proceeding</w:t>
      </w:r>
      <w:r w:rsidR="008F60E5" w:rsidRPr="00FF2D7E">
        <w:rPr>
          <w:rFonts w:ascii="Palatino" w:hAnsi="Palatino"/>
          <w:sz w:val="26"/>
          <w:szCs w:val="26"/>
        </w:rPr>
        <w:t>.</w:t>
      </w:r>
      <w:r w:rsidR="008F60E5" w:rsidRPr="00FF2D7E">
        <w:rPr>
          <w:rStyle w:val="FootnoteReference"/>
          <w:rFonts w:ascii="Palatino" w:hAnsi="Palatino"/>
          <w:sz w:val="26"/>
          <w:szCs w:val="26"/>
        </w:rPr>
        <w:footnoteReference w:id="17"/>
      </w:r>
      <w:r w:rsidR="00EC6CAB">
        <w:rPr>
          <w:rFonts w:ascii="Palatino" w:hAnsi="Palatino"/>
          <w:sz w:val="26"/>
          <w:szCs w:val="26"/>
        </w:rPr>
        <w:t xml:space="preserve">  </w:t>
      </w:r>
      <w:r w:rsidRPr="00EC6CAB">
        <w:rPr>
          <w:rFonts w:ascii="Palatino" w:hAnsi="Palatino"/>
          <w:sz w:val="26"/>
          <w:szCs w:val="26"/>
        </w:rPr>
        <w:t>This rulemaking will serve as the venue to explore which technologies will be eligible to participate in future solicitations.</w:t>
      </w:r>
    </w:p>
    <w:p w:rsidR="001F0B53" w:rsidRPr="00FF2D7E" w:rsidRDefault="00E26086" w:rsidP="00401D7F">
      <w:pPr>
        <w:numPr>
          <w:ilvl w:val="0"/>
          <w:numId w:val="27"/>
        </w:numPr>
        <w:spacing w:after="120"/>
        <w:ind w:left="1440" w:right="1440"/>
        <w:rPr>
          <w:szCs w:val="26"/>
        </w:rPr>
      </w:pPr>
      <w:r w:rsidRPr="00FF2D7E">
        <w:rPr>
          <w:szCs w:val="26"/>
        </w:rPr>
        <w:t xml:space="preserve">2(b) </w:t>
      </w:r>
      <w:r w:rsidR="001F0B53" w:rsidRPr="00FF2D7E">
        <w:rPr>
          <w:szCs w:val="26"/>
        </w:rPr>
        <w:t xml:space="preserve">Clarify issues related to PCIA to recover </w:t>
      </w:r>
      <w:r w:rsidR="003C5C9E">
        <w:rPr>
          <w:szCs w:val="26"/>
        </w:rPr>
        <w:br/>
      </w:r>
      <w:r w:rsidR="001F0B53" w:rsidRPr="00FF2D7E">
        <w:rPr>
          <w:szCs w:val="26"/>
        </w:rPr>
        <w:t>above-market stranded and Dual Usage cost recovery methodologies</w:t>
      </w:r>
      <w:r w:rsidR="00EC6CAB">
        <w:rPr>
          <w:szCs w:val="26"/>
        </w:rPr>
        <w:t>.</w:t>
      </w:r>
    </w:p>
    <w:p w:rsidR="00EC6CAB" w:rsidRPr="00EC6CAB" w:rsidRDefault="00907512" w:rsidP="00401D7F">
      <w:pPr>
        <w:pStyle w:val="ListParagraph"/>
        <w:numPr>
          <w:ilvl w:val="1"/>
          <w:numId w:val="10"/>
        </w:numPr>
        <w:spacing w:after="120"/>
        <w:ind w:right="1440"/>
        <w:rPr>
          <w:rFonts w:ascii="Palatino" w:hAnsi="Palatino"/>
          <w:sz w:val="24"/>
          <w:szCs w:val="24"/>
        </w:rPr>
      </w:pPr>
      <w:r w:rsidRPr="00FF2D7E">
        <w:rPr>
          <w:rFonts w:ascii="Palatino" w:hAnsi="Palatino"/>
          <w:sz w:val="26"/>
          <w:szCs w:val="26"/>
        </w:rPr>
        <w:t xml:space="preserve">D.14-10-045 approved use of the PCIA to recover </w:t>
      </w:r>
      <w:r w:rsidR="003C5C9E">
        <w:rPr>
          <w:rFonts w:ascii="Palatino" w:hAnsi="Palatino"/>
          <w:sz w:val="26"/>
          <w:szCs w:val="26"/>
        </w:rPr>
        <w:br/>
      </w:r>
      <w:r w:rsidRPr="00FF2D7E">
        <w:rPr>
          <w:rFonts w:ascii="Palatino" w:hAnsi="Palatino"/>
          <w:sz w:val="26"/>
          <w:szCs w:val="26"/>
        </w:rPr>
        <w:t xml:space="preserve">above-market costs associated with departing load for energy storage projects, subject to Commission approval, for the 2014 solicitation.  </w:t>
      </w:r>
    </w:p>
    <w:p w:rsidR="005B7A6A" w:rsidRPr="00186D6E" w:rsidRDefault="00907512" w:rsidP="00401D7F">
      <w:pPr>
        <w:pStyle w:val="ListParagraph"/>
        <w:numPr>
          <w:ilvl w:val="1"/>
          <w:numId w:val="10"/>
        </w:numPr>
        <w:spacing w:after="120"/>
        <w:ind w:right="1440"/>
        <w:rPr>
          <w:rFonts w:ascii="Palatino" w:hAnsi="Palatino"/>
          <w:sz w:val="24"/>
          <w:szCs w:val="24"/>
        </w:rPr>
      </w:pPr>
      <w:r w:rsidRPr="00FF2D7E">
        <w:rPr>
          <w:rFonts w:ascii="Palatino" w:hAnsi="Palatino"/>
          <w:sz w:val="26"/>
          <w:szCs w:val="26"/>
        </w:rPr>
        <w:t>The decision deferred the issue of PCIA allowance for future solicitations to a future proceeding</w:t>
      </w:r>
      <w:r w:rsidRPr="00186D6E">
        <w:rPr>
          <w:rFonts w:ascii="Palatino" w:hAnsi="Palatino"/>
          <w:sz w:val="24"/>
          <w:szCs w:val="24"/>
        </w:rPr>
        <w:t>.</w:t>
      </w:r>
      <w:r w:rsidR="008F60E5">
        <w:rPr>
          <w:rStyle w:val="FootnoteReference"/>
          <w:rFonts w:ascii="Palatino" w:hAnsi="Palatino"/>
          <w:szCs w:val="24"/>
        </w:rPr>
        <w:footnoteReference w:id="18"/>
      </w:r>
    </w:p>
    <w:p w:rsidR="008F60E5" w:rsidRPr="00FF2D7E" w:rsidRDefault="008F60E5" w:rsidP="00401D7F">
      <w:pPr>
        <w:numPr>
          <w:ilvl w:val="0"/>
          <w:numId w:val="10"/>
        </w:numPr>
        <w:spacing w:after="120"/>
        <w:ind w:left="1440" w:right="1440"/>
        <w:rPr>
          <w:szCs w:val="26"/>
        </w:rPr>
      </w:pPr>
      <w:r w:rsidRPr="00FF2D7E">
        <w:rPr>
          <w:szCs w:val="26"/>
        </w:rPr>
        <w:t>2(c) Consider PCIA treatment to the life of the contract beyond ten years.</w:t>
      </w:r>
    </w:p>
    <w:p w:rsidR="00B63EEE" w:rsidRDefault="00B63EEE" w:rsidP="00401D7F">
      <w:pPr>
        <w:numPr>
          <w:ilvl w:val="1"/>
          <w:numId w:val="10"/>
        </w:numPr>
        <w:spacing w:after="120"/>
        <w:ind w:right="1440"/>
        <w:rPr>
          <w:sz w:val="24"/>
          <w:szCs w:val="24"/>
        </w:rPr>
      </w:pPr>
      <w:r w:rsidRPr="00FF2D7E">
        <w:rPr>
          <w:szCs w:val="26"/>
        </w:rPr>
        <w:t>D.14-10-045 denied a proposed exemption to the 10-year rule for PCIA stranded cost recovery</w:t>
      </w:r>
      <w:r>
        <w:rPr>
          <w:sz w:val="24"/>
          <w:szCs w:val="24"/>
        </w:rPr>
        <w:t>.</w:t>
      </w:r>
      <w:r>
        <w:rPr>
          <w:rStyle w:val="FootnoteReference"/>
          <w:szCs w:val="24"/>
        </w:rPr>
        <w:footnoteReference w:id="19"/>
      </w:r>
      <w:r>
        <w:rPr>
          <w:sz w:val="24"/>
          <w:szCs w:val="24"/>
        </w:rPr>
        <w:t xml:space="preserve"> </w:t>
      </w:r>
    </w:p>
    <w:p w:rsidR="008F60E5" w:rsidRPr="006C093C" w:rsidRDefault="008F60E5" w:rsidP="006C093C">
      <w:pPr>
        <w:pStyle w:val="ListParagraph"/>
        <w:numPr>
          <w:ilvl w:val="1"/>
          <w:numId w:val="10"/>
        </w:numPr>
        <w:spacing w:after="120"/>
        <w:ind w:right="1440"/>
        <w:rPr>
          <w:rFonts w:ascii="Palatino" w:hAnsi="Palatino"/>
          <w:sz w:val="26"/>
          <w:szCs w:val="26"/>
        </w:rPr>
      </w:pPr>
      <w:r w:rsidRPr="006C093C">
        <w:rPr>
          <w:rFonts w:ascii="Palatino" w:hAnsi="Palatino"/>
          <w:sz w:val="26"/>
          <w:szCs w:val="26"/>
        </w:rPr>
        <w:lastRenderedPageBreak/>
        <w:t>D.14-</w:t>
      </w:r>
      <w:r w:rsidR="00B63EEE" w:rsidRPr="006C093C">
        <w:rPr>
          <w:rFonts w:ascii="Palatino" w:hAnsi="Palatino"/>
          <w:sz w:val="26"/>
          <w:szCs w:val="26"/>
        </w:rPr>
        <w:t xml:space="preserve">10-045 </w:t>
      </w:r>
      <w:r w:rsidRPr="006C093C">
        <w:rPr>
          <w:rFonts w:ascii="Palatino" w:hAnsi="Palatino"/>
          <w:sz w:val="26"/>
          <w:szCs w:val="26"/>
        </w:rPr>
        <w:t>stated that the Commission may consider issues involving PCIA treatment for subsequent solicitations or the extension of PCIA treatment to the life of the contract terms beyond 10 years.</w:t>
      </w:r>
      <w:r w:rsidRPr="003B11EE">
        <w:rPr>
          <w:rStyle w:val="FootnoteReference"/>
          <w:szCs w:val="24"/>
        </w:rPr>
        <w:footnoteReference w:id="20"/>
      </w:r>
      <w:r w:rsidR="00B63EEE" w:rsidRPr="006C093C">
        <w:rPr>
          <w:rFonts w:ascii="Palatino" w:hAnsi="Palatino"/>
          <w:sz w:val="26"/>
          <w:szCs w:val="26"/>
        </w:rPr>
        <w:t xml:space="preserve"> </w:t>
      </w:r>
      <w:r w:rsidR="003B11EE">
        <w:rPr>
          <w:rFonts w:ascii="Palatino" w:hAnsi="Palatino"/>
          <w:sz w:val="26"/>
          <w:szCs w:val="26"/>
        </w:rPr>
        <w:t xml:space="preserve"> </w:t>
      </w:r>
      <w:r w:rsidR="00B63EEE" w:rsidRPr="006C093C">
        <w:rPr>
          <w:rFonts w:ascii="Palatino" w:hAnsi="Palatino"/>
          <w:sz w:val="26"/>
          <w:szCs w:val="26"/>
        </w:rPr>
        <w:t>D.14-10-045 also state</w:t>
      </w:r>
      <w:r w:rsidR="00EC6CAB" w:rsidRPr="006C093C">
        <w:rPr>
          <w:rFonts w:ascii="Palatino" w:hAnsi="Palatino"/>
          <w:sz w:val="26"/>
          <w:szCs w:val="26"/>
        </w:rPr>
        <w:t>d</w:t>
      </w:r>
      <w:r w:rsidR="00B63EEE" w:rsidRPr="006C093C">
        <w:rPr>
          <w:rFonts w:ascii="Palatino" w:hAnsi="Palatino"/>
          <w:sz w:val="26"/>
          <w:szCs w:val="26"/>
        </w:rPr>
        <w:t xml:space="preserve"> that in subsequent solicitations, when we have more knowledge about the market (and if we have a Commission approved Joint IOU PCIA Protocol), we may choose to revisit the issue.</w:t>
      </w:r>
      <w:r w:rsidR="00B63EEE" w:rsidRPr="006C093C">
        <w:rPr>
          <w:rFonts w:ascii="Palatino" w:hAnsi="Palatino"/>
          <w:sz w:val="24"/>
          <w:szCs w:val="24"/>
          <w:vertAlign w:val="superscript"/>
        </w:rPr>
        <w:footnoteReference w:id="21"/>
      </w:r>
      <w:r w:rsidR="00B63EEE" w:rsidRPr="006C093C">
        <w:rPr>
          <w:rFonts w:ascii="Palatino" w:hAnsi="Palatino"/>
          <w:sz w:val="24"/>
          <w:szCs w:val="24"/>
          <w:vertAlign w:val="superscript"/>
        </w:rPr>
        <w:t xml:space="preserve"> </w:t>
      </w:r>
    </w:p>
    <w:p w:rsidR="00907512" w:rsidRPr="009A102B" w:rsidRDefault="00E26086" w:rsidP="009A102B">
      <w:pPr>
        <w:spacing w:after="120"/>
        <w:ind w:left="720"/>
        <w:rPr>
          <w:b/>
        </w:rPr>
      </w:pPr>
      <w:r w:rsidRPr="003C3614">
        <w:rPr>
          <w:b/>
          <w:szCs w:val="26"/>
        </w:rPr>
        <w:t xml:space="preserve">Issue 3: </w:t>
      </w:r>
      <w:r w:rsidR="003B11EE">
        <w:rPr>
          <w:b/>
          <w:szCs w:val="26"/>
        </w:rPr>
        <w:t xml:space="preserve"> </w:t>
      </w:r>
      <w:r w:rsidRPr="003C3614">
        <w:rPr>
          <w:b/>
          <w:szCs w:val="26"/>
        </w:rPr>
        <w:t xml:space="preserve">Address Action Plan Items </w:t>
      </w:r>
      <w:r w:rsidR="00907512" w:rsidRPr="003C3614">
        <w:rPr>
          <w:b/>
          <w:szCs w:val="26"/>
        </w:rPr>
        <w:t>raised in</w:t>
      </w:r>
      <w:r w:rsidR="00EC6CAB" w:rsidRPr="003C3614">
        <w:rPr>
          <w:b/>
          <w:szCs w:val="26"/>
        </w:rPr>
        <w:t xml:space="preserve"> the </w:t>
      </w:r>
      <w:r w:rsidR="0031655A" w:rsidRPr="003C3614">
        <w:rPr>
          <w:b/>
          <w:szCs w:val="26"/>
        </w:rPr>
        <w:t>California Energy</w:t>
      </w:r>
      <w:r w:rsidR="00D7611B" w:rsidRPr="003C3614">
        <w:rPr>
          <w:b/>
          <w:szCs w:val="26"/>
        </w:rPr>
        <w:t xml:space="preserve"> </w:t>
      </w:r>
      <w:r w:rsidR="00907512" w:rsidRPr="003C3614">
        <w:rPr>
          <w:b/>
          <w:szCs w:val="26"/>
        </w:rPr>
        <w:t>Storage Roadmap</w:t>
      </w:r>
      <w:r w:rsidR="00D7611B" w:rsidRPr="003C3614">
        <w:rPr>
          <w:b/>
          <w:szCs w:val="26"/>
        </w:rPr>
        <w:t xml:space="preserve"> (“Storage Roadmap”)</w:t>
      </w:r>
    </w:p>
    <w:p w:rsidR="00907512" w:rsidRPr="00FF2D7E" w:rsidRDefault="00F16CE3" w:rsidP="002F2D0B">
      <w:pPr>
        <w:pStyle w:val="ListParagraph"/>
        <w:tabs>
          <w:tab w:val="left" w:pos="8280"/>
        </w:tabs>
        <w:spacing w:after="120"/>
        <w:ind w:right="1080"/>
        <w:rPr>
          <w:rFonts w:ascii="Palatino" w:hAnsi="Palatino"/>
          <w:b/>
          <w:sz w:val="26"/>
          <w:szCs w:val="26"/>
        </w:rPr>
      </w:pPr>
      <w:r w:rsidRPr="00FF2D7E">
        <w:rPr>
          <w:rFonts w:ascii="Palatino" w:hAnsi="Palatino"/>
          <w:sz w:val="26"/>
          <w:szCs w:val="26"/>
        </w:rPr>
        <w:t xml:space="preserve">3(a) </w:t>
      </w:r>
      <w:r w:rsidR="00907512" w:rsidRPr="003C3614">
        <w:rPr>
          <w:rFonts w:ascii="Palatino" w:hAnsi="Palatino"/>
          <w:b/>
          <w:sz w:val="26"/>
          <w:szCs w:val="26"/>
        </w:rPr>
        <w:t>Examine and clarify opportunities for storage to defer/displace transmission and distribution upgrades</w:t>
      </w:r>
      <w:r w:rsidR="00435036" w:rsidRPr="003C3614">
        <w:rPr>
          <w:rFonts w:ascii="Palatino" w:hAnsi="Palatino"/>
          <w:b/>
          <w:sz w:val="26"/>
          <w:szCs w:val="26"/>
        </w:rPr>
        <w:t>.</w:t>
      </w:r>
      <w:r w:rsidR="00D056B0" w:rsidRPr="003C3614">
        <w:rPr>
          <w:rFonts w:ascii="Palatino" w:hAnsi="Palatino"/>
          <w:b/>
          <w:sz w:val="26"/>
          <w:szCs w:val="26"/>
        </w:rPr>
        <w:t xml:space="preserve"> (“Planning</w:t>
      </w:r>
      <w:r w:rsidR="006059B3" w:rsidRPr="003C3614">
        <w:rPr>
          <w:rFonts w:ascii="Palatino" w:hAnsi="Palatino"/>
          <w:b/>
          <w:sz w:val="26"/>
          <w:szCs w:val="26"/>
        </w:rPr>
        <w:t>”</w:t>
      </w:r>
      <w:r w:rsidR="00D056B0" w:rsidRPr="003C3614">
        <w:rPr>
          <w:rFonts w:ascii="Palatino" w:hAnsi="Palatino"/>
          <w:b/>
          <w:sz w:val="26"/>
          <w:szCs w:val="26"/>
        </w:rPr>
        <w:t>-</w:t>
      </w:r>
      <w:r w:rsidR="006059B3" w:rsidRPr="003C3614">
        <w:rPr>
          <w:rFonts w:ascii="Palatino" w:hAnsi="Palatino"/>
          <w:b/>
          <w:sz w:val="26"/>
          <w:szCs w:val="26"/>
        </w:rPr>
        <w:t>“</w:t>
      </w:r>
      <w:r w:rsidR="00D056B0" w:rsidRPr="003C3614">
        <w:rPr>
          <w:rFonts w:ascii="Palatino" w:hAnsi="Palatino"/>
          <w:b/>
          <w:sz w:val="26"/>
          <w:szCs w:val="26"/>
        </w:rPr>
        <w:t>High Priority”)</w:t>
      </w:r>
      <w:r w:rsidR="00435036" w:rsidRPr="002F2D0B">
        <w:rPr>
          <w:rStyle w:val="FootnoteReference"/>
          <w:rFonts w:ascii="Palatino" w:hAnsi="Palatino"/>
          <w:szCs w:val="26"/>
        </w:rPr>
        <w:footnoteReference w:id="22"/>
      </w:r>
      <w:r w:rsidR="00CE05BF" w:rsidRPr="003C3614">
        <w:rPr>
          <w:rFonts w:ascii="Palatino" w:hAnsi="Palatino"/>
          <w:b/>
          <w:sz w:val="26"/>
          <w:szCs w:val="26"/>
        </w:rPr>
        <w:t xml:space="preserve"> -</w:t>
      </w:r>
      <w:r w:rsidR="00CE05BF">
        <w:rPr>
          <w:rFonts w:ascii="Palatino" w:hAnsi="Palatino"/>
          <w:b/>
          <w:sz w:val="26"/>
          <w:szCs w:val="26"/>
        </w:rPr>
        <w:t xml:space="preserve"> </w:t>
      </w:r>
      <w:r w:rsidR="00CE05BF" w:rsidRPr="00FF2D7E">
        <w:rPr>
          <w:rFonts w:ascii="Palatino" w:hAnsi="Palatino"/>
          <w:sz w:val="26"/>
          <w:szCs w:val="26"/>
        </w:rPr>
        <w:t>Refine existing and add new wholesale and retail market participation to meet grid needs</w:t>
      </w:r>
      <w:r w:rsidR="00CE05BF">
        <w:rPr>
          <w:rFonts w:ascii="Palatino" w:hAnsi="Palatino"/>
          <w:sz w:val="26"/>
          <w:szCs w:val="26"/>
        </w:rPr>
        <w:t>.</w:t>
      </w:r>
    </w:p>
    <w:p w:rsidR="00907512" w:rsidRPr="00FF2D7E" w:rsidRDefault="00907512" w:rsidP="006C093C">
      <w:pPr>
        <w:pStyle w:val="ListParagraph"/>
        <w:numPr>
          <w:ilvl w:val="1"/>
          <w:numId w:val="10"/>
        </w:numPr>
        <w:spacing w:after="120"/>
        <w:ind w:right="1440"/>
        <w:rPr>
          <w:rFonts w:ascii="Palatino" w:hAnsi="Palatino"/>
          <w:sz w:val="26"/>
          <w:szCs w:val="26"/>
        </w:rPr>
      </w:pPr>
      <w:r w:rsidRPr="00FF2D7E">
        <w:rPr>
          <w:rFonts w:ascii="Palatino" w:hAnsi="Palatino"/>
          <w:sz w:val="26"/>
          <w:szCs w:val="26"/>
        </w:rPr>
        <w:t>In grid planning, the IOUs must understand the operational characteristics of any storage interconnecting to the grid.  This includes identifying and examining any opportunities for storage to defer or displace infrastructure upgrades.</w:t>
      </w:r>
    </w:p>
    <w:p w:rsidR="00D7611B" w:rsidRPr="00FF2D7E" w:rsidRDefault="00907512" w:rsidP="006C093C">
      <w:pPr>
        <w:pStyle w:val="ListParagraph"/>
        <w:numPr>
          <w:ilvl w:val="1"/>
          <w:numId w:val="10"/>
        </w:numPr>
        <w:spacing w:after="120"/>
        <w:ind w:right="1440"/>
        <w:rPr>
          <w:rFonts w:ascii="Palatino" w:hAnsi="Palatino"/>
          <w:sz w:val="26"/>
          <w:szCs w:val="26"/>
        </w:rPr>
      </w:pPr>
      <w:r w:rsidRPr="00FF2D7E">
        <w:rPr>
          <w:rFonts w:ascii="Palatino" w:hAnsi="Palatino"/>
          <w:sz w:val="26"/>
          <w:szCs w:val="26"/>
        </w:rPr>
        <w:t xml:space="preserve">One of the action items for the CPUC identified in the Storage Roadmap </w:t>
      </w:r>
      <w:r w:rsidR="006059B3">
        <w:rPr>
          <w:rFonts w:ascii="Palatino" w:hAnsi="Palatino"/>
          <w:sz w:val="26"/>
          <w:szCs w:val="26"/>
        </w:rPr>
        <w:t>is</w:t>
      </w:r>
      <w:r w:rsidRPr="00FF2D7E">
        <w:rPr>
          <w:rFonts w:ascii="Palatino" w:hAnsi="Palatino"/>
          <w:sz w:val="26"/>
          <w:szCs w:val="26"/>
        </w:rPr>
        <w:t xml:space="preserve"> to examine and clarify opportunities for storage to defer or displace T&amp;D upgrades.</w:t>
      </w:r>
    </w:p>
    <w:p w:rsidR="00907512" w:rsidRPr="00FF2D7E" w:rsidRDefault="00F16CE3" w:rsidP="002F2D0B">
      <w:pPr>
        <w:pStyle w:val="ListParagraph"/>
        <w:spacing w:after="120"/>
        <w:ind w:right="1080"/>
        <w:rPr>
          <w:rFonts w:ascii="Palatino" w:hAnsi="Palatino"/>
          <w:sz w:val="26"/>
          <w:szCs w:val="26"/>
        </w:rPr>
      </w:pPr>
      <w:r w:rsidRPr="00FF2D7E">
        <w:rPr>
          <w:rFonts w:ascii="Palatino" w:hAnsi="Palatino"/>
          <w:sz w:val="26"/>
          <w:szCs w:val="26"/>
        </w:rPr>
        <w:t>3(</w:t>
      </w:r>
      <w:r w:rsidR="0038702E" w:rsidRPr="00FF2D7E">
        <w:rPr>
          <w:rFonts w:ascii="Palatino" w:hAnsi="Palatino"/>
          <w:sz w:val="26"/>
          <w:szCs w:val="26"/>
        </w:rPr>
        <w:t>b</w:t>
      </w:r>
      <w:r w:rsidRPr="00FF2D7E">
        <w:rPr>
          <w:rFonts w:ascii="Palatino" w:hAnsi="Palatino"/>
          <w:sz w:val="26"/>
          <w:szCs w:val="26"/>
        </w:rPr>
        <w:t xml:space="preserve">) </w:t>
      </w:r>
      <w:r w:rsidR="001F0B53" w:rsidRPr="003C3614">
        <w:rPr>
          <w:rFonts w:ascii="Palatino" w:hAnsi="Palatino"/>
          <w:b/>
          <w:sz w:val="26"/>
          <w:szCs w:val="26"/>
        </w:rPr>
        <w:t>Define and develop models and rules (e.g.</w:t>
      </w:r>
      <w:r w:rsidR="00C10B35" w:rsidRPr="003C3614">
        <w:rPr>
          <w:rFonts w:ascii="Palatino" w:hAnsi="Palatino"/>
          <w:b/>
          <w:sz w:val="26"/>
          <w:szCs w:val="26"/>
        </w:rPr>
        <w:t>,</w:t>
      </w:r>
      <w:r w:rsidR="001F0B53" w:rsidRPr="003C3614">
        <w:rPr>
          <w:rFonts w:ascii="Palatino" w:hAnsi="Palatino"/>
          <w:b/>
          <w:sz w:val="26"/>
          <w:szCs w:val="26"/>
        </w:rPr>
        <w:t xml:space="preserve"> cost recovery, cost allocation, operations) for multiple-use applications </w:t>
      </w:r>
      <w:r w:rsidR="0038702E" w:rsidRPr="003C3614">
        <w:rPr>
          <w:rFonts w:ascii="Palatino" w:hAnsi="Palatino"/>
          <w:b/>
          <w:sz w:val="26"/>
          <w:szCs w:val="26"/>
        </w:rPr>
        <w:t>[</w:t>
      </w:r>
      <w:r w:rsidR="001F0B53" w:rsidRPr="003C3614">
        <w:rPr>
          <w:rFonts w:ascii="Palatino" w:hAnsi="Palatino"/>
          <w:b/>
          <w:sz w:val="26"/>
          <w:szCs w:val="26"/>
        </w:rPr>
        <w:t>that cross different jurisdictions</w:t>
      </w:r>
      <w:r w:rsidR="0038702E" w:rsidRPr="003C3614">
        <w:rPr>
          <w:rFonts w:ascii="Palatino" w:hAnsi="Palatino"/>
          <w:b/>
          <w:sz w:val="26"/>
          <w:szCs w:val="26"/>
        </w:rPr>
        <w:t>]</w:t>
      </w:r>
      <w:r w:rsidR="007D307F" w:rsidRPr="003C3614">
        <w:rPr>
          <w:rFonts w:ascii="Palatino" w:hAnsi="Palatino"/>
          <w:b/>
          <w:sz w:val="26"/>
          <w:szCs w:val="26"/>
        </w:rPr>
        <w:t xml:space="preserve"> </w:t>
      </w:r>
      <w:r w:rsidR="00D056B0" w:rsidRPr="003C3614">
        <w:rPr>
          <w:rFonts w:ascii="Palatino" w:hAnsi="Palatino"/>
          <w:b/>
          <w:sz w:val="26"/>
          <w:szCs w:val="26"/>
        </w:rPr>
        <w:t>(“Market Participation</w:t>
      </w:r>
      <w:r w:rsidR="006059B3" w:rsidRPr="003C3614">
        <w:rPr>
          <w:rFonts w:ascii="Palatino" w:hAnsi="Palatino"/>
          <w:b/>
          <w:sz w:val="26"/>
          <w:szCs w:val="26"/>
        </w:rPr>
        <w:t>”</w:t>
      </w:r>
      <w:r w:rsidR="00D056B0" w:rsidRPr="003C3614">
        <w:rPr>
          <w:rFonts w:ascii="Palatino" w:hAnsi="Palatino"/>
          <w:b/>
          <w:sz w:val="26"/>
          <w:szCs w:val="26"/>
        </w:rPr>
        <w:t>-</w:t>
      </w:r>
      <w:r w:rsidR="006059B3" w:rsidRPr="003C3614">
        <w:rPr>
          <w:rFonts w:ascii="Palatino" w:hAnsi="Palatino"/>
          <w:b/>
          <w:sz w:val="26"/>
          <w:szCs w:val="26"/>
        </w:rPr>
        <w:t>“</w:t>
      </w:r>
      <w:r w:rsidR="00D056B0" w:rsidRPr="003C3614">
        <w:rPr>
          <w:rFonts w:ascii="Palatino" w:hAnsi="Palatino"/>
          <w:b/>
          <w:sz w:val="26"/>
          <w:szCs w:val="26"/>
        </w:rPr>
        <w:t>Medium Priority”)</w:t>
      </w:r>
      <w:r w:rsidR="00435036" w:rsidRPr="002F40E2">
        <w:rPr>
          <w:rStyle w:val="FootnoteReference"/>
          <w:rFonts w:ascii="Palatino" w:hAnsi="Palatino"/>
          <w:szCs w:val="26"/>
        </w:rPr>
        <w:footnoteReference w:id="23"/>
      </w:r>
      <w:r w:rsidR="00CE05BF">
        <w:rPr>
          <w:rFonts w:ascii="Palatino" w:hAnsi="Palatino"/>
          <w:sz w:val="26"/>
          <w:szCs w:val="26"/>
        </w:rPr>
        <w:t xml:space="preserve"> - </w:t>
      </w:r>
      <w:r w:rsidR="00CE05BF" w:rsidRPr="00FF2D7E">
        <w:rPr>
          <w:rFonts w:ascii="Palatino" w:hAnsi="Palatino"/>
          <w:sz w:val="26"/>
          <w:szCs w:val="26"/>
        </w:rPr>
        <w:t xml:space="preserve">Determine storage configurations and multiple use </w:t>
      </w:r>
      <w:r w:rsidR="00CE05BF" w:rsidRPr="00FF2D7E">
        <w:rPr>
          <w:rFonts w:ascii="Palatino" w:hAnsi="Palatino"/>
          <w:sz w:val="26"/>
          <w:szCs w:val="26"/>
        </w:rPr>
        <w:lastRenderedPageBreak/>
        <w:t>applications to enable prioritization and development of requirements</w:t>
      </w:r>
      <w:r w:rsidR="00742206">
        <w:rPr>
          <w:rFonts w:ascii="Palatino" w:hAnsi="Palatino"/>
          <w:sz w:val="26"/>
          <w:szCs w:val="26"/>
        </w:rPr>
        <w:t>.</w:t>
      </w:r>
    </w:p>
    <w:p w:rsidR="00907512" w:rsidRPr="00FF2D7E" w:rsidRDefault="00907512" w:rsidP="006730A7">
      <w:pPr>
        <w:pStyle w:val="ListParagraph"/>
        <w:numPr>
          <w:ilvl w:val="1"/>
          <w:numId w:val="11"/>
        </w:numPr>
        <w:spacing w:after="120"/>
        <w:ind w:right="1440"/>
        <w:rPr>
          <w:rFonts w:ascii="Palatino" w:hAnsi="Palatino"/>
          <w:sz w:val="26"/>
          <w:szCs w:val="26"/>
        </w:rPr>
      </w:pPr>
      <w:r w:rsidRPr="00FF2D7E">
        <w:rPr>
          <w:rFonts w:ascii="Palatino" w:hAnsi="Palatino"/>
          <w:sz w:val="26"/>
          <w:szCs w:val="26"/>
        </w:rPr>
        <w:t>The Storage Roadmap defines multiple use applications as those that provide multiple services to different entities or jurisdictions</w:t>
      </w:r>
      <w:r w:rsidR="006C093C">
        <w:rPr>
          <w:rFonts w:ascii="Palatino" w:hAnsi="Palatino"/>
          <w:sz w:val="26"/>
          <w:szCs w:val="26"/>
        </w:rPr>
        <w:t>.</w:t>
      </w:r>
      <w:r w:rsidR="00EC6CAB">
        <w:rPr>
          <w:rStyle w:val="FootnoteReference"/>
          <w:rFonts w:ascii="Palatino" w:hAnsi="Palatino"/>
          <w:szCs w:val="26"/>
        </w:rPr>
        <w:footnoteReference w:id="24"/>
      </w:r>
      <w:r w:rsidRPr="00FF2D7E">
        <w:rPr>
          <w:rFonts w:ascii="Palatino" w:hAnsi="Palatino"/>
          <w:sz w:val="26"/>
          <w:szCs w:val="26"/>
        </w:rPr>
        <w:t xml:space="preserve"> </w:t>
      </w:r>
    </w:p>
    <w:p w:rsidR="00907512" w:rsidRPr="00FF2D7E" w:rsidRDefault="00907512" w:rsidP="006730A7">
      <w:pPr>
        <w:pStyle w:val="ListParagraph"/>
        <w:numPr>
          <w:ilvl w:val="2"/>
          <w:numId w:val="11"/>
        </w:numPr>
        <w:spacing w:after="120"/>
        <w:ind w:left="1440" w:right="1440"/>
        <w:rPr>
          <w:rFonts w:ascii="Palatino" w:hAnsi="Palatino"/>
          <w:sz w:val="26"/>
          <w:szCs w:val="26"/>
        </w:rPr>
      </w:pPr>
      <w:r w:rsidRPr="00FF2D7E">
        <w:rPr>
          <w:rFonts w:ascii="Palatino" w:hAnsi="Palatino"/>
          <w:sz w:val="26"/>
          <w:szCs w:val="26"/>
        </w:rPr>
        <w:t>One example is storage serving as a distribution reliability asset during some times but also serving the wholesale market during other times.</w:t>
      </w:r>
    </w:p>
    <w:p w:rsidR="00907512" w:rsidRPr="00FF2D7E" w:rsidRDefault="00907512" w:rsidP="003C5C9E">
      <w:pPr>
        <w:pStyle w:val="ListParagraph"/>
        <w:numPr>
          <w:ilvl w:val="2"/>
          <w:numId w:val="11"/>
        </w:numPr>
        <w:spacing w:after="120"/>
        <w:ind w:left="1440" w:right="1440"/>
        <w:rPr>
          <w:rFonts w:ascii="Palatino" w:hAnsi="Palatino"/>
          <w:sz w:val="26"/>
          <w:szCs w:val="26"/>
        </w:rPr>
      </w:pPr>
      <w:r w:rsidRPr="00FF2D7E">
        <w:rPr>
          <w:rFonts w:ascii="Palatino" w:hAnsi="Palatino"/>
          <w:sz w:val="26"/>
          <w:szCs w:val="26"/>
        </w:rPr>
        <w:t xml:space="preserve">Another example is customer-side storage </w:t>
      </w:r>
      <w:r w:rsidR="00145CD2">
        <w:rPr>
          <w:rFonts w:ascii="Palatino" w:hAnsi="Palatino"/>
          <w:sz w:val="26"/>
          <w:szCs w:val="26"/>
        </w:rPr>
        <w:br/>
      </w:r>
      <w:r w:rsidRPr="00FF2D7E">
        <w:rPr>
          <w:rFonts w:ascii="Palatino" w:hAnsi="Palatino"/>
          <w:sz w:val="26"/>
          <w:szCs w:val="26"/>
        </w:rPr>
        <w:t>(behind-the-meter) interconnected that normally operates as a retail device but could potentially offer services to</w:t>
      </w:r>
      <w:r w:rsidR="0004378B">
        <w:rPr>
          <w:rFonts w:ascii="Palatino" w:hAnsi="Palatino"/>
          <w:sz w:val="26"/>
          <w:szCs w:val="26"/>
        </w:rPr>
        <w:t xml:space="preserve"> </w:t>
      </w:r>
      <w:r w:rsidR="003C5C9E" w:rsidRPr="003C5C9E">
        <w:rPr>
          <w:rFonts w:ascii="Palatino" w:hAnsi="Palatino"/>
          <w:sz w:val="26"/>
          <w:szCs w:val="26"/>
        </w:rPr>
        <w:t>ISO</w:t>
      </w:r>
      <w:r w:rsidRPr="00FF2D7E">
        <w:rPr>
          <w:rFonts w:ascii="Palatino" w:hAnsi="Palatino"/>
          <w:sz w:val="26"/>
          <w:szCs w:val="26"/>
        </w:rPr>
        <w:t xml:space="preserve"> wholesale markets.</w:t>
      </w:r>
    </w:p>
    <w:p w:rsidR="00397B9D" w:rsidRDefault="005B7A6A" w:rsidP="002F2D0B">
      <w:pPr>
        <w:pStyle w:val="ListParagraph"/>
        <w:tabs>
          <w:tab w:val="left" w:pos="8280"/>
        </w:tabs>
        <w:spacing w:after="120"/>
        <w:ind w:right="1080"/>
        <w:rPr>
          <w:rFonts w:ascii="Palatino" w:hAnsi="Palatino"/>
          <w:b/>
          <w:sz w:val="26"/>
          <w:szCs w:val="26"/>
        </w:rPr>
      </w:pPr>
      <w:r w:rsidRPr="00FF2D7E">
        <w:rPr>
          <w:rFonts w:ascii="Palatino" w:hAnsi="Palatino"/>
          <w:sz w:val="26"/>
          <w:szCs w:val="26"/>
        </w:rPr>
        <w:t>3(</w:t>
      </w:r>
      <w:r w:rsidR="0038702E" w:rsidRPr="00FF2D7E">
        <w:rPr>
          <w:rFonts w:ascii="Palatino" w:hAnsi="Palatino"/>
          <w:sz w:val="26"/>
          <w:szCs w:val="26"/>
        </w:rPr>
        <w:t>c</w:t>
      </w:r>
      <w:r w:rsidRPr="00FF2D7E">
        <w:rPr>
          <w:rFonts w:ascii="Palatino" w:hAnsi="Palatino"/>
          <w:sz w:val="26"/>
          <w:szCs w:val="26"/>
        </w:rPr>
        <w:t xml:space="preserve">) </w:t>
      </w:r>
      <w:r w:rsidR="00907512" w:rsidRPr="003C3614">
        <w:rPr>
          <w:rFonts w:ascii="Palatino" w:hAnsi="Palatino"/>
          <w:b/>
          <w:sz w:val="26"/>
          <w:szCs w:val="26"/>
        </w:rPr>
        <w:t xml:space="preserve">Consider refinements to </w:t>
      </w:r>
      <w:r w:rsidR="0038702E" w:rsidRPr="003C3614">
        <w:rPr>
          <w:rFonts w:ascii="Palatino" w:hAnsi="Palatino"/>
          <w:b/>
          <w:sz w:val="26"/>
          <w:szCs w:val="26"/>
        </w:rPr>
        <w:t xml:space="preserve">[CEP] and </w:t>
      </w:r>
      <w:r w:rsidR="00907512" w:rsidRPr="003C3614">
        <w:rPr>
          <w:rFonts w:ascii="Palatino" w:hAnsi="Palatino"/>
          <w:b/>
          <w:sz w:val="26"/>
          <w:szCs w:val="26"/>
        </w:rPr>
        <w:t xml:space="preserve">valuation methodologies used by IOUs </w:t>
      </w:r>
      <w:r w:rsidR="00C10B35" w:rsidRPr="003C3614">
        <w:rPr>
          <w:rFonts w:ascii="Palatino" w:hAnsi="Palatino"/>
          <w:b/>
          <w:sz w:val="26"/>
          <w:szCs w:val="26"/>
        </w:rPr>
        <w:t>to support CPUC decisions on storage procurement and make models publicly available</w:t>
      </w:r>
      <w:r w:rsidR="006E6179" w:rsidRPr="003C3614">
        <w:rPr>
          <w:rFonts w:ascii="Palatino" w:hAnsi="Palatino"/>
          <w:b/>
          <w:sz w:val="26"/>
          <w:szCs w:val="26"/>
        </w:rPr>
        <w:t>.</w:t>
      </w:r>
      <w:r w:rsidR="00D056B0" w:rsidRPr="003C3614">
        <w:rPr>
          <w:rFonts w:ascii="Palatino" w:hAnsi="Palatino"/>
          <w:b/>
          <w:sz w:val="26"/>
          <w:szCs w:val="26"/>
        </w:rPr>
        <w:t xml:space="preserve"> (“Procurement</w:t>
      </w:r>
      <w:r w:rsidR="006059B3" w:rsidRPr="003C3614">
        <w:rPr>
          <w:rFonts w:ascii="Palatino" w:hAnsi="Palatino"/>
          <w:b/>
          <w:sz w:val="26"/>
          <w:szCs w:val="26"/>
        </w:rPr>
        <w:t>”</w:t>
      </w:r>
      <w:r w:rsidR="00D056B0" w:rsidRPr="003C3614">
        <w:rPr>
          <w:rFonts w:ascii="Palatino" w:hAnsi="Palatino"/>
          <w:b/>
          <w:sz w:val="26"/>
          <w:szCs w:val="26"/>
        </w:rPr>
        <w:t>-</w:t>
      </w:r>
      <w:r w:rsidR="006059B3" w:rsidRPr="003C3614">
        <w:rPr>
          <w:rFonts w:ascii="Palatino" w:hAnsi="Palatino"/>
          <w:b/>
          <w:sz w:val="26"/>
          <w:szCs w:val="26"/>
        </w:rPr>
        <w:t>“</w:t>
      </w:r>
      <w:r w:rsidR="00D056B0" w:rsidRPr="003C3614">
        <w:rPr>
          <w:rFonts w:ascii="Palatino" w:hAnsi="Palatino"/>
          <w:b/>
          <w:sz w:val="26"/>
          <w:szCs w:val="26"/>
        </w:rPr>
        <w:t>High Priority”)</w:t>
      </w:r>
      <w:r w:rsidR="00435036" w:rsidRPr="002F40E2">
        <w:rPr>
          <w:rStyle w:val="FootnoteReference"/>
          <w:rFonts w:ascii="Palatino" w:hAnsi="Palatino"/>
          <w:szCs w:val="26"/>
        </w:rPr>
        <w:footnoteReference w:id="25"/>
      </w:r>
      <w:r w:rsidR="003077BD" w:rsidRPr="003C3614">
        <w:rPr>
          <w:rFonts w:ascii="Palatino" w:hAnsi="Palatino"/>
          <w:b/>
          <w:sz w:val="26"/>
          <w:szCs w:val="26"/>
        </w:rPr>
        <w:t xml:space="preserve"> -</w:t>
      </w:r>
      <w:r w:rsidR="003077BD">
        <w:rPr>
          <w:rFonts w:ascii="Palatino" w:hAnsi="Palatino"/>
          <w:b/>
          <w:sz w:val="26"/>
          <w:szCs w:val="26"/>
        </w:rPr>
        <w:t xml:space="preserve"> </w:t>
      </w:r>
      <w:r w:rsidR="003077BD" w:rsidRPr="00FF2D7E">
        <w:rPr>
          <w:rFonts w:ascii="Palatino" w:hAnsi="Palatino"/>
          <w:sz w:val="26"/>
          <w:szCs w:val="26"/>
        </w:rPr>
        <w:t>Assess existing methodologies for valuing energy storage and develop a common methodology</w:t>
      </w:r>
      <w:r w:rsidR="003077BD">
        <w:rPr>
          <w:rFonts w:ascii="Palatino" w:hAnsi="Palatino"/>
          <w:sz w:val="26"/>
          <w:szCs w:val="26"/>
        </w:rPr>
        <w:t>.</w:t>
      </w:r>
    </w:p>
    <w:p w:rsidR="00397B9D" w:rsidRPr="00397B9D" w:rsidRDefault="00907512" w:rsidP="006730A7">
      <w:pPr>
        <w:pStyle w:val="ListParagraph"/>
        <w:numPr>
          <w:ilvl w:val="1"/>
          <w:numId w:val="11"/>
        </w:numPr>
        <w:spacing w:after="120"/>
        <w:ind w:right="1440"/>
        <w:rPr>
          <w:rFonts w:ascii="Palatino" w:hAnsi="Palatino"/>
          <w:sz w:val="26"/>
          <w:szCs w:val="26"/>
        </w:rPr>
      </w:pPr>
      <w:r w:rsidRPr="00397B9D">
        <w:rPr>
          <w:rFonts w:ascii="Palatino" w:hAnsi="Palatino"/>
          <w:sz w:val="26"/>
          <w:szCs w:val="26"/>
        </w:rPr>
        <w:t xml:space="preserve">D.13-10-040 directed the utilities to develop a Consistent Evaluation Protocol (CEP) to be used in the </w:t>
      </w:r>
      <w:r w:rsidR="00397B9D" w:rsidRPr="00397B9D">
        <w:rPr>
          <w:rFonts w:ascii="Palatino" w:hAnsi="Palatino"/>
          <w:sz w:val="26"/>
          <w:szCs w:val="26"/>
        </w:rPr>
        <w:t xml:space="preserve">biennial </w:t>
      </w:r>
      <w:r w:rsidRPr="00397B9D">
        <w:rPr>
          <w:rFonts w:ascii="Palatino" w:hAnsi="Palatino"/>
          <w:sz w:val="26"/>
          <w:szCs w:val="26"/>
        </w:rPr>
        <w:t xml:space="preserve">storage solicitations.  </w:t>
      </w:r>
      <w:r w:rsidR="00397B9D">
        <w:rPr>
          <w:rFonts w:ascii="Palatino" w:hAnsi="Palatino"/>
          <w:sz w:val="26"/>
          <w:szCs w:val="26"/>
        </w:rPr>
        <w:t>Although</w:t>
      </w:r>
      <w:r w:rsidR="00397B9D" w:rsidRPr="00397B9D">
        <w:rPr>
          <w:rFonts w:ascii="Palatino" w:hAnsi="Palatino"/>
          <w:sz w:val="26"/>
          <w:szCs w:val="26"/>
        </w:rPr>
        <w:t xml:space="preserve"> D.14-10-045 encouraged ED to establish a common CEP for benchmarking and reporting purposes, it gave the IOUs wide latitude to use proprietary protocols for actual project selection, while ensuring that the protocols “draw on” the range of costs and benefits identified in the OIR/studies</w:t>
      </w:r>
      <w:r w:rsidR="00397B9D" w:rsidRPr="00397B9D">
        <w:rPr>
          <w:sz w:val="24"/>
          <w:szCs w:val="24"/>
        </w:rPr>
        <w:t>.</w:t>
      </w:r>
      <w:r w:rsidR="00397B9D">
        <w:rPr>
          <w:rStyle w:val="FootnoteReference"/>
          <w:szCs w:val="24"/>
        </w:rPr>
        <w:footnoteReference w:id="26"/>
      </w:r>
    </w:p>
    <w:p w:rsidR="00907512" w:rsidRPr="00FF2D7E" w:rsidRDefault="00907512" w:rsidP="006730A7">
      <w:pPr>
        <w:pStyle w:val="ListParagraph"/>
        <w:numPr>
          <w:ilvl w:val="1"/>
          <w:numId w:val="11"/>
        </w:numPr>
        <w:spacing w:after="120"/>
        <w:ind w:right="1440"/>
        <w:rPr>
          <w:rFonts w:ascii="Palatino" w:hAnsi="Palatino"/>
          <w:sz w:val="26"/>
          <w:szCs w:val="26"/>
        </w:rPr>
      </w:pPr>
      <w:r w:rsidRPr="00FF2D7E">
        <w:rPr>
          <w:rFonts w:ascii="Palatino" w:hAnsi="Palatino"/>
          <w:sz w:val="26"/>
          <w:szCs w:val="26"/>
        </w:rPr>
        <w:t xml:space="preserve">Both D.14-10-045 and the </w:t>
      </w:r>
      <w:r w:rsidR="00D7611B" w:rsidRPr="00FF2D7E">
        <w:rPr>
          <w:rFonts w:ascii="Palatino" w:hAnsi="Palatino"/>
          <w:sz w:val="26"/>
          <w:szCs w:val="26"/>
        </w:rPr>
        <w:t xml:space="preserve">Storage </w:t>
      </w:r>
      <w:r w:rsidRPr="00FF2D7E">
        <w:rPr>
          <w:rFonts w:ascii="Palatino" w:hAnsi="Palatino"/>
          <w:sz w:val="26"/>
          <w:szCs w:val="26"/>
        </w:rPr>
        <w:t xml:space="preserve">Roadmap noted that a review of the utilities’ </w:t>
      </w:r>
      <w:r w:rsidR="00397B9D">
        <w:rPr>
          <w:rFonts w:ascii="Palatino" w:hAnsi="Palatino"/>
          <w:sz w:val="26"/>
          <w:szCs w:val="26"/>
        </w:rPr>
        <w:t xml:space="preserve">CEP and </w:t>
      </w:r>
      <w:r w:rsidRPr="00FF2D7E">
        <w:rPr>
          <w:rFonts w:ascii="Palatino" w:hAnsi="Palatino"/>
          <w:sz w:val="26"/>
          <w:szCs w:val="26"/>
        </w:rPr>
        <w:t xml:space="preserve">valuation methodologies may be needed. </w:t>
      </w:r>
      <w:r w:rsidR="006730A7">
        <w:rPr>
          <w:rFonts w:ascii="Palatino" w:hAnsi="Palatino"/>
          <w:sz w:val="26"/>
          <w:szCs w:val="26"/>
        </w:rPr>
        <w:t xml:space="preserve"> </w:t>
      </w:r>
      <w:r w:rsidR="00397B9D">
        <w:rPr>
          <w:rFonts w:ascii="Palatino" w:hAnsi="Palatino"/>
          <w:sz w:val="26"/>
          <w:szCs w:val="26"/>
        </w:rPr>
        <w:t xml:space="preserve">According to D.14-10-045, the best venue </w:t>
      </w:r>
      <w:r w:rsidR="00397B9D">
        <w:rPr>
          <w:rFonts w:ascii="Palatino" w:hAnsi="Palatino"/>
          <w:sz w:val="26"/>
          <w:szCs w:val="26"/>
        </w:rPr>
        <w:lastRenderedPageBreak/>
        <w:t>to accomplish any needed changes to the CEP is via the 2016 evaluation and/or rulemaking.</w:t>
      </w:r>
      <w:r w:rsidR="00435036">
        <w:rPr>
          <w:rStyle w:val="FootnoteReference"/>
          <w:rFonts w:ascii="Palatino" w:hAnsi="Palatino"/>
          <w:szCs w:val="26"/>
        </w:rPr>
        <w:footnoteReference w:id="27"/>
      </w:r>
    </w:p>
    <w:p w:rsidR="00907512" w:rsidRPr="009A102B" w:rsidRDefault="00D7611B" w:rsidP="009A102B">
      <w:pPr>
        <w:spacing w:after="120"/>
        <w:ind w:left="720"/>
        <w:rPr>
          <w:b/>
        </w:rPr>
      </w:pPr>
      <w:r w:rsidRPr="00FF2D7E">
        <w:rPr>
          <w:b/>
          <w:szCs w:val="26"/>
        </w:rPr>
        <w:t xml:space="preserve">Issue </w:t>
      </w:r>
      <w:r w:rsidR="003077BD">
        <w:rPr>
          <w:b/>
          <w:szCs w:val="26"/>
        </w:rPr>
        <w:t>4</w:t>
      </w:r>
      <w:r w:rsidRPr="00FF2D7E">
        <w:rPr>
          <w:b/>
          <w:szCs w:val="26"/>
        </w:rPr>
        <w:t>:</w:t>
      </w:r>
      <w:r w:rsidRPr="00FF2D7E">
        <w:rPr>
          <w:szCs w:val="26"/>
        </w:rPr>
        <w:t xml:space="preserve"> </w:t>
      </w:r>
      <w:r w:rsidR="008E2A5B">
        <w:rPr>
          <w:szCs w:val="26"/>
        </w:rPr>
        <w:t xml:space="preserve"> </w:t>
      </w:r>
      <w:r w:rsidRPr="00FF2D7E">
        <w:rPr>
          <w:b/>
          <w:szCs w:val="26"/>
        </w:rPr>
        <w:t xml:space="preserve">Address </w:t>
      </w:r>
      <w:r w:rsidR="00837B6F" w:rsidRPr="00FF2D7E">
        <w:rPr>
          <w:b/>
          <w:szCs w:val="26"/>
        </w:rPr>
        <w:t xml:space="preserve">Emerging </w:t>
      </w:r>
      <w:r w:rsidRPr="00FF2D7E">
        <w:rPr>
          <w:b/>
          <w:szCs w:val="26"/>
        </w:rPr>
        <w:t>Policy and Implementation</w:t>
      </w:r>
      <w:r w:rsidR="00907512" w:rsidRPr="00FF2D7E">
        <w:rPr>
          <w:b/>
          <w:szCs w:val="26"/>
        </w:rPr>
        <w:t xml:space="preserve"> Issues</w:t>
      </w:r>
      <w:r w:rsidRPr="00FF2D7E">
        <w:rPr>
          <w:b/>
          <w:szCs w:val="26"/>
        </w:rPr>
        <w:t xml:space="preserve"> Not Covered in D.13-10-040 and D.14-10-045</w:t>
      </w:r>
      <w:r w:rsidR="007D307F">
        <w:rPr>
          <w:b/>
          <w:szCs w:val="26"/>
        </w:rPr>
        <w:t xml:space="preserve"> or the Storage Roadmap</w:t>
      </w:r>
    </w:p>
    <w:p w:rsidR="00907512" w:rsidRPr="00773940" w:rsidRDefault="003077BD" w:rsidP="002F2D0B">
      <w:pPr>
        <w:pStyle w:val="ListParagraph"/>
        <w:keepNext/>
        <w:keepLines/>
        <w:spacing w:after="120"/>
        <w:ind w:right="1080"/>
        <w:rPr>
          <w:rFonts w:ascii="Palatino" w:hAnsi="Palatino"/>
          <w:sz w:val="26"/>
          <w:szCs w:val="26"/>
        </w:rPr>
      </w:pPr>
      <w:r w:rsidRPr="00773940">
        <w:rPr>
          <w:rFonts w:ascii="Palatino" w:hAnsi="Palatino"/>
          <w:sz w:val="26"/>
          <w:szCs w:val="26"/>
        </w:rPr>
        <w:t>4(a)</w:t>
      </w:r>
      <w:r w:rsidR="00D7611B" w:rsidRPr="00773940">
        <w:rPr>
          <w:rFonts w:ascii="Palatino" w:hAnsi="Palatino"/>
          <w:sz w:val="26"/>
          <w:szCs w:val="26"/>
        </w:rPr>
        <w:t xml:space="preserve"> Provide guidelines, as appropriate or necessary, to distinguish station power from wholesale charging energy taken in by distribution connected storage assets participating in the wholesale markets.</w:t>
      </w:r>
    </w:p>
    <w:p w:rsidR="00D7611B" w:rsidRPr="00FF2D7E" w:rsidRDefault="00D7611B" w:rsidP="00145CD2">
      <w:pPr>
        <w:pStyle w:val="ListParagraph"/>
        <w:keepNext/>
        <w:keepLines/>
        <w:numPr>
          <w:ilvl w:val="1"/>
          <w:numId w:val="16"/>
        </w:numPr>
        <w:spacing w:after="120"/>
        <w:ind w:left="1080" w:right="1440"/>
        <w:rPr>
          <w:rFonts w:ascii="Palatino" w:hAnsi="Palatino"/>
          <w:sz w:val="26"/>
          <w:szCs w:val="26"/>
        </w:rPr>
      </w:pPr>
      <w:r w:rsidRPr="00FF2D7E">
        <w:rPr>
          <w:rFonts w:ascii="Palatino" w:hAnsi="Palatino"/>
          <w:sz w:val="26"/>
          <w:szCs w:val="26"/>
        </w:rPr>
        <w:t xml:space="preserve">On </w:t>
      </w:r>
      <w:r w:rsidR="00907512" w:rsidRPr="00FF2D7E">
        <w:rPr>
          <w:rFonts w:ascii="Palatino" w:hAnsi="Palatino"/>
          <w:sz w:val="26"/>
          <w:szCs w:val="26"/>
        </w:rPr>
        <w:t xml:space="preserve">November 2014 </w:t>
      </w:r>
      <w:r w:rsidRPr="00FF2D7E">
        <w:rPr>
          <w:rFonts w:ascii="Palatino" w:hAnsi="Palatino"/>
          <w:sz w:val="26"/>
          <w:szCs w:val="26"/>
        </w:rPr>
        <w:t>, the CAISO issued a draft report</w:t>
      </w:r>
      <w:r w:rsidR="002B6ED5">
        <w:rPr>
          <w:rStyle w:val="FootnoteReference"/>
          <w:rFonts w:ascii="Palatino" w:hAnsi="Palatino"/>
          <w:szCs w:val="26"/>
        </w:rPr>
        <w:footnoteReference w:id="28"/>
      </w:r>
      <w:r w:rsidR="00907512" w:rsidRPr="00FF2D7E">
        <w:rPr>
          <w:rFonts w:ascii="Palatino" w:hAnsi="Palatino"/>
          <w:sz w:val="26"/>
          <w:szCs w:val="26"/>
        </w:rPr>
        <w:t xml:space="preserve"> </w:t>
      </w:r>
      <w:r w:rsidRPr="00FF2D7E">
        <w:rPr>
          <w:rFonts w:ascii="Palatino" w:hAnsi="Palatino"/>
          <w:sz w:val="26"/>
          <w:szCs w:val="26"/>
        </w:rPr>
        <w:t xml:space="preserve">which </w:t>
      </w:r>
      <w:r w:rsidR="00907512" w:rsidRPr="00FF2D7E">
        <w:rPr>
          <w:rFonts w:ascii="Palatino" w:hAnsi="Palatino"/>
          <w:sz w:val="26"/>
          <w:szCs w:val="26"/>
        </w:rPr>
        <w:t xml:space="preserve">clarified the rate treatment of charging energy taken in at one time by a storage asset that is intended to be returned to the system/grid at some point later in time (except for the energy lost in the round trip process due to inefficiencies).  Essentially, such energy would be treated as a wholesale product and assessed at </w:t>
      </w:r>
      <w:r w:rsidR="00F213C2">
        <w:rPr>
          <w:rFonts w:ascii="Palatino" w:hAnsi="Palatino"/>
          <w:sz w:val="26"/>
          <w:szCs w:val="26"/>
        </w:rPr>
        <w:t xml:space="preserve">locational </w:t>
      </w:r>
      <w:r w:rsidRPr="00FF2D7E">
        <w:rPr>
          <w:rFonts w:ascii="Palatino" w:hAnsi="Palatino"/>
          <w:sz w:val="26"/>
          <w:szCs w:val="26"/>
        </w:rPr>
        <w:t>marginal price (</w:t>
      </w:r>
      <w:r w:rsidR="00907512" w:rsidRPr="00FF2D7E">
        <w:rPr>
          <w:rFonts w:ascii="Palatino" w:hAnsi="Palatino"/>
          <w:sz w:val="26"/>
          <w:szCs w:val="26"/>
        </w:rPr>
        <w:t>LMP</w:t>
      </w:r>
      <w:r w:rsidRPr="00FF2D7E">
        <w:rPr>
          <w:rFonts w:ascii="Palatino" w:hAnsi="Palatino"/>
          <w:sz w:val="26"/>
          <w:szCs w:val="26"/>
        </w:rPr>
        <w:t>)</w:t>
      </w:r>
      <w:r w:rsidR="00907512" w:rsidRPr="00FF2D7E">
        <w:rPr>
          <w:rFonts w:ascii="Palatino" w:hAnsi="Palatino"/>
          <w:sz w:val="26"/>
          <w:szCs w:val="26"/>
        </w:rPr>
        <w:t xml:space="preserve"> but free of </w:t>
      </w:r>
      <w:r w:rsidRPr="00FF2D7E">
        <w:rPr>
          <w:rFonts w:ascii="Palatino" w:hAnsi="Palatino"/>
          <w:sz w:val="26"/>
          <w:szCs w:val="26"/>
        </w:rPr>
        <w:t>transmission access charges (</w:t>
      </w:r>
      <w:r w:rsidR="00907512" w:rsidRPr="00FF2D7E">
        <w:rPr>
          <w:rFonts w:ascii="Palatino" w:hAnsi="Palatino"/>
          <w:sz w:val="26"/>
          <w:szCs w:val="26"/>
        </w:rPr>
        <w:t>TAC</w:t>
      </w:r>
      <w:r w:rsidRPr="00FF2D7E">
        <w:rPr>
          <w:rFonts w:ascii="Palatino" w:hAnsi="Palatino"/>
          <w:sz w:val="26"/>
          <w:szCs w:val="26"/>
        </w:rPr>
        <w:t>)</w:t>
      </w:r>
      <w:r w:rsidR="00907512" w:rsidRPr="00FF2D7E">
        <w:rPr>
          <w:rFonts w:ascii="Palatino" w:hAnsi="Palatino"/>
          <w:sz w:val="26"/>
          <w:szCs w:val="26"/>
        </w:rPr>
        <w:t xml:space="preserve"> and distribution charges.  </w:t>
      </w:r>
    </w:p>
    <w:p w:rsidR="00907512" w:rsidRPr="00FF2D7E" w:rsidRDefault="00907512" w:rsidP="006730A7">
      <w:pPr>
        <w:pStyle w:val="ListParagraph"/>
        <w:numPr>
          <w:ilvl w:val="1"/>
          <w:numId w:val="16"/>
        </w:numPr>
        <w:spacing w:after="120"/>
        <w:ind w:left="1080" w:right="1440"/>
        <w:rPr>
          <w:rFonts w:ascii="Palatino" w:hAnsi="Palatino"/>
          <w:sz w:val="26"/>
          <w:szCs w:val="26"/>
        </w:rPr>
      </w:pPr>
      <w:r w:rsidRPr="00FF2D7E">
        <w:rPr>
          <w:rFonts w:ascii="Palatino" w:hAnsi="Palatino"/>
          <w:sz w:val="26"/>
          <w:szCs w:val="26"/>
        </w:rPr>
        <w:t>However, wholesale assets also consume energy as end use load (that is not returned to the system), such as energy used to power onsite lights and cooling units; the rate treatment of such energy is handled under station power tariff, which include TAC and distribution charges.  While the identification of station power has been straightforward for conventional generating assets, it may not be so in the case of wholesale storage assets.</w:t>
      </w:r>
    </w:p>
    <w:p w:rsidR="00907512" w:rsidRPr="00FF2D7E" w:rsidRDefault="00A80750" w:rsidP="002F2D0B">
      <w:pPr>
        <w:pStyle w:val="ListParagraph"/>
        <w:spacing w:after="120"/>
        <w:ind w:right="1080"/>
        <w:rPr>
          <w:rFonts w:ascii="Palatino" w:hAnsi="Palatino"/>
          <w:sz w:val="26"/>
          <w:szCs w:val="26"/>
        </w:rPr>
      </w:pPr>
      <w:r>
        <w:rPr>
          <w:rFonts w:ascii="Palatino" w:hAnsi="Palatino"/>
          <w:sz w:val="26"/>
          <w:szCs w:val="26"/>
        </w:rPr>
        <w:t>4(b)</w:t>
      </w:r>
      <w:r w:rsidR="00AB08B7" w:rsidRPr="00FF2D7E">
        <w:rPr>
          <w:rFonts w:ascii="Palatino" w:hAnsi="Palatino"/>
          <w:sz w:val="26"/>
          <w:szCs w:val="26"/>
        </w:rPr>
        <w:t xml:space="preserve"> </w:t>
      </w:r>
      <w:r w:rsidR="00907512" w:rsidRPr="00773940">
        <w:rPr>
          <w:rFonts w:ascii="Palatino" w:hAnsi="Palatino"/>
          <w:sz w:val="26"/>
          <w:szCs w:val="26"/>
        </w:rPr>
        <w:t>Explore use of non-utility storage assets by third parties to provide permitted services to multiple customers.</w:t>
      </w:r>
    </w:p>
    <w:p w:rsidR="00907512" w:rsidRPr="00FF2D7E" w:rsidRDefault="00907512" w:rsidP="006700D9">
      <w:pPr>
        <w:pStyle w:val="ListParagraph"/>
        <w:numPr>
          <w:ilvl w:val="1"/>
          <w:numId w:val="16"/>
        </w:numPr>
        <w:spacing w:after="120"/>
        <w:ind w:left="1080" w:right="1440"/>
        <w:rPr>
          <w:rFonts w:ascii="Palatino" w:hAnsi="Palatino"/>
          <w:sz w:val="26"/>
          <w:szCs w:val="26"/>
        </w:rPr>
      </w:pPr>
      <w:r w:rsidRPr="00FF2D7E">
        <w:rPr>
          <w:rFonts w:ascii="Palatino" w:hAnsi="Palatino"/>
          <w:sz w:val="26"/>
          <w:szCs w:val="26"/>
        </w:rPr>
        <w:t xml:space="preserve">Currently, there is clear demarcation line at the customer meter with customer-side grid-connected assets operating under one set of rules and other grid-connected assets on the other side of the meter operating under a different set of rules.  In the case of storage, there may be applications </w:t>
      </w:r>
      <w:r w:rsidRPr="00FF2D7E">
        <w:rPr>
          <w:rFonts w:ascii="Palatino" w:hAnsi="Palatino"/>
          <w:sz w:val="26"/>
          <w:szCs w:val="26"/>
        </w:rPr>
        <w:lastRenderedPageBreak/>
        <w:t xml:space="preserve">where it may be natural </w:t>
      </w:r>
      <w:r w:rsidR="00BD65C4">
        <w:rPr>
          <w:rFonts w:ascii="Palatino" w:hAnsi="Palatino"/>
          <w:sz w:val="26"/>
          <w:szCs w:val="26"/>
        </w:rPr>
        <w:t>or more efficient to have a non</w:t>
      </w:r>
      <w:r w:rsidR="00BD65C4">
        <w:rPr>
          <w:rFonts w:ascii="Palatino" w:hAnsi="Palatino"/>
          <w:sz w:val="26"/>
          <w:szCs w:val="26"/>
        </w:rPr>
        <w:noBreakHyphen/>
      </w:r>
      <w:r w:rsidRPr="00FF2D7E">
        <w:rPr>
          <w:rFonts w:ascii="Palatino" w:hAnsi="Palatino"/>
          <w:sz w:val="26"/>
          <w:szCs w:val="26"/>
        </w:rPr>
        <w:t>utility storage asset provide services to multiple customers but located on the utility side of meters for these customers.</w:t>
      </w:r>
    </w:p>
    <w:p w:rsidR="00907512" w:rsidRPr="00FF2D7E" w:rsidRDefault="00907512" w:rsidP="0033031A">
      <w:pPr>
        <w:pStyle w:val="ListParagraph"/>
        <w:numPr>
          <w:ilvl w:val="2"/>
          <w:numId w:val="16"/>
        </w:numPr>
        <w:spacing w:after="120"/>
        <w:ind w:left="1440" w:right="1440"/>
        <w:rPr>
          <w:rFonts w:ascii="Palatino" w:hAnsi="Palatino"/>
          <w:sz w:val="26"/>
          <w:szCs w:val="26"/>
        </w:rPr>
      </w:pPr>
      <w:r w:rsidRPr="00FF2D7E">
        <w:rPr>
          <w:rFonts w:ascii="Palatino" w:hAnsi="Palatino"/>
          <w:sz w:val="26"/>
          <w:szCs w:val="26"/>
        </w:rPr>
        <w:t>One example is a storage asset supporting an EV charging station utilized by multiple customers in a residential multi-tenant building.</w:t>
      </w:r>
    </w:p>
    <w:p w:rsidR="00907512" w:rsidRPr="00FF2D7E" w:rsidRDefault="00907512" w:rsidP="0033031A">
      <w:pPr>
        <w:pStyle w:val="ListParagraph"/>
        <w:numPr>
          <w:ilvl w:val="2"/>
          <w:numId w:val="16"/>
        </w:numPr>
        <w:spacing w:after="120"/>
        <w:ind w:left="1440" w:right="1440"/>
        <w:rPr>
          <w:rFonts w:ascii="Palatino" w:hAnsi="Palatino"/>
          <w:sz w:val="26"/>
          <w:szCs w:val="26"/>
        </w:rPr>
      </w:pPr>
      <w:r w:rsidRPr="00FF2D7E">
        <w:rPr>
          <w:rFonts w:ascii="Palatino" w:hAnsi="Palatino"/>
          <w:sz w:val="26"/>
          <w:szCs w:val="26"/>
        </w:rPr>
        <w:t xml:space="preserve">Another example is a </w:t>
      </w:r>
      <w:r w:rsidR="00F213C2">
        <w:rPr>
          <w:rFonts w:ascii="Palatino" w:hAnsi="Palatino"/>
          <w:sz w:val="26"/>
          <w:szCs w:val="26"/>
        </w:rPr>
        <w:t xml:space="preserve">storage asset connected to a </w:t>
      </w:r>
      <w:r w:rsidRPr="00FF2D7E">
        <w:rPr>
          <w:rFonts w:ascii="Palatino" w:hAnsi="Palatino"/>
          <w:sz w:val="26"/>
          <w:szCs w:val="26"/>
        </w:rPr>
        <w:t xml:space="preserve">community owned solar plant (for virtual </w:t>
      </w:r>
      <w:r w:rsidR="00837B6F" w:rsidRPr="00FF2D7E">
        <w:rPr>
          <w:rFonts w:ascii="Palatino" w:hAnsi="Palatino"/>
          <w:sz w:val="26"/>
          <w:szCs w:val="26"/>
        </w:rPr>
        <w:t>net energy metering (</w:t>
      </w:r>
      <w:r w:rsidR="00A80750">
        <w:rPr>
          <w:rFonts w:ascii="Palatino" w:hAnsi="Palatino"/>
          <w:sz w:val="26"/>
          <w:szCs w:val="26"/>
        </w:rPr>
        <w:t>VNM</w:t>
      </w:r>
      <w:r w:rsidR="00837B6F" w:rsidRPr="00FF2D7E">
        <w:rPr>
          <w:rFonts w:ascii="Palatino" w:hAnsi="Palatino"/>
          <w:sz w:val="26"/>
          <w:szCs w:val="26"/>
        </w:rPr>
        <w:t>)</w:t>
      </w:r>
      <w:r w:rsidRPr="00FF2D7E">
        <w:rPr>
          <w:rFonts w:ascii="Palatino" w:hAnsi="Palatino"/>
          <w:sz w:val="26"/>
          <w:szCs w:val="26"/>
        </w:rPr>
        <w:t xml:space="preserve">). </w:t>
      </w:r>
    </w:p>
    <w:p w:rsidR="008E2A5B" w:rsidRPr="00734100" w:rsidRDefault="00907512" w:rsidP="00734100">
      <w:pPr>
        <w:pStyle w:val="ListParagraph"/>
        <w:numPr>
          <w:ilvl w:val="1"/>
          <w:numId w:val="16"/>
        </w:numPr>
        <w:ind w:left="1080" w:right="1440"/>
        <w:rPr>
          <w:rFonts w:ascii="Palatino" w:hAnsi="Palatino"/>
          <w:sz w:val="26"/>
          <w:szCs w:val="26"/>
        </w:rPr>
      </w:pPr>
      <w:r w:rsidRPr="00FF2D7E">
        <w:rPr>
          <w:rFonts w:ascii="Palatino" w:hAnsi="Palatino"/>
          <w:sz w:val="26"/>
          <w:szCs w:val="26"/>
        </w:rPr>
        <w:t xml:space="preserve">In this rulemaking, we seek to explore such “shared” storage use cases and consider whether it is appropriate to create a new category of grid-connected assets with new rules applicable to their operation that </w:t>
      </w:r>
      <w:r w:rsidR="00F213C2">
        <w:rPr>
          <w:rFonts w:ascii="Palatino" w:hAnsi="Palatino"/>
          <w:sz w:val="26"/>
          <w:szCs w:val="26"/>
        </w:rPr>
        <w:t xml:space="preserve">may </w:t>
      </w:r>
      <w:r w:rsidRPr="00FF2D7E">
        <w:rPr>
          <w:rFonts w:ascii="Palatino" w:hAnsi="Palatino"/>
          <w:sz w:val="26"/>
          <w:szCs w:val="26"/>
        </w:rPr>
        <w:t>blur the traditional distinction between customer and utility-side assets.</w:t>
      </w:r>
    </w:p>
    <w:p w:rsidR="00F57A96" w:rsidRPr="00186D6E" w:rsidRDefault="00F57A96" w:rsidP="00F232C1">
      <w:pPr>
        <w:pStyle w:val="Heading1"/>
      </w:pPr>
      <w:bookmarkStart w:id="12" w:name="_Toc414880647"/>
      <w:r w:rsidRPr="00186D6E">
        <w:t xml:space="preserve">Preliminary </w:t>
      </w:r>
      <w:r w:rsidRPr="00F232C1">
        <w:t>Schedule</w:t>
      </w:r>
      <w:bookmarkEnd w:id="12"/>
    </w:p>
    <w:p w:rsidR="00F57A96" w:rsidRPr="00FF2D7E" w:rsidRDefault="00F57A96">
      <w:pPr>
        <w:pStyle w:val="standard"/>
        <w:rPr>
          <w:szCs w:val="26"/>
        </w:rPr>
      </w:pPr>
      <w:r w:rsidRPr="00FF2D7E">
        <w:rPr>
          <w:szCs w:val="26"/>
        </w:rPr>
        <w:t>The preliminary schedule for this proceeding shall be as follows:</w:t>
      </w:r>
    </w:p>
    <w:p w:rsidR="00F57A96" w:rsidRPr="00FF2D7E" w:rsidRDefault="0004378B" w:rsidP="00837B6F">
      <w:pPr>
        <w:pStyle w:val="standard"/>
        <w:rPr>
          <w:szCs w:val="26"/>
        </w:rPr>
      </w:pPr>
      <w:r>
        <w:rPr>
          <w:szCs w:val="26"/>
        </w:rPr>
        <w:t>Thirty</w:t>
      </w:r>
      <w:r w:rsidR="008E2A5B">
        <w:rPr>
          <w:szCs w:val="26"/>
        </w:rPr>
        <w:t xml:space="preserve"> </w:t>
      </w:r>
      <w:r w:rsidR="00BA71B8">
        <w:rPr>
          <w:szCs w:val="26"/>
        </w:rPr>
        <w:t>days</w:t>
      </w:r>
      <w:r w:rsidR="00837B6F" w:rsidRPr="00FF2D7E">
        <w:rPr>
          <w:szCs w:val="26"/>
        </w:rPr>
        <w:t xml:space="preserve"> after the issuance of this </w:t>
      </w:r>
      <w:r w:rsidR="008E2A5B">
        <w:rPr>
          <w:szCs w:val="26"/>
        </w:rPr>
        <w:t xml:space="preserve">decision </w:t>
      </w:r>
      <w:r w:rsidR="00964A25">
        <w:rPr>
          <w:szCs w:val="26"/>
        </w:rPr>
        <w:t>OIR</w:t>
      </w:r>
      <w:r w:rsidR="00F57A96" w:rsidRPr="00FF2D7E">
        <w:rPr>
          <w:szCs w:val="26"/>
        </w:rPr>
        <w:t>, parties shall file comments that will identify the facts and issues of laws that they believe to be relevant to this proceeding’s scope as guided by the directions and comments in this OIR</w:t>
      </w:r>
      <w:r w:rsidR="00837B6F" w:rsidRPr="00FF2D7E">
        <w:rPr>
          <w:szCs w:val="26"/>
        </w:rPr>
        <w:t>.</w:t>
      </w:r>
      <w:r w:rsidR="00F57A96" w:rsidRPr="00FF2D7E">
        <w:rPr>
          <w:szCs w:val="26"/>
        </w:rPr>
        <w:t xml:space="preserve"> </w:t>
      </w:r>
      <w:r w:rsidR="00AB24C7">
        <w:rPr>
          <w:szCs w:val="26"/>
        </w:rPr>
        <w:t xml:space="preserve"> </w:t>
      </w:r>
      <w:r w:rsidR="00F57A96" w:rsidRPr="00FF2D7E">
        <w:rPr>
          <w:szCs w:val="26"/>
        </w:rPr>
        <w:t>The Comments should also:  identify the party and interest of the party in this proceeding (</w:t>
      </w:r>
      <w:r w:rsidR="00F57A96" w:rsidRPr="00AB24C7">
        <w:rPr>
          <w:i/>
          <w:szCs w:val="26"/>
        </w:rPr>
        <w:t>see</w:t>
      </w:r>
      <w:r w:rsidR="00F57A96" w:rsidRPr="00FF2D7E">
        <w:rPr>
          <w:szCs w:val="26"/>
        </w:rPr>
        <w:t xml:space="preserve"> Rule 1.4(b)); raise any objections to or recommendations regarding this order’s determinations as to categorization of the proceeding as quasi-legislative, the need for hearing, issues to be considered, or scheduling (</w:t>
      </w:r>
      <w:r w:rsidR="00F57A96" w:rsidRPr="00AB24C7">
        <w:rPr>
          <w:i/>
          <w:szCs w:val="26"/>
        </w:rPr>
        <w:t>see</w:t>
      </w:r>
      <w:r w:rsidR="00F57A96" w:rsidRPr="00FF2D7E">
        <w:rPr>
          <w:szCs w:val="26"/>
        </w:rPr>
        <w:t xml:space="preserve"> Rule 6.2); and, identify any other procedural or substantive issues parties believe to be relevant.</w:t>
      </w:r>
    </w:p>
    <w:p w:rsidR="00F57A96" w:rsidRPr="00FF2D7E" w:rsidRDefault="00F57A96">
      <w:pPr>
        <w:pStyle w:val="standard"/>
        <w:rPr>
          <w:szCs w:val="26"/>
        </w:rPr>
      </w:pPr>
      <w:r w:rsidRPr="00FF2D7E">
        <w:rPr>
          <w:szCs w:val="26"/>
        </w:rPr>
        <w:t xml:space="preserve">Based on the parties’ </w:t>
      </w:r>
      <w:r w:rsidR="00837B6F" w:rsidRPr="00FF2D7E">
        <w:rPr>
          <w:szCs w:val="26"/>
        </w:rPr>
        <w:t>comments in response to the OIR</w:t>
      </w:r>
      <w:r w:rsidRPr="00FF2D7E">
        <w:rPr>
          <w:szCs w:val="26"/>
        </w:rPr>
        <w:t xml:space="preserve">, the assigned Commissioner or the Administrative Law Judge </w:t>
      </w:r>
      <w:r w:rsidR="00BA71B8" w:rsidRPr="00AD0CF5">
        <w:rPr>
          <w:szCs w:val="26"/>
        </w:rPr>
        <w:t>may</w:t>
      </w:r>
      <w:r w:rsidRPr="00AD0CF5">
        <w:rPr>
          <w:szCs w:val="26"/>
        </w:rPr>
        <w:t xml:space="preserve"> d</w:t>
      </w:r>
      <w:r w:rsidRPr="00FF2D7E">
        <w:rPr>
          <w:szCs w:val="26"/>
        </w:rPr>
        <w:t xml:space="preserve">evelop a </w:t>
      </w:r>
      <w:r w:rsidR="0004378B">
        <w:rPr>
          <w:szCs w:val="26"/>
        </w:rPr>
        <w:t>ruling</w:t>
      </w:r>
      <w:r w:rsidRPr="00FF2D7E">
        <w:rPr>
          <w:szCs w:val="26"/>
        </w:rPr>
        <w:t>, specifying the particular topics on which additional information and input from the parties will be solicited.</w:t>
      </w:r>
    </w:p>
    <w:p w:rsidR="00F57A96" w:rsidRPr="00FF2D7E" w:rsidRDefault="00F57A96">
      <w:pPr>
        <w:pStyle w:val="standard"/>
        <w:rPr>
          <w:szCs w:val="26"/>
        </w:rPr>
      </w:pPr>
      <w:r w:rsidRPr="00FF2D7E">
        <w:rPr>
          <w:szCs w:val="26"/>
        </w:rPr>
        <w:lastRenderedPageBreak/>
        <w:t>Following the issuance of this Ruling, we anticipate holding a prehearing conference (PHC) to address scoping</w:t>
      </w:r>
      <w:r w:rsidR="00186D6E" w:rsidRPr="00FF2D7E">
        <w:rPr>
          <w:szCs w:val="26"/>
        </w:rPr>
        <w:t xml:space="preserve"> </w:t>
      </w:r>
      <w:r w:rsidR="008E2A5B">
        <w:rPr>
          <w:szCs w:val="26"/>
        </w:rPr>
        <w:t xml:space="preserve">and </w:t>
      </w:r>
      <w:r w:rsidR="00186D6E" w:rsidRPr="00FF2D7E">
        <w:rPr>
          <w:szCs w:val="26"/>
        </w:rPr>
        <w:t xml:space="preserve">scheduling </w:t>
      </w:r>
      <w:r w:rsidRPr="00FF2D7E">
        <w:rPr>
          <w:szCs w:val="26"/>
        </w:rPr>
        <w:t>issues.  Shortly thereafter, the assigned Commissioner will issue a scoping memo setting forth the scope of the proceeding and establishing a procedural schedule.</w:t>
      </w:r>
    </w:p>
    <w:p w:rsidR="00F95716" w:rsidRPr="00FF2D7E" w:rsidRDefault="00F57A96" w:rsidP="00F95716">
      <w:pPr>
        <w:pStyle w:val="standard"/>
        <w:rPr>
          <w:szCs w:val="26"/>
        </w:rPr>
      </w:pPr>
      <w:r w:rsidRPr="00FF2D7E">
        <w:rPr>
          <w:szCs w:val="26"/>
        </w:rPr>
        <w:t>Subsequent to the issuance of such a scoping memo, we expect that additional workshops</w:t>
      </w:r>
      <w:r w:rsidR="00954E13" w:rsidRPr="00FF2D7E">
        <w:rPr>
          <w:szCs w:val="26"/>
        </w:rPr>
        <w:t>, staff and/or utility proposals</w:t>
      </w:r>
      <w:r w:rsidRPr="00FF2D7E">
        <w:rPr>
          <w:szCs w:val="26"/>
        </w:rPr>
        <w:t xml:space="preserve"> and filed comments will be required to establish a full record.</w:t>
      </w:r>
      <w:r w:rsidR="00F95716" w:rsidRPr="00FF2D7E">
        <w:rPr>
          <w:szCs w:val="26"/>
        </w:rPr>
        <w:t xml:space="preserve">  </w:t>
      </w:r>
    </w:p>
    <w:p w:rsidR="00F95716" w:rsidRPr="00FF2D7E" w:rsidRDefault="00F95716" w:rsidP="00F95716">
      <w:pPr>
        <w:pStyle w:val="standard"/>
        <w:rPr>
          <w:szCs w:val="26"/>
        </w:rPr>
      </w:pPr>
      <w:r w:rsidRPr="00FF2D7E">
        <w:rPr>
          <w:szCs w:val="26"/>
        </w:rPr>
        <w:t xml:space="preserve">For example, as part of the rulemaking, </w:t>
      </w:r>
      <w:r w:rsidR="00773940">
        <w:rPr>
          <w:szCs w:val="26"/>
        </w:rPr>
        <w:t>SED’s</w:t>
      </w:r>
      <w:r w:rsidRPr="00FF2D7E">
        <w:rPr>
          <w:szCs w:val="26"/>
        </w:rPr>
        <w:t xml:space="preserve"> Risk Assessment Section should submit a report on Safety Risks for Grid Connected Storage co-located at Substations and Generation Sites with recommendations for what SED should take into account during substation and generation facility inspections.  Parties may include comments on Storage Safety in this regard. </w:t>
      </w:r>
      <w:r w:rsidR="007D307F">
        <w:rPr>
          <w:szCs w:val="26"/>
        </w:rPr>
        <w:t xml:space="preserve"> </w:t>
      </w:r>
      <w:r w:rsidRPr="00FF2D7E">
        <w:rPr>
          <w:szCs w:val="26"/>
        </w:rPr>
        <w:t xml:space="preserve">Further, SED and ED staff should conduct a joint workshop to refine final recommendations for inspection protocols to be included in SED’s safety inspections.  </w:t>
      </w:r>
    </w:p>
    <w:p w:rsidR="00F57A96" w:rsidRPr="00186D6E" w:rsidRDefault="00F57A96" w:rsidP="00F232C1">
      <w:pPr>
        <w:pStyle w:val="Heading1"/>
      </w:pPr>
      <w:bookmarkStart w:id="13" w:name="_Toc414880648"/>
      <w:r w:rsidRPr="00186D6E">
        <w:t xml:space="preserve">Proceeding </w:t>
      </w:r>
      <w:r w:rsidRPr="00F232C1">
        <w:t>Category</w:t>
      </w:r>
      <w:r w:rsidRPr="00186D6E">
        <w:t xml:space="preserve"> and Need for Hearing</w:t>
      </w:r>
      <w:bookmarkEnd w:id="13"/>
    </w:p>
    <w:p w:rsidR="00F57A96" w:rsidRPr="00186D6E" w:rsidRDefault="00F57A96">
      <w:pPr>
        <w:pStyle w:val="standard"/>
        <w:rPr>
          <w:sz w:val="24"/>
          <w:szCs w:val="24"/>
        </w:rPr>
      </w:pPr>
      <w:r w:rsidRPr="00FF2D7E">
        <w:rPr>
          <w:szCs w:val="26"/>
        </w:rPr>
        <w:t>Rule 7.1(d) of the Commission’s Rules specifies that an OIR will preliminarily determine the category of the proceeding and the need for hearing.  We determine that this proceeding is quasi-legislative as defined in Rule 1.3(d).  While it appears that the issues may be resolved through comments and workshops without the need for evidentiary hearings, a final determination on the need for hearings will be made in the assigned Commissioner’s scoping memo</w:t>
      </w:r>
      <w:r w:rsidRPr="00186D6E">
        <w:rPr>
          <w:sz w:val="24"/>
          <w:szCs w:val="24"/>
        </w:rPr>
        <w:t>.</w:t>
      </w:r>
    </w:p>
    <w:p w:rsidR="00F57A96" w:rsidRPr="00186D6E" w:rsidRDefault="00F57A96" w:rsidP="00F232C1">
      <w:pPr>
        <w:pStyle w:val="Heading1"/>
      </w:pPr>
      <w:bookmarkStart w:id="14" w:name="_Toc414880649"/>
      <w:bookmarkStart w:id="15" w:name="_Toc238441665"/>
      <w:bookmarkStart w:id="16" w:name="_Toc450990219"/>
      <w:bookmarkStart w:id="17" w:name="_Toc451151266"/>
      <w:bookmarkEnd w:id="4"/>
      <w:r w:rsidRPr="00186D6E">
        <w:t xml:space="preserve">Becoming a </w:t>
      </w:r>
      <w:r w:rsidRPr="00F232C1">
        <w:t>Party</w:t>
      </w:r>
      <w:r w:rsidRPr="00186D6E">
        <w:t xml:space="preserve">; Joining and </w:t>
      </w:r>
      <w:r w:rsidR="00690BBF">
        <w:br/>
      </w:r>
      <w:r w:rsidRPr="00186D6E">
        <w:t>Using the Service List</w:t>
      </w:r>
      <w:bookmarkEnd w:id="14"/>
    </w:p>
    <w:p w:rsidR="00F57A96" w:rsidRPr="00FF2D7E" w:rsidRDefault="00F57A96">
      <w:pPr>
        <w:pStyle w:val="standard"/>
        <w:rPr>
          <w:szCs w:val="26"/>
        </w:rPr>
      </w:pPr>
      <w:r w:rsidRPr="00FF2D7E">
        <w:rPr>
          <w:szCs w:val="26"/>
        </w:rPr>
        <w:t>PG&amp;</w:t>
      </w:r>
      <w:r w:rsidR="00AB24C7">
        <w:rPr>
          <w:szCs w:val="26"/>
        </w:rPr>
        <w:t>E</w:t>
      </w:r>
      <w:r w:rsidRPr="00FF2D7E">
        <w:rPr>
          <w:szCs w:val="26"/>
        </w:rPr>
        <w:t xml:space="preserve"> Company, SDG&amp;E Company and SCE Company shall be respondents in this proceeding.  All LSEs, as defined in Pub. Util. Code § 380(j), </w:t>
      </w:r>
      <w:r w:rsidRPr="00FF2D7E">
        <w:rPr>
          <w:szCs w:val="26"/>
        </w:rPr>
        <w:lastRenderedPageBreak/>
        <w:t>are placed on notice that they may be subject to the decisions issued in this rulemaking, and this OIR shall be served upon them.  Respondents shall be placed on the service list automatically as parties, but other LSEs as well as other interested parties and those interested in monitoring the proceeding shall follow the instructions below.</w:t>
      </w:r>
    </w:p>
    <w:p w:rsidR="00F57A96" w:rsidRPr="00FF2D7E" w:rsidRDefault="00F57A96">
      <w:pPr>
        <w:pStyle w:val="standard"/>
        <w:rPr>
          <w:szCs w:val="26"/>
        </w:rPr>
      </w:pPr>
      <w:r w:rsidRPr="00FF2D7E">
        <w:rPr>
          <w:szCs w:val="26"/>
        </w:rPr>
        <w:t>To ensure you receive all documents, send your request within 30 days after the OIR is published.  The Commission’s Process Office will publish the official service list at the Commission’s website (</w:t>
      </w:r>
      <w:hyperlink r:id="rId16" w:history="1">
        <w:r w:rsidRPr="00FF2D7E">
          <w:rPr>
            <w:rStyle w:val="Hyperlink"/>
            <w:szCs w:val="26"/>
          </w:rPr>
          <w:t>www.cpuc.ca.gov</w:t>
        </w:r>
      </w:hyperlink>
      <w:r w:rsidRPr="00FF2D7E">
        <w:rPr>
          <w:szCs w:val="26"/>
        </w:rPr>
        <w:t>) and will update the list as necessary.</w:t>
      </w:r>
    </w:p>
    <w:p w:rsidR="00F57A96" w:rsidRPr="00186D6E" w:rsidRDefault="00F57A96" w:rsidP="00F232C1">
      <w:pPr>
        <w:pStyle w:val="Heading2"/>
      </w:pPr>
      <w:bookmarkStart w:id="18" w:name="_Toc414880650"/>
      <w:r w:rsidRPr="00186D6E">
        <w:t>During the First 30 days</w:t>
      </w:r>
      <w:bookmarkEnd w:id="18"/>
    </w:p>
    <w:p w:rsidR="00F57A96" w:rsidRDefault="00F57A96">
      <w:pPr>
        <w:pStyle w:val="standard"/>
        <w:rPr>
          <w:szCs w:val="26"/>
        </w:rPr>
      </w:pPr>
      <w:r w:rsidRPr="00FF2D7E">
        <w:rPr>
          <w:szCs w:val="26"/>
        </w:rPr>
        <w:t>Within 30 days of the publication of this OIR, any person may ask to be added to the official service list.  Send your request to the Process Office.  You may use e-mail (</w:t>
      </w:r>
      <w:hyperlink r:id="rId17" w:history="1">
        <w:r w:rsidRPr="00FF2D7E">
          <w:rPr>
            <w:rStyle w:val="Hyperlink"/>
            <w:szCs w:val="26"/>
          </w:rPr>
          <w:t>Process_Office@cpuc.ca.gov</w:t>
        </w:r>
      </w:hyperlink>
      <w:r w:rsidRPr="00FF2D7E">
        <w:rPr>
          <w:szCs w:val="26"/>
        </w:rPr>
        <w:t xml:space="preserve">) or letter (Process Office, California Public Utilities Commission, 505 Van Ness Avenue, San Francisco, CA  94102).  Include the </w:t>
      </w:r>
      <w:r w:rsidRPr="002C7E89">
        <w:rPr>
          <w:szCs w:val="26"/>
        </w:rPr>
        <w:t>following information:</w:t>
      </w:r>
    </w:p>
    <w:p w:rsidR="00F24F5C" w:rsidRDefault="00F24F5C" w:rsidP="00E1646D">
      <w:pPr>
        <w:pStyle w:val="standard"/>
        <w:spacing w:after="120" w:line="240" w:lineRule="auto"/>
        <w:rPr>
          <w:szCs w:val="26"/>
        </w:rPr>
      </w:pPr>
      <w:r>
        <w:rPr>
          <w:szCs w:val="26"/>
        </w:rPr>
        <w:t>Docket Number of this Rulemaking;</w:t>
      </w:r>
    </w:p>
    <w:p w:rsidR="00F24F5C" w:rsidRDefault="00F24F5C" w:rsidP="00E1646D">
      <w:pPr>
        <w:pStyle w:val="standard"/>
        <w:spacing w:after="120" w:line="240" w:lineRule="auto"/>
        <w:rPr>
          <w:szCs w:val="26"/>
        </w:rPr>
      </w:pPr>
      <w:r>
        <w:rPr>
          <w:szCs w:val="26"/>
        </w:rPr>
        <w:t xml:space="preserve">Name (and party represented, if applicable); </w:t>
      </w:r>
    </w:p>
    <w:p w:rsidR="00F24F5C" w:rsidRDefault="00F24F5C" w:rsidP="00E1646D">
      <w:pPr>
        <w:pStyle w:val="standard"/>
        <w:spacing w:after="120" w:line="240" w:lineRule="auto"/>
        <w:rPr>
          <w:szCs w:val="26"/>
        </w:rPr>
      </w:pPr>
      <w:r>
        <w:rPr>
          <w:szCs w:val="26"/>
        </w:rPr>
        <w:t>Postal Address;</w:t>
      </w:r>
    </w:p>
    <w:p w:rsidR="00F24F5C" w:rsidRDefault="00F24F5C" w:rsidP="00E1646D">
      <w:pPr>
        <w:pStyle w:val="standard"/>
        <w:spacing w:after="120" w:line="240" w:lineRule="auto"/>
        <w:rPr>
          <w:szCs w:val="26"/>
        </w:rPr>
      </w:pPr>
      <w:r>
        <w:rPr>
          <w:szCs w:val="26"/>
        </w:rPr>
        <w:t>Telephone Number;</w:t>
      </w:r>
    </w:p>
    <w:p w:rsidR="00F24F5C" w:rsidRDefault="00F24F5C" w:rsidP="00E1646D">
      <w:pPr>
        <w:pStyle w:val="standard"/>
        <w:spacing w:after="120" w:line="240" w:lineRule="auto"/>
        <w:rPr>
          <w:szCs w:val="26"/>
        </w:rPr>
      </w:pPr>
      <w:r>
        <w:rPr>
          <w:szCs w:val="26"/>
        </w:rPr>
        <w:t>Email Address; and</w:t>
      </w:r>
    </w:p>
    <w:p w:rsidR="00F24F5C" w:rsidRPr="00FF2D7E" w:rsidRDefault="00F24F5C" w:rsidP="00E1646D">
      <w:pPr>
        <w:pStyle w:val="standard"/>
        <w:spacing w:after="240" w:line="240" w:lineRule="auto"/>
        <w:rPr>
          <w:szCs w:val="26"/>
        </w:rPr>
      </w:pPr>
      <w:r>
        <w:rPr>
          <w:szCs w:val="26"/>
        </w:rPr>
        <w:t>Desired Status (Party, State Service, or Information Only).</w:t>
      </w:r>
      <w:r>
        <w:rPr>
          <w:rStyle w:val="FootnoteReference"/>
          <w:szCs w:val="26"/>
        </w:rPr>
        <w:footnoteReference w:id="29"/>
      </w:r>
    </w:p>
    <w:p w:rsidR="00F57A96" w:rsidRPr="00FF2D7E" w:rsidRDefault="00F57A96">
      <w:pPr>
        <w:pStyle w:val="standard"/>
        <w:rPr>
          <w:szCs w:val="26"/>
        </w:rPr>
      </w:pPr>
      <w:r w:rsidRPr="00FF2D7E">
        <w:rPr>
          <w:szCs w:val="26"/>
        </w:rPr>
        <w:lastRenderedPageBreak/>
        <w:t>If the OIR names you as respondent, you are already a party, but if you wish a different representative, you must still ask to be added to the official service list.</w:t>
      </w:r>
    </w:p>
    <w:p w:rsidR="00F57A96" w:rsidRPr="00186D6E" w:rsidRDefault="00F57A96" w:rsidP="00F232C1">
      <w:pPr>
        <w:pStyle w:val="Heading2"/>
      </w:pPr>
      <w:bookmarkStart w:id="19" w:name="_Toc414880651"/>
      <w:r w:rsidRPr="00186D6E">
        <w:t xml:space="preserve">After the </w:t>
      </w:r>
      <w:r w:rsidRPr="00F232C1">
        <w:t>First</w:t>
      </w:r>
      <w:r w:rsidRPr="00186D6E">
        <w:t xml:space="preserve"> 30 Days</w:t>
      </w:r>
      <w:bookmarkEnd w:id="19"/>
    </w:p>
    <w:p w:rsidR="00F57A96" w:rsidRPr="00FF2D7E" w:rsidRDefault="00F57A96">
      <w:pPr>
        <w:pStyle w:val="standard"/>
        <w:rPr>
          <w:szCs w:val="26"/>
        </w:rPr>
      </w:pPr>
      <w:r w:rsidRPr="00FF2D7E">
        <w:rPr>
          <w:szCs w:val="26"/>
        </w:rPr>
        <w:t xml:space="preserve">If you want to become a party after the </w:t>
      </w:r>
      <w:r w:rsidR="00BA71B8">
        <w:rPr>
          <w:szCs w:val="26"/>
        </w:rPr>
        <w:t xml:space="preserve">first 30 days, you may do so by </w:t>
      </w:r>
      <w:r w:rsidRPr="00FF2D7E">
        <w:rPr>
          <w:szCs w:val="26"/>
        </w:rPr>
        <w:t>making an oral motion (Rule 1.4(a)(3)), or by filing a motion (Rule 1.4(a)(4)).  If you file a motion, you must also comply with Rule 1.4(b).  These rules are in the Commission’s Rules of Practice and Procedure, which you can read at the Commission’s website.</w:t>
      </w:r>
    </w:p>
    <w:p w:rsidR="00F57A96" w:rsidRPr="00FF2D7E" w:rsidRDefault="00F57A96">
      <w:pPr>
        <w:pStyle w:val="standard"/>
        <w:rPr>
          <w:szCs w:val="26"/>
        </w:rPr>
      </w:pPr>
      <w:r w:rsidRPr="00FF2D7E">
        <w:rPr>
          <w:szCs w:val="26"/>
        </w:rPr>
        <w:t>If you want to be added to the official service list as a non-party (that is, as State Service or Information Onl</w:t>
      </w:r>
      <w:r w:rsidR="003C5C9E">
        <w:rPr>
          <w:szCs w:val="26"/>
        </w:rPr>
        <w:t xml:space="preserve">y), follow the instructions </w:t>
      </w:r>
      <w:r w:rsidRPr="00FF2D7E">
        <w:rPr>
          <w:szCs w:val="26"/>
        </w:rPr>
        <w:t>above.</w:t>
      </w:r>
    </w:p>
    <w:p w:rsidR="00F57A96" w:rsidRPr="00186D6E" w:rsidRDefault="00F57A96" w:rsidP="00F232C1">
      <w:pPr>
        <w:pStyle w:val="Heading2"/>
      </w:pPr>
      <w:bookmarkStart w:id="20" w:name="_Toc414880652"/>
      <w:r w:rsidRPr="00F232C1">
        <w:t>Updating</w:t>
      </w:r>
      <w:r w:rsidRPr="00186D6E">
        <w:t xml:space="preserve"> Information</w:t>
      </w:r>
      <w:bookmarkEnd w:id="20"/>
    </w:p>
    <w:p w:rsidR="00F57A96" w:rsidRPr="00FF2D7E" w:rsidRDefault="00F57A96">
      <w:pPr>
        <w:pStyle w:val="standard"/>
        <w:rPr>
          <w:szCs w:val="26"/>
        </w:rPr>
      </w:pPr>
      <w:r w:rsidRPr="00FF2D7E">
        <w:rPr>
          <w:szCs w:val="26"/>
        </w:rPr>
        <w:t>Once you are on the official service list, you must ensure that the information you have provided is up-to-date.  To change your postal address, telephone number, e-mail address, or the name of your representative, send the change to the Process Office by letter or e-mail, and send a copy to everyone on the official service list.</w:t>
      </w:r>
    </w:p>
    <w:p w:rsidR="00F57A96" w:rsidRPr="00FF2D7E" w:rsidRDefault="00F57A96">
      <w:pPr>
        <w:pStyle w:val="standard"/>
        <w:rPr>
          <w:szCs w:val="26"/>
        </w:rPr>
      </w:pPr>
      <w:r w:rsidRPr="00FF2D7E">
        <w:rPr>
          <w:szCs w:val="26"/>
        </w:rPr>
        <w:t>If you have questions about the Commission’s filing and service procedures, contact the Docket Office.</w:t>
      </w:r>
    </w:p>
    <w:p w:rsidR="00F57A96" w:rsidRPr="001D0F77" w:rsidRDefault="00F57A96" w:rsidP="00F232C1">
      <w:pPr>
        <w:pStyle w:val="Heading1"/>
      </w:pPr>
      <w:bookmarkStart w:id="21" w:name="_Toc414880653"/>
      <w:bookmarkEnd w:id="15"/>
      <w:r w:rsidRPr="00F232C1">
        <w:t>Service</w:t>
      </w:r>
      <w:r w:rsidRPr="001D0F77">
        <w:t xml:space="preserve"> List</w:t>
      </w:r>
      <w:bookmarkEnd w:id="21"/>
    </w:p>
    <w:p w:rsidR="009A6D55" w:rsidRPr="00FF2D7E" w:rsidRDefault="009A6D55">
      <w:pPr>
        <w:pStyle w:val="standard"/>
        <w:rPr>
          <w:szCs w:val="26"/>
        </w:rPr>
      </w:pPr>
      <w:r w:rsidRPr="00FF2D7E">
        <w:rPr>
          <w:szCs w:val="26"/>
        </w:rPr>
        <w:t>The OIR shall be served on all respondents</w:t>
      </w:r>
      <w:r w:rsidR="00F57A96" w:rsidRPr="00FF2D7E">
        <w:rPr>
          <w:szCs w:val="26"/>
        </w:rPr>
        <w:t>, all other LSEs listed on the Commission’s official records, t</w:t>
      </w:r>
      <w:r w:rsidR="00AB24C7">
        <w:rPr>
          <w:szCs w:val="26"/>
        </w:rPr>
        <w:t xml:space="preserve">he </w:t>
      </w:r>
      <w:r w:rsidR="00F57A96" w:rsidRPr="00FF2D7E">
        <w:rPr>
          <w:szCs w:val="26"/>
        </w:rPr>
        <w:t>CAISO, and the service lists for</w:t>
      </w:r>
      <w:r w:rsidRPr="00FF2D7E">
        <w:rPr>
          <w:szCs w:val="26"/>
        </w:rPr>
        <w:t xml:space="preserve"> the following proceedings:</w:t>
      </w:r>
    </w:p>
    <w:p w:rsidR="003A7D0B" w:rsidRPr="00FF2D7E" w:rsidRDefault="003A7D0B">
      <w:pPr>
        <w:pStyle w:val="standard"/>
        <w:rPr>
          <w:szCs w:val="26"/>
        </w:rPr>
      </w:pPr>
      <w:r w:rsidRPr="00FF2D7E">
        <w:rPr>
          <w:szCs w:val="26"/>
        </w:rPr>
        <w:t>Application (A.) 14-02-006</w:t>
      </w:r>
      <w:r w:rsidR="009B2E5D" w:rsidRPr="00FF2D7E">
        <w:rPr>
          <w:szCs w:val="26"/>
        </w:rPr>
        <w:t xml:space="preserve"> et al</w:t>
      </w:r>
      <w:r w:rsidR="006700D9">
        <w:rPr>
          <w:szCs w:val="26"/>
        </w:rPr>
        <w:t>.</w:t>
      </w:r>
      <w:r w:rsidRPr="00FF2D7E">
        <w:rPr>
          <w:szCs w:val="26"/>
        </w:rPr>
        <w:t xml:space="preserve"> (Storage</w:t>
      </w:r>
      <w:r w:rsidR="009B2E5D" w:rsidRPr="00FF2D7E">
        <w:rPr>
          <w:szCs w:val="26"/>
        </w:rPr>
        <w:t xml:space="preserve"> Procurement Plans</w:t>
      </w:r>
      <w:r w:rsidRPr="00FF2D7E">
        <w:rPr>
          <w:szCs w:val="26"/>
        </w:rPr>
        <w:t>)</w:t>
      </w:r>
      <w:r w:rsidR="00D223D7">
        <w:rPr>
          <w:szCs w:val="26"/>
        </w:rPr>
        <w:t>;</w:t>
      </w:r>
    </w:p>
    <w:p w:rsidR="0003642B" w:rsidRPr="00FF2D7E" w:rsidRDefault="0003642B">
      <w:pPr>
        <w:pStyle w:val="standard"/>
        <w:rPr>
          <w:szCs w:val="26"/>
        </w:rPr>
      </w:pPr>
      <w:r w:rsidRPr="00FF2D7E">
        <w:rPr>
          <w:szCs w:val="26"/>
        </w:rPr>
        <w:t>R.10-12-007 (Storage)</w:t>
      </w:r>
      <w:r w:rsidR="00484735">
        <w:rPr>
          <w:szCs w:val="26"/>
        </w:rPr>
        <w:t>;</w:t>
      </w:r>
    </w:p>
    <w:p w:rsidR="009A6D55" w:rsidRPr="00FF2D7E" w:rsidRDefault="0003642B">
      <w:pPr>
        <w:pStyle w:val="standard"/>
        <w:rPr>
          <w:szCs w:val="26"/>
        </w:rPr>
      </w:pPr>
      <w:r w:rsidRPr="00FF2D7E">
        <w:rPr>
          <w:szCs w:val="26"/>
        </w:rPr>
        <w:t>R.13-09-011</w:t>
      </w:r>
      <w:r w:rsidR="00163C2E" w:rsidRPr="00FF2D7E">
        <w:rPr>
          <w:szCs w:val="26"/>
        </w:rPr>
        <w:t xml:space="preserve"> (Demand Response)</w:t>
      </w:r>
      <w:r w:rsidR="00484735">
        <w:rPr>
          <w:szCs w:val="26"/>
        </w:rPr>
        <w:t>;</w:t>
      </w:r>
      <w:r w:rsidR="00F57A96" w:rsidRPr="00FF2D7E">
        <w:rPr>
          <w:szCs w:val="26"/>
        </w:rPr>
        <w:t xml:space="preserve"> </w:t>
      </w:r>
    </w:p>
    <w:p w:rsidR="009A6D55" w:rsidRPr="00FF2D7E" w:rsidRDefault="0003642B">
      <w:pPr>
        <w:pStyle w:val="standard"/>
        <w:rPr>
          <w:szCs w:val="26"/>
        </w:rPr>
      </w:pPr>
      <w:r w:rsidRPr="00FF2D7E">
        <w:rPr>
          <w:szCs w:val="26"/>
        </w:rPr>
        <w:lastRenderedPageBreak/>
        <w:t>R.13-12-</w:t>
      </w:r>
      <w:r w:rsidR="00733DF3">
        <w:rPr>
          <w:szCs w:val="26"/>
        </w:rPr>
        <w:t>0</w:t>
      </w:r>
      <w:r w:rsidRPr="00FF2D7E">
        <w:rPr>
          <w:szCs w:val="26"/>
        </w:rPr>
        <w:t xml:space="preserve">10 </w:t>
      </w:r>
      <w:r w:rsidR="00163C2E" w:rsidRPr="00FF2D7E">
        <w:rPr>
          <w:szCs w:val="26"/>
        </w:rPr>
        <w:t>(Procurement)</w:t>
      </w:r>
      <w:r w:rsidR="00484735">
        <w:rPr>
          <w:szCs w:val="26"/>
        </w:rPr>
        <w:t>;</w:t>
      </w:r>
      <w:r w:rsidR="00F57A96" w:rsidRPr="00FF2D7E">
        <w:rPr>
          <w:szCs w:val="26"/>
        </w:rPr>
        <w:t xml:space="preserve"> </w:t>
      </w:r>
    </w:p>
    <w:p w:rsidR="009A6D55" w:rsidRPr="00FF2D7E" w:rsidRDefault="00F57A96">
      <w:pPr>
        <w:pStyle w:val="standard"/>
        <w:rPr>
          <w:szCs w:val="26"/>
        </w:rPr>
      </w:pPr>
      <w:r w:rsidRPr="00FF2D7E">
        <w:rPr>
          <w:szCs w:val="26"/>
        </w:rPr>
        <w:t>R.09</w:t>
      </w:r>
      <w:r w:rsidR="006700D9">
        <w:rPr>
          <w:szCs w:val="26"/>
        </w:rPr>
        <w:t>-</w:t>
      </w:r>
      <w:r w:rsidRPr="00FF2D7E">
        <w:rPr>
          <w:szCs w:val="26"/>
        </w:rPr>
        <w:t>10</w:t>
      </w:r>
      <w:r w:rsidR="006700D9">
        <w:rPr>
          <w:szCs w:val="26"/>
        </w:rPr>
        <w:t>-</w:t>
      </w:r>
      <w:r w:rsidRPr="00FF2D7E">
        <w:rPr>
          <w:szCs w:val="26"/>
        </w:rPr>
        <w:t>032 (</w:t>
      </w:r>
      <w:r w:rsidR="002A08A4" w:rsidRPr="00FF2D7E">
        <w:rPr>
          <w:szCs w:val="26"/>
        </w:rPr>
        <w:t xml:space="preserve">Resource </w:t>
      </w:r>
      <w:r w:rsidRPr="00FF2D7E">
        <w:rPr>
          <w:szCs w:val="26"/>
        </w:rPr>
        <w:t>Adequacy)</w:t>
      </w:r>
      <w:r w:rsidR="00484735">
        <w:rPr>
          <w:szCs w:val="26"/>
        </w:rPr>
        <w:t>;</w:t>
      </w:r>
      <w:r w:rsidRPr="00FF2D7E">
        <w:rPr>
          <w:szCs w:val="26"/>
        </w:rPr>
        <w:t xml:space="preserve"> </w:t>
      </w:r>
    </w:p>
    <w:p w:rsidR="002A08A4" w:rsidRPr="00FF2D7E" w:rsidRDefault="002A08A4">
      <w:pPr>
        <w:pStyle w:val="standard"/>
        <w:rPr>
          <w:szCs w:val="26"/>
        </w:rPr>
      </w:pPr>
      <w:r w:rsidRPr="00FF2D7E">
        <w:rPr>
          <w:szCs w:val="26"/>
        </w:rPr>
        <w:t>R.14-02-001 (Joint Reliability Plan)</w:t>
      </w:r>
      <w:r w:rsidR="00484735">
        <w:rPr>
          <w:szCs w:val="26"/>
        </w:rPr>
        <w:t>;</w:t>
      </w:r>
    </w:p>
    <w:p w:rsidR="009A6D55" w:rsidRPr="00FF2D7E" w:rsidRDefault="00F57A96">
      <w:pPr>
        <w:pStyle w:val="standard"/>
        <w:rPr>
          <w:szCs w:val="26"/>
        </w:rPr>
      </w:pPr>
      <w:r w:rsidRPr="00FF2D7E">
        <w:rPr>
          <w:szCs w:val="26"/>
        </w:rPr>
        <w:t>R.08-12-009 (Smart Grid)</w:t>
      </w:r>
      <w:r w:rsidR="00484735">
        <w:rPr>
          <w:szCs w:val="26"/>
        </w:rPr>
        <w:t>;</w:t>
      </w:r>
    </w:p>
    <w:p w:rsidR="0003642B" w:rsidRPr="00FF2D7E" w:rsidRDefault="0003642B">
      <w:pPr>
        <w:pStyle w:val="standard"/>
        <w:rPr>
          <w:szCs w:val="26"/>
        </w:rPr>
      </w:pPr>
      <w:r w:rsidRPr="00FF2D7E">
        <w:rPr>
          <w:szCs w:val="26"/>
        </w:rPr>
        <w:t>R.14-08-013 (Distribution Resources Plans)</w:t>
      </w:r>
      <w:r w:rsidR="00484735">
        <w:rPr>
          <w:szCs w:val="26"/>
        </w:rPr>
        <w:t>;</w:t>
      </w:r>
    </w:p>
    <w:p w:rsidR="0003642B" w:rsidRPr="00FF2D7E" w:rsidRDefault="0003642B">
      <w:pPr>
        <w:pStyle w:val="standard"/>
        <w:rPr>
          <w:szCs w:val="26"/>
        </w:rPr>
      </w:pPr>
      <w:r w:rsidRPr="00FF2D7E">
        <w:rPr>
          <w:szCs w:val="26"/>
        </w:rPr>
        <w:t>R.11-09-011 (</w:t>
      </w:r>
      <w:r w:rsidR="009B2E5D" w:rsidRPr="00FF2D7E">
        <w:rPr>
          <w:szCs w:val="26"/>
        </w:rPr>
        <w:t xml:space="preserve">Rule 21 </w:t>
      </w:r>
      <w:r w:rsidRPr="00FF2D7E">
        <w:rPr>
          <w:szCs w:val="26"/>
        </w:rPr>
        <w:t>Interconnection Rules and Regulations)</w:t>
      </w:r>
      <w:r w:rsidR="00484735">
        <w:rPr>
          <w:szCs w:val="26"/>
        </w:rPr>
        <w:t>;</w:t>
      </w:r>
    </w:p>
    <w:p w:rsidR="0003642B" w:rsidRPr="00FF2D7E" w:rsidRDefault="0003642B">
      <w:pPr>
        <w:pStyle w:val="standard"/>
        <w:rPr>
          <w:szCs w:val="26"/>
        </w:rPr>
      </w:pPr>
      <w:r w:rsidRPr="00FF2D7E">
        <w:rPr>
          <w:szCs w:val="26"/>
        </w:rPr>
        <w:t>R.11-05-005 (Renewable Portfolio Standards)</w:t>
      </w:r>
      <w:r w:rsidR="00484735">
        <w:rPr>
          <w:szCs w:val="26"/>
        </w:rPr>
        <w:t>;</w:t>
      </w:r>
    </w:p>
    <w:p w:rsidR="009B2E5D" w:rsidRPr="00FF2D7E" w:rsidRDefault="009B2E5D">
      <w:pPr>
        <w:pStyle w:val="standard"/>
        <w:rPr>
          <w:szCs w:val="26"/>
        </w:rPr>
      </w:pPr>
      <w:r w:rsidRPr="00FF2D7E">
        <w:rPr>
          <w:szCs w:val="26"/>
        </w:rPr>
        <w:t>R.14-07-002 (Net Energy Metering)</w:t>
      </w:r>
      <w:r w:rsidR="00484735">
        <w:rPr>
          <w:szCs w:val="26"/>
        </w:rPr>
        <w:t>;</w:t>
      </w:r>
    </w:p>
    <w:p w:rsidR="009A6D55" w:rsidRPr="00FF2D7E" w:rsidRDefault="0003642B" w:rsidP="00B00DF3">
      <w:pPr>
        <w:pStyle w:val="standard"/>
        <w:rPr>
          <w:szCs w:val="26"/>
        </w:rPr>
      </w:pPr>
      <w:r w:rsidRPr="00FF2D7E">
        <w:rPr>
          <w:szCs w:val="26"/>
        </w:rPr>
        <w:t>R.13-11-007</w:t>
      </w:r>
      <w:r w:rsidR="00163C2E" w:rsidRPr="00FF2D7E">
        <w:rPr>
          <w:szCs w:val="26"/>
        </w:rPr>
        <w:t xml:space="preserve"> (Alternative-Fueled Vehicles)</w:t>
      </w:r>
      <w:r w:rsidR="00484735">
        <w:rPr>
          <w:szCs w:val="26"/>
        </w:rPr>
        <w:t>;</w:t>
      </w:r>
      <w:r w:rsidR="00F57A96" w:rsidRPr="00FF2D7E">
        <w:rPr>
          <w:szCs w:val="26"/>
        </w:rPr>
        <w:t xml:space="preserve"> </w:t>
      </w:r>
    </w:p>
    <w:p w:rsidR="00F57A96" w:rsidRPr="00FF2D7E" w:rsidRDefault="00F57A96" w:rsidP="00B00DF3">
      <w:pPr>
        <w:pStyle w:val="standard"/>
        <w:rPr>
          <w:szCs w:val="26"/>
        </w:rPr>
      </w:pPr>
      <w:r w:rsidRPr="00FF2D7E">
        <w:rPr>
          <w:szCs w:val="26"/>
        </w:rPr>
        <w:t xml:space="preserve"> </w:t>
      </w:r>
      <w:r w:rsidR="009A6D55" w:rsidRPr="00FF2D7E">
        <w:rPr>
          <w:szCs w:val="26"/>
        </w:rPr>
        <w:t>S</w:t>
      </w:r>
      <w:r w:rsidRPr="00FF2D7E">
        <w:rPr>
          <w:szCs w:val="26"/>
        </w:rPr>
        <w:t xml:space="preserve">ervice </w:t>
      </w:r>
      <w:r w:rsidR="009A6D55" w:rsidRPr="00FF2D7E">
        <w:rPr>
          <w:szCs w:val="26"/>
        </w:rPr>
        <w:t xml:space="preserve">of the OIR </w:t>
      </w:r>
      <w:r w:rsidRPr="00FF2D7E">
        <w:rPr>
          <w:szCs w:val="26"/>
        </w:rPr>
        <w:t>does not confer party status in this proceeding upon any person or entity other than respondents, and does not result in that person or entity</w:t>
      </w:r>
      <w:r w:rsidR="00D3200D" w:rsidRPr="00FF2D7E">
        <w:rPr>
          <w:szCs w:val="26"/>
        </w:rPr>
        <w:t xml:space="preserve"> </w:t>
      </w:r>
      <w:r w:rsidRPr="00FF2D7E">
        <w:rPr>
          <w:szCs w:val="26"/>
        </w:rPr>
        <w:t xml:space="preserve">being placed on the </w:t>
      </w:r>
      <w:r w:rsidR="009A6D55" w:rsidRPr="00FF2D7E">
        <w:rPr>
          <w:szCs w:val="26"/>
        </w:rPr>
        <w:t xml:space="preserve">official </w:t>
      </w:r>
      <w:r w:rsidRPr="00FF2D7E">
        <w:rPr>
          <w:szCs w:val="26"/>
        </w:rPr>
        <w:t>service list for this proceeding.</w:t>
      </w:r>
    </w:p>
    <w:p w:rsidR="00D02971" w:rsidRPr="00186D6E" w:rsidRDefault="00D02971" w:rsidP="00F232C1">
      <w:pPr>
        <w:pStyle w:val="Heading1"/>
      </w:pPr>
      <w:bookmarkStart w:id="22" w:name="_Toc414880654"/>
      <w:r w:rsidRPr="00F232C1">
        <w:t>Subscription</w:t>
      </w:r>
      <w:r w:rsidRPr="00186D6E">
        <w:t xml:space="preserve"> Service</w:t>
      </w:r>
      <w:bookmarkEnd w:id="22"/>
    </w:p>
    <w:p w:rsidR="00D02971" w:rsidRPr="00FF2D7E" w:rsidRDefault="00D02971">
      <w:pPr>
        <w:pStyle w:val="standard"/>
        <w:rPr>
          <w:szCs w:val="26"/>
        </w:rPr>
      </w:pPr>
      <w:r w:rsidRPr="00FF2D7E">
        <w:rPr>
          <w:szCs w:val="26"/>
        </w:rPr>
        <w:t xml:space="preserve">Persons may monitor the proceeding by subscribing to receive electronic copies of documents in this proceeding that are published on the Commission’s website.  There is no need to be on the official service list in order to use the subscription service.  Instructions for enrolling in the subscription service are available on the Commission’s website at </w:t>
      </w:r>
      <w:hyperlink r:id="rId18" w:history="1">
        <w:r w:rsidR="00B1069A" w:rsidRPr="00FA68EB">
          <w:rPr>
            <w:rStyle w:val="Hyperlink"/>
            <w:szCs w:val="26"/>
          </w:rPr>
          <w:t>http://subscribecpuc.cpuc.ca.gov</w:t>
        </w:r>
      </w:hyperlink>
      <w:r w:rsidR="00B1069A">
        <w:rPr>
          <w:szCs w:val="26"/>
        </w:rPr>
        <w:t xml:space="preserve">. </w:t>
      </w:r>
    </w:p>
    <w:p w:rsidR="00D02971" w:rsidRPr="00186D6E" w:rsidRDefault="00D02971" w:rsidP="00F232C1">
      <w:pPr>
        <w:pStyle w:val="Heading1"/>
      </w:pPr>
      <w:bookmarkStart w:id="23" w:name="_Toc414880655"/>
      <w:r w:rsidRPr="00186D6E">
        <w:t xml:space="preserve">Filing and Service of </w:t>
      </w:r>
      <w:r w:rsidRPr="001D0F77">
        <w:t>Comments</w:t>
      </w:r>
      <w:r w:rsidRPr="00186D6E">
        <w:t xml:space="preserve"> </w:t>
      </w:r>
      <w:r w:rsidR="003962AE">
        <w:br/>
      </w:r>
      <w:r w:rsidRPr="00186D6E">
        <w:t>and Other Documents</w:t>
      </w:r>
      <w:bookmarkEnd w:id="23"/>
    </w:p>
    <w:p w:rsidR="00D02971" w:rsidRPr="00FF2D7E" w:rsidRDefault="00D02971" w:rsidP="00D02971">
      <w:pPr>
        <w:pStyle w:val="standard"/>
        <w:rPr>
          <w:szCs w:val="26"/>
        </w:rPr>
      </w:pPr>
      <w:r w:rsidRPr="00FF2D7E">
        <w:rPr>
          <w:szCs w:val="26"/>
        </w:rPr>
        <w:t>Filing and service of comments and other documents in this proceeding are governed by the rules contained in Article 1 of the Commission’s Rules of Practice and Procedure.</w:t>
      </w:r>
      <w:r w:rsidR="00074C93">
        <w:rPr>
          <w:szCs w:val="26"/>
        </w:rPr>
        <w:t xml:space="preserve"> </w:t>
      </w:r>
      <w:r w:rsidRPr="00FF2D7E">
        <w:rPr>
          <w:szCs w:val="26"/>
        </w:rPr>
        <w:t xml:space="preserve"> (</w:t>
      </w:r>
      <w:r w:rsidRPr="004D47B3">
        <w:rPr>
          <w:i/>
          <w:szCs w:val="26"/>
        </w:rPr>
        <w:t>See</w:t>
      </w:r>
      <w:r w:rsidRPr="00FF2D7E">
        <w:rPr>
          <w:szCs w:val="26"/>
        </w:rPr>
        <w:t xml:space="preserve"> particularly Rules 1.5 through 1.10 and 1.13.)</w:t>
      </w:r>
    </w:p>
    <w:p w:rsidR="00F57A96" w:rsidRPr="00186D6E" w:rsidRDefault="00F57A96" w:rsidP="00F232C1">
      <w:pPr>
        <w:pStyle w:val="Heading1"/>
      </w:pPr>
      <w:bookmarkStart w:id="24" w:name="_Toc414880656"/>
      <w:r w:rsidRPr="00186D6E">
        <w:t xml:space="preserve">Public </w:t>
      </w:r>
      <w:r w:rsidRPr="001D0F77">
        <w:t>Advisor</w:t>
      </w:r>
      <w:bookmarkEnd w:id="24"/>
    </w:p>
    <w:p w:rsidR="00F57A96" w:rsidRPr="00FF2D7E" w:rsidRDefault="00F57A96">
      <w:pPr>
        <w:pStyle w:val="standard"/>
        <w:rPr>
          <w:szCs w:val="26"/>
        </w:rPr>
      </w:pPr>
      <w:r w:rsidRPr="00FF2D7E">
        <w:rPr>
          <w:szCs w:val="26"/>
        </w:rPr>
        <w:t xml:space="preserve">Any person or entity interested in participating in this rulemaking who is unfamiliar with the Commission’s procedures should contact the Commission’s </w:t>
      </w:r>
      <w:r w:rsidRPr="00FF2D7E">
        <w:rPr>
          <w:szCs w:val="26"/>
        </w:rPr>
        <w:lastRenderedPageBreak/>
        <w:t>Public Advisor in San Francisco at (415) 703-2074 or (866) 849</w:t>
      </w:r>
      <w:r w:rsidR="006700D9">
        <w:rPr>
          <w:szCs w:val="26"/>
        </w:rPr>
        <w:t>-</w:t>
      </w:r>
      <w:r w:rsidRPr="00FF2D7E">
        <w:rPr>
          <w:szCs w:val="26"/>
        </w:rPr>
        <w:t xml:space="preserve">8390 or e-mail </w:t>
      </w:r>
      <w:r w:rsidRPr="006700D9">
        <w:rPr>
          <w:szCs w:val="26"/>
          <w:u w:val="single"/>
        </w:rPr>
        <w:t>public.advisor@cpuc.ca.gov</w:t>
      </w:r>
      <w:r w:rsidRPr="00FF2D7E">
        <w:rPr>
          <w:szCs w:val="26"/>
        </w:rPr>
        <w:t xml:space="preserve">; or in Los Angeles at (213) 576-7055 </w:t>
      </w:r>
      <w:r w:rsidR="006700D9">
        <w:rPr>
          <w:szCs w:val="26"/>
        </w:rPr>
        <w:t>or (866) </w:t>
      </w:r>
      <w:r w:rsidRPr="00FF2D7E">
        <w:rPr>
          <w:szCs w:val="26"/>
        </w:rPr>
        <w:t>849</w:t>
      </w:r>
      <w:r w:rsidR="006700D9">
        <w:rPr>
          <w:szCs w:val="26"/>
        </w:rPr>
        <w:noBreakHyphen/>
      </w:r>
      <w:r w:rsidRPr="00FF2D7E">
        <w:rPr>
          <w:szCs w:val="26"/>
        </w:rPr>
        <w:t xml:space="preserve">8391, or e-mail </w:t>
      </w:r>
      <w:hyperlink r:id="rId19" w:history="1">
        <w:r w:rsidR="00074C93" w:rsidRPr="00FA68EB">
          <w:rPr>
            <w:rStyle w:val="Hyperlink"/>
            <w:szCs w:val="26"/>
          </w:rPr>
          <w:t>public.advisor.la@cpuc.ca.gov</w:t>
        </w:r>
      </w:hyperlink>
      <w:r w:rsidRPr="00FF2D7E">
        <w:rPr>
          <w:szCs w:val="26"/>
        </w:rPr>
        <w:t>.  The TYY number is (866) 836</w:t>
      </w:r>
      <w:r w:rsidR="006700D9">
        <w:rPr>
          <w:szCs w:val="26"/>
        </w:rPr>
        <w:noBreakHyphen/>
      </w:r>
      <w:r w:rsidRPr="00FF2D7E">
        <w:rPr>
          <w:szCs w:val="26"/>
        </w:rPr>
        <w:t>7825.</w:t>
      </w:r>
    </w:p>
    <w:p w:rsidR="00F57A96" w:rsidRPr="00186D6E" w:rsidRDefault="00F57A96" w:rsidP="00F232C1">
      <w:pPr>
        <w:pStyle w:val="Heading1"/>
      </w:pPr>
      <w:bookmarkStart w:id="25" w:name="_Toc414880657"/>
      <w:r w:rsidRPr="00F232C1">
        <w:t>Intervenor</w:t>
      </w:r>
      <w:r w:rsidRPr="00186D6E">
        <w:t xml:space="preserve"> Compensation</w:t>
      </w:r>
      <w:bookmarkEnd w:id="25"/>
    </w:p>
    <w:p w:rsidR="00F57A96" w:rsidRPr="00FF2D7E" w:rsidRDefault="00F57A96">
      <w:pPr>
        <w:pStyle w:val="standard"/>
        <w:rPr>
          <w:szCs w:val="26"/>
        </w:rPr>
      </w:pPr>
      <w:r w:rsidRPr="00FF2D7E">
        <w:rPr>
          <w:szCs w:val="26"/>
        </w:rPr>
        <w:t>Any party that expects to claim intervenor compensation for its participation in this rulemaking shall file its notice of intent to claim intervenor compensation no later than 30 days after the first PHC, or as otherwise provided in Rule 17.1.</w:t>
      </w:r>
    </w:p>
    <w:p w:rsidR="00F57A96" w:rsidRPr="00186D6E" w:rsidRDefault="00F57A96" w:rsidP="00F232C1">
      <w:pPr>
        <w:pStyle w:val="Heading1"/>
      </w:pPr>
      <w:bookmarkStart w:id="26" w:name="_Toc414880658"/>
      <w:r w:rsidRPr="00186D6E">
        <w:rPr>
          <w:i/>
        </w:rPr>
        <w:t xml:space="preserve">Ex </w:t>
      </w:r>
      <w:r w:rsidRPr="00F232C1">
        <w:rPr>
          <w:i/>
        </w:rPr>
        <w:t>Parte</w:t>
      </w:r>
      <w:r w:rsidRPr="00186D6E">
        <w:t xml:space="preserve"> Communications</w:t>
      </w:r>
      <w:bookmarkEnd w:id="26"/>
    </w:p>
    <w:p w:rsidR="00F57A96" w:rsidRPr="00FF2D7E" w:rsidRDefault="00F57A96">
      <w:pPr>
        <w:pStyle w:val="standard"/>
        <w:rPr>
          <w:szCs w:val="26"/>
        </w:rPr>
      </w:pPr>
      <w:r w:rsidRPr="00FF2D7E">
        <w:rPr>
          <w:szCs w:val="26"/>
        </w:rPr>
        <w:t xml:space="preserve">Pursuant to Rule 8.2(a) </w:t>
      </w:r>
      <w:r w:rsidRPr="00FF2D7E">
        <w:rPr>
          <w:i/>
          <w:szCs w:val="26"/>
        </w:rPr>
        <w:t>ex parte</w:t>
      </w:r>
      <w:r w:rsidRPr="00FF2D7E">
        <w:rPr>
          <w:szCs w:val="26"/>
        </w:rPr>
        <w:t xml:space="preserve"> communications in this rulemaking are allowed without restriction or reporting requirement.</w:t>
      </w:r>
    </w:p>
    <w:p w:rsidR="00D3200D" w:rsidRPr="00EB2C18" w:rsidRDefault="00D3200D" w:rsidP="00F232C1">
      <w:pPr>
        <w:pStyle w:val="Heading1"/>
      </w:pPr>
      <w:bookmarkStart w:id="27" w:name="_Toc414880659"/>
      <w:r w:rsidRPr="00EB2C18">
        <w:t>Assignment of Rulemaking</w:t>
      </w:r>
      <w:bookmarkEnd w:id="27"/>
    </w:p>
    <w:p w:rsidR="004D47B3" w:rsidRDefault="00D3200D">
      <w:pPr>
        <w:pStyle w:val="standard"/>
        <w:rPr>
          <w:szCs w:val="26"/>
        </w:rPr>
      </w:pPr>
      <w:r w:rsidRPr="00FF2D7E">
        <w:rPr>
          <w:szCs w:val="26"/>
        </w:rPr>
        <w:t xml:space="preserve">Carla J. Peterman is the assigned Commissioner. </w:t>
      </w:r>
      <w:r w:rsidR="00B00DF3">
        <w:rPr>
          <w:szCs w:val="26"/>
        </w:rPr>
        <w:t xml:space="preserve"> </w:t>
      </w:r>
      <w:r w:rsidRPr="00FF2D7E">
        <w:rPr>
          <w:szCs w:val="26"/>
        </w:rPr>
        <w:t xml:space="preserve">An </w:t>
      </w:r>
      <w:r w:rsidR="004D47B3">
        <w:rPr>
          <w:szCs w:val="26"/>
        </w:rPr>
        <w:t>Administrative Law Judge</w:t>
      </w:r>
      <w:r w:rsidRPr="00FF2D7E">
        <w:rPr>
          <w:szCs w:val="26"/>
        </w:rPr>
        <w:t xml:space="preserve"> will be assigned to this proceeding at a later date.</w:t>
      </w:r>
      <w:r w:rsidR="004D47B3">
        <w:rPr>
          <w:szCs w:val="26"/>
        </w:rPr>
        <w:t xml:space="preserve"> </w:t>
      </w:r>
    </w:p>
    <w:p w:rsidR="00F57A96" w:rsidRPr="00D649A9" w:rsidRDefault="00F57A96">
      <w:pPr>
        <w:pStyle w:val="standard"/>
        <w:keepNext/>
        <w:keepLines/>
        <w:rPr>
          <w:szCs w:val="26"/>
        </w:rPr>
      </w:pPr>
      <w:r w:rsidRPr="00D649A9">
        <w:rPr>
          <w:b/>
          <w:szCs w:val="26"/>
        </w:rPr>
        <w:t>IT IS ORDERED</w:t>
      </w:r>
      <w:r w:rsidRPr="00D649A9">
        <w:rPr>
          <w:szCs w:val="26"/>
        </w:rPr>
        <w:t xml:space="preserve"> that:</w:t>
      </w:r>
    </w:p>
    <w:p w:rsidR="00F57A96" w:rsidRPr="00FF2D7E" w:rsidRDefault="00C8283B">
      <w:pPr>
        <w:pStyle w:val="num1"/>
        <w:numPr>
          <w:ilvl w:val="0"/>
          <w:numId w:val="4"/>
        </w:numPr>
        <w:rPr>
          <w:szCs w:val="26"/>
        </w:rPr>
      </w:pPr>
      <w:r>
        <w:rPr>
          <w:szCs w:val="26"/>
        </w:rPr>
        <w:t xml:space="preserve">This rulemaking </w:t>
      </w:r>
      <w:r w:rsidR="00EE47DF" w:rsidRPr="00FF2D7E">
        <w:rPr>
          <w:szCs w:val="26"/>
        </w:rPr>
        <w:t xml:space="preserve">to consider </w:t>
      </w:r>
      <w:r w:rsidR="00EE47DF" w:rsidRPr="00FF2D7E">
        <w:rPr>
          <w:bCs/>
          <w:szCs w:val="26"/>
        </w:rPr>
        <w:t>policy and implementation refinements to the</w:t>
      </w:r>
      <w:r w:rsidR="007D307F">
        <w:rPr>
          <w:bCs/>
          <w:szCs w:val="26"/>
        </w:rPr>
        <w:t xml:space="preserve"> Commission’s</w:t>
      </w:r>
      <w:r w:rsidR="00EE47DF" w:rsidRPr="00FF2D7E">
        <w:rPr>
          <w:bCs/>
          <w:szCs w:val="26"/>
        </w:rPr>
        <w:t xml:space="preserve"> Energy Storage Procurement Framework and Design Program and related Action Plan of the California Energy Storage Roadmap is initiated</w:t>
      </w:r>
      <w:r w:rsidR="00F57A96" w:rsidRPr="00FF2D7E">
        <w:rPr>
          <w:szCs w:val="26"/>
        </w:rPr>
        <w:t>.</w:t>
      </w:r>
    </w:p>
    <w:p w:rsidR="00F57A96" w:rsidRPr="00FF2D7E" w:rsidRDefault="00F57A96">
      <w:pPr>
        <w:pStyle w:val="num1"/>
        <w:numPr>
          <w:ilvl w:val="0"/>
          <w:numId w:val="4"/>
        </w:numPr>
        <w:rPr>
          <w:szCs w:val="26"/>
        </w:rPr>
      </w:pPr>
      <w:r w:rsidRPr="00FF2D7E">
        <w:rPr>
          <w:szCs w:val="26"/>
        </w:rPr>
        <w:t xml:space="preserve">Pacific Gas </w:t>
      </w:r>
      <w:r w:rsidR="00074C93">
        <w:rPr>
          <w:szCs w:val="26"/>
        </w:rPr>
        <w:t>and</w:t>
      </w:r>
      <w:r w:rsidRPr="00FF2D7E">
        <w:rPr>
          <w:szCs w:val="26"/>
        </w:rPr>
        <w:t xml:space="preserve"> Electric Company, San Diego Gas &amp; Electric Company and Southern California Edison Company are named as respondents and are parties to this proceeding pursuant to Rule 1.4(d) </w:t>
      </w:r>
      <w:r w:rsidR="006700D9">
        <w:rPr>
          <w:szCs w:val="26"/>
        </w:rPr>
        <w:t xml:space="preserve">of </w:t>
      </w:r>
      <w:r w:rsidRPr="00FF2D7E">
        <w:rPr>
          <w:szCs w:val="26"/>
        </w:rPr>
        <w:t>the Commission</w:t>
      </w:r>
      <w:r w:rsidR="006700D9">
        <w:rPr>
          <w:szCs w:val="26"/>
        </w:rPr>
        <w:t>’s</w:t>
      </w:r>
      <w:r w:rsidRPr="00FF2D7E">
        <w:rPr>
          <w:szCs w:val="26"/>
        </w:rPr>
        <w:t xml:space="preserve"> R</w:t>
      </w:r>
      <w:r w:rsidR="004D47B3">
        <w:rPr>
          <w:szCs w:val="26"/>
        </w:rPr>
        <w:t>ules of Practice and Procedure</w:t>
      </w:r>
      <w:r w:rsidRPr="00FF2D7E">
        <w:rPr>
          <w:szCs w:val="26"/>
        </w:rPr>
        <w:t>.  All load serving entities (LSEs), as defined in Pub</w:t>
      </w:r>
      <w:r w:rsidR="00074C93">
        <w:rPr>
          <w:szCs w:val="26"/>
        </w:rPr>
        <w:t>lic</w:t>
      </w:r>
      <w:r w:rsidRPr="00FF2D7E">
        <w:rPr>
          <w:szCs w:val="26"/>
        </w:rPr>
        <w:t xml:space="preserve"> Util</w:t>
      </w:r>
      <w:r w:rsidR="00074C93">
        <w:rPr>
          <w:szCs w:val="26"/>
        </w:rPr>
        <w:t>ities</w:t>
      </w:r>
      <w:r w:rsidRPr="00FF2D7E">
        <w:rPr>
          <w:szCs w:val="26"/>
        </w:rPr>
        <w:t xml:space="preserve"> Code </w:t>
      </w:r>
      <w:r w:rsidR="00074C93">
        <w:rPr>
          <w:szCs w:val="26"/>
        </w:rPr>
        <w:t>Section</w:t>
      </w:r>
      <w:r w:rsidR="00BA71B8">
        <w:rPr>
          <w:szCs w:val="26"/>
        </w:rPr>
        <w:t> </w:t>
      </w:r>
      <w:r w:rsidRPr="00FF2D7E">
        <w:rPr>
          <w:szCs w:val="26"/>
        </w:rPr>
        <w:t>380(</w:t>
      </w:r>
      <w:r w:rsidR="00BA71B8">
        <w:rPr>
          <w:szCs w:val="26"/>
        </w:rPr>
        <w:t>k</w:t>
      </w:r>
      <w:r w:rsidRPr="00FF2D7E">
        <w:rPr>
          <w:szCs w:val="26"/>
        </w:rPr>
        <w:t>), are placed on notice that they may be subject to the decisions issue</w:t>
      </w:r>
      <w:r w:rsidR="00733DF3">
        <w:rPr>
          <w:szCs w:val="26"/>
        </w:rPr>
        <w:t>d in this rulemaking, and this O</w:t>
      </w:r>
      <w:r w:rsidRPr="00FF2D7E">
        <w:rPr>
          <w:szCs w:val="26"/>
        </w:rPr>
        <w:t xml:space="preserve">rder </w:t>
      </w:r>
      <w:r w:rsidR="00733DF3">
        <w:rPr>
          <w:szCs w:val="26"/>
        </w:rPr>
        <w:t>I</w:t>
      </w:r>
      <w:r w:rsidRPr="00FF2D7E">
        <w:rPr>
          <w:szCs w:val="26"/>
        </w:rPr>
        <w:t xml:space="preserve">nstituting </w:t>
      </w:r>
      <w:r w:rsidR="00733DF3">
        <w:rPr>
          <w:szCs w:val="26"/>
        </w:rPr>
        <w:t>R</w:t>
      </w:r>
      <w:r w:rsidRPr="00FF2D7E">
        <w:rPr>
          <w:szCs w:val="26"/>
        </w:rPr>
        <w:t xml:space="preserve">ulemaking shall be served upon them.  Attachment </w:t>
      </w:r>
      <w:r w:rsidR="00BA71B8">
        <w:rPr>
          <w:szCs w:val="26"/>
        </w:rPr>
        <w:t>A</w:t>
      </w:r>
      <w:r w:rsidRPr="00FF2D7E">
        <w:rPr>
          <w:szCs w:val="26"/>
        </w:rPr>
        <w:t xml:space="preserve"> lists such entities as reflected in the </w:t>
      </w:r>
      <w:r w:rsidRPr="00FF2D7E">
        <w:rPr>
          <w:szCs w:val="26"/>
        </w:rPr>
        <w:lastRenderedPageBreak/>
        <w:t xml:space="preserve">Commission’s records.  Any error or omission in Attachment </w:t>
      </w:r>
      <w:r w:rsidR="00BA71B8">
        <w:rPr>
          <w:szCs w:val="26"/>
        </w:rPr>
        <w:t>A</w:t>
      </w:r>
      <w:r w:rsidRPr="00FF2D7E">
        <w:rPr>
          <w:szCs w:val="26"/>
        </w:rPr>
        <w:t xml:space="preserve"> shall not excuse any LSE from compliance with decisions issued in this proceeding</w:t>
      </w:r>
      <w:r w:rsidR="004D47B3">
        <w:rPr>
          <w:szCs w:val="26"/>
        </w:rPr>
        <w:t>.</w:t>
      </w:r>
    </w:p>
    <w:p w:rsidR="00F57A96" w:rsidRPr="00FF2D7E" w:rsidRDefault="00F57A96">
      <w:pPr>
        <w:pStyle w:val="num1"/>
        <w:numPr>
          <w:ilvl w:val="0"/>
          <w:numId w:val="4"/>
        </w:numPr>
        <w:rPr>
          <w:szCs w:val="26"/>
        </w:rPr>
      </w:pPr>
      <w:r w:rsidRPr="00FF2D7E">
        <w:rPr>
          <w:szCs w:val="26"/>
        </w:rPr>
        <w:t xml:space="preserve">Respondents shall be placed on the service list automatically as parties, but other load serving entities as well as other interested parties and those interested in monitoring the proceeding must follow the directions set forth in Section </w:t>
      </w:r>
      <w:r w:rsidR="00F24F5C">
        <w:rPr>
          <w:szCs w:val="26"/>
        </w:rPr>
        <w:t>6</w:t>
      </w:r>
      <w:r w:rsidR="00C8283B" w:rsidRPr="00FF2D7E">
        <w:rPr>
          <w:szCs w:val="26"/>
        </w:rPr>
        <w:t xml:space="preserve"> </w:t>
      </w:r>
      <w:r w:rsidRPr="00FF2D7E">
        <w:rPr>
          <w:szCs w:val="26"/>
        </w:rPr>
        <w:t xml:space="preserve">of this </w:t>
      </w:r>
      <w:r w:rsidR="00733DF3">
        <w:rPr>
          <w:szCs w:val="26"/>
        </w:rPr>
        <w:t>O</w:t>
      </w:r>
      <w:r w:rsidRPr="00FF2D7E">
        <w:rPr>
          <w:szCs w:val="26"/>
        </w:rPr>
        <w:t xml:space="preserve">rder </w:t>
      </w:r>
      <w:r w:rsidR="00733DF3">
        <w:rPr>
          <w:szCs w:val="26"/>
        </w:rPr>
        <w:t>I</w:t>
      </w:r>
      <w:r w:rsidRPr="00FF2D7E">
        <w:rPr>
          <w:szCs w:val="26"/>
        </w:rPr>
        <w:t xml:space="preserve">nstituting </w:t>
      </w:r>
      <w:r w:rsidR="00733DF3">
        <w:rPr>
          <w:szCs w:val="26"/>
        </w:rPr>
        <w:t>R</w:t>
      </w:r>
      <w:r w:rsidRPr="00FF2D7E">
        <w:rPr>
          <w:szCs w:val="26"/>
        </w:rPr>
        <w:t>ulemaking to become a party or be placed on the official service list as a non-party.</w:t>
      </w:r>
    </w:p>
    <w:p w:rsidR="00F57A96" w:rsidRPr="00FF2D7E" w:rsidRDefault="00F57A96">
      <w:pPr>
        <w:pStyle w:val="num1"/>
        <w:numPr>
          <w:ilvl w:val="0"/>
          <w:numId w:val="4"/>
        </w:numPr>
        <w:rPr>
          <w:szCs w:val="26"/>
        </w:rPr>
      </w:pPr>
      <w:r w:rsidRPr="00FF2D7E">
        <w:rPr>
          <w:szCs w:val="26"/>
        </w:rPr>
        <w:t>This proceeding is classified as quasi-legislative, as that term is defined in Rule 1.3(d)</w:t>
      </w:r>
      <w:r w:rsidR="00733DF3" w:rsidRPr="00733DF3">
        <w:rPr>
          <w:szCs w:val="26"/>
        </w:rPr>
        <w:t xml:space="preserve"> of the Commission</w:t>
      </w:r>
      <w:r w:rsidR="008E1E02">
        <w:rPr>
          <w:szCs w:val="26"/>
        </w:rPr>
        <w:t>’s</w:t>
      </w:r>
      <w:r w:rsidR="00733DF3" w:rsidRPr="00733DF3">
        <w:rPr>
          <w:szCs w:val="26"/>
        </w:rPr>
        <w:t xml:space="preserve"> Rules of Practice and Procedure</w:t>
      </w:r>
      <w:r w:rsidRPr="00FF2D7E">
        <w:rPr>
          <w:szCs w:val="26"/>
        </w:rPr>
        <w:t>.</w:t>
      </w:r>
    </w:p>
    <w:p w:rsidR="00F57A96" w:rsidRPr="00FF2D7E" w:rsidRDefault="00F57A96">
      <w:pPr>
        <w:pStyle w:val="num1"/>
        <w:numPr>
          <w:ilvl w:val="0"/>
          <w:numId w:val="4"/>
        </w:numPr>
        <w:rPr>
          <w:szCs w:val="26"/>
        </w:rPr>
      </w:pPr>
      <w:r w:rsidRPr="00FF2D7E">
        <w:rPr>
          <w:szCs w:val="26"/>
        </w:rPr>
        <w:t>Parties shall file comments that will serve as the basis for the establishment of a detailed scope for this proceeding and shall identify any other relevant procedural issues</w:t>
      </w:r>
      <w:r w:rsidR="00BA71B8">
        <w:rPr>
          <w:szCs w:val="26"/>
        </w:rPr>
        <w:t xml:space="preserve"> within 30 days of the issuance of this Order Instituting Rulemaking</w:t>
      </w:r>
      <w:r w:rsidR="006700D9">
        <w:rPr>
          <w:szCs w:val="26"/>
        </w:rPr>
        <w:t xml:space="preserve"> (Order)</w:t>
      </w:r>
      <w:r w:rsidRPr="00FF2D7E">
        <w:rPr>
          <w:szCs w:val="26"/>
        </w:rPr>
        <w:t xml:space="preserve">.  Any person who objects to this </w:t>
      </w:r>
      <w:r w:rsidR="006700D9">
        <w:rPr>
          <w:szCs w:val="26"/>
        </w:rPr>
        <w:t>O</w:t>
      </w:r>
      <w:r w:rsidRPr="00FF2D7E">
        <w:rPr>
          <w:szCs w:val="26"/>
        </w:rPr>
        <w:t>rder’s determinations regarding categorization of the proceeding as quasi-legislative, the need for hearing, issues to be considered or scheduling shall state such objections in their comments.</w:t>
      </w:r>
    </w:p>
    <w:p w:rsidR="0003642B" w:rsidRPr="00FF2D7E" w:rsidRDefault="00F57A96" w:rsidP="00B00DF3">
      <w:pPr>
        <w:pStyle w:val="num1"/>
        <w:numPr>
          <w:ilvl w:val="0"/>
          <w:numId w:val="4"/>
        </w:numPr>
        <w:rPr>
          <w:szCs w:val="26"/>
        </w:rPr>
      </w:pPr>
      <w:r w:rsidRPr="00FF2D7E">
        <w:rPr>
          <w:szCs w:val="26"/>
        </w:rPr>
        <w:t xml:space="preserve">The Executive Director shall cause this </w:t>
      </w:r>
      <w:r w:rsidR="00733DF3">
        <w:rPr>
          <w:szCs w:val="26"/>
        </w:rPr>
        <w:t>O</w:t>
      </w:r>
      <w:r w:rsidRPr="00FF2D7E">
        <w:rPr>
          <w:szCs w:val="26"/>
        </w:rPr>
        <w:t xml:space="preserve">rder </w:t>
      </w:r>
      <w:r w:rsidR="00733DF3">
        <w:rPr>
          <w:szCs w:val="26"/>
        </w:rPr>
        <w:t>I</w:t>
      </w:r>
      <w:r w:rsidRPr="00FF2D7E">
        <w:rPr>
          <w:szCs w:val="26"/>
        </w:rPr>
        <w:t xml:space="preserve">nstituting </w:t>
      </w:r>
      <w:r w:rsidR="00733DF3">
        <w:rPr>
          <w:szCs w:val="26"/>
        </w:rPr>
        <w:t>R</w:t>
      </w:r>
      <w:r w:rsidRPr="00FF2D7E">
        <w:rPr>
          <w:szCs w:val="26"/>
        </w:rPr>
        <w:t>ulemaking to be served on the Respondents, all load serving entities listed in the Commission’s official records (</w:t>
      </w:r>
      <w:r w:rsidRPr="0085651C">
        <w:rPr>
          <w:i/>
          <w:szCs w:val="26"/>
        </w:rPr>
        <w:t>see</w:t>
      </w:r>
      <w:r w:rsidRPr="00FF2D7E">
        <w:rPr>
          <w:szCs w:val="26"/>
        </w:rPr>
        <w:t xml:space="preserve"> Attachment </w:t>
      </w:r>
      <w:r w:rsidR="00D979D2">
        <w:rPr>
          <w:szCs w:val="26"/>
        </w:rPr>
        <w:t>A</w:t>
      </w:r>
      <w:r w:rsidRPr="00FF2D7E">
        <w:rPr>
          <w:szCs w:val="26"/>
        </w:rPr>
        <w:t xml:space="preserve">), the California Energy Commission, the California Independent System Operator, and the service lists for </w:t>
      </w:r>
      <w:r w:rsidR="00AB24C7">
        <w:rPr>
          <w:szCs w:val="26"/>
        </w:rPr>
        <w:br/>
      </w:r>
      <w:r w:rsidR="003A7D0B" w:rsidRPr="00FF2D7E">
        <w:rPr>
          <w:szCs w:val="26"/>
        </w:rPr>
        <w:t>Application 14-02-006</w:t>
      </w:r>
      <w:r w:rsidR="009B2E5D" w:rsidRPr="00FF2D7E">
        <w:rPr>
          <w:szCs w:val="26"/>
        </w:rPr>
        <w:t xml:space="preserve"> et al</w:t>
      </w:r>
      <w:r w:rsidR="00733DF3">
        <w:rPr>
          <w:szCs w:val="26"/>
        </w:rPr>
        <w:t>.</w:t>
      </w:r>
      <w:r w:rsidR="003A7D0B" w:rsidRPr="00FF2D7E">
        <w:rPr>
          <w:szCs w:val="26"/>
        </w:rPr>
        <w:t xml:space="preserve"> (Storage</w:t>
      </w:r>
      <w:r w:rsidR="009B2E5D" w:rsidRPr="00FF2D7E">
        <w:rPr>
          <w:szCs w:val="26"/>
        </w:rPr>
        <w:t xml:space="preserve"> Procurement Plans</w:t>
      </w:r>
      <w:r w:rsidR="003A7D0B" w:rsidRPr="00FF2D7E">
        <w:rPr>
          <w:szCs w:val="26"/>
        </w:rPr>
        <w:t xml:space="preserve">); </w:t>
      </w:r>
      <w:r w:rsidR="0003642B" w:rsidRPr="00FF2D7E">
        <w:rPr>
          <w:szCs w:val="26"/>
        </w:rPr>
        <w:t xml:space="preserve">Rulemaking </w:t>
      </w:r>
      <w:r w:rsidR="004D47B3">
        <w:rPr>
          <w:szCs w:val="26"/>
        </w:rPr>
        <w:br/>
      </w:r>
      <w:r w:rsidR="0003642B" w:rsidRPr="00FF2D7E">
        <w:rPr>
          <w:szCs w:val="26"/>
        </w:rPr>
        <w:t>(R.) 10-12-007 (Storage); R.13-09-011 (Demand Response); R.13-12-</w:t>
      </w:r>
      <w:r w:rsidR="00733DF3">
        <w:rPr>
          <w:szCs w:val="26"/>
        </w:rPr>
        <w:t>0</w:t>
      </w:r>
      <w:r w:rsidR="0003642B" w:rsidRPr="00FF2D7E">
        <w:rPr>
          <w:szCs w:val="26"/>
        </w:rPr>
        <w:t>10 (Procurement); R.09</w:t>
      </w:r>
      <w:r w:rsidR="00AD610F">
        <w:rPr>
          <w:szCs w:val="26"/>
        </w:rPr>
        <w:t>-</w:t>
      </w:r>
      <w:r w:rsidR="0003642B" w:rsidRPr="00FF2D7E">
        <w:rPr>
          <w:szCs w:val="26"/>
        </w:rPr>
        <w:t>10</w:t>
      </w:r>
      <w:r w:rsidR="00AD610F">
        <w:rPr>
          <w:szCs w:val="26"/>
        </w:rPr>
        <w:t>-</w:t>
      </w:r>
      <w:r w:rsidR="0003642B" w:rsidRPr="00FF2D7E">
        <w:rPr>
          <w:szCs w:val="26"/>
        </w:rPr>
        <w:t xml:space="preserve">032 (Resource Adequacy); R.14-02-001 (Joint Reliability Plan); R.08-12-009 (Smart Grid); R.14-08-013 (Distribution Resources Plans); </w:t>
      </w:r>
      <w:r w:rsidR="004D47B3">
        <w:rPr>
          <w:szCs w:val="26"/>
        </w:rPr>
        <w:br/>
      </w:r>
      <w:r w:rsidR="0003642B" w:rsidRPr="00FF2D7E">
        <w:rPr>
          <w:szCs w:val="26"/>
        </w:rPr>
        <w:t>R.11-09-011 (</w:t>
      </w:r>
      <w:r w:rsidR="009B2E5D" w:rsidRPr="00FF2D7E">
        <w:rPr>
          <w:szCs w:val="26"/>
        </w:rPr>
        <w:t xml:space="preserve">Rule 21 </w:t>
      </w:r>
      <w:r w:rsidR="0003642B" w:rsidRPr="00FF2D7E">
        <w:rPr>
          <w:szCs w:val="26"/>
        </w:rPr>
        <w:t xml:space="preserve">Interconnection Rules and Regulations); R.11-05-005 </w:t>
      </w:r>
      <w:r w:rsidR="0003642B" w:rsidRPr="00FF2D7E">
        <w:rPr>
          <w:szCs w:val="26"/>
        </w:rPr>
        <w:lastRenderedPageBreak/>
        <w:t xml:space="preserve">(Renewable Portfolio Standards); </w:t>
      </w:r>
      <w:r w:rsidR="009B2E5D" w:rsidRPr="00FF2D7E">
        <w:rPr>
          <w:szCs w:val="26"/>
        </w:rPr>
        <w:t xml:space="preserve">R.14-07-002 (Net Energy Metering) </w:t>
      </w:r>
      <w:r w:rsidR="0003642B" w:rsidRPr="00FF2D7E">
        <w:rPr>
          <w:szCs w:val="26"/>
        </w:rPr>
        <w:t xml:space="preserve">and </w:t>
      </w:r>
      <w:r w:rsidR="004D47B3">
        <w:rPr>
          <w:szCs w:val="26"/>
        </w:rPr>
        <w:br/>
      </w:r>
      <w:r w:rsidR="0003642B" w:rsidRPr="00FF2D7E">
        <w:rPr>
          <w:szCs w:val="26"/>
        </w:rPr>
        <w:t xml:space="preserve">R.13-11-007 (Alternative-Fueled Vehicles). </w:t>
      </w:r>
    </w:p>
    <w:p w:rsidR="00F57A96" w:rsidRPr="00FF2D7E" w:rsidRDefault="00F57A96">
      <w:pPr>
        <w:pStyle w:val="num1"/>
        <w:numPr>
          <w:ilvl w:val="0"/>
          <w:numId w:val="4"/>
        </w:numPr>
        <w:rPr>
          <w:szCs w:val="26"/>
        </w:rPr>
      </w:pPr>
      <w:r w:rsidRPr="00FF2D7E">
        <w:rPr>
          <w:szCs w:val="26"/>
        </w:rPr>
        <w:t xml:space="preserve">Parties serving documents in this proceeding shall comply with Section </w:t>
      </w:r>
      <w:r w:rsidR="00F24F5C">
        <w:rPr>
          <w:szCs w:val="26"/>
        </w:rPr>
        <w:t>9</w:t>
      </w:r>
      <w:r w:rsidR="00733DF3">
        <w:rPr>
          <w:szCs w:val="26"/>
        </w:rPr>
        <w:t xml:space="preserve"> of this Order I</w:t>
      </w:r>
      <w:r w:rsidRPr="00FF2D7E">
        <w:rPr>
          <w:szCs w:val="26"/>
        </w:rPr>
        <w:t xml:space="preserve">nstituting </w:t>
      </w:r>
      <w:r w:rsidR="00733DF3">
        <w:rPr>
          <w:szCs w:val="26"/>
        </w:rPr>
        <w:t>R</w:t>
      </w:r>
      <w:r w:rsidRPr="00FF2D7E">
        <w:rPr>
          <w:szCs w:val="26"/>
        </w:rPr>
        <w:t>ulemaking regarding electronic service.  Any documents served on the assigned Commissioner and Administrative Law Judge shall be both by e-mail and by delivery or mailing a paper format copy of the document.</w:t>
      </w:r>
    </w:p>
    <w:p w:rsidR="00F57A96" w:rsidRPr="00FF2D7E" w:rsidRDefault="00F57A96">
      <w:pPr>
        <w:pStyle w:val="num1"/>
        <w:numPr>
          <w:ilvl w:val="0"/>
          <w:numId w:val="4"/>
        </w:numPr>
        <w:rPr>
          <w:szCs w:val="26"/>
        </w:rPr>
      </w:pPr>
      <w:r w:rsidRPr="00FF2D7E">
        <w:rPr>
          <w:szCs w:val="26"/>
        </w:rPr>
        <w:t>A party that expects to request intervenor compensation for its participation in this rulemaking shall file its notice of intent to claim intervenor compensation in accordance with Rule 17.1 of the</w:t>
      </w:r>
      <w:r w:rsidR="004D47B3">
        <w:rPr>
          <w:szCs w:val="26"/>
        </w:rPr>
        <w:t xml:space="preserve"> Commission</w:t>
      </w:r>
      <w:r w:rsidR="0048008B">
        <w:rPr>
          <w:szCs w:val="26"/>
        </w:rPr>
        <w:t>’s</w:t>
      </w:r>
      <w:r w:rsidRPr="00FF2D7E">
        <w:rPr>
          <w:szCs w:val="26"/>
        </w:rPr>
        <w:t xml:space="preserve"> Rules</w:t>
      </w:r>
      <w:r w:rsidR="004D47B3">
        <w:rPr>
          <w:szCs w:val="26"/>
        </w:rPr>
        <w:t xml:space="preserve"> of Practice and Procedure</w:t>
      </w:r>
      <w:r w:rsidRPr="00FF2D7E">
        <w:rPr>
          <w:szCs w:val="26"/>
        </w:rPr>
        <w:t>.</w:t>
      </w:r>
    </w:p>
    <w:p w:rsidR="00F57A96" w:rsidRPr="00FF2D7E" w:rsidRDefault="00F57A96">
      <w:pPr>
        <w:pStyle w:val="num1"/>
        <w:numPr>
          <w:ilvl w:val="0"/>
          <w:numId w:val="4"/>
        </w:numPr>
        <w:rPr>
          <w:szCs w:val="26"/>
        </w:rPr>
      </w:pPr>
      <w:r w:rsidRPr="00FF2D7E">
        <w:rPr>
          <w:i/>
          <w:szCs w:val="26"/>
        </w:rPr>
        <w:t>Ex parte</w:t>
      </w:r>
      <w:r w:rsidRPr="00FF2D7E">
        <w:rPr>
          <w:szCs w:val="26"/>
        </w:rPr>
        <w:t xml:space="preserve"> communications in this rulemaking are governed by Rule 8.2(a)</w:t>
      </w:r>
      <w:r w:rsidR="004D47B3">
        <w:rPr>
          <w:szCs w:val="26"/>
        </w:rPr>
        <w:t xml:space="preserve"> </w:t>
      </w:r>
      <w:r w:rsidR="004D47B3" w:rsidRPr="00FF2D7E">
        <w:rPr>
          <w:szCs w:val="26"/>
        </w:rPr>
        <w:t>of the</w:t>
      </w:r>
      <w:r w:rsidR="004D47B3">
        <w:rPr>
          <w:szCs w:val="26"/>
        </w:rPr>
        <w:t xml:space="preserve"> Commission</w:t>
      </w:r>
      <w:r w:rsidR="0048008B">
        <w:rPr>
          <w:szCs w:val="26"/>
        </w:rPr>
        <w:t>’s</w:t>
      </w:r>
      <w:r w:rsidR="004D47B3" w:rsidRPr="00FF2D7E">
        <w:rPr>
          <w:szCs w:val="26"/>
        </w:rPr>
        <w:t xml:space="preserve"> Rules</w:t>
      </w:r>
      <w:r w:rsidR="004D47B3">
        <w:rPr>
          <w:szCs w:val="26"/>
        </w:rPr>
        <w:t xml:space="preserve"> of Practice and Procedure</w:t>
      </w:r>
      <w:r w:rsidRPr="00FF2D7E">
        <w:rPr>
          <w:szCs w:val="26"/>
        </w:rPr>
        <w:t>.</w:t>
      </w:r>
    </w:p>
    <w:p w:rsidR="00F57A96" w:rsidRPr="00FF2D7E" w:rsidRDefault="00F57A96" w:rsidP="00FE24DB">
      <w:pPr>
        <w:pStyle w:val="num1"/>
        <w:numPr>
          <w:ilvl w:val="0"/>
          <w:numId w:val="4"/>
        </w:numPr>
        <w:ind w:firstLine="270"/>
        <w:rPr>
          <w:szCs w:val="26"/>
        </w:rPr>
      </w:pPr>
      <w:r w:rsidRPr="00FF2D7E">
        <w:rPr>
          <w:szCs w:val="26"/>
        </w:rPr>
        <w:t>The assigned Commissioner or the Administrative Law Judge may make such revisions to the scheduling determinations made herein as may be necessary to facilitate the efficient management of this proceeding.</w:t>
      </w:r>
    </w:p>
    <w:p w:rsidR="00F57A96" w:rsidRPr="00FF2D7E" w:rsidRDefault="00F57A96">
      <w:pPr>
        <w:pStyle w:val="standard"/>
        <w:rPr>
          <w:szCs w:val="26"/>
        </w:rPr>
      </w:pPr>
      <w:r w:rsidRPr="00FF2D7E">
        <w:rPr>
          <w:szCs w:val="26"/>
        </w:rPr>
        <w:t>This order is effective today.</w:t>
      </w:r>
    </w:p>
    <w:p w:rsidR="00F57A96" w:rsidRDefault="00F57A96">
      <w:pPr>
        <w:pStyle w:val="standard"/>
        <w:rPr>
          <w:szCs w:val="26"/>
        </w:rPr>
      </w:pPr>
      <w:r w:rsidRPr="00FF2D7E">
        <w:rPr>
          <w:szCs w:val="26"/>
        </w:rPr>
        <w:t>Dated</w:t>
      </w:r>
      <w:r w:rsidR="009E2F3B">
        <w:rPr>
          <w:szCs w:val="26"/>
        </w:rPr>
        <w:t xml:space="preserve"> March 26, </w:t>
      </w:r>
      <w:r w:rsidR="00D3200D" w:rsidRPr="00FF2D7E">
        <w:rPr>
          <w:szCs w:val="26"/>
        </w:rPr>
        <w:t>2015</w:t>
      </w:r>
      <w:r w:rsidRPr="00FF2D7E">
        <w:rPr>
          <w:szCs w:val="26"/>
        </w:rPr>
        <w:t>, at San Francisco, California.</w:t>
      </w:r>
      <w:bookmarkEnd w:id="16"/>
      <w:bookmarkEnd w:id="17"/>
    </w:p>
    <w:p w:rsidR="00F232C1" w:rsidRDefault="00F232C1">
      <w:pPr>
        <w:pStyle w:val="standard"/>
        <w:rPr>
          <w:szCs w:val="26"/>
        </w:rPr>
      </w:pPr>
    </w:p>
    <w:p w:rsidR="00F232C1" w:rsidRPr="00D1683F" w:rsidRDefault="00F232C1" w:rsidP="00F232C1">
      <w:pPr>
        <w:keepNext/>
        <w:keepLines/>
        <w:autoSpaceDE w:val="0"/>
        <w:autoSpaceDN w:val="0"/>
        <w:adjustRightInd w:val="0"/>
        <w:ind w:left="4320"/>
        <w:rPr>
          <w:rFonts w:cs="Palatino"/>
          <w:szCs w:val="26"/>
        </w:rPr>
      </w:pPr>
      <w:r w:rsidRPr="00721697">
        <w:rPr>
          <w:rFonts w:cs="Palatino"/>
          <w:szCs w:val="26"/>
        </w:rPr>
        <w:t>MICHAEL PICKER</w:t>
      </w:r>
    </w:p>
    <w:p w:rsidR="00F232C1" w:rsidRPr="00D1683F" w:rsidRDefault="00F232C1" w:rsidP="00F232C1">
      <w:pPr>
        <w:keepNext/>
        <w:keepLines/>
        <w:autoSpaceDE w:val="0"/>
        <w:autoSpaceDN w:val="0"/>
        <w:adjustRightInd w:val="0"/>
        <w:ind w:firstLine="720"/>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w:t>
      </w:r>
      <w:r w:rsidRPr="00D1683F">
        <w:rPr>
          <w:rFonts w:cs="Palatino"/>
          <w:szCs w:val="26"/>
        </w:rPr>
        <w:t xml:space="preserve"> President</w:t>
      </w:r>
    </w:p>
    <w:p w:rsidR="00F232C1" w:rsidRPr="00D1683F" w:rsidRDefault="00F232C1" w:rsidP="00F232C1">
      <w:pPr>
        <w:keepNext/>
        <w:keepLines/>
        <w:autoSpaceDE w:val="0"/>
        <w:autoSpaceDN w:val="0"/>
        <w:adjustRightInd w:val="0"/>
        <w:ind w:left="4320"/>
        <w:rPr>
          <w:rFonts w:cs="Courier New"/>
          <w:szCs w:val="26"/>
        </w:rPr>
      </w:pPr>
      <w:r w:rsidRPr="00D1683F">
        <w:rPr>
          <w:rFonts w:cs="Courier New"/>
          <w:szCs w:val="26"/>
        </w:rPr>
        <w:t>MICHEL PETER FLORIO</w:t>
      </w:r>
    </w:p>
    <w:p w:rsidR="00F232C1" w:rsidRPr="00D1683F" w:rsidRDefault="00F232C1" w:rsidP="00F232C1">
      <w:pPr>
        <w:keepNext/>
        <w:keepLines/>
        <w:autoSpaceDE w:val="0"/>
        <w:autoSpaceDN w:val="0"/>
        <w:adjustRightInd w:val="0"/>
        <w:ind w:left="4320"/>
        <w:rPr>
          <w:rFonts w:cs="Courier New"/>
          <w:szCs w:val="26"/>
        </w:rPr>
      </w:pPr>
      <w:r w:rsidRPr="00D1683F">
        <w:rPr>
          <w:rFonts w:cs="Courier New"/>
          <w:szCs w:val="26"/>
        </w:rPr>
        <w:t>CATHERINE J.K. SANDOVAL</w:t>
      </w:r>
    </w:p>
    <w:p w:rsidR="00F232C1" w:rsidRPr="00D1683F" w:rsidRDefault="00F232C1" w:rsidP="00F232C1">
      <w:pPr>
        <w:keepNext/>
        <w:keepLines/>
        <w:autoSpaceDE w:val="0"/>
        <w:autoSpaceDN w:val="0"/>
        <w:adjustRightInd w:val="0"/>
        <w:ind w:left="4320"/>
        <w:rPr>
          <w:rFonts w:cs="Courier New"/>
          <w:szCs w:val="26"/>
        </w:rPr>
      </w:pPr>
      <w:r w:rsidRPr="00D1683F">
        <w:rPr>
          <w:rFonts w:cs="Courier New"/>
          <w:szCs w:val="26"/>
        </w:rPr>
        <w:t>CARLA J. PETERMAN</w:t>
      </w:r>
    </w:p>
    <w:p w:rsidR="00F232C1" w:rsidRPr="00D1683F" w:rsidRDefault="00F232C1" w:rsidP="00F232C1">
      <w:pPr>
        <w:keepNext/>
        <w:keepLines/>
        <w:autoSpaceDE w:val="0"/>
        <w:autoSpaceDN w:val="0"/>
        <w:adjustRightInd w:val="0"/>
        <w:ind w:left="4320"/>
        <w:rPr>
          <w:rFonts w:cs="Courier New"/>
          <w:szCs w:val="26"/>
        </w:rPr>
      </w:pPr>
      <w:r>
        <w:rPr>
          <w:rFonts w:cs="Courier New"/>
          <w:szCs w:val="26"/>
        </w:rPr>
        <w:t>LIANE M. RANDOLPH</w:t>
      </w:r>
    </w:p>
    <w:p w:rsidR="009E2F3B" w:rsidRPr="00F232C1" w:rsidRDefault="00F232C1" w:rsidP="00F232C1">
      <w:pPr>
        <w:keepNext/>
        <w:keepLines/>
        <w:spacing w:line="360" w:lineRule="auto"/>
        <w:ind w:firstLine="720"/>
      </w:pPr>
      <w:r w:rsidRPr="00D1683F">
        <w:tab/>
      </w:r>
      <w:r w:rsidRPr="00D1683F">
        <w:tab/>
      </w:r>
      <w:r w:rsidRPr="00D1683F">
        <w:tab/>
      </w:r>
      <w:r w:rsidRPr="00D1683F">
        <w:tab/>
      </w:r>
      <w:r w:rsidRPr="00D1683F">
        <w:tab/>
      </w:r>
      <w:r w:rsidRPr="00D1683F">
        <w:tab/>
      </w:r>
      <w:r w:rsidRPr="00D1683F">
        <w:tab/>
        <w:t xml:space="preserve">     Commissioners</w:t>
      </w:r>
    </w:p>
    <w:sectPr w:rsidR="009E2F3B" w:rsidRPr="00F232C1" w:rsidSect="00563B91">
      <w:headerReference w:type="first" r:id="rId20"/>
      <w:footerReference w:type="first" r:id="rId21"/>
      <w:pgSz w:w="12240" w:h="15840" w:code="1"/>
      <w:pgMar w:top="1152" w:right="1440" w:bottom="1440" w:left="1440" w:header="720" w:footer="720" w:gutter="0"/>
      <w:cols w:space="720"/>
      <w:titlePg/>
      <w:docGrid w:linePitch="3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1EFCD" w15:done="0"/>
  <w15:commentEx w15:paraId="75629DCC" w15:done="0"/>
  <w15:commentEx w15:paraId="2887B0B8" w15:done="0"/>
  <w15:commentEx w15:paraId="3C573915" w15:done="0"/>
  <w15:commentEx w15:paraId="7893405B" w15:done="0"/>
  <w15:commentEx w15:paraId="35241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59" w:rsidRDefault="00456159">
      <w:r>
        <w:separator/>
      </w:r>
    </w:p>
  </w:endnote>
  <w:endnote w:type="continuationSeparator" w:id="0">
    <w:p w:rsidR="00456159" w:rsidRDefault="0045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D" w:rsidRDefault="009C5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D6" w:rsidRDefault="00165FD6" w:rsidP="001D0F77">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D954FD">
      <w:rPr>
        <w:rStyle w:val="PageNumber"/>
        <w:noProof/>
      </w:rPr>
      <w:t>23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D6" w:rsidRDefault="009E2F3B">
    <w:pPr>
      <w:pStyle w:val="Footer"/>
      <w:tabs>
        <w:tab w:val="clear" w:pos="4320"/>
        <w:tab w:val="center" w:pos="4680"/>
      </w:tabs>
      <w:jc w:val="left"/>
    </w:pPr>
    <w:r w:rsidRPr="009E2F3B">
      <w:rPr>
        <w:sz w:val="16"/>
        <w:szCs w:val="16"/>
      </w:rPr>
      <w:t>149976766</w:t>
    </w:r>
    <w:r w:rsidR="00165FD6">
      <w:tab/>
      <w:t xml:space="preserve">- </w:t>
    </w:r>
    <w:r w:rsidR="00165FD6">
      <w:rPr>
        <w:rStyle w:val="PageNumber"/>
      </w:rPr>
      <w:fldChar w:fldCharType="begin"/>
    </w:r>
    <w:r w:rsidR="00165FD6">
      <w:rPr>
        <w:rStyle w:val="PageNumber"/>
      </w:rPr>
      <w:instrText xml:space="preserve"> PAGE </w:instrText>
    </w:r>
    <w:r w:rsidR="00165FD6">
      <w:rPr>
        <w:rStyle w:val="PageNumber"/>
      </w:rPr>
      <w:fldChar w:fldCharType="separate"/>
    </w:r>
    <w:r w:rsidR="00D954FD">
      <w:rPr>
        <w:rStyle w:val="PageNumber"/>
        <w:noProof/>
      </w:rPr>
      <w:t>1</w:t>
    </w:r>
    <w:r w:rsidR="00165FD6">
      <w:rPr>
        <w:rStyle w:val="PageNumber"/>
      </w:rPr>
      <w:fldChar w:fldCharType="end"/>
    </w:r>
    <w:r w:rsidR="00165FD6">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9F" w:rsidRDefault="002C2D9F">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D954FD">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91" w:rsidRDefault="00563B91">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D954FD">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59" w:rsidRDefault="00456159">
      <w:r>
        <w:separator/>
      </w:r>
    </w:p>
  </w:footnote>
  <w:footnote w:type="continuationSeparator" w:id="0">
    <w:p w:rsidR="00456159" w:rsidRDefault="00456159">
      <w:r>
        <w:continuationSeparator/>
      </w:r>
    </w:p>
  </w:footnote>
  <w:footnote w:type="continuationNotice" w:id="1">
    <w:p w:rsidR="00456159" w:rsidRDefault="00456159">
      <w:pPr>
        <w:rPr>
          <w:sz w:val="22"/>
        </w:rPr>
      </w:pPr>
    </w:p>
    <w:p w:rsidR="00456159" w:rsidRDefault="00456159">
      <w:pPr>
        <w:jc w:val="right"/>
        <w:rPr>
          <w:sz w:val="22"/>
        </w:rPr>
      </w:pPr>
      <w:r>
        <w:rPr>
          <w:i/>
          <w:sz w:val="22"/>
        </w:rPr>
        <w:t>Footnote continued on next page</w:t>
      </w:r>
    </w:p>
  </w:footnote>
  <w:footnote w:id="2">
    <w:p w:rsidR="00165FD6" w:rsidRPr="00F232C1" w:rsidRDefault="00165FD6" w:rsidP="004628E1">
      <w:pPr>
        <w:pStyle w:val="FootnoteText"/>
        <w:rPr>
          <w:sz w:val="22"/>
          <w:szCs w:val="22"/>
        </w:rPr>
      </w:pPr>
      <w:r w:rsidRPr="00F232C1">
        <w:rPr>
          <w:rStyle w:val="FootnoteReference"/>
          <w:sz w:val="22"/>
          <w:szCs w:val="22"/>
        </w:rPr>
        <w:footnoteRef/>
      </w:r>
      <w:r w:rsidRPr="00F232C1">
        <w:rPr>
          <w:sz w:val="22"/>
          <w:szCs w:val="22"/>
        </w:rPr>
        <w:t xml:space="preserve">  Decision (D.) 14-10-045 at 9-10. </w:t>
      </w:r>
    </w:p>
  </w:footnote>
  <w:footnote w:id="3">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R.10-12-007 “Order Instituting Rulemaking Pursuant to AB 2514 to Consider the Adoption of Procurement Targets for Viable and Cost-Effective Energy Storage Systems” filed December 16, 2010; AB 2514 was approved on September 29, 2010 and was entered into California Public Utilities Code, Chapter 7.7, Sections</w:t>
      </w:r>
      <w:r w:rsidR="00207D0C" w:rsidRPr="00F232C1">
        <w:rPr>
          <w:sz w:val="22"/>
          <w:szCs w:val="22"/>
        </w:rPr>
        <w:t xml:space="preserve"> </w:t>
      </w:r>
      <w:r w:rsidR="0004378B" w:rsidRPr="00F232C1">
        <w:rPr>
          <w:sz w:val="22"/>
          <w:szCs w:val="22"/>
        </w:rPr>
        <w:t>2835-2839.</w:t>
      </w:r>
      <w:r w:rsidRPr="00F232C1">
        <w:rPr>
          <w:sz w:val="22"/>
          <w:szCs w:val="22"/>
        </w:rPr>
        <w:t xml:space="preserve"> </w:t>
      </w:r>
    </w:p>
  </w:footnote>
  <w:footnote w:id="4">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R.10-12-007 at 1. </w:t>
      </w:r>
    </w:p>
  </w:footnote>
  <w:footnote w:id="5">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D.13-10-040 at 25.</w:t>
      </w:r>
    </w:p>
  </w:footnote>
  <w:footnote w:id="6">
    <w:p w:rsidR="00165FD6" w:rsidRPr="00F232C1" w:rsidRDefault="00165FD6" w:rsidP="00BA71B8">
      <w:pPr>
        <w:pStyle w:val="FootnoteText"/>
        <w:tabs>
          <w:tab w:val="left" w:pos="2520"/>
        </w:tabs>
        <w:rPr>
          <w:sz w:val="22"/>
          <w:szCs w:val="22"/>
        </w:rPr>
      </w:pPr>
      <w:r w:rsidRPr="00F232C1">
        <w:rPr>
          <w:rStyle w:val="FootnoteReference"/>
          <w:sz w:val="22"/>
          <w:szCs w:val="22"/>
        </w:rPr>
        <w:footnoteRef/>
      </w:r>
      <w:r w:rsidRPr="00F232C1">
        <w:rPr>
          <w:sz w:val="22"/>
          <w:szCs w:val="22"/>
        </w:rPr>
        <w:t xml:space="preserve">  D.13-10-040 at 27.</w:t>
      </w:r>
      <w:r w:rsidR="001D0F77" w:rsidRPr="00F232C1">
        <w:rPr>
          <w:sz w:val="22"/>
          <w:szCs w:val="22"/>
        </w:rPr>
        <w:t xml:space="preserve"> </w:t>
      </w:r>
    </w:p>
  </w:footnote>
  <w:footnote w:id="7">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D.14-10-045 at 4. </w:t>
      </w:r>
    </w:p>
  </w:footnote>
  <w:footnote w:id="8">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Storage Roadmap at 1. </w:t>
      </w:r>
    </w:p>
  </w:footnote>
  <w:footnote w:id="9">
    <w:p w:rsidR="00165FD6" w:rsidRPr="00F232C1" w:rsidRDefault="00165FD6" w:rsidP="00BA71B8">
      <w:pPr>
        <w:pStyle w:val="FootnoteText"/>
        <w:rPr>
          <w:sz w:val="22"/>
          <w:szCs w:val="22"/>
        </w:rPr>
      </w:pPr>
      <w:r w:rsidRPr="00F232C1">
        <w:rPr>
          <w:rStyle w:val="FootnoteReference"/>
          <w:sz w:val="22"/>
          <w:szCs w:val="22"/>
        </w:rPr>
        <w:footnoteRef/>
      </w:r>
      <w:r w:rsidRPr="00F232C1">
        <w:rPr>
          <w:sz w:val="22"/>
          <w:szCs w:val="22"/>
        </w:rPr>
        <w:t xml:space="preserve">  For example, </w:t>
      </w:r>
      <w:r w:rsidRPr="00F232C1">
        <w:rPr>
          <w:i/>
          <w:sz w:val="22"/>
          <w:szCs w:val="22"/>
        </w:rPr>
        <w:t>see</w:t>
      </w:r>
      <w:r w:rsidRPr="00F232C1">
        <w:rPr>
          <w:sz w:val="22"/>
          <w:szCs w:val="22"/>
        </w:rPr>
        <w:t xml:space="preserve"> R.11-09-011 (Rule 21 Interconnection Rules and Regulations) and R.14-07-002 (Net Energy Metering).</w:t>
      </w:r>
    </w:p>
  </w:footnote>
  <w:footnote w:id="10">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For a more complete set of action items </w:t>
      </w:r>
      <w:r w:rsidR="0092737A" w:rsidRPr="00F232C1">
        <w:rPr>
          <w:sz w:val="22"/>
          <w:szCs w:val="22"/>
        </w:rPr>
        <w:t xml:space="preserve">related to the Storage Roadmap, </w:t>
      </w:r>
      <w:r w:rsidRPr="00F232C1">
        <w:rPr>
          <w:sz w:val="22"/>
          <w:szCs w:val="22"/>
        </w:rPr>
        <w:t>pl</w:t>
      </w:r>
      <w:r w:rsidR="00FA097D" w:rsidRPr="00F232C1">
        <w:rPr>
          <w:sz w:val="22"/>
          <w:szCs w:val="22"/>
        </w:rPr>
        <w:t xml:space="preserve">ease see “Next Steps” Appendix </w:t>
      </w:r>
      <w:r w:rsidRPr="00F232C1">
        <w:rPr>
          <w:sz w:val="22"/>
          <w:szCs w:val="22"/>
        </w:rPr>
        <w:t>at 16-20.  Multiple</w:t>
      </w:r>
      <w:r w:rsidR="00092D6C" w:rsidRPr="00F232C1">
        <w:rPr>
          <w:sz w:val="22"/>
          <w:szCs w:val="22"/>
        </w:rPr>
        <w:t xml:space="preserve"> procedural </w:t>
      </w:r>
      <w:r w:rsidRPr="00F232C1">
        <w:rPr>
          <w:sz w:val="22"/>
          <w:szCs w:val="22"/>
        </w:rPr>
        <w:t>venues (e.g., CPUC, ISO, California Energy Commission) are targeted to help resolve</w:t>
      </w:r>
      <w:r w:rsidR="002835E2" w:rsidRPr="00F232C1">
        <w:rPr>
          <w:sz w:val="22"/>
          <w:szCs w:val="22"/>
        </w:rPr>
        <w:t xml:space="preserve"> </w:t>
      </w:r>
      <w:r w:rsidR="00F24F5C" w:rsidRPr="00F232C1">
        <w:rPr>
          <w:sz w:val="22"/>
          <w:szCs w:val="22"/>
        </w:rPr>
        <w:t>outstanding energy storage challenges</w:t>
      </w:r>
      <w:r w:rsidRPr="00F232C1">
        <w:rPr>
          <w:sz w:val="22"/>
          <w:szCs w:val="22"/>
        </w:rPr>
        <w:t>.</w:t>
      </w:r>
    </w:p>
  </w:footnote>
  <w:footnote w:id="11">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92737A" w:rsidRPr="00F232C1">
        <w:rPr>
          <w:sz w:val="22"/>
          <w:szCs w:val="22"/>
        </w:rPr>
        <w:t xml:space="preserve"> </w:t>
      </w:r>
      <w:r w:rsidRPr="00F232C1">
        <w:rPr>
          <w:sz w:val="22"/>
          <w:szCs w:val="22"/>
        </w:rPr>
        <w:t>All references to rules are to the Commission’s Rules of Practice and Procedure.</w:t>
      </w:r>
    </w:p>
  </w:footnote>
  <w:footnote w:id="12">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92626D" w:rsidRPr="00F232C1">
        <w:rPr>
          <w:sz w:val="22"/>
          <w:szCs w:val="22"/>
        </w:rPr>
        <w:t xml:space="preserve"> </w:t>
      </w:r>
      <w:r w:rsidRPr="00F232C1">
        <w:rPr>
          <w:sz w:val="22"/>
          <w:szCs w:val="22"/>
        </w:rPr>
        <w:t xml:space="preserve">Pub. Util. Code </w:t>
      </w:r>
      <w:r w:rsidRPr="00F232C1">
        <w:rPr>
          <w:rFonts w:ascii="Book Antiqua" w:hAnsi="Book Antiqua"/>
          <w:sz w:val="22"/>
          <w:szCs w:val="22"/>
        </w:rPr>
        <w:t>§</w:t>
      </w:r>
      <w:r w:rsidRPr="00F232C1">
        <w:rPr>
          <w:sz w:val="22"/>
          <w:szCs w:val="22"/>
        </w:rPr>
        <w:t xml:space="preserve"> 2836 (b).</w:t>
      </w:r>
    </w:p>
  </w:footnote>
  <w:footnote w:id="13">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487903" w:rsidRPr="00F232C1">
        <w:rPr>
          <w:sz w:val="22"/>
          <w:szCs w:val="22"/>
        </w:rPr>
        <w:t xml:space="preserve"> </w:t>
      </w:r>
      <w:r w:rsidRPr="00F232C1">
        <w:rPr>
          <w:sz w:val="22"/>
          <w:szCs w:val="22"/>
        </w:rPr>
        <w:t>D.13-10-040, Ordering Paragraph 4 at 77.</w:t>
      </w:r>
    </w:p>
  </w:footnote>
  <w:footnote w:id="14">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487903" w:rsidRPr="00F232C1">
        <w:rPr>
          <w:sz w:val="22"/>
          <w:szCs w:val="22"/>
        </w:rPr>
        <w:t xml:space="preserve"> </w:t>
      </w:r>
      <w:r w:rsidRPr="00F232C1">
        <w:rPr>
          <w:sz w:val="22"/>
          <w:szCs w:val="22"/>
        </w:rPr>
        <w:t>D.13-10-040 at 39.</w:t>
      </w:r>
    </w:p>
  </w:footnote>
  <w:footnote w:id="15">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C858AB" w:rsidRPr="00F232C1">
        <w:rPr>
          <w:sz w:val="22"/>
          <w:szCs w:val="22"/>
        </w:rPr>
        <w:t xml:space="preserve"> </w:t>
      </w:r>
      <w:r w:rsidRPr="00F232C1">
        <w:rPr>
          <w:sz w:val="22"/>
          <w:szCs w:val="22"/>
        </w:rPr>
        <w:t xml:space="preserve">D.14.05-033 “Decision Regarding Net Metering, Interconnection Eligibility for Storage Devices Paired with Net Energy Metering Generation Devices.” </w:t>
      </w:r>
    </w:p>
  </w:footnote>
  <w:footnote w:id="16">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C858AB" w:rsidRPr="00F232C1">
        <w:rPr>
          <w:sz w:val="22"/>
          <w:szCs w:val="22"/>
        </w:rPr>
        <w:t xml:space="preserve"> </w:t>
      </w:r>
      <w:r w:rsidRPr="00F232C1">
        <w:rPr>
          <w:sz w:val="22"/>
          <w:szCs w:val="22"/>
        </w:rPr>
        <w:t>D.14-05-033, COL 23 at 38.</w:t>
      </w:r>
    </w:p>
  </w:footnote>
  <w:footnote w:id="17">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0E0420" w:rsidRPr="00F232C1">
        <w:rPr>
          <w:sz w:val="22"/>
          <w:szCs w:val="22"/>
        </w:rPr>
        <w:t xml:space="preserve"> </w:t>
      </w:r>
      <w:r w:rsidRPr="00F232C1">
        <w:rPr>
          <w:sz w:val="22"/>
          <w:szCs w:val="22"/>
        </w:rPr>
        <w:t xml:space="preserve">D.14-10-045 at 60. </w:t>
      </w:r>
    </w:p>
  </w:footnote>
  <w:footnote w:id="18">
    <w:p w:rsidR="00165FD6" w:rsidRPr="00F232C1" w:rsidRDefault="00165FD6">
      <w:pPr>
        <w:pStyle w:val="FootnoteText"/>
        <w:rPr>
          <w:sz w:val="22"/>
          <w:szCs w:val="22"/>
        </w:rPr>
      </w:pPr>
      <w:r w:rsidRPr="00F232C1">
        <w:rPr>
          <w:rStyle w:val="FootnoteReference"/>
          <w:sz w:val="22"/>
          <w:szCs w:val="22"/>
        </w:rPr>
        <w:footnoteRef/>
      </w:r>
      <w:r w:rsidR="000E0420" w:rsidRPr="00F232C1">
        <w:rPr>
          <w:sz w:val="22"/>
          <w:szCs w:val="22"/>
        </w:rPr>
        <w:t xml:space="preserve"> </w:t>
      </w:r>
      <w:r w:rsidRPr="00F232C1">
        <w:rPr>
          <w:sz w:val="22"/>
          <w:szCs w:val="22"/>
        </w:rPr>
        <w:t xml:space="preserve"> D.14-10-045 at 47.</w:t>
      </w:r>
    </w:p>
  </w:footnote>
  <w:footnote w:id="19">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0E0420" w:rsidRPr="00F232C1">
        <w:rPr>
          <w:sz w:val="22"/>
          <w:szCs w:val="22"/>
        </w:rPr>
        <w:t xml:space="preserve"> </w:t>
      </w:r>
      <w:r w:rsidRPr="00F232C1">
        <w:rPr>
          <w:sz w:val="22"/>
          <w:szCs w:val="22"/>
        </w:rPr>
        <w:t xml:space="preserve">D.14-10-045 at 88-89.  “For the first solicitation, if IOUs seek authorization for a </w:t>
      </w:r>
      <w:r w:rsidRPr="00F232C1">
        <w:rPr>
          <w:sz w:val="22"/>
          <w:szCs w:val="22"/>
        </w:rPr>
        <w:br/>
        <w:t xml:space="preserve">long-term contract for storage based services for bundled customers, IOUs can submit an Application or Tier 3 Advice letter (as appropriate to the applicable proceeding) for </w:t>
      </w:r>
      <w:r w:rsidR="000E0420" w:rsidRPr="00F232C1">
        <w:rPr>
          <w:sz w:val="22"/>
          <w:szCs w:val="22"/>
        </w:rPr>
        <w:br/>
      </w:r>
      <w:r w:rsidRPr="00F232C1">
        <w:rPr>
          <w:sz w:val="22"/>
          <w:szCs w:val="22"/>
        </w:rPr>
        <w:t>pre-approval of long-term contracts according to D.04-12-048, at OP 14.”</w:t>
      </w:r>
    </w:p>
  </w:footnote>
  <w:footnote w:id="20">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0E0420" w:rsidRPr="00F232C1">
        <w:rPr>
          <w:sz w:val="22"/>
          <w:szCs w:val="22"/>
        </w:rPr>
        <w:t xml:space="preserve"> </w:t>
      </w:r>
      <w:r w:rsidRPr="00F232C1">
        <w:rPr>
          <w:sz w:val="22"/>
          <w:szCs w:val="22"/>
        </w:rPr>
        <w:t>D.14-10-045 at 47.</w:t>
      </w:r>
    </w:p>
  </w:footnote>
  <w:footnote w:id="21">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3B11EE" w:rsidRPr="00F232C1">
        <w:rPr>
          <w:sz w:val="22"/>
          <w:szCs w:val="22"/>
        </w:rPr>
        <w:t xml:space="preserve"> </w:t>
      </w:r>
      <w:r w:rsidRPr="00F232C1">
        <w:rPr>
          <w:sz w:val="22"/>
          <w:szCs w:val="22"/>
        </w:rPr>
        <w:t>D.14-10-045 at 89.</w:t>
      </w:r>
    </w:p>
  </w:footnote>
  <w:footnote w:id="22">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3B11EE" w:rsidRPr="00F232C1">
        <w:rPr>
          <w:sz w:val="22"/>
          <w:szCs w:val="22"/>
        </w:rPr>
        <w:t xml:space="preserve"> </w:t>
      </w:r>
      <w:r w:rsidRPr="00F232C1">
        <w:rPr>
          <w:sz w:val="22"/>
          <w:szCs w:val="22"/>
        </w:rPr>
        <w:t>Energy Storage Roadmap, “Next Steps,” at 17.</w:t>
      </w:r>
    </w:p>
  </w:footnote>
  <w:footnote w:id="23">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3B11EE" w:rsidRPr="00F232C1">
        <w:rPr>
          <w:sz w:val="22"/>
          <w:szCs w:val="22"/>
        </w:rPr>
        <w:t xml:space="preserve"> </w:t>
      </w:r>
      <w:r w:rsidRPr="00F232C1">
        <w:rPr>
          <w:sz w:val="22"/>
          <w:szCs w:val="22"/>
        </w:rPr>
        <w:t>Energy Storage Roadmap, “Next Steps,” at 17.</w:t>
      </w:r>
    </w:p>
  </w:footnote>
  <w:footnote w:id="24">
    <w:p w:rsidR="00165FD6" w:rsidRPr="008C5658" w:rsidRDefault="00165FD6">
      <w:pPr>
        <w:pStyle w:val="FootnoteText"/>
        <w:rPr>
          <w:sz w:val="22"/>
          <w:szCs w:val="22"/>
        </w:rPr>
      </w:pPr>
      <w:r w:rsidRPr="008C5658">
        <w:rPr>
          <w:rStyle w:val="FootnoteReference"/>
          <w:sz w:val="22"/>
          <w:szCs w:val="22"/>
        </w:rPr>
        <w:footnoteRef/>
      </w:r>
      <w:r w:rsidRPr="008C5658">
        <w:rPr>
          <w:sz w:val="22"/>
          <w:szCs w:val="22"/>
        </w:rPr>
        <w:t xml:space="preserve"> </w:t>
      </w:r>
      <w:r w:rsidR="003B11EE" w:rsidRPr="008C5658">
        <w:rPr>
          <w:sz w:val="22"/>
          <w:szCs w:val="22"/>
        </w:rPr>
        <w:t xml:space="preserve"> </w:t>
      </w:r>
      <w:r w:rsidRPr="008C5658">
        <w:rPr>
          <w:sz w:val="22"/>
          <w:szCs w:val="22"/>
        </w:rPr>
        <w:t>Energy Storage Roadmap at 14.</w:t>
      </w:r>
    </w:p>
  </w:footnote>
  <w:footnote w:id="25">
    <w:p w:rsidR="00165FD6" w:rsidRPr="008C5658" w:rsidRDefault="00165FD6">
      <w:pPr>
        <w:pStyle w:val="FootnoteText"/>
        <w:rPr>
          <w:sz w:val="22"/>
          <w:szCs w:val="22"/>
        </w:rPr>
      </w:pPr>
      <w:r w:rsidRPr="008C5658">
        <w:rPr>
          <w:rStyle w:val="FootnoteReference"/>
          <w:sz w:val="22"/>
          <w:szCs w:val="22"/>
        </w:rPr>
        <w:footnoteRef/>
      </w:r>
      <w:r w:rsidRPr="008C5658">
        <w:rPr>
          <w:sz w:val="22"/>
          <w:szCs w:val="22"/>
        </w:rPr>
        <w:t xml:space="preserve"> </w:t>
      </w:r>
      <w:r w:rsidR="00C867AE" w:rsidRPr="008C5658">
        <w:rPr>
          <w:sz w:val="22"/>
          <w:szCs w:val="22"/>
        </w:rPr>
        <w:t xml:space="preserve"> </w:t>
      </w:r>
      <w:r w:rsidRPr="008C5658">
        <w:rPr>
          <w:sz w:val="22"/>
          <w:szCs w:val="22"/>
        </w:rPr>
        <w:t>Energy Storage Roadmap, “Next Steps,” at 18.</w:t>
      </w:r>
    </w:p>
  </w:footnote>
  <w:footnote w:id="26">
    <w:p w:rsidR="00165FD6" w:rsidRPr="00F232C1" w:rsidRDefault="00165FD6" w:rsidP="00397B9D">
      <w:pPr>
        <w:pStyle w:val="FootnoteText"/>
        <w:rPr>
          <w:sz w:val="22"/>
          <w:szCs w:val="22"/>
        </w:rPr>
      </w:pPr>
      <w:r w:rsidRPr="00F232C1">
        <w:rPr>
          <w:rStyle w:val="FootnoteReference"/>
          <w:sz w:val="22"/>
          <w:szCs w:val="22"/>
        </w:rPr>
        <w:footnoteRef/>
      </w:r>
      <w:r w:rsidRPr="00F232C1">
        <w:rPr>
          <w:sz w:val="22"/>
          <w:szCs w:val="22"/>
        </w:rPr>
        <w:t xml:space="preserve"> </w:t>
      </w:r>
      <w:r w:rsidR="00C867AE" w:rsidRPr="00F232C1">
        <w:rPr>
          <w:sz w:val="22"/>
          <w:szCs w:val="22"/>
        </w:rPr>
        <w:t xml:space="preserve"> </w:t>
      </w:r>
      <w:r w:rsidRPr="00F232C1">
        <w:rPr>
          <w:sz w:val="22"/>
          <w:szCs w:val="22"/>
        </w:rPr>
        <w:t xml:space="preserve">D.14-10-045 at 69. </w:t>
      </w:r>
    </w:p>
  </w:footnote>
  <w:footnote w:id="27">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w:t>
      </w:r>
      <w:r w:rsidR="00C867AE" w:rsidRPr="00F232C1">
        <w:rPr>
          <w:sz w:val="22"/>
          <w:szCs w:val="22"/>
        </w:rPr>
        <w:t xml:space="preserve"> </w:t>
      </w:r>
      <w:r w:rsidRPr="00F232C1">
        <w:rPr>
          <w:sz w:val="22"/>
          <w:szCs w:val="22"/>
        </w:rPr>
        <w:t>D.14-10-045 at 70.</w:t>
      </w:r>
    </w:p>
  </w:footnote>
  <w:footnote w:id="28">
    <w:p w:rsidR="00165FD6" w:rsidRPr="00F232C1" w:rsidRDefault="00165FD6">
      <w:pPr>
        <w:pStyle w:val="FootnoteText"/>
        <w:rPr>
          <w:sz w:val="22"/>
          <w:szCs w:val="22"/>
        </w:rPr>
      </w:pPr>
      <w:r w:rsidRPr="00F232C1">
        <w:rPr>
          <w:rStyle w:val="FootnoteReference"/>
          <w:sz w:val="22"/>
          <w:szCs w:val="22"/>
        </w:rPr>
        <w:footnoteRef/>
      </w:r>
      <w:r w:rsidRPr="00F232C1">
        <w:rPr>
          <w:sz w:val="22"/>
          <w:szCs w:val="22"/>
        </w:rPr>
        <w:t xml:space="preserve">  ISO, “Energy Storage Interconnection” (Draft Final Report), November 18, 2014, at 27.</w:t>
      </w:r>
    </w:p>
  </w:footnote>
  <w:footnote w:id="29">
    <w:p w:rsidR="00F24F5C" w:rsidRPr="00092D6C" w:rsidRDefault="00F24F5C" w:rsidP="00F24F5C">
      <w:pPr>
        <w:pStyle w:val="FootnoteText"/>
        <w:rPr>
          <w:sz w:val="22"/>
          <w:szCs w:val="22"/>
        </w:rPr>
      </w:pPr>
      <w:r w:rsidRPr="00092D6C">
        <w:rPr>
          <w:rStyle w:val="FootnoteReference"/>
          <w:sz w:val="22"/>
          <w:szCs w:val="22"/>
        </w:rPr>
        <w:footnoteRef/>
      </w:r>
      <w:r w:rsidRPr="00092D6C">
        <w:rPr>
          <w:sz w:val="22"/>
          <w:szCs w:val="22"/>
        </w:rPr>
        <w:t xml:space="preserve"> </w:t>
      </w:r>
      <w:r w:rsidR="00092D6C" w:rsidRPr="00092D6C">
        <w:rPr>
          <w:sz w:val="22"/>
          <w:szCs w:val="22"/>
        </w:rPr>
        <w:t xml:space="preserve"> </w:t>
      </w:r>
      <w:r w:rsidRPr="00092D6C">
        <w:rPr>
          <w:sz w:val="22"/>
          <w:szCs w:val="22"/>
        </w:rPr>
        <w:t xml:space="preserve">If you want to file comments or otherwise actively participate, choose “Party” status. If you do </w:t>
      </w:r>
      <w:r w:rsidRPr="00092D6C">
        <w:rPr>
          <w:sz w:val="22"/>
          <w:szCs w:val="22"/>
          <w:u w:val="single"/>
        </w:rPr>
        <w:t>not</w:t>
      </w:r>
      <w:r w:rsidRPr="00092D6C">
        <w:rPr>
          <w:sz w:val="22"/>
          <w:szCs w:val="22"/>
        </w:rPr>
        <w:t xml:space="preserve"> want to actively participate but want to follow events and filings as they occur, choose “State Service” status if you are an employee of the State of California; otherwise, choose “Information Only”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D" w:rsidRDefault="009C5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D6" w:rsidRDefault="00165FD6" w:rsidP="00366E18">
    <w:pPr>
      <w:pStyle w:val="Header"/>
      <w:tabs>
        <w:tab w:val="clear" w:pos="8640"/>
        <w:tab w:val="right" w:pos="9360"/>
      </w:tabs>
    </w:pPr>
    <w:r>
      <w:t>R.</w:t>
    </w:r>
    <w:r w:rsidR="009E2F3B">
      <w:t xml:space="preserve">15-03-011 </w:t>
    </w:r>
    <w:r>
      <w:t xml:space="preserve"> ALJ/CEK/ms6</w:t>
    </w:r>
    <w:r w:rsidR="001D0F77">
      <w:t>/sbf/lil</w:t>
    </w:r>
  </w:p>
  <w:p w:rsidR="00165FD6" w:rsidRDefault="00165FD6" w:rsidP="00366E18">
    <w:pPr>
      <w:pStyle w:val="Header"/>
    </w:pPr>
  </w:p>
  <w:p w:rsidR="00165FD6" w:rsidRDefault="00165FD6" w:rsidP="00366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D" w:rsidRDefault="009C5F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07" w:rsidRPr="00AD0CF5" w:rsidRDefault="00073707">
    <w:pPr>
      <w:pStyle w:val="Header"/>
    </w:pPr>
    <w:r w:rsidRPr="00AD0CF5">
      <w:t>R.</w:t>
    </w:r>
    <w:r w:rsidR="009E2F3B">
      <w:t>15-03-011</w:t>
    </w:r>
    <w:r w:rsidRPr="00AD0CF5">
      <w:t xml:space="preserve">  ALJ/CEK/ms6/sbf</w:t>
    </w:r>
    <w:r w:rsidR="001D0F77" w:rsidRPr="00AD0CF5">
      <w:t>/lil</w:t>
    </w:r>
  </w:p>
  <w:p w:rsidR="00073707" w:rsidRPr="00AD0CF5" w:rsidRDefault="00073707">
    <w:pPr>
      <w:pStyle w:val="Header"/>
    </w:pPr>
  </w:p>
  <w:p w:rsidR="00073707" w:rsidRPr="00AD0CF5" w:rsidRDefault="00073707">
    <w:pPr>
      <w:pStyle w:val="Header"/>
    </w:pPr>
  </w:p>
  <w:p w:rsidR="00073707" w:rsidRPr="00073707" w:rsidRDefault="00073707" w:rsidP="00073707">
    <w:pPr>
      <w:pStyle w:val="Header"/>
      <w:jc w:val="center"/>
      <w:rPr>
        <w:b/>
      </w:rPr>
    </w:pPr>
    <w:r w:rsidRPr="00073707">
      <w:rPr>
        <w:b/>
      </w:rPr>
      <w:t>Table of Contents</w:t>
    </w:r>
  </w:p>
  <w:p w:rsidR="00073707" w:rsidRPr="00073707" w:rsidRDefault="00073707" w:rsidP="00073707">
    <w:pPr>
      <w:pStyle w:val="Header"/>
      <w:rPr>
        <w:b/>
      </w:rPr>
    </w:pPr>
  </w:p>
  <w:p w:rsidR="00073707" w:rsidRDefault="00073707" w:rsidP="0071660F">
    <w:pPr>
      <w:pStyle w:val="Header"/>
      <w:tabs>
        <w:tab w:val="clear" w:pos="4320"/>
        <w:tab w:val="clear" w:pos="8640"/>
      </w:tabs>
      <w:rPr>
        <w:b/>
        <w:u w:val="single"/>
      </w:rPr>
    </w:pPr>
    <w:r w:rsidRPr="00073707">
      <w:rPr>
        <w:b/>
        <w:u w:val="single"/>
      </w:rPr>
      <w:t>Title</w:t>
    </w:r>
    <w:r w:rsidRPr="00073707">
      <w:rPr>
        <w:b/>
      </w:rPr>
      <w:tab/>
    </w:r>
    <w:r w:rsidRPr="00073707">
      <w:rPr>
        <w:b/>
      </w:rPr>
      <w:tab/>
    </w:r>
    <w:r w:rsidR="0071660F">
      <w:rPr>
        <w:b/>
      </w:rPr>
      <w:tab/>
    </w:r>
    <w:r w:rsidR="0071660F">
      <w:rPr>
        <w:b/>
      </w:rPr>
      <w:tab/>
    </w:r>
    <w:r w:rsidR="0071660F">
      <w:rPr>
        <w:b/>
      </w:rPr>
      <w:tab/>
    </w:r>
    <w:r w:rsidR="0071660F">
      <w:rPr>
        <w:b/>
      </w:rPr>
      <w:tab/>
    </w:r>
    <w:r w:rsidR="0071660F">
      <w:rPr>
        <w:b/>
      </w:rPr>
      <w:tab/>
    </w:r>
    <w:r w:rsidR="0071660F">
      <w:rPr>
        <w:b/>
      </w:rPr>
      <w:tab/>
    </w:r>
    <w:r w:rsidR="0071660F">
      <w:rPr>
        <w:b/>
      </w:rPr>
      <w:tab/>
    </w:r>
    <w:r w:rsidR="0071660F">
      <w:rPr>
        <w:b/>
      </w:rPr>
      <w:tab/>
    </w:r>
    <w:r w:rsidR="0071660F">
      <w:rPr>
        <w:b/>
      </w:rPr>
      <w:tab/>
    </w:r>
    <w:r w:rsidR="0071660F">
      <w:rPr>
        <w:b/>
      </w:rPr>
      <w:tab/>
    </w:r>
    <w:r w:rsidRPr="00073707">
      <w:rPr>
        <w:b/>
        <w:u w:val="single"/>
      </w:rPr>
      <w:t>Page</w:t>
    </w:r>
  </w:p>
  <w:p w:rsidR="00073707" w:rsidRPr="00073707" w:rsidRDefault="00073707" w:rsidP="00073707">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ED" w:rsidRPr="00110C29" w:rsidRDefault="004623ED">
    <w:pPr>
      <w:pStyle w:val="Header"/>
    </w:pPr>
    <w:r w:rsidRPr="00110C29">
      <w:t>R.</w:t>
    </w:r>
    <w:r w:rsidR="009E2F3B">
      <w:t>15-03-011</w:t>
    </w:r>
    <w:r w:rsidRPr="00110C29">
      <w:t xml:space="preserve">  ALJ/CEK/ms6/sbf</w:t>
    </w:r>
    <w:r w:rsidR="001D0F77" w:rsidRPr="00110C29">
      <w:t>/lil</w:t>
    </w:r>
  </w:p>
  <w:p w:rsidR="004623ED" w:rsidRPr="00110C29" w:rsidRDefault="004623ED">
    <w:pPr>
      <w:pStyle w:val="Header"/>
    </w:pPr>
  </w:p>
  <w:p w:rsidR="004623ED" w:rsidRPr="00110C29" w:rsidRDefault="00462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3FDD"/>
    <w:multiLevelType w:val="hybridMultilevel"/>
    <w:tmpl w:val="FE26C3D6"/>
    <w:lvl w:ilvl="0" w:tplc="64CC7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73DA1"/>
    <w:multiLevelType w:val="hybridMultilevel"/>
    <w:tmpl w:val="56BCFEE2"/>
    <w:lvl w:ilvl="0" w:tplc="7D349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D4CCD"/>
    <w:multiLevelType w:val="hybridMultilevel"/>
    <w:tmpl w:val="440E2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2AA3437"/>
    <w:multiLevelType w:val="hybridMultilevel"/>
    <w:tmpl w:val="D49E3D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C6E1D"/>
    <w:multiLevelType w:val="hybridMultilevel"/>
    <w:tmpl w:val="AB4886C8"/>
    <w:lvl w:ilvl="0" w:tplc="AC84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E3A46"/>
    <w:multiLevelType w:val="hybridMultilevel"/>
    <w:tmpl w:val="B6964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3F92021"/>
    <w:multiLevelType w:val="hybridMultilevel"/>
    <w:tmpl w:val="94FAC488"/>
    <w:lvl w:ilvl="0" w:tplc="A4C6C8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9C50A5"/>
    <w:multiLevelType w:val="hybridMultilevel"/>
    <w:tmpl w:val="314E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614CE"/>
    <w:multiLevelType w:val="hybridMultilevel"/>
    <w:tmpl w:val="CB727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A00A05"/>
    <w:multiLevelType w:val="hybridMultilevel"/>
    <w:tmpl w:val="0AC0E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BF723C"/>
    <w:multiLevelType w:val="hybridMultilevel"/>
    <w:tmpl w:val="0CD48326"/>
    <w:lvl w:ilvl="0" w:tplc="C3868B48">
      <w:start w:val="1"/>
      <w:numFmt w:val="bullet"/>
      <w:pStyle w:val="bulleted"/>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B8E595F"/>
    <w:multiLevelType w:val="hybridMultilevel"/>
    <w:tmpl w:val="94040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4E3920C9"/>
    <w:multiLevelType w:val="hybridMultilevel"/>
    <w:tmpl w:val="CAE0B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4FCC78BD"/>
    <w:multiLevelType w:val="singleLevel"/>
    <w:tmpl w:val="6B88DE04"/>
    <w:lvl w:ilvl="0">
      <w:start w:val="1"/>
      <w:numFmt w:val="decimal"/>
      <w:lvlText w:val="%1."/>
      <w:legacy w:legacy="1" w:legacySpace="144" w:legacyIndent="0"/>
      <w:lvlJc w:val="left"/>
    </w:lvl>
  </w:abstractNum>
  <w:abstractNum w:abstractNumId="16">
    <w:nsid w:val="52067FFE"/>
    <w:multiLevelType w:val="hybridMultilevel"/>
    <w:tmpl w:val="F8AC771E"/>
    <w:lvl w:ilvl="0" w:tplc="81B80F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B3101"/>
    <w:multiLevelType w:val="multilevel"/>
    <w:tmpl w:val="FF5C31D6"/>
    <w:lvl w:ilvl="0">
      <w:start w:val="1"/>
      <w:numFmt w:val="decimal"/>
      <w:pStyle w:val="Heading1"/>
      <w:lvlText w:val="%1."/>
      <w:lvlJc w:val="left"/>
      <w:pPr>
        <w:tabs>
          <w:tab w:val="num" w:pos="720"/>
        </w:tabs>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8">
    <w:nsid w:val="5CC11FDD"/>
    <w:multiLevelType w:val="hybridMultilevel"/>
    <w:tmpl w:val="54E44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B6416A"/>
    <w:multiLevelType w:val="hybridMultilevel"/>
    <w:tmpl w:val="62DC0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C80311D"/>
    <w:multiLevelType w:val="hybridMultilevel"/>
    <w:tmpl w:val="F92C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C4C3A"/>
    <w:multiLevelType w:val="hybridMultilevel"/>
    <w:tmpl w:val="3BBE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453F9"/>
    <w:multiLevelType w:val="hybridMultilevel"/>
    <w:tmpl w:val="607A8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DC02F2"/>
    <w:multiLevelType w:val="hybridMultilevel"/>
    <w:tmpl w:val="A5229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7"/>
  </w:num>
  <w:num w:numId="3">
    <w:abstractNumId w:val="10"/>
  </w:num>
  <w:num w:numId="4">
    <w:abstractNumId w:val="15"/>
  </w:num>
  <w:num w:numId="5">
    <w:abstractNumId w:val="12"/>
  </w:num>
  <w:num w:numId="6">
    <w:abstractNumId w:val="17"/>
  </w:num>
  <w:num w:numId="7">
    <w:abstractNumId w:val="17"/>
  </w:num>
  <w:num w:numId="8">
    <w:abstractNumId w:val="17"/>
  </w:num>
  <w:num w:numId="9">
    <w:abstractNumId w:val="17"/>
  </w:num>
  <w:num w:numId="10">
    <w:abstractNumId w:val="2"/>
  </w:num>
  <w:num w:numId="11">
    <w:abstractNumId w:val="13"/>
  </w:num>
  <w:num w:numId="12">
    <w:abstractNumId w:val="14"/>
  </w:num>
  <w:num w:numId="13">
    <w:abstractNumId w:val="8"/>
  </w:num>
  <w:num w:numId="14">
    <w:abstractNumId w:val="23"/>
  </w:num>
  <w:num w:numId="15">
    <w:abstractNumId w:val="5"/>
  </w:num>
  <w:num w:numId="16">
    <w:abstractNumId w:val="9"/>
  </w:num>
  <w:num w:numId="17">
    <w:abstractNumId w:val="20"/>
  </w:num>
  <w:num w:numId="18">
    <w:abstractNumId w:val="3"/>
  </w:num>
  <w:num w:numId="19">
    <w:abstractNumId w:val="4"/>
  </w:num>
  <w:num w:numId="20">
    <w:abstractNumId w:val="16"/>
  </w:num>
  <w:num w:numId="21">
    <w:abstractNumId w:val="18"/>
  </w:num>
  <w:num w:numId="22">
    <w:abstractNumId w:val="7"/>
  </w:num>
  <w:num w:numId="23">
    <w:abstractNumId w:val="19"/>
  </w:num>
  <w:num w:numId="24">
    <w:abstractNumId w:val="1"/>
  </w:num>
  <w:num w:numId="25">
    <w:abstractNumId w:val="17"/>
  </w:num>
  <w:num w:numId="26">
    <w:abstractNumId w:val="0"/>
  </w:num>
  <w:num w:numId="27">
    <w:abstractNumId w:val="21"/>
  </w:num>
  <w:num w:numId="28">
    <w:abstractNumId w:val="17"/>
  </w:num>
  <w:num w:numId="29">
    <w:abstractNumId w:val="11"/>
  </w:num>
  <w:num w:numId="30">
    <w:abstractNumId w:val="17"/>
  </w:num>
  <w:num w:numId="31">
    <w:abstractNumId w:val="22"/>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34"/>
    <w:rsid w:val="00010083"/>
    <w:rsid w:val="00032503"/>
    <w:rsid w:val="0003642B"/>
    <w:rsid w:val="00036AD9"/>
    <w:rsid w:val="0004378B"/>
    <w:rsid w:val="00057756"/>
    <w:rsid w:val="00062BC4"/>
    <w:rsid w:val="00065033"/>
    <w:rsid w:val="000728BB"/>
    <w:rsid w:val="00073707"/>
    <w:rsid w:val="00074C93"/>
    <w:rsid w:val="00075020"/>
    <w:rsid w:val="00092D6C"/>
    <w:rsid w:val="000A31B3"/>
    <w:rsid w:val="000B18DA"/>
    <w:rsid w:val="000B2840"/>
    <w:rsid w:val="000B7489"/>
    <w:rsid w:val="000C301A"/>
    <w:rsid w:val="000E0420"/>
    <w:rsid w:val="000E333F"/>
    <w:rsid w:val="000E5446"/>
    <w:rsid w:val="000F3597"/>
    <w:rsid w:val="000F3A69"/>
    <w:rsid w:val="000F69ED"/>
    <w:rsid w:val="00110C29"/>
    <w:rsid w:val="00115AA1"/>
    <w:rsid w:val="00127770"/>
    <w:rsid w:val="0014067D"/>
    <w:rsid w:val="0014272F"/>
    <w:rsid w:val="00145CD2"/>
    <w:rsid w:val="00163C2E"/>
    <w:rsid w:val="00165FD6"/>
    <w:rsid w:val="00171B56"/>
    <w:rsid w:val="00175289"/>
    <w:rsid w:val="00176969"/>
    <w:rsid w:val="00186D6E"/>
    <w:rsid w:val="00191CE3"/>
    <w:rsid w:val="001B37B4"/>
    <w:rsid w:val="001B51E3"/>
    <w:rsid w:val="001B6B1D"/>
    <w:rsid w:val="001D0F77"/>
    <w:rsid w:val="001F0B53"/>
    <w:rsid w:val="001F1398"/>
    <w:rsid w:val="002027EB"/>
    <w:rsid w:val="002076CA"/>
    <w:rsid w:val="00207D0C"/>
    <w:rsid w:val="00224076"/>
    <w:rsid w:val="00225D04"/>
    <w:rsid w:val="00234862"/>
    <w:rsid w:val="00254B20"/>
    <w:rsid w:val="00263EF0"/>
    <w:rsid w:val="00272F29"/>
    <w:rsid w:val="002827F2"/>
    <w:rsid w:val="002835E2"/>
    <w:rsid w:val="00291736"/>
    <w:rsid w:val="00296120"/>
    <w:rsid w:val="002A08A4"/>
    <w:rsid w:val="002A1C73"/>
    <w:rsid w:val="002B6ED5"/>
    <w:rsid w:val="002B7F3B"/>
    <w:rsid w:val="002C2D9F"/>
    <w:rsid w:val="002C52B3"/>
    <w:rsid w:val="002C7E89"/>
    <w:rsid w:val="002F1060"/>
    <w:rsid w:val="002F178D"/>
    <w:rsid w:val="002F2D0B"/>
    <w:rsid w:val="002F40E2"/>
    <w:rsid w:val="002F7AFD"/>
    <w:rsid w:val="003077BD"/>
    <w:rsid w:val="00314B16"/>
    <w:rsid w:val="0031655A"/>
    <w:rsid w:val="0033031A"/>
    <w:rsid w:val="00353DC7"/>
    <w:rsid w:val="0035412D"/>
    <w:rsid w:val="00366E18"/>
    <w:rsid w:val="00377B5E"/>
    <w:rsid w:val="00380F25"/>
    <w:rsid w:val="00384C5C"/>
    <w:rsid w:val="00385F0A"/>
    <w:rsid w:val="0038702E"/>
    <w:rsid w:val="003962AE"/>
    <w:rsid w:val="00397B9D"/>
    <w:rsid w:val="003A7D0B"/>
    <w:rsid w:val="003B11EE"/>
    <w:rsid w:val="003C3614"/>
    <w:rsid w:val="003C5C9E"/>
    <w:rsid w:val="003C790D"/>
    <w:rsid w:val="004003E7"/>
    <w:rsid w:val="00401342"/>
    <w:rsid w:val="00401D7F"/>
    <w:rsid w:val="00403783"/>
    <w:rsid w:val="00413D0D"/>
    <w:rsid w:val="0042452F"/>
    <w:rsid w:val="00433AAE"/>
    <w:rsid w:val="00435036"/>
    <w:rsid w:val="00443F72"/>
    <w:rsid w:val="00452225"/>
    <w:rsid w:val="00456132"/>
    <w:rsid w:val="00456159"/>
    <w:rsid w:val="004623ED"/>
    <w:rsid w:val="004628E1"/>
    <w:rsid w:val="00474403"/>
    <w:rsid w:val="00474F71"/>
    <w:rsid w:val="0048008B"/>
    <w:rsid w:val="00484735"/>
    <w:rsid w:val="00485D0B"/>
    <w:rsid w:val="00487903"/>
    <w:rsid w:val="00487F2A"/>
    <w:rsid w:val="0049004D"/>
    <w:rsid w:val="004A5A8F"/>
    <w:rsid w:val="004B6CA6"/>
    <w:rsid w:val="004D47B3"/>
    <w:rsid w:val="004E6C45"/>
    <w:rsid w:val="004F10E3"/>
    <w:rsid w:val="004F2EC2"/>
    <w:rsid w:val="00511755"/>
    <w:rsid w:val="00513867"/>
    <w:rsid w:val="00534A68"/>
    <w:rsid w:val="00540E9A"/>
    <w:rsid w:val="00542093"/>
    <w:rsid w:val="005437C6"/>
    <w:rsid w:val="00547D30"/>
    <w:rsid w:val="00553AF2"/>
    <w:rsid w:val="00560DC4"/>
    <w:rsid w:val="00563B91"/>
    <w:rsid w:val="00571D76"/>
    <w:rsid w:val="005822C0"/>
    <w:rsid w:val="00582E0B"/>
    <w:rsid w:val="00587E4C"/>
    <w:rsid w:val="005939BA"/>
    <w:rsid w:val="005A7639"/>
    <w:rsid w:val="005B7A6A"/>
    <w:rsid w:val="005C02E7"/>
    <w:rsid w:val="005C7635"/>
    <w:rsid w:val="005D2B45"/>
    <w:rsid w:val="005D3AD8"/>
    <w:rsid w:val="005E3651"/>
    <w:rsid w:val="005F0E70"/>
    <w:rsid w:val="00603BC8"/>
    <w:rsid w:val="006059B3"/>
    <w:rsid w:val="0060652D"/>
    <w:rsid w:val="00606D3D"/>
    <w:rsid w:val="00612E10"/>
    <w:rsid w:val="006219CF"/>
    <w:rsid w:val="00634883"/>
    <w:rsid w:val="00636781"/>
    <w:rsid w:val="00652067"/>
    <w:rsid w:val="00653588"/>
    <w:rsid w:val="006604A7"/>
    <w:rsid w:val="00660EEF"/>
    <w:rsid w:val="0066359E"/>
    <w:rsid w:val="006700D9"/>
    <w:rsid w:val="006730A7"/>
    <w:rsid w:val="00687E76"/>
    <w:rsid w:val="00690BBF"/>
    <w:rsid w:val="00697ADF"/>
    <w:rsid w:val="006C093C"/>
    <w:rsid w:val="006C5199"/>
    <w:rsid w:val="006D0A93"/>
    <w:rsid w:val="006D2E2D"/>
    <w:rsid w:val="006D733E"/>
    <w:rsid w:val="006D7800"/>
    <w:rsid w:val="006D7BF1"/>
    <w:rsid w:val="006E6179"/>
    <w:rsid w:val="006F7710"/>
    <w:rsid w:val="00704183"/>
    <w:rsid w:val="00711193"/>
    <w:rsid w:val="007114B6"/>
    <w:rsid w:val="0071660F"/>
    <w:rsid w:val="007209C5"/>
    <w:rsid w:val="00732DAE"/>
    <w:rsid w:val="00733DF3"/>
    <w:rsid w:val="00734100"/>
    <w:rsid w:val="00742206"/>
    <w:rsid w:val="00744796"/>
    <w:rsid w:val="00750BFD"/>
    <w:rsid w:val="0076107B"/>
    <w:rsid w:val="00773940"/>
    <w:rsid w:val="007749E1"/>
    <w:rsid w:val="007818B5"/>
    <w:rsid w:val="00792E8C"/>
    <w:rsid w:val="007B2209"/>
    <w:rsid w:val="007D307F"/>
    <w:rsid w:val="007E2D21"/>
    <w:rsid w:val="007E53BD"/>
    <w:rsid w:val="007F33FC"/>
    <w:rsid w:val="007F758F"/>
    <w:rsid w:val="008151ED"/>
    <w:rsid w:val="00815480"/>
    <w:rsid w:val="00831F0F"/>
    <w:rsid w:val="00837B6F"/>
    <w:rsid w:val="008413CA"/>
    <w:rsid w:val="00845CFE"/>
    <w:rsid w:val="0085651C"/>
    <w:rsid w:val="008567DF"/>
    <w:rsid w:val="00861E30"/>
    <w:rsid w:val="00865919"/>
    <w:rsid w:val="00870F93"/>
    <w:rsid w:val="008750C4"/>
    <w:rsid w:val="00875CA5"/>
    <w:rsid w:val="00891CF9"/>
    <w:rsid w:val="00891D0B"/>
    <w:rsid w:val="008B25C5"/>
    <w:rsid w:val="008B5BBC"/>
    <w:rsid w:val="008B785B"/>
    <w:rsid w:val="008C34BA"/>
    <w:rsid w:val="008C5658"/>
    <w:rsid w:val="008D3198"/>
    <w:rsid w:val="008E1E02"/>
    <w:rsid w:val="008E2A5B"/>
    <w:rsid w:val="008F60E5"/>
    <w:rsid w:val="008F686F"/>
    <w:rsid w:val="008F721E"/>
    <w:rsid w:val="00905C31"/>
    <w:rsid w:val="00907512"/>
    <w:rsid w:val="0091225A"/>
    <w:rsid w:val="0091425E"/>
    <w:rsid w:val="009202CF"/>
    <w:rsid w:val="0092625D"/>
    <w:rsid w:val="0092626D"/>
    <w:rsid w:val="0092737A"/>
    <w:rsid w:val="00930505"/>
    <w:rsid w:val="00933E55"/>
    <w:rsid w:val="0095293D"/>
    <w:rsid w:val="00954E13"/>
    <w:rsid w:val="00964A25"/>
    <w:rsid w:val="00964BF3"/>
    <w:rsid w:val="00966323"/>
    <w:rsid w:val="00976F3F"/>
    <w:rsid w:val="00983AFA"/>
    <w:rsid w:val="00987AA0"/>
    <w:rsid w:val="009A102B"/>
    <w:rsid w:val="009A111A"/>
    <w:rsid w:val="009A60FB"/>
    <w:rsid w:val="009A6D55"/>
    <w:rsid w:val="009B2E5D"/>
    <w:rsid w:val="009C5F4D"/>
    <w:rsid w:val="009C771E"/>
    <w:rsid w:val="009C7F29"/>
    <w:rsid w:val="009C7FC8"/>
    <w:rsid w:val="009E2F3B"/>
    <w:rsid w:val="009F2D0E"/>
    <w:rsid w:val="009F5B5E"/>
    <w:rsid w:val="00A147E0"/>
    <w:rsid w:val="00A20584"/>
    <w:rsid w:val="00A23F26"/>
    <w:rsid w:val="00A31E2B"/>
    <w:rsid w:val="00A35A8D"/>
    <w:rsid w:val="00A376E4"/>
    <w:rsid w:val="00A67DF2"/>
    <w:rsid w:val="00A73A7C"/>
    <w:rsid w:val="00A80095"/>
    <w:rsid w:val="00A80750"/>
    <w:rsid w:val="00A84C34"/>
    <w:rsid w:val="00AA21C1"/>
    <w:rsid w:val="00AB0409"/>
    <w:rsid w:val="00AB08B7"/>
    <w:rsid w:val="00AB0CDB"/>
    <w:rsid w:val="00AB24C7"/>
    <w:rsid w:val="00AC3EF2"/>
    <w:rsid w:val="00AC7CB4"/>
    <w:rsid w:val="00AD0CF5"/>
    <w:rsid w:val="00AD1771"/>
    <w:rsid w:val="00AD610F"/>
    <w:rsid w:val="00B0094E"/>
    <w:rsid w:val="00B00DF3"/>
    <w:rsid w:val="00B1069A"/>
    <w:rsid w:val="00B25DB9"/>
    <w:rsid w:val="00B279D4"/>
    <w:rsid w:val="00B459E9"/>
    <w:rsid w:val="00B63EEE"/>
    <w:rsid w:val="00B6547C"/>
    <w:rsid w:val="00B654DD"/>
    <w:rsid w:val="00B65535"/>
    <w:rsid w:val="00B8258F"/>
    <w:rsid w:val="00BA4C5B"/>
    <w:rsid w:val="00BA70FE"/>
    <w:rsid w:val="00BA71B8"/>
    <w:rsid w:val="00BD3691"/>
    <w:rsid w:val="00BD65C4"/>
    <w:rsid w:val="00C005E7"/>
    <w:rsid w:val="00C00B71"/>
    <w:rsid w:val="00C065AA"/>
    <w:rsid w:val="00C10B35"/>
    <w:rsid w:val="00C17057"/>
    <w:rsid w:val="00C34FE1"/>
    <w:rsid w:val="00C4677C"/>
    <w:rsid w:val="00C60A04"/>
    <w:rsid w:val="00C703A3"/>
    <w:rsid w:val="00C76C99"/>
    <w:rsid w:val="00C8283B"/>
    <w:rsid w:val="00C858AB"/>
    <w:rsid w:val="00C867AE"/>
    <w:rsid w:val="00CA2571"/>
    <w:rsid w:val="00CC1CCC"/>
    <w:rsid w:val="00CD3BDE"/>
    <w:rsid w:val="00CE05BF"/>
    <w:rsid w:val="00D005DC"/>
    <w:rsid w:val="00D01879"/>
    <w:rsid w:val="00D02971"/>
    <w:rsid w:val="00D03229"/>
    <w:rsid w:val="00D051A3"/>
    <w:rsid w:val="00D052CA"/>
    <w:rsid w:val="00D056B0"/>
    <w:rsid w:val="00D05DFC"/>
    <w:rsid w:val="00D15F4B"/>
    <w:rsid w:val="00D223D7"/>
    <w:rsid w:val="00D2746F"/>
    <w:rsid w:val="00D31AE4"/>
    <w:rsid w:val="00D3200D"/>
    <w:rsid w:val="00D357BC"/>
    <w:rsid w:val="00D504A0"/>
    <w:rsid w:val="00D56DE5"/>
    <w:rsid w:val="00D62CB3"/>
    <w:rsid w:val="00D641E6"/>
    <w:rsid w:val="00D649A9"/>
    <w:rsid w:val="00D7611B"/>
    <w:rsid w:val="00D83D87"/>
    <w:rsid w:val="00D95367"/>
    <w:rsid w:val="00D954FD"/>
    <w:rsid w:val="00D95CEA"/>
    <w:rsid w:val="00D979D2"/>
    <w:rsid w:val="00DC4CDA"/>
    <w:rsid w:val="00DD038E"/>
    <w:rsid w:val="00DD25A2"/>
    <w:rsid w:val="00DD4C71"/>
    <w:rsid w:val="00DE1D04"/>
    <w:rsid w:val="00E00003"/>
    <w:rsid w:val="00E1646D"/>
    <w:rsid w:val="00E16BAB"/>
    <w:rsid w:val="00E203F9"/>
    <w:rsid w:val="00E24B53"/>
    <w:rsid w:val="00E24DD0"/>
    <w:rsid w:val="00E26086"/>
    <w:rsid w:val="00E40DC7"/>
    <w:rsid w:val="00E41F8E"/>
    <w:rsid w:val="00E51895"/>
    <w:rsid w:val="00E60692"/>
    <w:rsid w:val="00E60C19"/>
    <w:rsid w:val="00E759E8"/>
    <w:rsid w:val="00E97B98"/>
    <w:rsid w:val="00EA757D"/>
    <w:rsid w:val="00EB2C18"/>
    <w:rsid w:val="00EB3DCD"/>
    <w:rsid w:val="00EC3EB8"/>
    <w:rsid w:val="00EC6CAB"/>
    <w:rsid w:val="00EE47DF"/>
    <w:rsid w:val="00EF60FB"/>
    <w:rsid w:val="00F163B3"/>
    <w:rsid w:val="00F16CE3"/>
    <w:rsid w:val="00F213C2"/>
    <w:rsid w:val="00F232C1"/>
    <w:rsid w:val="00F24F5C"/>
    <w:rsid w:val="00F40156"/>
    <w:rsid w:val="00F44E20"/>
    <w:rsid w:val="00F55173"/>
    <w:rsid w:val="00F57A96"/>
    <w:rsid w:val="00F57DB5"/>
    <w:rsid w:val="00F659F4"/>
    <w:rsid w:val="00F6791F"/>
    <w:rsid w:val="00F95716"/>
    <w:rsid w:val="00FA097D"/>
    <w:rsid w:val="00FB384C"/>
    <w:rsid w:val="00FC4440"/>
    <w:rsid w:val="00FE24DB"/>
    <w:rsid w:val="00FE364C"/>
    <w:rsid w:val="00FE3D88"/>
    <w:rsid w:val="00FF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qFormat/>
    <w:rsid w:val="001D0F77"/>
    <w:pPr>
      <w:keepNext/>
      <w:numPr>
        <w:ilvl w:val="1"/>
        <w:numId w:val="2"/>
      </w:numPr>
      <w:tabs>
        <w:tab w:val="clear" w:pos="1710"/>
        <w:tab w:val="num" w:pos="1440"/>
      </w:tabs>
      <w:spacing w:before="120" w:after="120"/>
      <w:ind w:left="1440" w:right="2520"/>
      <w:outlineLvl w:val="1"/>
    </w:pPr>
    <w:rPr>
      <w:rFonts w:ascii="Helvetica" w:hAnsi="Helvetica"/>
      <w:b/>
      <w:iCs/>
    </w:rPr>
  </w:style>
  <w:style w:type="paragraph" w:styleId="Heading3">
    <w:name w:val="heading 3"/>
    <w:basedOn w:val="Normal"/>
    <w:next w:val="sub2"/>
    <w:qFormat/>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tabs>
        <w:tab w:val="clear" w:pos="720"/>
      </w:tabs>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semiHidden/>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paragraph" w:customStyle="1" w:styleId="bulleted">
    <w:name w:val="bulleted"/>
    <w:basedOn w:val="Normal"/>
    <w:pPr>
      <w:numPr>
        <w:numId w:val="5"/>
      </w:numPr>
      <w:tabs>
        <w:tab w:val="clear" w:pos="1800"/>
      </w:tabs>
      <w:spacing w:after="120"/>
      <w:ind w:left="1080" w:right="1440"/>
    </w:pPr>
    <w:rPr>
      <w:rFonts w:ascii="Palatino Linotype" w:hAnsi="Palatino Linotype"/>
      <w:szCs w:val="26"/>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US" w:eastAsia="en-US" w:bidi="ar-SA"/>
    </w:rPr>
  </w:style>
  <w:style w:type="paragraph" w:styleId="BalloonText">
    <w:name w:val="Balloon Text"/>
    <w:basedOn w:val="Normal"/>
    <w:link w:val="BalloonTextChar"/>
    <w:rsid w:val="00A84C34"/>
    <w:rPr>
      <w:rFonts w:ascii="Tahoma" w:hAnsi="Tahoma" w:cs="Tahoma"/>
      <w:sz w:val="16"/>
      <w:szCs w:val="16"/>
    </w:rPr>
  </w:style>
  <w:style w:type="character" w:customStyle="1" w:styleId="BalloonTextChar">
    <w:name w:val="Balloon Text Char"/>
    <w:link w:val="BalloonText"/>
    <w:rsid w:val="00A84C34"/>
    <w:rPr>
      <w:rFonts w:ascii="Tahoma" w:hAnsi="Tahoma" w:cs="Tahoma"/>
      <w:sz w:val="16"/>
      <w:szCs w:val="16"/>
    </w:rPr>
  </w:style>
  <w:style w:type="paragraph" w:styleId="ListParagraph">
    <w:name w:val="List Paragraph"/>
    <w:basedOn w:val="Normal"/>
    <w:uiPriority w:val="34"/>
    <w:qFormat/>
    <w:rsid w:val="00907512"/>
    <w:pPr>
      <w:ind w:left="720"/>
    </w:pPr>
    <w:rPr>
      <w:rFonts w:ascii="Calibri" w:hAnsi="Calibri"/>
      <w:sz w:val="22"/>
      <w:szCs w:val="22"/>
    </w:rPr>
  </w:style>
  <w:style w:type="character" w:styleId="CommentReference">
    <w:name w:val="annotation reference"/>
    <w:uiPriority w:val="99"/>
    <w:unhideWhenUsed/>
    <w:rsid w:val="00907512"/>
    <w:rPr>
      <w:sz w:val="16"/>
      <w:szCs w:val="16"/>
    </w:rPr>
  </w:style>
  <w:style w:type="paragraph" w:styleId="CommentText">
    <w:name w:val="annotation text"/>
    <w:basedOn w:val="Normal"/>
    <w:link w:val="CommentTextChar"/>
    <w:uiPriority w:val="99"/>
    <w:unhideWhenUsed/>
    <w:rsid w:val="00907512"/>
    <w:rPr>
      <w:rFonts w:ascii="Calibri" w:hAnsi="Calibri"/>
      <w:sz w:val="20"/>
    </w:rPr>
  </w:style>
  <w:style w:type="character" w:customStyle="1" w:styleId="CommentTextChar">
    <w:name w:val="Comment Text Char"/>
    <w:link w:val="CommentText"/>
    <w:uiPriority w:val="99"/>
    <w:rsid w:val="00907512"/>
    <w:rPr>
      <w:rFonts w:ascii="Calibri" w:hAnsi="Calibri"/>
    </w:rPr>
  </w:style>
  <w:style w:type="paragraph" w:styleId="CommentSubject">
    <w:name w:val="annotation subject"/>
    <w:basedOn w:val="CommentText"/>
    <w:next w:val="CommentText"/>
    <w:link w:val="CommentSubjectChar"/>
    <w:rsid w:val="0031655A"/>
    <w:rPr>
      <w:rFonts w:ascii="Palatino" w:hAnsi="Palatino"/>
      <w:b/>
      <w:bCs/>
    </w:rPr>
  </w:style>
  <w:style w:type="character" w:customStyle="1" w:styleId="CommentSubjectChar">
    <w:name w:val="Comment Subject Char"/>
    <w:link w:val="CommentSubject"/>
    <w:rsid w:val="0031655A"/>
    <w:rPr>
      <w:rFonts w:ascii="Palatino" w:hAnsi="Palatino"/>
      <w:b/>
      <w:bCs/>
    </w:rPr>
  </w:style>
  <w:style w:type="character" w:customStyle="1" w:styleId="HeaderChar">
    <w:name w:val="Header Char"/>
    <w:link w:val="Header"/>
    <w:uiPriority w:val="99"/>
    <w:rsid w:val="00186D6E"/>
    <w:rPr>
      <w:rFonts w:ascii="Palatino" w:hAnsi="Palatino"/>
      <w:sz w:val="26"/>
    </w:rPr>
  </w:style>
  <w:style w:type="paragraph" w:styleId="Revision">
    <w:name w:val="Revision"/>
    <w:hidden/>
    <w:uiPriority w:val="99"/>
    <w:semiHidden/>
    <w:rsid w:val="00B00DF3"/>
    <w:rPr>
      <w:rFonts w:ascii="Palatino" w:hAnsi="Palatino"/>
      <w:sz w:val="26"/>
    </w:rPr>
  </w:style>
  <w:style w:type="paragraph" w:styleId="Quote">
    <w:name w:val="Quote"/>
    <w:basedOn w:val="Normal"/>
    <w:next w:val="Normal"/>
    <w:link w:val="QuoteChar"/>
    <w:uiPriority w:val="29"/>
    <w:qFormat/>
    <w:rsid w:val="009A102B"/>
    <w:pPr>
      <w:spacing w:after="240"/>
      <w:ind w:left="720" w:right="1440"/>
    </w:pPr>
    <w:rPr>
      <w:iCs/>
      <w:color w:val="000000" w:themeColor="text1"/>
    </w:rPr>
  </w:style>
  <w:style w:type="character" w:customStyle="1" w:styleId="QuoteChar">
    <w:name w:val="Quote Char"/>
    <w:basedOn w:val="DefaultParagraphFont"/>
    <w:link w:val="Quote"/>
    <w:uiPriority w:val="29"/>
    <w:rsid w:val="009A102B"/>
    <w:rPr>
      <w:rFonts w:ascii="Palatino" w:hAnsi="Palatino"/>
      <w:iCs/>
      <w:color w:val="000000" w:themeColor="tex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qFormat/>
    <w:rsid w:val="001D0F77"/>
    <w:pPr>
      <w:keepNext/>
      <w:numPr>
        <w:ilvl w:val="1"/>
        <w:numId w:val="2"/>
      </w:numPr>
      <w:tabs>
        <w:tab w:val="clear" w:pos="1710"/>
        <w:tab w:val="num" w:pos="1440"/>
      </w:tabs>
      <w:spacing w:before="120" w:after="120"/>
      <w:ind w:left="1440" w:right="2520"/>
      <w:outlineLvl w:val="1"/>
    </w:pPr>
    <w:rPr>
      <w:rFonts w:ascii="Helvetica" w:hAnsi="Helvetica"/>
      <w:b/>
      <w:iCs/>
    </w:rPr>
  </w:style>
  <w:style w:type="paragraph" w:styleId="Heading3">
    <w:name w:val="heading 3"/>
    <w:basedOn w:val="Normal"/>
    <w:next w:val="sub2"/>
    <w:qFormat/>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tabs>
        <w:tab w:val="clear" w:pos="720"/>
      </w:tabs>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semiHidden/>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paragraph" w:customStyle="1" w:styleId="bulleted">
    <w:name w:val="bulleted"/>
    <w:basedOn w:val="Normal"/>
    <w:pPr>
      <w:numPr>
        <w:numId w:val="5"/>
      </w:numPr>
      <w:tabs>
        <w:tab w:val="clear" w:pos="1800"/>
      </w:tabs>
      <w:spacing w:after="120"/>
      <w:ind w:left="1080" w:right="1440"/>
    </w:pPr>
    <w:rPr>
      <w:rFonts w:ascii="Palatino Linotype" w:hAnsi="Palatino Linotype"/>
      <w:szCs w:val="26"/>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US" w:eastAsia="en-US" w:bidi="ar-SA"/>
    </w:rPr>
  </w:style>
  <w:style w:type="paragraph" w:styleId="BalloonText">
    <w:name w:val="Balloon Text"/>
    <w:basedOn w:val="Normal"/>
    <w:link w:val="BalloonTextChar"/>
    <w:rsid w:val="00A84C34"/>
    <w:rPr>
      <w:rFonts w:ascii="Tahoma" w:hAnsi="Tahoma" w:cs="Tahoma"/>
      <w:sz w:val="16"/>
      <w:szCs w:val="16"/>
    </w:rPr>
  </w:style>
  <w:style w:type="character" w:customStyle="1" w:styleId="BalloonTextChar">
    <w:name w:val="Balloon Text Char"/>
    <w:link w:val="BalloonText"/>
    <w:rsid w:val="00A84C34"/>
    <w:rPr>
      <w:rFonts w:ascii="Tahoma" w:hAnsi="Tahoma" w:cs="Tahoma"/>
      <w:sz w:val="16"/>
      <w:szCs w:val="16"/>
    </w:rPr>
  </w:style>
  <w:style w:type="paragraph" w:styleId="ListParagraph">
    <w:name w:val="List Paragraph"/>
    <w:basedOn w:val="Normal"/>
    <w:uiPriority w:val="34"/>
    <w:qFormat/>
    <w:rsid w:val="00907512"/>
    <w:pPr>
      <w:ind w:left="720"/>
    </w:pPr>
    <w:rPr>
      <w:rFonts w:ascii="Calibri" w:hAnsi="Calibri"/>
      <w:sz w:val="22"/>
      <w:szCs w:val="22"/>
    </w:rPr>
  </w:style>
  <w:style w:type="character" w:styleId="CommentReference">
    <w:name w:val="annotation reference"/>
    <w:uiPriority w:val="99"/>
    <w:unhideWhenUsed/>
    <w:rsid w:val="00907512"/>
    <w:rPr>
      <w:sz w:val="16"/>
      <w:szCs w:val="16"/>
    </w:rPr>
  </w:style>
  <w:style w:type="paragraph" w:styleId="CommentText">
    <w:name w:val="annotation text"/>
    <w:basedOn w:val="Normal"/>
    <w:link w:val="CommentTextChar"/>
    <w:uiPriority w:val="99"/>
    <w:unhideWhenUsed/>
    <w:rsid w:val="00907512"/>
    <w:rPr>
      <w:rFonts w:ascii="Calibri" w:hAnsi="Calibri"/>
      <w:sz w:val="20"/>
    </w:rPr>
  </w:style>
  <w:style w:type="character" w:customStyle="1" w:styleId="CommentTextChar">
    <w:name w:val="Comment Text Char"/>
    <w:link w:val="CommentText"/>
    <w:uiPriority w:val="99"/>
    <w:rsid w:val="00907512"/>
    <w:rPr>
      <w:rFonts w:ascii="Calibri" w:hAnsi="Calibri"/>
    </w:rPr>
  </w:style>
  <w:style w:type="paragraph" w:styleId="CommentSubject">
    <w:name w:val="annotation subject"/>
    <w:basedOn w:val="CommentText"/>
    <w:next w:val="CommentText"/>
    <w:link w:val="CommentSubjectChar"/>
    <w:rsid w:val="0031655A"/>
    <w:rPr>
      <w:rFonts w:ascii="Palatino" w:hAnsi="Palatino"/>
      <w:b/>
      <w:bCs/>
    </w:rPr>
  </w:style>
  <w:style w:type="character" w:customStyle="1" w:styleId="CommentSubjectChar">
    <w:name w:val="Comment Subject Char"/>
    <w:link w:val="CommentSubject"/>
    <w:rsid w:val="0031655A"/>
    <w:rPr>
      <w:rFonts w:ascii="Palatino" w:hAnsi="Palatino"/>
      <w:b/>
      <w:bCs/>
    </w:rPr>
  </w:style>
  <w:style w:type="character" w:customStyle="1" w:styleId="HeaderChar">
    <w:name w:val="Header Char"/>
    <w:link w:val="Header"/>
    <w:uiPriority w:val="99"/>
    <w:rsid w:val="00186D6E"/>
    <w:rPr>
      <w:rFonts w:ascii="Palatino" w:hAnsi="Palatino"/>
      <w:sz w:val="26"/>
    </w:rPr>
  </w:style>
  <w:style w:type="paragraph" w:styleId="Revision">
    <w:name w:val="Revision"/>
    <w:hidden/>
    <w:uiPriority w:val="99"/>
    <w:semiHidden/>
    <w:rsid w:val="00B00DF3"/>
    <w:rPr>
      <w:rFonts w:ascii="Palatino" w:hAnsi="Palatino"/>
      <w:sz w:val="26"/>
    </w:rPr>
  </w:style>
  <w:style w:type="paragraph" w:styleId="Quote">
    <w:name w:val="Quote"/>
    <w:basedOn w:val="Normal"/>
    <w:next w:val="Normal"/>
    <w:link w:val="QuoteChar"/>
    <w:uiPriority w:val="29"/>
    <w:qFormat/>
    <w:rsid w:val="009A102B"/>
    <w:pPr>
      <w:spacing w:after="240"/>
      <w:ind w:left="720" w:right="1440"/>
    </w:pPr>
    <w:rPr>
      <w:iCs/>
      <w:color w:val="000000" w:themeColor="text1"/>
    </w:rPr>
  </w:style>
  <w:style w:type="character" w:customStyle="1" w:styleId="QuoteChar">
    <w:name w:val="Quote Char"/>
    <w:basedOn w:val="DefaultParagraphFont"/>
    <w:link w:val="Quote"/>
    <w:uiPriority w:val="29"/>
    <w:rsid w:val="009A102B"/>
    <w:rPr>
      <w:rFonts w:ascii="Palatino" w:hAnsi="Palatino"/>
      <w:i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bscribecpuc.cpuc.ca.gov/"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cess_Office@cpuc.ca.gov"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cpuc.ca.go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ublic.advisor.la@cpuc.c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36465</CharactersWithSpaces>
  <SharedDoc>false</SharedDoc>
  <HyperlinkBase> </HyperlinkBase>
  <HLinks>
    <vt:vector size="12" baseType="variant">
      <vt:variant>
        <vt:i4>7340067</vt:i4>
      </vt:variant>
      <vt:variant>
        <vt:i4>3</vt:i4>
      </vt:variant>
      <vt:variant>
        <vt:i4>0</vt:i4>
      </vt:variant>
      <vt:variant>
        <vt:i4>5</vt:i4>
      </vt:variant>
      <vt:variant>
        <vt:lpwstr>mailto:Process_Office@cpuc.ca.gov</vt:lpwstr>
      </vt:variant>
      <vt:variant>
        <vt:lpwstr/>
      </vt:variant>
      <vt:variant>
        <vt:i4>6488161</vt:i4>
      </vt:variant>
      <vt:variant>
        <vt:i4>0</vt:i4>
      </vt:variant>
      <vt:variant>
        <vt:i4>0</vt:i4>
      </vt:variant>
      <vt:variant>
        <vt:i4>5</vt:i4>
      </vt:variant>
      <vt:variant>
        <vt:lpwstr>http://www.cpuc.ca.gov/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2010-12-21T21:36:00Z</cp:lastPrinted>
  <dcterms:created xsi:type="dcterms:W3CDTF">2015-04-02T17:57:00Z</dcterms:created>
  <dcterms:modified xsi:type="dcterms:W3CDTF">2015-04-02T17:57:00Z</dcterms:modified>
  <cp:category> </cp:category>
  <cp:contentStatus> </cp:contentStatus>
</cp:coreProperties>
</file>