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C6E63" w:rsidRPr="0070228F" w:rsidRDefault="00BC6E63" w:rsidP="00BC6E63">
      <w:pPr>
        <w:ind w:right="630"/>
        <w:jc w:val="center"/>
        <w:rPr>
          <w:rFonts w:ascii="Palatino Linotype" w:hAnsi="Palatino Linotype"/>
          <w:b/>
          <w:sz w:val="24"/>
          <w:szCs w:val="24"/>
        </w:rPr>
      </w:pPr>
      <w:bookmarkStart w:id="0" w:name="_GoBack"/>
      <w:bookmarkEnd w:id="0"/>
      <w:r w:rsidRPr="0070228F">
        <w:rPr>
          <w:rFonts w:ascii="Palatino Linotype" w:hAnsi="Palatino Linotype"/>
          <w:b/>
          <w:sz w:val="24"/>
          <w:szCs w:val="24"/>
        </w:rPr>
        <w:t>PUBLIC UTILITIES COMMISSION OF THE STATE OF CALIFORNIA</w:t>
      </w:r>
    </w:p>
    <w:p w:rsidR="00BC6E63" w:rsidRPr="0070228F" w:rsidRDefault="00BC6E63" w:rsidP="00BC6E63">
      <w:pPr>
        <w:rPr>
          <w:rFonts w:ascii="Palatino Linotype" w:hAnsi="Palatino Linotype"/>
          <w:b/>
          <w:sz w:val="24"/>
          <w:szCs w:val="24"/>
        </w:rPr>
      </w:pPr>
    </w:p>
    <w:p w:rsidR="00BC6E63" w:rsidRPr="0070228F" w:rsidRDefault="00BC6E63" w:rsidP="00BC6E63">
      <w:pPr>
        <w:pStyle w:val="xl28"/>
        <w:spacing w:before="0" w:beforeAutospacing="0" w:after="0" w:afterAutospacing="0"/>
        <w:rPr>
          <w:rFonts w:ascii="Palatino Linotype" w:eastAsia="Times New Roman" w:hAnsi="Palatino Linotype" w:cs="Times New Roman"/>
          <w:bCs w:val="0"/>
        </w:rPr>
      </w:pPr>
    </w:p>
    <w:tbl>
      <w:tblPr>
        <w:tblW w:w="0" w:type="auto"/>
        <w:tblInd w:w="198" w:type="dxa"/>
        <w:tblLayout w:type="fixed"/>
        <w:tblLook w:val="0000" w:firstRow="0" w:lastRow="0" w:firstColumn="0" w:lastColumn="0" w:noHBand="0" w:noVBand="0"/>
      </w:tblPr>
      <w:tblGrid>
        <w:gridCol w:w="6120"/>
        <w:gridCol w:w="2790"/>
      </w:tblGrid>
      <w:tr w:rsidR="00BC6E63" w:rsidRPr="0070228F" w:rsidTr="00F20834">
        <w:tc>
          <w:tcPr>
            <w:tcW w:w="6120" w:type="dxa"/>
          </w:tcPr>
          <w:p w:rsidR="00BC6E63" w:rsidRPr="0070228F" w:rsidRDefault="00BC6E63" w:rsidP="00F20834">
            <w:pPr>
              <w:rPr>
                <w:rFonts w:ascii="Palatino Linotype" w:hAnsi="Palatino Linotype"/>
                <w:b/>
                <w:sz w:val="24"/>
                <w:szCs w:val="24"/>
              </w:rPr>
            </w:pPr>
            <w:r w:rsidRPr="0070228F">
              <w:rPr>
                <w:rFonts w:ascii="Palatino Linotype" w:hAnsi="Palatino Linotype"/>
                <w:b/>
                <w:sz w:val="24"/>
                <w:szCs w:val="24"/>
              </w:rPr>
              <w:t>Communications Division</w:t>
            </w:r>
          </w:p>
        </w:tc>
        <w:tc>
          <w:tcPr>
            <w:tcW w:w="2790" w:type="dxa"/>
          </w:tcPr>
          <w:p w:rsidR="00BC6E63" w:rsidRPr="0070228F" w:rsidRDefault="00BC6E63" w:rsidP="00F20834">
            <w:pPr>
              <w:pStyle w:val="xl24"/>
              <w:spacing w:before="0" w:beforeAutospacing="0" w:after="0" w:afterAutospacing="0"/>
              <w:rPr>
                <w:rFonts w:ascii="Palatino Linotype" w:eastAsia="Times New Roman" w:hAnsi="Palatino Linotype" w:cs="Times New Roman"/>
                <w:bCs w:val="0"/>
              </w:rPr>
            </w:pPr>
            <w:r w:rsidRPr="0070228F">
              <w:rPr>
                <w:rFonts w:ascii="Palatino Linotype" w:eastAsia="Times New Roman" w:hAnsi="Palatino Linotype" w:cs="Times New Roman"/>
                <w:bCs w:val="0"/>
              </w:rPr>
              <w:t>RESOLUTION</w:t>
            </w:r>
            <w:r>
              <w:rPr>
                <w:rFonts w:ascii="Palatino Linotype" w:eastAsia="Times New Roman" w:hAnsi="Palatino Linotype" w:cs="Times New Roman"/>
                <w:bCs w:val="0"/>
              </w:rPr>
              <w:t xml:space="preserve"> T-17484</w:t>
            </w:r>
            <w:r w:rsidRPr="0070228F">
              <w:rPr>
                <w:rFonts w:ascii="Palatino Linotype" w:eastAsia="Times New Roman" w:hAnsi="Palatino Linotype" w:cs="Times New Roman"/>
                <w:bCs w:val="0"/>
              </w:rPr>
              <w:t xml:space="preserve"> </w:t>
            </w:r>
          </w:p>
        </w:tc>
      </w:tr>
      <w:tr w:rsidR="00BC6E63" w:rsidRPr="0070228F" w:rsidTr="00F20834">
        <w:tc>
          <w:tcPr>
            <w:tcW w:w="6120" w:type="dxa"/>
          </w:tcPr>
          <w:p w:rsidR="00BC6E63" w:rsidRPr="0070228F" w:rsidRDefault="00BC6E63" w:rsidP="00F20834">
            <w:pPr>
              <w:rPr>
                <w:rFonts w:ascii="Palatino Linotype" w:hAnsi="Palatino Linotype"/>
                <w:b/>
                <w:sz w:val="24"/>
                <w:szCs w:val="24"/>
              </w:rPr>
            </w:pPr>
            <w:r w:rsidRPr="0070228F">
              <w:rPr>
                <w:rFonts w:ascii="Palatino Linotype" w:hAnsi="Palatino Linotype"/>
                <w:b/>
                <w:sz w:val="24"/>
                <w:szCs w:val="24"/>
              </w:rPr>
              <w:t xml:space="preserve">Broadband, Policy and Analysis Branch </w:t>
            </w:r>
          </w:p>
        </w:tc>
        <w:tc>
          <w:tcPr>
            <w:tcW w:w="2790" w:type="dxa"/>
          </w:tcPr>
          <w:p w:rsidR="00BC6E63" w:rsidRPr="0070228F" w:rsidRDefault="00BC6E63" w:rsidP="00F20834">
            <w:pPr>
              <w:jc w:val="right"/>
              <w:rPr>
                <w:rFonts w:ascii="Palatino Linotype" w:hAnsi="Palatino Linotype"/>
                <w:b/>
                <w:sz w:val="24"/>
                <w:szCs w:val="24"/>
              </w:rPr>
            </w:pPr>
            <w:r>
              <w:rPr>
                <w:rFonts w:ascii="Palatino Linotype" w:hAnsi="Palatino Linotype"/>
                <w:b/>
                <w:sz w:val="24"/>
                <w:szCs w:val="24"/>
              </w:rPr>
              <w:t xml:space="preserve">DATE </w:t>
            </w:r>
            <w:r w:rsidRPr="0070228F">
              <w:rPr>
                <w:rFonts w:ascii="Palatino Linotype" w:hAnsi="Palatino Linotype"/>
                <w:b/>
                <w:sz w:val="24"/>
                <w:szCs w:val="24"/>
              </w:rPr>
              <w:t xml:space="preserve"> </w:t>
            </w:r>
            <w:r>
              <w:rPr>
                <w:rFonts w:ascii="Palatino Linotype" w:hAnsi="Palatino Linotype"/>
                <w:b/>
                <w:sz w:val="24"/>
                <w:szCs w:val="24"/>
              </w:rPr>
              <w:t xml:space="preserve">July 23, </w:t>
            </w:r>
            <w:r w:rsidRPr="0070228F">
              <w:rPr>
                <w:rFonts w:ascii="Palatino Linotype" w:hAnsi="Palatino Linotype"/>
                <w:b/>
                <w:sz w:val="24"/>
                <w:szCs w:val="24"/>
              </w:rPr>
              <w:t>2015</w:t>
            </w:r>
          </w:p>
        </w:tc>
      </w:tr>
    </w:tbl>
    <w:p w:rsidR="00BC6E63" w:rsidRPr="0070228F" w:rsidRDefault="00BC6E63" w:rsidP="00BC6E63">
      <w:pPr>
        <w:rPr>
          <w:rFonts w:ascii="Palatino Linotype" w:hAnsi="Palatino Linotype"/>
          <w:sz w:val="24"/>
          <w:szCs w:val="24"/>
        </w:rPr>
      </w:pPr>
    </w:p>
    <w:p w:rsidR="00BC6E63" w:rsidRPr="0070228F" w:rsidRDefault="00BC6E63" w:rsidP="00BC6E63">
      <w:pPr>
        <w:rPr>
          <w:rFonts w:ascii="Palatino Linotype" w:hAnsi="Palatino Linotype"/>
          <w:sz w:val="24"/>
          <w:szCs w:val="24"/>
        </w:rPr>
      </w:pPr>
    </w:p>
    <w:p w:rsidR="00BC6E63" w:rsidRPr="0070228F" w:rsidRDefault="00BC6E63" w:rsidP="00BC6E63">
      <w:pPr>
        <w:rPr>
          <w:rFonts w:ascii="Palatino Linotype" w:hAnsi="Palatino Linotype"/>
          <w:sz w:val="24"/>
          <w:szCs w:val="24"/>
        </w:rPr>
      </w:pPr>
    </w:p>
    <w:p w:rsidR="00BC6E63" w:rsidRPr="0070228F" w:rsidRDefault="00BC6E63" w:rsidP="00BC6E63">
      <w:pPr>
        <w:ind w:right="990"/>
        <w:jc w:val="center"/>
        <w:rPr>
          <w:rFonts w:ascii="Palatino Linotype" w:hAnsi="Palatino Linotype"/>
          <w:sz w:val="24"/>
          <w:szCs w:val="24"/>
        </w:rPr>
      </w:pPr>
      <w:r w:rsidRPr="0070228F">
        <w:rPr>
          <w:rFonts w:ascii="Palatino Linotype" w:hAnsi="Palatino Linotype"/>
          <w:b/>
          <w:sz w:val="24"/>
          <w:szCs w:val="24"/>
          <w:u w:val="single"/>
        </w:rPr>
        <w:t>R</w:t>
      </w:r>
      <w:r w:rsidRPr="0070228F">
        <w:rPr>
          <w:rFonts w:ascii="Palatino Linotype" w:hAnsi="Palatino Linotype"/>
          <w:sz w:val="24"/>
          <w:szCs w:val="24"/>
        </w:rPr>
        <w:t xml:space="preserve"> </w:t>
      </w:r>
      <w:r w:rsidRPr="0070228F">
        <w:rPr>
          <w:rFonts w:ascii="Palatino Linotype" w:hAnsi="Palatino Linotype"/>
          <w:b/>
          <w:sz w:val="24"/>
          <w:szCs w:val="24"/>
          <w:u w:val="single"/>
        </w:rPr>
        <w:t>E</w:t>
      </w:r>
      <w:r w:rsidRPr="0070228F">
        <w:rPr>
          <w:rFonts w:ascii="Palatino Linotype" w:hAnsi="Palatino Linotype"/>
          <w:sz w:val="24"/>
          <w:szCs w:val="24"/>
        </w:rPr>
        <w:t xml:space="preserve"> </w:t>
      </w:r>
      <w:r w:rsidRPr="0070228F">
        <w:rPr>
          <w:rFonts w:ascii="Palatino Linotype" w:hAnsi="Palatino Linotype"/>
          <w:b/>
          <w:sz w:val="24"/>
          <w:szCs w:val="24"/>
          <w:u w:val="single"/>
        </w:rPr>
        <w:t>S</w:t>
      </w:r>
      <w:r w:rsidRPr="0070228F">
        <w:rPr>
          <w:rFonts w:ascii="Palatino Linotype" w:hAnsi="Palatino Linotype"/>
          <w:sz w:val="24"/>
          <w:szCs w:val="24"/>
        </w:rPr>
        <w:t xml:space="preserve"> </w:t>
      </w:r>
      <w:r w:rsidRPr="0070228F">
        <w:rPr>
          <w:rFonts w:ascii="Palatino Linotype" w:hAnsi="Palatino Linotype"/>
          <w:b/>
          <w:sz w:val="24"/>
          <w:szCs w:val="24"/>
          <w:u w:val="single"/>
        </w:rPr>
        <w:t>O</w:t>
      </w:r>
      <w:r w:rsidRPr="0070228F">
        <w:rPr>
          <w:rFonts w:ascii="Palatino Linotype" w:hAnsi="Palatino Linotype"/>
          <w:sz w:val="24"/>
          <w:szCs w:val="24"/>
        </w:rPr>
        <w:t xml:space="preserve"> </w:t>
      </w:r>
      <w:r w:rsidRPr="0070228F">
        <w:rPr>
          <w:rFonts w:ascii="Palatino Linotype" w:hAnsi="Palatino Linotype"/>
          <w:b/>
          <w:sz w:val="24"/>
          <w:szCs w:val="24"/>
          <w:u w:val="single"/>
        </w:rPr>
        <w:t>L</w:t>
      </w:r>
      <w:r w:rsidRPr="0070228F">
        <w:rPr>
          <w:rFonts w:ascii="Palatino Linotype" w:hAnsi="Palatino Linotype"/>
          <w:sz w:val="24"/>
          <w:szCs w:val="24"/>
        </w:rPr>
        <w:t xml:space="preserve"> </w:t>
      </w:r>
      <w:r w:rsidRPr="0070228F">
        <w:rPr>
          <w:rFonts w:ascii="Palatino Linotype" w:hAnsi="Palatino Linotype"/>
          <w:b/>
          <w:sz w:val="24"/>
          <w:szCs w:val="24"/>
          <w:u w:val="single"/>
        </w:rPr>
        <w:t>U</w:t>
      </w:r>
      <w:r w:rsidRPr="0070228F">
        <w:rPr>
          <w:rFonts w:ascii="Palatino Linotype" w:hAnsi="Palatino Linotype"/>
          <w:sz w:val="24"/>
          <w:szCs w:val="24"/>
        </w:rPr>
        <w:t xml:space="preserve"> </w:t>
      </w:r>
      <w:r w:rsidRPr="0070228F">
        <w:rPr>
          <w:rFonts w:ascii="Palatino Linotype" w:hAnsi="Palatino Linotype"/>
          <w:b/>
          <w:sz w:val="24"/>
          <w:szCs w:val="24"/>
          <w:u w:val="single"/>
        </w:rPr>
        <w:t>T</w:t>
      </w:r>
      <w:r w:rsidRPr="0070228F">
        <w:rPr>
          <w:rFonts w:ascii="Palatino Linotype" w:hAnsi="Palatino Linotype"/>
          <w:sz w:val="24"/>
          <w:szCs w:val="24"/>
        </w:rPr>
        <w:t xml:space="preserve"> </w:t>
      </w:r>
      <w:r w:rsidRPr="0070228F">
        <w:rPr>
          <w:rFonts w:ascii="Palatino Linotype" w:hAnsi="Palatino Linotype"/>
          <w:b/>
          <w:sz w:val="24"/>
          <w:szCs w:val="24"/>
          <w:u w:val="single"/>
        </w:rPr>
        <w:t>I</w:t>
      </w:r>
      <w:r w:rsidRPr="0070228F">
        <w:rPr>
          <w:rFonts w:ascii="Palatino Linotype" w:hAnsi="Palatino Linotype"/>
          <w:sz w:val="24"/>
          <w:szCs w:val="24"/>
        </w:rPr>
        <w:t xml:space="preserve"> </w:t>
      </w:r>
      <w:r w:rsidRPr="0070228F">
        <w:rPr>
          <w:rFonts w:ascii="Palatino Linotype" w:hAnsi="Palatino Linotype"/>
          <w:b/>
          <w:sz w:val="24"/>
          <w:szCs w:val="24"/>
          <w:u w:val="single"/>
        </w:rPr>
        <w:t>O</w:t>
      </w:r>
      <w:r w:rsidRPr="0070228F">
        <w:rPr>
          <w:rFonts w:ascii="Palatino Linotype" w:hAnsi="Palatino Linotype"/>
          <w:sz w:val="24"/>
          <w:szCs w:val="24"/>
        </w:rPr>
        <w:t xml:space="preserve"> </w:t>
      </w:r>
      <w:r w:rsidRPr="0070228F">
        <w:rPr>
          <w:rFonts w:ascii="Palatino Linotype" w:hAnsi="Palatino Linotype"/>
          <w:b/>
          <w:sz w:val="24"/>
          <w:szCs w:val="24"/>
          <w:u w:val="single"/>
        </w:rPr>
        <w:t>N</w:t>
      </w:r>
    </w:p>
    <w:p w:rsidR="00BC6E63" w:rsidRPr="0070228F" w:rsidRDefault="00BC6E63" w:rsidP="00BC6E63">
      <w:pPr>
        <w:ind w:right="990"/>
        <w:rPr>
          <w:rFonts w:ascii="Palatino Linotype" w:hAnsi="Palatino Linotype"/>
          <w:sz w:val="24"/>
          <w:szCs w:val="24"/>
        </w:rPr>
      </w:pPr>
    </w:p>
    <w:p w:rsidR="00BC6E63" w:rsidRPr="0070228F" w:rsidRDefault="00BC6E63" w:rsidP="00BC6E63">
      <w:pPr>
        <w:pBdr>
          <w:bottom w:val="single" w:sz="12" w:space="1" w:color="auto"/>
        </w:pBdr>
        <w:ind w:left="450" w:right="630"/>
        <w:rPr>
          <w:rFonts w:ascii="Palatino Linotype" w:hAnsi="Palatino Linotype"/>
          <w:b/>
          <w:sz w:val="24"/>
          <w:szCs w:val="24"/>
        </w:rPr>
      </w:pPr>
      <w:r>
        <w:rPr>
          <w:rFonts w:ascii="Palatino Linotype" w:hAnsi="Palatino Linotype"/>
          <w:b/>
          <w:sz w:val="24"/>
          <w:szCs w:val="24"/>
        </w:rPr>
        <w:t>Resolution T-17484</w:t>
      </w:r>
      <w:r w:rsidRPr="0070228F">
        <w:rPr>
          <w:rFonts w:ascii="Palatino Linotype" w:hAnsi="Palatino Linotype"/>
          <w:b/>
          <w:sz w:val="24"/>
          <w:szCs w:val="24"/>
        </w:rPr>
        <w:t xml:space="preserve">: Approval of </w:t>
      </w:r>
      <w:r>
        <w:rPr>
          <w:rFonts w:ascii="Palatino Linotype" w:hAnsi="Palatino Linotype"/>
          <w:b/>
          <w:sz w:val="24"/>
          <w:szCs w:val="24"/>
        </w:rPr>
        <w:t>f</w:t>
      </w:r>
      <w:r w:rsidRPr="0070228F">
        <w:rPr>
          <w:rFonts w:ascii="Palatino Linotype" w:hAnsi="Palatino Linotype"/>
          <w:b/>
          <w:sz w:val="24"/>
          <w:szCs w:val="24"/>
        </w:rPr>
        <w:t xml:space="preserve">unding for the </w:t>
      </w:r>
      <w:r>
        <w:rPr>
          <w:rFonts w:ascii="Palatino Linotype" w:hAnsi="Palatino Linotype"/>
          <w:b/>
          <w:sz w:val="24"/>
          <w:szCs w:val="24"/>
        </w:rPr>
        <w:t>g</w:t>
      </w:r>
      <w:r w:rsidRPr="0070228F">
        <w:rPr>
          <w:rFonts w:ascii="Palatino Linotype" w:hAnsi="Palatino Linotype"/>
          <w:b/>
          <w:sz w:val="24"/>
          <w:szCs w:val="24"/>
        </w:rPr>
        <w:t xml:space="preserve">rant </w:t>
      </w:r>
      <w:r>
        <w:rPr>
          <w:rFonts w:ascii="Palatino Linotype" w:hAnsi="Palatino Linotype"/>
          <w:b/>
          <w:sz w:val="24"/>
          <w:szCs w:val="24"/>
        </w:rPr>
        <w:t>a</w:t>
      </w:r>
      <w:r w:rsidRPr="0070228F">
        <w:rPr>
          <w:rFonts w:ascii="Palatino Linotype" w:hAnsi="Palatino Linotype"/>
          <w:b/>
          <w:sz w:val="24"/>
          <w:szCs w:val="24"/>
        </w:rPr>
        <w:t xml:space="preserve">pplication of </w:t>
      </w:r>
      <w:r>
        <w:rPr>
          <w:rFonts w:ascii="Palatino Linotype" w:hAnsi="Palatino Linotype"/>
          <w:b/>
          <w:sz w:val="24"/>
          <w:szCs w:val="24"/>
        </w:rPr>
        <w:t xml:space="preserve">Citizens Telecommunications Company of California </w:t>
      </w:r>
      <w:r w:rsidRPr="0070228F">
        <w:rPr>
          <w:rFonts w:ascii="Palatino Linotype" w:hAnsi="Palatino Linotype"/>
          <w:b/>
          <w:sz w:val="24"/>
          <w:szCs w:val="24"/>
        </w:rPr>
        <w:t>(U-</w:t>
      </w:r>
      <w:r>
        <w:rPr>
          <w:rFonts w:ascii="Palatino Linotype" w:hAnsi="Palatino Linotype"/>
          <w:b/>
          <w:sz w:val="24"/>
          <w:szCs w:val="24"/>
        </w:rPr>
        <w:t>1024</w:t>
      </w:r>
      <w:r w:rsidRPr="0070228F">
        <w:rPr>
          <w:rFonts w:ascii="Palatino Linotype" w:hAnsi="Palatino Linotype"/>
          <w:b/>
          <w:sz w:val="24"/>
          <w:szCs w:val="24"/>
        </w:rPr>
        <w:t>)</w:t>
      </w:r>
      <w:r>
        <w:rPr>
          <w:rFonts w:ascii="Palatino Linotype" w:hAnsi="Palatino Linotype"/>
          <w:b/>
          <w:sz w:val="24"/>
          <w:szCs w:val="24"/>
        </w:rPr>
        <w:t xml:space="preserve">, subsidiary of Frontier Communications </w:t>
      </w:r>
      <w:r w:rsidR="00E20973">
        <w:rPr>
          <w:rFonts w:ascii="Palatino Linotype" w:hAnsi="Palatino Linotype"/>
          <w:b/>
          <w:sz w:val="24"/>
          <w:szCs w:val="24"/>
        </w:rPr>
        <w:t>Corporat</w:t>
      </w:r>
      <w:r w:rsidR="004754C1">
        <w:rPr>
          <w:rFonts w:ascii="Palatino Linotype" w:hAnsi="Palatino Linotype"/>
          <w:b/>
          <w:sz w:val="24"/>
          <w:szCs w:val="24"/>
        </w:rPr>
        <w:t>io</w:t>
      </w:r>
      <w:r w:rsidR="00E20973">
        <w:rPr>
          <w:rFonts w:ascii="Palatino Linotype" w:hAnsi="Palatino Linotype"/>
          <w:b/>
          <w:sz w:val="24"/>
          <w:szCs w:val="24"/>
        </w:rPr>
        <w:t>n</w:t>
      </w:r>
      <w:r w:rsidRPr="0070228F">
        <w:rPr>
          <w:rFonts w:ascii="Palatino Linotype" w:hAnsi="Palatino Linotype"/>
          <w:b/>
          <w:sz w:val="24"/>
          <w:szCs w:val="24"/>
        </w:rPr>
        <w:t xml:space="preserve"> from the California Advanced Services Fund (CASF) in the </w:t>
      </w:r>
      <w:r>
        <w:rPr>
          <w:rFonts w:ascii="Palatino Linotype" w:hAnsi="Palatino Linotype"/>
          <w:b/>
          <w:sz w:val="24"/>
          <w:szCs w:val="24"/>
        </w:rPr>
        <w:t>a</w:t>
      </w:r>
      <w:r w:rsidRPr="0070228F">
        <w:rPr>
          <w:rFonts w:ascii="Palatino Linotype" w:hAnsi="Palatino Linotype"/>
          <w:b/>
          <w:sz w:val="24"/>
          <w:szCs w:val="24"/>
        </w:rPr>
        <w:t xml:space="preserve">mount of </w:t>
      </w:r>
      <w:r>
        <w:rPr>
          <w:rFonts w:ascii="Palatino Linotype" w:hAnsi="Palatino Linotype"/>
          <w:b/>
          <w:sz w:val="24"/>
          <w:szCs w:val="24"/>
        </w:rPr>
        <w:t xml:space="preserve">$202,557 </w:t>
      </w:r>
      <w:r w:rsidRPr="0070228F">
        <w:rPr>
          <w:rFonts w:ascii="Palatino Linotype" w:hAnsi="Palatino Linotype"/>
          <w:b/>
          <w:sz w:val="24"/>
          <w:szCs w:val="24"/>
        </w:rPr>
        <w:t xml:space="preserve">for </w:t>
      </w:r>
      <w:r>
        <w:rPr>
          <w:rFonts w:ascii="Palatino Linotype" w:hAnsi="Palatino Linotype"/>
          <w:b/>
          <w:sz w:val="24"/>
          <w:szCs w:val="24"/>
        </w:rPr>
        <w:t>the Petrolia</w:t>
      </w:r>
      <w:r w:rsidRPr="0070228F">
        <w:rPr>
          <w:rFonts w:ascii="Palatino Linotype" w:hAnsi="Palatino Linotype"/>
          <w:b/>
          <w:sz w:val="24"/>
          <w:szCs w:val="24"/>
        </w:rPr>
        <w:t xml:space="preserve"> </w:t>
      </w:r>
      <w:r>
        <w:rPr>
          <w:rFonts w:ascii="Palatino Linotype" w:hAnsi="Palatino Linotype"/>
          <w:b/>
          <w:sz w:val="24"/>
          <w:szCs w:val="24"/>
        </w:rPr>
        <w:t>Project, located in a CASF “priority area</w:t>
      </w:r>
      <w:r w:rsidRPr="0070228F">
        <w:rPr>
          <w:rFonts w:ascii="Palatino Linotype" w:hAnsi="Palatino Linotype"/>
          <w:b/>
          <w:sz w:val="24"/>
          <w:szCs w:val="24"/>
        </w:rPr>
        <w:t>.</w:t>
      </w:r>
      <w:r>
        <w:rPr>
          <w:rFonts w:ascii="Palatino Linotype" w:hAnsi="Palatino Linotype"/>
          <w:b/>
          <w:sz w:val="24"/>
          <w:szCs w:val="24"/>
        </w:rPr>
        <w:t>”</w:t>
      </w:r>
    </w:p>
    <w:p w:rsidR="00BC6E63" w:rsidRDefault="00BC6E63" w:rsidP="00BC6E63">
      <w:pPr>
        <w:ind w:left="720" w:right="630"/>
        <w:rPr>
          <w:rFonts w:ascii="Palatino Linotype" w:hAnsi="Palatino Linotype"/>
          <w:sz w:val="24"/>
          <w:szCs w:val="24"/>
        </w:rPr>
      </w:pPr>
    </w:p>
    <w:p w:rsidR="00BC6E63" w:rsidRDefault="00BC6E63" w:rsidP="00BC6E63">
      <w:pPr>
        <w:ind w:left="720" w:right="630"/>
        <w:rPr>
          <w:rFonts w:ascii="Palatino Linotype" w:hAnsi="Palatino Linotype"/>
          <w:sz w:val="24"/>
          <w:szCs w:val="24"/>
        </w:rPr>
      </w:pPr>
    </w:p>
    <w:p w:rsidR="00BC6E63" w:rsidRPr="0070228F" w:rsidRDefault="00BC6E63" w:rsidP="00BC6E63">
      <w:pPr>
        <w:keepNext/>
        <w:numPr>
          <w:ilvl w:val="0"/>
          <w:numId w:val="12"/>
        </w:numPr>
        <w:ind w:right="630"/>
        <w:rPr>
          <w:rFonts w:ascii="Palatino Linotype" w:hAnsi="Palatino Linotype"/>
          <w:b/>
          <w:sz w:val="24"/>
          <w:szCs w:val="24"/>
        </w:rPr>
      </w:pPr>
      <w:r w:rsidRPr="0070228F">
        <w:rPr>
          <w:rFonts w:ascii="Palatino Linotype" w:hAnsi="Palatino Linotype"/>
          <w:b/>
          <w:sz w:val="24"/>
          <w:szCs w:val="24"/>
        </w:rPr>
        <w:t>Summary</w:t>
      </w:r>
    </w:p>
    <w:p w:rsidR="00BC6E63" w:rsidRDefault="00BC6E63" w:rsidP="00BC6E63">
      <w:pPr>
        <w:ind w:left="720" w:right="630"/>
        <w:rPr>
          <w:rFonts w:ascii="Palatino Linotype" w:hAnsi="Palatino Linotype"/>
          <w:sz w:val="24"/>
          <w:szCs w:val="24"/>
        </w:rPr>
      </w:pPr>
    </w:p>
    <w:p w:rsidR="00BC6E63" w:rsidRDefault="00BC6E63" w:rsidP="00BC6E63">
      <w:pPr>
        <w:pStyle w:val="xl41"/>
        <w:keepNext/>
        <w:overflowPunct/>
        <w:autoSpaceDE/>
        <w:autoSpaceDN/>
        <w:adjustRightInd/>
        <w:spacing w:before="0" w:after="0"/>
        <w:ind w:right="630"/>
        <w:textAlignment w:val="auto"/>
        <w:rPr>
          <w:rFonts w:ascii="Palatino Linotype" w:eastAsia="Times New Roman" w:hAnsi="Palatino Linotype" w:cs="Palatino Linotype"/>
          <w:color w:val="000000"/>
          <w:szCs w:val="24"/>
        </w:rPr>
      </w:pPr>
      <w:r w:rsidRPr="0070228F">
        <w:rPr>
          <w:rFonts w:ascii="Palatino Linotype" w:eastAsia="Times New Roman" w:hAnsi="Palatino Linotype" w:cs="Palatino Linotype"/>
          <w:color w:val="000000"/>
          <w:szCs w:val="24"/>
        </w:rPr>
        <w:t>This Resolution approves</w:t>
      </w:r>
      <w:r>
        <w:rPr>
          <w:rFonts w:ascii="Palatino Linotype" w:eastAsia="Times New Roman" w:hAnsi="Palatino Linotype" w:cs="Palatino Linotype"/>
          <w:color w:val="000000"/>
          <w:szCs w:val="24"/>
        </w:rPr>
        <w:t xml:space="preserve"> funding in the amount of $</w:t>
      </w:r>
      <w:r w:rsidRPr="00DA5136">
        <w:rPr>
          <w:rFonts w:ascii="Palatino Linotype" w:hAnsi="Palatino Linotype"/>
          <w:szCs w:val="24"/>
        </w:rPr>
        <w:t>202,557</w:t>
      </w:r>
      <w:r>
        <w:rPr>
          <w:rFonts w:ascii="Palatino Linotype" w:hAnsi="Palatino Linotype"/>
          <w:b/>
          <w:szCs w:val="24"/>
        </w:rPr>
        <w:t xml:space="preserve"> </w:t>
      </w:r>
      <w:r w:rsidRPr="0070228F">
        <w:rPr>
          <w:rFonts w:ascii="Palatino Linotype" w:eastAsia="Times New Roman" w:hAnsi="Palatino Linotype" w:cs="Palatino Linotype"/>
          <w:color w:val="000000"/>
          <w:szCs w:val="24"/>
        </w:rPr>
        <w:t>from the California Advanced Service Fund (CASF) fo</w:t>
      </w:r>
      <w:r>
        <w:rPr>
          <w:rFonts w:ascii="Palatino Linotype" w:eastAsia="Times New Roman" w:hAnsi="Palatino Linotype" w:cs="Palatino Linotype"/>
          <w:color w:val="000000"/>
          <w:szCs w:val="24"/>
        </w:rPr>
        <w:t xml:space="preserve">r the </w:t>
      </w:r>
      <w:r w:rsidRPr="0070228F">
        <w:rPr>
          <w:rFonts w:ascii="Palatino Linotype" w:eastAsia="Times New Roman" w:hAnsi="Palatino Linotype" w:cs="Palatino Linotype"/>
          <w:color w:val="000000"/>
          <w:szCs w:val="24"/>
        </w:rPr>
        <w:t xml:space="preserve">grant application of </w:t>
      </w:r>
      <w:r>
        <w:rPr>
          <w:rFonts w:ascii="Palatino Linotype" w:eastAsia="Times New Roman" w:hAnsi="Palatino Linotype" w:cs="Palatino Linotype"/>
          <w:color w:val="000000"/>
          <w:szCs w:val="24"/>
        </w:rPr>
        <w:t xml:space="preserve">Citizens Telecommunications Company of California, Inc. (Citizens), a subsidiary of </w:t>
      </w:r>
      <w:r w:rsidRPr="00C948CB">
        <w:rPr>
          <w:rFonts w:ascii="Palatino Linotype" w:hAnsi="Palatino Linotype"/>
          <w:szCs w:val="24"/>
        </w:rPr>
        <w:t>Frontier Communications Corporation</w:t>
      </w:r>
      <w:r>
        <w:rPr>
          <w:rFonts w:ascii="Palatino Linotype" w:eastAsia="Times New Roman" w:hAnsi="Palatino Linotype" w:cs="Palatino Linotype"/>
          <w:color w:val="000000"/>
          <w:szCs w:val="24"/>
        </w:rPr>
        <w:t xml:space="preserve">, </w:t>
      </w:r>
      <w:r w:rsidRPr="0070228F">
        <w:rPr>
          <w:rFonts w:ascii="Palatino Linotype" w:eastAsia="Times New Roman" w:hAnsi="Palatino Linotype" w:cs="Palatino Linotype"/>
          <w:color w:val="000000"/>
          <w:szCs w:val="24"/>
        </w:rPr>
        <w:t xml:space="preserve">for </w:t>
      </w:r>
      <w:r>
        <w:rPr>
          <w:rFonts w:ascii="Palatino Linotype" w:eastAsia="Times New Roman" w:hAnsi="Palatino Linotype" w:cs="Palatino Linotype"/>
          <w:color w:val="000000"/>
          <w:szCs w:val="24"/>
        </w:rPr>
        <w:t xml:space="preserve">the upgrade of existing middle-mile infrastructure in Petrolia, California (Petrolia Project).  </w:t>
      </w:r>
      <w:r w:rsidRPr="0070228F">
        <w:rPr>
          <w:rFonts w:ascii="Palatino Linotype" w:eastAsia="Times New Roman" w:hAnsi="Palatino Linotype" w:cs="Palatino Linotype"/>
          <w:color w:val="000000"/>
          <w:szCs w:val="24"/>
        </w:rPr>
        <w:t>The</w:t>
      </w:r>
      <w:r>
        <w:rPr>
          <w:rFonts w:ascii="Palatino Linotype" w:eastAsia="Times New Roman" w:hAnsi="Palatino Linotype" w:cs="Palatino Linotype"/>
          <w:color w:val="000000"/>
          <w:szCs w:val="24"/>
        </w:rPr>
        <w:t>se</w:t>
      </w:r>
      <w:r w:rsidRPr="0070228F">
        <w:rPr>
          <w:rFonts w:ascii="Palatino Linotype" w:eastAsia="Times New Roman" w:hAnsi="Palatino Linotype" w:cs="Palatino Linotype"/>
          <w:color w:val="000000"/>
          <w:szCs w:val="24"/>
        </w:rPr>
        <w:t xml:space="preserve"> </w:t>
      </w:r>
      <w:r>
        <w:rPr>
          <w:rFonts w:ascii="Palatino Linotype" w:eastAsia="Times New Roman" w:hAnsi="Palatino Linotype" w:cs="Palatino Linotype"/>
          <w:color w:val="000000"/>
          <w:szCs w:val="24"/>
        </w:rPr>
        <w:t xml:space="preserve">upgrades </w:t>
      </w:r>
      <w:r w:rsidRPr="0070228F">
        <w:rPr>
          <w:rFonts w:ascii="Palatino Linotype" w:eastAsia="Times New Roman" w:hAnsi="Palatino Linotype" w:cs="Palatino Linotype"/>
          <w:color w:val="000000"/>
          <w:szCs w:val="24"/>
        </w:rPr>
        <w:t xml:space="preserve">will </w:t>
      </w:r>
      <w:r>
        <w:rPr>
          <w:rFonts w:ascii="Palatino Linotype" w:eastAsia="Times New Roman" w:hAnsi="Palatino Linotype" w:cs="Palatino Linotype"/>
          <w:color w:val="000000"/>
          <w:szCs w:val="24"/>
        </w:rPr>
        <w:t>enable Internet</w:t>
      </w:r>
      <w:r w:rsidRPr="0070228F">
        <w:rPr>
          <w:rFonts w:ascii="Palatino Linotype" w:eastAsia="Times New Roman" w:hAnsi="Palatino Linotype" w:cs="Palatino Linotype"/>
          <w:color w:val="000000"/>
          <w:szCs w:val="24"/>
        </w:rPr>
        <w:t xml:space="preserve"> </w:t>
      </w:r>
      <w:r>
        <w:rPr>
          <w:rFonts w:ascii="Palatino Linotype" w:eastAsia="Times New Roman" w:hAnsi="Palatino Linotype" w:cs="Palatino Linotype"/>
          <w:color w:val="000000"/>
          <w:szCs w:val="24"/>
        </w:rPr>
        <w:t xml:space="preserve">speeds of up to 25 Mbps download and 1.5 Mbps upload to approximately 138 households.  The project area is </w:t>
      </w:r>
      <w:r w:rsidRPr="0070228F">
        <w:rPr>
          <w:rFonts w:ascii="Palatino Linotype" w:eastAsia="Times New Roman" w:hAnsi="Palatino Linotype" w:cs="Palatino Linotype"/>
          <w:color w:val="000000"/>
          <w:szCs w:val="24"/>
        </w:rPr>
        <w:t xml:space="preserve">spread over </w:t>
      </w:r>
      <w:r>
        <w:rPr>
          <w:rFonts w:ascii="Palatino Linotype" w:eastAsia="Times New Roman" w:hAnsi="Palatino Linotype" w:cs="Palatino Linotype"/>
          <w:color w:val="000000"/>
          <w:szCs w:val="24"/>
        </w:rPr>
        <w:t xml:space="preserve">12.7 </w:t>
      </w:r>
      <w:r w:rsidRPr="0070228F">
        <w:rPr>
          <w:rFonts w:ascii="Palatino Linotype" w:eastAsia="Times New Roman" w:hAnsi="Palatino Linotype" w:cs="Palatino Linotype"/>
          <w:color w:val="000000"/>
          <w:szCs w:val="24"/>
        </w:rPr>
        <w:t xml:space="preserve">square miles in and adjoining the underserved community of </w:t>
      </w:r>
      <w:r>
        <w:rPr>
          <w:rFonts w:ascii="Palatino Linotype" w:eastAsia="Times New Roman" w:hAnsi="Palatino Linotype" w:cs="Palatino Linotype"/>
          <w:color w:val="000000"/>
          <w:szCs w:val="24"/>
        </w:rPr>
        <w:t xml:space="preserve">Petrolia, which is </w:t>
      </w:r>
      <w:r w:rsidRPr="005558A2">
        <w:rPr>
          <w:rFonts w:ascii="Palatino Linotype" w:eastAsia="Times New Roman" w:hAnsi="Palatino Linotype" w:cs="Palatino Linotype"/>
          <w:color w:val="000000"/>
          <w:szCs w:val="24"/>
        </w:rPr>
        <w:t xml:space="preserve">located </w:t>
      </w:r>
      <w:r w:rsidRPr="00D00EFA">
        <w:rPr>
          <w:rFonts w:ascii="Palatino Linotype" w:eastAsia="Times New Roman" w:hAnsi="Palatino Linotype" w:cs="Palatino Linotype"/>
          <w:color w:val="000000"/>
          <w:szCs w:val="24"/>
        </w:rPr>
        <w:t>in Humbold</w:t>
      </w:r>
      <w:r>
        <w:rPr>
          <w:rFonts w:ascii="Palatino Linotype" w:eastAsia="Times New Roman" w:hAnsi="Palatino Linotype" w:cs="Palatino Linotype"/>
          <w:color w:val="000000"/>
          <w:szCs w:val="24"/>
        </w:rPr>
        <w:t xml:space="preserve">t County, California, 10 miles </w:t>
      </w:r>
      <w:r w:rsidRPr="00D00EFA">
        <w:rPr>
          <w:rFonts w:ascii="Palatino Linotype" w:eastAsia="Times New Roman" w:hAnsi="Palatino Linotype" w:cs="Palatino Linotype"/>
          <w:color w:val="000000"/>
          <w:szCs w:val="24"/>
        </w:rPr>
        <w:t>southeast of Cape Mendocino.</w:t>
      </w:r>
      <w:r>
        <w:rPr>
          <w:rFonts w:ascii="Palatino Linotype" w:eastAsia="Times New Roman" w:hAnsi="Palatino Linotype" w:cs="Palatino Linotype"/>
          <w:color w:val="000000"/>
          <w:szCs w:val="24"/>
        </w:rPr>
        <w:t xml:space="preserve">  </w:t>
      </w:r>
      <w:r>
        <w:rPr>
          <w:rFonts w:ascii="Palatino Linotype" w:hAnsi="Palatino Linotype" w:cs="Palatino Linotype"/>
        </w:rPr>
        <w:t xml:space="preserve">The Petrolia Project was proposed to Citizens by the CASF-funded </w:t>
      </w:r>
      <w:r w:rsidRPr="00C4659B">
        <w:rPr>
          <w:rFonts w:ascii="Palatino Linotype" w:hAnsi="Palatino Linotype" w:cs="Palatino Linotype"/>
        </w:rPr>
        <w:t>Redwood Coast Connect Consortium</w:t>
      </w:r>
      <w:r>
        <w:rPr>
          <w:rFonts w:ascii="Palatino Linotype" w:hAnsi="Palatino Linotype" w:cs="Palatino Linotype"/>
        </w:rPr>
        <w:t xml:space="preserve"> and is a “priority area” for CASF funding based on the rural community’s critical broadband needs, including their educational and economic digital divide.</w:t>
      </w:r>
      <w:r>
        <w:rPr>
          <w:rStyle w:val="FootnoteReference"/>
          <w:rFonts w:ascii="Palatino Linotype" w:hAnsi="Palatino Linotype" w:cs="Palatino Linotype"/>
        </w:rPr>
        <w:footnoteReference w:id="1"/>
      </w:r>
      <w:r>
        <w:rPr>
          <w:rFonts w:ascii="Palatino Linotype" w:hAnsi="Palatino Linotype" w:cs="Palatino Linotype"/>
        </w:rPr>
        <w:t xml:space="preserve">  </w:t>
      </w:r>
      <w:r>
        <w:rPr>
          <w:rFonts w:ascii="Palatino Linotype" w:eastAsia="Times New Roman" w:hAnsi="Palatino Linotype" w:cs="Palatino Linotype"/>
          <w:color w:val="000000"/>
          <w:szCs w:val="24"/>
        </w:rPr>
        <w:t>T</w:t>
      </w:r>
      <w:r w:rsidRPr="005F33BC">
        <w:rPr>
          <w:rFonts w:ascii="Palatino Linotype" w:eastAsia="Times New Roman" w:hAnsi="Palatino Linotype" w:cs="Palatino Linotype"/>
          <w:color w:val="000000"/>
          <w:szCs w:val="24"/>
        </w:rPr>
        <w:t xml:space="preserve">his project </w:t>
      </w:r>
      <w:r>
        <w:rPr>
          <w:rFonts w:ascii="Palatino Linotype" w:eastAsia="Times New Roman" w:hAnsi="Palatino Linotype" w:cs="Palatino Linotype"/>
          <w:color w:val="000000"/>
          <w:szCs w:val="24"/>
        </w:rPr>
        <w:t xml:space="preserve">also </w:t>
      </w:r>
      <w:r w:rsidRPr="005F33BC">
        <w:rPr>
          <w:rFonts w:ascii="Palatino Linotype" w:eastAsia="Times New Roman" w:hAnsi="Palatino Linotype" w:cs="Palatino Linotype"/>
          <w:color w:val="000000"/>
          <w:szCs w:val="24"/>
        </w:rPr>
        <w:t xml:space="preserve">provides safety benefits to the </w:t>
      </w:r>
      <w:r>
        <w:rPr>
          <w:rFonts w:ascii="Palatino Linotype" w:eastAsia="Times New Roman" w:hAnsi="Palatino Linotype" w:cs="Palatino Linotype"/>
          <w:color w:val="000000"/>
          <w:szCs w:val="24"/>
        </w:rPr>
        <w:t xml:space="preserve">Petrolia </w:t>
      </w:r>
      <w:r w:rsidRPr="005F33BC">
        <w:rPr>
          <w:rFonts w:ascii="Palatino Linotype" w:eastAsia="Times New Roman" w:hAnsi="Palatino Linotype" w:cs="Palatino Linotype"/>
          <w:color w:val="000000"/>
          <w:szCs w:val="24"/>
        </w:rPr>
        <w:t>community</w:t>
      </w:r>
      <w:r>
        <w:rPr>
          <w:rFonts w:ascii="Palatino Linotype" w:eastAsia="Times New Roman" w:hAnsi="Palatino Linotype" w:cs="Palatino Linotype"/>
          <w:color w:val="000000"/>
          <w:szCs w:val="24"/>
        </w:rPr>
        <w:t xml:space="preserve"> including, but not limited to, robust bandwidth in the event of wildfire, winter storms and earthquakes as well as improved </w:t>
      </w:r>
      <w:r w:rsidRPr="00C16DB0">
        <w:rPr>
          <w:rFonts w:ascii="Palatino Linotype" w:hAnsi="Palatino Linotype"/>
          <w:szCs w:val="24"/>
        </w:rPr>
        <w:t xml:space="preserve">access to </w:t>
      </w:r>
      <w:r>
        <w:rPr>
          <w:rFonts w:ascii="Palatino Linotype" w:hAnsi="Palatino Linotype"/>
          <w:szCs w:val="24"/>
        </w:rPr>
        <w:t>e-health services</w:t>
      </w:r>
      <w:r w:rsidRPr="005F33BC">
        <w:rPr>
          <w:rFonts w:ascii="Palatino Linotype" w:eastAsia="Times New Roman" w:hAnsi="Palatino Linotype" w:cs="Palatino Linotype"/>
          <w:color w:val="000000"/>
          <w:szCs w:val="24"/>
        </w:rPr>
        <w:t>.</w:t>
      </w:r>
    </w:p>
    <w:p w:rsidR="00BC6E63" w:rsidRPr="0070228F" w:rsidRDefault="00BC6E63" w:rsidP="00BC6E63">
      <w:pPr>
        <w:ind w:right="630"/>
        <w:rPr>
          <w:rFonts w:ascii="Palatino Linotype" w:hAnsi="Palatino Linotype"/>
          <w:sz w:val="24"/>
          <w:szCs w:val="24"/>
        </w:rPr>
      </w:pPr>
    </w:p>
    <w:p w:rsidR="00BC6E63" w:rsidRPr="0070228F" w:rsidRDefault="00BC6E63" w:rsidP="00BC6E63">
      <w:pPr>
        <w:pStyle w:val="Heading1"/>
        <w:keepNext w:val="0"/>
        <w:widowControl w:val="0"/>
        <w:numPr>
          <w:ilvl w:val="0"/>
          <w:numId w:val="12"/>
        </w:numPr>
        <w:ind w:right="630"/>
        <w:rPr>
          <w:rFonts w:ascii="Palatino Linotype" w:hAnsi="Palatino Linotype"/>
          <w:color w:val="000000"/>
          <w:szCs w:val="24"/>
          <w:u w:val="none"/>
        </w:rPr>
      </w:pPr>
      <w:r w:rsidRPr="0070228F">
        <w:rPr>
          <w:rFonts w:ascii="Palatino Linotype" w:hAnsi="Palatino Linotype"/>
          <w:color w:val="000000"/>
          <w:szCs w:val="24"/>
          <w:u w:val="none"/>
        </w:rPr>
        <w:lastRenderedPageBreak/>
        <w:t>Background</w:t>
      </w:r>
    </w:p>
    <w:p w:rsidR="00BC6E63" w:rsidRPr="0070228F" w:rsidRDefault="00BC6E63" w:rsidP="00BC6E63">
      <w:pPr>
        <w:rPr>
          <w:rFonts w:ascii="Palatino Linotype" w:hAnsi="Palatino Linotype"/>
          <w:sz w:val="24"/>
          <w:szCs w:val="24"/>
        </w:rPr>
      </w:pPr>
    </w:p>
    <w:p w:rsidR="00BC6E63" w:rsidRPr="0070228F" w:rsidRDefault="00BC6E63" w:rsidP="00BC6E63">
      <w:pPr>
        <w:autoSpaceDE w:val="0"/>
        <w:autoSpaceDN w:val="0"/>
        <w:adjustRightInd w:val="0"/>
        <w:rPr>
          <w:rFonts w:ascii="Palatino Linotype" w:hAnsi="Palatino Linotype" w:cs="Palatino Linotype"/>
          <w:color w:val="000000"/>
          <w:sz w:val="24"/>
          <w:szCs w:val="24"/>
        </w:rPr>
      </w:pPr>
      <w:r w:rsidRPr="0070228F">
        <w:rPr>
          <w:rFonts w:ascii="Palatino Linotype" w:hAnsi="Palatino Linotype" w:cs="Palatino Linotype"/>
          <w:color w:val="000000"/>
          <w:sz w:val="24"/>
          <w:szCs w:val="24"/>
        </w:rPr>
        <w:t xml:space="preserve">On December 20, 2007, the California Public Utilities Commission, in Decision (D.) 07-12-054, established the CASF program as a two-year program to provide funds for the deployment of broadband infrastructure in unserved and underserved areas in California. </w:t>
      </w:r>
    </w:p>
    <w:p w:rsidR="00BC6E63" w:rsidRPr="0070228F" w:rsidRDefault="00BC6E63" w:rsidP="00BC6E63">
      <w:pPr>
        <w:autoSpaceDE w:val="0"/>
        <w:autoSpaceDN w:val="0"/>
        <w:adjustRightInd w:val="0"/>
        <w:rPr>
          <w:rFonts w:ascii="Palatino Linotype" w:hAnsi="Palatino Linotype" w:cs="Palatino Linotype"/>
          <w:color w:val="000000"/>
          <w:sz w:val="24"/>
          <w:szCs w:val="24"/>
        </w:rPr>
      </w:pPr>
    </w:p>
    <w:p w:rsidR="00BC6E63" w:rsidRPr="0070228F" w:rsidRDefault="00BC6E63" w:rsidP="00BC6E63">
      <w:pPr>
        <w:autoSpaceDE w:val="0"/>
        <w:autoSpaceDN w:val="0"/>
        <w:adjustRightInd w:val="0"/>
        <w:rPr>
          <w:rFonts w:ascii="Palatino Linotype" w:hAnsi="Palatino Linotype"/>
          <w:color w:val="000000"/>
          <w:sz w:val="24"/>
          <w:szCs w:val="24"/>
        </w:rPr>
      </w:pPr>
      <w:r w:rsidRPr="0070228F">
        <w:rPr>
          <w:rFonts w:ascii="Palatino Linotype" w:hAnsi="Palatino Linotype" w:cs="Palatino Linotype"/>
          <w:color w:val="000000"/>
          <w:sz w:val="24"/>
          <w:szCs w:val="24"/>
        </w:rPr>
        <w:t>On September 25, 2010, Governor Schwarzenegger signed Senate Bill (SB) 1040,</w:t>
      </w:r>
      <w:r w:rsidRPr="0070228F">
        <w:rPr>
          <w:rStyle w:val="FootnoteReference"/>
          <w:rFonts w:ascii="Palatino Linotype" w:hAnsi="Palatino Linotype" w:cs="Palatino Linotype"/>
          <w:color w:val="000000"/>
          <w:sz w:val="24"/>
          <w:szCs w:val="24"/>
        </w:rPr>
        <w:footnoteReference w:id="2"/>
      </w:r>
      <w:r w:rsidRPr="0070228F">
        <w:rPr>
          <w:rFonts w:ascii="Palatino Linotype" w:hAnsi="Palatino Linotype" w:cs="Palatino Linotype"/>
          <w:color w:val="000000"/>
          <w:sz w:val="24"/>
          <w:szCs w:val="24"/>
        </w:rPr>
        <w:t xml:space="preserve"> which codified the CASF program and expanded it to include three accounts: (1) the Infra-structure Grant Account, (2) the Consortia Grant Account, and (3) the Revolving Loan Account.</w:t>
      </w:r>
      <w:r>
        <w:rPr>
          <w:rFonts w:ascii="Palatino Linotype" w:hAnsi="Palatino Linotype" w:cs="Palatino Linotype"/>
          <w:color w:val="000000"/>
          <w:sz w:val="24"/>
          <w:szCs w:val="24"/>
        </w:rPr>
        <w:t xml:space="preserve"> </w:t>
      </w:r>
      <w:r w:rsidRPr="0070228F">
        <w:rPr>
          <w:rFonts w:ascii="Palatino Linotype" w:hAnsi="Palatino Linotype" w:cs="Palatino Linotype"/>
          <w:color w:val="000000"/>
          <w:sz w:val="24"/>
          <w:szCs w:val="24"/>
        </w:rPr>
        <w:t xml:space="preserve"> The latter two accounts are intended to address the needs that were unmet</w:t>
      </w:r>
      <w:r w:rsidRPr="0070228F">
        <w:rPr>
          <w:rFonts w:ascii="Palatino Linotype" w:hAnsi="Palatino Linotype"/>
          <w:sz w:val="24"/>
          <w:szCs w:val="24"/>
        </w:rPr>
        <w:t xml:space="preserve"> under the original CASF program. </w:t>
      </w:r>
      <w:r>
        <w:rPr>
          <w:rFonts w:ascii="Palatino Linotype" w:hAnsi="Palatino Linotype"/>
          <w:sz w:val="24"/>
          <w:szCs w:val="24"/>
        </w:rPr>
        <w:t xml:space="preserve"> </w:t>
      </w:r>
      <w:r w:rsidRPr="0070228F">
        <w:rPr>
          <w:rFonts w:ascii="Palatino Linotype" w:hAnsi="Palatino Linotype"/>
          <w:sz w:val="24"/>
          <w:szCs w:val="24"/>
        </w:rPr>
        <w:t>SB 1040 also expanded the CASF fund from $100 million to $225 million, adding $100 million to the Infrastructure Grant Account and allocating $10 million and $15 million to the Consortia Grant Account and the Revolving Loan Account, respectively.</w:t>
      </w:r>
      <w:r w:rsidRPr="0070228F">
        <w:rPr>
          <w:rStyle w:val="FootnoteReference"/>
          <w:rFonts w:ascii="Palatino Linotype" w:hAnsi="Palatino Linotype"/>
          <w:sz w:val="24"/>
          <w:szCs w:val="24"/>
        </w:rPr>
        <w:footnoteReference w:id="3"/>
      </w:r>
    </w:p>
    <w:p w:rsidR="00BC6E63" w:rsidRPr="0070228F" w:rsidRDefault="00BC6E63" w:rsidP="00BC6E63">
      <w:pPr>
        <w:autoSpaceDE w:val="0"/>
        <w:autoSpaceDN w:val="0"/>
        <w:adjustRightInd w:val="0"/>
        <w:rPr>
          <w:rFonts w:ascii="Palatino Linotype" w:hAnsi="Palatino Linotype"/>
          <w:color w:val="000000"/>
          <w:sz w:val="24"/>
          <w:szCs w:val="24"/>
        </w:rPr>
      </w:pPr>
    </w:p>
    <w:p w:rsidR="00BC6E63" w:rsidRPr="00AC245F" w:rsidRDefault="00BC6E63" w:rsidP="00BC6E63">
      <w:pPr>
        <w:autoSpaceDE w:val="0"/>
        <w:autoSpaceDN w:val="0"/>
        <w:adjustRightInd w:val="0"/>
        <w:rPr>
          <w:rFonts w:ascii="Palatino Linotype" w:hAnsi="Palatino Linotype" w:cs="Palatino Linotype"/>
          <w:sz w:val="24"/>
          <w:szCs w:val="24"/>
        </w:rPr>
      </w:pPr>
      <w:r w:rsidRPr="0070228F">
        <w:rPr>
          <w:rFonts w:ascii="Palatino Linotype" w:hAnsi="Palatino Linotype" w:cs="Palatino Linotype"/>
          <w:sz w:val="24"/>
          <w:szCs w:val="24"/>
        </w:rPr>
        <w:t xml:space="preserve">On February 1, </w:t>
      </w:r>
      <w:r w:rsidRPr="00AC245F">
        <w:rPr>
          <w:rFonts w:ascii="Palatino Linotype" w:hAnsi="Palatino Linotype" w:cs="Palatino Linotype"/>
          <w:sz w:val="24"/>
          <w:szCs w:val="24"/>
        </w:rPr>
        <w:t xml:space="preserve">2012, the Commission approved D.12-02-015 to implement new guidelines for the Infrastructure Grant and Revolving Loan Accounts. Key provisions of the decision include: </w:t>
      </w:r>
    </w:p>
    <w:p w:rsidR="00BC6E63" w:rsidRPr="00AC245F" w:rsidRDefault="00BC6E63" w:rsidP="00BC6E63">
      <w:pPr>
        <w:autoSpaceDE w:val="0"/>
        <w:autoSpaceDN w:val="0"/>
        <w:adjustRightInd w:val="0"/>
        <w:rPr>
          <w:rFonts w:ascii="Palatino Linotype" w:hAnsi="Palatino Linotype"/>
          <w:sz w:val="24"/>
          <w:szCs w:val="24"/>
        </w:rPr>
      </w:pPr>
    </w:p>
    <w:p w:rsidR="00BC6E63" w:rsidRPr="00AC245F" w:rsidRDefault="00BC6E63" w:rsidP="00BC6E63">
      <w:pPr>
        <w:numPr>
          <w:ilvl w:val="0"/>
          <w:numId w:val="5"/>
        </w:numPr>
        <w:autoSpaceDE w:val="0"/>
        <w:autoSpaceDN w:val="0"/>
        <w:adjustRightInd w:val="0"/>
        <w:spacing w:after="50"/>
        <w:rPr>
          <w:rFonts w:ascii="Palatino Linotype" w:hAnsi="Palatino Linotype" w:cs="Palatino Linotype"/>
          <w:sz w:val="24"/>
          <w:szCs w:val="24"/>
        </w:rPr>
      </w:pPr>
      <w:r w:rsidRPr="00AC245F">
        <w:rPr>
          <w:rFonts w:ascii="Palatino Linotype" w:hAnsi="Palatino Linotype" w:cs="Palatino Linotype"/>
          <w:sz w:val="24"/>
          <w:szCs w:val="24"/>
        </w:rPr>
        <w:t>A maximum CASF grant award of 70 percent of project costs for unserved areas and 60 percent for underserved areas; and,</w:t>
      </w:r>
    </w:p>
    <w:p w:rsidR="00BC6E63" w:rsidRPr="00AC245F" w:rsidRDefault="00BC6E63" w:rsidP="00BC6E63">
      <w:pPr>
        <w:numPr>
          <w:ilvl w:val="0"/>
          <w:numId w:val="5"/>
        </w:numPr>
        <w:autoSpaceDE w:val="0"/>
        <w:autoSpaceDN w:val="0"/>
        <w:adjustRightInd w:val="0"/>
        <w:spacing w:after="50"/>
        <w:rPr>
          <w:rFonts w:ascii="Palatino Linotype" w:hAnsi="Palatino Linotype" w:cs="Palatino Linotype"/>
          <w:sz w:val="24"/>
          <w:szCs w:val="24"/>
        </w:rPr>
      </w:pPr>
      <w:r w:rsidRPr="00AC245F">
        <w:rPr>
          <w:rFonts w:ascii="Palatino Linotype" w:hAnsi="Palatino Linotype" w:cs="Palatino Linotype"/>
          <w:sz w:val="24"/>
          <w:szCs w:val="24"/>
        </w:rPr>
        <w:t>A definition of an underserved area, “where broadband is available, but no wireline or wireless facilities-based provider offers service at advertised speeds of at least 6 megabits per second (Mbps) downstream and 1.5 Mbps upstream (6 Mbps /1.5 Mbps).”</w:t>
      </w:r>
    </w:p>
    <w:p w:rsidR="00BC6E63" w:rsidRPr="00AC245F" w:rsidRDefault="00BC6E63" w:rsidP="00BC6E63">
      <w:pPr>
        <w:autoSpaceDE w:val="0"/>
        <w:autoSpaceDN w:val="0"/>
        <w:adjustRightInd w:val="0"/>
        <w:ind w:left="720"/>
        <w:rPr>
          <w:rFonts w:ascii="Palatino Linotype" w:hAnsi="Palatino Linotype" w:cs="Palatino Linotype"/>
          <w:sz w:val="24"/>
          <w:szCs w:val="24"/>
        </w:rPr>
      </w:pPr>
    </w:p>
    <w:p w:rsidR="00BC6E63" w:rsidRPr="00AC245F" w:rsidRDefault="00BC6E63" w:rsidP="00BC6E63">
      <w:pPr>
        <w:autoSpaceDE w:val="0"/>
        <w:autoSpaceDN w:val="0"/>
        <w:adjustRightInd w:val="0"/>
        <w:rPr>
          <w:rFonts w:ascii="Palatino Linotype" w:hAnsi="Palatino Linotype" w:cs="Palatino Linotype"/>
          <w:sz w:val="24"/>
          <w:szCs w:val="24"/>
        </w:rPr>
      </w:pPr>
      <w:r w:rsidRPr="00AC245F">
        <w:rPr>
          <w:rFonts w:ascii="Palatino Linotype" w:hAnsi="Palatino Linotype" w:cs="Palatino Linotype"/>
          <w:sz w:val="24"/>
          <w:szCs w:val="24"/>
        </w:rPr>
        <w:t>Subsequently, on June 26, 2014, the Commission approved Resolution T-17443, which (relevant to this resolution) opened the CASF Broadband Infrastructure Grant Account to new applications as of December 1, 2014, and offered existing providers a “right of first refusal” to upgrade service in unserved and underserved areas.</w:t>
      </w:r>
      <w:r>
        <w:rPr>
          <w:rStyle w:val="FootnoteReference"/>
          <w:rFonts w:ascii="Palatino Linotype" w:hAnsi="Palatino Linotype" w:cs="Palatino Linotype"/>
          <w:sz w:val="24"/>
          <w:szCs w:val="24"/>
        </w:rPr>
        <w:footnoteReference w:id="4"/>
      </w:r>
      <w:r w:rsidRPr="00AC245F">
        <w:rPr>
          <w:rFonts w:ascii="Palatino Linotype" w:hAnsi="Palatino Linotype" w:cs="Palatino Linotype"/>
          <w:sz w:val="24"/>
          <w:szCs w:val="24"/>
        </w:rPr>
        <w:t xml:space="preserve"> </w:t>
      </w:r>
    </w:p>
    <w:p w:rsidR="00BC6E63" w:rsidRPr="00AC245F" w:rsidRDefault="00BC6E63" w:rsidP="00BC6E63">
      <w:pPr>
        <w:autoSpaceDE w:val="0"/>
        <w:autoSpaceDN w:val="0"/>
        <w:adjustRightInd w:val="0"/>
        <w:rPr>
          <w:rFonts w:ascii="Palatino Linotype" w:hAnsi="Palatino Linotype" w:cs="Palatino Linotype"/>
          <w:sz w:val="24"/>
          <w:szCs w:val="24"/>
        </w:rPr>
      </w:pPr>
    </w:p>
    <w:p w:rsidR="00BC6E63" w:rsidRPr="00AC245F" w:rsidRDefault="00BC6E63" w:rsidP="00BC6E63">
      <w:pPr>
        <w:autoSpaceDE w:val="0"/>
        <w:autoSpaceDN w:val="0"/>
        <w:adjustRightInd w:val="0"/>
        <w:rPr>
          <w:rFonts w:ascii="Palatino Linotype" w:hAnsi="Palatino Linotype" w:cs="Palatino Linotype"/>
          <w:sz w:val="24"/>
          <w:szCs w:val="24"/>
        </w:rPr>
      </w:pPr>
      <w:r w:rsidRPr="00AC245F">
        <w:rPr>
          <w:rFonts w:ascii="Palatino Linotype" w:hAnsi="Palatino Linotype" w:cs="Palatino Linotype"/>
          <w:sz w:val="24"/>
          <w:szCs w:val="24"/>
        </w:rPr>
        <w:t xml:space="preserve">On </w:t>
      </w:r>
      <w:r>
        <w:rPr>
          <w:rFonts w:ascii="Palatino Linotype" w:hAnsi="Palatino Linotype" w:cs="Palatino Linotype"/>
          <w:sz w:val="24"/>
          <w:szCs w:val="24"/>
        </w:rPr>
        <w:t>February 6</w:t>
      </w:r>
      <w:r w:rsidRPr="00AC245F">
        <w:rPr>
          <w:rFonts w:ascii="Palatino Linotype" w:hAnsi="Palatino Linotype" w:cs="Palatino Linotype"/>
          <w:sz w:val="24"/>
          <w:szCs w:val="24"/>
        </w:rPr>
        <w:t>, 201</w:t>
      </w:r>
      <w:r>
        <w:rPr>
          <w:rFonts w:ascii="Palatino Linotype" w:hAnsi="Palatino Linotype" w:cs="Palatino Linotype"/>
          <w:sz w:val="24"/>
          <w:szCs w:val="24"/>
        </w:rPr>
        <w:t>5</w:t>
      </w:r>
      <w:r w:rsidRPr="00AC245F">
        <w:rPr>
          <w:rFonts w:ascii="Palatino Linotype" w:hAnsi="Palatino Linotype" w:cs="Palatino Linotype"/>
          <w:sz w:val="24"/>
          <w:szCs w:val="24"/>
        </w:rPr>
        <w:t xml:space="preserve">, </w:t>
      </w:r>
      <w:r w:rsidRPr="000405BB">
        <w:rPr>
          <w:rFonts w:ascii="Palatino Linotype" w:hAnsi="Palatino Linotype" w:cs="Palatino Linotype"/>
          <w:sz w:val="24"/>
          <w:szCs w:val="24"/>
        </w:rPr>
        <w:t xml:space="preserve">Citizens Telecommunications Company of California, Inc. </w:t>
      </w:r>
      <w:r>
        <w:rPr>
          <w:rFonts w:ascii="Palatino Linotype" w:hAnsi="Palatino Linotype" w:cs="Palatino Linotype"/>
          <w:sz w:val="24"/>
          <w:szCs w:val="24"/>
        </w:rPr>
        <w:t xml:space="preserve">(Citizens) </w:t>
      </w:r>
      <w:r w:rsidRPr="00AC245F">
        <w:rPr>
          <w:rFonts w:ascii="Palatino Linotype" w:hAnsi="Palatino Linotype" w:cs="Palatino Linotype"/>
          <w:sz w:val="24"/>
          <w:szCs w:val="24"/>
        </w:rPr>
        <w:t>submitted a</w:t>
      </w:r>
      <w:r>
        <w:rPr>
          <w:rFonts w:ascii="Palatino Linotype" w:hAnsi="Palatino Linotype" w:cs="Palatino Linotype"/>
          <w:sz w:val="24"/>
          <w:szCs w:val="24"/>
        </w:rPr>
        <w:t xml:space="preserve"> CASF grant </w:t>
      </w:r>
      <w:r w:rsidRPr="00AC245F">
        <w:rPr>
          <w:rFonts w:ascii="Palatino Linotype" w:hAnsi="Palatino Linotype" w:cs="Palatino Linotype"/>
          <w:sz w:val="24"/>
          <w:szCs w:val="24"/>
        </w:rPr>
        <w:t>application</w:t>
      </w:r>
      <w:r>
        <w:rPr>
          <w:rFonts w:ascii="Palatino Linotype" w:hAnsi="Palatino Linotype" w:cs="Palatino Linotype"/>
          <w:sz w:val="24"/>
          <w:szCs w:val="24"/>
        </w:rPr>
        <w:t xml:space="preserve">, requesting </w:t>
      </w:r>
      <w:r w:rsidRPr="0070228F">
        <w:rPr>
          <w:rFonts w:ascii="Palatino Linotype" w:hAnsi="Palatino Linotype" w:cs="Palatino Linotype"/>
          <w:color w:val="000000"/>
          <w:sz w:val="24"/>
          <w:szCs w:val="24"/>
        </w:rPr>
        <w:t>$</w:t>
      </w:r>
      <w:r w:rsidRPr="00DA5136">
        <w:rPr>
          <w:rFonts w:ascii="Palatino Linotype" w:hAnsi="Palatino Linotype"/>
          <w:sz w:val="24"/>
          <w:szCs w:val="24"/>
        </w:rPr>
        <w:t>202,</w:t>
      </w:r>
      <w:r w:rsidRPr="00E565E4">
        <w:rPr>
          <w:rFonts w:ascii="Palatino Linotype" w:hAnsi="Palatino Linotype"/>
          <w:sz w:val="24"/>
          <w:szCs w:val="24"/>
        </w:rPr>
        <w:t xml:space="preserve">557 in funding </w:t>
      </w:r>
      <w:r w:rsidRPr="00AC245F">
        <w:rPr>
          <w:rFonts w:ascii="Palatino Linotype" w:hAnsi="Palatino Linotype" w:cs="Palatino Linotype"/>
          <w:sz w:val="24"/>
          <w:szCs w:val="24"/>
        </w:rPr>
        <w:t xml:space="preserve">to </w:t>
      </w:r>
      <w:r w:rsidRPr="00AC245F">
        <w:rPr>
          <w:rFonts w:ascii="Palatino Linotype" w:hAnsi="Palatino Linotype"/>
          <w:sz w:val="24"/>
          <w:szCs w:val="24"/>
        </w:rPr>
        <w:t xml:space="preserve">bring broadband service </w:t>
      </w:r>
      <w:r>
        <w:rPr>
          <w:rFonts w:ascii="Palatino Linotype" w:hAnsi="Palatino Linotype"/>
          <w:sz w:val="24"/>
          <w:szCs w:val="24"/>
        </w:rPr>
        <w:t xml:space="preserve">with maximum speeds of 25 Mbps download, 1.5 Mbps upload (and </w:t>
      </w:r>
      <w:r>
        <w:rPr>
          <w:rFonts w:ascii="Palatino Linotype" w:hAnsi="Palatino Linotype"/>
          <w:sz w:val="24"/>
          <w:szCs w:val="24"/>
        </w:rPr>
        <w:lastRenderedPageBreak/>
        <w:t xml:space="preserve">a minimum of 6 Mbps download, 1.5 Mbps upload) </w:t>
      </w:r>
      <w:r w:rsidRPr="00AC245F">
        <w:rPr>
          <w:rFonts w:ascii="Palatino Linotype" w:hAnsi="Palatino Linotype"/>
          <w:sz w:val="24"/>
          <w:szCs w:val="24"/>
        </w:rPr>
        <w:t xml:space="preserve">to the homes and businesses of the unincorporated community of </w:t>
      </w:r>
      <w:r>
        <w:rPr>
          <w:rFonts w:ascii="Palatino Linotype" w:hAnsi="Palatino Linotype"/>
          <w:sz w:val="24"/>
          <w:szCs w:val="24"/>
        </w:rPr>
        <w:t xml:space="preserve">Petrolia through middle mile broadband infrastructure expansion using existing DSL </w:t>
      </w:r>
      <w:r w:rsidRPr="00AC245F">
        <w:rPr>
          <w:rFonts w:ascii="Palatino Linotype" w:hAnsi="Palatino Linotype"/>
          <w:sz w:val="24"/>
          <w:szCs w:val="24"/>
        </w:rPr>
        <w:t>connection</w:t>
      </w:r>
      <w:r>
        <w:rPr>
          <w:rFonts w:ascii="Palatino Linotype" w:hAnsi="Palatino Linotype"/>
          <w:sz w:val="24"/>
          <w:szCs w:val="24"/>
        </w:rPr>
        <w:t>s</w:t>
      </w:r>
      <w:r w:rsidRPr="00AC245F">
        <w:rPr>
          <w:rFonts w:ascii="Palatino Linotype" w:hAnsi="Palatino Linotype"/>
          <w:sz w:val="24"/>
          <w:szCs w:val="24"/>
        </w:rPr>
        <w:t>.</w:t>
      </w:r>
      <w:r w:rsidRPr="00AC245F">
        <w:rPr>
          <w:rFonts w:ascii="Palatino Linotype" w:hAnsi="Palatino Linotype" w:cs="Palatino Linotype"/>
          <w:sz w:val="24"/>
          <w:szCs w:val="24"/>
        </w:rPr>
        <w:t xml:space="preserve"> </w:t>
      </w:r>
      <w:r>
        <w:rPr>
          <w:rFonts w:ascii="Palatino Linotype" w:hAnsi="Palatino Linotype" w:cs="Palatino Linotype"/>
          <w:sz w:val="24"/>
          <w:szCs w:val="24"/>
        </w:rPr>
        <w:t xml:space="preserve"> There were no commitments made by an </w:t>
      </w:r>
      <w:r w:rsidRPr="00AC245F">
        <w:rPr>
          <w:rFonts w:ascii="Palatino Linotype" w:hAnsi="Palatino Linotype" w:cs="Palatino Linotype"/>
          <w:sz w:val="24"/>
          <w:szCs w:val="24"/>
        </w:rPr>
        <w:t>existing provider</w:t>
      </w:r>
      <w:r>
        <w:rPr>
          <w:rFonts w:ascii="Palatino Linotype" w:hAnsi="Palatino Linotype" w:cs="Palatino Linotype"/>
          <w:sz w:val="24"/>
          <w:szCs w:val="24"/>
        </w:rPr>
        <w:t xml:space="preserve"> </w:t>
      </w:r>
      <w:r w:rsidRPr="00AC245F">
        <w:rPr>
          <w:rFonts w:ascii="Palatino Linotype" w:hAnsi="Palatino Linotype" w:cs="Palatino Linotype"/>
          <w:sz w:val="24"/>
          <w:szCs w:val="24"/>
        </w:rPr>
        <w:t>to upgrade service before the Nov</w:t>
      </w:r>
      <w:r>
        <w:rPr>
          <w:rFonts w:ascii="Palatino Linotype" w:hAnsi="Palatino Linotype" w:cs="Palatino Linotype"/>
          <w:sz w:val="24"/>
          <w:szCs w:val="24"/>
        </w:rPr>
        <w:t>ember</w:t>
      </w:r>
      <w:r w:rsidRPr="00AC245F">
        <w:rPr>
          <w:rFonts w:ascii="Palatino Linotype" w:hAnsi="Palatino Linotype" w:cs="Palatino Linotype"/>
          <w:sz w:val="24"/>
          <w:szCs w:val="24"/>
        </w:rPr>
        <w:t xml:space="preserve"> 1, 2014, “first </w:t>
      </w:r>
      <w:r>
        <w:rPr>
          <w:rFonts w:ascii="Palatino Linotype" w:hAnsi="Palatino Linotype" w:cs="Palatino Linotype"/>
          <w:sz w:val="24"/>
          <w:szCs w:val="24"/>
        </w:rPr>
        <w:t xml:space="preserve">right of </w:t>
      </w:r>
      <w:r w:rsidRPr="00AC245F">
        <w:rPr>
          <w:rFonts w:ascii="Palatino Linotype" w:hAnsi="Palatino Linotype" w:cs="Palatino Linotype"/>
          <w:sz w:val="24"/>
          <w:szCs w:val="24"/>
        </w:rPr>
        <w:t xml:space="preserve">refusal” deadline and the </w:t>
      </w:r>
      <w:r>
        <w:rPr>
          <w:rFonts w:ascii="Palatino Linotype" w:hAnsi="Palatino Linotype" w:cs="Palatino Linotype"/>
          <w:sz w:val="24"/>
          <w:szCs w:val="24"/>
        </w:rPr>
        <w:t>Petrolia</w:t>
      </w:r>
      <w:r w:rsidRPr="00AC245F">
        <w:rPr>
          <w:rFonts w:ascii="Palatino Linotype" w:hAnsi="Palatino Linotype" w:cs="Palatino Linotype"/>
          <w:sz w:val="24"/>
          <w:szCs w:val="24"/>
        </w:rPr>
        <w:t xml:space="preserve"> area has been determined by </w:t>
      </w:r>
      <w:r>
        <w:rPr>
          <w:rFonts w:ascii="Palatino Linotype" w:hAnsi="Palatino Linotype" w:cs="Palatino Linotype"/>
          <w:sz w:val="24"/>
          <w:szCs w:val="24"/>
        </w:rPr>
        <w:t>Communications Division (</w:t>
      </w:r>
      <w:r w:rsidRPr="00AC245F">
        <w:rPr>
          <w:rFonts w:ascii="Palatino Linotype" w:hAnsi="Palatino Linotype" w:cs="Palatino Linotype"/>
          <w:sz w:val="24"/>
          <w:szCs w:val="24"/>
        </w:rPr>
        <w:t>CD</w:t>
      </w:r>
      <w:r>
        <w:rPr>
          <w:rFonts w:ascii="Palatino Linotype" w:hAnsi="Palatino Linotype" w:cs="Palatino Linotype"/>
          <w:sz w:val="24"/>
          <w:szCs w:val="24"/>
        </w:rPr>
        <w:t>)</w:t>
      </w:r>
      <w:r w:rsidRPr="00AC245F">
        <w:rPr>
          <w:rFonts w:ascii="Palatino Linotype" w:hAnsi="Palatino Linotype" w:cs="Palatino Linotype"/>
          <w:sz w:val="24"/>
          <w:szCs w:val="24"/>
        </w:rPr>
        <w:t xml:space="preserve"> staff to be “underserved</w:t>
      </w:r>
      <w:r>
        <w:rPr>
          <w:rFonts w:ascii="Palatino Linotype" w:hAnsi="Palatino Linotype" w:cs="Palatino Linotype"/>
          <w:sz w:val="24"/>
          <w:szCs w:val="24"/>
        </w:rPr>
        <w:t>.”</w:t>
      </w:r>
      <w:r w:rsidRPr="00AC245F">
        <w:rPr>
          <w:rFonts w:ascii="Palatino Linotype" w:hAnsi="Palatino Linotype" w:cs="Palatino Linotype"/>
          <w:sz w:val="24"/>
          <w:szCs w:val="24"/>
        </w:rPr>
        <w:t xml:space="preserve"> </w:t>
      </w:r>
      <w:r>
        <w:rPr>
          <w:rFonts w:ascii="Palatino Linotype" w:hAnsi="Palatino Linotype" w:cs="Palatino Linotype"/>
          <w:sz w:val="24"/>
          <w:szCs w:val="24"/>
        </w:rPr>
        <w:t xml:space="preserve"> </w:t>
      </w:r>
      <w:r w:rsidRPr="00AC245F">
        <w:rPr>
          <w:rFonts w:ascii="Palatino Linotype" w:hAnsi="Palatino Linotype" w:cs="Palatino Linotype"/>
          <w:sz w:val="24"/>
          <w:szCs w:val="24"/>
        </w:rPr>
        <w:t>Therefore</w:t>
      </w:r>
      <w:r>
        <w:rPr>
          <w:rFonts w:ascii="Palatino Linotype" w:hAnsi="Palatino Linotype" w:cs="Palatino Linotype"/>
          <w:sz w:val="24"/>
          <w:szCs w:val="24"/>
        </w:rPr>
        <w:t>,</w:t>
      </w:r>
      <w:r w:rsidRPr="00AC245F">
        <w:rPr>
          <w:rFonts w:ascii="Palatino Linotype" w:hAnsi="Palatino Linotype" w:cs="Palatino Linotype"/>
          <w:sz w:val="24"/>
          <w:szCs w:val="24"/>
        </w:rPr>
        <w:t xml:space="preserve"> </w:t>
      </w:r>
      <w:r>
        <w:rPr>
          <w:rFonts w:ascii="Palatino Linotype" w:hAnsi="Palatino Linotype" w:cs="Palatino Linotype"/>
          <w:sz w:val="24"/>
          <w:szCs w:val="24"/>
        </w:rPr>
        <w:t>CD deemed the Petrolia</w:t>
      </w:r>
      <w:r w:rsidRPr="00AC245F">
        <w:rPr>
          <w:rFonts w:ascii="Palatino Linotype" w:hAnsi="Palatino Linotype" w:cs="Palatino Linotype"/>
          <w:sz w:val="24"/>
          <w:szCs w:val="24"/>
        </w:rPr>
        <w:t xml:space="preserve"> </w:t>
      </w:r>
      <w:r>
        <w:rPr>
          <w:rFonts w:ascii="Palatino Linotype" w:hAnsi="Palatino Linotype" w:cs="Palatino Linotype"/>
          <w:sz w:val="24"/>
          <w:szCs w:val="24"/>
        </w:rPr>
        <w:t>area</w:t>
      </w:r>
      <w:r w:rsidRPr="00AC245F">
        <w:rPr>
          <w:rFonts w:ascii="Palatino Linotype" w:hAnsi="Palatino Linotype" w:cs="Palatino Linotype"/>
          <w:sz w:val="24"/>
          <w:szCs w:val="24"/>
        </w:rPr>
        <w:t xml:space="preserve"> eligible for new applications.</w:t>
      </w:r>
    </w:p>
    <w:p w:rsidR="00BC6E63" w:rsidRDefault="00BC6E63" w:rsidP="00BC6E63">
      <w:pPr>
        <w:autoSpaceDE w:val="0"/>
        <w:autoSpaceDN w:val="0"/>
        <w:adjustRightInd w:val="0"/>
        <w:rPr>
          <w:rFonts w:ascii="Palatino Linotype" w:hAnsi="Palatino Linotype" w:cs="Palatino Linotype"/>
          <w:sz w:val="24"/>
          <w:szCs w:val="24"/>
        </w:rPr>
      </w:pPr>
    </w:p>
    <w:p w:rsidR="00BC6E63" w:rsidRPr="00AC245F" w:rsidRDefault="00BC6E63" w:rsidP="00BC6E63">
      <w:pPr>
        <w:numPr>
          <w:ilvl w:val="0"/>
          <w:numId w:val="12"/>
        </w:numPr>
        <w:autoSpaceDE w:val="0"/>
        <w:autoSpaceDN w:val="0"/>
        <w:adjustRightInd w:val="0"/>
        <w:rPr>
          <w:rFonts w:ascii="Palatino Linotype" w:hAnsi="Palatino Linotype" w:cs="Palatino Linotype"/>
          <w:b/>
          <w:sz w:val="24"/>
          <w:szCs w:val="24"/>
        </w:rPr>
      </w:pPr>
      <w:r w:rsidRPr="00AC245F">
        <w:rPr>
          <w:rFonts w:ascii="Palatino Linotype" w:hAnsi="Palatino Linotype" w:cs="Palatino Linotype"/>
          <w:b/>
          <w:sz w:val="24"/>
          <w:szCs w:val="24"/>
        </w:rPr>
        <w:t>Notice/Protests</w:t>
      </w:r>
    </w:p>
    <w:p w:rsidR="00BC6E63" w:rsidRPr="00AC245F" w:rsidRDefault="00BC6E63" w:rsidP="00BC6E63">
      <w:pPr>
        <w:autoSpaceDE w:val="0"/>
        <w:autoSpaceDN w:val="0"/>
        <w:adjustRightInd w:val="0"/>
        <w:rPr>
          <w:rFonts w:ascii="Palatino Linotype" w:hAnsi="Palatino Linotype" w:cs="Palatino Linotype"/>
          <w:b/>
          <w:sz w:val="24"/>
          <w:szCs w:val="24"/>
        </w:rPr>
      </w:pPr>
    </w:p>
    <w:p w:rsidR="00BC6E63" w:rsidRPr="00AC245F" w:rsidRDefault="00BC6E63" w:rsidP="00BC6E63">
      <w:pPr>
        <w:autoSpaceDE w:val="0"/>
        <w:autoSpaceDN w:val="0"/>
        <w:adjustRightInd w:val="0"/>
        <w:rPr>
          <w:rFonts w:ascii="Palatino Linotype" w:hAnsi="Palatino Linotype" w:cs="Palatino Linotype"/>
          <w:color w:val="000000"/>
          <w:sz w:val="24"/>
          <w:szCs w:val="24"/>
        </w:rPr>
      </w:pPr>
      <w:r w:rsidRPr="00AC245F">
        <w:rPr>
          <w:rFonts w:ascii="Palatino Linotype" w:hAnsi="Palatino Linotype" w:cs="Palatino Linotype"/>
          <w:sz w:val="24"/>
          <w:szCs w:val="24"/>
        </w:rPr>
        <w:t xml:space="preserve">On </w:t>
      </w:r>
      <w:r>
        <w:rPr>
          <w:rFonts w:ascii="Palatino Linotype" w:hAnsi="Palatino Linotype" w:cs="Palatino Linotype"/>
          <w:sz w:val="24"/>
          <w:szCs w:val="24"/>
        </w:rPr>
        <w:t>February 27</w:t>
      </w:r>
      <w:r w:rsidRPr="00AC245F">
        <w:rPr>
          <w:rFonts w:ascii="Palatino Linotype" w:hAnsi="Palatino Linotype" w:cs="Palatino Linotype"/>
          <w:sz w:val="24"/>
          <w:szCs w:val="24"/>
        </w:rPr>
        <w:t>, 201</w:t>
      </w:r>
      <w:r>
        <w:rPr>
          <w:rFonts w:ascii="Palatino Linotype" w:hAnsi="Palatino Linotype" w:cs="Palatino Linotype"/>
          <w:sz w:val="24"/>
          <w:szCs w:val="24"/>
        </w:rPr>
        <w:t>5</w:t>
      </w:r>
      <w:r w:rsidRPr="00AC245F">
        <w:rPr>
          <w:rFonts w:ascii="Palatino Linotype" w:hAnsi="Palatino Linotype" w:cs="Palatino Linotype"/>
          <w:sz w:val="24"/>
          <w:szCs w:val="24"/>
        </w:rPr>
        <w:t>, CD</w:t>
      </w:r>
      <w:r>
        <w:rPr>
          <w:rFonts w:ascii="Palatino Linotype" w:hAnsi="Palatino Linotype" w:cs="Palatino Linotype"/>
          <w:sz w:val="24"/>
          <w:szCs w:val="24"/>
        </w:rPr>
        <w:t xml:space="preserve"> </w:t>
      </w:r>
      <w:r w:rsidRPr="00AC245F">
        <w:rPr>
          <w:rFonts w:ascii="Palatino Linotype" w:hAnsi="Palatino Linotype" w:cs="Palatino Linotype"/>
          <w:sz w:val="24"/>
          <w:szCs w:val="24"/>
        </w:rPr>
        <w:t xml:space="preserve">posted the proposed project </w:t>
      </w:r>
      <w:r w:rsidRPr="00AC245F">
        <w:rPr>
          <w:rFonts w:ascii="Palatino Linotype" w:hAnsi="Palatino Linotype" w:cs="Palatino Linotype"/>
          <w:color w:val="000000"/>
          <w:sz w:val="24"/>
          <w:szCs w:val="24"/>
        </w:rPr>
        <w:t xml:space="preserve">area map, census block groups (CBGs) and zip codes for the </w:t>
      </w:r>
      <w:r>
        <w:rPr>
          <w:rFonts w:ascii="Palatino Linotype" w:hAnsi="Palatino Linotype" w:cs="Palatino Linotype"/>
          <w:color w:val="000000"/>
          <w:sz w:val="24"/>
          <w:szCs w:val="24"/>
        </w:rPr>
        <w:t>Petrolia</w:t>
      </w:r>
      <w:r w:rsidRPr="00AC245F">
        <w:rPr>
          <w:rFonts w:ascii="Palatino Linotype" w:hAnsi="Palatino Linotype" w:cs="Palatino Linotype"/>
          <w:color w:val="000000"/>
          <w:sz w:val="24"/>
          <w:szCs w:val="24"/>
        </w:rPr>
        <w:t xml:space="preserve"> Project on the Commission’s CASF webpage under “CASF Application Project Summaries” and also sent notice regarding the project to its electronic service list. CD received no challenges to the proposed project area.</w:t>
      </w:r>
    </w:p>
    <w:p w:rsidR="00BC6E63" w:rsidRPr="0070228F" w:rsidRDefault="00BC6E63" w:rsidP="00BC6E63">
      <w:pPr>
        <w:ind w:right="630"/>
        <w:rPr>
          <w:rFonts w:ascii="Palatino Linotype" w:hAnsi="Palatino Linotype" w:cs="Palatino Linotype"/>
          <w:color w:val="000000"/>
          <w:sz w:val="24"/>
          <w:szCs w:val="24"/>
        </w:rPr>
      </w:pPr>
    </w:p>
    <w:p w:rsidR="00BC6E63" w:rsidRPr="0070228F" w:rsidRDefault="00BC6E63" w:rsidP="00BC6E63">
      <w:pPr>
        <w:numPr>
          <w:ilvl w:val="0"/>
          <w:numId w:val="12"/>
        </w:numPr>
        <w:ind w:right="630"/>
        <w:rPr>
          <w:rFonts w:ascii="Palatino Linotype" w:hAnsi="Palatino Linotype"/>
          <w:b/>
          <w:color w:val="000000"/>
          <w:sz w:val="24"/>
          <w:szCs w:val="24"/>
        </w:rPr>
      </w:pPr>
      <w:r w:rsidRPr="0070228F">
        <w:rPr>
          <w:rFonts w:ascii="Palatino Linotype" w:hAnsi="Palatino Linotype"/>
          <w:b/>
          <w:color w:val="000000"/>
          <w:sz w:val="24"/>
          <w:szCs w:val="24"/>
        </w:rPr>
        <w:t>Discussion</w:t>
      </w:r>
    </w:p>
    <w:p w:rsidR="00BC6E63" w:rsidRPr="0070228F" w:rsidRDefault="00BC6E63" w:rsidP="00BC6E63">
      <w:pPr>
        <w:ind w:right="630"/>
        <w:rPr>
          <w:rFonts w:ascii="Palatino Linotype" w:hAnsi="Palatino Linotype"/>
          <w:color w:val="000000"/>
          <w:sz w:val="24"/>
          <w:szCs w:val="24"/>
        </w:rPr>
      </w:pPr>
    </w:p>
    <w:p w:rsidR="00BC6E63" w:rsidRPr="0070228F" w:rsidRDefault="00BC6E63" w:rsidP="00BC6E63">
      <w:pPr>
        <w:autoSpaceDE w:val="0"/>
        <w:autoSpaceDN w:val="0"/>
        <w:adjustRightInd w:val="0"/>
        <w:rPr>
          <w:rFonts w:ascii="Palatino Linotype" w:hAnsi="Palatino Linotype" w:cs="Palatino Linotype"/>
          <w:color w:val="000000"/>
          <w:sz w:val="24"/>
          <w:szCs w:val="24"/>
        </w:rPr>
      </w:pPr>
      <w:r w:rsidRPr="0070228F">
        <w:rPr>
          <w:rFonts w:ascii="Palatino Linotype" w:hAnsi="Palatino Linotype" w:cs="Palatino Linotype"/>
          <w:color w:val="000000"/>
          <w:sz w:val="24"/>
          <w:szCs w:val="24"/>
        </w:rPr>
        <w:t xml:space="preserve">This Resolution adopts CD’s recommended CASF </w:t>
      </w:r>
      <w:r>
        <w:rPr>
          <w:rFonts w:ascii="Palatino Linotype" w:hAnsi="Palatino Linotype" w:cs="Palatino Linotype"/>
          <w:color w:val="000000"/>
          <w:sz w:val="24"/>
          <w:szCs w:val="24"/>
        </w:rPr>
        <w:t>grant</w:t>
      </w:r>
      <w:r w:rsidRPr="0070228F">
        <w:rPr>
          <w:rFonts w:ascii="Palatino Linotype" w:hAnsi="Palatino Linotype" w:cs="Palatino Linotype"/>
          <w:color w:val="000000"/>
          <w:sz w:val="24"/>
          <w:szCs w:val="24"/>
        </w:rPr>
        <w:t xml:space="preserve"> award of $</w:t>
      </w:r>
      <w:r w:rsidRPr="00DA5136">
        <w:rPr>
          <w:rFonts w:ascii="Palatino Linotype" w:hAnsi="Palatino Linotype"/>
          <w:sz w:val="24"/>
          <w:szCs w:val="24"/>
        </w:rPr>
        <w:t>202,557</w:t>
      </w:r>
      <w:r>
        <w:rPr>
          <w:rFonts w:ascii="Palatino Linotype" w:hAnsi="Palatino Linotype"/>
          <w:b/>
          <w:sz w:val="24"/>
          <w:szCs w:val="24"/>
        </w:rPr>
        <w:t xml:space="preserve"> </w:t>
      </w:r>
      <w:r w:rsidRPr="0070228F">
        <w:rPr>
          <w:rFonts w:ascii="Palatino Linotype" w:hAnsi="Palatino Linotype" w:cs="Palatino Linotype"/>
          <w:color w:val="000000"/>
          <w:sz w:val="24"/>
          <w:szCs w:val="24"/>
        </w:rPr>
        <w:t xml:space="preserve">for </w:t>
      </w:r>
      <w:r>
        <w:rPr>
          <w:rFonts w:ascii="Palatino Linotype" w:hAnsi="Palatino Linotype" w:cs="Palatino Linotype"/>
          <w:color w:val="000000"/>
          <w:sz w:val="24"/>
          <w:szCs w:val="24"/>
        </w:rPr>
        <w:t>Citizens’</w:t>
      </w:r>
      <w:r w:rsidRPr="0070228F">
        <w:rPr>
          <w:rFonts w:ascii="Palatino Linotype" w:hAnsi="Palatino Linotype" w:cs="Palatino Linotype"/>
          <w:color w:val="000000"/>
          <w:sz w:val="24"/>
          <w:szCs w:val="24"/>
        </w:rPr>
        <w:t xml:space="preserve"> </w:t>
      </w:r>
      <w:r>
        <w:rPr>
          <w:rFonts w:ascii="Palatino Linotype" w:hAnsi="Palatino Linotype" w:cs="Palatino Linotype"/>
          <w:color w:val="000000"/>
          <w:sz w:val="24"/>
          <w:szCs w:val="24"/>
        </w:rPr>
        <w:t>Petrolia</w:t>
      </w:r>
      <w:r w:rsidRPr="0070228F">
        <w:rPr>
          <w:rFonts w:ascii="Palatino Linotype" w:hAnsi="Palatino Linotype" w:cs="Palatino Linotype"/>
          <w:color w:val="000000"/>
          <w:sz w:val="24"/>
          <w:szCs w:val="24"/>
        </w:rPr>
        <w:t xml:space="preserve"> Project. This award represents 60 percent of the applicant’s estimated total project cost of </w:t>
      </w:r>
      <w:r>
        <w:rPr>
          <w:rFonts w:ascii="Palatino Linotype" w:hAnsi="Palatino Linotype" w:cs="Palatino Linotype"/>
          <w:color w:val="000000"/>
          <w:sz w:val="24"/>
          <w:szCs w:val="24"/>
        </w:rPr>
        <w:t>$337,596</w:t>
      </w:r>
      <w:r w:rsidRPr="0070228F">
        <w:rPr>
          <w:rFonts w:ascii="Palatino Linotype" w:hAnsi="Palatino Linotype" w:cs="Palatino Linotype"/>
          <w:color w:val="000000"/>
          <w:sz w:val="24"/>
          <w:szCs w:val="24"/>
        </w:rPr>
        <w:t xml:space="preserve">. </w:t>
      </w:r>
      <w:r>
        <w:rPr>
          <w:rFonts w:ascii="Palatino Linotype" w:hAnsi="Palatino Linotype" w:cs="Palatino Linotype"/>
          <w:color w:val="000000"/>
          <w:sz w:val="24"/>
          <w:szCs w:val="24"/>
        </w:rPr>
        <w:t xml:space="preserve"> An overview of the Petrolia Project and summary of the staff evaluation follow, with k</w:t>
      </w:r>
      <w:r w:rsidRPr="0070228F">
        <w:rPr>
          <w:rFonts w:ascii="Palatino Linotype" w:hAnsi="Palatino Linotype" w:cs="Palatino Linotype"/>
          <w:color w:val="000000"/>
          <w:sz w:val="24"/>
          <w:szCs w:val="24"/>
        </w:rPr>
        <w:t xml:space="preserve">ey project information and maps are shown in </w:t>
      </w:r>
      <w:r>
        <w:rPr>
          <w:rFonts w:ascii="Palatino Linotype" w:hAnsi="Palatino Linotype" w:cs="Palatino Linotype"/>
          <w:color w:val="000000"/>
          <w:sz w:val="24"/>
          <w:szCs w:val="24"/>
        </w:rPr>
        <w:t>the appendices</w:t>
      </w:r>
      <w:r w:rsidRPr="0070228F">
        <w:rPr>
          <w:rFonts w:ascii="Palatino Linotype" w:hAnsi="Palatino Linotype" w:cs="Palatino Linotype"/>
          <w:color w:val="000000"/>
          <w:sz w:val="24"/>
          <w:szCs w:val="24"/>
        </w:rPr>
        <w:t xml:space="preserve">. </w:t>
      </w:r>
    </w:p>
    <w:p w:rsidR="00BC6E63" w:rsidRPr="0070228F" w:rsidRDefault="00BC6E63" w:rsidP="00BC6E63">
      <w:pPr>
        <w:autoSpaceDE w:val="0"/>
        <w:autoSpaceDN w:val="0"/>
        <w:adjustRightInd w:val="0"/>
        <w:rPr>
          <w:rFonts w:ascii="Palatino Linotype" w:hAnsi="Palatino Linotype" w:cs="Palatino Linotype"/>
          <w:color w:val="000000"/>
          <w:sz w:val="24"/>
          <w:szCs w:val="24"/>
        </w:rPr>
      </w:pPr>
    </w:p>
    <w:p w:rsidR="00BC6E63" w:rsidRPr="0070228F" w:rsidRDefault="00BC6E63" w:rsidP="00BC6E63">
      <w:pPr>
        <w:numPr>
          <w:ilvl w:val="0"/>
          <w:numId w:val="10"/>
        </w:numPr>
        <w:autoSpaceDE w:val="0"/>
        <w:autoSpaceDN w:val="0"/>
        <w:adjustRightInd w:val="0"/>
        <w:rPr>
          <w:rFonts w:ascii="Palatino Linotype" w:hAnsi="Palatino Linotype" w:cs="Palatino Linotype"/>
          <w:color w:val="000000"/>
          <w:sz w:val="24"/>
          <w:szCs w:val="24"/>
          <w:u w:val="single"/>
        </w:rPr>
      </w:pPr>
      <w:r w:rsidRPr="0070228F">
        <w:rPr>
          <w:rFonts w:ascii="Palatino Linotype" w:hAnsi="Palatino Linotype" w:cs="Palatino Linotype"/>
          <w:color w:val="000000"/>
          <w:sz w:val="24"/>
          <w:szCs w:val="24"/>
          <w:u w:val="single"/>
        </w:rPr>
        <w:t xml:space="preserve">Project Overview </w:t>
      </w:r>
    </w:p>
    <w:p w:rsidR="00BC6E63" w:rsidRPr="0070228F" w:rsidRDefault="00BC6E63" w:rsidP="00BC6E63">
      <w:pPr>
        <w:autoSpaceDE w:val="0"/>
        <w:autoSpaceDN w:val="0"/>
        <w:adjustRightInd w:val="0"/>
        <w:ind w:left="720"/>
        <w:rPr>
          <w:rFonts w:ascii="Palatino Linotype" w:hAnsi="Palatino Linotype" w:cs="Palatino Linotype"/>
          <w:color w:val="000000"/>
          <w:sz w:val="24"/>
          <w:szCs w:val="24"/>
          <w:u w:val="single"/>
        </w:rPr>
      </w:pPr>
    </w:p>
    <w:p w:rsidR="00BC6E63" w:rsidRDefault="00BC6E63" w:rsidP="00BC6E63">
      <w:pPr>
        <w:rPr>
          <w:rFonts w:ascii="Palatino Linotype" w:hAnsi="Palatino Linotype"/>
          <w:sz w:val="24"/>
          <w:szCs w:val="24"/>
        </w:rPr>
      </w:pPr>
      <w:r w:rsidRPr="00C948CB">
        <w:rPr>
          <w:rFonts w:ascii="Palatino Linotype" w:hAnsi="Palatino Linotype"/>
          <w:sz w:val="24"/>
          <w:szCs w:val="24"/>
        </w:rPr>
        <w:t xml:space="preserve">Frontier Communications Corporation currently operates in California as Citizens Telecommunications </w:t>
      </w:r>
      <w:r>
        <w:rPr>
          <w:rFonts w:ascii="Palatino Linotype" w:hAnsi="Palatino Linotype"/>
          <w:sz w:val="24"/>
          <w:szCs w:val="24"/>
        </w:rPr>
        <w:t xml:space="preserve">Company of California (Citizens) (U-1024) </w:t>
      </w:r>
      <w:r w:rsidRPr="00C948CB">
        <w:rPr>
          <w:rFonts w:ascii="Palatino Linotype" w:hAnsi="Palatino Linotype"/>
          <w:sz w:val="24"/>
          <w:szCs w:val="24"/>
        </w:rPr>
        <w:t>and Frontier Co</w:t>
      </w:r>
      <w:r>
        <w:rPr>
          <w:rFonts w:ascii="Palatino Linotype" w:hAnsi="Palatino Linotype"/>
          <w:sz w:val="24"/>
          <w:szCs w:val="24"/>
        </w:rPr>
        <w:t>mmunications Southwest</w:t>
      </w:r>
      <w:r w:rsidR="002E5F0D">
        <w:rPr>
          <w:rFonts w:ascii="Palatino Linotype" w:hAnsi="Palatino Linotype"/>
          <w:sz w:val="24"/>
          <w:szCs w:val="24"/>
        </w:rPr>
        <w:t xml:space="preserve"> (U-1026)</w:t>
      </w:r>
      <w:r>
        <w:rPr>
          <w:rFonts w:ascii="Palatino Linotype" w:hAnsi="Palatino Linotype"/>
          <w:sz w:val="24"/>
          <w:szCs w:val="24"/>
        </w:rPr>
        <w:t xml:space="preserve">.  </w:t>
      </w:r>
      <w:r w:rsidRPr="00C948CB">
        <w:rPr>
          <w:rFonts w:ascii="Palatino Linotype" w:hAnsi="Palatino Linotype"/>
          <w:sz w:val="24"/>
          <w:szCs w:val="24"/>
        </w:rPr>
        <w:t>Frontier Communications Corporation</w:t>
      </w:r>
      <w:r>
        <w:rPr>
          <w:rFonts w:ascii="Palatino Linotype" w:hAnsi="Palatino Linotype"/>
          <w:sz w:val="24"/>
          <w:szCs w:val="24"/>
        </w:rPr>
        <w:t xml:space="preserve"> (Frontier) </w:t>
      </w:r>
      <w:r w:rsidRPr="00C948CB">
        <w:rPr>
          <w:rFonts w:ascii="Palatino Linotype" w:hAnsi="Palatino Linotype"/>
          <w:sz w:val="24"/>
          <w:szCs w:val="24"/>
        </w:rPr>
        <w:t>is a U.S. telephone company mainly serving rural areas and smaller communities.  It was known as Citizens Utilities Company</w:t>
      </w:r>
      <w:r>
        <w:rPr>
          <w:rStyle w:val="FootnoteReference"/>
          <w:rFonts w:ascii="Palatino Linotype" w:hAnsi="Palatino Linotype"/>
          <w:sz w:val="24"/>
          <w:szCs w:val="24"/>
        </w:rPr>
        <w:footnoteReference w:id="5"/>
      </w:r>
      <w:r w:rsidRPr="00C948CB">
        <w:rPr>
          <w:rFonts w:ascii="Palatino Linotype" w:hAnsi="Palatino Linotype"/>
          <w:sz w:val="24"/>
          <w:szCs w:val="24"/>
        </w:rPr>
        <w:t xml:space="preserve"> until May 2000 and Citizens Communications Company until July 31, 2008.</w:t>
      </w:r>
      <w:r>
        <w:rPr>
          <w:rFonts w:ascii="Palatino Linotype" w:hAnsi="Palatino Linotype"/>
          <w:sz w:val="24"/>
          <w:szCs w:val="24"/>
        </w:rPr>
        <w:t xml:space="preserve">  Frontier is the sixth </w:t>
      </w:r>
      <w:r w:rsidRPr="0061613E">
        <w:rPr>
          <w:rFonts w:ascii="Palatino Linotype" w:hAnsi="Palatino Linotype"/>
          <w:sz w:val="24"/>
          <w:szCs w:val="24"/>
        </w:rPr>
        <w:t>largest local exchange c</w:t>
      </w:r>
      <w:r>
        <w:rPr>
          <w:rFonts w:ascii="Palatino Linotype" w:hAnsi="Palatino Linotype"/>
          <w:sz w:val="24"/>
          <w:szCs w:val="24"/>
        </w:rPr>
        <w:t xml:space="preserve">arrier and the fourth </w:t>
      </w:r>
      <w:r w:rsidRPr="0061613E">
        <w:rPr>
          <w:rFonts w:ascii="Palatino Linotype" w:hAnsi="Palatino Linotype"/>
          <w:sz w:val="24"/>
          <w:szCs w:val="24"/>
        </w:rPr>
        <w:t xml:space="preserve">largest provider of </w:t>
      </w:r>
      <w:r>
        <w:rPr>
          <w:rFonts w:ascii="Palatino Linotype" w:hAnsi="Palatino Linotype"/>
          <w:sz w:val="24"/>
          <w:szCs w:val="24"/>
        </w:rPr>
        <w:t xml:space="preserve">DSL, </w:t>
      </w:r>
      <w:r w:rsidRPr="0061613E">
        <w:rPr>
          <w:rFonts w:ascii="Palatino Linotype" w:hAnsi="Palatino Linotype"/>
          <w:sz w:val="24"/>
          <w:szCs w:val="24"/>
        </w:rPr>
        <w:t>based on coverage a</w:t>
      </w:r>
      <w:r>
        <w:rPr>
          <w:rFonts w:ascii="Palatino Linotype" w:hAnsi="Palatino Linotype"/>
          <w:sz w:val="24"/>
          <w:szCs w:val="24"/>
        </w:rPr>
        <w:t xml:space="preserve">rea, in the United States. </w:t>
      </w:r>
      <w:r w:rsidRPr="0061613E">
        <w:rPr>
          <w:rFonts w:ascii="Palatino Linotype" w:hAnsi="Palatino Linotype"/>
          <w:sz w:val="24"/>
          <w:szCs w:val="24"/>
        </w:rPr>
        <w:t xml:space="preserve"> In addition to local and long-distance telephone service, Frontier offers broadband </w:t>
      </w:r>
      <w:r>
        <w:rPr>
          <w:rFonts w:ascii="Palatino Linotype" w:hAnsi="Palatino Linotype"/>
          <w:sz w:val="24"/>
          <w:szCs w:val="24"/>
        </w:rPr>
        <w:t>Internet</w:t>
      </w:r>
      <w:r w:rsidRPr="0061613E">
        <w:rPr>
          <w:rFonts w:ascii="Palatino Linotype" w:hAnsi="Palatino Linotype"/>
          <w:sz w:val="24"/>
          <w:szCs w:val="24"/>
        </w:rPr>
        <w:t>, digital television service, and computer technical support to residential and business customers in 28 states in the United States</w:t>
      </w:r>
      <w:r>
        <w:rPr>
          <w:rFonts w:ascii="Palatino Linotype" w:hAnsi="Palatino Linotype"/>
          <w:sz w:val="24"/>
          <w:szCs w:val="24"/>
        </w:rPr>
        <w:t xml:space="preserve">.  The subsidiary, Citizens, is registered as a local exchange carrier (LEC) in California.  </w:t>
      </w:r>
    </w:p>
    <w:p w:rsidR="00BC6E63" w:rsidRDefault="00BC6E63" w:rsidP="00BC6E63">
      <w:pPr>
        <w:rPr>
          <w:rFonts w:ascii="Palatino Linotype" w:hAnsi="Palatino Linotype"/>
          <w:sz w:val="24"/>
          <w:szCs w:val="24"/>
        </w:rPr>
      </w:pPr>
    </w:p>
    <w:p w:rsidR="00BC6E63" w:rsidRDefault="00BC6E63" w:rsidP="00BC6E63">
      <w:pPr>
        <w:pStyle w:val="Default"/>
        <w:rPr>
          <w:rFonts w:ascii="Palatino Linotype" w:hAnsi="Palatino Linotype"/>
        </w:rPr>
      </w:pPr>
      <w:r>
        <w:rPr>
          <w:rFonts w:ascii="Palatino Linotype" w:hAnsi="Palatino Linotype"/>
        </w:rPr>
        <w:t>In its CASF grant application, Citizens has proposed to upgrade equipment on three existing microwave towers (located in Petrolia, on Branstetter Ridge, and on Bunker Hill).  Existing low-capacity microwave radios will be replaced by higher capacity microwave radios.  These radios and antennae dishes will be installed on these existing towers.  The microwave radio on the Branstetter Ridge tower will function as a signal repeater.  Given the remoteness of that tower, new solar panels will be installed on the existing tower to power the radio.  Ethernet aggregation switches and associated technologies</w:t>
      </w:r>
      <w:r>
        <w:rPr>
          <w:rStyle w:val="FootnoteReference"/>
          <w:rFonts w:ascii="Palatino Linotype" w:hAnsi="Palatino Linotype"/>
        </w:rPr>
        <w:footnoteReference w:id="6"/>
      </w:r>
      <w:r>
        <w:rPr>
          <w:rFonts w:ascii="Palatino Linotype" w:hAnsi="Palatino Linotype"/>
        </w:rPr>
        <w:t xml:space="preserve"> will be installed at the telephone switch centers.  </w:t>
      </w:r>
      <w:r w:rsidRPr="00211095">
        <w:rPr>
          <w:rFonts w:ascii="Palatino Linotype" w:hAnsi="Palatino Linotype"/>
        </w:rPr>
        <w:t xml:space="preserve">The increased capacity offered by the installation of the new </w:t>
      </w:r>
      <w:r>
        <w:rPr>
          <w:rFonts w:ascii="Palatino Linotype" w:hAnsi="Palatino Linotype"/>
        </w:rPr>
        <w:t xml:space="preserve">microwave </w:t>
      </w:r>
      <w:r w:rsidRPr="00211095">
        <w:rPr>
          <w:rFonts w:ascii="Palatino Linotype" w:hAnsi="Palatino Linotype"/>
        </w:rPr>
        <w:t xml:space="preserve">radios will be run through the new Ethernet aggregation switches which will more efficiently use the existing copper wire infrastructure.  There is no need to upgrade/modify </w:t>
      </w:r>
      <w:r>
        <w:rPr>
          <w:rFonts w:ascii="Palatino Linotype" w:hAnsi="Palatino Linotype"/>
        </w:rPr>
        <w:t xml:space="preserve">the </w:t>
      </w:r>
      <w:r w:rsidRPr="00211095">
        <w:rPr>
          <w:rFonts w:ascii="Palatino Linotype" w:hAnsi="Palatino Linotype"/>
        </w:rPr>
        <w:t>existing copper</w:t>
      </w:r>
      <w:r>
        <w:rPr>
          <w:rFonts w:ascii="Palatino Linotype" w:hAnsi="Palatino Linotype"/>
        </w:rPr>
        <w:t xml:space="preserve"> infrastructure</w:t>
      </w:r>
      <w:r w:rsidRPr="00211095">
        <w:rPr>
          <w:rFonts w:ascii="Palatino Linotype" w:hAnsi="Palatino Linotype"/>
        </w:rPr>
        <w:t>.</w:t>
      </w:r>
      <w:r>
        <w:rPr>
          <w:rFonts w:ascii="Palatino Linotype" w:hAnsi="Palatino Linotype"/>
        </w:rPr>
        <w:t xml:space="preserve">  Hence this is a middle-mile project which directly improves last-mile broadband capacity for Petrolia residents.  </w:t>
      </w:r>
    </w:p>
    <w:p w:rsidR="00BC6E63" w:rsidRDefault="00BC6E63" w:rsidP="00BC6E63">
      <w:pPr>
        <w:rPr>
          <w:rFonts w:ascii="Palatino Linotype" w:hAnsi="Palatino Linotype"/>
          <w:sz w:val="24"/>
          <w:szCs w:val="24"/>
        </w:rPr>
      </w:pPr>
    </w:p>
    <w:p w:rsidR="00BC6E63" w:rsidRDefault="00BC6E63" w:rsidP="00BC6E63">
      <w:pPr>
        <w:autoSpaceDE w:val="0"/>
        <w:autoSpaceDN w:val="0"/>
        <w:adjustRightInd w:val="0"/>
        <w:rPr>
          <w:rFonts w:ascii="Palatino Linotype" w:hAnsi="Palatino Linotype"/>
          <w:sz w:val="24"/>
          <w:szCs w:val="24"/>
        </w:rPr>
      </w:pPr>
      <w:r>
        <w:rPr>
          <w:rFonts w:ascii="Palatino Linotype" w:hAnsi="Palatino Linotype"/>
          <w:sz w:val="24"/>
          <w:szCs w:val="24"/>
        </w:rPr>
        <w:t xml:space="preserve">Citizens currently offers the area maximum broadband speeds of </w:t>
      </w:r>
      <w:r w:rsidRPr="00BD0A72">
        <w:rPr>
          <w:rFonts w:ascii="Palatino Linotype" w:hAnsi="Palatino Linotype"/>
          <w:sz w:val="24"/>
          <w:szCs w:val="24"/>
        </w:rPr>
        <w:t>700 Kbps down</w:t>
      </w:r>
      <w:r>
        <w:rPr>
          <w:rFonts w:ascii="Palatino Linotype" w:hAnsi="Palatino Linotype"/>
          <w:sz w:val="24"/>
          <w:szCs w:val="24"/>
        </w:rPr>
        <w:t>load</w:t>
      </w:r>
      <w:r w:rsidRPr="00BD0A72">
        <w:rPr>
          <w:rFonts w:ascii="Palatino Linotype" w:hAnsi="Palatino Linotype"/>
          <w:sz w:val="24"/>
          <w:szCs w:val="24"/>
        </w:rPr>
        <w:t xml:space="preserve"> and 500 Kbps up</w:t>
      </w:r>
      <w:r>
        <w:rPr>
          <w:rFonts w:ascii="Palatino Linotype" w:hAnsi="Palatino Linotype"/>
          <w:sz w:val="24"/>
          <w:szCs w:val="24"/>
        </w:rPr>
        <w:t xml:space="preserve">load.  The upgrade of the microwave radios and associated equipment, combined with the addition of Ethernet aggregation switches, will enable maximum broadband speeds of 25 Mbps download and 1.5 Mbps upload, which is higher than </w:t>
      </w:r>
      <w:r w:rsidRPr="0070228F">
        <w:rPr>
          <w:rFonts w:ascii="Palatino Linotype" w:hAnsi="Palatino Linotype" w:cs="Palatino Linotype"/>
          <w:color w:val="000000"/>
          <w:sz w:val="24"/>
          <w:szCs w:val="24"/>
        </w:rPr>
        <w:t xml:space="preserve">the </w:t>
      </w:r>
      <w:r>
        <w:rPr>
          <w:rFonts w:ascii="Palatino Linotype" w:hAnsi="Palatino Linotype" w:cs="Palatino Linotype"/>
          <w:color w:val="000000"/>
          <w:sz w:val="24"/>
          <w:szCs w:val="24"/>
        </w:rPr>
        <w:t>Commission-defined “</w:t>
      </w:r>
      <w:r w:rsidRPr="0070228F">
        <w:rPr>
          <w:rFonts w:ascii="Palatino Linotype" w:hAnsi="Palatino Linotype" w:cs="Palatino Linotype"/>
          <w:color w:val="000000"/>
          <w:sz w:val="24"/>
          <w:szCs w:val="24"/>
        </w:rPr>
        <w:t>served</w:t>
      </w:r>
      <w:r>
        <w:rPr>
          <w:rFonts w:ascii="Palatino Linotype" w:hAnsi="Palatino Linotype" w:cs="Palatino Linotype"/>
          <w:color w:val="000000"/>
          <w:sz w:val="24"/>
          <w:szCs w:val="24"/>
        </w:rPr>
        <w:t>”</w:t>
      </w:r>
      <w:r w:rsidRPr="0070228F">
        <w:rPr>
          <w:rFonts w:ascii="Palatino Linotype" w:hAnsi="Palatino Linotype" w:cs="Palatino Linotype"/>
          <w:color w:val="000000"/>
          <w:sz w:val="24"/>
          <w:szCs w:val="24"/>
        </w:rPr>
        <w:t xml:space="preserve"> threshold </w:t>
      </w:r>
      <w:r>
        <w:rPr>
          <w:rFonts w:ascii="Palatino Linotype" w:hAnsi="Palatino Linotype" w:cs="Palatino Linotype"/>
          <w:color w:val="000000"/>
          <w:sz w:val="24"/>
          <w:szCs w:val="24"/>
        </w:rPr>
        <w:t xml:space="preserve">speed </w:t>
      </w:r>
      <w:r w:rsidRPr="0070228F">
        <w:rPr>
          <w:rFonts w:ascii="Palatino Linotype" w:hAnsi="Palatino Linotype" w:cs="Palatino Linotype"/>
          <w:color w:val="000000"/>
          <w:sz w:val="24"/>
          <w:szCs w:val="24"/>
        </w:rPr>
        <w:t>of 6 Mbps download/1.5 Mbps upload.</w:t>
      </w:r>
      <w:r>
        <w:rPr>
          <w:rFonts w:ascii="Palatino Linotype" w:hAnsi="Palatino Linotype" w:cs="Palatino Linotype"/>
          <w:color w:val="000000"/>
          <w:sz w:val="24"/>
          <w:szCs w:val="24"/>
        </w:rPr>
        <w:t xml:space="preserve">  Citizens also provides landline telephone service to the area.  </w:t>
      </w:r>
    </w:p>
    <w:p w:rsidR="00BC6E63" w:rsidRDefault="00BC6E63" w:rsidP="00BC6E63">
      <w:pPr>
        <w:autoSpaceDE w:val="0"/>
        <w:autoSpaceDN w:val="0"/>
        <w:adjustRightInd w:val="0"/>
        <w:rPr>
          <w:rFonts w:ascii="Palatino Linotype" w:hAnsi="Palatino Linotype"/>
          <w:sz w:val="24"/>
          <w:szCs w:val="24"/>
        </w:rPr>
      </w:pPr>
    </w:p>
    <w:p w:rsidR="00BC6E63" w:rsidRPr="0070228F" w:rsidRDefault="00BC6E63" w:rsidP="00BC6E63">
      <w:pPr>
        <w:numPr>
          <w:ilvl w:val="0"/>
          <w:numId w:val="10"/>
        </w:numPr>
        <w:autoSpaceDE w:val="0"/>
        <w:autoSpaceDN w:val="0"/>
        <w:adjustRightInd w:val="0"/>
        <w:rPr>
          <w:rFonts w:ascii="Palatino Linotype" w:hAnsi="Palatino Linotype" w:cs="Palatino Linotype"/>
          <w:color w:val="000000"/>
          <w:sz w:val="24"/>
          <w:szCs w:val="24"/>
          <w:u w:val="single"/>
        </w:rPr>
      </w:pPr>
      <w:r w:rsidRPr="0070228F">
        <w:rPr>
          <w:rFonts w:ascii="Palatino Linotype" w:hAnsi="Palatino Linotype" w:cs="Palatino Linotype"/>
          <w:color w:val="000000"/>
          <w:sz w:val="24"/>
          <w:szCs w:val="24"/>
          <w:u w:val="single"/>
        </w:rPr>
        <w:t>Project</w:t>
      </w:r>
      <w:r>
        <w:rPr>
          <w:rFonts w:ascii="Palatino Linotype" w:hAnsi="Palatino Linotype" w:cs="Palatino Linotype"/>
          <w:color w:val="000000"/>
          <w:sz w:val="24"/>
          <w:szCs w:val="24"/>
          <w:u w:val="single"/>
        </w:rPr>
        <w:t xml:space="preserve"> Qualification  </w:t>
      </w:r>
      <w:r w:rsidRPr="0070228F">
        <w:rPr>
          <w:rFonts w:ascii="Palatino Linotype" w:hAnsi="Palatino Linotype" w:cs="Palatino Linotype"/>
          <w:color w:val="000000"/>
          <w:sz w:val="24"/>
          <w:szCs w:val="24"/>
          <w:u w:val="single"/>
        </w:rPr>
        <w:t xml:space="preserve"> </w:t>
      </w:r>
    </w:p>
    <w:p w:rsidR="00BC6E63" w:rsidRPr="0070228F" w:rsidRDefault="00BC6E63" w:rsidP="00BC6E63">
      <w:pPr>
        <w:autoSpaceDE w:val="0"/>
        <w:autoSpaceDN w:val="0"/>
        <w:adjustRightInd w:val="0"/>
        <w:ind w:left="720"/>
        <w:rPr>
          <w:rFonts w:ascii="Palatino Linotype" w:hAnsi="Palatino Linotype" w:cs="Palatino Linotype"/>
          <w:color w:val="000000"/>
          <w:sz w:val="24"/>
          <w:szCs w:val="24"/>
          <w:u w:val="single"/>
        </w:rPr>
      </w:pPr>
    </w:p>
    <w:p w:rsidR="00BC6E63" w:rsidRPr="0070228F" w:rsidRDefault="00BC6E63" w:rsidP="00BC6E63">
      <w:pPr>
        <w:rPr>
          <w:rFonts w:ascii="Palatino Linotype" w:hAnsi="Palatino Linotype"/>
          <w:sz w:val="24"/>
          <w:szCs w:val="24"/>
        </w:rPr>
      </w:pPr>
      <w:r w:rsidRPr="0070228F">
        <w:rPr>
          <w:rFonts w:ascii="Palatino Linotype" w:hAnsi="Palatino Linotype"/>
          <w:sz w:val="24"/>
          <w:szCs w:val="24"/>
        </w:rPr>
        <w:t xml:space="preserve">To qualify for the CASF program, an applicant is required to submit proof that the area is unserved or underserved by submitting shapefiles of the proposed project. </w:t>
      </w:r>
      <w:r>
        <w:rPr>
          <w:rFonts w:ascii="Palatino Linotype" w:hAnsi="Palatino Linotype"/>
          <w:sz w:val="24"/>
          <w:szCs w:val="24"/>
        </w:rPr>
        <w:t xml:space="preserve"> </w:t>
      </w:r>
      <w:r w:rsidRPr="0070228F">
        <w:rPr>
          <w:rFonts w:ascii="Palatino Linotype" w:hAnsi="Palatino Linotype"/>
          <w:sz w:val="24"/>
          <w:szCs w:val="24"/>
        </w:rPr>
        <w:t>CD reviews the submitted shapefiles and compares them with United States 2010 Census data and the California Interactive Broadband Availability map.</w:t>
      </w:r>
      <w:r w:rsidRPr="0070228F">
        <w:rPr>
          <w:rStyle w:val="FootnoteReference"/>
          <w:rFonts w:ascii="Palatino Linotype" w:hAnsi="Palatino Linotype"/>
          <w:sz w:val="24"/>
          <w:szCs w:val="24"/>
        </w:rPr>
        <w:footnoteReference w:id="7"/>
      </w:r>
      <w:r w:rsidRPr="0070228F">
        <w:rPr>
          <w:rFonts w:ascii="Palatino Linotype" w:hAnsi="Palatino Linotype"/>
          <w:sz w:val="24"/>
          <w:szCs w:val="24"/>
        </w:rPr>
        <w:t xml:space="preserve">  Once CD determines that the area is eligible either as an unserved or underserved area, CD evaluates all other information submitted by the applicant to determine if the project meets the requirements outlined in D.12-02-015. </w:t>
      </w:r>
      <w:r>
        <w:rPr>
          <w:rFonts w:ascii="Palatino Linotype" w:hAnsi="Palatino Linotype"/>
          <w:sz w:val="24"/>
          <w:szCs w:val="24"/>
        </w:rPr>
        <w:t xml:space="preserve"> </w:t>
      </w:r>
      <w:r w:rsidRPr="0070228F">
        <w:rPr>
          <w:rFonts w:ascii="Palatino Linotype" w:hAnsi="Palatino Linotype"/>
          <w:sz w:val="24"/>
          <w:szCs w:val="24"/>
        </w:rPr>
        <w:t xml:space="preserve">Other information CD reviews includes: </w:t>
      </w:r>
      <w:r>
        <w:rPr>
          <w:rFonts w:ascii="Palatino Linotype" w:hAnsi="Palatino Linotype"/>
          <w:sz w:val="24"/>
          <w:szCs w:val="24"/>
        </w:rPr>
        <w:t xml:space="preserve"> </w:t>
      </w:r>
      <w:r w:rsidRPr="0070228F">
        <w:rPr>
          <w:rFonts w:ascii="Palatino Linotype" w:hAnsi="Palatino Linotype"/>
          <w:sz w:val="24"/>
          <w:szCs w:val="24"/>
        </w:rPr>
        <w:t xml:space="preserve">proof of a CPCN from the Commission; descriptions of current and proposed broadband infrastructure; number of potential subscriber households and average income; project construction schedule; project budget; proposed pricing and commitment period for new subscribers; and financial viability of the applicant. </w:t>
      </w:r>
    </w:p>
    <w:p w:rsidR="00BC6E63" w:rsidRPr="0070228F" w:rsidRDefault="00BC6E63" w:rsidP="00BC6E63">
      <w:pPr>
        <w:autoSpaceDE w:val="0"/>
        <w:autoSpaceDN w:val="0"/>
        <w:adjustRightInd w:val="0"/>
        <w:rPr>
          <w:rFonts w:ascii="Palatino Linotype" w:hAnsi="Palatino Linotype" w:cs="Book Antiqua"/>
          <w:color w:val="000000"/>
          <w:sz w:val="24"/>
          <w:szCs w:val="24"/>
        </w:rPr>
      </w:pPr>
    </w:p>
    <w:p w:rsidR="00BC6E63" w:rsidRPr="0070228F" w:rsidRDefault="00BC6E63" w:rsidP="00BC6E63">
      <w:pPr>
        <w:autoSpaceDE w:val="0"/>
        <w:autoSpaceDN w:val="0"/>
        <w:adjustRightInd w:val="0"/>
        <w:rPr>
          <w:rFonts w:ascii="Palatino Linotype" w:hAnsi="Palatino Linotype"/>
          <w:sz w:val="24"/>
          <w:szCs w:val="24"/>
        </w:rPr>
      </w:pPr>
      <w:r w:rsidRPr="0070228F">
        <w:rPr>
          <w:rFonts w:ascii="Palatino Linotype" w:hAnsi="Palatino Linotype"/>
          <w:sz w:val="24"/>
          <w:szCs w:val="24"/>
        </w:rPr>
        <w:t xml:space="preserve">As an initial step in the review of </w:t>
      </w:r>
      <w:r>
        <w:rPr>
          <w:rFonts w:ascii="Palatino Linotype" w:hAnsi="Palatino Linotype"/>
          <w:sz w:val="24"/>
          <w:szCs w:val="24"/>
        </w:rPr>
        <w:t>Citizens</w:t>
      </w:r>
      <w:r w:rsidRPr="0070228F">
        <w:rPr>
          <w:rFonts w:ascii="Palatino Linotype" w:hAnsi="Palatino Linotype"/>
          <w:sz w:val="24"/>
          <w:szCs w:val="24"/>
        </w:rPr>
        <w:t xml:space="preserve"> application, CD checked the CBGs submitt</w:t>
      </w:r>
      <w:r>
        <w:rPr>
          <w:rFonts w:ascii="Palatino Linotype" w:hAnsi="Palatino Linotype"/>
          <w:sz w:val="24"/>
          <w:szCs w:val="24"/>
        </w:rPr>
        <w:t>ed in the project application and</w:t>
      </w:r>
      <w:r w:rsidRPr="0070228F">
        <w:rPr>
          <w:rFonts w:ascii="Palatino Linotype" w:hAnsi="Palatino Linotype"/>
          <w:sz w:val="24"/>
          <w:szCs w:val="24"/>
        </w:rPr>
        <w:t xml:space="preserve"> determine</w:t>
      </w:r>
      <w:r>
        <w:rPr>
          <w:rFonts w:ascii="Palatino Linotype" w:hAnsi="Palatino Linotype"/>
          <w:sz w:val="24"/>
          <w:szCs w:val="24"/>
        </w:rPr>
        <w:t>d</w:t>
      </w:r>
      <w:r w:rsidRPr="0070228F">
        <w:rPr>
          <w:rFonts w:ascii="Palatino Linotype" w:hAnsi="Palatino Linotype"/>
          <w:sz w:val="24"/>
          <w:szCs w:val="24"/>
        </w:rPr>
        <w:t xml:space="preserve"> that the project was indeed not ser</w:t>
      </w:r>
      <w:r>
        <w:rPr>
          <w:rFonts w:ascii="Palatino Linotype" w:hAnsi="Palatino Linotype"/>
          <w:sz w:val="24"/>
          <w:szCs w:val="24"/>
        </w:rPr>
        <w:t xml:space="preserve">ved by wireline, </w:t>
      </w:r>
      <w:r w:rsidRPr="0070228F">
        <w:rPr>
          <w:rFonts w:ascii="Palatino Linotype" w:hAnsi="Palatino Linotype"/>
          <w:sz w:val="24"/>
          <w:szCs w:val="24"/>
        </w:rPr>
        <w:t>fixed wireless</w:t>
      </w:r>
      <w:r>
        <w:rPr>
          <w:rFonts w:ascii="Palatino Linotype" w:hAnsi="Palatino Linotype"/>
          <w:sz w:val="24"/>
          <w:szCs w:val="24"/>
        </w:rPr>
        <w:t>,</w:t>
      </w:r>
      <w:r w:rsidRPr="0070228F">
        <w:rPr>
          <w:rFonts w:ascii="Palatino Linotype" w:hAnsi="Palatino Linotype"/>
          <w:sz w:val="24"/>
          <w:szCs w:val="24"/>
        </w:rPr>
        <w:t xml:space="preserve"> </w:t>
      </w:r>
      <w:r>
        <w:rPr>
          <w:rFonts w:ascii="Palatino Linotype" w:hAnsi="Palatino Linotype"/>
          <w:sz w:val="24"/>
          <w:szCs w:val="24"/>
        </w:rPr>
        <w:t xml:space="preserve">or mobile </w:t>
      </w:r>
      <w:r w:rsidRPr="0070228F">
        <w:rPr>
          <w:rFonts w:ascii="Palatino Linotype" w:hAnsi="Palatino Linotype"/>
          <w:sz w:val="24"/>
          <w:szCs w:val="24"/>
        </w:rPr>
        <w:t xml:space="preserve">providers. </w:t>
      </w:r>
      <w:r>
        <w:rPr>
          <w:rFonts w:ascii="Palatino Linotype" w:hAnsi="Palatino Linotype"/>
          <w:sz w:val="24"/>
          <w:szCs w:val="24"/>
        </w:rPr>
        <w:t xml:space="preserve"> </w:t>
      </w:r>
      <w:r w:rsidRPr="0070228F">
        <w:rPr>
          <w:rFonts w:ascii="Palatino Linotype" w:hAnsi="Palatino Linotype"/>
          <w:sz w:val="24"/>
          <w:szCs w:val="24"/>
        </w:rPr>
        <w:t xml:space="preserve">The </w:t>
      </w:r>
      <w:r>
        <w:rPr>
          <w:rFonts w:ascii="Palatino Linotype" w:hAnsi="Palatino Linotype"/>
          <w:sz w:val="24"/>
          <w:szCs w:val="24"/>
        </w:rPr>
        <w:t>current</w:t>
      </w:r>
      <w:r w:rsidRPr="0070228F">
        <w:rPr>
          <w:rFonts w:ascii="Palatino Linotype" w:hAnsi="Palatino Linotype"/>
          <w:sz w:val="24"/>
          <w:szCs w:val="24"/>
        </w:rPr>
        <w:t xml:space="preserve"> version of the California </w:t>
      </w:r>
      <w:r>
        <w:rPr>
          <w:rFonts w:ascii="Palatino Linotype" w:hAnsi="Palatino Linotype"/>
          <w:sz w:val="24"/>
          <w:szCs w:val="24"/>
        </w:rPr>
        <w:t xml:space="preserve">Interactive </w:t>
      </w:r>
      <w:r w:rsidRPr="0070228F">
        <w:rPr>
          <w:rFonts w:ascii="Palatino Linotype" w:hAnsi="Palatino Linotype"/>
          <w:sz w:val="24"/>
          <w:szCs w:val="24"/>
        </w:rPr>
        <w:t xml:space="preserve">Broadband </w:t>
      </w:r>
      <w:r>
        <w:rPr>
          <w:rFonts w:ascii="Palatino Linotype" w:hAnsi="Palatino Linotype"/>
          <w:sz w:val="24"/>
          <w:szCs w:val="24"/>
        </w:rPr>
        <w:t xml:space="preserve">Availability Map indicates that most of the area is underserved by any broadband provider (except satellite service).  The only broadband service being provided is by Citizens, qualifying the area as underserved with maximum broadband speeds of </w:t>
      </w:r>
      <w:r w:rsidRPr="00BD0A72">
        <w:rPr>
          <w:rFonts w:ascii="Palatino Linotype" w:hAnsi="Palatino Linotype"/>
          <w:sz w:val="24"/>
          <w:szCs w:val="24"/>
        </w:rPr>
        <w:t>700 Kbps down</w:t>
      </w:r>
      <w:r>
        <w:rPr>
          <w:rFonts w:ascii="Palatino Linotype" w:hAnsi="Palatino Linotype"/>
          <w:sz w:val="24"/>
          <w:szCs w:val="24"/>
        </w:rPr>
        <w:t>load</w:t>
      </w:r>
      <w:r w:rsidRPr="00BD0A72">
        <w:rPr>
          <w:rFonts w:ascii="Palatino Linotype" w:hAnsi="Palatino Linotype"/>
          <w:sz w:val="24"/>
          <w:szCs w:val="24"/>
        </w:rPr>
        <w:t xml:space="preserve"> and 500 Kbps up</w:t>
      </w:r>
      <w:r>
        <w:rPr>
          <w:rFonts w:ascii="Palatino Linotype" w:hAnsi="Palatino Linotype"/>
          <w:sz w:val="24"/>
          <w:szCs w:val="24"/>
        </w:rPr>
        <w:t xml:space="preserve">load.  The map indicates that certain portions of the project area are being served by the fixed wireless provider </w:t>
      </w:r>
      <w:r w:rsidRPr="000B4609">
        <w:rPr>
          <w:rFonts w:ascii="Palatino Linotype" w:hAnsi="Palatino Linotype"/>
          <w:sz w:val="24"/>
          <w:szCs w:val="24"/>
        </w:rPr>
        <w:t xml:space="preserve">101 NetLink.  However, 101 NetLink </w:t>
      </w:r>
      <w:r>
        <w:rPr>
          <w:rFonts w:ascii="Palatino Linotype" w:hAnsi="Palatino Linotype"/>
          <w:sz w:val="24"/>
          <w:szCs w:val="24"/>
        </w:rPr>
        <w:t xml:space="preserve">does not advertise service availability for the zip code 95558, which includes the Petrolia area.  </w:t>
      </w:r>
    </w:p>
    <w:p w:rsidR="00BC6E63" w:rsidRPr="0070228F" w:rsidRDefault="00BC6E63" w:rsidP="00BC6E63">
      <w:pPr>
        <w:autoSpaceDE w:val="0"/>
        <w:autoSpaceDN w:val="0"/>
        <w:adjustRightInd w:val="0"/>
        <w:rPr>
          <w:rFonts w:ascii="Palatino Linotype" w:hAnsi="Palatino Linotype"/>
          <w:sz w:val="24"/>
          <w:szCs w:val="24"/>
        </w:rPr>
      </w:pPr>
    </w:p>
    <w:p w:rsidR="00BC6E63" w:rsidRPr="0070228F" w:rsidRDefault="00BC6E63" w:rsidP="00BC6E63">
      <w:pPr>
        <w:autoSpaceDE w:val="0"/>
        <w:autoSpaceDN w:val="0"/>
        <w:adjustRightInd w:val="0"/>
        <w:rPr>
          <w:rFonts w:ascii="Palatino Linotype" w:hAnsi="Palatino Linotype"/>
          <w:sz w:val="24"/>
          <w:szCs w:val="24"/>
        </w:rPr>
      </w:pPr>
      <w:r w:rsidRPr="0070228F">
        <w:rPr>
          <w:rFonts w:ascii="Palatino Linotype" w:hAnsi="Palatino Linotype"/>
          <w:sz w:val="24"/>
          <w:szCs w:val="24"/>
        </w:rPr>
        <w:t xml:space="preserve">The California Interactive Broadband Availability map shows broadband availability at served speeds in the proposed project area by </w:t>
      </w:r>
      <w:r>
        <w:rPr>
          <w:rFonts w:ascii="Palatino Linotype" w:hAnsi="Palatino Linotype"/>
          <w:sz w:val="24"/>
          <w:szCs w:val="24"/>
        </w:rPr>
        <w:t xml:space="preserve">one </w:t>
      </w:r>
      <w:r w:rsidRPr="0070228F">
        <w:rPr>
          <w:rFonts w:ascii="Palatino Linotype" w:hAnsi="Palatino Linotype"/>
          <w:sz w:val="24"/>
          <w:szCs w:val="24"/>
        </w:rPr>
        <w:t>satellite provider. However, as adopted in D.12-02-015, the Commission does not generally consider satellite broadband service in CASF project evaluation, unless said satellite service was established via a CASF grant.</w:t>
      </w:r>
      <w:r w:rsidRPr="0070228F">
        <w:rPr>
          <w:rStyle w:val="FootnoteReference"/>
          <w:rFonts w:ascii="Palatino Linotype" w:hAnsi="Palatino Linotype"/>
          <w:sz w:val="24"/>
          <w:szCs w:val="24"/>
        </w:rPr>
        <w:footnoteReference w:id="8"/>
      </w:r>
      <w:r w:rsidRPr="0070228F">
        <w:rPr>
          <w:rFonts w:ascii="Palatino Linotype" w:hAnsi="Palatino Linotype"/>
          <w:sz w:val="24"/>
          <w:szCs w:val="24"/>
        </w:rPr>
        <w:t xml:space="preserve"> </w:t>
      </w:r>
    </w:p>
    <w:p w:rsidR="00BC6E63" w:rsidRPr="0070228F" w:rsidRDefault="00BC6E63" w:rsidP="00BC6E63">
      <w:pPr>
        <w:autoSpaceDE w:val="0"/>
        <w:autoSpaceDN w:val="0"/>
        <w:adjustRightInd w:val="0"/>
        <w:rPr>
          <w:rFonts w:ascii="Palatino Linotype" w:hAnsi="Palatino Linotype"/>
          <w:sz w:val="24"/>
          <w:szCs w:val="24"/>
        </w:rPr>
      </w:pPr>
    </w:p>
    <w:p w:rsidR="00BC6E63" w:rsidRPr="0070228F" w:rsidRDefault="00BC6E63" w:rsidP="00BC6E63">
      <w:pPr>
        <w:pStyle w:val="Default"/>
        <w:numPr>
          <w:ilvl w:val="0"/>
          <w:numId w:val="10"/>
        </w:numPr>
        <w:rPr>
          <w:rFonts w:ascii="Palatino Linotype" w:hAnsi="Palatino Linotype"/>
        </w:rPr>
      </w:pPr>
      <w:r w:rsidRPr="0070228F">
        <w:rPr>
          <w:rFonts w:ascii="Palatino Linotype" w:hAnsi="Palatino Linotype" w:cs="Palatino Linotype"/>
          <w:u w:val="single"/>
        </w:rPr>
        <w:t>Project Evaluation and Recommendation for Funding</w:t>
      </w:r>
      <w:r w:rsidRPr="0070228F">
        <w:rPr>
          <w:rFonts w:ascii="Palatino Linotype" w:hAnsi="Palatino Linotype" w:cs="Palatino Linotype"/>
        </w:rPr>
        <w:t xml:space="preserve"> </w:t>
      </w:r>
    </w:p>
    <w:p w:rsidR="00BC6E63" w:rsidRDefault="00BC6E63" w:rsidP="00BC6E63">
      <w:pPr>
        <w:pStyle w:val="Default"/>
        <w:rPr>
          <w:rFonts w:ascii="Palatino Linotype" w:hAnsi="Palatino Linotype" w:cs="Palatino Linotype"/>
        </w:rPr>
      </w:pPr>
    </w:p>
    <w:p w:rsidR="00BC6E63" w:rsidRPr="0070228F" w:rsidRDefault="00BC6E63" w:rsidP="00BC6E63">
      <w:pPr>
        <w:pStyle w:val="Default"/>
        <w:rPr>
          <w:rFonts w:ascii="Palatino Linotype" w:hAnsi="Palatino Linotype" w:cs="Palatino Linotype"/>
        </w:rPr>
      </w:pPr>
      <w:r w:rsidRPr="0070228F">
        <w:rPr>
          <w:rFonts w:ascii="Palatino Linotype" w:hAnsi="Palatino Linotype" w:cs="Palatino Linotype"/>
        </w:rPr>
        <w:t>CD evaluated the application with respect to the scoring criteria defined in D.12-02-015, Appendix 1, Section VIII (Scoring Criteria). The scoring criteria include: (i) Funds Requested per Potential Customer, (ii) Speed, (iii) Financial Viability, (iv) Pricing, (v) Total Number of Households in the Proposed Area, (vi) Timeliness of Completion of Project, (vii) Guaranteed Pricing Period, and (viii) Low-Income Areas.</w:t>
      </w:r>
      <w:r>
        <w:rPr>
          <w:rFonts w:ascii="Palatino Linotype" w:hAnsi="Palatino Linotype" w:cs="Palatino Linotype"/>
        </w:rPr>
        <w:t xml:space="preserve">  CD also conducted qualitative evaluation of the project area, existing infrastructure, and community needs.</w:t>
      </w:r>
    </w:p>
    <w:p w:rsidR="00BC6E63" w:rsidRPr="0070228F" w:rsidRDefault="00BC6E63" w:rsidP="00BC6E63">
      <w:pPr>
        <w:pStyle w:val="Default"/>
        <w:rPr>
          <w:rFonts w:ascii="Palatino Linotype" w:hAnsi="Palatino Linotype" w:cs="Palatino Linotype"/>
        </w:rPr>
      </w:pPr>
    </w:p>
    <w:p w:rsidR="00BC6E63" w:rsidRDefault="00BC6E63" w:rsidP="00BC6E63">
      <w:pPr>
        <w:autoSpaceDE w:val="0"/>
        <w:autoSpaceDN w:val="0"/>
        <w:adjustRightInd w:val="0"/>
        <w:rPr>
          <w:rFonts w:ascii="Palatino Linotype" w:hAnsi="Palatino Linotype"/>
          <w:sz w:val="24"/>
          <w:szCs w:val="24"/>
        </w:rPr>
      </w:pPr>
      <w:r w:rsidRPr="00B16760">
        <w:rPr>
          <w:rFonts w:ascii="Palatino Linotype" w:hAnsi="Palatino Linotype"/>
          <w:b/>
          <w:i/>
          <w:sz w:val="24"/>
          <w:szCs w:val="24"/>
        </w:rPr>
        <w:t>The Community</w:t>
      </w:r>
      <w:r>
        <w:rPr>
          <w:rFonts w:ascii="Palatino Linotype" w:hAnsi="Palatino Linotype"/>
          <w:i/>
          <w:sz w:val="24"/>
          <w:szCs w:val="24"/>
        </w:rPr>
        <w:t xml:space="preserve">.  </w:t>
      </w:r>
      <w:r>
        <w:rPr>
          <w:rFonts w:ascii="Palatino Linotype" w:hAnsi="Palatino Linotype"/>
          <w:sz w:val="24"/>
          <w:szCs w:val="24"/>
        </w:rPr>
        <w:t xml:space="preserve">Relative to funding criteria (i), (v), and (viii) above, and as context regarding project need, CD reviewed geographic and demographic characteristics of Petrolia.  Petrolia </w:t>
      </w:r>
      <w:r w:rsidRPr="00942497">
        <w:rPr>
          <w:rFonts w:ascii="Palatino Linotype" w:hAnsi="Palatino Linotype"/>
          <w:sz w:val="24"/>
          <w:szCs w:val="24"/>
        </w:rPr>
        <w:t xml:space="preserve">is an unincorporated community in </w:t>
      </w:r>
      <w:r>
        <w:rPr>
          <w:rFonts w:ascii="Palatino Linotype" w:hAnsi="Palatino Linotype"/>
          <w:sz w:val="24"/>
          <w:szCs w:val="24"/>
        </w:rPr>
        <w:t xml:space="preserve">Humboldt County, California, </w:t>
      </w:r>
      <w:r w:rsidRPr="00942497">
        <w:rPr>
          <w:rFonts w:ascii="Palatino Linotype" w:hAnsi="Palatino Linotype"/>
          <w:sz w:val="24"/>
          <w:szCs w:val="24"/>
        </w:rPr>
        <w:t>10 miles southeast of Cape Mendocino, at</w:t>
      </w:r>
      <w:r>
        <w:rPr>
          <w:rFonts w:ascii="Palatino Linotype" w:hAnsi="Palatino Linotype"/>
          <w:sz w:val="24"/>
          <w:szCs w:val="24"/>
        </w:rPr>
        <w:t xml:space="preserve"> an elevation of 121 feet</w:t>
      </w:r>
      <w:r w:rsidRPr="00942497">
        <w:rPr>
          <w:rFonts w:ascii="Palatino Linotype" w:hAnsi="Palatino Linotype"/>
          <w:sz w:val="24"/>
          <w:szCs w:val="24"/>
        </w:rPr>
        <w:t xml:space="preserve">. </w:t>
      </w:r>
      <w:r>
        <w:rPr>
          <w:rFonts w:ascii="Palatino Linotype" w:hAnsi="Palatino Linotype"/>
          <w:sz w:val="24"/>
          <w:szCs w:val="24"/>
        </w:rPr>
        <w:t xml:space="preserve"> </w:t>
      </w:r>
      <w:r w:rsidRPr="00942497">
        <w:rPr>
          <w:rFonts w:ascii="Palatino Linotype" w:hAnsi="Palatino Linotype"/>
          <w:sz w:val="24"/>
          <w:szCs w:val="24"/>
        </w:rPr>
        <w:t>Petrolia was the site of the first oil well drilled in California</w:t>
      </w:r>
      <w:r>
        <w:rPr>
          <w:rFonts w:ascii="Palatino Linotype" w:hAnsi="Palatino Linotype"/>
          <w:sz w:val="24"/>
          <w:szCs w:val="24"/>
        </w:rPr>
        <w:t xml:space="preserve">.  It is located along the Mattole River in the Mattole Valley, which is part of the Lost Coast region.  The Lost Coast region is one of the longest stretches of undeveloped coastline in the continental United States.  Petrolia is situated five miles from the Pacific Ocean and is geographically isolated due to the surrounding Kings Range Mountains and the treacherous coastline.  The nearest incorporated town is Ferndale, 30 miles to the north.  Petrolia is connected by two steep and winding roads, one to the north to Ferndale and one to the south.  </w:t>
      </w:r>
    </w:p>
    <w:p w:rsidR="00BC6E63" w:rsidRDefault="00BC6E63" w:rsidP="00BC6E63">
      <w:pPr>
        <w:autoSpaceDE w:val="0"/>
        <w:autoSpaceDN w:val="0"/>
        <w:adjustRightInd w:val="0"/>
        <w:rPr>
          <w:rFonts w:ascii="Palatino Linotype" w:hAnsi="Palatino Linotype"/>
          <w:sz w:val="24"/>
          <w:szCs w:val="24"/>
        </w:rPr>
      </w:pPr>
    </w:p>
    <w:p w:rsidR="00BC6E63" w:rsidRDefault="00BC6E63" w:rsidP="00BC6E63">
      <w:pPr>
        <w:autoSpaceDE w:val="0"/>
        <w:autoSpaceDN w:val="0"/>
        <w:adjustRightInd w:val="0"/>
        <w:rPr>
          <w:rFonts w:ascii="Palatino Linotype" w:hAnsi="Palatino Linotype"/>
          <w:sz w:val="24"/>
          <w:szCs w:val="24"/>
        </w:rPr>
      </w:pPr>
      <w:r>
        <w:rPr>
          <w:rFonts w:ascii="Palatino Linotype" w:hAnsi="Palatino Linotype"/>
          <w:sz w:val="24"/>
          <w:szCs w:val="24"/>
        </w:rPr>
        <w:t>Based on the 2010 census block data for the Petrolia area, there are 138 households and a population count of 277.  According to the US Census American FactFinder, for zip code 95558 (which includes Petrolia), the total number of households is 211 with a population of 425, with 16 percent of the population 19 years of age or younger and 16 percent of the population 65 years old or older, the median age being 48 years.  The median household income by zip code is $36,538</w:t>
      </w:r>
      <w:r>
        <w:rPr>
          <w:rStyle w:val="FootnoteReference"/>
          <w:rFonts w:ascii="Palatino Linotype" w:hAnsi="Palatino Linotype"/>
          <w:sz w:val="24"/>
          <w:szCs w:val="24"/>
        </w:rPr>
        <w:footnoteReference w:id="9"/>
      </w:r>
      <w:r>
        <w:rPr>
          <w:rFonts w:ascii="Palatino Linotype" w:hAnsi="Palatino Linotype"/>
          <w:sz w:val="24"/>
          <w:szCs w:val="24"/>
        </w:rPr>
        <w:t xml:space="preserve"> (well below the state average of $</w:t>
      </w:r>
      <w:r w:rsidRPr="00FC2917">
        <w:rPr>
          <w:rFonts w:ascii="Palatino Linotype" w:hAnsi="Palatino Linotype"/>
          <w:sz w:val="24"/>
          <w:szCs w:val="24"/>
        </w:rPr>
        <w:t>61,094</w:t>
      </w:r>
      <w:r>
        <w:rPr>
          <w:rFonts w:ascii="Palatino Linotype" w:hAnsi="Palatino Linotype"/>
          <w:sz w:val="24"/>
          <w:szCs w:val="24"/>
        </w:rPr>
        <w:t>) with a poverty rate of 16.4%</w:t>
      </w:r>
      <w:r>
        <w:rPr>
          <w:rStyle w:val="FootnoteReference"/>
          <w:rFonts w:ascii="Palatino Linotype" w:hAnsi="Palatino Linotype"/>
          <w:sz w:val="24"/>
          <w:szCs w:val="24"/>
        </w:rPr>
        <w:footnoteReference w:id="10"/>
      </w:r>
      <w:r>
        <w:rPr>
          <w:rFonts w:ascii="Palatino Linotype" w:hAnsi="Palatino Linotype"/>
          <w:sz w:val="24"/>
          <w:szCs w:val="24"/>
        </w:rPr>
        <w:t xml:space="preserve"> (slightly above the State poverty rate of 15.9%).  </w:t>
      </w:r>
    </w:p>
    <w:p w:rsidR="00BC6E63" w:rsidRDefault="00BC6E63" w:rsidP="00BC6E63">
      <w:pPr>
        <w:autoSpaceDE w:val="0"/>
        <w:autoSpaceDN w:val="0"/>
        <w:adjustRightInd w:val="0"/>
        <w:rPr>
          <w:rFonts w:ascii="Palatino Linotype" w:hAnsi="Palatino Linotype"/>
          <w:sz w:val="24"/>
          <w:szCs w:val="24"/>
        </w:rPr>
      </w:pPr>
    </w:p>
    <w:p w:rsidR="00BC6E63" w:rsidRDefault="00BC6E63" w:rsidP="00BC6E63">
      <w:pPr>
        <w:autoSpaceDE w:val="0"/>
        <w:autoSpaceDN w:val="0"/>
        <w:adjustRightInd w:val="0"/>
        <w:rPr>
          <w:rFonts w:ascii="Palatino Linotype" w:hAnsi="Palatino Linotype"/>
          <w:sz w:val="24"/>
          <w:szCs w:val="24"/>
        </w:rPr>
      </w:pPr>
      <w:r>
        <w:rPr>
          <w:rFonts w:ascii="Palatino Linotype" w:hAnsi="Palatino Linotype"/>
          <w:sz w:val="24"/>
          <w:szCs w:val="24"/>
        </w:rPr>
        <w:t xml:space="preserve">The project area includes two public schools: the </w:t>
      </w:r>
      <w:r w:rsidRPr="002014A7">
        <w:rPr>
          <w:rFonts w:ascii="Palatino Linotype" w:hAnsi="Palatino Linotype"/>
          <w:sz w:val="24"/>
          <w:szCs w:val="24"/>
        </w:rPr>
        <w:t>Mattole Elementary and Mattole Triple Junction High</w:t>
      </w:r>
      <w:r>
        <w:rPr>
          <w:rFonts w:ascii="Palatino Linotype" w:hAnsi="Palatino Linotype"/>
          <w:sz w:val="24"/>
          <w:szCs w:val="24"/>
        </w:rPr>
        <w:t xml:space="preserve"> with enrollment of 37 and 10 students, respectively</w:t>
      </w:r>
      <w:r>
        <w:rPr>
          <w:rStyle w:val="FootnoteReference"/>
          <w:rFonts w:ascii="Palatino Linotype" w:hAnsi="Palatino Linotype"/>
          <w:sz w:val="24"/>
          <w:szCs w:val="24"/>
        </w:rPr>
        <w:footnoteReference w:id="11"/>
      </w:r>
      <w:r>
        <w:rPr>
          <w:rFonts w:ascii="Palatino Linotype" w:hAnsi="Palatino Linotype"/>
          <w:sz w:val="24"/>
          <w:szCs w:val="24"/>
        </w:rPr>
        <w:t xml:space="preserve">.  Petrolia has a volunteer fire department equipped for wildfires and medical emergencies.  </w:t>
      </w:r>
    </w:p>
    <w:p w:rsidR="00BC6E63" w:rsidRDefault="00BC6E63" w:rsidP="00BC6E63">
      <w:pPr>
        <w:autoSpaceDE w:val="0"/>
        <w:autoSpaceDN w:val="0"/>
        <w:adjustRightInd w:val="0"/>
        <w:rPr>
          <w:rFonts w:ascii="Palatino Linotype" w:hAnsi="Palatino Linotype"/>
          <w:sz w:val="24"/>
          <w:szCs w:val="24"/>
        </w:rPr>
      </w:pPr>
    </w:p>
    <w:p w:rsidR="00BC6E63" w:rsidRDefault="00BC6E63" w:rsidP="00BC6E63">
      <w:pPr>
        <w:pStyle w:val="Default"/>
        <w:rPr>
          <w:rFonts w:ascii="Palatino Linotype" w:hAnsi="Palatino Linotype" w:cs="Palatino Linotype"/>
        </w:rPr>
      </w:pPr>
      <w:r>
        <w:rPr>
          <w:rFonts w:ascii="Palatino Linotype" w:hAnsi="Palatino Linotype" w:cs="Palatino Linotype"/>
        </w:rPr>
        <w:t>B</w:t>
      </w:r>
      <w:r w:rsidRPr="0070228F">
        <w:rPr>
          <w:rFonts w:ascii="Palatino Linotype" w:hAnsi="Palatino Linotype" w:cs="Palatino Linotype"/>
        </w:rPr>
        <w:t>ecause of the area’s historically underserved status</w:t>
      </w:r>
      <w:r>
        <w:rPr>
          <w:rFonts w:ascii="Palatino Linotype" w:hAnsi="Palatino Linotype" w:cs="Palatino Linotype"/>
        </w:rPr>
        <w:t>, t</w:t>
      </w:r>
      <w:r w:rsidRPr="0070228F">
        <w:rPr>
          <w:rFonts w:ascii="Palatino Linotype" w:hAnsi="Palatino Linotype" w:cs="Palatino Linotype"/>
        </w:rPr>
        <w:t>he a</w:t>
      </w:r>
      <w:r>
        <w:rPr>
          <w:rFonts w:ascii="Palatino Linotype" w:hAnsi="Palatino Linotype" w:cs="Palatino Linotype"/>
        </w:rPr>
        <w:t>pplicant estimates the take rate will be 75</w:t>
      </w:r>
      <w:r w:rsidRPr="0070228F">
        <w:rPr>
          <w:rFonts w:ascii="Palatino Linotype" w:hAnsi="Palatino Linotype" w:cs="Palatino Linotype"/>
        </w:rPr>
        <w:t xml:space="preserve"> percent of </w:t>
      </w:r>
      <w:r>
        <w:rPr>
          <w:rFonts w:ascii="Palatino Linotype" w:hAnsi="Palatino Linotype" w:cs="Palatino Linotype"/>
        </w:rPr>
        <w:t xml:space="preserve">the total number of </w:t>
      </w:r>
      <w:r w:rsidRPr="0070228F">
        <w:rPr>
          <w:rFonts w:ascii="Palatino Linotype" w:hAnsi="Palatino Linotype" w:cs="Palatino Linotype"/>
        </w:rPr>
        <w:t xml:space="preserve">households in </w:t>
      </w:r>
      <w:r>
        <w:rPr>
          <w:rFonts w:ascii="Palatino Linotype" w:hAnsi="Palatino Linotype" w:cs="Palatino Linotype"/>
        </w:rPr>
        <w:t>Petrolia that will have access.</w:t>
      </w:r>
      <w:r w:rsidRPr="0070228F">
        <w:rPr>
          <w:rFonts w:ascii="Palatino Linotype" w:hAnsi="Palatino Linotype" w:cs="Palatino Linotype"/>
        </w:rPr>
        <w:t xml:space="preserve"> </w:t>
      </w:r>
      <w:r>
        <w:rPr>
          <w:rFonts w:ascii="Palatino Linotype" w:hAnsi="Palatino Linotype" w:cs="Palatino Linotype"/>
        </w:rPr>
        <w:t xml:space="preserve">According to Citizens there are currently 82 subscribers to the current low-speed broadband offering.  This project was proposed to Citizens by the </w:t>
      </w:r>
      <w:r w:rsidRPr="00C4659B">
        <w:rPr>
          <w:rFonts w:ascii="Palatino Linotype" w:hAnsi="Palatino Linotype" w:cs="Palatino Linotype"/>
        </w:rPr>
        <w:t>Redwood Coast Connect Consortium</w:t>
      </w:r>
      <w:r>
        <w:rPr>
          <w:rFonts w:ascii="Palatino Linotype" w:hAnsi="Palatino Linotype" w:cs="Palatino Linotype"/>
        </w:rPr>
        <w:t xml:space="preserve"> (it is considered a “priority area” by the consortium).  One reason the consortium considered it a priority was to help the local school district.  An administrator from the Mattole Valley Unified School District noted that </w:t>
      </w:r>
      <w:r w:rsidRPr="00EC7FF8">
        <w:rPr>
          <w:rFonts w:ascii="Palatino Linotype" w:hAnsi="Palatino Linotype" w:cs="Palatino Linotype"/>
        </w:rPr>
        <w:t xml:space="preserve">the lack of broadband </w:t>
      </w:r>
      <w:r>
        <w:rPr>
          <w:rFonts w:ascii="Palatino Linotype" w:hAnsi="Palatino Linotype" w:cs="Palatino Linotype"/>
        </w:rPr>
        <w:t xml:space="preserve">in this area </w:t>
      </w:r>
      <w:r w:rsidRPr="00EC7FF8">
        <w:rPr>
          <w:rFonts w:ascii="Palatino Linotype" w:hAnsi="Palatino Linotype" w:cs="Palatino Linotype"/>
        </w:rPr>
        <w:t>was creating issues in administering the mandatory online CAASPP (Common Core) testing</w:t>
      </w:r>
      <w:r>
        <w:rPr>
          <w:rFonts w:ascii="Palatino Linotype" w:hAnsi="Palatino Linotype" w:cs="Palatino Linotype"/>
        </w:rPr>
        <w:t xml:space="preserve">, </w:t>
      </w:r>
      <w:r w:rsidRPr="00EC7FF8">
        <w:rPr>
          <w:rFonts w:ascii="Palatino Linotype" w:hAnsi="Palatino Linotype" w:cs="Palatino Linotype"/>
        </w:rPr>
        <w:t xml:space="preserve">that the digital divide that very rural students (many of low socio-economic backgrounds) face will only continue to increase </w:t>
      </w:r>
      <w:r>
        <w:rPr>
          <w:rFonts w:ascii="Palatino Linotype" w:hAnsi="Palatino Linotype" w:cs="Palatino Linotype"/>
        </w:rPr>
        <w:t xml:space="preserve">without adequate broadband, </w:t>
      </w:r>
      <w:r w:rsidRPr="00EC7FF8">
        <w:rPr>
          <w:rFonts w:ascii="Palatino Linotype" w:hAnsi="Palatino Linotype" w:cs="Palatino Linotype"/>
        </w:rPr>
        <w:t xml:space="preserve">and that the </w:t>
      </w:r>
      <w:r>
        <w:rPr>
          <w:rFonts w:ascii="Palatino Linotype" w:hAnsi="Palatino Linotype" w:cs="Palatino Linotype"/>
        </w:rPr>
        <w:t>lack of</w:t>
      </w:r>
      <w:r w:rsidRPr="00EC7FF8">
        <w:rPr>
          <w:rFonts w:ascii="Palatino Linotype" w:hAnsi="Palatino Linotype" w:cs="Palatino Linotype"/>
        </w:rPr>
        <w:t xml:space="preserve"> rel</w:t>
      </w:r>
      <w:r>
        <w:rPr>
          <w:rFonts w:ascii="Palatino Linotype" w:hAnsi="Palatino Linotype" w:cs="Palatino Linotype"/>
        </w:rPr>
        <w:t>iable Internet access makes it difficult to</w:t>
      </w:r>
      <w:r w:rsidRPr="00EC7FF8">
        <w:rPr>
          <w:rFonts w:ascii="Palatino Linotype" w:hAnsi="Palatino Linotype" w:cs="Palatino Linotype"/>
        </w:rPr>
        <w:t xml:space="preserve"> maintain vital student information systems</w:t>
      </w:r>
      <w:r>
        <w:rPr>
          <w:rFonts w:ascii="Palatino Linotype" w:hAnsi="Palatino Linotype" w:cs="Palatino Linotype"/>
        </w:rPr>
        <w:t xml:space="preserve"> (</w:t>
      </w:r>
      <w:r w:rsidRPr="00EC7FF8">
        <w:rPr>
          <w:rFonts w:ascii="Palatino Linotype" w:hAnsi="Palatino Linotype" w:cs="Palatino Linotype"/>
        </w:rPr>
        <w:t>learning/file management, back-up and storage services</w:t>
      </w:r>
      <w:r>
        <w:rPr>
          <w:rFonts w:ascii="Palatino Linotype" w:hAnsi="Palatino Linotype" w:cs="Palatino Linotype"/>
        </w:rPr>
        <w:t>)</w:t>
      </w:r>
      <w:r w:rsidRPr="00EC7FF8">
        <w:rPr>
          <w:rFonts w:ascii="Palatino Linotype" w:hAnsi="Palatino Linotype" w:cs="Palatino Linotype"/>
        </w:rPr>
        <w:t>.</w:t>
      </w:r>
      <w:r>
        <w:rPr>
          <w:rFonts w:ascii="Palatino Linotype" w:hAnsi="Palatino Linotype" w:cs="Palatino Linotype"/>
        </w:rPr>
        <w:t xml:space="preserve">  Additionally, it has the support of Humboldt County Supervisor Rex Bohn who stated, in a letter to the Commission, that “w</w:t>
      </w:r>
      <w:r w:rsidRPr="006F1470">
        <w:rPr>
          <w:rFonts w:ascii="Palatino Linotype" w:hAnsi="Palatino Linotype" w:cs="Palatino Linotype"/>
        </w:rPr>
        <w:t>ith school requirements, community, and business needs</w:t>
      </w:r>
      <w:r>
        <w:rPr>
          <w:rFonts w:ascii="Palatino Linotype" w:hAnsi="Palatino Linotype" w:cs="Palatino Linotype"/>
        </w:rPr>
        <w:t xml:space="preserve"> </w:t>
      </w:r>
      <w:r w:rsidRPr="006F1470">
        <w:rPr>
          <w:rFonts w:ascii="Palatino Linotype" w:hAnsi="Palatino Linotype" w:cs="Palatino Linotype"/>
        </w:rPr>
        <w:t>we are in desperate need of greater bandwidth</w:t>
      </w:r>
      <w:r>
        <w:rPr>
          <w:rFonts w:ascii="Palatino Linotype" w:hAnsi="Palatino Linotype" w:cs="Palatino Linotype"/>
        </w:rPr>
        <w:t xml:space="preserve">.  </w:t>
      </w:r>
    </w:p>
    <w:p w:rsidR="00BC6E63" w:rsidRDefault="00BC6E63" w:rsidP="00BC6E63">
      <w:pPr>
        <w:pStyle w:val="Default"/>
        <w:rPr>
          <w:rFonts w:ascii="Palatino Linotype" w:hAnsi="Palatino Linotype" w:cs="Palatino Linotype"/>
        </w:rPr>
      </w:pPr>
    </w:p>
    <w:p w:rsidR="00BC6E63" w:rsidRPr="0070228F" w:rsidRDefault="00BC6E63" w:rsidP="00BC6E63">
      <w:pPr>
        <w:autoSpaceDE w:val="0"/>
        <w:autoSpaceDN w:val="0"/>
        <w:adjustRightInd w:val="0"/>
        <w:rPr>
          <w:rFonts w:ascii="Palatino Linotype" w:hAnsi="Palatino Linotype" w:cs="Palatino Linotype"/>
          <w:color w:val="000000"/>
          <w:sz w:val="24"/>
          <w:szCs w:val="24"/>
        </w:rPr>
      </w:pPr>
      <w:r w:rsidRPr="00135BC9">
        <w:rPr>
          <w:rFonts w:ascii="Palatino Linotype" w:hAnsi="Palatino Linotype"/>
          <w:b/>
          <w:i/>
          <w:sz w:val="24"/>
          <w:szCs w:val="24"/>
        </w:rPr>
        <w:t>Financial</w:t>
      </w:r>
      <w:r>
        <w:rPr>
          <w:rFonts w:ascii="Palatino Linotype" w:hAnsi="Palatino Linotype"/>
          <w:b/>
          <w:i/>
          <w:sz w:val="24"/>
          <w:szCs w:val="24"/>
        </w:rPr>
        <w:t xml:space="preserve"> </w:t>
      </w:r>
      <w:r w:rsidRPr="00135BC9">
        <w:rPr>
          <w:rFonts w:ascii="Palatino Linotype" w:hAnsi="Palatino Linotype"/>
          <w:b/>
          <w:i/>
          <w:sz w:val="24"/>
          <w:szCs w:val="24"/>
        </w:rPr>
        <w:t>Viability.</w:t>
      </w:r>
      <w:r>
        <w:rPr>
          <w:rFonts w:ascii="Palatino Linotype" w:hAnsi="Palatino Linotype"/>
          <w:i/>
          <w:sz w:val="24"/>
          <w:szCs w:val="24"/>
        </w:rPr>
        <w:t xml:space="preserve">  </w:t>
      </w:r>
      <w:r w:rsidRPr="008C4BA1">
        <w:rPr>
          <w:rFonts w:ascii="Palatino Linotype" w:hAnsi="Palatino Linotype"/>
          <w:sz w:val="24"/>
          <w:szCs w:val="24"/>
        </w:rPr>
        <w:t>Citizens</w:t>
      </w:r>
      <w:r w:rsidRPr="008C4BA1">
        <w:rPr>
          <w:rFonts w:ascii="Palatino Linotype" w:hAnsi="Palatino Linotype" w:cs="Palatino Linotype"/>
          <w:color w:val="000000"/>
          <w:sz w:val="24"/>
          <w:szCs w:val="24"/>
        </w:rPr>
        <w:t xml:space="preserve"> determined that the project is economically feasible with a CASF grant of $202,557, which is 60 percent of the total project costs, to match Citizens’ investment of $135,038.</w:t>
      </w:r>
      <w:r w:rsidRPr="0070228F">
        <w:rPr>
          <w:rFonts w:ascii="Palatino Linotype" w:hAnsi="Palatino Linotype" w:cs="Palatino Linotype"/>
          <w:color w:val="000000"/>
          <w:sz w:val="24"/>
          <w:szCs w:val="24"/>
        </w:rPr>
        <w:t xml:space="preserve"> </w:t>
      </w:r>
      <w:r>
        <w:rPr>
          <w:rFonts w:ascii="Palatino Linotype" w:hAnsi="Palatino Linotype" w:cs="Palatino Linotype"/>
          <w:color w:val="000000"/>
          <w:sz w:val="24"/>
          <w:szCs w:val="24"/>
        </w:rPr>
        <w:t xml:space="preserve"> </w:t>
      </w:r>
      <w:r w:rsidRPr="0070228F">
        <w:rPr>
          <w:rFonts w:ascii="Palatino Linotype" w:hAnsi="Palatino Linotype" w:cs="Palatino Linotype"/>
          <w:color w:val="000000"/>
          <w:sz w:val="24"/>
          <w:szCs w:val="24"/>
        </w:rPr>
        <w:t>The CASF per-household subsidy would be about $</w:t>
      </w:r>
      <w:r>
        <w:rPr>
          <w:rFonts w:ascii="Palatino Linotype" w:hAnsi="Palatino Linotype" w:cs="Palatino Linotype"/>
          <w:color w:val="000000"/>
          <w:sz w:val="24"/>
          <w:szCs w:val="24"/>
        </w:rPr>
        <w:t>1,468 per household (based on 138 households that will have access).</w:t>
      </w:r>
      <w:r>
        <w:rPr>
          <w:rStyle w:val="FootnoteReference"/>
          <w:rFonts w:ascii="Palatino Linotype" w:hAnsi="Palatino Linotype" w:cs="Palatino Linotype"/>
          <w:color w:val="000000"/>
          <w:sz w:val="24"/>
          <w:szCs w:val="24"/>
        </w:rPr>
        <w:footnoteReference w:id="12"/>
      </w:r>
      <w:r>
        <w:rPr>
          <w:rFonts w:ascii="Palatino Linotype" w:hAnsi="Palatino Linotype" w:cs="Palatino Linotype"/>
          <w:color w:val="000000"/>
          <w:sz w:val="24"/>
          <w:szCs w:val="24"/>
        </w:rPr>
        <w:t xml:space="preserve">  </w:t>
      </w:r>
      <w:r>
        <w:rPr>
          <w:rFonts w:ascii="Palatino Linotype" w:hAnsi="Palatino Linotype"/>
          <w:sz w:val="24"/>
          <w:szCs w:val="24"/>
        </w:rPr>
        <w:t>Citizens has projected average earnings before interest and taxes (EBIT) of $</w:t>
      </w:r>
      <w:r w:rsidRPr="004C5175">
        <w:rPr>
          <w:rFonts w:ascii="Palatino Linotype" w:hAnsi="Palatino Linotype"/>
          <w:sz w:val="24"/>
          <w:szCs w:val="24"/>
        </w:rPr>
        <w:t>37,389,000</w:t>
      </w:r>
      <w:r>
        <w:rPr>
          <w:rFonts w:ascii="Palatino Linotype" w:hAnsi="Palatino Linotype"/>
          <w:sz w:val="24"/>
          <w:szCs w:val="24"/>
        </w:rPr>
        <w:t>.</w:t>
      </w:r>
      <w:r>
        <w:rPr>
          <w:rStyle w:val="FootnoteReference"/>
          <w:rFonts w:ascii="Palatino Linotype" w:hAnsi="Palatino Linotype"/>
          <w:sz w:val="24"/>
          <w:szCs w:val="24"/>
        </w:rPr>
        <w:footnoteReference w:id="13"/>
      </w:r>
      <w:r>
        <w:rPr>
          <w:rFonts w:ascii="Palatino Linotype" w:hAnsi="Palatino Linotype"/>
          <w:sz w:val="24"/>
          <w:szCs w:val="24"/>
        </w:rPr>
        <w:t xml:space="preserve">  The parent company, Frontier, has a market </w:t>
      </w:r>
      <w:r w:rsidRPr="004C5175">
        <w:rPr>
          <w:rFonts w:ascii="Palatino Linotype" w:hAnsi="Palatino Linotype"/>
          <w:sz w:val="24"/>
          <w:szCs w:val="24"/>
        </w:rPr>
        <w:t>capitalization</w:t>
      </w:r>
      <w:r>
        <w:rPr>
          <w:rFonts w:ascii="Palatino Linotype" w:hAnsi="Palatino Linotype"/>
          <w:sz w:val="24"/>
          <w:szCs w:val="24"/>
        </w:rPr>
        <w:t xml:space="preserve"> of 5.2 billion,</w:t>
      </w:r>
      <w:r>
        <w:rPr>
          <w:rStyle w:val="FootnoteReference"/>
          <w:rFonts w:ascii="Palatino Linotype" w:hAnsi="Palatino Linotype"/>
          <w:sz w:val="24"/>
          <w:szCs w:val="24"/>
        </w:rPr>
        <w:footnoteReference w:id="14"/>
      </w:r>
      <w:r>
        <w:rPr>
          <w:rFonts w:ascii="Palatino Linotype" w:hAnsi="Palatino Linotype"/>
          <w:sz w:val="24"/>
          <w:szCs w:val="24"/>
        </w:rPr>
        <w:t xml:space="preserve"> revenues of 4.77 billion, and a net income of 133 million.</w:t>
      </w:r>
      <w:r>
        <w:rPr>
          <w:rStyle w:val="FootnoteReference"/>
          <w:rFonts w:ascii="Palatino Linotype" w:hAnsi="Palatino Linotype"/>
          <w:sz w:val="24"/>
          <w:szCs w:val="24"/>
        </w:rPr>
        <w:footnoteReference w:id="15"/>
      </w:r>
      <w:r>
        <w:rPr>
          <w:rFonts w:ascii="Palatino Linotype" w:hAnsi="Palatino Linotype"/>
          <w:sz w:val="24"/>
          <w:szCs w:val="24"/>
        </w:rPr>
        <w:t xml:space="preserve">  </w:t>
      </w:r>
      <w:r>
        <w:rPr>
          <w:rFonts w:ascii="Palatino Linotype" w:hAnsi="Palatino Linotype" w:cs="Palatino Linotype"/>
          <w:sz w:val="24"/>
          <w:szCs w:val="24"/>
        </w:rPr>
        <w:t xml:space="preserve">The project will take a relatively short time to complete (seven months rather than the 24 month standard time).  </w:t>
      </w:r>
    </w:p>
    <w:p w:rsidR="00BC6E63" w:rsidRDefault="00BC6E63" w:rsidP="00BC6E63">
      <w:pPr>
        <w:autoSpaceDE w:val="0"/>
        <w:autoSpaceDN w:val="0"/>
        <w:adjustRightInd w:val="0"/>
        <w:rPr>
          <w:rFonts w:ascii="Palatino Linotype" w:hAnsi="Palatino Linotype"/>
          <w:sz w:val="24"/>
          <w:szCs w:val="24"/>
        </w:rPr>
      </w:pPr>
    </w:p>
    <w:p w:rsidR="00BC6E63" w:rsidRDefault="00BC6E63" w:rsidP="00BC6E63">
      <w:pPr>
        <w:autoSpaceDE w:val="0"/>
        <w:autoSpaceDN w:val="0"/>
        <w:adjustRightInd w:val="0"/>
        <w:rPr>
          <w:rFonts w:ascii="Palatino Linotype" w:hAnsi="Palatino Linotype"/>
          <w:sz w:val="24"/>
          <w:szCs w:val="24"/>
        </w:rPr>
      </w:pPr>
      <w:r>
        <w:rPr>
          <w:rFonts w:ascii="Palatino Linotype" w:hAnsi="Palatino Linotype"/>
          <w:sz w:val="24"/>
          <w:szCs w:val="24"/>
        </w:rPr>
        <w:t>CD’s review of these and other financial viability variables for Citizens and its parent company Frontier indicates that they have the existing capital resources for the 40 percent required matching funds to construct the Petrolia project, as well as a sound financial framework for future operations.  Therefore, staff determined that there is a minimal risk that this project would encounter financial problems, such as the project not being completed.  The relatively short construction period also reduces expenses and risk.</w:t>
      </w:r>
    </w:p>
    <w:p w:rsidR="00BC6E63" w:rsidRPr="0070228F" w:rsidRDefault="00BC6E63" w:rsidP="00BC6E63">
      <w:pPr>
        <w:autoSpaceDE w:val="0"/>
        <w:autoSpaceDN w:val="0"/>
        <w:adjustRightInd w:val="0"/>
        <w:rPr>
          <w:rFonts w:ascii="Palatino Linotype" w:hAnsi="Palatino Linotype"/>
          <w:sz w:val="24"/>
          <w:szCs w:val="24"/>
        </w:rPr>
      </w:pPr>
    </w:p>
    <w:p w:rsidR="00BC6E63" w:rsidRPr="0070228F" w:rsidRDefault="00BC6E63" w:rsidP="00BC6E63">
      <w:pPr>
        <w:rPr>
          <w:rFonts w:ascii="Palatino Linotype" w:hAnsi="Palatino Linotype"/>
          <w:color w:val="000000"/>
          <w:sz w:val="24"/>
          <w:szCs w:val="24"/>
        </w:rPr>
      </w:pPr>
      <w:r w:rsidRPr="00F05AC3">
        <w:rPr>
          <w:rFonts w:ascii="Palatino Linotype" w:hAnsi="Palatino Linotype" w:cs="Palatino Linotype"/>
          <w:b/>
          <w:i/>
          <w:sz w:val="24"/>
          <w:szCs w:val="24"/>
        </w:rPr>
        <w:t>Pricing</w:t>
      </w:r>
      <w:r>
        <w:rPr>
          <w:rFonts w:ascii="Palatino Linotype" w:hAnsi="Palatino Linotype" w:cs="Palatino Linotype"/>
          <w:b/>
          <w:i/>
          <w:sz w:val="24"/>
          <w:szCs w:val="24"/>
        </w:rPr>
        <w:t xml:space="preserve"> and Affordability</w:t>
      </w:r>
      <w:r w:rsidRPr="00F05AC3">
        <w:rPr>
          <w:rFonts w:ascii="Palatino Linotype" w:hAnsi="Palatino Linotype" w:cs="Palatino Linotype"/>
          <w:b/>
          <w:sz w:val="24"/>
          <w:szCs w:val="24"/>
        </w:rPr>
        <w:t xml:space="preserve">.  </w:t>
      </w:r>
      <w:r>
        <w:rPr>
          <w:rFonts w:ascii="Palatino Linotype" w:hAnsi="Palatino Linotype" w:cs="Palatino Linotype"/>
          <w:sz w:val="24"/>
          <w:szCs w:val="24"/>
        </w:rPr>
        <w:t>Staff looked at the Petrolia Project r</w:t>
      </w:r>
      <w:r w:rsidRPr="00264629">
        <w:rPr>
          <w:rFonts w:ascii="Palatino Linotype" w:hAnsi="Palatino Linotype" w:cs="Palatino Linotype"/>
          <w:sz w:val="24"/>
          <w:szCs w:val="24"/>
        </w:rPr>
        <w:t xml:space="preserve">elative to </w:t>
      </w:r>
      <w:r>
        <w:rPr>
          <w:rFonts w:ascii="Palatino Linotype" w:hAnsi="Palatino Linotype" w:cs="Palatino Linotype"/>
          <w:sz w:val="24"/>
          <w:szCs w:val="24"/>
        </w:rPr>
        <w:t xml:space="preserve">the CASF </w:t>
      </w:r>
      <w:r w:rsidRPr="00264629">
        <w:rPr>
          <w:rFonts w:ascii="Palatino Linotype" w:hAnsi="Palatino Linotype" w:cs="Palatino Linotype"/>
          <w:sz w:val="24"/>
          <w:szCs w:val="24"/>
        </w:rPr>
        <w:t>funding criteria</w:t>
      </w:r>
      <w:r>
        <w:rPr>
          <w:rFonts w:ascii="Palatino Linotype" w:hAnsi="Palatino Linotype" w:cs="Palatino Linotype"/>
          <w:sz w:val="24"/>
          <w:szCs w:val="24"/>
        </w:rPr>
        <w:t xml:space="preserve"> for</w:t>
      </w:r>
      <w:r w:rsidRPr="00264629">
        <w:rPr>
          <w:rFonts w:ascii="Palatino Linotype" w:hAnsi="Palatino Linotype" w:cs="Palatino Linotype"/>
          <w:sz w:val="24"/>
          <w:szCs w:val="24"/>
        </w:rPr>
        <w:t xml:space="preserve"> </w:t>
      </w:r>
      <w:r>
        <w:rPr>
          <w:rFonts w:ascii="Palatino Linotype" w:hAnsi="Palatino Linotype" w:cs="Palatino Linotype"/>
          <w:sz w:val="24"/>
          <w:szCs w:val="24"/>
        </w:rPr>
        <w:t>pricing, guaranteed pricing period</w:t>
      </w:r>
      <w:r w:rsidRPr="00264629">
        <w:rPr>
          <w:rFonts w:ascii="Palatino Linotype" w:hAnsi="Palatino Linotype" w:cs="Palatino Linotype"/>
          <w:sz w:val="24"/>
          <w:szCs w:val="24"/>
        </w:rPr>
        <w:t>,</w:t>
      </w:r>
      <w:r>
        <w:rPr>
          <w:rFonts w:ascii="Palatino Linotype" w:hAnsi="Palatino Linotype" w:cs="Palatino Linotype"/>
          <w:sz w:val="24"/>
          <w:szCs w:val="24"/>
        </w:rPr>
        <w:t xml:space="preserve"> and low income areas.  </w:t>
      </w:r>
      <w:r>
        <w:rPr>
          <w:rFonts w:ascii="Palatino Linotype" w:hAnsi="Palatino Linotype"/>
          <w:color w:val="000000"/>
          <w:sz w:val="24"/>
          <w:szCs w:val="24"/>
        </w:rPr>
        <w:t>Citizens</w:t>
      </w:r>
      <w:r w:rsidRPr="0070228F">
        <w:rPr>
          <w:rFonts w:ascii="Palatino Linotype" w:hAnsi="Palatino Linotype"/>
          <w:color w:val="000000"/>
          <w:sz w:val="24"/>
          <w:szCs w:val="24"/>
        </w:rPr>
        <w:t xml:space="preserve"> has committed to a broadband pricing plan under the terms shown below</w:t>
      </w:r>
      <w:r>
        <w:rPr>
          <w:rFonts w:ascii="Palatino Linotype" w:hAnsi="Palatino Linotype"/>
          <w:color w:val="000000"/>
          <w:sz w:val="24"/>
          <w:szCs w:val="24"/>
        </w:rPr>
        <w:t xml:space="preserve"> for two</w:t>
      </w:r>
      <w:r w:rsidRPr="0070228F">
        <w:rPr>
          <w:rFonts w:ascii="Palatino Linotype" w:hAnsi="Palatino Linotype"/>
          <w:color w:val="000000"/>
          <w:sz w:val="24"/>
          <w:szCs w:val="24"/>
        </w:rPr>
        <w:t xml:space="preserve"> years, starting from the beginning date of service.</w:t>
      </w:r>
      <w:r>
        <w:rPr>
          <w:rFonts w:ascii="Palatino Linotype" w:hAnsi="Palatino Linotype"/>
          <w:color w:val="000000"/>
          <w:sz w:val="24"/>
          <w:szCs w:val="24"/>
        </w:rPr>
        <w:t xml:space="preserve"> </w:t>
      </w:r>
      <w:r w:rsidRPr="0070228F">
        <w:rPr>
          <w:rFonts w:ascii="Palatino Linotype" w:hAnsi="Palatino Linotype"/>
          <w:color w:val="000000"/>
          <w:sz w:val="24"/>
          <w:szCs w:val="24"/>
        </w:rPr>
        <w:t xml:space="preserve"> There is no long-term commitment by the consumer</w:t>
      </w:r>
      <w:r>
        <w:rPr>
          <w:rFonts w:ascii="Palatino Linotype" w:hAnsi="Palatino Linotype"/>
          <w:color w:val="000000"/>
          <w:sz w:val="24"/>
          <w:szCs w:val="24"/>
        </w:rPr>
        <w:t xml:space="preserve"> and activation and installation fees will be waived</w:t>
      </w:r>
      <w:r w:rsidRPr="0070228F">
        <w:rPr>
          <w:rFonts w:ascii="Palatino Linotype" w:hAnsi="Palatino Linotype"/>
          <w:color w:val="000000"/>
          <w:sz w:val="24"/>
          <w:szCs w:val="24"/>
        </w:rPr>
        <w:t>.</w:t>
      </w:r>
    </w:p>
    <w:p w:rsidR="00BC6E63" w:rsidRPr="0070228F" w:rsidRDefault="00BC6E63" w:rsidP="00BC6E63">
      <w:pPr>
        <w:autoSpaceDE w:val="0"/>
        <w:autoSpaceDN w:val="0"/>
        <w:adjustRightInd w:val="0"/>
        <w:rPr>
          <w:rFonts w:ascii="Palatino Linotype" w:hAnsi="Palatino Linotype" w:cs="Palatino Linotype"/>
          <w:color w:val="000000"/>
          <w:sz w:val="24"/>
          <w:szCs w:val="24"/>
        </w:rPr>
      </w:pPr>
    </w:p>
    <w:tbl>
      <w:tblPr>
        <w:tblW w:w="7920" w:type="dxa"/>
        <w:tblInd w:w="93" w:type="dxa"/>
        <w:tblLook w:val="04A0" w:firstRow="1" w:lastRow="0" w:firstColumn="1" w:lastColumn="0" w:noHBand="0" w:noVBand="1"/>
      </w:tblPr>
      <w:tblGrid>
        <w:gridCol w:w="2085"/>
        <w:gridCol w:w="1890"/>
        <w:gridCol w:w="1980"/>
        <w:gridCol w:w="1965"/>
      </w:tblGrid>
      <w:tr w:rsidR="00BC6E63" w:rsidRPr="000A40F0" w:rsidTr="00F20834">
        <w:trPr>
          <w:trHeight w:val="315"/>
        </w:trPr>
        <w:tc>
          <w:tcPr>
            <w:tcW w:w="20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C6E63" w:rsidRPr="000A40F0" w:rsidRDefault="00BC6E63" w:rsidP="00F20834">
            <w:pPr>
              <w:rPr>
                <w:rFonts w:ascii="Arial" w:hAnsi="Arial" w:cs="Arial"/>
              </w:rPr>
            </w:pPr>
            <w:r w:rsidRPr="000A40F0">
              <w:rPr>
                <w:rFonts w:ascii="Arial" w:hAnsi="Arial" w:cs="Arial"/>
              </w:rPr>
              <w:t> </w:t>
            </w:r>
          </w:p>
        </w:tc>
        <w:tc>
          <w:tcPr>
            <w:tcW w:w="1890" w:type="dxa"/>
            <w:tcBorders>
              <w:top w:val="single" w:sz="4" w:space="0" w:color="auto"/>
              <w:left w:val="nil"/>
              <w:bottom w:val="single" w:sz="4" w:space="0" w:color="auto"/>
              <w:right w:val="single" w:sz="4" w:space="0" w:color="auto"/>
            </w:tcBorders>
            <w:shd w:val="clear" w:color="auto" w:fill="auto"/>
            <w:noWrap/>
            <w:vAlign w:val="center"/>
            <w:hideMark/>
          </w:tcPr>
          <w:p w:rsidR="00BC6E63" w:rsidRPr="00985089" w:rsidRDefault="00BC6E63" w:rsidP="00F20834">
            <w:pPr>
              <w:rPr>
                <w:b/>
                <w:bCs/>
                <w:sz w:val="22"/>
                <w:szCs w:val="22"/>
              </w:rPr>
            </w:pPr>
            <w:r w:rsidRPr="00985089">
              <w:rPr>
                <w:b/>
                <w:bCs/>
                <w:sz w:val="22"/>
                <w:szCs w:val="22"/>
              </w:rPr>
              <w:t>6 Mbps/1.5 Mbps</w:t>
            </w:r>
          </w:p>
        </w:tc>
        <w:tc>
          <w:tcPr>
            <w:tcW w:w="1980" w:type="dxa"/>
            <w:tcBorders>
              <w:top w:val="single" w:sz="4" w:space="0" w:color="auto"/>
              <w:left w:val="nil"/>
              <w:bottom w:val="single" w:sz="4" w:space="0" w:color="auto"/>
              <w:right w:val="single" w:sz="4" w:space="0" w:color="auto"/>
            </w:tcBorders>
            <w:shd w:val="clear" w:color="auto" w:fill="auto"/>
            <w:noWrap/>
            <w:vAlign w:val="center"/>
            <w:hideMark/>
          </w:tcPr>
          <w:p w:rsidR="00BC6E63" w:rsidRPr="00985089" w:rsidRDefault="00BC6E63" w:rsidP="00F20834">
            <w:pPr>
              <w:rPr>
                <w:b/>
                <w:bCs/>
                <w:sz w:val="22"/>
                <w:szCs w:val="22"/>
              </w:rPr>
            </w:pPr>
            <w:r w:rsidRPr="00985089">
              <w:rPr>
                <w:b/>
                <w:bCs/>
                <w:sz w:val="22"/>
                <w:szCs w:val="22"/>
              </w:rPr>
              <w:t>12Mbps/1.5 Mbps</w:t>
            </w:r>
          </w:p>
        </w:tc>
        <w:tc>
          <w:tcPr>
            <w:tcW w:w="1965" w:type="dxa"/>
            <w:tcBorders>
              <w:top w:val="single" w:sz="4" w:space="0" w:color="auto"/>
              <w:left w:val="nil"/>
              <w:bottom w:val="single" w:sz="4" w:space="0" w:color="auto"/>
              <w:right w:val="single" w:sz="4" w:space="0" w:color="auto"/>
            </w:tcBorders>
            <w:shd w:val="clear" w:color="auto" w:fill="auto"/>
            <w:noWrap/>
            <w:vAlign w:val="center"/>
            <w:hideMark/>
          </w:tcPr>
          <w:p w:rsidR="00BC6E63" w:rsidRPr="00985089" w:rsidRDefault="00BC6E63" w:rsidP="00F20834">
            <w:pPr>
              <w:rPr>
                <w:b/>
                <w:bCs/>
                <w:sz w:val="22"/>
                <w:szCs w:val="22"/>
              </w:rPr>
            </w:pPr>
            <w:r w:rsidRPr="000A40F0">
              <w:rPr>
                <w:b/>
                <w:bCs/>
                <w:sz w:val="24"/>
                <w:szCs w:val="24"/>
              </w:rPr>
              <w:t xml:space="preserve"> </w:t>
            </w:r>
            <w:r w:rsidRPr="00985089">
              <w:rPr>
                <w:b/>
                <w:bCs/>
                <w:sz w:val="22"/>
                <w:szCs w:val="22"/>
              </w:rPr>
              <w:t>2</w:t>
            </w:r>
            <w:r>
              <w:rPr>
                <w:b/>
                <w:bCs/>
                <w:sz w:val="22"/>
                <w:szCs w:val="22"/>
              </w:rPr>
              <w:t>5</w:t>
            </w:r>
            <w:r w:rsidRPr="00985089">
              <w:rPr>
                <w:b/>
                <w:bCs/>
                <w:sz w:val="22"/>
                <w:szCs w:val="22"/>
              </w:rPr>
              <w:t>Mbps/1.5 Mbps</w:t>
            </w:r>
          </w:p>
        </w:tc>
      </w:tr>
      <w:tr w:rsidR="00BC6E63" w:rsidRPr="000A40F0" w:rsidTr="00F20834">
        <w:trPr>
          <w:trHeight w:val="315"/>
        </w:trPr>
        <w:tc>
          <w:tcPr>
            <w:tcW w:w="2085" w:type="dxa"/>
            <w:tcBorders>
              <w:top w:val="nil"/>
              <w:left w:val="single" w:sz="4" w:space="0" w:color="auto"/>
              <w:bottom w:val="single" w:sz="4" w:space="0" w:color="auto"/>
              <w:right w:val="single" w:sz="4" w:space="0" w:color="auto"/>
            </w:tcBorders>
            <w:shd w:val="clear" w:color="auto" w:fill="auto"/>
            <w:noWrap/>
            <w:vAlign w:val="bottom"/>
            <w:hideMark/>
          </w:tcPr>
          <w:p w:rsidR="00BC6E63" w:rsidRPr="000A40F0" w:rsidRDefault="00BC6E63" w:rsidP="00F20834">
            <w:pPr>
              <w:jc w:val="right"/>
              <w:rPr>
                <w:rFonts w:ascii="Arial" w:hAnsi="Arial" w:cs="Arial"/>
                <w:b/>
                <w:bCs/>
              </w:rPr>
            </w:pPr>
            <w:r w:rsidRPr="000A40F0">
              <w:rPr>
                <w:rFonts w:ascii="Arial" w:hAnsi="Arial" w:cs="Arial"/>
                <w:b/>
                <w:bCs/>
              </w:rPr>
              <w:t>DSL w/Access Line (Monthly)</w:t>
            </w:r>
            <w:r>
              <w:rPr>
                <w:rFonts w:ascii="Arial" w:hAnsi="Arial" w:cs="Arial"/>
                <w:b/>
                <w:bCs/>
              </w:rPr>
              <w:t>*</w:t>
            </w:r>
          </w:p>
        </w:tc>
        <w:tc>
          <w:tcPr>
            <w:tcW w:w="1890" w:type="dxa"/>
            <w:tcBorders>
              <w:top w:val="nil"/>
              <w:left w:val="nil"/>
              <w:bottom w:val="single" w:sz="4" w:space="0" w:color="auto"/>
              <w:right w:val="single" w:sz="4" w:space="0" w:color="auto"/>
            </w:tcBorders>
            <w:shd w:val="clear" w:color="auto" w:fill="auto"/>
            <w:noWrap/>
            <w:vAlign w:val="center"/>
            <w:hideMark/>
          </w:tcPr>
          <w:p w:rsidR="00BC6E63" w:rsidRPr="000A40F0" w:rsidRDefault="00BC6E63" w:rsidP="00F20834">
            <w:pPr>
              <w:ind w:firstLineChars="400" w:firstLine="960"/>
              <w:rPr>
                <w:sz w:val="24"/>
                <w:szCs w:val="24"/>
              </w:rPr>
            </w:pPr>
            <w:r>
              <w:rPr>
                <w:sz w:val="24"/>
                <w:szCs w:val="24"/>
              </w:rPr>
              <w:t>$</w:t>
            </w:r>
            <w:r w:rsidRPr="000A40F0">
              <w:rPr>
                <w:sz w:val="24"/>
                <w:szCs w:val="24"/>
              </w:rPr>
              <w:t>19.99</w:t>
            </w:r>
          </w:p>
        </w:tc>
        <w:tc>
          <w:tcPr>
            <w:tcW w:w="1980" w:type="dxa"/>
            <w:tcBorders>
              <w:top w:val="nil"/>
              <w:left w:val="nil"/>
              <w:bottom w:val="single" w:sz="4" w:space="0" w:color="auto"/>
              <w:right w:val="single" w:sz="4" w:space="0" w:color="auto"/>
            </w:tcBorders>
            <w:shd w:val="clear" w:color="auto" w:fill="auto"/>
            <w:noWrap/>
            <w:vAlign w:val="center"/>
            <w:hideMark/>
          </w:tcPr>
          <w:p w:rsidR="00BC6E63" w:rsidRPr="000A40F0" w:rsidRDefault="00BC6E63" w:rsidP="00F20834">
            <w:pPr>
              <w:ind w:firstLineChars="400" w:firstLine="960"/>
              <w:rPr>
                <w:sz w:val="24"/>
                <w:szCs w:val="24"/>
              </w:rPr>
            </w:pPr>
            <w:r>
              <w:rPr>
                <w:sz w:val="24"/>
                <w:szCs w:val="24"/>
              </w:rPr>
              <w:t>$</w:t>
            </w:r>
            <w:r w:rsidRPr="000A40F0">
              <w:rPr>
                <w:sz w:val="24"/>
                <w:szCs w:val="24"/>
              </w:rPr>
              <w:t>54.99</w:t>
            </w:r>
          </w:p>
        </w:tc>
        <w:tc>
          <w:tcPr>
            <w:tcW w:w="1965" w:type="dxa"/>
            <w:tcBorders>
              <w:top w:val="nil"/>
              <w:left w:val="nil"/>
              <w:bottom w:val="single" w:sz="4" w:space="0" w:color="auto"/>
              <w:right w:val="single" w:sz="4" w:space="0" w:color="auto"/>
            </w:tcBorders>
            <w:shd w:val="clear" w:color="auto" w:fill="auto"/>
            <w:noWrap/>
            <w:vAlign w:val="center"/>
            <w:hideMark/>
          </w:tcPr>
          <w:p w:rsidR="00BC6E63" w:rsidRPr="000A40F0" w:rsidRDefault="00BC6E63" w:rsidP="00F20834">
            <w:pPr>
              <w:ind w:firstLineChars="400" w:firstLine="960"/>
              <w:rPr>
                <w:sz w:val="24"/>
                <w:szCs w:val="24"/>
              </w:rPr>
            </w:pPr>
            <w:r>
              <w:rPr>
                <w:sz w:val="24"/>
                <w:szCs w:val="24"/>
              </w:rPr>
              <w:t>$</w:t>
            </w:r>
            <w:r w:rsidRPr="000A40F0">
              <w:rPr>
                <w:sz w:val="24"/>
                <w:szCs w:val="24"/>
              </w:rPr>
              <w:t>64.99</w:t>
            </w:r>
          </w:p>
        </w:tc>
      </w:tr>
      <w:tr w:rsidR="00BC6E63" w:rsidRPr="000A40F0" w:rsidTr="00F20834">
        <w:trPr>
          <w:trHeight w:val="315"/>
        </w:trPr>
        <w:tc>
          <w:tcPr>
            <w:tcW w:w="2085" w:type="dxa"/>
            <w:tcBorders>
              <w:top w:val="nil"/>
              <w:left w:val="single" w:sz="4" w:space="0" w:color="auto"/>
              <w:bottom w:val="single" w:sz="4" w:space="0" w:color="auto"/>
              <w:right w:val="single" w:sz="4" w:space="0" w:color="auto"/>
            </w:tcBorders>
            <w:shd w:val="clear" w:color="auto" w:fill="auto"/>
            <w:noWrap/>
            <w:vAlign w:val="bottom"/>
            <w:hideMark/>
          </w:tcPr>
          <w:p w:rsidR="00BC6E63" w:rsidRPr="000A40F0" w:rsidRDefault="00BC6E63" w:rsidP="00F20834">
            <w:pPr>
              <w:jc w:val="right"/>
              <w:rPr>
                <w:rFonts w:ascii="Arial" w:hAnsi="Arial" w:cs="Arial"/>
                <w:b/>
                <w:bCs/>
              </w:rPr>
            </w:pPr>
            <w:r w:rsidRPr="000A40F0">
              <w:rPr>
                <w:rFonts w:ascii="Arial" w:hAnsi="Arial" w:cs="Arial"/>
                <w:b/>
                <w:bCs/>
              </w:rPr>
              <w:t>Stand-alone DSL</w:t>
            </w:r>
          </w:p>
        </w:tc>
        <w:tc>
          <w:tcPr>
            <w:tcW w:w="1890" w:type="dxa"/>
            <w:tcBorders>
              <w:top w:val="nil"/>
              <w:left w:val="nil"/>
              <w:bottom w:val="single" w:sz="4" w:space="0" w:color="auto"/>
              <w:right w:val="single" w:sz="4" w:space="0" w:color="auto"/>
            </w:tcBorders>
            <w:shd w:val="clear" w:color="auto" w:fill="auto"/>
            <w:noWrap/>
            <w:vAlign w:val="center"/>
            <w:hideMark/>
          </w:tcPr>
          <w:p w:rsidR="00BC6E63" w:rsidRPr="000A40F0" w:rsidRDefault="00BC6E63" w:rsidP="00F20834">
            <w:pPr>
              <w:ind w:firstLineChars="400" w:firstLine="960"/>
              <w:rPr>
                <w:sz w:val="24"/>
                <w:szCs w:val="24"/>
              </w:rPr>
            </w:pPr>
            <w:r>
              <w:rPr>
                <w:sz w:val="24"/>
                <w:szCs w:val="24"/>
              </w:rPr>
              <w:t>$</w:t>
            </w:r>
            <w:r w:rsidRPr="000A40F0">
              <w:rPr>
                <w:sz w:val="24"/>
                <w:szCs w:val="24"/>
              </w:rPr>
              <w:t>34.99</w:t>
            </w:r>
          </w:p>
        </w:tc>
        <w:tc>
          <w:tcPr>
            <w:tcW w:w="1980" w:type="dxa"/>
            <w:tcBorders>
              <w:top w:val="nil"/>
              <w:left w:val="nil"/>
              <w:bottom w:val="single" w:sz="4" w:space="0" w:color="auto"/>
              <w:right w:val="single" w:sz="4" w:space="0" w:color="auto"/>
            </w:tcBorders>
            <w:shd w:val="clear" w:color="auto" w:fill="auto"/>
            <w:noWrap/>
            <w:vAlign w:val="center"/>
            <w:hideMark/>
          </w:tcPr>
          <w:p w:rsidR="00BC6E63" w:rsidRPr="000A40F0" w:rsidRDefault="00BC6E63" w:rsidP="00F20834">
            <w:pPr>
              <w:ind w:firstLineChars="400" w:firstLine="960"/>
              <w:rPr>
                <w:sz w:val="24"/>
                <w:szCs w:val="24"/>
              </w:rPr>
            </w:pPr>
            <w:r>
              <w:rPr>
                <w:sz w:val="24"/>
                <w:szCs w:val="24"/>
              </w:rPr>
              <w:t>$</w:t>
            </w:r>
            <w:r w:rsidRPr="000A40F0">
              <w:rPr>
                <w:sz w:val="24"/>
                <w:szCs w:val="24"/>
              </w:rPr>
              <w:t>59.99</w:t>
            </w:r>
          </w:p>
        </w:tc>
        <w:tc>
          <w:tcPr>
            <w:tcW w:w="1965" w:type="dxa"/>
            <w:tcBorders>
              <w:top w:val="nil"/>
              <w:left w:val="nil"/>
              <w:bottom w:val="single" w:sz="4" w:space="0" w:color="auto"/>
              <w:right w:val="single" w:sz="4" w:space="0" w:color="auto"/>
            </w:tcBorders>
            <w:shd w:val="clear" w:color="auto" w:fill="auto"/>
            <w:noWrap/>
            <w:vAlign w:val="center"/>
            <w:hideMark/>
          </w:tcPr>
          <w:p w:rsidR="00BC6E63" w:rsidRPr="000A40F0" w:rsidRDefault="00BC6E63" w:rsidP="00F20834">
            <w:pPr>
              <w:ind w:firstLineChars="400" w:firstLine="960"/>
              <w:rPr>
                <w:sz w:val="24"/>
                <w:szCs w:val="24"/>
              </w:rPr>
            </w:pPr>
            <w:r>
              <w:rPr>
                <w:sz w:val="24"/>
                <w:szCs w:val="24"/>
              </w:rPr>
              <w:t>$</w:t>
            </w:r>
            <w:r w:rsidRPr="000A40F0">
              <w:rPr>
                <w:sz w:val="24"/>
                <w:szCs w:val="24"/>
              </w:rPr>
              <w:t>69.99</w:t>
            </w:r>
          </w:p>
        </w:tc>
      </w:tr>
      <w:tr w:rsidR="00BC6E63" w:rsidRPr="000A40F0" w:rsidTr="00F20834">
        <w:trPr>
          <w:trHeight w:val="255"/>
        </w:trPr>
        <w:tc>
          <w:tcPr>
            <w:tcW w:w="792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C6E63" w:rsidRPr="000A40F0" w:rsidRDefault="00BC6E63" w:rsidP="00F20834">
            <w:pPr>
              <w:rPr>
                <w:rFonts w:ascii="Arial" w:hAnsi="Arial" w:cs="Arial"/>
              </w:rPr>
            </w:pPr>
            <w:r w:rsidRPr="000A40F0">
              <w:rPr>
                <w:rFonts w:ascii="Arial" w:hAnsi="Arial" w:cs="Arial"/>
              </w:rPr>
              <w:t>Activation and installation (all type): Waived</w:t>
            </w:r>
          </w:p>
        </w:tc>
      </w:tr>
    </w:tbl>
    <w:p w:rsidR="00BC6E63" w:rsidRDefault="00BC6E63" w:rsidP="00BC6E63">
      <w:pPr>
        <w:autoSpaceDE w:val="0"/>
        <w:autoSpaceDN w:val="0"/>
        <w:adjustRightInd w:val="0"/>
        <w:rPr>
          <w:rFonts w:ascii="Palatino Linotype" w:hAnsi="Palatino Linotype" w:cs="Palatino Linotype"/>
          <w:color w:val="000000"/>
          <w:sz w:val="18"/>
          <w:szCs w:val="18"/>
        </w:rPr>
      </w:pPr>
      <w:r w:rsidRPr="000A40F0">
        <w:rPr>
          <w:rFonts w:ascii="Palatino Linotype" w:hAnsi="Palatino Linotype" w:cs="Palatino Linotype"/>
          <w:color w:val="000000"/>
          <w:sz w:val="18"/>
          <w:szCs w:val="18"/>
        </w:rPr>
        <w:t>* The customer is required to purchase a dial tone line in conjunction with DSL for the DSL w/Access Line pricing</w:t>
      </w:r>
    </w:p>
    <w:p w:rsidR="00BC6E63" w:rsidRPr="000A40F0" w:rsidRDefault="00BC6E63" w:rsidP="00BC6E63">
      <w:pPr>
        <w:autoSpaceDE w:val="0"/>
        <w:autoSpaceDN w:val="0"/>
        <w:adjustRightInd w:val="0"/>
        <w:rPr>
          <w:rFonts w:ascii="Palatino Linotype" w:hAnsi="Palatino Linotype" w:cs="Palatino Linotype"/>
          <w:color w:val="000000"/>
          <w:sz w:val="18"/>
          <w:szCs w:val="18"/>
        </w:rPr>
      </w:pPr>
      <w:r>
        <w:rPr>
          <w:rFonts w:ascii="Palatino Linotype" w:hAnsi="Palatino Linotype" w:cs="Palatino Linotype"/>
          <w:color w:val="000000"/>
          <w:sz w:val="18"/>
          <w:szCs w:val="18"/>
        </w:rPr>
        <w:t>Note that, per communication with applicant, Citizens (Frontier Communications) does not assess a fee for a DSL modem.</w:t>
      </w:r>
    </w:p>
    <w:p w:rsidR="00BC6E63" w:rsidRDefault="00BC6E63" w:rsidP="00BC6E63">
      <w:pPr>
        <w:autoSpaceDE w:val="0"/>
        <w:autoSpaceDN w:val="0"/>
        <w:adjustRightInd w:val="0"/>
        <w:ind w:left="1080"/>
        <w:rPr>
          <w:rFonts w:ascii="Palatino Linotype" w:hAnsi="Palatino Linotype" w:cs="Palatino Linotype"/>
          <w:color w:val="000000"/>
          <w:sz w:val="24"/>
          <w:szCs w:val="24"/>
          <w:u w:val="single"/>
        </w:rPr>
      </w:pPr>
    </w:p>
    <w:p w:rsidR="00BC6E63" w:rsidRDefault="00BC6E63" w:rsidP="00BC6E63">
      <w:pPr>
        <w:autoSpaceDE w:val="0"/>
        <w:autoSpaceDN w:val="0"/>
        <w:adjustRightInd w:val="0"/>
        <w:rPr>
          <w:rFonts w:ascii="Palatino Linotype" w:hAnsi="Palatino Linotype" w:cs="Palatino Linotype"/>
          <w:sz w:val="24"/>
          <w:szCs w:val="24"/>
        </w:rPr>
      </w:pPr>
      <w:r>
        <w:rPr>
          <w:rFonts w:ascii="Palatino Linotype" w:hAnsi="Palatino Linotype" w:cs="Palatino Linotype"/>
          <w:sz w:val="24"/>
          <w:szCs w:val="24"/>
        </w:rPr>
        <w:t xml:space="preserve">As discussed in the </w:t>
      </w:r>
      <w:r>
        <w:rPr>
          <w:rFonts w:ascii="Palatino Linotype" w:hAnsi="Palatino Linotype" w:cs="Palatino Linotype"/>
          <w:i/>
          <w:sz w:val="24"/>
          <w:szCs w:val="24"/>
        </w:rPr>
        <w:t>Community</w:t>
      </w:r>
      <w:r>
        <w:rPr>
          <w:rFonts w:ascii="Palatino Linotype" w:hAnsi="Palatino Linotype" w:cs="Palatino Linotype"/>
          <w:sz w:val="24"/>
          <w:szCs w:val="24"/>
        </w:rPr>
        <w:t xml:space="preserve"> section above, t</w:t>
      </w:r>
      <w:r w:rsidRPr="0070228F">
        <w:rPr>
          <w:rFonts w:ascii="Palatino Linotype" w:hAnsi="Palatino Linotype" w:cs="Palatino Linotype"/>
          <w:sz w:val="24"/>
          <w:szCs w:val="24"/>
        </w:rPr>
        <w:t xml:space="preserve">he </w:t>
      </w:r>
      <w:r>
        <w:rPr>
          <w:rFonts w:ascii="Palatino Linotype" w:hAnsi="Palatino Linotype" w:cs="Palatino Linotype"/>
          <w:sz w:val="24"/>
          <w:szCs w:val="24"/>
        </w:rPr>
        <w:t>Petrolia</w:t>
      </w:r>
      <w:r w:rsidRPr="0070228F">
        <w:rPr>
          <w:rFonts w:ascii="Palatino Linotype" w:hAnsi="Palatino Linotype" w:cs="Palatino Linotype"/>
          <w:sz w:val="24"/>
          <w:szCs w:val="24"/>
        </w:rPr>
        <w:t xml:space="preserve"> Project </w:t>
      </w:r>
      <w:r>
        <w:rPr>
          <w:rFonts w:ascii="Palatino Linotype" w:hAnsi="Palatino Linotype" w:cs="Palatino Linotype"/>
          <w:sz w:val="24"/>
          <w:szCs w:val="24"/>
        </w:rPr>
        <w:t>serves a relatively low income rural area that would benefit from broadband availability at served speeds.  CD staff determined that the Petrolia Project p</w:t>
      </w:r>
      <w:r w:rsidRPr="00264629">
        <w:rPr>
          <w:rFonts w:ascii="Palatino Linotype" w:hAnsi="Palatino Linotype" w:cs="Palatino Linotype"/>
          <w:sz w:val="24"/>
          <w:szCs w:val="24"/>
        </w:rPr>
        <w:t>ricing</w:t>
      </w:r>
      <w:r>
        <w:rPr>
          <w:rFonts w:ascii="Palatino Linotype" w:hAnsi="Palatino Linotype" w:cs="Palatino Linotype"/>
          <w:sz w:val="24"/>
          <w:szCs w:val="24"/>
        </w:rPr>
        <w:t xml:space="preserve"> plans are </w:t>
      </w:r>
      <w:r w:rsidRPr="00264629">
        <w:rPr>
          <w:rFonts w:ascii="Palatino Linotype" w:hAnsi="Palatino Linotype" w:cs="Palatino Linotype"/>
          <w:sz w:val="24"/>
          <w:szCs w:val="24"/>
        </w:rPr>
        <w:t>affordable, particularly if the customer already has telephone service with Citizens (Citizens is the local area exchange carrier). Given th</w:t>
      </w:r>
      <w:r>
        <w:rPr>
          <w:rFonts w:ascii="Palatino Linotype" w:hAnsi="Palatino Linotype" w:cs="Palatino Linotype"/>
          <w:sz w:val="24"/>
          <w:szCs w:val="24"/>
        </w:rPr>
        <w:t>e pricing structure and “priority area” designation, CD staff agrees that the applicant’s a</w:t>
      </w:r>
      <w:r w:rsidRPr="00264629">
        <w:rPr>
          <w:rFonts w:ascii="Palatino Linotype" w:hAnsi="Palatino Linotype" w:cs="Palatino Linotype"/>
          <w:sz w:val="24"/>
          <w:szCs w:val="24"/>
        </w:rPr>
        <w:t>ssumption that there will be at least a 75% uptake of the improved service is reasonable</w:t>
      </w:r>
      <w:r>
        <w:rPr>
          <w:rFonts w:ascii="Palatino Linotype" w:hAnsi="Palatino Linotype" w:cs="Palatino Linotype"/>
          <w:sz w:val="24"/>
          <w:szCs w:val="24"/>
        </w:rPr>
        <w:t xml:space="preserve">, </w:t>
      </w:r>
      <w:r w:rsidRPr="00475176">
        <w:rPr>
          <w:rFonts w:ascii="Palatino Linotype" w:hAnsi="Palatino Linotype" w:cs="Palatino Linotype"/>
          <w:sz w:val="24"/>
          <w:szCs w:val="24"/>
        </w:rPr>
        <w:t>based on the applicant’s attestations.</w:t>
      </w:r>
      <w:r w:rsidRPr="00264629">
        <w:rPr>
          <w:rFonts w:ascii="Palatino Linotype" w:hAnsi="Palatino Linotype" w:cs="Palatino Linotype"/>
          <w:sz w:val="24"/>
          <w:szCs w:val="24"/>
        </w:rPr>
        <w:t xml:space="preserve">  </w:t>
      </w:r>
      <w:r>
        <w:rPr>
          <w:rFonts w:ascii="Palatino Linotype" w:hAnsi="Palatino Linotype" w:cs="Palatino Linotype"/>
          <w:sz w:val="24"/>
          <w:szCs w:val="24"/>
        </w:rPr>
        <w:t xml:space="preserve">  </w:t>
      </w:r>
    </w:p>
    <w:p w:rsidR="00BC6E63" w:rsidRPr="00475176" w:rsidRDefault="00BC6E63" w:rsidP="00BC6E63">
      <w:pPr>
        <w:autoSpaceDE w:val="0"/>
        <w:autoSpaceDN w:val="0"/>
        <w:adjustRightInd w:val="0"/>
        <w:rPr>
          <w:rFonts w:ascii="Palatino Linotype" w:hAnsi="Palatino Linotype" w:cs="Palatino Linotype"/>
          <w:sz w:val="24"/>
          <w:szCs w:val="24"/>
        </w:rPr>
      </w:pPr>
    </w:p>
    <w:p w:rsidR="00BC6E63" w:rsidRDefault="00BC6E63" w:rsidP="00BC6E63">
      <w:pPr>
        <w:autoSpaceDE w:val="0"/>
        <w:autoSpaceDN w:val="0"/>
        <w:adjustRightInd w:val="0"/>
        <w:rPr>
          <w:rFonts w:ascii="Palatino Linotype" w:hAnsi="Palatino Linotype" w:cs="Book Antiqua"/>
          <w:b/>
          <w:i/>
          <w:color w:val="000000"/>
          <w:sz w:val="24"/>
          <w:szCs w:val="24"/>
        </w:rPr>
      </w:pPr>
    </w:p>
    <w:p w:rsidR="00BC6E63" w:rsidRDefault="00BC6E63" w:rsidP="00BC6E63">
      <w:pPr>
        <w:autoSpaceDE w:val="0"/>
        <w:autoSpaceDN w:val="0"/>
        <w:adjustRightInd w:val="0"/>
        <w:rPr>
          <w:rFonts w:ascii="Palatino Linotype" w:hAnsi="Palatino Linotype" w:cs="Book Antiqua"/>
          <w:b/>
          <w:i/>
          <w:color w:val="000000"/>
          <w:sz w:val="24"/>
          <w:szCs w:val="24"/>
        </w:rPr>
      </w:pPr>
    </w:p>
    <w:p w:rsidR="00BC6E63" w:rsidRDefault="00BC6E63" w:rsidP="00BC6E63">
      <w:pPr>
        <w:autoSpaceDE w:val="0"/>
        <w:autoSpaceDN w:val="0"/>
        <w:adjustRightInd w:val="0"/>
        <w:rPr>
          <w:rFonts w:ascii="Palatino Linotype" w:hAnsi="Palatino Linotype" w:cs="Book Antiqua"/>
          <w:b/>
          <w:i/>
          <w:color w:val="000000"/>
          <w:sz w:val="24"/>
          <w:szCs w:val="24"/>
        </w:rPr>
      </w:pPr>
    </w:p>
    <w:p w:rsidR="00BC6E63" w:rsidRDefault="00BC6E63" w:rsidP="00BC6E63">
      <w:pPr>
        <w:autoSpaceDE w:val="0"/>
        <w:autoSpaceDN w:val="0"/>
        <w:adjustRightInd w:val="0"/>
        <w:rPr>
          <w:rFonts w:ascii="Palatino Linotype" w:hAnsi="Palatino Linotype" w:cs="Book Antiqua"/>
          <w:b/>
          <w:i/>
          <w:color w:val="000000"/>
          <w:sz w:val="24"/>
          <w:szCs w:val="24"/>
        </w:rPr>
      </w:pPr>
    </w:p>
    <w:p w:rsidR="00BC6E63" w:rsidRPr="0070228F" w:rsidRDefault="00BC6E63" w:rsidP="00BC6E63">
      <w:pPr>
        <w:autoSpaceDE w:val="0"/>
        <w:autoSpaceDN w:val="0"/>
        <w:adjustRightInd w:val="0"/>
        <w:rPr>
          <w:rFonts w:ascii="Palatino Linotype" w:hAnsi="Palatino Linotype" w:cs="Book Antiqua"/>
          <w:color w:val="000000"/>
          <w:sz w:val="24"/>
          <w:szCs w:val="24"/>
        </w:rPr>
      </w:pPr>
      <w:r>
        <w:rPr>
          <w:rFonts w:ascii="Palatino Linotype" w:hAnsi="Palatino Linotype" w:cs="Book Antiqua"/>
          <w:b/>
          <w:i/>
          <w:color w:val="000000"/>
          <w:sz w:val="24"/>
          <w:szCs w:val="24"/>
        </w:rPr>
        <w:t>Key Findings.</w:t>
      </w:r>
      <w:r>
        <w:rPr>
          <w:rFonts w:ascii="Palatino Linotype" w:hAnsi="Palatino Linotype" w:cs="Book Antiqua"/>
          <w:color w:val="000000"/>
          <w:sz w:val="24"/>
          <w:szCs w:val="24"/>
        </w:rPr>
        <w:t xml:space="preserve">  </w:t>
      </w:r>
      <w:r w:rsidRPr="0070228F">
        <w:rPr>
          <w:rFonts w:ascii="Palatino Linotype" w:hAnsi="Palatino Linotype" w:cs="Book Antiqua"/>
          <w:color w:val="000000"/>
          <w:sz w:val="24"/>
          <w:szCs w:val="24"/>
        </w:rPr>
        <w:t xml:space="preserve">CD found that the </w:t>
      </w:r>
      <w:r>
        <w:rPr>
          <w:rFonts w:ascii="Palatino Linotype" w:hAnsi="Palatino Linotype" w:cs="Book Antiqua"/>
          <w:color w:val="000000"/>
          <w:sz w:val="24"/>
          <w:szCs w:val="24"/>
        </w:rPr>
        <w:t>Petrolia</w:t>
      </w:r>
      <w:r w:rsidRPr="0070228F">
        <w:rPr>
          <w:rFonts w:ascii="Palatino Linotype" w:hAnsi="Palatino Linotype" w:cs="Book Antiqua"/>
          <w:color w:val="000000"/>
          <w:sz w:val="24"/>
          <w:szCs w:val="24"/>
        </w:rPr>
        <w:t xml:space="preserve"> Project meets CASF funding requirements with respect to the following factors:</w:t>
      </w:r>
    </w:p>
    <w:p w:rsidR="00BC6E63" w:rsidRPr="0070228F" w:rsidRDefault="00BC6E63" w:rsidP="00BC6E63">
      <w:pPr>
        <w:autoSpaceDE w:val="0"/>
        <w:autoSpaceDN w:val="0"/>
        <w:adjustRightInd w:val="0"/>
        <w:rPr>
          <w:rFonts w:ascii="Palatino Linotype" w:hAnsi="Palatino Linotype" w:cs="Book Antiqua"/>
          <w:color w:val="000000"/>
          <w:sz w:val="24"/>
          <w:szCs w:val="24"/>
        </w:rPr>
      </w:pPr>
    </w:p>
    <w:p w:rsidR="00BC6E63" w:rsidRPr="0070228F" w:rsidRDefault="00BC6E63" w:rsidP="00BC6E63">
      <w:pPr>
        <w:numPr>
          <w:ilvl w:val="0"/>
          <w:numId w:val="18"/>
        </w:numPr>
        <w:autoSpaceDE w:val="0"/>
        <w:autoSpaceDN w:val="0"/>
        <w:adjustRightInd w:val="0"/>
        <w:spacing w:after="35"/>
        <w:rPr>
          <w:rFonts w:ascii="Palatino Linotype" w:hAnsi="Palatino Linotype" w:cs="Book Antiqua"/>
          <w:color w:val="000000"/>
          <w:sz w:val="24"/>
          <w:szCs w:val="24"/>
        </w:rPr>
      </w:pPr>
      <w:r w:rsidRPr="00920AD0">
        <w:rPr>
          <w:rFonts w:ascii="Palatino Linotype" w:hAnsi="Palatino Linotype" w:cs="Book Antiqua"/>
          <w:i/>
          <w:color w:val="000000"/>
          <w:sz w:val="24"/>
          <w:szCs w:val="24"/>
        </w:rPr>
        <w:t>Speed</w:t>
      </w:r>
      <w:r w:rsidRPr="0070228F">
        <w:rPr>
          <w:rFonts w:ascii="Palatino Linotype" w:hAnsi="Palatino Linotype" w:cs="Book Antiqua"/>
          <w:color w:val="000000"/>
          <w:sz w:val="24"/>
          <w:szCs w:val="24"/>
        </w:rPr>
        <w:t xml:space="preserve"> – </w:t>
      </w:r>
      <w:r>
        <w:rPr>
          <w:rFonts w:ascii="Palatino Linotype" w:hAnsi="Palatino Linotype" w:cs="Book Antiqua"/>
          <w:color w:val="000000"/>
          <w:sz w:val="24"/>
          <w:szCs w:val="24"/>
        </w:rPr>
        <w:t>T</w:t>
      </w:r>
      <w:r w:rsidRPr="0070228F">
        <w:rPr>
          <w:rFonts w:ascii="Palatino Linotype" w:hAnsi="Palatino Linotype" w:cs="Book Antiqua"/>
          <w:color w:val="000000"/>
          <w:sz w:val="24"/>
          <w:szCs w:val="24"/>
        </w:rPr>
        <w:t xml:space="preserve">he proposed </w:t>
      </w:r>
      <w:r>
        <w:rPr>
          <w:rFonts w:ascii="Palatino Linotype" w:hAnsi="Palatino Linotype" w:cs="Book Antiqua"/>
          <w:color w:val="000000"/>
          <w:sz w:val="24"/>
          <w:szCs w:val="24"/>
        </w:rPr>
        <w:t>speed offering (maximum of 25 Mbps download and 1.5 Mbps</w:t>
      </w:r>
      <w:r w:rsidRPr="0070228F">
        <w:rPr>
          <w:rFonts w:ascii="Palatino Linotype" w:hAnsi="Palatino Linotype" w:cs="Book Antiqua"/>
          <w:color w:val="000000"/>
          <w:sz w:val="24"/>
          <w:szCs w:val="24"/>
        </w:rPr>
        <w:t xml:space="preserve"> upload </w:t>
      </w:r>
      <w:r>
        <w:rPr>
          <w:rFonts w:ascii="Palatino Linotype" w:hAnsi="Palatino Linotype" w:cs="Book Antiqua"/>
          <w:color w:val="000000"/>
          <w:sz w:val="24"/>
          <w:szCs w:val="24"/>
        </w:rPr>
        <w:t xml:space="preserve">and minimum of 6 Mbps download and 1.5 Mbps upload) exceeds or matches </w:t>
      </w:r>
      <w:r w:rsidRPr="0070228F">
        <w:rPr>
          <w:rFonts w:ascii="Palatino Linotype" w:hAnsi="Palatino Linotype" w:cs="Book Antiqua"/>
          <w:color w:val="000000"/>
          <w:sz w:val="24"/>
          <w:szCs w:val="24"/>
        </w:rPr>
        <w:t xml:space="preserve">the </w:t>
      </w:r>
      <w:r>
        <w:rPr>
          <w:rFonts w:ascii="Palatino Linotype" w:hAnsi="Palatino Linotype" w:cs="Book Antiqua"/>
          <w:color w:val="000000"/>
          <w:sz w:val="24"/>
          <w:szCs w:val="24"/>
        </w:rPr>
        <w:t xml:space="preserve">6/1.5 </w:t>
      </w:r>
      <w:r w:rsidRPr="0070228F">
        <w:rPr>
          <w:rFonts w:ascii="Palatino Linotype" w:hAnsi="Palatino Linotype" w:cs="Book Antiqua"/>
          <w:color w:val="000000"/>
          <w:sz w:val="24"/>
          <w:szCs w:val="24"/>
        </w:rPr>
        <w:t>benchmark set by the Commission</w:t>
      </w:r>
      <w:r>
        <w:rPr>
          <w:rFonts w:ascii="Palatino Linotype" w:hAnsi="Palatino Linotype" w:cs="Book Antiqua"/>
          <w:color w:val="000000"/>
          <w:sz w:val="24"/>
          <w:szCs w:val="24"/>
        </w:rPr>
        <w:t>.</w:t>
      </w:r>
    </w:p>
    <w:p w:rsidR="00BC6E63" w:rsidRPr="0070228F" w:rsidRDefault="00BC6E63" w:rsidP="00BC6E63">
      <w:pPr>
        <w:numPr>
          <w:ilvl w:val="0"/>
          <w:numId w:val="18"/>
        </w:numPr>
        <w:autoSpaceDE w:val="0"/>
        <w:autoSpaceDN w:val="0"/>
        <w:adjustRightInd w:val="0"/>
        <w:spacing w:after="35"/>
        <w:rPr>
          <w:rFonts w:ascii="Palatino Linotype" w:hAnsi="Palatino Linotype" w:cs="Book Antiqua"/>
          <w:color w:val="000000"/>
          <w:sz w:val="24"/>
          <w:szCs w:val="24"/>
        </w:rPr>
      </w:pPr>
      <w:r w:rsidRPr="00920AD0">
        <w:rPr>
          <w:rFonts w:ascii="Palatino Linotype" w:hAnsi="Palatino Linotype" w:cs="Book Antiqua"/>
          <w:i/>
          <w:color w:val="000000"/>
          <w:sz w:val="24"/>
          <w:szCs w:val="24"/>
        </w:rPr>
        <w:t xml:space="preserve">Service </w:t>
      </w:r>
      <w:r>
        <w:rPr>
          <w:rFonts w:ascii="Palatino Linotype" w:hAnsi="Palatino Linotype" w:cs="Book Antiqua"/>
          <w:i/>
          <w:color w:val="000000"/>
          <w:sz w:val="24"/>
          <w:szCs w:val="24"/>
        </w:rPr>
        <w:t>A</w:t>
      </w:r>
      <w:r w:rsidRPr="00920AD0">
        <w:rPr>
          <w:rFonts w:ascii="Palatino Linotype" w:hAnsi="Palatino Linotype" w:cs="Book Antiqua"/>
          <w:i/>
          <w:color w:val="000000"/>
          <w:sz w:val="24"/>
          <w:szCs w:val="24"/>
        </w:rPr>
        <w:t>rea</w:t>
      </w:r>
      <w:r w:rsidRPr="0070228F">
        <w:rPr>
          <w:rFonts w:ascii="Palatino Linotype" w:hAnsi="Palatino Linotype" w:cs="Book Antiqua"/>
          <w:color w:val="000000"/>
          <w:sz w:val="24"/>
          <w:szCs w:val="24"/>
        </w:rPr>
        <w:t xml:space="preserve"> – </w:t>
      </w:r>
      <w:r>
        <w:rPr>
          <w:rFonts w:ascii="Palatino Linotype" w:hAnsi="Palatino Linotype" w:cs="Book Antiqua"/>
          <w:color w:val="000000"/>
          <w:sz w:val="24"/>
          <w:szCs w:val="24"/>
        </w:rPr>
        <w:t xml:space="preserve">The Petrolia Project area </w:t>
      </w:r>
      <w:r w:rsidRPr="0070228F">
        <w:rPr>
          <w:rFonts w:ascii="Palatino Linotype" w:hAnsi="Palatino Linotype" w:cs="Book Antiqua"/>
          <w:color w:val="000000"/>
          <w:sz w:val="24"/>
          <w:szCs w:val="24"/>
        </w:rPr>
        <w:t xml:space="preserve">is determined to be </w:t>
      </w:r>
      <w:r>
        <w:rPr>
          <w:rFonts w:ascii="Palatino Linotype" w:hAnsi="Palatino Linotype" w:cs="Book Antiqua"/>
          <w:color w:val="000000"/>
          <w:sz w:val="24"/>
          <w:szCs w:val="24"/>
        </w:rPr>
        <w:t>underserved or unserved and covers 12.7</w:t>
      </w:r>
      <w:r w:rsidRPr="0070228F">
        <w:rPr>
          <w:rFonts w:ascii="Palatino Linotype" w:hAnsi="Palatino Linotype" w:cs="Book Antiqua"/>
          <w:color w:val="000000"/>
          <w:sz w:val="24"/>
          <w:szCs w:val="24"/>
        </w:rPr>
        <w:t xml:space="preserve"> square miles</w:t>
      </w:r>
      <w:r>
        <w:rPr>
          <w:rFonts w:ascii="Palatino Linotype" w:hAnsi="Palatino Linotype" w:cs="Book Antiqua"/>
          <w:color w:val="000000"/>
          <w:sz w:val="24"/>
          <w:szCs w:val="24"/>
        </w:rPr>
        <w:t>.</w:t>
      </w:r>
    </w:p>
    <w:p w:rsidR="00BC6E63" w:rsidRPr="0070228F" w:rsidRDefault="00BC6E63" w:rsidP="00BC6E63">
      <w:pPr>
        <w:numPr>
          <w:ilvl w:val="0"/>
          <w:numId w:val="18"/>
        </w:numPr>
        <w:autoSpaceDE w:val="0"/>
        <w:autoSpaceDN w:val="0"/>
        <w:adjustRightInd w:val="0"/>
        <w:rPr>
          <w:rFonts w:ascii="Palatino Linotype" w:hAnsi="Palatino Linotype"/>
          <w:sz w:val="24"/>
          <w:szCs w:val="24"/>
        </w:rPr>
      </w:pPr>
      <w:r w:rsidRPr="00920AD0">
        <w:rPr>
          <w:rFonts w:ascii="Palatino Linotype" w:hAnsi="Palatino Linotype" w:cs="Book Antiqua"/>
          <w:i/>
          <w:color w:val="000000"/>
          <w:sz w:val="24"/>
          <w:szCs w:val="24"/>
        </w:rPr>
        <w:t xml:space="preserve">Matching Funds </w:t>
      </w:r>
      <w:r>
        <w:rPr>
          <w:rFonts w:ascii="Palatino Linotype" w:hAnsi="Palatino Linotype" w:cs="Book Antiqua"/>
          <w:i/>
          <w:color w:val="000000"/>
          <w:sz w:val="24"/>
          <w:szCs w:val="24"/>
        </w:rPr>
        <w:t>(</w:t>
      </w:r>
      <w:r w:rsidRPr="00920AD0">
        <w:rPr>
          <w:rFonts w:ascii="Palatino Linotype" w:hAnsi="Palatino Linotype" w:cs="Book Antiqua"/>
          <w:i/>
          <w:color w:val="000000"/>
          <w:sz w:val="24"/>
          <w:szCs w:val="24"/>
        </w:rPr>
        <w:t>40</w:t>
      </w:r>
      <w:r>
        <w:rPr>
          <w:rFonts w:ascii="Palatino Linotype" w:hAnsi="Palatino Linotype" w:cs="Book Antiqua"/>
          <w:i/>
          <w:color w:val="000000"/>
          <w:sz w:val="24"/>
          <w:szCs w:val="24"/>
        </w:rPr>
        <w:t>%</w:t>
      </w:r>
      <w:r w:rsidRPr="00920AD0">
        <w:rPr>
          <w:rFonts w:ascii="Palatino Linotype" w:hAnsi="Palatino Linotype" w:cs="Book Antiqua"/>
          <w:i/>
          <w:color w:val="000000"/>
          <w:sz w:val="24"/>
          <w:szCs w:val="24"/>
        </w:rPr>
        <w:t xml:space="preserve"> of project cost</w:t>
      </w:r>
      <w:r>
        <w:rPr>
          <w:rFonts w:ascii="Palatino Linotype" w:hAnsi="Palatino Linotype" w:cs="Book Antiqua"/>
          <w:i/>
          <w:color w:val="000000"/>
          <w:sz w:val="24"/>
          <w:szCs w:val="24"/>
        </w:rPr>
        <w:t>)</w:t>
      </w:r>
      <w:r w:rsidRPr="0070228F">
        <w:rPr>
          <w:rFonts w:ascii="Palatino Linotype" w:hAnsi="Palatino Linotype" w:cs="Book Antiqua"/>
          <w:color w:val="000000"/>
          <w:sz w:val="24"/>
          <w:szCs w:val="24"/>
        </w:rPr>
        <w:t xml:space="preserve"> – </w:t>
      </w:r>
      <w:r>
        <w:rPr>
          <w:rFonts w:ascii="Palatino Linotype" w:hAnsi="Palatino Linotype" w:cs="Book Antiqua"/>
          <w:color w:val="000000"/>
          <w:sz w:val="24"/>
          <w:szCs w:val="24"/>
        </w:rPr>
        <w:t>T</w:t>
      </w:r>
      <w:r w:rsidRPr="0070228F">
        <w:rPr>
          <w:rFonts w:ascii="Palatino Linotype" w:hAnsi="Palatino Linotype" w:cs="Book Antiqua"/>
          <w:color w:val="000000"/>
          <w:sz w:val="24"/>
          <w:szCs w:val="24"/>
        </w:rPr>
        <w:t xml:space="preserve">he applicant </w:t>
      </w:r>
      <w:r>
        <w:rPr>
          <w:rFonts w:ascii="Palatino Linotype" w:hAnsi="Palatino Linotype" w:cs="Book Antiqua"/>
          <w:color w:val="000000"/>
          <w:sz w:val="24"/>
          <w:szCs w:val="24"/>
        </w:rPr>
        <w:t>will use existing capital</w:t>
      </w:r>
      <w:r w:rsidRPr="0070228F">
        <w:rPr>
          <w:rFonts w:ascii="Palatino Linotype" w:hAnsi="Palatino Linotype" w:cs="Book Antiqua"/>
          <w:color w:val="000000"/>
          <w:sz w:val="24"/>
          <w:szCs w:val="24"/>
        </w:rPr>
        <w:t>; the submitted balance sheet, income and cash flow statements show that the applicant is financially viable and has the financial capability to match the funds</w:t>
      </w:r>
      <w:r>
        <w:rPr>
          <w:rFonts w:ascii="Palatino Linotype" w:hAnsi="Palatino Linotype" w:cs="Book Antiqua"/>
          <w:color w:val="000000"/>
          <w:sz w:val="24"/>
          <w:szCs w:val="24"/>
        </w:rPr>
        <w:t>.</w:t>
      </w:r>
    </w:p>
    <w:p w:rsidR="00BC6E63" w:rsidRPr="0070228F" w:rsidRDefault="00BC6E63" w:rsidP="00BC6E63">
      <w:pPr>
        <w:numPr>
          <w:ilvl w:val="0"/>
          <w:numId w:val="18"/>
        </w:numPr>
        <w:autoSpaceDE w:val="0"/>
        <w:autoSpaceDN w:val="0"/>
        <w:adjustRightInd w:val="0"/>
        <w:spacing w:after="37"/>
        <w:rPr>
          <w:rFonts w:ascii="Palatino Linotype" w:hAnsi="Palatino Linotype"/>
          <w:sz w:val="24"/>
          <w:szCs w:val="24"/>
        </w:rPr>
      </w:pPr>
      <w:r w:rsidRPr="00920AD0">
        <w:rPr>
          <w:rFonts w:ascii="Palatino Linotype" w:hAnsi="Palatino Linotype" w:cs="Book Antiqua"/>
          <w:i/>
          <w:color w:val="000000"/>
          <w:sz w:val="24"/>
          <w:szCs w:val="24"/>
        </w:rPr>
        <w:t xml:space="preserve">Price </w:t>
      </w:r>
      <w:r>
        <w:rPr>
          <w:rFonts w:ascii="Palatino Linotype" w:hAnsi="Palatino Linotype" w:cs="Book Antiqua"/>
          <w:i/>
          <w:color w:val="000000"/>
          <w:sz w:val="24"/>
          <w:szCs w:val="24"/>
        </w:rPr>
        <w:t>C</w:t>
      </w:r>
      <w:r w:rsidRPr="00920AD0">
        <w:rPr>
          <w:rFonts w:ascii="Palatino Linotype" w:hAnsi="Palatino Linotype" w:cs="Book Antiqua"/>
          <w:i/>
          <w:color w:val="000000"/>
          <w:sz w:val="24"/>
          <w:szCs w:val="24"/>
        </w:rPr>
        <w:t>ommitment</w:t>
      </w:r>
      <w:r>
        <w:rPr>
          <w:rFonts w:ascii="Palatino Linotype" w:hAnsi="Palatino Linotype" w:cs="Book Antiqua"/>
          <w:i/>
          <w:color w:val="000000"/>
          <w:sz w:val="24"/>
          <w:szCs w:val="24"/>
        </w:rPr>
        <w:t xml:space="preserve"> P</w:t>
      </w:r>
      <w:r w:rsidRPr="00920AD0">
        <w:rPr>
          <w:rFonts w:ascii="Palatino Linotype" w:hAnsi="Palatino Linotype" w:cs="Book Antiqua"/>
          <w:i/>
          <w:color w:val="000000"/>
          <w:sz w:val="24"/>
          <w:szCs w:val="24"/>
        </w:rPr>
        <w:t>eriod</w:t>
      </w:r>
      <w:r w:rsidRPr="0070228F">
        <w:rPr>
          <w:rFonts w:ascii="Palatino Linotype" w:hAnsi="Palatino Linotype"/>
          <w:sz w:val="24"/>
          <w:szCs w:val="24"/>
        </w:rPr>
        <w:t xml:space="preserve"> – </w:t>
      </w:r>
      <w:r>
        <w:rPr>
          <w:rFonts w:ascii="Palatino Linotype" w:hAnsi="Palatino Linotype"/>
          <w:sz w:val="24"/>
          <w:szCs w:val="24"/>
        </w:rPr>
        <w:t>T</w:t>
      </w:r>
      <w:r w:rsidRPr="0070228F">
        <w:rPr>
          <w:rFonts w:ascii="Palatino Linotype" w:hAnsi="Palatino Linotype"/>
          <w:sz w:val="24"/>
          <w:szCs w:val="24"/>
        </w:rPr>
        <w:t>he applicant has co</w:t>
      </w:r>
      <w:r>
        <w:rPr>
          <w:rFonts w:ascii="Palatino Linotype" w:hAnsi="Palatino Linotype"/>
          <w:sz w:val="24"/>
          <w:szCs w:val="24"/>
        </w:rPr>
        <w:t>mmitted to a pricing plan of two</w:t>
      </w:r>
      <w:r w:rsidRPr="0070228F">
        <w:rPr>
          <w:rFonts w:ascii="Palatino Linotype" w:hAnsi="Palatino Linotype"/>
          <w:sz w:val="24"/>
          <w:szCs w:val="24"/>
        </w:rPr>
        <w:t xml:space="preserve"> years</w:t>
      </w:r>
      <w:r>
        <w:rPr>
          <w:rFonts w:ascii="Palatino Linotype" w:hAnsi="Palatino Linotype"/>
          <w:sz w:val="24"/>
          <w:szCs w:val="24"/>
        </w:rPr>
        <w:t>.</w:t>
      </w:r>
    </w:p>
    <w:p w:rsidR="00BC6E63" w:rsidRPr="0070228F" w:rsidRDefault="00BC6E63" w:rsidP="00BC6E63">
      <w:pPr>
        <w:numPr>
          <w:ilvl w:val="0"/>
          <w:numId w:val="18"/>
        </w:numPr>
        <w:autoSpaceDE w:val="0"/>
        <w:autoSpaceDN w:val="0"/>
        <w:adjustRightInd w:val="0"/>
        <w:rPr>
          <w:rFonts w:ascii="Palatino Linotype" w:hAnsi="Palatino Linotype"/>
          <w:sz w:val="24"/>
          <w:szCs w:val="24"/>
        </w:rPr>
      </w:pPr>
      <w:r w:rsidRPr="00920AD0">
        <w:rPr>
          <w:rFonts w:ascii="Palatino Linotype" w:hAnsi="Palatino Linotype" w:cs="Book Antiqua"/>
          <w:i/>
          <w:color w:val="000000"/>
          <w:sz w:val="24"/>
          <w:szCs w:val="24"/>
        </w:rPr>
        <w:t xml:space="preserve">Deployment </w:t>
      </w:r>
      <w:r>
        <w:rPr>
          <w:rFonts w:ascii="Palatino Linotype" w:hAnsi="Palatino Linotype" w:cs="Book Antiqua"/>
          <w:i/>
          <w:color w:val="000000"/>
          <w:sz w:val="24"/>
          <w:szCs w:val="24"/>
        </w:rPr>
        <w:t>S</w:t>
      </w:r>
      <w:r w:rsidRPr="00920AD0">
        <w:rPr>
          <w:rFonts w:ascii="Palatino Linotype" w:hAnsi="Palatino Linotype" w:cs="Book Antiqua"/>
          <w:i/>
          <w:color w:val="000000"/>
          <w:sz w:val="24"/>
          <w:szCs w:val="24"/>
        </w:rPr>
        <w:t>chedule</w:t>
      </w:r>
      <w:r w:rsidRPr="0070228F">
        <w:rPr>
          <w:rFonts w:ascii="Palatino Linotype" w:hAnsi="Palatino Linotype"/>
          <w:sz w:val="24"/>
          <w:szCs w:val="24"/>
        </w:rPr>
        <w:t xml:space="preserve"> – </w:t>
      </w:r>
      <w:r>
        <w:rPr>
          <w:rFonts w:ascii="Palatino Linotype" w:hAnsi="Palatino Linotype"/>
          <w:sz w:val="24"/>
          <w:szCs w:val="24"/>
        </w:rPr>
        <w:t>T</w:t>
      </w:r>
      <w:r w:rsidRPr="0070228F">
        <w:rPr>
          <w:rFonts w:ascii="Palatino Linotype" w:hAnsi="Palatino Linotype"/>
          <w:sz w:val="24"/>
          <w:szCs w:val="24"/>
        </w:rPr>
        <w:t>he applicant has submitted detailed planning documents, including a schedule with clear milestones to indicate it will be completed</w:t>
      </w:r>
      <w:r>
        <w:rPr>
          <w:rFonts w:ascii="Palatino Linotype" w:hAnsi="Palatino Linotype"/>
          <w:sz w:val="24"/>
          <w:szCs w:val="24"/>
        </w:rPr>
        <w:t xml:space="preserve"> within the proposed 7-</w:t>
      </w:r>
      <w:r w:rsidRPr="0070228F">
        <w:rPr>
          <w:rFonts w:ascii="Palatino Linotype" w:hAnsi="Palatino Linotype"/>
          <w:sz w:val="24"/>
          <w:szCs w:val="24"/>
        </w:rPr>
        <w:t>month construction timeline.</w:t>
      </w:r>
    </w:p>
    <w:p w:rsidR="00BC6E63" w:rsidRPr="0070228F" w:rsidRDefault="00BC6E63" w:rsidP="00BC6E63">
      <w:pPr>
        <w:autoSpaceDE w:val="0"/>
        <w:autoSpaceDN w:val="0"/>
        <w:adjustRightInd w:val="0"/>
        <w:rPr>
          <w:rFonts w:ascii="Palatino Linotype" w:hAnsi="Palatino Linotype"/>
          <w:sz w:val="24"/>
          <w:szCs w:val="24"/>
        </w:rPr>
      </w:pPr>
    </w:p>
    <w:p w:rsidR="00BC6E63" w:rsidRPr="0070228F" w:rsidRDefault="00BC6E63" w:rsidP="00BC6E63">
      <w:pPr>
        <w:autoSpaceDE w:val="0"/>
        <w:autoSpaceDN w:val="0"/>
        <w:adjustRightInd w:val="0"/>
        <w:rPr>
          <w:rFonts w:ascii="Palatino Linotype" w:hAnsi="Palatino Linotype"/>
          <w:i/>
          <w:sz w:val="24"/>
          <w:szCs w:val="24"/>
        </w:rPr>
      </w:pPr>
      <w:r w:rsidRPr="0070228F">
        <w:rPr>
          <w:rFonts w:ascii="Palatino Linotype" w:hAnsi="Palatino Linotype"/>
          <w:sz w:val="24"/>
          <w:szCs w:val="24"/>
        </w:rPr>
        <w:t xml:space="preserve">Based on its review, CD determined that </w:t>
      </w:r>
      <w:r>
        <w:rPr>
          <w:rFonts w:ascii="Palatino Linotype" w:hAnsi="Palatino Linotype"/>
          <w:sz w:val="24"/>
          <w:szCs w:val="24"/>
        </w:rPr>
        <w:t>Citizens’</w:t>
      </w:r>
      <w:r w:rsidRPr="0070228F">
        <w:rPr>
          <w:rFonts w:ascii="Palatino Linotype" w:hAnsi="Palatino Linotype"/>
          <w:sz w:val="24"/>
          <w:szCs w:val="24"/>
        </w:rPr>
        <w:t xml:space="preserve"> grant application for the </w:t>
      </w:r>
      <w:r>
        <w:rPr>
          <w:rFonts w:ascii="Palatino Linotype" w:hAnsi="Palatino Linotype"/>
          <w:sz w:val="24"/>
          <w:szCs w:val="24"/>
        </w:rPr>
        <w:t>Petrolia</w:t>
      </w:r>
      <w:r w:rsidRPr="0070228F">
        <w:rPr>
          <w:rFonts w:ascii="Palatino Linotype" w:hAnsi="Palatino Linotype"/>
          <w:sz w:val="24"/>
          <w:szCs w:val="24"/>
        </w:rPr>
        <w:t xml:space="preserve"> Project qualifies for funding as an underserved area and meets the requirements of D.12-02-015. </w:t>
      </w:r>
      <w:r>
        <w:rPr>
          <w:rFonts w:ascii="Palatino Linotype" w:hAnsi="Palatino Linotype"/>
          <w:sz w:val="24"/>
          <w:szCs w:val="24"/>
        </w:rPr>
        <w:t xml:space="preserve"> </w:t>
      </w:r>
      <w:r w:rsidRPr="0070228F">
        <w:rPr>
          <w:rFonts w:ascii="Palatino Linotype" w:hAnsi="Palatino Linotype"/>
          <w:sz w:val="24"/>
          <w:szCs w:val="24"/>
        </w:rPr>
        <w:t xml:space="preserve">CD staff finds that funding the </w:t>
      </w:r>
      <w:r>
        <w:rPr>
          <w:rFonts w:ascii="Palatino Linotype" w:hAnsi="Palatino Linotype"/>
          <w:sz w:val="24"/>
          <w:szCs w:val="24"/>
        </w:rPr>
        <w:t>Citizens’</w:t>
      </w:r>
      <w:r w:rsidRPr="0070228F">
        <w:rPr>
          <w:rFonts w:ascii="Palatino Linotype" w:hAnsi="Palatino Linotype"/>
          <w:sz w:val="24"/>
          <w:szCs w:val="24"/>
        </w:rPr>
        <w:t xml:space="preserve"> </w:t>
      </w:r>
      <w:r>
        <w:rPr>
          <w:rFonts w:ascii="Palatino Linotype" w:hAnsi="Palatino Linotype"/>
          <w:sz w:val="24"/>
          <w:szCs w:val="24"/>
        </w:rPr>
        <w:t>Petrolia</w:t>
      </w:r>
      <w:r w:rsidRPr="0070228F">
        <w:rPr>
          <w:rFonts w:ascii="Palatino Linotype" w:hAnsi="Palatino Linotype"/>
          <w:sz w:val="24"/>
          <w:szCs w:val="24"/>
        </w:rPr>
        <w:t xml:space="preserve"> Project aligns with CASF’s goal to encourage the deployment of high</w:t>
      </w:r>
      <w:r>
        <w:rPr>
          <w:rFonts w:ascii="Palatino Linotype" w:hAnsi="Palatino Linotype"/>
          <w:sz w:val="24"/>
          <w:szCs w:val="24"/>
        </w:rPr>
        <w:t xml:space="preserve"> </w:t>
      </w:r>
      <w:r w:rsidRPr="0070228F">
        <w:rPr>
          <w:rFonts w:ascii="Palatino Linotype" w:hAnsi="Palatino Linotype"/>
          <w:sz w:val="24"/>
          <w:szCs w:val="24"/>
        </w:rPr>
        <w:t>quality advanced information and communications technologies to all Californians to promote economic growth, job creation, and substantial social benefits.</w:t>
      </w:r>
    </w:p>
    <w:p w:rsidR="00BC6E63" w:rsidRPr="0070228F" w:rsidRDefault="00BC6E63" w:rsidP="00BC6E63">
      <w:pPr>
        <w:autoSpaceDE w:val="0"/>
        <w:autoSpaceDN w:val="0"/>
        <w:adjustRightInd w:val="0"/>
        <w:rPr>
          <w:rFonts w:ascii="Palatino Linotype" w:hAnsi="Palatino Linotype" w:cs="Palatino Linotype"/>
          <w:color w:val="000000"/>
          <w:sz w:val="24"/>
          <w:szCs w:val="24"/>
        </w:rPr>
      </w:pPr>
    </w:p>
    <w:p w:rsidR="00BC6E63" w:rsidRPr="0070228F" w:rsidRDefault="00BC6E63" w:rsidP="00BC6E63">
      <w:pPr>
        <w:numPr>
          <w:ilvl w:val="0"/>
          <w:numId w:val="10"/>
        </w:numPr>
        <w:rPr>
          <w:rFonts w:ascii="Palatino Linotype" w:hAnsi="Palatino Linotype"/>
          <w:sz w:val="24"/>
          <w:szCs w:val="24"/>
          <w:u w:val="single"/>
        </w:rPr>
      </w:pPr>
      <w:r>
        <w:rPr>
          <w:rFonts w:ascii="Palatino Linotype" w:hAnsi="Palatino Linotype"/>
          <w:sz w:val="24"/>
          <w:szCs w:val="24"/>
          <w:u w:val="single"/>
        </w:rPr>
        <w:t>Safety C</w:t>
      </w:r>
      <w:r w:rsidRPr="0070228F">
        <w:rPr>
          <w:rFonts w:ascii="Palatino Linotype" w:hAnsi="Palatino Linotype"/>
          <w:sz w:val="24"/>
          <w:szCs w:val="24"/>
          <w:u w:val="single"/>
        </w:rPr>
        <w:t>onsiderations</w:t>
      </w:r>
    </w:p>
    <w:p w:rsidR="00BC6E63" w:rsidRPr="0070228F" w:rsidRDefault="00BC6E63" w:rsidP="00BC6E63">
      <w:pPr>
        <w:ind w:left="720"/>
        <w:rPr>
          <w:rFonts w:ascii="Palatino Linotype" w:hAnsi="Palatino Linotype"/>
          <w:sz w:val="24"/>
          <w:szCs w:val="24"/>
          <w:u w:val="single"/>
        </w:rPr>
      </w:pPr>
    </w:p>
    <w:p w:rsidR="00BC6E63" w:rsidRDefault="00BC6E63" w:rsidP="00BC6E63">
      <w:pPr>
        <w:rPr>
          <w:rFonts w:ascii="Palatino Linotype" w:hAnsi="Palatino Linotype"/>
          <w:sz w:val="24"/>
          <w:szCs w:val="24"/>
        </w:rPr>
      </w:pPr>
      <w:r w:rsidRPr="00C16DB0">
        <w:rPr>
          <w:rFonts w:ascii="Palatino Linotype" w:hAnsi="Palatino Linotype"/>
          <w:sz w:val="24"/>
          <w:szCs w:val="24"/>
        </w:rPr>
        <w:t xml:space="preserve">The CASF program encourages the deployment of broadband throughout the State which can enable the public to access </w:t>
      </w:r>
      <w:r>
        <w:rPr>
          <w:rFonts w:ascii="Palatino Linotype" w:hAnsi="Palatino Linotype"/>
          <w:sz w:val="24"/>
          <w:szCs w:val="24"/>
        </w:rPr>
        <w:t>Internet</w:t>
      </w:r>
      <w:r w:rsidRPr="00C16DB0">
        <w:rPr>
          <w:rFonts w:ascii="Palatino Linotype" w:hAnsi="Palatino Linotype"/>
          <w:sz w:val="24"/>
          <w:szCs w:val="24"/>
        </w:rPr>
        <w:t xml:space="preserve">-based safety applications, access to emergency services, and allow first responders to communicate with each other and collaborate during emergencies.  As the Governor’s Broadband Task Force stated in its 2007 report, ubiquitous broadband will play a key role in enhancing public safety operations and applications in law enforcement, disaster relief, traffic management, and virtually every other aspect of public safety.  </w:t>
      </w:r>
    </w:p>
    <w:p w:rsidR="00BC6E63" w:rsidRDefault="00BC6E63" w:rsidP="00BC6E63">
      <w:pPr>
        <w:rPr>
          <w:rFonts w:ascii="Palatino Linotype" w:hAnsi="Palatino Linotype"/>
          <w:sz w:val="24"/>
          <w:szCs w:val="24"/>
        </w:rPr>
      </w:pPr>
    </w:p>
    <w:p w:rsidR="00BC6E63" w:rsidRDefault="00BC6E63" w:rsidP="00BC6E63">
      <w:pPr>
        <w:rPr>
          <w:rFonts w:ascii="Palatino Linotype" w:hAnsi="Palatino Linotype"/>
          <w:sz w:val="24"/>
          <w:szCs w:val="24"/>
        </w:rPr>
      </w:pPr>
      <w:r>
        <w:rPr>
          <w:rFonts w:ascii="Palatino Linotype" w:hAnsi="Palatino Linotype"/>
          <w:sz w:val="24"/>
          <w:szCs w:val="24"/>
        </w:rPr>
        <w:t>The unincorporated town of Petrolia is outside of the main population centers in Humboldt County and is only accessible by two roads which transverse very mountainous country.  The nearest hospital is over 30 miles to the north in Ferndale.  This makes telecommunication services all the more crucial when dealing with a medical emergency.  The area is susceptible to wildfires.  The Humboldt County government website noted that ‘t</w:t>
      </w:r>
      <w:r w:rsidRPr="00D5547A">
        <w:rPr>
          <w:rFonts w:ascii="Palatino Linotype" w:hAnsi="Palatino Linotype"/>
          <w:sz w:val="24"/>
          <w:szCs w:val="24"/>
        </w:rPr>
        <w:t>he landscape surrounding Petrolia is particularly hazardous for wildfires, with steep mountainous terrain and many narrow, windy roads</w:t>
      </w:r>
      <w:r>
        <w:rPr>
          <w:rFonts w:ascii="Palatino Linotype" w:hAnsi="Palatino Linotype"/>
          <w:sz w:val="24"/>
          <w:szCs w:val="24"/>
        </w:rPr>
        <w:t>’.</w:t>
      </w:r>
      <w:r>
        <w:rPr>
          <w:rStyle w:val="FootnoteReference"/>
          <w:rFonts w:ascii="Palatino Linotype" w:hAnsi="Palatino Linotype"/>
          <w:sz w:val="24"/>
          <w:szCs w:val="24"/>
        </w:rPr>
        <w:footnoteReference w:id="16"/>
      </w:r>
      <w:r>
        <w:rPr>
          <w:rFonts w:ascii="Palatino Linotype" w:hAnsi="Palatino Linotype"/>
          <w:sz w:val="24"/>
          <w:szCs w:val="24"/>
        </w:rPr>
        <w:t xml:space="preserve">  Real-time management of geographic information systems (GIS) data by first-responders via a robust broadband connection can provide an important mitigation to wildfire hazard.  Humboldt County is in one of the most hazardous earthquake zones in the country.  In an event of a major earthquake the Petrolia area could easily become isolated.  Robust and reliable broadband connectivity will help mitigate this risk.  Additionally, the area has experienced significant flooding and landslide activity which can also isolate the community.  In all of these situations, communications assets will take on a critical role.    </w:t>
      </w:r>
    </w:p>
    <w:p w:rsidR="00BC6E63" w:rsidRPr="0070228F" w:rsidRDefault="00BC6E63" w:rsidP="00BC6E63">
      <w:pPr>
        <w:rPr>
          <w:rFonts w:ascii="Palatino Linotype" w:hAnsi="Palatino Linotype"/>
          <w:sz w:val="24"/>
          <w:szCs w:val="24"/>
        </w:rPr>
      </w:pPr>
    </w:p>
    <w:p w:rsidR="00BC6E63" w:rsidRPr="0070228F" w:rsidRDefault="00BC6E63" w:rsidP="00BC6E63">
      <w:pPr>
        <w:pStyle w:val="Default"/>
        <w:numPr>
          <w:ilvl w:val="0"/>
          <w:numId w:val="12"/>
        </w:numPr>
        <w:rPr>
          <w:rFonts w:ascii="Palatino Linotype" w:hAnsi="Palatino Linotype"/>
        </w:rPr>
      </w:pPr>
      <w:r w:rsidRPr="0070228F">
        <w:rPr>
          <w:rFonts w:ascii="Palatino Linotype" w:hAnsi="Palatino Linotype" w:cs="Palatino Linotype"/>
          <w:b/>
          <w:bCs/>
        </w:rPr>
        <w:t>Compliance Requirements</w:t>
      </w:r>
    </w:p>
    <w:p w:rsidR="00BC6E63" w:rsidRPr="0070228F" w:rsidRDefault="00BC6E63" w:rsidP="00BC6E63">
      <w:pPr>
        <w:pStyle w:val="Default"/>
        <w:rPr>
          <w:rFonts w:ascii="Palatino Linotype" w:hAnsi="Palatino Linotype"/>
        </w:rPr>
      </w:pPr>
    </w:p>
    <w:p w:rsidR="00BC6E63" w:rsidRPr="0070228F" w:rsidRDefault="00BC6E63" w:rsidP="00BC6E63">
      <w:pPr>
        <w:pStyle w:val="Default"/>
        <w:rPr>
          <w:rFonts w:ascii="Palatino Linotype" w:hAnsi="Palatino Linotype" w:cs="Palatino Linotype"/>
        </w:rPr>
      </w:pPr>
      <w:r>
        <w:rPr>
          <w:rFonts w:ascii="Palatino Linotype" w:hAnsi="Palatino Linotype" w:cs="Palatino Linotype"/>
        </w:rPr>
        <w:t>Citizens</w:t>
      </w:r>
      <w:r w:rsidRPr="0070228F">
        <w:rPr>
          <w:rFonts w:ascii="Palatino Linotype" w:hAnsi="Palatino Linotype" w:cs="Palatino Linotype"/>
        </w:rPr>
        <w:t xml:space="preserve"> is required to comply with all the guidelines, requirements, and conditions associated with the grant of CASF funds as specified in D.12-02-015. Such compliance includes, but is not limited to: </w:t>
      </w:r>
    </w:p>
    <w:p w:rsidR="00BC6E63" w:rsidRPr="0070228F" w:rsidRDefault="00BC6E63" w:rsidP="00BC6E63">
      <w:pPr>
        <w:pStyle w:val="Default"/>
        <w:rPr>
          <w:rFonts w:ascii="Palatino Linotype" w:hAnsi="Palatino Linotype" w:cs="Palatino Linotype"/>
        </w:rPr>
      </w:pPr>
    </w:p>
    <w:p w:rsidR="00BC6E63" w:rsidRPr="0070228F" w:rsidRDefault="00BC6E63" w:rsidP="00BC6E63">
      <w:pPr>
        <w:pStyle w:val="Default"/>
        <w:numPr>
          <w:ilvl w:val="0"/>
          <w:numId w:val="11"/>
        </w:numPr>
        <w:rPr>
          <w:rFonts w:ascii="Palatino Linotype" w:hAnsi="Palatino Linotype"/>
        </w:rPr>
      </w:pPr>
      <w:r w:rsidRPr="0070228F">
        <w:rPr>
          <w:rFonts w:ascii="Palatino Linotype" w:hAnsi="Palatino Linotype" w:cs="Palatino Linotype"/>
          <w:u w:val="single"/>
        </w:rPr>
        <w:t>California Environmental Quality Act (CEQA)</w:t>
      </w:r>
      <w:r w:rsidRPr="0070228F">
        <w:rPr>
          <w:rFonts w:ascii="Palatino Linotype" w:hAnsi="Palatino Linotype" w:cs="Palatino Linotype"/>
        </w:rPr>
        <w:t xml:space="preserve"> </w:t>
      </w:r>
    </w:p>
    <w:p w:rsidR="00BC6E63" w:rsidRPr="0070228F" w:rsidRDefault="00BC6E63" w:rsidP="00BC6E63">
      <w:pPr>
        <w:pStyle w:val="Default"/>
        <w:rPr>
          <w:rFonts w:ascii="Palatino Linotype" w:hAnsi="Palatino Linotype"/>
        </w:rPr>
      </w:pPr>
    </w:p>
    <w:p w:rsidR="00BC6E63" w:rsidRPr="0070228F" w:rsidRDefault="00BC6E63" w:rsidP="00BC6E63">
      <w:pPr>
        <w:pStyle w:val="Default"/>
        <w:rPr>
          <w:rFonts w:ascii="Palatino Linotype" w:hAnsi="Palatino Linotype"/>
        </w:rPr>
      </w:pPr>
      <w:r w:rsidRPr="0070228F">
        <w:rPr>
          <w:rFonts w:ascii="Palatino Linotype" w:hAnsi="Palatino Linotype"/>
        </w:rPr>
        <w:t>All CASF grants are subject to CEQA requirements unless the project is statutorily or categorically exempt pursuant to the CEQA Guidelines.</w:t>
      </w:r>
    </w:p>
    <w:p w:rsidR="00BC6E63" w:rsidRDefault="00BC6E63" w:rsidP="00BC6E63">
      <w:pPr>
        <w:pStyle w:val="Default"/>
        <w:rPr>
          <w:rFonts w:ascii="Palatino Linotype" w:hAnsi="Palatino Linotype"/>
        </w:rPr>
      </w:pPr>
    </w:p>
    <w:p w:rsidR="00BC6E63" w:rsidRDefault="00BC6E63" w:rsidP="00BC6E63">
      <w:pPr>
        <w:pStyle w:val="Default"/>
        <w:rPr>
          <w:rFonts w:ascii="Palatino Linotype" w:hAnsi="Palatino Linotype"/>
        </w:rPr>
      </w:pPr>
      <w:r>
        <w:rPr>
          <w:rFonts w:ascii="Palatino Linotype" w:hAnsi="Palatino Linotype"/>
        </w:rPr>
        <w:t xml:space="preserve">Citizens will upgrade equipment on three existing microwave towers (located in Petrolia, on Branstetter Ridge, and on Bunker Hill).  Existing low-capacity microwave radios will be replaced by higher capacity microwave radios.  These radios and antennae dishes will be installed on these existing towers.  The microwave radio on the Branstetter Ridge tower will function as a signal repeater.  Given the remoteness of that tower, new solar panels will be installed on the existing tower to power the radio.  Ethernet aggregation switches will be installed in the telephone exchange offices in Petrolia and in Ferndale.  The new Ethernet uplink will allow for use of ADSL2+ bonding and VDSL technologies.  </w:t>
      </w:r>
      <w:r w:rsidRPr="00211095">
        <w:rPr>
          <w:rFonts w:ascii="Palatino Linotype" w:hAnsi="Palatino Linotype"/>
        </w:rPr>
        <w:t xml:space="preserve">The increased capacity offered by the installation of the new </w:t>
      </w:r>
      <w:r>
        <w:rPr>
          <w:rFonts w:ascii="Palatino Linotype" w:hAnsi="Palatino Linotype"/>
        </w:rPr>
        <w:t xml:space="preserve">microwave </w:t>
      </w:r>
      <w:r w:rsidRPr="00211095">
        <w:rPr>
          <w:rFonts w:ascii="Palatino Linotype" w:hAnsi="Palatino Linotype"/>
        </w:rPr>
        <w:t xml:space="preserve">radios will be run through the new Ethernet aggregation switches which will more efficiently use the existing copper wire infrastructure.  There is no need to upgrade/modify </w:t>
      </w:r>
      <w:r>
        <w:rPr>
          <w:rFonts w:ascii="Palatino Linotype" w:hAnsi="Palatino Linotype"/>
        </w:rPr>
        <w:t xml:space="preserve">the </w:t>
      </w:r>
      <w:r w:rsidRPr="00211095">
        <w:rPr>
          <w:rFonts w:ascii="Palatino Linotype" w:hAnsi="Palatino Linotype"/>
        </w:rPr>
        <w:t>existing copper</w:t>
      </w:r>
      <w:r>
        <w:rPr>
          <w:rFonts w:ascii="Palatino Linotype" w:hAnsi="Palatino Linotype"/>
        </w:rPr>
        <w:t xml:space="preserve"> infrastructure</w:t>
      </w:r>
      <w:r w:rsidRPr="00211095">
        <w:rPr>
          <w:rFonts w:ascii="Palatino Linotype" w:hAnsi="Palatino Linotype"/>
        </w:rPr>
        <w:t>.</w:t>
      </w:r>
      <w:r>
        <w:rPr>
          <w:rFonts w:ascii="Palatino Linotype" w:hAnsi="Palatino Linotype"/>
        </w:rPr>
        <w:t xml:space="preserve">  </w:t>
      </w:r>
    </w:p>
    <w:p w:rsidR="00BC6E63" w:rsidRDefault="00BC6E63" w:rsidP="00BC6E63">
      <w:pPr>
        <w:pStyle w:val="Default"/>
        <w:rPr>
          <w:rFonts w:ascii="Palatino Linotype" w:hAnsi="Palatino Linotype"/>
        </w:rPr>
      </w:pPr>
    </w:p>
    <w:p w:rsidR="00BC6E63" w:rsidRDefault="00BC6E63" w:rsidP="00BC6E63">
      <w:pPr>
        <w:autoSpaceDE w:val="0"/>
        <w:autoSpaceDN w:val="0"/>
        <w:adjustRightInd w:val="0"/>
        <w:rPr>
          <w:rFonts w:ascii="Palatino Linotype" w:hAnsi="Palatino Linotype" w:cs="Palatino Linotype"/>
          <w:sz w:val="24"/>
          <w:szCs w:val="24"/>
        </w:rPr>
      </w:pPr>
      <w:r>
        <w:rPr>
          <w:rFonts w:ascii="Palatino Linotype" w:hAnsi="Palatino Linotype" w:cs="Palatino Linotype"/>
          <w:sz w:val="24"/>
          <w:szCs w:val="24"/>
        </w:rPr>
        <w:t xml:space="preserve">Based on the above information </w:t>
      </w:r>
      <w:r w:rsidRPr="002F24EA">
        <w:rPr>
          <w:rFonts w:ascii="Palatino Linotype" w:hAnsi="Palatino Linotype" w:cs="Palatino Linotype"/>
          <w:sz w:val="24"/>
          <w:szCs w:val="24"/>
        </w:rPr>
        <w:t>the project qualifies for the following categorical exemptions from CEQA:  This project meets the criteria of the CEQA categorical exemption for existing facili</w:t>
      </w:r>
      <w:r>
        <w:rPr>
          <w:rFonts w:ascii="Palatino Linotype" w:hAnsi="Palatino Linotype" w:cs="Palatino Linotype"/>
          <w:sz w:val="24"/>
          <w:szCs w:val="24"/>
        </w:rPr>
        <w:t>ties (CEQA Guidelines § 15301</w:t>
      </w:r>
      <w:r w:rsidRPr="002F24EA">
        <w:rPr>
          <w:rFonts w:ascii="Palatino Linotype" w:hAnsi="Palatino Linotype" w:cs="Palatino Linotype"/>
          <w:sz w:val="24"/>
          <w:szCs w:val="24"/>
        </w:rPr>
        <w:t>)</w:t>
      </w:r>
      <w:r>
        <w:rPr>
          <w:rFonts w:ascii="Palatino Linotype" w:hAnsi="Palatino Linotype" w:cs="Palatino Linotype"/>
          <w:sz w:val="24"/>
          <w:szCs w:val="24"/>
        </w:rPr>
        <w:t xml:space="preserve"> and</w:t>
      </w:r>
      <w:r w:rsidRPr="002F24EA">
        <w:rPr>
          <w:rFonts w:ascii="Palatino Linotype" w:hAnsi="Palatino Linotype" w:cs="Palatino Linotype"/>
          <w:sz w:val="24"/>
          <w:szCs w:val="24"/>
        </w:rPr>
        <w:t xml:space="preserve"> CEQA Guidelines Section 15303 – New Construction or Conversion of Small Structures, involving construction, installation, and/or conversion of limited numbers of new and/or existing </w:t>
      </w:r>
      <w:r>
        <w:rPr>
          <w:rFonts w:ascii="Palatino Linotype" w:hAnsi="Palatino Linotype" w:cs="Palatino Linotype"/>
          <w:sz w:val="24"/>
          <w:szCs w:val="24"/>
        </w:rPr>
        <w:t>facilities/structures</w:t>
      </w:r>
      <w:r w:rsidRPr="002F24EA">
        <w:rPr>
          <w:rFonts w:ascii="Palatino Linotype" w:hAnsi="Palatino Linotype" w:cs="Palatino Linotype"/>
          <w:sz w:val="24"/>
          <w:szCs w:val="24"/>
        </w:rPr>
        <w:t>.</w:t>
      </w:r>
    </w:p>
    <w:p w:rsidR="00BC6E63" w:rsidRPr="0070228F" w:rsidRDefault="00BC6E63" w:rsidP="00BC6E63">
      <w:pPr>
        <w:autoSpaceDE w:val="0"/>
        <w:autoSpaceDN w:val="0"/>
        <w:adjustRightInd w:val="0"/>
        <w:rPr>
          <w:rFonts w:ascii="Palatino Linotype" w:hAnsi="Palatino Linotype" w:cs="Palatino Linotype"/>
        </w:rPr>
      </w:pPr>
    </w:p>
    <w:p w:rsidR="00BC6E63" w:rsidRPr="0070228F" w:rsidRDefault="00BC6E63" w:rsidP="00BC6E63">
      <w:pPr>
        <w:pStyle w:val="Default"/>
        <w:numPr>
          <w:ilvl w:val="0"/>
          <w:numId w:val="11"/>
        </w:numPr>
        <w:rPr>
          <w:rFonts w:ascii="Palatino Linotype" w:hAnsi="Palatino Linotype"/>
          <w:color w:val="auto"/>
        </w:rPr>
      </w:pPr>
      <w:r w:rsidRPr="0070228F">
        <w:rPr>
          <w:rFonts w:ascii="Palatino Linotype" w:hAnsi="Palatino Linotype" w:cs="Palatino Linotype"/>
          <w:color w:val="auto"/>
          <w:u w:val="single"/>
        </w:rPr>
        <w:t>Deployment Schedule</w:t>
      </w:r>
      <w:r w:rsidRPr="0070228F">
        <w:rPr>
          <w:rFonts w:ascii="Palatino Linotype" w:hAnsi="Palatino Linotype" w:cs="Palatino Linotype"/>
          <w:color w:val="auto"/>
        </w:rPr>
        <w:t xml:space="preserve"> </w:t>
      </w:r>
    </w:p>
    <w:p w:rsidR="00BC6E63" w:rsidRPr="0070228F" w:rsidRDefault="00BC6E63" w:rsidP="00BC6E63">
      <w:pPr>
        <w:pStyle w:val="Default"/>
        <w:rPr>
          <w:rFonts w:ascii="Palatino Linotype" w:hAnsi="Palatino Linotype"/>
          <w:color w:val="auto"/>
        </w:rPr>
      </w:pPr>
    </w:p>
    <w:p w:rsidR="00BC6E63" w:rsidRPr="0070228F" w:rsidRDefault="00BC6E63" w:rsidP="00BC6E63">
      <w:pPr>
        <w:pStyle w:val="Default"/>
        <w:rPr>
          <w:rFonts w:ascii="Palatino Linotype" w:hAnsi="Palatino Linotype" w:cs="Palatino Linotype"/>
          <w:color w:val="auto"/>
        </w:rPr>
      </w:pPr>
      <w:r>
        <w:rPr>
          <w:rFonts w:ascii="Palatino Linotype" w:hAnsi="Palatino Linotype" w:cs="Palatino Linotype"/>
          <w:color w:val="auto"/>
        </w:rPr>
        <w:t>The Commission expects Citizens</w:t>
      </w:r>
      <w:r w:rsidRPr="0070228F">
        <w:rPr>
          <w:rFonts w:ascii="Palatino Linotype" w:hAnsi="Palatino Linotype" w:cs="Palatino Linotype"/>
          <w:color w:val="auto"/>
        </w:rPr>
        <w:t xml:space="preserve"> t</w:t>
      </w:r>
      <w:r>
        <w:rPr>
          <w:rFonts w:ascii="Palatino Linotype" w:hAnsi="Palatino Linotype" w:cs="Palatino Linotype"/>
          <w:color w:val="auto"/>
        </w:rPr>
        <w:t>o complete the project within seven</w:t>
      </w:r>
      <w:r w:rsidRPr="0070228F">
        <w:rPr>
          <w:rFonts w:ascii="Palatino Linotype" w:hAnsi="Palatino Linotype" w:cs="Palatino Linotype"/>
          <w:color w:val="auto"/>
        </w:rPr>
        <w:t xml:space="preserve"> months from start date (as determined by the procedure below). </w:t>
      </w:r>
      <w:r>
        <w:rPr>
          <w:rFonts w:ascii="Palatino Linotype" w:hAnsi="Palatino Linotype" w:cs="Palatino Linotype"/>
          <w:color w:val="auto"/>
        </w:rPr>
        <w:t xml:space="preserve"> </w:t>
      </w:r>
      <w:r w:rsidRPr="0070228F">
        <w:rPr>
          <w:rFonts w:ascii="Palatino Linotype" w:hAnsi="Palatino Linotype" w:cs="Palatino Linotype"/>
          <w:color w:val="auto"/>
        </w:rPr>
        <w:t>If the applicant is unable to complete the proposed project</w:t>
      </w:r>
      <w:r>
        <w:rPr>
          <w:rFonts w:ascii="Palatino Linotype" w:hAnsi="Palatino Linotype" w:cs="Palatino Linotype"/>
          <w:color w:val="auto"/>
        </w:rPr>
        <w:t xml:space="preserve"> within the 7</w:t>
      </w:r>
      <w:r w:rsidRPr="0070228F">
        <w:rPr>
          <w:rFonts w:ascii="Palatino Linotype" w:hAnsi="Palatino Linotype" w:cs="Palatino Linotype"/>
          <w:color w:val="auto"/>
        </w:rPr>
        <w:t xml:space="preserve">-month timeframe requirement established by the Commission, it must notify the Commission as soon as it becomes aware of this prospect. </w:t>
      </w:r>
      <w:r>
        <w:rPr>
          <w:rFonts w:ascii="Palatino Linotype" w:hAnsi="Palatino Linotype" w:cs="Palatino Linotype"/>
          <w:color w:val="auto"/>
        </w:rPr>
        <w:t xml:space="preserve"> </w:t>
      </w:r>
      <w:r w:rsidRPr="0070228F">
        <w:rPr>
          <w:rFonts w:ascii="Palatino Linotype" w:hAnsi="Palatino Linotype" w:cs="Palatino Linotype"/>
          <w:color w:val="auto"/>
        </w:rPr>
        <w:t>The Commission may reduce payment for failure to notify CD’s Director and satisfy this requirement.</w:t>
      </w:r>
    </w:p>
    <w:p w:rsidR="00BC6E63" w:rsidRPr="0070228F" w:rsidRDefault="00BC6E63" w:rsidP="00BC6E63">
      <w:pPr>
        <w:pStyle w:val="Default"/>
        <w:rPr>
          <w:rFonts w:ascii="Palatino Linotype" w:hAnsi="Palatino Linotype" w:cs="Palatino Linotype"/>
          <w:color w:val="auto"/>
        </w:rPr>
      </w:pPr>
    </w:p>
    <w:p w:rsidR="00BC6E63" w:rsidRPr="0070228F" w:rsidRDefault="00BC6E63" w:rsidP="00BC6E63">
      <w:pPr>
        <w:pStyle w:val="Default"/>
        <w:numPr>
          <w:ilvl w:val="0"/>
          <w:numId w:val="11"/>
        </w:numPr>
        <w:rPr>
          <w:rFonts w:ascii="Palatino Linotype" w:hAnsi="Palatino Linotype"/>
          <w:color w:val="auto"/>
        </w:rPr>
      </w:pPr>
      <w:r w:rsidRPr="0070228F">
        <w:rPr>
          <w:rFonts w:ascii="Palatino Linotype" w:hAnsi="Palatino Linotype" w:cs="Palatino Linotype"/>
          <w:color w:val="auto"/>
          <w:u w:val="single"/>
        </w:rPr>
        <w:t>Execution and Performance</w:t>
      </w:r>
      <w:r w:rsidRPr="0070228F">
        <w:rPr>
          <w:rFonts w:ascii="Palatino Linotype" w:hAnsi="Palatino Linotype" w:cs="Palatino Linotype"/>
          <w:color w:val="auto"/>
        </w:rPr>
        <w:t xml:space="preserve"> </w:t>
      </w:r>
    </w:p>
    <w:p w:rsidR="00BC6E63" w:rsidRPr="0070228F" w:rsidRDefault="00BC6E63" w:rsidP="00BC6E63">
      <w:pPr>
        <w:pStyle w:val="Default"/>
        <w:rPr>
          <w:rFonts w:ascii="Palatino Linotype" w:hAnsi="Palatino Linotype"/>
          <w:color w:val="auto"/>
        </w:rPr>
      </w:pPr>
    </w:p>
    <w:p w:rsidR="00BC6E63" w:rsidRPr="0070228F" w:rsidRDefault="00BC6E63" w:rsidP="00BC6E63">
      <w:pPr>
        <w:pStyle w:val="Default"/>
        <w:rPr>
          <w:rFonts w:ascii="Palatino Linotype" w:hAnsi="Palatino Linotype" w:cs="Palatino Linotype"/>
          <w:color w:val="auto"/>
        </w:rPr>
      </w:pPr>
      <w:r w:rsidRPr="0070228F">
        <w:rPr>
          <w:rFonts w:ascii="Palatino Linotype" w:hAnsi="Palatino Linotype" w:cs="Palatino Linotype"/>
          <w:color w:val="auto"/>
        </w:rPr>
        <w:t xml:space="preserve">CD and the CASF grant recipient </w:t>
      </w:r>
      <w:r>
        <w:rPr>
          <w:rFonts w:ascii="Palatino Linotype" w:hAnsi="Palatino Linotype" w:cs="Palatino Linotype"/>
          <w:color w:val="auto"/>
        </w:rPr>
        <w:t>(Citizens</w:t>
      </w:r>
      <w:r w:rsidRPr="0070228F">
        <w:rPr>
          <w:rFonts w:ascii="Palatino Linotype" w:hAnsi="Palatino Linotype" w:cs="Palatino Linotype"/>
          <w:color w:val="auto"/>
        </w:rPr>
        <w:t xml:space="preserve">) shall determine a project start date after the CASF grant recipient has obtained all approvals. </w:t>
      </w:r>
      <w:r>
        <w:rPr>
          <w:rFonts w:ascii="Palatino Linotype" w:hAnsi="Palatino Linotype" w:cs="Palatino Linotype"/>
          <w:color w:val="auto"/>
        </w:rPr>
        <w:t xml:space="preserve"> </w:t>
      </w:r>
      <w:r w:rsidRPr="0070228F">
        <w:rPr>
          <w:rFonts w:ascii="Palatino Linotype" w:hAnsi="Palatino Linotype" w:cs="Palatino Linotype"/>
          <w:color w:val="auto"/>
        </w:rPr>
        <w:t xml:space="preserve">Should the recipient or Contractor fail to commence work at the agreed upon time, the Commission, upon five days written notice to the CASF recipient, reserves the right to terminate the award. </w:t>
      </w:r>
      <w:r>
        <w:rPr>
          <w:rFonts w:ascii="Palatino Linotype" w:hAnsi="Palatino Linotype" w:cs="Palatino Linotype"/>
          <w:color w:val="auto"/>
        </w:rPr>
        <w:t xml:space="preserve"> </w:t>
      </w:r>
      <w:r w:rsidRPr="0070228F">
        <w:rPr>
          <w:rFonts w:ascii="Palatino Linotype" w:hAnsi="Palatino Linotype" w:cs="Palatino Linotype"/>
          <w:color w:val="auto"/>
        </w:rPr>
        <w:t xml:space="preserve">In the event that the CASF recipient fails to complete the project in accordance with the terms of approval granted by the Commission, the CASF recipient must reimburse some or all of the CASF funds that it has received. </w:t>
      </w:r>
    </w:p>
    <w:p w:rsidR="00BC6E63" w:rsidRPr="0070228F" w:rsidRDefault="00BC6E63" w:rsidP="00BC6E63">
      <w:pPr>
        <w:pStyle w:val="Default"/>
        <w:rPr>
          <w:rFonts w:ascii="Palatino Linotype" w:hAnsi="Palatino Linotype" w:cs="Palatino Linotype"/>
          <w:color w:val="auto"/>
        </w:rPr>
      </w:pPr>
    </w:p>
    <w:p w:rsidR="00BC6E63" w:rsidRPr="0070228F" w:rsidRDefault="00BC6E63" w:rsidP="00BC6E63">
      <w:pPr>
        <w:pStyle w:val="Default"/>
        <w:rPr>
          <w:rFonts w:ascii="Palatino Linotype" w:hAnsi="Palatino Linotype" w:cs="Palatino Linotype"/>
          <w:color w:val="auto"/>
        </w:rPr>
      </w:pPr>
      <w:r w:rsidRPr="0070228F">
        <w:rPr>
          <w:rFonts w:ascii="Palatino Linotype" w:hAnsi="Palatino Linotype" w:cs="Palatino Linotype"/>
          <w:color w:val="auto"/>
        </w:rPr>
        <w:t xml:space="preserve">The CASF grant recipient must complete all performance under the award on or before the termination date of the award. </w:t>
      </w:r>
    </w:p>
    <w:p w:rsidR="00BC6E63" w:rsidRPr="0070228F" w:rsidRDefault="00BC6E63" w:rsidP="00BC6E63">
      <w:pPr>
        <w:pStyle w:val="Default"/>
        <w:rPr>
          <w:rFonts w:ascii="Palatino Linotype" w:hAnsi="Palatino Linotype" w:cs="Palatino Linotype"/>
          <w:color w:val="auto"/>
        </w:rPr>
      </w:pPr>
    </w:p>
    <w:p w:rsidR="00BC6E63" w:rsidRPr="0070228F" w:rsidRDefault="00BC6E63" w:rsidP="00BC6E63">
      <w:pPr>
        <w:pStyle w:val="Default"/>
        <w:ind w:firstLine="720"/>
        <w:rPr>
          <w:rFonts w:ascii="Palatino Linotype" w:hAnsi="Palatino Linotype"/>
          <w:color w:val="auto"/>
        </w:rPr>
      </w:pPr>
      <w:r>
        <w:rPr>
          <w:rFonts w:ascii="Palatino Linotype" w:hAnsi="Palatino Linotype" w:cs="Palatino Linotype"/>
          <w:color w:val="auto"/>
        </w:rPr>
        <w:t>D</w:t>
      </w:r>
      <w:r w:rsidRPr="0070228F">
        <w:rPr>
          <w:rFonts w:ascii="Palatino Linotype" w:hAnsi="Palatino Linotype" w:cs="Palatino Linotype"/>
          <w:color w:val="auto"/>
        </w:rPr>
        <w:t xml:space="preserve">. </w:t>
      </w:r>
      <w:r w:rsidRPr="0070228F">
        <w:rPr>
          <w:rFonts w:ascii="Palatino Linotype" w:hAnsi="Palatino Linotype" w:cs="Palatino Linotype"/>
          <w:color w:val="auto"/>
          <w:u w:val="single"/>
        </w:rPr>
        <w:t>Price Commitment Period</w:t>
      </w:r>
      <w:r w:rsidRPr="0070228F">
        <w:rPr>
          <w:rFonts w:ascii="Palatino Linotype" w:hAnsi="Palatino Linotype" w:cs="Palatino Linotype"/>
          <w:color w:val="auto"/>
        </w:rPr>
        <w:t xml:space="preserve"> </w:t>
      </w:r>
    </w:p>
    <w:p w:rsidR="00BC6E63" w:rsidRPr="0070228F" w:rsidRDefault="00BC6E63" w:rsidP="00BC6E63">
      <w:pPr>
        <w:pStyle w:val="Default"/>
        <w:rPr>
          <w:rFonts w:ascii="Palatino Linotype" w:hAnsi="Palatino Linotype"/>
          <w:color w:val="auto"/>
        </w:rPr>
      </w:pPr>
    </w:p>
    <w:p w:rsidR="00BC6E63" w:rsidRDefault="00BC6E63" w:rsidP="00BC6E63">
      <w:pPr>
        <w:pStyle w:val="Default"/>
        <w:rPr>
          <w:rFonts w:ascii="Palatino Linotype" w:hAnsi="Palatino Linotype" w:cs="Palatino Linotype"/>
          <w:color w:val="auto"/>
        </w:rPr>
      </w:pPr>
      <w:r w:rsidRPr="0070228F">
        <w:rPr>
          <w:rFonts w:ascii="Palatino Linotype" w:hAnsi="Palatino Linotype" w:cs="Palatino Linotype"/>
          <w:color w:val="auto"/>
        </w:rPr>
        <w:t>The minimum required price commitment period for broadband service to all household</w:t>
      </w:r>
      <w:r>
        <w:rPr>
          <w:rFonts w:ascii="Palatino Linotype" w:hAnsi="Palatino Linotype" w:cs="Palatino Linotype"/>
          <w:color w:val="auto"/>
        </w:rPr>
        <w:t>s within the project area is two</w:t>
      </w:r>
      <w:r w:rsidRPr="0070228F">
        <w:rPr>
          <w:rFonts w:ascii="Palatino Linotype" w:hAnsi="Palatino Linotype" w:cs="Palatino Linotype"/>
          <w:color w:val="auto"/>
        </w:rPr>
        <w:t xml:space="preserve"> years. </w:t>
      </w:r>
      <w:r>
        <w:rPr>
          <w:rFonts w:ascii="Palatino Linotype" w:hAnsi="Palatino Linotype" w:cs="Palatino Linotype"/>
          <w:color w:val="auto"/>
        </w:rPr>
        <w:t>Citizens</w:t>
      </w:r>
      <w:r w:rsidRPr="0070228F">
        <w:rPr>
          <w:rFonts w:ascii="Palatino Linotype" w:hAnsi="Palatino Linotype" w:cs="Palatino Linotype"/>
          <w:color w:val="auto"/>
        </w:rPr>
        <w:t xml:space="preserve"> guarantees the price of service offered in the project area for </w:t>
      </w:r>
      <w:r>
        <w:rPr>
          <w:rFonts w:ascii="Palatino Linotype" w:hAnsi="Palatino Linotype" w:cs="Palatino Linotype"/>
          <w:color w:val="auto"/>
        </w:rPr>
        <w:t>two</w:t>
      </w:r>
      <w:r w:rsidRPr="0070228F">
        <w:rPr>
          <w:rFonts w:ascii="Palatino Linotype" w:hAnsi="Palatino Linotype" w:cs="Palatino Linotype"/>
          <w:color w:val="auto"/>
        </w:rPr>
        <w:t xml:space="preserve"> years. </w:t>
      </w:r>
    </w:p>
    <w:p w:rsidR="00BC6E63" w:rsidRDefault="00BC6E63" w:rsidP="00BC6E63">
      <w:pPr>
        <w:pStyle w:val="Default"/>
        <w:rPr>
          <w:rFonts w:ascii="Palatino Linotype" w:hAnsi="Palatino Linotype" w:cs="Palatino Linotype"/>
          <w:color w:val="auto"/>
        </w:rPr>
      </w:pPr>
    </w:p>
    <w:p w:rsidR="00BC6E63" w:rsidRPr="0070228F" w:rsidRDefault="00BC6E63" w:rsidP="00BC6E63">
      <w:pPr>
        <w:pStyle w:val="Default"/>
        <w:ind w:firstLine="720"/>
        <w:rPr>
          <w:rFonts w:ascii="Palatino Linotype" w:hAnsi="Palatino Linotype" w:cs="Palatino Linotype"/>
          <w:color w:val="auto"/>
        </w:rPr>
      </w:pPr>
      <w:r>
        <w:rPr>
          <w:rFonts w:ascii="Palatino Linotype" w:hAnsi="Palatino Linotype" w:cs="Palatino Linotype"/>
          <w:color w:val="auto"/>
        </w:rPr>
        <w:t>E</w:t>
      </w:r>
      <w:r w:rsidRPr="0070228F">
        <w:rPr>
          <w:rFonts w:ascii="Palatino Linotype" w:hAnsi="Palatino Linotype" w:cs="Palatino Linotype"/>
          <w:color w:val="auto"/>
        </w:rPr>
        <w:t xml:space="preserve">. </w:t>
      </w:r>
      <w:r w:rsidRPr="0070228F">
        <w:rPr>
          <w:rFonts w:ascii="Palatino Linotype" w:hAnsi="Palatino Linotype" w:cs="Palatino Linotype"/>
          <w:color w:val="auto"/>
          <w:u w:val="single"/>
        </w:rPr>
        <w:t>Project Audit</w:t>
      </w:r>
      <w:r w:rsidRPr="0070228F">
        <w:rPr>
          <w:rFonts w:ascii="Palatino Linotype" w:hAnsi="Palatino Linotype" w:cs="Palatino Linotype"/>
          <w:color w:val="auto"/>
        </w:rPr>
        <w:t xml:space="preserve"> </w:t>
      </w:r>
    </w:p>
    <w:p w:rsidR="00BC6E63" w:rsidRPr="0070228F" w:rsidRDefault="00BC6E63" w:rsidP="00BC6E63">
      <w:pPr>
        <w:pStyle w:val="Default"/>
        <w:rPr>
          <w:rFonts w:ascii="Palatino Linotype" w:hAnsi="Palatino Linotype"/>
          <w:color w:val="auto"/>
        </w:rPr>
      </w:pPr>
    </w:p>
    <w:p w:rsidR="00BC6E63" w:rsidRPr="0070228F" w:rsidRDefault="00BC6E63" w:rsidP="00BC6E63">
      <w:pPr>
        <w:pStyle w:val="Default"/>
        <w:rPr>
          <w:rFonts w:ascii="Palatino Linotype" w:hAnsi="Palatino Linotype" w:cs="Palatino Linotype"/>
          <w:color w:val="auto"/>
        </w:rPr>
      </w:pPr>
      <w:r w:rsidRPr="0070228F">
        <w:rPr>
          <w:rFonts w:ascii="Palatino Linotype" w:hAnsi="Palatino Linotype" w:cs="Palatino Linotype"/>
          <w:color w:val="auto"/>
        </w:rPr>
        <w:t>The Commission has the right to conduct any necessary audit, verification, and discovery during project implementation/construction to ensure that CASF funds are spent in accordance with Commission approval.</w:t>
      </w:r>
    </w:p>
    <w:p w:rsidR="00BC6E63" w:rsidRPr="0070228F" w:rsidRDefault="00BC6E63" w:rsidP="00BC6E63">
      <w:pPr>
        <w:pStyle w:val="Default"/>
        <w:rPr>
          <w:rFonts w:ascii="Palatino Linotype" w:hAnsi="Palatino Linotype" w:cs="Palatino Linotype"/>
          <w:color w:val="auto"/>
        </w:rPr>
      </w:pPr>
    </w:p>
    <w:p w:rsidR="00BC6E63" w:rsidRDefault="00BC6E63" w:rsidP="00BC6E63">
      <w:pPr>
        <w:pStyle w:val="Default"/>
        <w:rPr>
          <w:rFonts w:ascii="Palatino Linotype" w:hAnsi="Palatino Linotype" w:cs="Palatino Linotype"/>
          <w:color w:val="auto"/>
        </w:rPr>
      </w:pPr>
      <w:r w:rsidRPr="0070228F">
        <w:rPr>
          <w:rFonts w:ascii="Palatino Linotype" w:hAnsi="Palatino Linotype" w:cs="Palatino Linotype"/>
          <w:color w:val="auto"/>
        </w:rPr>
        <w:t>The recipient’s invoices will be subject to a financial audit by the Commission at any time within three years of completion of the work.</w:t>
      </w:r>
    </w:p>
    <w:p w:rsidR="00BC6E63" w:rsidRPr="0070228F" w:rsidRDefault="00BC6E63" w:rsidP="00BC6E63">
      <w:pPr>
        <w:pStyle w:val="Default"/>
        <w:rPr>
          <w:rFonts w:ascii="Palatino Linotype" w:hAnsi="Palatino Linotype"/>
          <w:color w:val="auto"/>
        </w:rPr>
      </w:pPr>
    </w:p>
    <w:p w:rsidR="00BC6E63" w:rsidRPr="0070228F" w:rsidRDefault="00BC6E63" w:rsidP="00BC6E63">
      <w:pPr>
        <w:pStyle w:val="Default"/>
        <w:ind w:firstLine="720"/>
        <w:rPr>
          <w:rFonts w:ascii="Palatino Linotype" w:hAnsi="Palatino Linotype"/>
          <w:color w:val="auto"/>
        </w:rPr>
      </w:pPr>
      <w:r>
        <w:rPr>
          <w:rFonts w:ascii="Palatino Linotype" w:hAnsi="Palatino Linotype" w:cs="Palatino Linotype"/>
          <w:color w:val="auto"/>
        </w:rPr>
        <w:t>F</w:t>
      </w:r>
      <w:r w:rsidRPr="0070228F">
        <w:rPr>
          <w:rFonts w:ascii="Palatino Linotype" w:hAnsi="Palatino Linotype" w:cs="Palatino Linotype"/>
          <w:color w:val="auto"/>
        </w:rPr>
        <w:t xml:space="preserve">. </w:t>
      </w:r>
      <w:r w:rsidRPr="0070228F">
        <w:rPr>
          <w:rFonts w:ascii="Palatino Linotype" w:hAnsi="Palatino Linotype" w:cs="Palatino Linotype"/>
          <w:color w:val="auto"/>
          <w:u w:val="single"/>
        </w:rPr>
        <w:t>Providing Voice Service</w:t>
      </w:r>
      <w:r w:rsidRPr="0070228F">
        <w:rPr>
          <w:rFonts w:ascii="Palatino Linotype" w:hAnsi="Palatino Linotype" w:cs="Palatino Linotype"/>
          <w:color w:val="auto"/>
        </w:rPr>
        <w:t xml:space="preserve"> </w:t>
      </w:r>
    </w:p>
    <w:p w:rsidR="00BC6E63" w:rsidRPr="0070228F" w:rsidRDefault="00BC6E63" w:rsidP="00BC6E63">
      <w:pPr>
        <w:pStyle w:val="Default"/>
        <w:rPr>
          <w:rFonts w:ascii="Palatino Linotype" w:hAnsi="Palatino Linotype"/>
          <w:color w:val="auto"/>
        </w:rPr>
      </w:pPr>
    </w:p>
    <w:p w:rsidR="00BC6E63" w:rsidRDefault="00BC6E63" w:rsidP="00BC6E63">
      <w:pPr>
        <w:rPr>
          <w:rFonts w:ascii="Palatino Linotype" w:hAnsi="Palatino Linotype" w:cs="Palatino Linotype"/>
          <w:sz w:val="24"/>
          <w:szCs w:val="24"/>
        </w:rPr>
      </w:pPr>
      <w:r>
        <w:rPr>
          <w:rFonts w:ascii="Palatino Linotype" w:hAnsi="Palatino Linotype" w:cs="Palatino Linotype"/>
          <w:sz w:val="24"/>
          <w:szCs w:val="24"/>
        </w:rPr>
        <w:t xml:space="preserve">Citizens has certified that its basic analog telephone service </w:t>
      </w:r>
      <w:r w:rsidRPr="004A0481">
        <w:rPr>
          <w:rFonts w:ascii="Palatino Linotype" w:hAnsi="Palatino Linotype" w:cs="Palatino Linotype"/>
          <w:sz w:val="24"/>
          <w:szCs w:val="24"/>
        </w:rPr>
        <w:t>meet</w:t>
      </w:r>
      <w:r>
        <w:rPr>
          <w:rFonts w:ascii="Palatino Linotype" w:hAnsi="Palatino Linotype" w:cs="Palatino Linotype"/>
          <w:sz w:val="24"/>
          <w:szCs w:val="24"/>
        </w:rPr>
        <w:t>s</w:t>
      </w:r>
      <w:r w:rsidRPr="004A0481">
        <w:rPr>
          <w:rFonts w:ascii="Palatino Linotype" w:hAnsi="Palatino Linotype" w:cs="Palatino Linotype"/>
          <w:sz w:val="24"/>
          <w:szCs w:val="24"/>
        </w:rPr>
        <w:t xml:space="preserve"> the Federal Communications Commission (FCC) standards for E-911 service and </w:t>
      </w:r>
      <w:r>
        <w:rPr>
          <w:rFonts w:ascii="Palatino Linotype" w:hAnsi="Palatino Linotype" w:cs="Palatino Linotype"/>
          <w:sz w:val="24"/>
          <w:szCs w:val="24"/>
        </w:rPr>
        <w:t>battery backup</w:t>
      </w:r>
      <w:r w:rsidRPr="004A0481">
        <w:rPr>
          <w:rFonts w:ascii="Palatino Linotype" w:hAnsi="Palatino Linotype" w:cs="Palatino Linotype"/>
          <w:sz w:val="24"/>
          <w:szCs w:val="24"/>
        </w:rPr>
        <w:t>.</w:t>
      </w:r>
    </w:p>
    <w:p w:rsidR="00BC6E63" w:rsidRPr="0070228F" w:rsidRDefault="00BC6E63" w:rsidP="00BC6E63">
      <w:pPr>
        <w:rPr>
          <w:rFonts w:ascii="Palatino Linotype" w:hAnsi="Palatino Linotype"/>
          <w:sz w:val="24"/>
          <w:szCs w:val="24"/>
        </w:rPr>
      </w:pPr>
    </w:p>
    <w:p w:rsidR="00BC6E63" w:rsidRPr="0070228F" w:rsidRDefault="00BC6E63" w:rsidP="00BC6E63">
      <w:pPr>
        <w:pStyle w:val="Default"/>
        <w:ind w:firstLine="720"/>
        <w:rPr>
          <w:rFonts w:ascii="Palatino Linotype" w:hAnsi="Palatino Linotype"/>
        </w:rPr>
      </w:pPr>
      <w:r>
        <w:rPr>
          <w:rFonts w:ascii="Palatino Linotype" w:hAnsi="Palatino Linotype" w:cs="Palatino Linotype"/>
        </w:rPr>
        <w:t>G</w:t>
      </w:r>
      <w:r w:rsidRPr="0070228F">
        <w:rPr>
          <w:rFonts w:ascii="Palatino Linotype" w:hAnsi="Palatino Linotype" w:cs="Palatino Linotype"/>
        </w:rPr>
        <w:t xml:space="preserve">. </w:t>
      </w:r>
      <w:r w:rsidRPr="0070228F">
        <w:rPr>
          <w:rFonts w:ascii="Palatino Linotype" w:hAnsi="Palatino Linotype" w:cs="Palatino Linotype"/>
          <w:u w:val="single"/>
        </w:rPr>
        <w:t>Reporting</w:t>
      </w:r>
      <w:r w:rsidRPr="0070228F">
        <w:rPr>
          <w:rFonts w:ascii="Palatino Linotype" w:hAnsi="Palatino Linotype" w:cs="Palatino Linotype"/>
        </w:rPr>
        <w:t xml:space="preserve"> </w:t>
      </w:r>
    </w:p>
    <w:p w:rsidR="00BC6E63" w:rsidRPr="0070228F" w:rsidRDefault="00BC6E63" w:rsidP="00BC6E63">
      <w:pPr>
        <w:pStyle w:val="Default"/>
        <w:rPr>
          <w:rFonts w:ascii="Palatino Linotype" w:hAnsi="Palatino Linotype"/>
        </w:rPr>
      </w:pPr>
    </w:p>
    <w:p w:rsidR="00BC6E63" w:rsidRPr="0070228F" w:rsidRDefault="00BC6E63" w:rsidP="00BC6E63">
      <w:pPr>
        <w:pStyle w:val="Default"/>
        <w:rPr>
          <w:rFonts w:ascii="Palatino Linotype" w:hAnsi="Palatino Linotype" w:cs="Palatino Linotype"/>
          <w:color w:val="auto"/>
        </w:rPr>
      </w:pPr>
      <w:r w:rsidRPr="0070228F">
        <w:rPr>
          <w:rFonts w:ascii="Palatino Linotype" w:hAnsi="Palatino Linotype" w:cs="Palatino Linotype"/>
        </w:rPr>
        <w:t>Grantees must submit quarterly progress reports on the status of the project irrespective of whether grantees request reimbursement or payment. Before</w:t>
      </w:r>
      <w:r w:rsidRPr="0070228F">
        <w:rPr>
          <w:rFonts w:ascii="Palatino Linotype" w:hAnsi="Palatino Linotype" w:cs="Palatino Linotype"/>
          <w:color w:val="auto"/>
        </w:rPr>
        <w:t xml:space="preserve"> full payment of the project, the CASF recipient must submit a project completion report. </w:t>
      </w:r>
      <w:r>
        <w:rPr>
          <w:rFonts w:ascii="Palatino Linotype" w:hAnsi="Palatino Linotype" w:cs="Palatino Linotype"/>
          <w:color w:val="auto"/>
        </w:rPr>
        <w:t xml:space="preserve"> </w:t>
      </w:r>
      <w:r w:rsidRPr="0070228F">
        <w:rPr>
          <w:rFonts w:ascii="Palatino Linotype" w:hAnsi="Palatino Linotype" w:cs="Palatino Linotype"/>
          <w:color w:val="auto"/>
        </w:rPr>
        <w:t>Progress reports shall use the schedule for deployment, major construction milestones and costs submitted in the proposal; indicate the actual date of completion of each task/milestone as well as problems and issues encountered, and the actions taken to resolve these problems and issues during project implementation and construction; and identify future risks to the project.</w:t>
      </w:r>
    </w:p>
    <w:p w:rsidR="00BC6E63" w:rsidRPr="0070228F" w:rsidRDefault="00BC6E63" w:rsidP="00BC6E63">
      <w:pPr>
        <w:pStyle w:val="Default"/>
        <w:rPr>
          <w:rFonts w:ascii="Palatino Linotype" w:hAnsi="Palatino Linotype" w:cs="Palatino Linotype"/>
          <w:color w:val="auto"/>
        </w:rPr>
      </w:pPr>
    </w:p>
    <w:p w:rsidR="00BC6E63" w:rsidRPr="0070228F" w:rsidRDefault="00BC6E63" w:rsidP="00BC6E63">
      <w:pPr>
        <w:pStyle w:val="Default"/>
        <w:rPr>
          <w:rFonts w:ascii="Palatino Linotype" w:hAnsi="Palatino Linotype" w:cs="Palatino Linotype"/>
          <w:color w:val="auto"/>
        </w:rPr>
      </w:pPr>
      <w:r w:rsidRPr="0070228F">
        <w:rPr>
          <w:rFonts w:ascii="Palatino Linotype" w:hAnsi="Palatino Linotype" w:cs="Palatino Linotype"/>
          <w:color w:val="auto"/>
        </w:rPr>
        <w:t>Recipients shall also include test results on the download and upload speeds on a CBG and zip code basis in the final completion report.</w:t>
      </w:r>
      <w:r>
        <w:rPr>
          <w:rFonts w:ascii="Palatino Linotype" w:hAnsi="Palatino Linotype" w:cs="Palatino Linotype"/>
          <w:color w:val="auto"/>
        </w:rPr>
        <w:t xml:space="preserve"> </w:t>
      </w:r>
      <w:r w:rsidRPr="0070228F">
        <w:rPr>
          <w:rFonts w:ascii="Palatino Linotype" w:hAnsi="Palatino Linotype" w:cs="Palatino Linotype"/>
          <w:color w:val="auto"/>
        </w:rPr>
        <w:t xml:space="preserve"> Recipients must certify that each progress report is true and correct under penalty of perjury. </w:t>
      </w:r>
    </w:p>
    <w:p w:rsidR="00BC6E63" w:rsidRPr="0070228F" w:rsidRDefault="00BC6E63" w:rsidP="00BC6E63">
      <w:pPr>
        <w:pStyle w:val="Default"/>
        <w:rPr>
          <w:rFonts w:ascii="Palatino Linotype" w:hAnsi="Palatino Linotype" w:cs="Palatino Linotype"/>
          <w:color w:val="auto"/>
        </w:rPr>
      </w:pPr>
    </w:p>
    <w:p w:rsidR="00BC6E63" w:rsidRPr="0070228F" w:rsidRDefault="00BC6E63" w:rsidP="00BC6E63">
      <w:pPr>
        <w:pStyle w:val="Default"/>
        <w:ind w:left="720"/>
        <w:rPr>
          <w:rFonts w:ascii="Palatino Linotype" w:hAnsi="Palatino Linotype"/>
          <w:color w:val="auto"/>
        </w:rPr>
      </w:pPr>
      <w:r>
        <w:rPr>
          <w:rFonts w:ascii="Palatino Linotype" w:hAnsi="Palatino Linotype" w:cs="Book Antiqua"/>
          <w:color w:val="auto"/>
        </w:rPr>
        <w:t>H</w:t>
      </w:r>
      <w:r w:rsidRPr="0070228F">
        <w:rPr>
          <w:rFonts w:ascii="Palatino Linotype" w:hAnsi="Palatino Linotype" w:cs="Book Antiqua"/>
          <w:color w:val="auto"/>
        </w:rPr>
        <w:t xml:space="preserve">. </w:t>
      </w:r>
      <w:r w:rsidRPr="0070228F">
        <w:rPr>
          <w:rFonts w:ascii="Palatino Linotype" w:hAnsi="Palatino Linotype" w:cs="Book Antiqua"/>
          <w:color w:val="auto"/>
          <w:u w:val="single"/>
        </w:rPr>
        <w:t>Submission of Form 477</w:t>
      </w:r>
      <w:r w:rsidRPr="0070228F">
        <w:rPr>
          <w:rFonts w:ascii="Palatino Linotype" w:hAnsi="Palatino Linotype" w:cs="Book Antiqua"/>
          <w:color w:val="auto"/>
        </w:rPr>
        <w:t xml:space="preserve"> </w:t>
      </w:r>
    </w:p>
    <w:p w:rsidR="00BC6E63" w:rsidRPr="0070228F" w:rsidRDefault="00BC6E63" w:rsidP="00BC6E63">
      <w:pPr>
        <w:pStyle w:val="Default"/>
        <w:rPr>
          <w:rFonts w:ascii="Palatino Linotype" w:hAnsi="Palatino Linotype"/>
          <w:color w:val="auto"/>
        </w:rPr>
      </w:pPr>
    </w:p>
    <w:p w:rsidR="00BC6E63" w:rsidRPr="0070228F" w:rsidRDefault="00BC6E63" w:rsidP="00BC6E63">
      <w:pPr>
        <w:pStyle w:val="Default"/>
        <w:rPr>
          <w:rFonts w:ascii="Palatino Linotype" w:hAnsi="Palatino Linotype" w:cs="Palatino Linotype"/>
          <w:color w:val="auto"/>
        </w:rPr>
      </w:pPr>
      <w:r w:rsidRPr="0070228F">
        <w:rPr>
          <w:rFonts w:ascii="Palatino Linotype" w:hAnsi="Palatino Linotype" w:cs="Palatino Linotype"/>
          <w:color w:val="auto"/>
        </w:rPr>
        <w:t>The FCC currently requires broadband providers to biannually submit the Form 477, which includes speed data. While there is an imperfect match between the data that is reported in the Form 477 and to the CASF, Form 477 data will be useful in documenting CASF deployment for the new service area of the carrier. CASF recipients shall submit a copy of their Form 477 data directly to the Commission, under General Order 66-C, when they submit this data to the FCC for a five-year period after completion of the project.</w:t>
      </w:r>
      <w:r w:rsidRPr="0070228F">
        <w:rPr>
          <w:rStyle w:val="FootnoteReference"/>
          <w:rFonts w:ascii="Palatino Linotype" w:hAnsi="Palatino Linotype" w:cs="Palatino Linotype"/>
          <w:color w:val="auto"/>
        </w:rPr>
        <w:footnoteReference w:id="17"/>
      </w:r>
    </w:p>
    <w:p w:rsidR="00BC6E63" w:rsidRPr="0070228F" w:rsidRDefault="00BC6E63" w:rsidP="00BC6E63">
      <w:pPr>
        <w:pStyle w:val="BodyText"/>
        <w:tabs>
          <w:tab w:val="left" w:pos="1170"/>
        </w:tabs>
        <w:ind w:right="630"/>
        <w:rPr>
          <w:rFonts w:ascii="Palatino Linotype" w:hAnsi="Palatino Linotype"/>
          <w:szCs w:val="24"/>
        </w:rPr>
      </w:pPr>
    </w:p>
    <w:p w:rsidR="00BC6E63" w:rsidRPr="0070228F" w:rsidRDefault="00BC6E63" w:rsidP="00BC6E63">
      <w:pPr>
        <w:pStyle w:val="BodyText"/>
        <w:numPr>
          <w:ilvl w:val="0"/>
          <w:numId w:val="12"/>
        </w:numPr>
        <w:tabs>
          <w:tab w:val="left" w:pos="1170"/>
        </w:tabs>
        <w:ind w:right="630"/>
        <w:rPr>
          <w:rFonts w:ascii="Palatino Linotype" w:hAnsi="Palatino Linotype"/>
          <w:b/>
          <w:szCs w:val="24"/>
        </w:rPr>
      </w:pPr>
      <w:r>
        <w:rPr>
          <w:rFonts w:ascii="Palatino Linotype" w:hAnsi="Palatino Linotype"/>
          <w:b/>
          <w:szCs w:val="24"/>
        </w:rPr>
        <w:t xml:space="preserve"> </w:t>
      </w:r>
      <w:r w:rsidRPr="0070228F">
        <w:rPr>
          <w:rFonts w:ascii="Palatino Linotype" w:hAnsi="Palatino Linotype"/>
          <w:b/>
          <w:szCs w:val="24"/>
        </w:rPr>
        <w:t>Payments to CASF Recipients</w:t>
      </w:r>
    </w:p>
    <w:p w:rsidR="00BC6E63" w:rsidRPr="0070228F" w:rsidRDefault="00BC6E63" w:rsidP="00BC6E63">
      <w:pPr>
        <w:autoSpaceDE w:val="0"/>
        <w:autoSpaceDN w:val="0"/>
        <w:adjustRightInd w:val="0"/>
        <w:rPr>
          <w:rFonts w:ascii="Palatino Linotype" w:hAnsi="Palatino Linotype" w:cs="Palatino Linotype"/>
          <w:color w:val="000000"/>
          <w:sz w:val="24"/>
          <w:szCs w:val="24"/>
        </w:rPr>
      </w:pPr>
      <w:r w:rsidRPr="0070228F">
        <w:rPr>
          <w:rFonts w:ascii="Palatino Linotype" w:hAnsi="Palatino Linotype" w:cs="Palatino Linotype"/>
          <w:color w:val="000000"/>
          <w:sz w:val="24"/>
          <w:szCs w:val="24"/>
        </w:rPr>
        <w:t xml:space="preserve">Submission of invoices from and payments to </w:t>
      </w:r>
      <w:r>
        <w:rPr>
          <w:rFonts w:ascii="Palatino Linotype" w:hAnsi="Palatino Linotype" w:cs="Palatino Linotype"/>
          <w:color w:val="000000"/>
          <w:sz w:val="24"/>
          <w:szCs w:val="24"/>
        </w:rPr>
        <w:t>Citizens</w:t>
      </w:r>
      <w:r w:rsidRPr="0070228F">
        <w:rPr>
          <w:rFonts w:ascii="Palatino Linotype" w:hAnsi="Palatino Linotype" w:cs="Palatino Linotype"/>
          <w:color w:val="000000"/>
          <w:sz w:val="24"/>
          <w:szCs w:val="24"/>
        </w:rPr>
        <w:t xml:space="preserve"> shall be made at 25</w:t>
      </w:r>
      <w:r>
        <w:rPr>
          <w:rFonts w:ascii="Palatino Linotype" w:hAnsi="Palatino Linotype" w:cs="Palatino Linotype"/>
          <w:color w:val="000000"/>
          <w:sz w:val="24"/>
          <w:szCs w:val="24"/>
        </w:rPr>
        <w:t xml:space="preserve"> </w:t>
      </w:r>
      <w:r w:rsidRPr="0070228F">
        <w:rPr>
          <w:rFonts w:ascii="Palatino Linotype" w:hAnsi="Palatino Linotype" w:cs="Palatino Linotype"/>
          <w:color w:val="000000"/>
          <w:sz w:val="24"/>
          <w:szCs w:val="24"/>
        </w:rPr>
        <w:t xml:space="preserve">percent completion intervals, in accordance with Section XI of Appendix 1 of D.12-02-015 and according to the guidelines and supporting documentation required in D.12-02-015. </w:t>
      </w:r>
    </w:p>
    <w:p w:rsidR="00BC6E63" w:rsidRPr="0070228F" w:rsidRDefault="00BC6E63" w:rsidP="00BC6E63">
      <w:pPr>
        <w:autoSpaceDE w:val="0"/>
        <w:autoSpaceDN w:val="0"/>
        <w:adjustRightInd w:val="0"/>
        <w:rPr>
          <w:rFonts w:ascii="Palatino Linotype" w:hAnsi="Palatino Linotype" w:cs="Palatino Linotype"/>
          <w:color w:val="000000"/>
          <w:sz w:val="24"/>
          <w:szCs w:val="24"/>
        </w:rPr>
      </w:pPr>
    </w:p>
    <w:p w:rsidR="00BC6E63" w:rsidRPr="0070228F" w:rsidRDefault="00BC6E63" w:rsidP="00BC6E63">
      <w:pPr>
        <w:pStyle w:val="BodyText"/>
        <w:tabs>
          <w:tab w:val="left" w:pos="1170"/>
        </w:tabs>
        <w:ind w:right="630"/>
        <w:rPr>
          <w:rFonts w:ascii="Palatino Linotype" w:hAnsi="Palatino Linotype"/>
          <w:szCs w:val="24"/>
        </w:rPr>
      </w:pPr>
      <w:r w:rsidRPr="0070228F">
        <w:rPr>
          <w:rFonts w:ascii="Palatino Linotype" w:hAnsi="Palatino Linotype" w:cs="Palatino Linotype"/>
          <w:color w:val="000000"/>
          <w:szCs w:val="24"/>
        </w:rPr>
        <w:t xml:space="preserve">Payment to </w:t>
      </w:r>
      <w:r>
        <w:rPr>
          <w:rFonts w:ascii="Palatino Linotype" w:hAnsi="Palatino Linotype" w:cs="Palatino Linotype"/>
          <w:color w:val="000000"/>
          <w:szCs w:val="24"/>
        </w:rPr>
        <w:t>Citizens</w:t>
      </w:r>
      <w:r w:rsidRPr="0070228F">
        <w:rPr>
          <w:rFonts w:ascii="Palatino Linotype" w:hAnsi="Palatino Linotype" w:cs="Palatino Linotype"/>
          <w:color w:val="000000"/>
          <w:szCs w:val="24"/>
        </w:rPr>
        <w:t xml:space="preserve"> shall follow the process adopted for funds created under P. U. Code §270. </w:t>
      </w:r>
      <w:r>
        <w:rPr>
          <w:rFonts w:ascii="Palatino Linotype" w:hAnsi="Palatino Linotype" w:cs="Palatino Linotype"/>
          <w:color w:val="000000"/>
          <w:szCs w:val="24"/>
        </w:rPr>
        <w:t xml:space="preserve"> </w:t>
      </w:r>
      <w:r w:rsidRPr="0070228F">
        <w:rPr>
          <w:rFonts w:ascii="Palatino Linotype" w:hAnsi="Palatino Linotype" w:cs="Palatino Linotype"/>
          <w:color w:val="000000"/>
          <w:szCs w:val="24"/>
        </w:rPr>
        <w:t>Payments are generally processed by the Commission, including CD and Administrative Services review time, within 20-25 business days.</w:t>
      </w:r>
      <w:r w:rsidRPr="0070228F">
        <w:rPr>
          <w:rFonts w:ascii="Palatino Linotype" w:hAnsi="Palatino Linotype"/>
          <w:szCs w:val="24"/>
        </w:rPr>
        <w:t xml:space="preserve"> </w:t>
      </w:r>
      <w:r>
        <w:rPr>
          <w:rFonts w:ascii="Palatino Linotype" w:hAnsi="Palatino Linotype"/>
          <w:szCs w:val="24"/>
        </w:rPr>
        <w:t xml:space="preserve"> </w:t>
      </w:r>
      <w:r w:rsidRPr="0070228F">
        <w:rPr>
          <w:rFonts w:ascii="Palatino Linotype" w:hAnsi="Palatino Linotype"/>
          <w:szCs w:val="24"/>
        </w:rPr>
        <w:t>The State Controller’s Office (SCO) requires an additional 14- 21 days to issue payment from the day that requests are received by SCO</w:t>
      </w:r>
      <w:r>
        <w:rPr>
          <w:rFonts w:ascii="Palatino Linotype" w:hAnsi="Palatino Linotype"/>
          <w:szCs w:val="24"/>
        </w:rPr>
        <w:t xml:space="preserve"> from </w:t>
      </w:r>
      <w:r w:rsidRPr="0070228F">
        <w:rPr>
          <w:rFonts w:ascii="Palatino Linotype" w:hAnsi="Palatino Linotype" w:cs="Palatino Linotype"/>
          <w:color w:val="000000"/>
          <w:szCs w:val="24"/>
        </w:rPr>
        <w:t>Administrative Services</w:t>
      </w:r>
      <w:r w:rsidRPr="0070228F">
        <w:rPr>
          <w:rFonts w:ascii="Palatino Linotype" w:hAnsi="Palatino Linotype"/>
          <w:szCs w:val="24"/>
        </w:rPr>
        <w:t>.</w:t>
      </w:r>
    </w:p>
    <w:p w:rsidR="00BC6E63" w:rsidRPr="0070228F" w:rsidRDefault="00BC6E63" w:rsidP="00BC6E63">
      <w:pPr>
        <w:pStyle w:val="Heading9"/>
        <w:ind w:right="630"/>
        <w:rPr>
          <w:rFonts w:ascii="Palatino Linotype" w:hAnsi="Palatino Linotype"/>
          <w:szCs w:val="24"/>
        </w:rPr>
      </w:pPr>
    </w:p>
    <w:p w:rsidR="00BC6E63" w:rsidRPr="0070228F" w:rsidRDefault="00BC6E63" w:rsidP="00BC6E63">
      <w:pPr>
        <w:pStyle w:val="Heading9"/>
        <w:numPr>
          <w:ilvl w:val="0"/>
          <w:numId w:val="12"/>
        </w:numPr>
        <w:ind w:right="630"/>
        <w:rPr>
          <w:rFonts w:ascii="Palatino Linotype" w:hAnsi="Palatino Linotype"/>
          <w:szCs w:val="24"/>
        </w:rPr>
      </w:pPr>
      <w:r w:rsidRPr="0070228F">
        <w:rPr>
          <w:rFonts w:ascii="Palatino Linotype" w:hAnsi="Palatino Linotype"/>
          <w:szCs w:val="24"/>
        </w:rPr>
        <w:t>Comments on Draft Resolution</w:t>
      </w:r>
    </w:p>
    <w:p w:rsidR="00BC6E63" w:rsidRPr="0070228F" w:rsidRDefault="00BC6E63" w:rsidP="00BC6E63">
      <w:pPr>
        <w:ind w:right="630"/>
        <w:rPr>
          <w:rFonts w:ascii="Palatino Linotype" w:hAnsi="Palatino Linotype"/>
          <w:sz w:val="24"/>
          <w:szCs w:val="24"/>
        </w:rPr>
      </w:pPr>
    </w:p>
    <w:p w:rsidR="00BC6E63" w:rsidRDefault="00BC6E63" w:rsidP="00BC6E63">
      <w:pPr>
        <w:pStyle w:val="BodyText"/>
        <w:tabs>
          <w:tab w:val="clear" w:pos="720"/>
          <w:tab w:val="left" w:pos="1170"/>
        </w:tabs>
        <w:spacing w:after="0"/>
        <w:ind w:right="630"/>
        <w:rPr>
          <w:rFonts w:ascii="Palatino Linotype" w:hAnsi="Palatino Linotype"/>
          <w:szCs w:val="24"/>
        </w:rPr>
      </w:pPr>
      <w:r w:rsidRPr="0070228F">
        <w:rPr>
          <w:rFonts w:ascii="Palatino Linotype" w:hAnsi="Palatino Linotype"/>
          <w:szCs w:val="24"/>
        </w:rPr>
        <w:t xml:space="preserve">In compliance with Public Utilities Code § 311(g), a notice letter was e-mailed </w:t>
      </w:r>
      <w:r w:rsidRPr="0070228F">
        <w:rPr>
          <w:rFonts w:ascii="Palatino Linotype" w:hAnsi="Palatino Linotype"/>
          <w:color w:val="000000"/>
          <w:szCs w:val="24"/>
        </w:rPr>
        <w:t xml:space="preserve">on </w:t>
      </w:r>
      <w:r>
        <w:rPr>
          <w:rFonts w:ascii="Palatino Linotype" w:hAnsi="Palatino Linotype"/>
          <w:color w:val="000000" w:themeColor="text1"/>
          <w:szCs w:val="24"/>
        </w:rPr>
        <w:t>June 17</w:t>
      </w:r>
      <w:r w:rsidRPr="0070228F">
        <w:rPr>
          <w:rFonts w:ascii="Palatino Linotype" w:hAnsi="Palatino Linotype"/>
          <w:color w:val="000000"/>
          <w:szCs w:val="24"/>
        </w:rPr>
        <w:t>, 2015, informing all parties on the CASF</w:t>
      </w:r>
      <w:r w:rsidRPr="0070228F">
        <w:rPr>
          <w:rFonts w:ascii="Palatino Linotype" w:hAnsi="Palatino Linotype"/>
          <w:szCs w:val="24"/>
        </w:rPr>
        <w:t xml:space="preserve"> Distribution List of the availability of the draft of this resolution for public comments at the Commission's website at </w:t>
      </w:r>
      <w:hyperlink r:id="rId8" w:history="1">
        <w:r w:rsidRPr="004B3A5A">
          <w:rPr>
            <w:rStyle w:val="Hyperlink"/>
            <w:rFonts w:ascii="Palatino Linotype" w:hAnsi="Palatino Linotype"/>
            <w:szCs w:val="24"/>
          </w:rPr>
          <w:t>http://www.cpuc.ca.gov/PUC/documents/</w:t>
        </w:r>
      </w:hyperlink>
      <w:r w:rsidRPr="0070228F">
        <w:rPr>
          <w:rFonts w:ascii="Palatino Linotype" w:hAnsi="Palatino Linotype"/>
          <w:szCs w:val="24"/>
        </w:rPr>
        <w:t>.</w:t>
      </w:r>
      <w:r>
        <w:rPr>
          <w:rFonts w:ascii="Palatino Linotype" w:hAnsi="Palatino Linotype"/>
          <w:szCs w:val="24"/>
        </w:rPr>
        <w:t xml:space="preserve"> </w:t>
      </w:r>
      <w:r w:rsidRPr="0070228F">
        <w:rPr>
          <w:rFonts w:ascii="Palatino Linotype" w:hAnsi="Palatino Linotype"/>
          <w:szCs w:val="24"/>
        </w:rPr>
        <w:t xml:space="preserve"> This letter also informed parties that the final conformed Resolution adopted by the Commission will be posted and available at this same website.</w:t>
      </w:r>
    </w:p>
    <w:p w:rsidR="00F20834" w:rsidRDefault="00F20834" w:rsidP="00BC6E63">
      <w:pPr>
        <w:pStyle w:val="BodyText"/>
        <w:tabs>
          <w:tab w:val="clear" w:pos="720"/>
          <w:tab w:val="left" w:pos="1170"/>
        </w:tabs>
        <w:spacing w:after="0"/>
        <w:ind w:right="630"/>
        <w:rPr>
          <w:rFonts w:ascii="Palatino Linotype" w:hAnsi="Palatino Linotype"/>
          <w:szCs w:val="24"/>
        </w:rPr>
      </w:pPr>
    </w:p>
    <w:p w:rsidR="00F20834" w:rsidRPr="0070228F" w:rsidRDefault="00F20834" w:rsidP="00BC6E63">
      <w:pPr>
        <w:pStyle w:val="BodyText"/>
        <w:tabs>
          <w:tab w:val="clear" w:pos="720"/>
          <w:tab w:val="left" w:pos="1170"/>
        </w:tabs>
        <w:spacing w:after="0"/>
        <w:ind w:right="630"/>
        <w:rPr>
          <w:rFonts w:ascii="Palatino Linotype" w:hAnsi="Palatino Linotype"/>
          <w:szCs w:val="24"/>
        </w:rPr>
      </w:pPr>
      <w:r>
        <w:rPr>
          <w:rFonts w:ascii="Palatino Linotype" w:hAnsi="Palatino Linotype"/>
          <w:szCs w:val="24"/>
        </w:rPr>
        <w:t>O</w:t>
      </w:r>
      <w:r w:rsidR="00D0493D">
        <w:rPr>
          <w:rFonts w:ascii="Palatino Linotype" w:hAnsi="Palatino Linotype"/>
          <w:szCs w:val="24"/>
        </w:rPr>
        <w:t xml:space="preserve">n July 10, 2015, Citizens submitted </w:t>
      </w:r>
      <w:r>
        <w:rPr>
          <w:rFonts w:ascii="Palatino Linotype" w:hAnsi="Palatino Linotype"/>
          <w:szCs w:val="24"/>
        </w:rPr>
        <w:t xml:space="preserve">comments on the </w:t>
      </w:r>
      <w:r w:rsidR="00D0493D">
        <w:rPr>
          <w:rFonts w:ascii="Palatino Linotype" w:hAnsi="Palatino Linotype"/>
          <w:szCs w:val="24"/>
        </w:rPr>
        <w:t xml:space="preserve">draft </w:t>
      </w:r>
      <w:r>
        <w:rPr>
          <w:rFonts w:ascii="Palatino Linotype" w:hAnsi="Palatino Linotype"/>
          <w:szCs w:val="24"/>
        </w:rPr>
        <w:t xml:space="preserve">resolution.  In the comments, Citizens </w:t>
      </w:r>
      <w:r w:rsidR="00D0493D">
        <w:rPr>
          <w:rFonts w:ascii="Palatino Linotype" w:hAnsi="Palatino Linotype"/>
          <w:szCs w:val="24"/>
        </w:rPr>
        <w:t xml:space="preserve">states that it supports the draft resolution’s conclusions and recommendations to approve the grant, but would like to point out an administrative correction that both Frontier Communications of America (U-5429) and Citizens are separate subsidiaries of the parent Frontier Communications Corporation.  In addition, Frontier Southwest is a stand-alone subsidiary of its parent, Frontier Communications Corporation.  Staff </w:t>
      </w:r>
      <w:r w:rsidR="00C8594D">
        <w:rPr>
          <w:rFonts w:ascii="Palatino Linotype" w:hAnsi="Palatino Linotype"/>
          <w:szCs w:val="24"/>
        </w:rPr>
        <w:t>has incorporated Citizens’ comments</w:t>
      </w:r>
      <w:r w:rsidR="00B60AE8">
        <w:rPr>
          <w:rFonts w:ascii="Palatino Linotype" w:hAnsi="Palatino Linotype"/>
          <w:szCs w:val="24"/>
        </w:rPr>
        <w:t xml:space="preserve">.  </w:t>
      </w:r>
    </w:p>
    <w:p w:rsidR="00BC6E63" w:rsidRPr="0070228F" w:rsidRDefault="00BC6E63" w:rsidP="00BC6E63">
      <w:pPr>
        <w:pStyle w:val="BodyText"/>
        <w:tabs>
          <w:tab w:val="clear" w:pos="720"/>
          <w:tab w:val="left" w:pos="1170"/>
        </w:tabs>
        <w:spacing w:after="0"/>
        <w:ind w:right="630"/>
        <w:rPr>
          <w:rFonts w:ascii="Palatino Linotype" w:hAnsi="Palatino Linotype"/>
          <w:szCs w:val="24"/>
        </w:rPr>
      </w:pPr>
    </w:p>
    <w:p w:rsidR="00BC6E63" w:rsidRPr="0070228F" w:rsidRDefault="00BC6E63" w:rsidP="00BC6E63">
      <w:pPr>
        <w:pStyle w:val="BodyText"/>
        <w:numPr>
          <w:ilvl w:val="0"/>
          <w:numId w:val="12"/>
        </w:numPr>
        <w:tabs>
          <w:tab w:val="clear" w:pos="720"/>
          <w:tab w:val="left" w:pos="1170"/>
        </w:tabs>
        <w:spacing w:after="0"/>
        <w:ind w:right="630"/>
        <w:rPr>
          <w:rFonts w:ascii="Palatino Linotype" w:hAnsi="Palatino Linotype"/>
          <w:b/>
          <w:szCs w:val="24"/>
        </w:rPr>
      </w:pPr>
      <w:r w:rsidRPr="0070228F">
        <w:rPr>
          <w:rFonts w:ascii="Palatino Linotype" w:hAnsi="Palatino Linotype"/>
          <w:b/>
          <w:szCs w:val="24"/>
        </w:rPr>
        <w:t xml:space="preserve"> Findings</w:t>
      </w:r>
    </w:p>
    <w:p w:rsidR="00BC6E63" w:rsidRPr="0070228F" w:rsidRDefault="00BC6E63" w:rsidP="00BC6E63">
      <w:pPr>
        <w:autoSpaceDE w:val="0"/>
        <w:autoSpaceDN w:val="0"/>
        <w:adjustRightInd w:val="0"/>
        <w:rPr>
          <w:rFonts w:ascii="Palatino Linotype" w:hAnsi="Palatino Linotype" w:cs="Palatino Linotype"/>
          <w:color w:val="000000"/>
          <w:sz w:val="24"/>
          <w:szCs w:val="24"/>
        </w:rPr>
      </w:pPr>
    </w:p>
    <w:p w:rsidR="00BC6E63" w:rsidRPr="0070228F" w:rsidRDefault="00BC6E63" w:rsidP="00BC6E63">
      <w:pPr>
        <w:numPr>
          <w:ilvl w:val="0"/>
          <w:numId w:val="13"/>
        </w:numPr>
        <w:autoSpaceDE w:val="0"/>
        <w:autoSpaceDN w:val="0"/>
        <w:adjustRightInd w:val="0"/>
        <w:rPr>
          <w:rFonts w:ascii="Palatino Linotype" w:hAnsi="Palatino Linotype" w:cs="Palatino Linotype"/>
          <w:color w:val="000000"/>
          <w:sz w:val="24"/>
          <w:szCs w:val="24"/>
        </w:rPr>
      </w:pPr>
      <w:r w:rsidRPr="0070228F">
        <w:rPr>
          <w:rFonts w:ascii="Palatino Linotype" w:hAnsi="Palatino Linotype" w:cs="Palatino Linotype"/>
          <w:color w:val="000000"/>
          <w:sz w:val="24"/>
          <w:szCs w:val="24"/>
        </w:rPr>
        <w:t xml:space="preserve">On </w:t>
      </w:r>
      <w:r w:rsidRPr="0070228F">
        <w:rPr>
          <w:rFonts w:ascii="Palatino Linotype" w:hAnsi="Palatino Linotype" w:cs="Palatino Linotype"/>
          <w:sz w:val="24"/>
          <w:szCs w:val="24"/>
        </w:rPr>
        <w:t>June 26, 2014, the Commission approved Resolution T-17443, which implemented new timelines for applications to the CASF Broadband Infrastructure Grant Account and offered existing providers a “right of first refusal” to upgrade service in unserved and underserved areas. The window for new applications opened on December 1, 2014.</w:t>
      </w:r>
    </w:p>
    <w:p w:rsidR="00BC6E63" w:rsidRPr="0070228F" w:rsidRDefault="00BC6E63" w:rsidP="00BC6E63">
      <w:pPr>
        <w:autoSpaceDE w:val="0"/>
        <w:autoSpaceDN w:val="0"/>
        <w:adjustRightInd w:val="0"/>
        <w:rPr>
          <w:rFonts w:ascii="Palatino Linotype" w:hAnsi="Palatino Linotype" w:cs="Palatino Linotype"/>
          <w:color w:val="000000"/>
          <w:sz w:val="24"/>
          <w:szCs w:val="24"/>
        </w:rPr>
      </w:pPr>
    </w:p>
    <w:p w:rsidR="00BC6E63" w:rsidRPr="0070228F" w:rsidRDefault="00BC6E63" w:rsidP="00BC6E63">
      <w:pPr>
        <w:numPr>
          <w:ilvl w:val="0"/>
          <w:numId w:val="13"/>
        </w:numPr>
        <w:rPr>
          <w:rFonts w:ascii="Palatino Linotype" w:hAnsi="Palatino Linotype"/>
          <w:sz w:val="24"/>
          <w:szCs w:val="24"/>
        </w:rPr>
      </w:pPr>
      <w:r>
        <w:rPr>
          <w:rFonts w:ascii="Palatino Linotype" w:hAnsi="Palatino Linotype" w:cs="Palatino Linotype"/>
          <w:color w:val="000000"/>
          <w:sz w:val="24"/>
          <w:szCs w:val="24"/>
        </w:rPr>
        <w:t>Citizens</w:t>
      </w:r>
      <w:r w:rsidRPr="0070228F">
        <w:rPr>
          <w:rFonts w:ascii="Palatino Linotype" w:hAnsi="Palatino Linotype" w:cs="Palatino Linotype"/>
          <w:color w:val="000000"/>
          <w:sz w:val="24"/>
          <w:szCs w:val="24"/>
        </w:rPr>
        <w:t xml:space="preserve"> filed an application for CASF funding for its </w:t>
      </w:r>
      <w:r>
        <w:rPr>
          <w:rFonts w:ascii="Palatino Linotype" w:hAnsi="Palatino Linotype" w:cs="Palatino Linotype"/>
          <w:color w:val="000000"/>
          <w:sz w:val="24"/>
          <w:szCs w:val="24"/>
        </w:rPr>
        <w:t>Petrolia</w:t>
      </w:r>
      <w:r w:rsidRPr="0070228F">
        <w:rPr>
          <w:rFonts w:ascii="Palatino Linotype" w:hAnsi="Palatino Linotype" w:cs="Palatino Linotype"/>
          <w:color w:val="000000"/>
          <w:sz w:val="24"/>
          <w:szCs w:val="24"/>
        </w:rPr>
        <w:t xml:space="preserve"> P</w:t>
      </w:r>
      <w:r>
        <w:rPr>
          <w:rFonts w:ascii="Palatino Linotype" w:hAnsi="Palatino Linotype" w:cs="Palatino Linotype"/>
          <w:color w:val="000000"/>
          <w:sz w:val="24"/>
          <w:szCs w:val="24"/>
        </w:rPr>
        <w:t>roject on February 6</w:t>
      </w:r>
      <w:r w:rsidRPr="0070228F">
        <w:rPr>
          <w:rFonts w:ascii="Palatino Linotype" w:hAnsi="Palatino Linotype" w:cs="Palatino Linotype"/>
          <w:color w:val="000000"/>
          <w:sz w:val="24"/>
          <w:szCs w:val="24"/>
        </w:rPr>
        <w:t>, 201</w:t>
      </w:r>
      <w:r>
        <w:rPr>
          <w:rFonts w:ascii="Palatino Linotype" w:hAnsi="Palatino Linotype" w:cs="Palatino Linotype"/>
          <w:color w:val="000000"/>
          <w:sz w:val="24"/>
          <w:szCs w:val="24"/>
        </w:rPr>
        <w:t>5</w:t>
      </w:r>
      <w:r w:rsidRPr="0070228F">
        <w:rPr>
          <w:rFonts w:ascii="Palatino Linotype" w:hAnsi="Palatino Linotype" w:cs="Palatino Linotype"/>
          <w:color w:val="000000"/>
          <w:sz w:val="24"/>
          <w:szCs w:val="24"/>
        </w:rPr>
        <w:t>. The proposed project will improve speeds by</w:t>
      </w:r>
      <w:r>
        <w:rPr>
          <w:rFonts w:ascii="Palatino Linotype" w:hAnsi="Palatino Linotype" w:cs="Palatino Linotype"/>
          <w:color w:val="000000"/>
          <w:sz w:val="24"/>
          <w:szCs w:val="24"/>
        </w:rPr>
        <w:t xml:space="preserve"> upgrading existing microwave radios and installing auxiliary equipment that will enable a maximum download speed of 25 Mbps and a maximum upload speed of 1.5 Mbps to 138 households in the community of Petrolia, California</w:t>
      </w:r>
      <w:r w:rsidRPr="0070228F">
        <w:rPr>
          <w:rFonts w:ascii="Palatino Linotype" w:hAnsi="Palatino Linotype" w:cs="Palatino Linotype"/>
          <w:color w:val="000000"/>
          <w:sz w:val="24"/>
          <w:szCs w:val="24"/>
        </w:rPr>
        <w:t xml:space="preserve"> which </w:t>
      </w:r>
      <w:r>
        <w:rPr>
          <w:rFonts w:ascii="Palatino Linotype" w:hAnsi="Palatino Linotype" w:cs="Palatino Linotype"/>
          <w:color w:val="000000"/>
          <w:sz w:val="24"/>
          <w:szCs w:val="24"/>
        </w:rPr>
        <w:t xml:space="preserve">is located in Humboldt County, California </w:t>
      </w:r>
      <w:r w:rsidRPr="00F172E3">
        <w:rPr>
          <w:rFonts w:ascii="Palatino Linotype" w:hAnsi="Palatino Linotype" w:cs="Palatino Linotype"/>
          <w:color w:val="000000"/>
          <w:sz w:val="24"/>
          <w:szCs w:val="24"/>
        </w:rPr>
        <w:t>10 miles (16 km) southeast of Cape Mendocino</w:t>
      </w:r>
      <w:r>
        <w:rPr>
          <w:rFonts w:ascii="Palatino Linotype" w:hAnsi="Palatino Linotype" w:cs="Palatino Linotype"/>
          <w:color w:val="000000"/>
          <w:sz w:val="24"/>
          <w:szCs w:val="24"/>
        </w:rPr>
        <w:t xml:space="preserve">.  </w:t>
      </w:r>
      <w:r w:rsidRPr="0070228F">
        <w:rPr>
          <w:rFonts w:ascii="Palatino Linotype" w:hAnsi="Palatino Linotype"/>
          <w:sz w:val="24"/>
          <w:szCs w:val="24"/>
        </w:rPr>
        <w:t xml:space="preserve">This </w:t>
      </w:r>
      <w:r>
        <w:rPr>
          <w:rFonts w:ascii="Palatino Linotype" w:hAnsi="Palatino Linotype"/>
          <w:sz w:val="24"/>
          <w:szCs w:val="24"/>
        </w:rPr>
        <w:t>upgrade</w:t>
      </w:r>
      <w:r w:rsidRPr="0070228F">
        <w:rPr>
          <w:rFonts w:ascii="Palatino Linotype" w:hAnsi="Palatino Linotype"/>
          <w:sz w:val="24"/>
          <w:szCs w:val="24"/>
        </w:rPr>
        <w:t xml:space="preserve"> would provide broadband </w:t>
      </w:r>
      <w:r>
        <w:rPr>
          <w:rFonts w:ascii="Palatino Linotype" w:hAnsi="Palatino Linotype"/>
          <w:sz w:val="24"/>
          <w:szCs w:val="24"/>
        </w:rPr>
        <w:t>Internet</w:t>
      </w:r>
      <w:r w:rsidRPr="0070228F">
        <w:rPr>
          <w:rFonts w:ascii="Palatino Linotype" w:hAnsi="Palatino Linotype"/>
          <w:sz w:val="24"/>
          <w:szCs w:val="24"/>
        </w:rPr>
        <w:t xml:space="preserve"> service to an area that is currently underserved</w:t>
      </w:r>
      <w:r>
        <w:rPr>
          <w:rFonts w:ascii="Palatino Linotype" w:hAnsi="Palatino Linotype"/>
          <w:sz w:val="24"/>
          <w:szCs w:val="24"/>
        </w:rPr>
        <w:t>.</w:t>
      </w:r>
      <w:r w:rsidRPr="00EF4090">
        <w:rPr>
          <w:rFonts w:ascii="Palatino Linotype" w:hAnsi="Palatino Linotype" w:cs="Palatino Linotype"/>
          <w:color w:val="000000"/>
          <w:sz w:val="24"/>
          <w:szCs w:val="24"/>
        </w:rPr>
        <w:t xml:space="preserve"> </w:t>
      </w:r>
      <w:r>
        <w:rPr>
          <w:rFonts w:ascii="Palatino Linotype" w:hAnsi="Palatino Linotype" w:cs="Palatino Linotype"/>
          <w:color w:val="000000"/>
          <w:sz w:val="24"/>
          <w:szCs w:val="24"/>
        </w:rPr>
        <w:t xml:space="preserve"> The CBG</w:t>
      </w:r>
      <w:r w:rsidRPr="00EF4090">
        <w:rPr>
          <w:rFonts w:ascii="Palatino Linotype" w:hAnsi="Palatino Linotype" w:cs="Palatino Linotype"/>
          <w:color w:val="000000"/>
          <w:sz w:val="24"/>
          <w:szCs w:val="24"/>
        </w:rPr>
        <w:t xml:space="preserve"> impacted by the project </w:t>
      </w:r>
      <w:r>
        <w:rPr>
          <w:rFonts w:ascii="Palatino Linotype" w:hAnsi="Palatino Linotype" w:cs="Palatino Linotype"/>
          <w:color w:val="000000"/>
          <w:sz w:val="24"/>
          <w:szCs w:val="24"/>
        </w:rPr>
        <w:t>is</w:t>
      </w:r>
      <w:r w:rsidRPr="00EF4090">
        <w:rPr>
          <w:rFonts w:ascii="Palatino Linotype" w:hAnsi="Palatino Linotype" w:cs="Palatino Linotype"/>
          <w:color w:val="000000"/>
          <w:sz w:val="24"/>
          <w:szCs w:val="24"/>
        </w:rPr>
        <w:t xml:space="preserve"> </w:t>
      </w:r>
      <w:r w:rsidRPr="00F172E3">
        <w:rPr>
          <w:rFonts w:ascii="Palatino Linotype" w:hAnsi="Palatino Linotype"/>
          <w:color w:val="000000"/>
          <w:sz w:val="24"/>
          <w:szCs w:val="24"/>
        </w:rPr>
        <w:t>060230112003</w:t>
      </w:r>
      <w:r w:rsidRPr="00EF4090">
        <w:rPr>
          <w:rFonts w:ascii="Palatino Linotype" w:hAnsi="Palatino Linotype"/>
          <w:color w:val="000000"/>
          <w:sz w:val="24"/>
          <w:szCs w:val="24"/>
        </w:rPr>
        <w:t>.</w:t>
      </w:r>
    </w:p>
    <w:p w:rsidR="00BC6E63" w:rsidRPr="0070228F" w:rsidRDefault="00BC6E63" w:rsidP="00BC6E63">
      <w:pPr>
        <w:autoSpaceDE w:val="0"/>
        <w:autoSpaceDN w:val="0"/>
        <w:adjustRightInd w:val="0"/>
        <w:rPr>
          <w:rFonts w:ascii="Palatino Linotype" w:hAnsi="Palatino Linotype" w:cs="Palatino Linotype"/>
          <w:color w:val="000000"/>
          <w:sz w:val="24"/>
          <w:szCs w:val="24"/>
        </w:rPr>
      </w:pPr>
    </w:p>
    <w:p w:rsidR="00BC6E63" w:rsidRPr="0070228F" w:rsidRDefault="00BC6E63" w:rsidP="00BC6E63">
      <w:pPr>
        <w:numPr>
          <w:ilvl w:val="0"/>
          <w:numId w:val="13"/>
        </w:numPr>
        <w:autoSpaceDE w:val="0"/>
        <w:autoSpaceDN w:val="0"/>
        <w:adjustRightInd w:val="0"/>
        <w:rPr>
          <w:rFonts w:ascii="Palatino Linotype" w:hAnsi="Palatino Linotype" w:cs="Palatino Linotype"/>
          <w:color w:val="000000"/>
          <w:sz w:val="24"/>
          <w:szCs w:val="24"/>
        </w:rPr>
      </w:pPr>
      <w:r w:rsidRPr="0070228F">
        <w:rPr>
          <w:rFonts w:ascii="Palatino Linotype" w:hAnsi="Palatino Linotype" w:cs="Palatino Linotype"/>
          <w:color w:val="000000"/>
          <w:sz w:val="24"/>
          <w:szCs w:val="24"/>
        </w:rPr>
        <w:t>CD posted the</w:t>
      </w:r>
      <w:r>
        <w:rPr>
          <w:rFonts w:ascii="Palatino Linotype" w:hAnsi="Palatino Linotype" w:cs="Palatino Linotype"/>
          <w:color w:val="000000"/>
          <w:sz w:val="24"/>
          <w:szCs w:val="24"/>
        </w:rPr>
        <w:t xml:space="preserve"> proposed project area map, CBG and zip code</w:t>
      </w:r>
      <w:r w:rsidRPr="0070228F">
        <w:rPr>
          <w:rFonts w:ascii="Palatino Linotype" w:hAnsi="Palatino Linotype" w:cs="Palatino Linotype"/>
          <w:color w:val="000000"/>
          <w:sz w:val="24"/>
          <w:szCs w:val="24"/>
        </w:rPr>
        <w:t xml:space="preserve"> for the </w:t>
      </w:r>
      <w:r>
        <w:rPr>
          <w:rFonts w:ascii="Palatino Linotype" w:hAnsi="Palatino Linotype" w:cs="Palatino Linotype"/>
          <w:color w:val="000000"/>
          <w:sz w:val="24"/>
          <w:szCs w:val="24"/>
        </w:rPr>
        <w:t>Citizens’ Petrolia</w:t>
      </w:r>
      <w:r w:rsidRPr="0070228F">
        <w:rPr>
          <w:rFonts w:ascii="Palatino Linotype" w:hAnsi="Palatino Linotype" w:cs="Palatino Linotype"/>
          <w:color w:val="000000"/>
          <w:sz w:val="24"/>
          <w:szCs w:val="24"/>
        </w:rPr>
        <w:t xml:space="preserve"> Project on the Commission’s CASF webpage under “</w:t>
      </w:r>
      <w:r>
        <w:rPr>
          <w:rFonts w:ascii="Palatino Linotype" w:hAnsi="Palatino Linotype" w:cs="Palatino Linotype"/>
          <w:color w:val="000000"/>
          <w:sz w:val="24"/>
          <w:szCs w:val="24"/>
        </w:rPr>
        <w:t>CASF Application Project Summaries” on</w:t>
      </w:r>
      <w:r w:rsidRPr="0070228F">
        <w:rPr>
          <w:rFonts w:ascii="Palatino Linotype" w:hAnsi="Palatino Linotype" w:cs="Palatino Linotype"/>
          <w:color w:val="000000"/>
          <w:sz w:val="24"/>
          <w:szCs w:val="24"/>
        </w:rPr>
        <w:t xml:space="preserve"> </w:t>
      </w:r>
      <w:r>
        <w:rPr>
          <w:rFonts w:ascii="Palatino Linotype" w:hAnsi="Palatino Linotype" w:cs="Palatino Linotype"/>
          <w:color w:val="000000"/>
          <w:sz w:val="24"/>
          <w:szCs w:val="24"/>
        </w:rPr>
        <w:t>February 17</w:t>
      </w:r>
      <w:r w:rsidRPr="0070228F">
        <w:rPr>
          <w:rFonts w:ascii="Palatino Linotype" w:hAnsi="Palatino Linotype" w:cs="Palatino Linotype"/>
          <w:color w:val="000000"/>
          <w:sz w:val="24"/>
          <w:szCs w:val="24"/>
        </w:rPr>
        <w:t>, 201</w:t>
      </w:r>
      <w:r>
        <w:rPr>
          <w:rFonts w:ascii="Palatino Linotype" w:hAnsi="Palatino Linotype" w:cs="Palatino Linotype"/>
          <w:color w:val="000000"/>
          <w:sz w:val="24"/>
          <w:szCs w:val="24"/>
        </w:rPr>
        <w:t>5.</w:t>
      </w:r>
      <w:r w:rsidRPr="0070228F">
        <w:rPr>
          <w:rFonts w:ascii="Palatino Linotype" w:hAnsi="Palatino Linotype" w:cs="Palatino Linotype"/>
          <w:color w:val="000000"/>
          <w:sz w:val="24"/>
          <w:szCs w:val="24"/>
        </w:rPr>
        <w:t xml:space="preserve"> </w:t>
      </w:r>
      <w:r>
        <w:rPr>
          <w:rFonts w:ascii="Palatino Linotype" w:hAnsi="Palatino Linotype" w:cs="Palatino Linotype"/>
          <w:color w:val="000000"/>
          <w:sz w:val="24"/>
          <w:szCs w:val="24"/>
        </w:rPr>
        <w:t xml:space="preserve"> </w:t>
      </w:r>
      <w:r w:rsidRPr="0070228F">
        <w:rPr>
          <w:rFonts w:ascii="Palatino Linotype" w:hAnsi="Palatino Linotype" w:cs="Palatino Linotype"/>
          <w:color w:val="000000"/>
          <w:sz w:val="24"/>
          <w:szCs w:val="24"/>
        </w:rPr>
        <w:t xml:space="preserve">CD received no challenges to this project. </w:t>
      </w:r>
    </w:p>
    <w:p w:rsidR="00BC6E63" w:rsidRPr="0070228F" w:rsidRDefault="00BC6E63" w:rsidP="00BC6E63">
      <w:pPr>
        <w:autoSpaceDE w:val="0"/>
        <w:autoSpaceDN w:val="0"/>
        <w:adjustRightInd w:val="0"/>
        <w:rPr>
          <w:rFonts w:ascii="Palatino Linotype" w:hAnsi="Palatino Linotype" w:cs="Palatino Linotype"/>
          <w:color w:val="000000"/>
          <w:sz w:val="24"/>
          <w:szCs w:val="24"/>
        </w:rPr>
      </w:pPr>
    </w:p>
    <w:p w:rsidR="00BC6E63" w:rsidRPr="0070228F" w:rsidRDefault="00BC6E63" w:rsidP="00BC6E63">
      <w:pPr>
        <w:numPr>
          <w:ilvl w:val="0"/>
          <w:numId w:val="13"/>
        </w:numPr>
        <w:autoSpaceDE w:val="0"/>
        <w:autoSpaceDN w:val="0"/>
        <w:adjustRightInd w:val="0"/>
        <w:rPr>
          <w:rFonts w:ascii="Palatino Linotype" w:hAnsi="Palatino Linotype" w:cs="Palatino Linotype"/>
          <w:color w:val="000000"/>
          <w:sz w:val="24"/>
          <w:szCs w:val="24"/>
        </w:rPr>
      </w:pPr>
      <w:r w:rsidRPr="0070228F">
        <w:rPr>
          <w:rFonts w:ascii="Palatino Linotype" w:hAnsi="Palatino Linotype" w:cs="Palatino Linotype"/>
          <w:color w:val="000000"/>
          <w:sz w:val="24"/>
          <w:szCs w:val="24"/>
        </w:rPr>
        <w:t xml:space="preserve">CD reviewed and analyzed data submitted for the </w:t>
      </w:r>
      <w:r>
        <w:rPr>
          <w:rFonts w:ascii="Palatino Linotype" w:hAnsi="Palatino Linotype" w:cs="Palatino Linotype"/>
          <w:color w:val="000000"/>
          <w:sz w:val="24"/>
          <w:szCs w:val="24"/>
        </w:rPr>
        <w:t>Citizens’ Petrolia</w:t>
      </w:r>
      <w:r w:rsidRPr="0070228F">
        <w:rPr>
          <w:rFonts w:ascii="Palatino Linotype" w:hAnsi="Palatino Linotype" w:cs="Palatino Linotype"/>
          <w:color w:val="000000"/>
          <w:sz w:val="24"/>
          <w:szCs w:val="24"/>
        </w:rPr>
        <w:t xml:space="preserve"> Project’s CASF grant application to determine the project’s eligibility for CASF funding. This data included, but was not limited to: proof of a CPCN from the Commission; descriptions of current and proposed broadband infrastructure; geographic information system (GIS) formatted shapefiles mapping the project areas; assertion that the area is underserved; number of potential subscriber households and average incomes; project construction schedule; project budget; proposed pricing and commitment period for new subscribers; and financial viability of the applicant. </w:t>
      </w:r>
    </w:p>
    <w:p w:rsidR="00BC6E63" w:rsidRPr="0070228F" w:rsidRDefault="00BC6E63" w:rsidP="00BC6E63">
      <w:pPr>
        <w:autoSpaceDE w:val="0"/>
        <w:autoSpaceDN w:val="0"/>
        <w:adjustRightInd w:val="0"/>
        <w:rPr>
          <w:rFonts w:ascii="Palatino Linotype" w:hAnsi="Palatino Linotype" w:cs="Palatino Linotype"/>
          <w:color w:val="000000"/>
          <w:sz w:val="24"/>
          <w:szCs w:val="24"/>
        </w:rPr>
      </w:pPr>
    </w:p>
    <w:p w:rsidR="00BC6E63" w:rsidRPr="004F438E" w:rsidRDefault="00BC6E63" w:rsidP="00BC6E63">
      <w:pPr>
        <w:numPr>
          <w:ilvl w:val="0"/>
          <w:numId w:val="13"/>
        </w:numPr>
        <w:autoSpaceDE w:val="0"/>
        <w:autoSpaceDN w:val="0"/>
        <w:adjustRightInd w:val="0"/>
        <w:rPr>
          <w:rFonts w:ascii="Palatino Linotype" w:hAnsi="Palatino Linotype" w:cs="Palatino Linotype"/>
          <w:color w:val="000000"/>
          <w:sz w:val="24"/>
          <w:szCs w:val="24"/>
        </w:rPr>
      </w:pPr>
      <w:r w:rsidRPr="004F438E">
        <w:rPr>
          <w:rFonts w:ascii="Palatino Linotype" w:hAnsi="Palatino Linotype" w:cs="Palatino Linotype"/>
          <w:color w:val="000000"/>
          <w:sz w:val="24"/>
          <w:szCs w:val="24"/>
        </w:rPr>
        <w:t xml:space="preserve">CD reviewed the submitted shapefiles, which mapped the proposed broadband deployment using United States 2010 Census data and the California </w:t>
      </w:r>
      <w:r>
        <w:rPr>
          <w:rFonts w:ascii="Palatino Linotype" w:hAnsi="Palatino Linotype" w:cs="Palatino Linotype"/>
          <w:color w:val="000000"/>
          <w:sz w:val="24"/>
          <w:szCs w:val="24"/>
        </w:rPr>
        <w:t xml:space="preserve">Interactive </w:t>
      </w:r>
      <w:r w:rsidRPr="004F438E">
        <w:rPr>
          <w:rFonts w:ascii="Palatino Linotype" w:hAnsi="Palatino Linotype" w:cs="Palatino Linotype"/>
          <w:color w:val="000000"/>
          <w:sz w:val="24"/>
          <w:szCs w:val="24"/>
        </w:rPr>
        <w:t>Broadband</w:t>
      </w:r>
      <w:r>
        <w:rPr>
          <w:rFonts w:ascii="Palatino Linotype" w:hAnsi="Palatino Linotype" w:cs="Palatino Linotype"/>
          <w:color w:val="000000"/>
          <w:sz w:val="24"/>
          <w:szCs w:val="24"/>
        </w:rPr>
        <w:t xml:space="preserve"> </w:t>
      </w:r>
      <w:r w:rsidRPr="004F438E">
        <w:rPr>
          <w:rFonts w:ascii="Palatino Linotype" w:hAnsi="Palatino Linotype" w:cs="Palatino Linotype"/>
          <w:color w:val="000000"/>
          <w:sz w:val="24"/>
          <w:szCs w:val="24"/>
        </w:rPr>
        <w:t>Availability Maps, with availability data current as of June, 30, 2014. These maps helped to verify the availability and speed of any broadband service, where available. The project area was determined to be underserved.</w:t>
      </w:r>
    </w:p>
    <w:p w:rsidR="00BC6E63" w:rsidRPr="0070228F" w:rsidRDefault="00BC6E63" w:rsidP="00BC6E63">
      <w:pPr>
        <w:autoSpaceDE w:val="0"/>
        <w:autoSpaceDN w:val="0"/>
        <w:adjustRightInd w:val="0"/>
        <w:rPr>
          <w:rFonts w:ascii="Palatino Linotype" w:hAnsi="Palatino Linotype" w:cs="Palatino Linotype"/>
          <w:color w:val="000000"/>
          <w:sz w:val="24"/>
          <w:szCs w:val="24"/>
        </w:rPr>
      </w:pPr>
    </w:p>
    <w:p w:rsidR="00BC6E63" w:rsidRPr="0070228F" w:rsidRDefault="00BC6E63" w:rsidP="00BC6E63">
      <w:pPr>
        <w:numPr>
          <w:ilvl w:val="0"/>
          <w:numId w:val="13"/>
        </w:numPr>
        <w:autoSpaceDE w:val="0"/>
        <w:autoSpaceDN w:val="0"/>
        <w:adjustRightInd w:val="0"/>
        <w:rPr>
          <w:rFonts w:ascii="Palatino Linotype" w:hAnsi="Palatino Linotype"/>
          <w:sz w:val="24"/>
          <w:szCs w:val="24"/>
        </w:rPr>
      </w:pPr>
      <w:r w:rsidRPr="0070228F">
        <w:rPr>
          <w:rFonts w:ascii="Palatino Linotype" w:hAnsi="Palatino Linotype"/>
          <w:sz w:val="24"/>
          <w:szCs w:val="24"/>
        </w:rPr>
        <w:t xml:space="preserve">Based on its review, CD determined that the project qualifies for funding under D. 12-02-015 and recommends Commission approval of CASF funding for </w:t>
      </w:r>
      <w:r>
        <w:rPr>
          <w:rFonts w:ascii="Palatino Linotype" w:hAnsi="Palatino Linotype"/>
          <w:sz w:val="24"/>
          <w:szCs w:val="24"/>
        </w:rPr>
        <w:t>Citizens’ Petrolia</w:t>
      </w:r>
      <w:r w:rsidRPr="0070228F">
        <w:rPr>
          <w:rFonts w:ascii="Palatino Linotype" w:hAnsi="Palatino Linotype"/>
          <w:sz w:val="24"/>
          <w:szCs w:val="24"/>
        </w:rPr>
        <w:t xml:space="preserve"> Project. </w:t>
      </w:r>
    </w:p>
    <w:p w:rsidR="00BC6E63" w:rsidRPr="0070228F" w:rsidRDefault="00BC6E63" w:rsidP="00BC6E63">
      <w:pPr>
        <w:autoSpaceDE w:val="0"/>
        <w:autoSpaceDN w:val="0"/>
        <w:adjustRightInd w:val="0"/>
        <w:rPr>
          <w:rFonts w:ascii="Palatino Linotype" w:hAnsi="Palatino Linotype"/>
          <w:sz w:val="24"/>
          <w:szCs w:val="24"/>
        </w:rPr>
      </w:pPr>
    </w:p>
    <w:p w:rsidR="00BC6E63" w:rsidRPr="0070228F" w:rsidRDefault="00BC6E63" w:rsidP="00BC6E63">
      <w:pPr>
        <w:numPr>
          <w:ilvl w:val="0"/>
          <w:numId w:val="13"/>
        </w:numPr>
        <w:autoSpaceDE w:val="0"/>
        <w:autoSpaceDN w:val="0"/>
        <w:adjustRightInd w:val="0"/>
        <w:rPr>
          <w:rFonts w:ascii="Palatino Linotype" w:hAnsi="Palatino Linotype"/>
          <w:sz w:val="24"/>
          <w:szCs w:val="24"/>
        </w:rPr>
      </w:pPr>
      <w:r>
        <w:rPr>
          <w:rFonts w:ascii="Palatino Linotype" w:hAnsi="Palatino Linotype"/>
          <w:sz w:val="24"/>
          <w:szCs w:val="24"/>
        </w:rPr>
        <w:t>Citizens</w:t>
      </w:r>
      <w:r w:rsidRPr="0070228F">
        <w:rPr>
          <w:rFonts w:ascii="Palatino Linotype" w:hAnsi="Palatino Linotype"/>
          <w:sz w:val="24"/>
          <w:szCs w:val="24"/>
        </w:rPr>
        <w:t xml:space="preserve"> is required to comply with all guidelines, requirements, and conditions associated with the granting of CASF funds as specified in D.12-02-015 and must submit the FCC Form 477, as specified in T-17143. </w:t>
      </w:r>
    </w:p>
    <w:p w:rsidR="00BC6E63" w:rsidRPr="0070228F" w:rsidRDefault="00BC6E63" w:rsidP="00BC6E63">
      <w:pPr>
        <w:autoSpaceDE w:val="0"/>
        <w:autoSpaceDN w:val="0"/>
        <w:adjustRightInd w:val="0"/>
        <w:rPr>
          <w:rFonts w:ascii="Palatino Linotype" w:hAnsi="Palatino Linotype"/>
          <w:sz w:val="24"/>
          <w:szCs w:val="24"/>
        </w:rPr>
      </w:pPr>
    </w:p>
    <w:p w:rsidR="00BC6E63" w:rsidRPr="0070228F" w:rsidRDefault="00BC6E63" w:rsidP="00BC6E63">
      <w:pPr>
        <w:numPr>
          <w:ilvl w:val="0"/>
          <w:numId w:val="13"/>
        </w:numPr>
        <w:autoSpaceDE w:val="0"/>
        <w:autoSpaceDN w:val="0"/>
        <w:adjustRightInd w:val="0"/>
        <w:rPr>
          <w:rFonts w:ascii="Palatino Linotype" w:hAnsi="Palatino Linotype"/>
          <w:sz w:val="24"/>
          <w:szCs w:val="24"/>
        </w:rPr>
      </w:pPr>
      <w:r w:rsidRPr="0070228F">
        <w:rPr>
          <w:rFonts w:ascii="Palatino Linotype" w:hAnsi="Palatino Linotype"/>
          <w:sz w:val="24"/>
          <w:szCs w:val="24"/>
        </w:rPr>
        <w:t xml:space="preserve">The Commission finds CD’s recommendation to fund </w:t>
      </w:r>
      <w:r>
        <w:rPr>
          <w:rFonts w:ascii="Palatino Linotype" w:hAnsi="Palatino Linotype"/>
          <w:sz w:val="24"/>
          <w:szCs w:val="24"/>
        </w:rPr>
        <w:t>Citizens’</w:t>
      </w:r>
      <w:r w:rsidRPr="0070228F">
        <w:rPr>
          <w:rFonts w:ascii="Palatino Linotype" w:hAnsi="Palatino Linotype"/>
          <w:sz w:val="24"/>
          <w:szCs w:val="24"/>
        </w:rPr>
        <w:t xml:space="preserve"> project</w:t>
      </w:r>
      <w:r>
        <w:rPr>
          <w:rFonts w:ascii="Palatino Linotype" w:hAnsi="Palatino Linotype"/>
          <w:sz w:val="24"/>
          <w:szCs w:val="24"/>
        </w:rPr>
        <w:t>,</w:t>
      </w:r>
      <w:r w:rsidRPr="0070228F">
        <w:rPr>
          <w:rFonts w:ascii="Palatino Linotype" w:hAnsi="Palatino Linotype"/>
          <w:sz w:val="24"/>
          <w:szCs w:val="24"/>
        </w:rPr>
        <w:t xml:space="preserve"> as summarized in Appendix A</w:t>
      </w:r>
      <w:r>
        <w:rPr>
          <w:rFonts w:ascii="Palatino Linotype" w:hAnsi="Palatino Linotype"/>
          <w:sz w:val="24"/>
          <w:szCs w:val="24"/>
        </w:rPr>
        <w:t>,</w:t>
      </w:r>
      <w:r w:rsidRPr="0070228F">
        <w:rPr>
          <w:rFonts w:ascii="Palatino Linotype" w:hAnsi="Palatino Linotype"/>
          <w:sz w:val="24"/>
          <w:szCs w:val="24"/>
        </w:rPr>
        <w:t xml:space="preserve"> to be reasonable and consistent with Commission orders and, therefore, adopts such recommendation. </w:t>
      </w:r>
    </w:p>
    <w:p w:rsidR="00BC6E63" w:rsidRPr="0070228F" w:rsidRDefault="00BC6E63" w:rsidP="00BC6E63">
      <w:pPr>
        <w:autoSpaceDE w:val="0"/>
        <w:autoSpaceDN w:val="0"/>
        <w:adjustRightInd w:val="0"/>
        <w:rPr>
          <w:rFonts w:ascii="Palatino Linotype" w:hAnsi="Palatino Linotype"/>
          <w:sz w:val="24"/>
          <w:szCs w:val="24"/>
        </w:rPr>
      </w:pPr>
    </w:p>
    <w:p w:rsidR="00BC6E63" w:rsidRPr="0070228F" w:rsidRDefault="00BC6E63" w:rsidP="00BC6E63">
      <w:pPr>
        <w:numPr>
          <w:ilvl w:val="0"/>
          <w:numId w:val="13"/>
        </w:numPr>
        <w:autoSpaceDE w:val="0"/>
        <w:autoSpaceDN w:val="0"/>
        <w:adjustRightInd w:val="0"/>
        <w:rPr>
          <w:rFonts w:ascii="Palatino Linotype" w:hAnsi="Palatino Linotype"/>
          <w:color w:val="000000"/>
          <w:sz w:val="24"/>
          <w:szCs w:val="24"/>
        </w:rPr>
      </w:pPr>
      <w:r w:rsidRPr="0070228F">
        <w:rPr>
          <w:rFonts w:ascii="Palatino Linotype" w:hAnsi="Palatino Linotype"/>
          <w:color w:val="000000"/>
          <w:sz w:val="24"/>
          <w:szCs w:val="24"/>
        </w:rPr>
        <w:t>The Commission has determined that the project is categorically exempt from CEQA review</w:t>
      </w:r>
      <w:r>
        <w:rPr>
          <w:rFonts w:ascii="Palatino Linotype" w:hAnsi="Palatino Linotype"/>
          <w:color w:val="000000"/>
          <w:sz w:val="24"/>
          <w:szCs w:val="24"/>
        </w:rPr>
        <w:t xml:space="preserve">, under section 15301 regarding </w:t>
      </w:r>
      <w:r w:rsidRPr="00AC114C">
        <w:rPr>
          <w:rFonts w:ascii="Palatino Linotype" w:hAnsi="Palatino Linotype"/>
          <w:color w:val="000000"/>
          <w:sz w:val="24"/>
          <w:szCs w:val="24"/>
        </w:rPr>
        <w:t>exemption for existing facilities</w:t>
      </w:r>
      <w:r>
        <w:rPr>
          <w:rFonts w:ascii="Palatino Linotype" w:hAnsi="Palatino Linotype"/>
          <w:color w:val="000000"/>
          <w:sz w:val="24"/>
          <w:szCs w:val="24"/>
        </w:rPr>
        <w:t xml:space="preserve"> and section 15303 regarding minor modifications to existing structures.</w:t>
      </w:r>
    </w:p>
    <w:p w:rsidR="00BC6E63" w:rsidRPr="0070228F" w:rsidRDefault="00BC6E63" w:rsidP="00BC6E63">
      <w:pPr>
        <w:autoSpaceDE w:val="0"/>
        <w:autoSpaceDN w:val="0"/>
        <w:adjustRightInd w:val="0"/>
        <w:rPr>
          <w:rFonts w:ascii="Palatino Linotype" w:hAnsi="Palatino Linotype"/>
          <w:sz w:val="24"/>
          <w:szCs w:val="24"/>
        </w:rPr>
      </w:pPr>
    </w:p>
    <w:p w:rsidR="00BC6E63" w:rsidRDefault="00BC6E63" w:rsidP="00BC6E63">
      <w:pPr>
        <w:numPr>
          <w:ilvl w:val="0"/>
          <w:numId w:val="13"/>
        </w:numPr>
        <w:autoSpaceDE w:val="0"/>
        <w:autoSpaceDN w:val="0"/>
        <w:adjustRightInd w:val="0"/>
        <w:rPr>
          <w:rFonts w:ascii="Palatino Linotype" w:hAnsi="Palatino Linotype"/>
          <w:color w:val="000000"/>
          <w:sz w:val="24"/>
          <w:szCs w:val="24"/>
        </w:rPr>
      </w:pPr>
      <w:r w:rsidRPr="0070228F">
        <w:rPr>
          <w:rFonts w:ascii="Palatino Linotype" w:hAnsi="Palatino Linotype"/>
          <w:sz w:val="24"/>
          <w:szCs w:val="24"/>
        </w:rPr>
        <w:t xml:space="preserve">A notice letter was e-mailed on </w:t>
      </w:r>
      <w:r w:rsidRPr="0073278A">
        <w:rPr>
          <w:rFonts w:ascii="Palatino Linotype" w:hAnsi="Palatino Linotype"/>
          <w:sz w:val="24"/>
          <w:szCs w:val="24"/>
        </w:rPr>
        <w:t>June 17</w:t>
      </w:r>
      <w:r>
        <w:rPr>
          <w:rFonts w:ascii="Palatino Linotype" w:hAnsi="Palatino Linotype"/>
          <w:sz w:val="24"/>
          <w:szCs w:val="24"/>
        </w:rPr>
        <w:t xml:space="preserve">, </w:t>
      </w:r>
      <w:r w:rsidRPr="0070228F">
        <w:rPr>
          <w:rFonts w:ascii="Palatino Linotype" w:hAnsi="Palatino Linotype"/>
          <w:sz w:val="24"/>
          <w:szCs w:val="24"/>
        </w:rPr>
        <w:t xml:space="preserve">2015, informing all applicants filing for CASF funding, parties on the CASF distribution list of the availability of the draft of this Resolution for public comments at the Commission’s website </w:t>
      </w:r>
      <w:r w:rsidRPr="0070228F">
        <w:rPr>
          <w:rFonts w:ascii="Palatino Linotype" w:hAnsi="Palatino Linotype"/>
          <w:color w:val="0000FF"/>
          <w:sz w:val="24"/>
          <w:szCs w:val="24"/>
        </w:rPr>
        <w:t>http://www.cpuc.ca.gov/PUC/documents/</w:t>
      </w:r>
      <w:r w:rsidRPr="0070228F">
        <w:rPr>
          <w:rFonts w:ascii="Palatino Linotype" w:hAnsi="Palatino Linotype"/>
          <w:color w:val="000000"/>
          <w:sz w:val="24"/>
          <w:szCs w:val="24"/>
        </w:rPr>
        <w:t xml:space="preserve">. </w:t>
      </w:r>
      <w:r>
        <w:rPr>
          <w:rFonts w:ascii="Palatino Linotype" w:hAnsi="Palatino Linotype"/>
          <w:color w:val="000000"/>
          <w:sz w:val="24"/>
          <w:szCs w:val="24"/>
        </w:rPr>
        <w:t xml:space="preserve"> </w:t>
      </w:r>
      <w:r w:rsidRPr="0070228F">
        <w:rPr>
          <w:rFonts w:ascii="Palatino Linotype" w:hAnsi="Palatino Linotype"/>
          <w:color w:val="000000"/>
          <w:sz w:val="24"/>
          <w:szCs w:val="24"/>
        </w:rPr>
        <w:t xml:space="preserve">This letter also informed parties that the final confirmed Resolution adopted by the Commission will be posted and available at this same website. </w:t>
      </w:r>
    </w:p>
    <w:p w:rsidR="00804755" w:rsidRDefault="00804755" w:rsidP="007B2E2C">
      <w:pPr>
        <w:autoSpaceDE w:val="0"/>
        <w:autoSpaceDN w:val="0"/>
        <w:adjustRightInd w:val="0"/>
        <w:rPr>
          <w:rFonts w:ascii="Palatino Linotype" w:hAnsi="Palatino Linotype"/>
          <w:color w:val="000000"/>
          <w:sz w:val="24"/>
          <w:szCs w:val="24"/>
        </w:rPr>
      </w:pPr>
    </w:p>
    <w:p w:rsidR="00804755" w:rsidRPr="0070228F" w:rsidRDefault="00804755" w:rsidP="00BC6E63">
      <w:pPr>
        <w:numPr>
          <w:ilvl w:val="0"/>
          <w:numId w:val="13"/>
        </w:numPr>
        <w:autoSpaceDE w:val="0"/>
        <w:autoSpaceDN w:val="0"/>
        <w:adjustRightInd w:val="0"/>
        <w:rPr>
          <w:rFonts w:ascii="Palatino Linotype" w:hAnsi="Palatino Linotype"/>
          <w:color w:val="000000"/>
          <w:sz w:val="24"/>
          <w:szCs w:val="24"/>
        </w:rPr>
      </w:pPr>
      <w:r>
        <w:rPr>
          <w:rFonts w:ascii="Palatino Linotype" w:hAnsi="Palatino Linotype"/>
          <w:sz w:val="24"/>
          <w:szCs w:val="24"/>
        </w:rPr>
        <w:t>Only Citizens submitted comments on this resolution.</w:t>
      </w:r>
    </w:p>
    <w:p w:rsidR="00BC6E63" w:rsidRDefault="00BC6E63" w:rsidP="00BC6E63">
      <w:pPr>
        <w:tabs>
          <w:tab w:val="left" w:pos="360"/>
          <w:tab w:val="left" w:pos="9540"/>
        </w:tabs>
        <w:ind w:right="630"/>
        <w:rPr>
          <w:rFonts w:ascii="Palatino Linotype" w:hAnsi="Palatino Linotype"/>
          <w:b/>
          <w:sz w:val="24"/>
          <w:szCs w:val="24"/>
        </w:rPr>
      </w:pPr>
    </w:p>
    <w:p w:rsidR="00BC6E63" w:rsidRPr="0070228F" w:rsidRDefault="00BC6E63" w:rsidP="00BC6E63">
      <w:pPr>
        <w:tabs>
          <w:tab w:val="left" w:pos="360"/>
          <w:tab w:val="left" w:pos="9540"/>
        </w:tabs>
        <w:ind w:right="630"/>
        <w:rPr>
          <w:rFonts w:ascii="Palatino Linotype" w:hAnsi="Palatino Linotype"/>
          <w:b/>
          <w:sz w:val="24"/>
          <w:szCs w:val="24"/>
        </w:rPr>
      </w:pPr>
    </w:p>
    <w:p w:rsidR="00BC6E63" w:rsidRPr="0070228F" w:rsidRDefault="00BC6E63" w:rsidP="00BC6E63">
      <w:pPr>
        <w:keepNext/>
        <w:keepLines/>
        <w:tabs>
          <w:tab w:val="left" w:pos="360"/>
          <w:tab w:val="left" w:pos="9540"/>
        </w:tabs>
        <w:ind w:left="-86" w:right="630"/>
        <w:rPr>
          <w:rFonts w:ascii="Palatino Linotype" w:hAnsi="Palatino Linotype"/>
          <w:sz w:val="24"/>
          <w:szCs w:val="24"/>
        </w:rPr>
      </w:pPr>
      <w:r w:rsidRPr="0070228F">
        <w:rPr>
          <w:rFonts w:ascii="Palatino Linotype" w:hAnsi="Palatino Linotype"/>
          <w:b/>
          <w:sz w:val="24"/>
          <w:szCs w:val="24"/>
        </w:rPr>
        <w:t>THEREFORE, IT IS ORDERED that:</w:t>
      </w:r>
    </w:p>
    <w:p w:rsidR="00BC6E63" w:rsidRPr="0070228F" w:rsidRDefault="00BC6E63" w:rsidP="00BC6E63">
      <w:pPr>
        <w:autoSpaceDE w:val="0"/>
        <w:autoSpaceDN w:val="0"/>
        <w:adjustRightInd w:val="0"/>
        <w:rPr>
          <w:rFonts w:ascii="Palatino Linotype" w:hAnsi="Palatino Linotype" w:cs="Palatino Linotype"/>
          <w:color w:val="000000"/>
          <w:sz w:val="24"/>
          <w:szCs w:val="24"/>
        </w:rPr>
      </w:pPr>
    </w:p>
    <w:p w:rsidR="00BC6E63" w:rsidRPr="0070228F" w:rsidRDefault="00BC6E63" w:rsidP="00BC6E63">
      <w:pPr>
        <w:numPr>
          <w:ilvl w:val="1"/>
          <w:numId w:val="12"/>
        </w:numPr>
        <w:autoSpaceDE w:val="0"/>
        <w:autoSpaceDN w:val="0"/>
        <w:adjustRightInd w:val="0"/>
        <w:spacing w:after="170"/>
        <w:ind w:left="720"/>
        <w:rPr>
          <w:rFonts w:ascii="Palatino Linotype" w:hAnsi="Palatino Linotype" w:cs="Palatino Linotype"/>
          <w:color w:val="000000"/>
          <w:sz w:val="24"/>
          <w:szCs w:val="24"/>
        </w:rPr>
      </w:pPr>
      <w:r w:rsidRPr="0070228F">
        <w:rPr>
          <w:rFonts w:ascii="Palatino Linotype" w:hAnsi="Palatino Linotype" w:cs="Palatino Linotype"/>
          <w:color w:val="000000"/>
          <w:sz w:val="24"/>
          <w:szCs w:val="24"/>
        </w:rPr>
        <w:t>The Commission shall award $</w:t>
      </w:r>
      <w:r>
        <w:rPr>
          <w:rFonts w:ascii="Palatino Linotype" w:hAnsi="Palatino Linotype" w:cs="Palatino Linotype"/>
          <w:color w:val="000000"/>
          <w:sz w:val="24"/>
          <w:szCs w:val="24"/>
        </w:rPr>
        <w:t>202,557</w:t>
      </w:r>
      <w:r w:rsidRPr="0070228F">
        <w:rPr>
          <w:rFonts w:ascii="Palatino Linotype" w:hAnsi="Palatino Linotype" w:cs="Palatino Linotype"/>
          <w:color w:val="000000"/>
          <w:sz w:val="24"/>
          <w:szCs w:val="24"/>
        </w:rPr>
        <w:t xml:space="preserve"> to </w:t>
      </w:r>
      <w:r>
        <w:rPr>
          <w:rFonts w:ascii="Palatino Linotype" w:hAnsi="Palatino Linotype" w:cs="Palatino Linotype"/>
          <w:color w:val="000000"/>
          <w:sz w:val="24"/>
          <w:szCs w:val="24"/>
        </w:rPr>
        <w:t>Citizens</w:t>
      </w:r>
      <w:r w:rsidRPr="0070228F">
        <w:rPr>
          <w:rFonts w:ascii="Palatino Linotype" w:hAnsi="Palatino Linotype" w:cs="Palatino Linotype"/>
          <w:color w:val="000000"/>
          <w:sz w:val="24"/>
          <w:szCs w:val="24"/>
        </w:rPr>
        <w:t xml:space="preserve"> for the </w:t>
      </w:r>
      <w:r>
        <w:rPr>
          <w:rFonts w:ascii="Palatino Linotype" w:hAnsi="Palatino Linotype" w:cs="Palatino Linotype"/>
          <w:color w:val="000000"/>
          <w:sz w:val="24"/>
          <w:szCs w:val="24"/>
        </w:rPr>
        <w:t>Petrolia</w:t>
      </w:r>
      <w:r w:rsidRPr="0070228F">
        <w:rPr>
          <w:rFonts w:ascii="Palatino Linotype" w:hAnsi="Palatino Linotype" w:cs="Palatino Linotype"/>
          <w:color w:val="000000"/>
          <w:sz w:val="24"/>
          <w:szCs w:val="24"/>
        </w:rPr>
        <w:t xml:space="preserve"> Project as described herein and summarized in Appendix A of this Resolution. </w:t>
      </w:r>
    </w:p>
    <w:p w:rsidR="00BC6E63" w:rsidRPr="0070228F" w:rsidRDefault="00BC6E63" w:rsidP="00BC6E63">
      <w:pPr>
        <w:numPr>
          <w:ilvl w:val="1"/>
          <w:numId w:val="12"/>
        </w:numPr>
        <w:autoSpaceDE w:val="0"/>
        <w:autoSpaceDN w:val="0"/>
        <w:adjustRightInd w:val="0"/>
        <w:spacing w:after="170"/>
        <w:ind w:left="720"/>
        <w:rPr>
          <w:rFonts w:ascii="Palatino Linotype" w:hAnsi="Palatino Linotype" w:cs="Palatino Linotype"/>
          <w:color w:val="000000"/>
          <w:sz w:val="24"/>
          <w:szCs w:val="24"/>
        </w:rPr>
      </w:pPr>
      <w:r w:rsidRPr="0070228F">
        <w:rPr>
          <w:rFonts w:ascii="Palatino Linotype" w:hAnsi="Palatino Linotype" w:cs="Palatino Linotype"/>
          <w:color w:val="000000"/>
          <w:sz w:val="24"/>
          <w:szCs w:val="24"/>
        </w:rPr>
        <w:t>The program fund payment of $</w:t>
      </w:r>
      <w:r>
        <w:rPr>
          <w:rFonts w:ascii="Palatino Linotype" w:hAnsi="Palatino Linotype" w:cs="Palatino Linotype"/>
          <w:color w:val="000000"/>
          <w:sz w:val="24"/>
          <w:szCs w:val="24"/>
        </w:rPr>
        <w:t>202,557</w:t>
      </w:r>
      <w:r w:rsidRPr="0070228F">
        <w:rPr>
          <w:rFonts w:ascii="Palatino Linotype" w:hAnsi="Palatino Linotype" w:cs="Palatino Linotype"/>
          <w:color w:val="000000"/>
          <w:sz w:val="24"/>
          <w:szCs w:val="24"/>
        </w:rPr>
        <w:t xml:space="preserve"> </w:t>
      </w:r>
      <w:r>
        <w:rPr>
          <w:rFonts w:ascii="Palatino Linotype" w:hAnsi="Palatino Linotype" w:cs="Palatino Linotype"/>
          <w:color w:val="000000"/>
          <w:sz w:val="24"/>
          <w:szCs w:val="24"/>
        </w:rPr>
        <w:t xml:space="preserve">for this </w:t>
      </w:r>
      <w:r w:rsidRPr="0070228F">
        <w:rPr>
          <w:rFonts w:ascii="Palatino Linotype" w:hAnsi="Palatino Linotype" w:cs="Palatino Linotype"/>
          <w:color w:val="000000"/>
          <w:sz w:val="24"/>
          <w:szCs w:val="24"/>
        </w:rPr>
        <w:t>project</w:t>
      </w:r>
      <w:r>
        <w:rPr>
          <w:rFonts w:ascii="Palatino Linotype" w:hAnsi="Palatino Linotype" w:cs="Palatino Linotype"/>
          <w:color w:val="000000"/>
          <w:sz w:val="24"/>
          <w:szCs w:val="24"/>
        </w:rPr>
        <w:t xml:space="preserve"> in underserved areas</w:t>
      </w:r>
      <w:r w:rsidRPr="0070228F">
        <w:rPr>
          <w:rFonts w:ascii="Palatino Linotype" w:hAnsi="Palatino Linotype" w:cs="Palatino Linotype"/>
          <w:color w:val="000000"/>
          <w:sz w:val="24"/>
          <w:szCs w:val="24"/>
        </w:rPr>
        <w:t xml:space="preserve"> shall be paid out of the CASF Infrastructure Grant Account in accordance with the guidelines adopted in D.12-02-015, including compliance with CEQA.</w:t>
      </w:r>
    </w:p>
    <w:p w:rsidR="00BC6E63" w:rsidRPr="0070228F" w:rsidRDefault="00BC6E63" w:rsidP="00BC6E63">
      <w:pPr>
        <w:numPr>
          <w:ilvl w:val="1"/>
          <w:numId w:val="12"/>
        </w:numPr>
        <w:autoSpaceDE w:val="0"/>
        <w:autoSpaceDN w:val="0"/>
        <w:adjustRightInd w:val="0"/>
        <w:spacing w:after="170"/>
        <w:ind w:left="720"/>
        <w:rPr>
          <w:rFonts w:ascii="Palatino Linotype" w:hAnsi="Palatino Linotype" w:cs="Palatino Linotype"/>
          <w:color w:val="000000"/>
          <w:sz w:val="24"/>
          <w:szCs w:val="24"/>
        </w:rPr>
      </w:pPr>
      <w:r w:rsidRPr="0070228F">
        <w:rPr>
          <w:rFonts w:ascii="Palatino Linotype" w:hAnsi="Palatino Linotype" w:cs="Palatino Linotype"/>
          <w:color w:val="000000"/>
          <w:sz w:val="24"/>
          <w:szCs w:val="24"/>
        </w:rPr>
        <w:t xml:space="preserve">Payments to the CASF recipient shall be in accordance with Section XI of Appendix 1 of D.12-02-015 and in accordance with the process defined in the “Payments to CASF Recipients” section of this Resolution. </w:t>
      </w:r>
    </w:p>
    <w:p w:rsidR="00BC6E63" w:rsidRPr="0070228F" w:rsidRDefault="00BC6E63" w:rsidP="00BC6E63">
      <w:pPr>
        <w:numPr>
          <w:ilvl w:val="1"/>
          <w:numId w:val="12"/>
        </w:numPr>
        <w:autoSpaceDE w:val="0"/>
        <w:autoSpaceDN w:val="0"/>
        <w:adjustRightInd w:val="0"/>
        <w:ind w:left="720" w:right="180"/>
        <w:rPr>
          <w:rFonts w:ascii="Palatino Linotype" w:hAnsi="Palatino Linotype" w:cs="Palatino Linotype"/>
          <w:color w:val="000000"/>
          <w:sz w:val="24"/>
          <w:szCs w:val="24"/>
        </w:rPr>
      </w:pPr>
      <w:r w:rsidRPr="0070228F">
        <w:rPr>
          <w:rFonts w:ascii="Palatino Linotype" w:hAnsi="Palatino Linotype" w:cs="Palatino Linotype"/>
          <w:color w:val="000000"/>
          <w:sz w:val="24"/>
          <w:szCs w:val="24"/>
        </w:rPr>
        <w:t xml:space="preserve">The CASF fund recipient, </w:t>
      </w:r>
      <w:r>
        <w:rPr>
          <w:rFonts w:ascii="Palatino Linotype" w:hAnsi="Palatino Linotype" w:cs="Palatino Linotype"/>
          <w:color w:val="000000"/>
          <w:sz w:val="24"/>
          <w:szCs w:val="24"/>
        </w:rPr>
        <w:t>Citizens</w:t>
      </w:r>
      <w:r w:rsidRPr="0070228F">
        <w:rPr>
          <w:rFonts w:ascii="Palatino Linotype" w:hAnsi="Palatino Linotype" w:cs="Palatino Linotype"/>
          <w:color w:val="000000"/>
          <w:sz w:val="24"/>
          <w:szCs w:val="24"/>
        </w:rPr>
        <w:t>, shall comply with all guidelines, requirements and conditions associated with the CASF funds award as specified in D.12-02-015 and must submit the FCC Form 477</w:t>
      </w:r>
      <w:r>
        <w:rPr>
          <w:rFonts w:ascii="Palatino Linotype" w:hAnsi="Palatino Linotype" w:cs="Palatino Linotype"/>
          <w:color w:val="000000"/>
          <w:sz w:val="24"/>
          <w:szCs w:val="24"/>
        </w:rPr>
        <w:t xml:space="preserve"> to the Commission</w:t>
      </w:r>
      <w:r w:rsidRPr="0070228F">
        <w:rPr>
          <w:rFonts w:ascii="Palatino Linotype" w:hAnsi="Palatino Linotype" w:cs="Palatino Linotype"/>
          <w:color w:val="000000"/>
          <w:sz w:val="24"/>
          <w:szCs w:val="24"/>
        </w:rPr>
        <w:t xml:space="preserve">, as specified in Resolution T-17143. </w:t>
      </w:r>
    </w:p>
    <w:p w:rsidR="00BC6E63" w:rsidRPr="0070228F" w:rsidRDefault="00BC6E63" w:rsidP="00BC6E63">
      <w:pPr>
        <w:autoSpaceDE w:val="0"/>
        <w:autoSpaceDN w:val="0"/>
        <w:adjustRightInd w:val="0"/>
        <w:rPr>
          <w:rFonts w:ascii="Palatino Linotype" w:hAnsi="Palatino Linotype" w:cs="Palatino Linotype"/>
          <w:color w:val="000000"/>
          <w:sz w:val="24"/>
          <w:szCs w:val="24"/>
        </w:rPr>
      </w:pPr>
    </w:p>
    <w:p w:rsidR="00BC6E63" w:rsidRPr="0070228F" w:rsidRDefault="00BC6E63" w:rsidP="00BC6E63">
      <w:pPr>
        <w:keepNext/>
        <w:keepLines/>
        <w:tabs>
          <w:tab w:val="left" w:pos="360"/>
        </w:tabs>
        <w:spacing w:after="120"/>
        <w:ind w:right="630"/>
        <w:rPr>
          <w:rFonts w:ascii="Palatino Linotype" w:hAnsi="Palatino Linotype"/>
          <w:sz w:val="24"/>
          <w:szCs w:val="24"/>
        </w:rPr>
      </w:pPr>
      <w:r w:rsidRPr="0070228F">
        <w:rPr>
          <w:rFonts w:ascii="Palatino Linotype" w:hAnsi="Palatino Linotype"/>
          <w:sz w:val="24"/>
          <w:szCs w:val="24"/>
        </w:rPr>
        <w:t>This Resolution is effective today.</w:t>
      </w:r>
    </w:p>
    <w:p w:rsidR="00BC6E63" w:rsidRPr="0070228F" w:rsidRDefault="00BC6E63" w:rsidP="00BC6E63">
      <w:pPr>
        <w:pStyle w:val="xl41"/>
        <w:keepNext/>
        <w:keepLines/>
        <w:overflowPunct/>
        <w:autoSpaceDE/>
        <w:autoSpaceDN/>
        <w:adjustRightInd/>
        <w:spacing w:before="0" w:after="0"/>
        <w:ind w:right="630"/>
        <w:textAlignment w:val="auto"/>
        <w:rPr>
          <w:rFonts w:ascii="Palatino Linotype" w:eastAsia="Times New Roman" w:hAnsi="Palatino Linotype"/>
          <w:szCs w:val="24"/>
        </w:rPr>
      </w:pPr>
    </w:p>
    <w:p w:rsidR="00BC6E63" w:rsidRPr="0070228F" w:rsidRDefault="00BC6E63" w:rsidP="00BC6E63">
      <w:pPr>
        <w:keepNext/>
        <w:keepLines/>
        <w:ind w:right="630"/>
        <w:rPr>
          <w:rFonts w:ascii="Palatino Linotype" w:hAnsi="Palatino Linotype"/>
          <w:sz w:val="24"/>
          <w:szCs w:val="24"/>
        </w:rPr>
      </w:pPr>
      <w:r w:rsidRPr="0070228F">
        <w:rPr>
          <w:rFonts w:ascii="Palatino Linotype" w:hAnsi="Palatino Linotype"/>
          <w:sz w:val="24"/>
          <w:szCs w:val="24"/>
        </w:rPr>
        <w:t xml:space="preserve">I hereby certify that this Resolution was adopted by the Public Utilities Commission at its regular meeting on </w:t>
      </w:r>
      <w:r>
        <w:rPr>
          <w:rFonts w:ascii="Palatino Linotype" w:hAnsi="Palatino Linotype"/>
          <w:sz w:val="24"/>
          <w:szCs w:val="24"/>
        </w:rPr>
        <w:t>July 23</w:t>
      </w:r>
      <w:r w:rsidRPr="0070228F">
        <w:rPr>
          <w:rFonts w:ascii="Palatino Linotype" w:hAnsi="Palatino Linotype"/>
          <w:sz w:val="24"/>
          <w:szCs w:val="24"/>
        </w:rPr>
        <w:t xml:space="preserve">, 2015. </w:t>
      </w:r>
      <w:r>
        <w:rPr>
          <w:rFonts w:ascii="Palatino Linotype" w:hAnsi="Palatino Linotype"/>
          <w:sz w:val="24"/>
          <w:szCs w:val="24"/>
        </w:rPr>
        <w:t xml:space="preserve"> </w:t>
      </w:r>
      <w:r w:rsidRPr="0070228F">
        <w:rPr>
          <w:rFonts w:ascii="Palatino Linotype" w:hAnsi="Palatino Linotype"/>
          <w:sz w:val="24"/>
          <w:szCs w:val="24"/>
        </w:rPr>
        <w:t>The following Commissioners approved it:</w:t>
      </w:r>
    </w:p>
    <w:p w:rsidR="00BC6E63" w:rsidRPr="0070228F" w:rsidRDefault="00BC6E63" w:rsidP="00BC6E63">
      <w:pPr>
        <w:keepNext/>
        <w:keepLines/>
        <w:rPr>
          <w:rFonts w:ascii="Palatino Linotype" w:hAnsi="Palatino Linotype"/>
          <w:sz w:val="24"/>
          <w:szCs w:val="24"/>
        </w:rPr>
      </w:pPr>
    </w:p>
    <w:p w:rsidR="00BC6E63" w:rsidRPr="0070228F" w:rsidRDefault="00BC6E63" w:rsidP="00BC6E63">
      <w:pPr>
        <w:keepNext/>
        <w:keepLines/>
        <w:rPr>
          <w:rFonts w:ascii="Palatino Linotype" w:hAnsi="Palatino Linotype"/>
          <w:sz w:val="24"/>
          <w:szCs w:val="24"/>
        </w:rPr>
      </w:pPr>
    </w:p>
    <w:p w:rsidR="00BC6E63" w:rsidRPr="0070228F" w:rsidRDefault="00BC6E63" w:rsidP="00BC6E63">
      <w:pPr>
        <w:keepNext/>
        <w:keepLines/>
        <w:rPr>
          <w:rFonts w:ascii="Palatino Linotype" w:hAnsi="Palatino Linotype"/>
          <w:sz w:val="24"/>
          <w:szCs w:val="24"/>
        </w:rPr>
      </w:pPr>
    </w:p>
    <w:tbl>
      <w:tblPr>
        <w:tblW w:w="0" w:type="auto"/>
        <w:tblInd w:w="4788" w:type="dxa"/>
        <w:tblLayout w:type="fixed"/>
        <w:tblLook w:val="0000" w:firstRow="0" w:lastRow="0" w:firstColumn="0" w:lastColumn="0" w:noHBand="0" w:noVBand="0"/>
      </w:tblPr>
      <w:tblGrid>
        <w:gridCol w:w="3870"/>
      </w:tblGrid>
      <w:tr w:rsidR="00BC6E63" w:rsidRPr="0070228F" w:rsidTr="00F20834">
        <w:tc>
          <w:tcPr>
            <w:tcW w:w="3870" w:type="dxa"/>
            <w:tcBorders>
              <w:bottom w:val="single" w:sz="6" w:space="0" w:color="auto"/>
            </w:tcBorders>
          </w:tcPr>
          <w:p w:rsidR="00BC6E63" w:rsidRPr="0070228F" w:rsidRDefault="00BC6E63" w:rsidP="00F20834">
            <w:pPr>
              <w:keepNext/>
              <w:keepLines/>
              <w:ind w:right="-648"/>
              <w:rPr>
                <w:rFonts w:ascii="Palatino Linotype" w:hAnsi="Palatino Linotype"/>
                <w:sz w:val="24"/>
                <w:szCs w:val="24"/>
              </w:rPr>
            </w:pPr>
            <w:r w:rsidRPr="0070228F">
              <w:rPr>
                <w:rFonts w:ascii="Palatino Linotype" w:hAnsi="Palatino Linotype"/>
                <w:sz w:val="24"/>
                <w:szCs w:val="24"/>
              </w:rPr>
              <w:t xml:space="preserve">        </w:t>
            </w:r>
            <w:r w:rsidR="00953CF8" w:rsidRPr="00F755FA">
              <w:rPr>
                <w:rFonts w:ascii="Palatino" w:hAnsi="Palatino"/>
                <w:sz w:val="24"/>
                <w:szCs w:val="24"/>
              </w:rPr>
              <w:t xml:space="preserve">/s/ </w:t>
            </w:r>
            <w:r w:rsidR="00953CF8" w:rsidRPr="00F755FA">
              <w:rPr>
                <w:rFonts w:ascii="Palatino Linotype" w:hAnsi="Palatino Linotype"/>
                <w:sz w:val="24"/>
                <w:szCs w:val="24"/>
              </w:rPr>
              <w:t xml:space="preserve">  </w:t>
            </w:r>
            <w:r w:rsidR="00953CF8">
              <w:rPr>
                <w:rFonts w:ascii="Palatino Linotype" w:hAnsi="Palatino Linotype"/>
                <w:sz w:val="24"/>
                <w:szCs w:val="24"/>
              </w:rPr>
              <w:t>Timothy J. Sullivan</w:t>
            </w:r>
            <w:r w:rsidR="00953CF8" w:rsidRPr="00F755FA">
              <w:rPr>
                <w:rFonts w:ascii="Palatino Linotype" w:hAnsi="Palatino Linotype"/>
                <w:sz w:val="24"/>
                <w:szCs w:val="24"/>
              </w:rPr>
              <w:t xml:space="preserve">      </w:t>
            </w:r>
            <w:r w:rsidR="00953CF8" w:rsidRPr="0070228F">
              <w:rPr>
                <w:rFonts w:ascii="Palatino Linotype" w:hAnsi="Palatino Linotype"/>
                <w:sz w:val="24"/>
                <w:szCs w:val="24"/>
              </w:rPr>
              <w:t xml:space="preserve">         </w:t>
            </w:r>
            <w:r w:rsidRPr="0070228F">
              <w:rPr>
                <w:rFonts w:ascii="Palatino Linotype" w:hAnsi="Palatino Linotype"/>
                <w:sz w:val="24"/>
                <w:szCs w:val="24"/>
              </w:rPr>
              <w:t xml:space="preserve">       </w:t>
            </w:r>
          </w:p>
        </w:tc>
      </w:tr>
      <w:tr w:rsidR="00BC6E63" w:rsidRPr="0070228F" w:rsidTr="00F20834">
        <w:tc>
          <w:tcPr>
            <w:tcW w:w="3870" w:type="dxa"/>
          </w:tcPr>
          <w:p w:rsidR="00BC6E63" w:rsidRPr="0070228F" w:rsidRDefault="00BC6E63" w:rsidP="00F20834">
            <w:pPr>
              <w:pStyle w:val="Heading6"/>
              <w:keepLines/>
              <w:jc w:val="center"/>
              <w:rPr>
                <w:rFonts w:ascii="Palatino Linotype" w:hAnsi="Palatino Linotype"/>
                <w:szCs w:val="24"/>
              </w:rPr>
            </w:pPr>
            <w:r w:rsidRPr="0070228F">
              <w:rPr>
                <w:rFonts w:ascii="Palatino Linotype" w:hAnsi="Palatino Linotype"/>
                <w:szCs w:val="24"/>
              </w:rPr>
              <w:t>TIMOTHY J. SULLIVAN</w:t>
            </w:r>
          </w:p>
          <w:p w:rsidR="00BC6E63" w:rsidRPr="0070228F" w:rsidRDefault="00BC6E63" w:rsidP="00F20834">
            <w:pPr>
              <w:pStyle w:val="Heading6"/>
              <w:keepLines/>
              <w:spacing w:before="0"/>
              <w:jc w:val="center"/>
              <w:rPr>
                <w:rFonts w:ascii="Palatino Linotype" w:hAnsi="Palatino Linotype"/>
                <w:szCs w:val="24"/>
              </w:rPr>
            </w:pPr>
            <w:r w:rsidRPr="0070228F">
              <w:rPr>
                <w:rFonts w:ascii="Palatino Linotype" w:hAnsi="Palatino Linotype"/>
                <w:szCs w:val="24"/>
              </w:rPr>
              <w:t>Executive Director</w:t>
            </w:r>
          </w:p>
        </w:tc>
      </w:tr>
    </w:tbl>
    <w:p w:rsidR="00BC6E63" w:rsidRPr="0070228F" w:rsidRDefault="00BC6E63" w:rsidP="00BC6E63">
      <w:pPr>
        <w:keepNext/>
        <w:keepLines/>
        <w:jc w:val="right"/>
        <w:rPr>
          <w:rFonts w:ascii="Palatino Linotype" w:hAnsi="Palatino Linotype"/>
          <w:sz w:val="24"/>
          <w:szCs w:val="24"/>
        </w:rPr>
      </w:pPr>
    </w:p>
    <w:tbl>
      <w:tblPr>
        <w:tblW w:w="0" w:type="auto"/>
        <w:tblInd w:w="4788" w:type="dxa"/>
        <w:tblLayout w:type="fixed"/>
        <w:tblLook w:val="04A0" w:firstRow="1" w:lastRow="0" w:firstColumn="1" w:lastColumn="0" w:noHBand="0" w:noVBand="1"/>
      </w:tblPr>
      <w:tblGrid>
        <w:gridCol w:w="4500"/>
      </w:tblGrid>
      <w:tr w:rsidR="00003DF9" w:rsidRPr="000A4BD6" w:rsidTr="00F62B30">
        <w:trPr>
          <w:trHeight w:val="366"/>
        </w:trPr>
        <w:tc>
          <w:tcPr>
            <w:tcW w:w="4500" w:type="dxa"/>
          </w:tcPr>
          <w:p w:rsidR="00003DF9" w:rsidRPr="000A4BD6" w:rsidRDefault="00003DF9" w:rsidP="00F62B30">
            <w:pPr>
              <w:ind w:right="792"/>
              <w:rPr>
                <w:rFonts w:ascii="Palatino" w:hAnsi="Palatino"/>
                <w:sz w:val="24"/>
                <w:szCs w:val="24"/>
              </w:rPr>
            </w:pPr>
            <w:r w:rsidRPr="000A4BD6">
              <w:rPr>
                <w:rFonts w:ascii="Palatino" w:hAnsi="Palatino"/>
                <w:sz w:val="24"/>
                <w:szCs w:val="24"/>
              </w:rPr>
              <w:t>MICHAEL PICKER</w:t>
            </w:r>
          </w:p>
          <w:p w:rsidR="00003DF9" w:rsidRPr="000A4BD6" w:rsidRDefault="00003DF9" w:rsidP="00F62B30">
            <w:pPr>
              <w:ind w:left="1242" w:right="792"/>
              <w:rPr>
                <w:rFonts w:ascii="Palatino" w:hAnsi="Palatino"/>
                <w:sz w:val="24"/>
                <w:szCs w:val="24"/>
              </w:rPr>
            </w:pPr>
            <w:r w:rsidRPr="000A4BD6">
              <w:rPr>
                <w:rFonts w:ascii="Palatino" w:hAnsi="Palatino"/>
                <w:sz w:val="24"/>
                <w:szCs w:val="24"/>
              </w:rPr>
              <w:t>President</w:t>
            </w:r>
          </w:p>
        </w:tc>
      </w:tr>
      <w:tr w:rsidR="00003DF9" w:rsidRPr="000A4BD6" w:rsidTr="00F62B30">
        <w:trPr>
          <w:trHeight w:val="366"/>
        </w:trPr>
        <w:tc>
          <w:tcPr>
            <w:tcW w:w="4500" w:type="dxa"/>
          </w:tcPr>
          <w:p w:rsidR="00003DF9" w:rsidRPr="000A4BD6" w:rsidRDefault="00003DF9" w:rsidP="00F62B30">
            <w:pPr>
              <w:ind w:right="792"/>
              <w:rPr>
                <w:rFonts w:ascii="Palatino" w:hAnsi="Palatino"/>
                <w:sz w:val="24"/>
                <w:szCs w:val="24"/>
              </w:rPr>
            </w:pPr>
            <w:r w:rsidRPr="000A4BD6">
              <w:rPr>
                <w:rFonts w:ascii="Palatino" w:hAnsi="Palatino"/>
                <w:sz w:val="24"/>
                <w:szCs w:val="24"/>
              </w:rPr>
              <w:t>MICHEL PETER FLORIO</w:t>
            </w:r>
          </w:p>
        </w:tc>
      </w:tr>
      <w:tr w:rsidR="00003DF9" w:rsidRPr="000A4BD6" w:rsidTr="00F62B30">
        <w:trPr>
          <w:trHeight w:val="366"/>
        </w:trPr>
        <w:tc>
          <w:tcPr>
            <w:tcW w:w="4500" w:type="dxa"/>
          </w:tcPr>
          <w:p w:rsidR="00003DF9" w:rsidRPr="000A4BD6" w:rsidRDefault="00003DF9" w:rsidP="00F62B30">
            <w:pPr>
              <w:ind w:right="792"/>
              <w:rPr>
                <w:rFonts w:ascii="Palatino" w:hAnsi="Palatino"/>
                <w:sz w:val="24"/>
                <w:szCs w:val="24"/>
              </w:rPr>
            </w:pPr>
            <w:r w:rsidRPr="000A4BD6">
              <w:rPr>
                <w:rFonts w:ascii="Palatino" w:hAnsi="Palatino"/>
                <w:sz w:val="24"/>
                <w:szCs w:val="24"/>
              </w:rPr>
              <w:t>CATHERINE J.K. SANDOVAL</w:t>
            </w:r>
          </w:p>
        </w:tc>
      </w:tr>
      <w:tr w:rsidR="00003DF9" w:rsidRPr="000A4BD6" w:rsidTr="00F62B30">
        <w:trPr>
          <w:trHeight w:val="366"/>
        </w:trPr>
        <w:tc>
          <w:tcPr>
            <w:tcW w:w="4500" w:type="dxa"/>
          </w:tcPr>
          <w:p w:rsidR="00003DF9" w:rsidRPr="000A4BD6" w:rsidRDefault="00003DF9" w:rsidP="00F62B30">
            <w:pPr>
              <w:ind w:right="792"/>
              <w:rPr>
                <w:rFonts w:ascii="Palatino" w:hAnsi="Palatino"/>
                <w:sz w:val="24"/>
                <w:szCs w:val="24"/>
              </w:rPr>
            </w:pPr>
            <w:r w:rsidRPr="000A4BD6">
              <w:rPr>
                <w:rFonts w:ascii="Palatino" w:hAnsi="Palatino"/>
                <w:sz w:val="24"/>
                <w:szCs w:val="24"/>
              </w:rPr>
              <w:t>CARLA J. PETERMAN</w:t>
            </w:r>
          </w:p>
        </w:tc>
      </w:tr>
      <w:tr w:rsidR="00003DF9" w:rsidRPr="000A4BD6" w:rsidTr="00F62B30">
        <w:trPr>
          <w:trHeight w:val="366"/>
        </w:trPr>
        <w:tc>
          <w:tcPr>
            <w:tcW w:w="4500" w:type="dxa"/>
          </w:tcPr>
          <w:p w:rsidR="00003DF9" w:rsidRPr="000A4BD6" w:rsidRDefault="00003DF9" w:rsidP="00F62B30">
            <w:pPr>
              <w:ind w:right="792"/>
              <w:rPr>
                <w:rFonts w:ascii="Palatino" w:hAnsi="Palatino"/>
                <w:sz w:val="24"/>
                <w:szCs w:val="24"/>
              </w:rPr>
            </w:pPr>
            <w:r w:rsidRPr="000A4BD6">
              <w:rPr>
                <w:rFonts w:ascii="Palatino" w:hAnsi="Palatino"/>
                <w:sz w:val="24"/>
                <w:szCs w:val="24"/>
              </w:rPr>
              <w:t>LIANE M. RANDOLPH</w:t>
            </w:r>
          </w:p>
        </w:tc>
      </w:tr>
      <w:tr w:rsidR="00003DF9" w:rsidRPr="000A4BD6" w:rsidTr="00F62B30">
        <w:trPr>
          <w:trHeight w:val="366"/>
        </w:trPr>
        <w:tc>
          <w:tcPr>
            <w:tcW w:w="4500" w:type="dxa"/>
          </w:tcPr>
          <w:p w:rsidR="00003DF9" w:rsidRPr="000A4BD6" w:rsidRDefault="00003DF9" w:rsidP="00F62B30">
            <w:pPr>
              <w:ind w:left="1242" w:right="792"/>
              <w:rPr>
                <w:rFonts w:ascii="Palatino" w:hAnsi="Palatino"/>
                <w:sz w:val="24"/>
                <w:szCs w:val="24"/>
              </w:rPr>
            </w:pPr>
            <w:r w:rsidRPr="000A4BD6">
              <w:rPr>
                <w:rFonts w:ascii="Palatino" w:hAnsi="Palatino"/>
                <w:sz w:val="24"/>
                <w:szCs w:val="24"/>
              </w:rPr>
              <w:t>Commissioners</w:t>
            </w:r>
          </w:p>
        </w:tc>
      </w:tr>
    </w:tbl>
    <w:p w:rsidR="00BC6E63" w:rsidRPr="0070228F" w:rsidRDefault="00BC6E63" w:rsidP="00BC6E63">
      <w:pPr>
        <w:keepNext/>
        <w:keepLines/>
        <w:jc w:val="right"/>
        <w:rPr>
          <w:rFonts w:ascii="Palatino Linotype" w:hAnsi="Palatino Linotype"/>
          <w:sz w:val="24"/>
          <w:szCs w:val="24"/>
        </w:rPr>
      </w:pPr>
    </w:p>
    <w:p w:rsidR="00BC6E63" w:rsidRPr="0070228F" w:rsidRDefault="00BC6E63" w:rsidP="00BC6E63">
      <w:pPr>
        <w:keepNext/>
        <w:keepLines/>
        <w:jc w:val="right"/>
        <w:rPr>
          <w:rFonts w:ascii="Palatino Linotype" w:hAnsi="Palatino Linotype"/>
          <w:sz w:val="24"/>
          <w:szCs w:val="24"/>
        </w:rPr>
      </w:pPr>
    </w:p>
    <w:p w:rsidR="00BC6E63" w:rsidRDefault="00BC6E63" w:rsidP="00BC6E63">
      <w:pPr>
        <w:rPr>
          <w:rFonts w:ascii="Palatino Linotype" w:hAnsi="Palatino Linotype"/>
          <w:sz w:val="24"/>
          <w:szCs w:val="24"/>
        </w:rPr>
      </w:pPr>
      <w:r w:rsidRPr="0070228F">
        <w:rPr>
          <w:rFonts w:ascii="Palatino Linotype" w:hAnsi="Palatino Linotype"/>
          <w:sz w:val="24"/>
          <w:szCs w:val="24"/>
        </w:rPr>
        <w:br w:type="page"/>
      </w:r>
    </w:p>
    <w:p w:rsidR="00BC6E63" w:rsidRDefault="00BC6E63" w:rsidP="00BC6E63">
      <w:pPr>
        <w:rPr>
          <w:rFonts w:ascii="Palatino Linotype" w:hAnsi="Palatino Linotype"/>
          <w:sz w:val="24"/>
          <w:szCs w:val="24"/>
        </w:rPr>
        <w:sectPr w:rsidR="00BC6E63" w:rsidSect="00AC79EA">
          <w:headerReference w:type="even" r:id="rId9"/>
          <w:headerReference w:type="default" r:id="rId10"/>
          <w:footerReference w:type="even" r:id="rId11"/>
          <w:footerReference w:type="default" r:id="rId12"/>
          <w:headerReference w:type="first" r:id="rId13"/>
          <w:footerReference w:type="first" r:id="rId14"/>
          <w:pgSz w:w="12240" w:h="15840" w:code="1"/>
          <w:pgMar w:top="1440" w:right="1440" w:bottom="1440" w:left="1440" w:header="720" w:footer="475" w:gutter="0"/>
          <w:pgNumType w:start="1"/>
          <w:cols w:space="720"/>
          <w:titlePg/>
          <w:docGrid w:linePitch="272"/>
        </w:sectPr>
      </w:pPr>
    </w:p>
    <w:p w:rsidR="00BC6E63" w:rsidRDefault="00BC6E63" w:rsidP="00BC6E63">
      <w:pPr>
        <w:rPr>
          <w:rFonts w:ascii="Palatino Linotype" w:hAnsi="Palatino Linotype"/>
          <w:sz w:val="24"/>
          <w:szCs w:val="24"/>
        </w:rPr>
      </w:pPr>
    </w:p>
    <w:p w:rsidR="00BC6E63" w:rsidRDefault="00BC6E63" w:rsidP="00BC6E63">
      <w:pPr>
        <w:rPr>
          <w:rFonts w:ascii="Palatino Linotype" w:hAnsi="Palatino Linotype"/>
          <w:sz w:val="24"/>
          <w:szCs w:val="24"/>
        </w:rPr>
      </w:pPr>
    </w:p>
    <w:p w:rsidR="00BC6E63" w:rsidRDefault="00BC6E63" w:rsidP="00BC6E63">
      <w:pPr>
        <w:rPr>
          <w:rFonts w:ascii="Palatino Linotype" w:hAnsi="Palatino Linotype"/>
          <w:sz w:val="24"/>
          <w:szCs w:val="24"/>
        </w:rPr>
      </w:pPr>
    </w:p>
    <w:p w:rsidR="00BC6E63" w:rsidRDefault="00BC6E63" w:rsidP="00BC6E63">
      <w:pPr>
        <w:rPr>
          <w:rFonts w:ascii="Palatino Linotype" w:hAnsi="Palatino Linotype"/>
          <w:sz w:val="24"/>
          <w:szCs w:val="24"/>
        </w:rPr>
      </w:pPr>
    </w:p>
    <w:p w:rsidR="00BC6E63" w:rsidRDefault="00BC6E63" w:rsidP="00BC6E63">
      <w:pPr>
        <w:rPr>
          <w:rFonts w:ascii="Palatino Linotype" w:hAnsi="Palatino Linotype"/>
          <w:sz w:val="24"/>
          <w:szCs w:val="24"/>
        </w:rPr>
      </w:pPr>
    </w:p>
    <w:p w:rsidR="00BC6E63" w:rsidRDefault="00BC6E63" w:rsidP="00BC6E63">
      <w:pPr>
        <w:rPr>
          <w:rFonts w:ascii="Palatino Linotype" w:hAnsi="Palatino Linotype"/>
          <w:sz w:val="24"/>
          <w:szCs w:val="24"/>
        </w:rPr>
      </w:pPr>
    </w:p>
    <w:p w:rsidR="00BC6E63" w:rsidRDefault="00BC6E63" w:rsidP="00BC6E63">
      <w:pPr>
        <w:rPr>
          <w:rFonts w:ascii="Palatino Linotype" w:hAnsi="Palatino Linotype"/>
          <w:sz w:val="24"/>
          <w:szCs w:val="24"/>
        </w:rPr>
      </w:pPr>
    </w:p>
    <w:p w:rsidR="00BC6E63" w:rsidRDefault="00BC6E63" w:rsidP="00BC6E63">
      <w:pPr>
        <w:rPr>
          <w:rFonts w:ascii="Palatino Linotype" w:hAnsi="Palatino Linotype"/>
          <w:sz w:val="24"/>
          <w:szCs w:val="24"/>
        </w:rPr>
      </w:pPr>
    </w:p>
    <w:p w:rsidR="00BC6E63" w:rsidRDefault="00BC6E63" w:rsidP="00BC6E63">
      <w:pPr>
        <w:rPr>
          <w:rFonts w:ascii="Palatino Linotype" w:hAnsi="Palatino Linotype"/>
          <w:sz w:val="24"/>
          <w:szCs w:val="24"/>
        </w:rPr>
      </w:pPr>
    </w:p>
    <w:p w:rsidR="00BC6E63" w:rsidRDefault="00BC6E63" w:rsidP="00BC6E63">
      <w:pPr>
        <w:rPr>
          <w:rFonts w:ascii="Palatino Linotype" w:hAnsi="Palatino Linotype"/>
          <w:sz w:val="24"/>
          <w:szCs w:val="24"/>
        </w:rPr>
      </w:pPr>
    </w:p>
    <w:p w:rsidR="00BC6E63" w:rsidRDefault="00BC6E63" w:rsidP="00BC6E63">
      <w:pPr>
        <w:rPr>
          <w:rFonts w:ascii="Palatino Linotype" w:hAnsi="Palatino Linotype"/>
          <w:sz w:val="24"/>
          <w:szCs w:val="24"/>
        </w:rPr>
      </w:pPr>
    </w:p>
    <w:p w:rsidR="00BC6E63" w:rsidRDefault="00BC6E63" w:rsidP="00BC6E63">
      <w:pPr>
        <w:rPr>
          <w:rFonts w:ascii="Palatino Linotype" w:hAnsi="Palatino Linotype"/>
          <w:sz w:val="24"/>
          <w:szCs w:val="24"/>
        </w:rPr>
      </w:pPr>
    </w:p>
    <w:p w:rsidR="00BC6E63" w:rsidRDefault="00BC6E63" w:rsidP="00BC6E63">
      <w:pPr>
        <w:rPr>
          <w:rFonts w:ascii="Palatino Linotype" w:hAnsi="Palatino Linotype"/>
          <w:sz w:val="24"/>
          <w:szCs w:val="24"/>
        </w:rPr>
      </w:pPr>
    </w:p>
    <w:p w:rsidR="00BC6E63" w:rsidRDefault="00BC6E63" w:rsidP="00BC6E63">
      <w:pPr>
        <w:jc w:val="center"/>
        <w:rPr>
          <w:rFonts w:ascii="Palatino Linotype" w:hAnsi="Palatino Linotype"/>
          <w:sz w:val="24"/>
          <w:szCs w:val="24"/>
        </w:rPr>
      </w:pPr>
      <w:r w:rsidRPr="00C46211">
        <w:rPr>
          <w:rFonts w:ascii="Palatino Linotype" w:hAnsi="Palatino Linotype"/>
          <w:sz w:val="28"/>
          <w:szCs w:val="28"/>
        </w:rPr>
        <w:t>APPENDIX</w:t>
      </w:r>
    </w:p>
    <w:p w:rsidR="00BC6E63" w:rsidRDefault="00BC6E63" w:rsidP="00BC6E63">
      <w:pPr>
        <w:rPr>
          <w:rFonts w:ascii="Palatino Linotype" w:hAnsi="Palatino Linotype"/>
          <w:sz w:val="24"/>
          <w:szCs w:val="24"/>
        </w:rPr>
      </w:pPr>
      <w:r>
        <w:rPr>
          <w:rFonts w:ascii="Palatino Linotype" w:hAnsi="Palatino Linotype"/>
          <w:sz w:val="24"/>
          <w:szCs w:val="24"/>
        </w:rPr>
        <w:br w:type="page"/>
      </w:r>
    </w:p>
    <w:p w:rsidR="00BC6E63" w:rsidRDefault="00BC6E63" w:rsidP="00BC6E63">
      <w:pPr>
        <w:keepNext/>
        <w:keepLines/>
        <w:jc w:val="center"/>
        <w:rPr>
          <w:rFonts w:ascii="Palatino Linotype" w:hAnsi="Palatino Linotype"/>
          <w:b/>
          <w:sz w:val="24"/>
          <w:szCs w:val="24"/>
        </w:rPr>
        <w:sectPr w:rsidR="00BC6E63" w:rsidSect="003A6443">
          <w:headerReference w:type="first" r:id="rId15"/>
          <w:footerReference w:type="first" r:id="rId16"/>
          <w:type w:val="continuous"/>
          <w:pgSz w:w="12240" w:h="15840" w:code="1"/>
          <w:pgMar w:top="1440" w:right="1440" w:bottom="1440" w:left="1440" w:header="720" w:footer="475" w:gutter="0"/>
          <w:pgNumType w:start="1"/>
          <w:cols w:space="720"/>
          <w:titlePg/>
          <w:docGrid w:linePitch="272"/>
        </w:sectPr>
      </w:pPr>
    </w:p>
    <w:p w:rsidR="00BC6E63" w:rsidRPr="0070228F" w:rsidRDefault="00BC6E63" w:rsidP="00BC6E63">
      <w:pPr>
        <w:keepNext/>
        <w:keepLines/>
        <w:jc w:val="center"/>
        <w:rPr>
          <w:rFonts w:ascii="Palatino Linotype" w:hAnsi="Palatino Linotype"/>
          <w:b/>
          <w:sz w:val="24"/>
          <w:szCs w:val="24"/>
        </w:rPr>
      </w:pPr>
      <w:r w:rsidRPr="0070228F">
        <w:rPr>
          <w:rFonts w:ascii="Palatino Linotype" w:hAnsi="Palatino Linotype"/>
          <w:b/>
          <w:sz w:val="24"/>
          <w:szCs w:val="24"/>
        </w:rPr>
        <w:t>APPENDIX A</w:t>
      </w:r>
    </w:p>
    <w:p w:rsidR="00BC6E63" w:rsidRPr="0070228F" w:rsidRDefault="00BC6E63" w:rsidP="00BC6E63">
      <w:pPr>
        <w:keepNext/>
        <w:keepLines/>
        <w:jc w:val="center"/>
        <w:rPr>
          <w:rFonts w:ascii="Palatino Linotype" w:hAnsi="Palatino Linotype"/>
          <w:b/>
          <w:sz w:val="24"/>
          <w:szCs w:val="24"/>
        </w:rPr>
      </w:pPr>
      <w:r w:rsidRPr="0070228F">
        <w:rPr>
          <w:rFonts w:ascii="Palatino Linotype" w:hAnsi="Palatino Linotype"/>
          <w:b/>
          <w:sz w:val="24"/>
          <w:szCs w:val="24"/>
        </w:rPr>
        <w:t>Resolution T-</w:t>
      </w:r>
      <w:r>
        <w:rPr>
          <w:rFonts w:ascii="Palatino Linotype" w:hAnsi="Palatino Linotype"/>
          <w:b/>
          <w:sz w:val="24"/>
          <w:szCs w:val="24"/>
        </w:rPr>
        <w:t>17484</w:t>
      </w:r>
    </w:p>
    <w:p w:rsidR="00BC6E63" w:rsidRPr="0070228F" w:rsidRDefault="00BC6E63" w:rsidP="00BC6E63">
      <w:pPr>
        <w:keepNext/>
        <w:keepLines/>
        <w:jc w:val="center"/>
        <w:rPr>
          <w:rFonts w:ascii="Palatino Linotype" w:hAnsi="Palatino Linotype"/>
          <w:b/>
          <w:sz w:val="24"/>
          <w:szCs w:val="24"/>
        </w:rPr>
      </w:pPr>
      <w:r>
        <w:rPr>
          <w:rFonts w:ascii="Palatino Linotype" w:hAnsi="Palatino Linotype"/>
          <w:b/>
          <w:sz w:val="24"/>
          <w:szCs w:val="24"/>
        </w:rPr>
        <w:t>Citizens (Frontier)</w:t>
      </w:r>
      <w:r w:rsidRPr="0070228F">
        <w:rPr>
          <w:rFonts w:ascii="Palatino Linotype" w:hAnsi="Palatino Linotype"/>
          <w:b/>
          <w:sz w:val="24"/>
          <w:szCs w:val="24"/>
        </w:rPr>
        <w:t xml:space="preserve">, </w:t>
      </w:r>
      <w:r>
        <w:rPr>
          <w:rFonts w:ascii="Palatino Linotype" w:hAnsi="Palatino Linotype"/>
          <w:b/>
          <w:sz w:val="24"/>
          <w:szCs w:val="24"/>
        </w:rPr>
        <w:t>Petrolia</w:t>
      </w:r>
      <w:r w:rsidRPr="0070228F">
        <w:rPr>
          <w:rFonts w:ascii="Palatino Linotype" w:hAnsi="Palatino Linotype"/>
          <w:b/>
          <w:sz w:val="24"/>
          <w:szCs w:val="24"/>
        </w:rPr>
        <w:t xml:space="preserve"> Project</w:t>
      </w:r>
    </w:p>
    <w:p w:rsidR="00BC6E63" w:rsidRDefault="00BC6E63" w:rsidP="00BC6E63">
      <w:pPr>
        <w:keepNext/>
        <w:keepLines/>
        <w:jc w:val="center"/>
        <w:rPr>
          <w:rFonts w:ascii="Palatino Linotype" w:hAnsi="Palatino Linotype"/>
          <w:b/>
          <w:sz w:val="24"/>
          <w:szCs w:val="24"/>
        </w:rPr>
      </w:pPr>
      <w:r>
        <w:rPr>
          <w:rFonts w:ascii="Palatino Linotype" w:hAnsi="Palatino Linotype"/>
          <w:b/>
          <w:sz w:val="24"/>
          <w:szCs w:val="24"/>
        </w:rPr>
        <w:t xml:space="preserve">CASF Applicant </w:t>
      </w:r>
      <w:r w:rsidRPr="0070228F">
        <w:rPr>
          <w:rFonts w:ascii="Palatino Linotype" w:hAnsi="Palatino Linotype"/>
          <w:b/>
          <w:sz w:val="24"/>
          <w:szCs w:val="24"/>
        </w:rPr>
        <w:t>Key Information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7038"/>
      </w:tblGrid>
      <w:tr w:rsidR="00BC6E63" w:rsidRPr="0070228F" w:rsidTr="00F20834">
        <w:tc>
          <w:tcPr>
            <w:tcW w:w="2538" w:type="dxa"/>
            <w:shd w:val="clear" w:color="auto" w:fill="BFBFBF"/>
            <w:vAlign w:val="center"/>
          </w:tcPr>
          <w:p w:rsidR="00BC6E63" w:rsidRPr="0070228F" w:rsidRDefault="00BC6E63" w:rsidP="00F20834">
            <w:pPr>
              <w:keepNext/>
              <w:keepLines/>
              <w:spacing w:before="120" w:after="120"/>
              <w:jc w:val="center"/>
              <w:rPr>
                <w:rFonts w:ascii="Palatino Linotype" w:hAnsi="Palatino Linotype"/>
                <w:i/>
                <w:sz w:val="24"/>
                <w:szCs w:val="24"/>
              </w:rPr>
            </w:pPr>
            <w:r w:rsidRPr="0070228F">
              <w:rPr>
                <w:rFonts w:ascii="Palatino Linotype" w:hAnsi="Palatino Linotype"/>
                <w:i/>
                <w:sz w:val="24"/>
                <w:szCs w:val="24"/>
              </w:rPr>
              <w:t>Project Name</w:t>
            </w:r>
          </w:p>
        </w:tc>
        <w:tc>
          <w:tcPr>
            <w:tcW w:w="7038" w:type="dxa"/>
            <w:shd w:val="clear" w:color="auto" w:fill="BFBFBF"/>
            <w:vAlign w:val="center"/>
          </w:tcPr>
          <w:p w:rsidR="00BC6E63" w:rsidRPr="0070228F" w:rsidRDefault="00BC6E63" w:rsidP="00F20834">
            <w:pPr>
              <w:keepNext/>
              <w:keepLines/>
              <w:spacing w:before="120" w:after="120"/>
              <w:jc w:val="center"/>
              <w:rPr>
                <w:rFonts w:ascii="Palatino Linotype" w:hAnsi="Palatino Linotype"/>
                <w:b/>
                <w:sz w:val="24"/>
                <w:szCs w:val="24"/>
              </w:rPr>
            </w:pPr>
            <w:r>
              <w:rPr>
                <w:rFonts w:ascii="Palatino Linotype" w:hAnsi="Palatino Linotype"/>
                <w:b/>
                <w:sz w:val="24"/>
                <w:szCs w:val="24"/>
              </w:rPr>
              <w:t>Citizens (Frontier) Petrolia</w:t>
            </w:r>
            <w:r w:rsidRPr="0070228F">
              <w:rPr>
                <w:rFonts w:ascii="Palatino Linotype" w:hAnsi="Palatino Linotype"/>
                <w:b/>
                <w:sz w:val="24"/>
                <w:szCs w:val="24"/>
              </w:rPr>
              <w:t xml:space="preserve"> Project</w:t>
            </w:r>
          </w:p>
        </w:tc>
      </w:tr>
      <w:tr w:rsidR="00BC6E63" w:rsidRPr="0070228F" w:rsidTr="00F20834">
        <w:tc>
          <w:tcPr>
            <w:tcW w:w="2538" w:type="dxa"/>
            <w:shd w:val="clear" w:color="auto" w:fill="auto"/>
            <w:vAlign w:val="center"/>
          </w:tcPr>
          <w:p w:rsidR="00BC6E63" w:rsidRPr="0075019F" w:rsidRDefault="00BC6E63" w:rsidP="00F20834">
            <w:pPr>
              <w:keepNext/>
              <w:keepLines/>
              <w:spacing w:before="120" w:after="120"/>
              <w:jc w:val="center"/>
              <w:rPr>
                <w:rFonts w:ascii="Palatino Linotype" w:hAnsi="Palatino Linotype"/>
                <w:i/>
              </w:rPr>
            </w:pPr>
            <w:r w:rsidRPr="0075019F">
              <w:rPr>
                <w:rFonts w:ascii="Palatino Linotype" w:hAnsi="Palatino Linotype"/>
                <w:i/>
              </w:rPr>
              <w:t>Project Plan</w:t>
            </w:r>
          </w:p>
        </w:tc>
        <w:tc>
          <w:tcPr>
            <w:tcW w:w="7038" w:type="dxa"/>
            <w:shd w:val="clear" w:color="auto" w:fill="auto"/>
            <w:vAlign w:val="center"/>
          </w:tcPr>
          <w:p w:rsidR="00BC6E63" w:rsidRPr="0075019F" w:rsidRDefault="00BC6E63" w:rsidP="00F20834">
            <w:pPr>
              <w:keepNext/>
              <w:keepLines/>
              <w:rPr>
                <w:rFonts w:ascii="Palatino Linotype" w:hAnsi="Palatino Linotype"/>
              </w:rPr>
            </w:pPr>
            <w:r w:rsidRPr="009A1514">
              <w:rPr>
                <w:rFonts w:ascii="Palatino Linotype" w:hAnsi="Palatino Linotype"/>
              </w:rPr>
              <w:t xml:space="preserve">The project proposal is to upgrade the equipment on existing towers.  Hence, it is a </w:t>
            </w:r>
            <w:r>
              <w:rPr>
                <w:rFonts w:ascii="Palatino Linotype" w:hAnsi="Palatino Linotype"/>
              </w:rPr>
              <w:t>middle mile</w:t>
            </w:r>
            <w:r w:rsidRPr="009A1514">
              <w:rPr>
                <w:rFonts w:ascii="Palatino Linotype" w:hAnsi="Palatino Linotype"/>
              </w:rPr>
              <w:t xml:space="preserve"> project</w:t>
            </w:r>
            <w:r>
              <w:rPr>
                <w:rFonts w:ascii="Palatino Linotype" w:hAnsi="Palatino Linotype"/>
              </w:rPr>
              <w:t>.  The</w:t>
            </w:r>
            <w:r w:rsidRPr="009A1514">
              <w:rPr>
                <w:rFonts w:ascii="Palatino Linotype" w:hAnsi="Palatino Linotype"/>
              </w:rPr>
              <w:t xml:space="preserve"> existing </w:t>
            </w:r>
            <w:r>
              <w:rPr>
                <w:rFonts w:ascii="Palatino Linotype" w:hAnsi="Palatino Linotype"/>
              </w:rPr>
              <w:t xml:space="preserve">microwave </w:t>
            </w:r>
            <w:r w:rsidRPr="009A1514">
              <w:rPr>
                <w:rFonts w:ascii="Palatino Linotype" w:hAnsi="Palatino Linotype"/>
              </w:rPr>
              <w:t>radios will be replaced with Cambium Ethernet radios capable of 499 Mbps.  New dishes and radios will be installed on the existing towers.  New solar panels will be installed on</w:t>
            </w:r>
            <w:r>
              <w:rPr>
                <w:rFonts w:ascii="Palatino Linotype" w:hAnsi="Palatino Linotype"/>
              </w:rPr>
              <w:t xml:space="preserve"> a remote tower </w:t>
            </w:r>
            <w:r w:rsidRPr="009A1514">
              <w:rPr>
                <w:rFonts w:ascii="Palatino Linotype" w:hAnsi="Palatino Linotype"/>
              </w:rPr>
              <w:t xml:space="preserve">to power the radio.   Ethernet aggregation switches will be installed in the Ferndale and Petrolia CO locations.  The new Ethernet uplink will allow for the use of ADSL2+ bonding and VDSL technologies.    </w:t>
            </w:r>
          </w:p>
        </w:tc>
      </w:tr>
      <w:tr w:rsidR="00BC6E63" w:rsidRPr="0070228F" w:rsidTr="00F20834">
        <w:tc>
          <w:tcPr>
            <w:tcW w:w="2538" w:type="dxa"/>
            <w:shd w:val="clear" w:color="auto" w:fill="auto"/>
            <w:vAlign w:val="center"/>
          </w:tcPr>
          <w:p w:rsidR="00BC6E63" w:rsidRPr="0075019F" w:rsidRDefault="00BC6E63" w:rsidP="00F20834">
            <w:pPr>
              <w:keepNext/>
              <w:keepLines/>
              <w:jc w:val="center"/>
              <w:rPr>
                <w:rFonts w:ascii="Palatino Linotype" w:hAnsi="Palatino Linotype"/>
                <w:i/>
              </w:rPr>
            </w:pPr>
            <w:r w:rsidRPr="0075019F">
              <w:rPr>
                <w:rFonts w:ascii="Palatino Linotype" w:hAnsi="Palatino Linotype"/>
                <w:i/>
              </w:rPr>
              <w:t>Project Size (in square miles)</w:t>
            </w:r>
          </w:p>
        </w:tc>
        <w:tc>
          <w:tcPr>
            <w:tcW w:w="7038" w:type="dxa"/>
            <w:shd w:val="clear" w:color="auto" w:fill="auto"/>
            <w:vAlign w:val="center"/>
          </w:tcPr>
          <w:p w:rsidR="00BC6E63" w:rsidRPr="0075019F" w:rsidRDefault="00BC6E63" w:rsidP="00F20834">
            <w:pPr>
              <w:keepNext/>
              <w:keepLines/>
              <w:spacing w:before="120" w:after="120"/>
              <w:jc w:val="center"/>
              <w:rPr>
                <w:rFonts w:ascii="Palatino Linotype" w:hAnsi="Palatino Linotype"/>
              </w:rPr>
            </w:pPr>
            <w:r>
              <w:rPr>
                <w:rFonts w:ascii="Palatino Linotype" w:hAnsi="Palatino Linotype"/>
              </w:rPr>
              <w:t>12.7</w:t>
            </w:r>
          </w:p>
        </w:tc>
      </w:tr>
      <w:tr w:rsidR="00BC6E63" w:rsidRPr="0070228F" w:rsidTr="00F20834">
        <w:tc>
          <w:tcPr>
            <w:tcW w:w="2538" w:type="dxa"/>
            <w:shd w:val="clear" w:color="auto" w:fill="auto"/>
            <w:vAlign w:val="center"/>
          </w:tcPr>
          <w:p w:rsidR="00BC6E63" w:rsidRPr="0075019F" w:rsidRDefault="00BC6E63" w:rsidP="00F20834">
            <w:pPr>
              <w:keepNext/>
              <w:keepLines/>
              <w:jc w:val="center"/>
              <w:rPr>
                <w:rFonts w:ascii="Palatino Linotype" w:hAnsi="Palatino Linotype"/>
                <w:i/>
              </w:rPr>
            </w:pPr>
            <w:r w:rsidRPr="0075019F">
              <w:rPr>
                <w:rFonts w:ascii="Palatino Linotype" w:hAnsi="Palatino Linotype"/>
                <w:i/>
              </w:rPr>
              <w:t>Download/Upload speed</w:t>
            </w:r>
          </w:p>
        </w:tc>
        <w:tc>
          <w:tcPr>
            <w:tcW w:w="7038" w:type="dxa"/>
            <w:shd w:val="clear" w:color="auto" w:fill="auto"/>
            <w:vAlign w:val="center"/>
          </w:tcPr>
          <w:p w:rsidR="00BC6E63" w:rsidRPr="0075019F" w:rsidRDefault="00BC6E63" w:rsidP="00F20834">
            <w:pPr>
              <w:keepNext/>
              <w:keepLines/>
              <w:spacing w:before="120" w:after="120"/>
              <w:jc w:val="center"/>
              <w:rPr>
                <w:rFonts w:ascii="Palatino Linotype" w:hAnsi="Palatino Linotype"/>
              </w:rPr>
            </w:pPr>
            <w:r>
              <w:rPr>
                <w:rFonts w:ascii="Palatino Linotype" w:hAnsi="Palatino Linotype"/>
              </w:rPr>
              <w:t>Maximum 25 M</w:t>
            </w:r>
            <w:r w:rsidRPr="0075019F">
              <w:rPr>
                <w:rFonts w:ascii="Palatino Linotype" w:hAnsi="Palatino Linotype"/>
              </w:rPr>
              <w:t xml:space="preserve">bps / </w:t>
            </w:r>
            <w:r>
              <w:rPr>
                <w:rFonts w:ascii="Palatino Linotype" w:hAnsi="Palatino Linotype"/>
              </w:rPr>
              <w:t>1.5 Mbps</w:t>
            </w:r>
          </w:p>
        </w:tc>
      </w:tr>
      <w:tr w:rsidR="00BC6E63" w:rsidRPr="0070228F" w:rsidTr="00F20834">
        <w:tc>
          <w:tcPr>
            <w:tcW w:w="2538" w:type="dxa"/>
            <w:shd w:val="clear" w:color="auto" w:fill="auto"/>
            <w:vAlign w:val="center"/>
          </w:tcPr>
          <w:p w:rsidR="00BC6E63" w:rsidRPr="0075019F" w:rsidRDefault="00BC6E63" w:rsidP="00F20834">
            <w:pPr>
              <w:keepNext/>
              <w:keepLines/>
              <w:spacing w:before="120" w:after="120"/>
              <w:jc w:val="center"/>
              <w:rPr>
                <w:rFonts w:ascii="Palatino Linotype" w:hAnsi="Palatino Linotype"/>
                <w:i/>
              </w:rPr>
            </w:pPr>
            <w:r w:rsidRPr="0075019F">
              <w:rPr>
                <w:rFonts w:ascii="Palatino Linotype" w:hAnsi="Palatino Linotype"/>
                <w:i/>
              </w:rPr>
              <w:t>Location</w:t>
            </w:r>
          </w:p>
        </w:tc>
        <w:tc>
          <w:tcPr>
            <w:tcW w:w="7038" w:type="dxa"/>
            <w:shd w:val="clear" w:color="auto" w:fill="auto"/>
            <w:vAlign w:val="center"/>
          </w:tcPr>
          <w:p w:rsidR="00BC6E63" w:rsidRPr="0075019F" w:rsidRDefault="00BC6E63" w:rsidP="00F20834">
            <w:pPr>
              <w:keepNext/>
              <w:keepLines/>
              <w:spacing w:before="120" w:after="120"/>
              <w:jc w:val="center"/>
              <w:rPr>
                <w:rFonts w:ascii="Palatino Linotype" w:hAnsi="Palatino Linotype"/>
              </w:rPr>
            </w:pPr>
            <w:r>
              <w:rPr>
                <w:rFonts w:ascii="Palatino Linotype" w:hAnsi="Palatino Linotype"/>
              </w:rPr>
              <w:t>Humboldt</w:t>
            </w:r>
            <w:r w:rsidRPr="0075019F">
              <w:rPr>
                <w:rFonts w:ascii="Palatino Linotype" w:hAnsi="Palatino Linotype"/>
              </w:rPr>
              <w:t xml:space="preserve"> County</w:t>
            </w:r>
          </w:p>
        </w:tc>
      </w:tr>
      <w:tr w:rsidR="00BC6E63" w:rsidRPr="0070228F" w:rsidTr="00F20834">
        <w:tc>
          <w:tcPr>
            <w:tcW w:w="2538" w:type="dxa"/>
            <w:shd w:val="clear" w:color="auto" w:fill="auto"/>
            <w:vAlign w:val="center"/>
          </w:tcPr>
          <w:p w:rsidR="00BC6E63" w:rsidRPr="0075019F" w:rsidRDefault="00BC6E63" w:rsidP="00F20834">
            <w:pPr>
              <w:keepNext/>
              <w:keepLines/>
              <w:jc w:val="center"/>
              <w:rPr>
                <w:rFonts w:ascii="Palatino Linotype" w:hAnsi="Palatino Linotype"/>
                <w:i/>
              </w:rPr>
            </w:pPr>
            <w:r w:rsidRPr="0075019F">
              <w:rPr>
                <w:rFonts w:ascii="Palatino Linotype" w:hAnsi="Palatino Linotype"/>
                <w:i/>
              </w:rPr>
              <w:t>Community Names</w:t>
            </w:r>
          </w:p>
        </w:tc>
        <w:tc>
          <w:tcPr>
            <w:tcW w:w="7038" w:type="dxa"/>
            <w:shd w:val="clear" w:color="auto" w:fill="auto"/>
            <w:vAlign w:val="center"/>
          </w:tcPr>
          <w:p w:rsidR="00BC6E63" w:rsidRPr="0075019F" w:rsidRDefault="00BC6E63" w:rsidP="00F20834">
            <w:pPr>
              <w:keepNext/>
              <w:keepLines/>
              <w:spacing w:before="120" w:after="120"/>
              <w:jc w:val="center"/>
              <w:rPr>
                <w:rFonts w:ascii="Palatino Linotype" w:hAnsi="Palatino Linotype"/>
              </w:rPr>
            </w:pPr>
            <w:r>
              <w:rPr>
                <w:rFonts w:ascii="Palatino Linotype" w:hAnsi="Palatino Linotype" w:cs="Palatino Linotype"/>
                <w:color w:val="000000"/>
              </w:rPr>
              <w:t>Petrolia</w:t>
            </w:r>
          </w:p>
        </w:tc>
      </w:tr>
      <w:tr w:rsidR="00BC6E63" w:rsidRPr="0070228F" w:rsidTr="00F20834">
        <w:tc>
          <w:tcPr>
            <w:tcW w:w="2538" w:type="dxa"/>
            <w:shd w:val="clear" w:color="auto" w:fill="auto"/>
            <w:vAlign w:val="center"/>
          </w:tcPr>
          <w:p w:rsidR="00BC6E63" w:rsidRPr="0075019F" w:rsidRDefault="00BC6E63" w:rsidP="00F20834">
            <w:pPr>
              <w:keepNext/>
              <w:keepLines/>
              <w:jc w:val="center"/>
              <w:rPr>
                <w:rFonts w:ascii="Palatino Linotype" w:hAnsi="Palatino Linotype"/>
                <w:i/>
              </w:rPr>
            </w:pPr>
            <w:r w:rsidRPr="0075019F">
              <w:rPr>
                <w:rFonts w:ascii="Palatino Linotype" w:hAnsi="Palatino Linotype"/>
                <w:i/>
              </w:rPr>
              <w:t>Census Block Groups</w:t>
            </w:r>
          </w:p>
        </w:tc>
        <w:tc>
          <w:tcPr>
            <w:tcW w:w="7038" w:type="dxa"/>
            <w:shd w:val="clear" w:color="auto" w:fill="auto"/>
            <w:vAlign w:val="center"/>
          </w:tcPr>
          <w:p w:rsidR="00BC6E63" w:rsidRPr="0075019F" w:rsidRDefault="00BC6E63" w:rsidP="00F20834">
            <w:pPr>
              <w:jc w:val="center"/>
              <w:rPr>
                <w:rFonts w:ascii="Palatino Linotype" w:hAnsi="Palatino Linotype"/>
              </w:rPr>
            </w:pPr>
            <w:r w:rsidRPr="009A1514">
              <w:rPr>
                <w:rFonts w:ascii="Palatino Linotype" w:hAnsi="Palatino Linotype"/>
                <w:color w:val="000000"/>
              </w:rPr>
              <w:t>060230112003</w:t>
            </w:r>
          </w:p>
        </w:tc>
      </w:tr>
      <w:tr w:rsidR="00BC6E63" w:rsidRPr="0070228F" w:rsidTr="00F20834">
        <w:tc>
          <w:tcPr>
            <w:tcW w:w="2538" w:type="dxa"/>
            <w:shd w:val="clear" w:color="auto" w:fill="auto"/>
            <w:vAlign w:val="center"/>
          </w:tcPr>
          <w:p w:rsidR="00BC6E63" w:rsidRPr="0075019F" w:rsidRDefault="00BC6E63" w:rsidP="00F20834">
            <w:pPr>
              <w:keepNext/>
              <w:keepLines/>
              <w:jc w:val="center"/>
              <w:rPr>
                <w:rFonts w:ascii="Palatino Linotype" w:hAnsi="Palatino Linotype"/>
                <w:i/>
              </w:rPr>
            </w:pPr>
            <w:r w:rsidRPr="0075019F">
              <w:rPr>
                <w:rFonts w:ascii="Palatino Linotype" w:hAnsi="Palatino Linotype"/>
                <w:i/>
              </w:rPr>
              <w:t xml:space="preserve"> Median Household Income</w:t>
            </w:r>
            <w:r>
              <w:rPr>
                <w:rFonts w:ascii="Palatino Linotype" w:hAnsi="Palatino Linotype"/>
                <w:i/>
              </w:rPr>
              <w:t xml:space="preserve"> (by Census Block Group)</w:t>
            </w:r>
          </w:p>
        </w:tc>
        <w:tc>
          <w:tcPr>
            <w:tcW w:w="7038" w:type="dxa"/>
            <w:shd w:val="clear" w:color="auto" w:fill="auto"/>
            <w:vAlign w:val="center"/>
          </w:tcPr>
          <w:p w:rsidR="00BC6E63" w:rsidRPr="0075019F" w:rsidRDefault="00BC6E63" w:rsidP="00F20834">
            <w:pPr>
              <w:keepNext/>
              <w:keepLines/>
              <w:spacing w:before="120" w:after="120"/>
              <w:jc w:val="center"/>
              <w:rPr>
                <w:rFonts w:ascii="Palatino Linotype" w:hAnsi="Palatino Linotype"/>
              </w:rPr>
            </w:pPr>
            <w:r w:rsidRPr="0075019F">
              <w:rPr>
                <w:rFonts w:ascii="Palatino Linotype" w:hAnsi="Palatino Linotype"/>
              </w:rPr>
              <w:t>$</w:t>
            </w:r>
            <w:r>
              <w:t xml:space="preserve"> </w:t>
            </w:r>
            <w:r w:rsidRPr="009A1514">
              <w:rPr>
                <w:rFonts w:ascii="Palatino Linotype" w:hAnsi="Palatino Linotype"/>
              </w:rPr>
              <w:t>47</w:t>
            </w:r>
            <w:r>
              <w:rPr>
                <w:rFonts w:ascii="Palatino Linotype" w:hAnsi="Palatino Linotype"/>
              </w:rPr>
              <w:t>,</w:t>
            </w:r>
            <w:r w:rsidRPr="009A1514">
              <w:rPr>
                <w:rFonts w:ascii="Palatino Linotype" w:hAnsi="Palatino Linotype"/>
              </w:rPr>
              <w:t>500</w:t>
            </w:r>
          </w:p>
        </w:tc>
      </w:tr>
      <w:tr w:rsidR="00BC6E63" w:rsidRPr="0070228F" w:rsidTr="00F20834">
        <w:tc>
          <w:tcPr>
            <w:tcW w:w="2538" w:type="dxa"/>
            <w:shd w:val="clear" w:color="auto" w:fill="auto"/>
            <w:vAlign w:val="center"/>
          </w:tcPr>
          <w:p w:rsidR="00BC6E63" w:rsidRPr="0075019F" w:rsidRDefault="00BC6E63" w:rsidP="00F20834">
            <w:pPr>
              <w:keepNext/>
              <w:keepLines/>
              <w:jc w:val="center"/>
              <w:rPr>
                <w:rFonts w:ascii="Palatino Linotype" w:hAnsi="Palatino Linotype"/>
                <w:i/>
              </w:rPr>
            </w:pPr>
            <w:r w:rsidRPr="0075019F">
              <w:rPr>
                <w:rFonts w:ascii="Palatino Linotype" w:hAnsi="Palatino Linotype"/>
                <w:i/>
              </w:rPr>
              <w:t>Zip Codes</w:t>
            </w:r>
          </w:p>
        </w:tc>
        <w:tc>
          <w:tcPr>
            <w:tcW w:w="7038" w:type="dxa"/>
            <w:shd w:val="clear" w:color="auto" w:fill="auto"/>
            <w:vAlign w:val="center"/>
          </w:tcPr>
          <w:p w:rsidR="00BC6E63" w:rsidRPr="0075019F" w:rsidRDefault="00BC6E63" w:rsidP="00F20834">
            <w:pPr>
              <w:keepNext/>
              <w:keepLines/>
              <w:jc w:val="center"/>
              <w:rPr>
                <w:rFonts w:ascii="Palatino Linotype" w:hAnsi="Palatino Linotype"/>
              </w:rPr>
            </w:pPr>
            <w:r w:rsidRPr="0075019F">
              <w:rPr>
                <w:rFonts w:ascii="Palatino Linotype" w:hAnsi="Palatino Linotype"/>
              </w:rPr>
              <w:t>9</w:t>
            </w:r>
            <w:r>
              <w:rPr>
                <w:rFonts w:ascii="Palatino Linotype" w:hAnsi="Palatino Linotype"/>
              </w:rPr>
              <w:t>5558</w:t>
            </w:r>
          </w:p>
        </w:tc>
      </w:tr>
      <w:tr w:rsidR="00BC6E63" w:rsidRPr="0070228F" w:rsidTr="00F20834">
        <w:tc>
          <w:tcPr>
            <w:tcW w:w="2538" w:type="dxa"/>
            <w:shd w:val="clear" w:color="auto" w:fill="auto"/>
            <w:vAlign w:val="center"/>
          </w:tcPr>
          <w:p w:rsidR="00BC6E63" w:rsidRPr="0075019F" w:rsidRDefault="00BC6E63" w:rsidP="00F20834">
            <w:pPr>
              <w:keepNext/>
              <w:keepLines/>
              <w:jc w:val="center"/>
              <w:rPr>
                <w:rFonts w:ascii="Palatino Linotype" w:hAnsi="Palatino Linotype"/>
                <w:i/>
              </w:rPr>
            </w:pPr>
            <w:r w:rsidRPr="0075019F">
              <w:rPr>
                <w:rFonts w:ascii="Palatino Linotype" w:hAnsi="Palatino Linotype"/>
                <w:i/>
              </w:rPr>
              <w:t>Estimated potential subscriber size</w:t>
            </w:r>
          </w:p>
        </w:tc>
        <w:tc>
          <w:tcPr>
            <w:tcW w:w="7038" w:type="dxa"/>
            <w:shd w:val="clear" w:color="auto" w:fill="auto"/>
            <w:vAlign w:val="center"/>
          </w:tcPr>
          <w:p w:rsidR="00BC6E63" w:rsidRPr="0075019F" w:rsidRDefault="00BC6E63" w:rsidP="00F20834">
            <w:pPr>
              <w:keepNext/>
              <w:keepLines/>
              <w:spacing w:before="120" w:after="120"/>
              <w:jc w:val="center"/>
              <w:rPr>
                <w:rFonts w:ascii="Palatino Linotype" w:hAnsi="Palatino Linotype"/>
              </w:rPr>
            </w:pPr>
            <w:r>
              <w:rPr>
                <w:rFonts w:ascii="Palatino Linotype" w:hAnsi="Palatino Linotype"/>
              </w:rPr>
              <w:t>138</w:t>
            </w:r>
            <w:r w:rsidRPr="0075019F">
              <w:rPr>
                <w:rFonts w:ascii="Palatino Linotype" w:hAnsi="Palatino Linotype"/>
              </w:rPr>
              <w:t xml:space="preserve"> households / </w:t>
            </w:r>
            <w:r>
              <w:rPr>
                <w:rFonts w:ascii="Palatino Linotype" w:hAnsi="Palatino Linotype"/>
              </w:rPr>
              <w:t>277</w:t>
            </w:r>
            <w:r w:rsidRPr="0075019F">
              <w:rPr>
                <w:rFonts w:ascii="Palatino Linotype" w:hAnsi="Palatino Linotype"/>
              </w:rPr>
              <w:t xml:space="preserve"> population</w:t>
            </w:r>
          </w:p>
        </w:tc>
      </w:tr>
      <w:tr w:rsidR="00BC6E63" w:rsidRPr="0070228F" w:rsidTr="00F20834">
        <w:tc>
          <w:tcPr>
            <w:tcW w:w="2538" w:type="dxa"/>
            <w:shd w:val="clear" w:color="auto" w:fill="auto"/>
            <w:vAlign w:val="center"/>
          </w:tcPr>
          <w:p w:rsidR="00BC6E63" w:rsidRPr="0075019F" w:rsidRDefault="00BC6E63" w:rsidP="00F20834">
            <w:pPr>
              <w:keepNext/>
              <w:keepLines/>
              <w:jc w:val="center"/>
              <w:rPr>
                <w:rFonts w:ascii="Palatino Linotype" w:hAnsi="Palatino Linotype"/>
                <w:i/>
              </w:rPr>
            </w:pPr>
            <w:r w:rsidRPr="0075019F">
              <w:rPr>
                <w:rFonts w:ascii="Palatino Linotype" w:hAnsi="Palatino Linotype"/>
                <w:i/>
              </w:rPr>
              <w:t>Applicant expectations</w:t>
            </w:r>
          </w:p>
        </w:tc>
        <w:tc>
          <w:tcPr>
            <w:tcW w:w="7038" w:type="dxa"/>
            <w:shd w:val="clear" w:color="auto" w:fill="auto"/>
            <w:vAlign w:val="center"/>
          </w:tcPr>
          <w:p w:rsidR="00BC6E63" w:rsidRPr="0075019F" w:rsidRDefault="00BC6E63" w:rsidP="00F20834">
            <w:pPr>
              <w:keepNext/>
              <w:keepLines/>
              <w:spacing w:before="120" w:after="120"/>
              <w:jc w:val="center"/>
              <w:rPr>
                <w:rFonts w:ascii="Palatino Linotype" w:hAnsi="Palatino Linotype"/>
              </w:rPr>
            </w:pPr>
            <w:r>
              <w:rPr>
                <w:rFonts w:ascii="Palatino Linotype" w:hAnsi="Palatino Linotype"/>
              </w:rPr>
              <w:t>104</w:t>
            </w:r>
            <w:r w:rsidRPr="0075019F">
              <w:rPr>
                <w:rFonts w:ascii="Palatino Linotype" w:hAnsi="Palatino Linotype"/>
              </w:rPr>
              <w:t xml:space="preserve"> </w:t>
            </w:r>
            <w:r>
              <w:rPr>
                <w:rFonts w:ascii="Palatino Linotype" w:hAnsi="Palatino Linotype"/>
              </w:rPr>
              <w:t>households</w:t>
            </w:r>
          </w:p>
        </w:tc>
      </w:tr>
      <w:tr w:rsidR="00BC6E63" w:rsidRPr="0070228F" w:rsidTr="00F20834">
        <w:tc>
          <w:tcPr>
            <w:tcW w:w="2538" w:type="dxa"/>
            <w:shd w:val="clear" w:color="auto" w:fill="auto"/>
            <w:vAlign w:val="center"/>
          </w:tcPr>
          <w:p w:rsidR="00BC6E63" w:rsidRPr="0075019F" w:rsidRDefault="00BC6E63" w:rsidP="00F20834">
            <w:pPr>
              <w:keepNext/>
              <w:keepLines/>
              <w:jc w:val="center"/>
              <w:rPr>
                <w:rFonts w:ascii="Palatino Linotype" w:hAnsi="Palatino Linotype"/>
                <w:i/>
              </w:rPr>
            </w:pPr>
            <w:r w:rsidRPr="0075019F">
              <w:rPr>
                <w:rFonts w:ascii="Palatino Linotype" w:hAnsi="Palatino Linotype"/>
                <w:i/>
              </w:rPr>
              <w:t>Pricing Plan</w:t>
            </w:r>
            <w:r>
              <w:rPr>
                <w:rFonts w:ascii="Palatino Linotype" w:hAnsi="Palatino Linotype"/>
                <w:i/>
              </w:rPr>
              <w:t xml:space="preserve"> (Monthly)</w:t>
            </w:r>
          </w:p>
        </w:tc>
        <w:tc>
          <w:tcPr>
            <w:tcW w:w="7038" w:type="dxa"/>
            <w:shd w:val="clear" w:color="auto" w:fill="auto"/>
            <w:vAlign w:val="center"/>
          </w:tcPr>
          <w:p w:rsidR="00BC6E63" w:rsidRPr="005812AD" w:rsidRDefault="00BC6E63" w:rsidP="00F20834">
            <w:pPr>
              <w:keepNext/>
              <w:keepLines/>
              <w:ind w:left="342"/>
              <w:jc w:val="center"/>
              <w:rPr>
                <w:rFonts w:ascii="Palatino Linotype" w:hAnsi="Palatino Linotype"/>
                <w:sz w:val="16"/>
                <w:szCs w:val="16"/>
              </w:rPr>
            </w:pPr>
            <w:r w:rsidRPr="007C7905">
              <w:rPr>
                <w:rFonts w:ascii="Palatino Linotype" w:hAnsi="Palatino Linotype"/>
              </w:rPr>
              <w:t xml:space="preserve">For DSL w/Access Line:  6/1.5 - </w:t>
            </w:r>
            <w:r>
              <w:rPr>
                <w:rFonts w:ascii="Palatino Linotype" w:hAnsi="Palatino Linotype"/>
              </w:rPr>
              <w:t>$</w:t>
            </w:r>
            <w:r w:rsidRPr="007C7905">
              <w:rPr>
                <w:rFonts w:ascii="Palatino Linotype" w:hAnsi="Palatino Linotype"/>
              </w:rPr>
              <w:t xml:space="preserve">19.99; 12/1.5 - </w:t>
            </w:r>
            <w:r>
              <w:rPr>
                <w:rFonts w:ascii="Palatino Linotype" w:hAnsi="Palatino Linotype"/>
              </w:rPr>
              <w:t>$</w:t>
            </w:r>
            <w:r w:rsidRPr="007C7905">
              <w:rPr>
                <w:rFonts w:ascii="Palatino Linotype" w:hAnsi="Palatino Linotype"/>
              </w:rPr>
              <w:t>54.99; 2</w:t>
            </w:r>
            <w:r>
              <w:rPr>
                <w:rFonts w:ascii="Palatino Linotype" w:hAnsi="Palatino Linotype"/>
              </w:rPr>
              <w:t>5</w:t>
            </w:r>
            <w:r w:rsidRPr="007C7905">
              <w:rPr>
                <w:rFonts w:ascii="Palatino Linotype" w:hAnsi="Palatino Linotype"/>
              </w:rPr>
              <w:t xml:space="preserve">/1.5 - </w:t>
            </w:r>
            <w:r>
              <w:rPr>
                <w:rFonts w:ascii="Palatino Linotype" w:hAnsi="Palatino Linotype"/>
              </w:rPr>
              <w:t>$</w:t>
            </w:r>
            <w:r w:rsidRPr="007C7905">
              <w:rPr>
                <w:rFonts w:ascii="Palatino Linotype" w:hAnsi="Palatino Linotype"/>
              </w:rPr>
              <w:t>64.99</w:t>
            </w:r>
            <w:r w:rsidRPr="005812AD">
              <w:rPr>
                <w:rFonts w:ascii="Palatino Linotype" w:hAnsi="Palatino Linotype"/>
                <w:noProof/>
                <w:sz w:val="16"/>
                <w:szCs w:val="16"/>
              </w:rPr>
              <w:drawing>
                <wp:inline distT="0" distB="0" distL="0" distR="0" wp14:anchorId="74970F4A" wp14:editId="62328B5B">
                  <wp:extent cx="1800225" cy="1333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jpg"/>
                          <pic:cNvPicPr/>
                        </pic:nvPicPr>
                        <pic:blipFill>
                          <a:blip r:embed="rId17">
                            <a:extLst>
                              <a:ext uri="{28A0092B-C50C-407E-A947-70E740481C1C}">
                                <a14:useLocalDpi xmlns:a14="http://schemas.microsoft.com/office/drawing/2010/main" val="0"/>
                              </a:ext>
                            </a:extLst>
                          </a:blip>
                          <a:stretch>
                            <a:fillRect/>
                          </a:stretch>
                        </pic:blipFill>
                        <pic:spPr>
                          <a:xfrm>
                            <a:off x="0" y="0"/>
                            <a:ext cx="1800225" cy="133350"/>
                          </a:xfrm>
                          <a:prstGeom prst="rect">
                            <a:avLst/>
                          </a:prstGeom>
                        </pic:spPr>
                      </pic:pic>
                    </a:graphicData>
                  </a:graphic>
                </wp:inline>
              </w:drawing>
            </w:r>
          </w:p>
          <w:p w:rsidR="00BC6E63" w:rsidRDefault="00BC6E63" w:rsidP="00F20834">
            <w:pPr>
              <w:keepNext/>
              <w:keepLines/>
              <w:ind w:left="342"/>
              <w:rPr>
                <w:rFonts w:ascii="Palatino Linotype" w:hAnsi="Palatino Linotype"/>
              </w:rPr>
            </w:pPr>
            <w:r w:rsidRPr="007C7905">
              <w:rPr>
                <w:rFonts w:ascii="Palatino Linotype" w:hAnsi="Palatino Linotype"/>
              </w:rPr>
              <w:t xml:space="preserve">For Stand-alone DSL: 6/1.5 - </w:t>
            </w:r>
            <w:r>
              <w:rPr>
                <w:rFonts w:ascii="Palatino Linotype" w:hAnsi="Palatino Linotype"/>
              </w:rPr>
              <w:t>$</w:t>
            </w:r>
            <w:r w:rsidRPr="007C7905">
              <w:rPr>
                <w:rFonts w:ascii="Palatino Linotype" w:hAnsi="Palatino Linotype"/>
              </w:rPr>
              <w:t xml:space="preserve">34.99; 12/1.5 - </w:t>
            </w:r>
            <w:r>
              <w:rPr>
                <w:rFonts w:ascii="Palatino Linotype" w:hAnsi="Palatino Linotype"/>
              </w:rPr>
              <w:t>$</w:t>
            </w:r>
            <w:r w:rsidRPr="007C7905">
              <w:rPr>
                <w:rFonts w:ascii="Palatino Linotype" w:hAnsi="Palatino Linotype"/>
              </w:rPr>
              <w:t>59.99; 2</w:t>
            </w:r>
            <w:r>
              <w:rPr>
                <w:rFonts w:ascii="Palatino Linotype" w:hAnsi="Palatino Linotype"/>
              </w:rPr>
              <w:t>5</w:t>
            </w:r>
            <w:r w:rsidRPr="007C7905">
              <w:rPr>
                <w:rFonts w:ascii="Palatino Linotype" w:hAnsi="Palatino Linotype"/>
              </w:rPr>
              <w:t xml:space="preserve">/1.5 - </w:t>
            </w:r>
            <w:r>
              <w:rPr>
                <w:rFonts w:ascii="Palatino Linotype" w:hAnsi="Palatino Linotype"/>
              </w:rPr>
              <w:t>$</w:t>
            </w:r>
            <w:r w:rsidRPr="007C7905">
              <w:rPr>
                <w:rFonts w:ascii="Palatino Linotype" w:hAnsi="Palatino Linotype"/>
              </w:rPr>
              <w:t>69.99</w:t>
            </w:r>
          </w:p>
          <w:p w:rsidR="00BC6E63" w:rsidRPr="0075019F" w:rsidRDefault="00BC6E63" w:rsidP="00F20834">
            <w:pPr>
              <w:keepNext/>
              <w:keepLines/>
              <w:ind w:left="1440"/>
              <w:rPr>
                <w:rFonts w:ascii="Palatino Linotype" w:hAnsi="Palatino Linotype"/>
              </w:rPr>
            </w:pPr>
            <w:r>
              <w:rPr>
                <w:rFonts w:ascii="Palatino Linotype" w:hAnsi="Palatino Linotype"/>
              </w:rPr>
              <w:t xml:space="preserve">           </w:t>
            </w:r>
            <w:r w:rsidRPr="0075019F">
              <w:rPr>
                <w:rFonts w:ascii="Palatino Linotype" w:hAnsi="Palatino Linotype"/>
              </w:rPr>
              <w:t xml:space="preserve"> </w:t>
            </w:r>
            <w:r>
              <w:rPr>
                <w:rFonts w:ascii="Palatino Linotype" w:hAnsi="Palatino Linotype"/>
              </w:rPr>
              <w:t xml:space="preserve">            </w:t>
            </w:r>
            <w:r w:rsidRPr="00475176">
              <w:rPr>
                <w:rFonts w:ascii="Palatino Linotype" w:hAnsi="Palatino Linotype"/>
              </w:rPr>
              <w:t>(no installation fee)</w:t>
            </w:r>
          </w:p>
        </w:tc>
      </w:tr>
      <w:tr w:rsidR="00BC6E63" w:rsidRPr="0070228F" w:rsidTr="00F20834">
        <w:tc>
          <w:tcPr>
            <w:tcW w:w="2538" w:type="dxa"/>
            <w:shd w:val="clear" w:color="auto" w:fill="auto"/>
            <w:vAlign w:val="center"/>
          </w:tcPr>
          <w:p w:rsidR="00BC6E63" w:rsidRPr="0075019F" w:rsidRDefault="00BC6E63" w:rsidP="00F20834">
            <w:pPr>
              <w:keepNext/>
              <w:keepLines/>
              <w:jc w:val="center"/>
              <w:rPr>
                <w:rFonts w:ascii="Palatino Linotype" w:hAnsi="Palatino Linotype"/>
                <w:i/>
              </w:rPr>
            </w:pPr>
            <w:r w:rsidRPr="0075019F">
              <w:rPr>
                <w:rFonts w:ascii="Palatino Linotype" w:hAnsi="Palatino Linotype"/>
                <w:i/>
              </w:rPr>
              <w:t>Deployment Schedule</w:t>
            </w:r>
            <w:r w:rsidRPr="0075019F">
              <w:rPr>
                <w:rFonts w:ascii="Palatino Linotype" w:hAnsi="Palatino Linotype"/>
                <w:i/>
              </w:rPr>
              <w:br/>
              <w:t>(from Commission approval date)</w:t>
            </w:r>
          </w:p>
        </w:tc>
        <w:tc>
          <w:tcPr>
            <w:tcW w:w="7038" w:type="dxa"/>
            <w:shd w:val="clear" w:color="auto" w:fill="auto"/>
            <w:vAlign w:val="center"/>
          </w:tcPr>
          <w:p w:rsidR="00BC6E63" w:rsidRPr="0075019F" w:rsidRDefault="00BC6E63" w:rsidP="00F20834">
            <w:pPr>
              <w:keepNext/>
              <w:keepLines/>
              <w:spacing w:before="120" w:after="120"/>
              <w:jc w:val="center"/>
              <w:rPr>
                <w:rFonts w:ascii="Palatino Linotype" w:hAnsi="Palatino Linotype"/>
              </w:rPr>
            </w:pPr>
            <w:r>
              <w:rPr>
                <w:rFonts w:ascii="Palatino Linotype" w:hAnsi="Palatino Linotype"/>
              </w:rPr>
              <w:t>7</w:t>
            </w:r>
            <w:r w:rsidRPr="0075019F">
              <w:rPr>
                <w:rFonts w:ascii="Palatino Linotype" w:hAnsi="Palatino Linotype"/>
              </w:rPr>
              <w:t xml:space="preserve"> months</w:t>
            </w:r>
          </w:p>
        </w:tc>
      </w:tr>
      <w:tr w:rsidR="00BC6E63" w:rsidRPr="0070228F" w:rsidTr="00F20834">
        <w:tc>
          <w:tcPr>
            <w:tcW w:w="2538" w:type="dxa"/>
            <w:shd w:val="clear" w:color="auto" w:fill="auto"/>
            <w:vAlign w:val="center"/>
          </w:tcPr>
          <w:p w:rsidR="00BC6E63" w:rsidRPr="0075019F" w:rsidRDefault="00BC6E63" w:rsidP="00F20834">
            <w:pPr>
              <w:keepNext/>
              <w:keepLines/>
              <w:jc w:val="center"/>
              <w:rPr>
                <w:rFonts w:ascii="Palatino Linotype" w:hAnsi="Palatino Linotype"/>
                <w:i/>
              </w:rPr>
            </w:pPr>
            <w:r w:rsidRPr="0075019F">
              <w:rPr>
                <w:rFonts w:ascii="Palatino Linotype" w:hAnsi="Palatino Linotype"/>
                <w:i/>
              </w:rPr>
              <w:t>Proposed Project Budget (Total)</w:t>
            </w:r>
          </w:p>
        </w:tc>
        <w:tc>
          <w:tcPr>
            <w:tcW w:w="7038" w:type="dxa"/>
            <w:shd w:val="clear" w:color="auto" w:fill="auto"/>
            <w:vAlign w:val="center"/>
          </w:tcPr>
          <w:p w:rsidR="00BC6E63" w:rsidRPr="0075019F" w:rsidRDefault="00BC6E63" w:rsidP="00F20834">
            <w:pPr>
              <w:keepNext/>
              <w:keepLines/>
              <w:spacing w:before="120" w:after="120"/>
              <w:jc w:val="center"/>
              <w:rPr>
                <w:rFonts w:ascii="Palatino Linotype" w:hAnsi="Palatino Linotype"/>
              </w:rPr>
            </w:pPr>
            <w:r w:rsidRPr="0075019F">
              <w:rPr>
                <w:rFonts w:ascii="Palatino Linotype" w:hAnsi="Palatino Linotype"/>
              </w:rPr>
              <w:t>$</w:t>
            </w:r>
            <w:r w:rsidRPr="0075019F">
              <w:t xml:space="preserve"> </w:t>
            </w:r>
            <w:r w:rsidRPr="007C7905">
              <w:rPr>
                <w:rFonts w:ascii="Palatino Linotype" w:hAnsi="Palatino Linotype"/>
              </w:rPr>
              <w:t>337</w:t>
            </w:r>
            <w:r>
              <w:rPr>
                <w:rFonts w:ascii="Palatino Linotype" w:hAnsi="Palatino Linotype"/>
              </w:rPr>
              <w:t>,</w:t>
            </w:r>
            <w:r w:rsidRPr="007C7905">
              <w:rPr>
                <w:rFonts w:ascii="Palatino Linotype" w:hAnsi="Palatino Linotype"/>
              </w:rPr>
              <w:t>59</w:t>
            </w:r>
            <w:r>
              <w:rPr>
                <w:rFonts w:ascii="Palatino Linotype" w:hAnsi="Palatino Linotype"/>
              </w:rPr>
              <w:t>6</w:t>
            </w:r>
          </w:p>
        </w:tc>
      </w:tr>
      <w:tr w:rsidR="00BC6E63" w:rsidRPr="0070228F" w:rsidTr="00F20834">
        <w:tc>
          <w:tcPr>
            <w:tcW w:w="2538" w:type="dxa"/>
            <w:shd w:val="clear" w:color="auto" w:fill="auto"/>
            <w:vAlign w:val="center"/>
          </w:tcPr>
          <w:p w:rsidR="00BC6E63" w:rsidRPr="0075019F" w:rsidRDefault="00BC6E63" w:rsidP="00F20834">
            <w:pPr>
              <w:keepNext/>
              <w:keepLines/>
              <w:jc w:val="center"/>
              <w:rPr>
                <w:rFonts w:ascii="Palatino Linotype" w:hAnsi="Palatino Linotype"/>
                <w:i/>
              </w:rPr>
            </w:pPr>
            <w:r w:rsidRPr="0075019F">
              <w:rPr>
                <w:rFonts w:ascii="Palatino Linotype" w:hAnsi="Palatino Linotype"/>
                <w:i/>
              </w:rPr>
              <w:t>Amount of CASF funds requested (60%)</w:t>
            </w:r>
          </w:p>
        </w:tc>
        <w:tc>
          <w:tcPr>
            <w:tcW w:w="7038" w:type="dxa"/>
            <w:shd w:val="clear" w:color="auto" w:fill="auto"/>
            <w:vAlign w:val="center"/>
          </w:tcPr>
          <w:p w:rsidR="00BC6E63" w:rsidRPr="0075019F" w:rsidRDefault="00BC6E63" w:rsidP="00F20834">
            <w:pPr>
              <w:keepNext/>
              <w:keepLines/>
              <w:spacing w:before="120" w:after="120"/>
              <w:jc w:val="center"/>
              <w:rPr>
                <w:rFonts w:ascii="Palatino Linotype" w:hAnsi="Palatino Linotype"/>
              </w:rPr>
            </w:pPr>
            <w:r w:rsidRPr="0075019F">
              <w:rPr>
                <w:rFonts w:ascii="Palatino Linotype" w:hAnsi="Palatino Linotype"/>
              </w:rPr>
              <w:t>$</w:t>
            </w:r>
            <w:r>
              <w:t xml:space="preserve"> </w:t>
            </w:r>
            <w:r w:rsidRPr="007C7905">
              <w:rPr>
                <w:rFonts w:ascii="Palatino Linotype" w:hAnsi="Palatino Linotype"/>
              </w:rPr>
              <w:t>202</w:t>
            </w:r>
            <w:r>
              <w:rPr>
                <w:rFonts w:ascii="Palatino Linotype" w:hAnsi="Palatino Linotype"/>
              </w:rPr>
              <w:t>,</w:t>
            </w:r>
            <w:r w:rsidRPr="007C7905">
              <w:rPr>
                <w:rFonts w:ascii="Palatino Linotype" w:hAnsi="Palatino Linotype"/>
              </w:rPr>
              <w:t>557</w:t>
            </w:r>
          </w:p>
        </w:tc>
      </w:tr>
      <w:tr w:rsidR="00BC6E63" w:rsidRPr="0070228F" w:rsidTr="00F20834">
        <w:tc>
          <w:tcPr>
            <w:tcW w:w="2538" w:type="dxa"/>
            <w:shd w:val="clear" w:color="auto" w:fill="auto"/>
            <w:vAlign w:val="center"/>
          </w:tcPr>
          <w:p w:rsidR="00BC6E63" w:rsidRPr="0075019F" w:rsidRDefault="00BC6E63" w:rsidP="00F20834">
            <w:pPr>
              <w:keepNext/>
              <w:keepLines/>
              <w:jc w:val="center"/>
              <w:rPr>
                <w:rFonts w:ascii="Palatino Linotype" w:hAnsi="Palatino Linotype"/>
                <w:i/>
              </w:rPr>
            </w:pPr>
            <w:r w:rsidRPr="0075019F">
              <w:rPr>
                <w:rFonts w:ascii="Palatino Linotype" w:hAnsi="Palatino Linotype"/>
                <w:i/>
              </w:rPr>
              <w:t>Applicant funded (40%)</w:t>
            </w:r>
          </w:p>
        </w:tc>
        <w:tc>
          <w:tcPr>
            <w:tcW w:w="7038" w:type="dxa"/>
            <w:shd w:val="clear" w:color="auto" w:fill="auto"/>
            <w:vAlign w:val="center"/>
          </w:tcPr>
          <w:p w:rsidR="00BC6E63" w:rsidRPr="0075019F" w:rsidRDefault="00BC6E63" w:rsidP="00F20834">
            <w:pPr>
              <w:keepNext/>
              <w:keepLines/>
              <w:spacing w:before="120" w:after="120"/>
              <w:jc w:val="center"/>
              <w:rPr>
                <w:rFonts w:ascii="Palatino Linotype" w:hAnsi="Palatino Linotype"/>
              </w:rPr>
            </w:pPr>
            <w:r w:rsidRPr="0075019F">
              <w:rPr>
                <w:rFonts w:ascii="Palatino Linotype" w:hAnsi="Palatino Linotype"/>
              </w:rPr>
              <w:t>$</w:t>
            </w:r>
            <w:r>
              <w:t xml:space="preserve"> </w:t>
            </w:r>
            <w:r w:rsidRPr="007C7905">
              <w:rPr>
                <w:rFonts w:ascii="Palatino Linotype" w:hAnsi="Palatino Linotype"/>
              </w:rPr>
              <w:t>135</w:t>
            </w:r>
            <w:r>
              <w:rPr>
                <w:rFonts w:ascii="Palatino Linotype" w:hAnsi="Palatino Linotype"/>
              </w:rPr>
              <w:t>,</w:t>
            </w:r>
            <w:r w:rsidRPr="007C7905">
              <w:rPr>
                <w:rFonts w:ascii="Palatino Linotype" w:hAnsi="Palatino Linotype"/>
              </w:rPr>
              <w:t>038</w:t>
            </w:r>
          </w:p>
        </w:tc>
      </w:tr>
    </w:tbl>
    <w:p w:rsidR="00BC6E63" w:rsidRPr="0070228F" w:rsidRDefault="00BC6E63" w:rsidP="00BC6E63">
      <w:pPr>
        <w:keepNext/>
        <w:keepLines/>
        <w:rPr>
          <w:rFonts w:ascii="Palatino Linotype" w:hAnsi="Palatino Linotype"/>
          <w:sz w:val="24"/>
          <w:szCs w:val="24"/>
        </w:rPr>
      </w:pPr>
    </w:p>
    <w:p w:rsidR="00BC6E63" w:rsidRDefault="00BC6E63" w:rsidP="00BC6E63">
      <w:pPr>
        <w:keepNext/>
        <w:keepLines/>
        <w:jc w:val="center"/>
        <w:rPr>
          <w:rFonts w:ascii="Palatino Linotype" w:hAnsi="Palatino Linotype"/>
          <w:sz w:val="24"/>
          <w:szCs w:val="24"/>
        </w:rPr>
        <w:sectPr w:rsidR="00BC6E63" w:rsidSect="003A6443">
          <w:footerReference w:type="first" r:id="rId18"/>
          <w:type w:val="continuous"/>
          <w:pgSz w:w="12240" w:h="15840" w:code="1"/>
          <w:pgMar w:top="1440" w:right="1440" w:bottom="1440" w:left="1440" w:header="720" w:footer="475" w:gutter="0"/>
          <w:pgNumType w:start="1"/>
          <w:cols w:space="720"/>
          <w:titlePg/>
          <w:docGrid w:linePitch="272"/>
        </w:sectPr>
      </w:pPr>
      <w:r w:rsidRPr="0070228F">
        <w:rPr>
          <w:rFonts w:ascii="Palatino Linotype" w:hAnsi="Palatino Linotype"/>
          <w:sz w:val="24"/>
          <w:szCs w:val="24"/>
        </w:rPr>
        <w:br w:type="page"/>
      </w:r>
    </w:p>
    <w:p w:rsidR="00BC6E63" w:rsidRPr="0070228F" w:rsidRDefault="00BC6E63" w:rsidP="00BC6E63">
      <w:pPr>
        <w:keepNext/>
        <w:keepLines/>
        <w:jc w:val="center"/>
        <w:rPr>
          <w:rFonts w:ascii="Palatino Linotype" w:hAnsi="Palatino Linotype"/>
          <w:b/>
          <w:sz w:val="24"/>
          <w:szCs w:val="24"/>
        </w:rPr>
      </w:pPr>
      <w:r w:rsidRPr="0070228F">
        <w:rPr>
          <w:rFonts w:ascii="Palatino Linotype" w:hAnsi="Palatino Linotype"/>
          <w:b/>
          <w:sz w:val="24"/>
          <w:szCs w:val="24"/>
        </w:rPr>
        <w:t>Appendix B</w:t>
      </w:r>
    </w:p>
    <w:p w:rsidR="00BC6E63" w:rsidRPr="0070228F" w:rsidRDefault="00BC6E63" w:rsidP="00BC6E63">
      <w:pPr>
        <w:keepNext/>
        <w:keepLines/>
        <w:jc w:val="center"/>
        <w:rPr>
          <w:rFonts w:ascii="Palatino Linotype" w:hAnsi="Palatino Linotype"/>
          <w:b/>
          <w:sz w:val="24"/>
          <w:szCs w:val="24"/>
        </w:rPr>
      </w:pPr>
      <w:r w:rsidRPr="0070228F">
        <w:rPr>
          <w:rFonts w:ascii="Palatino Linotype" w:hAnsi="Palatino Linotype"/>
          <w:b/>
          <w:sz w:val="24"/>
          <w:szCs w:val="24"/>
        </w:rPr>
        <w:t>Resolution T-</w:t>
      </w:r>
      <w:r>
        <w:rPr>
          <w:rFonts w:ascii="Palatino Linotype" w:hAnsi="Palatino Linotype"/>
          <w:b/>
          <w:sz w:val="24"/>
          <w:szCs w:val="24"/>
        </w:rPr>
        <w:t>17484</w:t>
      </w:r>
      <w:r w:rsidRPr="0070228F">
        <w:rPr>
          <w:rFonts w:ascii="Palatino Linotype" w:hAnsi="Palatino Linotype"/>
          <w:b/>
          <w:sz w:val="24"/>
          <w:szCs w:val="24"/>
        </w:rPr>
        <w:t xml:space="preserve"> </w:t>
      </w:r>
      <w:r>
        <w:rPr>
          <w:rFonts w:ascii="Palatino Linotype" w:hAnsi="Palatino Linotype"/>
          <w:b/>
          <w:sz w:val="24"/>
          <w:szCs w:val="24"/>
        </w:rPr>
        <w:t>Citizens (Frontier) Petrolia Project</w:t>
      </w:r>
    </w:p>
    <w:p w:rsidR="00BC6E63" w:rsidRPr="0070228F" w:rsidRDefault="00BC6E63" w:rsidP="00BC6E63">
      <w:pPr>
        <w:keepNext/>
        <w:keepLines/>
        <w:jc w:val="center"/>
        <w:rPr>
          <w:rFonts w:ascii="Palatino Linotype" w:hAnsi="Palatino Linotype"/>
          <w:b/>
          <w:sz w:val="24"/>
          <w:szCs w:val="24"/>
        </w:rPr>
      </w:pPr>
      <w:r w:rsidRPr="0070228F">
        <w:rPr>
          <w:rFonts w:ascii="Palatino Linotype" w:hAnsi="Palatino Linotype"/>
          <w:b/>
          <w:sz w:val="24"/>
          <w:szCs w:val="24"/>
        </w:rPr>
        <w:t>Project location map</w:t>
      </w:r>
    </w:p>
    <w:p w:rsidR="00BC6E63" w:rsidRPr="0070228F" w:rsidRDefault="00BC6E63" w:rsidP="00BC6E63">
      <w:pPr>
        <w:keepNext/>
        <w:keepLines/>
        <w:jc w:val="center"/>
        <w:rPr>
          <w:rFonts w:ascii="Palatino Linotype" w:hAnsi="Palatino Linotype"/>
          <w:b/>
          <w:sz w:val="24"/>
          <w:szCs w:val="24"/>
        </w:rPr>
      </w:pPr>
      <w:r>
        <w:rPr>
          <w:rFonts w:ascii="Palatino Linotype" w:hAnsi="Palatino Linotype"/>
          <w:b/>
          <w:noProof/>
          <w:sz w:val="24"/>
          <w:szCs w:val="24"/>
        </w:rPr>
        <w:drawing>
          <wp:inline distT="0" distB="0" distL="0" distR="0" wp14:anchorId="48191D77" wp14:editId="068C3E4B">
            <wp:extent cx="5703743" cy="7381351"/>
            <wp:effectExtent l="19050" t="19050" r="11430" b="1016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ontier - Petrolia Proposed Project area - 20150527.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00744" cy="7377470"/>
                    </a:xfrm>
                    <a:prstGeom prst="rect">
                      <a:avLst/>
                    </a:prstGeom>
                    <a:ln w="6350" cap="sq">
                      <a:solidFill>
                        <a:srgbClr val="000000"/>
                      </a:solidFill>
                      <a:prstDash val="solid"/>
                      <a:miter lim="800000"/>
                    </a:ln>
                    <a:effectLst>
                      <a:outerShdw sx="1000" sy="1000" algn="tl" rotWithShape="0">
                        <a:srgbClr val="000000"/>
                      </a:outerShdw>
                    </a:effectLst>
                  </pic:spPr>
                </pic:pic>
              </a:graphicData>
            </a:graphic>
          </wp:inline>
        </w:drawing>
      </w:r>
      <w:r w:rsidRPr="0070228F">
        <w:rPr>
          <w:rFonts w:ascii="Palatino Linotype" w:hAnsi="Palatino Linotype"/>
          <w:b/>
          <w:sz w:val="24"/>
          <w:szCs w:val="24"/>
        </w:rPr>
        <w:br w:type="page"/>
      </w:r>
    </w:p>
    <w:p w:rsidR="00BC6E63" w:rsidRDefault="00BC6E63" w:rsidP="00BC6E63">
      <w:pPr>
        <w:keepNext/>
        <w:keepLines/>
        <w:jc w:val="center"/>
        <w:rPr>
          <w:rFonts w:ascii="Palatino Linotype" w:hAnsi="Palatino Linotype"/>
          <w:b/>
          <w:sz w:val="24"/>
          <w:szCs w:val="24"/>
        </w:rPr>
        <w:sectPr w:rsidR="00BC6E63" w:rsidSect="003A6443">
          <w:footerReference w:type="first" r:id="rId20"/>
          <w:type w:val="continuous"/>
          <w:pgSz w:w="12240" w:h="15840" w:code="1"/>
          <w:pgMar w:top="1440" w:right="1440" w:bottom="1440" w:left="1440" w:header="720" w:footer="475" w:gutter="0"/>
          <w:pgNumType w:start="1"/>
          <w:cols w:space="720"/>
          <w:titlePg/>
          <w:docGrid w:linePitch="272"/>
        </w:sectPr>
      </w:pPr>
    </w:p>
    <w:p w:rsidR="00BC6E63" w:rsidRPr="0070228F" w:rsidRDefault="00BC6E63" w:rsidP="00BC6E63">
      <w:pPr>
        <w:keepNext/>
        <w:keepLines/>
        <w:jc w:val="center"/>
        <w:rPr>
          <w:rFonts w:ascii="Palatino Linotype" w:hAnsi="Palatino Linotype"/>
          <w:b/>
          <w:sz w:val="24"/>
          <w:szCs w:val="24"/>
        </w:rPr>
      </w:pPr>
      <w:r w:rsidRPr="0070228F">
        <w:rPr>
          <w:rFonts w:ascii="Palatino Linotype" w:hAnsi="Palatino Linotype"/>
          <w:b/>
          <w:sz w:val="24"/>
          <w:szCs w:val="24"/>
        </w:rPr>
        <w:t>Appendix D</w:t>
      </w:r>
    </w:p>
    <w:p w:rsidR="00BC6E63" w:rsidRPr="0070228F" w:rsidRDefault="00BC6E63" w:rsidP="00BC6E63">
      <w:pPr>
        <w:keepNext/>
        <w:keepLines/>
        <w:jc w:val="center"/>
        <w:rPr>
          <w:rFonts w:ascii="Palatino Linotype" w:hAnsi="Palatino Linotype"/>
          <w:b/>
          <w:sz w:val="24"/>
          <w:szCs w:val="24"/>
        </w:rPr>
      </w:pPr>
      <w:r>
        <w:rPr>
          <w:rFonts w:ascii="Palatino Linotype" w:hAnsi="Palatino Linotype"/>
          <w:b/>
          <w:sz w:val="24"/>
          <w:szCs w:val="24"/>
        </w:rPr>
        <w:t>Resolution T-17484</w:t>
      </w:r>
      <w:r w:rsidRPr="0070228F">
        <w:rPr>
          <w:rFonts w:ascii="Palatino Linotype" w:hAnsi="Palatino Linotype"/>
          <w:b/>
          <w:sz w:val="24"/>
          <w:szCs w:val="24"/>
        </w:rPr>
        <w:t xml:space="preserve"> </w:t>
      </w:r>
      <w:r>
        <w:rPr>
          <w:rFonts w:ascii="Palatino Linotype" w:hAnsi="Palatino Linotype"/>
          <w:b/>
          <w:sz w:val="24"/>
          <w:szCs w:val="24"/>
        </w:rPr>
        <w:t>Citizens (Frontier) Petrolia Project</w:t>
      </w:r>
      <w:r w:rsidRPr="0070228F">
        <w:rPr>
          <w:rFonts w:ascii="Palatino Linotype" w:hAnsi="Palatino Linotype"/>
          <w:b/>
          <w:sz w:val="24"/>
          <w:szCs w:val="24"/>
        </w:rPr>
        <w:t xml:space="preserve"> </w:t>
      </w:r>
    </w:p>
    <w:p w:rsidR="00BC6E63" w:rsidRPr="0070228F" w:rsidRDefault="00BC6E63" w:rsidP="00BC6E63">
      <w:pPr>
        <w:keepNext/>
        <w:keepLines/>
        <w:jc w:val="center"/>
        <w:rPr>
          <w:rFonts w:ascii="Palatino Linotype" w:hAnsi="Palatino Linotype"/>
          <w:b/>
          <w:sz w:val="24"/>
          <w:szCs w:val="24"/>
        </w:rPr>
      </w:pPr>
      <w:r w:rsidRPr="0070228F">
        <w:rPr>
          <w:rFonts w:ascii="Palatino Linotype" w:hAnsi="Palatino Linotype"/>
          <w:b/>
          <w:sz w:val="24"/>
          <w:szCs w:val="24"/>
        </w:rPr>
        <w:t xml:space="preserve">Existing </w:t>
      </w:r>
      <w:r>
        <w:rPr>
          <w:rFonts w:ascii="Palatino Linotype" w:hAnsi="Palatino Linotype"/>
          <w:b/>
          <w:sz w:val="24"/>
          <w:szCs w:val="24"/>
        </w:rPr>
        <w:t xml:space="preserve">wireline </w:t>
      </w:r>
      <w:r w:rsidRPr="0070228F">
        <w:rPr>
          <w:rFonts w:ascii="Palatino Linotype" w:hAnsi="Palatino Linotype"/>
          <w:b/>
          <w:sz w:val="24"/>
          <w:szCs w:val="24"/>
        </w:rPr>
        <w:t>service level</w:t>
      </w:r>
    </w:p>
    <w:p w:rsidR="000A2B5F" w:rsidRPr="00BC6E63" w:rsidRDefault="00BC6E63" w:rsidP="00BC6E63">
      <w:pPr>
        <w:keepNext/>
        <w:keepLines/>
        <w:jc w:val="center"/>
        <w:rPr>
          <w:rFonts w:ascii="Palatino Linotype" w:hAnsi="Palatino Linotype"/>
          <w:sz w:val="24"/>
          <w:szCs w:val="24"/>
        </w:rPr>
      </w:pPr>
      <w:r>
        <w:rPr>
          <w:rFonts w:ascii="Palatino Linotype" w:hAnsi="Palatino Linotype"/>
          <w:noProof/>
          <w:sz w:val="24"/>
          <w:szCs w:val="24"/>
        </w:rPr>
        <w:drawing>
          <wp:inline distT="0" distB="0" distL="0" distR="0" wp14:anchorId="4D3E717A" wp14:editId="6F9431EE">
            <wp:extent cx="5724093" cy="7407686"/>
            <wp:effectExtent l="57150" t="57150" r="10160" b="222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ontier - Petrolia Proposed Project wireline - 20150527.png"/>
                    <pic:cNvPicPr/>
                  </pic:nvPicPr>
                  <pic:blipFill>
                    <a:blip r:embed="rId21">
                      <a:extLst>
                        <a:ext uri="{28A0092B-C50C-407E-A947-70E740481C1C}">
                          <a14:useLocalDpi xmlns:a14="http://schemas.microsoft.com/office/drawing/2010/main" val="0"/>
                        </a:ext>
                      </a:extLst>
                    </a:blip>
                    <a:stretch>
                      <a:fillRect/>
                    </a:stretch>
                  </pic:blipFill>
                  <pic:spPr>
                    <a:xfrm>
                      <a:off x="0" y="0"/>
                      <a:ext cx="5724515" cy="7408232"/>
                    </a:xfrm>
                    <a:prstGeom prst="rect">
                      <a:avLst/>
                    </a:prstGeom>
                    <a:ln w="15875" cap="sq">
                      <a:solidFill>
                        <a:srgbClr val="000000"/>
                      </a:solidFill>
                      <a:prstDash val="solid"/>
                      <a:miter lim="800000"/>
                    </a:ln>
                    <a:effectLst>
                      <a:outerShdw blurRad="50800" dist="38100" dir="2700000" sx="1000" sy="1000" algn="tl" rotWithShape="0">
                        <a:srgbClr val="000000"/>
                      </a:outerShdw>
                    </a:effectLst>
                  </pic:spPr>
                </pic:pic>
              </a:graphicData>
            </a:graphic>
          </wp:inline>
        </w:drawing>
      </w:r>
    </w:p>
    <w:sectPr w:rsidR="000A2B5F" w:rsidRPr="00BC6E63" w:rsidSect="003A6443">
      <w:footerReference w:type="first" r:id="rId22"/>
      <w:type w:val="continuous"/>
      <w:pgSz w:w="12240" w:h="15840" w:code="1"/>
      <w:pgMar w:top="1440" w:right="1440" w:bottom="1440" w:left="1440" w:header="720" w:footer="475" w:gutter="0"/>
      <w:pgNumType w:start="1"/>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17766" w:rsidRDefault="00917766">
      <w:r>
        <w:separator/>
      </w:r>
    </w:p>
  </w:endnote>
  <w:endnote w:type="continuationSeparator" w:id="0">
    <w:p w:rsidR="00917766" w:rsidRDefault="009177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Palatino">
    <w:altName w:val="Book Antiqua"/>
    <w:charset w:val="00"/>
    <w:family w:val="auto"/>
    <w:pitch w:val="variable"/>
    <w:sig w:usb0="A00002FF" w:usb1="7800205A" w:usb2="14600000" w:usb3="00000000" w:csb0="00000193"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6101" w:rsidRDefault="00F8610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493D" w:rsidRDefault="00D0493D" w:rsidP="00592763">
    <w:pPr>
      <w:pStyle w:val="Footer"/>
      <w:jc w:val="center"/>
    </w:pPr>
    <w:r>
      <w:fldChar w:fldCharType="begin"/>
    </w:r>
    <w:r>
      <w:instrText xml:space="preserve"> PAGE   \* MERGEFORMAT </w:instrText>
    </w:r>
    <w:r>
      <w:fldChar w:fldCharType="separate"/>
    </w:r>
    <w:r w:rsidR="00062C8E">
      <w:rPr>
        <w:noProof/>
      </w:rPr>
      <w:t>2</w:t>
    </w:r>
    <w:r>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493D" w:rsidRPr="005127EB" w:rsidRDefault="00F31E90" w:rsidP="005127EB">
    <w:pPr>
      <w:pStyle w:val="Footer"/>
    </w:pPr>
    <w:r>
      <w:rPr>
        <w:rFonts w:ascii="Tahoma" w:hAnsi="Tahoma" w:cs="Tahoma"/>
        <w:sz w:val="17"/>
        <w:szCs w:val="17"/>
      </w:rPr>
      <w:t>153450700</w:t>
    </w:r>
    <w:r w:rsidR="005127EB">
      <w:rPr>
        <w:rFonts w:ascii="Tahoma" w:hAnsi="Tahoma" w:cs="Tahoma"/>
        <w:sz w:val="17"/>
        <w:szCs w:val="17"/>
      </w:rPr>
      <w:t xml:space="preserve"> </w:t>
    </w:r>
    <w:r w:rsidR="00062C8E">
      <w:rPr>
        <w:rFonts w:ascii="Tahoma" w:hAnsi="Tahoma" w:cs="Tahoma"/>
        <w:vanish/>
        <w:sz w:val="17"/>
        <w:szCs w:val="17"/>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in;height:18pt">
          <v:imagedata r:id="rId1" o:title=""/>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493D" w:rsidRPr="00B10786" w:rsidRDefault="00D0493D" w:rsidP="00B10786">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493D" w:rsidRPr="00F34BDA" w:rsidRDefault="00D0493D" w:rsidP="00E55215">
    <w:pPr>
      <w:pStyle w:val="Footer"/>
      <w:jc w:val="center"/>
      <w:rPr>
        <w:sz w:val="22"/>
        <w:szCs w:val="22"/>
      </w:rPr>
    </w:pPr>
    <w:r w:rsidRPr="00F34BDA">
      <w:rPr>
        <w:sz w:val="22"/>
        <w:szCs w:val="22"/>
      </w:rPr>
      <w:t>Appendix A-1</w:t>
    </w:r>
  </w:p>
  <w:p w:rsidR="00D0493D" w:rsidRPr="00F34BDA" w:rsidRDefault="00D0493D" w:rsidP="00E55215">
    <w:pPr>
      <w:pStyle w:val="Footer"/>
      <w:jc w:val="center"/>
      <w:rPr>
        <w:sz w:val="22"/>
        <w:szCs w:val="22"/>
      </w:rPr>
    </w:pPr>
    <w:r w:rsidRPr="00F34BDA">
      <w:rPr>
        <w:sz w:val="22"/>
        <w:szCs w:val="22"/>
      </w:rPr>
      <w:t>(End)</w:t>
    </w:r>
  </w:p>
  <w:p w:rsidR="00D0493D" w:rsidRDefault="00D0493D">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493D" w:rsidRPr="00F34BDA" w:rsidRDefault="00D0493D" w:rsidP="00E55215">
    <w:pPr>
      <w:pStyle w:val="Footer"/>
      <w:jc w:val="center"/>
      <w:rPr>
        <w:sz w:val="22"/>
        <w:szCs w:val="22"/>
      </w:rPr>
    </w:pPr>
    <w:r w:rsidRPr="00F34BDA">
      <w:rPr>
        <w:sz w:val="22"/>
        <w:szCs w:val="22"/>
      </w:rPr>
      <w:t xml:space="preserve">Appendix </w:t>
    </w:r>
    <w:r>
      <w:rPr>
        <w:sz w:val="22"/>
        <w:szCs w:val="22"/>
      </w:rPr>
      <w:t>B</w:t>
    </w:r>
    <w:r w:rsidRPr="00F34BDA">
      <w:rPr>
        <w:sz w:val="22"/>
        <w:szCs w:val="22"/>
      </w:rPr>
      <w:t>-1</w:t>
    </w:r>
  </w:p>
  <w:p w:rsidR="00D0493D" w:rsidRPr="00F34BDA" w:rsidRDefault="00D0493D" w:rsidP="00E55215">
    <w:pPr>
      <w:pStyle w:val="Footer"/>
      <w:jc w:val="center"/>
      <w:rPr>
        <w:sz w:val="22"/>
        <w:szCs w:val="22"/>
      </w:rPr>
    </w:pPr>
    <w:r w:rsidRPr="00F34BDA">
      <w:rPr>
        <w:sz w:val="22"/>
        <w:szCs w:val="22"/>
      </w:rPr>
      <w:t>(End)</w:t>
    </w:r>
  </w:p>
  <w:p w:rsidR="00D0493D" w:rsidRDefault="00D0493D">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493D" w:rsidRPr="00F34BDA" w:rsidRDefault="00D0493D" w:rsidP="00E55215">
    <w:pPr>
      <w:pStyle w:val="Footer"/>
      <w:jc w:val="center"/>
      <w:rPr>
        <w:sz w:val="22"/>
        <w:szCs w:val="22"/>
      </w:rPr>
    </w:pPr>
    <w:r w:rsidRPr="00F34BDA">
      <w:rPr>
        <w:sz w:val="22"/>
        <w:szCs w:val="22"/>
      </w:rPr>
      <w:t xml:space="preserve">Appendix </w:t>
    </w:r>
    <w:r>
      <w:rPr>
        <w:sz w:val="22"/>
        <w:szCs w:val="22"/>
      </w:rPr>
      <w:t>C</w:t>
    </w:r>
    <w:r w:rsidRPr="00F34BDA">
      <w:rPr>
        <w:sz w:val="22"/>
        <w:szCs w:val="22"/>
      </w:rPr>
      <w:t>-1</w:t>
    </w:r>
  </w:p>
  <w:p w:rsidR="00D0493D" w:rsidRPr="00F34BDA" w:rsidRDefault="00D0493D" w:rsidP="00E55215">
    <w:pPr>
      <w:pStyle w:val="Footer"/>
      <w:jc w:val="center"/>
      <w:rPr>
        <w:sz w:val="22"/>
        <w:szCs w:val="22"/>
      </w:rPr>
    </w:pPr>
    <w:r w:rsidRPr="00F34BDA">
      <w:rPr>
        <w:sz w:val="22"/>
        <w:szCs w:val="22"/>
      </w:rPr>
      <w:t>(End)</w:t>
    </w:r>
  </w:p>
  <w:p w:rsidR="00D0493D" w:rsidRDefault="00D0493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17766" w:rsidRDefault="00917766">
      <w:r>
        <w:separator/>
      </w:r>
    </w:p>
  </w:footnote>
  <w:footnote w:type="continuationSeparator" w:id="0">
    <w:p w:rsidR="00917766" w:rsidRDefault="00917766">
      <w:r>
        <w:continuationSeparator/>
      </w:r>
    </w:p>
  </w:footnote>
  <w:footnote w:id="1">
    <w:p w:rsidR="00D0493D" w:rsidRDefault="00D0493D" w:rsidP="00BC6E63">
      <w:pPr>
        <w:pStyle w:val="FootnoteText"/>
      </w:pPr>
      <w:r>
        <w:rPr>
          <w:rStyle w:val="FootnoteReference"/>
        </w:rPr>
        <w:footnoteRef/>
      </w:r>
      <w:r>
        <w:t xml:space="preserve"> Priority Areas for CASF funding were established by regional stakeholders to identify communities with a high priority need of broadband infrastructure.  For more information, see Resolution T-17443, adopted June 26, 2014, p. 10-14 and Appendix 4.</w:t>
      </w:r>
    </w:p>
  </w:footnote>
  <w:footnote w:id="2">
    <w:p w:rsidR="00D0493D" w:rsidRPr="00AD1DC7" w:rsidRDefault="00D0493D" w:rsidP="00BC6E63">
      <w:pPr>
        <w:pStyle w:val="FootnoteText"/>
        <w:rPr>
          <w:rFonts w:ascii="Palatino Linotype" w:hAnsi="Palatino Linotype"/>
        </w:rPr>
      </w:pPr>
      <w:r w:rsidRPr="00AD1DC7">
        <w:rPr>
          <w:rStyle w:val="FootnoteReference"/>
          <w:rFonts w:ascii="Palatino Linotype" w:hAnsi="Palatino Linotype"/>
        </w:rPr>
        <w:footnoteRef/>
      </w:r>
      <w:r w:rsidRPr="00AD1DC7">
        <w:rPr>
          <w:rFonts w:ascii="Palatino Linotype" w:hAnsi="Palatino Linotype"/>
        </w:rPr>
        <w:t xml:space="preserve"> </w:t>
      </w:r>
      <w:r w:rsidRPr="00AD1DC7">
        <w:rPr>
          <w:rFonts w:ascii="Palatino Linotype" w:hAnsi="Palatino Linotype"/>
          <w:color w:val="000000"/>
        </w:rPr>
        <w:t>Stats. 2010, c. 317, codified at Public Utilities (P.U.) Code § 281</w:t>
      </w:r>
    </w:p>
  </w:footnote>
  <w:footnote w:id="3">
    <w:p w:rsidR="00D0493D" w:rsidRPr="00AD1DC7" w:rsidRDefault="00D0493D" w:rsidP="00BC6E63">
      <w:pPr>
        <w:pageBreakBefore/>
        <w:autoSpaceDE w:val="0"/>
        <w:autoSpaceDN w:val="0"/>
        <w:adjustRightInd w:val="0"/>
        <w:rPr>
          <w:rFonts w:ascii="Palatino Linotype" w:hAnsi="Palatino Linotype"/>
        </w:rPr>
      </w:pPr>
      <w:r w:rsidRPr="00AD1DC7">
        <w:rPr>
          <w:rStyle w:val="FootnoteReference"/>
          <w:rFonts w:ascii="Palatino Linotype" w:hAnsi="Palatino Linotype"/>
        </w:rPr>
        <w:footnoteRef/>
      </w:r>
      <w:r w:rsidRPr="00AD1DC7">
        <w:rPr>
          <w:rFonts w:ascii="Palatino Linotype" w:hAnsi="Palatino Linotype"/>
        </w:rPr>
        <w:t xml:space="preserve"> </w:t>
      </w:r>
      <w:r w:rsidRPr="00AD1DC7">
        <w:rPr>
          <w:rFonts w:ascii="Palatino Linotype" w:hAnsi="Palatino Linotype"/>
          <w:color w:val="000000"/>
        </w:rPr>
        <w:t xml:space="preserve">P.U. Code § 281(b)(1). </w:t>
      </w:r>
    </w:p>
  </w:footnote>
  <w:footnote w:id="4">
    <w:p w:rsidR="00D0493D" w:rsidRDefault="00D0493D" w:rsidP="00BC6E63">
      <w:pPr>
        <w:pStyle w:val="FootnoteText"/>
      </w:pPr>
      <w:r>
        <w:rPr>
          <w:rStyle w:val="FootnoteReference"/>
        </w:rPr>
        <w:footnoteRef/>
      </w:r>
      <w:r>
        <w:t xml:space="preserve"> In addition to Resolution T-17443, the Commission issued D.14-02-018 to implement provisions in Senate Bill 740 (Padilla, Stats 2013, Chapter 522), which amended P.U. </w:t>
      </w:r>
      <w:r w:rsidRPr="0023742C">
        <w:t>Code § 281</w:t>
      </w:r>
      <w:r>
        <w:t xml:space="preserve"> and expanded eligibility for CASF Infrastructure Grants/Loans to non-telephone corporations.  </w:t>
      </w:r>
    </w:p>
  </w:footnote>
  <w:footnote w:id="5">
    <w:p w:rsidR="00D0493D" w:rsidRDefault="00D0493D" w:rsidP="00BC6E63">
      <w:pPr>
        <w:pStyle w:val="FootnoteText"/>
      </w:pPr>
      <w:r>
        <w:rPr>
          <w:rStyle w:val="FootnoteReference"/>
        </w:rPr>
        <w:footnoteRef/>
      </w:r>
      <w:r>
        <w:t xml:space="preserve"> Established in 1935.</w:t>
      </w:r>
    </w:p>
  </w:footnote>
  <w:footnote w:id="6">
    <w:p w:rsidR="00D0493D" w:rsidRDefault="00D0493D" w:rsidP="00BC6E63">
      <w:pPr>
        <w:pStyle w:val="FootnoteText"/>
      </w:pPr>
      <w:r>
        <w:rPr>
          <w:rStyle w:val="FootnoteReference"/>
        </w:rPr>
        <w:footnoteRef/>
      </w:r>
      <w:r>
        <w:t xml:space="preserve"> </w:t>
      </w:r>
      <w:r w:rsidRPr="009A634F">
        <w:t>ADSL</w:t>
      </w:r>
      <w:r>
        <w:t xml:space="preserve">2+ bonding and VDSL </w:t>
      </w:r>
    </w:p>
  </w:footnote>
  <w:footnote w:id="7">
    <w:p w:rsidR="00D0493D" w:rsidRPr="00AD1DC7" w:rsidRDefault="00D0493D" w:rsidP="00BC6E63">
      <w:pPr>
        <w:pStyle w:val="FootnoteText"/>
        <w:rPr>
          <w:rFonts w:ascii="Palatino Linotype" w:hAnsi="Palatino Linotype"/>
        </w:rPr>
      </w:pPr>
      <w:r w:rsidRPr="00AD1DC7">
        <w:rPr>
          <w:rStyle w:val="FootnoteReference"/>
          <w:rFonts w:ascii="Palatino Linotype" w:hAnsi="Palatino Linotype"/>
        </w:rPr>
        <w:footnoteRef/>
      </w:r>
      <w:r>
        <w:rPr>
          <w:rFonts w:ascii="Palatino Linotype" w:hAnsi="Palatino Linotype"/>
        </w:rPr>
        <w:t xml:space="preserve"> In </w:t>
      </w:r>
      <w:r w:rsidRPr="001A0A84">
        <w:t>this case, the latest version of the California Interactive Broadband Availability Map, with data current as of June 30, 2014, was consulted.</w:t>
      </w:r>
    </w:p>
  </w:footnote>
  <w:footnote w:id="8">
    <w:p w:rsidR="00D0493D" w:rsidRPr="00AD1DC7" w:rsidRDefault="00D0493D" w:rsidP="00BC6E63">
      <w:pPr>
        <w:pStyle w:val="FootnoteText"/>
        <w:rPr>
          <w:rFonts w:ascii="Palatino Linotype" w:hAnsi="Palatino Linotype"/>
        </w:rPr>
      </w:pPr>
      <w:r w:rsidRPr="00AD1DC7">
        <w:rPr>
          <w:rStyle w:val="FootnoteReference"/>
          <w:rFonts w:ascii="Palatino Linotype" w:hAnsi="Palatino Linotype"/>
        </w:rPr>
        <w:footnoteRef/>
      </w:r>
      <w:r w:rsidRPr="00AD1DC7">
        <w:rPr>
          <w:rFonts w:ascii="Palatino Linotype" w:hAnsi="Palatino Linotype"/>
        </w:rPr>
        <w:t xml:space="preserve"> </w:t>
      </w:r>
      <w:r w:rsidRPr="00E86D04">
        <w:t>This determination was based on the limited speed capabilities of satellite services, the cost to the consumer, high latency, and unreliability known at the time of the decision, D.12-02-015 at 13-15. Since that time, like other technologies, satellite services have improved.</w:t>
      </w:r>
      <w:r>
        <w:rPr>
          <w:rFonts w:ascii="Palatino Linotype" w:hAnsi="Palatino Linotype"/>
        </w:rPr>
        <w:t xml:space="preserve"> </w:t>
      </w:r>
    </w:p>
  </w:footnote>
  <w:footnote w:id="9">
    <w:p w:rsidR="00D0493D" w:rsidRDefault="00D0493D" w:rsidP="00BC6E63">
      <w:pPr>
        <w:pStyle w:val="FootnoteText"/>
      </w:pPr>
      <w:r>
        <w:rPr>
          <w:rStyle w:val="FootnoteReference"/>
        </w:rPr>
        <w:footnoteRef/>
      </w:r>
      <w:r>
        <w:t xml:space="preserve"> The median household income by census block group </w:t>
      </w:r>
      <w:r w:rsidRPr="007318CD">
        <w:t>060230112003</w:t>
      </w:r>
      <w:r>
        <w:t xml:space="preserve"> (in which Petrolia is located) is $47,500.</w:t>
      </w:r>
    </w:p>
  </w:footnote>
  <w:footnote w:id="10">
    <w:p w:rsidR="00D0493D" w:rsidRDefault="00D0493D" w:rsidP="00BC6E63">
      <w:pPr>
        <w:pStyle w:val="FootnoteText"/>
      </w:pPr>
      <w:r>
        <w:rPr>
          <w:rStyle w:val="FootnoteReference"/>
        </w:rPr>
        <w:footnoteRef/>
      </w:r>
      <w:r>
        <w:t xml:space="preserve"> According to American Fact Finder, the poverty rate was determined for 83% of the total population.</w:t>
      </w:r>
    </w:p>
  </w:footnote>
  <w:footnote w:id="11">
    <w:p w:rsidR="00D0493D" w:rsidRDefault="00D0493D" w:rsidP="00BC6E63">
      <w:pPr>
        <w:pStyle w:val="FootnoteText"/>
      </w:pPr>
      <w:r>
        <w:rPr>
          <w:rStyle w:val="FootnoteReference"/>
        </w:rPr>
        <w:footnoteRef/>
      </w:r>
      <w:r>
        <w:t xml:space="preserve"> Enrollment information from the California Department of Education, Year 2014-15 </w:t>
      </w:r>
    </w:p>
  </w:footnote>
  <w:footnote w:id="12">
    <w:p w:rsidR="00D0493D" w:rsidRDefault="00D0493D" w:rsidP="00BC6E63">
      <w:pPr>
        <w:pStyle w:val="FootnoteText"/>
      </w:pPr>
      <w:r>
        <w:rPr>
          <w:rStyle w:val="FootnoteReference"/>
        </w:rPr>
        <w:footnoteRef/>
      </w:r>
      <w:r>
        <w:t xml:space="preserve"> The CASF per-household subsidy for the Petrolia project is 146 percent of the median per-household subsidy for all approved CASF projects and 41 percent of the mean per-household subsidy.  </w:t>
      </w:r>
    </w:p>
  </w:footnote>
  <w:footnote w:id="13">
    <w:p w:rsidR="00D0493D" w:rsidRDefault="00D0493D" w:rsidP="00BC6E63">
      <w:pPr>
        <w:pStyle w:val="FootnoteText"/>
      </w:pPr>
      <w:r>
        <w:rPr>
          <w:rStyle w:val="FootnoteReference"/>
        </w:rPr>
        <w:footnoteRef/>
      </w:r>
      <w:r>
        <w:t xml:space="preserve"> Submitted by applicant</w:t>
      </w:r>
    </w:p>
  </w:footnote>
  <w:footnote w:id="14">
    <w:p w:rsidR="00D0493D" w:rsidRDefault="00D0493D" w:rsidP="00BC6E63">
      <w:pPr>
        <w:pStyle w:val="FootnoteText"/>
      </w:pPr>
      <w:r>
        <w:rPr>
          <w:rStyle w:val="FootnoteReference"/>
        </w:rPr>
        <w:footnoteRef/>
      </w:r>
      <w:r>
        <w:t xml:space="preserve"> Information from New York Times, “</w:t>
      </w:r>
      <w:r w:rsidRPr="00CD2660">
        <w:t>Frontier Communications Corporation</w:t>
      </w:r>
      <w:r>
        <w:t xml:space="preserve">”, </w:t>
      </w:r>
      <w:hyperlink r:id="rId1" w:history="1">
        <w:r w:rsidRPr="00622C47">
          <w:rPr>
            <w:rStyle w:val="Hyperlink"/>
          </w:rPr>
          <w:t>http://topics.nytimes.com/top/news/business/companies/citizens_communications_company/index.html</w:t>
        </w:r>
      </w:hyperlink>
      <w:r>
        <w:t>, retrieved May 26, 2015</w:t>
      </w:r>
    </w:p>
  </w:footnote>
  <w:footnote w:id="15">
    <w:p w:rsidR="00D0493D" w:rsidRDefault="00D0493D" w:rsidP="00BC6E63">
      <w:pPr>
        <w:pStyle w:val="FootnoteText"/>
      </w:pPr>
      <w:r>
        <w:rPr>
          <w:rStyle w:val="FootnoteReference"/>
        </w:rPr>
        <w:footnoteRef/>
      </w:r>
      <w:r>
        <w:t xml:space="preserve"> Information from Frontier Communications, “</w:t>
      </w:r>
      <w:r w:rsidRPr="00F22B7D">
        <w:t>Financial Statements</w:t>
      </w:r>
      <w:r>
        <w:t xml:space="preserve">; Income Statement”, for year 2014, </w:t>
      </w:r>
      <w:hyperlink r:id="rId2" w:history="1">
        <w:r w:rsidRPr="00622C47">
          <w:rPr>
            <w:rStyle w:val="Hyperlink"/>
          </w:rPr>
          <w:t>http://investor.frontier.com/financials-statements.cfm</w:t>
        </w:r>
      </w:hyperlink>
      <w:r>
        <w:t xml:space="preserve"> </w:t>
      </w:r>
    </w:p>
  </w:footnote>
  <w:footnote w:id="16">
    <w:p w:rsidR="00D0493D" w:rsidRDefault="00D0493D" w:rsidP="00BC6E63">
      <w:pPr>
        <w:pStyle w:val="FootnoteText"/>
      </w:pPr>
      <w:r>
        <w:rPr>
          <w:rStyle w:val="FootnoteReference"/>
        </w:rPr>
        <w:footnoteRef/>
      </w:r>
      <w:r>
        <w:t xml:space="preserve"> Humboldt County government website, </w:t>
      </w:r>
      <w:hyperlink r:id="rId3" w:history="1">
        <w:r w:rsidRPr="00622C47">
          <w:rPr>
            <w:rStyle w:val="Hyperlink"/>
          </w:rPr>
          <w:t>http://www.humboldtgov.org/739/Petrolia</w:t>
        </w:r>
      </w:hyperlink>
      <w:r>
        <w:t>, retrieved May 26, 2015</w:t>
      </w:r>
    </w:p>
  </w:footnote>
  <w:footnote w:id="17">
    <w:p w:rsidR="00D0493D" w:rsidRPr="00AD1DC7" w:rsidRDefault="00D0493D" w:rsidP="00BC6E63">
      <w:pPr>
        <w:pStyle w:val="FootnoteText"/>
        <w:rPr>
          <w:rFonts w:ascii="Palatino Linotype" w:hAnsi="Palatino Linotype"/>
        </w:rPr>
      </w:pPr>
      <w:r w:rsidRPr="00AD1DC7">
        <w:rPr>
          <w:rStyle w:val="FootnoteReference"/>
          <w:rFonts w:ascii="Palatino Linotype" w:hAnsi="Palatino Linotype"/>
        </w:rPr>
        <w:footnoteRef/>
      </w:r>
      <w:r w:rsidRPr="00AD1DC7">
        <w:rPr>
          <w:rFonts w:ascii="Palatino Linotype" w:hAnsi="Palatino Linotype"/>
        </w:rPr>
        <w:t xml:space="preserve"> </w:t>
      </w:r>
      <w:r w:rsidRPr="00066D9A">
        <w:rPr>
          <w:rFonts w:cs="Book Antiqua"/>
          <w:i/>
          <w:iCs/>
        </w:rPr>
        <w:t xml:space="preserve">Approval of the California Advanced Services Fund (CASF) Application Requirements and Scoring Criteria for Awarding CASF Funds </w:t>
      </w:r>
      <w:r w:rsidRPr="00066D9A">
        <w:rPr>
          <w:rFonts w:cs="Book Antiqua"/>
        </w:rPr>
        <w:t>(2008) Cal. P.U.C. Res. No. T-17143 at 4.</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6101" w:rsidRDefault="00F8610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493D" w:rsidRPr="00D74B2C" w:rsidRDefault="00D0493D">
    <w:pPr>
      <w:pStyle w:val="Header"/>
      <w:rPr>
        <w:rFonts w:ascii="Palatino Linotype" w:hAnsi="Palatino Linotype"/>
        <w:sz w:val="22"/>
        <w:szCs w:val="22"/>
      </w:rPr>
    </w:pPr>
    <w:r w:rsidRPr="00D74B2C">
      <w:rPr>
        <w:rFonts w:ascii="Palatino Linotype" w:hAnsi="Palatino Linotype"/>
        <w:sz w:val="22"/>
        <w:szCs w:val="22"/>
      </w:rPr>
      <w:t>Resolution T-17478</w:t>
    </w:r>
    <w:r w:rsidRPr="00D74B2C">
      <w:rPr>
        <w:rFonts w:ascii="Palatino Linotype" w:hAnsi="Palatino Linotype"/>
        <w:sz w:val="22"/>
        <w:szCs w:val="22"/>
      </w:rPr>
      <w:tab/>
    </w:r>
    <w:r w:rsidRPr="00D74B2C">
      <w:rPr>
        <w:rFonts w:ascii="Palatino Linotype" w:hAnsi="Palatino Linotype"/>
        <w:sz w:val="22"/>
        <w:szCs w:val="22"/>
      </w:rPr>
      <w:tab/>
    </w:r>
  </w:p>
  <w:p w:rsidR="00D0493D" w:rsidRPr="00D74B2C" w:rsidRDefault="00D0493D">
    <w:pPr>
      <w:pStyle w:val="Header"/>
      <w:rPr>
        <w:rFonts w:ascii="Palatino Linotype" w:hAnsi="Palatino Linotype"/>
        <w:sz w:val="22"/>
        <w:szCs w:val="22"/>
      </w:rPr>
    </w:pPr>
    <w:r w:rsidRPr="00D74B2C">
      <w:rPr>
        <w:rFonts w:ascii="Palatino Linotype" w:hAnsi="Palatino Linotype"/>
        <w:sz w:val="22"/>
        <w:szCs w:val="22"/>
      </w:rPr>
      <w:t>CD/WG1</w:t>
    </w:r>
    <w:r w:rsidRPr="00D74B2C">
      <w:rPr>
        <w:rFonts w:ascii="Palatino Linotype" w:hAnsi="Palatino Linotype"/>
        <w:sz w:val="22"/>
        <w:szCs w:val="22"/>
      </w:rPr>
      <w:tab/>
    </w:r>
    <w:r w:rsidRPr="00D74B2C">
      <w:rPr>
        <w:rFonts w:ascii="Palatino Linotype" w:hAnsi="Palatino Linotype"/>
        <w:sz w:val="22"/>
        <w:szCs w:val="22"/>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493D" w:rsidRPr="00D74B2C" w:rsidRDefault="00D0493D" w:rsidP="00592763">
    <w:pPr>
      <w:pStyle w:val="Header"/>
      <w:rPr>
        <w:rFonts w:ascii="Palatino Linotype" w:hAnsi="Palatino Linotype"/>
        <w:sz w:val="22"/>
        <w:szCs w:val="22"/>
      </w:rPr>
    </w:pPr>
    <w:r w:rsidRPr="00D74B2C">
      <w:rPr>
        <w:rFonts w:ascii="Palatino Linotype" w:hAnsi="Palatino Linotype"/>
        <w:sz w:val="22"/>
        <w:szCs w:val="22"/>
      </w:rPr>
      <w:t>Resolution T-17484</w:t>
    </w:r>
    <w:r w:rsidRPr="00D74B2C">
      <w:rPr>
        <w:rFonts w:ascii="Palatino Linotype" w:hAnsi="Palatino Linotype"/>
        <w:sz w:val="22"/>
        <w:szCs w:val="22"/>
      </w:rPr>
      <w:tab/>
    </w:r>
    <w:r w:rsidRPr="00D74B2C">
      <w:rPr>
        <w:rFonts w:ascii="Palatino Linotype" w:hAnsi="Palatino Linotype"/>
        <w:sz w:val="22"/>
        <w:szCs w:val="22"/>
      </w:rPr>
      <w:tab/>
    </w:r>
    <w:r w:rsidR="00003DF9">
      <w:rPr>
        <w:rFonts w:ascii="Palatino Linotype" w:hAnsi="Palatino Linotype"/>
        <w:sz w:val="22"/>
        <w:szCs w:val="22"/>
      </w:rPr>
      <w:t>Date of Issuance:  July 24, 2015</w:t>
    </w:r>
  </w:p>
  <w:p w:rsidR="00D0493D" w:rsidRPr="00D74B2C" w:rsidRDefault="00D0493D" w:rsidP="00592763">
    <w:pPr>
      <w:pStyle w:val="Header"/>
      <w:rPr>
        <w:rFonts w:ascii="Palatino Linotype" w:hAnsi="Palatino Linotype"/>
        <w:sz w:val="22"/>
        <w:szCs w:val="22"/>
      </w:rPr>
    </w:pPr>
    <w:r w:rsidRPr="00D74B2C">
      <w:rPr>
        <w:rFonts w:ascii="Palatino Linotype" w:hAnsi="Palatino Linotype"/>
        <w:sz w:val="22"/>
        <w:szCs w:val="22"/>
      </w:rPr>
      <w:t>CD/WG1</w:t>
    </w:r>
    <w:r w:rsidRPr="00D74B2C">
      <w:rPr>
        <w:rFonts w:ascii="Palatino Linotype" w:hAnsi="Palatino Linotype"/>
        <w:sz w:val="22"/>
        <w:szCs w:val="22"/>
      </w:rPr>
      <w:tab/>
    </w:r>
    <w:r>
      <w:rPr>
        <w:rFonts w:ascii="Palatino Linotype" w:hAnsi="Palatino Linotype"/>
        <w:sz w:val="22"/>
        <w:szCs w:val="22"/>
      </w:rPr>
      <w:t xml:space="preserve">                                                                                   </w:t>
    </w:r>
  </w:p>
  <w:p w:rsidR="00D0493D" w:rsidRDefault="00D0493D">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493D" w:rsidRDefault="00D0493D" w:rsidP="00592763">
    <w:pPr>
      <w:pStyle w:val="Header"/>
      <w:rPr>
        <w:sz w:val="22"/>
        <w:szCs w:val="22"/>
      </w:rPr>
    </w:pPr>
    <w:r w:rsidRPr="00EA49DC">
      <w:rPr>
        <w:sz w:val="22"/>
        <w:szCs w:val="22"/>
      </w:rPr>
      <w:t>Resolution</w:t>
    </w:r>
    <w:r>
      <w:rPr>
        <w:sz w:val="22"/>
        <w:szCs w:val="22"/>
      </w:rPr>
      <w:t xml:space="preserve"> T-17484</w:t>
    </w:r>
    <w:r w:rsidRPr="00EA49DC">
      <w:rPr>
        <w:sz w:val="22"/>
        <w:szCs w:val="22"/>
      </w:rPr>
      <w:tab/>
    </w:r>
    <w:r w:rsidRPr="00EA49DC">
      <w:rPr>
        <w:sz w:val="22"/>
        <w:szCs w:val="22"/>
      </w:rPr>
      <w:tab/>
    </w:r>
  </w:p>
  <w:p w:rsidR="00D0493D" w:rsidRPr="00EA49DC" w:rsidRDefault="00D0493D" w:rsidP="00592763">
    <w:pPr>
      <w:pStyle w:val="Header"/>
      <w:rPr>
        <w:sz w:val="22"/>
        <w:szCs w:val="22"/>
      </w:rPr>
    </w:pPr>
    <w:r w:rsidRPr="00EA49DC">
      <w:rPr>
        <w:sz w:val="22"/>
        <w:szCs w:val="22"/>
      </w:rPr>
      <w:t>CD/</w:t>
    </w:r>
    <w:r>
      <w:rPr>
        <w:sz w:val="22"/>
        <w:szCs w:val="22"/>
      </w:rPr>
      <w:t>WG1</w:t>
    </w:r>
    <w:r w:rsidRPr="00EA49DC">
      <w:rPr>
        <w:sz w:val="22"/>
        <w:szCs w:val="22"/>
      </w:rPr>
      <w:tab/>
    </w:r>
    <w:r w:rsidRPr="00EA49DC">
      <w:rPr>
        <w:sz w:val="22"/>
        <w:szCs w:val="22"/>
      </w:rPr>
      <w:tab/>
    </w:r>
  </w:p>
  <w:p w:rsidR="00D0493D" w:rsidRDefault="00D0493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11AA11B8"/>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4416154"/>
    <w:multiLevelType w:val="hybridMultilevel"/>
    <w:tmpl w:val="53D472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2057A0F"/>
    <w:multiLevelType w:val="hybridMultilevel"/>
    <w:tmpl w:val="267CBC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813427D"/>
    <w:multiLevelType w:val="hybridMultilevel"/>
    <w:tmpl w:val="1C483F7A"/>
    <w:lvl w:ilvl="0" w:tplc="A4B6789E">
      <w:start w:val="1"/>
      <w:numFmt w:val="decimal"/>
      <w:lvlText w:val="%1."/>
      <w:lvlJc w:val="left"/>
      <w:pPr>
        <w:tabs>
          <w:tab w:val="num" w:pos="540"/>
        </w:tabs>
        <w:ind w:left="5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25073A79"/>
    <w:multiLevelType w:val="hybridMultilevel"/>
    <w:tmpl w:val="757A6DD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3255889"/>
    <w:multiLevelType w:val="hybridMultilevel"/>
    <w:tmpl w:val="FC782A7C"/>
    <w:lvl w:ilvl="0" w:tplc="04090015">
      <w:start w:val="4"/>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C8F7588"/>
    <w:multiLevelType w:val="hybridMultilevel"/>
    <w:tmpl w:val="75363C7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DB3484B"/>
    <w:multiLevelType w:val="hybridMultilevel"/>
    <w:tmpl w:val="526C48D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43583F96"/>
    <w:multiLevelType w:val="hybridMultilevel"/>
    <w:tmpl w:val="21B6CC7C"/>
    <w:lvl w:ilvl="0" w:tplc="DC368988">
      <w:start w:val="2"/>
      <w:numFmt w:val="decimal"/>
      <w:lvlText w:val="%1."/>
      <w:lvlJc w:val="left"/>
      <w:pPr>
        <w:tabs>
          <w:tab w:val="num" w:pos="540"/>
        </w:tabs>
        <w:ind w:left="5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41A5E9B"/>
    <w:multiLevelType w:val="hybridMultilevel"/>
    <w:tmpl w:val="438A5A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44B30B5"/>
    <w:multiLevelType w:val="hybridMultilevel"/>
    <w:tmpl w:val="0B84434E"/>
    <w:lvl w:ilvl="0" w:tplc="BB926898">
      <w:start w:val="8"/>
      <w:numFmt w:val="upperLetter"/>
      <w:lvlText w:val="%1."/>
      <w:lvlJc w:val="left"/>
      <w:pPr>
        <w:ind w:left="1080" w:hanging="360"/>
      </w:pPr>
      <w:rPr>
        <w:rFonts w:cs="Palatino Linotype" w:hint="default"/>
        <w:u w:val="singl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4B431041"/>
    <w:multiLevelType w:val="hybridMultilevel"/>
    <w:tmpl w:val="714CF158"/>
    <w:lvl w:ilvl="0" w:tplc="8C42597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4F5A026B"/>
    <w:multiLevelType w:val="hybridMultilevel"/>
    <w:tmpl w:val="C95E9BD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CC71505"/>
    <w:multiLevelType w:val="hybridMultilevel"/>
    <w:tmpl w:val="52DC421A"/>
    <w:lvl w:ilvl="0" w:tplc="2E781ABE">
      <w:start w:val="1"/>
      <w:numFmt w:val="upperLetter"/>
      <w:lvlText w:val="%1."/>
      <w:lvlJc w:val="left"/>
      <w:pPr>
        <w:ind w:left="1080" w:hanging="360"/>
      </w:pPr>
      <w:rPr>
        <w:rFonts w:ascii="Palatino Linotype" w:hAnsi="Palatino Linotype" w:cs="Palatino Linotype"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5EC46083"/>
    <w:multiLevelType w:val="hybridMultilevel"/>
    <w:tmpl w:val="52DC421A"/>
    <w:lvl w:ilvl="0" w:tplc="2E781ABE">
      <w:start w:val="1"/>
      <w:numFmt w:val="upperLetter"/>
      <w:lvlText w:val="%1."/>
      <w:lvlJc w:val="left"/>
      <w:pPr>
        <w:ind w:left="1080" w:hanging="360"/>
      </w:pPr>
      <w:rPr>
        <w:rFonts w:ascii="Palatino Linotype" w:hAnsi="Palatino Linotype" w:cs="Palatino Linotype"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69C15ECE"/>
    <w:multiLevelType w:val="hybridMultilevel"/>
    <w:tmpl w:val="097E9382"/>
    <w:lvl w:ilvl="0" w:tplc="228A8AF8">
      <w:start w:val="1"/>
      <w:numFmt w:val="upperRoman"/>
      <w:lvlText w:val="%1."/>
      <w:lvlJc w:val="left"/>
      <w:pPr>
        <w:ind w:left="1080" w:hanging="720"/>
      </w:pPr>
      <w:rPr>
        <w:rFonts w:hint="default"/>
      </w:rPr>
    </w:lvl>
    <w:lvl w:ilvl="1" w:tplc="654A5400">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B711E0B"/>
    <w:multiLevelType w:val="hybridMultilevel"/>
    <w:tmpl w:val="A9D49A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E1119F3"/>
    <w:multiLevelType w:val="hybridMultilevel"/>
    <w:tmpl w:val="6D7E0A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0"/>
  </w:num>
  <w:num w:numId="3">
    <w:abstractNumId w:val="7"/>
  </w:num>
  <w:num w:numId="4">
    <w:abstractNumId w:val="8"/>
  </w:num>
  <w:num w:numId="5">
    <w:abstractNumId w:val="16"/>
  </w:num>
  <w:num w:numId="6">
    <w:abstractNumId w:val="12"/>
  </w:num>
  <w:num w:numId="7">
    <w:abstractNumId w:val="5"/>
  </w:num>
  <w:num w:numId="8">
    <w:abstractNumId w:val="4"/>
  </w:num>
  <w:num w:numId="9">
    <w:abstractNumId w:val="6"/>
  </w:num>
  <w:num w:numId="10">
    <w:abstractNumId w:val="11"/>
  </w:num>
  <w:num w:numId="11">
    <w:abstractNumId w:val="14"/>
  </w:num>
  <w:num w:numId="12">
    <w:abstractNumId w:val="15"/>
  </w:num>
  <w:num w:numId="13">
    <w:abstractNumId w:val="17"/>
  </w:num>
  <w:num w:numId="14">
    <w:abstractNumId w:val="2"/>
  </w:num>
  <w:num w:numId="15">
    <w:abstractNumId w:val="1"/>
  </w:num>
  <w:num w:numId="16">
    <w:abstractNumId w:val="13"/>
  </w:num>
  <w:num w:numId="17">
    <w:abstractNumId w:val="10"/>
  </w:num>
  <w:num w:numId="18">
    <w:abstractNumId w:val="9"/>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noPunctuationKerning/>
  <w:characterSpacingControl w:val="doNotCompress"/>
  <w:hdrShapeDefaults>
    <o:shapedefaults v:ext="edit" spidmax="1229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76E0"/>
    <w:rsid w:val="00000FF6"/>
    <w:rsid w:val="00003DF9"/>
    <w:rsid w:val="000056B8"/>
    <w:rsid w:val="00010654"/>
    <w:rsid w:val="00010F27"/>
    <w:rsid w:val="00012D8C"/>
    <w:rsid w:val="00014DA2"/>
    <w:rsid w:val="00021C6D"/>
    <w:rsid w:val="00027221"/>
    <w:rsid w:val="00033B03"/>
    <w:rsid w:val="000344BA"/>
    <w:rsid w:val="000352F8"/>
    <w:rsid w:val="0003549E"/>
    <w:rsid w:val="000357AA"/>
    <w:rsid w:val="00035E3D"/>
    <w:rsid w:val="000405BB"/>
    <w:rsid w:val="00041F1C"/>
    <w:rsid w:val="000423BB"/>
    <w:rsid w:val="00043421"/>
    <w:rsid w:val="00056173"/>
    <w:rsid w:val="00062C8E"/>
    <w:rsid w:val="0006447A"/>
    <w:rsid w:val="00066D9A"/>
    <w:rsid w:val="000747DA"/>
    <w:rsid w:val="000748FF"/>
    <w:rsid w:val="000838E8"/>
    <w:rsid w:val="00085988"/>
    <w:rsid w:val="000940A1"/>
    <w:rsid w:val="000A1EC4"/>
    <w:rsid w:val="000A25BA"/>
    <w:rsid w:val="000A2B5F"/>
    <w:rsid w:val="000A40F0"/>
    <w:rsid w:val="000B4609"/>
    <w:rsid w:val="000B57EB"/>
    <w:rsid w:val="000B6641"/>
    <w:rsid w:val="000C26AC"/>
    <w:rsid w:val="000D0A50"/>
    <w:rsid w:val="000E3679"/>
    <w:rsid w:val="000E38B4"/>
    <w:rsid w:val="000E68DB"/>
    <w:rsid w:val="000E743E"/>
    <w:rsid w:val="000F5D25"/>
    <w:rsid w:val="00103221"/>
    <w:rsid w:val="001035C9"/>
    <w:rsid w:val="00105476"/>
    <w:rsid w:val="00105694"/>
    <w:rsid w:val="00107B64"/>
    <w:rsid w:val="00111355"/>
    <w:rsid w:val="00112392"/>
    <w:rsid w:val="0011514E"/>
    <w:rsid w:val="001153DA"/>
    <w:rsid w:val="00117FB2"/>
    <w:rsid w:val="00120D86"/>
    <w:rsid w:val="00122207"/>
    <w:rsid w:val="00123FF2"/>
    <w:rsid w:val="00126F72"/>
    <w:rsid w:val="00135BC9"/>
    <w:rsid w:val="00140F00"/>
    <w:rsid w:val="001476F1"/>
    <w:rsid w:val="001512B2"/>
    <w:rsid w:val="00155630"/>
    <w:rsid w:val="00157A94"/>
    <w:rsid w:val="00173348"/>
    <w:rsid w:val="0018443D"/>
    <w:rsid w:val="00186186"/>
    <w:rsid w:val="00187F3E"/>
    <w:rsid w:val="001920CB"/>
    <w:rsid w:val="00196EAA"/>
    <w:rsid w:val="001A0A84"/>
    <w:rsid w:val="001A125B"/>
    <w:rsid w:val="001A2B69"/>
    <w:rsid w:val="001A6008"/>
    <w:rsid w:val="001A7FCF"/>
    <w:rsid w:val="001B017E"/>
    <w:rsid w:val="001B435F"/>
    <w:rsid w:val="001B457D"/>
    <w:rsid w:val="001C022B"/>
    <w:rsid w:val="001C55D9"/>
    <w:rsid w:val="001C5731"/>
    <w:rsid w:val="001D3722"/>
    <w:rsid w:val="001D54E3"/>
    <w:rsid w:val="001D69BA"/>
    <w:rsid w:val="001D7B71"/>
    <w:rsid w:val="001E1397"/>
    <w:rsid w:val="001E452A"/>
    <w:rsid w:val="001E5178"/>
    <w:rsid w:val="001F2C13"/>
    <w:rsid w:val="001F58AD"/>
    <w:rsid w:val="001F7E75"/>
    <w:rsid w:val="002014A7"/>
    <w:rsid w:val="00201D00"/>
    <w:rsid w:val="002024F7"/>
    <w:rsid w:val="00204269"/>
    <w:rsid w:val="00211095"/>
    <w:rsid w:val="00211DF4"/>
    <w:rsid w:val="00213EDC"/>
    <w:rsid w:val="00217A33"/>
    <w:rsid w:val="00220332"/>
    <w:rsid w:val="00220E9F"/>
    <w:rsid w:val="002219B7"/>
    <w:rsid w:val="00223BD4"/>
    <w:rsid w:val="00230A3D"/>
    <w:rsid w:val="00231370"/>
    <w:rsid w:val="00235411"/>
    <w:rsid w:val="00236BDB"/>
    <w:rsid w:val="0023742C"/>
    <w:rsid w:val="00237CA6"/>
    <w:rsid w:val="002425CC"/>
    <w:rsid w:val="002444AC"/>
    <w:rsid w:val="0024475D"/>
    <w:rsid w:val="00245CE9"/>
    <w:rsid w:val="00246A59"/>
    <w:rsid w:val="00247648"/>
    <w:rsid w:val="00252758"/>
    <w:rsid w:val="00252A6F"/>
    <w:rsid w:val="00262081"/>
    <w:rsid w:val="00263B3F"/>
    <w:rsid w:val="00264629"/>
    <w:rsid w:val="00270607"/>
    <w:rsid w:val="00272CEA"/>
    <w:rsid w:val="002744C5"/>
    <w:rsid w:val="00275C99"/>
    <w:rsid w:val="00282408"/>
    <w:rsid w:val="00287A7B"/>
    <w:rsid w:val="0029267A"/>
    <w:rsid w:val="00292FEC"/>
    <w:rsid w:val="00293871"/>
    <w:rsid w:val="00295E2F"/>
    <w:rsid w:val="002A1CCE"/>
    <w:rsid w:val="002A4950"/>
    <w:rsid w:val="002A5409"/>
    <w:rsid w:val="002B458A"/>
    <w:rsid w:val="002B4A61"/>
    <w:rsid w:val="002C2431"/>
    <w:rsid w:val="002C5D67"/>
    <w:rsid w:val="002D2289"/>
    <w:rsid w:val="002D3F8F"/>
    <w:rsid w:val="002D45EF"/>
    <w:rsid w:val="002D4A5B"/>
    <w:rsid w:val="002D6253"/>
    <w:rsid w:val="002E218D"/>
    <w:rsid w:val="002E5F0D"/>
    <w:rsid w:val="002E7884"/>
    <w:rsid w:val="002F24EA"/>
    <w:rsid w:val="00313167"/>
    <w:rsid w:val="003150E8"/>
    <w:rsid w:val="00330AA7"/>
    <w:rsid w:val="00330DF0"/>
    <w:rsid w:val="00337723"/>
    <w:rsid w:val="0034288E"/>
    <w:rsid w:val="00344B0A"/>
    <w:rsid w:val="0034650B"/>
    <w:rsid w:val="003473AE"/>
    <w:rsid w:val="00347F07"/>
    <w:rsid w:val="003513A9"/>
    <w:rsid w:val="00355B02"/>
    <w:rsid w:val="003577EF"/>
    <w:rsid w:val="00360BDD"/>
    <w:rsid w:val="00366D96"/>
    <w:rsid w:val="003676AB"/>
    <w:rsid w:val="0037770F"/>
    <w:rsid w:val="00377B54"/>
    <w:rsid w:val="00386BEC"/>
    <w:rsid w:val="00397767"/>
    <w:rsid w:val="003A04B9"/>
    <w:rsid w:val="003A5381"/>
    <w:rsid w:val="003A6443"/>
    <w:rsid w:val="003B6B2F"/>
    <w:rsid w:val="003C1F8C"/>
    <w:rsid w:val="003C6D4B"/>
    <w:rsid w:val="003C6E47"/>
    <w:rsid w:val="003D4D59"/>
    <w:rsid w:val="003D5FBB"/>
    <w:rsid w:val="003E3872"/>
    <w:rsid w:val="003E4F74"/>
    <w:rsid w:val="003F0490"/>
    <w:rsid w:val="003F0779"/>
    <w:rsid w:val="003F68E6"/>
    <w:rsid w:val="003F6C20"/>
    <w:rsid w:val="00402971"/>
    <w:rsid w:val="00411552"/>
    <w:rsid w:val="00414A8D"/>
    <w:rsid w:val="00421F53"/>
    <w:rsid w:val="0042307C"/>
    <w:rsid w:val="00425CF4"/>
    <w:rsid w:val="00427D18"/>
    <w:rsid w:val="00432638"/>
    <w:rsid w:val="0044523D"/>
    <w:rsid w:val="00454E8D"/>
    <w:rsid w:val="00456C66"/>
    <w:rsid w:val="00461656"/>
    <w:rsid w:val="0046304A"/>
    <w:rsid w:val="00463C63"/>
    <w:rsid w:val="00470412"/>
    <w:rsid w:val="004754C1"/>
    <w:rsid w:val="004772C8"/>
    <w:rsid w:val="004823A1"/>
    <w:rsid w:val="0048413F"/>
    <w:rsid w:val="0048439A"/>
    <w:rsid w:val="004847DC"/>
    <w:rsid w:val="004876A4"/>
    <w:rsid w:val="0049091E"/>
    <w:rsid w:val="00494748"/>
    <w:rsid w:val="004A0481"/>
    <w:rsid w:val="004A0846"/>
    <w:rsid w:val="004A0FFB"/>
    <w:rsid w:val="004A474D"/>
    <w:rsid w:val="004A509B"/>
    <w:rsid w:val="004B1C13"/>
    <w:rsid w:val="004B35D4"/>
    <w:rsid w:val="004B448B"/>
    <w:rsid w:val="004B5502"/>
    <w:rsid w:val="004B773A"/>
    <w:rsid w:val="004C2F05"/>
    <w:rsid w:val="004C3BD8"/>
    <w:rsid w:val="004C5175"/>
    <w:rsid w:val="004D569C"/>
    <w:rsid w:val="004E026D"/>
    <w:rsid w:val="004E43CD"/>
    <w:rsid w:val="004E44DF"/>
    <w:rsid w:val="004E662D"/>
    <w:rsid w:val="004F438E"/>
    <w:rsid w:val="004F518E"/>
    <w:rsid w:val="004F6583"/>
    <w:rsid w:val="004F65AD"/>
    <w:rsid w:val="00501C86"/>
    <w:rsid w:val="005057FF"/>
    <w:rsid w:val="00507441"/>
    <w:rsid w:val="005127EB"/>
    <w:rsid w:val="00512B80"/>
    <w:rsid w:val="00513C8D"/>
    <w:rsid w:val="00515B5A"/>
    <w:rsid w:val="00516FEA"/>
    <w:rsid w:val="00517486"/>
    <w:rsid w:val="0052319A"/>
    <w:rsid w:val="00523829"/>
    <w:rsid w:val="00523876"/>
    <w:rsid w:val="0053058F"/>
    <w:rsid w:val="005345D0"/>
    <w:rsid w:val="005372D1"/>
    <w:rsid w:val="005405BB"/>
    <w:rsid w:val="00540971"/>
    <w:rsid w:val="00542EA5"/>
    <w:rsid w:val="00550FB9"/>
    <w:rsid w:val="00554695"/>
    <w:rsid w:val="005558A2"/>
    <w:rsid w:val="00556C5B"/>
    <w:rsid w:val="0056323D"/>
    <w:rsid w:val="00570D65"/>
    <w:rsid w:val="00574BC5"/>
    <w:rsid w:val="00575750"/>
    <w:rsid w:val="005812AD"/>
    <w:rsid w:val="00581DFC"/>
    <w:rsid w:val="00582E66"/>
    <w:rsid w:val="00583DB0"/>
    <w:rsid w:val="00585C29"/>
    <w:rsid w:val="005873E0"/>
    <w:rsid w:val="00592763"/>
    <w:rsid w:val="00593E81"/>
    <w:rsid w:val="005969FE"/>
    <w:rsid w:val="005A3717"/>
    <w:rsid w:val="005A507D"/>
    <w:rsid w:val="005A7BC4"/>
    <w:rsid w:val="005B08FD"/>
    <w:rsid w:val="005B13C7"/>
    <w:rsid w:val="005B1EE9"/>
    <w:rsid w:val="005B4A1A"/>
    <w:rsid w:val="005C1F06"/>
    <w:rsid w:val="005C1FD4"/>
    <w:rsid w:val="005C2E0B"/>
    <w:rsid w:val="005C65A1"/>
    <w:rsid w:val="005D010B"/>
    <w:rsid w:val="005D1E09"/>
    <w:rsid w:val="005D21CD"/>
    <w:rsid w:val="005D3B5B"/>
    <w:rsid w:val="005E503B"/>
    <w:rsid w:val="005E5B9C"/>
    <w:rsid w:val="005E64D2"/>
    <w:rsid w:val="005F1431"/>
    <w:rsid w:val="005F2B08"/>
    <w:rsid w:val="005F33BC"/>
    <w:rsid w:val="005F4984"/>
    <w:rsid w:val="00604748"/>
    <w:rsid w:val="006052CC"/>
    <w:rsid w:val="00605EF9"/>
    <w:rsid w:val="006077D9"/>
    <w:rsid w:val="00610AED"/>
    <w:rsid w:val="0061613E"/>
    <w:rsid w:val="0062035B"/>
    <w:rsid w:val="00625192"/>
    <w:rsid w:val="0062685A"/>
    <w:rsid w:val="00631133"/>
    <w:rsid w:val="00635751"/>
    <w:rsid w:val="00643A14"/>
    <w:rsid w:val="0064404F"/>
    <w:rsid w:val="00645F26"/>
    <w:rsid w:val="00662A73"/>
    <w:rsid w:val="006636E7"/>
    <w:rsid w:val="006730D5"/>
    <w:rsid w:val="00673B94"/>
    <w:rsid w:val="0067417D"/>
    <w:rsid w:val="006836DD"/>
    <w:rsid w:val="00687891"/>
    <w:rsid w:val="00691EB5"/>
    <w:rsid w:val="00692D2D"/>
    <w:rsid w:val="0069317D"/>
    <w:rsid w:val="006A27DD"/>
    <w:rsid w:val="006B0611"/>
    <w:rsid w:val="006B26FE"/>
    <w:rsid w:val="006B4B14"/>
    <w:rsid w:val="006C1572"/>
    <w:rsid w:val="006C4E92"/>
    <w:rsid w:val="006E1D56"/>
    <w:rsid w:val="006E3B39"/>
    <w:rsid w:val="006E4CDB"/>
    <w:rsid w:val="006E54FC"/>
    <w:rsid w:val="006E569E"/>
    <w:rsid w:val="006E6406"/>
    <w:rsid w:val="006E7AD5"/>
    <w:rsid w:val="006F0160"/>
    <w:rsid w:val="006F1470"/>
    <w:rsid w:val="006F29C1"/>
    <w:rsid w:val="006F4A8B"/>
    <w:rsid w:val="006F730B"/>
    <w:rsid w:val="0070228F"/>
    <w:rsid w:val="00702CE2"/>
    <w:rsid w:val="00704DF9"/>
    <w:rsid w:val="007114F4"/>
    <w:rsid w:val="00711B9A"/>
    <w:rsid w:val="00713CF9"/>
    <w:rsid w:val="0072095B"/>
    <w:rsid w:val="00721D14"/>
    <w:rsid w:val="007318CD"/>
    <w:rsid w:val="007356CF"/>
    <w:rsid w:val="007417AD"/>
    <w:rsid w:val="00744E72"/>
    <w:rsid w:val="00745BE7"/>
    <w:rsid w:val="00746485"/>
    <w:rsid w:val="0075019F"/>
    <w:rsid w:val="00750CC0"/>
    <w:rsid w:val="00751418"/>
    <w:rsid w:val="00754027"/>
    <w:rsid w:val="00762372"/>
    <w:rsid w:val="00763F08"/>
    <w:rsid w:val="00767A2F"/>
    <w:rsid w:val="00770EF7"/>
    <w:rsid w:val="00772B01"/>
    <w:rsid w:val="00782383"/>
    <w:rsid w:val="00783A93"/>
    <w:rsid w:val="0078513B"/>
    <w:rsid w:val="00787250"/>
    <w:rsid w:val="00792161"/>
    <w:rsid w:val="007961A3"/>
    <w:rsid w:val="007965E2"/>
    <w:rsid w:val="007A13D6"/>
    <w:rsid w:val="007A38F0"/>
    <w:rsid w:val="007A6B33"/>
    <w:rsid w:val="007B2E2C"/>
    <w:rsid w:val="007C2891"/>
    <w:rsid w:val="007C2A06"/>
    <w:rsid w:val="007C7905"/>
    <w:rsid w:val="007D43A9"/>
    <w:rsid w:val="007D54A4"/>
    <w:rsid w:val="007D796B"/>
    <w:rsid w:val="007E24D6"/>
    <w:rsid w:val="007F4573"/>
    <w:rsid w:val="007F5B32"/>
    <w:rsid w:val="0080458D"/>
    <w:rsid w:val="00804755"/>
    <w:rsid w:val="00805E4C"/>
    <w:rsid w:val="00811B40"/>
    <w:rsid w:val="0083704F"/>
    <w:rsid w:val="0084040E"/>
    <w:rsid w:val="00841240"/>
    <w:rsid w:val="008421D9"/>
    <w:rsid w:val="00845B0E"/>
    <w:rsid w:val="008552BE"/>
    <w:rsid w:val="00855597"/>
    <w:rsid w:val="00855611"/>
    <w:rsid w:val="00855C61"/>
    <w:rsid w:val="00855F40"/>
    <w:rsid w:val="00861F64"/>
    <w:rsid w:val="00862069"/>
    <w:rsid w:val="00862DC7"/>
    <w:rsid w:val="00864ABD"/>
    <w:rsid w:val="00870AAA"/>
    <w:rsid w:val="008715F1"/>
    <w:rsid w:val="00872D59"/>
    <w:rsid w:val="00875D43"/>
    <w:rsid w:val="008803D3"/>
    <w:rsid w:val="00884ADD"/>
    <w:rsid w:val="0089049C"/>
    <w:rsid w:val="00894099"/>
    <w:rsid w:val="00895852"/>
    <w:rsid w:val="00896BC9"/>
    <w:rsid w:val="008A11FC"/>
    <w:rsid w:val="008A618B"/>
    <w:rsid w:val="008A734C"/>
    <w:rsid w:val="008A74C4"/>
    <w:rsid w:val="008B1E29"/>
    <w:rsid w:val="008B682D"/>
    <w:rsid w:val="008C0D34"/>
    <w:rsid w:val="008C208E"/>
    <w:rsid w:val="008C22EF"/>
    <w:rsid w:val="008C33A2"/>
    <w:rsid w:val="008C4BA1"/>
    <w:rsid w:val="008C4EFF"/>
    <w:rsid w:val="008C5647"/>
    <w:rsid w:val="008D13A8"/>
    <w:rsid w:val="008D7F4B"/>
    <w:rsid w:val="008E089B"/>
    <w:rsid w:val="008E0F42"/>
    <w:rsid w:val="008E18D0"/>
    <w:rsid w:val="008E27A2"/>
    <w:rsid w:val="008E49B3"/>
    <w:rsid w:val="008E5097"/>
    <w:rsid w:val="008E5315"/>
    <w:rsid w:val="008E7A28"/>
    <w:rsid w:val="008F0DED"/>
    <w:rsid w:val="008F36F9"/>
    <w:rsid w:val="008F46D8"/>
    <w:rsid w:val="00905047"/>
    <w:rsid w:val="009055CE"/>
    <w:rsid w:val="009077DE"/>
    <w:rsid w:val="00911018"/>
    <w:rsid w:val="0091668F"/>
    <w:rsid w:val="00917766"/>
    <w:rsid w:val="00920AD0"/>
    <w:rsid w:val="00922564"/>
    <w:rsid w:val="0092314C"/>
    <w:rsid w:val="0092399D"/>
    <w:rsid w:val="009268FA"/>
    <w:rsid w:val="00930B47"/>
    <w:rsid w:val="0093343C"/>
    <w:rsid w:val="00935555"/>
    <w:rsid w:val="00936B5B"/>
    <w:rsid w:val="00937A27"/>
    <w:rsid w:val="00942470"/>
    <w:rsid w:val="00942497"/>
    <w:rsid w:val="009437F2"/>
    <w:rsid w:val="009468C4"/>
    <w:rsid w:val="00951593"/>
    <w:rsid w:val="00953CF8"/>
    <w:rsid w:val="00960BA7"/>
    <w:rsid w:val="00961A98"/>
    <w:rsid w:val="00970E0E"/>
    <w:rsid w:val="009728E6"/>
    <w:rsid w:val="009830BE"/>
    <w:rsid w:val="00985089"/>
    <w:rsid w:val="0099135C"/>
    <w:rsid w:val="009930B3"/>
    <w:rsid w:val="009A1514"/>
    <w:rsid w:val="009A2726"/>
    <w:rsid w:val="009A634F"/>
    <w:rsid w:val="009B054C"/>
    <w:rsid w:val="009B17C5"/>
    <w:rsid w:val="009B1DC9"/>
    <w:rsid w:val="009B557F"/>
    <w:rsid w:val="009C5A9F"/>
    <w:rsid w:val="009C68AB"/>
    <w:rsid w:val="009D3E58"/>
    <w:rsid w:val="009D5211"/>
    <w:rsid w:val="009D5B39"/>
    <w:rsid w:val="009D6758"/>
    <w:rsid w:val="009D747D"/>
    <w:rsid w:val="009D7A97"/>
    <w:rsid w:val="009E0017"/>
    <w:rsid w:val="009E5DEB"/>
    <w:rsid w:val="009E7634"/>
    <w:rsid w:val="009E7E97"/>
    <w:rsid w:val="009F2D4D"/>
    <w:rsid w:val="009F6B7E"/>
    <w:rsid w:val="00A010DB"/>
    <w:rsid w:val="00A015D0"/>
    <w:rsid w:val="00A13901"/>
    <w:rsid w:val="00A14374"/>
    <w:rsid w:val="00A2099C"/>
    <w:rsid w:val="00A22F39"/>
    <w:rsid w:val="00A24ED4"/>
    <w:rsid w:val="00A277E5"/>
    <w:rsid w:val="00A303A2"/>
    <w:rsid w:val="00A32DC7"/>
    <w:rsid w:val="00A34469"/>
    <w:rsid w:val="00A348EA"/>
    <w:rsid w:val="00A36BE9"/>
    <w:rsid w:val="00A41010"/>
    <w:rsid w:val="00A42AC0"/>
    <w:rsid w:val="00A45F30"/>
    <w:rsid w:val="00A65216"/>
    <w:rsid w:val="00A706A1"/>
    <w:rsid w:val="00A71EBC"/>
    <w:rsid w:val="00A75369"/>
    <w:rsid w:val="00A81434"/>
    <w:rsid w:val="00A8166F"/>
    <w:rsid w:val="00A829C8"/>
    <w:rsid w:val="00A83A66"/>
    <w:rsid w:val="00A85941"/>
    <w:rsid w:val="00A8765D"/>
    <w:rsid w:val="00AA743A"/>
    <w:rsid w:val="00AB11DD"/>
    <w:rsid w:val="00AB4AA6"/>
    <w:rsid w:val="00AC114C"/>
    <w:rsid w:val="00AC245F"/>
    <w:rsid w:val="00AC79EA"/>
    <w:rsid w:val="00AD1DC7"/>
    <w:rsid w:val="00AD37AA"/>
    <w:rsid w:val="00AD5887"/>
    <w:rsid w:val="00AF05F8"/>
    <w:rsid w:val="00AF62C4"/>
    <w:rsid w:val="00B00FCC"/>
    <w:rsid w:val="00B012FD"/>
    <w:rsid w:val="00B04D53"/>
    <w:rsid w:val="00B0674E"/>
    <w:rsid w:val="00B067C6"/>
    <w:rsid w:val="00B10786"/>
    <w:rsid w:val="00B119FF"/>
    <w:rsid w:val="00B13DF1"/>
    <w:rsid w:val="00B16760"/>
    <w:rsid w:val="00B22EAE"/>
    <w:rsid w:val="00B24C4A"/>
    <w:rsid w:val="00B266CC"/>
    <w:rsid w:val="00B30B2B"/>
    <w:rsid w:val="00B32060"/>
    <w:rsid w:val="00B33145"/>
    <w:rsid w:val="00B36533"/>
    <w:rsid w:val="00B36C30"/>
    <w:rsid w:val="00B52824"/>
    <w:rsid w:val="00B57979"/>
    <w:rsid w:val="00B60AE8"/>
    <w:rsid w:val="00B613CA"/>
    <w:rsid w:val="00B62072"/>
    <w:rsid w:val="00B66220"/>
    <w:rsid w:val="00B66E1B"/>
    <w:rsid w:val="00B70694"/>
    <w:rsid w:val="00B72B59"/>
    <w:rsid w:val="00B759DB"/>
    <w:rsid w:val="00B77EDF"/>
    <w:rsid w:val="00B8184B"/>
    <w:rsid w:val="00B82421"/>
    <w:rsid w:val="00B87160"/>
    <w:rsid w:val="00B92A93"/>
    <w:rsid w:val="00B965C4"/>
    <w:rsid w:val="00BA3898"/>
    <w:rsid w:val="00BA7A5D"/>
    <w:rsid w:val="00BB1FDD"/>
    <w:rsid w:val="00BC4C5F"/>
    <w:rsid w:val="00BC6E63"/>
    <w:rsid w:val="00BD0A72"/>
    <w:rsid w:val="00BD385E"/>
    <w:rsid w:val="00BE0A55"/>
    <w:rsid w:val="00BE1D11"/>
    <w:rsid w:val="00BF11C8"/>
    <w:rsid w:val="00BF5956"/>
    <w:rsid w:val="00BF7573"/>
    <w:rsid w:val="00BF7A8C"/>
    <w:rsid w:val="00C00E82"/>
    <w:rsid w:val="00C04225"/>
    <w:rsid w:val="00C048A1"/>
    <w:rsid w:val="00C04AB4"/>
    <w:rsid w:val="00C12515"/>
    <w:rsid w:val="00C1267F"/>
    <w:rsid w:val="00C16DB0"/>
    <w:rsid w:val="00C17E00"/>
    <w:rsid w:val="00C214C0"/>
    <w:rsid w:val="00C31C25"/>
    <w:rsid w:val="00C31D90"/>
    <w:rsid w:val="00C336E1"/>
    <w:rsid w:val="00C35D8B"/>
    <w:rsid w:val="00C416B1"/>
    <w:rsid w:val="00C44641"/>
    <w:rsid w:val="00C4659B"/>
    <w:rsid w:val="00C52612"/>
    <w:rsid w:val="00C5303A"/>
    <w:rsid w:val="00C5354B"/>
    <w:rsid w:val="00C5720C"/>
    <w:rsid w:val="00C57C29"/>
    <w:rsid w:val="00C6052E"/>
    <w:rsid w:val="00C62F5C"/>
    <w:rsid w:val="00C74A6B"/>
    <w:rsid w:val="00C853EA"/>
    <w:rsid w:val="00C8594D"/>
    <w:rsid w:val="00C948CB"/>
    <w:rsid w:val="00C95CDA"/>
    <w:rsid w:val="00CA186B"/>
    <w:rsid w:val="00CA3763"/>
    <w:rsid w:val="00CA537F"/>
    <w:rsid w:val="00CA5B66"/>
    <w:rsid w:val="00CA61CA"/>
    <w:rsid w:val="00CB257C"/>
    <w:rsid w:val="00CB464B"/>
    <w:rsid w:val="00CB5BA0"/>
    <w:rsid w:val="00CB7EF3"/>
    <w:rsid w:val="00CC08F8"/>
    <w:rsid w:val="00CC2282"/>
    <w:rsid w:val="00CC2A9B"/>
    <w:rsid w:val="00CD105D"/>
    <w:rsid w:val="00CD2660"/>
    <w:rsid w:val="00CE4F3A"/>
    <w:rsid w:val="00CF19A5"/>
    <w:rsid w:val="00D00EFA"/>
    <w:rsid w:val="00D040F1"/>
    <w:rsid w:val="00D0493D"/>
    <w:rsid w:val="00D10D46"/>
    <w:rsid w:val="00D1104B"/>
    <w:rsid w:val="00D15586"/>
    <w:rsid w:val="00D167BD"/>
    <w:rsid w:val="00D225EB"/>
    <w:rsid w:val="00D22AD4"/>
    <w:rsid w:val="00D345B3"/>
    <w:rsid w:val="00D3742F"/>
    <w:rsid w:val="00D375B8"/>
    <w:rsid w:val="00D40C45"/>
    <w:rsid w:val="00D423B2"/>
    <w:rsid w:val="00D43440"/>
    <w:rsid w:val="00D476E0"/>
    <w:rsid w:val="00D5547A"/>
    <w:rsid w:val="00D672DF"/>
    <w:rsid w:val="00D700DE"/>
    <w:rsid w:val="00D74B2C"/>
    <w:rsid w:val="00D7576D"/>
    <w:rsid w:val="00D77219"/>
    <w:rsid w:val="00D8031F"/>
    <w:rsid w:val="00D8704F"/>
    <w:rsid w:val="00D9110F"/>
    <w:rsid w:val="00DA2F90"/>
    <w:rsid w:val="00DA38F2"/>
    <w:rsid w:val="00DA494C"/>
    <w:rsid w:val="00DA5136"/>
    <w:rsid w:val="00DA6649"/>
    <w:rsid w:val="00DA799C"/>
    <w:rsid w:val="00DB39FF"/>
    <w:rsid w:val="00DD542B"/>
    <w:rsid w:val="00DE472A"/>
    <w:rsid w:val="00DF0679"/>
    <w:rsid w:val="00DF2731"/>
    <w:rsid w:val="00DF4C2B"/>
    <w:rsid w:val="00E014B1"/>
    <w:rsid w:val="00E034AA"/>
    <w:rsid w:val="00E0460E"/>
    <w:rsid w:val="00E12D6C"/>
    <w:rsid w:val="00E130AC"/>
    <w:rsid w:val="00E20973"/>
    <w:rsid w:val="00E2263F"/>
    <w:rsid w:val="00E232BE"/>
    <w:rsid w:val="00E25B6A"/>
    <w:rsid w:val="00E2603A"/>
    <w:rsid w:val="00E270DA"/>
    <w:rsid w:val="00E34B73"/>
    <w:rsid w:val="00E34FFB"/>
    <w:rsid w:val="00E35C51"/>
    <w:rsid w:val="00E41466"/>
    <w:rsid w:val="00E41CC2"/>
    <w:rsid w:val="00E50C3C"/>
    <w:rsid w:val="00E55215"/>
    <w:rsid w:val="00E565E4"/>
    <w:rsid w:val="00E63955"/>
    <w:rsid w:val="00E63ECA"/>
    <w:rsid w:val="00E64DF6"/>
    <w:rsid w:val="00E727B3"/>
    <w:rsid w:val="00E747C6"/>
    <w:rsid w:val="00E82753"/>
    <w:rsid w:val="00E8418C"/>
    <w:rsid w:val="00E86D04"/>
    <w:rsid w:val="00E87762"/>
    <w:rsid w:val="00E9444C"/>
    <w:rsid w:val="00E94E7F"/>
    <w:rsid w:val="00E96376"/>
    <w:rsid w:val="00EA42CC"/>
    <w:rsid w:val="00EA6BF0"/>
    <w:rsid w:val="00EB2E08"/>
    <w:rsid w:val="00EB2EEE"/>
    <w:rsid w:val="00EB4D5D"/>
    <w:rsid w:val="00EC2523"/>
    <w:rsid w:val="00EC3EF7"/>
    <w:rsid w:val="00EC5073"/>
    <w:rsid w:val="00EC6D98"/>
    <w:rsid w:val="00EC7FF8"/>
    <w:rsid w:val="00ED0B16"/>
    <w:rsid w:val="00ED4925"/>
    <w:rsid w:val="00ED5B34"/>
    <w:rsid w:val="00EE28A5"/>
    <w:rsid w:val="00EE38A7"/>
    <w:rsid w:val="00EF0861"/>
    <w:rsid w:val="00EF0B8E"/>
    <w:rsid w:val="00EF4090"/>
    <w:rsid w:val="00EF4AF3"/>
    <w:rsid w:val="00EF5FFD"/>
    <w:rsid w:val="00F05AC3"/>
    <w:rsid w:val="00F05DEC"/>
    <w:rsid w:val="00F0759C"/>
    <w:rsid w:val="00F1368F"/>
    <w:rsid w:val="00F1374F"/>
    <w:rsid w:val="00F15884"/>
    <w:rsid w:val="00F1655E"/>
    <w:rsid w:val="00F172E3"/>
    <w:rsid w:val="00F2058D"/>
    <w:rsid w:val="00F20834"/>
    <w:rsid w:val="00F224BF"/>
    <w:rsid w:val="00F22B7D"/>
    <w:rsid w:val="00F22E62"/>
    <w:rsid w:val="00F22FD0"/>
    <w:rsid w:val="00F24372"/>
    <w:rsid w:val="00F25F94"/>
    <w:rsid w:val="00F26104"/>
    <w:rsid w:val="00F31524"/>
    <w:rsid w:val="00F31E90"/>
    <w:rsid w:val="00F3207C"/>
    <w:rsid w:val="00F33B71"/>
    <w:rsid w:val="00F3565D"/>
    <w:rsid w:val="00F41436"/>
    <w:rsid w:val="00F42DEB"/>
    <w:rsid w:val="00F45478"/>
    <w:rsid w:val="00F5621A"/>
    <w:rsid w:val="00F60B1E"/>
    <w:rsid w:val="00F647CB"/>
    <w:rsid w:val="00F65587"/>
    <w:rsid w:val="00F72A74"/>
    <w:rsid w:val="00F751CF"/>
    <w:rsid w:val="00F77106"/>
    <w:rsid w:val="00F82269"/>
    <w:rsid w:val="00F86101"/>
    <w:rsid w:val="00F879A1"/>
    <w:rsid w:val="00F9031D"/>
    <w:rsid w:val="00FA2537"/>
    <w:rsid w:val="00FA2DFA"/>
    <w:rsid w:val="00FB0926"/>
    <w:rsid w:val="00FB442C"/>
    <w:rsid w:val="00FC1DD2"/>
    <w:rsid w:val="00FC2917"/>
    <w:rsid w:val="00FC6ED3"/>
    <w:rsid w:val="00FC7913"/>
    <w:rsid w:val="00FD1302"/>
    <w:rsid w:val="00FD4ABE"/>
    <w:rsid w:val="00FD70BA"/>
    <w:rsid w:val="00FE1CD5"/>
    <w:rsid w:val="00FE7697"/>
    <w:rsid w:val="00FF0C35"/>
    <w:rsid w:val="00FF28B2"/>
    <w:rsid w:val="00FF2E4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29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paragraph" w:styleId="Heading1">
    <w:name w:val="heading 1"/>
    <w:basedOn w:val="Normal"/>
    <w:next w:val="Normal"/>
    <w:qFormat/>
    <w:pPr>
      <w:keepNext/>
      <w:outlineLvl w:val="0"/>
    </w:pPr>
    <w:rPr>
      <w:rFonts w:ascii="Palatino" w:hAnsi="Palatino"/>
      <w:b/>
      <w:sz w:val="24"/>
      <w:u w:val="single"/>
    </w:rPr>
  </w:style>
  <w:style w:type="paragraph" w:styleId="Heading2">
    <w:name w:val="heading 2"/>
    <w:basedOn w:val="Normal"/>
    <w:next w:val="Normal"/>
    <w:qFormat/>
    <w:pPr>
      <w:keepNext/>
      <w:tabs>
        <w:tab w:val="left" w:pos="720"/>
      </w:tabs>
      <w:spacing w:after="120"/>
      <w:ind w:left="720"/>
      <w:outlineLvl w:val="1"/>
    </w:pPr>
    <w:rPr>
      <w:rFonts w:ascii="Palatino" w:hAnsi="Palatino"/>
      <w:b/>
      <w:sz w:val="24"/>
    </w:rPr>
  </w:style>
  <w:style w:type="paragraph" w:styleId="Heading3">
    <w:name w:val="heading 3"/>
    <w:basedOn w:val="Normal"/>
    <w:next w:val="Normal"/>
    <w:qFormat/>
    <w:pPr>
      <w:keepNext/>
      <w:outlineLvl w:val="2"/>
    </w:pPr>
    <w:rPr>
      <w:rFonts w:ascii="Palatino" w:hAnsi="Palatino"/>
      <w:sz w:val="24"/>
    </w:rPr>
  </w:style>
  <w:style w:type="paragraph" w:styleId="Heading4">
    <w:name w:val="heading 4"/>
    <w:basedOn w:val="Normal"/>
    <w:next w:val="Normal"/>
    <w:qFormat/>
    <w:pPr>
      <w:keepNext/>
      <w:spacing w:after="120"/>
      <w:ind w:left="720"/>
      <w:outlineLvl w:val="3"/>
    </w:pPr>
    <w:rPr>
      <w:rFonts w:ascii="Palatino" w:hAnsi="Palatino"/>
      <w:b/>
      <w:sz w:val="24"/>
      <w:u w:val="single"/>
    </w:rPr>
  </w:style>
  <w:style w:type="paragraph" w:styleId="Heading5">
    <w:name w:val="heading 5"/>
    <w:basedOn w:val="Normal"/>
    <w:next w:val="Normal"/>
    <w:qFormat/>
    <w:pPr>
      <w:keepNext/>
      <w:ind w:left="720" w:right="1440"/>
      <w:outlineLvl w:val="4"/>
    </w:pPr>
    <w:rPr>
      <w:rFonts w:ascii="Palatino" w:hAnsi="Palatino"/>
      <w:b/>
      <w:bCs/>
      <w:sz w:val="24"/>
    </w:rPr>
  </w:style>
  <w:style w:type="paragraph" w:styleId="Heading6">
    <w:name w:val="heading 6"/>
    <w:basedOn w:val="Normal"/>
    <w:next w:val="Normal"/>
    <w:qFormat/>
    <w:pPr>
      <w:keepNext/>
      <w:spacing w:before="120"/>
      <w:jc w:val="right"/>
      <w:outlineLvl w:val="5"/>
    </w:pPr>
    <w:rPr>
      <w:sz w:val="24"/>
    </w:rPr>
  </w:style>
  <w:style w:type="paragraph" w:styleId="Heading7">
    <w:name w:val="heading 7"/>
    <w:basedOn w:val="Normal"/>
    <w:next w:val="Normal"/>
    <w:qFormat/>
    <w:pPr>
      <w:keepNext/>
      <w:spacing w:after="120"/>
      <w:ind w:right="-720" w:firstLine="720"/>
      <w:outlineLvl w:val="6"/>
    </w:pPr>
    <w:rPr>
      <w:rFonts w:ascii="Palatino" w:hAnsi="Palatino"/>
      <w:b/>
      <w:sz w:val="24"/>
      <w:u w:val="single"/>
    </w:rPr>
  </w:style>
  <w:style w:type="paragraph" w:styleId="Heading8">
    <w:name w:val="heading 8"/>
    <w:basedOn w:val="Normal"/>
    <w:next w:val="Normal"/>
    <w:qFormat/>
    <w:pPr>
      <w:keepNext/>
      <w:spacing w:after="120"/>
      <w:ind w:firstLine="720"/>
      <w:outlineLvl w:val="7"/>
    </w:pPr>
    <w:rPr>
      <w:b/>
      <w:sz w:val="24"/>
      <w:u w:val="single"/>
    </w:rPr>
  </w:style>
  <w:style w:type="paragraph" w:styleId="Heading9">
    <w:name w:val="heading 9"/>
    <w:basedOn w:val="Normal"/>
    <w:next w:val="Normal"/>
    <w:qFormat/>
    <w:pPr>
      <w:keepNext/>
      <w:outlineLvl w:val="8"/>
    </w:pPr>
    <w:rPr>
      <w:rFonts w:ascii="Palatino" w:hAnsi="Palatino"/>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styleId="Title">
    <w:name w:val="Title"/>
    <w:basedOn w:val="Normal"/>
    <w:qFormat/>
    <w:pPr>
      <w:jc w:val="center"/>
    </w:pPr>
    <w:rPr>
      <w:b/>
      <w:sz w:val="24"/>
    </w:rPr>
  </w:style>
  <w:style w:type="paragraph" w:styleId="BlockText">
    <w:name w:val="Block Text"/>
    <w:basedOn w:val="Normal"/>
    <w:pPr>
      <w:ind w:left="720" w:right="720"/>
      <w:jc w:val="both"/>
    </w:pPr>
    <w:rPr>
      <w:rFonts w:ascii="Palatino" w:hAnsi="Palatino"/>
      <w:sz w:val="24"/>
    </w:rPr>
  </w:style>
  <w:style w:type="paragraph" w:styleId="BodyText">
    <w:name w:val="Body Text"/>
    <w:basedOn w:val="Normal"/>
    <w:link w:val="BodyTextChar1"/>
    <w:pPr>
      <w:tabs>
        <w:tab w:val="left" w:pos="720"/>
      </w:tabs>
      <w:spacing w:after="120"/>
    </w:pPr>
    <w:rPr>
      <w:rFonts w:ascii="Palatino" w:hAnsi="Palatino"/>
      <w:sz w:val="24"/>
    </w:rPr>
  </w:style>
  <w:style w:type="paragraph" w:styleId="FootnoteText">
    <w:name w:val="footnote text"/>
    <w:basedOn w:val="Normal"/>
    <w:semiHidden/>
  </w:style>
  <w:style w:type="character" w:styleId="FootnoteReference">
    <w:name w:val="footnote reference"/>
    <w:semiHidden/>
    <w:rPr>
      <w:vertAlign w:val="superscript"/>
    </w:rPr>
  </w:style>
  <w:style w:type="paragraph" w:styleId="BodyText2">
    <w:name w:val="Body Text 2"/>
    <w:basedOn w:val="Normal"/>
    <w:pPr>
      <w:spacing w:after="120"/>
      <w:ind w:right="-720"/>
    </w:pPr>
    <w:rPr>
      <w:sz w:val="24"/>
    </w:rPr>
  </w:style>
  <w:style w:type="character" w:styleId="Hyperlink">
    <w:name w:val="Hyperlink"/>
    <w:rPr>
      <w:color w:val="0000FF"/>
      <w:u w:val="single"/>
    </w:rPr>
  </w:style>
  <w:style w:type="paragraph" w:customStyle="1" w:styleId="xl41">
    <w:name w:val="xl41"/>
    <w:basedOn w:val="Normal"/>
    <w:pPr>
      <w:overflowPunct w:val="0"/>
      <w:autoSpaceDE w:val="0"/>
      <w:autoSpaceDN w:val="0"/>
      <w:adjustRightInd w:val="0"/>
      <w:spacing w:before="100" w:after="100"/>
      <w:textAlignment w:val="baseline"/>
    </w:pPr>
    <w:rPr>
      <w:rFonts w:ascii="Arial Unicode MS" w:eastAsia="Arial Unicode MS"/>
      <w:sz w:val="24"/>
    </w:rPr>
  </w:style>
  <w:style w:type="character" w:styleId="FollowedHyperlink">
    <w:name w:val="FollowedHyperlink"/>
    <w:rPr>
      <w:color w:val="800080"/>
      <w:u w:val="single"/>
    </w:rPr>
  </w:style>
  <w:style w:type="paragraph" w:styleId="BodyTextIndent">
    <w:name w:val="Body Text Indent"/>
    <w:basedOn w:val="Normal"/>
    <w:pPr>
      <w:tabs>
        <w:tab w:val="left" w:pos="360"/>
      </w:tabs>
      <w:ind w:left="360" w:hanging="360"/>
    </w:pPr>
    <w:rPr>
      <w:rFonts w:ascii="Palatino" w:hAnsi="Palatino"/>
      <w:sz w:val="24"/>
    </w:rPr>
  </w:style>
  <w:style w:type="paragraph" w:styleId="BodyTextIndent2">
    <w:name w:val="Body Text Indent 2"/>
    <w:basedOn w:val="Normal"/>
    <w:pPr>
      <w:ind w:left="60"/>
    </w:pPr>
    <w:rPr>
      <w:rFonts w:ascii="Palatino" w:hAnsi="Palatino"/>
      <w:sz w:val="24"/>
    </w:rPr>
  </w:style>
  <w:style w:type="paragraph" w:styleId="HTMLPreformatted">
    <w:name w:val="HTML Preformatted"/>
    <w:basedOn w:val="Normal"/>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rPr>
  </w:style>
  <w:style w:type="paragraph" w:styleId="BodyTextIndent3">
    <w:name w:val="Body Text Indent 3"/>
    <w:basedOn w:val="Normal"/>
    <w:pPr>
      <w:tabs>
        <w:tab w:val="left" w:pos="360"/>
        <w:tab w:val="left" w:pos="9540"/>
      </w:tabs>
      <w:spacing w:after="120"/>
      <w:ind w:left="360"/>
    </w:pPr>
    <w:rPr>
      <w:rFonts w:ascii="Palatino" w:hAnsi="Palatino"/>
      <w:sz w:val="24"/>
    </w:rPr>
  </w:style>
  <w:style w:type="paragraph" w:customStyle="1" w:styleId="font0">
    <w:name w:val="font0"/>
    <w:basedOn w:val="Normal"/>
    <w:pPr>
      <w:spacing w:before="100" w:beforeAutospacing="1" w:after="100" w:afterAutospacing="1"/>
    </w:pPr>
    <w:rPr>
      <w:rFonts w:ascii="Arial" w:eastAsia="Arial Unicode MS" w:hAnsi="Arial" w:cs="Arial"/>
    </w:rPr>
  </w:style>
  <w:style w:type="paragraph" w:customStyle="1" w:styleId="font5">
    <w:name w:val="font5"/>
    <w:basedOn w:val="Normal"/>
    <w:pPr>
      <w:spacing w:before="100" w:beforeAutospacing="1" w:after="100" w:afterAutospacing="1"/>
    </w:pPr>
    <w:rPr>
      <w:rFonts w:ascii="Arial" w:eastAsia="Arial Unicode MS" w:hAnsi="Arial" w:cs="Arial"/>
      <w:sz w:val="16"/>
      <w:szCs w:val="16"/>
    </w:rPr>
  </w:style>
  <w:style w:type="paragraph" w:customStyle="1" w:styleId="xl24">
    <w:name w:val="xl24"/>
    <w:basedOn w:val="Normal"/>
    <w:pPr>
      <w:spacing w:before="100" w:beforeAutospacing="1" w:after="100" w:afterAutospacing="1"/>
      <w:jc w:val="right"/>
    </w:pPr>
    <w:rPr>
      <w:rFonts w:ascii="Arial Unicode MS" w:eastAsia="Arial Unicode MS" w:hAnsi="Arial Unicode MS" w:cs="Arial Unicode MS"/>
      <w:b/>
      <w:bCs/>
      <w:sz w:val="24"/>
      <w:szCs w:val="24"/>
    </w:rPr>
  </w:style>
  <w:style w:type="paragraph" w:customStyle="1" w:styleId="xl25">
    <w:name w:val="xl25"/>
    <w:basedOn w:val="Normal"/>
    <w:pPr>
      <w:spacing w:before="100" w:beforeAutospacing="1" w:after="100" w:afterAutospacing="1"/>
      <w:jc w:val="right"/>
    </w:pPr>
    <w:rPr>
      <w:rFonts w:ascii="Arial" w:eastAsia="Arial Unicode MS" w:hAnsi="Arial" w:cs="Arial"/>
      <w:b/>
      <w:bCs/>
      <w:sz w:val="24"/>
      <w:szCs w:val="24"/>
      <w:u w:val="single"/>
    </w:rPr>
  </w:style>
  <w:style w:type="paragraph" w:customStyle="1" w:styleId="xl27">
    <w:name w:val="xl27"/>
    <w:basedOn w:val="Normal"/>
    <w:pPr>
      <w:spacing w:before="100" w:beforeAutospacing="1" w:after="100" w:afterAutospacing="1"/>
    </w:pPr>
    <w:rPr>
      <w:rFonts w:ascii="Arial" w:eastAsia="Arial Unicode MS" w:hAnsi="Arial" w:cs="Arial"/>
      <w:sz w:val="24"/>
      <w:szCs w:val="24"/>
    </w:rPr>
  </w:style>
  <w:style w:type="paragraph" w:customStyle="1" w:styleId="xl28">
    <w:name w:val="xl28"/>
    <w:basedOn w:val="Normal"/>
    <w:pPr>
      <w:spacing w:before="100" w:beforeAutospacing="1" w:after="100" w:afterAutospacing="1"/>
    </w:pPr>
    <w:rPr>
      <w:rFonts w:ascii="Arial" w:eastAsia="Arial Unicode MS" w:hAnsi="Arial" w:cs="Arial"/>
      <w:b/>
      <w:bCs/>
      <w:sz w:val="24"/>
      <w:szCs w:val="24"/>
    </w:rPr>
  </w:style>
  <w:style w:type="paragraph" w:customStyle="1" w:styleId="xl30">
    <w:name w:val="xl30"/>
    <w:basedOn w:val="Normal"/>
    <w:pPr>
      <w:spacing w:before="100" w:beforeAutospacing="1" w:after="100" w:afterAutospacing="1"/>
    </w:pPr>
    <w:rPr>
      <w:rFonts w:ascii="Arial Unicode MS" w:eastAsia="Arial Unicode MS" w:hAnsi="Arial Unicode MS" w:cs="Arial Unicode MS"/>
      <w:b/>
      <w:bCs/>
      <w:sz w:val="24"/>
      <w:szCs w:val="24"/>
    </w:rPr>
  </w:style>
  <w:style w:type="paragraph" w:customStyle="1" w:styleId="xl31">
    <w:name w:val="xl31"/>
    <w:basedOn w:val="Normal"/>
    <w:pPr>
      <w:spacing w:before="100" w:beforeAutospacing="1" w:after="100" w:afterAutospacing="1"/>
    </w:pPr>
    <w:rPr>
      <w:rFonts w:ascii="Arial" w:eastAsia="Arial Unicode MS" w:hAnsi="Arial" w:cs="Arial"/>
      <w:b/>
      <w:bCs/>
      <w:sz w:val="24"/>
      <w:szCs w:val="24"/>
    </w:rPr>
  </w:style>
  <w:style w:type="paragraph" w:customStyle="1" w:styleId="xl32">
    <w:name w:val="xl32"/>
    <w:basedOn w:val="Normal"/>
    <w:pPr>
      <w:spacing w:before="100" w:beforeAutospacing="1" w:after="100" w:afterAutospacing="1"/>
    </w:pPr>
    <w:rPr>
      <w:rFonts w:ascii="Arial" w:eastAsia="Arial Unicode MS" w:hAnsi="Arial" w:cs="Arial"/>
      <w:sz w:val="16"/>
      <w:szCs w:val="16"/>
    </w:rPr>
  </w:style>
  <w:style w:type="paragraph" w:customStyle="1" w:styleId="xl33">
    <w:name w:val="xl33"/>
    <w:basedOn w:val="Normal"/>
    <w:pPr>
      <w:spacing w:before="100" w:beforeAutospacing="1" w:after="100" w:afterAutospacing="1"/>
      <w:jc w:val="right"/>
    </w:pPr>
    <w:rPr>
      <w:rFonts w:ascii="Arial Unicode MS" w:eastAsia="Arial Unicode MS" w:hAnsi="Arial Unicode MS" w:cs="Arial Unicode MS"/>
      <w:b/>
      <w:bCs/>
      <w:sz w:val="24"/>
      <w:szCs w:val="24"/>
    </w:rPr>
  </w:style>
  <w:style w:type="paragraph" w:customStyle="1" w:styleId="xl34">
    <w:name w:val="xl34"/>
    <w:basedOn w:val="Normal"/>
    <w:pPr>
      <w:spacing w:before="100" w:beforeAutospacing="1" w:after="100" w:afterAutospacing="1"/>
      <w:jc w:val="right"/>
    </w:pPr>
    <w:rPr>
      <w:rFonts w:ascii="Arial" w:eastAsia="Arial Unicode MS" w:hAnsi="Arial" w:cs="Arial"/>
      <w:b/>
      <w:bCs/>
      <w:sz w:val="24"/>
      <w:szCs w:val="24"/>
      <w:u w:val="single"/>
    </w:rPr>
  </w:style>
  <w:style w:type="paragraph" w:customStyle="1" w:styleId="xl35">
    <w:name w:val="xl35"/>
    <w:basedOn w:val="Normal"/>
    <w:pPr>
      <w:spacing w:before="100" w:beforeAutospacing="1" w:after="100" w:afterAutospacing="1"/>
      <w:jc w:val="right"/>
    </w:pPr>
    <w:rPr>
      <w:rFonts w:ascii="Arial Unicode MS" w:eastAsia="Arial Unicode MS" w:hAnsi="Arial Unicode MS" w:cs="Arial Unicode MS"/>
      <w:sz w:val="24"/>
      <w:szCs w:val="24"/>
    </w:rPr>
  </w:style>
  <w:style w:type="paragraph" w:customStyle="1" w:styleId="xl36">
    <w:name w:val="xl36"/>
    <w:basedOn w:val="Normal"/>
    <w:pPr>
      <w:spacing w:before="100" w:beforeAutospacing="1" w:after="100" w:afterAutospacing="1"/>
      <w:jc w:val="right"/>
    </w:pPr>
    <w:rPr>
      <w:rFonts w:ascii="Arial" w:eastAsia="Arial Unicode MS" w:hAnsi="Arial" w:cs="Arial"/>
      <w:sz w:val="24"/>
      <w:szCs w:val="24"/>
    </w:rPr>
  </w:style>
  <w:style w:type="paragraph" w:customStyle="1" w:styleId="xl37">
    <w:name w:val="xl37"/>
    <w:basedOn w:val="Normal"/>
    <w:pPr>
      <w:spacing w:before="100" w:beforeAutospacing="1" w:after="100" w:afterAutospacing="1"/>
      <w:jc w:val="right"/>
    </w:pPr>
    <w:rPr>
      <w:rFonts w:ascii="Arial" w:eastAsia="Arial Unicode MS" w:hAnsi="Arial" w:cs="Arial"/>
      <w:b/>
      <w:bCs/>
      <w:sz w:val="24"/>
      <w:szCs w:val="24"/>
    </w:rPr>
  </w:style>
  <w:style w:type="paragraph" w:customStyle="1" w:styleId="xl38">
    <w:name w:val="xl38"/>
    <w:basedOn w:val="Normal"/>
    <w:pPr>
      <w:spacing w:before="100" w:beforeAutospacing="1" w:after="100" w:afterAutospacing="1"/>
    </w:pPr>
    <w:rPr>
      <w:rFonts w:ascii="Arial" w:eastAsia="Arial Unicode MS" w:hAnsi="Arial" w:cs="Arial"/>
      <w:b/>
      <w:bCs/>
      <w:sz w:val="24"/>
      <w:szCs w:val="24"/>
    </w:rPr>
  </w:style>
  <w:style w:type="paragraph" w:customStyle="1" w:styleId="xl39">
    <w:name w:val="xl39"/>
    <w:basedOn w:val="Normal"/>
    <w:pPr>
      <w:spacing w:before="100" w:beforeAutospacing="1" w:after="100" w:afterAutospacing="1"/>
      <w:textAlignment w:val="top"/>
    </w:pPr>
    <w:rPr>
      <w:rFonts w:ascii="Arial" w:eastAsia="Arial Unicode MS" w:hAnsi="Arial" w:cs="Arial"/>
      <w:b/>
      <w:bCs/>
      <w:sz w:val="24"/>
      <w:szCs w:val="24"/>
    </w:rPr>
  </w:style>
  <w:style w:type="paragraph" w:customStyle="1" w:styleId="xl40">
    <w:name w:val="xl40"/>
    <w:basedOn w:val="Normal"/>
    <w:pPr>
      <w:spacing w:before="100" w:beforeAutospacing="1" w:after="100" w:afterAutospacing="1"/>
      <w:textAlignment w:val="top"/>
    </w:pPr>
    <w:rPr>
      <w:rFonts w:ascii="Arial" w:eastAsia="Arial Unicode MS" w:hAnsi="Arial" w:cs="Arial"/>
      <w:sz w:val="24"/>
      <w:szCs w:val="24"/>
    </w:rPr>
  </w:style>
  <w:style w:type="paragraph" w:customStyle="1" w:styleId="xl42">
    <w:name w:val="xl42"/>
    <w:basedOn w:val="Normal"/>
    <w:pPr>
      <w:spacing w:before="100" w:beforeAutospacing="1" w:after="100" w:afterAutospacing="1"/>
      <w:jc w:val="right"/>
    </w:pPr>
    <w:rPr>
      <w:rFonts w:ascii="Arial Unicode MS" w:eastAsia="Arial Unicode MS" w:hAnsi="Arial Unicode MS" w:cs="Arial Unicode MS"/>
      <w:b/>
      <w:bCs/>
      <w:sz w:val="24"/>
      <w:szCs w:val="24"/>
    </w:rPr>
  </w:style>
  <w:style w:type="paragraph" w:customStyle="1" w:styleId="xl43">
    <w:name w:val="xl43"/>
    <w:basedOn w:val="Normal"/>
    <w:pPr>
      <w:spacing w:before="100" w:beforeAutospacing="1" w:after="100" w:afterAutospacing="1"/>
      <w:textAlignment w:val="top"/>
    </w:pPr>
    <w:rPr>
      <w:rFonts w:ascii="Arial" w:eastAsia="Arial Unicode MS" w:hAnsi="Arial" w:cs="Arial"/>
      <w:sz w:val="16"/>
      <w:szCs w:val="16"/>
    </w:rPr>
  </w:style>
  <w:style w:type="paragraph" w:customStyle="1" w:styleId="xl44">
    <w:name w:val="xl44"/>
    <w:basedOn w:val="Normal"/>
    <w:pPr>
      <w:spacing w:before="100" w:beforeAutospacing="1" w:after="100" w:afterAutospacing="1"/>
    </w:pPr>
    <w:rPr>
      <w:rFonts w:ascii="Arial" w:eastAsia="Arial Unicode MS" w:hAnsi="Arial" w:cs="Arial"/>
      <w:sz w:val="24"/>
      <w:szCs w:val="24"/>
      <w:u w:val="single"/>
    </w:rPr>
  </w:style>
  <w:style w:type="paragraph" w:customStyle="1" w:styleId="xl45">
    <w:name w:val="xl45"/>
    <w:basedOn w:val="Normal"/>
    <w:pPr>
      <w:spacing w:before="100" w:beforeAutospacing="1" w:after="100" w:afterAutospacing="1"/>
    </w:pPr>
    <w:rPr>
      <w:rFonts w:ascii="Arial" w:eastAsia="Arial Unicode MS" w:hAnsi="Arial" w:cs="Arial"/>
      <w:color w:val="000000"/>
      <w:sz w:val="24"/>
      <w:szCs w:val="24"/>
    </w:rPr>
  </w:style>
  <w:style w:type="paragraph" w:customStyle="1" w:styleId="xl46">
    <w:name w:val="xl46"/>
    <w:basedOn w:val="Normal"/>
    <w:pPr>
      <w:spacing w:before="100" w:beforeAutospacing="1" w:after="100" w:afterAutospacing="1"/>
      <w:jc w:val="right"/>
    </w:pPr>
    <w:rPr>
      <w:rFonts w:ascii="Arial Unicode MS" w:eastAsia="Arial Unicode MS" w:hAnsi="Arial Unicode MS" w:cs="Arial Unicode MS"/>
      <w:sz w:val="24"/>
      <w:szCs w:val="24"/>
    </w:rPr>
  </w:style>
  <w:style w:type="paragraph" w:customStyle="1" w:styleId="xl47">
    <w:name w:val="xl47"/>
    <w:basedOn w:val="Normal"/>
    <w:pP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48">
    <w:name w:val="xl48"/>
    <w:basedOn w:val="Normal"/>
    <w:pPr>
      <w:spacing w:before="100" w:beforeAutospacing="1" w:after="100" w:afterAutospacing="1"/>
      <w:jc w:val="right"/>
      <w:textAlignment w:val="top"/>
    </w:pPr>
    <w:rPr>
      <w:rFonts w:ascii="Arial Unicode MS" w:eastAsia="Arial Unicode MS" w:hAnsi="Arial Unicode MS" w:cs="Arial Unicode MS"/>
      <w:sz w:val="24"/>
      <w:szCs w:val="24"/>
    </w:rPr>
  </w:style>
  <w:style w:type="paragraph" w:customStyle="1" w:styleId="xl49">
    <w:name w:val="xl49"/>
    <w:basedOn w:val="Normal"/>
    <w:pPr>
      <w:spacing w:before="100" w:beforeAutospacing="1" w:after="100" w:afterAutospacing="1"/>
    </w:pPr>
    <w:rPr>
      <w:rFonts w:ascii="Arial" w:eastAsia="Arial Unicode MS" w:hAnsi="Arial" w:cs="Arial"/>
      <w:b/>
      <w:bCs/>
      <w:sz w:val="24"/>
      <w:szCs w:val="24"/>
    </w:rPr>
  </w:style>
  <w:style w:type="paragraph" w:customStyle="1" w:styleId="xl51">
    <w:name w:val="xl51"/>
    <w:basedOn w:val="Normal"/>
    <w:pPr>
      <w:spacing w:before="100" w:beforeAutospacing="1" w:after="100" w:afterAutospacing="1"/>
      <w:jc w:val="center"/>
    </w:pPr>
    <w:rPr>
      <w:rFonts w:ascii="Arial" w:eastAsia="Arial Unicode MS" w:hAnsi="Arial" w:cs="Arial"/>
      <w:b/>
      <w:bCs/>
      <w:sz w:val="24"/>
      <w:szCs w:val="24"/>
      <w:u w:val="single"/>
    </w:rPr>
  </w:style>
  <w:style w:type="paragraph" w:customStyle="1" w:styleId="xl52">
    <w:name w:val="xl52"/>
    <w:basedOn w:val="Normal"/>
    <w:pPr>
      <w:spacing w:before="100" w:beforeAutospacing="1" w:after="100" w:afterAutospacing="1"/>
      <w:jc w:val="center"/>
    </w:pPr>
    <w:rPr>
      <w:rFonts w:ascii="Arial Unicode MS" w:eastAsia="Arial Unicode MS" w:hAnsi="Arial Unicode MS" w:cs="Arial Unicode MS"/>
      <w:b/>
      <w:bCs/>
      <w:sz w:val="24"/>
      <w:szCs w:val="24"/>
    </w:rPr>
  </w:style>
  <w:style w:type="paragraph" w:customStyle="1" w:styleId="xl53">
    <w:name w:val="xl53"/>
    <w:basedOn w:val="Normal"/>
    <w:pPr>
      <w:spacing w:before="100" w:beforeAutospacing="1" w:after="100" w:afterAutospacing="1"/>
    </w:pPr>
    <w:rPr>
      <w:rFonts w:ascii="Arial" w:eastAsia="Arial Unicode MS" w:hAnsi="Arial" w:cs="Arial"/>
      <w:color w:val="000000"/>
      <w:sz w:val="24"/>
      <w:szCs w:val="24"/>
    </w:rPr>
  </w:style>
  <w:style w:type="paragraph" w:customStyle="1" w:styleId="xl56">
    <w:name w:val="xl56"/>
    <w:basedOn w:val="Normal"/>
    <w:pPr>
      <w:spacing w:before="100" w:beforeAutospacing="1" w:after="100" w:afterAutospacing="1"/>
    </w:pPr>
    <w:rPr>
      <w:rFonts w:ascii="Arial" w:eastAsia="Arial Unicode MS" w:hAnsi="Arial" w:cs="Arial"/>
      <w:color w:val="000000"/>
      <w:sz w:val="24"/>
      <w:szCs w:val="24"/>
    </w:rPr>
  </w:style>
  <w:style w:type="paragraph" w:customStyle="1" w:styleId="xl57">
    <w:name w:val="xl57"/>
    <w:basedOn w:val="Normal"/>
    <w:pPr>
      <w:spacing w:before="100" w:beforeAutospacing="1" w:after="100" w:afterAutospacing="1"/>
      <w:textAlignment w:val="top"/>
    </w:pPr>
    <w:rPr>
      <w:rFonts w:ascii="Arial" w:eastAsia="Arial Unicode MS" w:hAnsi="Arial" w:cs="Arial"/>
      <w:b/>
      <w:bCs/>
      <w:sz w:val="24"/>
      <w:szCs w:val="24"/>
    </w:rPr>
  </w:style>
  <w:style w:type="paragraph" w:styleId="DocumentMap">
    <w:name w:val="Document Map"/>
    <w:basedOn w:val="Normal"/>
    <w:semiHidden/>
    <w:pPr>
      <w:shd w:val="clear" w:color="auto" w:fill="000080"/>
    </w:pPr>
    <w:rPr>
      <w:rFonts w:ascii="Tahoma" w:hAnsi="Tahoma" w:cs="Tahoma"/>
    </w:rPr>
  </w:style>
  <w:style w:type="paragraph" w:styleId="BodyText3">
    <w:name w:val="Body Text 3"/>
    <w:basedOn w:val="Normal"/>
    <w:pPr>
      <w:keepNext/>
      <w:spacing w:after="120"/>
      <w:ind w:right="90"/>
    </w:pPr>
    <w:rPr>
      <w:rFonts w:ascii="Palatino" w:hAnsi="Palatino"/>
      <w:bCs/>
      <w:sz w:val="24"/>
    </w:rPr>
  </w:style>
  <w:style w:type="paragraph" w:styleId="BalloonText">
    <w:name w:val="Balloon Text"/>
    <w:basedOn w:val="Normal"/>
    <w:semiHidden/>
    <w:rPr>
      <w:rFonts w:ascii="Tahoma" w:hAnsi="Tahoma" w:cs="Tahoma"/>
      <w:sz w:val="16"/>
      <w:szCs w:val="16"/>
    </w:rPr>
  </w:style>
  <w:style w:type="paragraph" w:customStyle="1" w:styleId="standard">
    <w:name w:val="standard"/>
    <w:basedOn w:val="Normal"/>
    <w:pPr>
      <w:spacing w:line="360" w:lineRule="auto"/>
      <w:ind w:firstLine="720"/>
    </w:pPr>
    <w:rPr>
      <w:rFonts w:ascii="Palatino" w:hAnsi="Palatino"/>
      <w:sz w:val="26"/>
    </w:rPr>
  </w:style>
  <w:style w:type="paragraph" w:customStyle="1" w:styleId="Default">
    <w:name w:val="Default"/>
    <w:pPr>
      <w:autoSpaceDE w:val="0"/>
      <w:autoSpaceDN w:val="0"/>
      <w:adjustRightInd w:val="0"/>
    </w:pPr>
    <w:rPr>
      <w:color w:val="000000"/>
      <w:sz w:val="24"/>
      <w:szCs w:val="24"/>
    </w:rPr>
  </w:style>
  <w:style w:type="paragraph" w:styleId="NormalWeb">
    <w:name w:val="Normal (Web)"/>
    <w:basedOn w:val="Normal"/>
    <w:pPr>
      <w:spacing w:before="100" w:beforeAutospacing="1" w:after="100" w:afterAutospacing="1"/>
    </w:pPr>
    <w:rPr>
      <w:sz w:val="24"/>
      <w:szCs w:val="24"/>
    </w:rPr>
  </w:style>
  <w:style w:type="paragraph" w:styleId="ListBullet">
    <w:name w:val="List Bullet"/>
    <w:basedOn w:val="Normal"/>
    <w:link w:val="ListBulletChar"/>
    <w:pPr>
      <w:numPr>
        <w:numId w:val="2"/>
      </w:numPr>
    </w:pPr>
  </w:style>
  <w:style w:type="character" w:customStyle="1" w:styleId="ListBulletChar">
    <w:name w:val="List Bullet Char"/>
    <w:link w:val="ListBullet"/>
  </w:style>
  <w:style w:type="paragraph" w:customStyle="1" w:styleId="bodytextblack">
    <w:name w:val="bodytextblack"/>
    <w:basedOn w:val="Normal"/>
    <w:pPr>
      <w:spacing w:before="100" w:beforeAutospacing="1" w:after="100" w:afterAutospacing="1"/>
    </w:pPr>
    <w:rPr>
      <w:rFonts w:ascii="Verdana" w:hAnsi="Verdana"/>
      <w:color w:val="000000"/>
      <w:sz w:val="22"/>
      <w:szCs w:val="22"/>
    </w:rPr>
  </w:style>
  <w:style w:type="character" w:customStyle="1" w:styleId="BodyTextChar1">
    <w:name w:val="Body Text Char1"/>
    <w:link w:val="BodyText"/>
    <w:rPr>
      <w:rFonts w:ascii="Palatino" w:hAnsi="Palatino"/>
      <w:sz w:val="24"/>
      <w:lang w:val="en-US" w:eastAsia="en-US" w:bidi="ar-SA"/>
    </w:rPr>
  </w:style>
  <w:style w:type="character" w:customStyle="1" w:styleId="BodyTextChar">
    <w:name w:val="Body Text Char"/>
    <w:rPr>
      <w:rFonts w:ascii="Palatino" w:hAnsi="Palatino"/>
      <w:sz w:val="24"/>
      <w:lang w:val="en-US" w:eastAsia="en-US" w:bidi="ar-SA"/>
    </w:rPr>
  </w:style>
  <w:style w:type="table" w:styleId="TableGrid">
    <w:name w:val="Table Grid"/>
    <w:basedOn w:val="TableNormal"/>
    <w:rsid w:val="0013468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rsid w:val="00913810"/>
    <w:rPr>
      <w:sz w:val="16"/>
      <w:szCs w:val="16"/>
    </w:rPr>
  </w:style>
  <w:style w:type="paragraph" w:styleId="CommentText">
    <w:name w:val="annotation text"/>
    <w:basedOn w:val="Normal"/>
    <w:link w:val="CommentTextChar"/>
    <w:rsid w:val="00913810"/>
  </w:style>
  <w:style w:type="character" w:customStyle="1" w:styleId="CommentTextChar">
    <w:name w:val="Comment Text Char"/>
    <w:basedOn w:val="DefaultParagraphFont"/>
    <w:link w:val="CommentText"/>
    <w:rsid w:val="00913810"/>
  </w:style>
  <w:style w:type="paragraph" w:styleId="CommentSubject">
    <w:name w:val="annotation subject"/>
    <w:basedOn w:val="CommentText"/>
    <w:next w:val="CommentText"/>
    <w:link w:val="CommentSubjectChar"/>
    <w:rsid w:val="00913810"/>
    <w:rPr>
      <w:b/>
      <w:bCs/>
      <w:lang w:val="x-none" w:eastAsia="x-none"/>
    </w:rPr>
  </w:style>
  <w:style w:type="character" w:customStyle="1" w:styleId="CommentSubjectChar">
    <w:name w:val="Comment Subject Char"/>
    <w:link w:val="CommentSubject"/>
    <w:rsid w:val="00913810"/>
    <w:rPr>
      <w:b/>
      <w:bCs/>
    </w:rPr>
  </w:style>
  <w:style w:type="paragraph" w:customStyle="1" w:styleId="ColorfulList-Accent11">
    <w:name w:val="Colorful List - Accent 11"/>
    <w:basedOn w:val="Normal"/>
    <w:uiPriority w:val="34"/>
    <w:qFormat/>
    <w:rsid w:val="00412A2B"/>
    <w:pPr>
      <w:ind w:left="720"/>
    </w:pPr>
  </w:style>
  <w:style w:type="character" w:customStyle="1" w:styleId="FooterChar">
    <w:name w:val="Footer Char"/>
    <w:link w:val="Footer"/>
    <w:uiPriority w:val="99"/>
    <w:rsid w:val="00EB00F6"/>
  </w:style>
  <w:style w:type="paragraph" w:styleId="ListParagraph">
    <w:name w:val="List Paragraph"/>
    <w:basedOn w:val="Normal"/>
    <w:uiPriority w:val="34"/>
    <w:qFormat/>
    <w:rsid w:val="00DA38F2"/>
    <w:pPr>
      <w:ind w:left="720"/>
    </w:pPr>
  </w:style>
  <w:style w:type="character" w:customStyle="1" w:styleId="tgc">
    <w:name w:val="_tgc"/>
    <w:rsid w:val="00CA3763"/>
  </w:style>
  <w:style w:type="paragraph" w:styleId="Revision">
    <w:name w:val="Revision"/>
    <w:hidden/>
    <w:uiPriority w:val="99"/>
    <w:semiHidden/>
    <w:rsid w:val="00CA5B6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paragraph" w:styleId="Heading1">
    <w:name w:val="heading 1"/>
    <w:basedOn w:val="Normal"/>
    <w:next w:val="Normal"/>
    <w:qFormat/>
    <w:pPr>
      <w:keepNext/>
      <w:outlineLvl w:val="0"/>
    </w:pPr>
    <w:rPr>
      <w:rFonts w:ascii="Palatino" w:hAnsi="Palatino"/>
      <w:b/>
      <w:sz w:val="24"/>
      <w:u w:val="single"/>
    </w:rPr>
  </w:style>
  <w:style w:type="paragraph" w:styleId="Heading2">
    <w:name w:val="heading 2"/>
    <w:basedOn w:val="Normal"/>
    <w:next w:val="Normal"/>
    <w:qFormat/>
    <w:pPr>
      <w:keepNext/>
      <w:tabs>
        <w:tab w:val="left" w:pos="720"/>
      </w:tabs>
      <w:spacing w:after="120"/>
      <w:ind w:left="720"/>
      <w:outlineLvl w:val="1"/>
    </w:pPr>
    <w:rPr>
      <w:rFonts w:ascii="Palatino" w:hAnsi="Palatino"/>
      <w:b/>
      <w:sz w:val="24"/>
    </w:rPr>
  </w:style>
  <w:style w:type="paragraph" w:styleId="Heading3">
    <w:name w:val="heading 3"/>
    <w:basedOn w:val="Normal"/>
    <w:next w:val="Normal"/>
    <w:qFormat/>
    <w:pPr>
      <w:keepNext/>
      <w:outlineLvl w:val="2"/>
    </w:pPr>
    <w:rPr>
      <w:rFonts w:ascii="Palatino" w:hAnsi="Palatino"/>
      <w:sz w:val="24"/>
    </w:rPr>
  </w:style>
  <w:style w:type="paragraph" w:styleId="Heading4">
    <w:name w:val="heading 4"/>
    <w:basedOn w:val="Normal"/>
    <w:next w:val="Normal"/>
    <w:qFormat/>
    <w:pPr>
      <w:keepNext/>
      <w:spacing w:after="120"/>
      <w:ind w:left="720"/>
      <w:outlineLvl w:val="3"/>
    </w:pPr>
    <w:rPr>
      <w:rFonts w:ascii="Palatino" w:hAnsi="Palatino"/>
      <w:b/>
      <w:sz w:val="24"/>
      <w:u w:val="single"/>
    </w:rPr>
  </w:style>
  <w:style w:type="paragraph" w:styleId="Heading5">
    <w:name w:val="heading 5"/>
    <w:basedOn w:val="Normal"/>
    <w:next w:val="Normal"/>
    <w:qFormat/>
    <w:pPr>
      <w:keepNext/>
      <w:ind w:left="720" w:right="1440"/>
      <w:outlineLvl w:val="4"/>
    </w:pPr>
    <w:rPr>
      <w:rFonts w:ascii="Palatino" w:hAnsi="Palatino"/>
      <w:b/>
      <w:bCs/>
      <w:sz w:val="24"/>
    </w:rPr>
  </w:style>
  <w:style w:type="paragraph" w:styleId="Heading6">
    <w:name w:val="heading 6"/>
    <w:basedOn w:val="Normal"/>
    <w:next w:val="Normal"/>
    <w:qFormat/>
    <w:pPr>
      <w:keepNext/>
      <w:spacing w:before="120"/>
      <w:jc w:val="right"/>
      <w:outlineLvl w:val="5"/>
    </w:pPr>
    <w:rPr>
      <w:sz w:val="24"/>
    </w:rPr>
  </w:style>
  <w:style w:type="paragraph" w:styleId="Heading7">
    <w:name w:val="heading 7"/>
    <w:basedOn w:val="Normal"/>
    <w:next w:val="Normal"/>
    <w:qFormat/>
    <w:pPr>
      <w:keepNext/>
      <w:spacing w:after="120"/>
      <w:ind w:right="-720" w:firstLine="720"/>
      <w:outlineLvl w:val="6"/>
    </w:pPr>
    <w:rPr>
      <w:rFonts w:ascii="Palatino" w:hAnsi="Palatino"/>
      <w:b/>
      <w:sz w:val="24"/>
      <w:u w:val="single"/>
    </w:rPr>
  </w:style>
  <w:style w:type="paragraph" w:styleId="Heading8">
    <w:name w:val="heading 8"/>
    <w:basedOn w:val="Normal"/>
    <w:next w:val="Normal"/>
    <w:qFormat/>
    <w:pPr>
      <w:keepNext/>
      <w:spacing w:after="120"/>
      <w:ind w:firstLine="720"/>
      <w:outlineLvl w:val="7"/>
    </w:pPr>
    <w:rPr>
      <w:b/>
      <w:sz w:val="24"/>
      <w:u w:val="single"/>
    </w:rPr>
  </w:style>
  <w:style w:type="paragraph" w:styleId="Heading9">
    <w:name w:val="heading 9"/>
    <w:basedOn w:val="Normal"/>
    <w:next w:val="Normal"/>
    <w:qFormat/>
    <w:pPr>
      <w:keepNext/>
      <w:outlineLvl w:val="8"/>
    </w:pPr>
    <w:rPr>
      <w:rFonts w:ascii="Palatino" w:hAnsi="Palatino"/>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styleId="Title">
    <w:name w:val="Title"/>
    <w:basedOn w:val="Normal"/>
    <w:qFormat/>
    <w:pPr>
      <w:jc w:val="center"/>
    </w:pPr>
    <w:rPr>
      <w:b/>
      <w:sz w:val="24"/>
    </w:rPr>
  </w:style>
  <w:style w:type="paragraph" w:styleId="BlockText">
    <w:name w:val="Block Text"/>
    <w:basedOn w:val="Normal"/>
    <w:pPr>
      <w:ind w:left="720" w:right="720"/>
      <w:jc w:val="both"/>
    </w:pPr>
    <w:rPr>
      <w:rFonts w:ascii="Palatino" w:hAnsi="Palatino"/>
      <w:sz w:val="24"/>
    </w:rPr>
  </w:style>
  <w:style w:type="paragraph" w:styleId="BodyText">
    <w:name w:val="Body Text"/>
    <w:basedOn w:val="Normal"/>
    <w:link w:val="BodyTextChar1"/>
    <w:pPr>
      <w:tabs>
        <w:tab w:val="left" w:pos="720"/>
      </w:tabs>
      <w:spacing w:after="120"/>
    </w:pPr>
    <w:rPr>
      <w:rFonts w:ascii="Palatino" w:hAnsi="Palatino"/>
      <w:sz w:val="24"/>
    </w:rPr>
  </w:style>
  <w:style w:type="paragraph" w:styleId="FootnoteText">
    <w:name w:val="footnote text"/>
    <w:basedOn w:val="Normal"/>
    <w:semiHidden/>
  </w:style>
  <w:style w:type="character" w:styleId="FootnoteReference">
    <w:name w:val="footnote reference"/>
    <w:semiHidden/>
    <w:rPr>
      <w:vertAlign w:val="superscript"/>
    </w:rPr>
  </w:style>
  <w:style w:type="paragraph" w:styleId="BodyText2">
    <w:name w:val="Body Text 2"/>
    <w:basedOn w:val="Normal"/>
    <w:pPr>
      <w:spacing w:after="120"/>
      <w:ind w:right="-720"/>
    </w:pPr>
    <w:rPr>
      <w:sz w:val="24"/>
    </w:rPr>
  </w:style>
  <w:style w:type="character" w:styleId="Hyperlink">
    <w:name w:val="Hyperlink"/>
    <w:rPr>
      <w:color w:val="0000FF"/>
      <w:u w:val="single"/>
    </w:rPr>
  </w:style>
  <w:style w:type="paragraph" w:customStyle="1" w:styleId="xl41">
    <w:name w:val="xl41"/>
    <w:basedOn w:val="Normal"/>
    <w:pPr>
      <w:overflowPunct w:val="0"/>
      <w:autoSpaceDE w:val="0"/>
      <w:autoSpaceDN w:val="0"/>
      <w:adjustRightInd w:val="0"/>
      <w:spacing w:before="100" w:after="100"/>
      <w:textAlignment w:val="baseline"/>
    </w:pPr>
    <w:rPr>
      <w:rFonts w:ascii="Arial Unicode MS" w:eastAsia="Arial Unicode MS"/>
      <w:sz w:val="24"/>
    </w:rPr>
  </w:style>
  <w:style w:type="character" w:styleId="FollowedHyperlink">
    <w:name w:val="FollowedHyperlink"/>
    <w:rPr>
      <w:color w:val="800080"/>
      <w:u w:val="single"/>
    </w:rPr>
  </w:style>
  <w:style w:type="paragraph" w:styleId="BodyTextIndent">
    <w:name w:val="Body Text Indent"/>
    <w:basedOn w:val="Normal"/>
    <w:pPr>
      <w:tabs>
        <w:tab w:val="left" w:pos="360"/>
      </w:tabs>
      <w:ind w:left="360" w:hanging="360"/>
    </w:pPr>
    <w:rPr>
      <w:rFonts w:ascii="Palatino" w:hAnsi="Palatino"/>
      <w:sz w:val="24"/>
    </w:rPr>
  </w:style>
  <w:style w:type="paragraph" w:styleId="BodyTextIndent2">
    <w:name w:val="Body Text Indent 2"/>
    <w:basedOn w:val="Normal"/>
    <w:pPr>
      <w:ind w:left="60"/>
    </w:pPr>
    <w:rPr>
      <w:rFonts w:ascii="Palatino" w:hAnsi="Palatino"/>
      <w:sz w:val="24"/>
    </w:rPr>
  </w:style>
  <w:style w:type="paragraph" w:styleId="HTMLPreformatted">
    <w:name w:val="HTML Preformatted"/>
    <w:basedOn w:val="Normal"/>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rPr>
  </w:style>
  <w:style w:type="paragraph" w:styleId="BodyTextIndent3">
    <w:name w:val="Body Text Indent 3"/>
    <w:basedOn w:val="Normal"/>
    <w:pPr>
      <w:tabs>
        <w:tab w:val="left" w:pos="360"/>
        <w:tab w:val="left" w:pos="9540"/>
      </w:tabs>
      <w:spacing w:after="120"/>
      <w:ind w:left="360"/>
    </w:pPr>
    <w:rPr>
      <w:rFonts w:ascii="Palatino" w:hAnsi="Palatino"/>
      <w:sz w:val="24"/>
    </w:rPr>
  </w:style>
  <w:style w:type="paragraph" w:customStyle="1" w:styleId="font0">
    <w:name w:val="font0"/>
    <w:basedOn w:val="Normal"/>
    <w:pPr>
      <w:spacing w:before="100" w:beforeAutospacing="1" w:after="100" w:afterAutospacing="1"/>
    </w:pPr>
    <w:rPr>
      <w:rFonts w:ascii="Arial" w:eastAsia="Arial Unicode MS" w:hAnsi="Arial" w:cs="Arial"/>
    </w:rPr>
  </w:style>
  <w:style w:type="paragraph" w:customStyle="1" w:styleId="font5">
    <w:name w:val="font5"/>
    <w:basedOn w:val="Normal"/>
    <w:pPr>
      <w:spacing w:before="100" w:beforeAutospacing="1" w:after="100" w:afterAutospacing="1"/>
    </w:pPr>
    <w:rPr>
      <w:rFonts w:ascii="Arial" w:eastAsia="Arial Unicode MS" w:hAnsi="Arial" w:cs="Arial"/>
      <w:sz w:val="16"/>
      <w:szCs w:val="16"/>
    </w:rPr>
  </w:style>
  <w:style w:type="paragraph" w:customStyle="1" w:styleId="xl24">
    <w:name w:val="xl24"/>
    <w:basedOn w:val="Normal"/>
    <w:pPr>
      <w:spacing w:before="100" w:beforeAutospacing="1" w:after="100" w:afterAutospacing="1"/>
      <w:jc w:val="right"/>
    </w:pPr>
    <w:rPr>
      <w:rFonts w:ascii="Arial Unicode MS" w:eastAsia="Arial Unicode MS" w:hAnsi="Arial Unicode MS" w:cs="Arial Unicode MS"/>
      <w:b/>
      <w:bCs/>
      <w:sz w:val="24"/>
      <w:szCs w:val="24"/>
    </w:rPr>
  </w:style>
  <w:style w:type="paragraph" w:customStyle="1" w:styleId="xl25">
    <w:name w:val="xl25"/>
    <w:basedOn w:val="Normal"/>
    <w:pPr>
      <w:spacing w:before="100" w:beforeAutospacing="1" w:after="100" w:afterAutospacing="1"/>
      <w:jc w:val="right"/>
    </w:pPr>
    <w:rPr>
      <w:rFonts w:ascii="Arial" w:eastAsia="Arial Unicode MS" w:hAnsi="Arial" w:cs="Arial"/>
      <w:b/>
      <w:bCs/>
      <w:sz w:val="24"/>
      <w:szCs w:val="24"/>
      <w:u w:val="single"/>
    </w:rPr>
  </w:style>
  <w:style w:type="paragraph" w:customStyle="1" w:styleId="xl27">
    <w:name w:val="xl27"/>
    <w:basedOn w:val="Normal"/>
    <w:pPr>
      <w:spacing w:before="100" w:beforeAutospacing="1" w:after="100" w:afterAutospacing="1"/>
    </w:pPr>
    <w:rPr>
      <w:rFonts w:ascii="Arial" w:eastAsia="Arial Unicode MS" w:hAnsi="Arial" w:cs="Arial"/>
      <w:sz w:val="24"/>
      <w:szCs w:val="24"/>
    </w:rPr>
  </w:style>
  <w:style w:type="paragraph" w:customStyle="1" w:styleId="xl28">
    <w:name w:val="xl28"/>
    <w:basedOn w:val="Normal"/>
    <w:pPr>
      <w:spacing w:before="100" w:beforeAutospacing="1" w:after="100" w:afterAutospacing="1"/>
    </w:pPr>
    <w:rPr>
      <w:rFonts w:ascii="Arial" w:eastAsia="Arial Unicode MS" w:hAnsi="Arial" w:cs="Arial"/>
      <w:b/>
      <w:bCs/>
      <w:sz w:val="24"/>
      <w:szCs w:val="24"/>
    </w:rPr>
  </w:style>
  <w:style w:type="paragraph" w:customStyle="1" w:styleId="xl30">
    <w:name w:val="xl30"/>
    <w:basedOn w:val="Normal"/>
    <w:pPr>
      <w:spacing w:before="100" w:beforeAutospacing="1" w:after="100" w:afterAutospacing="1"/>
    </w:pPr>
    <w:rPr>
      <w:rFonts w:ascii="Arial Unicode MS" w:eastAsia="Arial Unicode MS" w:hAnsi="Arial Unicode MS" w:cs="Arial Unicode MS"/>
      <w:b/>
      <w:bCs/>
      <w:sz w:val="24"/>
      <w:szCs w:val="24"/>
    </w:rPr>
  </w:style>
  <w:style w:type="paragraph" w:customStyle="1" w:styleId="xl31">
    <w:name w:val="xl31"/>
    <w:basedOn w:val="Normal"/>
    <w:pPr>
      <w:spacing w:before="100" w:beforeAutospacing="1" w:after="100" w:afterAutospacing="1"/>
    </w:pPr>
    <w:rPr>
      <w:rFonts w:ascii="Arial" w:eastAsia="Arial Unicode MS" w:hAnsi="Arial" w:cs="Arial"/>
      <w:b/>
      <w:bCs/>
      <w:sz w:val="24"/>
      <w:szCs w:val="24"/>
    </w:rPr>
  </w:style>
  <w:style w:type="paragraph" w:customStyle="1" w:styleId="xl32">
    <w:name w:val="xl32"/>
    <w:basedOn w:val="Normal"/>
    <w:pPr>
      <w:spacing w:before="100" w:beforeAutospacing="1" w:after="100" w:afterAutospacing="1"/>
    </w:pPr>
    <w:rPr>
      <w:rFonts w:ascii="Arial" w:eastAsia="Arial Unicode MS" w:hAnsi="Arial" w:cs="Arial"/>
      <w:sz w:val="16"/>
      <w:szCs w:val="16"/>
    </w:rPr>
  </w:style>
  <w:style w:type="paragraph" w:customStyle="1" w:styleId="xl33">
    <w:name w:val="xl33"/>
    <w:basedOn w:val="Normal"/>
    <w:pPr>
      <w:spacing w:before="100" w:beforeAutospacing="1" w:after="100" w:afterAutospacing="1"/>
      <w:jc w:val="right"/>
    </w:pPr>
    <w:rPr>
      <w:rFonts w:ascii="Arial Unicode MS" w:eastAsia="Arial Unicode MS" w:hAnsi="Arial Unicode MS" w:cs="Arial Unicode MS"/>
      <w:b/>
      <w:bCs/>
      <w:sz w:val="24"/>
      <w:szCs w:val="24"/>
    </w:rPr>
  </w:style>
  <w:style w:type="paragraph" w:customStyle="1" w:styleId="xl34">
    <w:name w:val="xl34"/>
    <w:basedOn w:val="Normal"/>
    <w:pPr>
      <w:spacing w:before="100" w:beforeAutospacing="1" w:after="100" w:afterAutospacing="1"/>
      <w:jc w:val="right"/>
    </w:pPr>
    <w:rPr>
      <w:rFonts w:ascii="Arial" w:eastAsia="Arial Unicode MS" w:hAnsi="Arial" w:cs="Arial"/>
      <w:b/>
      <w:bCs/>
      <w:sz w:val="24"/>
      <w:szCs w:val="24"/>
      <w:u w:val="single"/>
    </w:rPr>
  </w:style>
  <w:style w:type="paragraph" w:customStyle="1" w:styleId="xl35">
    <w:name w:val="xl35"/>
    <w:basedOn w:val="Normal"/>
    <w:pPr>
      <w:spacing w:before="100" w:beforeAutospacing="1" w:after="100" w:afterAutospacing="1"/>
      <w:jc w:val="right"/>
    </w:pPr>
    <w:rPr>
      <w:rFonts w:ascii="Arial Unicode MS" w:eastAsia="Arial Unicode MS" w:hAnsi="Arial Unicode MS" w:cs="Arial Unicode MS"/>
      <w:sz w:val="24"/>
      <w:szCs w:val="24"/>
    </w:rPr>
  </w:style>
  <w:style w:type="paragraph" w:customStyle="1" w:styleId="xl36">
    <w:name w:val="xl36"/>
    <w:basedOn w:val="Normal"/>
    <w:pPr>
      <w:spacing w:before="100" w:beforeAutospacing="1" w:after="100" w:afterAutospacing="1"/>
      <w:jc w:val="right"/>
    </w:pPr>
    <w:rPr>
      <w:rFonts w:ascii="Arial" w:eastAsia="Arial Unicode MS" w:hAnsi="Arial" w:cs="Arial"/>
      <w:sz w:val="24"/>
      <w:szCs w:val="24"/>
    </w:rPr>
  </w:style>
  <w:style w:type="paragraph" w:customStyle="1" w:styleId="xl37">
    <w:name w:val="xl37"/>
    <w:basedOn w:val="Normal"/>
    <w:pPr>
      <w:spacing w:before="100" w:beforeAutospacing="1" w:after="100" w:afterAutospacing="1"/>
      <w:jc w:val="right"/>
    </w:pPr>
    <w:rPr>
      <w:rFonts w:ascii="Arial" w:eastAsia="Arial Unicode MS" w:hAnsi="Arial" w:cs="Arial"/>
      <w:b/>
      <w:bCs/>
      <w:sz w:val="24"/>
      <w:szCs w:val="24"/>
    </w:rPr>
  </w:style>
  <w:style w:type="paragraph" w:customStyle="1" w:styleId="xl38">
    <w:name w:val="xl38"/>
    <w:basedOn w:val="Normal"/>
    <w:pPr>
      <w:spacing w:before="100" w:beforeAutospacing="1" w:after="100" w:afterAutospacing="1"/>
    </w:pPr>
    <w:rPr>
      <w:rFonts w:ascii="Arial" w:eastAsia="Arial Unicode MS" w:hAnsi="Arial" w:cs="Arial"/>
      <w:b/>
      <w:bCs/>
      <w:sz w:val="24"/>
      <w:szCs w:val="24"/>
    </w:rPr>
  </w:style>
  <w:style w:type="paragraph" w:customStyle="1" w:styleId="xl39">
    <w:name w:val="xl39"/>
    <w:basedOn w:val="Normal"/>
    <w:pPr>
      <w:spacing w:before="100" w:beforeAutospacing="1" w:after="100" w:afterAutospacing="1"/>
      <w:textAlignment w:val="top"/>
    </w:pPr>
    <w:rPr>
      <w:rFonts w:ascii="Arial" w:eastAsia="Arial Unicode MS" w:hAnsi="Arial" w:cs="Arial"/>
      <w:b/>
      <w:bCs/>
      <w:sz w:val="24"/>
      <w:szCs w:val="24"/>
    </w:rPr>
  </w:style>
  <w:style w:type="paragraph" w:customStyle="1" w:styleId="xl40">
    <w:name w:val="xl40"/>
    <w:basedOn w:val="Normal"/>
    <w:pPr>
      <w:spacing w:before="100" w:beforeAutospacing="1" w:after="100" w:afterAutospacing="1"/>
      <w:textAlignment w:val="top"/>
    </w:pPr>
    <w:rPr>
      <w:rFonts w:ascii="Arial" w:eastAsia="Arial Unicode MS" w:hAnsi="Arial" w:cs="Arial"/>
      <w:sz w:val="24"/>
      <w:szCs w:val="24"/>
    </w:rPr>
  </w:style>
  <w:style w:type="paragraph" w:customStyle="1" w:styleId="xl42">
    <w:name w:val="xl42"/>
    <w:basedOn w:val="Normal"/>
    <w:pPr>
      <w:spacing w:before="100" w:beforeAutospacing="1" w:after="100" w:afterAutospacing="1"/>
      <w:jc w:val="right"/>
    </w:pPr>
    <w:rPr>
      <w:rFonts w:ascii="Arial Unicode MS" w:eastAsia="Arial Unicode MS" w:hAnsi="Arial Unicode MS" w:cs="Arial Unicode MS"/>
      <w:b/>
      <w:bCs/>
      <w:sz w:val="24"/>
      <w:szCs w:val="24"/>
    </w:rPr>
  </w:style>
  <w:style w:type="paragraph" w:customStyle="1" w:styleId="xl43">
    <w:name w:val="xl43"/>
    <w:basedOn w:val="Normal"/>
    <w:pPr>
      <w:spacing w:before="100" w:beforeAutospacing="1" w:after="100" w:afterAutospacing="1"/>
      <w:textAlignment w:val="top"/>
    </w:pPr>
    <w:rPr>
      <w:rFonts w:ascii="Arial" w:eastAsia="Arial Unicode MS" w:hAnsi="Arial" w:cs="Arial"/>
      <w:sz w:val="16"/>
      <w:szCs w:val="16"/>
    </w:rPr>
  </w:style>
  <w:style w:type="paragraph" w:customStyle="1" w:styleId="xl44">
    <w:name w:val="xl44"/>
    <w:basedOn w:val="Normal"/>
    <w:pPr>
      <w:spacing w:before="100" w:beforeAutospacing="1" w:after="100" w:afterAutospacing="1"/>
    </w:pPr>
    <w:rPr>
      <w:rFonts w:ascii="Arial" w:eastAsia="Arial Unicode MS" w:hAnsi="Arial" w:cs="Arial"/>
      <w:sz w:val="24"/>
      <w:szCs w:val="24"/>
      <w:u w:val="single"/>
    </w:rPr>
  </w:style>
  <w:style w:type="paragraph" w:customStyle="1" w:styleId="xl45">
    <w:name w:val="xl45"/>
    <w:basedOn w:val="Normal"/>
    <w:pPr>
      <w:spacing w:before="100" w:beforeAutospacing="1" w:after="100" w:afterAutospacing="1"/>
    </w:pPr>
    <w:rPr>
      <w:rFonts w:ascii="Arial" w:eastAsia="Arial Unicode MS" w:hAnsi="Arial" w:cs="Arial"/>
      <w:color w:val="000000"/>
      <w:sz w:val="24"/>
      <w:szCs w:val="24"/>
    </w:rPr>
  </w:style>
  <w:style w:type="paragraph" w:customStyle="1" w:styleId="xl46">
    <w:name w:val="xl46"/>
    <w:basedOn w:val="Normal"/>
    <w:pPr>
      <w:spacing w:before="100" w:beforeAutospacing="1" w:after="100" w:afterAutospacing="1"/>
      <w:jc w:val="right"/>
    </w:pPr>
    <w:rPr>
      <w:rFonts w:ascii="Arial Unicode MS" w:eastAsia="Arial Unicode MS" w:hAnsi="Arial Unicode MS" w:cs="Arial Unicode MS"/>
      <w:sz w:val="24"/>
      <w:szCs w:val="24"/>
    </w:rPr>
  </w:style>
  <w:style w:type="paragraph" w:customStyle="1" w:styleId="xl47">
    <w:name w:val="xl47"/>
    <w:basedOn w:val="Normal"/>
    <w:pP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48">
    <w:name w:val="xl48"/>
    <w:basedOn w:val="Normal"/>
    <w:pPr>
      <w:spacing w:before="100" w:beforeAutospacing="1" w:after="100" w:afterAutospacing="1"/>
      <w:jc w:val="right"/>
      <w:textAlignment w:val="top"/>
    </w:pPr>
    <w:rPr>
      <w:rFonts w:ascii="Arial Unicode MS" w:eastAsia="Arial Unicode MS" w:hAnsi="Arial Unicode MS" w:cs="Arial Unicode MS"/>
      <w:sz w:val="24"/>
      <w:szCs w:val="24"/>
    </w:rPr>
  </w:style>
  <w:style w:type="paragraph" w:customStyle="1" w:styleId="xl49">
    <w:name w:val="xl49"/>
    <w:basedOn w:val="Normal"/>
    <w:pPr>
      <w:spacing w:before="100" w:beforeAutospacing="1" w:after="100" w:afterAutospacing="1"/>
    </w:pPr>
    <w:rPr>
      <w:rFonts w:ascii="Arial" w:eastAsia="Arial Unicode MS" w:hAnsi="Arial" w:cs="Arial"/>
      <w:b/>
      <w:bCs/>
      <w:sz w:val="24"/>
      <w:szCs w:val="24"/>
    </w:rPr>
  </w:style>
  <w:style w:type="paragraph" w:customStyle="1" w:styleId="xl51">
    <w:name w:val="xl51"/>
    <w:basedOn w:val="Normal"/>
    <w:pPr>
      <w:spacing w:before="100" w:beforeAutospacing="1" w:after="100" w:afterAutospacing="1"/>
      <w:jc w:val="center"/>
    </w:pPr>
    <w:rPr>
      <w:rFonts w:ascii="Arial" w:eastAsia="Arial Unicode MS" w:hAnsi="Arial" w:cs="Arial"/>
      <w:b/>
      <w:bCs/>
      <w:sz w:val="24"/>
      <w:szCs w:val="24"/>
      <w:u w:val="single"/>
    </w:rPr>
  </w:style>
  <w:style w:type="paragraph" w:customStyle="1" w:styleId="xl52">
    <w:name w:val="xl52"/>
    <w:basedOn w:val="Normal"/>
    <w:pPr>
      <w:spacing w:before="100" w:beforeAutospacing="1" w:after="100" w:afterAutospacing="1"/>
      <w:jc w:val="center"/>
    </w:pPr>
    <w:rPr>
      <w:rFonts w:ascii="Arial Unicode MS" w:eastAsia="Arial Unicode MS" w:hAnsi="Arial Unicode MS" w:cs="Arial Unicode MS"/>
      <w:b/>
      <w:bCs/>
      <w:sz w:val="24"/>
      <w:szCs w:val="24"/>
    </w:rPr>
  </w:style>
  <w:style w:type="paragraph" w:customStyle="1" w:styleId="xl53">
    <w:name w:val="xl53"/>
    <w:basedOn w:val="Normal"/>
    <w:pPr>
      <w:spacing w:before="100" w:beforeAutospacing="1" w:after="100" w:afterAutospacing="1"/>
    </w:pPr>
    <w:rPr>
      <w:rFonts w:ascii="Arial" w:eastAsia="Arial Unicode MS" w:hAnsi="Arial" w:cs="Arial"/>
      <w:color w:val="000000"/>
      <w:sz w:val="24"/>
      <w:szCs w:val="24"/>
    </w:rPr>
  </w:style>
  <w:style w:type="paragraph" w:customStyle="1" w:styleId="xl56">
    <w:name w:val="xl56"/>
    <w:basedOn w:val="Normal"/>
    <w:pPr>
      <w:spacing w:before="100" w:beforeAutospacing="1" w:after="100" w:afterAutospacing="1"/>
    </w:pPr>
    <w:rPr>
      <w:rFonts w:ascii="Arial" w:eastAsia="Arial Unicode MS" w:hAnsi="Arial" w:cs="Arial"/>
      <w:color w:val="000000"/>
      <w:sz w:val="24"/>
      <w:szCs w:val="24"/>
    </w:rPr>
  </w:style>
  <w:style w:type="paragraph" w:customStyle="1" w:styleId="xl57">
    <w:name w:val="xl57"/>
    <w:basedOn w:val="Normal"/>
    <w:pPr>
      <w:spacing w:before="100" w:beforeAutospacing="1" w:after="100" w:afterAutospacing="1"/>
      <w:textAlignment w:val="top"/>
    </w:pPr>
    <w:rPr>
      <w:rFonts w:ascii="Arial" w:eastAsia="Arial Unicode MS" w:hAnsi="Arial" w:cs="Arial"/>
      <w:b/>
      <w:bCs/>
      <w:sz w:val="24"/>
      <w:szCs w:val="24"/>
    </w:rPr>
  </w:style>
  <w:style w:type="paragraph" w:styleId="DocumentMap">
    <w:name w:val="Document Map"/>
    <w:basedOn w:val="Normal"/>
    <w:semiHidden/>
    <w:pPr>
      <w:shd w:val="clear" w:color="auto" w:fill="000080"/>
    </w:pPr>
    <w:rPr>
      <w:rFonts w:ascii="Tahoma" w:hAnsi="Tahoma" w:cs="Tahoma"/>
    </w:rPr>
  </w:style>
  <w:style w:type="paragraph" w:styleId="BodyText3">
    <w:name w:val="Body Text 3"/>
    <w:basedOn w:val="Normal"/>
    <w:pPr>
      <w:keepNext/>
      <w:spacing w:after="120"/>
      <w:ind w:right="90"/>
    </w:pPr>
    <w:rPr>
      <w:rFonts w:ascii="Palatino" w:hAnsi="Palatino"/>
      <w:bCs/>
      <w:sz w:val="24"/>
    </w:rPr>
  </w:style>
  <w:style w:type="paragraph" w:styleId="BalloonText">
    <w:name w:val="Balloon Text"/>
    <w:basedOn w:val="Normal"/>
    <w:semiHidden/>
    <w:rPr>
      <w:rFonts w:ascii="Tahoma" w:hAnsi="Tahoma" w:cs="Tahoma"/>
      <w:sz w:val="16"/>
      <w:szCs w:val="16"/>
    </w:rPr>
  </w:style>
  <w:style w:type="paragraph" w:customStyle="1" w:styleId="standard">
    <w:name w:val="standard"/>
    <w:basedOn w:val="Normal"/>
    <w:pPr>
      <w:spacing w:line="360" w:lineRule="auto"/>
      <w:ind w:firstLine="720"/>
    </w:pPr>
    <w:rPr>
      <w:rFonts w:ascii="Palatino" w:hAnsi="Palatino"/>
      <w:sz w:val="26"/>
    </w:rPr>
  </w:style>
  <w:style w:type="paragraph" w:customStyle="1" w:styleId="Default">
    <w:name w:val="Default"/>
    <w:pPr>
      <w:autoSpaceDE w:val="0"/>
      <w:autoSpaceDN w:val="0"/>
      <w:adjustRightInd w:val="0"/>
    </w:pPr>
    <w:rPr>
      <w:color w:val="000000"/>
      <w:sz w:val="24"/>
      <w:szCs w:val="24"/>
    </w:rPr>
  </w:style>
  <w:style w:type="paragraph" w:styleId="NormalWeb">
    <w:name w:val="Normal (Web)"/>
    <w:basedOn w:val="Normal"/>
    <w:pPr>
      <w:spacing w:before="100" w:beforeAutospacing="1" w:after="100" w:afterAutospacing="1"/>
    </w:pPr>
    <w:rPr>
      <w:sz w:val="24"/>
      <w:szCs w:val="24"/>
    </w:rPr>
  </w:style>
  <w:style w:type="paragraph" w:styleId="ListBullet">
    <w:name w:val="List Bullet"/>
    <w:basedOn w:val="Normal"/>
    <w:link w:val="ListBulletChar"/>
    <w:pPr>
      <w:numPr>
        <w:numId w:val="2"/>
      </w:numPr>
    </w:pPr>
  </w:style>
  <w:style w:type="character" w:customStyle="1" w:styleId="ListBulletChar">
    <w:name w:val="List Bullet Char"/>
    <w:link w:val="ListBullet"/>
  </w:style>
  <w:style w:type="paragraph" w:customStyle="1" w:styleId="bodytextblack">
    <w:name w:val="bodytextblack"/>
    <w:basedOn w:val="Normal"/>
    <w:pPr>
      <w:spacing w:before="100" w:beforeAutospacing="1" w:after="100" w:afterAutospacing="1"/>
    </w:pPr>
    <w:rPr>
      <w:rFonts w:ascii="Verdana" w:hAnsi="Verdana"/>
      <w:color w:val="000000"/>
      <w:sz w:val="22"/>
      <w:szCs w:val="22"/>
    </w:rPr>
  </w:style>
  <w:style w:type="character" w:customStyle="1" w:styleId="BodyTextChar1">
    <w:name w:val="Body Text Char1"/>
    <w:link w:val="BodyText"/>
    <w:rPr>
      <w:rFonts w:ascii="Palatino" w:hAnsi="Palatino"/>
      <w:sz w:val="24"/>
      <w:lang w:val="en-US" w:eastAsia="en-US" w:bidi="ar-SA"/>
    </w:rPr>
  </w:style>
  <w:style w:type="character" w:customStyle="1" w:styleId="BodyTextChar">
    <w:name w:val="Body Text Char"/>
    <w:rPr>
      <w:rFonts w:ascii="Palatino" w:hAnsi="Palatino"/>
      <w:sz w:val="24"/>
      <w:lang w:val="en-US" w:eastAsia="en-US" w:bidi="ar-SA"/>
    </w:rPr>
  </w:style>
  <w:style w:type="table" w:styleId="TableGrid">
    <w:name w:val="Table Grid"/>
    <w:basedOn w:val="TableNormal"/>
    <w:rsid w:val="0013468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rsid w:val="00913810"/>
    <w:rPr>
      <w:sz w:val="16"/>
      <w:szCs w:val="16"/>
    </w:rPr>
  </w:style>
  <w:style w:type="paragraph" w:styleId="CommentText">
    <w:name w:val="annotation text"/>
    <w:basedOn w:val="Normal"/>
    <w:link w:val="CommentTextChar"/>
    <w:rsid w:val="00913810"/>
  </w:style>
  <w:style w:type="character" w:customStyle="1" w:styleId="CommentTextChar">
    <w:name w:val="Comment Text Char"/>
    <w:basedOn w:val="DefaultParagraphFont"/>
    <w:link w:val="CommentText"/>
    <w:rsid w:val="00913810"/>
  </w:style>
  <w:style w:type="paragraph" w:styleId="CommentSubject">
    <w:name w:val="annotation subject"/>
    <w:basedOn w:val="CommentText"/>
    <w:next w:val="CommentText"/>
    <w:link w:val="CommentSubjectChar"/>
    <w:rsid w:val="00913810"/>
    <w:rPr>
      <w:b/>
      <w:bCs/>
      <w:lang w:val="x-none" w:eastAsia="x-none"/>
    </w:rPr>
  </w:style>
  <w:style w:type="character" w:customStyle="1" w:styleId="CommentSubjectChar">
    <w:name w:val="Comment Subject Char"/>
    <w:link w:val="CommentSubject"/>
    <w:rsid w:val="00913810"/>
    <w:rPr>
      <w:b/>
      <w:bCs/>
    </w:rPr>
  </w:style>
  <w:style w:type="paragraph" w:customStyle="1" w:styleId="ColorfulList-Accent11">
    <w:name w:val="Colorful List - Accent 11"/>
    <w:basedOn w:val="Normal"/>
    <w:uiPriority w:val="34"/>
    <w:qFormat/>
    <w:rsid w:val="00412A2B"/>
    <w:pPr>
      <w:ind w:left="720"/>
    </w:pPr>
  </w:style>
  <w:style w:type="character" w:customStyle="1" w:styleId="FooterChar">
    <w:name w:val="Footer Char"/>
    <w:link w:val="Footer"/>
    <w:uiPriority w:val="99"/>
    <w:rsid w:val="00EB00F6"/>
  </w:style>
  <w:style w:type="paragraph" w:styleId="ListParagraph">
    <w:name w:val="List Paragraph"/>
    <w:basedOn w:val="Normal"/>
    <w:uiPriority w:val="34"/>
    <w:qFormat/>
    <w:rsid w:val="00DA38F2"/>
    <w:pPr>
      <w:ind w:left="720"/>
    </w:pPr>
  </w:style>
  <w:style w:type="character" w:customStyle="1" w:styleId="tgc">
    <w:name w:val="_tgc"/>
    <w:rsid w:val="00CA3763"/>
  </w:style>
  <w:style w:type="paragraph" w:styleId="Revision">
    <w:name w:val="Revision"/>
    <w:hidden/>
    <w:uiPriority w:val="99"/>
    <w:semiHidden/>
    <w:rsid w:val="00CA5B6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596510">
      <w:bodyDiv w:val="1"/>
      <w:marLeft w:val="0"/>
      <w:marRight w:val="0"/>
      <w:marTop w:val="0"/>
      <w:marBottom w:val="0"/>
      <w:divBdr>
        <w:top w:val="none" w:sz="0" w:space="0" w:color="auto"/>
        <w:left w:val="none" w:sz="0" w:space="0" w:color="auto"/>
        <w:bottom w:val="none" w:sz="0" w:space="0" w:color="auto"/>
        <w:right w:val="none" w:sz="0" w:space="0" w:color="auto"/>
      </w:divBdr>
    </w:div>
    <w:div w:id="67464583">
      <w:bodyDiv w:val="1"/>
      <w:marLeft w:val="0"/>
      <w:marRight w:val="0"/>
      <w:marTop w:val="0"/>
      <w:marBottom w:val="0"/>
      <w:divBdr>
        <w:top w:val="none" w:sz="0" w:space="0" w:color="auto"/>
        <w:left w:val="none" w:sz="0" w:space="0" w:color="auto"/>
        <w:bottom w:val="none" w:sz="0" w:space="0" w:color="auto"/>
        <w:right w:val="none" w:sz="0" w:space="0" w:color="auto"/>
      </w:divBdr>
    </w:div>
    <w:div w:id="74322787">
      <w:bodyDiv w:val="1"/>
      <w:marLeft w:val="0"/>
      <w:marRight w:val="0"/>
      <w:marTop w:val="0"/>
      <w:marBottom w:val="0"/>
      <w:divBdr>
        <w:top w:val="none" w:sz="0" w:space="0" w:color="auto"/>
        <w:left w:val="none" w:sz="0" w:space="0" w:color="auto"/>
        <w:bottom w:val="none" w:sz="0" w:space="0" w:color="auto"/>
        <w:right w:val="none" w:sz="0" w:space="0" w:color="auto"/>
      </w:divBdr>
    </w:div>
    <w:div w:id="81221301">
      <w:bodyDiv w:val="1"/>
      <w:marLeft w:val="0"/>
      <w:marRight w:val="0"/>
      <w:marTop w:val="0"/>
      <w:marBottom w:val="0"/>
      <w:divBdr>
        <w:top w:val="none" w:sz="0" w:space="0" w:color="auto"/>
        <w:left w:val="none" w:sz="0" w:space="0" w:color="auto"/>
        <w:bottom w:val="none" w:sz="0" w:space="0" w:color="auto"/>
        <w:right w:val="none" w:sz="0" w:space="0" w:color="auto"/>
      </w:divBdr>
    </w:div>
    <w:div w:id="122618361">
      <w:bodyDiv w:val="1"/>
      <w:marLeft w:val="0"/>
      <w:marRight w:val="0"/>
      <w:marTop w:val="0"/>
      <w:marBottom w:val="0"/>
      <w:divBdr>
        <w:top w:val="none" w:sz="0" w:space="0" w:color="auto"/>
        <w:left w:val="none" w:sz="0" w:space="0" w:color="auto"/>
        <w:bottom w:val="none" w:sz="0" w:space="0" w:color="auto"/>
        <w:right w:val="none" w:sz="0" w:space="0" w:color="auto"/>
      </w:divBdr>
    </w:div>
    <w:div w:id="181166515">
      <w:bodyDiv w:val="1"/>
      <w:marLeft w:val="0"/>
      <w:marRight w:val="0"/>
      <w:marTop w:val="0"/>
      <w:marBottom w:val="0"/>
      <w:divBdr>
        <w:top w:val="none" w:sz="0" w:space="0" w:color="auto"/>
        <w:left w:val="none" w:sz="0" w:space="0" w:color="auto"/>
        <w:bottom w:val="none" w:sz="0" w:space="0" w:color="auto"/>
        <w:right w:val="none" w:sz="0" w:space="0" w:color="auto"/>
      </w:divBdr>
    </w:div>
    <w:div w:id="187449080">
      <w:bodyDiv w:val="1"/>
      <w:marLeft w:val="0"/>
      <w:marRight w:val="0"/>
      <w:marTop w:val="0"/>
      <w:marBottom w:val="0"/>
      <w:divBdr>
        <w:top w:val="none" w:sz="0" w:space="0" w:color="auto"/>
        <w:left w:val="none" w:sz="0" w:space="0" w:color="auto"/>
        <w:bottom w:val="none" w:sz="0" w:space="0" w:color="auto"/>
        <w:right w:val="none" w:sz="0" w:space="0" w:color="auto"/>
      </w:divBdr>
    </w:div>
    <w:div w:id="217981764">
      <w:bodyDiv w:val="1"/>
      <w:marLeft w:val="0"/>
      <w:marRight w:val="0"/>
      <w:marTop w:val="0"/>
      <w:marBottom w:val="0"/>
      <w:divBdr>
        <w:top w:val="none" w:sz="0" w:space="0" w:color="auto"/>
        <w:left w:val="none" w:sz="0" w:space="0" w:color="auto"/>
        <w:bottom w:val="none" w:sz="0" w:space="0" w:color="auto"/>
        <w:right w:val="none" w:sz="0" w:space="0" w:color="auto"/>
      </w:divBdr>
    </w:div>
    <w:div w:id="236519800">
      <w:bodyDiv w:val="1"/>
      <w:marLeft w:val="0"/>
      <w:marRight w:val="0"/>
      <w:marTop w:val="0"/>
      <w:marBottom w:val="0"/>
      <w:divBdr>
        <w:top w:val="none" w:sz="0" w:space="0" w:color="auto"/>
        <w:left w:val="none" w:sz="0" w:space="0" w:color="auto"/>
        <w:bottom w:val="none" w:sz="0" w:space="0" w:color="auto"/>
        <w:right w:val="none" w:sz="0" w:space="0" w:color="auto"/>
      </w:divBdr>
    </w:div>
    <w:div w:id="299190077">
      <w:bodyDiv w:val="1"/>
      <w:marLeft w:val="0"/>
      <w:marRight w:val="0"/>
      <w:marTop w:val="0"/>
      <w:marBottom w:val="0"/>
      <w:divBdr>
        <w:top w:val="none" w:sz="0" w:space="0" w:color="auto"/>
        <w:left w:val="none" w:sz="0" w:space="0" w:color="auto"/>
        <w:bottom w:val="none" w:sz="0" w:space="0" w:color="auto"/>
        <w:right w:val="none" w:sz="0" w:space="0" w:color="auto"/>
      </w:divBdr>
    </w:div>
    <w:div w:id="331298202">
      <w:bodyDiv w:val="1"/>
      <w:marLeft w:val="0"/>
      <w:marRight w:val="0"/>
      <w:marTop w:val="0"/>
      <w:marBottom w:val="0"/>
      <w:divBdr>
        <w:top w:val="none" w:sz="0" w:space="0" w:color="auto"/>
        <w:left w:val="none" w:sz="0" w:space="0" w:color="auto"/>
        <w:bottom w:val="none" w:sz="0" w:space="0" w:color="auto"/>
        <w:right w:val="none" w:sz="0" w:space="0" w:color="auto"/>
      </w:divBdr>
    </w:div>
    <w:div w:id="357702904">
      <w:bodyDiv w:val="1"/>
      <w:marLeft w:val="0"/>
      <w:marRight w:val="0"/>
      <w:marTop w:val="0"/>
      <w:marBottom w:val="0"/>
      <w:divBdr>
        <w:top w:val="none" w:sz="0" w:space="0" w:color="auto"/>
        <w:left w:val="none" w:sz="0" w:space="0" w:color="auto"/>
        <w:bottom w:val="none" w:sz="0" w:space="0" w:color="auto"/>
        <w:right w:val="none" w:sz="0" w:space="0" w:color="auto"/>
      </w:divBdr>
    </w:div>
    <w:div w:id="433599819">
      <w:bodyDiv w:val="1"/>
      <w:marLeft w:val="0"/>
      <w:marRight w:val="0"/>
      <w:marTop w:val="0"/>
      <w:marBottom w:val="0"/>
      <w:divBdr>
        <w:top w:val="none" w:sz="0" w:space="0" w:color="auto"/>
        <w:left w:val="none" w:sz="0" w:space="0" w:color="auto"/>
        <w:bottom w:val="none" w:sz="0" w:space="0" w:color="auto"/>
        <w:right w:val="none" w:sz="0" w:space="0" w:color="auto"/>
      </w:divBdr>
    </w:div>
    <w:div w:id="452139961">
      <w:bodyDiv w:val="1"/>
      <w:marLeft w:val="0"/>
      <w:marRight w:val="0"/>
      <w:marTop w:val="0"/>
      <w:marBottom w:val="0"/>
      <w:divBdr>
        <w:top w:val="none" w:sz="0" w:space="0" w:color="auto"/>
        <w:left w:val="none" w:sz="0" w:space="0" w:color="auto"/>
        <w:bottom w:val="none" w:sz="0" w:space="0" w:color="auto"/>
        <w:right w:val="none" w:sz="0" w:space="0" w:color="auto"/>
      </w:divBdr>
    </w:div>
    <w:div w:id="460877765">
      <w:bodyDiv w:val="1"/>
      <w:marLeft w:val="0"/>
      <w:marRight w:val="0"/>
      <w:marTop w:val="0"/>
      <w:marBottom w:val="0"/>
      <w:divBdr>
        <w:top w:val="none" w:sz="0" w:space="0" w:color="auto"/>
        <w:left w:val="none" w:sz="0" w:space="0" w:color="auto"/>
        <w:bottom w:val="none" w:sz="0" w:space="0" w:color="auto"/>
        <w:right w:val="none" w:sz="0" w:space="0" w:color="auto"/>
      </w:divBdr>
    </w:div>
    <w:div w:id="484584983">
      <w:bodyDiv w:val="1"/>
      <w:marLeft w:val="0"/>
      <w:marRight w:val="0"/>
      <w:marTop w:val="0"/>
      <w:marBottom w:val="0"/>
      <w:divBdr>
        <w:top w:val="none" w:sz="0" w:space="0" w:color="auto"/>
        <w:left w:val="none" w:sz="0" w:space="0" w:color="auto"/>
        <w:bottom w:val="none" w:sz="0" w:space="0" w:color="auto"/>
        <w:right w:val="none" w:sz="0" w:space="0" w:color="auto"/>
      </w:divBdr>
    </w:div>
    <w:div w:id="508953797">
      <w:bodyDiv w:val="1"/>
      <w:marLeft w:val="0"/>
      <w:marRight w:val="0"/>
      <w:marTop w:val="0"/>
      <w:marBottom w:val="0"/>
      <w:divBdr>
        <w:top w:val="none" w:sz="0" w:space="0" w:color="auto"/>
        <w:left w:val="none" w:sz="0" w:space="0" w:color="auto"/>
        <w:bottom w:val="none" w:sz="0" w:space="0" w:color="auto"/>
        <w:right w:val="none" w:sz="0" w:space="0" w:color="auto"/>
      </w:divBdr>
    </w:div>
    <w:div w:id="567544199">
      <w:bodyDiv w:val="1"/>
      <w:marLeft w:val="0"/>
      <w:marRight w:val="0"/>
      <w:marTop w:val="0"/>
      <w:marBottom w:val="0"/>
      <w:divBdr>
        <w:top w:val="none" w:sz="0" w:space="0" w:color="auto"/>
        <w:left w:val="none" w:sz="0" w:space="0" w:color="auto"/>
        <w:bottom w:val="none" w:sz="0" w:space="0" w:color="auto"/>
        <w:right w:val="none" w:sz="0" w:space="0" w:color="auto"/>
      </w:divBdr>
    </w:div>
    <w:div w:id="595940782">
      <w:bodyDiv w:val="1"/>
      <w:marLeft w:val="0"/>
      <w:marRight w:val="0"/>
      <w:marTop w:val="0"/>
      <w:marBottom w:val="0"/>
      <w:divBdr>
        <w:top w:val="none" w:sz="0" w:space="0" w:color="auto"/>
        <w:left w:val="none" w:sz="0" w:space="0" w:color="auto"/>
        <w:bottom w:val="none" w:sz="0" w:space="0" w:color="auto"/>
        <w:right w:val="none" w:sz="0" w:space="0" w:color="auto"/>
      </w:divBdr>
    </w:div>
    <w:div w:id="600189714">
      <w:bodyDiv w:val="1"/>
      <w:marLeft w:val="0"/>
      <w:marRight w:val="0"/>
      <w:marTop w:val="0"/>
      <w:marBottom w:val="0"/>
      <w:divBdr>
        <w:top w:val="none" w:sz="0" w:space="0" w:color="auto"/>
        <w:left w:val="none" w:sz="0" w:space="0" w:color="auto"/>
        <w:bottom w:val="none" w:sz="0" w:space="0" w:color="auto"/>
        <w:right w:val="none" w:sz="0" w:space="0" w:color="auto"/>
      </w:divBdr>
      <w:divsChild>
        <w:div w:id="703410811">
          <w:marLeft w:val="0"/>
          <w:marRight w:val="0"/>
          <w:marTop w:val="0"/>
          <w:marBottom w:val="0"/>
          <w:divBdr>
            <w:top w:val="none" w:sz="0" w:space="0" w:color="auto"/>
            <w:left w:val="single" w:sz="6" w:space="0" w:color="999999"/>
            <w:bottom w:val="none" w:sz="0" w:space="0" w:color="auto"/>
            <w:right w:val="single" w:sz="6" w:space="0" w:color="999999"/>
          </w:divBdr>
          <w:divsChild>
            <w:div w:id="1947034118">
              <w:marLeft w:val="0"/>
              <w:marRight w:val="0"/>
              <w:marTop w:val="0"/>
              <w:marBottom w:val="0"/>
              <w:divBdr>
                <w:top w:val="none" w:sz="0" w:space="0" w:color="auto"/>
                <w:left w:val="none" w:sz="0" w:space="0" w:color="auto"/>
                <w:bottom w:val="none" w:sz="0" w:space="0" w:color="auto"/>
                <w:right w:val="none" w:sz="0" w:space="0" w:color="auto"/>
              </w:divBdr>
              <w:divsChild>
                <w:div w:id="1735733878">
                  <w:marLeft w:val="0"/>
                  <w:marRight w:val="0"/>
                  <w:marTop w:val="0"/>
                  <w:marBottom w:val="0"/>
                  <w:divBdr>
                    <w:top w:val="none" w:sz="0" w:space="0" w:color="auto"/>
                    <w:left w:val="none" w:sz="0" w:space="0" w:color="auto"/>
                    <w:bottom w:val="single" w:sz="6" w:space="9" w:color="FFFFFF"/>
                    <w:right w:val="none" w:sz="0" w:space="0" w:color="auto"/>
                  </w:divBdr>
                  <w:divsChild>
                    <w:div w:id="173424343">
                      <w:marLeft w:val="0"/>
                      <w:marRight w:val="0"/>
                      <w:marTop w:val="0"/>
                      <w:marBottom w:val="0"/>
                      <w:divBdr>
                        <w:top w:val="none" w:sz="0" w:space="0" w:color="auto"/>
                        <w:left w:val="none" w:sz="0" w:space="0" w:color="auto"/>
                        <w:bottom w:val="none" w:sz="0" w:space="0" w:color="auto"/>
                        <w:right w:val="none" w:sz="0" w:space="0" w:color="auto"/>
                      </w:divBdr>
                      <w:divsChild>
                        <w:div w:id="37361883">
                          <w:marLeft w:val="0"/>
                          <w:marRight w:val="0"/>
                          <w:marTop w:val="0"/>
                          <w:marBottom w:val="0"/>
                          <w:divBdr>
                            <w:top w:val="none" w:sz="0" w:space="0" w:color="auto"/>
                            <w:left w:val="none" w:sz="0" w:space="0" w:color="auto"/>
                            <w:bottom w:val="none" w:sz="0" w:space="0" w:color="auto"/>
                            <w:right w:val="none" w:sz="0" w:space="0" w:color="auto"/>
                          </w:divBdr>
                          <w:divsChild>
                            <w:div w:id="2044213435">
                              <w:marLeft w:val="0"/>
                              <w:marRight w:val="0"/>
                              <w:marTop w:val="0"/>
                              <w:marBottom w:val="0"/>
                              <w:divBdr>
                                <w:top w:val="none" w:sz="0" w:space="0" w:color="auto"/>
                                <w:left w:val="none" w:sz="0" w:space="0" w:color="auto"/>
                                <w:bottom w:val="none" w:sz="0" w:space="0" w:color="auto"/>
                                <w:right w:val="none" w:sz="0" w:space="0" w:color="auto"/>
                              </w:divBdr>
                              <w:divsChild>
                                <w:div w:id="621113342">
                                  <w:marLeft w:val="0"/>
                                  <w:marRight w:val="0"/>
                                  <w:marTop w:val="0"/>
                                  <w:marBottom w:val="0"/>
                                  <w:divBdr>
                                    <w:top w:val="none" w:sz="0" w:space="0" w:color="auto"/>
                                    <w:left w:val="none" w:sz="0" w:space="0" w:color="auto"/>
                                    <w:bottom w:val="none" w:sz="0" w:space="0" w:color="auto"/>
                                    <w:right w:val="none" w:sz="0" w:space="0" w:color="auto"/>
                                  </w:divBdr>
                                  <w:divsChild>
                                    <w:div w:id="1816943977">
                                      <w:marLeft w:val="0"/>
                                      <w:marRight w:val="0"/>
                                      <w:marTop w:val="0"/>
                                      <w:marBottom w:val="0"/>
                                      <w:divBdr>
                                        <w:top w:val="none" w:sz="0" w:space="0" w:color="auto"/>
                                        <w:left w:val="none" w:sz="0" w:space="0" w:color="auto"/>
                                        <w:bottom w:val="none" w:sz="0" w:space="0" w:color="auto"/>
                                        <w:right w:val="none" w:sz="0" w:space="0" w:color="auto"/>
                                      </w:divBdr>
                                      <w:divsChild>
                                        <w:div w:id="1427338935">
                                          <w:marLeft w:val="600"/>
                                          <w:marRight w:val="375"/>
                                          <w:marTop w:val="120"/>
                                          <w:marBottom w:val="0"/>
                                          <w:divBdr>
                                            <w:top w:val="none" w:sz="0" w:space="0" w:color="auto"/>
                                            <w:left w:val="none" w:sz="0" w:space="0" w:color="auto"/>
                                            <w:bottom w:val="none" w:sz="0" w:space="0" w:color="auto"/>
                                            <w:right w:val="none" w:sz="0" w:space="0" w:color="auto"/>
                                          </w:divBdr>
                                          <w:divsChild>
                                            <w:div w:id="637078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11133518">
      <w:bodyDiv w:val="1"/>
      <w:marLeft w:val="0"/>
      <w:marRight w:val="0"/>
      <w:marTop w:val="0"/>
      <w:marBottom w:val="0"/>
      <w:divBdr>
        <w:top w:val="none" w:sz="0" w:space="0" w:color="auto"/>
        <w:left w:val="none" w:sz="0" w:space="0" w:color="auto"/>
        <w:bottom w:val="none" w:sz="0" w:space="0" w:color="auto"/>
        <w:right w:val="none" w:sz="0" w:space="0" w:color="auto"/>
      </w:divBdr>
    </w:div>
    <w:div w:id="632751782">
      <w:bodyDiv w:val="1"/>
      <w:marLeft w:val="0"/>
      <w:marRight w:val="0"/>
      <w:marTop w:val="0"/>
      <w:marBottom w:val="0"/>
      <w:divBdr>
        <w:top w:val="none" w:sz="0" w:space="0" w:color="auto"/>
        <w:left w:val="none" w:sz="0" w:space="0" w:color="auto"/>
        <w:bottom w:val="none" w:sz="0" w:space="0" w:color="auto"/>
        <w:right w:val="none" w:sz="0" w:space="0" w:color="auto"/>
      </w:divBdr>
    </w:div>
    <w:div w:id="686980884">
      <w:bodyDiv w:val="1"/>
      <w:marLeft w:val="0"/>
      <w:marRight w:val="0"/>
      <w:marTop w:val="0"/>
      <w:marBottom w:val="0"/>
      <w:divBdr>
        <w:top w:val="none" w:sz="0" w:space="0" w:color="auto"/>
        <w:left w:val="none" w:sz="0" w:space="0" w:color="auto"/>
        <w:bottom w:val="none" w:sz="0" w:space="0" w:color="auto"/>
        <w:right w:val="none" w:sz="0" w:space="0" w:color="auto"/>
      </w:divBdr>
    </w:div>
    <w:div w:id="705638137">
      <w:bodyDiv w:val="1"/>
      <w:marLeft w:val="0"/>
      <w:marRight w:val="0"/>
      <w:marTop w:val="0"/>
      <w:marBottom w:val="0"/>
      <w:divBdr>
        <w:top w:val="none" w:sz="0" w:space="0" w:color="auto"/>
        <w:left w:val="none" w:sz="0" w:space="0" w:color="auto"/>
        <w:bottom w:val="none" w:sz="0" w:space="0" w:color="auto"/>
        <w:right w:val="none" w:sz="0" w:space="0" w:color="auto"/>
      </w:divBdr>
    </w:div>
    <w:div w:id="758676676">
      <w:bodyDiv w:val="1"/>
      <w:marLeft w:val="0"/>
      <w:marRight w:val="0"/>
      <w:marTop w:val="0"/>
      <w:marBottom w:val="0"/>
      <w:divBdr>
        <w:top w:val="none" w:sz="0" w:space="0" w:color="auto"/>
        <w:left w:val="none" w:sz="0" w:space="0" w:color="auto"/>
        <w:bottom w:val="none" w:sz="0" w:space="0" w:color="auto"/>
        <w:right w:val="none" w:sz="0" w:space="0" w:color="auto"/>
      </w:divBdr>
    </w:div>
    <w:div w:id="773289751">
      <w:bodyDiv w:val="1"/>
      <w:marLeft w:val="0"/>
      <w:marRight w:val="0"/>
      <w:marTop w:val="0"/>
      <w:marBottom w:val="0"/>
      <w:divBdr>
        <w:top w:val="none" w:sz="0" w:space="0" w:color="auto"/>
        <w:left w:val="none" w:sz="0" w:space="0" w:color="auto"/>
        <w:bottom w:val="none" w:sz="0" w:space="0" w:color="auto"/>
        <w:right w:val="none" w:sz="0" w:space="0" w:color="auto"/>
      </w:divBdr>
    </w:div>
    <w:div w:id="837497102">
      <w:bodyDiv w:val="1"/>
      <w:marLeft w:val="0"/>
      <w:marRight w:val="0"/>
      <w:marTop w:val="0"/>
      <w:marBottom w:val="0"/>
      <w:divBdr>
        <w:top w:val="none" w:sz="0" w:space="0" w:color="auto"/>
        <w:left w:val="none" w:sz="0" w:space="0" w:color="auto"/>
        <w:bottom w:val="none" w:sz="0" w:space="0" w:color="auto"/>
        <w:right w:val="none" w:sz="0" w:space="0" w:color="auto"/>
      </w:divBdr>
    </w:div>
    <w:div w:id="877470930">
      <w:bodyDiv w:val="1"/>
      <w:marLeft w:val="0"/>
      <w:marRight w:val="0"/>
      <w:marTop w:val="0"/>
      <w:marBottom w:val="0"/>
      <w:divBdr>
        <w:top w:val="none" w:sz="0" w:space="0" w:color="auto"/>
        <w:left w:val="none" w:sz="0" w:space="0" w:color="auto"/>
        <w:bottom w:val="none" w:sz="0" w:space="0" w:color="auto"/>
        <w:right w:val="none" w:sz="0" w:space="0" w:color="auto"/>
      </w:divBdr>
    </w:div>
    <w:div w:id="968785386">
      <w:bodyDiv w:val="1"/>
      <w:marLeft w:val="0"/>
      <w:marRight w:val="0"/>
      <w:marTop w:val="0"/>
      <w:marBottom w:val="0"/>
      <w:divBdr>
        <w:top w:val="none" w:sz="0" w:space="0" w:color="auto"/>
        <w:left w:val="none" w:sz="0" w:space="0" w:color="auto"/>
        <w:bottom w:val="none" w:sz="0" w:space="0" w:color="auto"/>
        <w:right w:val="none" w:sz="0" w:space="0" w:color="auto"/>
      </w:divBdr>
      <w:divsChild>
        <w:div w:id="106855237">
          <w:marLeft w:val="0"/>
          <w:marRight w:val="0"/>
          <w:marTop w:val="0"/>
          <w:marBottom w:val="0"/>
          <w:divBdr>
            <w:top w:val="none" w:sz="0" w:space="0" w:color="auto"/>
            <w:left w:val="none" w:sz="0" w:space="0" w:color="auto"/>
            <w:bottom w:val="none" w:sz="0" w:space="0" w:color="auto"/>
            <w:right w:val="none" w:sz="0" w:space="0" w:color="auto"/>
          </w:divBdr>
        </w:div>
      </w:divsChild>
    </w:div>
    <w:div w:id="1008021802">
      <w:bodyDiv w:val="1"/>
      <w:marLeft w:val="0"/>
      <w:marRight w:val="0"/>
      <w:marTop w:val="0"/>
      <w:marBottom w:val="0"/>
      <w:divBdr>
        <w:top w:val="none" w:sz="0" w:space="0" w:color="auto"/>
        <w:left w:val="none" w:sz="0" w:space="0" w:color="auto"/>
        <w:bottom w:val="none" w:sz="0" w:space="0" w:color="auto"/>
        <w:right w:val="none" w:sz="0" w:space="0" w:color="auto"/>
      </w:divBdr>
    </w:div>
    <w:div w:id="1059329071">
      <w:bodyDiv w:val="1"/>
      <w:marLeft w:val="0"/>
      <w:marRight w:val="0"/>
      <w:marTop w:val="0"/>
      <w:marBottom w:val="0"/>
      <w:divBdr>
        <w:top w:val="none" w:sz="0" w:space="0" w:color="auto"/>
        <w:left w:val="none" w:sz="0" w:space="0" w:color="auto"/>
        <w:bottom w:val="none" w:sz="0" w:space="0" w:color="auto"/>
        <w:right w:val="none" w:sz="0" w:space="0" w:color="auto"/>
      </w:divBdr>
    </w:div>
    <w:div w:id="1075475693">
      <w:bodyDiv w:val="1"/>
      <w:marLeft w:val="0"/>
      <w:marRight w:val="0"/>
      <w:marTop w:val="0"/>
      <w:marBottom w:val="0"/>
      <w:divBdr>
        <w:top w:val="none" w:sz="0" w:space="0" w:color="auto"/>
        <w:left w:val="none" w:sz="0" w:space="0" w:color="auto"/>
        <w:bottom w:val="none" w:sz="0" w:space="0" w:color="auto"/>
        <w:right w:val="none" w:sz="0" w:space="0" w:color="auto"/>
      </w:divBdr>
    </w:div>
    <w:div w:id="1194464239">
      <w:bodyDiv w:val="1"/>
      <w:marLeft w:val="0"/>
      <w:marRight w:val="0"/>
      <w:marTop w:val="0"/>
      <w:marBottom w:val="0"/>
      <w:divBdr>
        <w:top w:val="none" w:sz="0" w:space="0" w:color="auto"/>
        <w:left w:val="none" w:sz="0" w:space="0" w:color="auto"/>
        <w:bottom w:val="none" w:sz="0" w:space="0" w:color="auto"/>
        <w:right w:val="none" w:sz="0" w:space="0" w:color="auto"/>
      </w:divBdr>
    </w:div>
    <w:div w:id="1217812221">
      <w:bodyDiv w:val="1"/>
      <w:marLeft w:val="0"/>
      <w:marRight w:val="0"/>
      <w:marTop w:val="0"/>
      <w:marBottom w:val="0"/>
      <w:divBdr>
        <w:top w:val="none" w:sz="0" w:space="0" w:color="auto"/>
        <w:left w:val="none" w:sz="0" w:space="0" w:color="auto"/>
        <w:bottom w:val="none" w:sz="0" w:space="0" w:color="auto"/>
        <w:right w:val="none" w:sz="0" w:space="0" w:color="auto"/>
      </w:divBdr>
    </w:div>
    <w:div w:id="1267232970">
      <w:bodyDiv w:val="1"/>
      <w:marLeft w:val="0"/>
      <w:marRight w:val="0"/>
      <w:marTop w:val="0"/>
      <w:marBottom w:val="0"/>
      <w:divBdr>
        <w:top w:val="none" w:sz="0" w:space="0" w:color="auto"/>
        <w:left w:val="none" w:sz="0" w:space="0" w:color="auto"/>
        <w:bottom w:val="none" w:sz="0" w:space="0" w:color="auto"/>
        <w:right w:val="none" w:sz="0" w:space="0" w:color="auto"/>
      </w:divBdr>
    </w:div>
    <w:div w:id="1298335464">
      <w:bodyDiv w:val="1"/>
      <w:marLeft w:val="0"/>
      <w:marRight w:val="0"/>
      <w:marTop w:val="0"/>
      <w:marBottom w:val="0"/>
      <w:divBdr>
        <w:top w:val="none" w:sz="0" w:space="0" w:color="auto"/>
        <w:left w:val="none" w:sz="0" w:space="0" w:color="auto"/>
        <w:bottom w:val="none" w:sz="0" w:space="0" w:color="auto"/>
        <w:right w:val="none" w:sz="0" w:space="0" w:color="auto"/>
      </w:divBdr>
      <w:divsChild>
        <w:div w:id="2045859665">
          <w:marLeft w:val="0"/>
          <w:marRight w:val="0"/>
          <w:marTop w:val="0"/>
          <w:marBottom w:val="0"/>
          <w:divBdr>
            <w:top w:val="none" w:sz="0" w:space="0" w:color="auto"/>
            <w:left w:val="none" w:sz="0" w:space="0" w:color="auto"/>
            <w:bottom w:val="none" w:sz="0" w:space="0" w:color="auto"/>
            <w:right w:val="none" w:sz="0" w:space="0" w:color="auto"/>
          </w:divBdr>
        </w:div>
      </w:divsChild>
    </w:div>
    <w:div w:id="1352031842">
      <w:bodyDiv w:val="1"/>
      <w:marLeft w:val="0"/>
      <w:marRight w:val="0"/>
      <w:marTop w:val="0"/>
      <w:marBottom w:val="0"/>
      <w:divBdr>
        <w:top w:val="none" w:sz="0" w:space="0" w:color="auto"/>
        <w:left w:val="none" w:sz="0" w:space="0" w:color="auto"/>
        <w:bottom w:val="none" w:sz="0" w:space="0" w:color="auto"/>
        <w:right w:val="none" w:sz="0" w:space="0" w:color="auto"/>
      </w:divBdr>
    </w:div>
    <w:div w:id="1440219571">
      <w:bodyDiv w:val="1"/>
      <w:marLeft w:val="0"/>
      <w:marRight w:val="0"/>
      <w:marTop w:val="0"/>
      <w:marBottom w:val="0"/>
      <w:divBdr>
        <w:top w:val="none" w:sz="0" w:space="0" w:color="auto"/>
        <w:left w:val="none" w:sz="0" w:space="0" w:color="auto"/>
        <w:bottom w:val="none" w:sz="0" w:space="0" w:color="auto"/>
        <w:right w:val="none" w:sz="0" w:space="0" w:color="auto"/>
      </w:divBdr>
    </w:div>
    <w:div w:id="1545215134">
      <w:bodyDiv w:val="1"/>
      <w:marLeft w:val="0"/>
      <w:marRight w:val="0"/>
      <w:marTop w:val="0"/>
      <w:marBottom w:val="0"/>
      <w:divBdr>
        <w:top w:val="none" w:sz="0" w:space="0" w:color="auto"/>
        <w:left w:val="none" w:sz="0" w:space="0" w:color="auto"/>
        <w:bottom w:val="none" w:sz="0" w:space="0" w:color="auto"/>
        <w:right w:val="none" w:sz="0" w:space="0" w:color="auto"/>
      </w:divBdr>
    </w:div>
    <w:div w:id="1691028243">
      <w:bodyDiv w:val="1"/>
      <w:marLeft w:val="0"/>
      <w:marRight w:val="0"/>
      <w:marTop w:val="0"/>
      <w:marBottom w:val="0"/>
      <w:divBdr>
        <w:top w:val="none" w:sz="0" w:space="0" w:color="auto"/>
        <w:left w:val="none" w:sz="0" w:space="0" w:color="auto"/>
        <w:bottom w:val="none" w:sz="0" w:space="0" w:color="auto"/>
        <w:right w:val="none" w:sz="0" w:space="0" w:color="auto"/>
      </w:divBdr>
    </w:div>
    <w:div w:id="1749498317">
      <w:bodyDiv w:val="1"/>
      <w:marLeft w:val="0"/>
      <w:marRight w:val="0"/>
      <w:marTop w:val="0"/>
      <w:marBottom w:val="0"/>
      <w:divBdr>
        <w:top w:val="none" w:sz="0" w:space="0" w:color="auto"/>
        <w:left w:val="none" w:sz="0" w:space="0" w:color="auto"/>
        <w:bottom w:val="none" w:sz="0" w:space="0" w:color="auto"/>
        <w:right w:val="none" w:sz="0" w:space="0" w:color="auto"/>
      </w:divBdr>
    </w:div>
    <w:div w:id="1755591315">
      <w:bodyDiv w:val="1"/>
      <w:marLeft w:val="0"/>
      <w:marRight w:val="0"/>
      <w:marTop w:val="0"/>
      <w:marBottom w:val="0"/>
      <w:divBdr>
        <w:top w:val="none" w:sz="0" w:space="0" w:color="auto"/>
        <w:left w:val="none" w:sz="0" w:space="0" w:color="auto"/>
        <w:bottom w:val="none" w:sz="0" w:space="0" w:color="auto"/>
        <w:right w:val="none" w:sz="0" w:space="0" w:color="auto"/>
      </w:divBdr>
      <w:divsChild>
        <w:div w:id="200673143">
          <w:marLeft w:val="0"/>
          <w:marRight w:val="0"/>
          <w:marTop w:val="0"/>
          <w:marBottom w:val="0"/>
          <w:divBdr>
            <w:top w:val="none" w:sz="0" w:space="0" w:color="auto"/>
            <w:left w:val="none" w:sz="0" w:space="0" w:color="auto"/>
            <w:bottom w:val="none" w:sz="0" w:space="0" w:color="auto"/>
            <w:right w:val="none" w:sz="0" w:space="0" w:color="auto"/>
          </w:divBdr>
        </w:div>
      </w:divsChild>
    </w:div>
    <w:div w:id="1780758226">
      <w:bodyDiv w:val="1"/>
      <w:marLeft w:val="0"/>
      <w:marRight w:val="0"/>
      <w:marTop w:val="0"/>
      <w:marBottom w:val="0"/>
      <w:divBdr>
        <w:top w:val="none" w:sz="0" w:space="0" w:color="auto"/>
        <w:left w:val="none" w:sz="0" w:space="0" w:color="auto"/>
        <w:bottom w:val="none" w:sz="0" w:space="0" w:color="auto"/>
        <w:right w:val="none" w:sz="0" w:space="0" w:color="auto"/>
      </w:divBdr>
    </w:div>
    <w:div w:id="1803226241">
      <w:bodyDiv w:val="1"/>
      <w:marLeft w:val="0"/>
      <w:marRight w:val="0"/>
      <w:marTop w:val="0"/>
      <w:marBottom w:val="0"/>
      <w:divBdr>
        <w:top w:val="none" w:sz="0" w:space="0" w:color="auto"/>
        <w:left w:val="none" w:sz="0" w:space="0" w:color="auto"/>
        <w:bottom w:val="none" w:sz="0" w:space="0" w:color="auto"/>
        <w:right w:val="none" w:sz="0" w:space="0" w:color="auto"/>
      </w:divBdr>
      <w:divsChild>
        <w:div w:id="620384748">
          <w:marLeft w:val="0"/>
          <w:marRight w:val="0"/>
          <w:marTop w:val="0"/>
          <w:marBottom w:val="0"/>
          <w:divBdr>
            <w:top w:val="none" w:sz="0" w:space="0" w:color="auto"/>
            <w:left w:val="single" w:sz="6" w:space="0" w:color="999999"/>
            <w:bottom w:val="none" w:sz="0" w:space="0" w:color="auto"/>
            <w:right w:val="single" w:sz="6" w:space="0" w:color="999999"/>
          </w:divBdr>
          <w:divsChild>
            <w:div w:id="630794784">
              <w:marLeft w:val="0"/>
              <w:marRight w:val="0"/>
              <w:marTop w:val="0"/>
              <w:marBottom w:val="0"/>
              <w:divBdr>
                <w:top w:val="none" w:sz="0" w:space="0" w:color="auto"/>
                <w:left w:val="none" w:sz="0" w:space="0" w:color="auto"/>
                <w:bottom w:val="none" w:sz="0" w:space="0" w:color="auto"/>
                <w:right w:val="none" w:sz="0" w:space="0" w:color="auto"/>
              </w:divBdr>
              <w:divsChild>
                <w:div w:id="1843858070">
                  <w:marLeft w:val="0"/>
                  <w:marRight w:val="0"/>
                  <w:marTop w:val="0"/>
                  <w:marBottom w:val="0"/>
                  <w:divBdr>
                    <w:top w:val="none" w:sz="0" w:space="0" w:color="auto"/>
                    <w:left w:val="none" w:sz="0" w:space="0" w:color="auto"/>
                    <w:bottom w:val="single" w:sz="6" w:space="9" w:color="FFFFFF"/>
                    <w:right w:val="none" w:sz="0" w:space="0" w:color="auto"/>
                  </w:divBdr>
                  <w:divsChild>
                    <w:div w:id="205258875">
                      <w:marLeft w:val="0"/>
                      <w:marRight w:val="0"/>
                      <w:marTop w:val="0"/>
                      <w:marBottom w:val="0"/>
                      <w:divBdr>
                        <w:top w:val="none" w:sz="0" w:space="0" w:color="auto"/>
                        <w:left w:val="none" w:sz="0" w:space="0" w:color="auto"/>
                        <w:bottom w:val="none" w:sz="0" w:space="0" w:color="auto"/>
                        <w:right w:val="none" w:sz="0" w:space="0" w:color="auto"/>
                      </w:divBdr>
                      <w:divsChild>
                        <w:div w:id="38744111">
                          <w:marLeft w:val="0"/>
                          <w:marRight w:val="0"/>
                          <w:marTop w:val="0"/>
                          <w:marBottom w:val="0"/>
                          <w:divBdr>
                            <w:top w:val="none" w:sz="0" w:space="0" w:color="auto"/>
                            <w:left w:val="none" w:sz="0" w:space="0" w:color="auto"/>
                            <w:bottom w:val="none" w:sz="0" w:space="0" w:color="auto"/>
                            <w:right w:val="none" w:sz="0" w:space="0" w:color="auto"/>
                          </w:divBdr>
                          <w:divsChild>
                            <w:div w:id="562760998">
                              <w:marLeft w:val="0"/>
                              <w:marRight w:val="0"/>
                              <w:marTop w:val="0"/>
                              <w:marBottom w:val="0"/>
                              <w:divBdr>
                                <w:top w:val="none" w:sz="0" w:space="0" w:color="auto"/>
                                <w:left w:val="none" w:sz="0" w:space="0" w:color="auto"/>
                                <w:bottom w:val="none" w:sz="0" w:space="0" w:color="auto"/>
                                <w:right w:val="none" w:sz="0" w:space="0" w:color="auto"/>
                              </w:divBdr>
                              <w:divsChild>
                                <w:div w:id="314995207">
                                  <w:marLeft w:val="0"/>
                                  <w:marRight w:val="0"/>
                                  <w:marTop w:val="0"/>
                                  <w:marBottom w:val="0"/>
                                  <w:divBdr>
                                    <w:top w:val="none" w:sz="0" w:space="0" w:color="auto"/>
                                    <w:left w:val="none" w:sz="0" w:space="0" w:color="auto"/>
                                    <w:bottom w:val="none" w:sz="0" w:space="0" w:color="auto"/>
                                    <w:right w:val="none" w:sz="0" w:space="0" w:color="auto"/>
                                  </w:divBdr>
                                  <w:divsChild>
                                    <w:div w:id="404691129">
                                      <w:marLeft w:val="0"/>
                                      <w:marRight w:val="0"/>
                                      <w:marTop w:val="0"/>
                                      <w:marBottom w:val="0"/>
                                      <w:divBdr>
                                        <w:top w:val="none" w:sz="0" w:space="0" w:color="auto"/>
                                        <w:left w:val="none" w:sz="0" w:space="0" w:color="auto"/>
                                        <w:bottom w:val="none" w:sz="0" w:space="0" w:color="auto"/>
                                        <w:right w:val="none" w:sz="0" w:space="0" w:color="auto"/>
                                      </w:divBdr>
                                      <w:divsChild>
                                        <w:div w:id="1013990635">
                                          <w:marLeft w:val="600"/>
                                          <w:marRight w:val="375"/>
                                          <w:marTop w:val="120"/>
                                          <w:marBottom w:val="0"/>
                                          <w:divBdr>
                                            <w:top w:val="none" w:sz="0" w:space="0" w:color="auto"/>
                                            <w:left w:val="none" w:sz="0" w:space="0" w:color="auto"/>
                                            <w:bottom w:val="none" w:sz="0" w:space="0" w:color="auto"/>
                                            <w:right w:val="none" w:sz="0" w:space="0" w:color="auto"/>
                                          </w:divBdr>
                                          <w:divsChild>
                                            <w:div w:id="721563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37110098">
      <w:bodyDiv w:val="1"/>
      <w:marLeft w:val="0"/>
      <w:marRight w:val="0"/>
      <w:marTop w:val="0"/>
      <w:marBottom w:val="0"/>
      <w:divBdr>
        <w:top w:val="none" w:sz="0" w:space="0" w:color="auto"/>
        <w:left w:val="none" w:sz="0" w:space="0" w:color="auto"/>
        <w:bottom w:val="none" w:sz="0" w:space="0" w:color="auto"/>
        <w:right w:val="none" w:sz="0" w:space="0" w:color="auto"/>
      </w:divBdr>
    </w:div>
    <w:div w:id="1838230618">
      <w:bodyDiv w:val="1"/>
      <w:marLeft w:val="0"/>
      <w:marRight w:val="0"/>
      <w:marTop w:val="0"/>
      <w:marBottom w:val="0"/>
      <w:divBdr>
        <w:top w:val="none" w:sz="0" w:space="0" w:color="auto"/>
        <w:left w:val="none" w:sz="0" w:space="0" w:color="auto"/>
        <w:bottom w:val="none" w:sz="0" w:space="0" w:color="auto"/>
        <w:right w:val="none" w:sz="0" w:space="0" w:color="auto"/>
      </w:divBdr>
    </w:div>
    <w:div w:id="1911037851">
      <w:bodyDiv w:val="1"/>
      <w:marLeft w:val="0"/>
      <w:marRight w:val="0"/>
      <w:marTop w:val="0"/>
      <w:marBottom w:val="0"/>
      <w:divBdr>
        <w:top w:val="none" w:sz="0" w:space="0" w:color="auto"/>
        <w:left w:val="none" w:sz="0" w:space="0" w:color="auto"/>
        <w:bottom w:val="none" w:sz="0" w:space="0" w:color="auto"/>
        <w:right w:val="none" w:sz="0" w:space="0" w:color="auto"/>
      </w:divBdr>
    </w:div>
    <w:div w:id="1957445953">
      <w:bodyDiv w:val="1"/>
      <w:marLeft w:val="0"/>
      <w:marRight w:val="0"/>
      <w:marTop w:val="0"/>
      <w:marBottom w:val="0"/>
      <w:divBdr>
        <w:top w:val="none" w:sz="0" w:space="0" w:color="auto"/>
        <w:left w:val="none" w:sz="0" w:space="0" w:color="auto"/>
        <w:bottom w:val="none" w:sz="0" w:space="0" w:color="auto"/>
        <w:right w:val="none" w:sz="0" w:space="0" w:color="auto"/>
      </w:divBdr>
      <w:divsChild>
        <w:div w:id="1249924815">
          <w:marLeft w:val="0"/>
          <w:marRight w:val="0"/>
          <w:marTop w:val="0"/>
          <w:marBottom w:val="0"/>
          <w:divBdr>
            <w:top w:val="none" w:sz="0" w:space="0" w:color="auto"/>
            <w:left w:val="none" w:sz="0" w:space="0" w:color="auto"/>
            <w:bottom w:val="none" w:sz="0" w:space="0" w:color="auto"/>
            <w:right w:val="none" w:sz="0" w:space="0" w:color="auto"/>
          </w:divBdr>
        </w:div>
      </w:divsChild>
    </w:div>
    <w:div w:id="1962879398">
      <w:bodyDiv w:val="1"/>
      <w:marLeft w:val="0"/>
      <w:marRight w:val="0"/>
      <w:marTop w:val="0"/>
      <w:marBottom w:val="0"/>
      <w:divBdr>
        <w:top w:val="none" w:sz="0" w:space="0" w:color="auto"/>
        <w:left w:val="none" w:sz="0" w:space="0" w:color="auto"/>
        <w:bottom w:val="none" w:sz="0" w:space="0" w:color="auto"/>
        <w:right w:val="none" w:sz="0" w:space="0" w:color="auto"/>
      </w:divBdr>
    </w:div>
    <w:div w:id="1987079049">
      <w:bodyDiv w:val="1"/>
      <w:marLeft w:val="0"/>
      <w:marRight w:val="0"/>
      <w:marTop w:val="0"/>
      <w:marBottom w:val="0"/>
      <w:divBdr>
        <w:top w:val="none" w:sz="0" w:space="0" w:color="auto"/>
        <w:left w:val="none" w:sz="0" w:space="0" w:color="auto"/>
        <w:bottom w:val="none" w:sz="0" w:space="0" w:color="auto"/>
        <w:right w:val="none" w:sz="0" w:space="0" w:color="auto"/>
      </w:divBdr>
    </w:div>
    <w:div w:id="2100711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puc.ca.gov/PUC/documents/" TargetMode="External"/><Relationship Id="rId13" Type="http://schemas.openxmlformats.org/officeDocument/2006/relationships/header" Target="header3.xml"/><Relationship Id="rId18" Type="http://schemas.openxmlformats.org/officeDocument/2006/relationships/footer" Target="footer5.xml"/><Relationship Id="rId3" Type="http://schemas.microsoft.com/office/2007/relationships/stylesWithEffects" Target="stylesWithEffects.xml"/><Relationship Id="rId21"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2.jpg"/><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footer" Target="footer6.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7.xml"/></Relationships>
</file>

<file path=word/_rels/footer3.xml.rels><?xml version="1.0" encoding="UTF-8" standalone="yes"?>
<Relationships xmlns="http://schemas.openxmlformats.org/package/2006/relationships"><Relationship Id="rId1" Type="http://schemas.openxmlformats.org/officeDocument/2006/relationships/image" Target="media/image1.wmf"/></Relationships>
</file>

<file path=word/_rels/footnotes.xml.rels><?xml version="1.0" encoding="UTF-8" standalone="yes"?>
<Relationships xmlns="http://schemas.openxmlformats.org/package/2006/relationships"><Relationship Id="rId3" Type="http://schemas.openxmlformats.org/officeDocument/2006/relationships/hyperlink" Target="http://www.humboldtgov.org/739/Petrolia" TargetMode="External"/><Relationship Id="rId2" Type="http://schemas.openxmlformats.org/officeDocument/2006/relationships/hyperlink" Target="http://investor.frontier.com/financials-statements.cfm" TargetMode="External"/><Relationship Id="rId1" Type="http://schemas.openxmlformats.org/officeDocument/2006/relationships/hyperlink" Target="http://topics.nytimes.com/top/news/business/companies/citizens_communications_company/index.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4808</Words>
  <Characters>27214</Characters>
  <Application>Microsoft Office Word</Application>
  <DocSecurity>0</DocSecurity>
  <Lines>624</Lines>
  <Paragraphs>166</Paragraphs>
  <ScaleCrop>false</ScaleCrop>
  <HeadingPairs>
    <vt:vector size="2" baseType="variant">
      <vt:variant>
        <vt:lpstr>Title</vt:lpstr>
      </vt:variant>
      <vt:variant>
        <vt:i4>1</vt:i4>
      </vt:variant>
    </vt:vector>
  </HeadingPairs>
  <TitlesOfParts>
    <vt:vector size="1" baseType="lpstr">
      <vt:lpstr>_</vt:lpstr>
    </vt:vector>
  </TitlesOfParts>
  <Manager/>
  <Company/>
  <LinksUpToDate>false</LinksUpToDate>
  <CharactersWithSpaces>32105</CharactersWithSpaces>
  <SharedDoc>false</SharedDoc>
  <HyperlinkBase>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_</dc:title>
  <dc:subject> </dc:subject>
  <dc:creator/>
  <cp:keywords> </cp:keywords>
  <dc:description> </dc:description>
  <cp:lastModifiedBy/>
  <cp:revision>1</cp:revision>
  <cp:lastPrinted>2011-06-16T20:30:00Z</cp:lastPrinted>
  <dcterms:created xsi:type="dcterms:W3CDTF">2015-07-24T22:31:00Z</dcterms:created>
  <dcterms:modified xsi:type="dcterms:W3CDTF">2015-07-24T22:31:00Z</dcterms:modified>
  <cp:category> </cp:category>
  <cp:contentStatus> </cp:contentStatus>
</cp:coreProperties>
</file>