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21EE" w:rsidRDefault="0000085E">
      <w:bookmarkStart w:id="0" w:name="_GoBack"/>
      <w:bookmarkEnd w:id="0"/>
      <w:r>
        <w:tab/>
      </w:r>
      <w:r>
        <w:tab/>
      </w:r>
      <w:r>
        <w:tab/>
      </w:r>
      <w:r>
        <w:tab/>
      </w:r>
      <w:r>
        <w:tab/>
      </w:r>
      <w:r>
        <w:tab/>
      </w:r>
      <w:r>
        <w:tab/>
        <w:t xml:space="preserve">      </w:t>
      </w:r>
    </w:p>
    <w:p w:rsidR="00B221EE" w:rsidRDefault="00B221EE">
      <w:pPr>
        <w:jc w:val="center"/>
        <w:rPr>
          <w:b/>
        </w:rPr>
      </w:pPr>
      <w:r>
        <w:rPr>
          <w:b/>
        </w:rPr>
        <w:t>PUBLIC UTILITIES COMMISSION OF THE STATE OF CALIFORNIA</w:t>
      </w:r>
    </w:p>
    <w:p w:rsidR="00B221EE" w:rsidRDefault="00B221EE">
      <w:pPr>
        <w:jc w:val="center"/>
        <w:rPr>
          <w:b/>
        </w:rPr>
      </w:pPr>
    </w:p>
    <w:tbl>
      <w:tblPr>
        <w:tblW w:w="9450" w:type="dxa"/>
        <w:tblInd w:w="108" w:type="dxa"/>
        <w:tblLayout w:type="fixed"/>
        <w:tblLook w:val="0000" w:firstRow="0" w:lastRow="0" w:firstColumn="0" w:lastColumn="0" w:noHBand="0" w:noVBand="0"/>
      </w:tblPr>
      <w:tblGrid>
        <w:gridCol w:w="4788"/>
        <w:gridCol w:w="4662"/>
      </w:tblGrid>
      <w:tr w:rsidR="00B221EE">
        <w:tc>
          <w:tcPr>
            <w:tcW w:w="4788" w:type="dxa"/>
            <w:tcBorders>
              <w:top w:val="nil"/>
              <w:left w:val="nil"/>
              <w:bottom w:val="nil"/>
              <w:right w:val="nil"/>
            </w:tcBorders>
          </w:tcPr>
          <w:p w:rsidR="00B221EE" w:rsidRDefault="00B221EE">
            <w:pPr>
              <w:rPr>
                <w:b/>
                <w:lang w:val="fr-FR"/>
              </w:rPr>
            </w:pPr>
            <w:r>
              <w:rPr>
                <w:b/>
                <w:lang w:val="fr-FR"/>
              </w:rPr>
              <w:t>Communications Division</w:t>
            </w:r>
          </w:p>
        </w:tc>
        <w:tc>
          <w:tcPr>
            <w:tcW w:w="4662" w:type="dxa"/>
            <w:tcBorders>
              <w:top w:val="nil"/>
              <w:left w:val="nil"/>
              <w:bottom w:val="nil"/>
              <w:right w:val="nil"/>
            </w:tcBorders>
          </w:tcPr>
          <w:p w:rsidR="00B221EE" w:rsidRDefault="00B221EE" w:rsidP="00605035">
            <w:pPr>
              <w:jc w:val="right"/>
              <w:rPr>
                <w:b/>
                <w:lang w:val="fr-FR"/>
              </w:rPr>
            </w:pPr>
            <w:r>
              <w:rPr>
                <w:b/>
                <w:lang w:val="fr-FR"/>
              </w:rPr>
              <w:t>RESOLUTION T-</w:t>
            </w:r>
            <w:r w:rsidR="00EB1EE7">
              <w:rPr>
                <w:b/>
                <w:lang w:val="fr-FR"/>
              </w:rPr>
              <w:t>17489</w:t>
            </w:r>
          </w:p>
        </w:tc>
      </w:tr>
      <w:tr w:rsidR="00B221EE">
        <w:tc>
          <w:tcPr>
            <w:tcW w:w="4788" w:type="dxa"/>
            <w:tcBorders>
              <w:top w:val="nil"/>
              <w:left w:val="nil"/>
              <w:bottom w:val="nil"/>
              <w:right w:val="nil"/>
            </w:tcBorders>
          </w:tcPr>
          <w:p w:rsidR="00B221EE" w:rsidRDefault="00B221EE">
            <w:pPr>
              <w:rPr>
                <w:b/>
              </w:rPr>
            </w:pPr>
            <w:r>
              <w:rPr>
                <w:b/>
              </w:rPr>
              <w:t>Carrier Oversight &amp; Programs Branch</w:t>
            </w:r>
          </w:p>
        </w:tc>
        <w:tc>
          <w:tcPr>
            <w:tcW w:w="4662" w:type="dxa"/>
            <w:tcBorders>
              <w:top w:val="nil"/>
              <w:left w:val="nil"/>
              <w:bottom w:val="nil"/>
              <w:right w:val="nil"/>
            </w:tcBorders>
          </w:tcPr>
          <w:p w:rsidR="00B221EE" w:rsidRDefault="0000085E" w:rsidP="00605035">
            <w:pPr>
              <w:jc w:val="right"/>
              <w:rPr>
                <w:b/>
              </w:rPr>
            </w:pPr>
            <w:r>
              <w:rPr>
                <w:b/>
              </w:rPr>
              <w:t>September 17</w:t>
            </w:r>
            <w:r w:rsidR="00B221EE">
              <w:rPr>
                <w:b/>
              </w:rPr>
              <w:t>, 201</w:t>
            </w:r>
            <w:r w:rsidR="00605035">
              <w:rPr>
                <w:b/>
              </w:rPr>
              <w:t>5</w:t>
            </w:r>
          </w:p>
        </w:tc>
      </w:tr>
    </w:tbl>
    <w:p w:rsidR="00B221EE" w:rsidRDefault="00B221EE"/>
    <w:p w:rsidR="00B221EE" w:rsidRDefault="00B221EE"/>
    <w:p w:rsidR="00B221EE" w:rsidRDefault="00B221EE">
      <w:pPr>
        <w:jc w:val="center"/>
      </w:pPr>
      <w:r>
        <w:rPr>
          <w:b/>
          <w:u w:val="single"/>
        </w:rPr>
        <w:t>R</w:t>
      </w:r>
      <w:r>
        <w:t xml:space="preserve"> </w:t>
      </w:r>
      <w:r>
        <w:rPr>
          <w:b/>
          <w:u w:val="single"/>
        </w:rPr>
        <w:t>E</w:t>
      </w:r>
      <w:r>
        <w:t xml:space="preserve"> </w:t>
      </w:r>
      <w:r>
        <w:rPr>
          <w:b/>
          <w:u w:val="single"/>
        </w:rPr>
        <w:t>S</w:t>
      </w:r>
      <w:r>
        <w:t xml:space="preserve"> </w:t>
      </w:r>
      <w:r>
        <w:rPr>
          <w:b/>
          <w:u w:val="single"/>
        </w:rPr>
        <w:t>O</w:t>
      </w:r>
      <w:r>
        <w:t xml:space="preserve"> </w:t>
      </w:r>
      <w:r>
        <w:rPr>
          <w:b/>
          <w:u w:val="single"/>
        </w:rPr>
        <w:t>L</w:t>
      </w:r>
      <w:r>
        <w:t xml:space="preserve"> </w:t>
      </w:r>
      <w:r>
        <w:rPr>
          <w:b/>
          <w:u w:val="single"/>
        </w:rPr>
        <w:t>U</w:t>
      </w:r>
      <w:r>
        <w:t xml:space="preserve"> </w:t>
      </w:r>
      <w:r>
        <w:rPr>
          <w:b/>
          <w:u w:val="single"/>
        </w:rPr>
        <w:t>T</w:t>
      </w:r>
      <w:r>
        <w:t xml:space="preserve"> </w:t>
      </w:r>
      <w:r>
        <w:rPr>
          <w:b/>
          <w:u w:val="single"/>
        </w:rPr>
        <w:t>I</w:t>
      </w:r>
      <w:r>
        <w:t xml:space="preserve"> </w:t>
      </w:r>
      <w:r>
        <w:rPr>
          <w:b/>
          <w:u w:val="single"/>
        </w:rPr>
        <w:t>O</w:t>
      </w:r>
      <w:r>
        <w:t xml:space="preserve"> </w:t>
      </w:r>
      <w:r>
        <w:rPr>
          <w:b/>
          <w:u w:val="single"/>
        </w:rPr>
        <w:t>N</w:t>
      </w:r>
    </w:p>
    <w:p w:rsidR="00B221EE" w:rsidRDefault="00B221EE">
      <w:pPr>
        <w:tabs>
          <w:tab w:val="left" w:pos="6075"/>
        </w:tabs>
      </w:pPr>
      <w:r>
        <w:tab/>
      </w:r>
    </w:p>
    <w:p w:rsidR="00B221EE" w:rsidRDefault="00B221EE"/>
    <w:p w:rsidR="00B221EE" w:rsidRDefault="00B221EE" w:rsidP="00374453">
      <w:pPr>
        <w:pStyle w:val="BlockText"/>
        <w:ind w:left="810" w:right="720"/>
      </w:pPr>
      <w:r>
        <w:t>Resolution T-</w:t>
      </w:r>
      <w:bookmarkStart w:id="1" w:name="OLE_LINK6"/>
      <w:bookmarkStart w:id="2" w:name="OLE_LINK7"/>
      <w:r w:rsidR="008019CE">
        <w:t>17489</w:t>
      </w:r>
      <w:r>
        <w:t xml:space="preserve">.   Revocation of </w:t>
      </w:r>
      <w:r w:rsidR="00EA7F10">
        <w:t xml:space="preserve">Operating Authorities </w:t>
      </w:r>
      <w:r>
        <w:t xml:space="preserve">of </w:t>
      </w:r>
      <w:r w:rsidR="00EA7F10">
        <w:t>4</w:t>
      </w:r>
      <w:r w:rsidR="006A309F">
        <w:t>4</w:t>
      </w:r>
      <w:r w:rsidR="00EA7F10">
        <w:t xml:space="preserve"> </w:t>
      </w:r>
      <w:r>
        <w:t xml:space="preserve">Telephone Carriers for their Failure to Comply with </w:t>
      </w:r>
      <w:r w:rsidR="00EA7F10">
        <w:t>User Fee,</w:t>
      </w:r>
      <w:bookmarkStart w:id="3" w:name="OLE_LINK8"/>
      <w:bookmarkStart w:id="4" w:name="OLE_LINK11"/>
      <w:r>
        <w:t xml:space="preserve"> Public Purpose Program Surcharge</w:t>
      </w:r>
      <w:r w:rsidR="003B2F1A">
        <w:t xml:space="preserve"> </w:t>
      </w:r>
      <w:r>
        <w:t xml:space="preserve">and Performance Bond </w:t>
      </w:r>
      <w:r w:rsidR="00EA7F10">
        <w:t>Requirements</w:t>
      </w:r>
      <w:r>
        <w:t xml:space="preserve"> </w:t>
      </w:r>
      <w:bookmarkEnd w:id="1"/>
      <w:bookmarkEnd w:id="2"/>
      <w:bookmarkEnd w:id="3"/>
      <w:bookmarkEnd w:id="4"/>
    </w:p>
    <w:p w:rsidR="00B221EE" w:rsidRDefault="00B221EE">
      <w:pPr>
        <w:ind w:left="720" w:right="720"/>
      </w:pPr>
      <w:r>
        <w:t>_________________________________________________________________</w:t>
      </w:r>
    </w:p>
    <w:p w:rsidR="00B221EE" w:rsidRDefault="00B221EE"/>
    <w:p w:rsidR="00B221EE" w:rsidRDefault="00B221EE">
      <w:pPr>
        <w:pStyle w:val="Heading1"/>
        <w:numPr>
          <w:ilvl w:val="0"/>
          <w:numId w:val="0"/>
        </w:numPr>
        <w:spacing w:before="0" w:after="0"/>
        <w:rPr>
          <w:rFonts w:ascii="Palatino" w:hAnsi="Palatino"/>
          <w:szCs w:val="24"/>
          <w:u w:val="single"/>
        </w:rPr>
      </w:pPr>
      <w:r>
        <w:rPr>
          <w:rFonts w:ascii="Palatino" w:hAnsi="Palatino"/>
          <w:szCs w:val="24"/>
          <w:u w:val="single"/>
        </w:rPr>
        <w:t>SUMMARY</w:t>
      </w:r>
    </w:p>
    <w:p w:rsidR="00B221EE" w:rsidRDefault="00B221EE"/>
    <w:p w:rsidR="003B2F1A" w:rsidRDefault="00B221EE">
      <w:pPr>
        <w:pStyle w:val="HTMLPreformatted"/>
        <w:rPr>
          <w:rFonts w:ascii="Palatino" w:hAnsi="Palatino"/>
          <w:sz w:val="24"/>
          <w:szCs w:val="24"/>
        </w:rPr>
      </w:pPr>
      <w:r w:rsidRPr="0000085E">
        <w:rPr>
          <w:rFonts w:ascii="Palatino" w:hAnsi="Palatino"/>
          <w:sz w:val="24"/>
          <w:szCs w:val="24"/>
        </w:rPr>
        <w:t xml:space="preserve">This </w:t>
      </w:r>
      <w:r w:rsidR="00EA7F10">
        <w:rPr>
          <w:rFonts w:ascii="Palatino" w:hAnsi="Palatino"/>
          <w:sz w:val="24"/>
          <w:szCs w:val="24"/>
        </w:rPr>
        <w:t>R</w:t>
      </w:r>
      <w:r w:rsidRPr="0000085E">
        <w:rPr>
          <w:rFonts w:ascii="Palatino" w:hAnsi="Palatino"/>
          <w:sz w:val="24"/>
          <w:szCs w:val="24"/>
        </w:rPr>
        <w:t>esolution revokes operating authorities held by</w:t>
      </w:r>
      <w:r w:rsidR="0023561C" w:rsidRPr="0000085E">
        <w:rPr>
          <w:rFonts w:ascii="Palatino" w:hAnsi="Palatino"/>
          <w:sz w:val="24"/>
          <w:szCs w:val="24"/>
        </w:rPr>
        <w:t xml:space="preserve"> </w:t>
      </w:r>
      <w:r w:rsidR="00CF1F37">
        <w:rPr>
          <w:rFonts w:ascii="Palatino" w:hAnsi="Palatino"/>
          <w:sz w:val="24"/>
          <w:szCs w:val="24"/>
        </w:rPr>
        <w:t>forty-</w:t>
      </w:r>
      <w:r w:rsidR="006A309F">
        <w:rPr>
          <w:rFonts w:ascii="Palatino" w:hAnsi="Palatino"/>
          <w:sz w:val="24"/>
          <w:szCs w:val="24"/>
        </w:rPr>
        <w:t>four</w:t>
      </w:r>
      <w:r w:rsidR="006A309F" w:rsidRPr="0000085E">
        <w:rPr>
          <w:rFonts w:ascii="Palatino" w:hAnsi="Palatino"/>
          <w:sz w:val="24"/>
          <w:szCs w:val="24"/>
        </w:rPr>
        <w:t xml:space="preserve"> </w:t>
      </w:r>
      <w:r w:rsidRPr="0000085E">
        <w:rPr>
          <w:rFonts w:ascii="Palatino" w:hAnsi="Palatino"/>
          <w:sz w:val="24"/>
          <w:szCs w:val="24"/>
        </w:rPr>
        <w:t>(</w:t>
      </w:r>
      <w:r w:rsidR="00CF1F37">
        <w:rPr>
          <w:rFonts w:ascii="Palatino" w:hAnsi="Palatino"/>
          <w:sz w:val="24"/>
          <w:szCs w:val="24"/>
        </w:rPr>
        <w:t>4</w:t>
      </w:r>
      <w:r w:rsidR="006A309F">
        <w:rPr>
          <w:rFonts w:ascii="Palatino" w:hAnsi="Palatino"/>
          <w:sz w:val="24"/>
          <w:szCs w:val="24"/>
        </w:rPr>
        <w:t>4</w:t>
      </w:r>
      <w:r w:rsidRPr="0000085E">
        <w:rPr>
          <w:rFonts w:ascii="Palatino" w:hAnsi="Palatino"/>
          <w:sz w:val="24"/>
          <w:szCs w:val="24"/>
        </w:rPr>
        <w:t xml:space="preserve">) </w:t>
      </w:r>
      <w:r w:rsidR="0023561C" w:rsidRPr="0000085E">
        <w:rPr>
          <w:rFonts w:ascii="Palatino" w:hAnsi="Palatino"/>
          <w:sz w:val="24"/>
          <w:szCs w:val="24"/>
        </w:rPr>
        <w:t xml:space="preserve">wireline </w:t>
      </w:r>
      <w:r w:rsidR="004A36DD">
        <w:rPr>
          <w:rFonts w:ascii="Palatino" w:hAnsi="Palatino"/>
          <w:sz w:val="24"/>
          <w:szCs w:val="24"/>
        </w:rPr>
        <w:t>telephone</w:t>
      </w:r>
      <w:r w:rsidR="0023561C" w:rsidRPr="0000085E">
        <w:rPr>
          <w:rFonts w:ascii="Palatino" w:hAnsi="Palatino"/>
          <w:sz w:val="24"/>
          <w:szCs w:val="24"/>
        </w:rPr>
        <w:t xml:space="preserve"> </w:t>
      </w:r>
      <w:r w:rsidRPr="0000085E">
        <w:rPr>
          <w:rFonts w:ascii="Palatino" w:hAnsi="Palatino"/>
          <w:sz w:val="24"/>
          <w:szCs w:val="24"/>
        </w:rPr>
        <w:t xml:space="preserve">carriers listed in </w:t>
      </w:r>
      <w:r w:rsidR="00B25F0C">
        <w:rPr>
          <w:rFonts w:ascii="Palatino" w:hAnsi="Palatino"/>
          <w:sz w:val="24"/>
          <w:szCs w:val="24"/>
        </w:rPr>
        <w:t>A</w:t>
      </w:r>
      <w:r w:rsidR="00FC5190" w:rsidRPr="0000085E">
        <w:rPr>
          <w:rFonts w:ascii="Palatino" w:hAnsi="Palatino"/>
          <w:sz w:val="24"/>
          <w:szCs w:val="24"/>
        </w:rPr>
        <w:t>ppendices</w:t>
      </w:r>
      <w:r w:rsidR="00B25F0C">
        <w:rPr>
          <w:rFonts w:ascii="Palatino" w:hAnsi="Palatino"/>
          <w:sz w:val="24"/>
          <w:szCs w:val="24"/>
        </w:rPr>
        <w:t xml:space="preserve"> A and B</w:t>
      </w:r>
      <w:r w:rsidR="00FC5190" w:rsidRPr="0000085E">
        <w:rPr>
          <w:rFonts w:ascii="Palatino" w:hAnsi="Palatino"/>
          <w:sz w:val="24"/>
          <w:szCs w:val="24"/>
        </w:rPr>
        <w:t xml:space="preserve"> </w:t>
      </w:r>
      <w:r w:rsidRPr="0000085E">
        <w:rPr>
          <w:rFonts w:ascii="Palatino" w:hAnsi="Palatino"/>
          <w:sz w:val="24"/>
          <w:szCs w:val="24"/>
        </w:rPr>
        <w:t xml:space="preserve">for </w:t>
      </w:r>
      <w:r w:rsidR="003B2F1A">
        <w:rPr>
          <w:rFonts w:ascii="Palatino" w:hAnsi="Palatino"/>
          <w:sz w:val="24"/>
          <w:szCs w:val="24"/>
        </w:rPr>
        <w:t xml:space="preserve">their </w:t>
      </w:r>
      <w:r w:rsidRPr="0000085E">
        <w:rPr>
          <w:rFonts w:ascii="Palatino" w:hAnsi="Palatino"/>
          <w:sz w:val="24"/>
          <w:szCs w:val="24"/>
        </w:rPr>
        <w:t xml:space="preserve">failure to comply with </w:t>
      </w:r>
      <w:r w:rsidR="00787604">
        <w:rPr>
          <w:rFonts w:ascii="Palatino" w:hAnsi="Palatino"/>
          <w:sz w:val="24"/>
          <w:szCs w:val="24"/>
        </w:rPr>
        <w:t>two</w:t>
      </w:r>
      <w:r w:rsidR="00D52DB5">
        <w:rPr>
          <w:rFonts w:ascii="Palatino" w:hAnsi="Palatino"/>
          <w:sz w:val="24"/>
          <w:szCs w:val="24"/>
        </w:rPr>
        <w:t xml:space="preserve"> or more</w:t>
      </w:r>
      <w:r w:rsidR="00D52DB5" w:rsidRPr="0000085E">
        <w:rPr>
          <w:rFonts w:ascii="Palatino" w:hAnsi="Palatino"/>
          <w:sz w:val="24"/>
          <w:szCs w:val="24"/>
        </w:rPr>
        <w:t xml:space="preserve"> </w:t>
      </w:r>
      <w:r w:rsidR="00FC5190" w:rsidRPr="0000085E">
        <w:rPr>
          <w:rFonts w:ascii="Palatino" w:hAnsi="Palatino"/>
          <w:sz w:val="24"/>
          <w:szCs w:val="24"/>
        </w:rPr>
        <w:t xml:space="preserve">of </w:t>
      </w:r>
      <w:r w:rsidRPr="0000085E">
        <w:rPr>
          <w:rFonts w:ascii="Palatino" w:hAnsi="Palatino"/>
          <w:sz w:val="24"/>
          <w:szCs w:val="24"/>
        </w:rPr>
        <w:t>the following</w:t>
      </w:r>
      <w:r w:rsidR="00D52DB5">
        <w:rPr>
          <w:rFonts w:ascii="Palatino" w:hAnsi="Palatino"/>
          <w:sz w:val="24"/>
          <w:szCs w:val="24"/>
        </w:rPr>
        <w:t xml:space="preserve"> </w:t>
      </w:r>
      <w:r w:rsidR="004D56B9">
        <w:rPr>
          <w:rFonts w:ascii="Palatino" w:hAnsi="Palatino"/>
          <w:sz w:val="24"/>
          <w:szCs w:val="24"/>
        </w:rPr>
        <w:t xml:space="preserve">California Public Utilities Commission (Commission or CPUC) </w:t>
      </w:r>
      <w:r w:rsidR="00D52DB5">
        <w:rPr>
          <w:rFonts w:ascii="Palatino" w:hAnsi="Palatino"/>
          <w:sz w:val="24"/>
          <w:szCs w:val="24"/>
        </w:rPr>
        <w:t>requirements</w:t>
      </w:r>
      <w:r w:rsidRPr="0000085E">
        <w:rPr>
          <w:rFonts w:ascii="Palatino" w:hAnsi="Palatino"/>
          <w:sz w:val="24"/>
          <w:szCs w:val="24"/>
        </w:rPr>
        <w:t xml:space="preserve">: a) </w:t>
      </w:r>
      <w:bookmarkStart w:id="5" w:name="OLE_LINK2"/>
      <w:r w:rsidRPr="0000085E">
        <w:rPr>
          <w:rFonts w:ascii="Palatino" w:hAnsi="Palatino"/>
          <w:sz w:val="24"/>
          <w:szCs w:val="24"/>
        </w:rPr>
        <w:t xml:space="preserve">reporting and remittance of California Public Utilities Reimbursement Account Fee </w:t>
      </w:r>
      <w:r w:rsidR="00D52DB5">
        <w:rPr>
          <w:rFonts w:ascii="Palatino" w:hAnsi="Palatino"/>
          <w:sz w:val="24"/>
          <w:szCs w:val="24"/>
        </w:rPr>
        <w:t>(User Fee</w:t>
      </w:r>
      <w:r w:rsidR="00F32D6B">
        <w:rPr>
          <w:rFonts w:ascii="Palatino" w:hAnsi="Palatino"/>
          <w:sz w:val="24"/>
          <w:szCs w:val="24"/>
        </w:rPr>
        <w:t>s</w:t>
      </w:r>
      <w:r w:rsidR="00D52DB5">
        <w:rPr>
          <w:rFonts w:ascii="Palatino" w:hAnsi="Palatino"/>
          <w:sz w:val="24"/>
          <w:szCs w:val="24"/>
        </w:rPr>
        <w:t xml:space="preserve">) </w:t>
      </w:r>
      <w:r w:rsidRPr="0000085E">
        <w:rPr>
          <w:rFonts w:ascii="Palatino" w:hAnsi="Palatino"/>
          <w:sz w:val="24"/>
          <w:szCs w:val="24"/>
        </w:rPr>
        <w:t xml:space="preserve">in accordance with Public Utilities (PU) Code </w:t>
      </w:r>
      <w:bookmarkEnd w:id="5"/>
      <w:r w:rsidR="00F32D6B">
        <w:rPr>
          <w:rFonts w:ascii="Palatino" w:hAnsi="Palatino"/>
          <w:sz w:val="24"/>
          <w:szCs w:val="24"/>
        </w:rPr>
        <w:t>§§</w:t>
      </w:r>
      <w:r w:rsidRPr="0000085E">
        <w:rPr>
          <w:rFonts w:ascii="Palatino" w:hAnsi="Palatino"/>
          <w:sz w:val="24"/>
          <w:szCs w:val="24"/>
        </w:rPr>
        <w:t xml:space="preserve"> 401 through 405</w:t>
      </w:r>
      <w:r w:rsidR="00F32D6B">
        <w:rPr>
          <w:rFonts w:ascii="Palatino" w:hAnsi="Palatino"/>
          <w:sz w:val="24"/>
          <w:szCs w:val="24"/>
        </w:rPr>
        <w:t>;</w:t>
      </w:r>
      <w:r w:rsidRPr="0000085E">
        <w:rPr>
          <w:rFonts w:ascii="Palatino" w:hAnsi="Palatino"/>
          <w:sz w:val="24"/>
          <w:szCs w:val="24"/>
        </w:rPr>
        <w:t xml:space="preserve"> b) reporting and remittance of public purpose programs surcharges in compliance with Decision (D.) 96-10-066</w:t>
      </w:r>
      <w:r w:rsidR="00D52DB5">
        <w:rPr>
          <w:rFonts w:ascii="Palatino" w:hAnsi="Palatino"/>
          <w:sz w:val="24"/>
          <w:szCs w:val="24"/>
        </w:rPr>
        <w:t>;</w:t>
      </w:r>
      <w:r w:rsidRPr="0000085E">
        <w:rPr>
          <w:rFonts w:ascii="Palatino" w:hAnsi="Palatino"/>
          <w:sz w:val="24"/>
          <w:szCs w:val="24"/>
        </w:rPr>
        <w:t xml:space="preserve"> and c) submission of a performance bond as ordered under  D. 10-09-017.</w:t>
      </w:r>
      <w:r w:rsidR="00597515" w:rsidRPr="0000085E">
        <w:rPr>
          <w:rFonts w:ascii="Palatino" w:hAnsi="Palatino"/>
          <w:sz w:val="24"/>
          <w:szCs w:val="24"/>
        </w:rPr>
        <w:t xml:space="preserve">  </w:t>
      </w:r>
    </w:p>
    <w:p w:rsidR="00F25173" w:rsidRDefault="00F25173">
      <w:pPr>
        <w:pStyle w:val="HTMLPreformatted"/>
        <w:rPr>
          <w:rFonts w:ascii="Palatino" w:hAnsi="Palatino"/>
          <w:sz w:val="24"/>
          <w:szCs w:val="24"/>
        </w:rPr>
      </w:pPr>
    </w:p>
    <w:p w:rsidR="00B221EE" w:rsidRDefault="00B221EE">
      <w:pPr>
        <w:pStyle w:val="Heading1"/>
        <w:numPr>
          <w:ilvl w:val="0"/>
          <w:numId w:val="0"/>
        </w:numPr>
        <w:spacing w:before="0" w:after="0"/>
        <w:rPr>
          <w:rFonts w:ascii="Palatino" w:hAnsi="Palatino"/>
          <w:szCs w:val="24"/>
          <w:u w:val="single"/>
        </w:rPr>
      </w:pPr>
      <w:r>
        <w:rPr>
          <w:rFonts w:ascii="Palatino" w:hAnsi="Palatino"/>
          <w:szCs w:val="24"/>
          <w:u w:val="single"/>
        </w:rPr>
        <w:t>BACKGROUND</w:t>
      </w:r>
    </w:p>
    <w:p w:rsidR="00B221EE" w:rsidRDefault="00B221EE">
      <w:pPr>
        <w:pStyle w:val="Heading1"/>
        <w:numPr>
          <w:ilvl w:val="0"/>
          <w:numId w:val="0"/>
        </w:numPr>
        <w:spacing w:before="0" w:after="0"/>
        <w:rPr>
          <w:rFonts w:ascii="Palatino" w:hAnsi="Palatino"/>
          <w:szCs w:val="24"/>
          <w:u w:val="single"/>
        </w:rPr>
      </w:pPr>
    </w:p>
    <w:p w:rsidR="00B221EE" w:rsidRDefault="00B221EE">
      <w:r>
        <w:t xml:space="preserve">Operating authorities are issued to </w:t>
      </w:r>
      <w:r w:rsidR="004A36DD">
        <w:t>telephone</w:t>
      </w:r>
      <w:r w:rsidR="00F32D6B">
        <w:t xml:space="preserve"> </w:t>
      </w:r>
      <w:r>
        <w:t xml:space="preserve">carriers by the Commission.  With the grant of </w:t>
      </w:r>
      <w:r w:rsidR="00F32D6B">
        <w:t xml:space="preserve">an </w:t>
      </w:r>
      <w:r>
        <w:t xml:space="preserve">operating authority, the Commission imposes requirements </w:t>
      </w:r>
      <w:r w:rsidR="00D52DB5">
        <w:t xml:space="preserve">that the </w:t>
      </w:r>
      <w:r>
        <w:t>carrier must adhere to</w:t>
      </w:r>
      <w:r w:rsidR="00D52DB5">
        <w:t xml:space="preserve"> in order retain its authority.  Failure to comply </w:t>
      </w:r>
      <w:r>
        <w:t>subject</w:t>
      </w:r>
      <w:r w:rsidR="00A94ECC">
        <w:t>s</w:t>
      </w:r>
      <w:r w:rsidR="00D52DB5">
        <w:t xml:space="preserve"> the carrier</w:t>
      </w:r>
      <w:r>
        <w:t xml:space="preserve"> to suspension or revocation of its </w:t>
      </w:r>
      <w:r w:rsidR="00F32D6B">
        <w:t>operating authority</w:t>
      </w:r>
      <w:r>
        <w:t xml:space="preserve">.  These requirements include, but not limited to, the reporting and </w:t>
      </w:r>
      <w:r w:rsidR="00A94ECC">
        <w:t xml:space="preserve">remittance </w:t>
      </w:r>
      <w:r>
        <w:t>of User Fees</w:t>
      </w:r>
      <w:r w:rsidR="00A94ECC">
        <w:t>, reporting and remittance of</w:t>
      </w:r>
      <w:r w:rsidR="0023561C">
        <w:t xml:space="preserve"> </w:t>
      </w:r>
      <w:r>
        <w:t>public purpose program surcharges</w:t>
      </w:r>
      <w:r w:rsidR="0023561C">
        <w:t xml:space="preserve">, </w:t>
      </w:r>
      <w:r>
        <w:t>and the posting of a performance bond.</w:t>
      </w:r>
    </w:p>
    <w:p w:rsidR="00B221EE" w:rsidRDefault="00B221EE"/>
    <w:p w:rsidR="00B221EE" w:rsidRPr="00497217" w:rsidRDefault="00B221EE">
      <w:pPr>
        <w:rPr>
          <w:b/>
        </w:rPr>
      </w:pPr>
      <w:r w:rsidRPr="00497217">
        <w:rPr>
          <w:b/>
        </w:rPr>
        <w:t>A.  Utility Reimbursement Account Fee</w:t>
      </w:r>
      <w:r w:rsidR="00597515" w:rsidRPr="00497217">
        <w:rPr>
          <w:b/>
        </w:rPr>
        <w:t xml:space="preserve"> (User Fee</w:t>
      </w:r>
      <w:r w:rsidR="003B5C9C">
        <w:rPr>
          <w:b/>
        </w:rPr>
        <w:t>s</w:t>
      </w:r>
      <w:r w:rsidR="00597515" w:rsidRPr="00497217">
        <w:rPr>
          <w:b/>
        </w:rPr>
        <w:t>)</w:t>
      </w:r>
    </w:p>
    <w:p w:rsidR="00B221EE" w:rsidRDefault="00B221EE">
      <w:pPr>
        <w:pStyle w:val="HTMLPreformatted"/>
        <w:rPr>
          <w:rFonts w:ascii="Palatino" w:hAnsi="Palatino"/>
          <w:sz w:val="24"/>
        </w:rPr>
      </w:pPr>
    </w:p>
    <w:p w:rsidR="00A94ECC" w:rsidRDefault="00B221EE">
      <w:pPr>
        <w:pStyle w:val="HTMLPreformatted"/>
        <w:rPr>
          <w:rFonts w:ascii="Palatino" w:hAnsi="Palatino"/>
          <w:sz w:val="24"/>
          <w:szCs w:val="24"/>
        </w:rPr>
      </w:pPr>
      <w:r>
        <w:rPr>
          <w:rStyle w:val="BodyTextChar"/>
          <w:rFonts w:cs="Courier New"/>
        </w:rPr>
        <w:t xml:space="preserve">PU Code </w:t>
      </w:r>
      <w:r w:rsidR="00F32D6B">
        <w:rPr>
          <w:rStyle w:val="BodyTextChar"/>
          <w:rFonts w:cs="Courier New"/>
        </w:rPr>
        <w:t>§§</w:t>
      </w:r>
      <w:r>
        <w:rPr>
          <w:rStyle w:val="BodyTextChar"/>
          <w:rFonts w:cs="Courier New"/>
        </w:rPr>
        <w:t xml:space="preserve"> 401 through 405 </w:t>
      </w:r>
      <w:r>
        <w:rPr>
          <w:rFonts w:ascii="Palatino" w:hAnsi="Palatino"/>
          <w:sz w:val="24"/>
        </w:rPr>
        <w:t xml:space="preserve">require a </w:t>
      </w:r>
      <w:r w:rsidR="004A36DD">
        <w:rPr>
          <w:rFonts w:ascii="Palatino" w:hAnsi="Palatino"/>
          <w:sz w:val="24"/>
        </w:rPr>
        <w:t>telephone</w:t>
      </w:r>
      <w:r>
        <w:rPr>
          <w:rFonts w:ascii="Palatino" w:hAnsi="Palatino"/>
          <w:sz w:val="24"/>
        </w:rPr>
        <w:t xml:space="preserve"> carrier to report its California </w:t>
      </w:r>
      <w:r w:rsidR="003B2F1A">
        <w:rPr>
          <w:rFonts w:ascii="Palatino" w:hAnsi="Palatino"/>
          <w:sz w:val="24"/>
        </w:rPr>
        <w:t xml:space="preserve">intrastate </w:t>
      </w:r>
      <w:r>
        <w:rPr>
          <w:rFonts w:ascii="Palatino" w:hAnsi="Palatino"/>
          <w:sz w:val="24"/>
        </w:rPr>
        <w:t xml:space="preserve">revenues and remit the corresponding </w:t>
      </w:r>
      <w:r w:rsidR="00D52DB5">
        <w:rPr>
          <w:rFonts w:ascii="Palatino" w:hAnsi="Palatino"/>
          <w:sz w:val="24"/>
        </w:rPr>
        <w:t xml:space="preserve">amount of User Fees </w:t>
      </w:r>
      <w:r w:rsidR="003B2F1A">
        <w:rPr>
          <w:rFonts w:ascii="Palatino" w:hAnsi="Palatino"/>
          <w:sz w:val="24"/>
        </w:rPr>
        <w:t>to the CPUC</w:t>
      </w:r>
      <w:r>
        <w:rPr>
          <w:rFonts w:ascii="Palatino" w:hAnsi="Palatino"/>
          <w:sz w:val="24"/>
        </w:rPr>
        <w:t xml:space="preserve">.  </w:t>
      </w:r>
      <w:r>
        <w:rPr>
          <w:rFonts w:ascii="Palatino" w:hAnsi="Palatino"/>
          <w:sz w:val="24"/>
          <w:szCs w:val="24"/>
        </w:rPr>
        <w:t>User Fee</w:t>
      </w:r>
      <w:r w:rsidR="00CF1F37">
        <w:rPr>
          <w:rFonts w:ascii="Palatino" w:hAnsi="Palatino"/>
          <w:sz w:val="24"/>
          <w:szCs w:val="24"/>
        </w:rPr>
        <w:t>s are</w:t>
      </w:r>
      <w:r>
        <w:rPr>
          <w:rFonts w:ascii="Palatino" w:hAnsi="Palatino"/>
          <w:sz w:val="24"/>
          <w:szCs w:val="24"/>
        </w:rPr>
        <w:t xml:space="preserve"> determined by multiplying the carrier’s intrastate revenues by a fee factor, which is currently set at 0.18%.  Revenues that are subject to </w:t>
      </w:r>
      <w:r w:rsidR="003B2F1A">
        <w:rPr>
          <w:rFonts w:ascii="Palatino" w:hAnsi="Palatino"/>
          <w:sz w:val="24"/>
          <w:szCs w:val="24"/>
        </w:rPr>
        <w:t>User F</w:t>
      </w:r>
      <w:r>
        <w:rPr>
          <w:rFonts w:ascii="Palatino" w:hAnsi="Palatino"/>
          <w:sz w:val="24"/>
          <w:szCs w:val="24"/>
        </w:rPr>
        <w:t>ees include all intrastate customer revenues from telecommunications services minus uncollectibles</w:t>
      </w:r>
      <w:r w:rsidR="00F32D6B">
        <w:rPr>
          <w:rFonts w:ascii="Palatino" w:hAnsi="Palatino"/>
          <w:sz w:val="24"/>
          <w:szCs w:val="24"/>
        </w:rPr>
        <w:t>. R</w:t>
      </w:r>
      <w:r>
        <w:rPr>
          <w:rFonts w:ascii="Palatino" w:hAnsi="Palatino"/>
          <w:sz w:val="24"/>
          <w:szCs w:val="24"/>
        </w:rPr>
        <w:t>evenues from the following</w:t>
      </w:r>
      <w:r w:rsidR="00F32D6B">
        <w:rPr>
          <w:rFonts w:ascii="Palatino" w:hAnsi="Palatino"/>
          <w:sz w:val="24"/>
          <w:szCs w:val="24"/>
        </w:rPr>
        <w:t xml:space="preserve"> telecommunications services are also </w:t>
      </w:r>
      <w:r w:rsidR="0059662F">
        <w:rPr>
          <w:rFonts w:ascii="Palatino" w:hAnsi="Palatino"/>
          <w:sz w:val="24"/>
          <w:szCs w:val="24"/>
        </w:rPr>
        <w:t>exempt from</w:t>
      </w:r>
      <w:r w:rsidR="00F32D6B">
        <w:rPr>
          <w:rFonts w:ascii="Palatino" w:hAnsi="Palatino"/>
          <w:sz w:val="24"/>
          <w:szCs w:val="24"/>
        </w:rPr>
        <w:t xml:space="preserve"> User </w:t>
      </w:r>
      <w:r w:rsidR="00F32D6B">
        <w:rPr>
          <w:rFonts w:ascii="Palatino" w:hAnsi="Palatino"/>
          <w:sz w:val="24"/>
          <w:szCs w:val="24"/>
        </w:rPr>
        <w:lastRenderedPageBreak/>
        <w:t>Fees</w:t>
      </w:r>
      <w:r>
        <w:rPr>
          <w:rFonts w:ascii="Palatino" w:hAnsi="Palatino"/>
          <w:sz w:val="24"/>
          <w:szCs w:val="24"/>
        </w:rPr>
        <w:t>:  a) directory advertising and</w:t>
      </w:r>
      <w:r w:rsidR="004C3CA1">
        <w:rPr>
          <w:rFonts w:ascii="Palatino" w:hAnsi="Palatino"/>
          <w:sz w:val="24"/>
          <w:szCs w:val="24"/>
        </w:rPr>
        <w:t xml:space="preserve"> </w:t>
      </w:r>
      <w:r>
        <w:rPr>
          <w:rFonts w:ascii="Palatino" w:hAnsi="Palatino"/>
          <w:sz w:val="24"/>
          <w:szCs w:val="24"/>
        </w:rPr>
        <w:t xml:space="preserve">sales; b) one-way paging; c) terminal equipment sales; and d) inter-carrier sales. </w:t>
      </w:r>
    </w:p>
    <w:p w:rsidR="00B221EE" w:rsidRDefault="00B221EE">
      <w:pPr>
        <w:pStyle w:val="HTMLPreformatted"/>
        <w:rPr>
          <w:rFonts w:ascii="Palatino" w:hAnsi="Palatino"/>
          <w:sz w:val="24"/>
        </w:rPr>
      </w:pPr>
      <w:r>
        <w:rPr>
          <w:rFonts w:ascii="Palatino" w:hAnsi="Palatino"/>
          <w:sz w:val="24"/>
          <w:szCs w:val="24"/>
        </w:rPr>
        <w:t xml:space="preserve">The Commission requires carriers with gross intrastate customer revenues of $750,000 or less to file annually and carriers with annual gross intrastate revenues in excess of $750,000 </w:t>
      </w:r>
      <w:r w:rsidR="00D52DB5">
        <w:rPr>
          <w:rFonts w:ascii="Palatino" w:hAnsi="Palatino"/>
          <w:sz w:val="24"/>
          <w:szCs w:val="24"/>
        </w:rPr>
        <w:t xml:space="preserve">to </w:t>
      </w:r>
      <w:r>
        <w:rPr>
          <w:rFonts w:ascii="Palatino" w:hAnsi="Palatino"/>
          <w:sz w:val="24"/>
          <w:szCs w:val="24"/>
        </w:rPr>
        <w:t xml:space="preserve">file quarterly.  </w:t>
      </w:r>
      <w:r w:rsidR="003B2F1A">
        <w:rPr>
          <w:rFonts w:ascii="Palatino" w:hAnsi="Palatino"/>
          <w:sz w:val="24"/>
          <w:szCs w:val="24"/>
        </w:rPr>
        <w:t>In D.13-05-035, the Commission established that carriers must remit a minimum of $100 in User Fees, even if their reportable</w:t>
      </w:r>
      <w:r w:rsidR="007055BB">
        <w:rPr>
          <w:rFonts w:ascii="Palatino" w:hAnsi="Palatino"/>
          <w:sz w:val="24"/>
          <w:szCs w:val="24"/>
        </w:rPr>
        <w:t xml:space="preserve"> User Fees</w:t>
      </w:r>
      <w:r w:rsidR="003B2F1A">
        <w:rPr>
          <w:rFonts w:ascii="Palatino" w:hAnsi="Palatino"/>
          <w:sz w:val="24"/>
          <w:szCs w:val="24"/>
        </w:rPr>
        <w:t xml:space="preserve"> amount</w:t>
      </w:r>
      <w:r w:rsidR="00B54F1C">
        <w:rPr>
          <w:rFonts w:ascii="Palatino" w:hAnsi="Palatino"/>
          <w:sz w:val="24"/>
          <w:szCs w:val="24"/>
        </w:rPr>
        <w:t xml:space="preserve"> based on 0.18% of intrastate revenue is</w:t>
      </w:r>
      <w:r w:rsidR="003B2F1A">
        <w:rPr>
          <w:rFonts w:ascii="Palatino" w:hAnsi="Palatino"/>
          <w:sz w:val="24"/>
          <w:szCs w:val="24"/>
        </w:rPr>
        <w:t xml:space="preserve"> less</w:t>
      </w:r>
      <w:r w:rsidR="00B54F1C">
        <w:rPr>
          <w:rFonts w:ascii="Palatino" w:hAnsi="Palatino"/>
          <w:sz w:val="24"/>
          <w:szCs w:val="24"/>
        </w:rPr>
        <w:t xml:space="preserve"> than $100</w:t>
      </w:r>
      <w:r w:rsidR="007055BB">
        <w:rPr>
          <w:rFonts w:ascii="Palatino" w:hAnsi="Palatino"/>
          <w:sz w:val="24"/>
          <w:szCs w:val="24"/>
        </w:rPr>
        <w:t>,</w:t>
      </w:r>
      <w:r w:rsidR="00A94ECC">
        <w:rPr>
          <w:rFonts w:ascii="Palatino" w:hAnsi="Palatino"/>
          <w:sz w:val="24"/>
          <w:szCs w:val="24"/>
        </w:rPr>
        <w:t xml:space="preserve"> or </w:t>
      </w:r>
      <w:r w:rsidR="00B54F1C">
        <w:rPr>
          <w:rFonts w:ascii="Palatino" w:hAnsi="Palatino"/>
          <w:sz w:val="24"/>
          <w:szCs w:val="24"/>
        </w:rPr>
        <w:t xml:space="preserve">intrastate revenue is </w:t>
      </w:r>
      <w:r w:rsidR="00A94ECC">
        <w:rPr>
          <w:rFonts w:ascii="Palatino" w:hAnsi="Palatino"/>
          <w:sz w:val="24"/>
          <w:szCs w:val="24"/>
        </w:rPr>
        <w:t>zero</w:t>
      </w:r>
      <w:r w:rsidR="003B2F1A">
        <w:rPr>
          <w:rFonts w:ascii="Palatino" w:hAnsi="Palatino"/>
          <w:sz w:val="24"/>
          <w:szCs w:val="24"/>
        </w:rPr>
        <w:t>.</w:t>
      </w:r>
      <w:r w:rsidR="003B2F1A">
        <w:rPr>
          <w:rStyle w:val="FootnoteReference"/>
          <w:szCs w:val="24"/>
        </w:rPr>
        <w:footnoteReference w:id="1"/>
      </w:r>
      <w:r w:rsidR="003B2F1A">
        <w:rPr>
          <w:rFonts w:ascii="Palatino" w:hAnsi="Palatino"/>
          <w:sz w:val="24"/>
          <w:szCs w:val="24"/>
        </w:rPr>
        <w:t xml:space="preserve">  </w:t>
      </w:r>
      <w:r>
        <w:rPr>
          <w:rFonts w:ascii="Palatino" w:hAnsi="Palatino"/>
          <w:sz w:val="24"/>
        </w:rPr>
        <w:t xml:space="preserve">If a carrier is in default of the reporting and/or payment of User Fees for more than 30 days, the CPUC may suspend or revoke its operating authority under PU Code </w:t>
      </w:r>
      <w:r w:rsidR="003B2F1A">
        <w:rPr>
          <w:rFonts w:ascii="Palatino" w:hAnsi="Palatino"/>
          <w:sz w:val="24"/>
        </w:rPr>
        <w:t>§</w:t>
      </w:r>
      <w:r>
        <w:rPr>
          <w:rFonts w:ascii="Palatino" w:hAnsi="Palatino"/>
          <w:sz w:val="24"/>
        </w:rPr>
        <w:t xml:space="preserve"> 405.</w:t>
      </w:r>
    </w:p>
    <w:p w:rsidR="004A3BDB" w:rsidRPr="004A3BDB" w:rsidRDefault="004A3BDB" w:rsidP="004A3BDB">
      <w:pPr>
        <w:pStyle w:val="HTMLPreformatted"/>
        <w:ind w:left="720" w:right="720"/>
        <w:rPr>
          <w:rFonts w:ascii="Times New Roman" w:hAnsi="Times New Roman" w:cs="Times New Roman"/>
          <w:sz w:val="24"/>
          <w:szCs w:val="24"/>
        </w:rPr>
      </w:pPr>
    </w:p>
    <w:p w:rsidR="00B221EE" w:rsidRPr="00497217" w:rsidRDefault="00B221EE">
      <w:pPr>
        <w:rPr>
          <w:rFonts w:cs="TimesNewRomanPSMT"/>
          <w:b/>
        </w:rPr>
      </w:pPr>
      <w:r w:rsidRPr="00497217">
        <w:rPr>
          <w:rFonts w:cs="TimesNewRomanPSMT"/>
          <w:b/>
        </w:rPr>
        <w:t xml:space="preserve">B.  </w:t>
      </w:r>
      <w:r w:rsidR="0059662F">
        <w:rPr>
          <w:rFonts w:cs="TimesNewRomanPSMT"/>
          <w:b/>
        </w:rPr>
        <w:t xml:space="preserve">Public Purpose Program </w:t>
      </w:r>
      <w:r w:rsidRPr="00497217">
        <w:rPr>
          <w:rFonts w:cs="TimesNewRomanPSMT"/>
          <w:b/>
        </w:rPr>
        <w:t xml:space="preserve">Surcharges </w:t>
      </w:r>
    </w:p>
    <w:p w:rsidR="00B221EE" w:rsidRDefault="00B221EE">
      <w:pPr>
        <w:rPr>
          <w:rFonts w:cs="TimesNewRomanPSMT"/>
        </w:rPr>
      </w:pPr>
    </w:p>
    <w:p w:rsidR="00B221EE" w:rsidRDefault="00B221EE">
      <w:pPr>
        <w:rPr>
          <w:rFonts w:cs="TimesNewRomanPS-BoldMT"/>
          <w:b/>
          <w:bCs/>
        </w:rPr>
      </w:pPr>
      <w:r>
        <w:rPr>
          <w:rFonts w:cs="TimesNewRomanPSMT"/>
        </w:rPr>
        <w:t xml:space="preserve">California </w:t>
      </w:r>
      <w:r w:rsidR="0011772B">
        <w:rPr>
          <w:rFonts w:cs="TimesNewRomanPSMT"/>
        </w:rPr>
        <w:t xml:space="preserve">law </w:t>
      </w:r>
      <w:r>
        <w:rPr>
          <w:rFonts w:cs="TimesNewRomanPSMT"/>
        </w:rPr>
        <w:t xml:space="preserve">authorizes the Commission to establish </w:t>
      </w:r>
      <w:r w:rsidR="003B2F1A">
        <w:rPr>
          <w:rFonts w:cs="TimesNewRomanPSMT"/>
        </w:rPr>
        <w:t>public purpose</w:t>
      </w:r>
      <w:r>
        <w:rPr>
          <w:rFonts w:cs="TimesNewRomanPSMT"/>
        </w:rPr>
        <w:t xml:space="preserve"> programs to provide telecommunications service</w:t>
      </w:r>
      <w:r w:rsidR="00AF2FDF">
        <w:rPr>
          <w:rFonts w:cs="TimesNewRomanPSMT"/>
        </w:rPr>
        <w:t>s</w:t>
      </w:r>
      <w:r>
        <w:rPr>
          <w:rFonts w:cs="TimesNewRomanPSMT"/>
        </w:rPr>
        <w:t xml:space="preserve"> to low-income, deaf and disabled, and rural (or other high-cost) customers.</w:t>
      </w:r>
      <w:r>
        <w:rPr>
          <w:rStyle w:val="FootnoteReference"/>
          <w:rFonts w:cs="TimesNewRomanPS-BoldMT"/>
          <w:bCs/>
        </w:rPr>
        <w:footnoteReference w:id="2"/>
      </w:r>
      <w:r>
        <w:rPr>
          <w:rFonts w:cs="TimesNewRomanPS-BoldMT"/>
          <w:b/>
          <w:bCs/>
        </w:rPr>
        <w:t xml:space="preserve">  </w:t>
      </w:r>
      <w:r w:rsidR="00A94ECC">
        <w:rPr>
          <w:rFonts w:cs="TimesNewRomanPSMT"/>
        </w:rPr>
        <w:t>State</w:t>
      </w:r>
      <w:r w:rsidR="0011772B">
        <w:rPr>
          <w:rFonts w:cs="TimesNewRomanPSMT"/>
        </w:rPr>
        <w:t xml:space="preserve"> law</w:t>
      </w:r>
      <w:r>
        <w:rPr>
          <w:rFonts w:cs="TimesNewRomanPSMT"/>
        </w:rPr>
        <w:t xml:space="preserve"> </w:t>
      </w:r>
      <w:r w:rsidR="00A94ECC">
        <w:rPr>
          <w:rFonts w:cs="TimesNewRomanPSMT"/>
        </w:rPr>
        <w:t xml:space="preserve">also </w:t>
      </w:r>
      <w:r w:rsidR="00AF2FDF">
        <w:rPr>
          <w:rFonts w:cs="TimesNewRomanPSMT"/>
        </w:rPr>
        <w:t xml:space="preserve">authorizes </w:t>
      </w:r>
      <w:r>
        <w:rPr>
          <w:rFonts w:cs="TimesNewRomanPSMT"/>
        </w:rPr>
        <w:t xml:space="preserve">the Commission </w:t>
      </w:r>
      <w:r w:rsidR="0011772B">
        <w:rPr>
          <w:rFonts w:cs="TimesNewRomanPSMT"/>
        </w:rPr>
        <w:t xml:space="preserve">to </w:t>
      </w:r>
      <w:r w:rsidR="00A94ECC">
        <w:rPr>
          <w:rFonts w:cs="TimesNewRomanPSMT"/>
        </w:rPr>
        <w:t xml:space="preserve">assess and </w:t>
      </w:r>
      <w:r w:rsidR="00AF2FDF">
        <w:rPr>
          <w:rFonts w:cs="TimesNewRomanPSMT"/>
        </w:rPr>
        <w:t xml:space="preserve">collect </w:t>
      </w:r>
      <w:r w:rsidR="00A94ECC">
        <w:rPr>
          <w:rFonts w:cs="TimesNewRomanPSMT"/>
        </w:rPr>
        <w:t xml:space="preserve">surcharge revenues </w:t>
      </w:r>
      <w:r>
        <w:rPr>
          <w:rFonts w:cs="TimesNewRomanPSMT"/>
        </w:rPr>
        <w:t xml:space="preserve">and </w:t>
      </w:r>
      <w:r w:rsidR="00AF2FDF">
        <w:rPr>
          <w:rFonts w:cs="TimesNewRomanPSMT"/>
        </w:rPr>
        <w:t xml:space="preserve">disburse the </w:t>
      </w:r>
      <w:r>
        <w:rPr>
          <w:rFonts w:cs="TimesNewRomanPSMT"/>
        </w:rPr>
        <w:t>funds to support these programs.</w:t>
      </w:r>
      <w:r>
        <w:rPr>
          <w:rStyle w:val="FootnoteReference"/>
          <w:rFonts w:cs="TimesNewRomanPSMT"/>
        </w:rPr>
        <w:footnoteReference w:id="3"/>
      </w:r>
      <w:r>
        <w:rPr>
          <w:rFonts w:cs="TimesNewRomanPS-BoldMT"/>
          <w:b/>
          <w:bCs/>
        </w:rPr>
        <w:t xml:space="preserve"> </w:t>
      </w:r>
    </w:p>
    <w:p w:rsidR="00B221EE" w:rsidRDefault="00B221EE">
      <w:pPr>
        <w:rPr>
          <w:rFonts w:cs="TimesNewRomanPSMT"/>
        </w:rPr>
      </w:pPr>
    </w:p>
    <w:p w:rsidR="00B221EE" w:rsidRDefault="00B61B7F">
      <w:pPr>
        <w:rPr>
          <w:rFonts w:cs="TimesNewRomanPSMT"/>
        </w:rPr>
      </w:pPr>
      <w:r>
        <w:rPr>
          <w:rFonts w:cs="TimesNewRomanPSMT"/>
        </w:rPr>
        <w:t xml:space="preserve">All </w:t>
      </w:r>
      <w:r w:rsidR="004A36DD">
        <w:rPr>
          <w:rFonts w:cs="TimesNewRomanPSMT"/>
        </w:rPr>
        <w:t>telephone</w:t>
      </w:r>
      <w:r>
        <w:rPr>
          <w:rFonts w:cs="TimesNewRomanPSMT"/>
        </w:rPr>
        <w:t xml:space="preserve"> carriers and Voice over Internet Protocol (VoIP) service providers are required to collect and remit surcharges to the CPUC.  </w:t>
      </w:r>
      <w:r w:rsidR="00B221EE">
        <w:rPr>
          <w:rFonts w:cs="TimesNewRomanPSMT"/>
        </w:rPr>
        <w:t xml:space="preserve">In D. 84-05-053, D. 94-09-065, and D. 09-10-066, the Commission established </w:t>
      </w:r>
      <w:r>
        <w:rPr>
          <w:rFonts w:cs="TimesNewRomanPSMT"/>
        </w:rPr>
        <w:t>a surcharge funding mechanism to fund the CPUC</w:t>
      </w:r>
      <w:r w:rsidR="00B221EE">
        <w:rPr>
          <w:rFonts w:cs="TimesNewRomanPSMT"/>
        </w:rPr>
        <w:t xml:space="preserve"> universal service programs</w:t>
      </w:r>
      <w:r>
        <w:rPr>
          <w:rFonts w:cs="TimesNewRomanPSMT"/>
        </w:rPr>
        <w:t xml:space="preserve">. The mechanism requires wireline and wireless </w:t>
      </w:r>
      <w:r w:rsidR="004A36DD">
        <w:rPr>
          <w:rFonts w:cs="TimesNewRomanPSMT"/>
        </w:rPr>
        <w:t>telephone</w:t>
      </w:r>
      <w:r>
        <w:rPr>
          <w:rFonts w:cs="TimesNewRomanPSMT"/>
        </w:rPr>
        <w:t xml:space="preserve"> carriers to assess a surcharge on revenues collected from end-users for intrastate telecommunications</w:t>
      </w:r>
      <w:r w:rsidR="00444E72">
        <w:rPr>
          <w:rFonts w:cs="TimesNewRomanPSMT"/>
        </w:rPr>
        <w:t xml:space="preserve"> </w:t>
      </w:r>
      <w:r>
        <w:rPr>
          <w:rFonts w:cs="TimesNewRomanPSMT"/>
        </w:rPr>
        <w:t>service subject to surcharge.</w:t>
      </w:r>
      <w:r w:rsidR="0011772B">
        <w:rPr>
          <w:rFonts w:cs="TimesNewRomanPSMT"/>
        </w:rPr>
        <w:t xml:space="preserve"> In 2011, the California Legislature passed Assembly Bill 841, </w:t>
      </w:r>
      <w:r w:rsidR="0000435C">
        <w:rPr>
          <w:rFonts w:cs="TimesNewRomanPSMT"/>
        </w:rPr>
        <w:t xml:space="preserve">now codified as </w:t>
      </w:r>
      <w:r w:rsidR="00AF2FDF">
        <w:rPr>
          <w:rFonts w:cs="TimesNewRomanPSMT"/>
        </w:rPr>
        <w:t xml:space="preserve">PU Code </w:t>
      </w:r>
      <w:r w:rsidR="0000435C">
        <w:rPr>
          <w:rFonts w:cs="TimesNewRomanPSMT"/>
        </w:rPr>
        <w:t>§</w:t>
      </w:r>
      <w:r w:rsidR="00AF2FDF">
        <w:rPr>
          <w:rFonts w:cs="TimesNewRomanPSMT"/>
        </w:rPr>
        <w:t xml:space="preserve">285, </w:t>
      </w:r>
      <w:r w:rsidR="0011772B">
        <w:rPr>
          <w:rFonts w:cs="TimesNewRomanPSMT"/>
        </w:rPr>
        <w:t>authoriz</w:t>
      </w:r>
      <w:r w:rsidR="00A94ECC">
        <w:rPr>
          <w:rFonts w:cs="TimesNewRomanPSMT"/>
        </w:rPr>
        <w:t>ing</w:t>
      </w:r>
      <w:r w:rsidR="0011772B">
        <w:rPr>
          <w:rFonts w:cs="TimesNewRomanPSMT"/>
        </w:rPr>
        <w:t xml:space="preserve"> the CPUC to require </w:t>
      </w:r>
      <w:r>
        <w:rPr>
          <w:rFonts w:cs="TimesNewRomanPSMT"/>
        </w:rPr>
        <w:t>VoIP</w:t>
      </w:r>
      <w:r w:rsidR="00AF2FDF">
        <w:rPr>
          <w:rFonts w:cs="TimesNewRomanPSMT"/>
        </w:rPr>
        <w:t xml:space="preserve"> service providers to collect and remit surcharges revenues </w:t>
      </w:r>
      <w:r w:rsidR="0011772B">
        <w:rPr>
          <w:rFonts w:cs="TimesNewRomanPSMT"/>
        </w:rPr>
        <w:t>to fund the state universal service programs</w:t>
      </w:r>
      <w:r w:rsidR="00AF2FDF">
        <w:rPr>
          <w:rFonts w:cs="TimesNewRomanPSMT"/>
        </w:rPr>
        <w:t>.</w:t>
      </w:r>
      <w:r w:rsidR="001D4594">
        <w:rPr>
          <w:rStyle w:val="FootnoteReference"/>
        </w:rPr>
        <w:footnoteReference w:id="4"/>
      </w:r>
      <w:r w:rsidR="00AF2FDF">
        <w:rPr>
          <w:rFonts w:cs="TimesNewRomanPSMT"/>
        </w:rPr>
        <w:t xml:space="preserve"> </w:t>
      </w:r>
    </w:p>
    <w:p w:rsidR="00B221EE" w:rsidRDefault="00B221EE">
      <w:pPr>
        <w:rPr>
          <w:rFonts w:cs="TimesNewRomanPSMT"/>
        </w:rPr>
      </w:pPr>
    </w:p>
    <w:p w:rsidR="00B221EE" w:rsidRDefault="00B221EE">
      <w:pPr>
        <w:rPr>
          <w:rFonts w:cs="Arial"/>
        </w:rPr>
      </w:pPr>
      <w:r>
        <w:rPr>
          <w:rFonts w:cs="TimesNewRomanPSMT"/>
        </w:rPr>
        <w:t xml:space="preserve">Currently, there are six </w:t>
      </w:r>
      <w:r w:rsidR="00B61B7F">
        <w:rPr>
          <w:rFonts w:cs="TimesNewRomanPSMT"/>
        </w:rPr>
        <w:t xml:space="preserve">universal service programs that the </w:t>
      </w:r>
      <w:r w:rsidR="00A94ECC">
        <w:rPr>
          <w:rFonts w:cs="TimesNewRomanPSMT"/>
        </w:rPr>
        <w:t xml:space="preserve">CPUC </w:t>
      </w:r>
      <w:r w:rsidR="00B61B7F">
        <w:rPr>
          <w:rFonts w:cs="TimesNewRomanPSMT"/>
        </w:rPr>
        <w:t>administers and these program</w:t>
      </w:r>
      <w:r w:rsidR="0000435C">
        <w:rPr>
          <w:rFonts w:cs="TimesNewRomanPSMT"/>
        </w:rPr>
        <w:t>s</w:t>
      </w:r>
      <w:r w:rsidR="00B61B7F">
        <w:rPr>
          <w:rFonts w:cs="TimesNewRomanPSMT"/>
        </w:rPr>
        <w:t xml:space="preserve"> are funded by end-user surcharge</w:t>
      </w:r>
      <w:r w:rsidR="00A94ECC">
        <w:rPr>
          <w:rFonts w:cs="TimesNewRomanPSMT"/>
        </w:rPr>
        <w:t>s</w:t>
      </w:r>
      <w:r w:rsidR="00B61B7F">
        <w:rPr>
          <w:rFonts w:cs="TimesNewRomanPSMT"/>
        </w:rPr>
        <w:t xml:space="preserve">, with </w:t>
      </w:r>
      <w:r>
        <w:rPr>
          <w:rFonts w:cs="TimesNewRomanPSMT"/>
        </w:rPr>
        <w:t xml:space="preserve">rates </w:t>
      </w:r>
      <w:r w:rsidR="00B61B7F">
        <w:rPr>
          <w:rFonts w:cs="TimesNewRomanPSMT"/>
        </w:rPr>
        <w:t xml:space="preserve">that </w:t>
      </w:r>
      <w:r>
        <w:rPr>
          <w:rFonts w:cs="TimesNewRomanPSMT"/>
        </w:rPr>
        <w:t xml:space="preserve">vary from program to program and adjusted periodically based on the forecasted demand </w:t>
      </w:r>
      <w:r w:rsidR="00AF2FDF">
        <w:rPr>
          <w:rFonts w:cs="TimesNewRomanPSMT"/>
        </w:rPr>
        <w:t xml:space="preserve">and expenditures </w:t>
      </w:r>
      <w:r>
        <w:rPr>
          <w:rFonts w:cs="TimesNewRomanPSMT"/>
        </w:rPr>
        <w:t>of the programs.</w:t>
      </w:r>
      <w:r w:rsidR="0000435C">
        <w:rPr>
          <w:rFonts w:cs="TimesNewRomanPSMT"/>
        </w:rPr>
        <w:t xml:space="preserve">  </w:t>
      </w:r>
      <w:r w:rsidR="004A36DD">
        <w:rPr>
          <w:rFonts w:cs="TimesNewRomanPSMT"/>
        </w:rPr>
        <w:t>Telephone</w:t>
      </w:r>
      <w:r w:rsidR="0000435C">
        <w:rPr>
          <w:rFonts w:cs="TimesNewRomanPSMT"/>
        </w:rPr>
        <w:t xml:space="preserve"> </w:t>
      </w:r>
      <w:r w:rsidR="0000435C">
        <w:rPr>
          <w:color w:val="000000"/>
          <w:sz w:val="23"/>
          <w:szCs w:val="23"/>
        </w:rPr>
        <w:t>c</w:t>
      </w:r>
      <w:r>
        <w:rPr>
          <w:color w:val="000000"/>
          <w:sz w:val="23"/>
          <w:szCs w:val="23"/>
        </w:rPr>
        <w:t xml:space="preserve">arriers that are 90 days or more in arrears of reporting and remitting surcharges may be subject to </w:t>
      </w:r>
      <w:r w:rsidR="00B61B7F">
        <w:rPr>
          <w:color w:val="000000"/>
          <w:sz w:val="23"/>
          <w:szCs w:val="23"/>
        </w:rPr>
        <w:t xml:space="preserve">suspension or </w:t>
      </w:r>
      <w:r>
        <w:rPr>
          <w:color w:val="000000"/>
          <w:sz w:val="23"/>
          <w:szCs w:val="23"/>
        </w:rPr>
        <w:t>revocation of their authority to operate in California.</w:t>
      </w:r>
      <w:r>
        <w:rPr>
          <w:rStyle w:val="FootnoteReference"/>
          <w:color w:val="000000"/>
          <w:szCs w:val="23"/>
        </w:rPr>
        <w:footnoteReference w:id="5"/>
      </w:r>
    </w:p>
    <w:p w:rsidR="00B221EE" w:rsidRDefault="00B221EE">
      <w:pPr>
        <w:rPr>
          <w:rFonts w:cs="TimesNewRomanPSMT"/>
        </w:rPr>
      </w:pPr>
    </w:p>
    <w:p w:rsidR="00457EEC" w:rsidRDefault="00457EEC">
      <w:pPr>
        <w:rPr>
          <w:rFonts w:cs="TimesNewRomanPSMT"/>
        </w:rPr>
      </w:pPr>
    </w:p>
    <w:p w:rsidR="00457EEC" w:rsidRDefault="00457EEC">
      <w:pPr>
        <w:rPr>
          <w:rFonts w:cs="TimesNewRomanPSMT"/>
        </w:rPr>
      </w:pPr>
    </w:p>
    <w:p w:rsidR="00457EEC" w:rsidRDefault="00457EEC">
      <w:pPr>
        <w:rPr>
          <w:rFonts w:cs="TimesNewRomanPSMT"/>
        </w:rPr>
      </w:pPr>
    </w:p>
    <w:p w:rsidR="00B221EE" w:rsidRPr="00497217" w:rsidRDefault="00B221EE">
      <w:pPr>
        <w:rPr>
          <w:b/>
        </w:rPr>
      </w:pPr>
      <w:r w:rsidRPr="00497217">
        <w:rPr>
          <w:b/>
        </w:rPr>
        <w:lastRenderedPageBreak/>
        <w:t>C. Performance Bond</w:t>
      </w:r>
    </w:p>
    <w:p w:rsidR="00B221EE" w:rsidRDefault="00B221EE">
      <w:pPr>
        <w:pStyle w:val="num1"/>
        <w:tabs>
          <w:tab w:val="clear" w:pos="-720"/>
        </w:tabs>
        <w:overflowPunct/>
        <w:autoSpaceDE/>
        <w:autoSpaceDN/>
        <w:adjustRightInd/>
        <w:spacing w:line="240" w:lineRule="auto"/>
        <w:ind w:firstLine="0"/>
        <w:textAlignment w:val="auto"/>
      </w:pPr>
    </w:p>
    <w:p w:rsidR="00B221EE" w:rsidRDefault="00B221EE">
      <w:pPr>
        <w:pStyle w:val="standard"/>
        <w:tabs>
          <w:tab w:val="left" w:pos="9360"/>
        </w:tabs>
        <w:overflowPunct/>
        <w:autoSpaceDE/>
        <w:autoSpaceDN/>
        <w:adjustRightInd/>
        <w:spacing w:line="240" w:lineRule="auto"/>
        <w:ind w:firstLine="0"/>
        <w:textAlignment w:val="auto"/>
      </w:pPr>
      <w:r>
        <w:t>In D</w:t>
      </w:r>
      <w:r w:rsidR="00AF2FDF">
        <w:t>.</w:t>
      </w:r>
      <w:r w:rsidR="0000435C">
        <w:t xml:space="preserve"> </w:t>
      </w:r>
      <w:r>
        <w:t>10-09-017, the Commission required registration license holders</w:t>
      </w:r>
      <w:r>
        <w:rPr>
          <w:rStyle w:val="FootnoteReference"/>
        </w:rPr>
        <w:footnoteReference w:id="6"/>
      </w:r>
      <w:r>
        <w:t xml:space="preserve"> to obtain a continuous performance bond equal to or greater than ten percent of </w:t>
      </w:r>
      <w:r w:rsidR="00B61B7F">
        <w:t xml:space="preserve">their </w:t>
      </w:r>
      <w:r>
        <w:t>intrastate revenues reported on the Commission’s User Fee</w:t>
      </w:r>
      <w:r w:rsidR="001A4534">
        <w:t>s</w:t>
      </w:r>
      <w:r>
        <w:t xml:space="preserve"> Statement during the preceding calendar year or $25,000, whichever is greater.  The performance bond must be issued by a corporate surety company </w:t>
      </w:r>
      <w:r w:rsidR="00B61B7F">
        <w:t xml:space="preserve">that is </w:t>
      </w:r>
      <w:r>
        <w:t xml:space="preserve">authorized to transact surety business in California, and the Commission must be listed as the obligee on the bond.  The Commission ordered existing registration license holders to submit the performance bond within 90 days after the issuance of </w:t>
      </w:r>
      <w:r w:rsidR="00B61B7F">
        <w:t>D.10-09-017</w:t>
      </w:r>
      <w:r>
        <w:t xml:space="preserve"> and within 90 days after the issuance of a registration license for new registration holders.</w:t>
      </w:r>
    </w:p>
    <w:p w:rsidR="00B221EE" w:rsidRDefault="00B221EE">
      <w:pPr>
        <w:pStyle w:val="standard"/>
        <w:tabs>
          <w:tab w:val="left" w:pos="9360"/>
        </w:tabs>
        <w:overflowPunct/>
        <w:autoSpaceDE/>
        <w:autoSpaceDN/>
        <w:adjustRightInd/>
        <w:spacing w:line="240" w:lineRule="auto"/>
        <w:ind w:firstLine="0"/>
        <w:textAlignment w:val="auto"/>
      </w:pPr>
    </w:p>
    <w:p w:rsidR="00B221EE" w:rsidRDefault="00B221EE">
      <w:pPr>
        <w:pStyle w:val="standard"/>
        <w:tabs>
          <w:tab w:val="left" w:pos="9360"/>
        </w:tabs>
        <w:overflowPunct/>
        <w:autoSpaceDE/>
        <w:autoSpaceDN/>
        <w:adjustRightInd/>
        <w:spacing w:line="240" w:lineRule="auto"/>
        <w:ind w:firstLine="0"/>
        <w:textAlignment w:val="auto"/>
      </w:pPr>
      <w:r>
        <w:t>In O</w:t>
      </w:r>
      <w:r w:rsidR="00B54F1C">
        <w:t xml:space="preserve">rdering </w:t>
      </w:r>
      <w:r w:rsidR="00B61B7F">
        <w:t>P</w:t>
      </w:r>
      <w:r w:rsidR="00B54F1C">
        <w:t>aragraph (O.P.)</w:t>
      </w:r>
      <w:r w:rsidR="00B61B7F">
        <w:t xml:space="preserve"> </w:t>
      </w:r>
      <w:r>
        <w:t>26 of D.10-09-017, the Commission authorized the Communications Division (CD) to prepare for Commission consideration a resolution revoking the registration license of any registration license holder that is more than 120 days late in providing CD</w:t>
      </w:r>
      <w:r w:rsidR="00C1585F">
        <w:t>’s</w:t>
      </w:r>
      <w:r>
        <w:t xml:space="preserve"> </w:t>
      </w:r>
      <w:r w:rsidR="00C1585F">
        <w:t xml:space="preserve">Director with </w:t>
      </w:r>
      <w:r>
        <w:t>a copy of its executed performance.</w:t>
      </w:r>
    </w:p>
    <w:p w:rsidR="00B221EE" w:rsidRDefault="00B221EE">
      <w:pPr>
        <w:pStyle w:val="num1"/>
        <w:tabs>
          <w:tab w:val="clear" w:pos="-720"/>
        </w:tabs>
        <w:overflowPunct/>
        <w:autoSpaceDE/>
        <w:autoSpaceDN/>
        <w:adjustRightInd/>
        <w:spacing w:line="240" w:lineRule="auto"/>
        <w:ind w:firstLine="0"/>
        <w:textAlignment w:val="auto"/>
      </w:pPr>
    </w:p>
    <w:p w:rsidR="007B04BB" w:rsidRPr="0000085E" w:rsidRDefault="007B04BB">
      <w:pPr>
        <w:pStyle w:val="num1"/>
        <w:tabs>
          <w:tab w:val="clear" w:pos="-720"/>
        </w:tabs>
        <w:overflowPunct/>
        <w:autoSpaceDE/>
        <w:autoSpaceDN/>
        <w:adjustRightInd/>
        <w:spacing w:line="240" w:lineRule="auto"/>
        <w:ind w:firstLine="0"/>
        <w:textAlignment w:val="auto"/>
      </w:pPr>
      <w:r>
        <w:t xml:space="preserve">In D. 13-05-035, the Commission required </w:t>
      </w:r>
      <w:r w:rsidRPr="008A7C32">
        <w:t>all applicants seeking or holding a C</w:t>
      </w:r>
      <w:r w:rsidR="00F33BFC">
        <w:t xml:space="preserve">ertificate </w:t>
      </w:r>
      <w:r w:rsidRPr="008A7C32">
        <w:t>P</w:t>
      </w:r>
      <w:r w:rsidR="00F33BFC">
        <w:t xml:space="preserve">ublic </w:t>
      </w:r>
      <w:r w:rsidRPr="008A7C32">
        <w:t>C</w:t>
      </w:r>
      <w:r w:rsidR="00F33BFC">
        <w:t xml:space="preserve">ertificate and </w:t>
      </w:r>
      <w:r w:rsidRPr="008A7C32">
        <w:t>N</w:t>
      </w:r>
      <w:r w:rsidR="00F33BFC">
        <w:t>ecessity (CPCN)</w:t>
      </w:r>
      <w:r w:rsidRPr="008A7C32">
        <w:t xml:space="preserve"> and wireless carriers seeking or holding </w:t>
      </w:r>
      <w:r>
        <w:t>a W</w:t>
      </w:r>
      <w:r w:rsidR="00F33BFC">
        <w:t xml:space="preserve">ireless </w:t>
      </w:r>
      <w:r>
        <w:t>I</w:t>
      </w:r>
      <w:r w:rsidR="00F33BFC">
        <w:t xml:space="preserve">dentification </w:t>
      </w:r>
      <w:r>
        <w:t>R</w:t>
      </w:r>
      <w:r w:rsidR="00F33BFC">
        <w:t>esolution (WIR)</w:t>
      </w:r>
      <w:r w:rsidRPr="008A7C32">
        <w:t xml:space="preserve"> to post a bond to facilitate the collection of fines, fees, </w:t>
      </w:r>
      <w:r>
        <w:t xml:space="preserve">surcharges, </w:t>
      </w:r>
      <w:r w:rsidRPr="008A7C32">
        <w:t xml:space="preserve">taxes, penalties, and restitution.  </w:t>
      </w:r>
      <w:r w:rsidR="00B13BEC">
        <w:t xml:space="preserve">The Commission set the initial </w:t>
      </w:r>
      <w:r w:rsidRPr="008A7C32">
        <w:t xml:space="preserve">bond amount for </w:t>
      </w:r>
      <w:r w:rsidR="00B13BEC">
        <w:t xml:space="preserve">new and </w:t>
      </w:r>
      <w:r w:rsidRPr="008A7C32">
        <w:t>existing CPCN holders and wireless registrants</w:t>
      </w:r>
      <w:r>
        <w:t xml:space="preserve"> at </w:t>
      </w:r>
      <w:r w:rsidRPr="008A7C32">
        <w:t>$25,000</w:t>
      </w:r>
      <w:r w:rsidR="00693224">
        <w:t>.</w:t>
      </w:r>
      <w:r w:rsidR="00C76EED">
        <w:t xml:space="preserve"> </w:t>
      </w:r>
      <w:r w:rsidR="00B13BEC">
        <w:t>The Commission also exempted</w:t>
      </w:r>
      <w:r w:rsidR="00C76EED" w:rsidRPr="0000085E">
        <w:t xml:space="preserve"> some carriers this requirement</w:t>
      </w:r>
      <w:r w:rsidR="00787604">
        <w:rPr>
          <w:rStyle w:val="FootnoteReference"/>
        </w:rPr>
        <w:footnoteReference w:id="7"/>
      </w:r>
      <w:r w:rsidR="00C76EED" w:rsidRPr="0000085E">
        <w:t>:</w:t>
      </w:r>
    </w:p>
    <w:p w:rsidR="00C76EED" w:rsidRPr="0000085E" w:rsidRDefault="00C76EED">
      <w:pPr>
        <w:pStyle w:val="num1"/>
        <w:tabs>
          <w:tab w:val="clear" w:pos="-720"/>
        </w:tabs>
        <w:overflowPunct/>
        <w:autoSpaceDE/>
        <w:autoSpaceDN/>
        <w:adjustRightInd/>
        <w:spacing w:line="240" w:lineRule="auto"/>
        <w:ind w:firstLine="0"/>
        <w:textAlignment w:val="auto"/>
      </w:pPr>
    </w:p>
    <w:p w:rsidR="00C76EED" w:rsidRPr="0000085E" w:rsidRDefault="00C76EED" w:rsidP="00612AB0">
      <w:pPr>
        <w:pStyle w:val="num1"/>
        <w:tabs>
          <w:tab w:val="clear" w:pos="-720"/>
        </w:tabs>
        <w:overflowPunct/>
        <w:autoSpaceDE/>
        <w:autoSpaceDN/>
        <w:adjustRightInd/>
        <w:spacing w:line="240" w:lineRule="auto"/>
        <w:ind w:right="720" w:firstLine="0"/>
        <w:textAlignment w:val="auto"/>
        <w:rPr>
          <w:rFonts w:ascii="Times New Roman" w:hAnsi="Times New Roman"/>
        </w:rPr>
      </w:pPr>
      <w:r w:rsidRPr="0000085E">
        <w:rPr>
          <w:rFonts w:ascii="Times New Roman" w:hAnsi="Times New Roman"/>
          <w:szCs w:val="24"/>
        </w:rPr>
        <w:t xml:space="preserve">           “</w:t>
      </w:r>
      <w:r w:rsidRPr="0000085E">
        <w:rPr>
          <w:rFonts w:ascii="Times New Roman" w:hAnsi="Times New Roman"/>
        </w:rPr>
        <w:t>Carriers of Last Resort (COLRs) including Uniform Regulatory Framework</w:t>
      </w:r>
    </w:p>
    <w:p w:rsidR="00C76EED" w:rsidRPr="0000085E" w:rsidRDefault="00C76EED" w:rsidP="00612AB0">
      <w:pPr>
        <w:pStyle w:val="num1"/>
        <w:tabs>
          <w:tab w:val="clear" w:pos="-720"/>
        </w:tabs>
        <w:overflowPunct/>
        <w:autoSpaceDE/>
        <w:autoSpaceDN/>
        <w:adjustRightInd/>
        <w:spacing w:line="240" w:lineRule="auto"/>
        <w:ind w:left="720" w:right="720" w:firstLine="0"/>
        <w:textAlignment w:val="auto"/>
        <w:rPr>
          <w:rFonts w:ascii="Times New Roman" w:hAnsi="Times New Roman"/>
        </w:rPr>
      </w:pPr>
      <w:r w:rsidRPr="0000085E">
        <w:rPr>
          <w:rFonts w:ascii="Times New Roman" w:hAnsi="Times New Roman"/>
        </w:rPr>
        <w:t xml:space="preserve"> incumbent local exchange carriers, General Rate Case incumbent local exchange carriers, and their wholly-owned or majority owned (51% or more) affiliates or subsidiaries of their corporate parent or holding company, as well as Cox Communications where it serve</w:t>
      </w:r>
      <w:r w:rsidR="00AE3A1D">
        <w:rPr>
          <w:rFonts w:ascii="Times New Roman" w:hAnsi="Times New Roman"/>
        </w:rPr>
        <w:t>s</w:t>
      </w:r>
      <w:r w:rsidRPr="0000085E">
        <w:rPr>
          <w:rFonts w:ascii="Times New Roman" w:hAnsi="Times New Roman"/>
        </w:rPr>
        <w:t xml:space="preserve"> as a COLR, are exempt from the requirement to</w:t>
      </w:r>
    </w:p>
    <w:p w:rsidR="00C76EED" w:rsidRPr="0000085E" w:rsidRDefault="00C76EED" w:rsidP="00355C0A">
      <w:pPr>
        <w:pStyle w:val="num1"/>
        <w:tabs>
          <w:tab w:val="clear" w:pos="-720"/>
        </w:tabs>
        <w:overflowPunct/>
        <w:autoSpaceDE/>
        <w:autoSpaceDN/>
        <w:adjustRightInd/>
        <w:spacing w:line="240" w:lineRule="auto"/>
        <w:ind w:left="720" w:firstLine="0"/>
        <w:textAlignment w:val="auto"/>
      </w:pPr>
      <w:r w:rsidRPr="0000085E">
        <w:rPr>
          <w:rFonts w:ascii="Times New Roman" w:hAnsi="Times New Roman"/>
        </w:rPr>
        <w:t>obtain a performance bond.”</w:t>
      </w:r>
      <w:r w:rsidRPr="0000085E">
        <w:rPr>
          <w:rFonts w:ascii="Times New Roman" w:hAnsi="Times New Roman"/>
          <w:szCs w:val="24"/>
        </w:rPr>
        <w:t xml:space="preserve">       </w:t>
      </w:r>
    </w:p>
    <w:p w:rsidR="007B04BB" w:rsidRPr="0000085E" w:rsidRDefault="007B04BB">
      <w:pPr>
        <w:pStyle w:val="num1"/>
        <w:tabs>
          <w:tab w:val="clear" w:pos="-720"/>
        </w:tabs>
        <w:overflowPunct/>
        <w:autoSpaceDE/>
        <w:autoSpaceDN/>
        <w:adjustRightInd/>
        <w:spacing w:line="240" w:lineRule="auto"/>
        <w:ind w:firstLine="0"/>
        <w:textAlignment w:val="auto"/>
      </w:pPr>
    </w:p>
    <w:p w:rsidR="00B221EE" w:rsidRPr="0000085E" w:rsidRDefault="00B221EE">
      <w:pPr>
        <w:pStyle w:val="HTMLPreformatted"/>
        <w:rPr>
          <w:rFonts w:ascii="Palatino" w:hAnsi="Palatino"/>
          <w:b/>
          <w:sz w:val="24"/>
          <w:u w:val="single"/>
        </w:rPr>
      </w:pPr>
      <w:r w:rsidRPr="0000085E">
        <w:rPr>
          <w:rFonts w:ascii="Palatino" w:hAnsi="Palatino"/>
          <w:b/>
          <w:sz w:val="24"/>
          <w:u w:val="single"/>
        </w:rPr>
        <w:t>DISCUSSION</w:t>
      </w:r>
    </w:p>
    <w:p w:rsidR="00B221EE" w:rsidRPr="0000085E" w:rsidRDefault="00B221EE">
      <w:pPr>
        <w:pStyle w:val="HTMLPreformatted"/>
        <w:rPr>
          <w:rFonts w:ascii="Palatino" w:hAnsi="Palatino"/>
          <w:sz w:val="24"/>
        </w:rPr>
      </w:pPr>
    </w:p>
    <w:p w:rsidR="00B221EE" w:rsidRDefault="00B221EE">
      <w:pPr>
        <w:pStyle w:val="HTMLPreformatted"/>
        <w:rPr>
          <w:rFonts w:ascii="Palatino" w:hAnsi="Palatino"/>
          <w:sz w:val="24"/>
          <w:szCs w:val="24"/>
        </w:rPr>
      </w:pPr>
      <w:r w:rsidRPr="0000085E">
        <w:rPr>
          <w:rFonts w:ascii="Palatino" w:hAnsi="Palatino"/>
          <w:sz w:val="24"/>
          <w:szCs w:val="24"/>
        </w:rPr>
        <w:t xml:space="preserve">This </w:t>
      </w:r>
      <w:r w:rsidR="00F33BFC">
        <w:rPr>
          <w:rFonts w:ascii="Palatino" w:hAnsi="Palatino"/>
          <w:sz w:val="24"/>
          <w:szCs w:val="24"/>
        </w:rPr>
        <w:t>R</w:t>
      </w:r>
      <w:r w:rsidRPr="0000085E">
        <w:rPr>
          <w:rFonts w:ascii="Palatino" w:hAnsi="Palatino"/>
          <w:sz w:val="24"/>
          <w:szCs w:val="24"/>
        </w:rPr>
        <w:t>esolution revokes the operating authorit</w:t>
      </w:r>
      <w:r w:rsidR="00F33BFC">
        <w:rPr>
          <w:rFonts w:ascii="Palatino" w:hAnsi="Palatino"/>
          <w:sz w:val="24"/>
          <w:szCs w:val="24"/>
        </w:rPr>
        <w:t>ies</w:t>
      </w:r>
      <w:r w:rsidRPr="0000085E">
        <w:rPr>
          <w:rFonts w:ascii="Palatino" w:hAnsi="Palatino"/>
          <w:sz w:val="24"/>
          <w:szCs w:val="24"/>
        </w:rPr>
        <w:t xml:space="preserve"> of </w:t>
      </w:r>
      <w:r w:rsidR="00CF1F37">
        <w:rPr>
          <w:rFonts w:ascii="Palatino" w:hAnsi="Palatino"/>
          <w:sz w:val="24"/>
          <w:szCs w:val="24"/>
        </w:rPr>
        <w:t>4</w:t>
      </w:r>
      <w:r w:rsidR="003A635F">
        <w:rPr>
          <w:rFonts w:ascii="Palatino" w:hAnsi="Palatino"/>
          <w:sz w:val="24"/>
          <w:szCs w:val="24"/>
        </w:rPr>
        <w:t>4</w:t>
      </w:r>
      <w:r w:rsidR="00CF1F37">
        <w:rPr>
          <w:rFonts w:ascii="Palatino" w:hAnsi="Palatino"/>
          <w:sz w:val="24"/>
          <w:szCs w:val="24"/>
        </w:rPr>
        <w:t xml:space="preserve"> </w:t>
      </w:r>
      <w:r w:rsidR="008F6D8A">
        <w:rPr>
          <w:rFonts w:ascii="Palatino" w:hAnsi="Palatino"/>
          <w:sz w:val="24"/>
          <w:szCs w:val="24"/>
        </w:rPr>
        <w:t xml:space="preserve">wireline </w:t>
      </w:r>
      <w:r>
        <w:rPr>
          <w:rFonts w:ascii="Palatino" w:hAnsi="Palatino"/>
          <w:sz w:val="24"/>
          <w:szCs w:val="24"/>
        </w:rPr>
        <w:t xml:space="preserve">carriers that are in default of at least </w:t>
      </w:r>
      <w:r w:rsidR="008A0EFD">
        <w:rPr>
          <w:rFonts w:ascii="Palatino" w:hAnsi="Palatino"/>
          <w:sz w:val="24"/>
          <w:szCs w:val="24"/>
        </w:rPr>
        <w:t xml:space="preserve">two </w:t>
      </w:r>
      <w:r>
        <w:rPr>
          <w:rFonts w:ascii="Palatino" w:hAnsi="Palatino"/>
          <w:sz w:val="24"/>
          <w:szCs w:val="24"/>
        </w:rPr>
        <w:t>of the following requirements:</w:t>
      </w:r>
    </w:p>
    <w:p w:rsidR="00B221EE" w:rsidRDefault="00B221EE">
      <w:pPr>
        <w:pStyle w:val="HTMLPreformatted"/>
        <w:rPr>
          <w:rFonts w:ascii="Palatino" w:hAnsi="Palatino"/>
          <w:sz w:val="24"/>
          <w:szCs w:val="24"/>
        </w:rPr>
      </w:pPr>
    </w:p>
    <w:p w:rsidR="00B221EE" w:rsidRDefault="00F33BFC">
      <w:pPr>
        <w:pStyle w:val="HTMLPreformatted"/>
        <w:numPr>
          <w:ilvl w:val="0"/>
          <w:numId w:val="27"/>
        </w:numPr>
        <w:rPr>
          <w:rFonts w:ascii="Palatino" w:hAnsi="Palatino"/>
          <w:sz w:val="24"/>
          <w:szCs w:val="24"/>
        </w:rPr>
      </w:pPr>
      <w:r>
        <w:rPr>
          <w:rFonts w:ascii="Palatino" w:hAnsi="Palatino"/>
          <w:sz w:val="24"/>
          <w:szCs w:val="24"/>
        </w:rPr>
        <w:t>R</w:t>
      </w:r>
      <w:r w:rsidR="00B221EE">
        <w:rPr>
          <w:rFonts w:ascii="Palatino" w:hAnsi="Palatino"/>
          <w:sz w:val="24"/>
          <w:szCs w:val="24"/>
        </w:rPr>
        <w:t>eporting and remittance of User Fees</w:t>
      </w:r>
      <w:r w:rsidR="00787604">
        <w:rPr>
          <w:rFonts w:ascii="Palatino" w:hAnsi="Palatino"/>
          <w:sz w:val="24"/>
          <w:szCs w:val="24"/>
        </w:rPr>
        <w:t>;</w:t>
      </w:r>
    </w:p>
    <w:p w:rsidR="00B221EE" w:rsidRDefault="00F33BFC">
      <w:pPr>
        <w:pStyle w:val="HTMLPreformatted"/>
        <w:numPr>
          <w:ilvl w:val="0"/>
          <w:numId w:val="27"/>
        </w:numPr>
        <w:rPr>
          <w:rFonts w:ascii="Palatino" w:hAnsi="Palatino"/>
          <w:sz w:val="24"/>
          <w:szCs w:val="24"/>
        </w:rPr>
      </w:pPr>
      <w:r>
        <w:rPr>
          <w:rFonts w:ascii="Palatino" w:hAnsi="Palatino"/>
          <w:sz w:val="24"/>
          <w:szCs w:val="24"/>
        </w:rPr>
        <w:t>R</w:t>
      </w:r>
      <w:r w:rsidR="00B221EE">
        <w:rPr>
          <w:rFonts w:ascii="Palatino" w:hAnsi="Palatino"/>
          <w:sz w:val="24"/>
          <w:szCs w:val="24"/>
        </w:rPr>
        <w:t>eporting and remittance of surcharges</w:t>
      </w:r>
      <w:r w:rsidR="00787604">
        <w:rPr>
          <w:rFonts w:ascii="Palatino" w:hAnsi="Palatino"/>
          <w:sz w:val="24"/>
          <w:szCs w:val="24"/>
        </w:rPr>
        <w:t>; or</w:t>
      </w:r>
    </w:p>
    <w:p w:rsidR="00B221EE" w:rsidRDefault="00F33BFC">
      <w:pPr>
        <w:pStyle w:val="HTMLPreformatted"/>
        <w:numPr>
          <w:ilvl w:val="0"/>
          <w:numId w:val="27"/>
        </w:numPr>
        <w:rPr>
          <w:rFonts w:ascii="Palatino" w:hAnsi="Palatino"/>
          <w:sz w:val="24"/>
          <w:szCs w:val="24"/>
        </w:rPr>
      </w:pPr>
      <w:r>
        <w:rPr>
          <w:rFonts w:ascii="Palatino" w:hAnsi="Palatino"/>
          <w:sz w:val="24"/>
          <w:szCs w:val="24"/>
        </w:rPr>
        <w:t>S</w:t>
      </w:r>
      <w:r w:rsidR="00B221EE">
        <w:rPr>
          <w:rFonts w:ascii="Palatino" w:hAnsi="Palatino"/>
          <w:sz w:val="24"/>
          <w:szCs w:val="24"/>
        </w:rPr>
        <w:t>ubmission of a performance bond</w:t>
      </w:r>
      <w:r w:rsidR="00787604">
        <w:rPr>
          <w:rFonts w:ascii="Palatino" w:hAnsi="Palatino"/>
          <w:sz w:val="24"/>
          <w:szCs w:val="24"/>
        </w:rPr>
        <w:t>.</w:t>
      </w:r>
    </w:p>
    <w:p w:rsidR="00B45599" w:rsidRDefault="00B45599" w:rsidP="00B45599">
      <w:pPr>
        <w:pStyle w:val="HTMLPreformatted"/>
        <w:ind w:left="720"/>
        <w:rPr>
          <w:rFonts w:ascii="Palatino" w:hAnsi="Palatino"/>
          <w:sz w:val="24"/>
          <w:szCs w:val="24"/>
        </w:rPr>
      </w:pPr>
    </w:p>
    <w:p w:rsidR="00B221EE" w:rsidRDefault="00B45599">
      <w:pPr>
        <w:pStyle w:val="HTMLPreformatted"/>
        <w:rPr>
          <w:rFonts w:ascii="Palatino" w:hAnsi="Palatino"/>
          <w:sz w:val="24"/>
          <w:szCs w:val="24"/>
        </w:rPr>
      </w:pPr>
      <w:r>
        <w:rPr>
          <w:rFonts w:ascii="Palatino" w:hAnsi="Palatino"/>
          <w:sz w:val="24"/>
          <w:szCs w:val="24"/>
        </w:rPr>
        <w:t>Th</w:t>
      </w:r>
      <w:r w:rsidR="00A94ECC">
        <w:rPr>
          <w:rFonts w:ascii="Palatino" w:hAnsi="Palatino"/>
          <w:sz w:val="24"/>
          <w:szCs w:val="24"/>
        </w:rPr>
        <w:t xml:space="preserve">is </w:t>
      </w:r>
      <w:r w:rsidR="00F33BFC">
        <w:rPr>
          <w:rFonts w:ascii="Palatino" w:hAnsi="Palatino"/>
          <w:sz w:val="24"/>
          <w:szCs w:val="24"/>
        </w:rPr>
        <w:t>R</w:t>
      </w:r>
      <w:r>
        <w:rPr>
          <w:rFonts w:ascii="Palatino" w:hAnsi="Palatino"/>
          <w:sz w:val="24"/>
          <w:szCs w:val="24"/>
        </w:rPr>
        <w:t xml:space="preserve">esolution’s </w:t>
      </w:r>
      <w:r w:rsidR="00F33BFC">
        <w:rPr>
          <w:rFonts w:ascii="Palatino" w:hAnsi="Palatino"/>
          <w:sz w:val="24"/>
          <w:szCs w:val="24"/>
        </w:rPr>
        <w:t>A</w:t>
      </w:r>
      <w:r>
        <w:rPr>
          <w:rFonts w:ascii="Palatino" w:hAnsi="Palatino"/>
          <w:sz w:val="24"/>
          <w:szCs w:val="24"/>
        </w:rPr>
        <w:t>ppendices</w:t>
      </w:r>
      <w:r w:rsidR="00D91909">
        <w:rPr>
          <w:rFonts w:ascii="Palatino" w:hAnsi="Palatino"/>
          <w:sz w:val="24"/>
          <w:szCs w:val="24"/>
        </w:rPr>
        <w:t xml:space="preserve"> </w:t>
      </w:r>
      <w:r w:rsidR="00F33BFC">
        <w:rPr>
          <w:rFonts w:ascii="Palatino" w:hAnsi="Palatino"/>
          <w:sz w:val="24"/>
          <w:szCs w:val="24"/>
        </w:rPr>
        <w:t>A and B</w:t>
      </w:r>
      <w:r w:rsidR="00787604">
        <w:rPr>
          <w:rFonts w:ascii="Palatino" w:hAnsi="Palatino"/>
          <w:sz w:val="24"/>
          <w:szCs w:val="24"/>
        </w:rPr>
        <w:t xml:space="preserve"> </w:t>
      </w:r>
      <w:r>
        <w:rPr>
          <w:rFonts w:ascii="Palatino" w:hAnsi="Palatino"/>
          <w:sz w:val="24"/>
          <w:szCs w:val="24"/>
        </w:rPr>
        <w:t xml:space="preserve">list the decertified carriers.   </w:t>
      </w:r>
      <w:r w:rsidRPr="0000085E">
        <w:rPr>
          <w:rFonts w:ascii="Palatino" w:hAnsi="Palatino"/>
          <w:sz w:val="24"/>
          <w:szCs w:val="24"/>
        </w:rPr>
        <w:t>Appendix A lists the carriers in ascending U-number order, and Appendix B lists the carriers by alphabetical order.</w:t>
      </w:r>
      <w:r>
        <w:rPr>
          <w:rFonts w:ascii="Palatino" w:hAnsi="Palatino"/>
          <w:sz w:val="24"/>
          <w:szCs w:val="24"/>
        </w:rPr>
        <w:t xml:space="preserve">  </w:t>
      </w:r>
      <w:r w:rsidR="0074181B" w:rsidRPr="0000085E">
        <w:rPr>
          <w:rFonts w:ascii="Palatino" w:hAnsi="Palatino"/>
          <w:sz w:val="24"/>
          <w:szCs w:val="24"/>
        </w:rPr>
        <w:t xml:space="preserve">A carrier is in default of the </w:t>
      </w:r>
      <w:r w:rsidR="00787604">
        <w:rPr>
          <w:rFonts w:ascii="Palatino" w:hAnsi="Palatino"/>
          <w:sz w:val="24"/>
          <w:szCs w:val="24"/>
        </w:rPr>
        <w:t xml:space="preserve">above-listed </w:t>
      </w:r>
      <w:r w:rsidR="0074181B" w:rsidRPr="0000085E">
        <w:rPr>
          <w:rFonts w:ascii="Palatino" w:hAnsi="Palatino"/>
          <w:sz w:val="24"/>
          <w:szCs w:val="24"/>
        </w:rPr>
        <w:t xml:space="preserve">requirements if an “x” appears in the </w:t>
      </w:r>
      <w:r>
        <w:rPr>
          <w:rFonts w:ascii="Palatino" w:hAnsi="Palatino"/>
          <w:sz w:val="24"/>
          <w:szCs w:val="24"/>
        </w:rPr>
        <w:t xml:space="preserve">categorical </w:t>
      </w:r>
      <w:r w:rsidR="0074181B" w:rsidRPr="0000085E">
        <w:rPr>
          <w:rFonts w:ascii="Palatino" w:hAnsi="Palatino"/>
          <w:sz w:val="24"/>
          <w:szCs w:val="24"/>
        </w:rPr>
        <w:t xml:space="preserve">columns </w:t>
      </w:r>
      <w:r>
        <w:rPr>
          <w:rFonts w:ascii="Palatino" w:hAnsi="Palatino"/>
          <w:sz w:val="24"/>
          <w:szCs w:val="24"/>
        </w:rPr>
        <w:t>of the respective appendix lists</w:t>
      </w:r>
      <w:r w:rsidR="0074181B" w:rsidRPr="0000085E">
        <w:rPr>
          <w:rFonts w:ascii="Palatino" w:hAnsi="Palatino"/>
          <w:sz w:val="24"/>
          <w:szCs w:val="24"/>
        </w:rPr>
        <w:t>.</w:t>
      </w:r>
      <w:r w:rsidR="0074181B">
        <w:rPr>
          <w:rFonts w:ascii="Palatino" w:hAnsi="Palatino"/>
          <w:sz w:val="24"/>
          <w:szCs w:val="24"/>
        </w:rPr>
        <w:t xml:space="preserve">  </w:t>
      </w:r>
    </w:p>
    <w:p w:rsidR="00B221EE" w:rsidRDefault="00594D05">
      <w:pPr>
        <w:pStyle w:val="HTMLPreformatted"/>
        <w:rPr>
          <w:rFonts w:ascii="Palatino" w:hAnsi="Palatino"/>
          <w:sz w:val="24"/>
          <w:szCs w:val="24"/>
        </w:rPr>
      </w:pPr>
      <w:r>
        <w:rPr>
          <w:rFonts w:ascii="Palatino" w:hAnsi="Palatino"/>
          <w:sz w:val="24"/>
          <w:szCs w:val="24"/>
        </w:rPr>
        <w:t xml:space="preserve">Table 1 </w:t>
      </w:r>
      <w:r w:rsidR="00B221EE">
        <w:rPr>
          <w:rFonts w:ascii="Palatino" w:hAnsi="Palatino"/>
          <w:sz w:val="24"/>
          <w:szCs w:val="24"/>
        </w:rPr>
        <w:t>summar</w:t>
      </w:r>
      <w:r>
        <w:rPr>
          <w:rFonts w:ascii="Palatino" w:hAnsi="Palatino"/>
          <w:sz w:val="24"/>
          <w:szCs w:val="24"/>
        </w:rPr>
        <w:t>izes</w:t>
      </w:r>
      <w:r w:rsidR="00B221EE">
        <w:rPr>
          <w:rFonts w:ascii="Palatino" w:hAnsi="Palatino"/>
          <w:sz w:val="24"/>
          <w:szCs w:val="24"/>
        </w:rPr>
        <w:t xml:space="preserve"> </w:t>
      </w:r>
      <w:r w:rsidR="00850B1C">
        <w:rPr>
          <w:rFonts w:ascii="Palatino" w:hAnsi="Palatino"/>
          <w:sz w:val="24"/>
          <w:szCs w:val="24"/>
        </w:rPr>
        <w:t xml:space="preserve">the number of </w:t>
      </w:r>
      <w:r w:rsidR="00B221EE">
        <w:rPr>
          <w:rFonts w:ascii="Palatino" w:hAnsi="Palatino"/>
          <w:sz w:val="24"/>
          <w:szCs w:val="24"/>
        </w:rPr>
        <w:t xml:space="preserve">non-compliant carriers by </w:t>
      </w:r>
      <w:r w:rsidR="00850B1C">
        <w:rPr>
          <w:rFonts w:ascii="Palatino" w:hAnsi="Palatino"/>
          <w:sz w:val="24"/>
          <w:szCs w:val="24"/>
        </w:rPr>
        <w:t xml:space="preserve">each </w:t>
      </w:r>
      <w:r w:rsidR="00B221EE">
        <w:rPr>
          <w:rFonts w:ascii="Palatino" w:hAnsi="Palatino"/>
          <w:sz w:val="24"/>
          <w:szCs w:val="24"/>
        </w:rPr>
        <w:t>utility type</w:t>
      </w:r>
      <w:r w:rsidR="008D1DC4">
        <w:rPr>
          <w:rFonts w:ascii="Palatino" w:hAnsi="Palatino"/>
          <w:sz w:val="24"/>
          <w:szCs w:val="24"/>
        </w:rPr>
        <w:t xml:space="preserve"> </w:t>
      </w:r>
      <w:r w:rsidR="00850B1C">
        <w:rPr>
          <w:rFonts w:ascii="Palatino" w:hAnsi="Palatino"/>
          <w:sz w:val="24"/>
          <w:szCs w:val="24"/>
        </w:rPr>
        <w:t xml:space="preserve">or </w:t>
      </w:r>
      <w:r w:rsidR="008D1DC4">
        <w:rPr>
          <w:rFonts w:ascii="Palatino" w:hAnsi="Palatino"/>
          <w:sz w:val="24"/>
          <w:szCs w:val="24"/>
        </w:rPr>
        <w:t>line of business</w:t>
      </w:r>
      <w:r w:rsidR="004C5182">
        <w:rPr>
          <w:rFonts w:ascii="Palatino" w:hAnsi="Palatino"/>
          <w:sz w:val="24"/>
          <w:szCs w:val="24"/>
        </w:rPr>
        <w:t xml:space="preserve">.  Please note that </w:t>
      </w:r>
      <w:r w:rsidR="008D1DC4">
        <w:rPr>
          <w:rFonts w:ascii="Palatino" w:hAnsi="Palatino"/>
          <w:sz w:val="24"/>
          <w:szCs w:val="24"/>
        </w:rPr>
        <w:t xml:space="preserve">the </w:t>
      </w:r>
      <w:r w:rsidR="004C5182">
        <w:rPr>
          <w:rFonts w:ascii="Palatino" w:hAnsi="Palatino"/>
          <w:sz w:val="24"/>
          <w:szCs w:val="24"/>
        </w:rPr>
        <w:t xml:space="preserve">majority of </w:t>
      </w:r>
      <w:r w:rsidR="008D1DC4">
        <w:rPr>
          <w:rFonts w:ascii="Palatino" w:hAnsi="Palatino"/>
          <w:sz w:val="24"/>
          <w:szCs w:val="24"/>
        </w:rPr>
        <w:t xml:space="preserve">listed </w:t>
      </w:r>
      <w:r w:rsidR="004C5182">
        <w:rPr>
          <w:rFonts w:ascii="Palatino" w:hAnsi="Palatino"/>
          <w:sz w:val="24"/>
          <w:szCs w:val="24"/>
        </w:rPr>
        <w:t>carriers are classified by more than one utility type</w:t>
      </w:r>
      <w:r>
        <w:rPr>
          <w:rFonts w:ascii="Palatino" w:hAnsi="Palatino"/>
          <w:sz w:val="24"/>
          <w:szCs w:val="24"/>
        </w:rPr>
        <w:t>:</w:t>
      </w:r>
    </w:p>
    <w:p w:rsidR="006B4D93" w:rsidRDefault="006B4D93">
      <w:pPr>
        <w:pStyle w:val="HTMLPreformatted"/>
        <w:rPr>
          <w:rFonts w:ascii="Palatino" w:hAnsi="Palatino"/>
          <w:sz w:val="24"/>
          <w:szCs w:val="24"/>
        </w:rPr>
      </w:pPr>
    </w:p>
    <w:p w:rsidR="00B221EE" w:rsidRPr="008C11EF" w:rsidRDefault="006B4D93" w:rsidP="008C11EF">
      <w:pPr>
        <w:pStyle w:val="HTMLPreformatted"/>
        <w:jc w:val="center"/>
        <w:rPr>
          <w:rFonts w:ascii="Palatino Linotype" w:hAnsi="Palatino Linotype"/>
          <w:b/>
          <w:sz w:val="24"/>
          <w:szCs w:val="24"/>
        </w:rPr>
      </w:pPr>
      <w:r w:rsidRPr="008C11EF">
        <w:rPr>
          <w:rFonts w:ascii="Palatino Linotype" w:hAnsi="Palatino Linotype"/>
          <w:b/>
          <w:sz w:val="24"/>
          <w:szCs w:val="24"/>
        </w:rPr>
        <w:t>Table 1</w:t>
      </w:r>
    </w:p>
    <w:tbl>
      <w:tblPr>
        <w:tblW w:w="8280" w:type="dxa"/>
        <w:tblInd w:w="468" w:type="dxa"/>
        <w:tblLook w:val="0000" w:firstRow="0" w:lastRow="0" w:firstColumn="0" w:lastColumn="0" w:noHBand="0" w:noVBand="0"/>
      </w:tblPr>
      <w:tblGrid>
        <w:gridCol w:w="6660"/>
        <w:gridCol w:w="1620"/>
      </w:tblGrid>
      <w:tr w:rsidR="00B221EE" w:rsidTr="002D2D7A">
        <w:trPr>
          <w:trHeight w:val="255"/>
        </w:trPr>
        <w:tc>
          <w:tcPr>
            <w:tcW w:w="8280" w:type="dxa"/>
            <w:gridSpan w:val="2"/>
            <w:tcBorders>
              <w:top w:val="single" w:sz="4" w:space="0" w:color="auto"/>
              <w:left w:val="nil"/>
              <w:bottom w:val="nil"/>
              <w:right w:val="nil"/>
            </w:tcBorders>
            <w:shd w:val="clear" w:color="auto" w:fill="auto"/>
            <w:noWrap/>
            <w:vAlign w:val="bottom"/>
          </w:tcPr>
          <w:p w:rsidR="00B221EE" w:rsidRDefault="00B221EE">
            <w:pPr>
              <w:overflowPunct/>
              <w:autoSpaceDE/>
              <w:autoSpaceDN/>
              <w:adjustRightInd/>
              <w:jc w:val="center"/>
              <w:textAlignment w:val="auto"/>
              <w:rPr>
                <w:rFonts w:cs="Arial"/>
                <w:b/>
                <w:bCs/>
                <w:sz w:val="20"/>
              </w:rPr>
            </w:pPr>
            <w:r>
              <w:rPr>
                <w:rFonts w:cs="Arial"/>
                <w:b/>
                <w:bCs/>
                <w:sz w:val="20"/>
              </w:rPr>
              <w:t xml:space="preserve">Summary of Non-Compliant Carriers </w:t>
            </w:r>
          </w:p>
        </w:tc>
      </w:tr>
      <w:tr w:rsidR="00B221EE" w:rsidTr="00DD4EBC">
        <w:trPr>
          <w:trHeight w:val="255"/>
        </w:trPr>
        <w:tc>
          <w:tcPr>
            <w:tcW w:w="6660" w:type="dxa"/>
            <w:tcBorders>
              <w:top w:val="single" w:sz="4" w:space="0" w:color="auto"/>
              <w:left w:val="single" w:sz="4" w:space="0" w:color="auto"/>
              <w:bottom w:val="single" w:sz="4" w:space="0" w:color="auto"/>
              <w:right w:val="single" w:sz="4" w:space="0" w:color="auto"/>
            </w:tcBorders>
            <w:shd w:val="clear" w:color="auto" w:fill="auto"/>
            <w:vAlign w:val="bottom"/>
          </w:tcPr>
          <w:p w:rsidR="00B221EE" w:rsidRDefault="00B221EE">
            <w:pPr>
              <w:overflowPunct/>
              <w:autoSpaceDE/>
              <w:autoSpaceDN/>
              <w:adjustRightInd/>
              <w:jc w:val="center"/>
              <w:textAlignment w:val="auto"/>
              <w:rPr>
                <w:rFonts w:cs="Arial"/>
                <w:b/>
                <w:bCs/>
                <w:color w:val="000000"/>
                <w:sz w:val="20"/>
              </w:rPr>
            </w:pPr>
            <w:r>
              <w:rPr>
                <w:rFonts w:cs="Arial"/>
                <w:b/>
                <w:bCs/>
                <w:color w:val="000000"/>
                <w:sz w:val="20"/>
              </w:rPr>
              <w:t>Utility Type</w:t>
            </w:r>
            <w:r w:rsidR="00850B1C">
              <w:rPr>
                <w:rFonts w:cs="Arial"/>
                <w:b/>
                <w:bCs/>
                <w:color w:val="000000"/>
                <w:sz w:val="20"/>
              </w:rPr>
              <w:t xml:space="preserve"> / </w:t>
            </w:r>
            <w:r w:rsidR="008D1DC4">
              <w:rPr>
                <w:rFonts w:cs="Arial"/>
                <w:b/>
                <w:bCs/>
                <w:color w:val="000000"/>
                <w:sz w:val="20"/>
              </w:rPr>
              <w:t>Line of Business</w:t>
            </w:r>
          </w:p>
        </w:tc>
        <w:tc>
          <w:tcPr>
            <w:tcW w:w="1620" w:type="dxa"/>
            <w:tcBorders>
              <w:top w:val="single" w:sz="4" w:space="0" w:color="auto"/>
              <w:left w:val="nil"/>
              <w:bottom w:val="single" w:sz="4" w:space="0" w:color="auto"/>
              <w:right w:val="single" w:sz="4" w:space="0" w:color="auto"/>
            </w:tcBorders>
            <w:shd w:val="clear" w:color="auto" w:fill="auto"/>
            <w:vAlign w:val="bottom"/>
          </w:tcPr>
          <w:p w:rsidR="00B221EE" w:rsidRDefault="00B221EE">
            <w:pPr>
              <w:overflowPunct/>
              <w:autoSpaceDE/>
              <w:autoSpaceDN/>
              <w:adjustRightInd/>
              <w:jc w:val="center"/>
              <w:textAlignment w:val="auto"/>
              <w:rPr>
                <w:rFonts w:cs="Arial"/>
                <w:b/>
                <w:bCs/>
                <w:color w:val="000000"/>
                <w:sz w:val="20"/>
              </w:rPr>
            </w:pPr>
            <w:r>
              <w:rPr>
                <w:rFonts w:cs="Arial"/>
                <w:b/>
                <w:bCs/>
                <w:color w:val="000000"/>
                <w:sz w:val="20"/>
              </w:rPr>
              <w:t>No</w:t>
            </w:r>
            <w:r w:rsidR="008D1DC4">
              <w:rPr>
                <w:rFonts w:cs="Arial"/>
                <w:b/>
                <w:bCs/>
                <w:color w:val="000000"/>
                <w:sz w:val="20"/>
              </w:rPr>
              <w:t>.</w:t>
            </w:r>
            <w:r>
              <w:rPr>
                <w:rFonts w:cs="Arial"/>
                <w:b/>
                <w:bCs/>
                <w:color w:val="000000"/>
                <w:sz w:val="20"/>
              </w:rPr>
              <w:t xml:space="preserve"> of Carriers</w:t>
            </w:r>
          </w:p>
        </w:tc>
      </w:tr>
      <w:tr w:rsidR="00DD4EBC"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DD4EBC" w:rsidRDefault="00DD4EBC" w:rsidP="00741E01">
            <w:pPr>
              <w:overflowPunct/>
              <w:autoSpaceDE/>
              <w:autoSpaceDN/>
              <w:adjustRightInd/>
              <w:textAlignment w:val="auto"/>
              <w:rPr>
                <w:rFonts w:cs="Arial"/>
                <w:sz w:val="20"/>
              </w:rPr>
            </w:pPr>
            <w:r>
              <w:rPr>
                <w:rFonts w:cs="Arial"/>
                <w:sz w:val="20"/>
              </w:rPr>
              <w:t>Competitive Local Carrier and Competitive Local Reseller (CLC &amp; CLR)</w:t>
            </w:r>
          </w:p>
        </w:tc>
        <w:tc>
          <w:tcPr>
            <w:tcW w:w="1620" w:type="dxa"/>
            <w:tcBorders>
              <w:top w:val="nil"/>
              <w:left w:val="nil"/>
              <w:bottom w:val="single" w:sz="4" w:space="0" w:color="auto"/>
              <w:right w:val="single" w:sz="4" w:space="0" w:color="auto"/>
            </w:tcBorders>
            <w:shd w:val="clear" w:color="auto" w:fill="auto"/>
            <w:noWrap/>
            <w:vAlign w:val="bottom"/>
          </w:tcPr>
          <w:p w:rsidR="00DD4EBC" w:rsidRDefault="00DD4EBC" w:rsidP="00DD4EBC">
            <w:pPr>
              <w:overflowPunct/>
              <w:autoSpaceDE/>
              <w:autoSpaceDN/>
              <w:adjustRightInd/>
              <w:textAlignment w:val="auto"/>
              <w:rPr>
                <w:rFonts w:cs="Arial"/>
                <w:sz w:val="20"/>
              </w:rPr>
            </w:pPr>
            <w:r>
              <w:rPr>
                <w:rFonts w:cs="Arial"/>
                <w:sz w:val="20"/>
              </w:rPr>
              <w:t xml:space="preserve">             3</w:t>
            </w:r>
          </w:p>
        </w:tc>
      </w:tr>
      <w:tr w:rsidR="002D2D7A"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2D2D7A" w:rsidRDefault="002D2D7A" w:rsidP="00696F70">
            <w:pPr>
              <w:overflowPunct/>
              <w:autoSpaceDE/>
              <w:autoSpaceDN/>
              <w:adjustRightInd/>
              <w:textAlignment w:val="auto"/>
              <w:rPr>
                <w:rFonts w:cs="Arial"/>
                <w:sz w:val="20"/>
              </w:rPr>
            </w:pPr>
            <w:r>
              <w:rPr>
                <w:rFonts w:cs="Arial"/>
                <w:sz w:val="20"/>
              </w:rPr>
              <w:t>Competitive Local Carrier and Interexchange Carrier (CLC &amp; IEC)</w:t>
            </w:r>
          </w:p>
        </w:tc>
        <w:tc>
          <w:tcPr>
            <w:tcW w:w="1620" w:type="dxa"/>
            <w:tcBorders>
              <w:top w:val="nil"/>
              <w:left w:val="nil"/>
              <w:bottom w:val="single" w:sz="4" w:space="0" w:color="auto"/>
              <w:right w:val="single" w:sz="4" w:space="0" w:color="auto"/>
            </w:tcBorders>
            <w:shd w:val="clear" w:color="auto" w:fill="auto"/>
            <w:noWrap/>
            <w:vAlign w:val="bottom"/>
          </w:tcPr>
          <w:p w:rsidR="002D2D7A" w:rsidRDefault="003A635F" w:rsidP="00696F70">
            <w:pPr>
              <w:overflowPunct/>
              <w:autoSpaceDE/>
              <w:autoSpaceDN/>
              <w:adjustRightInd/>
              <w:jc w:val="center"/>
              <w:textAlignment w:val="auto"/>
              <w:rPr>
                <w:rFonts w:cs="Arial"/>
                <w:sz w:val="20"/>
              </w:rPr>
            </w:pPr>
            <w:r>
              <w:rPr>
                <w:rFonts w:cs="Arial"/>
                <w:sz w:val="20"/>
              </w:rPr>
              <w:t>6</w:t>
            </w:r>
          </w:p>
        </w:tc>
      </w:tr>
      <w:tr w:rsidR="002D2D7A"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2D2D7A" w:rsidRDefault="002D2D7A" w:rsidP="00696F70">
            <w:pPr>
              <w:overflowPunct/>
              <w:autoSpaceDE/>
              <w:autoSpaceDN/>
              <w:adjustRightInd/>
              <w:textAlignment w:val="auto"/>
              <w:rPr>
                <w:rFonts w:cs="Arial"/>
                <w:b/>
                <w:bCs/>
                <w:sz w:val="20"/>
              </w:rPr>
            </w:pPr>
            <w:r w:rsidRPr="00F64B45">
              <w:rPr>
                <w:rFonts w:cs="Arial"/>
                <w:bCs/>
                <w:sz w:val="20"/>
              </w:rPr>
              <w:t>CLC, CLR, and IE</w:t>
            </w:r>
            <w:r>
              <w:rPr>
                <w:rFonts w:cs="Arial"/>
                <w:bCs/>
                <w:sz w:val="20"/>
              </w:rPr>
              <w:t>C</w:t>
            </w:r>
          </w:p>
        </w:tc>
        <w:tc>
          <w:tcPr>
            <w:tcW w:w="1620" w:type="dxa"/>
            <w:tcBorders>
              <w:top w:val="nil"/>
              <w:left w:val="nil"/>
              <w:bottom w:val="single" w:sz="4" w:space="0" w:color="auto"/>
              <w:right w:val="single" w:sz="4" w:space="0" w:color="auto"/>
            </w:tcBorders>
            <w:shd w:val="clear" w:color="auto" w:fill="auto"/>
            <w:noWrap/>
            <w:vAlign w:val="bottom"/>
          </w:tcPr>
          <w:p w:rsidR="002D2D7A" w:rsidRPr="00516DEB" w:rsidRDefault="00DA51C1" w:rsidP="00696F70">
            <w:pPr>
              <w:overflowPunct/>
              <w:autoSpaceDE/>
              <w:autoSpaceDN/>
              <w:adjustRightInd/>
              <w:jc w:val="center"/>
              <w:textAlignment w:val="auto"/>
              <w:rPr>
                <w:rFonts w:cs="Arial"/>
                <w:bCs/>
                <w:sz w:val="20"/>
              </w:rPr>
            </w:pPr>
            <w:r>
              <w:rPr>
                <w:rFonts w:cs="Arial"/>
                <w:bCs/>
                <w:sz w:val="20"/>
              </w:rPr>
              <w:t>4</w:t>
            </w:r>
          </w:p>
        </w:tc>
      </w:tr>
      <w:tr w:rsidR="002D2D7A"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2D2D7A" w:rsidRPr="00F64B45" w:rsidRDefault="002D2D7A" w:rsidP="00696F70">
            <w:pPr>
              <w:overflowPunct/>
              <w:autoSpaceDE/>
              <w:autoSpaceDN/>
              <w:adjustRightInd/>
              <w:textAlignment w:val="auto"/>
              <w:rPr>
                <w:rFonts w:cs="Arial"/>
                <w:bCs/>
                <w:sz w:val="20"/>
              </w:rPr>
            </w:pPr>
            <w:r w:rsidRPr="00F64B45">
              <w:rPr>
                <w:rFonts w:cs="Arial"/>
                <w:bCs/>
                <w:sz w:val="20"/>
              </w:rPr>
              <w:t>CLC, CLR, and IER</w:t>
            </w:r>
          </w:p>
        </w:tc>
        <w:tc>
          <w:tcPr>
            <w:tcW w:w="1620" w:type="dxa"/>
            <w:tcBorders>
              <w:top w:val="nil"/>
              <w:left w:val="nil"/>
              <w:bottom w:val="single" w:sz="4" w:space="0" w:color="auto"/>
              <w:right w:val="single" w:sz="4" w:space="0" w:color="auto"/>
            </w:tcBorders>
            <w:shd w:val="clear" w:color="auto" w:fill="auto"/>
            <w:noWrap/>
            <w:vAlign w:val="bottom"/>
          </w:tcPr>
          <w:p w:rsidR="002D2D7A" w:rsidRPr="00516DEB" w:rsidRDefault="002D2D7A" w:rsidP="00696F70">
            <w:pPr>
              <w:overflowPunct/>
              <w:autoSpaceDE/>
              <w:autoSpaceDN/>
              <w:adjustRightInd/>
              <w:jc w:val="center"/>
              <w:textAlignment w:val="auto"/>
              <w:rPr>
                <w:rFonts w:cs="Arial"/>
                <w:bCs/>
                <w:sz w:val="20"/>
              </w:rPr>
            </w:pPr>
            <w:r w:rsidRPr="00516DEB">
              <w:rPr>
                <w:rFonts w:cs="Arial"/>
                <w:bCs/>
                <w:sz w:val="20"/>
              </w:rPr>
              <w:t>3</w:t>
            </w:r>
          </w:p>
        </w:tc>
      </w:tr>
      <w:tr w:rsidR="002D2D7A"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2D2D7A" w:rsidRDefault="002D2D7A" w:rsidP="00696F70">
            <w:pPr>
              <w:overflowPunct/>
              <w:autoSpaceDE/>
              <w:autoSpaceDN/>
              <w:adjustRightInd/>
              <w:textAlignment w:val="auto"/>
              <w:rPr>
                <w:rFonts w:cs="Arial"/>
                <w:sz w:val="20"/>
              </w:rPr>
            </w:pPr>
            <w:r>
              <w:rPr>
                <w:rFonts w:cs="Arial"/>
                <w:sz w:val="20"/>
              </w:rPr>
              <w:t>CLR</w:t>
            </w:r>
            <w:r w:rsidR="009E0985">
              <w:rPr>
                <w:rFonts w:cs="Arial"/>
                <w:sz w:val="20"/>
              </w:rPr>
              <w:t xml:space="preserve"> only</w:t>
            </w:r>
          </w:p>
        </w:tc>
        <w:tc>
          <w:tcPr>
            <w:tcW w:w="1620" w:type="dxa"/>
            <w:tcBorders>
              <w:top w:val="nil"/>
              <w:left w:val="nil"/>
              <w:bottom w:val="single" w:sz="4" w:space="0" w:color="auto"/>
              <w:right w:val="single" w:sz="4" w:space="0" w:color="auto"/>
            </w:tcBorders>
            <w:shd w:val="clear" w:color="auto" w:fill="auto"/>
            <w:noWrap/>
            <w:vAlign w:val="bottom"/>
          </w:tcPr>
          <w:p w:rsidR="002D2D7A" w:rsidRDefault="002D2D7A" w:rsidP="00696F70">
            <w:pPr>
              <w:overflowPunct/>
              <w:autoSpaceDE/>
              <w:autoSpaceDN/>
              <w:adjustRightInd/>
              <w:textAlignment w:val="auto"/>
              <w:rPr>
                <w:rFonts w:cs="Arial"/>
                <w:sz w:val="20"/>
              </w:rPr>
            </w:pPr>
            <w:r>
              <w:rPr>
                <w:rFonts w:cs="Arial"/>
                <w:sz w:val="20"/>
              </w:rPr>
              <w:t xml:space="preserve">             1</w:t>
            </w:r>
          </w:p>
        </w:tc>
      </w:tr>
      <w:tr w:rsidR="002D2D7A"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2D2D7A" w:rsidRDefault="002D2D7A" w:rsidP="00741E01">
            <w:pPr>
              <w:overflowPunct/>
              <w:autoSpaceDE/>
              <w:autoSpaceDN/>
              <w:adjustRightInd/>
              <w:textAlignment w:val="auto"/>
              <w:rPr>
                <w:rFonts w:cs="Arial"/>
                <w:sz w:val="20"/>
              </w:rPr>
            </w:pPr>
            <w:r>
              <w:rPr>
                <w:rFonts w:cs="Arial"/>
                <w:sz w:val="20"/>
              </w:rPr>
              <w:t>CLR &amp; IEC</w:t>
            </w:r>
          </w:p>
        </w:tc>
        <w:tc>
          <w:tcPr>
            <w:tcW w:w="1620" w:type="dxa"/>
            <w:tcBorders>
              <w:top w:val="nil"/>
              <w:left w:val="nil"/>
              <w:bottom w:val="single" w:sz="4" w:space="0" w:color="auto"/>
              <w:right w:val="single" w:sz="4" w:space="0" w:color="auto"/>
            </w:tcBorders>
            <w:shd w:val="clear" w:color="auto" w:fill="auto"/>
            <w:noWrap/>
            <w:vAlign w:val="bottom"/>
          </w:tcPr>
          <w:p w:rsidR="002D2D7A" w:rsidRDefault="002D2D7A" w:rsidP="00977FCF">
            <w:pPr>
              <w:overflowPunct/>
              <w:autoSpaceDE/>
              <w:autoSpaceDN/>
              <w:adjustRightInd/>
              <w:jc w:val="center"/>
              <w:textAlignment w:val="auto"/>
              <w:rPr>
                <w:rFonts w:cs="Arial"/>
                <w:sz w:val="20"/>
              </w:rPr>
            </w:pPr>
            <w:r>
              <w:rPr>
                <w:rFonts w:cs="Arial"/>
                <w:sz w:val="20"/>
              </w:rPr>
              <w:t>4</w:t>
            </w:r>
          </w:p>
        </w:tc>
      </w:tr>
      <w:tr w:rsidR="002D2D7A"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2D2D7A" w:rsidRDefault="002D2D7A" w:rsidP="004C5182">
            <w:pPr>
              <w:overflowPunct/>
              <w:autoSpaceDE/>
              <w:autoSpaceDN/>
              <w:adjustRightInd/>
              <w:textAlignment w:val="auto"/>
              <w:rPr>
                <w:rFonts w:cs="Arial"/>
                <w:sz w:val="20"/>
              </w:rPr>
            </w:pPr>
            <w:r>
              <w:rPr>
                <w:rFonts w:cs="Arial"/>
                <w:sz w:val="20"/>
              </w:rPr>
              <w:t>CLR &amp; IER</w:t>
            </w:r>
          </w:p>
        </w:tc>
        <w:tc>
          <w:tcPr>
            <w:tcW w:w="1620" w:type="dxa"/>
            <w:tcBorders>
              <w:top w:val="nil"/>
              <w:left w:val="nil"/>
              <w:bottom w:val="single" w:sz="4" w:space="0" w:color="auto"/>
              <w:right w:val="single" w:sz="4" w:space="0" w:color="auto"/>
            </w:tcBorders>
            <w:shd w:val="clear" w:color="auto" w:fill="auto"/>
            <w:noWrap/>
            <w:vAlign w:val="bottom"/>
          </w:tcPr>
          <w:p w:rsidR="002D2D7A" w:rsidRDefault="002D2D7A" w:rsidP="00DD4EBC">
            <w:pPr>
              <w:overflowPunct/>
              <w:autoSpaceDE/>
              <w:autoSpaceDN/>
              <w:adjustRightInd/>
              <w:textAlignment w:val="auto"/>
              <w:rPr>
                <w:rFonts w:cs="Arial"/>
                <w:sz w:val="20"/>
              </w:rPr>
            </w:pPr>
            <w:r>
              <w:rPr>
                <w:rFonts w:cs="Arial"/>
                <w:sz w:val="20"/>
              </w:rPr>
              <w:t xml:space="preserve">             4</w:t>
            </w:r>
          </w:p>
        </w:tc>
      </w:tr>
      <w:tr w:rsidR="002D2D7A"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2D2D7A" w:rsidRDefault="002D2D7A">
            <w:pPr>
              <w:overflowPunct/>
              <w:autoSpaceDE/>
              <w:autoSpaceDN/>
              <w:adjustRightInd/>
              <w:textAlignment w:val="auto"/>
              <w:rPr>
                <w:rFonts w:cs="Arial"/>
                <w:sz w:val="20"/>
              </w:rPr>
            </w:pPr>
            <w:r>
              <w:rPr>
                <w:rFonts w:cs="Arial"/>
                <w:sz w:val="20"/>
              </w:rPr>
              <w:t>IEC</w:t>
            </w:r>
            <w:r w:rsidR="009E0985">
              <w:rPr>
                <w:rFonts w:cs="Arial"/>
                <w:sz w:val="20"/>
              </w:rPr>
              <w:t xml:space="preserve"> only</w:t>
            </w:r>
          </w:p>
        </w:tc>
        <w:tc>
          <w:tcPr>
            <w:tcW w:w="1620" w:type="dxa"/>
            <w:tcBorders>
              <w:top w:val="nil"/>
              <w:left w:val="nil"/>
              <w:bottom w:val="single" w:sz="4" w:space="0" w:color="auto"/>
              <w:right w:val="single" w:sz="4" w:space="0" w:color="auto"/>
            </w:tcBorders>
            <w:shd w:val="clear" w:color="auto" w:fill="auto"/>
            <w:noWrap/>
            <w:vAlign w:val="bottom"/>
          </w:tcPr>
          <w:p w:rsidR="002D2D7A" w:rsidRDefault="002D2D7A" w:rsidP="00DD4EBC">
            <w:pPr>
              <w:overflowPunct/>
              <w:autoSpaceDE/>
              <w:autoSpaceDN/>
              <w:adjustRightInd/>
              <w:textAlignment w:val="auto"/>
              <w:rPr>
                <w:rFonts w:cs="Arial"/>
                <w:sz w:val="20"/>
              </w:rPr>
            </w:pPr>
            <w:r>
              <w:rPr>
                <w:rFonts w:cs="Arial"/>
                <w:sz w:val="20"/>
              </w:rPr>
              <w:t xml:space="preserve">           1</w:t>
            </w:r>
            <w:r w:rsidR="00DA51C1">
              <w:rPr>
                <w:rFonts w:cs="Arial"/>
                <w:sz w:val="20"/>
              </w:rPr>
              <w:t>0</w:t>
            </w:r>
          </w:p>
        </w:tc>
      </w:tr>
      <w:tr w:rsidR="002D2D7A"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2D2D7A" w:rsidRDefault="002D2D7A">
            <w:pPr>
              <w:overflowPunct/>
              <w:autoSpaceDE/>
              <w:autoSpaceDN/>
              <w:adjustRightInd/>
              <w:textAlignment w:val="auto"/>
              <w:rPr>
                <w:rFonts w:cs="Arial"/>
                <w:sz w:val="20"/>
              </w:rPr>
            </w:pPr>
            <w:r>
              <w:rPr>
                <w:rFonts w:cs="Arial"/>
                <w:sz w:val="20"/>
              </w:rPr>
              <w:t>IER</w:t>
            </w:r>
            <w:r w:rsidR="009E0985">
              <w:rPr>
                <w:rFonts w:cs="Arial"/>
                <w:sz w:val="20"/>
              </w:rPr>
              <w:t xml:space="preserve"> only</w:t>
            </w:r>
          </w:p>
        </w:tc>
        <w:tc>
          <w:tcPr>
            <w:tcW w:w="1620" w:type="dxa"/>
            <w:tcBorders>
              <w:top w:val="nil"/>
              <w:left w:val="nil"/>
              <w:bottom w:val="single" w:sz="4" w:space="0" w:color="auto"/>
              <w:right w:val="single" w:sz="4" w:space="0" w:color="auto"/>
            </w:tcBorders>
            <w:shd w:val="clear" w:color="auto" w:fill="auto"/>
            <w:noWrap/>
            <w:vAlign w:val="bottom"/>
          </w:tcPr>
          <w:p w:rsidR="002D2D7A" w:rsidRDefault="003A635F">
            <w:pPr>
              <w:overflowPunct/>
              <w:autoSpaceDE/>
              <w:autoSpaceDN/>
              <w:adjustRightInd/>
              <w:jc w:val="center"/>
              <w:textAlignment w:val="auto"/>
              <w:rPr>
                <w:rFonts w:cs="Arial"/>
                <w:sz w:val="20"/>
              </w:rPr>
            </w:pPr>
            <w:r>
              <w:rPr>
                <w:rFonts w:cs="Arial"/>
                <w:sz w:val="20"/>
              </w:rPr>
              <w:t>8</w:t>
            </w:r>
          </w:p>
        </w:tc>
      </w:tr>
      <w:tr w:rsidR="002D2D7A" w:rsidTr="00DD4EBC">
        <w:trPr>
          <w:trHeight w:val="255"/>
        </w:trPr>
        <w:tc>
          <w:tcPr>
            <w:tcW w:w="6660" w:type="dxa"/>
            <w:tcBorders>
              <w:top w:val="nil"/>
              <w:left w:val="single" w:sz="4" w:space="0" w:color="auto"/>
              <w:bottom w:val="single" w:sz="4" w:space="0" w:color="auto"/>
              <w:right w:val="single" w:sz="4" w:space="0" w:color="auto"/>
            </w:tcBorders>
            <w:shd w:val="clear" w:color="auto" w:fill="auto"/>
            <w:noWrap/>
            <w:vAlign w:val="bottom"/>
          </w:tcPr>
          <w:p w:rsidR="002D2D7A" w:rsidRDefault="002D2D7A">
            <w:pPr>
              <w:overflowPunct/>
              <w:autoSpaceDE/>
              <w:autoSpaceDN/>
              <w:adjustRightInd/>
              <w:textAlignment w:val="auto"/>
              <w:rPr>
                <w:rFonts w:cs="Arial"/>
                <w:sz w:val="20"/>
              </w:rPr>
            </w:pPr>
            <w:r>
              <w:rPr>
                <w:rFonts w:cs="Arial"/>
                <w:sz w:val="20"/>
              </w:rPr>
              <w:t>Radio Telephone Utility (RTU)</w:t>
            </w:r>
          </w:p>
        </w:tc>
        <w:tc>
          <w:tcPr>
            <w:tcW w:w="1620" w:type="dxa"/>
            <w:tcBorders>
              <w:top w:val="nil"/>
              <w:left w:val="nil"/>
              <w:bottom w:val="single" w:sz="4" w:space="0" w:color="auto"/>
              <w:right w:val="single" w:sz="4" w:space="0" w:color="auto"/>
            </w:tcBorders>
            <w:shd w:val="clear" w:color="auto" w:fill="auto"/>
            <w:noWrap/>
            <w:vAlign w:val="bottom"/>
          </w:tcPr>
          <w:p w:rsidR="002D2D7A" w:rsidRDefault="002D2D7A" w:rsidP="00977FCF">
            <w:pPr>
              <w:overflowPunct/>
              <w:autoSpaceDE/>
              <w:autoSpaceDN/>
              <w:adjustRightInd/>
              <w:jc w:val="center"/>
              <w:textAlignment w:val="auto"/>
              <w:rPr>
                <w:rFonts w:cs="Arial"/>
                <w:sz w:val="20"/>
              </w:rPr>
            </w:pPr>
            <w:r>
              <w:rPr>
                <w:rFonts w:cs="Arial"/>
                <w:sz w:val="20"/>
              </w:rPr>
              <w:t xml:space="preserve">1  </w:t>
            </w:r>
          </w:p>
        </w:tc>
      </w:tr>
      <w:tr w:rsidR="002D2D7A" w:rsidTr="002D2D7A">
        <w:trPr>
          <w:trHeight w:val="255"/>
        </w:trPr>
        <w:tc>
          <w:tcPr>
            <w:tcW w:w="6660" w:type="dxa"/>
            <w:tcBorders>
              <w:top w:val="double" w:sz="4" w:space="0" w:color="auto"/>
              <w:left w:val="single" w:sz="4" w:space="0" w:color="auto"/>
              <w:bottom w:val="single" w:sz="4" w:space="0" w:color="auto"/>
              <w:right w:val="single" w:sz="4" w:space="0" w:color="auto"/>
            </w:tcBorders>
            <w:shd w:val="clear" w:color="auto" w:fill="auto"/>
            <w:noWrap/>
            <w:vAlign w:val="bottom"/>
          </w:tcPr>
          <w:p w:rsidR="002D2D7A" w:rsidRDefault="002D2D7A">
            <w:pPr>
              <w:overflowPunct/>
              <w:autoSpaceDE/>
              <w:autoSpaceDN/>
              <w:adjustRightInd/>
              <w:textAlignment w:val="auto"/>
              <w:rPr>
                <w:rFonts w:cs="Arial"/>
                <w:b/>
                <w:bCs/>
                <w:sz w:val="20"/>
              </w:rPr>
            </w:pPr>
            <w:r>
              <w:rPr>
                <w:rFonts w:cs="Arial"/>
                <w:b/>
                <w:bCs/>
                <w:sz w:val="20"/>
              </w:rPr>
              <w:t>TOTAL</w:t>
            </w:r>
          </w:p>
        </w:tc>
        <w:tc>
          <w:tcPr>
            <w:tcW w:w="1620" w:type="dxa"/>
            <w:tcBorders>
              <w:top w:val="double" w:sz="4" w:space="0" w:color="auto"/>
              <w:left w:val="nil"/>
              <w:bottom w:val="single" w:sz="4" w:space="0" w:color="auto"/>
              <w:right w:val="single" w:sz="4" w:space="0" w:color="auto"/>
            </w:tcBorders>
            <w:shd w:val="clear" w:color="auto" w:fill="auto"/>
            <w:noWrap/>
            <w:vAlign w:val="bottom"/>
          </w:tcPr>
          <w:p w:rsidR="002D2D7A" w:rsidRDefault="00CF1F37">
            <w:pPr>
              <w:overflowPunct/>
              <w:autoSpaceDE/>
              <w:autoSpaceDN/>
              <w:adjustRightInd/>
              <w:jc w:val="center"/>
              <w:textAlignment w:val="auto"/>
              <w:rPr>
                <w:rFonts w:cs="Arial"/>
                <w:b/>
                <w:bCs/>
                <w:sz w:val="20"/>
              </w:rPr>
            </w:pPr>
            <w:r>
              <w:rPr>
                <w:rFonts w:cs="Arial"/>
                <w:b/>
                <w:bCs/>
                <w:sz w:val="20"/>
              </w:rPr>
              <w:t>4</w:t>
            </w:r>
            <w:r w:rsidR="003A635F">
              <w:rPr>
                <w:rFonts w:cs="Arial"/>
                <w:b/>
                <w:bCs/>
                <w:sz w:val="20"/>
              </w:rPr>
              <w:t>4</w:t>
            </w:r>
          </w:p>
        </w:tc>
      </w:tr>
    </w:tbl>
    <w:p w:rsidR="00B221EE" w:rsidRDefault="00B221EE">
      <w:pPr>
        <w:pStyle w:val="HTMLPreformatted"/>
        <w:rPr>
          <w:rFonts w:ascii="Palatino" w:hAnsi="Palatino"/>
          <w:sz w:val="24"/>
        </w:rPr>
      </w:pPr>
    </w:p>
    <w:p w:rsidR="00B221EE" w:rsidRDefault="00B221EE">
      <w:pPr>
        <w:pStyle w:val="HTMLPreformatted"/>
        <w:rPr>
          <w:rFonts w:ascii="Palatino" w:hAnsi="Palatino"/>
          <w:sz w:val="24"/>
        </w:rPr>
      </w:pPr>
      <w:r>
        <w:rPr>
          <w:rFonts w:ascii="Palatino" w:hAnsi="Palatino"/>
          <w:sz w:val="24"/>
        </w:rPr>
        <w:t xml:space="preserve">Of the </w:t>
      </w:r>
      <w:r w:rsidR="008A0EFD">
        <w:rPr>
          <w:rFonts w:ascii="Palatino" w:hAnsi="Palatino"/>
          <w:sz w:val="24"/>
        </w:rPr>
        <w:t>4</w:t>
      </w:r>
      <w:r w:rsidR="003A635F">
        <w:rPr>
          <w:rFonts w:ascii="Palatino" w:hAnsi="Palatino"/>
          <w:sz w:val="24"/>
        </w:rPr>
        <w:t>4</w:t>
      </w:r>
      <w:r w:rsidR="008A0EFD">
        <w:rPr>
          <w:rFonts w:ascii="Palatino" w:hAnsi="Palatino"/>
          <w:sz w:val="24"/>
        </w:rPr>
        <w:t xml:space="preserve"> </w:t>
      </w:r>
      <w:r>
        <w:rPr>
          <w:rFonts w:ascii="Palatino" w:hAnsi="Palatino"/>
          <w:sz w:val="24"/>
        </w:rPr>
        <w:t>carriers being proposed for revocation:</w:t>
      </w:r>
    </w:p>
    <w:p w:rsidR="00B221EE" w:rsidRDefault="00B221EE">
      <w:pPr>
        <w:pStyle w:val="HTMLPreformatted"/>
        <w:rPr>
          <w:rFonts w:ascii="Palatino" w:hAnsi="Palatino"/>
          <w:sz w:val="24"/>
        </w:rPr>
      </w:pPr>
      <w:r>
        <w:rPr>
          <w:rFonts w:ascii="Palatino" w:hAnsi="Palatino"/>
          <w:sz w:val="24"/>
        </w:rPr>
        <w:t xml:space="preserve">  </w:t>
      </w:r>
    </w:p>
    <w:p w:rsidR="004720C7" w:rsidRDefault="002D2D7A" w:rsidP="004720C7">
      <w:pPr>
        <w:pStyle w:val="HTMLPreformatted"/>
        <w:numPr>
          <w:ilvl w:val="0"/>
          <w:numId w:val="28"/>
        </w:numPr>
        <w:rPr>
          <w:rFonts w:ascii="Palatino" w:hAnsi="Palatino"/>
          <w:sz w:val="24"/>
        </w:rPr>
      </w:pPr>
      <w:r>
        <w:rPr>
          <w:rFonts w:ascii="Palatino" w:hAnsi="Palatino"/>
          <w:sz w:val="24"/>
        </w:rPr>
        <w:t xml:space="preserve">All </w:t>
      </w:r>
      <w:r w:rsidR="00CF1F37">
        <w:rPr>
          <w:rFonts w:ascii="Palatino" w:hAnsi="Palatino"/>
          <w:sz w:val="24"/>
        </w:rPr>
        <w:t>4</w:t>
      </w:r>
      <w:r w:rsidR="003A635F">
        <w:rPr>
          <w:rFonts w:ascii="Palatino" w:hAnsi="Palatino"/>
          <w:sz w:val="24"/>
        </w:rPr>
        <w:t>4</w:t>
      </w:r>
      <w:r w:rsidR="00CF1F37">
        <w:rPr>
          <w:rFonts w:ascii="Palatino" w:hAnsi="Palatino"/>
          <w:sz w:val="24"/>
        </w:rPr>
        <w:t xml:space="preserve"> </w:t>
      </w:r>
      <w:r w:rsidR="004720C7">
        <w:rPr>
          <w:rFonts w:ascii="Palatino" w:hAnsi="Palatino"/>
          <w:sz w:val="24"/>
        </w:rPr>
        <w:t>failed to report and remit surcharges</w:t>
      </w:r>
      <w:r w:rsidR="008A0EFD">
        <w:rPr>
          <w:rFonts w:ascii="Palatino" w:hAnsi="Palatino"/>
          <w:sz w:val="24"/>
        </w:rPr>
        <w:t xml:space="preserve"> and User Fees</w:t>
      </w:r>
      <w:r w:rsidR="00787604">
        <w:rPr>
          <w:rFonts w:ascii="Palatino" w:hAnsi="Palatino"/>
          <w:sz w:val="24"/>
        </w:rPr>
        <w:t>; and</w:t>
      </w:r>
    </w:p>
    <w:p w:rsidR="00B221EE" w:rsidRDefault="008A0EFD">
      <w:pPr>
        <w:pStyle w:val="HTMLPreformatted"/>
        <w:numPr>
          <w:ilvl w:val="0"/>
          <w:numId w:val="28"/>
        </w:numPr>
        <w:rPr>
          <w:rFonts w:ascii="Palatino" w:hAnsi="Palatino"/>
          <w:sz w:val="24"/>
        </w:rPr>
      </w:pPr>
      <w:r>
        <w:rPr>
          <w:rFonts w:ascii="Palatino" w:hAnsi="Palatino"/>
          <w:sz w:val="24"/>
        </w:rPr>
        <w:t>3</w:t>
      </w:r>
      <w:r w:rsidR="003A635F">
        <w:rPr>
          <w:rFonts w:ascii="Palatino" w:hAnsi="Palatino"/>
          <w:sz w:val="24"/>
        </w:rPr>
        <w:t>0</w:t>
      </w:r>
      <w:r w:rsidR="00CF1F37">
        <w:rPr>
          <w:rFonts w:ascii="Palatino" w:hAnsi="Palatino"/>
          <w:sz w:val="24"/>
        </w:rPr>
        <w:t xml:space="preserve"> </w:t>
      </w:r>
      <w:r w:rsidR="009671F3">
        <w:rPr>
          <w:rFonts w:ascii="Palatino" w:hAnsi="Palatino"/>
          <w:sz w:val="24"/>
        </w:rPr>
        <w:t xml:space="preserve">of </w:t>
      </w:r>
      <w:r w:rsidR="001C51F2">
        <w:rPr>
          <w:rFonts w:ascii="Palatino" w:hAnsi="Palatino"/>
          <w:sz w:val="24"/>
        </w:rPr>
        <w:t xml:space="preserve">44 </w:t>
      </w:r>
      <w:r w:rsidR="00E2426D">
        <w:rPr>
          <w:rFonts w:ascii="Palatino" w:hAnsi="Palatino"/>
          <w:sz w:val="24"/>
        </w:rPr>
        <w:t xml:space="preserve">also </w:t>
      </w:r>
      <w:r w:rsidR="00B221EE">
        <w:rPr>
          <w:rFonts w:ascii="Palatino" w:hAnsi="Palatino"/>
          <w:sz w:val="24"/>
        </w:rPr>
        <w:t xml:space="preserve">failed to </w:t>
      </w:r>
      <w:r w:rsidR="002D2D7A">
        <w:rPr>
          <w:rFonts w:ascii="Palatino" w:hAnsi="Palatino"/>
          <w:sz w:val="24"/>
        </w:rPr>
        <w:t>submit performance bonds</w:t>
      </w:r>
      <w:r w:rsidR="00672707">
        <w:rPr>
          <w:rFonts w:ascii="Palatino" w:hAnsi="Palatino"/>
          <w:sz w:val="24"/>
        </w:rPr>
        <w:t>.</w:t>
      </w:r>
      <w:r w:rsidR="00B221EE">
        <w:rPr>
          <w:rFonts w:ascii="Palatino" w:hAnsi="Palatino"/>
          <w:sz w:val="24"/>
        </w:rPr>
        <w:t xml:space="preserve"> </w:t>
      </w:r>
    </w:p>
    <w:p w:rsidR="00977FCF" w:rsidRDefault="00977FCF">
      <w:pPr>
        <w:pStyle w:val="HTMLPreformatted"/>
        <w:rPr>
          <w:rFonts w:ascii="Palatino" w:hAnsi="Palatino"/>
          <w:sz w:val="24"/>
        </w:rPr>
      </w:pPr>
    </w:p>
    <w:p w:rsidR="00B221EE" w:rsidRPr="00497217" w:rsidRDefault="00B221EE">
      <w:pPr>
        <w:pStyle w:val="HTMLPreformatted"/>
        <w:rPr>
          <w:rFonts w:ascii="Palatino" w:hAnsi="Palatino"/>
          <w:b/>
          <w:sz w:val="24"/>
        </w:rPr>
      </w:pPr>
      <w:r w:rsidRPr="00497217">
        <w:rPr>
          <w:rFonts w:ascii="Palatino" w:hAnsi="Palatino"/>
          <w:b/>
          <w:sz w:val="24"/>
        </w:rPr>
        <w:t>A.  User Fee</w:t>
      </w:r>
      <w:r w:rsidR="003B5C9C">
        <w:rPr>
          <w:rFonts w:ascii="Palatino" w:hAnsi="Palatino"/>
          <w:b/>
          <w:sz w:val="24"/>
        </w:rPr>
        <w:t>s</w:t>
      </w:r>
    </w:p>
    <w:p w:rsidR="00B221EE" w:rsidRDefault="00B221EE">
      <w:pPr>
        <w:pStyle w:val="HTMLPreformatted"/>
        <w:rPr>
          <w:rFonts w:ascii="Palatino" w:hAnsi="Palatino"/>
          <w:sz w:val="24"/>
        </w:rPr>
      </w:pPr>
    </w:p>
    <w:p w:rsidR="00B221EE" w:rsidRDefault="00B221EE">
      <w:pPr>
        <w:pStyle w:val="HTMLPreformatted"/>
        <w:rPr>
          <w:rFonts w:ascii="Palatino" w:hAnsi="Palatino"/>
          <w:sz w:val="24"/>
          <w:szCs w:val="24"/>
        </w:rPr>
      </w:pPr>
      <w:r>
        <w:rPr>
          <w:rFonts w:ascii="Palatino" w:hAnsi="Palatino"/>
          <w:sz w:val="24"/>
          <w:szCs w:val="24"/>
        </w:rPr>
        <w:t xml:space="preserve">Under PU Code </w:t>
      </w:r>
      <w:r w:rsidR="0000435C">
        <w:rPr>
          <w:rFonts w:ascii="Palatino" w:hAnsi="Palatino"/>
          <w:sz w:val="24"/>
          <w:szCs w:val="24"/>
        </w:rPr>
        <w:t>§</w:t>
      </w:r>
      <w:r>
        <w:rPr>
          <w:rFonts w:ascii="Palatino" w:hAnsi="Palatino"/>
          <w:sz w:val="24"/>
          <w:szCs w:val="24"/>
        </w:rPr>
        <w:t xml:space="preserve"> 405, carriers that are in default of reporting and submitting </w:t>
      </w:r>
      <w:r w:rsidR="00787604">
        <w:rPr>
          <w:rFonts w:ascii="Palatino" w:hAnsi="Palatino"/>
          <w:sz w:val="24"/>
          <w:szCs w:val="24"/>
        </w:rPr>
        <w:t>U</w:t>
      </w:r>
      <w:r w:rsidR="003B5C9C">
        <w:rPr>
          <w:rFonts w:ascii="Palatino" w:hAnsi="Palatino"/>
          <w:sz w:val="24"/>
          <w:szCs w:val="24"/>
        </w:rPr>
        <w:t xml:space="preserve">ser </w:t>
      </w:r>
      <w:r w:rsidR="00787604">
        <w:rPr>
          <w:rFonts w:ascii="Palatino" w:hAnsi="Palatino"/>
          <w:sz w:val="24"/>
          <w:szCs w:val="24"/>
        </w:rPr>
        <w:t>F</w:t>
      </w:r>
      <w:r>
        <w:rPr>
          <w:rFonts w:ascii="Palatino" w:hAnsi="Palatino"/>
          <w:sz w:val="24"/>
          <w:szCs w:val="24"/>
        </w:rPr>
        <w:t>ees for a period of 30 days or more will be subject to penalties including suspension or revocation of their authority to operate in California</w:t>
      </w:r>
      <w:r w:rsidR="00211473">
        <w:rPr>
          <w:rFonts w:ascii="Palatino" w:hAnsi="Palatino"/>
          <w:sz w:val="24"/>
          <w:szCs w:val="24"/>
        </w:rPr>
        <w:t>, with all fees in default due and payable immediately.</w:t>
      </w:r>
      <w:r>
        <w:rPr>
          <w:rFonts w:ascii="Palatino" w:hAnsi="Palatino"/>
          <w:sz w:val="24"/>
          <w:szCs w:val="24"/>
        </w:rPr>
        <w:t xml:space="preserve"> </w:t>
      </w:r>
    </w:p>
    <w:p w:rsidR="00B221EE" w:rsidRDefault="00B221EE">
      <w:pPr>
        <w:pStyle w:val="HTMLPreformatted"/>
        <w:rPr>
          <w:rFonts w:ascii="Palatino" w:hAnsi="Palatino"/>
          <w:sz w:val="24"/>
          <w:szCs w:val="24"/>
        </w:rPr>
      </w:pPr>
    </w:p>
    <w:p w:rsidR="00B221EE" w:rsidRDefault="00787604">
      <w:pPr>
        <w:pStyle w:val="HTMLPreformatted"/>
        <w:rPr>
          <w:rFonts w:ascii="Palatino" w:hAnsi="Palatino"/>
          <w:sz w:val="24"/>
        </w:rPr>
      </w:pPr>
      <w:r>
        <w:rPr>
          <w:rFonts w:ascii="Palatino" w:hAnsi="Palatino"/>
          <w:sz w:val="24"/>
        </w:rPr>
        <w:t>CD</w:t>
      </w:r>
      <w:r w:rsidR="00B221EE">
        <w:rPr>
          <w:rFonts w:ascii="Palatino" w:hAnsi="Palatino"/>
          <w:sz w:val="24"/>
        </w:rPr>
        <w:t xml:space="preserve"> </w:t>
      </w:r>
      <w:r w:rsidR="00F33BFC">
        <w:rPr>
          <w:rFonts w:ascii="Palatino" w:hAnsi="Palatino"/>
          <w:sz w:val="24"/>
        </w:rPr>
        <w:t xml:space="preserve">annually </w:t>
      </w:r>
      <w:r w:rsidR="00B221EE">
        <w:rPr>
          <w:rFonts w:ascii="Palatino" w:hAnsi="Palatino"/>
          <w:sz w:val="24"/>
        </w:rPr>
        <w:t xml:space="preserve">notifies </w:t>
      </w:r>
      <w:r w:rsidR="00F33BFC">
        <w:rPr>
          <w:rFonts w:ascii="Palatino" w:hAnsi="Palatino"/>
          <w:sz w:val="24"/>
        </w:rPr>
        <w:t xml:space="preserve">and reminds </w:t>
      </w:r>
      <w:r w:rsidR="00B221EE">
        <w:rPr>
          <w:rFonts w:ascii="Palatino" w:hAnsi="Palatino"/>
          <w:sz w:val="24"/>
        </w:rPr>
        <w:t xml:space="preserve">carriers </w:t>
      </w:r>
      <w:r w:rsidR="00F33BFC">
        <w:rPr>
          <w:rFonts w:ascii="Palatino" w:hAnsi="Palatino"/>
          <w:sz w:val="24"/>
        </w:rPr>
        <w:t>of the User Fee requi</w:t>
      </w:r>
      <w:r w:rsidR="0000435C">
        <w:rPr>
          <w:rFonts w:ascii="Palatino" w:hAnsi="Palatino"/>
          <w:sz w:val="24"/>
        </w:rPr>
        <w:t>r</w:t>
      </w:r>
      <w:r w:rsidR="00F33BFC">
        <w:rPr>
          <w:rFonts w:ascii="Palatino" w:hAnsi="Palatino"/>
          <w:sz w:val="24"/>
        </w:rPr>
        <w:t>ement.</w:t>
      </w:r>
      <w:r w:rsidR="0000435C">
        <w:rPr>
          <w:rFonts w:ascii="Palatino" w:hAnsi="Palatino"/>
          <w:sz w:val="24"/>
        </w:rPr>
        <w:t xml:space="preserve">  </w:t>
      </w:r>
      <w:r w:rsidR="00B221EE">
        <w:rPr>
          <w:rFonts w:ascii="Palatino" w:hAnsi="Palatino"/>
          <w:sz w:val="24"/>
        </w:rPr>
        <w:t xml:space="preserve">CD’s review of the </w:t>
      </w:r>
      <w:r>
        <w:rPr>
          <w:rFonts w:ascii="Palatino" w:hAnsi="Palatino"/>
          <w:sz w:val="24"/>
        </w:rPr>
        <w:t>U</w:t>
      </w:r>
      <w:r w:rsidR="00B221EE">
        <w:rPr>
          <w:rFonts w:ascii="Palatino" w:hAnsi="Palatino"/>
          <w:sz w:val="24"/>
        </w:rPr>
        <w:t xml:space="preserve">ser </w:t>
      </w:r>
      <w:r>
        <w:rPr>
          <w:rFonts w:ascii="Palatino" w:hAnsi="Palatino"/>
          <w:sz w:val="24"/>
        </w:rPr>
        <w:t>F</w:t>
      </w:r>
      <w:r w:rsidR="00B221EE">
        <w:rPr>
          <w:rFonts w:ascii="Palatino" w:hAnsi="Palatino"/>
          <w:sz w:val="24"/>
        </w:rPr>
        <w:t xml:space="preserve">ee database </w:t>
      </w:r>
      <w:r w:rsidR="00CF1F37">
        <w:rPr>
          <w:rFonts w:ascii="Palatino" w:hAnsi="Palatino"/>
          <w:sz w:val="24"/>
        </w:rPr>
        <w:t xml:space="preserve">demonstrated </w:t>
      </w:r>
      <w:r w:rsidR="00B221EE">
        <w:rPr>
          <w:rFonts w:ascii="Palatino" w:hAnsi="Palatino"/>
          <w:sz w:val="24"/>
        </w:rPr>
        <w:t xml:space="preserve">that </w:t>
      </w:r>
      <w:r w:rsidR="00CF1F37">
        <w:rPr>
          <w:rFonts w:ascii="Palatino" w:hAnsi="Palatino"/>
          <w:sz w:val="24"/>
        </w:rPr>
        <w:t xml:space="preserve">all </w:t>
      </w:r>
      <w:r w:rsidR="001C51F2">
        <w:rPr>
          <w:rFonts w:ascii="Palatino" w:hAnsi="Palatino"/>
          <w:sz w:val="24"/>
        </w:rPr>
        <w:t xml:space="preserve">44 </w:t>
      </w:r>
      <w:r w:rsidR="00B221EE">
        <w:rPr>
          <w:rFonts w:ascii="Palatino" w:hAnsi="Palatino"/>
          <w:sz w:val="24"/>
        </w:rPr>
        <w:t>carriers have failed to comply with this requirement.</w:t>
      </w:r>
    </w:p>
    <w:p w:rsidR="0011009F" w:rsidRDefault="0011009F">
      <w:pPr>
        <w:pStyle w:val="HTMLPreformatted"/>
        <w:rPr>
          <w:rFonts w:ascii="Palatino" w:hAnsi="Palatino"/>
          <w:sz w:val="24"/>
        </w:rPr>
      </w:pPr>
    </w:p>
    <w:p w:rsidR="0011009F" w:rsidRDefault="0011009F">
      <w:pPr>
        <w:pStyle w:val="HTMLPreformatted"/>
        <w:rPr>
          <w:rFonts w:ascii="Palatino" w:hAnsi="Palatino"/>
          <w:sz w:val="24"/>
        </w:rPr>
      </w:pPr>
    </w:p>
    <w:p w:rsidR="0011009F" w:rsidRDefault="0011009F">
      <w:pPr>
        <w:pStyle w:val="HTMLPreformatted"/>
        <w:rPr>
          <w:rFonts w:ascii="Palatino" w:hAnsi="Palatino"/>
          <w:sz w:val="24"/>
        </w:rPr>
      </w:pPr>
    </w:p>
    <w:p w:rsidR="003A635F" w:rsidRDefault="003A635F">
      <w:pPr>
        <w:pStyle w:val="HTMLPreformatted"/>
        <w:rPr>
          <w:rFonts w:ascii="Palatino" w:hAnsi="Palatino"/>
          <w:b/>
          <w:sz w:val="24"/>
        </w:rPr>
      </w:pPr>
    </w:p>
    <w:p w:rsidR="00B221EE" w:rsidRPr="00497217" w:rsidRDefault="00B221EE">
      <w:pPr>
        <w:pStyle w:val="HTMLPreformatted"/>
        <w:rPr>
          <w:rFonts w:ascii="Palatino" w:hAnsi="Palatino"/>
          <w:b/>
          <w:sz w:val="24"/>
        </w:rPr>
      </w:pPr>
      <w:r w:rsidRPr="00497217">
        <w:rPr>
          <w:rFonts w:ascii="Palatino" w:hAnsi="Palatino"/>
          <w:b/>
          <w:sz w:val="24"/>
        </w:rPr>
        <w:t xml:space="preserve">B.  </w:t>
      </w:r>
      <w:r w:rsidR="00F33BFC">
        <w:rPr>
          <w:rFonts w:ascii="Palatino" w:hAnsi="Palatino"/>
          <w:b/>
          <w:sz w:val="24"/>
        </w:rPr>
        <w:t xml:space="preserve">Public Purpose Program </w:t>
      </w:r>
      <w:r w:rsidRPr="00497217">
        <w:rPr>
          <w:rFonts w:ascii="Palatino" w:hAnsi="Palatino"/>
          <w:b/>
          <w:sz w:val="24"/>
        </w:rPr>
        <w:t>Surcharge</w:t>
      </w:r>
      <w:r w:rsidR="00F33BFC">
        <w:rPr>
          <w:rFonts w:ascii="Palatino" w:hAnsi="Palatino"/>
          <w:b/>
          <w:sz w:val="24"/>
        </w:rPr>
        <w:t>s</w:t>
      </w:r>
    </w:p>
    <w:p w:rsidR="00B221EE" w:rsidRDefault="00B221EE">
      <w:pPr>
        <w:pStyle w:val="HTMLPreformatted"/>
        <w:rPr>
          <w:rFonts w:ascii="Palatino" w:hAnsi="Palatino"/>
          <w:sz w:val="24"/>
        </w:rPr>
      </w:pPr>
    </w:p>
    <w:p w:rsidR="00B221EE" w:rsidRPr="00F10A10" w:rsidRDefault="004C3CA1">
      <w:pPr>
        <w:pStyle w:val="HTMLPreformatted"/>
        <w:rPr>
          <w:rFonts w:ascii="Palatino" w:hAnsi="Palatino"/>
          <w:sz w:val="24"/>
        </w:rPr>
      </w:pPr>
      <w:r w:rsidRPr="00F10A10">
        <w:rPr>
          <w:rFonts w:ascii="Palatino" w:hAnsi="Palatino"/>
          <w:sz w:val="24"/>
        </w:rPr>
        <w:t xml:space="preserve">CD notified </w:t>
      </w:r>
      <w:r w:rsidR="00F10A10" w:rsidRPr="00F10A10">
        <w:rPr>
          <w:rFonts w:ascii="Palatino" w:hAnsi="Palatino"/>
          <w:sz w:val="24"/>
        </w:rPr>
        <w:t xml:space="preserve">the subject </w:t>
      </w:r>
      <w:r w:rsidRPr="00F10A10">
        <w:rPr>
          <w:rFonts w:ascii="Palatino" w:hAnsi="Palatino"/>
          <w:sz w:val="24"/>
        </w:rPr>
        <w:t>c</w:t>
      </w:r>
      <w:r w:rsidR="00B221EE" w:rsidRPr="00F10A10">
        <w:rPr>
          <w:rFonts w:ascii="Palatino" w:hAnsi="Palatino"/>
          <w:sz w:val="24"/>
        </w:rPr>
        <w:t xml:space="preserve">arriers on numerous </w:t>
      </w:r>
      <w:r w:rsidR="00B221EE" w:rsidRPr="00F10A10">
        <w:rPr>
          <w:rFonts w:ascii="Palatino" w:hAnsi="Palatino" w:hint="eastAsia"/>
          <w:sz w:val="24"/>
        </w:rPr>
        <w:t>occasions</w:t>
      </w:r>
      <w:r w:rsidR="00C93576">
        <w:rPr>
          <w:rFonts w:ascii="Palatino" w:hAnsi="Palatino"/>
          <w:sz w:val="24"/>
        </w:rPr>
        <w:t xml:space="preserve"> of the requirement</w:t>
      </w:r>
      <w:r w:rsidR="00B221EE" w:rsidRPr="00F10A10">
        <w:rPr>
          <w:rFonts w:ascii="Palatino" w:hAnsi="Palatino"/>
          <w:sz w:val="24"/>
        </w:rPr>
        <w:t xml:space="preserve"> </w:t>
      </w:r>
      <w:r w:rsidR="00C93576">
        <w:rPr>
          <w:rFonts w:ascii="Palatino" w:hAnsi="Palatino"/>
          <w:sz w:val="24"/>
        </w:rPr>
        <w:t>to report intrastate revenue</w:t>
      </w:r>
      <w:r w:rsidR="00240103">
        <w:rPr>
          <w:rFonts w:ascii="Palatino" w:hAnsi="Palatino"/>
          <w:sz w:val="24"/>
        </w:rPr>
        <w:t>s</w:t>
      </w:r>
      <w:r w:rsidR="00C93576">
        <w:rPr>
          <w:rFonts w:ascii="Palatino" w:hAnsi="Palatino"/>
          <w:sz w:val="24"/>
        </w:rPr>
        <w:t xml:space="preserve"> and pay</w:t>
      </w:r>
      <w:r w:rsidR="00C93576" w:rsidRPr="00F10A10">
        <w:rPr>
          <w:rFonts w:ascii="Palatino" w:hAnsi="Palatino"/>
          <w:sz w:val="24"/>
        </w:rPr>
        <w:t xml:space="preserve"> </w:t>
      </w:r>
      <w:r w:rsidR="00C93576">
        <w:rPr>
          <w:rFonts w:ascii="Palatino" w:hAnsi="Palatino"/>
          <w:sz w:val="24"/>
        </w:rPr>
        <w:t>resulting</w:t>
      </w:r>
      <w:r w:rsidR="00C93576" w:rsidRPr="00F10A10">
        <w:rPr>
          <w:rFonts w:ascii="Palatino" w:hAnsi="Palatino"/>
          <w:sz w:val="24"/>
        </w:rPr>
        <w:t xml:space="preserve"> public program surcharges</w:t>
      </w:r>
      <w:r w:rsidR="00C93576" w:rsidRPr="00F10A10" w:rsidDel="00C93576">
        <w:rPr>
          <w:rFonts w:ascii="Palatino" w:hAnsi="Palatino"/>
          <w:sz w:val="24"/>
        </w:rPr>
        <w:t xml:space="preserve"> </w:t>
      </w:r>
      <w:r w:rsidR="00C93576">
        <w:rPr>
          <w:rFonts w:ascii="Palatino" w:hAnsi="Palatino"/>
          <w:sz w:val="24"/>
        </w:rPr>
        <w:t>through</w:t>
      </w:r>
      <w:r w:rsidR="00B221EE" w:rsidRPr="00F10A10">
        <w:rPr>
          <w:rFonts w:ascii="Palatino" w:hAnsi="Palatino"/>
          <w:sz w:val="24"/>
        </w:rPr>
        <w:t xml:space="preserve"> the Commission’s </w:t>
      </w:r>
      <w:r w:rsidR="004A36DD">
        <w:rPr>
          <w:rFonts w:ascii="Palatino" w:hAnsi="Palatino"/>
          <w:sz w:val="24"/>
        </w:rPr>
        <w:t>Tele</w:t>
      </w:r>
      <w:r w:rsidR="003A635F">
        <w:rPr>
          <w:rFonts w:ascii="Palatino" w:hAnsi="Palatino"/>
          <w:sz w:val="24"/>
        </w:rPr>
        <w:t>communications</w:t>
      </w:r>
      <w:r w:rsidR="00B221EE" w:rsidRPr="00F10A10">
        <w:rPr>
          <w:rFonts w:ascii="Palatino" w:hAnsi="Palatino"/>
          <w:sz w:val="24"/>
        </w:rPr>
        <w:t xml:space="preserve"> and User Fee</w:t>
      </w:r>
      <w:r w:rsidR="001A4534">
        <w:rPr>
          <w:rFonts w:ascii="Palatino" w:hAnsi="Palatino"/>
          <w:sz w:val="24"/>
        </w:rPr>
        <w:t>s</w:t>
      </w:r>
      <w:r w:rsidR="00B221EE" w:rsidRPr="00F10A10">
        <w:rPr>
          <w:rFonts w:ascii="Palatino" w:hAnsi="Palatino"/>
          <w:sz w:val="24"/>
        </w:rPr>
        <w:t xml:space="preserve"> Filing System (TUFFS</w:t>
      </w:r>
      <w:r w:rsidR="00BE0F64">
        <w:rPr>
          <w:rFonts w:ascii="Palatino" w:hAnsi="Palatino"/>
          <w:sz w:val="24"/>
        </w:rPr>
        <w:t>)</w:t>
      </w:r>
      <w:r w:rsidR="00B221EE" w:rsidRPr="00F10A10">
        <w:rPr>
          <w:rFonts w:ascii="Palatino" w:hAnsi="Palatino"/>
          <w:sz w:val="24"/>
        </w:rPr>
        <w:t xml:space="preserve">.  </w:t>
      </w:r>
    </w:p>
    <w:p w:rsidR="00045E55" w:rsidRPr="00F10A10" w:rsidRDefault="00045E55">
      <w:pPr>
        <w:pStyle w:val="HTMLPreformatted"/>
        <w:rPr>
          <w:rFonts w:ascii="Palatino" w:hAnsi="Palatino"/>
          <w:sz w:val="24"/>
        </w:rPr>
      </w:pPr>
    </w:p>
    <w:p w:rsidR="00D673DB" w:rsidRPr="00F10A10" w:rsidRDefault="00594D05" w:rsidP="00D673DB">
      <w:pPr>
        <w:pStyle w:val="HTMLPreformatted"/>
        <w:rPr>
          <w:rFonts w:ascii="Palatino" w:hAnsi="Palatino"/>
          <w:sz w:val="24"/>
        </w:rPr>
      </w:pPr>
      <w:r>
        <w:rPr>
          <w:rFonts w:ascii="Palatino" w:hAnsi="Palatino"/>
          <w:sz w:val="24"/>
        </w:rPr>
        <w:t>Beginning mid-2013</w:t>
      </w:r>
      <w:r w:rsidR="00045E55" w:rsidRPr="00F10A10">
        <w:rPr>
          <w:rFonts w:ascii="Palatino" w:hAnsi="Palatino"/>
          <w:sz w:val="24"/>
        </w:rPr>
        <w:t xml:space="preserve"> </w:t>
      </w:r>
      <w:r>
        <w:rPr>
          <w:rFonts w:ascii="Palatino" w:hAnsi="Palatino"/>
          <w:sz w:val="24"/>
        </w:rPr>
        <w:t>through mid-</w:t>
      </w:r>
      <w:r w:rsidR="00045E55" w:rsidRPr="00F10A10">
        <w:rPr>
          <w:rFonts w:ascii="Palatino" w:hAnsi="Palatino"/>
          <w:sz w:val="24"/>
        </w:rPr>
        <w:t xml:space="preserve">2015, CD </w:t>
      </w:r>
      <w:r>
        <w:rPr>
          <w:rFonts w:ascii="Palatino" w:hAnsi="Palatino"/>
          <w:sz w:val="24"/>
        </w:rPr>
        <w:t xml:space="preserve">staff </w:t>
      </w:r>
      <w:r w:rsidR="00045E55" w:rsidRPr="00F10A10">
        <w:rPr>
          <w:rFonts w:ascii="Palatino" w:hAnsi="Palatino"/>
          <w:sz w:val="24"/>
        </w:rPr>
        <w:t xml:space="preserve">identified and contacted active carriers that failed to report </w:t>
      </w:r>
      <w:r w:rsidR="00F33BFC">
        <w:rPr>
          <w:rFonts w:ascii="Palatino" w:hAnsi="Palatino"/>
          <w:sz w:val="24"/>
        </w:rPr>
        <w:t>and remit surcharge revenues.</w:t>
      </w:r>
      <w:r w:rsidR="00045E55" w:rsidRPr="00F10A10">
        <w:rPr>
          <w:rFonts w:ascii="Palatino" w:hAnsi="Palatino"/>
          <w:sz w:val="24"/>
        </w:rPr>
        <w:t xml:space="preserve">  </w:t>
      </w:r>
      <w:r>
        <w:rPr>
          <w:rFonts w:ascii="Palatino" w:hAnsi="Palatino"/>
          <w:sz w:val="24"/>
        </w:rPr>
        <w:t>Upon being contacted, a number of carriers began to report and pay surcharges accordingly.  CD staff</w:t>
      </w:r>
      <w:r w:rsidR="00D673DB">
        <w:rPr>
          <w:rFonts w:ascii="Palatino" w:hAnsi="Palatino"/>
          <w:sz w:val="24"/>
        </w:rPr>
        <w:t xml:space="preserve"> then continued to periodically review</w:t>
      </w:r>
      <w:r w:rsidR="00D673DB" w:rsidRPr="00F10A10">
        <w:rPr>
          <w:rFonts w:ascii="Palatino" w:hAnsi="Palatino"/>
          <w:sz w:val="24"/>
        </w:rPr>
        <w:t xml:space="preserve"> the TUFFS database to identify </w:t>
      </w:r>
      <w:r w:rsidR="00D673DB">
        <w:rPr>
          <w:rFonts w:ascii="Palatino" w:hAnsi="Palatino"/>
          <w:sz w:val="24"/>
        </w:rPr>
        <w:t xml:space="preserve">carriers for </w:t>
      </w:r>
      <w:r w:rsidR="00BE0F64">
        <w:rPr>
          <w:rFonts w:ascii="Palatino" w:hAnsi="Palatino"/>
          <w:sz w:val="24"/>
        </w:rPr>
        <w:t xml:space="preserve">continuing </w:t>
      </w:r>
      <w:r w:rsidR="00D673DB">
        <w:rPr>
          <w:rFonts w:ascii="Palatino" w:hAnsi="Palatino"/>
          <w:sz w:val="24"/>
        </w:rPr>
        <w:t>compliance</w:t>
      </w:r>
      <w:r w:rsidR="00BE0F64">
        <w:rPr>
          <w:rFonts w:ascii="Palatino" w:hAnsi="Palatino"/>
          <w:sz w:val="24"/>
        </w:rPr>
        <w:t>,</w:t>
      </w:r>
      <w:r w:rsidR="00D673DB" w:rsidRPr="00F10A10">
        <w:rPr>
          <w:rFonts w:ascii="Palatino" w:hAnsi="Palatino"/>
          <w:sz w:val="24"/>
        </w:rPr>
        <w:t xml:space="preserve"> and sent corresponding notice letters via </w:t>
      </w:r>
      <w:r w:rsidR="00240103">
        <w:rPr>
          <w:rFonts w:ascii="Palatino" w:hAnsi="Palatino"/>
          <w:sz w:val="24"/>
        </w:rPr>
        <w:t xml:space="preserve">U.S. </w:t>
      </w:r>
      <w:r w:rsidR="00D673DB" w:rsidRPr="00F10A10">
        <w:rPr>
          <w:rFonts w:ascii="Palatino" w:hAnsi="Palatino"/>
          <w:sz w:val="24"/>
        </w:rPr>
        <w:t xml:space="preserve">mail and e-mail to </w:t>
      </w:r>
      <w:r w:rsidR="00240103">
        <w:rPr>
          <w:rFonts w:ascii="Palatino" w:hAnsi="Palatino"/>
          <w:sz w:val="24"/>
        </w:rPr>
        <w:t>the</w:t>
      </w:r>
      <w:r w:rsidR="00240103" w:rsidRPr="00F10A10">
        <w:rPr>
          <w:rFonts w:ascii="Palatino" w:hAnsi="Palatino"/>
          <w:sz w:val="24"/>
        </w:rPr>
        <w:t xml:space="preserve"> </w:t>
      </w:r>
      <w:r w:rsidR="00D673DB" w:rsidRPr="00F10A10">
        <w:rPr>
          <w:rFonts w:ascii="Palatino" w:hAnsi="Palatino"/>
          <w:sz w:val="24"/>
        </w:rPr>
        <w:t>carrier</w:t>
      </w:r>
      <w:r w:rsidR="00240103">
        <w:rPr>
          <w:rFonts w:ascii="Palatino" w:hAnsi="Palatino"/>
          <w:sz w:val="24"/>
        </w:rPr>
        <w:t>s</w:t>
      </w:r>
      <w:r w:rsidR="00BE0F64">
        <w:rPr>
          <w:rFonts w:ascii="Palatino" w:hAnsi="Palatino"/>
          <w:sz w:val="24"/>
        </w:rPr>
        <w:t xml:space="preserve"> </w:t>
      </w:r>
      <w:r w:rsidR="00240103">
        <w:rPr>
          <w:rFonts w:ascii="Palatino" w:hAnsi="Palatino"/>
          <w:sz w:val="24"/>
        </w:rPr>
        <w:t>that failed to comply</w:t>
      </w:r>
      <w:r w:rsidR="00BE0F64">
        <w:rPr>
          <w:rFonts w:ascii="Palatino" w:hAnsi="Palatino"/>
          <w:sz w:val="24"/>
        </w:rPr>
        <w:t xml:space="preserve"> with </w:t>
      </w:r>
      <w:r w:rsidR="00240103">
        <w:rPr>
          <w:rFonts w:ascii="Palatino" w:hAnsi="Palatino"/>
          <w:sz w:val="24"/>
        </w:rPr>
        <w:t xml:space="preserve">the </w:t>
      </w:r>
      <w:r w:rsidR="00F33BFC">
        <w:rPr>
          <w:rFonts w:ascii="Palatino" w:hAnsi="Palatino"/>
          <w:sz w:val="24"/>
        </w:rPr>
        <w:t>surcharge</w:t>
      </w:r>
      <w:r w:rsidR="00BE0F64">
        <w:rPr>
          <w:rFonts w:ascii="Palatino" w:hAnsi="Palatino"/>
          <w:sz w:val="24"/>
        </w:rPr>
        <w:t xml:space="preserve"> requirement</w:t>
      </w:r>
      <w:r w:rsidR="00D673DB" w:rsidRPr="00F10A10">
        <w:rPr>
          <w:rFonts w:ascii="Palatino" w:hAnsi="Palatino"/>
          <w:sz w:val="24"/>
        </w:rPr>
        <w:t xml:space="preserve">.  Staff </w:t>
      </w:r>
      <w:r w:rsidR="00240103">
        <w:rPr>
          <w:rFonts w:ascii="Palatino" w:hAnsi="Palatino"/>
          <w:sz w:val="24"/>
        </w:rPr>
        <w:t xml:space="preserve">also </w:t>
      </w:r>
      <w:r w:rsidR="00D673DB" w:rsidRPr="00F10A10">
        <w:rPr>
          <w:rFonts w:ascii="Palatino" w:hAnsi="Palatino"/>
          <w:sz w:val="24"/>
        </w:rPr>
        <w:t xml:space="preserve">sent follow-up notices to </w:t>
      </w:r>
      <w:r w:rsidR="00240103">
        <w:rPr>
          <w:rFonts w:ascii="Palatino" w:hAnsi="Palatino"/>
          <w:sz w:val="24"/>
        </w:rPr>
        <w:t xml:space="preserve">these </w:t>
      </w:r>
      <w:r w:rsidR="00D673DB" w:rsidRPr="00F10A10">
        <w:rPr>
          <w:rFonts w:ascii="Palatino" w:hAnsi="Palatino"/>
          <w:sz w:val="24"/>
        </w:rPr>
        <w:t>carriers.</w:t>
      </w:r>
    </w:p>
    <w:p w:rsidR="00594D05" w:rsidRPr="00F10A10" w:rsidRDefault="00594D05" w:rsidP="00594D05">
      <w:pPr>
        <w:pStyle w:val="HTMLPreformatted"/>
        <w:rPr>
          <w:rFonts w:ascii="Palatino" w:hAnsi="Palatino"/>
          <w:sz w:val="24"/>
        </w:rPr>
      </w:pPr>
    </w:p>
    <w:p w:rsidR="00261060" w:rsidRDefault="00B221FF" w:rsidP="00261060">
      <w:pPr>
        <w:pStyle w:val="HTMLPreformatted"/>
        <w:rPr>
          <w:rFonts w:ascii="Palatino" w:hAnsi="Palatino"/>
          <w:sz w:val="24"/>
        </w:rPr>
      </w:pPr>
      <w:r w:rsidRPr="00F10A10">
        <w:rPr>
          <w:rFonts w:ascii="Palatino" w:hAnsi="Palatino"/>
          <w:sz w:val="24"/>
        </w:rPr>
        <w:t xml:space="preserve">The first round of mailings to </w:t>
      </w:r>
      <w:r w:rsidR="00261060">
        <w:rPr>
          <w:rFonts w:ascii="Palatino" w:hAnsi="Palatino"/>
          <w:sz w:val="24"/>
        </w:rPr>
        <w:t>non-</w:t>
      </w:r>
      <w:r w:rsidR="00240103">
        <w:rPr>
          <w:rFonts w:ascii="Palatino" w:hAnsi="Palatino"/>
          <w:sz w:val="24"/>
        </w:rPr>
        <w:t xml:space="preserve">compliant </w:t>
      </w:r>
      <w:r w:rsidRPr="00F10A10">
        <w:rPr>
          <w:rFonts w:ascii="Palatino" w:hAnsi="Palatino"/>
          <w:sz w:val="24"/>
        </w:rPr>
        <w:t xml:space="preserve">carriers </w:t>
      </w:r>
      <w:r w:rsidR="00261060">
        <w:rPr>
          <w:rFonts w:ascii="Palatino" w:hAnsi="Palatino"/>
          <w:sz w:val="24"/>
        </w:rPr>
        <w:t>occurred</w:t>
      </w:r>
      <w:r w:rsidRPr="00F10A10">
        <w:rPr>
          <w:rFonts w:ascii="Palatino" w:hAnsi="Palatino"/>
          <w:sz w:val="24"/>
        </w:rPr>
        <w:t xml:space="preserve"> July 3, 2013 </w:t>
      </w:r>
      <w:r w:rsidR="00672707">
        <w:rPr>
          <w:rFonts w:ascii="Palatino" w:hAnsi="Palatino"/>
          <w:sz w:val="24"/>
        </w:rPr>
        <w:t xml:space="preserve">through </w:t>
      </w:r>
      <w:r w:rsidRPr="00F10A10">
        <w:rPr>
          <w:rFonts w:ascii="Palatino" w:hAnsi="Palatino"/>
          <w:sz w:val="24"/>
        </w:rPr>
        <w:t xml:space="preserve">July 8, 2013.  CD staff </w:t>
      </w:r>
      <w:r w:rsidR="00261060">
        <w:rPr>
          <w:rFonts w:ascii="Palatino" w:hAnsi="Palatino"/>
          <w:sz w:val="24"/>
        </w:rPr>
        <w:t xml:space="preserve">continued to monitor </w:t>
      </w:r>
      <w:r w:rsidR="00240103">
        <w:rPr>
          <w:rFonts w:ascii="Palatino" w:hAnsi="Palatino"/>
          <w:sz w:val="24"/>
        </w:rPr>
        <w:t xml:space="preserve">these </w:t>
      </w:r>
      <w:r w:rsidR="00261060">
        <w:rPr>
          <w:rFonts w:ascii="Palatino" w:hAnsi="Palatino"/>
          <w:sz w:val="24"/>
        </w:rPr>
        <w:t xml:space="preserve">carriers, and </w:t>
      </w:r>
      <w:r w:rsidRPr="00F10A10">
        <w:rPr>
          <w:rFonts w:ascii="Palatino" w:hAnsi="Palatino"/>
          <w:sz w:val="24"/>
        </w:rPr>
        <w:t xml:space="preserve">followed up with </w:t>
      </w:r>
      <w:r w:rsidR="00240103">
        <w:rPr>
          <w:rFonts w:ascii="Palatino" w:hAnsi="Palatino"/>
          <w:sz w:val="24"/>
        </w:rPr>
        <w:t>them</w:t>
      </w:r>
      <w:r w:rsidRPr="00F10A10">
        <w:rPr>
          <w:rFonts w:ascii="Palatino" w:hAnsi="Palatino"/>
          <w:sz w:val="24"/>
        </w:rPr>
        <w:t xml:space="preserve"> February 26, 2014 </w:t>
      </w:r>
      <w:r w:rsidR="00672707">
        <w:rPr>
          <w:rFonts w:ascii="Palatino" w:hAnsi="Palatino"/>
          <w:sz w:val="24"/>
        </w:rPr>
        <w:t xml:space="preserve">through </w:t>
      </w:r>
      <w:r w:rsidRPr="00F10A10">
        <w:rPr>
          <w:rFonts w:ascii="Palatino" w:hAnsi="Palatino"/>
          <w:sz w:val="24"/>
        </w:rPr>
        <w:t xml:space="preserve">February 28, 2014.  </w:t>
      </w:r>
    </w:p>
    <w:p w:rsidR="00261060" w:rsidRDefault="00261060" w:rsidP="00261060">
      <w:pPr>
        <w:pStyle w:val="HTMLPreformatted"/>
        <w:rPr>
          <w:rFonts w:ascii="Palatino" w:hAnsi="Palatino"/>
          <w:sz w:val="24"/>
        </w:rPr>
      </w:pPr>
    </w:p>
    <w:p w:rsidR="00261060" w:rsidRDefault="00B221FF" w:rsidP="00261060">
      <w:pPr>
        <w:pStyle w:val="HTMLPreformatted"/>
        <w:rPr>
          <w:rFonts w:ascii="Palatino" w:hAnsi="Palatino"/>
          <w:sz w:val="24"/>
        </w:rPr>
      </w:pPr>
      <w:r w:rsidRPr="00F10A10">
        <w:rPr>
          <w:rFonts w:ascii="Palatino" w:hAnsi="Palatino"/>
          <w:sz w:val="24"/>
        </w:rPr>
        <w:t xml:space="preserve">The second round of mailings to </w:t>
      </w:r>
      <w:r w:rsidR="00261060">
        <w:rPr>
          <w:rFonts w:ascii="Palatino" w:hAnsi="Palatino"/>
          <w:sz w:val="24"/>
        </w:rPr>
        <w:t>non-compl</w:t>
      </w:r>
      <w:r w:rsidR="00240103">
        <w:rPr>
          <w:rFonts w:ascii="Palatino" w:hAnsi="Palatino"/>
          <w:sz w:val="24"/>
        </w:rPr>
        <w:t>iant</w:t>
      </w:r>
      <w:r w:rsidR="0000435C">
        <w:rPr>
          <w:rFonts w:ascii="Palatino" w:hAnsi="Palatino"/>
          <w:sz w:val="24"/>
        </w:rPr>
        <w:t xml:space="preserve"> </w:t>
      </w:r>
      <w:r w:rsidR="00A00222">
        <w:rPr>
          <w:rFonts w:ascii="Palatino" w:hAnsi="Palatino"/>
          <w:sz w:val="24"/>
        </w:rPr>
        <w:t xml:space="preserve">carriers </w:t>
      </w:r>
      <w:r w:rsidR="00261060">
        <w:rPr>
          <w:rFonts w:ascii="Palatino" w:hAnsi="Palatino"/>
          <w:sz w:val="24"/>
        </w:rPr>
        <w:t>occurred</w:t>
      </w:r>
      <w:r w:rsidRPr="00F10A10">
        <w:rPr>
          <w:rFonts w:ascii="Palatino" w:hAnsi="Palatino"/>
          <w:sz w:val="24"/>
        </w:rPr>
        <w:t xml:space="preserve"> August 21, 2014 </w:t>
      </w:r>
      <w:r w:rsidR="00672707">
        <w:rPr>
          <w:rFonts w:ascii="Palatino" w:hAnsi="Palatino"/>
          <w:sz w:val="24"/>
        </w:rPr>
        <w:t>through</w:t>
      </w:r>
      <w:r w:rsidRPr="00F10A10">
        <w:rPr>
          <w:rFonts w:ascii="Palatino" w:hAnsi="Palatino"/>
          <w:sz w:val="24"/>
        </w:rPr>
        <w:t xml:space="preserve"> August 26, 2014.  CD staff </w:t>
      </w:r>
      <w:r w:rsidR="001D77A1">
        <w:rPr>
          <w:rFonts w:ascii="Palatino" w:hAnsi="Palatino"/>
          <w:sz w:val="24"/>
        </w:rPr>
        <w:t>conti</w:t>
      </w:r>
      <w:r w:rsidR="00261060">
        <w:rPr>
          <w:rFonts w:ascii="Palatino" w:hAnsi="Palatino"/>
          <w:sz w:val="24"/>
        </w:rPr>
        <w:t xml:space="preserve">nued to monitor </w:t>
      </w:r>
      <w:r w:rsidR="00240103">
        <w:rPr>
          <w:rFonts w:ascii="Palatino" w:hAnsi="Palatino"/>
          <w:sz w:val="24"/>
        </w:rPr>
        <w:t xml:space="preserve">these </w:t>
      </w:r>
      <w:r w:rsidR="00261060">
        <w:rPr>
          <w:rFonts w:ascii="Palatino" w:hAnsi="Palatino"/>
          <w:sz w:val="24"/>
        </w:rPr>
        <w:t xml:space="preserve">carriers and </w:t>
      </w:r>
      <w:r w:rsidRPr="00F10A10">
        <w:rPr>
          <w:rFonts w:ascii="Palatino" w:hAnsi="Palatino"/>
          <w:sz w:val="24"/>
        </w:rPr>
        <w:t xml:space="preserve">followed up with </w:t>
      </w:r>
      <w:r w:rsidR="00240103">
        <w:rPr>
          <w:rFonts w:ascii="Palatino" w:hAnsi="Palatino"/>
          <w:sz w:val="24"/>
        </w:rPr>
        <w:t>them</w:t>
      </w:r>
      <w:r w:rsidRPr="00F10A10">
        <w:rPr>
          <w:rFonts w:ascii="Palatino" w:hAnsi="Palatino"/>
          <w:sz w:val="24"/>
        </w:rPr>
        <w:t xml:space="preserve"> September 22, 2014 </w:t>
      </w:r>
      <w:r w:rsidR="00672707">
        <w:rPr>
          <w:rFonts w:ascii="Palatino" w:hAnsi="Palatino"/>
          <w:sz w:val="24"/>
        </w:rPr>
        <w:t>through</w:t>
      </w:r>
      <w:r w:rsidRPr="00F10A10">
        <w:rPr>
          <w:rFonts w:ascii="Palatino" w:hAnsi="Palatino"/>
          <w:sz w:val="24"/>
        </w:rPr>
        <w:t xml:space="preserve"> September 25, 2014.  </w:t>
      </w:r>
    </w:p>
    <w:p w:rsidR="00261060" w:rsidRDefault="00261060" w:rsidP="00261060">
      <w:pPr>
        <w:pStyle w:val="HTMLPreformatted"/>
        <w:rPr>
          <w:rFonts w:ascii="Palatino" w:hAnsi="Palatino"/>
          <w:sz w:val="24"/>
        </w:rPr>
      </w:pPr>
    </w:p>
    <w:p w:rsidR="00261060" w:rsidRPr="00F10A10" w:rsidRDefault="00B221FF" w:rsidP="00261060">
      <w:pPr>
        <w:pStyle w:val="HTMLPreformatted"/>
        <w:rPr>
          <w:rFonts w:ascii="Palatino" w:hAnsi="Palatino"/>
          <w:sz w:val="24"/>
        </w:rPr>
      </w:pPr>
      <w:r w:rsidRPr="00F10A10">
        <w:rPr>
          <w:rFonts w:ascii="Palatino" w:hAnsi="Palatino"/>
          <w:sz w:val="24"/>
        </w:rPr>
        <w:t xml:space="preserve">The third round of mailings to </w:t>
      </w:r>
      <w:r w:rsidR="001D77A1">
        <w:rPr>
          <w:rFonts w:ascii="Palatino" w:hAnsi="Palatino"/>
          <w:sz w:val="24"/>
        </w:rPr>
        <w:t>non-</w:t>
      </w:r>
      <w:r w:rsidR="00240103">
        <w:rPr>
          <w:rFonts w:ascii="Palatino" w:hAnsi="Palatino"/>
          <w:sz w:val="24"/>
        </w:rPr>
        <w:t xml:space="preserve">compliant </w:t>
      </w:r>
      <w:r w:rsidRPr="00F10A10">
        <w:rPr>
          <w:rFonts w:ascii="Palatino" w:hAnsi="Palatino"/>
          <w:sz w:val="24"/>
        </w:rPr>
        <w:t xml:space="preserve">carriers </w:t>
      </w:r>
      <w:r w:rsidR="001D77A1">
        <w:rPr>
          <w:rFonts w:ascii="Palatino" w:hAnsi="Palatino"/>
          <w:sz w:val="24"/>
        </w:rPr>
        <w:t xml:space="preserve">occurred </w:t>
      </w:r>
      <w:r w:rsidRPr="00F10A10">
        <w:rPr>
          <w:rFonts w:ascii="Palatino" w:hAnsi="Palatino"/>
          <w:sz w:val="24"/>
        </w:rPr>
        <w:t>April 15</w:t>
      </w:r>
      <w:r w:rsidR="001D77A1">
        <w:rPr>
          <w:rFonts w:ascii="Palatino" w:hAnsi="Palatino"/>
          <w:sz w:val="24"/>
        </w:rPr>
        <w:t xml:space="preserve"> and</w:t>
      </w:r>
      <w:r w:rsidR="00672707">
        <w:rPr>
          <w:rFonts w:ascii="Palatino" w:hAnsi="Palatino"/>
          <w:sz w:val="24"/>
        </w:rPr>
        <w:t xml:space="preserve"> </w:t>
      </w:r>
      <w:r w:rsidRPr="00F10A10">
        <w:rPr>
          <w:rFonts w:ascii="Palatino" w:hAnsi="Palatino"/>
          <w:sz w:val="24"/>
        </w:rPr>
        <w:t xml:space="preserve">April 16, 2015.  CD staff </w:t>
      </w:r>
      <w:r w:rsidR="001D77A1">
        <w:rPr>
          <w:rFonts w:ascii="Palatino" w:hAnsi="Palatino"/>
          <w:sz w:val="24"/>
        </w:rPr>
        <w:t xml:space="preserve">continued to monitor </w:t>
      </w:r>
      <w:r w:rsidR="00240103">
        <w:rPr>
          <w:rFonts w:ascii="Palatino" w:hAnsi="Palatino"/>
          <w:sz w:val="24"/>
        </w:rPr>
        <w:t xml:space="preserve">these </w:t>
      </w:r>
      <w:r w:rsidR="001D77A1">
        <w:rPr>
          <w:rFonts w:ascii="Palatino" w:hAnsi="Palatino"/>
          <w:sz w:val="24"/>
        </w:rPr>
        <w:t xml:space="preserve">carriers and </w:t>
      </w:r>
      <w:r w:rsidRPr="00F10A10">
        <w:rPr>
          <w:rFonts w:ascii="Palatino" w:hAnsi="Palatino"/>
          <w:sz w:val="24"/>
        </w:rPr>
        <w:t xml:space="preserve">followed up with </w:t>
      </w:r>
      <w:r w:rsidR="00240103">
        <w:rPr>
          <w:rFonts w:ascii="Palatino" w:hAnsi="Palatino"/>
          <w:sz w:val="24"/>
        </w:rPr>
        <w:t>them</w:t>
      </w:r>
      <w:r w:rsidRPr="00F10A10">
        <w:rPr>
          <w:rFonts w:ascii="Palatino" w:hAnsi="Palatino"/>
          <w:sz w:val="24"/>
        </w:rPr>
        <w:t xml:space="preserve"> </w:t>
      </w:r>
      <w:r w:rsidR="00F33BFC">
        <w:rPr>
          <w:rFonts w:ascii="Palatino" w:hAnsi="Palatino"/>
          <w:sz w:val="24"/>
        </w:rPr>
        <w:t xml:space="preserve">on </w:t>
      </w:r>
      <w:r w:rsidRPr="00F10A10">
        <w:rPr>
          <w:rFonts w:ascii="Palatino" w:hAnsi="Palatino"/>
          <w:sz w:val="24"/>
        </w:rPr>
        <w:t>June 1, 2015</w:t>
      </w:r>
      <w:r w:rsidR="00261060" w:rsidRPr="00F10A10">
        <w:rPr>
          <w:rFonts w:ascii="Palatino" w:hAnsi="Palatino"/>
          <w:sz w:val="24"/>
        </w:rPr>
        <w:t>.</w:t>
      </w:r>
      <w:r w:rsidR="00261060">
        <w:rPr>
          <w:rFonts w:ascii="Palatino" w:hAnsi="Palatino"/>
          <w:sz w:val="24"/>
        </w:rPr>
        <w:t xml:space="preserve">  </w:t>
      </w:r>
      <w:r w:rsidR="00EB546A">
        <w:rPr>
          <w:rFonts w:ascii="Palatino" w:hAnsi="Palatino"/>
          <w:sz w:val="24"/>
        </w:rPr>
        <w:t>All</w:t>
      </w:r>
      <w:r w:rsidR="00261060">
        <w:rPr>
          <w:rFonts w:ascii="Palatino" w:hAnsi="Palatino"/>
          <w:sz w:val="24"/>
        </w:rPr>
        <w:t xml:space="preserve"> </w:t>
      </w:r>
      <w:r w:rsidR="00240103">
        <w:rPr>
          <w:rFonts w:ascii="Palatino" w:hAnsi="Palatino"/>
          <w:sz w:val="24"/>
        </w:rPr>
        <w:t>c</w:t>
      </w:r>
      <w:r w:rsidR="00240103" w:rsidRPr="00F10A10">
        <w:rPr>
          <w:rFonts w:ascii="Palatino" w:hAnsi="Palatino"/>
          <w:sz w:val="24"/>
        </w:rPr>
        <w:t xml:space="preserve">arriers </w:t>
      </w:r>
      <w:r w:rsidR="00261060">
        <w:rPr>
          <w:rFonts w:ascii="Palatino" w:hAnsi="Palatino"/>
          <w:sz w:val="24"/>
        </w:rPr>
        <w:t>listed</w:t>
      </w:r>
      <w:r w:rsidR="00261060" w:rsidRPr="00F10A10">
        <w:rPr>
          <w:rFonts w:ascii="Palatino" w:hAnsi="Palatino"/>
          <w:sz w:val="24"/>
        </w:rPr>
        <w:t xml:space="preserve"> in the </w:t>
      </w:r>
      <w:r w:rsidR="00240103">
        <w:rPr>
          <w:rFonts w:ascii="Palatino" w:hAnsi="Palatino"/>
          <w:sz w:val="24"/>
        </w:rPr>
        <w:t xml:space="preserve">attached </w:t>
      </w:r>
      <w:r w:rsidR="00261060" w:rsidRPr="00F10A10">
        <w:rPr>
          <w:rFonts w:ascii="Palatino" w:hAnsi="Palatino"/>
          <w:sz w:val="24"/>
        </w:rPr>
        <w:t xml:space="preserve">appendices have failed to report </w:t>
      </w:r>
      <w:r w:rsidR="00927374">
        <w:rPr>
          <w:rFonts w:ascii="Palatino" w:hAnsi="Palatino"/>
          <w:sz w:val="24"/>
        </w:rPr>
        <w:t>intrastate revenue</w:t>
      </w:r>
      <w:r w:rsidR="00240103">
        <w:rPr>
          <w:rFonts w:ascii="Palatino" w:hAnsi="Palatino"/>
          <w:sz w:val="24"/>
        </w:rPr>
        <w:t>s</w:t>
      </w:r>
      <w:r w:rsidR="00927374">
        <w:rPr>
          <w:rFonts w:ascii="Palatino" w:hAnsi="Palatino"/>
          <w:sz w:val="24"/>
        </w:rPr>
        <w:t xml:space="preserve"> and pay surcharges </w:t>
      </w:r>
      <w:r w:rsidR="00261060" w:rsidRPr="00F10A10">
        <w:rPr>
          <w:rFonts w:ascii="Palatino" w:hAnsi="Palatino"/>
          <w:sz w:val="24"/>
        </w:rPr>
        <w:t xml:space="preserve">for </w:t>
      </w:r>
      <w:r w:rsidR="00EB546A">
        <w:rPr>
          <w:rFonts w:ascii="Palatino" w:hAnsi="Palatino"/>
          <w:sz w:val="24"/>
        </w:rPr>
        <w:t xml:space="preserve">at least </w:t>
      </w:r>
      <w:r w:rsidR="00261060" w:rsidRPr="00F10A10">
        <w:rPr>
          <w:rFonts w:ascii="Palatino" w:hAnsi="Palatino"/>
          <w:sz w:val="24"/>
        </w:rPr>
        <w:t xml:space="preserve">twelve consecutive months as of </w:t>
      </w:r>
      <w:r w:rsidR="001A4534">
        <w:rPr>
          <w:rFonts w:ascii="Palatino" w:hAnsi="Palatino"/>
          <w:sz w:val="24"/>
        </w:rPr>
        <w:t>August</w:t>
      </w:r>
      <w:r w:rsidR="00261060" w:rsidRPr="00F10A10">
        <w:rPr>
          <w:rFonts w:ascii="Palatino" w:hAnsi="Palatino"/>
          <w:sz w:val="24"/>
        </w:rPr>
        <w:t>, 2015.</w:t>
      </w:r>
      <w:r w:rsidR="00261060">
        <w:rPr>
          <w:rFonts w:ascii="Palatino" w:hAnsi="Palatino"/>
          <w:sz w:val="24"/>
        </w:rPr>
        <w:t xml:space="preserve">  </w:t>
      </w:r>
    </w:p>
    <w:p w:rsidR="00045E55" w:rsidRDefault="00045E55">
      <w:pPr>
        <w:pStyle w:val="HTMLPreformatted"/>
        <w:rPr>
          <w:rFonts w:ascii="Palatino" w:hAnsi="Palatino"/>
          <w:sz w:val="24"/>
        </w:rPr>
      </w:pPr>
    </w:p>
    <w:p w:rsidR="00B221EE" w:rsidRPr="00497217" w:rsidRDefault="00B221EE">
      <w:pPr>
        <w:pStyle w:val="HTMLPreformatted"/>
        <w:rPr>
          <w:rFonts w:ascii="Palatino" w:hAnsi="Palatino"/>
          <w:b/>
          <w:sz w:val="24"/>
        </w:rPr>
      </w:pPr>
      <w:r w:rsidRPr="00497217">
        <w:rPr>
          <w:rFonts w:ascii="Palatino" w:hAnsi="Palatino"/>
          <w:b/>
          <w:sz w:val="24"/>
        </w:rPr>
        <w:t>C.  Performance Bond</w:t>
      </w:r>
    </w:p>
    <w:p w:rsidR="00B221EE" w:rsidRDefault="00B221EE">
      <w:pPr>
        <w:pStyle w:val="HTMLPreformatted"/>
        <w:rPr>
          <w:rFonts w:ascii="Palatino" w:hAnsi="Palatino"/>
          <w:sz w:val="24"/>
        </w:rPr>
      </w:pPr>
    </w:p>
    <w:p w:rsidR="00BD2246" w:rsidRDefault="00BD2246" w:rsidP="00BD2246">
      <w:pPr>
        <w:pStyle w:val="HTMLPreformatted"/>
        <w:rPr>
          <w:rFonts w:ascii="Palatino" w:hAnsi="Palatino"/>
          <w:sz w:val="24"/>
        </w:rPr>
      </w:pPr>
      <w:r>
        <w:rPr>
          <w:rFonts w:ascii="Palatino" w:hAnsi="Palatino"/>
          <w:sz w:val="24"/>
        </w:rPr>
        <w:t xml:space="preserve">CD monitors the compliance of registered carriers with the </w:t>
      </w:r>
      <w:r w:rsidR="00F33BFC">
        <w:rPr>
          <w:rFonts w:ascii="Palatino" w:hAnsi="Palatino"/>
          <w:sz w:val="24"/>
        </w:rPr>
        <w:t xml:space="preserve">CPUC </w:t>
      </w:r>
      <w:r>
        <w:rPr>
          <w:rFonts w:ascii="Palatino" w:hAnsi="Palatino"/>
          <w:sz w:val="24"/>
        </w:rPr>
        <w:t xml:space="preserve">performance bond requirement.  A review of </w:t>
      </w:r>
      <w:r w:rsidR="00672707">
        <w:rPr>
          <w:rFonts w:ascii="Palatino" w:hAnsi="Palatino"/>
          <w:sz w:val="24"/>
        </w:rPr>
        <w:t xml:space="preserve">the </w:t>
      </w:r>
      <w:r w:rsidR="00EB546A">
        <w:rPr>
          <w:rFonts w:ascii="Palatino" w:hAnsi="Palatino"/>
          <w:sz w:val="24"/>
        </w:rPr>
        <w:t>4</w:t>
      </w:r>
      <w:r w:rsidR="003A635F">
        <w:rPr>
          <w:rFonts w:ascii="Palatino" w:hAnsi="Palatino"/>
          <w:sz w:val="24"/>
        </w:rPr>
        <w:t>4</w:t>
      </w:r>
      <w:r w:rsidR="00EB546A">
        <w:rPr>
          <w:rFonts w:ascii="Palatino" w:hAnsi="Palatino"/>
          <w:sz w:val="24"/>
        </w:rPr>
        <w:t xml:space="preserve"> </w:t>
      </w:r>
      <w:r w:rsidR="00672707">
        <w:rPr>
          <w:rFonts w:ascii="Palatino" w:hAnsi="Palatino"/>
          <w:sz w:val="24"/>
        </w:rPr>
        <w:t xml:space="preserve">carriers being decertified in this resolution </w:t>
      </w:r>
      <w:r>
        <w:rPr>
          <w:rFonts w:ascii="Palatino" w:hAnsi="Palatino"/>
          <w:sz w:val="24"/>
        </w:rPr>
        <w:t xml:space="preserve">finds that </w:t>
      </w:r>
      <w:r w:rsidR="00927374">
        <w:rPr>
          <w:rFonts w:ascii="Palatino" w:hAnsi="Palatino"/>
          <w:sz w:val="24"/>
        </w:rPr>
        <w:t>3</w:t>
      </w:r>
      <w:r w:rsidR="00AE3A1D">
        <w:rPr>
          <w:rFonts w:ascii="Palatino" w:hAnsi="Palatino"/>
          <w:sz w:val="24"/>
        </w:rPr>
        <w:t>0</w:t>
      </w:r>
      <w:r w:rsidR="00EB546A">
        <w:rPr>
          <w:rFonts w:ascii="Palatino" w:hAnsi="Palatino"/>
          <w:sz w:val="24"/>
        </w:rPr>
        <w:t xml:space="preserve"> </w:t>
      </w:r>
      <w:r w:rsidR="00672707">
        <w:rPr>
          <w:rFonts w:ascii="Palatino" w:hAnsi="Palatino"/>
          <w:sz w:val="24"/>
        </w:rPr>
        <w:t xml:space="preserve">of these </w:t>
      </w:r>
      <w:r>
        <w:rPr>
          <w:rFonts w:ascii="Palatino" w:hAnsi="Palatino"/>
          <w:sz w:val="24"/>
        </w:rPr>
        <w:t>carriers have not submitted bonds. CD</w:t>
      </w:r>
      <w:r w:rsidR="00A00222">
        <w:rPr>
          <w:rFonts w:ascii="Palatino" w:hAnsi="Palatino"/>
          <w:sz w:val="24"/>
        </w:rPr>
        <w:t xml:space="preserve"> staff</w:t>
      </w:r>
      <w:r>
        <w:rPr>
          <w:rFonts w:ascii="Palatino" w:hAnsi="Palatino"/>
          <w:sz w:val="24"/>
        </w:rPr>
        <w:t xml:space="preserve"> undertook the following steps to </w:t>
      </w:r>
      <w:r w:rsidR="006452E8">
        <w:rPr>
          <w:rFonts w:ascii="Palatino" w:hAnsi="Palatino"/>
          <w:sz w:val="24"/>
        </w:rPr>
        <w:t>notify</w:t>
      </w:r>
      <w:r w:rsidR="00A00222">
        <w:rPr>
          <w:rFonts w:ascii="Palatino" w:hAnsi="Palatino"/>
          <w:sz w:val="24"/>
        </w:rPr>
        <w:t xml:space="preserve"> </w:t>
      </w:r>
      <w:r w:rsidR="00F33BFC">
        <w:rPr>
          <w:rFonts w:ascii="Palatino" w:hAnsi="Palatino"/>
          <w:sz w:val="24"/>
        </w:rPr>
        <w:t xml:space="preserve">the </w:t>
      </w:r>
      <w:r>
        <w:rPr>
          <w:rFonts w:ascii="Palatino" w:hAnsi="Palatino"/>
          <w:sz w:val="24"/>
        </w:rPr>
        <w:t>carrier</w:t>
      </w:r>
      <w:r w:rsidR="006452E8">
        <w:rPr>
          <w:rFonts w:ascii="Palatino" w:hAnsi="Palatino"/>
          <w:sz w:val="24"/>
        </w:rPr>
        <w:t>s</w:t>
      </w:r>
      <w:r w:rsidR="00F33BFC">
        <w:rPr>
          <w:rFonts w:ascii="Palatino" w:hAnsi="Palatino"/>
          <w:sz w:val="24"/>
        </w:rPr>
        <w:t xml:space="preserve"> of their non-</w:t>
      </w:r>
      <w:r>
        <w:rPr>
          <w:rFonts w:ascii="Palatino" w:hAnsi="Palatino"/>
          <w:sz w:val="24"/>
        </w:rPr>
        <w:t>compliance:</w:t>
      </w:r>
    </w:p>
    <w:p w:rsidR="00BD2246" w:rsidRDefault="00BD2246" w:rsidP="00BD2246">
      <w:pPr>
        <w:pStyle w:val="HTMLPreformatted"/>
        <w:rPr>
          <w:rFonts w:ascii="Palatino" w:hAnsi="Palatino"/>
          <w:sz w:val="24"/>
        </w:rPr>
      </w:pPr>
    </w:p>
    <w:p w:rsidR="00BD2246" w:rsidRDefault="00BD2246" w:rsidP="00BD2246">
      <w:pPr>
        <w:pStyle w:val="HTMLPreformatted"/>
        <w:numPr>
          <w:ilvl w:val="0"/>
          <w:numId w:val="13"/>
        </w:numPr>
        <w:rPr>
          <w:rFonts w:ascii="Palatino" w:hAnsi="Palatino"/>
          <w:sz w:val="24"/>
        </w:rPr>
      </w:pPr>
      <w:r>
        <w:rPr>
          <w:rFonts w:ascii="Palatino" w:hAnsi="Palatino"/>
          <w:sz w:val="24"/>
        </w:rPr>
        <w:t>Mailed notices to carriers in October 2014 and March 2015 concerning the performance bond requirement.</w:t>
      </w:r>
    </w:p>
    <w:p w:rsidR="00BD2246" w:rsidRDefault="00BD2246" w:rsidP="00BD2246">
      <w:pPr>
        <w:pStyle w:val="HTMLPreformatted"/>
        <w:ind w:left="720"/>
        <w:rPr>
          <w:rFonts w:ascii="Palatino" w:hAnsi="Palatino"/>
          <w:sz w:val="24"/>
        </w:rPr>
      </w:pPr>
    </w:p>
    <w:p w:rsidR="00BD2246" w:rsidRDefault="00BD2246" w:rsidP="00BD2246">
      <w:pPr>
        <w:pStyle w:val="HTMLPreformatted"/>
        <w:numPr>
          <w:ilvl w:val="0"/>
          <w:numId w:val="13"/>
        </w:numPr>
        <w:rPr>
          <w:rFonts w:ascii="Palatino" w:hAnsi="Palatino"/>
          <w:sz w:val="24"/>
        </w:rPr>
      </w:pPr>
      <w:r>
        <w:rPr>
          <w:rFonts w:ascii="Palatino" w:hAnsi="Palatino"/>
          <w:sz w:val="24"/>
        </w:rPr>
        <w:t xml:space="preserve">Identified and prepared a list of </w:t>
      </w:r>
      <w:r w:rsidR="00672707">
        <w:rPr>
          <w:rFonts w:ascii="Palatino" w:hAnsi="Palatino"/>
          <w:sz w:val="24"/>
        </w:rPr>
        <w:t xml:space="preserve">carriers </w:t>
      </w:r>
      <w:r>
        <w:rPr>
          <w:rFonts w:ascii="Palatino" w:hAnsi="Palatino"/>
          <w:sz w:val="24"/>
        </w:rPr>
        <w:t>that were delinquent in submitting bonds.</w:t>
      </w:r>
    </w:p>
    <w:p w:rsidR="00BD2246" w:rsidRDefault="00BD2246" w:rsidP="00BD2246">
      <w:pPr>
        <w:pStyle w:val="ListParagraph"/>
        <w:rPr>
          <w:rFonts w:ascii="Palatino" w:hAnsi="Palatino"/>
          <w:sz w:val="24"/>
        </w:rPr>
      </w:pPr>
    </w:p>
    <w:p w:rsidR="00B221EE" w:rsidRDefault="00BD2246" w:rsidP="00BD2246">
      <w:pPr>
        <w:pStyle w:val="HTMLPreformatted"/>
        <w:rPr>
          <w:rFonts w:ascii="Palatino" w:hAnsi="Palatino"/>
          <w:sz w:val="24"/>
        </w:rPr>
      </w:pPr>
      <w:r>
        <w:rPr>
          <w:rFonts w:ascii="Palatino" w:hAnsi="Palatino"/>
          <w:sz w:val="24"/>
        </w:rPr>
        <w:t xml:space="preserve">CD determined that </w:t>
      </w:r>
      <w:r w:rsidR="008A0EFD">
        <w:rPr>
          <w:rFonts w:ascii="Palatino" w:hAnsi="Palatino"/>
          <w:sz w:val="24"/>
        </w:rPr>
        <w:t>3</w:t>
      </w:r>
      <w:r w:rsidR="003A635F">
        <w:rPr>
          <w:rFonts w:ascii="Palatino" w:hAnsi="Palatino"/>
          <w:sz w:val="24"/>
        </w:rPr>
        <w:t>0</w:t>
      </w:r>
      <w:r w:rsidR="00AE3A1D">
        <w:rPr>
          <w:rFonts w:ascii="Palatino" w:hAnsi="Palatino"/>
          <w:sz w:val="24"/>
        </w:rPr>
        <w:t xml:space="preserve"> </w:t>
      </w:r>
      <w:r w:rsidR="002146EA">
        <w:rPr>
          <w:rFonts w:ascii="Palatino" w:hAnsi="Palatino"/>
          <w:sz w:val="24"/>
        </w:rPr>
        <w:t xml:space="preserve">of </w:t>
      </w:r>
      <w:r w:rsidR="002E1235">
        <w:rPr>
          <w:rFonts w:ascii="Palatino" w:hAnsi="Palatino"/>
          <w:sz w:val="24"/>
        </w:rPr>
        <w:t xml:space="preserve">the </w:t>
      </w:r>
      <w:r w:rsidR="00EB546A">
        <w:rPr>
          <w:rFonts w:ascii="Palatino" w:hAnsi="Palatino"/>
          <w:sz w:val="24"/>
        </w:rPr>
        <w:t>4</w:t>
      </w:r>
      <w:r w:rsidR="003A635F">
        <w:rPr>
          <w:rFonts w:ascii="Palatino" w:hAnsi="Palatino"/>
          <w:sz w:val="24"/>
        </w:rPr>
        <w:t>4</w:t>
      </w:r>
      <w:r w:rsidR="00EB546A">
        <w:rPr>
          <w:rFonts w:ascii="Palatino" w:hAnsi="Palatino"/>
          <w:sz w:val="24"/>
        </w:rPr>
        <w:t xml:space="preserve"> </w:t>
      </w:r>
      <w:r>
        <w:rPr>
          <w:rFonts w:ascii="Palatino" w:hAnsi="Palatino"/>
          <w:sz w:val="24"/>
        </w:rPr>
        <w:t>carriers failed to comply with the Commission’s performance bond requirement.</w:t>
      </w:r>
    </w:p>
    <w:p w:rsidR="00EB546A" w:rsidRDefault="00EB546A">
      <w:pPr>
        <w:pStyle w:val="HTMLPreformatted"/>
        <w:rPr>
          <w:rFonts w:ascii="Palatino" w:hAnsi="Palatino"/>
          <w:b/>
          <w:sz w:val="24"/>
          <w:szCs w:val="24"/>
          <w:u w:val="single"/>
        </w:rPr>
      </w:pPr>
    </w:p>
    <w:p w:rsidR="00B221EE" w:rsidRDefault="00B221EE">
      <w:pPr>
        <w:pStyle w:val="HTMLPreformatted"/>
        <w:rPr>
          <w:rFonts w:ascii="Palatino" w:hAnsi="Palatino"/>
          <w:b/>
          <w:sz w:val="24"/>
          <w:szCs w:val="24"/>
          <w:u w:val="single"/>
        </w:rPr>
      </w:pPr>
      <w:r>
        <w:rPr>
          <w:rFonts w:ascii="Palatino" w:hAnsi="Palatino"/>
          <w:b/>
          <w:sz w:val="24"/>
          <w:szCs w:val="24"/>
          <w:u w:val="single"/>
        </w:rPr>
        <w:t>CONCLUSION</w:t>
      </w:r>
    </w:p>
    <w:p w:rsidR="00B221EE" w:rsidRDefault="00B221EE">
      <w:pPr>
        <w:pStyle w:val="HTMLPreformatted"/>
        <w:rPr>
          <w:rFonts w:ascii="Palatino" w:hAnsi="Palatino"/>
          <w:sz w:val="24"/>
          <w:szCs w:val="24"/>
        </w:rPr>
      </w:pPr>
    </w:p>
    <w:p w:rsidR="0000435C" w:rsidRDefault="00B221EE">
      <w:pPr>
        <w:pStyle w:val="HTMLPreformatted"/>
        <w:rPr>
          <w:rFonts w:ascii="Palatino" w:hAnsi="Palatino"/>
          <w:sz w:val="24"/>
          <w:szCs w:val="24"/>
        </w:rPr>
      </w:pPr>
      <w:r>
        <w:rPr>
          <w:rFonts w:ascii="Palatino" w:hAnsi="Palatino"/>
          <w:sz w:val="24"/>
          <w:szCs w:val="24"/>
        </w:rPr>
        <w:t xml:space="preserve">We find that </w:t>
      </w:r>
      <w:r w:rsidR="006452E8">
        <w:rPr>
          <w:rFonts w:ascii="Palatino" w:hAnsi="Palatino"/>
          <w:sz w:val="24"/>
          <w:szCs w:val="24"/>
        </w:rPr>
        <w:t>CD</w:t>
      </w:r>
      <w:r>
        <w:rPr>
          <w:rFonts w:ascii="Palatino" w:hAnsi="Palatino"/>
          <w:sz w:val="24"/>
          <w:szCs w:val="24"/>
        </w:rPr>
        <w:t xml:space="preserve"> staff employed proper and reasonable measures to locate, inform and remind the carriers listed in </w:t>
      </w:r>
      <w:r w:rsidR="002A780F">
        <w:rPr>
          <w:rFonts w:ascii="Palatino" w:hAnsi="Palatino"/>
          <w:sz w:val="24"/>
          <w:szCs w:val="24"/>
        </w:rPr>
        <w:t xml:space="preserve">the appendices </w:t>
      </w:r>
      <w:r>
        <w:rPr>
          <w:rFonts w:ascii="Palatino" w:hAnsi="Palatino"/>
          <w:sz w:val="24"/>
          <w:szCs w:val="24"/>
        </w:rPr>
        <w:t xml:space="preserve">of the </w:t>
      </w:r>
      <w:r w:rsidR="00F33BFC">
        <w:rPr>
          <w:rFonts w:ascii="Palatino" w:hAnsi="Palatino"/>
          <w:sz w:val="24"/>
          <w:szCs w:val="24"/>
        </w:rPr>
        <w:t>User Fee</w:t>
      </w:r>
      <w:r w:rsidR="003A635F">
        <w:rPr>
          <w:rFonts w:ascii="Palatino" w:hAnsi="Palatino"/>
          <w:sz w:val="24"/>
          <w:szCs w:val="24"/>
        </w:rPr>
        <w:t>s</w:t>
      </w:r>
      <w:r w:rsidR="00F33BFC">
        <w:rPr>
          <w:rFonts w:ascii="Palatino" w:hAnsi="Palatino"/>
          <w:sz w:val="24"/>
          <w:szCs w:val="24"/>
        </w:rPr>
        <w:t xml:space="preserve">, surcharge and performance bond </w:t>
      </w:r>
      <w:r>
        <w:rPr>
          <w:rFonts w:ascii="Palatino" w:hAnsi="Palatino"/>
          <w:sz w:val="24"/>
          <w:szCs w:val="24"/>
        </w:rPr>
        <w:t>requirements</w:t>
      </w:r>
      <w:r w:rsidR="00F33BFC">
        <w:rPr>
          <w:rFonts w:ascii="Palatino" w:hAnsi="Palatino"/>
          <w:sz w:val="24"/>
          <w:szCs w:val="24"/>
        </w:rPr>
        <w:t>. CD</w:t>
      </w:r>
      <w:r>
        <w:rPr>
          <w:rFonts w:ascii="Palatino" w:hAnsi="Palatino"/>
          <w:sz w:val="24"/>
          <w:szCs w:val="24"/>
        </w:rPr>
        <w:t xml:space="preserve"> </w:t>
      </w:r>
      <w:r w:rsidR="006452E8">
        <w:rPr>
          <w:rFonts w:ascii="Palatino" w:hAnsi="Palatino"/>
          <w:sz w:val="24"/>
          <w:szCs w:val="24"/>
        </w:rPr>
        <w:t xml:space="preserve">provided ample time and opportunity </w:t>
      </w:r>
      <w:r w:rsidR="0000435C">
        <w:rPr>
          <w:rFonts w:ascii="Palatino" w:hAnsi="Palatino"/>
          <w:sz w:val="24"/>
          <w:szCs w:val="24"/>
        </w:rPr>
        <w:t>for</w:t>
      </w:r>
      <w:r w:rsidR="00F33BFC">
        <w:rPr>
          <w:rFonts w:ascii="Palatino" w:hAnsi="Palatino"/>
          <w:sz w:val="24"/>
          <w:szCs w:val="24"/>
        </w:rPr>
        <w:t xml:space="preserve"> them </w:t>
      </w:r>
      <w:r w:rsidR="006452E8">
        <w:rPr>
          <w:rFonts w:ascii="Palatino" w:hAnsi="Palatino"/>
          <w:sz w:val="24"/>
          <w:szCs w:val="24"/>
        </w:rPr>
        <w:t>to come into compliance, but they have failed to do so</w:t>
      </w:r>
      <w:r>
        <w:rPr>
          <w:rFonts w:ascii="Palatino" w:hAnsi="Palatino"/>
          <w:sz w:val="24"/>
          <w:szCs w:val="24"/>
        </w:rPr>
        <w:t xml:space="preserve">.  Thus, we find it reasonable to revoke the licenses of </w:t>
      </w:r>
      <w:r w:rsidR="006452E8">
        <w:rPr>
          <w:rFonts w:ascii="Palatino" w:hAnsi="Palatino"/>
          <w:sz w:val="24"/>
          <w:szCs w:val="24"/>
        </w:rPr>
        <w:t>the 4</w:t>
      </w:r>
      <w:r w:rsidR="0002414D">
        <w:rPr>
          <w:rFonts w:ascii="Palatino" w:hAnsi="Palatino"/>
          <w:sz w:val="24"/>
          <w:szCs w:val="24"/>
        </w:rPr>
        <w:t>4</w:t>
      </w:r>
      <w:r w:rsidR="006452E8">
        <w:rPr>
          <w:rFonts w:ascii="Palatino" w:hAnsi="Palatino"/>
          <w:sz w:val="24"/>
          <w:szCs w:val="24"/>
        </w:rPr>
        <w:t xml:space="preserve"> </w:t>
      </w:r>
      <w:r>
        <w:rPr>
          <w:rFonts w:ascii="Palatino" w:hAnsi="Palatino"/>
          <w:sz w:val="24"/>
          <w:szCs w:val="24"/>
        </w:rPr>
        <w:t>carriers</w:t>
      </w:r>
      <w:r w:rsidR="006452E8">
        <w:rPr>
          <w:rFonts w:ascii="Palatino" w:hAnsi="Palatino"/>
          <w:sz w:val="24"/>
          <w:szCs w:val="24"/>
        </w:rPr>
        <w:t xml:space="preserve"> listed in the attached appendices</w:t>
      </w:r>
      <w:r w:rsidR="0000435C">
        <w:rPr>
          <w:rFonts w:ascii="Palatino" w:hAnsi="Palatino"/>
          <w:sz w:val="24"/>
          <w:szCs w:val="24"/>
        </w:rPr>
        <w:t xml:space="preserve">.  </w:t>
      </w:r>
      <w:r>
        <w:rPr>
          <w:rFonts w:ascii="Palatino" w:hAnsi="Palatino"/>
          <w:sz w:val="24"/>
          <w:szCs w:val="24"/>
        </w:rPr>
        <w:t xml:space="preserve">In addition, </w:t>
      </w:r>
      <w:r w:rsidR="006452E8">
        <w:rPr>
          <w:rFonts w:ascii="Palatino" w:hAnsi="Palatino"/>
          <w:sz w:val="24"/>
          <w:szCs w:val="24"/>
        </w:rPr>
        <w:t xml:space="preserve">we cancel </w:t>
      </w:r>
      <w:r>
        <w:rPr>
          <w:rFonts w:ascii="Palatino" w:hAnsi="Palatino"/>
          <w:sz w:val="24"/>
          <w:szCs w:val="24"/>
        </w:rPr>
        <w:t xml:space="preserve">the Telephone Utility Identification Numbers of </w:t>
      </w:r>
      <w:r w:rsidR="006452E8">
        <w:rPr>
          <w:rFonts w:ascii="Palatino" w:hAnsi="Palatino"/>
          <w:sz w:val="24"/>
          <w:szCs w:val="24"/>
        </w:rPr>
        <w:t xml:space="preserve">these </w:t>
      </w:r>
      <w:r>
        <w:rPr>
          <w:rFonts w:ascii="Palatino" w:hAnsi="Palatino"/>
          <w:sz w:val="24"/>
          <w:szCs w:val="24"/>
        </w:rPr>
        <w:t>carriers</w:t>
      </w:r>
      <w:r w:rsidR="006452E8">
        <w:rPr>
          <w:rFonts w:ascii="Palatino" w:hAnsi="Palatino"/>
          <w:sz w:val="24"/>
          <w:szCs w:val="24"/>
        </w:rPr>
        <w:t>.</w:t>
      </w:r>
    </w:p>
    <w:p w:rsidR="00B221EE" w:rsidRDefault="00B221EE">
      <w:pPr>
        <w:pStyle w:val="HTMLPreformatted"/>
        <w:rPr>
          <w:rFonts w:ascii="Palatino" w:hAnsi="Palatino"/>
          <w:sz w:val="24"/>
          <w:szCs w:val="24"/>
        </w:rPr>
      </w:pPr>
    </w:p>
    <w:p w:rsidR="00B221EE" w:rsidRDefault="006452E8">
      <w:pPr>
        <w:pStyle w:val="HTMLPreformatted"/>
        <w:rPr>
          <w:rFonts w:ascii="Palatino" w:hAnsi="Palatino"/>
          <w:sz w:val="24"/>
          <w:szCs w:val="24"/>
        </w:rPr>
      </w:pPr>
      <w:r>
        <w:rPr>
          <w:rFonts w:ascii="Palatino" w:hAnsi="Palatino"/>
          <w:sz w:val="24"/>
          <w:szCs w:val="24"/>
        </w:rPr>
        <w:t xml:space="preserve">We also hereby inform </w:t>
      </w:r>
      <w:r w:rsidR="00991A27">
        <w:rPr>
          <w:rFonts w:ascii="Palatino" w:hAnsi="Palatino"/>
          <w:sz w:val="24"/>
          <w:szCs w:val="24"/>
        </w:rPr>
        <w:t xml:space="preserve">all other </w:t>
      </w:r>
      <w:r w:rsidR="004A36DD">
        <w:rPr>
          <w:rFonts w:ascii="Palatino" w:hAnsi="Palatino"/>
          <w:sz w:val="24"/>
          <w:szCs w:val="24"/>
        </w:rPr>
        <w:t>telephone</w:t>
      </w:r>
      <w:r w:rsidR="00B221EE">
        <w:rPr>
          <w:rFonts w:ascii="Palatino" w:hAnsi="Palatino"/>
          <w:sz w:val="24"/>
          <w:szCs w:val="24"/>
        </w:rPr>
        <w:t xml:space="preserve"> carriers </w:t>
      </w:r>
      <w:r w:rsidR="0000435C">
        <w:rPr>
          <w:rFonts w:ascii="Palatino" w:hAnsi="Palatino"/>
          <w:sz w:val="24"/>
          <w:szCs w:val="24"/>
        </w:rPr>
        <w:t xml:space="preserve">in California </w:t>
      </w:r>
      <w:r w:rsidR="00B221EE">
        <w:rPr>
          <w:rFonts w:ascii="Palatino" w:hAnsi="Palatino"/>
          <w:sz w:val="24"/>
          <w:szCs w:val="24"/>
        </w:rPr>
        <w:t xml:space="preserve">with valid operating authorities </w:t>
      </w:r>
      <w:r w:rsidR="00991A27">
        <w:rPr>
          <w:rFonts w:ascii="Palatino" w:hAnsi="Palatino"/>
          <w:sz w:val="24"/>
          <w:szCs w:val="24"/>
        </w:rPr>
        <w:t xml:space="preserve">to </w:t>
      </w:r>
      <w:r w:rsidR="00B221EE">
        <w:rPr>
          <w:rFonts w:ascii="Palatino" w:hAnsi="Palatino"/>
          <w:sz w:val="24"/>
          <w:szCs w:val="24"/>
        </w:rPr>
        <w:t xml:space="preserve">cease conducting business with </w:t>
      </w:r>
      <w:r>
        <w:rPr>
          <w:rFonts w:ascii="Palatino" w:hAnsi="Palatino"/>
          <w:sz w:val="24"/>
          <w:szCs w:val="24"/>
        </w:rPr>
        <w:t>the 4</w:t>
      </w:r>
      <w:r w:rsidR="003A635F">
        <w:rPr>
          <w:rFonts w:ascii="Palatino" w:hAnsi="Palatino"/>
          <w:sz w:val="24"/>
          <w:szCs w:val="24"/>
        </w:rPr>
        <w:t>4</w:t>
      </w:r>
      <w:r>
        <w:rPr>
          <w:rFonts w:ascii="Palatino" w:hAnsi="Palatino"/>
          <w:sz w:val="24"/>
          <w:szCs w:val="24"/>
        </w:rPr>
        <w:t xml:space="preserve"> </w:t>
      </w:r>
      <w:r w:rsidR="00B221EE">
        <w:rPr>
          <w:rFonts w:ascii="Palatino" w:hAnsi="Palatino"/>
          <w:sz w:val="24"/>
          <w:szCs w:val="24"/>
        </w:rPr>
        <w:t xml:space="preserve">carriers whose licenses have been revoked. </w:t>
      </w:r>
    </w:p>
    <w:p w:rsidR="00B221EE" w:rsidRDefault="00B221EE">
      <w:pPr>
        <w:pStyle w:val="HTMLPreformatted"/>
        <w:rPr>
          <w:rFonts w:ascii="Palatino" w:hAnsi="Palatino"/>
          <w:sz w:val="24"/>
          <w:szCs w:val="24"/>
        </w:rPr>
      </w:pPr>
    </w:p>
    <w:p w:rsidR="00B221EE" w:rsidRDefault="00991A27">
      <w:pPr>
        <w:pStyle w:val="HTMLPreformatted"/>
        <w:rPr>
          <w:rFonts w:ascii="Palatino" w:hAnsi="Palatino"/>
          <w:sz w:val="24"/>
          <w:szCs w:val="24"/>
        </w:rPr>
      </w:pPr>
      <w:r>
        <w:rPr>
          <w:rFonts w:ascii="Palatino" w:hAnsi="Palatino"/>
          <w:sz w:val="24"/>
          <w:szCs w:val="24"/>
        </w:rPr>
        <w:t>If any of the 4</w:t>
      </w:r>
      <w:r w:rsidR="003A635F">
        <w:rPr>
          <w:rFonts w:ascii="Palatino" w:hAnsi="Palatino"/>
          <w:sz w:val="24"/>
          <w:szCs w:val="24"/>
        </w:rPr>
        <w:t>4</w:t>
      </w:r>
      <w:r>
        <w:rPr>
          <w:rFonts w:ascii="Palatino" w:hAnsi="Palatino"/>
          <w:sz w:val="24"/>
          <w:szCs w:val="24"/>
        </w:rPr>
        <w:t xml:space="preserve"> </w:t>
      </w:r>
      <w:r w:rsidR="004A36DD">
        <w:rPr>
          <w:rFonts w:ascii="Palatino" w:hAnsi="Palatino"/>
          <w:sz w:val="24"/>
          <w:szCs w:val="24"/>
        </w:rPr>
        <w:t>telephone</w:t>
      </w:r>
      <w:r>
        <w:rPr>
          <w:rFonts w:ascii="Palatino" w:hAnsi="Palatino"/>
          <w:sz w:val="24"/>
          <w:szCs w:val="24"/>
        </w:rPr>
        <w:t xml:space="preserve"> carriers discussed in this Resolution wishes to </w:t>
      </w:r>
      <w:r w:rsidR="00A94ECC">
        <w:rPr>
          <w:rFonts w:ascii="Palatino" w:hAnsi="Palatino"/>
          <w:sz w:val="24"/>
          <w:szCs w:val="24"/>
        </w:rPr>
        <w:t xml:space="preserve">reinitiate </w:t>
      </w:r>
      <w:r>
        <w:rPr>
          <w:rFonts w:ascii="Palatino" w:hAnsi="Palatino"/>
          <w:sz w:val="24"/>
          <w:szCs w:val="24"/>
        </w:rPr>
        <w:t>operat</w:t>
      </w:r>
      <w:r w:rsidR="00A94ECC">
        <w:rPr>
          <w:rFonts w:ascii="Palatino" w:hAnsi="Palatino"/>
          <w:sz w:val="24"/>
          <w:szCs w:val="24"/>
        </w:rPr>
        <w:t>ions</w:t>
      </w:r>
      <w:r>
        <w:rPr>
          <w:rFonts w:ascii="Palatino" w:hAnsi="Palatino"/>
          <w:sz w:val="24"/>
          <w:szCs w:val="24"/>
        </w:rPr>
        <w:t xml:space="preserve"> in California, the carrier must </w:t>
      </w:r>
      <w:r w:rsidR="00B221EE">
        <w:rPr>
          <w:rFonts w:ascii="Palatino" w:hAnsi="Palatino"/>
          <w:sz w:val="24"/>
          <w:szCs w:val="24"/>
        </w:rPr>
        <w:t xml:space="preserve">reapply for a new operating authority </w:t>
      </w:r>
      <w:r w:rsidR="00753962">
        <w:rPr>
          <w:rFonts w:ascii="Palatino" w:hAnsi="Palatino"/>
          <w:sz w:val="24"/>
          <w:szCs w:val="24"/>
        </w:rPr>
        <w:t>and comply with the following requirements</w:t>
      </w:r>
      <w:r w:rsidR="00B221EE">
        <w:rPr>
          <w:rFonts w:ascii="Palatino" w:hAnsi="Palatino"/>
          <w:sz w:val="24"/>
          <w:szCs w:val="24"/>
        </w:rPr>
        <w:t xml:space="preserve">: a) </w:t>
      </w:r>
      <w:r w:rsidR="00753962">
        <w:rPr>
          <w:rFonts w:ascii="Palatino" w:hAnsi="Palatino"/>
          <w:sz w:val="24"/>
          <w:szCs w:val="24"/>
        </w:rPr>
        <w:t>comply with</w:t>
      </w:r>
      <w:r w:rsidR="00B221EE">
        <w:rPr>
          <w:rFonts w:ascii="Palatino" w:hAnsi="Palatino"/>
          <w:sz w:val="24"/>
          <w:szCs w:val="24"/>
        </w:rPr>
        <w:t xml:space="preserve"> the Commission’s licensing application rules (e.g. performance bond requirement)</w:t>
      </w:r>
      <w:r w:rsidR="00753962">
        <w:rPr>
          <w:rFonts w:ascii="Palatino" w:hAnsi="Palatino"/>
          <w:sz w:val="24"/>
          <w:szCs w:val="24"/>
        </w:rPr>
        <w:t>;</w:t>
      </w:r>
      <w:r w:rsidR="00B221EE">
        <w:rPr>
          <w:rFonts w:ascii="Palatino" w:hAnsi="Palatino"/>
          <w:sz w:val="24"/>
          <w:szCs w:val="24"/>
        </w:rPr>
        <w:t xml:space="preserve"> b) repor</w:t>
      </w:r>
      <w:r w:rsidR="00A94ECC">
        <w:rPr>
          <w:rFonts w:ascii="Palatino" w:hAnsi="Palatino"/>
          <w:sz w:val="24"/>
          <w:szCs w:val="24"/>
        </w:rPr>
        <w:t>t</w:t>
      </w:r>
      <w:r w:rsidR="00B221EE">
        <w:rPr>
          <w:rFonts w:ascii="Palatino" w:hAnsi="Palatino"/>
          <w:sz w:val="24"/>
          <w:szCs w:val="24"/>
        </w:rPr>
        <w:t xml:space="preserve"> all gross intrastate revenue for past periods out of compliance, and c) pay all applicable fees and surcharges including a 25% fine on applicable fees and surcharges for all past periods out of compliance.</w:t>
      </w:r>
    </w:p>
    <w:p w:rsidR="00B221EE" w:rsidRDefault="00B221EE">
      <w:pPr>
        <w:pStyle w:val="HTMLPreformatted"/>
        <w:ind w:left="360"/>
        <w:rPr>
          <w:rFonts w:ascii="Palatino" w:hAnsi="Palatino"/>
          <w:sz w:val="24"/>
          <w:szCs w:val="24"/>
        </w:rPr>
      </w:pPr>
    </w:p>
    <w:p w:rsidR="00B221EE" w:rsidRDefault="00B221EE">
      <w:pPr>
        <w:pStyle w:val="HTMLPreformatted"/>
        <w:rPr>
          <w:rFonts w:ascii="Palatino" w:hAnsi="Palatino"/>
          <w:sz w:val="24"/>
          <w:szCs w:val="24"/>
        </w:rPr>
      </w:pPr>
      <w:r>
        <w:rPr>
          <w:rFonts w:ascii="Palatino" w:hAnsi="Palatino"/>
          <w:sz w:val="24"/>
          <w:szCs w:val="24"/>
        </w:rPr>
        <w:t xml:space="preserve">Commission staff is authorized to collect a 25% fine on all applicable fees and surcharges from any </w:t>
      </w:r>
      <w:r w:rsidR="004A36DD">
        <w:rPr>
          <w:rFonts w:ascii="Palatino" w:hAnsi="Palatino"/>
          <w:sz w:val="24"/>
          <w:szCs w:val="24"/>
        </w:rPr>
        <w:t>telephone</w:t>
      </w:r>
      <w:r w:rsidR="00991A27">
        <w:rPr>
          <w:rFonts w:ascii="Palatino" w:hAnsi="Palatino"/>
          <w:sz w:val="24"/>
          <w:szCs w:val="24"/>
        </w:rPr>
        <w:t xml:space="preserve"> </w:t>
      </w:r>
      <w:r>
        <w:rPr>
          <w:rFonts w:ascii="Palatino" w:hAnsi="Palatino"/>
          <w:sz w:val="24"/>
          <w:szCs w:val="24"/>
        </w:rPr>
        <w:t>carrier whose operating license has been revoked and is applying for a new operating authority. The Commission will remit the fine to the State Treasury.</w:t>
      </w:r>
    </w:p>
    <w:p w:rsidR="00B221EE" w:rsidRDefault="00B221EE">
      <w:pPr>
        <w:pStyle w:val="HTMLPreformatted"/>
        <w:rPr>
          <w:rFonts w:ascii="Palatino" w:hAnsi="Palatino"/>
          <w:sz w:val="24"/>
          <w:szCs w:val="24"/>
        </w:rPr>
      </w:pPr>
    </w:p>
    <w:p w:rsidR="00B221EE" w:rsidRDefault="00B221EE">
      <w:pPr>
        <w:rPr>
          <w:b/>
          <w:u w:val="single"/>
        </w:rPr>
      </w:pPr>
      <w:r>
        <w:rPr>
          <w:b/>
          <w:u w:val="single"/>
        </w:rPr>
        <w:t>COMMENTS ON THE DRAFT RESOLUTION</w:t>
      </w:r>
    </w:p>
    <w:p w:rsidR="00B221EE" w:rsidRDefault="00B221EE">
      <w:pPr>
        <w:rPr>
          <w:b/>
          <w:u w:val="single"/>
        </w:rPr>
      </w:pPr>
    </w:p>
    <w:p w:rsidR="00B221EE" w:rsidRDefault="00B221EE">
      <w:pPr>
        <w:tabs>
          <w:tab w:val="left" w:pos="-1440"/>
          <w:tab w:val="left" w:pos="-720"/>
        </w:tabs>
        <w:suppressAutoHyphens/>
      </w:pPr>
      <w:r>
        <w:t xml:space="preserve">In compliance with PU Code § 311 (g), a Notice of Availability was e-mailed on </w:t>
      </w:r>
      <w:r w:rsidR="00262FDD">
        <w:t>August 18</w:t>
      </w:r>
      <w:r>
        <w:t>, 201</w:t>
      </w:r>
      <w:r w:rsidR="00262FDD">
        <w:t>5</w:t>
      </w:r>
      <w:r>
        <w:t xml:space="preserve"> to all </w:t>
      </w:r>
      <w:r w:rsidR="004A36DD">
        <w:t>telephone</w:t>
      </w:r>
      <w:r>
        <w:t xml:space="preserve"> carriers informing these parties that the draft of this Resolution is available at the Commission’s website http://www.cpuc.ca.gov/ and is available for public comments.  In addition, CD informed these parties of the subsequent availability of the conformed resolution, when adopted by the Commission, at the </w:t>
      </w:r>
      <w:r w:rsidR="006452E8">
        <w:t xml:space="preserve">same </w:t>
      </w:r>
      <w:r>
        <w:t xml:space="preserve">Commission’s website.  </w:t>
      </w:r>
    </w:p>
    <w:p w:rsidR="00B221EE" w:rsidRDefault="00B221EE">
      <w:pPr>
        <w:rPr>
          <w:b/>
        </w:rPr>
      </w:pPr>
    </w:p>
    <w:p w:rsidR="00B221EE" w:rsidRDefault="00982A8E">
      <w:pPr>
        <w:pStyle w:val="HTMLPreformatted"/>
        <w:rPr>
          <w:rFonts w:ascii="Palatino" w:hAnsi="Palatino"/>
          <w:sz w:val="24"/>
          <w:szCs w:val="24"/>
        </w:rPr>
      </w:pPr>
      <w:r>
        <w:rPr>
          <w:rFonts w:ascii="Palatino" w:hAnsi="Palatino"/>
          <w:sz w:val="24"/>
          <w:szCs w:val="24"/>
        </w:rPr>
        <w:t xml:space="preserve">This included notice </w:t>
      </w:r>
      <w:r w:rsidR="00B221EE">
        <w:rPr>
          <w:rFonts w:ascii="Palatino" w:hAnsi="Palatino"/>
          <w:sz w:val="24"/>
          <w:szCs w:val="24"/>
        </w:rPr>
        <w:t xml:space="preserve">of </w:t>
      </w:r>
      <w:r>
        <w:rPr>
          <w:rFonts w:ascii="Palatino" w:hAnsi="Palatino"/>
          <w:sz w:val="24"/>
          <w:szCs w:val="24"/>
        </w:rPr>
        <w:t xml:space="preserve">the decertified </w:t>
      </w:r>
      <w:r w:rsidR="00B221EE">
        <w:rPr>
          <w:rFonts w:ascii="Palatino" w:hAnsi="Palatino"/>
          <w:sz w:val="24"/>
          <w:szCs w:val="24"/>
        </w:rPr>
        <w:t>carrier names on this Resolution appear</w:t>
      </w:r>
      <w:r>
        <w:rPr>
          <w:rFonts w:ascii="Palatino" w:hAnsi="Palatino"/>
          <w:sz w:val="24"/>
          <w:szCs w:val="24"/>
        </w:rPr>
        <w:t>ing</w:t>
      </w:r>
      <w:r w:rsidR="00B221EE">
        <w:rPr>
          <w:rFonts w:ascii="Palatino" w:hAnsi="Palatino"/>
          <w:sz w:val="24"/>
          <w:szCs w:val="24"/>
        </w:rPr>
        <w:t xml:space="preserve"> on the </w:t>
      </w:r>
      <w:r w:rsidR="00A94ECC">
        <w:rPr>
          <w:rFonts w:ascii="Palatino" w:hAnsi="Palatino"/>
          <w:sz w:val="24"/>
          <w:szCs w:val="24"/>
        </w:rPr>
        <w:t>C</w:t>
      </w:r>
      <w:r w:rsidR="00B221EE">
        <w:rPr>
          <w:rFonts w:ascii="Palatino" w:hAnsi="Palatino"/>
          <w:sz w:val="24"/>
          <w:szCs w:val="24"/>
        </w:rPr>
        <w:t>PUC’s Daily Calendar</w:t>
      </w:r>
      <w:r w:rsidR="000D7C19">
        <w:rPr>
          <w:rFonts w:ascii="Palatino" w:hAnsi="Palatino"/>
          <w:sz w:val="24"/>
          <w:szCs w:val="24"/>
        </w:rPr>
        <w:t xml:space="preserve">, </w:t>
      </w:r>
      <w:r>
        <w:rPr>
          <w:rFonts w:ascii="Palatino" w:hAnsi="Palatino"/>
          <w:sz w:val="24"/>
          <w:szCs w:val="24"/>
        </w:rPr>
        <w:t>available</w:t>
      </w:r>
      <w:r w:rsidR="00B221EE">
        <w:rPr>
          <w:rFonts w:ascii="Palatino" w:hAnsi="Palatino"/>
          <w:sz w:val="24"/>
          <w:szCs w:val="24"/>
        </w:rPr>
        <w:t xml:space="preserve"> for 30 days.  Interested parties were invited to contact CD staff with questions or written comments on this Resolution.</w:t>
      </w:r>
    </w:p>
    <w:p w:rsidR="0011009F" w:rsidRDefault="0011009F">
      <w:pPr>
        <w:pStyle w:val="HTMLPreformatted"/>
        <w:rPr>
          <w:rFonts w:ascii="Palatino" w:hAnsi="Palatino"/>
          <w:sz w:val="24"/>
          <w:szCs w:val="24"/>
        </w:rPr>
      </w:pPr>
    </w:p>
    <w:p w:rsidR="0011009F" w:rsidRDefault="0011009F">
      <w:pPr>
        <w:pStyle w:val="HTMLPreformatted"/>
        <w:rPr>
          <w:rFonts w:ascii="Palatino" w:hAnsi="Palatino"/>
          <w:sz w:val="24"/>
          <w:szCs w:val="24"/>
        </w:rPr>
      </w:pPr>
    </w:p>
    <w:p w:rsidR="0011009F" w:rsidRDefault="0011009F">
      <w:pPr>
        <w:pStyle w:val="HTMLPreformatted"/>
        <w:rPr>
          <w:rFonts w:ascii="Palatino" w:hAnsi="Palatino"/>
          <w:sz w:val="24"/>
          <w:szCs w:val="24"/>
        </w:rPr>
      </w:pPr>
    </w:p>
    <w:p w:rsidR="00B221EE" w:rsidRDefault="00B221EE">
      <w:pPr>
        <w:pStyle w:val="HTMLPreformatted"/>
        <w:rPr>
          <w:rFonts w:ascii="Palatino" w:hAnsi="Palatino"/>
          <w:sz w:val="24"/>
          <w:szCs w:val="24"/>
        </w:rPr>
      </w:pPr>
    </w:p>
    <w:p w:rsidR="00B221EE" w:rsidRDefault="00B221EE">
      <w:pPr>
        <w:rPr>
          <w:b/>
          <w:u w:val="single"/>
        </w:rPr>
      </w:pPr>
      <w:r>
        <w:rPr>
          <w:b/>
          <w:u w:val="single"/>
        </w:rPr>
        <w:t>FINDINGS</w:t>
      </w:r>
      <w:r w:rsidR="00505502">
        <w:rPr>
          <w:b/>
          <w:u w:val="single"/>
        </w:rPr>
        <w:t xml:space="preserve"> AND CONCLUSIONS</w:t>
      </w:r>
    </w:p>
    <w:p w:rsidR="00B221EE" w:rsidRDefault="00B221EE"/>
    <w:p w:rsidR="00B221EE" w:rsidRPr="00EC7291" w:rsidRDefault="00991A27">
      <w:pPr>
        <w:pStyle w:val="HTMLPreformatted"/>
        <w:numPr>
          <w:ilvl w:val="0"/>
          <w:numId w:val="29"/>
        </w:numPr>
        <w:tabs>
          <w:tab w:val="clear" w:pos="916"/>
          <w:tab w:val="left" w:pos="720"/>
        </w:tabs>
        <w:rPr>
          <w:rFonts w:ascii="Palatino" w:hAnsi="Palatino"/>
          <w:sz w:val="24"/>
          <w:szCs w:val="24"/>
        </w:rPr>
      </w:pPr>
      <w:r>
        <w:rPr>
          <w:rFonts w:ascii="Palatino" w:hAnsi="Palatino"/>
          <w:sz w:val="24"/>
          <w:szCs w:val="24"/>
        </w:rPr>
        <w:t>All 4</w:t>
      </w:r>
      <w:r w:rsidR="003A635F">
        <w:rPr>
          <w:rFonts w:ascii="Palatino" w:hAnsi="Palatino"/>
          <w:sz w:val="24"/>
          <w:szCs w:val="24"/>
        </w:rPr>
        <w:t>4</w:t>
      </w:r>
      <w:r>
        <w:rPr>
          <w:rFonts w:ascii="Palatino" w:hAnsi="Palatino"/>
          <w:sz w:val="24"/>
          <w:szCs w:val="24"/>
        </w:rPr>
        <w:t xml:space="preserve"> </w:t>
      </w:r>
      <w:r w:rsidR="004A36DD">
        <w:rPr>
          <w:rFonts w:ascii="Palatino" w:hAnsi="Palatino"/>
          <w:sz w:val="24"/>
          <w:szCs w:val="24"/>
        </w:rPr>
        <w:t>telephone</w:t>
      </w:r>
      <w:r w:rsidR="00B221EE">
        <w:rPr>
          <w:rFonts w:ascii="Palatino" w:hAnsi="Palatino"/>
          <w:sz w:val="24"/>
          <w:szCs w:val="24"/>
        </w:rPr>
        <w:t xml:space="preserve"> carriers listed in </w:t>
      </w:r>
      <w:r w:rsidR="00505502">
        <w:rPr>
          <w:rFonts w:ascii="Palatino" w:hAnsi="Palatino"/>
          <w:sz w:val="24"/>
          <w:szCs w:val="24"/>
        </w:rPr>
        <w:t>A</w:t>
      </w:r>
      <w:r w:rsidR="002A780F" w:rsidRPr="00EC7291">
        <w:rPr>
          <w:rFonts w:ascii="Palatino" w:hAnsi="Palatino"/>
          <w:sz w:val="24"/>
          <w:szCs w:val="24"/>
        </w:rPr>
        <w:t xml:space="preserve">ppendices </w:t>
      </w:r>
      <w:r w:rsidR="00505502">
        <w:rPr>
          <w:rFonts w:ascii="Palatino" w:hAnsi="Palatino"/>
          <w:sz w:val="24"/>
          <w:szCs w:val="24"/>
        </w:rPr>
        <w:t xml:space="preserve">A and B </w:t>
      </w:r>
      <w:r>
        <w:rPr>
          <w:rFonts w:ascii="Palatino" w:hAnsi="Palatino"/>
          <w:sz w:val="24"/>
          <w:szCs w:val="24"/>
        </w:rPr>
        <w:t xml:space="preserve">to this Resolution </w:t>
      </w:r>
      <w:r w:rsidR="00B221EE" w:rsidRPr="00EC7291">
        <w:rPr>
          <w:rFonts w:ascii="Palatino" w:hAnsi="Palatino"/>
          <w:sz w:val="24"/>
          <w:szCs w:val="24"/>
        </w:rPr>
        <w:t xml:space="preserve">have received </w:t>
      </w:r>
      <w:r>
        <w:rPr>
          <w:rFonts w:ascii="Palatino" w:hAnsi="Palatino"/>
          <w:sz w:val="24"/>
          <w:szCs w:val="24"/>
        </w:rPr>
        <w:t xml:space="preserve">an </w:t>
      </w:r>
      <w:r w:rsidR="00B221EE" w:rsidRPr="00EC7291">
        <w:rPr>
          <w:rFonts w:ascii="Palatino" w:hAnsi="Palatino"/>
          <w:sz w:val="24"/>
          <w:szCs w:val="24"/>
        </w:rPr>
        <w:t>operating authority from the Commission</w:t>
      </w:r>
      <w:r w:rsidR="00505502">
        <w:rPr>
          <w:rFonts w:ascii="Palatino" w:hAnsi="Palatino"/>
          <w:sz w:val="24"/>
          <w:szCs w:val="24"/>
        </w:rPr>
        <w:t xml:space="preserve"> at various times</w:t>
      </w:r>
      <w:r w:rsidR="00B221EE" w:rsidRPr="00EC7291">
        <w:rPr>
          <w:rFonts w:ascii="Palatino" w:hAnsi="Palatino"/>
          <w:sz w:val="24"/>
          <w:szCs w:val="24"/>
        </w:rPr>
        <w:t xml:space="preserve">. </w:t>
      </w:r>
    </w:p>
    <w:p w:rsidR="00B221EE" w:rsidRPr="00EC7291" w:rsidRDefault="00B221EE">
      <w:pPr>
        <w:pStyle w:val="HTMLPreformatted"/>
        <w:tabs>
          <w:tab w:val="clear" w:pos="916"/>
          <w:tab w:val="left" w:pos="720"/>
          <w:tab w:val="num" w:pos="810"/>
        </w:tabs>
        <w:ind w:left="810" w:hanging="450"/>
        <w:rPr>
          <w:rFonts w:ascii="Palatino" w:hAnsi="Palatino"/>
          <w:sz w:val="24"/>
          <w:szCs w:val="24"/>
        </w:rPr>
      </w:pPr>
    </w:p>
    <w:p w:rsidR="00505502" w:rsidRPr="00505502" w:rsidRDefault="00B221EE" w:rsidP="00355C0A">
      <w:pPr>
        <w:pStyle w:val="HTMLPreformatted"/>
        <w:numPr>
          <w:ilvl w:val="0"/>
          <w:numId w:val="29"/>
        </w:numPr>
        <w:tabs>
          <w:tab w:val="left" w:pos="720"/>
        </w:tabs>
        <w:rPr>
          <w:rFonts w:ascii="Palatino" w:hAnsi="Palatino"/>
          <w:sz w:val="24"/>
        </w:rPr>
      </w:pPr>
      <w:r w:rsidRPr="00EC7291">
        <w:rPr>
          <w:rFonts w:ascii="Palatino" w:hAnsi="Palatino"/>
          <w:sz w:val="24"/>
          <w:szCs w:val="24"/>
        </w:rPr>
        <w:t xml:space="preserve">Public Utilities </w:t>
      </w:r>
      <w:r w:rsidR="00505502">
        <w:rPr>
          <w:rFonts w:ascii="Palatino" w:hAnsi="Palatino"/>
          <w:sz w:val="24"/>
          <w:szCs w:val="24"/>
        </w:rPr>
        <w:t xml:space="preserve">(PU) </w:t>
      </w:r>
      <w:r w:rsidRPr="00EC7291">
        <w:rPr>
          <w:rFonts w:ascii="Palatino" w:hAnsi="Palatino"/>
          <w:sz w:val="24"/>
          <w:szCs w:val="24"/>
        </w:rPr>
        <w:t xml:space="preserve">Code </w:t>
      </w:r>
      <w:r w:rsidR="00991A27">
        <w:rPr>
          <w:rFonts w:ascii="Palatino" w:hAnsi="Palatino"/>
          <w:sz w:val="24"/>
          <w:szCs w:val="24"/>
        </w:rPr>
        <w:t>§§</w:t>
      </w:r>
      <w:r w:rsidR="00A94ECC">
        <w:rPr>
          <w:rFonts w:ascii="Palatino" w:hAnsi="Palatino"/>
          <w:sz w:val="24"/>
          <w:szCs w:val="24"/>
        </w:rPr>
        <w:t xml:space="preserve"> </w:t>
      </w:r>
      <w:r w:rsidRPr="00EC7291">
        <w:rPr>
          <w:rFonts w:ascii="Palatino" w:hAnsi="Palatino"/>
          <w:sz w:val="24"/>
          <w:szCs w:val="24"/>
        </w:rPr>
        <w:t xml:space="preserve">401 through 405 require </w:t>
      </w:r>
      <w:r w:rsidR="004A36DD">
        <w:rPr>
          <w:rFonts w:ascii="Palatino" w:hAnsi="Palatino"/>
          <w:sz w:val="24"/>
          <w:szCs w:val="24"/>
        </w:rPr>
        <w:t>telephone</w:t>
      </w:r>
      <w:r w:rsidR="00991A27" w:rsidRPr="00EC7291">
        <w:rPr>
          <w:rFonts w:ascii="Palatino" w:hAnsi="Palatino"/>
          <w:sz w:val="24"/>
          <w:szCs w:val="24"/>
        </w:rPr>
        <w:t xml:space="preserve"> </w:t>
      </w:r>
      <w:r w:rsidRPr="00EC7291">
        <w:rPr>
          <w:rFonts w:ascii="Palatino" w:hAnsi="Palatino"/>
          <w:sz w:val="24"/>
          <w:szCs w:val="24"/>
        </w:rPr>
        <w:t xml:space="preserve">carriers to annually or quarterly report </w:t>
      </w:r>
      <w:r w:rsidR="00505502">
        <w:rPr>
          <w:rFonts w:ascii="Palatino" w:hAnsi="Palatino"/>
          <w:sz w:val="24"/>
          <w:szCs w:val="24"/>
        </w:rPr>
        <w:t xml:space="preserve">their </w:t>
      </w:r>
      <w:r w:rsidRPr="00EC7291">
        <w:rPr>
          <w:rFonts w:ascii="Palatino" w:hAnsi="Palatino"/>
          <w:sz w:val="24"/>
          <w:szCs w:val="24"/>
        </w:rPr>
        <w:t xml:space="preserve">California </w:t>
      </w:r>
      <w:r w:rsidR="00991A27">
        <w:rPr>
          <w:rFonts w:ascii="Palatino" w:hAnsi="Palatino"/>
          <w:sz w:val="24"/>
          <w:szCs w:val="24"/>
        </w:rPr>
        <w:t xml:space="preserve">intrastate </w:t>
      </w:r>
      <w:r w:rsidRPr="00EC7291">
        <w:rPr>
          <w:rFonts w:ascii="Palatino" w:hAnsi="Palatino"/>
          <w:sz w:val="24"/>
          <w:szCs w:val="24"/>
        </w:rPr>
        <w:t>revenues and remit corresponding CPUC Utilities Reimbursement Account Fees</w:t>
      </w:r>
      <w:r w:rsidR="00505502">
        <w:rPr>
          <w:rFonts w:ascii="Palatino" w:hAnsi="Palatino"/>
          <w:sz w:val="24"/>
          <w:szCs w:val="24"/>
        </w:rPr>
        <w:t xml:space="preserve"> (User Fees)</w:t>
      </w:r>
      <w:r w:rsidRPr="00EC7291">
        <w:rPr>
          <w:rFonts w:ascii="Palatino" w:hAnsi="Palatino"/>
          <w:sz w:val="24"/>
          <w:szCs w:val="24"/>
        </w:rPr>
        <w:t xml:space="preserve">.  </w:t>
      </w:r>
    </w:p>
    <w:p w:rsidR="00505502" w:rsidRPr="00137BAD" w:rsidRDefault="00505502" w:rsidP="00137BAD">
      <w:pPr>
        <w:ind w:left="360"/>
        <w:rPr>
          <w:szCs w:val="24"/>
        </w:rPr>
      </w:pPr>
    </w:p>
    <w:p w:rsidR="00B221EE" w:rsidRPr="00612AB0" w:rsidRDefault="00B221EE" w:rsidP="00355C0A">
      <w:pPr>
        <w:pStyle w:val="HTMLPreformatted"/>
        <w:numPr>
          <w:ilvl w:val="0"/>
          <w:numId w:val="29"/>
        </w:numPr>
        <w:tabs>
          <w:tab w:val="left" w:pos="720"/>
        </w:tabs>
        <w:rPr>
          <w:rFonts w:ascii="Palatino Linotype" w:hAnsi="Palatino Linotype"/>
          <w:sz w:val="24"/>
        </w:rPr>
      </w:pPr>
      <w:r w:rsidRPr="00612AB0">
        <w:rPr>
          <w:rFonts w:ascii="Palatino Linotype" w:hAnsi="Palatino Linotype"/>
          <w:sz w:val="24"/>
        </w:rPr>
        <w:t xml:space="preserve">PU Code </w:t>
      </w:r>
      <w:r w:rsidR="00991A27" w:rsidRPr="00612AB0">
        <w:rPr>
          <w:rFonts w:ascii="Palatino Linotype" w:hAnsi="Palatino Linotype"/>
          <w:sz w:val="24"/>
          <w:szCs w:val="24"/>
        </w:rPr>
        <w:t>§</w:t>
      </w:r>
      <w:r w:rsidR="00753962" w:rsidRPr="00612AB0">
        <w:rPr>
          <w:rFonts w:ascii="Palatino Linotype" w:hAnsi="Palatino Linotype"/>
          <w:sz w:val="24"/>
          <w:szCs w:val="24"/>
        </w:rPr>
        <w:t xml:space="preserve"> </w:t>
      </w:r>
      <w:r w:rsidRPr="00612AB0">
        <w:rPr>
          <w:rFonts w:ascii="Palatino Linotype" w:hAnsi="Palatino Linotype"/>
          <w:sz w:val="24"/>
        </w:rPr>
        <w:t>405</w:t>
      </w:r>
      <w:r w:rsidR="00505502" w:rsidRPr="00612AB0">
        <w:rPr>
          <w:rFonts w:ascii="Palatino Linotype" w:hAnsi="Palatino Linotype"/>
          <w:sz w:val="24"/>
        </w:rPr>
        <w:t xml:space="preserve"> authorizes the Commission to</w:t>
      </w:r>
      <w:r w:rsidRPr="00612AB0">
        <w:rPr>
          <w:rFonts w:ascii="Palatino Linotype" w:hAnsi="Palatino Linotype"/>
          <w:sz w:val="24"/>
          <w:szCs w:val="24"/>
        </w:rPr>
        <w:t xml:space="preserve"> </w:t>
      </w:r>
      <w:r w:rsidRPr="00612AB0">
        <w:rPr>
          <w:rFonts w:ascii="Palatino Linotype" w:hAnsi="Palatino Linotype"/>
          <w:sz w:val="24"/>
        </w:rPr>
        <w:t xml:space="preserve">suspend or revoke operating </w:t>
      </w:r>
      <w:r w:rsidR="00753962" w:rsidRPr="00612AB0">
        <w:rPr>
          <w:rFonts w:ascii="Palatino Linotype" w:hAnsi="Palatino Linotype"/>
          <w:sz w:val="24"/>
        </w:rPr>
        <w:t xml:space="preserve">authority </w:t>
      </w:r>
      <w:r w:rsidRPr="00612AB0">
        <w:rPr>
          <w:rFonts w:ascii="Palatino Linotype" w:hAnsi="Palatino Linotype"/>
          <w:sz w:val="24"/>
        </w:rPr>
        <w:t xml:space="preserve">of </w:t>
      </w:r>
      <w:r w:rsidR="004A36DD" w:rsidRPr="00612AB0">
        <w:rPr>
          <w:rFonts w:ascii="Palatino Linotype" w:hAnsi="Palatino Linotype"/>
          <w:sz w:val="24"/>
        </w:rPr>
        <w:t>telephone</w:t>
      </w:r>
      <w:r w:rsidR="00991A27" w:rsidRPr="00612AB0">
        <w:rPr>
          <w:rFonts w:ascii="Palatino Linotype" w:hAnsi="Palatino Linotype"/>
          <w:sz w:val="24"/>
        </w:rPr>
        <w:t xml:space="preserve"> </w:t>
      </w:r>
      <w:r w:rsidRPr="00612AB0">
        <w:rPr>
          <w:rFonts w:ascii="Palatino Linotype" w:hAnsi="Palatino Linotype"/>
          <w:sz w:val="24"/>
        </w:rPr>
        <w:t>carriers that are remiss in reporting and remitting the User Fees for more than 30 days.</w:t>
      </w:r>
    </w:p>
    <w:p w:rsidR="00EB546A" w:rsidRPr="00612AB0" w:rsidRDefault="00EB546A" w:rsidP="001A4534">
      <w:pPr>
        <w:pStyle w:val="HTMLPreformatted"/>
        <w:rPr>
          <w:rFonts w:ascii="Palatino Linotype" w:hAnsi="Palatino Linotype"/>
          <w:sz w:val="24"/>
        </w:rPr>
      </w:pPr>
    </w:p>
    <w:p w:rsidR="00B221EE" w:rsidRPr="00612AB0" w:rsidRDefault="00505502" w:rsidP="0086013C">
      <w:pPr>
        <w:pStyle w:val="HTMLPreformatted"/>
        <w:numPr>
          <w:ilvl w:val="0"/>
          <w:numId w:val="29"/>
        </w:numPr>
        <w:tabs>
          <w:tab w:val="left" w:pos="720"/>
          <w:tab w:val="num" w:pos="810"/>
        </w:tabs>
        <w:ind w:left="810" w:hanging="450"/>
        <w:rPr>
          <w:rFonts w:ascii="Palatino Linotype" w:hAnsi="Palatino Linotype"/>
          <w:sz w:val="24"/>
          <w:szCs w:val="24"/>
        </w:rPr>
      </w:pPr>
      <w:r w:rsidRPr="00612AB0">
        <w:rPr>
          <w:rFonts w:ascii="Palatino Linotype" w:hAnsi="Palatino Linotype"/>
          <w:sz w:val="24"/>
        </w:rPr>
        <w:t>I</w:t>
      </w:r>
      <w:r w:rsidR="007C1B11" w:rsidRPr="00612AB0">
        <w:rPr>
          <w:rFonts w:ascii="Palatino Linotype" w:hAnsi="Palatino Linotype"/>
          <w:sz w:val="24"/>
        </w:rPr>
        <w:t>n D</w:t>
      </w:r>
      <w:r w:rsidRPr="00612AB0">
        <w:rPr>
          <w:rFonts w:ascii="Palatino Linotype" w:hAnsi="Palatino Linotype"/>
          <w:sz w:val="24"/>
        </w:rPr>
        <w:t>ecision (D)</w:t>
      </w:r>
      <w:r w:rsidR="007C1B11" w:rsidRPr="00612AB0">
        <w:rPr>
          <w:rFonts w:ascii="Palatino Linotype" w:hAnsi="Palatino Linotype"/>
          <w:sz w:val="24"/>
        </w:rPr>
        <w:t>. 13-05-035</w:t>
      </w:r>
      <w:r w:rsidRPr="00612AB0">
        <w:rPr>
          <w:rFonts w:ascii="Palatino Linotype" w:hAnsi="Palatino Linotype"/>
          <w:sz w:val="24"/>
        </w:rPr>
        <w:t>, the Commission</w:t>
      </w:r>
      <w:r w:rsidR="007C1B11" w:rsidRPr="00612AB0">
        <w:rPr>
          <w:rFonts w:ascii="Palatino Linotype" w:hAnsi="Palatino Linotype"/>
          <w:sz w:val="24"/>
        </w:rPr>
        <w:t xml:space="preserve"> set a minimum User </w:t>
      </w:r>
      <w:r w:rsidRPr="00612AB0">
        <w:rPr>
          <w:rFonts w:ascii="Palatino Linotype" w:hAnsi="Palatino Linotype"/>
          <w:sz w:val="24"/>
        </w:rPr>
        <w:t xml:space="preserve">Fee </w:t>
      </w:r>
      <w:r w:rsidR="007C1B11" w:rsidRPr="00612AB0">
        <w:rPr>
          <w:rFonts w:ascii="Palatino Linotype" w:hAnsi="Palatino Linotype"/>
          <w:sz w:val="24"/>
        </w:rPr>
        <w:t>amount of</w:t>
      </w:r>
      <w:r w:rsidR="00A94ECC">
        <w:rPr>
          <w:rFonts w:ascii="Palatino Linotype" w:hAnsi="Palatino Linotype"/>
          <w:sz w:val="24"/>
        </w:rPr>
        <w:t xml:space="preserve"> </w:t>
      </w:r>
      <w:r w:rsidR="007C1B11" w:rsidRPr="00612AB0">
        <w:rPr>
          <w:rFonts w:ascii="Palatino Linotype" w:hAnsi="Palatino Linotype"/>
          <w:sz w:val="24"/>
        </w:rPr>
        <w:t>$100</w:t>
      </w:r>
      <w:r w:rsidR="0086013C" w:rsidRPr="00612AB0">
        <w:rPr>
          <w:rFonts w:ascii="Palatino Linotype" w:hAnsi="Palatino Linotype"/>
          <w:sz w:val="24"/>
        </w:rPr>
        <w:t xml:space="preserve"> </w:t>
      </w:r>
      <w:r w:rsidR="007C1B11" w:rsidRPr="00612AB0">
        <w:rPr>
          <w:rFonts w:ascii="Palatino Linotype" w:hAnsi="Palatino Linotype"/>
          <w:sz w:val="24"/>
        </w:rPr>
        <w:t xml:space="preserve">for all </w:t>
      </w:r>
      <w:r w:rsidR="0086013C" w:rsidRPr="00612AB0">
        <w:rPr>
          <w:rFonts w:ascii="Palatino Linotype" w:hAnsi="Palatino Linotype" w:cs="Times New Roman"/>
          <w:sz w:val="24"/>
          <w:szCs w:val="24"/>
        </w:rPr>
        <w:t>telephone corporations holding</w:t>
      </w:r>
      <w:r w:rsidRPr="00612AB0">
        <w:rPr>
          <w:rFonts w:ascii="Palatino Linotype" w:hAnsi="Palatino Linotype" w:cs="Times New Roman"/>
          <w:sz w:val="24"/>
          <w:szCs w:val="24"/>
        </w:rPr>
        <w:t xml:space="preserve"> a</w:t>
      </w:r>
      <w:r w:rsidR="0086013C" w:rsidRPr="00612AB0">
        <w:rPr>
          <w:rFonts w:ascii="Palatino Linotype" w:hAnsi="Palatino Linotype" w:cs="Times New Roman"/>
          <w:sz w:val="24"/>
          <w:szCs w:val="24"/>
        </w:rPr>
        <w:t xml:space="preserve"> Certificate of Public Convenience and Necessity (CPCN) authority </w:t>
      </w:r>
      <w:r w:rsidRPr="00612AB0">
        <w:rPr>
          <w:rFonts w:ascii="Palatino Linotype" w:hAnsi="Palatino Linotype" w:cs="Times New Roman"/>
          <w:sz w:val="24"/>
          <w:szCs w:val="24"/>
        </w:rPr>
        <w:t xml:space="preserve">or a </w:t>
      </w:r>
      <w:r w:rsidR="0086013C" w:rsidRPr="00612AB0">
        <w:rPr>
          <w:rFonts w:ascii="Palatino Linotype" w:hAnsi="Palatino Linotype" w:cs="Times New Roman"/>
          <w:sz w:val="24"/>
          <w:szCs w:val="24"/>
        </w:rPr>
        <w:t>Wireless Identification Registration</w:t>
      </w:r>
      <w:r w:rsidR="00ED235C" w:rsidRPr="00612AB0">
        <w:rPr>
          <w:rFonts w:ascii="Palatino Linotype" w:hAnsi="Palatino Linotype" w:cs="Times New Roman"/>
          <w:sz w:val="24"/>
          <w:szCs w:val="24"/>
        </w:rPr>
        <w:t xml:space="preserve"> (WIR)</w:t>
      </w:r>
      <w:r w:rsidR="00753962" w:rsidRPr="00612AB0">
        <w:rPr>
          <w:rFonts w:ascii="Palatino Linotype" w:hAnsi="Palatino Linotype" w:cs="Times New Roman"/>
          <w:sz w:val="24"/>
          <w:szCs w:val="24"/>
        </w:rPr>
        <w:t xml:space="preserve"> </w:t>
      </w:r>
      <w:r w:rsidR="00991A27" w:rsidRPr="00612AB0">
        <w:rPr>
          <w:rFonts w:ascii="Palatino Linotype" w:hAnsi="Palatino Linotype" w:cs="Times New Roman"/>
          <w:sz w:val="24"/>
          <w:szCs w:val="24"/>
        </w:rPr>
        <w:t xml:space="preserve">to be paid </w:t>
      </w:r>
      <w:r w:rsidRPr="00612AB0">
        <w:rPr>
          <w:rFonts w:ascii="Palatino Linotype" w:hAnsi="Palatino Linotype" w:cs="Times New Roman"/>
          <w:sz w:val="24"/>
          <w:szCs w:val="24"/>
        </w:rPr>
        <w:t>annual</w:t>
      </w:r>
      <w:r w:rsidR="00B90329">
        <w:rPr>
          <w:rFonts w:ascii="Palatino Linotype" w:hAnsi="Palatino Linotype" w:cs="Times New Roman"/>
          <w:sz w:val="24"/>
          <w:szCs w:val="24"/>
        </w:rPr>
        <w:t>ly</w:t>
      </w:r>
      <w:r w:rsidRPr="00612AB0">
        <w:rPr>
          <w:rFonts w:ascii="Palatino Linotype" w:hAnsi="Palatino Linotype" w:cs="Times New Roman"/>
          <w:sz w:val="24"/>
          <w:szCs w:val="24"/>
        </w:rPr>
        <w:t xml:space="preserve">, even if the telephone corporation </w:t>
      </w:r>
      <w:r w:rsidR="00B90329">
        <w:rPr>
          <w:rFonts w:ascii="Palatino Linotype" w:hAnsi="Palatino Linotype" w:cs="Times New Roman"/>
          <w:sz w:val="24"/>
          <w:szCs w:val="24"/>
        </w:rPr>
        <w:t>reports</w:t>
      </w:r>
      <w:r w:rsidR="00B90329" w:rsidRPr="00612AB0">
        <w:rPr>
          <w:rFonts w:ascii="Palatino Linotype" w:hAnsi="Palatino Linotype" w:cs="Times New Roman"/>
          <w:sz w:val="24"/>
          <w:szCs w:val="24"/>
        </w:rPr>
        <w:t xml:space="preserve"> </w:t>
      </w:r>
      <w:r w:rsidR="00991A27" w:rsidRPr="00612AB0">
        <w:rPr>
          <w:rFonts w:ascii="Palatino Linotype" w:hAnsi="Palatino Linotype" w:cs="Times New Roman"/>
          <w:sz w:val="24"/>
          <w:szCs w:val="24"/>
        </w:rPr>
        <w:t xml:space="preserve">zero </w:t>
      </w:r>
      <w:r w:rsidR="00B54F1C">
        <w:rPr>
          <w:rFonts w:ascii="Palatino Linotype" w:hAnsi="Palatino Linotype" w:cs="Times New Roman"/>
          <w:sz w:val="24"/>
          <w:szCs w:val="24"/>
        </w:rPr>
        <w:t>intrastate revenue</w:t>
      </w:r>
      <w:r w:rsidRPr="00612AB0">
        <w:rPr>
          <w:rFonts w:ascii="Palatino Linotype" w:hAnsi="Palatino Linotype" w:cs="Times New Roman"/>
          <w:sz w:val="24"/>
          <w:szCs w:val="24"/>
        </w:rPr>
        <w:t>.</w:t>
      </w:r>
      <w:r w:rsidR="0086013C" w:rsidRPr="00612AB0">
        <w:rPr>
          <w:rFonts w:ascii="Palatino Linotype" w:hAnsi="Palatino Linotype" w:cs="Times New Roman"/>
          <w:sz w:val="24"/>
          <w:szCs w:val="24"/>
        </w:rPr>
        <w:t xml:space="preserve"> </w:t>
      </w:r>
      <w:r w:rsidR="0086013C" w:rsidRPr="00612AB0">
        <w:rPr>
          <w:rFonts w:ascii="Palatino Linotype" w:hAnsi="Palatino Linotype"/>
          <w:sz w:val="24"/>
        </w:rPr>
        <w:t xml:space="preserve">      </w:t>
      </w:r>
    </w:p>
    <w:p w:rsidR="0086013C" w:rsidRPr="000D7C19" w:rsidRDefault="0086013C" w:rsidP="0067146B">
      <w:pPr>
        <w:rPr>
          <w:szCs w:val="24"/>
        </w:rPr>
      </w:pPr>
    </w:p>
    <w:p w:rsidR="00991A27" w:rsidRDefault="00B221EE">
      <w:pPr>
        <w:numPr>
          <w:ilvl w:val="0"/>
          <w:numId w:val="29"/>
        </w:numPr>
        <w:tabs>
          <w:tab w:val="left" w:pos="720"/>
        </w:tabs>
        <w:rPr>
          <w:rFonts w:cs="TimesNewRomanPSMT"/>
        </w:rPr>
      </w:pPr>
      <w:r>
        <w:rPr>
          <w:rFonts w:cs="TimesNewRomanPSMT"/>
        </w:rPr>
        <w:t xml:space="preserve">In D. 84-05-053, D. 94-09-065, and D. 09-10-066, the Commission established </w:t>
      </w:r>
      <w:r w:rsidR="00991A27">
        <w:rPr>
          <w:rFonts w:cs="TimesNewRomanPSMT"/>
        </w:rPr>
        <w:t xml:space="preserve">a surcharge funding mechanism to fund the </w:t>
      </w:r>
      <w:r>
        <w:rPr>
          <w:rFonts w:cs="TimesNewRomanPSMT"/>
        </w:rPr>
        <w:t>universal service programs</w:t>
      </w:r>
      <w:r w:rsidR="00991A27">
        <w:rPr>
          <w:rFonts w:cs="TimesNewRomanPSMT"/>
        </w:rPr>
        <w:t>.</w:t>
      </w:r>
    </w:p>
    <w:p w:rsidR="00991A27" w:rsidRPr="000D7C19" w:rsidRDefault="00991A27" w:rsidP="0067146B">
      <w:pPr>
        <w:ind w:left="360"/>
        <w:rPr>
          <w:rFonts w:cs="TimesNewRomanPSMT"/>
        </w:rPr>
      </w:pPr>
    </w:p>
    <w:p w:rsidR="00753962" w:rsidRDefault="00753962">
      <w:pPr>
        <w:numPr>
          <w:ilvl w:val="0"/>
          <w:numId w:val="29"/>
        </w:numPr>
        <w:tabs>
          <w:tab w:val="left" w:pos="720"/>
        </w:tabs>
        <w:rPr>
          <w:rFonts w:cs="TimesNewRomanPSMT"/>
        </w:rPr>
      </w:pPr>
      <w:r w:rsidRPr="00612AB0">
        <w:rPr>
          <w:rFonts w:cs="TimesNewRomanPSMT"/>
        </w:rPr>
        <w:t>T</w:t>
      </w:r>
      <w:r w:rsidR="004A36DD" w:rsidRPr="00612AB0">
        <w:rPr>
          <w:rFonts w:cs="TimesNewRomanPSMT"/>
        </w:rPr>
        <w:t>elephone</w:t>
      </w:r>
      <w:r w:rsidR="00991A27" w:rsidRPr="00612AB0">
        <w:rPr>
          <w:rFonts w:cs="TimesNewRomanPSMT"/>
        </w:rPr>
        <w:t xml:space="preserve"> carriers </w:t>
      </w:r>
      <w:r w:rsidRPr="00612AB0">
        <w:rPr>
          <w:rFonts w:cs="TimesNewRomanPSMT"/>
        </w:rPr>
        <w:t xml:space="preserve">are required </w:t>
      </w:r>
      <w:r w:rsidR="00991A27" w:rsidRPr="00612AB0">
        <w:rPr>
          <w:rFonts w:cs="TimesNewRomanPSMT"/>
        </w:rPr>
        <w:t xml:space="preserve">to assess </w:t>
      </w:r>
      <w:r w:rsidR="00B47FF2" w:rsidRPr="00612AB0">
        <w:rPr>
          <w:rFonts w:cs="TimesNewRomanPSMT"/>
        </w:rPr>
        <w:t>and remit</w:t>
      </w:r>
      <w:r w:rsidR="00991A27" w:rsidRPr="00612AB0">
        <w:rPr>
          <w:rFonts w:cs="TimesNewRomanPSMT"/>
        </w:rPr>
        <w:t xml:space="preserve"> surcharge revenues collected from end-users for intrastate </w:t>
      </w:r>
      <w:r w:rsidR="004A36DD" w:rsidRPr="00612AB0">
        <w:rPr>
          <w:rFonts w:cs="TimesNewRomanPSMT"/>
        </w:rPr>
        <w:t>telephone</w:t>
      </w:r>
      <w:r w:rsidR="00991A27" w:rsidRPr="00612AB0">
        <w:rPr>
          <w:rFonts w:cs="TimesNewRomanPSMT"/>
        </w:rPr>
        <w:t xml:space="preserve"> service subject to surcharge</w:t>
      </w:r>
      <w:r w:rsidRPr="00612AB0">
        <w:rPr>
          <w:rFonts w:cs="TimesNewRomanPSMT"/>
        </w:rPr>
        <w:t>.</w:t>
      </w:r>
      <w:r w:rsidR="00B221EE" w:rsidRPr="00612AB0">
        <w:rPr>
          <w:rFonts w:cs="Arial"/>
        </w:rPr>
        <w:t xml:space="preserve"> </w:t>
      </w:r>
    </w:p>
    <w:p w:rsidR="00753962" w:rsidRPr="000D7C19" w:rsidRDefault="00753962" w:rsidP="0067146B">
      <w:pPr>
        <w:ind w:left="360"/>
        <w:rPr>
          <w:rFonts w:cs="TimesNewRomanPSMT"/>
        </w:rPr>
      </w:pPr>
    </w:p>
    <w:p w:rsidR="00753962" w:rsidRDefault="00753962" w:rsidP="00355C0A">
      <w:pPr>
        <w:numPr>
          <w:ilvl w:val="0"/>
          <w:numId w:val="29"/>
        </w:numPr>
        <w:tabs>
          <w:tab w:val="left" w:pos="720"/>
        </w:tabs>
        <w:rPr>
          <w:rFonts w:cs="TimesNewRomanPSMT"/>
        </w:rPr>
      </w:pPr>
      <w:r w:rsidRPr="00355C0A">
        <w:rPr>
          <w:rFonts w:cs="TimesNewRomanPSMT"/>
        </w:rPr>
        <w:t>PU Code §</w:t>
      </w:r>
      <w:r w:rsidRPr="00612AB0">
        <w:rPr>
          <w:rFonts w:cs="TimesNewRomanPSMT"/>
        </w:rPr>
        <w:t xml:space="preserve">§ 270, 275-281, 739.3, and 879 authorize the Commission collect surcharge revenues to fund the public purpose programs. </w:t>
      </w:r>
    </w:p>
    <w:p w:rsidR="00753962" w:rsidRPr="00355C0A" w:rsidRDefault="00753962" w:rsidP="00612AB0">
      <w:pPr>
        <w:ind w:left="720"/>
        <w:rPr>
          <w:rFonts w:cs="TimesNewRomanPSMT"/>
        </w:rPr>
      </w:pPr>
    </w:p>
    <w:p w:rsidR="00E922B1" w:rsidRPr="00E922B1" w:rsidRDefault="00E922B1">
      <w:pPr>
        <w:numPr>
          <w:ilvl w:val="0"/>
          <w:numId w:val="29"/>
        </w:numPr>
        <w:tabs>
          <w:tab w:val="left" w:pos="720"/>
        </w:tabs>
        <w:rPr>
          <w:rFonts w:cs="TimesNewRomanPSMT"/>
        </w:rPr>
      </w:pPr>
      <w:r>
        <w:rPr>
          <w:rFonts w:cs="TimesNewRomanPSMT"/>
        </w:rPr>
        <w:t xml:space="preserve">PU Code </w:t>
      </w:r>
      <w:r w:rsidR="00753962">
        <w:rPr>
          <w:rFonts w:cs="TimesNewRomanPSMT"/>
        </w:rPr>
        <w:t>§</w:t>
      </w:r>
      <w:r>
        <w:rPr>
          <w:rFonts w:cs="TimesNewRomanPSMT"/>
        </w:rPr>
        <w:t xml:space="preserve"> 285 require</w:t>
      </w:r>
      <w:r w:rsidR="00B47FF2">
        <w:rPr>
          <w:rFonts w:cs="TimesNewRomanPSMT"/>
        </w:rPr>
        <w:t>s</w:t>
      </w:r>
      <w:r>
        <w:rPr>
          <w:rFonts w:cs="TimesNewRomanPSMT"/>
        </w:rPr>
        <w:t xml:space="preserve"> Voice over Internet Protocol </w:t>
      </w:r>
      <w:r w:rsidR="00B47FF2">
        <w:rPr>
          <w:rFonts w:cs="TimesNewRomanPSMT"/>
        </w:rPr>
        <w:t xml:space="preserve">(VoIP) </w:t>
      </w:r>
      <w:r>
        <w:rPr>
          <w:rFonts w:cs="TimesNewRomanPSMT"/>
        </w:rPr>
        <w:t>Service provider</w:t>
      </w:r>
      <w:r w:rsidR="00B47FF2">
        <w:rPr>
          <w:rFonts w:cs="TimesNewRomanPSMT"/>
        </w:rPr>
        <w:t>s</w:t>
      </w:r>
      <w:r>
        <w:rPr>
          <w:rFonts w:cs="TimesNewRomanPSMT"/>
        </w:rPr>
        <w:t xml:space="preserve"> to assess and remit surcharge revenues to the CPUC to fund </w:t>
      </w:r>
      <w:r w:rsidR="00B47FF2">
        <w:rPr>
          <w:rFonts w:cs="TimesNewRomanPSMT"/>
        </w:rPr>
        <w:t xml:space="preserve">the </w:t>
      </w:r>
      <w:r w:rsidR="00A94ECC">
        <w:rPr>
          <w:rFonts w:cs="TimesNewRomanPSMT"/>
        </w:rPr>
        <w:t>public pur</w:t>
      </w:r>
      <w:r w:rsidR="007055BB">
        <w:rPr>
          <w:rFonts w:cs="TimesNewRomanPSMT"/>
        </w:rPr>
        <w:t>p</w:t>
      </w:r>
      <w:r w:rsidR="00A94ECC">
        <w:rPr>
          <w:rFonts w:cs="TimesNewRomanPSMT"/>
        </w:rPr>
        <w:t>ose</w:t>
      </w:r>
      <w:r w:rsidR="00B47FF2">
        <w:rPr>
          <w:rFonts w:cs="TimesNewRomanPSMT"/>
        </w:rPr>
        <w:t xml:space="preserve"> </w:t>
      </w:r>
      <w:r>
        <w:rPr>
          <w:rFonts w:cs="TimesNewRomanPSMT"/>
        </w:rPr>
        <w:t>programs.</w:t>
      </w:r>
    </w:p>
    <w:p w:rsidR="00E922B1" w:rsidRPr="00211473" w:rsidRDefault="00E922B1" w:rsidP="0067146B">
      <w:pPr>
        <w:ind w:left="360"/>
        <w:rPr>
          <w:rFonts w:cs="Arial"/>
        </w:rPr>
      </w:pPr>
    </w:p>
    <w:p w:rsidR="00B221EE" w:rsidRDefault="00B221EE">
      <w:pPr>
        <w:numPr>
          <w:ilvl w:val="0"/>
          <w:numId w:val="29"/>
        </w:numPr>
        <w:tabs>
          <w:tab w:val="left" w:pos="720"/>
        </w:tabs>
        <w:rPr>
          <w:rFonts w:cs="TimesNewRomanPSMT"/>
        </w:rPr>
      </w:pPr>
      <w:r>
        <w:rPr>
          <w:rFonts w:cs="Arial"/>
        </w:rPr>
        <w:t xml:space="preserve">The Commission may revoke </w:t>
      </w:r>
      <w:r w:rsidR="00B47FF2">
        <w:rPr>
          <w:rFonts w:cs="Arial"/>
        </w:rPr>
        <w:t xml:space="preserve">or suspend </w:t>
      </w:r>
      <w:r>
        <w:rPr>
          <w:rFonts w:cs="Arial"/>
        </w:rPr>
        <w:t xml:space="preserve">the operating </w:t>
      </w:r>
      <w:r w:rsidR="00E922B1">
        <w:rPr>
          <w:rFonts w:cs="Arial"/>
        </w:rPr>
        <w:t xml:space="preserve">authority </w:t>
      </w:r>
      <w:r>
        <w:rPr>
          <w:rFonts w:cs="Arial"/>
        </w:rPr>
        <w:t xml:space="preserve">of </w:t>
      </w:r>
      <w:r w:rsidR="00444E72">
        <w:rPr>
          <w:rFonts w:cs="Arial"/>
        </w:rPr>
        <w:t>telephone</w:t>
      </w:r>
      <w:r w:rsidR="00E922B1">
        <w:rPr>
          <w:rFonts w:cs="Arial"/>
        </w:rPr>
        <w:t xml:space="preserve"> </w:t>
      </w:r>
      <w:r>
        <w:rPr>
          <w:rFonts w:cs="Arial"/>
        </w:rPr>
        <w:t>c</w:t>
      </w:r>
      <w:r>
        <w:rPr>
          <w:color w:val="000000"/>
          <w:sz w:val="23"/>
          <w:szCs w:val="23"/>
        </w:rPr>
        <w:t>arriers that are 90 days or more in arrears on reporting and remitting surcharges</w:t>
      </w:r>
      <w:r w:rsidR="00EC7291">
        <w:rPr>
          <w:color w:val="000000"/>
          <w:sz w:val="23"/>
          <w:szCs w:val="23"/>
        </w:rPr>
        <w:t>, per D. 93-05-010.</w:t>
      </w:r>
    </w:p>
    <w:p w:rsidR="00B221EE" w:rsidRDefault="00B221EE">
      <w:pPr>
        <w:tabs>
          <w:tab w:val="left" w:pos="720"/>
          <w:tab w:val="num" w:pos="810"/>
        </w:tabs>
        <w:ind w:left="810" w:hanging="450"/>
      </w:pPr>
    </w:p>
    <w:p w:rsidR="00B47FF2" w:rsidRPr="00B47FF2" w:rsidRDefault="00B221EE">
      <w:pPr>
        <w:numPr>
          <w:ilvl w:val="0"/>
          <w:numId w:val="29"/>
        </w:numPr>
        <w:tabs>
          <w:tab w:val="left" w:pos="720"/>
        </w:tabs>
        <w:rPr>
          <w:rFonts w:cs="TimesNewRomanPSMT"/>
        </w:rPr>
      </w:pPr>
      <w:r>
        <w:t>D</w:t>
      </w:r>
      <w:r w:rsidR="002A7551">
        <w:t>.</w:t>
      </w:r>
      <w:r>
        <w:t xml:space="preserve"> 10-09-017</w:t>
      </w:r>
      <w:r w:rsidR="00B47FF2">
        <w:t xml:space="preserve"> </w:t>
      </w:r>
      <w:r>
        <w:t>require</w:t>
      </w:r>
      <w:r w:rsidR="00753962">
        <w:t>s</w:t>
      </w:r>
      <w:r>
        <w:t xml:space="preserve"> registration license holders to submit a continuous performance bond within 90 days after the effective of the Decision for existing registration license holders and within 90 days from the issuance of a registration license for new registration holders. </w:t>
      </w:r>
    </w:p>
    <w:p w:rsidR="00B47FF2" w:rsidRDefault="00B47FF2" w:rsidP="0067146B">
      <w:pPr>
        <w:ind w:left="360"/>
      </w:pPr>
    </w:p>
    <w:p w:rsidR="00B221EE" w:rsidRPr="00ED235C" w:rsidRDefault="00753962">
      <w:pPr>
        <w:numPr>
          <w:ilvl w:val="0"/>
          <w:numId w:val="29"/>
        </w:numPr>
        <w:tabs>
          <w:tab w:val="left" w:pos="720"/>
        </w:tabs>
        <w:rPr>
          <w:rFonts w:cs="TimesNewRomanPSMT"/>
        </w:rPr>
      </w:pPr>
      <w:r>
        <w:t xml:space="preserve">The Commission in </w:t>
      </w:r>
      <w:r w:rsidR="00B47FF2">
        <w:t>D.10-09-017</w:t>
      </w:r>
      <w:r>
        <w:t xml:space="preserve"> directed</w:t>
      </w:r>
      <w:r w:rsidR="00B221EE">
        <w:t xml:space="preserve"> the Communications Division</w:t>
      </w:r>
      <w:r w:rsidR="004A36DD">
        <w:t xml:space="preserve"> (CD)</w:t>
      </w:r>
      <w:r w:rsidR="00B221EE">
        <w:t xml:space="preserve"> to pursue license revocations of </w:t>
      </w:r>
      <w:r w:rsidR="004A36DD">
        <w:t>telephone</w:t>
      </w:r>
      <w:r w:rsidR="00B47FF2">
        <w:t xml:space="preserve"> </w:t>
      </w:r>
      <w:r w:rsidR="00B221EE">
        <w:t>carriers that fail to submit the required performance bond within 120 days from the issuance of the Decision for existing registration holders and 120 days from the issuance of registration licenses for new applicants.</w:t>
      </w:r>
    </w:p>
    <w:p w:rsidR="00ED235C" w:rsidRPr="00211473" w:rsidRDefault="00ED235C" w:rsidP="0067146B">
      <w:pPr>
        <w:ind w:left="360"/>
        <w:rPr>
          <w:rFonts w:cs="TimesNewRomanPSMT"/>
        </w:rPr>
      </w:pPr>
    </w:p>
    <w:p w:rsidR="00ED235C" w:rsidRPr="002A7551" w:rsidRDefault="00ED235C">
      <w:pPr>
        <w:numPr>
          <w:ilvl w:val="0"/>
          <w:numId w:val="29"/>
        </w:numPr>
        <w:tabs>
          <w:tab w:val="left" w:pos="720"/>
        </w:tabs>
        <w:rPr>
          <w:rFonts w:cs="TimesNewRomanPSMT"/>
        </w:rPr>
      </w:pPr>
      <w:r w:rsidRPr="002A7551">
        <w:rPr>
          <w:rFonts w:cs="TimesNewRomanPSMT"/>
        </w:rPr>
        <w:t>D.13-05-035 require</w:t>
      </w:r>
      <w:r w:rsidR="00753962">
        <w:rPr>
          <w:rFonts w:cs="TimesNewRomanPSMT"/>
        </w:rPr>
        <w:t>s</w:t>
      </w:r>
      <w:r w:rsidRPr="002A7551">
        <w:rPr>
          <w:rFonts w:cs="TimesNewRomanPSMT"/>
        </w:rPr>
        <w:t xml:space="preserve"> all applicants seeking or holding a C</w:t>
      </w:r>
      <w:r w:rsidR="00B47FF2">
        <w:rPr>
          <w:rFonts w:cs="TimesNewRomanPSMT"/>
        </w:rPr>
        <w:t>er</w:t>
      </w:r>
      <w:r w:rsidR="00753962">
        <w:rPr>
          <w:rFonts w:cs="TimesNewRomanPSMT"/>
        </w:rPr>
        <w:t>t</w:t>
      </w:r>
      <w:r w:rsidR="00B47FF2">
        <w:rPr>
          <w:rFonts w:cs="TimesNewRomanPSMT"/>
        </w:rPr>
        <w:t xml:space="preserve">ificate of </w:t>
      </w:r>
      <w:r w:rsidRPr="002A7551">
        <w:rPr>
          <w:rFonts w:cs="TimesNewRomanPSMT"/>
        </w:rPr>
        <w:t>P</w:t>
      </w:r>
      <w:r w:rsidR="00B47FF2">
        <w:rPr>
          <w:rFonts w:cs="TimesNewRomanPSMT"/>
        </w:rPr>
        <w:t xml:space="preserve">ublic </w:t>
      </w:r>
      <w:r w:rsidRPr="002A7551">
        <w:rPr>
          <w:rFonts w:cs="TimesNewRomanPSMT"/>
        </w:rPr>
        <w:t>C</w:t>
      </w:r>
      <w:r w:rsidR="00B47FF2">
        <w:rPr>
          <w:rFonts w:cs="TimesNewRomanPSMT"/>
        </w:rPr>
        <w:t xml:space="preserve">onvenience and </w:t>
      </w:r>
      <w:r w:rsidRPr="002A7551">
        <w:rPr>
          <w:rFonts w:cs="TimesNewRomanPSMT"/>
        </w:rPr>
        <w:t>N</w:t>
      </w:r>
      <w:r w:rsidR="00B47FF2">
        <w:rPr>
          <w:rFonts w:cs="TimesNewRomanPSMT"/>
        </w:rPr>
        <w:t>ecessity (CPCN)</w:t>
      </w:r>
      <w:r w:rsidRPr="002A7551">
        <w:rPr>
          <w:rFonts w:cs="TimesNewRomanPSMT"/>
        </w:rPr>
        <w:t xml:space="preserve"> and wireless carriers seeking or holding a W</w:t>
      </w:r>
      <w:r w:rsidR="00B47FF2">
        <w:rPr>
          <w:rFonts w:cs="TimesNewRomanPSMT"/>
        </w:rPr>
        <w:t xml:space="preserve">ireless </w:t>
      </w:r>
      <w:r w:rsidRPr="002A7551">
        <w:rPr>
          <w:rFonts w:cs="TimesNewRomanPSMT"/>
        </w:rPr>
        <w:t>I</w:t>
      </w:r>
      <w:r w:rsidR="00B47FF2">
        <w:rPr>
          <w:rFonts w:cs="TimesNewRomanPSMT"/>
        </w:rPr>
        <w:t xml:space="preserve">dentification </w:t>
      </w:r>
      <w:r w:rsidRPr="002A7551">
        <w:rPr>
          <w:rFonts w:cs="TimesNewRomanPSMT"/>
        </w:rPr>
        <w:t>R</w:t>
      </w:r>
      <w:r w:rsidR="00B47FF2">
        <w:rPr>
          <w:rFonts w:cs="TimesNewRomanPSMT"/>
        </w:rPr>
        <w:t>egistration (WIR)</w:t>
      </w:r>
      <w:r w:rsidRPr="002A7551">
        <w:rPr>
          <w:rFonts w:cs="TimesNewRomanPSMT"/>
        </w:rPr>
        <w:t xml:space="preserve"> to post </w:t>
      </w:r>
      <w:r w:rsidR="00B47FF2">
        <w:rPr>
          <w:rFonts w:cs="TimesNewRomanPSMT"/>
        </w:rPr>
        <w:t xml:space="preserve">a performance </w:t>
      </w:r>
      <w:r w:rsidRPr="002A7551">
        <w:rPr>
          <w:rFonts w:cs="TimesNewRomanPSMT"/>
        </w:rPr>
        <w:t>bond.</w:t>
      </w:r>
    </w:p>
    <w:p w:rsidR="00B221EE" w:rsidRPr="002A7551" w:rsidRDefault="00B221EE">
      <w:pPr>
        <w:tabs>
          <w:tab w:val="left" w:pos="720"/>
          <w:tab w:val="num" w:pos="810"/>
        </w:tabs>
        <w:ind w:left="810" w:hanging="450"/>
        <w:rPr>
          <w:rFonts w:cs="TimesNewRomanPSMT"/>
        </w:rPr>
      </w:pPr>
    </w:p>
    <w:p w:rsidR="00B221EE" w:rsidRPr="002A7551" w:rsidRDefault="00B221EE">
      <w:pPr>
        <w:pStyle w:val="HTMLPreformatted"/>
        <w:numPr>
          <w:ilvl w:val="0"/>
          <w:numId w:val="29"/>
        </w:numPr>
        <w:tabs>
          <w:tab w:val="clear" w:pos="916"/>
          <w:tab w:val="left" w:pos="720"/>
        </w:tabs>
        <w:rPr>
          <w:rFonts w:ascii="Palatino" w:hAnsi="Palatino"/>
          <w:sz w:val="24"/>
          <w:szCs w:val="24"/>
        </w:rPr>
      </w:pPr>
      <w:r w:rsidRPr="002A7551">
        <w:rPr>
          <w:rFonts w:ascii="Palatino" w:hAnsi="Palatino"/>
          <w:sz w:val="24"/>
          <w:szCs w:val="24"/>
        </w:rPr>
        <w:t>The telephone carriers listed in</w:t>
      </w:r>
      <w:r w:rsidR="00753962">
        <w:rPr>
          <w:rFonts w:ascii="Palatino" w:hAnsi="Palatino"/>
          <w:sz w:val="24"/>
          <w:szCs w:val="24"/>
        </w:rPr>
        <w:t xml:space="preserve"> </w:t>
      </w:r>
      <w:r w:rsidR="004A36DD">
        <w:rPr>
          <w:rFonts w:ascii="Palatino" w:hAnsi="Palatino"/>
          <w:sz w:val="24"/>
          <w:szCs w:val="24"/>
        </w:rPr>
        <w:t>A</w:t>
      </w:r>
      <w:r w:rsidR="002A780F" w:rsidRPr="002A7551">
        <w:rPr>
          <w:rFonts w:ascii="Palatino" w:hAnsi="Palatino"/>
          <w:sz w:val="24"/>
          <w:szCs w:val="24"/>
        </w:rPr>
        <w:t xml:space="preserve">ppendices </w:t>
      </w:r>
      <w:r w:rsidR="004A36DD">
        <w:rPr>
          <w:rFonts w:ascii="Palatino" w:hAnsi="Palatino"/>
          <w:sz w:val="24"/>
          <w:szCs w:val="24"/>
        </w:rPr>
        <w:t xml:space="preserve">A and B </w:t>
      </w:r>
      <w:r w:rsidRPr="002A7551">
        <w:rPr>
          <w:rFonts w:ascii="Palatino" w:hAnsi="Palatino"/>
          <w:sz w:val="24"/>
          <w:szCs w:val="24"/>
        </w:rPr>
        <w:t xml:space="preserve">have not complied with at least </w:t>
      </w:r>
      <w:r w:rsidR="004A36DD">
        <w:rPr>
          <w:rFonts w:ascii="Palatino" w:hAnsi="Palatino"/>
          <w:sz w:val="24"/>
          <w:szCs w:val="24"/>
        </w:rPr>
        <w:t xml:space="preserve">two </w:t>
      </w:r>
      <w:r w:rsidRPr="002A7551">
        <w:rPr>
          <w:rFonts w:ascii="Palatino" w:hAnsi="Palatino"/>
          <w:sz w:val="24"/>
          <w:szCs w:val="24"/>
        </w:rPr>
        <w:t xml:space="preserve">of these requirements: a) </w:t>
      </w:r>
      <w:r w:rsidR="004A36DD">
        <w:rPr>
          <w:rFonts w:ascii="Palatino" w:hAnsi="Palatino"/>
          <w:sz w:val="24"/>
          <w:szCs w:val="24"/>
        </w:rPr>
        <w:t>report and remit User Fees;</w:t>
      </w:r>
      <w:r w:rsidRPr="002A7551">
        <w:rPr>
          <w:rFonts w:ascii="Palatino" w:hAnsi="Palatino"/>
          <w:sz w:val="24"/>
          <w:szCs w:val="24"/>
        </w:rPr>
        <w:t xml:space="preserve"> b) </w:t>
      </w:r>
      <w:r w:rsidR="004A36DD">
        <w:rPr>
          <w:rFonts w:ascii="Palatino" w:hAnsi="Palatino"/>
          <w:sz w:val="24"/>
          <w:szCs w:val="24"/>
        </w:rPr>
        <w:t>report and remit surcharge revenues;</w:t>
      </w:r>
      <w:r w:rsidR="00753962">
        <w:rPr>
          <w:rFonts w:ascii="Palatino" w:hAnsi="Palatino"/>
          <w:sz w:val="24"/>
          <w:szCs w:val="24"/>
        </w:rPr>
        <w:t xml:space="preserve"> </w:t>
      </w:r>
      <w:r w:rsidRPr="002A7551">
        <w:rPr>
          <w:rFonts w:ascii="Palatino" w:hAnsi="Palatino"/>
          <w:sz w:val="24"/>
          <w:szCs w:val="24"/>
        </w:rPr>
        <w:t>and c) submit</w:t>
      </w:r>
      <w:r w:rsidR="00753962">
        <w:rPr>
          <w:rFonts w:ascii="Palatino" w:hAnsi="Palatino"/>
          <w:sz w:val="24"/>
          <w:szCs w:val="24"/>
        </w:rPr>
        <w:t xml:space="preserve"> </w:t>
      </w:r>
      <w:r w:rsidR="004A36DD">
        <w:rPr>
          <w:rFonts w:ascii="Palatino" w:hAnsi="Palatino"/>
          <w:sz w:val="24"/>
          <w:szCs w:val="24"/>
        </w:rPr>
        <w:t>a</w:t>
      </w:r>
      <w:r w:rsidR="00A00222">
        <w:rPr>
          <w:rFonts w:ascii="Palatino" w:hAnsi="Palatino"/>
          <w:sz w:val="24"/>
          <w:szCs w:val="24"/>
        </w:rPr>
        <w:t xml:space="preserve"> </w:t>
      </w:r>
      <w:r w:rsidRPr="002A7551">
        <w:rPr>
          <w:rFonts w:ascii="Palatino" w:hAnsi="Palatino"/>
          <w:sz w:val="24"/>
          <w:szCs w:val="24"/>
        </w:rPr>
        <w:t>performance bond.</w:t>
      </w:r>
    </w:p>
    <w:p w:rsidR="00B221EE" w:rsidRPr="002A7551" w:rsidRDefault="00B221EE">
      <w:pPr>
        <w:pStyle w:val="HTMLPreformatted"/>
        <w:tabs>
          <w:tab w:val="clear" w:pos="916"/>
          <w:tab w:val="left" w:pos="720"/>
          <w:tab w:val="num" w:pos="810"/>
        </w:tabs>
        <w:ind w:left="810" w:hanging="450"/>
        <w:rPr>
          <w:rFonts w:ascii="Palatino" w:hAnsi="Palatino"/>
          <w:sz w:val="24"/>
          <w:szCs w:val="24"/>
        </w:rPr>
      </w:pPr>
    </w:p>
    <w:p w:rsidR="00B221EE" w:rsidRPr="002A7551" w:rsidRDefault="004A36DD">
      <w:pPr>
        <w:pStyle w:val="HTMLPreformatted"/>
        <w:numPr>
          <w:ilvl w:val="0"/>
          <w:numId w:val="29"/>
        </w:numPr>
        <w:tabs>
          <w:tab w:val="clear" w:pos="916"/>
          <w:tab w:val="left" w:pos="720"/>
        </w:tabs>
        <w:rPr>
          <w:rFonts w:ascii="Palatino" w:hAnsi="Palatino"/>
          <w:sz w:val="24"/>
          <w:szCs w:val="24"/>
        </w:rPr>
      </w:pPr>
      <w:r>
        <w:rPr>
          <w:rFonts w:ascii="Palatino" w:hAnsi="Palatino"/>
          <w:sz w:val="24"/>
          <w:szCs w:val="24"/>
        </w:rPr>
        <w:t>CD</w:t>
      </w:r>
      <w:r w:rsidR="00B221EE" w:rsidRPr="002A7551">
        <w:rPr>
          <w:rFonts w:ascii="Palatino" w:hAnsi="Palatino"/>
          <w:sz w:val="24"/>
          <w:szCs w:val="24"/>
        </w:rPr>
        <w:t xml:space="preserve"> undertook proper and reasonable measures to locate, inform and remind the </w:t>
      </w:r>
      <w:r w:rsidR="00444E72">
        <w:rPr>
          <w:rFonts w:ascii="Palatino" w:hAnsi="Palatino"/>
          <w:sz w:val="24"/>
          <w:szCs w:val="24"/>
        </w:rPr>
        <w:t xml:space="preserve">telephone </w:t>
      </w:r>
      <w:r>
        <w:rPr>
          <w:rFonts w:ascii="Palatino" w:hAnsi="Palatino"/>
          <w:sz w:val="24"/>
          <w:szCs w:val="24"/>
        </w:rPr>
        <w:t>carriers</w:t>
      </w:r>
      <w:r w:rsidRPr="002A7551">
        <w:rPr>
          <w:rFonts w:ascii="Palatino" w:hAnsi="Palatino"/>
          <w:sz w:val="24"/>
          <w:szCs w:val="24"/>
        </w:rPr>
        <w:t xml:space="preserve"> </w:t>
      </w:r>
      <w:r w:rsidR="00B221EE" w:rsidRPr="002A7551">
        <w:rPr>
          <w:rFonts w:ascii="Palatino" w:hAnsi="Palatino"/>
          <w:sz w:val="24"/>
          <w:szCs w:val="24"/>
        </w:rPr>
        <w:t xml:space="preserve">listed in </w:t>
      </w:r>
      <w:r>
        <w:rPr>
          <w:rFonts w:ascii="Palatino" w:hAnsi="Palatino"/>
          <w:sz w:val="24"/>
          <w:szCs w:val="24"/>
        </w:rPr>
        <w:t>A</w:t>
      </w:r>
      <w:r w:rsidR="002A780F" w:rsidRPr="002A7551">
        <w:rPr>
          <w:rFonts w:ascii="Palatino" w:hAnsi="Palatino"/>
          <w:sz w:val="24"/>
          <w:szCs w:val="24"/>
        </w:rPr>
        <w:t xml:space="preserve">ppendices </w:t>
      </w:r>
      <w:r>
        <w:rPr>
          <w:rFonts w:ascii="Palatino" w:hAnsi="Palatino"/>
          <w:sz w:val="24"/>
          <w:szCs w:val="24"/>
        </w:rPr>
        <w:t xml:space="preserve">A and B </w:t>
      </w:r>
      <w:r w:rsidR="00B221EE" w:rsidRPr="002A7551">
        <w:rPr>
          <w:rFonts w:ascii="Palatino" w:hAnsi="Palatino"/>
          <w:sz w:val="24"/>
          <w:szCs w:val="24"/>
        </w:rPr>
        <w:t>of the User Fee, surcharge and performance bond requirements.</w:t>
      </w:r>
    </w:p>
    <w:p w:rsidR="00B221EE" w:rsidRPr="002A7551" w:rsidRDefault="00B221EE">
      <w:pPr>
        <w:pStyle w:val="HTMLPreformatted"/>
        <w:tabs>
          <w:tab w:val="clear" w:pos="916"/>
          <w:tab w:val="left" w:pos="720"/>
          <w:tab w:val="num" w:pos="810"/>
        </w:tabs>
        <w:ind w:left="810" w:hanging="450"/>
        <w:rPr>
          <w:rFonts w:ascii="Palatino" w:hAnsi="Palatino"/>
          <w:sz w:val="24"/>
          <w:szCs w:val="24"/>
        </w:rPr>
      </w:pPr>
    </w:p>
    <w:p w:rsidR="00B221EE" w:rsidRDefault="00B221EE">
      <w:pPr>
        <w:pStyle w:val="HTMLPreformatted"/>
        <w:numPr>
          <w:ilvl w:val="0"/>
          <w:numId w:val="29"/>
        </w:numPr>
        <w:tabs>
          <w:tab w:val="clear" w:pos="916"/>
          <w:tab w:val="left" w:pos="720"/>
        </w:tabs>
        <w:rPr>
          <w:rFonts w:ascii="Palatino" w:hAnsi="Palatino"/>
          <w:sz w:val="24"/>
          <w:szCs w:val="24"/>
        </w:rPr>
      </w:pPr>
      <w:r w:rsidRPr="002A7551">
        <w:rPr>
          <w:rFonts w:ascii="Palatino" w:hAnsi="Palatino"/>
          <w:sz w:val="24"/>
          <w:szCs w:val="24"/>
        </w:rPr>
        <w:t xml:space="preserve">Operating authorities of the telephone carriers listed in </w:t>
      </w:r>
      <w:r w:rsidR="004A36DD">
        <w:rPr>
          <w:rFonts w:ascii="Palatino" w:hAnsi="Palatino"/>
          <w:sz w:val="24"/>
          <w:szCs w:val="24"/>
        </w:rPr>
        <w:t>A</w:t>
      </w:r>
      <w:r w:rsidR="002A780F" w:rsidRPr="002A7551">
        <w:rPr>
          <w:rFonts w:ascii="Palatino" w:hAnsi="Palatino"/>
          <w:sz w:val="24"/>
          <w:szCs w:val="24"/>
        </w:rPr>
        <w:t>ppendices</w:t>
      </w:r>
      <w:r w:rsidR="002A780F">
        <w:rPr>
          <w:rFonts w:ascii="Palatino" w:hAnsi="Palatino"/>
          <w:sz w:val="24"/>
          <w:szCs w:val="24"/>
        </w:rPr>
        <w:t xml:space="preserve"> </w:t>
      </w:r>
      <w:r w:rsidR="004A36DD">
        <w:rPr>
          <w:rFonts w:ascii="Palatino" w:hAnsi="Palatino"/>
          <w:sz w:val="24"/>
          <w:szCs w:val="24"/>
        </w:rPr>
        <w:t xml:space="preserve">A and B </w:t>
      </w:r>
      <w:r>
        <w:rPr>
          <w:rFonts w:ascii="Palatino" w:hAnsi="Palatino"/>
          <w:sz w:val="24"/>
          <w:szCs w:val="24"/>
        </w:rPr>
        <w:t xml:space="preserve">should be revoked and their Telephone Utility Identification Numbers should be cancelled for failure to comply with PU Code </w:t>
      </w:r>
      <w:r w:rsidR="004A36DD">
        <w:rPr>
          <w:rFonts w:ascii="Palatino" w:hAnsi="Palatino"/>
          <w:sz w:val="24"/>
          <w:szCs w:val="24"/>
        </w:rPr>
        <w:t>§</w:t>
      </w:r>
      <w:r>
        <w:rPr>
          <w:rFonts w:ascii="Palatino" w:hAnsi="Palatino"/>
          <w:sz w:val="24"/>
          <w:szCs w:val="24"/>
        </w:rPr>
        <w:t xml:space="preserve"> 405, D. 96-10-066 and D. 10-07-017. </w:t>
      </w:r>
    </w:p>
    <w:p w:rsidR="00B221EE" w:rsidRDefault="00B221EE">
      <w:pPr>
        <w:pStyle w:val="HTMLPreformatted"/>
        <w:tabs>
          <w:tab w:val="clear" w:pos="916"/>
          <w:tab w:val="left" w:pos="720"/>
          <w:tab w:val="num" w:pos="810"/>
        </w:tabs>
        <w:ind w:left="810" w:hanging="450"/>
        <w:rPr>
          <w:rFonts w:ascii="Palatino" w:hAnsi="Palatino"/>
          <w:sz w:val="24"/>
          <w:szCs w:val="24"/>
        </w:rPr>
      </w:pPr>
    </w:p>
    <w:p w:rsidR="00B221EE" w:rsidRDefault="00B221EE">
      <w:pPr>
        <w:pStyle w:val="HTMLPreformatted"/>
        <w:numPr>
          <w:ilvl w:val="0"/>
          <w:numId w:val="29"/>
        </w:numPr>
        <w:tabs>
          <w:tab w:val="clear" w:pos="916"/>
        </w:tabs>
        <w:rPr>
          <w:rFonts w:ascii="Palatino" w:hAnsi="Palatino"/>
          <w:sz w:val="24"/>
          <w:szCs w:val="24"/>
        </w:rPr>
      </w:pPr>
      <w:r>
        <w:rPr>
          <w:rFonts w:ascii="Palatino" w:hAnsi="Palatino"/>
          <w:sz w:val="24"/>
          <w:szCs w:val="24"/>
        </w:rPr>
        <w:t>Telephone carriers with valid operating authorities</w:t>
      </w:r>
      <w:r w:rsidR="00DE0DE5">
        <w:rPr>
          <w:rFonts w:ascii="Palatino" w:hAnsi="Palatino"/>
          <w:sz w:val="24"/>
          <w:szCs w:val="24"/>
        </w:rPr>
        <w:t xml:space="preserve"> </w:t>
      </w:r>
      <w:r>
        <w:rPr>
          <w:rFonts w:ascii="Palatino" w:hAnsi="Palatino"/>
          <w:sz w:val="24"/>
          <w:szCs w:val="24"/>
        </w:rPr>
        <w:t>should</w:t>
      </w:r>
      <w:r w:rsidR="00753962">
        <w:rPr>
          <w:rFonts w:ascii="Palatino" w:hAnsi="Palatino"/>
          <w:sz w:val="24"/>
          <w:szCs w:val="24"/>
        </w:rPr>
        <w:t xml:space="preserve"> </w:t>
      </w:r>
      <w:r>
        <w:rPr>
          <w:rFonts w:ascii="Palatino" w:hAnsi="Palatino"/>
          <w:sz w:val="24"/>
          <w:szCs w:val="24"/>
        </w:rPr>
        <w:t>cease from conducting business with carriers</w:t>
      </w:r>
      <w:r w:rsidR="00DE0DE5">
        <w:rPr>
          <w:rFonts w:ascii="Palatino" w:hAnsi="Palatino"/>
          <w:sz w:val="24"/>
          <w:szCs w:val="24"/>
        </w:rPr>
        <w:t xml:space="preserve"> with revoked </w:t>
      </w:r>
      <w:r>
        <w:rPr>
          <w:rFonts w:ascii="Palatino" w:hAnsi="Palatino"/>
          <w:sz w:val="24"/>
          <w:szCs w:val="24"/>
        </w:rPr>
        <w:t>licenses</w:t>
      </w:r>
      <w:r w:rsidR="00753962">
        <w:rPr>
          <w:rFonts w:ascii="Palatino" w:hAnsi="Palatino"/>
          <w:sz w:val="24"/>
          <w:szCs w:val="24"/>
        </w:rPr>
        <w:t>.</w:t>
      </w:r>
      <w:r>
        <w:rPr>
          <w:rFonts w:ascii="Palatino" w:hAnsi="Palatino"/>
          <w:sz w:val="24"/>
          <w:szCs w:val="24"/>
        </w:rPr>
        <w:t xml:space="preserve"> </w:t>
      </w:r>
    </w:p>
    <w:p w:rsidR="00B221EE" w:rsidRDefault="00B221EE">
      <w:pPr>
        <w:pStyle w:val="HTMLPreformatted"/>
        <w:tabs>
          <w:tab w:val="clear" w:pos="916"/>
          <w:tab w:val="num" w:pos="810"/>
        </w:tabs>
        <w:rPr>
          <w:rFonts w:ascii="Palatino" w:hAnsi="Palatino"/>
          <w:sz w:val="24"/>
          <w:szCs w:val="24"/>
        </w:rPr>
      </w:pPr>
    </w:p>
    <w:p w:rsidR="00B221EE" w:rsidRDefault="00B221EE" w:rsidP="007E5571">
      <w:pPr>
        <w:pStyle w:val="HTMLPreformatted"/>
        <w:numPr>
          <w:ilvl w:val="0"/>
          <w:numId w:val="29"/>
        </w:numPr>
        <w:rPr>
          <w:rFonts w:ascii="Palatino" w:hAnsi="Palatino"/>
          <w:sz w:val="24"/>
          <w:szCs w:val="24"/>
        </w:rPr>
      </w:pPr>
      <w:r>
        <w:rPr>
          <w:rFonts w:ascii="Palatino" w:hAnsi="Palatino"/>
          <w:sz w:val="24"/>
          <w:szCs w:val="24"/>
        </w:rPr>
        <w:t>Any telephone carrier whose operating license has been revoked may reapply for a new operating authority subject to: a) compliance with the Commission’s licensing application rules (e.g. performance bond requirement), and b) reporting all gross intrastate revenue for past periods out of compliance, and c) pay all applicable fees and surcharges including a 25% fine on applicable fees and surcharges for past periods out of compliance.</w:t>
      </w:r>
    </w:p>
    <w:p w:rsidR="00211473" w:rsidRPr="00211473" w:rsidRDefault="00211473" w:rsidP="0067146B">
      <w:pPr>
        <w:ind w:left="360"/>
        <w:rPr>
          <w:szCs w:val="24"/>
        </w:rPr>
      </w:pPr>
    </w:p>
    <w:p w:rsidR="00211473" w:rsidRDefault="00211473" w:rsidP="0067146B">
      <w:pPr>
        <w:pStyle w:val="HTMLPreformatted"/>
        <w:numPr>
          <w:ilvl w:val="0"/>
          <w:numId w:val="29"/>
        </w:numPr>
        <w:rPr>
          <w:rFonts w:ascii="Palatino" w:hAnsi="Palatino"/>
          <w:sz w:val="24"/>
          <w:szCs w:val="24"/>
        </w:rPr>
      </w:pPr>
      <w:r>
        <w:rPr>
          <w:rFonts w:ascii="Palatino" w:hAnsi="Palatino"/>
          <w:sz w:val="24"/>
          <w:szCs w:val="24"/>
        </w:rPr>
        <w:t xml:space="preserve"> Under PU Code § 405, carriers that are in default of reporting and submitting User Fees for a period of 30 days or more will be subject to penalties including suspension or revocation of their authority to operate in California, with all fees in default due and payable immediately. </w:t>
      </w:r>
    </w:p>
    <w:p w:rsidR="00DE0DE5" w:rsidRDefault="00DE0DE5" w:rsidP="0067146B">
      <w:pPr>
        <w:ind w:left="360"/>
      </w:pPr>
    </w:p>
    <w:p w:rsidR="00B221EE" w:rsidRDefault="00B221EE" w:rsidP="007E5571">
      <w:pPr>
        <w:pStyle w:val="HTMLPreformatted"/>
        <w:numPr>
          <w:ilvl w:val="0"/>
          <w:numId w:val="29"/>
        </w:numPr>
        <w:tabs>
          <w:tab w:val="clear" w:pos="916"/>
        </w:tabs>
        <w:rPr>
          <w:rFonts w:ascii="Palatino" w:hAnsi="Palatino"/>
          <w:sz w:val="24"/>
          <w:szCs w:val="24"/>
        </w:rPr>
      </w:pPr>
      <w:r>
        <w:rPr>
          <w:rFonts w:ascii="Palatino" w:hAnsi="Palatino"/>
          <w:sz w:val="24"/>
          <w:szCs w:val="24"/>
        </w:rPr>
        <w:t>The Commission remit</w:t>
      </w:r>
      <w:r w:rsidR="00DE0DE5">
        <w:rPr>
          <w:rFonts w:ascii="Palatino" w:hAnsi="Palatino"/>
          <w:sz w:val="24"/>
          <w:szCs w:val="24"/>
        </w:rPr>
        <w:t>s</w:t>
      </w:r>
      <w:r>
        <w:rPr>
          <w:rFonts w:ascii="Palatino" w:hAnsi="Palatino"/>
          <w:sz w:val="24"/>
          <w:szCs w:val="24"/>
        </w:rPr>
        <w:t xml:space="preserve"> fine</w:t>
      </w:r>
      <w:r w:rsidR="00DE0DE5">
        <w:rPr>
          <w:rFonts w:ascii="Palatino" w:hAnsi="Palatino"/>
          <w:sz w:val="24"/>
          <w:szCs w:val="24"/>
        </w:rPr>
        <w:t xml:space="preserve">s </w:t>
      </w:r>
      <w:r>
        <w:rPr>
          <w:rFonts w:ascii="Palatino" w:hAnsi="Palatino"/>
          <w:sz w:val="24"/>
          <w:szCs w:val="24"/>
        </w:rPr>
        <w:t>to the State Treasury.</w:t>
      </w:r>
    </w:p>
    <w:p w:rsidR="00B221EE" w:rsidRDefault="00B221EE">
      <w:pPr>
        <w:pStyle w:val="HTMLPreformatted"/>
        <w:tabs>
          <w:tab w:val="clear" w:pos="916"/>
          <w:tab w:val="left" w:pos="720"/>
        </w:tabs>
        <w:ind w:left="720" w:hanging="360"/>
        <w:rPr>
          <w:rFonts w:ascii="Palatino" w:hAnsi="Palatino"/>
          <w:sz w:val="24"/>
          <w:szCs w:val="24"/>
        </w:rPr>
      </w:pPr>
    </w:p>
    <w:p w:rsidR="00B221EE" w:rsidRDefault="002A7551" w:rsidP="007E5571">
      <w:pPr>
        <w:pStyle w:val="HTMLPreformatted"/>
        <w:numPr>
          <w:ilvl w:val="0"/>
          <w:numId w:val="29"/>
        </w:numPr>
        <w:tabs>
          <w:tab w:val="clear" w:pos="916"/>
        </w:tabs>
        <w:rPr>
          <w:rFonts w:ascii="Palatino" w:hAnsi="Palatino"/>
          <w:sz w:val="24"/>
          <w:szCs w:val="24"/>
        </w:rPr>
      </w:pPr>
      <w:r>
        <w:rPr>
          <w:rFonts w:ascii="Palatino" w:hAnsi="Palatino"/>
          <w:sz w:val="24"/>
          <w:szCs w:val="24"/>
        </w:rPr>
        <w:t xml:space="preserve">The Commission e-mailed </w:t>
      </w:r>
      <w:r w:rsidR="00B221EE">
        <w:rPr>
          <w:rFonts w:ascii="Palatino" w:hAnsi="Palatino"/>
          <w:sz w:val="24"/>
          <w:szCs w:val="24"/>
        </w:rPr>
        <w:t xml:space="preserve">Notices of Availability on </w:t>
      </w:r>
      <w:r>
        <w:rPr>
          <w:rFonts w:ascii="Palatino" w:hAnsi="Palatino"/>
          <w:sz w:val="24"/>
          <w:szCs w:val="24"/>
        </w:rPr>
        <w:t>August 18</w:t>
      </w:r>
      <w:r w:rsidR="00B221EE">
        <w:rPr>
          <w:rFonts w:ascii="Palatino" w:hAnsi="Palatino"/>
          <w:sz w:val="24"/>
          <w:szCs w:val="24"/>
        </w:rPr>
        <w:t>, 201</w:t>
      </w:r>
      <w:r>
        <w:rPr>
          <w:rFonts w:ascii="Palatino" w:hAnsi="Palatino"/>
          <w:sz w:val="24"/>
          <w:szCs w:val="24"/>
        </w:rPr>
        <w:t>5</w:t>
      </w:r>
      <w:r w:rsidR="00B221EE">
        <w:rPr>
          <w:rFonts w:ascii="Palatino" w:hAnsi="Palatino"/>
          <w:sz w:val="24"/>
          <w:szCs w:val="24"/>
        </w:rPr>
        <w:t xml:space="preserve"> to all </w:t>
      </w:r>
      <w:r w:rsidR="004A36DD">
        <w:rPr>
          <w:rFonts w:ascii="Palatino" w:hAnsi="Palatino"/>
          <w:sz w:val="24"/>
          <w:szCs w:val="24"/>
        </w:rPr>
        <w:t>telephone</w:t>
      </w:r>
      <w:r w:rsidR="00B221EE">
        <w:rPr>
          <w:rFonts w:ascii="Palatino" w:hAnsi="Palatino"/>
          <w:sz w:val="24"/>
          <w:szCs w:val="24"/>
        </w:rPr>
        <w:t xml:space="preserve"> carriers informing these parties that the draft of this Resolution is available at the Commission’s website http://www.cpuc.ca.gov/ and is available for public comments.  CD informed these parties of the subsequent availability of the conformed </w:t>
      </w:r>
      <w:r w:rsidR="00753962">
        <w:rPr>
          <w:rFonts w:ascii="Palatino" w:hAnsi="Palatino"/>
          <w:sz w:val="24"/>
          <w:szCs w:val="24"/>
        </w:rPr>
        <w:t>R</w:t>
      </w:r>
      <w:r w:rsidR="00B221EE">
        <w:rPr>
          <w:rFonts w:ascii="Palatino" w:hAnsi="Palatino"/>
          <w:sz w:val="24"/>
          <w:szCs w:val="24"/>
        </w:rPr>
        <w:t xml:space="preserve">esolution, when adopted by the Commission, at the </w:t>
      </w:r>
      <w:r w:rsidR="00DE0DE5">
        <w:rPr>
          <w:rFonts w:ascii="Palatino" w:hAnsi="Palatino"/>
          <w:sz w:val="24"/>
          <w:szCs w:val="24"/>
        </w:rPr>
        <w:t xml:space="preserve">same </w:t>
      </w:r>
      <w:r w:rsidR="00B221EE">
        <w:rPr>
          <w:rFonts w:ascii="Palatino" w:hAnsi="Palatino"/>
          <w:sz w:val="24"/>
          <w:szCs w:val="24"/>
        </w:rPr>
        <w:t xml:space="preserve">Commission’s website.  </w:t>
      </w:r>
    </w:p>
    <w:p w:rsidR="00B221EE" w:rsidRDefault="00B221EE">
      <w:pPr>
        <w:pStyle w:val="HTMLPreformatted"/>
        <w:tabs>
          <w:tab w:val="left" w:pos="720"/>
          <w:tab w:val="num" w:pos="810"/>
        </w:tabs>
        <w:ind w:left="810" w:hanging="450"/>
        <w:rPr>
          <w:rFonts w:ascii="Palatino" w:hAnsi="Palatino"/>
          <w:sz w:val="24"/>
          <w:szCs w:val="24"/>
        </w:rPr>
      </w:pPr>
    </w:p>
    <w:p w:rsidR="00B221EE" w:rsidRDefault="00982A8E" w:rsidP="007E5571">
      <w:pPr>
        <w:pStyle w:val="HTMLPreformatted"/>
        <w:numPr>
          <w:ilvl w:val="0"/>
          <w:numId w:val="29"/>
        </w:numPr>
        <w:rPr>
          <w:rFonts w:ascii="Palatino" w:hAnsi="Palatino"/>
          <w:sz w:val="24"/>
          <w:szCs w:val="24"/>
        </w:rPr>
      </w:pPr>
      <w:r>
        <w:rPr>
          <w:rFonts w:ascii="Palatino" w:hAnsi="Palatino"/>
          <w:sz w:val="24"/>
          <w:szCs w:val="24"/>
        </w:rPr>
        <w:t xml:space="preserve">This included notice of the decertified carrier names on this Resolution appearing </w:t>
      </w:r>
      <w:r w:rsidR="00B221EE">
        <w:rPr>
          <w:rFonts w:ascii="Palatino" w:hAnsi="Palatino"/>
          <w:sz w:val="24"/>
          <w:szCs w:val="24"/>
        </w:rPr>
        <w:t xml:space="preserve">on the </w:t>
      </w:r>
      <w:r w:rsidR="00753962">
        <w:rPr>
          <w:rFonts w:ascii="Palatino" w:hAnsi="Palatino"/>
          <w:sz w:val="24"/>
          <w:szCs w:val="24"/>
        </w:rPr>
        <w:t>C</w:t>
      </w:r>
      <w:r w:rsidR="00B221EE">
        <w:rPr>
          <w:rFonts w:ascii="Palatino" w:hAnsi="Palatino"/>
          <w:sz w:val="24"/>
          <w:szCs w:val="24"/>
        </w:rPr>
        <w:t>PUC’s Daily Calendar</w:t>
      </w:r>
      <w:r>
        <w:rPr>
          <w:rFonts w:ascii="Palatino" w:hAnsi="Palatino"/>
          <w:sz w:val="24"/>
          <w:szCs w:val="24"/>
        </w:rPr>
        <w:t>, available</w:t>
      </w:r>
      <w:r w:rsidR="00B221EE">
        <w:rPr>
          <w:rFonts w:ascii="Palatino" w:hAnsi="Palatino"/>
          <w:sz w:val="24"/>
          <w:szCs w:val="24"/>
        </w:rPr>
        <w:t xml:space="preserve"> for 30 days.  </w:t>
      </w:r>
    </w:p>
    <w:p w:rsidR="00B221EE" w:rsidRDefault="00B221EE">
      <w:pPr>
        <w:pStyle w:val="HTMLPreformatted"/>
        <w:rPr>
          <w:rFonts w:ascii="Palatino" w:hAnsi="Palatino"/>
          <w:sz w:val="24"/>
          <w:szCs w:val="24"/>
        </w:rPr>
      </w:pPr>
    </w:p>
    <w:p w:rsidR="00B221EE" w:rsidRDefault="00B221EE">
      <w:pPr>
        <w:pStyle w:val="HTMLPreformatted"/>
        <w:rPr>
          <w:b/>
        </w:rPr>
      </w:pPr>
    </w:p>
    <w:p w:rsidR="00B221EE" w:rsidRDefault="00B221EE">
      <w:pPr>
        <w:pStyle w:val="HTMLPreformatted"/>
        <w:rPr>
          <w:b/>
        </w:rPr>
      </w:pPr>
    </w:p>
    <w:p w:rsidR="00B221EE" w:rsidRDefault="00B221EE">
      <w:pPr>
        <w:pStyle w:val="HTMLPreformatted"/>
        <w:rPr>
          <w:rFonts w:ascii="Palatino" w:hAnsi="Palatino"/>
          <w:sz w:val="24"/>
        </w:rPr>
      </w:pPr>
      <w:r>
        <w:rPr>
          <w:rFonts w:ascii="Palatino" w:hAnsi="Palatino"/>
          <w:b/>
          <w:sz w:val="24"/>
        </w:rPr>
        <w:t>THEREFORE, IT IS ORDERED</w:t>
      </w:r>
      <w:r>
        <w:rPr>
          <w:rFonts w:ascii="Palatino" w:hAnsi="Palatino"/>
          <w:sz w:val="24"/>
        </w:rPr>
        <w:t xml:space="preserve"> that:</w:t>
      </w:r>
    </w:p>
    <w:p w:rsidR="00B221EE" w:rsidRDefault="00B221EE"/>
    <w:p w:rsidR="00B221EE" w:rsidRPr="00A67929" w:rsidRDefault="00B221EE">
      <w:pPr>
        <w:pStyle w:val="HTMLPreformatted"/>
        <w:numPr>
          <w:ilvl w:val="0"/>
          <w:numId w:val="37"/>
        </w:numPr>
        <w:rPr>
          <w:rFonts w:ascii="Palatino" w:hAnsi="Palatino"/>
          <w:sz w:val="24"/>
          <w:szCs w:val="24"/>
        </w:rPr>
      </w:pPr>
      <w:r>
        <w:rPr>
          <w:rFonts w:ascii="Palatino" w:hAnsi="Palatino"/>
          <w:sz w:val="24"/>
          <w:szCs w:val="24"/>
        </w:rPr>
        <w:t xml:space="preserve">The operating authorities issued to the </w:t>
      </w:r>
      <w:r w:rsidR="00DE0DE5">
        <w:rPr>
          <w:rFonts w:ascii="Palatino" w:hAnsi="Palatino"/>
          <w:sz w:val="24"/>
          <w:szCs w:val="24"/>
        </w:rPr>
        <w:t>4</w:t>
      </w:r>
      <w:r w:rsidR="007055BB">
        <w:rPr>
          <w:rFonts w:ascii="Palatino" w:hAnsi="Palatino"/>
          <w:sz w:val="24"/>
          <w:szCs w:val="24"/>
        </w:rPr>
        <w:t>4</w:t>
      </w:r>
      <w:r w:rsidR="00DE0DE5">
        <w:rPr>
          <w:rFonts w:ascii="Palatino" w:hAnsi="Palatino"/>
          <w:sz w:val="24"/>
          <w:szCs w:val="24"/>
        </w:rPr>
        <w:t xml:space="preserve"> </w:t>
      </w:r>
      <w:r>
        <w:rPr>
          <w:rFonts w:ascii="Palatino" w:hAnsi="Palatino"/>
          <w:sz w:val="24"/>
          <w:szCs w:val="24"/>
        </w:rPr>
        <w:t xml:space="preserve">telephone carriers listed in </w:t>
      </w:r>
      <w:r w:rsidR="00DE0DE5">
        <w:rPr>
          <w:rFonts w:ascii="Palatino" w:hAnsi="Palatino"/>
          <w:sz w:val="24"/>
          <w:szCs w:val="24"/>
        </w:rPr>
        <w:t>A</w:t>
      </w:r>
      <w:r w:rsidR="002A780F" w:rsidRPr="00A67929">
        <w:rPr>
          <w:rFonts w:ascii="Palatino" w:hAnsi="Palatino"/>
          <w:sz w:val="24"/>
          <w:szCs w:val="24"/>
        </w:rPr>
        <w:t>ppendices</w:t>
      </w:r>
      <w:r w:rsidRPr="00A67929">
        <w:rPr>
          <w:rFonts w:ascii="Palatino" w:hAnsi="Palatino"/>
          <w:sz w:val="24"/>
          <w:szCs w:val="24"/>
        </w:rPr>
        <w:t xml:space="preserve"> </w:t>
      </w:r>
      <w:r w:rsidR="00DE0DE5">
        <w:rPr>
          <w:rFonts w:ascii="Palatino" w:hAnsi="Palatino"/>
          <w:sz w:val="24"/>
          <w:szCs w:val="24"/>
        </w:rPr>
        <w:t xml:space="preserve">A and B to this Resolution </w:t>
      </w:r>
      <w:r w:rsidRPr="00A67929">
        <w:rPr>
          <w:rFonts w:ascii="Palatino" w:hAnsi="Palatino"/>
          <w:sz w:val="24"/>
          <w:szCs w:val="24"/>
        </w:rPr>
        <w:t>are revoked.</w:t>
      </w:r>
      <w:r w:rsidRPr="00A67929">
        <w:rPr>
          <w:rFonts w:ascii="Palatino" w:hAnsi="Palatino"/>
          <w:sz w:val="24"/>
          <w:szCs w:val="24"/>
        </w:rPr>
        <w:br/>
      </w:r>
    </w:p>
    <w:p w:rsidR="00B221EE" w:rsidRPr="00A67929" w:rsidRDefault="00B221EE">
      <w:pPr>
        <w:pStyle w:val="HTMLPreformatted"/>
        <w:numPr>
          <w:ilvl w:val="0"/>
          <w:numId w:val="37"/>
        </w:numPr>
        <w:rPr>
          <w:rFonts w:ascii="Palatino" w:hAnsi="Palatino"/>
          <w:sz w:val="24"/>
          <w:szCs w:val="24"/>
        </w:rPr>
      </w:pPr>
      <w:r w:rsidRPr="00A67929">
        <w:rPr>
          <w:rFonts w:ascii="Palatino" w:hAnsi="Palatino"/>
          <w:sz w:val="24"/>
          <w:szCs w:val="24"/>
        </w:rPr>
        <w:t xml:space="preserve">The Telephone Utility Identification Numbers of the </w:t>
      </w:r>
      <w:r w:rsidR="001C51F2">
        <w:rPr>
          <w:rFonts w:ascii="Palatino" w:hAnsi="Palatino"/>
          <w:sz w:val="24"/>
          <w:szCs w:val="24"/>
        </w:rPr>
        <w:t xml:space="preserve">44 </w:t>
      </w:r>
      <w:r w:rsidRPr="00A67929">
        <w:rPr>
          <w:rFonts w:ascii="Palatino" w:hAnsi="Palatino"/>
          <w:sz w:val="24"/>
          <w:szCs w:val="24"/>
        </w:rPr>
        <w:t xml:space="preserve">telephone carriers listed in </w:t>
      </w:r>
      <w:r w:rsidR="00DE0DE5">
        <w:rPr>
          <w:rFonts w:ascii="Palatino" w:hAnsi="Palatino"/>
          <w:sz w:val="24"/>
          <w:szCs w:val="24"/>
        </w:rPr>
        <w:t>A</w:t>
      </w:r>
      <w:r w:rsidR="002A780F" w:rsidRPr="00A67929">
        <w:rPr>
          <w:rFonts w:ascii="Palatino" w:hAnsi="Palatino"/>
          <w:sz w:val="24"/>
          <w:szCs w:val="24"/>
        </w:rPr>
        <w:t>ppendices</w:t>
      </w:r>
      <w:r w:rsidR="00DE0DE5">
        <w:rPr>
          <w:rFonts w:ascii="Palatino" w:hAnsi="Palatino"/>
          <w:sz w:val="24"/>
          <w:szCs w:val="24"/>
        </w:rPr>
        <w:t xml:space="preserve"> A and B</w:t>
      </w:r>
      <w:r w:rsidR="002A780F" w:rsidRPr="00A67929">
        <w:rPr>
          <w:rFonts w:ascii="Palatino" w:hAnsi="Palatino"/>
          <w:sz w:val="24"/>
          <w:szCs w:val="24"/>
        </w:rPr>
        <w:t xml:space="preserve"> </w:t>
      </w:r>
      <w:r w:rsidR="00DE0DE5">
        <w:rPr>
          <w:rFonts w:ascii="Palatino" w:hAnsi="Palatino"/>
          <w:sz w:val="24"/>
          <w:szCs w:val="24"/>
        </w:rPr>
        <w:t xml:space="preserve">to this Resolution </w:t>
      </w:r>
      <w:r w:rsidRPr="00A67929">
        <w:rPr>
          <w:rFonts w:ascii="Palatino" w:hAnsi="Palatino"/>
          <w:sz w:val="24"/>
          <w:szCs w:val="24"/>
        </w:rPr>
        <w:t>are cancel</w:t>
      </w:r>
      <w:r w:rsidR="00753962">
        <w:rPr>
          <w:rFonts w:ascii="Palatino" w:hAnsi="Palatino"/>
          <w:sz w:val="24"/>
          <w:szCs w:val="24"/>
        </w:rPr>
        <w:t>l</w:t>
      </w:r>
      <w:r w:rsidRPr="00A67929">
        <w:rPr>
          <w:rFonts w:ascii="Palatino" w:hAnsi="Palatino"/>
          <w:sz w:val="24"/>
          <w:szCs w:val="24"/>
        </w:rPr>
        <w:t xml:space="preserve">ed. </w:t>
      </w:r>
    </w:p>
    <w:p w:rsidR="00B221EE" w:rsidRDefault="00B221EE">
      <w:pPr>
        <w:pStyle w:val="HTMLPreformatted"/>
        <w:tabs>
          <w:tab w:val="clear" w:pos="916"/>
          <w:tab w:val="num" w:pos="720"/>
        </w:tabs>
        <w:ind w:left="720" w:hanging="360"/>
        <w:rPr>
          <w:rFonts w:ascii="Palatino" w:hAnsi="Palatino"/>
          <w:sz w:val="24"/>
          <w:szCs w:val="24"/>
        </w:rPr>
      </w:pPr>
    </w:p>
    <w:p w:rsidR="00B221EE" w:rsidRDefault="00B221EE">
      <w:pPr>
        <w:pStyle w:val="HTMLPreformatted"/>
        <w:tabs>
          <w:tab w:val="clear" w:pos="916"/>
          <w:tab w:val="num" w:pos="720"/>
        </w:tabs>
        <w:ind w:left="720" w:hanging="360"/>
        <w:rPr>
          <w:rFonts w:ascii="Palatino" w:hAnsi="Palatino"/>
          <w:sz w:val="24"/>
          <w:szCs w:val="24"/>
        </w:rPr>
      </w:pPr>
      <w:r>
        <w:rPr>
          <w:rFonts w:ascii="Palatino" w:hAnsi="Palatino"/>
          <w:sz w:val="24"/>
          <w:szCs w:val="24"/>
        </w:rPr>
        <w:t>3.</w:t>
      </w:r>
      <w:r>
        <w:rPr>
          <w:rFonts w:ascii="Palatino" w:hAnsi="Palatino"/>
          <w:sz w:val="24"/>
          <w:szCs w:val="24"/>
        </w:rPr>
        <w:tab/>
        <w:t xml:space="preserve">Telephone carriers with valid operating authorities </w:t>
      </w:r>
      <w:r w:rsidR="00DE0DE5">
        <w:rPr>
          <w:rFonts w:ascii="Palatino" w:hAnsi="Palatino"/>
          <w:sz w:val="24"/>
          <w:szCs w:val="24"/>
        </w:rPr>
        <w:t xml:space="preserve">should </w:t>
      </w:r>
      <w:r w:rsidR="00A94ECC">
        <w:rPr>
          <w:rFonts w:ascii="Palatino" w:hAnsi="Palatino"/>
          <w:sz w:val="24"/>
          <w:szCs w:val="24"/>
        </w:rPr>
        <w:t>cease from conducting</w:t>
      </w:r>
      <w:r w:rsidR="00DE0DE5">
        <w:rPr>
          <w:rFonts w:ascii="Palatino" w:hAnsi="Palatino"/>
          <w:sz w:val="24"/>
          <w:szCs w:val="24"/>
        </w:rPr>
        <w:t xml:space="preserve"> </w:t>
      </w:r>
      <w:r w:rsidR="00E329A6">
        <w:rPr>
          <w:rFonts w:ascii="Palatino" w:hAnsi="Palatino"/>
          <w:sz w:val="24"/>
          <w:szCs w:val="24"/>
        </w:rPr>
        <w:t xml:space="preserve">any </w:t>
      </w:r>
      <w:r w:rsidR="00DE0DE5">
        <w:rPr>
          <w:rFonts w:ascii="Palatino" w:hAnsi="Palatino"/>
          <w:sz w:val="24"/>
          <w:szCs w:val="24"/>
        </w:rPr>
        <w:t>business with</w:t>
      </w:r>
      <w:r>
        <w:rPr>
          <w:rFonts w:ascii="Palatino" w:hAnsi="Palatino"/>
          <w:sz w:val="24"/>
          <w:szCs w:val="24"/>
        </w:rPr>
        <w:t xml:space="preserve"> </w:t>
      </w:r>
      <w:r w:rsidR="00DE0DE5">
        <w:rPr>
          <w:rFonts w:ascii="Palatino" w:hAnsi="Palatino"/>
          <w:sz w:val="24"/>
          <w:szCs w:val="24"/>
        </w:rPr>
        <w:t xml:space="preserve">the </w:t>
      </w:r>
      <w:r w:rsidR="001C51F2">
        <w:rPr>
          <w:rFonts w:ascii="Palatino" w:hAnsi="Palatino"/>
          <w:sz w:val="24"/>
          <w:szCs w:val="24"/>
        </w:rPr>
        <w:t xml:space="preserve">44 </w:t>
      </w:r>
      <w:r w:rsidR="00DE0DE5">
        <w:rPr>
          <w:rFonts w:ascii="Palatino" w:hAnsi="Palatino"/>
          <w:sz w:val="24"/>
          <w:szCs w:val="24"/>
        </w:rPr>
        <w:t>telephone carriers listed in Appendices A and B to this Resolution</w:t>
      </w:r>
      <w:r w:rsidR="007E33A4">
        <w:rPr>
          <w:rFonts w:ascii="Palatino" w:hAnsi="Palatino"/>
          <w:sz w:val="24"/>
          <w:szCs w:val="24"/>
        </w:rPr>
        <w:t>.</w:t>
      </w:r>
      <w:r w:rsidR="00DE0DE5">
        <w:rPr>
          <w:rFonts w:ascii="Palatino" w:hAnsi="Palatino"/>
          <w:sz w:val="24"/>
          <w:szCs w:val="24"/>
        </w:rPr>
        <w:t xml:space="preserve"> </w:t>
      </w:r>
    </w:p>
    <w:p w:rsidR="00B221EE" w:rsidRDefault="00B221EE">
      <w:pPr>
        <w:pStyle w:val="HTMLPreformatted"/>
        <w:ind w:left="360"/>
        <w:rPr>
          <w:rFonts w:ascii="Palatino" w:hAnsi="Palatino"/>
          <w:sz w:val="24"/>
          <w:szCs w:val="24"/>
        </w:rPr>
      </w:pPr>
    </w:p>
    <w:p w:rsidR="00B221EE" w:rsidRDefault="00E329A6">
      <w:pPr>
        <w:pStyle w:val="HTMLPreformatted"/>
        <w:numPr>
          <w:ilvl w:val="0"/>
          <w:numId w:val="38"/>
        </w:numPr>
        <w:rPr>
          <w:rFonts w:ascii="Palatino" w:hAnsi="Palatino"/>
          <w:sz w:val="24"/>
          <w:szCs w:val="24"/>
        </w:rPr>
      </w:pPr>
      <w:r>
        <w:rPr>
          <w:rFonts w:ascii="Palatino" w:hAnsi="Palatino"/>
          <w:sz w:val="24"/>
          <w:szCs w:val="24"/>
        </w:rPr>
        <w:t>The 4</w:t>
      </w:r>
      <w:r w:rsidR="007055BB">
        <w:rPr>
          <w:rFonts w:ascii="Palatino" w:hAnsi="Palatino"/>
          <w:sz w:val="24"/>
          <w:szCs w:val="24"/>
        </w:rPr>
        <w:t>4</w:t>
      </w:r>
      <w:r>
        <w:rPr>
          <w:rFonts w:ascii="Palatino" w:hAnsi="Palatino"/>
          <w:sz w:val="24"/>
          <w:szCs w:val="24"/>
        </w:rPr>
        <w:t xml:space="preserve"> telephone carriers listed in Appendices A and B to </w:t>
      </w:r>
      <w:r w:rsidR="007E33A4">
        <w:rPr>
          <w:rFonts w:ascii="Palatino" w:hAnsi="Palatino"/>
          <w:sz w:val="24"/>
          <w:szCs w:val="24"/>
        </w:rPr>
        <w:t xml:space="preserve">this </w:t>
      </w:r>
      <w:r>
        <w:rPr>
          <w:rFonts w:ascii="Palatino" w:hAnsi="Palatino"/>
          <w:sz w:val="24"/>
          <w:szCs w:val="24"/>
        </w:rPr>
        <w:t xml:space="preserve">Resolution must </w:t>
      </w:r>
      <w:r w:rsidR="00B221EE">
        <w:rPr>
          <w:rFonts w:ascii="Palatino" w:hAnsi="Palatino"/>
          <w:sz w:val="24"/>
          <w:szCs w:val="24"/>
        </w:rPr>
        <w:t>reapply for a new operating authority</w:t>
      </w:r>
      <w:r>
        <w:rPr>
          <w:rFonts w:ascii="Palatino" w:hAnsi="Palatino"/>
          <w:sz w:val="24"/>
          <w:szCs w:val="24"/>
        </w:rPr>
        <w:t xml:space="preserve"> </w:t>
      </w:r>
      <w:r w:rsidR="007E33A4">
        <w:rPr>
          <w:rFonts w:ascii="Palatino" w:hAnsi="Palatino"/>
          <w:sz w:val="24"/>
          <w:szCs w:val="24"/>
        </w:rPr>
        <w:t xml:space="preserve">in order to reinitiate operations </w:t>
      </w:r>
      <w:r>
        <w:rPr>
          <w:rFonts w:ascii="Palatino" w:hAnsi="Palatino"/>
          <w:sz w:val="24"/>
          <w:szCs w:val="24"/>
        </w:rPr>
        <w:t>in California and must</w:t>
      </w:r>
      <w:r w:rsidR="00B221EE">
        <w:rPr>
          <w:rFonts w:ascii="Palatino" w:hAnsi="Palatino"/>
          <w:sz w:val="24"/>
          <w:szCs w:val="24"/>
        </w:rPr>
        <w:t xml:space="preserve">: a) </w:t>
      </w:r>
      <w:r>
        <w:rPr>
          <w:rFonts w:ascii="Palatino" w:hAnsi="Palatino"/>
          <w:sz w:val="24"/>
          <w:szCs w:val="24"/>
        </w:rPr>
        <w:t xml:space="preserve">comply </w:t>
      </w:r>
      <w:r w:rsidR="00B221EE">
        <w:rPr>
          <w:rFonts w:ascii="Palatino" w:hAnsi="Palatino"/>
          <w:sz w:val="24"/>
          <w:szCs w:val="24"/>
        </w:rPr>
        <w:t>with the Commission’s licensing application rules (e.g. performance bond requirement)</w:t>
      </w:r>
      <w:r>
        <w:rPr>
          <w:rFonts w:ascii="Palatino" w:hAnsi="Palatino"/>
          <w:sz w:val="24"/>
          <w:szCs w:val="24"/>
        </w:rPr>
        <w:t>;</w:t>
      </w:r>
      <w:r w:rsidR="007E33A4">
        <w:rPr>
          <w:rFonts w:ascii="Palatino" w:hAnsi="Palatino"/>
          <w:sz w:val="24"/>
          <w:szCs w:val="24"/>
        </w:rPr>
        <w:t xml:space="preserve"> </w:t>
      </w:r>
      <w:r w:rsidR="00B221EE">
        <w:rPr>
          <w:rFonts w:ascii="Palatino" w:hAnsi="Palatino"/>
          <w:sz w:val="24"/>
          <w:szCs w:val="24"/>
        </w:rPr>
        <w:t>b) report</w:t>
      </w:r>
      <w:r w:rsidR="007E33A4">
        <w:rPr>
          <w:rFonts w:ascii="Palatino" w:hAnsi="Palatino"/>
          <w:sz w:val="24"/>
          <w:szCs w:val="24"/>
        </w:rPr>
        <w:t xml:space="preserve"> </w:t>
      </w:r>
      <w:r w:rsidR="00B221EE">
        <w:rPr>
          <w:rFonts w:ascii="Palatino" w:hAnsi="Palatino"/>
          <w:sz w:val="24"/>
          <w:szCs w:val="24"/>
        </w:rPr>
        <w:t xml:space="preserve">all gross intrastate revenue for </w:t>
      </w:r>
      <w:r>
        <w:rPr>
          <w:rFonts w:ascii="Palatino" w:hAnsi="Palatino"/>
          <w:sz w:val="24"/>
          <w:szCs w:val="24"/>
        </w:rPr>
        <w:t xml:space="preserve">all </w:t>
      </w:r>
      <w:r w:rsidR="00B221EE">
        <w:rPr>
          <w:rFonts w:ascii="Palatino" w:hAnsi="Palatino"/>
          <w:sz w:val="24"/>
          <w:szCs w:val="24"/>
        </w:rPr>
        <w:t>past periods out of compliance</w:t>
      </w:r>
      <w:r>
        <w:rPr>
          <w:rFonts w:ascii="Palatino" w:hAnsi="Palatino"/>
          <w:sz w:val="24"/>
          <w:szCs w:val="24"/>
        </w:rPr>
        <w:t>;</w:t>
      </w:r>
      <w:r w:rsidR="00B221EE">
        <w:rPr>
          <w:rFonts w:ascii="Palatino" w:hAnsi="Palatino"/>
          <w:sz w:val="24"/>
          <w:szCs w:val="24"/>
        </w:rPr>
        <w:t xml:space="preserve"> and c) pay all applicable fees and surcharges including a 25% fine on applicable fees and surcharges for </w:t>
      </w:r>
      <w:r>
        <w:rPr>
          <w:rFonts w:ascii="Palatino" w:hAnsi="Palatino"/>
          <w:sz w:val="24"/>
          <w:szCs w:val="24"/>
        </w:rPr>
        <w:t xml:space="preserve">all </w:t>
      </w:r>
      <w:r w:rsidR="00B221EE">
        <w:rPr>
          <w:rFonts w:ascii="Palatino" w:hAnsi="Palatino"/>
          <w:sz w:val="24"/>
          <w:szCs w:val="24"/>
        </w:rPr>
        <w:t>past periods out of compliance.</w:t>
      </w:r>
    </w:p>
    <w:p w:rsidR="00B221EE" w:rsidRDefault="00B221EE">
      <w:pPr>
        <w:pStyle w:val="HTMLPreformatted"/>
        <w:ind w:left="360"/>
        <w:rPr>
          <w:rFonts w:ascii="Palatino" w:hAnsi="Palatino"/>
          <w:sz w:val="24"/>
          <w:szCs w:val="24"/>
        </w:rPr>
      </w:pPr>
    </w:p>
    <w:p w:rsidR="008C11EF" w:rsidRDefault="008C11EF">
      <w:pPr>
        <w:pStyle w:val="HTMLPreformatted"/>
        <w:rPr>
          <w:rFonts w:ascii="Palatino" w:hAnsi="Palatino"/>
          <w:sz w:val="24"/>
          <w:szCs w:val="24"/>
        </w:rPr>
      </w:pPr>
    </w:p>
    <w:p w:rsidR="00B221EE" w:rsidRDefault="00B221EE">
      <w:pPr>
        <w:pStyle w:val="HTMLPreformatted"/>
        <w:rPr>
          <w:rFonts w:ascii="Palatino" w:hAnsi="Palatino"/>
          <w:sz w:val="24"/>
          <w:szCs w:val="24"/>
        </w:rPr>
      </w:pPr>
      <w:r>
        <w:rPr>
          <w:rFonts w:ascii="Palatino" w:hAnsi="Palatino"/>
          <w:sz w:val="24"/>
          <w:szCs w:val="24"/>
        </w:rPr>
        <w:t>This Resolution is effective today.</w:t>
      </w:r>
    </w:p>
    <w:p w:rsidR="00B221EE" w:rsidRDefault="00B221EE">
      <w:pPr>
        <w:pStyle w:val="HTMLPreformatted"/>
        <w:rPr>
          <w:rFonts w:ascii="Palatino" w:hAnsi="Palatino"/>
          <w:sz w:val="24"/>
          <w:szCs w:val="24"/>
        </w:rPr>
      </w:pPr>
    </w:p>
    <w:p w:rsidR="00B221EE" w:rsidRDefault="00B221EE">
      <w:pPr>
        <w:pStyle w:val="HTMLPreformatted"/>
        <w:rPr>
          <w:rFonts w:ascii="Palatino" w:hAnsi="Palatino"/>
          <w:sz w:val="24"/>
          <w:szCs w:val="24"/>
        </w:rPr>
      </w:pPr>
      <w:r>
        <w:rPr>
          <w:rFonts w:ascii="Palatino" w:hAnsi="Palatino"/>
          <w:sz w:val="24"/>
          <w:szCs w:val="24"/>
        </w:rPr>
        <w:t xml:space="preserve">I hereby certify that this Resolution was adopted by the Public Utilities Commission at its regular meeting on </w:t>
      </w:r>
      <w:r w:rsidR="002A7551">
        <w:rPr>
          <w:rFonts w:ascii="Palatino" w:hAnsi="Palatino"/>
          <w:sz w:val="24"/>
          <w:szCs w:val="24"/>
        </w:rPr>
        <w:t>September 17</w:t>
      </w:r>
      <w:r>
        <w:rPr>
          <w:rFonts w:ascii="Palatino" w:hAnsi="Palatino"/>
          <w:sz w:val="24"/>
          <w:szCs w:val="24"/>
        </w:rPr>
        <w:t>, 201</w:t>
      </w:r>
      <w:r w:rsidR="002A7551">
        <w:rPr>
          <w:rFonts w:ascii="Palatino" w:hAnsi="Palatino"/>
          <w:sz w:val="24"/>
          <w:szCs w:val="24"/>
        </w:rPr>
        <w:t>5</w:t>
      </w:r>
      <w:r>
        <w:rPr>
          <w:rFonts w:ascii="Palatino" w:hAnsi="Palatino"/>
          <w:sz w:val="24"/>
          <w:szCs w:val="24"/>
        </w:rPr>
        <w:t>.  The following Commissioners approved it:</w:t>
      </w:r>
    </w:p>
    <w:p w:rsidR="00B221EE" w:rsidRDefault="00B221EE">
      <w:pPr>
        <w:pStyle w:val="BodyText"/>
      </w:pPr>
    </w:p>
    <w:p w:rsidR="00B221EE" w:rsidRDefault="00B221EE">
      <w:pPr>
        <w:pStyle w:val="BodyText"/>
      </w:pPr>
    </w:p>
    <w:p w:rsidR="00B221EE" w:rsidRDefault="00B221EE"/>
    <w:tbl>
      <w:tblPr>
        <w:tblW w:w="0" w:type="auto"/>
        <w:tblInd w:w="4788" w:type="dxa"/>
        <w:tblLayout w:type="fixed"/>
        <w:tblLook w:val="0000" w:firstRow="0" w:lastRow="0" w:firstColumn="0" w:lastColumn="0" w:noHBand="0" w:noVBand="0"/>
      </w:tblPr>
      <w:tblGrid>
        <w:gridCol w:w="3876"/>
      </w:tblGrid>
      <w:tr w:rsidR="00B221EE">
        <w:trPr>
          <w:trHeight w:val="219"/>
        </w:trPr>
        <w:tc>
          <w:tcPr>
            <w:tcW w:w="3876" w:type="dxa"/>
            <w:tcBorders>
              <w:top w:val="nil"/>
              <w:left w:val="nil"/>
              <w:bottom w:val="single" w:sz="6" w:space="0" w:color="auto"/>
              <w:right w:val="nil"/>
            </w:tcBorders>
          </w:tcPr>
          <w:p w:rsidR="00B221EE" w:rsidRDefault="00B221EE" w:rsidP="008C11EF">
            <w:pPr>
              <w:pStyle w:val="HTMLPreformatted"/>
              <w:rPr>
                <w:rFonts w:ascii="Palatino" w:hAnsi="Palatino"/>
                <w:sz w:val="24"/>
              </w:rPr>
            </w:pPr>
            <w:r>
              <w:rPr>
                <w:rFonts w:ascii="Palatino" w:hAnsi="Palatino"/>
                <w:sz w:val="24"/>
              </w:rPr>
              <w:t xml:space="preserve">               </w:t>
            </w:r>
          </w:p>
        </w:tc>
      </w:tr>
      <w:tr w:rsidR="00B221EE">
        <w:trPr>
          <w:trHeight w:val="912"/>
        </w:trPr>
        <w:tc>
          <w:tcPr>
            <w:tcW w:w="3876" w:type="dxa"/>
            <w:tcBorders>
              <w:top w:val="nil"/>
              <w:left w:val="nil"/>
              <w:bottom w:val="nil"/>
              <w:right w:val="nil"/>
            </w:tcBorders>
          </w:tcPr>
          <w:p w:rsidR="00B221EE" w:rsidRDefault="004677A4">
            <w:pPr>
              <w:pStyle w:val="HTMLPreformatted"/>
              <w:jc w:val="center"/>
              <w:rPr>
                <w:rFonts w:ascii="Palatino" w:hAnsi="Palatino"/>
                <w:sz w:val="24"/>
                <w:szCs w:val="24"/>
              </w:rPr>
            </w:pPr>
            <w:r>
              <w:rPr>
                <w:rFonts w:ascii="Palatino" w:hAnsi="Palatino"/>
                <w:sz w:val="24"/>
                <w:szCs w:val="24"/>
              </w:rPr>
              <w:t>TIMOTHY</w:t>
            </w:r>
            <w:r w:rsidR="006C2675">
              <w:rPr>
                <w:rFonts w:ascii="Palatino" w:hAnsi="Palatino"/>
                <w:sz w:val="24"/>
                <w:szCs w:val="24"/>
              </w:rPr>
              <w:t xml:space="preserve"> J.</w:t>
            </w:r>
            <w:r>
              <w:rPr>
                <w:rFonts w:ascii="Palatino" w:hAnsi="Palatino"/>
                <w:sz w:val="24"/>
                <w:szCs w:val="24"/>
              </w:rPr>
              <w:t xml:space="preserve"> SULLIVAN</w:t>
            </w:r>
          </w:p>
          <w:p w:rsidR="00B221EE" w:rsidRDefault="00B221EE">
            <w:pPr>
              <w:pStyle w:val="HTMLPreformatted"/>
              <w:jc w:val="center"/>
              <w:rPr>
                <w:rFonts w:ascii="Palatino" w:hAnsi="Palatino"/>
                <w:sz w:val="24"/>
                <w:szCs w:val="24"/>
              </w:rPr>
            </w:pPr>
            <w:r>
              <w:rPr>
                <w:rFonts w:ascii="Palatino" w:hAnsi="Palatino"/>
                <w:sz w:val="24"/>
                <w:szCs w:val="24"/>
              </w:rPr>
              <w:t>Executive Director</w:t>
            </w:r>
          </w:p>
          <w:p w:rsidR="00B221EE" w:rsidRDefault="00B221EE">
            <w:pPr>
              <w:pStyle w:val="HTMLPreformatted"/>
              <w:jc w:val="center"/>
              <w:rPr>
                <w:rFonts w:ascii="Palatino" w:hAnsi="Palatino"/>
                <w:sz w:val="24"/>
              </w:rPr>
            </w:pPr>
          </w:p>
        </w:tc>
      </w:tr>
    </w:tbl>
    <w:p w:rsidR="00B221EE" w:rsidRDefault="00B221EE">
      <w:pPr>
        <w:rPr>
          <w:sz w:val="28"/>
          <w:szCs w:val="28"/>
        </w:rPr>
      </w:pPr>
      <w: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1009F" w:rsidRDefault="00B221EE" w:rsidP="0004215A">
      <w:pPr>
        <w:rPr>
          <w:b/>
          <w:sz w:val="28"/>
          <w:szCs w:val="28"/>
        </w:rPr>
        <w:sectPr w:rsidR="0011009F" w:rsidSect="00BA58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354" w:right="1440" w:bottom="994" w:left="1440" w:header="634" w:footer="648" w:gutter="0"/>
          <w:cols w:space="720"/>
          <w:titlePg/>
        </w:sectPr>
      </w:pPr>
      <w:r>
        <w:rPr>
          <w:sz w:val="28"/>
          <w:szCs w:val="28"/>
        </w:rPr>
        <w:tab/>
      </w:r>
      <w:r>
        <w:rPr>
          <w:sz w:val="28"/>
          <w:szCs w:val="28"/>
        </w:rPr>
        <w:tab/>
      </w:r>
      <w:r>
        <w:rPr>
          <w:b/>
          <w:sz w:val="28"/>
          <w:szCs w:val="28"/>
        </w:rPr>
        <w:t xml:space="preserve">                                 </w:t>
      </w:r>
    </w:p>
    <w:p w:rsidR="008C76EB" w:rsidRDefault="008C76EB" w:rsidP="008C76EB">
      <w:pPr>
        <w:jc w:val="center"/>
        <w:rPr>
          <w:b/>
          <w:sz w:val="40"/>
          <w:szCs w:val="40"/>
        </w:rPr>
      </w:pPr>
    </w:p>
    <w:p w:rsidR="008C76EB" w:rsidRDefault="008C76EB" w:rsidP="008C76EB">
      <w:pPr>
        <w:jc w:val="center"/>
        <w:rPr>
          <w:b/>
          <w:sz w:val="40"/>
          <w:szCs w:val="40"/>
        </w:rPr>
      </w:pPr>
    </w:p>
    <w:p w:rsidR="008C76EB" w:rsidRDefault="008C76EB" w:rsidP="008C76EB">
      <w:pPr>
        <w:jc w:val="center"/>
        <w:rPr>
          <w:b/>
          <w:sz w:val="40"/>
          <w:szCs w:val="40"/>
        </w:rPr>
      </w:pPr>
    </w:p>
    <w:p w:rsidR="00762654" w:rsidRDefault="00762654" w:rsidP="008C76EB">
      <w:pPr>
        <w:jc w:val="center"/>
        <w:rPr>
          <w:b/>
          <w:sz w:val="40"/>
          <w:szCs w:val="40"/>
        </w:rPr>
      </w:pPr>
    </w:p>
    <w:p w:rsidR="00762654" w:rsidRDefault="00762654" w:rsidP="008C76EB">
      <w:pPr>
        <w:jc w:val="center"/>
        <w:rPr>
          <w:b/>
          <w:sz w:val="40"/>
          <w:szCs w:val="40"/>
        </w:rPr>
      </w:pPr>
    </w:p>
    <w:p w:rsidR="008C76EB" w:rsidRDefault="008C76EB" w:rsidP="008C76EB">
      <w:pPr>
        <w:jc w:val="center"/>
        <w:rPr>
          <w:b/>
          <w:sz w:val="40"/>
          <w:szCs w:val="40"/>
        </w:rPr>
      </w:pPr>
    </w:p>
    <w:p w:rsidR="008C76EB" w:rsidRDefault="008C76EB" w:rsidP="008C76EB">
      <w:pPr>
        <w:jc w:val="center"/>
        <w:rPr>
          <w:b/>
          <w:sz w:val="40"/>
          <w:szCs w:val="40"/>
        </w:rPr>
      </w:pPr>
    </w:p>
    <w:p w:rsidR="008C76EB" w:rsidRDefault="008C76EB" w:rsidP="008C76EB">
      <w:pPr>
        <w:jc w:val="center"/>
        <w:rPr>
          <w:b/>
          <w:sz w:val="40"/>
          <w:szCs w:val="40"/>
        </w:rPr>
      </w:pPr>
    </w:p>
    <w:p w:rsidR="008C76EB" w:rsidRDefault="008C76EB" w:rsidP="008C76EB">
      <w:pPr>
        <w:jc w:val="center"/>
        <w:rPr>
          <w:b/>
          <w:sz w:val="40"/>
          <w:szCs w:val="40"/>
        </w:rPr>
      </w:pPr>
    </w:p>
    <w:p w:rsidR="008C76EB" w:rsidRDefault="008C76EB" w:rsidP="008C76EB">
      <w:pPr>
        <w:jc w:val="center"/>
        <w:rPr>
          <w:b/>
          <w:sz w:val="40"/>
          <w:szCs w:val="40"/>
        </w:rPr>
      </w:pPr>
    </w:p>
    <w:p w:rsidR="008C76EB" w:rsidRDefault="008C76EB" w:rsidP="008C76EB">
      <w:pPr>
        <w:jc w:val="center"/>
        <w:rPr>
          <w:b/>
          <w:sz w:val="40"/>
          <w:szCs w:val="40"/>
        </w:rPr>
      </w:pPr>
    </w:p>
    <w:p w:rsidR="008C76EB" w:rsidRDefault="008C76EB" w:rsidP="008C76EB">
      <w:pPr>
        <w:jc w:val="center"/>
        <w:rPr>
          <w:b/>
          <w:sz w:val="40"/>
          <w:szCs w:val="40"/>
        </w:rPr>
      </w:pPr>
    </w:p>
    <w:p w:rsidR="0004215A" w:rsidRPr="008C76EB" w:rsidRDefault="008C76EB" w:rsidP="008C76EB">
      <w:pPr>
        <w:jc w:val="center"/>
        <w:rPr>
          <w:b/>
          <w:sz w:val="40"/>
          <w:szCs w:val="40"/>
        </w:rPr>
        <w:sectPr w:rsidR="0004215A" w:rsidRPr="008C76EB" w:rsidSect="0011009F">
          <w:headerReference w:type="default" r:id="rId14"/>
          <w:headerReference w:type="first" r:id="rId15"/>
          <w:footerReference w:type="first" r:id="rId16"/>
          <w:pgSz w:w="12240" w:h="15840" w:code="1"/>
          <w:pgMar w:top="1354" w:right="1440" w:bottom="994" w:left="1440" w:header="634" w:footer="648" w:gutter="0"/>
          <w:cols w:space="720"/>
          <w:titlePg/>
        </w:sectPr>
      </w:pPr>
      <w:r w:rsidRPr="008C76EB">
        <w:rPr>
          <w:b/>
          <w:sz w:val="40"/>
          <w:szCs w:val="40"/>
        </w:rPr>
        <w:t>Appendix</w:t>
      </w:r>
    </w:p>
    <w:p w:rsidR="00B221EE" w:rsidRDefault="00B221EE">
      <w:pPr>
        <w:jc w:val="center"/>
        <w:rPr>
          <w:b/>
          <w:sz w:val="28"/>
          <w:szCs w:val="28"/>
          <w:u w:val="single"/>
        </w:rPr>
      </w:pPr>
      <w:r>
        <w:rPr>
          <w:b/>
          <w:sz w:val="28"/>
          <w:szCs w:val="28"/>
          <w:u w:val="single"/>
        </w:rPr>
        <w:t>Appendix A</w:t>
      </w:r>
      <w:r w:rsidR="00B06278">
        <w:rPr>
          <w:b/>
          <w:sz w:val="28"/>
          <w:szCs w:val="28"/>
          <w:u w:val="single"/>
        </w:rPr>
        <w:t xml:space="preserve"> (in U</w:t>
      </w:r>
      <w:r w:rsidR="00111F36">
        <w:rPr>
          <w:b/>
          <w:sz w:val="28"/>
          <w:szCs w:val="28"/>
          <w:u w:val="single"/>
        </w:rPr>
        <w:t>-</w:t>
      </w:r>
      <w:r w:rsidR="00B06278">
        <w:rPr>
          <w:b/>
          <w:sz w:val="28"/>
          <w:szCs w:val="28"/>
          <w:u w:val="single"/>
        </w:rPr>
        <w:t>number order)</w:t>
      </w:r>
    </w:p>
    <w:p w:rsidR="007D76E1" w:rsidRDefault="00B221EE">
      <w:pPr>
        <w:jc w:val="center"/>
        <w:rPr>
          <w:b/>
          <w:sz w:val="28"/>
          <w:szCs w:val="28"/>
          <w:u w:val="single"/>
        </w:rPr>
      </w:pPr>
      <w:r>
        <w:rPr>
          <w:b/>
          <w:sz w:val="28"/>
          <w:szCs w:val="28"/>
          <w:u w:val="single"/>
        </w:rPr>
        <w:t>List of Carriers to be Revoked</w:t>
      </w:r>
    </w:p>
    <w:p w:rsidR="00B221EE" w:rsidRDefault="00B221EE">
      <w:pPr>
        <w:jc w:val="center"/>
        <w:rPr>
          <w:b/>
          <w:sz w:val="20"/>
          <w:szCs w:val="28"/>
          <w:u w:val="single"/>
        </w:rPr>
      </w:pPr>
    </w:p>
    <w:tbl>
      <w:tblPr>
        <w:tblpPr w:leftFromText="180" w:rightFromText="180" w:vertAnchor="text" w:horzAnchor="margin" w:tblpXSpec="center" w:tblpY="-29"/>
        <w:tblOverlap w:val="never"/>
        <w:tblW w:w="8040" w:type="dxa"/>
        <w:tblLayout w:type="fixed"/>
        <w:tblLook w:val="04A0" w:firstRow="1" w:lastRow="0" w:firstColumn="1" w:lastColumn="0" w:noHBand="0" w:noVBand="1"/>
      </w:tblPr>
      <w:tblGrid>
        <w:gridCol w:w="379"/>
        <w:gridCol w:w="1260"/>
        <w:gridCol w:w="2696"/>
        <w:gridCol w:w="900"/>
        <w:gridCol w:w="1101"/>
        <w:gridCol w:w="944"/>
        <w:gridCol w:w="760"/>
      </w:tblGrid>
      <w:tr w:rsidR="00FC5190" w:rsidRPr="00FC5190" w:rsidTr="002A1B9F">
        <w:trPr>
          <w:trHeight w:val="600"/>
        </w:trPr>
        <w:tc>
          <w:tcPr>
            <w:tcW w:w="379" w:type="dxa"/>
            <w:tcBorders>
              <w:top w:val="single" w:sz="8" w:space="0" w:color="auto"/>
              <w:left w:val="single" w:sz="8" w:space="0" w:color="auto"/>
              <w:bottom w:val="single" w:sz="4" w:space="0" w:color="auto"/>
              <w:right w:val="single" w:sz="4"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w:t>
            </w:r>
          </w:p>
        </w:tc>
        <w:tc>
          <w:tcPr>
            <w:tcW w:w="1260" w:type="dxa"/>
            <w:tcBorders>
              <w:top w:val="single" w:sz="8" w:space="0" w:color="auto"/>
              <w:left w:val="nil"/>
              <w:bottom w:val="single" w:sz="4" w:space="0" w:color="auto"/>
              <w:right w:val="single" w:sz="4"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UTILITY TYPE</w:t>
            </w:r>
          </w:p>
        </w:tc>
        <w:tc>
          <w:tcPr>
            <w:tcW w:w="2696" w:type="dxa"/>
            <w:tcBorders>
              <w:top w:val="single" w:sz="8" w:space="0" w:color="auto"/>
              <w:left w:val="nil"/>
              <w:bottom w:val="single" w:sz="4" w:space="0" w:color="auto"/>
              <w:right w:val="single" w:sz="4" w:space="0" w:color="auto"/>
            </w:tcBorders>
            <w:shd w:val="clear" w:color="auto" w:fill="auto"/>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UTILITY NAME</w:t>
            </w:r>
          </w:p>
        </w:tc>
        <w:tc>
          <w:tcPr>
            <w:tcW w:w="900" w:type="dxa"/>
            <w:tcBorders>
              <w:top w:val="single" w:sz="8" w:space="0" w:color="auto"/>
              <w:left w:val="nil"/>
              <w:bottom w:val="single" w:sz="4" w:space="0" w:color="auto"/>
              <w:right w:val="single" w:sz="4"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U-number</w:t>
            </w:r>
          </w:p>
        </w:tc>
        <w:tc>
          <w:tcPr>
            <w:tcW w:w="1101" w:type="dxa"/>
            <w:tcBorders>
              <w:top w:val="single" w:sz="8" w:space="0" w:color="auto"/>
              <w:left w:val="nil"/>
              <w:bottom w:val="single" w:sz="4" w:space="0" w:color="auto"/>
              <w:right w:val="single" w:sz="4" w:space="0" w:color="auto"/>
            </w:tcBorders>
            <w:shd w:val="clear" w:color="auto" w:fill="auto"/>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Performance Bond</w:t>
            </w:r>
          </w:p>
        </w:tc>
        <w:tc>
          <w:tcPr>
            <w:tcW w:w="944" w:type="dxa"/>
            <w:tcBorders>
              <w:top w:val="single" w:sz="8" w:space="0" w:color="auto"/>
              <w:left w:val="nil"/>
              <w:bottom w:val="single" w:sz="4" w:space="0" w:color="auto"/>
              <w:right w:val="single" w:sz="4"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Surcharges</w:t>
            </w:r>
          </w:p>
        </w:tc>
        <w:tc>
          <w:tcPr>
            <w:tcW w:w="760" w:type="dxa"/>
            <w:tcBorders>
              <w:top w:val="single" w:sz="8" w:space="0" w:color="auto"/>
              <w:left w:val="nil"/>
              <w:bottom w:val="single" w:sz="4" w:space="0" w:color="auto"/>
              <w:right w:val="single" w:sz="8"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User Fees</w:t>
            </w:r>
          </w:p>
        </w:tc>
      </w:tr>
      <w:tr w:rsidR="00C70F0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C70F01" w:rsidRPr="008C11EF" w:rsidRDefault="00C70F01" w:rsidP="002A1B9F">
            <w:pPr>
              <w:overflowPunct/>
              <w:autoSpaceDE/>
              <w:autoSpaceDN/>
              <w:adjustRightInd/>
              <w:textAlignment w:val="auto"/>
              <w:rPr>
                <w:rFonts w:ascii="Calibri" w:hAnsi="Calibri"/>
                <w:sz w:val="16"/>
                <w:szCs w:val="16"/>
              </w:rPr>
            </w:pPr>
            <w:r w:rsidRPr="008C11EF">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hideMark/>
          </w:tcPr>
          <w:p w:rsidR="00C70F01" w:rsidRPr="00FC5190" w:rsidRDefault="00C70F01" w:rsidP="002A1B9F">
            <w:pPr>
              <w:overflowPunct/>
              <w:autoSpaceDE/>
              <w:autoSpaceDN/>
              <w:adjustRightInd/>
              <w:textAlignment w:val="auto"/>
              <w:rPr>
                <w:rFonts w:ascii="Calibri" w:hAnsi="Calibri"/>
                <w:sz w:val="16"/>
                <w:szCs w:val="16"/>
              </w:rPr>
            </w:pPr>
            <w:r w:rsidRPr="00FC5190">
              <w:rPr>
                <w:rFonts w:ascii="Calibri" w:hAnsi="Calibri"/>
                <w:sz w:val="16"/>
                <w:szCs w:val="16"/>
              </w:rPr>
              <w:t>RTU</w:t>
            </w:r>
          </w:p>
        </w:tc>
        <w:tc>
          <w:tcPr>
            <w:tcW w:w="2696" w:type="dxa"/>
            <w:tcBorders>
              <w:top w:val="nil"/>
              <w:left w:val="nil"/>
              <w:bottom w:val="single" w:sz="4" w:space="0" w:color="auto"/>
              <w:right w:val="single" w:sz="4" w:space="0" w:color="auto"/>
            </w:tcBorders>
            <w:shd w:val="clear" w:color="auto" w:fill="auto"/>
            <w:hideMark/>
          </w:tcPr>
          <w:p w:rsidR="00C70F01" w:rsidRPr="00FC5190" w:rsidRDefault="00C70F01" w:rsidP="002A1B9F">
            <w:pPr>
              <w:overflowPunct/>
              <w:autoSpaceDE/>
              <w:autoSpaceDN/>
              <w:adjustRightInd/>
              <w:textAlignment w:val="auto"/>
              <w:rPr>
                <w:rFonts w:ascii="Calibri" w:hAnsi="Calibri"/>
                <w:sz w:val="16"/>
                <w:szCs w:val="16"/>
              </w:rPr>
            </w:pPr>
            <w:r w:rsidRPr="00FC5190">
              <w:rPr>
                <w:rFonts w:ascii="Calibri" w:hAnsi="Calibri"/>
                <w:sz w:val="16"/>
                <w:szCs w:val="16"/>
              </w:rPr>
              <w:t>Velocita Wireless</w:t>
            </w:r>
          </w:p>
        </w:tc>
        <w:tc>
          <w:tcPr>
            <w:tcW w:w="900" w:type="dxa"/>
            <w:tcBorders>
              <w:top w:val="nil"/>
              <w:left w:val="nil"/>
              <w:bottom w:val="single" w:sz="4" w:space="0" w:color="auto"/>
              <w:right w:val="single" w:sz="4" w:space="0" w:color="auto"/>
            </w:tcBorders>
            <w:shd w:val="clear" w:color="auto" w:fill="auto"/>
            <w:noWrap/>
            <w:hideMark/>
          </w:tcPr>
          <w:p w:rsidR="00C70F01" w:rsidRPr="00FC5190" w:rsidRDefault="00C70F0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U-2159-C</w:t>
            </w:r>
          </w:p>
        </w:tc>
        <w:tc>
          <w:tcPr>
            <w:tcW w:w="1101" w:type="dxa"/>
            <w:tcBorders>
              <w:top w:val="nil"/>
              <w:left w:val="nil"/>
              <w:bottom w:val="single" w:sz="4" w:space="0" w:color="auto"/>
              <w:right w:val="single" w:sz="4" w:space="0" w:color="auto"/>
            </w:tcBorders>
            <w:shd w:val="clear" w:color="auto" w:fill="auto"/>
            <w:hideMark/>
          </w:tcPr>
          <w:p w:rsidR="00C70F01" w:rsidRPr="00FC5190" w:rsidRDefault="00C70F01" w:rsidP="002A1B9F">
            <w:pPr>
              <w:overflowPunct/>
              <w:autoSpaceDE/>
              <w:autoSpaceDN/>
              <w:adjustRightInd/>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C70F01" w:rsidRPr="00C70F01" w:rsidRDefault="00C70F01" w:rsidP="002A1B9F">
            <w:pPr>
              <w:overflowPunct/>
              <w:autoSpaceDE/>
              <w:autoSpaceDN/>
              <w:adjustRightInd/>
              <w:jc w:val="center"/>
              <w:textAlignment w:val="auto"/>
              <w:rPr>
                <w:rFonts w:ascii="Calibri" w:hAnsi="Calibri"/>
                <w:b/>
                <w:sz w:val="16"/>
                <w:szCs w:val="16"/>
              </w:rPr>
            </w:pPr>
            <w:r w:rsidRPr="00C70F01">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C70F01" w:rsidRPr="00C70F01" w:rsidRDefault="00C70F01" w:rsidP="002A1B9F">
            <w:pPr>
              <w:overflowPunct/>
              <w:autoSpaceDE/>
              <w:autoSpaceDN/>
              <w:adjustRightInd/>
              <w:jc w:val="center"/>
              <w:textAlignment w:val="auto"/>
              <w:rPr>
                <w:rFonts w:ascii="Calibri" w:hAnsi="Calibri"/>
                <w:b/>
                <w:sz w:val="16"/>
                <w:szCs w:val="16"/>
              </w:rPr>
            </w:pPr>
            <w:r w:rsidRPr="00C70F01">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9671F3" w:rsidP="002A1B9F">
            <w:pPr>
              <w:overflowPunct/>
              <w:autoSpaceDE/>
              <w:autoSpaceDN/>
              <w:adjustRightInd/>
              <w:textAlignment w:val="auto"/>
              <w:rPr>
                <w:rFonts w:ascii="Calibri" w:hAnsi="Calibri"/>
                <w:sz w:val="16"/>
                <w:szCs w:val="16"/>
              </w:rPr>
            </w:pPr>
            <w:r>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Pac-West Telecomm,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U-5266-C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9671F3" w:rsidP="002A1B9F">
            <w:pPr>
              <w:overflowPunct/>
              <w:autoSpaceDE/>
              <w:autoSpaceDN/>
              <w:adjustRightInd/>
              <w:textAlignment w:val="auto"/>
              <w:rPr>
                <w:rFonts w:ascii="Calibri" w:hAnsi="Calibri"/>
                <w:sz w:val="16"/>
                <w:szCs w:val="16"/>
              </w:rPr>
            </w:pPr>
            <w:r>
              <w:rPr>
                <w:rFonts w:ascii="Calibri" w:hAnsi="Calibri"/>
                <w:sz w:val="16"/>
                <w:szCs w:val="16"/>
              </w:rPr>
              <w:t>3</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Roudebush Communications</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U-5300-C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9671F3" w:rsidP="002A1B9F">
            <w:pPr>
              <w:overflowPunct/>
              <w:autoSpaceDE/>
              <w:autoSpaceDN/>
              <w:adjustRightInd/>
              <w:textAlignment w:val="auto"/>
              <w:rPr>
                <w:rFonts w:ascii="Calibri" w:hAnsi="Calibri"/>
                <w:sz w:val="16"/>
                <w:szCs w:val="16"/>
              </w:rPr>
            </w:pPr>
            <w:r>
              <w:rPr>
                <w:rFonts w:ascii="Calibri" w:hAnsi="Calibri"/>
                <w:sz w:val="16"/>
                <w:szCs w:val="16"/>
              </w:rPr>
              <w:t>4</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CLR,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Covista,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U-5425-C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B90329" w:rsidP="002A1B9F">
            <w:pPr>
              <w:overflowPunct/>
              <w:autoSpaceDE/>
              <w:autoSpaceDN/>
              <w:adjustRightInd/>
              <w:textAlignment w:val="auto"/>
              <w:rPr>
                <w:rFonts w:ascii="Calibri" w:hAnsi="Calibri"/>
                <w:sz w:val="16"/>
                <w:szCs w:val="16"/>
              </w:rPr>
            </w:pPr>
            <w:r>
              <w:rPr>
                <w:rFonts w:ascii="Calibri" w:hAnsi="Calibri"/>
                <w:sz w:val="16"/>
                <w:szCs w:val="16"/>
              </w:rPr>
              <w:t>5</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 xml:space="preserve">LDC </w:t>
            </w:r>
            <w:r w:rsidR="00226A20">
              <w:rPr>
                <w:rFonts w:ascii="Calibri" w:hAnsi="Calibri"/>
                <w:sz w:val="16"/>
                <w:szCs w:val="16"/>
              </w:rPr>
              <w:t>Telecommunications</w:t>
            </w:r>
            <w:r w:rsidR="00226A20" w:rsidRPr="00FC5190">
              <w:rPr>
                <w:rFonts w:ascii="Calibri" w:hAnsi="Calibri"/>
                <w:sz w:val="16"/>
                <w:szCs w:val="16"/>
              </w:rPr>
              <w:t xml:space="preserve"> </w:t>
            </w:r>
            <w:r w:rsidRPr="00FC5190">
              <w:rPr>
                <w:rFonts w:ascii="Calibri" w:hAnsi="Calibri"/>
                <w:sz w:val="16"/>
                <w:szCs w:val="16"/>
              </w:rPr>
              <w:t>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U-5498-C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B90329" w:rsidP="002A1B9F">
            <w:pPr>
              <w:overflowPunct/>
              <w:autoSpaceDE/>
              <w:autoSpaceDN/>
              <w:adjustRightInd/>
              <w:textAlignment w:val="auto"/>
              <w:rPr>
                <w:rFonts w:ascii="Calibri" w:hAnsi="Calibri"/>
                <w:sz w:val="16"/>
                <w:szCs w:val="16"/>
              </w:rPr>
            </w:pPr>
            <w:r>
              <w:rPr>
                <w:rFonts w:ascii="Calibri" w:hAnsi="Calibri"/>
                <w:sz w:val="16"/>
                <w:szCs w:val="16"/>
              </w:rPr>
              <w:t>6</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Tcast Communications,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U-5633-C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B90329" w:rsidP="002A1B9F">
            <w:pPr>
              <w:overflowPunct/>
              <w:autoSpaceDE/>
              <w:autoSpaceDN/>
              <w:adjustRightInd/>
              <w:textAlignment w:val="auto"/>
              <w:rPr>
                <w:rFonts w:ascii="Calibri" w:hAnsi="Calibri"/>
                <w:sz w:val="16"/>
                <w:szCs w:val="16"/>
              </w:rPr>
            </w:pPr>
            <w:r>
              <w:rPr>
                <w:rFonts w:ascii="Calibri" w:hAnsi="Calibri"/>
                <w:sz w:val="16"/>
                <w:szCs w:val="16"/>
              </w:rPr>
              <w:t>7</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Dial Long Distance,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U-5735-C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B90329" w:rsidP="002A1B9F">
            <w:pPr>
              <w:overflowPunct/>
              <w:autoSpaceDE/>
              <w:autoSpaceDN/>
              <w:adjustRightInd/>
              <w:textAlignment w:val="auto"/>
              <w:rPr>
                <w:rFonts w:ascii="Calibri" w:hAnsi="Calibri"/>
                <w:sz w:val="16"/>
                <w:szCs w:val="16"/>
              </w:rPr>
            </w:pPr>
            <w:r>
              <w:rPr>
                <w:rFonts w:ascii="Calibri" w:hAnsi="Calibri"/>
                <w:sz w:val="16"/>
                <w:szCs w:val="16"/>
              </w:rPr>
              <w:t>8</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Association Administrators,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U-5791-C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B90329" w:rsidP="002A1B9F">
            <w:pPr>
              <w:overflowPunct/>
              <w:autoSpaceDE/>
              <w:autoSpaceDN/>
              <w:adjustRightInd/>
              <w:textAlignment w:val="auto"/>
              <w:rPr>
                <w:rFonts w:ascii="Calibri" w:hAnsi="Calibri"/>
                <w:sz w:val="16"/>
                <w:szCs w:val="16"/>
              </w:rPr>
            </w:pPr>
            <w:r>
              <w:rPr>
                <w:rFonts w:ascii="Calibri" w:hAnsi="Calibri"/>
                <w:sz w:val="16"/>
                <w:szCs w:val="16"/>
              </w:rPr>
              <w:t>9</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CLR,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TGEC Communications Co., LLC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U-5809-C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45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DA51C1" w:rsidP="002A1B9F">
            <w:pPr>
              <w:overflowPunct/>
              <w:autoSpaceDE/>
              <w:autoSpaceDN/>
              <w:adjustRightInd/>
              <w:textAlignment w:val="auto"/>
              <w:rPr>
                <w:rFonts w:ascii="Calibri" w:hAnsi="Calibri"/>
                <w:sz w:val="16"/>
                <w:szCs w:val="16"/>
              </w:rPr>
            </w:pPr>
            <w:r>
              <w:rPr>
                <w:rFonts w:ascii="Calibri" w:hAnsi="Calibri"/>
                <w:sz w:val="16"/>
                <w:szCs w:val="16"/>
              </w:rPr>
              <w:t>1</w:t>
            </w:r>
            <w:r w:rsidR="00B90329">
              <w:rPr>
                <w:rFonts w:ascii="Calibri" w:hAnsi="Calibri"/>
                <w:sz w:val="16"/>
                <w:szCs w:val="16"/>
              </w:rPr>
              <w:t>0</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 xml:space="preserve">Infotech </w:t>
            </w:r>
            <w:r w:rsidR="00226A20">
              <w:rPr>
                <w:rFonts w:ascii="Calibri" w:hAnsi="Calibri"/>
                <w:sz w:val="16"/>
                <w:szCs w:val="16"/>
              </w:rPr>
              <w:t>Telecommunications</w:t>
            </w:r>
            <w:r w:rsidR="00226A20" w:rsidRPr="00FC5190">
              <w:rPr>
                <w:rFonts w:ascii="Calibri" w:hAnsi="Calibri"/>
                <w:sz w:val="16"/>
                <w:szCs w:val="16"/>
              </w:rPr>
              <w:t xml:space="preserve"> </w:t>
            </w:r>
            <w:r w:rsidRPr="00FC5190">
              <w:rPr>
                <w:rFonts w:ascii="Calibri" w:hAnsi="Calibri"/>
                <w:sz w:val="16"/>
                <w:szCs w:val="16"/>
              </w:rPr>
              <w:t>&amp; Network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U-5952-C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1</w:t>
            </w:r>
            <w:r w:rsidR="00B90329">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American Phone Services Corporation</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U-5991-C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1</w:t>
            </w:r>
            <w:r w:rsidR="00B90329">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CLR,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Pacific Centrex Services,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U-5998-C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1</w:t>
            </w:r>
            <w:r w:rsidR="00B90329">
              <w:rPr>
                <w:rFonts w:ascii="Calibri" w:hAnsi="Calibri"/>
                <w:sz w:val="16"/>
                <w:szCs w:val="16"/>
              </w:rPr>
              <w:t>3</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CLR, 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Ernest Communications,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U-6077-C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1</w:t>
            </w:r>
            <w:r w:rsidR="00B90329">
              <w:rPr>
                <w:rFonts w:ascii="Calibri" w:hAnsi="Calibri"/>
                <w:sz w:val="16"/>
                <w:szCs w:val="16"/>
              </w:rPr>
              <w:t>4</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CLR, 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 xml:space="preserve">Navigator </w:t>
            </w:r>
            <w:r w:rsidR="00226A20">
              <w:rPr>
                <w:rFonts w:ascii="Calibri" w:hAnsi="Calibri"/>
                <w:sz w:val="16"/>
                <w:szCs w:val="16"/>
              </w:rPr>
              <w:t>Telecommunications</w:t>
            </w:r>
            <w:r w:rsidRPr="00FC5190">
              <w:rPr>
                <w:rFonts w:ascii="Calibri" w:hAnsi="Calibri"/>
                <w:sz w:val="16"/>
                <w:szCs w:val="16"/>
              </w:rPr>
              <w:t>, LLC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U-6167-C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1</w:t>
            </w:r>
            <w:r w:rsidR="00B90329">
              <w:rPr>
                <w:rFonts w:ascii="Calibri" w:hAnsi="Calibri"/>
                <w:sz w:val="16"/>
                <w:szCs w:val="16"/>
              </w:rPr>
              <w:t>5</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Go Solo Technologies,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U-6435-C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r w:rsidRPr="0078165D">
              <w:rPr>
                <w:rFonts w:ascii="Calibri" w:hAnsi="Calibri"/>
                <w:b/>
                <w:sz w:val="16"/>
                <w:szCs w:val="16"/>
              </w:rPr>
              <w:t>X</w:t>
            </w:r>
            <w:r w:rsidRPr="00FC5190">
              <w:rPr>
                <w:rFonts w:ascii="Calibri" w:hAnsi="Calibri"/>
                <w:sz w:val="16"/>
                <w:szCs w:val="16"/>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DA51C1" w:rsidP="002A1B9F">
            <w:pPr>
              <w:overflowPunct/>
              <w:autoSpaceDE/>
              <w:autoSpaceDN/>
              <w:adjustRightInd/>
              <w:textAlignment w:val="auto"/>
              <w:rPr>
                <w:rFonts w:ascii="Calibri" w:hAnsi="Calibri"/>
                <w:sz w:val="16"/>
                <w:szCs w:val="16"/>
              </w:rPr>
            </w:pPr>
            <w:r>
              <w:rPr>
                <w:rFonts w:ascii="Calibri" w:hAnsi="Calibri"/>
                <w:sz w:val="16"/>
                <w:szCs w:val="16"/>
              </w:rPr>
              <w:t>1</w:t>
            </w:r>
            <w:r w:rsidR="00B90329">
              <w:rPr>
                <w:rFonts w:ascii="Calibri" w:hAnsi="Calibri"/>
                <w:sz w:val="16"/>
                <w:szCs w:val="16"/>
              </w:rPr>
              <w:t>6</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CLR, 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United States Telesis,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U-6455-C</w:t>
            </w:r>
          </w:p>
        </w:tc>
        <w:tc>
          <w:tcPr>
            <w:tcW w:w="1101"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DA51C1" w:rsidP="002A1B9F">
            <w:pPr>
              <w:overflowPunct/>
              <w:autoSpaceDE/>
              <w:autoSpaceDN/>
              <w:adjustRightInd/>
              <w:textAlignment w:val="auto"/>
              <w:rPr>
                <w:rFonts w:ascii="Calibri" w:hAnsi="Calibri"/>
                <w:sz w:val="16"/>
                <w:szCs w:val="16"/>
              </w:rPr>
            </w:pPr>
            <w:r>
              <w:rPr>
                <w:rFonts w:ascii="Calibri" w:hAnsi="Calibri"/>
                <w:sz w:val="16"/>
                <w:szCs w:val="16"/>
              </w:rPr>
              <w:t>1</w:t>
            </w:r>
            <w:r w:rsidR="00B90329">
              <w:rPr>
                <w:rFonts w:ascii="Calibri" w:hAnsi="Calibri"/>
                <w:sz w:val="16"/>
                <w:szCs w:val="16"/>
              </w:rPr>
              <w:t>7</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Encompass Communications, LLC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U-6472-C</w:t>
            </w:r>
          </w:p>
        </w:tc>
        <w:tc>
          <w:tcPr>
            <w:tcW w:w="1101"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DA51C1" w:rsidP="002A1B9F">
            <w:pPr>
              <w:overflowPunct/>
              <w:autoSpaceDE/>
              <w:autoSpaceDN/>
              <w:adjustRightInd/>
              <w:textAlignment w:val="auto"/>
              <w:rPr>
                <w:rFonts w:ascii="Calibri" w:hAnsi="Calibri"/>
                <w:sz w:val="16"/>
                <w:szCs w:val="16"/>
              </w:rPr>
            </w:pPr>
            <w:r>
              <w:rPr>
                <w:rFonts w:ascii="Calibri" w:hAnsi="Calibri"/>
                <w:sz w:val="16"/>
                <w:szCs w:val="16"/>
              </w:rPr>
              <w:t>1</w:t>
            </w:r>
            <w:r w:rsidR="00B90329">
              <w:rPr>
                <w:rFonts w:ascii="Calibri" w:hAnsi="Calibri"/>
                <w:sz w:val="16"/>
                <w:szCs w:val="16"/>
              </w:rPr>
              <w:t>8</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Advanced Tel,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U-6616-C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B90329" w:rsidP="002A1B9F">
            <w:pPr>
              <w:overflowPunct/>
              <w:autoSpaceDE/>
              <w:autoSpaceDN/>
              <w:adjustRightInd/>
              <w:textAlignment w:val="auto"/>
              <w:rPr>
                <w:rFonts w:ascii="Calibri" w:hAnsi="Calibri"/>
                <w:sz w:val="16"/>
                <w:szCs w:val="16"/>
              </w:rPr>
            </w:pPr>
            <w:r>
              <w:rPr>
                <w:rFonts w:ascii="Calibri" w:hAnsi="Calibri"/>
                <w:sz w:val="16"/>
                <w:szCs w:val="16"/>
              </w:rPr>
              <w:t>19</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CLR, CLC,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Great America Networks,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U-6649-C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2</w:t>
            </w:r>
            <w:r w:rsidR="00B90329">
              <w:rPr>
                <w:rFonts w:ascii="Calibri" w:hAnsi="Calibri"/>
                <w:sz w:val="16"/>
                <w:szCs w:val="16"/>
              </w:rPr>
              <w:t>0</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Digizip.Com,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U-6652-C</w:t>
            </w:r>
          </w:p>
        </w:tc>
        <w:tc>
          <w:tcPr>
            <w:tcW w:w="1101"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2</w:t>
            </w:r>
            <w:r w:rsidR="00B90329">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Blue Casa Telephone, LLC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U-6764-C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2</w:t>
            </w:r>
            <w:r w:rsidR="00B90329">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CLR, 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Think 12 Corporation</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U-6784-C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2</w:t>
            </w:r>
            <w:r w:rsidR="00B90329">
              <w:rPr>
                <w:rFonts w:ascii="Calibri" w:hAnsi="Calibri"/>
                <w:sz w:val="16"/>
                <w:szCs w:val="16"/>
              </w:rPr>
              <w:t>3</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Champion Broadband California, LLC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U-6944-C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2</w:t>
            </w:r>
            <w:r w:rsidR="00B90329">
              <w:rPr>
                <w:rFonts w:ascii="Calibri" w:hAnsi="Calibri"/>
                <w:sz w:val="16"/>
                <w:szCs w:val="16"/>
              </w:rPr>
              <w:t>4</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CLR,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IBFA Acquisition Company, LLC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U-6961-C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9671F3" w:rsidP="002A1B9F">
            <w:pPr>
              <w:overflowPunct/>
              <w:autoSpaceDE/>
              <w:autoSpaceDN/>
              <w:adjustRightInd/>
              <w:textAlignment w:val="auto"/>
              <w:rPr>
                <w:rFonts w:ascii="Calibri" w:hAnsi="Calibri"/>
                <w:sz w:val="16"/>
                <w:szCs w:val="16"/>
              </w:rPr>
            </w:pPr>
            <w:r>
              <w:rPr>
                <w:rFonts w:ascii="Calibri" w:hAnsi="Calibri"/>
                <w:sz w:val="16"/>
                <w:szCs w:val="16"/>
              </w:rPr>
              <w:t>2</w:t>
            </w:r>
            <w:r w:rsidR="00B90329">
              <w:rPr>
                <w:rFonts w:ascii="Calibri" w:hAnsi="Calibri"/>
                <w:sz w:val="16"/>
                <w:szCs w:val="16"/>
              </w:rPr>
              <w:t>5</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Nextlink Wireless,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U-6990-C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B90329" w:rsidP="002A1B9F">
            <w:pPr>
              <w:overflowPunct/>
              <w:autoSpaceDE/>
              <w:autoSpaceDN/>
              <w:adjustRightInd/>
              <w:textAlignment w:val="auto"/>
              <w:rPr>
                <w:rFonts w:ascii="Calibri" w:hAnsi="Calibri"/>
                <w:sz w:val="16"/>
                <w:szCs w:val="16"/>
              </w:rPr>
            </w:pPr>
            <w:r>
              <w:rPr>
                <w:rFonts w:ascii="Calibri" w:hAnsi="Calibri"/>
                <w:sz w:val="16"/>
                <w:szCs w:val="16"/>
              </w:rPr>
              <w:t>26</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CLR,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BLC Management LLC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U-7022-C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8A0EFD" w:rsidP="002A1B9F">
            <w:pPr>
              <w:overflowPunct/>
              <w:autoSpaceDE/>
              <w:autoSpaceDN/>
              <w:adjustRightInd/>
              <w:textAlignment w:val="auto"/>
              <w:rPr>
                <w:rFonts w:ascii="Calibri" w:hAnsi="Calibri"/>
                <w:sz w:val="16"/>
                <w:szCs w:val="16"/>
              </w:rPr>
            </w:pPr>
            <w:r>
              <w:rPr>
                <w:rFonts w:ascii="Calibri" w:hAnsi="Calibri"/>
                <w:sz w:val="16"/>
                <w:szCs w:val="16"/>
              </w:rPr>
              <w:t>2</w:t>
            </w:r>
            <w:r w:rsidR="00B90329">
              <w:rPr>
                <w:rFonts w:ascii="Calibri" w:hAnsi="Calibri"/>
                <w:sz w:val="16"/>
                <w:szCs w:val="16"/>
              </w:rPr>
              <w:t>7</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CLR, 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Pelzer Communications Corporation</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U-7024-C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B90329" w:rsidP="002A1B9F">
            <w:pPr>
              <w:overflowPunct/>
              <w:autoSpaceDE/>
              <w:autoSpaceDN/>
              <w:adjustRightInd/>
              <w:textAlignment w:val="auto"/>
              <w:rPr>
                <w:rFonts w:ascii="Calibri" w:hAnsi="Calibri"/>
                <w:sz w:val="16"/>
                <w:szCs w:val="16"/>
              </w:rPr>
            </w:pPr>
            <w:r>
              <w:rPr>
                <w:rFonts w:ascii="Calibri" w:hAnsi="Calibri"/>
                <w:sz w:val="16"/>
                <w:szCs w:val="16"/>
              </w:rPr>
              <w:t>28</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Oak Grove Holdings Corporation</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U-7058-C</w:t>
            </w:r>
          </w:p>
        </w:tc>
        <w:tc>
          <w:tcPr>
            <w:tcW w:w="1101"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B90329" w:rsidP="002A1B9F">
            <w:pPr>
              <w:overflowPunct/>
              <w:autoSpaceDE/>
              <w:autoSpaceDN/>
              <w:adjustRightInd/>
              <w:textAlignment w:val="auto"/>
              <w:rPr>
                <w:rFonts w:ascii="Calibri" w:hAnsi="Calibri"/>
                <w:sz w:val="16"/>
                <w:szCs w:val="16"/>
              </w:rPr>
            </w:pPr>
            <w:r>
              <w:rPr>
                <w:rFonts w:ascii="Calibri" w:hAnsi="Calibri"/>
                <w:sz w:val="16"/>
                <w:szCs w:val="16"/>
              </w:rPr>
              <w:t>29</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Ibasis Retail,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U-7063-C</w:t>
            </w:r>
          </w:p>
        </w:tc>
        <w:tc>
          <w:tcPr>
            <w:tcW w:w="1101"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3</w:t>
            </w:r>
            <w:r w:rsidR="00B90329">
              <w:rPr>
                <w:rFonts w:ascii="Calibri" w:hAnsi="Calibri"/>
                <w:sz w:val="16"/>
                <w:szCs w:val="16"/>
              </w:rPr>
              <w:t>0</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Excite Telecom</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U-7071-C</w:t>
            </w:r>
          </w:p>
        </w:tc>
        <w:tc>
          <w:tcPr>
            <w:tcW w:w="1101"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3</w:t>
            </w:r>
            <w:r w:rsidR="00B90329">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CLR,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Telcentris Communications, LLC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U-7097-C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Pr="00FC5190" w:rsidRDefault="00522921" w:rsidP="002A1B9F">
            <w:pPr>
              <w:overflowPunct/>
              <w:autoSpaceDE/>
              <w:autoSpaceDN/>
              <w:adjustRightInd/>
              <w:jc w:val="center"/>
              <w:textAlignment w:val="auto"/>
              <w:rPr>
                <w:rFonts w:ascii="Calibri" w:hAnsi="Calibri"/>
                <w:sz w:val="16"/>
                <w:szCs w:val="16"/>
              </w:rPr>
            </w:pPr>
            <w:r w:rsidRPr="0078165D">
              <w:rPr>
                <w:rFonts w:ascii="Calibri" w:hAnsi="Calibri"/>
                <w:b/>
                <w:sz w:val="16"/>
                <w:szCs w:val="16"/>
              </w:rPr>
              <w:t>X</w:t>
            </w:r>
            <w:r w:rsidRPr="00FC5190">
              <w:rPr>
                <w:rFonts w:ascii="Calibri" w:hAnsi="Calibri"/>
                <w:sz w:val="16"/>
                <w:szCs w:val="16"/>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78165D">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3</w:t>
            </w:r>
            <w:r w:rsidR="00B90329">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Momentum Telecom,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U-7108-C</w:t>
            </w:r>
          </w:p>
        </w:tc>
        <w:tc>
          <w:tcPr>
            <w:tcW w:w="1101"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624DF6">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3</w:t>
            </w:r>
            <w:r w:rsidR="00B90329">
              <w:rPr>
                <w:rFonts w:ascii="Calibri" w:hAnsi="Calibri"/>
                <w:sz w:val="16"/>
                <w:szCs w:val="16"/>
              </w:rPr>
              <w:t>3</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Convergence Systems,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U-7134-C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624DF6">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624DF6">
              <w:rPr>
                <w:rFonts w:ascii="Calibri" w:hAnsi="Calibri"/>
                <w:b/>
                <w:sz w:val="16"/>
                <w:szCs w:val="16"/>
              </w:rPr>
              <w:t>X</w:t>
            </w:r>
          </w:p>
        </w:tc>
      </w:tr>
      <w:tr w:rsidR="00522921"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3</w:t>
            </w:r>
            <w:r w:rsidR="00B90329">
              <w:rPr>
                <w:rFonts w:ascii="Calibri" w:hAnsi="Calibri"/>
                <w:sz w:val="16"/>
                <w:szCs w:val="16"/>
              </w:rPr>
              <w:t>4</w:t>
            </w:r>
          </w:p>
        </w:tc>
        <w:tc>
          <w:tcPr>
            <w:tcW w:w="126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CLC, CLR, IEC</w:t>
            </w:r>
          </w:p>
        </w:tc>
        <w:tc>
          <w:tcPr>
            <w:tcW w:w="2696" w:type="dxa"/>
            <w:tcBorders>
              <w:top w:val="nil"/>
              <w:left w:val="nil"/>
              <w:bottom w:val="single" w:sz="4" w:space="0" w:color="auto"/>
              <w:right w:val="single" w:sz="4" w:space="0" w:color="auto"/>
            </w:tcBorders>
            <w:shd w:val="clear" w:color="auto" w:fill="auto"/>
            <w:hideMark/>
          </w:tcPr>
          <w:p w:rsidR="00522921" w:rsidRPr="00FC5190" w:rsidRDefault="00522921" w:rsidP="002A1B9F">
            <w:pPr>
              <w:overflowPunct/>
              <w:autoSpaceDE/>
              <w:autoSpaceDN/>
              <w:adjustRightInd/>
              <w:textAlignment w:val="auto"/>
              <w:rPr>
                <w:rFonts w:ascii="Calibri" w:hAnsi="Calibri"/>
                <w:sz w:val="16"/>
                <w:szCs w:val="16"/>
              </w:rPr>
            </w:pPr>
            <w:r w:rsidRPr="00FC5190">
              <w:rPr>
                <w:rFonts w:ascii="Calibri" w:hAnsi="Calibri"/>
                <w:sz w:val="16"/>
                <w:szCs w:val="16"/>
              </w:rPr>
              <w:t>Public Wireless, Inc.</w:t>
            </w:r>
          </w:p>
        </w:tc>
        <w:tc>
          <w:tcPr>
            <w:tcW w:w="900" w:type="dxa"/>
            <w:tcBorders>
              <w:top w:val="nil"/>
              <w:left w:val="nil"/>
              <w:bottom w:val="single" w:sz="4" w:space="0" w:color="auto"/>
              <w:right w:val="single" w:sz="4" w:space="0" w:color="auto"/>
            </w:tcBorders>
            <w:shd w:val="clear" w:color="auto" w:fill="auto"/>
            <w:noWrap/>
            <w:hideMark/>
          </w:tcPr>
          <w:p w:rsidR="00522921" w:rsidRPr="00FC5190" w:rsidRDefault="0052292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U-7146-C</w:t>
            </w:r>
          </w:p>
        </w:tc>
        <w:tc>
          <w:tcPr>
            <w:tcW w:w="1101"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624DF6">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22921" w:rsidRDefault="00522921"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22921" w:rsidRDefault="00522921" w:rsidP="002A1B9F">
            <w:pPr>
              <w:jc w:val="center"/>
            </w:pPr>
            <w:r w:rsidRPr="00624DF6">
              <w:rPr>
                <w:rFonts w:ascii="Calibri" w:hAnsi="Calibri"/>
                <w:b/>
                <w:sz w:val="16"/>
                <w:szCs w:val="16"/>
              </w:rPr>
              <w:t>X</w:t>
            </w:r>
          </w:p>
        </w:tc>
      </w:tr>
      <w:tr w:rsidR="00927374"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927374" w:rsidRPr="00FC5190" w:rsidRDefault="00927374" w:rsidP="002A1B9F">
            <w:pPr>
              <w:overflowPunct/>
              <w:autoSpaceDE/>
              <w:autoSpaceDN/>
              <w:adjustRightInd/>
              <w:textAlignment w:val="auto"/>
              <w:rPr>
                <w:rFonts w:ascii="Calibri" w:hAnsi="Calibri"/>
                <w:sz w:val="16"/>
                <w:szCs w:val="16"/>
              </w:rPr>
            </w:pPr>
            <w:r>
              <w:rPr>
                <w:rFonts w:ascii="Calibri" w:hAnsi="Calibri"/>
                <w:sz w:val="16"/>
                <w:szCs w:val="16"/>
              </w:rPr>
              <w:t>3</w:t>
            </w:r>
            <w:r w:rsidR="00B90329">
              <w:rPr>
                <w:rFonts w:ascii="Calibri" w:hAnsi="Calibri"/>
                <w:sz w:val="16"/>
                <w:szCs w:val="16"/>
              </w:rPr>
              <w:t>5</w:t>
            </w:r>
          </w:p>
        </w:tc>
        <w:tc>
          <w:tcPr>
            <w:tcW w:w="1260" w:type="dxa"/>
            <w:tcBorders>
              <w:top w:val="nil"/>
              <w:left w:val="nil"/>
              <w:bottom w:val="single" w:sz="4" w:space="0" w:color="auto"/>
              <w:right w:val="single" w:sz="4" w:space="0" w:color="auto"/>
            </w:tcBorders>
            <w:shd w:val="clear" w:color="auto" w:fill="auto"/>
            <w:noWrap/>
            <w:hideMark/>
          </w:tcPr>
          <w:p w:rsidR="00927374" w:rsidRPr="00FC5190" w:rsidRDefault="00927374" w:rsidP="002A1B9F">
            <w:pPr>
              <w:overflowPunct/>
              <w:autoSpaceDE/>
              <w:autoSpaceDN/>
              <w:adjustRightInd/>
              <w:textAlignment w:val="auto"/>
              <w:rPr>
                <w:rFonts w:ascii="Calibri" w:hAnsi="Calibri"/>
                <w:sz w:val="16"/>
                <w:szCs w:val="16"/>
              </w:rPr>
            </w:pPr>
            <w:r w:rsidRPr="00FC5190">
              <w:rPr>
                <w:rFonts w:ascii="Calibri" w:hAnsi="Calibri"/>
                <w:sz w:val="16"/>
                <w:szCs w:val="16"/>
              </w:rPr>
              <w:t>CLC, CLR</w:t>
            </w:r>
          </w:p>
        </w:tc>
        <w:tc>
          <w:tcPr>
            <w:tcW w:w="2696" w:type="dxa"/>
            <w:tcBorders>
              <w:top w:val="nil"/>
              <w:left w:val="nil"/>
              <w:bottom w:val="single" w:sz="4" w:space="0" w:color="auto"/>
              <w:right w:val="single" w:sz="4" w:space="0" w:color="auto"/>
            </w:tcBorders>
            <w:shd w:val="clear" w:color="auto" w:fill="auto"/>
            <w:hideMark/>
          </w:tcPr>
          <w:p w:rsidR="00927374" w:rsidRPr="00FC5190" w:rsidRDefault="00927374" w:rsidP="002A1B9F">
            <w:pPr>
              <w:overflowPunct/>
              <w:autoSpaceDE/>
              <w:autoSpaceDN/>
              <w:adjustRightInd/>
              <w:textAlignment w:val="auto"/>
              <w:rPr>
                <w:rFonts w:ascii="Calibri" w:hAnsi="Calibri"/>
                <w:sz w:val="16"/>
                <w:szCs w:val="16"/>
              </w:rPr>
            </w:pPr>
            <w:r w:rsidRPr="00FC5190">
              <w:rPr>
                <w:rFonts w:ascii="Calibri" w:hAnsi="Calibri"/>
                <w:sz w:val="16"/>
                <w:szCs w:val="16"/>
              </w:rPr>
              <w:t>CALPOP.COM, INC.</w:t>
            </w:r>
          </w:p>
        </w:tc>
        <w:tc>
          <w:tcPr>
            <w:tcW w:w="900" w:type="dxa"/>
            <w:tcBorders>
              <w:top w:val="nil"/>
              <w:left w:val="nil"/>
              <w:bottom w:val="single" w:sz="4" w:space="0" w:color="auto"/>
              <w:right w:val="single" w:sz="4" w:space="0" w:color="auto"/>
            </w:tcBorders>
            <w:shd w:val="clear" w:color="auto" w:fill="auto"/>
            <w:noWrap/>
            <w:hideMark/>
          </w:tcPr>
          <w:p w:rsidR="00927374" w:rsidRPr="00FC5190" w:rsidRDefault="00927374"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U-7158-C</w:t>
            </w:r>
          </w:p>
        </w:tc>
        <w:tc>
          <w:tcPr>
            <w:tcW w:w="1101" w:type="dxa"/>
            <w:tcBorders>
              <w:top w:val="nil"/>
              <w:left w:val="nil"/>
              <w:bottom w:val="single" w:sz="4" w:space="0" w:color="auto"/>
              <w:right w:val="single" w:sz="4" w:space="0" w:color="auto"/>
            </w:tcBorders>
            <w:shd w:val="clear" w:color="auto" w:fill="auto"/>
            <w:noWrap/>
            <w:vAlign w:val="center"/>
            <w:hideMark/>
          </w:tcPr>
          <w:p w:rsidR="00927374" w:rsidRDefault="00927374" w:rsidP="002A1B9F">
            <w:pPr>
              <w:jc w:val="center"/>
            </w:pPr>
            <w:r w:rsidRPr="00624DF6">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927374" w:rsidRDefault="00927374"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927374" w:rsidRDefault="00927374" w:rsidP="002A1B9F">
            <w:pPr>
              <w:jc w:val="center"/>
            </w:pPr>
            <w:r w:rsidRPr="00624DF6">
              <w:rPr>
                <w:rFonts w:ascii="Calibri" w:hAnsi="Calibri"/>
                <w:b/>
                <w:sz w:val="16"/>
                <w:szCs w:val="16"/>
              </w:rPr>
              <w:t>X</w:t>
            </w:r>
          </w:p>
        </w:tc>
      </w:tr>
      <w:tr w:rsidR="00927374" w:rsidRPr="00FC5190" w:rsidTr="002A1B9F">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927374" w:rsidRPr="00FC5190" w:rsidRDefault="00927374" w:rsidP="002A1B9F">
            <w:pPr>
              <w:overflowPunct/>
              <w:autoSpaceDE/>
              <w:autoSpaceDN/>
              <w:adjustRightInd/>
              <w:textAlignment w:val="auto"/>
              <w:rPr>
                <w:rFonts w:ascii="Calibri" w:hAnsi="Calibri"/>
                <w:sz w:val="16"/>
                <w:szCs w:val="16"/>
              </w:rPr>
            </w:pPr>
            <w:r>
              <w:rPr>
                <w:rFonts w:ascii="Calibri" w:hAnsi="Calibri"/>
                <w:sz w:val="16"/>
                <w:szCs w:val="16"/>
              </w:rPr>
              <w:t>3</w:t>
            </w:r>
            <w:r w:rsidR="00B90329">
              <w:rPr>
                <w:rFonts w:ascii="Calibri" w:hAnsi="Calibri"/>
                <w:sz w:val="16"/>
                <w:szCs w:val="16"/>
              </w:rPr>
              <w:t>6</w:t>
            </w:r>
          </w:p>
        </w:tc>
        <w:tc>
          <w:tcPr>
            <w:tcW w:w="1260" w:type="dxa"/>
            <w:tcBorders>
              <w:top w:val="single" w:sz="4" w:space="0" w:color="auto"/>
              <w:left w:val="nil"/>
              <w:bottom w:val="single" w:sz="4" w:space="0" w:color="auto"/>
              <w:right w:val="single" w:sz="4" w:space="0" w:color="auto"/>
            </w:tcBorders>
            <w:shd w:val="clear" w:color="auto" w:fill="auto"/>
            <w:noWrap/>
            <w:hideMark/>
          </w:tcPr>
          <w:p w:rsidR="00927374" w:rsidRPr="00FC5190" w:rsidRDefault="00927374"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single" w:sz="4" w:space="0" w:color="auto"/>
              <w:left w:val="nil"/>
              <w:bottom w:val="single" w:sz="4" w:space="0" w:color="auto"/>
              <w:right w:val="single" w:sz="4" w:space="0" w:color="auto"/>
            </w:tcBorders>
            <w:shd w:val="clear" w:color="auto" w:fill="auto"/>
            <w:hideMark/>
          </w:tcPr>
          <w:p w:rsidR="00927374" w:rsidRPr="00FC5190" w:rsidRDefault="00927374" w:rsidP="002A1B9F">
            <w:pPr>
              <w:overflowPunct/>
              <w:autoSpaceDE/>
              <w:autoSpaceDN/>
              <w:adjustRightInd/>
              <w:textAlignment w:val="auto"/>
              <w:rPr>
                <w:rFonts w:ascii="Calibri" w:hAnsi="Calibri"/>
                <w:sz w:val="16"/>
                <w:szCs w:val="16"/>
              </w:rPr>
            </w:pPr>
            <w:r w:rsidRPr="00FC5190">
              <w:rPr>
                <w:rFonts w:ascii="Calibri" w:hAnsi="Calibri"/>
                <w:sz w:val="16"/>
                <w:szCs w:val="16"/>
              </w:rPr>
              <w:t>Splice Communications, Inc.</w:t>
            </w:r>
          </w:p>
        </w:tc>
        <w:tc>
          <w:tcPr>
            <w:tcW w:w="900" w:type="dxa"/>
            <w:tcBorders>
              <w:top w:val="single" w:sz="4" w:space="0" w:color="auto"/>
              <w:left w:val="nil"/>
              <w:bottom w:val="single" w:sz="4" w:space="0" w:color="auto"/>
              <w:right w:val="single" w:sz="4" w:space="0" w:color="auto"/>
            </w:tcBorders>
            <w:shd w:val="clear" w:color="auto" w:fill="auto"/>
            <w:noWrap/>
            <w:hideMark/>
          </w:tcPr>
          <w:p w:rsidR="00927374" w:rsidRPr="00FC5190" w:rsidRDefault="00927374"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U-7187-C</w:t>
            </w:r>
          </w:p>
        </w:tc>
        <w:tc>
          <w:tcPr>
            <w:tcW w:w="1101" w:type="dxa"/>
            <w:tcBorders>
              <w:top w:val="single" w:sz="4" w:space="0" w:color="auto"/>
              <w:left w:val="nil"/>
              <w:bottom w:val="single" w:sz="4" w:space="0" w:color="auto"/>
              <w:right w:val="single" w:sz="4" w:space="0" w:color="auto"/>
            </w:tcBorders>
            <w:shd w:val="clear" w:color="auto" w:fill="auto"/>
            <w:noWrap/>
            <w:hideMark/>
          </w:tcPr>
          <w:p w:rsidR="00927374" w:rsidRPr="00FC5190" w:rsidRDefault="00927374"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927374" w:rsidRDefault="00927374" w:rsidP="002A1B9F">
            <w:pPr>
              <w:jc w:val="center"/>
            </w:pPr>
            <w:r w:rsidRPr="00624DF6">
              <w:rPr>
                <w:rFonts w:ascii="Calibri" w:hAnsi="Calibri"/>
                <w:b/>
                <w:sz w:val="16"/>
                <w:szCs w:val="16"/>
              </w:rPr>
              <w:t>X</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27374" w:rsidRDefault="00927374" w:rsidP="002A1B9F">
            <w:pPr>
              <w:jc w:val="center"/>
            </w:pPr>
            <w:r w:rsidRPr="00624DF6">
              <w:rPr>
                <w:rFonts w:ascii="Calibri" w:hAnsi="Calibri"/>
                <w:b/>
                <w:sz w:val="16"/>
                <w:szCs w:val="16"/>
              </w:rPr>
              <w:t>X</w:t>
            </w:r>
          </w:p>
        </w:tc>
      </w:tr>
      <w:tr w:rsidR="00353C62" w:rsidRPr="00FC5190" w:rsidTr="002A1B9F">
        <w:trPr>
          <w:trHeight w:val="300"/>
        </w:trPr>
        <w:tc>
          <w:tcPr>
            <w:tcW w:w="379" w:type="dxa"/>
            <w:tcBorders>
              <w:top w:val="single" w:sz="4" w:space="0" w:color="auto"/>
              <w:bottom w:val="single" w:sz="4" w:space="0" w:color="auto"/>
            </w:tcBorders>
            <w:shd w:val="clear" w:color="auto" w:fill="auto"/>
            <w:noWrap/>
          </w:tcPr>
          <w:p w:rsidR="00353C62" w:rsidRPr="00FC5190" w:rsidRDefault="00353C62" w:rsidP="002A1B9F">
            <w:pPr>
              <w:overflowPunct/>
              <w:autoSpaceDE/>
              <w:autoSpaceDN/>
              <w:adjustRightInd/>
              <w:textAlignment w:val="auto"/>
              <w:rPr>
                <w:rFonts w:ascii="Calibri" w:hAnsi="Calibri"/>
                <w:sz w:val="16"/>
                <w:szCs w:val="16"/>
              </w:rPr>
            </w:pPr>
          </w:p>
        </w:tc>
        <w:tc>
          <w:tcPr>
            <w:tcW w:w="1260" w:type="dxa"/>
            <w:tcBorders>
              <w:top w:val="single" w:sz="4" w:space="0" w:color="auto"/>
              <w:bottom w:val="single" w:sz="4" w:space="0" w:color="auto"/>
            </w:tcBorders>
            <w:shd w:val="clear" w:color="auto" w:fill="auto"/>
            <w:noWrap/>
          </w:tcPr>
          <w:p w:rsidR="00353C62" w:rsidRPr="00FC5190" w:rsidRDefault="00353C62" w:rsidP="002A1B9F">
            <w:pPr>
              <w:overflowPunct/>
              <w:autoSpaceDE/>
              <w:autoSpaceDN/>
              <w:adjustRightInd/>
              <w:jc w:val="center"/>
              <w:textAlignment w:val="auto"/>
              <w:rPr>
                <w:rFonts w:ascii="Calibri" w:hAnsi="Calibri"/>
                <w:sz w:val="16"/>
                <w:szCs w:val="16"/>
              </w:rPr>
            </w:pPr>
          </w:p>
        </w:tc>
        <w:tc>
          <w:tcPr>
            <w:tcW w:w="2696" w:type="dxa"/>
            <w:tcBorders>
              <w:top w:val="single" w:sz="4" w:space="0" w:color="auto"/>
              <w:bottom w:val="single" w:sz="4" w:space="0" w:color="auto"/>
            </w:tcBorders>
            <w:shd w:val="clear" w:color="auto" w:fill="auto"/>
          </w:tcPr>
          <w:p w:rsidR="00353C62" w:rsidRDefault="00353C62" w:rsidP="002A1B9F">
            <w:pPr>
              <w:overflowPunct/>
              <w:autoSpaceDE/>
              <w:autoSpaceDN/>
              <w:adjustRightInd/>
              <w:jc w:val="center"/>
              <w:textAlignment w:val="auto"/>
              <w:rPr>
                <w:rFonts w:ascii="Calibri" w:hAnsi="Calibri"/>
                <w:sz w:val="16"/>
                <w:szCs w:val="16"/>
              </w:rPr>
            </w:pPr>
          </w:p>
          <w:p w:rsidR="008B1D37" w:rsidRPr="00FC5190" w:rsidRDefault="008B1D37" w:rsidP="002A1B9F">
            <w:pPr>
              <w:overflowPunct/>
              <w:autoSpaceDE/>
              <w:autoSpaceDN/>
              <w:adjustRightInd/>
              <w:jc w:val="center"/>
              <w:textAlignment w:val="auto"/>
              <w:rPr>
                <w:rFonts w:ascii="Calibri" w:hAnsi="Calibri"/>
                <w:sz w:val="16"/>
                <w:szCs w:val="16"/>
              </w:rPr>
            </w:pPr>
          </w:p>
        </w:tc>
        <w:tc>
          <w:tcPr>
            <w:tcW w:w="900" w:type="dxa"/>
            <w:tcBorders>
              <w:top w:val="single" w:sz="4" w:space="0" w:color="auto"/>
              <w:bottom w:val="single" w:sz="4" w:space="0" w:color="auto"/>
            </w:tcBorders>
            <w:shd w:val="clear" w:color="auto" w:fill="auto"/>
            <w:noWrap/>
          </w:tcPr>
          <w:p w:rsidR="00353C62" w:rsidRPr="00FC5190" w:rsidRDefault="00353C62" w:rsidP="002A1B9F">
            <w:pPr>
              <w:overflowPunct/>
              <w:autoSpaceDE/>
              <w:autoSpaceDN/>
              <w:adjustRightInd/>
              <w:jc w:val="center"/>
              <w:textAlignment w:val="auto"/>
              <w:rPr>
                <w:rFonts w:ascii="Calibri" w:hAnsi="Calibri"/>
                <w:sz w:val="16"/>
                <w:szCs w:val="16"/>
              </w:rPr>
            </w:pPr>
          </w:p>
        </w:tc>
        <w:tc>
          <w:tcPr>
            <w:tcW w:w="1101" w:type="dxa"/>
            <w:tcBorders>
              <w:top w:val="single" w:sz="4" w:space="0" w:color="auto"/>
              <w:bottom w:val="single" w:sz="4" w:space="0" w:color="auto"/>
            </w:tcBorders>
            <w:shd w:val="clear" w:color="auto" w:fill="auto"/>
            <w:noWrap/>
          </w:tcPr>
          <w:p w:rsidR="00353C62" w:rsidRPr="00624DF6" w:rsidRDefault="00353C62" w:rsidP="002A1B9F">
            <w:pPr>
              <w:jc w:val="center"/>
              <w:rPr>
                <w:rFonts w:ascii="Calibri" w:hAnsi="Calibri"/>
                <w:b/>
                <w:sz w:val="16"/>
                <w:szCs w:val="16"/>
              </w:rPr>
            </w:pPr>
          </w:p>
        </w:tc>
        <w:tc>
          <w:tcPr>
            <w:tcW w:w="944" w:type="dxa"/>
            <w:tcBorders>
              <w:top w:val="single" w:sz="4" w:space="0" w:color="auto"/>
              <w:bottom w:val="single" w:sz="4" w:space="0" w:color="auto"/>
            </w:tcBorders>
            <w:shd w:val="clear" w:color="auto" w:fill="auto"/>
            <w:noWrap/>
          </w:tcPr>
          <w:p w:rsidR="00353C62" w:rsidRPr="00624DF6" w:rsidRDefault="00353C62" w:rsidP="002A1B9F">
            <w:pPr>
              <w:jc w:val="center"/>
              <w:rPr>
                <w:rFonts w:ascii="Calibri" w:hAnsi="Calibri"/>
                <w:b/>
                <w:sz w:val="16"/>
                <w:szCs w:val="16"/>
              </w:rPr>
            </w:pPr>
          </w:p>
        </w:tc>
        <w:tc>
          <w:tcPr>
            <w:tcW w:w="760" w:type="dxa"/>
            <w:tcBorders>
              <w:top w:val="single" w:sz="4" w:space="0" w:color="auto"/>
              <w:bottom w:val="single" w:sz="4" w:space="0" w:color="auto"/>
            </w:tcBorders>
            <w:shd w:val="clear" w:color="auto" w:fill="auto"/>
            <w:noWrap/>
          </w:tcPr>
          <w:p w:rsidR="007D76E1" w:rsidRPr="00624DF6" w:rsidRDefault="007D76E1" w:rsidP="002A1B9F">
            <w:pPr>
              <w:jc w:val="center"/>
              <w:rPr>
                <w:rFonts w:ascii="Calibri" w:hAnsi="Calibri"/>
                <w:b/>
                <w:sz w:val="16"/>
                <w:szCs w:val="16"/>
              </w:rPr>
            </w:pPr>
          </w:p>
        </w:tc>
      </w:tr>
      <w:tr w:rsidR="005747DA" w:rsidRPr="00FC5190" w:rsidTr="002A1B9F">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noWrap/>
          </w:tcPr>
          <w:p w:rsidR="005747DA" w:rsidRPr="00FC5190" w:rsidRDefault="005747DA" w:rsidP="002A1B9F">
            <w:pPr>
              <w:overflowPunct/>
              <w:autoSpaceDE/>
              <w:autoSpaceDN/>
              <w:adjustRightInd/>
              <w:textAlignment w:val="auto"/>
              <w:rPr>
                <w:rFonts w:ascii="Calibri" w:hAnsi="Calibri"/>
                <w:b/>
                <w:bCs/>
                <w:sz w:val="16"/>
                <w:szCs w:val="16"/>
              </w:rPr>
            </w:pPr>
            <w:r w:rsidRPr="00FC5190">
              <w:rPr>
                <w:rFonts w:ascii="Calibri" w:hAnsi="Calibri"/>
                <w:b/>
                <w:bCs/>
                <w:sz w:val="16"/>
                <w:szCs w:val="16"/>
              </w:rPr>
              <w:t>#</w:t>
            </w:r>
          </w:p>
        </w:tc>
        <w:tc>
          <w:tcPr>
            <w:tcW w:w="1260" w:type="dxa"/>
            <w:tcBorders>
              <w:top w:val="single" w:sz="4" w:space="0" w:color="auto"/>
              <w:left w:val="nil"/>
              <w:bottom w:val="single" w:sz="4" w:space="0" w:color="auto"/>
              <w:right w:val="single" w:sz="4" w:space="0" w:color="auto"/>
            </w:tcBorders>
            <w:shd w:val="clear" w:color="auto" w:fill="auto"/>
            <w:noWrap/>
          </w:tcPr>
          <w:p w:rsidR="005747DA" w:rsidRPr="00FC5190" w:rsidRDefault="005747DA"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UTILITY TYPE</w:t>
            </w:r>
          </w:p>
        </w:tc>
        <w:tc>
          <w:tcPr>
            <w:tcW w:w="2696" w:type="dxa"/>
            <w:tcBorders>
              <w:top w:val="single" w:sz="4" w:space="0" w:color="auto"/>
              <w:left w:val="nil"/>
              <w:bottom w:val="single" w:sz="4" w:space="0" w:color="auto"/>
              <w:right w:val="single" w:sz="4" w:space="0" w:color="auto"/>
            </w:tcBorders>
            <w:shd w:val="clear" w:color="auto" w:fill="auto"/>
          </w:tcPr>
          <w:p w:rsidR="005747DA" w:rsidRPr="00FC5190" w:rsidRDefault="005747DA"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UTILITY NAME</w:t>
            </w:r>
          </w:p>
        </w:tc>
        <w:tc>
          <w:tcPr>
            <w:tcW w:w="900" w:type="dxa"/>
            <w:tcBorders>
              <w:top w:val="single" w:sz="4" w:space="0" w:color="auto"/>
              <w:left w:val="nil"/>
              <w:bottom w:val="single" w:sz="4" w:space="0" w:color="auto"/>
              <w:right w:val="single" w:sz="4" w:space="0" w:color="auto"/>
            </w:tcBorders>
            <w:shd w:val="clear" w:color="auto" w:fill="auto"/>
            <w:noWrap/>
          </w:tcPr>
          <w:p w:rsidR="005747DA" w:rsidRPr="00FC5190" w:rsidRDefault="005747DA"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U-number</w:t>
            </w:r>
          </w:p>
        </w:tc>
        <w:tc>
          <w:tcPr>
            <w:tcW w:w="1101" w:type="dxa"/>
            <w:tcBorders>
              <w:top w:val="single" w:sz="4" w:space="0" w:color="auto"/>
              <w:left w:val="nil"/>
              <w:bottom w:val="single" w:sz="4" w:space="0" w:color="auto"/>
              <w:right w:val="single" w:sz="4" w:space="0" w:color="auto"/>
            </w:tcBorders>
            <w:shd w:val="clear" w:color="auto" w:fill="auto"/>
            <w:noWrap/>
          </w:tcPr>
          <w:p w:rsidR="005747DA" w:rsidRPr="00624DF6" w:rsidRDefault="005747DA" w:rsidP="002A1B9F">
            <w:pPr>
              <w:jc w:val="center"/>
              <w:rPr>
                <w:rFonts w:ascii="Calibri" w:hAnsi="Calibri"/>
                <w:b/>
                <w:sz w:val="16"/>
                <w:szCs w:val="16"/>
              </w:rPr>
            </w:pPr>
            <w:r w:rsidRPr="00FC5190">
              <w:rPr>
                <w:rFonts w:ascii="Calibri" w:hAnsi="Calibri"/>
                <w:b/>
                <w:bCs/>
                <w:sz w:val="16"/>
                <w:szCs w:val="16"/>
              </w:rPr>
              <w:t>Performance Bond</w:t>
            </w:r>
          </w:p>
        </w:tc>
        <w:tc>
          <w:tcPr>
            <w:tcW w:w="944" w:type="dxa"/>
            <w:tcBorders>
              <w:top w:val="single" w:sz="4" w:space="0" w:color="auto"/>
              <w:left w:val="nil"/>
              <w:bottom w:val="single" w:sz="4" w:space="0" w:color="auto"/>
              <w:right w:val="single" w:sz="4" w:space="0" w:color="auto"/>
            </w:tcBorders>
            <w:shd w:val="clear" w:color="auto" w:fill="auto"/>
            <w:noWrap/>
          </w:tcPr>
          <w:p w:rsidR="005747DA" w:rsidRPr="00FC5190" w:rsidRDefault="005747DA" w:rsidP="002A1B9F">
            <w:pPr>
              <w:jc w:val="center"/>
              <w:rPr>
                <w:rFonts w:ascii="Calibri" w:hAnsi="Calibri"/>
                <w:b/>
                <w:bCs/>
                <w:sz w:val="16"/>
                <w:szCs w:val="16"/>
              </w:rPr>
            </w:pPr>
            <w:r w:rsidRPr="00FC5190">
              <w:rPr>
                <w:rFonts w:ascii="Calibri" w:hAnsi="Calibri"/>
                <w:b/>
                <w:bCs/>
                <w:sz w:val="16"/>
                <w:szCs w:val="16"/>
              </w:rPr>
              <w:t>Surcharges</w:t>
            </w:r>
          </w:p>
        </w:tc>
        <w:tc>
          <w:tcPr>
            <w:tcW w:w="760" w:type="dxa"/>
            <w:tcBorders>
              <w:top w:val="single" w:sz="4" w:space="0" w:color="auto"/>
              <w:left w:val="nil"/>
              <w:bottom w:val="single" w:sz="4" w:space="0" w:color="auto"/>
              <w:right w:val="single" w:sz="4" w:space="0" w:color="auto"/>
            </w:tcBorders>
            <w:shd w:val="clear" w:color="auto" w:fill="auto"/>
            <w:noWrap/>
          </w:tcPr>
          <w:p w:rsidR="005747DA" w:rsidRPr="00FC5190" w:rsidRDefault="005747DA" w:rsidP="002A1B9F">
            <w:pPr>
              <w:jc w:val="center"/>
              <w:rPr>
                <w:rFonts w:ascii="Calibri" w:hAnsi="Calibri"/>
                <w:b/>
                <w:bCs/>
                <w:sz w:val="16"/>
                <w:szCs w:val="16"/>
              </w:rPr>
            </w:pPr>
            <w:r w:rsidRPr="00FC5190">
              <w:rPr>
                <w:rFonts w:ascii="Calibri" w:hAnsi="Calibri"/>
                <w:b/>
                <w:bCs/>
                <w:sz w:val="16"/>
                <w:szCs w:val="16"/>
              </w:rPr>
              <w:t>User Fees</w:t>
            </w:r>
          </w:p>
        </w:tc>
      </w:tr>
      <w:tr w:rsidR="005747DA"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Pr>
                <w:rFonts w:ascii="Calibri" w:hAnsi="Calibri"/>
                <w:sz w:val="16"/>
                <w:szCs w:val="16"/>
              </w:rPr>
              <w:t>37</w:t>
            </w:r>
          </w:p>
        </w:tc>
        <w:tc>
          <w:tcPr>
            <w:tcW w:w="126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CLC, CLR</w:t>
            </w:r>
          </w:p>
        </w:tc>
        <w:tc>
          <w:tcPr>
            <w:tcW w:w="2696" w:type="dxa"/>
            <w:tcBorders>
              <w:top w:val="nil"/>
              <w:left w:val="nil"/>
              <w:bottom w:val="single" w:sz="4" w:space="0" w:color="auto"/>
              <w:right w:val="single" w:sz="4" w:space="0" w:color="auto"/>
            </w:tcBorders>
            <w:shd w:val="clear" w:color="auto" w:fill="auto"/>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321 Communications, Inc.</w:t>
            </w:r>
          </w:p>
        </w:tc>
        <w:tc>
          <w:tcPr>
            <w:tcW w:w="90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U-7202-C</w:t>
            </w:r>
          </w:p>
        </w:tc>
        <w:tc>
          <w:tcPr>
            <w:tcW w:w="1101"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r>
      <w:tr w:rsidR="005747DA"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Pr>
                <w:rFonts w:ascii="Calibri" w:hAnsi="Calibri"/>
                <w:sz w:val="16"/>
                <w:szCs w:val="16"/>
              </w:rPr>
              <w:t>38</w:t>
            </w:r>
          </w:p>
        </w:tc>
        <w:tc>
          <w:tcPr>
            <w:tcW w:w="126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CLC, CLR</w:t>
            </w:r>
          </w:p>
        </w:tc>
        <w:tc>
          <w:tcPr>
            <w:tcW w:w="2696" w:type="dxa"/>
            <w:tcBorders>
              <w:top w:val="nil"/>
              <w:left w:val="nil"/>
              <w:bottom w:val="single" w:sz="4" w:space="0" w:color="auto"/>
              <w:right w:val="single" w:sz="4" w:space="0" w:color="auto"/>
            </w:tcBorders>
            <w:shd w:val="clear" w:color="auto" w:fill="auto"/>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Net Talk.com, Inc.</w:t>
            </w:r>
          </w:p>
        </w:tc>
        <w:tc>
          <w:tcPr>
            <w:tcW w:w="90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U-7205-C</w:t>
            </w:r>
          </w:p>
        </w:tc>
        <w:tc>
          <w:tcPr>
            <w:tcW w:w="1101"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r>
      <w:tr w:rsidR="005747DA"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Pr>
                <w:rFonts w:ascii="Calibri" w:hAnsi="Calibri"/>
                <w:sz w:val="16"/>
                <w:szCs w:val="16"/>
              </w:rPr>
              <w:t>39</w:t>
            </w:r>
          </w:p>
        </w:tc>
        <w:tc>
          <w:tcPr>
            <w:tcW w:w="126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CLR</w:t>
            </w:r>
          </w:p>
        </w:tc>
        <w:tc>
          <w:tcPr>
            <w:tcW w:w="2696" w:type="dxa"/>
            <w:tcBorders>
              <w:top w:val="nil"/>
              <w:left w:val="nil"/>
              <w:bottom w:val="single" w:sz="4" w:space="0" w:color="auto"/>
              <w:right w:val="single" w:sz="4" w:space="0" w:color="auto"/>
            </w:tcBorders>
            <w:shd w:val="clear" w:color="auto" w:fill="auto"/>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DigiJack Corporation</w:t>
            </w:r>
          </w:p>
        </w:tc>
        <w:tc>
          <w:tcPr>
            <w:tcW w:w="90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U-7224-C</w:t>
            </w:r>
          </w:p>
        </w:tc>
        <w:tc>
          <w:tcPr>
            <w:tcW w:w="1101"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r>
      <w:tr w:rsidR="005747DA"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4</w:t>
            </w:r>
            <w:r>
              <w:rPr>
                <w:rFonts w:ascii="Calibri" w:hAnsi="Calibri"/>
                <w:sz w:val="16"/>
                <w:szCs w:val="16"/>
              </w:rPr>
              <w:t>0</w:t>
            </w:r>
          </w:p>
        </w:tc>
        <w:tc>
          <w:tcPr>
            <w:tcW w:w="126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696" w:type="dxa"/>
            <w:tcBorders>
              <w:top w:val="nil"/>
              <w:left w:val="nil"/>
              <w:bottom w:val="single" w:sz="4" w:space="0" w:color="auto"/>
              <w:right w:val="single" w:sz="4" w:space="0" w:color="auto"/>
            </w:tcBorders>
            <w:shd w:val="clear" w:color="auto" w:fill="auto"/>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Iny Communications Inc</w:t>
            </w:r>
          </w:p>
        </w:tc>
        <w:tc>
          <w:tcPr>
            <w:tcW w:w="90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U-7225-C</w:t>
            </w:r>
          </w:p>
        </w:tc>
        <w:tc>
          <w:tcPr>
            <w:tcW w:w="1101" w:type="dxa"/>
            <w:tcBorders>
              <w:top w:val="nil"/>
              <w:left w:val="nil"/>
              <w:bottom w:val="single" w:sz="4" w:space="0" w:color="auto"/>
              <w:right w:val="single" w:sz="4" w:space="0" w:color="auto"/>
            </w:tcBorders>
            <w:shd w:val="clear" w:color="auto" w:fill="auto"/>
            <w:noWrap/>
            <w:vAlign w:val="center"/>
            <w:hideMark/>
          </w:tcPr>
          <w:p w:rsidR="005747DA" w:rsidRPr="00FC5190" w:rsidRDefault="005747DA" w:rsidP="002A1B9F">
            <w:pPr>
              <w:overflowPunct/>
              <w:autoSpaceDE/>
              <w:autoSpaceDN/>
              <w:adjustRightInd/>
              <w:jc w:val="center"/>
              <w:textAlignment w:val="auto"/>
              <w:rPr>
                <w:rFonts w:ascii="Calibri" w:hAnsi="Calibri"/>
                <w:sz w:val="16"/>
                <w:szCs w:val="16"/>
              </w:rPr>
            </w:pPr>
            <w:r w:rsidRPr="00624DF6">
              <w:rPr>
                <w:rFonts w:ascii="Calibri" w:hAnsi="Calibri"/>
                <w:b/>
                <w:sz w:val="16"/>
                <w:szCs w:val="16"/>
              </w:rPr>
              <w:t>X</w:t>
            </w:r>
            <w:r w:rsidRPr="00FC5190">
              <w:rPr>
                <w:rFonts w:ascii="Calibri" w:hAnsi="Calibri"/>
                <w:sz w:val="16"/>
                <w:szCs w:val="16"/>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r>
      <w:tr w:rsidR="005747DA"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4</w:t>
            </w:r>
            <w:r>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CLR, IER</w:t>
            </w:r>
          </w:p>
        </w:tc>
        <w:tc>
          <w:tcPr>
            <w:tcW w:w="2696" w:type="dxa"/>
            <w:tcBorders>
              <w:top w:val="nil"/>
              <w:left w:val="nil"/>
              <w:bottom w:val="single" w:sz="4" w:space="0" w:color="auto"/>
              <w:right w:val="single" w:sz="4" w:space="0" w:color="auto"/>
            </w:tcBorders>
            <w:shd w:val="clear" w:color="auto" w:fill="auto"/>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Fiber International, LLC</w:t>
            </w:r>
          </w:p>
        </w:tc>
        <w:tc>
          <w:tcPr>
            <w:tcW w:w="90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U-7227-C</w:t>
            </w:r>
          </w:p>
        </w:tc>
        <w:tc>
          <w:tcPr>
            <w:tcW w:w="1101"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r>
      <w:tr w:rsidR="005747DA"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4</w:t>
            </w:r>
            <w:r>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696" w:type="dxa"/>
            <w:tcBorders>
              <w:top w:val="nil"/>
              <w:left w:val="nil"/>
              <w:bottom w:val="single" w:sz="4" w:space="0" w:color="auto"/>
              <w:right w:val="single" w:sz="4" w:space="0" w:color="auto"/>
            </w:tcBorders>
            <w:shd w:val="clear" w:color="auto" w:fill="auto"/>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Telecircuit Network Corporation</w:t>
            </w:r>
          </w:p>
        </w:tc>
        <w:tc>
          <w:tcPr>
            <w:tcW w:w="90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U-7244-C</w:t>
            </w:r>
          </w:p>
        </w:tc>
        <w:tc>
          <w:tcPr>
            <w:tcW w:w="1101"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r>
      <w:tr w:rsidR="005747DA"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4</w:t>
            </w:r>
            <w:r>
              <w:rPr>
                <w:rFonts w:ascii="Calibri" w:hAnsi="Calibri"/>
                <w:sz w:val="16"/>
                <w:szCs w:val="16"/>
              </w:rPr>
              <w:t>3</w:t>
            </w:r>
          </w:p>
        </w:tc>
        <w:tc>
          <w:tcPr>
            <w:tcW w:w="126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696" w:type="dxa"/>
            <w:tcBorders>
              <w:top w:val="nil"/>
              <w:left w:val="nil"/>
              <w:bottom w:val="single" w:sz="4" w:space="0" w:color="auto"/>
              <w:right w:val="single" w:sz="4" w:space="0" w:color="auto"/>
            </w:tcBorders>
            <w:shd w:val="clear" w:color="auto" w:fill="auto"/>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RiseTel, LLC</w:t>
            </w:r>
          </w:p>
        </w:tc>
        <w:tc>
          <w:tcPr>
            <w:tcW w:w="90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U-7250-C</w:t>
            </w:r>
          </w:p>
        </w:tc>
        <w:tc>
          <w:tcPr>
            <w:tcW w:w="1101"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r>
      <w:tr w:rsidR="005747DA" w:rsidRPr="00FC5190" w:rsidTr="002A1B9F">
        <w:trPr>
          <w:trHeight w:val="300"/>
        </w:trPr>
        <w:tc>
          <w:tcPr>
            <w:tcW w:w="379" w:type="dxa"/>
            <w:tcBorders>
              <w:top w:val="nil"/>
              <w:left w:val="single" w:sz="8" w:space="0" w:color="auto"/>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Pr>
                <w:rFonts w:ascii="Calibri" w:hAnsi="Calibri"/>
                <w:sz w:val="16"/>
                <w:szCs w:val="16"/>
              </w:rPr>
              <w:t>44</w:t>
            </w:r>
          </w:p>
        </w:tc>
        <w:tc>
          <w:tcPr>
            <w:tcW w:w="126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CLR, IER</w:t>
            </w:r>
          </w:p>
        </w:tc>
        <w:tc>
          <w:tcPr>
            <w:tcW w:w="2696" w:type="dxa"/>
            <w:tcBorders>
              <w:top w:val="nil"/>
              <w:left w:val="nil"/>
              <w:bottom w:val="single" w:sz="4" w:space="0" w:color="auto"/>
              <w:right w:val="single" w:sz="4" w:space="0" w:color="auto"/>
            </w:tcBorders>
            <w:shd w:val="clear" w:color="auto" w:fill="auto"/>
            <w:hideMark/>
          </w:tcPr>
          <w:p w:rsidR="005747DA" w:rsidRPr="00FC5190" w:rsidRDefault="005747DA" w:rsidP="002A1B9F">
            <w:pPr>
              <w:overflowPunct/>
              <w:autoSpaceDE/>
              <w:autoSpaceDN/>
              <w:adjustRightInd/>
              <w:textAlignment w:val="auto"/>
              <w:rPr>
                <w:rFonts w:ascii="Calibri" w:hAnsi="Calibri"/>
                <w:sz w:val="16"/>
                <w:szCs w:val="16"/>
              </w:rPr>
            </w:pPr>
            <w:r w:rsidRPr="00FC5190">
              <w:rPr>
                <w:rFonts w:ascii="Calibri" w:hAnsi="Calibri"/>
                <w:sz w:val="16"/>
                <w:szCs w:val="16"/>
              </w:rPr>
              <w:t>Synergy DAS, LLC</w:t>
            </w:r>
          </w:p>
        </w:tc>
        <w:tc>
          <w:tcPr>
            <w:tcW w:w="900" w:type="dxa"/>
            <w:tcBorders>
              <w:top w:val="nil"/>
              <w:left w:val="nil"/>
              <w:bottom w:val="single" w:sz="4" w:space="0" w:color="auto"/>
              <w:right w:val="single" w:sz="4" w:space="0" w:color="auto"/>
            </w:tcBorders>
            <w:shd w:val="clear" w:color="auto" w:fill="auto"/>
            <w:noWrap/>
            <w:hideMark/>
          </w:tcPr>
          <w:p w:rsidR="005747DA" w:rsidRPr="00FC5190" w:rsidRDefault="005747DA"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U-7254-C</w:t>
            </w:r>
          </w:p>
        </w:tc>
        <w:tc>
          <w:tcPr>
            <w:tcW w:w="1101" w:type="dxa"/>
            <w:tcBorders>
              <w:top w:val="nil"/>
              <w:left w:val="nil"/>
              <w:bottom w:val="single" w:sz="4" w:space="0" w:color="auto"/>
              <w:right w:val="single" w:sz="4" w:space="0" w:color="auto"/>
            </w:tcBorders>
            <w:shd w:val="clear" w:color="auto" w:fill="auto"/>
            <w:noWrap/>
            <w:vAlign w:val="center"/>
            <w:hideMark/>
          </w:tcPr>
          <w:p w:rsidR="005747DA" w:rsidRPr="00FC5190" w:rsidRDefault="005747DA" w:rsidP="002A1B9F">
            <w:pPr>
              <w:overflowPunct/>
              <w:autoSpaceDE/>
              <w:autoSpaceDN/>
              <w:adjustRightInd/>
              <w:jc w:val="center"/>
              <w:textAlignment w:val="auto"/>
              <w:rPr>
                <w:rFonts w:ascii="Calibri" w:hAnsi="Calibri"/>
                <w:sz w:val="16"/>
                <w:szCs w:val="16"/>
              </w:rPr>
            </w:pPr>
          </w:p>
        </w:tc>
        <w:tc>
          <w:tcPr>
            <w:tcW w:w="944" w:type="dxa"/>
            <w:tcBorders>
              <w:top w:val="nil"/>
              <w:left w:val="nil"/>
              <w:bottom w:val="single" w:sz="4" w:space="0" w:color="auto"/>
              <w:right w:val="single" w:sz="4"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5747DA" w:rsidRDefault="005747DA" w:rsidP="002A1B9F">
            <w:pPr>
              <w:jc w:val="center"/>
            </w:pPr>
            <w:r w:rsidRPr="00624DF6">
              <w:rPr>
                <w:rFonts w:ascii="Calibri" w:hAnsi="Calibri"/>
                <w:b/>
                <w:sz w:val="16"/>
                <w:szCs w:val="16"/>
              </w:rPr>
              <w:t>X</w:t>
            </w:r>
          </w:p>
        </w:tc>
      </w:tr>
    </w:tbl>
    <w:p w:rsidR="00FC5190" w:rsidRDefault="002068F3" w:rsidP="00FC5190">
      <w:pPr>
        <w:jc w:val="center"/>
        <w:rPr>
          <w:b/>
          <w:sz w:val="28"/>
          <w:szCs w:val="28"/>
          <w:u w:val="single"/>
        </w:rPr>
      </w:pPr>
      <w:r>
        <w:rPr>
          <w:b/>
          <w:sz w:val="28"/>
          <w:szCs w:val="28"/>
          <w:u w:val="single"/>
        </w:rPr>
        <w:br w:type="textWrapping" w:clear="all"/>
      </w:r>
    </w:p>
    <w:p w:rsidR="00B221EE" w:rsidRDefault="00B221EE">
      <w:pPr>
        <w:jc w:val="center"/>
        <w:rPr>
          <w:b/>
          <w:sz w:val="28"/>
          <w:szCs w:val="28"/>
          <w:u w:val="single"/>
        </w:rPr>
      </w:pPr>
      <w:r>
        <w:rPr>
          <w:b/>
          <w:sz w:val="28"/>
          <w:szCs w:val="28"/>
          <w:u w:val="single"/>
        </w:rPr>
        <w:t>End of Appendix A</w:t>
      </w:r>
    </w:p>
    <w:p w:rsidR="00FC5190" w:rsidRDefault="00FC5190">
      <w:pPr>
        <w:jc w:val="center"/>
        <w:rPr>
          <w:b/>
          <w:sz w:val="28"/>
          <w:szCs w:val="28"/>
          <w:u w:val="single"/>
        </w:rPr>
      </w:pPr>
    </w:p>
    <w:p w:rsidR="00FC5190" w:rsidRDefault="00FC5190">
      <w:pPr>
        <w:jc w:val="center"/>
        <w:rPr>
          <w:b/>
          <w:sz w:val="28"/>
          <w:szCs w:val="28"/>
          <w:u w:val="single"/>
        </w:rPr>
      </w:pPr>
    </w:p>
    <w:p w:rsidR="00FC5190" w:rsidRDefault="00FC5190">
      <w:pPr>
        <w:jc w:val="center"/>
        <w:rPr>
          <w:b/>
          <w:sz w:val="28"/>
          <w:szCs w:val="28"/>
          <w:u w:val="single"/>
        </w:rPr>
      </w:pPr>
    </w:p>
    <w:p w:rsidR="00FC5190" w:rsidRDefault="00FC5190">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B442DF" w:rsidRDefault="00B442DF">
      <w:pPr>
        <w:jc w:val="center"/>
        <w:rPr>
          <w:b/>
          <w:sz w:val="28"/>
          <w:szCs w:val="28"/>
          <w:u w:val="single"/>
        </w:rPr>
      </w:pPr>
    </w:p>
    <w:p w:rsidR="00111F36" w:rsidRDefault="00111F36">
      <w:pPr>
        <w:jc w:val="center"/>
        <w:rPr>
          <w:b/>
          <w:sz w:val="28"/>
          <w:szCs w:val="28"/>
          <w:u w:val="single"/>
        </w:rPr>
      </w:pPr>
    </w:p>
    <w:p w:rsidR="00927374" w:rsidRDefault="00927374">
      <w:pPr>
        <w:jc w:val="center"/>
        <w:rPr>
          <w:b/>
          <w:sz w:val="28"/>
          <w:szCs w:val="28"/>
          <w:u w:val="single"/>
        </w:rPr>
      </w:pPr>
    </w:p>
    <w:p w:rsidR="00927374" w:rsidRDefault="00927374">
      <w:pPr>
        <w:jc w:val="center"/>
        <w:rPr>
          <w:b/>
          <w:sz w:val="28"/>
          <w:szCs w:val="28"/>
          <w:u w:val="single"/>
        </w:rPr>
      </w:pPr>
    </w:p>
    <w:p w:rsidR="00927374" w:rsidRDefault="00927374">
      <w:pPr>
        <w:jc w:val="center"/>
        <w:rPr>
          <w:b/>
          <w:sz w:val="28"/>
          <w:szCs w:val="28"/>
          <w:u w:val="single"/>
        </w:rPr>
      </w:pPr>
    </w:p>
    <w:p w:rsidR="00927374" w:rsidRDefault="00927374">
      <w:pPr>
        <w:jc w:val="center"/>
        <w:rPr>
          <w:b/>
          <w:sz w:val="28"/>
          <w:szCs w:val="28"/>
          <w:u w:val="single"/>
        </w:rPr>
      </w:pPr>
    </w:p>
    <w:p w:rsidR="00927374" w:rsidRDefault="00927374">
      <w:pPr>
        <w:jc w:val="center"/>
        <w:rPr>
          <w:b/>
          <w:sz w:val="28"/>
          <w:szCs w:val="28"/>
          <w:u w:val="single"/>
        </w:rPr>
      </w:pPr>
    </w:p>
    <w:p w:rsidR="00927374" w:rsidRDefault="00927374">
      <w:pPr>
        <w:jc w:val="center"/>
        <w:rPr>
          <w:b/>
          <w:sz w:val="28"/>
          <w:szCs w:val="28"/>
          <w:u w:val="single"/>
        </w:rPr>
      </w:pPr>
    </w:p>
    <w:p w:rsidR="006C2675" w:rsidRDefault="006C2675">
      <w:pPr>
        <w:jc w:val="center"/>
        <w:rPr>
          <w:b/>
          <w:sz w:val="28"/>
          <w:szCs w:val="28"/>
          <w:u w:val="single"/>
        </w:rPr>
      </w:pPr>
    </w:p>
    <w:p w:rsidR="006C2675" w:rsidRDefault="006C2675">
      <w:pPr>
        <w:jc w:val="center"/>
        <w:rPr>
          <w:b/>
          <w:sz w:val="28"/>
          <w:szCs w:val="28"/>
          <w:u w:val="single"/>
        </w:rPr>
      </w:pPr>
    </w:p>
    <w:p w:rsidR="006C2675" w:rsidRDefault="006C2675">
      <w:pPr>
        <w:jc w:val="center"/>
        <w:rPr>
          <w:b/>
          <w:sz w:val="28"/>
          <w:szCs w:val="28"/>
          <w:u w:val="single"/>
        </w:rPr>
      </w:pPr>
    </w:p>
    <w:p w:rsidR="006C2675" w:rsidRDefault="006C2675">
      <w:pPr>
        <w:jc w:val="center"/>
        <w:rPr>
          <w:b/>
          <w:sz w:val="28"/>
          <w:szCs w:val="28"/>
          <w:u w:val="single"/>
        </w:rPr>
      </w:pPr>
    </w:p>
    <w:p w:rsidR="00412C65" w:rsidRDefault="00412C65" w:rsidP="00FC5190">
      <w:pPr>
        <w:jc w:val="center"/>
        <w:rPr>
          <w:b/>
          <w:sz w:val="28"/>
          <w:szCs w:val="28"/>
          <w:u w:val="single"/>
        </w:rPr>
      </w:pPr>
    </w:p>
    <w:p w:rsidR="00FC5190" w:rsidRDefault="00FC5190" w:rsidP="00FC5190">
      <w:pPr>
        <w:jc w:val="center"/>
        <w:rPr>
          <w:b/>
          <w:sz w:val="28"/>
          <w:szCs w:val="28"/>
          <w:u w:val="single"/>
        </w:rPr>
      </w:pPr>
      <w:r>
        <w:rPr>
          <w:b/>
          <w:sz w:val="28"/>
          <w:szCs w:val="28"/>
          <w:u w:val="single"/>
        </w:rPr>
        <w:t>Appendix B</w:t>
      </w:r>
      <w:r w:rsidR="00B06278">
        <w:rPr>
          <w:b/>
          <w:sz w:val="28"/>
          <w:szCs w:val="28"/>
          <w:u w:val="single"/>
        </w:rPr>
        <w:t xml:space="preserve"> (in alphabetical order)</w:t>
      </w:r>
    </w:p>
    <w:p w:rsidR="00FC5190" w:rsidRDefault="00FC5190">
      <w:pPr>
        <w:jc w:val="center"/>
        <w:rPr>
          <w:b/>
          <w:sz w:val="28"/>
          <w:szCs w:val="28"/>
          <w:u w:val="single"/>
        </w:rPr>
      </w:pPr>
      <w:r>
        <w:rPr>
          <w:b/>
          <w:sz w:val="28"/>
          <w:szCs w:val="28"/>
          <w:u w:val="single"/>
        </w:rPr>
        <w:t>List of Carriers to be Revoked</w:t>
      </w:r>
    </w:p>
    <w:tbl>
      <w:tblPr>
        <w:tblpPr w:leftFromText="180" w:rightFromText="180" w:vertAnchor="text" w:horzAnchor="margin" w:tblpXSpec="center" w:tblpY="31"/>
        <w:tblOverlap w:val="never"/>
        <w:tblW w:w="8020" w:type="dxa"/>
        <w:tblLook w:val="04A0" w:firstRow="1" w:lastRow="0" w:firstColumn="1" w:lastColumn="0" w:noHBand="0" w:noVBand="1"/>
      </w:tblPr>
      <w:tblGrid>
        <w:gridCol w:w="541"/>
        <w:gridCol w:w="1260"/>
        <w:gridCol w:w="2534"/>
        <w:gridCol w:w="906"/>
        <w:gridCol w:w="1075"/>
        <w:gridCol w:w="944"/>
        <w:gridCol w:w="760"/>
      </w:tblGrid>
      <w:tr w:rsidR="00FC5190" w:rsidRPr="00FC5190" w:rsidTr="002A1B9F">
        <w:trPr>
          <w:trHeight w:val="600"/>
        </w:trPr>
        <w:tc>
          <w:tcPr>
            <w:tcW w:w="541" w:type="dxa"/>
            <w:tcBorders>
              <w:top w:val="single" w:sz="8" w:space="0" w:color="auto"/>
              <w:left w:val="single" w:sz="8" w:space="0" w:color="auto"/>
              <w:bottom w:val="single" w:sz="4" w:space="0" w:color="auto"/>
              <w:right w:val="single" w:sz="4"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w:t>
            </w:r>
          </w:p>
        </w:tc>
        <w:tc>
          <w:tcPr>
            <w:tcW w:w="1260" w:type="dxa"/>
            <w:tcBorders>
              <w:top w:val="single" w:sz="8" w:space="0" w:color="auto"/>
              <w:left w:val="nil"/>
              <w:bottom w:val="single" w:sz="4" w:space="0" w:color="auto"/>
              <w:right w:val="single" w:sz="4"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UTILITY TYPE</w:t>
            </w:r>
          </w:p>
        </w:tc>
        <w:tc>
          <w:tcPr>
            <w:tcW w:w="2534" w:type="dxa"/>
            <w:tcBorders>
              <w:top w:val="single" w:sz="8" w:space="0" w:color="auto"/>
              <w:left w:val="nil"/>
              <w:bottom w:val="single" w:sz="4" w:space="0" w:color="auto"/>
              <w:right w:val="single" w:sz="4" w:space="0" w:color="auto"/>
            </w:tcBorders>
            <w:shd w:val="clear" w:color="auto" w:fill="auto"/>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UTILITY NAME</w:t>
            </w:r>
          </w:p>
        </w:tc>
        <w:tc>
          <w:tcPr>
            <w:tcW w:w="906" w:type="dxa"/>
            <w:tcBorders>
              <w:top w:val="single" w:sz="8" w:space="0" w:color="auto"/>
              <w:left w:val="nil"/>
              <w:bottom w:val="single" w:sz="4" w:space="0" w:color="auto"/>
              <w:right w:val="single" w:sz="4"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U-number</w:t>
            </w:r>
          </w:p>
        </w:tc>
        <w:tc>
          <w:tcPr>
            <w:tcW w:w="1075" w:type="dxa"/>
            <w:tcBorders>
              <w:top w:val="single" w:sz="8" w:space="0" w:color="auto"/>
              <w:left w:val="nil"/>
              <w:bottom w:val="single" w:sz="4" w:space="0" w:color="auto"/>
              <w:right w:val="single" w:sz="4" w:space="0" w:color="auto"/>
            </w:tcBorders>
            <w:shd w:val="clear" w:color="auto" w:fill="auto"/>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Performance Bond</w:t>
            </w:r>
          </w:p>
        </w:tc>
        <w:tc>
          <w:tcPr>
            <w:tcW w:w="944" w:type="dxa"/>
            <w:tcBorders>
              <w:top w:val="single" w:sz="8" w:space="0" w:color="auto"/>
              <w:left w:val="nil"/>
              <w:bottom w:val="single" w:sz="4" w:space="0" w:color="auto"/>
              <w:right w:val="single" w:sz="4"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Surcharges</w:t>
            </w:r>
          </w:p>
        </w:tc>
        <w:tc>
          <w:tcPr>
            <w:tcW w:w="760" w:type="dxa"/>
            <w:tcBorders>
              <w:top w:val="single" w:sz="8" w:space="0" w:color="auto"/>
              <w:left w:val="nil"/>
              <w:bottom w:val="single" w:sz="4" w:space="0" w:color="auto"/>
              <w:right w:val="single" w:sz="8" w:space="0" w:color="auto"/>
            </w:tcBorders>
            <w:shd w:val="clear" w:color="auto" w:fill="auto"/>
            <w:noWrap/>
            <w:hideMark/>
          </w:tcPr>
          <w:p w:rsidR="00FC5190" w:rsidRPr="00FC5190" w:rsidRDefault="00FC5190"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User Fees</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CLC, CLR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321 Communications,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U-7202-C</w:t>
            </w:r>
          </w:p>
        </w:tc>
        <w:tc>
          <w:tcPr>
            <w:tcW w:w="1075" w:type="dxa"/>
            <w:tcBorders>
              <w:top w:val="nil"/>
              <w:left w:val="nil"/>
              <w:bottom w:val="single" w:sz="4" w:space="0" w:color="auto"/>
              <w:right w:val="single" w:sz="4" w:space="0" w:color="auto"/>
            </w:tcBorders>
            <w:shd w:val="clear" w:color="auto" w:fill="auto"/>
            <w:noWrap/>
            <w:vAlign w:val="center"/>
            <w:hideMark/>
          </w:tcPr>
          <w:p w:rsidR="001B7F8C" w:rsidRPr="00FC5190" w:rsidRDefault="001B7F8C"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Pr="00C70F01" w:rsidRDefault="001B7F8C" w:rsidP="002A1B9F">
            <w:pPr>
              <w:overflowPunct/>
              <w:autoSpaceDE/>
              <w:autoSpaceDN/>
              <w:adjustRightInd/>
              <w:jc w:val="center"/>
              <w:textAlignment w:val="auto"/>
              <w:rPr>
                <w:rFonts w:ascii="Calibri" w:hAnsi="Calibri"/>
                <w:b/>
                <w:sz w:val="16"/>
                <w:szCs w:val="16"/>
              </w:rPr>
            </w:pPr>
            <w:r w:rsidRPr="00C70F01">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Pr="00C70F01" w:rsidRDefault="001B7F8C" w:rsidP="002A1B9F">
            <w:pPr>
              <w:overflowPunct/>
              <w:autoSpaceDE/>
              <w:autoSpaceDN/>
              <w:adjustRightInd/>
              <w:jc w:val="center"/>
              <w:textAlignment w:val="auto"/>
              <w:rPr>
                <w:rFonts w:ascii="Calibri" w:hAnsi="Calibri"/>
                <w:b/>
                <w:sz w:val="16"/>
                <w:szCs w:val="16"/>
              </w:rPr>
            </w:pPr>
            <w:r w:rsidRPr="00C70F01">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Advanced Tel,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U-6616-C</w:t>
            </w:r>
          </w:p>
        </w:tc>
        <w:tc>
          <w:tcPr>
            <w:tcW w:w="1075" w:type="dxa"/>
            <w:tcBorders>
              <w:top w:val="nil"/>
              <w:left w:val="nil"/>
              <w:bottom w:val="single" w:sz="4" w:space="0" w:color="auto"/>
              <w:right w:val="single" w:sz="4" w:space="0" w:color="auto"/>
            </w:tcBorders>
            <w:shd w:val="clear" w:color="auto" w:fill="auto"/>
            <w:vAlign w:val="center"/>
            <w:hideMark/>
          </w:tcPr>
          <w:p w:rsidR="001B7F8C" w:rsidRPr="00FC5190" w:rsidRDefault="001B7F8C"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Pr="00FC5190" w:rsidRDefault="001B7F8C"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Pr="00FC5190" w:rsidRDefault="001B7F8C"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3</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American Phone Services Corporation</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U-5991-C</w:t>
            </w:r>
          </w:p>
        </w:tc>
        <w:tc>
          <w:tcPr>
            <w:tcW w:w="1075" w:type="dxa"/>
            <w:tcBorders>
              <w:top w:val="nil"/>
              <w:left w:val="nil"/>
              <w:bottom w:val="single" w:sz="4" w:space="0" w:color="auto"/>
              <w:right w:val="single" w:sz="4" w:space="0" w:color="auto"/>
            </w:tcBorders>
            <w:shd w:val="clear" w:color="auto" w:fill="auto"/>
            <w:vAlign w:val="center"/>
            <w:hideMark/>
          </w:tcPr>
          <w:p w:rsidR="001B7F8C" w:rsidRPr="00FC5190" w:rsidRDefault="001B7F8C"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Pr="00FC5190" w:rsidRDefault="001B7F8C"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Pr="00FC5190" w:rsidRDefault="001B7F8C" w:rsidP="002A1B9F">
            <w:pPr>
              <w:overflowPunct/>
              <w:autoSpaceDE/>
              <w:autoSpaceDN/>
              <w:adjustRightInd/>
              <w:jc w:val="center"/>
              <w:textAlignment w:val="auto"/>
              <w:rPr>
                <w:rFonts w:ascii="Calibri" w:hAnsi="Calibri"/>
                <w:sz w:val="16"/>
                <w:szCs w:val="16"/>
              </w:rPr>
            </w:pPr>
            <w:r w:rsidRPr="00C70F01">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4</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Association Administrators,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U-5791-C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5</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CLR, 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BLC Management LLC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U-7022-C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6</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Blue Casa Telephone, LLC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U-6764-C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7</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CLC, CLR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CALPOP.COM,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U-7158-C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8</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Champion Broadband California, LLC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U-6944-C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9</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Convergence Systems,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U-7134-C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1</w:t>
            </w:r>
            <w:r w:rsidR="00FE7F13">
              <w:rPr>
                <w:rFonts w:ascii="Calibri" w:hAnsi="Calibri"/>
                <w:sz w:val="16"/>
                <w:szCs w:val="16"/>
              </w:rPr>
              <w:t>0</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CLR, 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Covista,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U-5425-C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1</w:t>
            </w:r>
            <w:r w:rsidR="00FE7F13">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Dial Long Distance,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U-5735-C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1</w:t>
            </w:r>
            <w:r w:rsidR="00FE7F13">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DigiJack Corporation</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U-7224-C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1</w:t>
            </w:r>
            <w:r w:rsidR="00FE7F13">
              <w:rPr>
                <w:rFonts w:ascii="Calibri" w:hAnsi="Calibri"/>
                <w:sz w:val="16"/>
                <w:szCs w:val="16"/>
              </w:rPr>
              <w:t>3</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Digizip.Com,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U-6652-C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1</w:t>
            </w:r>
            <w:r w:rsidR="00FE7F13">
              <w:rPr>
                <w:rFonts w:ascii="Calibri" w:hAnsi="Calibri"/>
                <w:sz w:val="16"/>
                <w:szCs w:val="16"/>
              </w:rPr>
              <w:t>4</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Encompass Communications, LLC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U-6472-C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1</w:t>
            </w:r>
            <w:r w:rsidR="00FE7F13">
              <w:rPr>
                <w:rFonts w:ascii="Calibri" w:hAnsi="Calibri"/>
                <w:sz w:val="16"/>
                <w:szCs w:val="16"/>
              </w:rPr>
              <w:t>5</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CLR, 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Ernest Communications,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U-6077-C</w:t>
            </w:r>
          </w:p>
        </w:tc>
        <w:tc>
          <w:tcPr>
            <w:tcW w:w="1075" w:type="dxa"/>
            <w:tcBorders>
              <w:top w:val="nil"/>
              <w:left w:val="nil"/>
              <w:bottom w:val="single" w:sz="4" w:space="0" w:color="auto"/>
              <w:right w:val="single" w:sz="4" w:space="0" w:color="auto"/>
            </w:tcBorders>
            <w:shd w:val="clear" w:color="auto" w:fill="auto"/>
            <w:vAlign w:val="center"/>
            <w:hideMark/>
          </w:tcPr>
          <w:p w:rsidR="001B7F8C" w:rsidRPr="00FC5190" w:rsidRDefault="001B7F8C" w:rsidP="002A1B9F">
            <w:pPr>
              <w:overflowPunct/>
              <w:autoSpaceDE/>
              <w:autoSpaceDN/>
              <w:adjustRightInd/>
              <w:jc w:val="center"/>
              <w:textAlignment w:val="auto"/>
              <w:rPr>
                <w:rFonts w:ascii="Calibri" w:hAnsi="Calibri"/>
                <w:sz w:val="16"/>
                <w:szCs w:val="16"/>
              </w:rP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4E11E3" w:rsidP="002A1B9F">
            <w:pPr>
              <w:overflowPunct/>
              <w:autoSpaceDE/>
              <w:autoSpaceDN/>
              <w:adjustRightInd/>
              <w:jc w:val="center"/>
              <w:textAlignment w:val="auto"/>
              <w:rPr>
                <w:rFonts w:ascii="Calibri" w:hAnsi="Calibri"/>
                <w:sz w:val="16"/>
                <w:szCs w:val="16"/>
              </w:rPr>
            </w:pPr>
            <w:r>
              <w:rPr>
                <w:rFonts w:ascii="Calibri" w:hAnsi="Calibri"/>
                <w:sz w:val="16"/>
                <w:szCs w:val="16"/>
              </w:rPr>
              <w:t>1</w:t>
            </w:r>
            <w:r w:rsidR="00FE7F13">
              <w:rPr>
                <w:rFonts w:ascii="Calibri" w:hAnsi="Calibri"/>
                <w:sz w:val="16"/>
                <w:szCs w:val="16"/>
              </w:rPr>
              <w:t>6</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Excite Telecom</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U-7071-C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17</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CLR, 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Fiber International, LLC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U-7227-C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18</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Go Solo Technologies,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U-6435-C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19</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CLR, CLC, 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Great America Networks,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U-6649-C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2</w:t>
            </w:r>
            <w:r w:rsidR="00FE7F13">
              <w:rPr>
                <w:rFonts w:ascii="Calibri" w:hAnsi="Calibri"/>
                <w:sz w:val="16"/>
                <w:szCs w:val="16"/>
              </w:rPr>
              <w:t>0</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Ibasis Retail,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U-7063-C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2</w:t>
            </w:r>
            <w:r w:rsidR="00FE7F13">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CLR, 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IBFA Acquisition Company, LLC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U-6961-C</w:t>
            </w:r>
          </w:p>
        </w:tc>
        <w:tc>
          <w:tcPr>
            <w:tcW w:w="1075" w:type="dxa"/>
            <w:tcBorders>
              <w:top w:val="nil"/>
              <w:left w:val="nil"/>
              <w:bottom w:val="single" w:sz="4" w:space="0" w:color="auto"/>
              <w:right w:val="single" w:sz="4" w:space="0" w:color="auto"/>
            </w:tcBorders>
            <w:shd w:val="clear" w:color="auto" w:fill="auto"/>
            <w:vAlign w:val="center"/>
            <w:hideMark/>
          </w:tcPr>
          <w:p w:rsidR="001B7F8C" w:rsidRPr="00FC5190" w:rsidRDefault="001B7F8C" w:rsidP="002A1B9F">
            <w:pPr>
              <w:overflowPunct/>
              <w:autoSpaceDE/>
              <w:autoSpaceDN/>
              <w:adjustRightInd/>
              <w:jc w:val="center"/>
              <w:textAlignment w:val="auto"/>
              <w:rPr>
                <w:rFonts w:ascii="Calibri" w:hAnsi="Calibri"/>
                <w:sz w:val="16"/>
                <w:szCs w:val="16"/>
              </w:rP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45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2</w:t>
            </w:r>
            <w:r w:rsidR="00FE7F13">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 xml:space="preserve">Infotech </w:t>
            </w:r>
            <w:r w:rsidR="00226A20">
              <w:rPr>
                <w:rFonts w:ascii="Calibri" w:hAnsi="Calibri"/>
                <w:sz w:val="16"/>
                <w:szCs w:val="16"/>
              </w:rPr>
              <w:t>Telecommunications</w:t>
            </w:r>
            <w:r w:rsidR="00226A20" w:rsidRPr="00FC5190">
              <w:rPr>
                <w:rFonts w:ascii="Calibri" w:hAnsi="Calibri"/>
                <w:sz w:val="16"/>
                <w:szCs w:val="16"/>
              </w:rPr>
              <w:t xml:space="preserve"> </w:t>
            </w:r>
            <w:r w:rsidRPr="00FC5190">
              <w:rPr>
                <w:rFonts w:ascii="Calibri" w:hAnsi="Calibri"/>
                <w:sz w:val="16"/>
                <w:szCs w:val="16"/>
              </w:rPr>
              <w:t>&amp; Network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U-5952-C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2</w:t>
            </w:r>
            <w:r w:rsidR="00FE7F13">
              <w:rPr>
                <w:rFonts w:ascii="Calibri" w:hAnsi="Calibri"/>
                <w:sz w:val="16"/>
                <w:szCs w:val="16"/>
              </w:rPr>
              <w:t>3</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Iny Communications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U-7225-C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2</w:t>
            </w:r>
            <w:r w:rsidR="00FE7F13">
              <w:rPr>
                <w:rFonts w:ascii="Calibri" w:hAnsi="Calibri"/>
                <w:sz w:val="16"/>
                <w:szCs w:val="16"/>
              </w:rPr>
              <w:t>4</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 xml:space="preserve">LDC </w:t>
            </w:r>
            <w:r w:rsidR="00226A20">
              <w:rPr>
                <w:rFonts w:ascii="Calibri" w:hAnsi="Calibri"/>
                <w:sz w:val="16"/>
                <w:szCs w:val="16"/>
              </w:rPr>
              <w:t>Telecommunications</w:t>
            </w:r>
            <w:r w:rsidR="00226A20" w:rsidRPr="00FC5190">
              <w:rPr>
                <w:rFonts w:ascii="Calibri" w:hAnsi="Calibri"/>
                <w:sz w:val="16"/>
                <w:szCs w:val="16"/>
              </w:rPr>
              <w:t xml:space="preserve"> </w:t>
            </w:r>
            <w:r w:rsidRPr="00FC5190">
              <w:rPr>
                <w:rFonts w:ascii="Calibri" w:hAnsi="Calibri"/>
                <w:sz w:val="16"/>
                <w:szCs w:val="16"/>
              </w:rPr>
              <w:t>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U-5498-C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25</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Momentum Telecom,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U-7108-C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26</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CLC, CLR, 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 xml:space="preserve">Navigator </w:t>
            </w:r>
            <w:r w:rsidR="00226A20">
              <w:rPr>
                <w:rFonts w:ascii="Calibri" w:hAnsi="Calibri"/>
                <w:sz w:val="16"/>
                <w:szCs w:val="16"/>
              </w:rPr>
              <w:t>Telecommunications</w:t>
            </w:r>
            <w:r w:rsidRPr="00FC5190">
              <w:rPr>
                <w:rFonts w:ascii="Calibri" w:hAnsi="Calibri"/>
                <w:sz w:val="16"/>
                <w:szCs w:val="16"/>
              </w:rPr>
              <w:t>, LLC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U-6167-C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27</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CLC, CLR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Net Talk.com,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U-7205-C</w:t>
            </w:r>
          </w:p>
        </w:tc>
        <w:tc>
          <w:tcPr>
            <w:tcW w:w="1075" w:type="dxa"/>
            <w:tcBorders>
              <w:top w:val="nil"/>
              <w:left w:val="nil"/>
              <w:bottom w:val="single" w:sz="4" w:space="0" w:color="auto"/>
              <w:right w:val="single" w:sz="4" w:space="0" w:color="auto"/>
            </w:tcBorders>
            <w:shd w:val="clear" w:color="auto" w:fill="auto"/>
            <w:vAlign w:val="center"/>
            <w:hideMark/>
          </w:tcPr>
          <w:p w:rsidR="001B7F8C" w:rsidRDefault="001B7F8C"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28</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Nextlink Wireless, Inc.</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U-6990-C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1B7F8C"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hideMark/>
          </w:tcPr>
          <w:p w:rsidR="001B7F8C"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29</w:t>
            </w:r>
          </w:p>
        </w:tc>
        <w:tc>
          <w:tcPr>
            <w:tcW w:w="1260"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534"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textAlignment w:val="auto"/>
              <w:rPr>
                <w:rFonts w:ascii="Calibri" w:hAnsi="Calibri"/>
                <w:sz w:val="16"/>
                <w:szCs w:val="16"/>
              </w:rPr>
            </w:pPr>
            <w:r w:rsidRPr="00FC5190">
              <w:rPr>
                <w:rFonts w:ascii="Calibri" w:hAnsi="Calibri"/>
                <w:sz w:val="16"/>
                <w:szCs w:val="16"/>
              </w:rPr>
              <w:t>Oak Grove Holdings Corporation</w:t>
            </w:r>
          </w:p>
        </w:tc>
        <w:tc>
          <w:tcPr>
            <w:tcW w:w="906" w:type="dxa"/>
            <w:tcBorders>
              <w:top w:val="nil"/>
              <w:left w:val="nil"/>
              <w:bottom w:val="single" w:sz="4" w:space="0" w:color="auto"/>
              <w:right w:val="single" w:sz="4" w:space="0" w:color="auto"/>
            </w:tcBorders>
            <w:shd w:val="clear" w:color="auto" w:fill="auto"/>
            <w:noWrap/>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U-7058-C</w:t>
            </w:r>
          </w:p>
        </w:tc>
        <w:tc>
          <w:tcPr>
            <w:tcW w:w="1075" w:type="dxa"/>
            <w:tcBorders>
              <w:top w:val="nil"/>
              <w:left w:val="nil"/>
              <w:bottom w:val="single" w:sz="4" w:space="0" w:color="auto"/>
              <w:right w:val="single" w:sz="4" w:space="0" w:color="auto"/>
            </w:tcBorders>
            <w:shd w:val="clear" w:color="auto" w:fill="auto"/>
            <w:hideMark/>
          </w:tcPr>
          <w:p w:rsidR="001B7F8C" w:rsidRPr="00FC5190" w:rsidRDefault="001B7F8C"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hideMark/>
          </w:tcPr>
          <w:p w:rsidR="001B7F8C" w:rsidRDefault="001B7F8C" w:rsidP="002A1B9F">
            <w:pPr>
              <w:jc w:val="center"/>
            </w:pPr>
            <w:r w:rsidRPr="0078165D">
              <w:rPr>
                <w:rFonts w:ascii="Calibri" w:hAnsi="Calibri"/>
                <w:b/>
                <w:sz w:val="16"/>
                <w:szCs w:val="16"/>
              </w:rPr>
              <w:t>X</w:t>
            </w:r>
          </w:p>
        </w:tc>
      </w:tr>
      <w:tr w:rsidR="00BE0F64"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Pr>
                <w:rFonts w:ascii="Calibri" w:hAnsi="Calibri"/>
                <w:sz w:val="16"/>
                <w:szCs w:val="16"/>
              </w:rPr>
              <w:t>3</w:t>
            </w:r>
            <w:r w:rsidR="00FE7F13">
              <w:rPr>
                <w:rFonts w:ascii="Calibri" w:hAnsi="Calibri"/>
                <w:sz w:val="16"/>
                <w:szCs w:val="16"/>
              </w:rPr>
              <w:t>0</w:t>
            </w:r>
          </w:p>
        </w:tc>
        <w:tc>
          <w:tcPr>
            <w:tcW w:w="1260"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CLR, IEC</w:t>
            </w:r>
          </w:p>
        </w:tc>
        <w:tc>
          <w:tcPr>
            <w:tcW w:w="2534" w:type="dxa"/>
            <w:tcBorders>
              <w:top w:val="nil"/>
              <w:left w:val="nil"/>
              <w:bottom w:val="single" w:sz="4" w:space="0" w:color="auto"/>
              <w:right w:val="single" w:sz="4" w:space="0" w:color="auto"/>
            </w:tcBorders>
            <w:shd w:val="clear" w:color="auto" w:fill="auto"/>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Pacific Centrex Services, Inc.</w:t>
            </w:r>
          </w:p>
        </w:tc>
        <w:tc>
          <w:tcPr>
            <w:tcW w:w="906"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U-5998-C</w:t>
            </w:r>
          </w:p>
        </w:tc>
        <w:tc>
          <w:tcPr>
            <w:tcW w:w="1075" w:type="dxa"/>
            <w:tcBorders>
              <w:top w:val="nil"/>
              <w:left w:val="nil"/>
              <w:bottom w:val="single" w:sz="4" w:space="0" w:color="auto"/>
              <w:right w:val="single" w:sz="4" w:space="0" w:color="auto"/>
            </w:tcBorders>
            <w:shd w:val="clear" w:color="auto" w:fill="auto"/>
            <w:vAlign w:val="center"/>
          </w:tcPr>
          <w:p w:rsidR="00BE0F64" w:rsidRDefault="00BE0F64" w:rsidP="002A1B9F">
            <w:pPr>
              <w:jc w:val="center"/>
            </w:pPr>
            <w:r w:rsidRPr="0078165D">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BE0F64" w:rsidRDefault="00BE0F64" w:rsidP="002A1B9F">
            <w:pPr>
              <w:jc w:val="center"/>
            </w:pPr>
            <w:r w:rsidRPr="0078165D">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BE0F64" w:rsidRDefault="00BE0F64" w:rsidP="002A1B9F">
            <w:pPr>
              <w:jc w:val="center"/>
            </w:pPr>
            <w:r w:rsidRPr="0078165D">
              <w:rPr>
                <w:rFonts w:ascii="Calibri" w:hAnsi="Calibri"/>
                <w:b/>
                <w:sz w:val="16"/>
                <w:szCs w:val="16"/>
              </w:rPr>
              <w:t>X</w:t>
            </w:r>
          </w:p>
        </w:tc>
      </w:tr>
      <w:tr w:rsidR="00BE0F64"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Pr>
                <w:rFonts w:ascii="Calibri" w:hAnsi="Calibri"/>
                <w:sz w:val="16"/>
                <w:szCs w:val="16"/>
              </w:rPr>
              <w:t>3</w:t>
            </w:r>
            <w:r w:rsidR="00FE7F13">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534" w:type="dxa"/>
            <w:tcBorders>
              <w:top w:val="nil"/>
              <w:left w:val="nil"/>
              <w:bottom w:val="single" w:sz="4" w:space="0" w:color="auto"/>
              <w:right w:val="single" w:sz="4" w:space="0" w:color="auto"/>
            </w:tcBorders>
            <w:shd w:val="clear" w:color="auto" w:fill="auto"/>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Pac-West Telecomm, Inc.</w:t>
            </w:r>
          </w:p>
        </w:tc>
        <w:tc>
          <w:tcPr>
            <w:tcW w:w="906"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U-5266-C</w:t>
            </w:r>
          </w:p>
        </w:tc>
        <w:tc>
          <w:tcPr>
            <w:tcW w:w="1075" w:type="dxa"/>
            <w:tcBorders>
              <w:top w:val="nil"/>
              <w:left w:val="nil"/>
              <w:bottom w:val="single" w:sz="4" w:space="0" w:color="auto"/>
              <w:right w:val="single" w:sz="4" w:space="0" w:color="auto"/>
            </w:tcBorders>
            <w:shd w:val="clear" w:color="auto" w:fill="auto"/>
            <w:vAlign w:val="center"/>
          </w:tcPr>
          <w:p w:rsidR="00BE0F64" w:rsidRDefault="00BE0F64" w:rsidP="002A1B9F">
            <w:pPr>
              <w:jc w:val="center"/>
            </w:pPr>
            <w:r w:rsidRPr="003955A5">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BE0F64" w:rsidRDefault="00BE0F64"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BE0F64" w:rsidRDefault="00BE0F64" w:rsidP="002A1B9F">
            <w:pPr>
              <w:jc w:val="center"/>
            </w:pPr>
            <w:r w:rsidRPr="003955A5">
              <w:rPr>
                <w:rFonts w:ascii="Calibri" w:hAnsi="Calibri"/>
                <w:b/>
                <w:sz w:val="16"/>
                <w:szCs w:val="16"/>
              </w:rPr>
              <w:t>X</w:t>
            </w:r>
          </w:p>
        </w:tc>
      </w:tr>
      <w:tr w:rsidR="00BE0F64"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Pr>
                <w:rFonts w:ascii="Calibri" w:hAnsi="Calibri"/>
                <w:sz w:val="16"/>
                <w:szCs w:val="16"/>
              </w:rPr>
              <w:t>3</w:t>
            </w:r>
            <w:r w:rsidR="00FE7F13">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CLR, IER</w:t>
            </w:r>
          </w:p>
        </w:tc>
        <w:tc>
          <w:tcPr>
            <w:tcW w:w="2534" w:type="dxa"/>
            <w:tcBorders>
              <w:top w:val="nil"/>
              <w:left w:val="nil"/>
              <w:bottom w:val="single" w:sz="4" w:space="0" w:color="auto"/>
              <w:right w:val="single" w:sz="4" w:space="0" w:color="auto"/>
            </w:tcBorders>
            <w:shd w:val="clear" w:color="auto" w:fill="auto"/>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Pelzer Communications Corporation</w:t>
            </w:r>
          </w:p>
        </w:tc>
        <w:tc>
          <w:tcPr>
            <w:tcW w:w="906"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U-7024-C</w:t>
            </w:r>
          </w:p>
        </w:tc>
        <w:tc>
          <w:tcPr>
            <w:tcW w:w="1075" w:type="dxa"/>
            <w:tcBorders>
              <w:top w:val="nil"/>
              <w:left w:val="nil"/>
              <w:bottom w:val="single" w:sz="4" w:space="0" w:color="auto"/>
              <w:right w:val="single" w:sz="4" w:space="0" w:color="auto"/>
            </w:tcBorders>
            <w:shd w:val="clear" w:color="auto" w:fill="auto"/>
            <w:vAlign w:val="center"/>
          </w:tcPr>
          <w:p w:rsidR="00BE0F64" w:rsidRDefault="00BE0F64" w:rsidP="002A1B9F">
            <w:pPr>
              <w:jc w:val="center"/>
            </w:pPr>
            <w:r w:rsidRPr="003955A5">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BE0F64" w:rsidRDefault="00BE0F64"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BE0F64" w:rsidRDefault="00BE0F64" w:rsidP="002A1B9F">
            <w:pPr>
              <w:jc w:val="center"/>
            </w:pPr>
            <w:r w:rsidRPr="003955A5">
              <w:rPr>
                <w:rFonts w:ascii="Calibri" w:hAnsi="Calibri"/>
                <w:b/>
                <w:sz w:val="16"/>
                <w:szCs w:val="16"/>
              </w:rPr>
              <w:t>X</w:t>
            </w:r>
          </w:p>
        </w:tc>
      </w:tr>
      <w:tr w:rsidR="00BE0F64"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Pr>
                <w:rFonts w:ascii="Calibri" w:hAnsi="Calibri"/>
                <w:sz w:val="16"/>
                <w:szCs w:val="16"/>
              </w:rPr>
              <w:t>3</w:t>
            </w:r>
            <w:r w:rsidR="00FE7F13">
              <w:rPr>
                <w:rFonts w:ascii="Calibri" w:hAnsi="Calibri"/>
                <w:sz w:val="16"/>
                <w:szCs w:val="16"/>
              </w:rPr>
              <w:t>3</w:t>
            </w:r>
          </w:p>
        </w:tc>
        <w:tc>
          <w:tcPr>
            <w:tcW w:w="1260"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CLC, CLR, IEC</w:t>
            </w:r>
          </w:p>
        </w:tc>
        <w:tc>
          <w:tcPr>
            <w:tcW w:w="2534" w:type="dxa"/>
            <w:tcBorders>
              <w:top w:val="nil"/>
              <w:left w:val="nil"/>
              <w:bottom w:val="single" w:sz="4" w:space="0" w:color="auto"/>
              <w:right w:val="single" w:sz="4" w:space="0" w:color="auto"/>
            </w:tcBorders>
            <w:shd w:val="clear" w:color="auto" w:fill="auto"/>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Public Wireless, Inc.</w:t>
            </w:r>
          </w:p>
        </w:tc>
        <w:tc>
          <w:tcPr>
            <w:tcW w:w="906"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U-7146-C</w:t>
            </w:r>
          </w:p>
        </w:tc>
        <w:tc>
          <w:tcPr>
            <w:tcW w:w="1075" w:type="dxa"/>
            <w:tcBorders>
              <w:top w:val="nil"/>
              <w:left w:val="nil"/>
              <w:bottom w:val="single" w:sz="4" w:space="0" w:color="auto"/>
              <w:right w:val="single" w:sz="4" w:space="0" w:color="auto"/>
            </w:tcBorders>
            <w:shd w:val="clear" w:color="auto" w:fill="auto"/>
            <w:vAlign w:val="center"/>
          </w:tcPr>
          <w:p w:rsidR="00BE0F64" w:rsidRDefault="00BE0F64" w:rsidP="002A1B9F">
            <w:pPr>
              <w:jc w:val="center"/>
            </w:pPr>
            <w:r w:rsidRPr="003955A5">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BE0F64" w:rsidRDefault="00BE0F64"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BE0F64" w:rsidRDefault="00BE0F64" w:rsidP="002A1B9F">
            <w:pPr>
              <w:jc w:val="center"/>
            </w:pPr>
            <w:r w:rsidRPr="003955A5">
              <w:rPr>
                <w:rFonts w:ascii="Calibri" w:hAnsi="Calibri"/>
                <w:b/>
                <w:sz w:val="16"/>
                <w:szCs w:val="16"/>
              </w:rPr>
              <w:t>X</w:t>
            </w:r>
          </w:p>
        </w:tc>
      </w:tr>
      <w:tr w:rsidR="00BE0F64"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Pr>
                <w:rFonts w:ascii="Calibri" w:hAnsi="Calibri"/>
                <w:sz w:val="16"/>
                <w:szCs w:val="16"/>
              </w:rPr>
              <w:t>3</w:t>
            </w:r>
            <w:r w:rsidR="00FE7F13">
              <w:rPr>
                <w:rFonts w:ascii="Calibri" w:hAnsi="Calibri"/>
                <w:sz w:val="16"/>
                <w:szCs w:val="16"/>
              </w:rPr>
              <w:t>4</w:t>
            </w:r>
          </w:p>
        </w:tc>
        <w:tc>
          <w:tcPr>
            <w:tcW w:w="1260"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IER</w:t>
            </w:r>
          </w:p>
        </w:tc>
        <w:tc>
          <w:tcPr>
            <w:tcW w:w="2534" w:type="dxa"/>
            <w:tcBorders>
              <w:top w:val="nil"/>
              <w:left w:val="nil"/>
              <w:bottom w:val="single" w:sz="4" w:space="0" w:color="auto"/>
              <w:right w:val="single" w:sz="4" w:space="0" w:color="auto"/>
            </w:tcBorders>
            <w:shd w:val="clear" w:color="auto" w:fill="auto"/>
          </w:tcPr>
          <w:p w:rsidR="00BE0F64" w:rsidRPr="00FC5190" w:rsidRDefault="00BE0F64" w:rsidP="002A1B9F">
            <w:pPr>
              <w:overflowPunct/>
              <w:autoSpaceDE/>
              <w:autoSpaceDN/>
              <w:adjustRightInd/>
              <w:textAlignment w:val="auto"/>
              <w:rPr>
                <w:rFonts w:ascii="Calibri" w:hAnsi="Calibri"/>
                <w:sz w:val="16"/>
                <w:szCs w:val="16"/>
              </w:rPr>
            </w:pPr>
            <w:r w:rsidRPr="00FC5190">
              <w:rPr>
                <w:rFonts w:ascii="Calibri" w:hAnsi="Calibri"/>
                <w:sz w:val="16"/>
                <w:szCs w:val="16"/>
              </w:rPr>
              <w:t>RiseTel, LLC</w:t>
            </w:r>
          </w:p>
        </w:tc>
        <w:tc>
          <w:tcPr>
            <w:tcW w:w="906" w:type="dxa"/>
            <w:tcBorders>
              <w:top w:val="nil"/>
              <w:left w:val="nil"/>
              <w:bottom w:val="single" w:sz="4" w:space="0" w:color="auto"/>
              <w:right w:val="single" w:sz="4" w:space="0" w:color="auto"/>
            </w:tcBorders>
            <w:shd w:val="clear" w:color="auto" w:fill="auto"/>
            <w:noWrap/>
          </w:tcPr>
          <w:p w:rsidR="00BE0F64" w:rsidRPr="00FC5190" w:rsidRDefault="00BE0F64"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U-7250-C</w:t>
            </w:r>
          </w:p>
        </w:tc>
        <w:tc>
          <w:tcPr>
            <w:tcW w:w="1075" w:type="dxa"/>
            <w:tcBorders>
              <w:top w:val="nil"/>
              <w:left w:val="nil"/>
              <w:bottom w:val="single" w:sz="4" w:space="0" w:color="auto"/>
              <w:right w:val="single" w:sz="4" w:space="0" w:color="auto"/>
            </w:tcBorders>
            <w:shd w:val="clear" w:color="auto" w:fill="auto"/>
            <w:vAlign w:val="center"/>
          </w:tcPr>
          <w:p w:rsidR="00BE0F64" w:rsidRDefault="00BE0F64" w:rsidP="002A1B9F">
            <w:pPr>
              <w:jc w:val="center"/>
            </w:pPr>
            <w:r w:rsidRPr="003955A5">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BE0F64" w:rsidRDefault="00BE0F64"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BE0F64" w:rsidRDefault="00BE0F64" w:rsidP="002A1B9F">
            <w:pPr>
              <w:jc w:val="center"/>
            </w:pPr>
            <w:r w:rsidRPr="003955A5">
              <w:rPr>
                <w:rFonts w:ascii="Calibri" w:hAnsi="Calibri"/>
                <w:b/>
                <w:sz w:val="16"/>
                <w:szCs w:val="16"/>
              </w:rPr>
              <w:t>X</w:t>
            </w:r>
          </w:p>
        </w:tc>
      </w:tr>
      <w:tr w:rsidR="001A4534" w:rsidRPr="00FC5190" w:rsidTr="002A1B9F">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1A4534" w:rsidRPr="00FC5190" w:rsidRDefault="001A4534" w:rsidP="002A1B9F">
            <w:pPr>
              <w:overflowPunct/>
              <w:autoSpaceDE/>
              <w:autoSpaceDN/>
              <w:adjustRightInd/>
              <w:jc w:val="center"/>
              <w:textAlignment w:val="auto"/>
              <w:rPr>
                <w:rFonts w:ascii="Calibri" w:hAnsi="Calibri"/>
                <w:sz w:val="16"/>
                <w:szCs w:val="16"/>
              </w:rPr>
            </w:pPr>
            <w:r>
              <w:rPr>
                <w:rFonts w:ascii="Calibri" w:hAnsi="Calibri"/>
                <w:sz w:val="16"/>
                <w:szCs w:val="16"/>
              </w:rPr>
              <w:t>35</w:t>
            </w:r>
          </w:p>
        </w:tc>
        <w:tc>
          <w:tcPr>
            <w:tcW w:w="1260" w:type="dxa"/>
            <w:tcBorders>
              <w:top w:val="single" w:sz="4" w:space="0" w:color="auto"/>
              <w:left w:val="nil"/>
              <w:bottom w:val="single" w:sz="4" w:space="0" w:color="auto"/>
              <w:right w:val="single" w:sz="4" w:space="0" w:color="auto"/>
            </w:tcBorders>
            <w:shd w:val="clear" w:color="auto" w:fill="auto"/>
            <w:noWrap/>
          </w:tcPr>
          <w:p w:rsidR="001A4534" w:rsidRPr="00FC5190" w:rsidRDefault="001A4534"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single" w:sz="4" w:space="0" w:color="auto"/>
              <w:left w:val="nil"/>
              <w:bottom w:val="single" w:sz="4" w:space="0" w:color="auto"/>
              <w:right w:val="single" w:sz="4" w:space="0" w:color="auto"/>
            </w:tcBorders>
            <w:shd w:val="clear" w:color="auto" w:fill="auto"/>
          </w:tcPr>
          <w:p w:rsidR="001A4534" w:rsidRPr="00FC5190" w:rsidRDefault="001A4534" w:rsidP="002A1B9F">
            <w:pPr>
              <w:overflowPunct/>
              <w:autoSpaceDE/>
              <w:autoSpaceDN/>
              <w:adjustRightInd/>
              <w:textAlignment w:val="auto"/>
              <w:rPr>
                <w:rFonts w:ascii="Calibri" w:hAnsi="Calibri"/>
                <w:sz w:val="16"/>
                <w:szCs w:val="16"/>
              </w:rPr>
            </w:pPr>
            <w:r w:rsidRPr="00FC5190">
              <w:rPr>
                <w:rFonts w:ascii="Calibri" w:hAnsi="Calibri"/>
                <w:sz w:val="16"/>
                <w:szCs w:val="16"/>
              </w:rPr>
              <w:t>Roudebush Communications</w:t>
            </w:r>
          </w:p>
        </w:tc>
        <w:tc>
          <w:tcPr>
            <w:tcW w:w="906" w:type="dxa"/>
            <w:tcBorders>
              <w:top w:val="single" w:sz="4" w:space="0" w:color="auto"/>
              <w:left w:val="nil"/>
              <w:bottom w:val="single" w:sz="4" w:space="0" w:color="auto"/>
              <w:right w:val="single" w:sz="4" w:space="0" w:color="auto"/>
            </w:tcBorders>
            <w:shd w:val="clear" w:color="auto" w:fill="auto"/>
            <w:noWrap/>
          </w:tcPr>
          <w:p w:rsidR="001A4534" w:rsidRPr="00FC5190" w:rsidRDefault="001A4534"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U-5300-C</w:t>
            </w:r>
          </w:p>
        </w:tc>
        <w:tc>
          <w:tcPr>
            <w:tcW w:w="1075" w:type="dxa"/>
            <w:tcBorders>
              <w:top w:val="single" w:sz="4" w:space="0" w:color="auto"/>
              <w:left w:val="nil"/>
              <w:bottom w:val="single" w:sz="4" w:space="0" w:color="auto"/>
              <w:right w:val="single" w:sz="4" w:space="0" w:color="auto"/>
            </w:tcBorders>
            <w:shd w:val="clear" w:color="auto" w:fill="auto"/>
            <w:vAlign w:val="center"/>
          </w:tcPr>
          <w:p w:rsidR="001A4534" w:rsidRPr="00FC5190" w:rsidRDefault="001A4534" w:rsidP="002A1B9F">
            <w:pPr>
              <w:overflowPunct/>
              <w:autoSpaceDE/>
              <w:autoSpaceDN/>
              <w:adjustRightInd/>
              <w:jc w:val="center"/>
              <w:textAlignment w:val="auto"/>
              <w:rPr>
                <w:rFonts w:ascii="Calibri" w:hAnsi="Calibri"/>
                <w:sz w:val="16"/>
                <w:szCs w:val="16"/>
              </w:rPr>
            </w:pPr>
            <w:r w:rsidRPr="003955A5">
              <w:rPr>
                <w:rFonts w:ascii="Calibri" w:hAnsi="Calibri"/>
                <w:b/>
                <w:sz w:val="16"/>
                <w:szCs w:val="16"/>
              </w:rPr>
              <w:t>X</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1A4534" w:rsidRDefault="001A4534" w:rsidP="002A1B9F">
            <w:pPr>
              <w:jc w:val="center"/>
            </w:pPr>
            <w:r w:rsidRPr="003955A5">
              <w:rPr>
                <w:rFonts w:ascii="Calibri" w:hAnsi="Calibri"/>
                <w:b/>
                <w:sz w:val="16"/>
                <w:szCs w:val="16"/>
              </w:rPr>
              <w:t>X</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1A4534" w:rsidRDefault="001A4534" w:rsidP="002A1B9F">
            <w:pPr>
              <w:jc w:val="center"/>
            </w:pPr>
            <w:r w:rsidRPr="003955A5">
              <w:rPr>
                <w:rFonts w:ascii="Calibri" w:hAnsi="Calibri"/>
                <w:b/>
                <w:sz w:val="16"/>
                <w:szCs w:val="16"/>
              </w:rPr>
              <w:t>X</w:t>
            </w:r>
          </w:p>
        </w:tc>
      </w:tr>
      <w:tr w:rsidR="00FE7F13" w:rsidRPr="00FC5190" w:rsidTr="002A1B9F">
        <w:trPr>
          <w:trHeight w:val="70"/>
        </w:trPr>
        <w:tc>
          <w:tcPr>
            <w:tcW w:w="541" w:type="dxa"/>
            <w:tcBorders>
              <w:top w:val="single" w:sz="4" w:space="0" w:color="auto"/>
              <w:bottom w:val="single" w:sz="4" w:space="0" w:color="auto"/>
            </w:tcBorders>
            <w:shd w:val="clear" w:color="auto" w:fill="auto"/>
            <w:noWrap/>
          </w:tcPr>
          <w:p w:rsidR="00FE7F13" w:rsidRDefault="00FE7F13" w:rsidP="002A1B9F">
            <w:pPr>
              <w:overflowPunct/>
              <w:autoSpaceDE/>
              <w:autoSpaceDN/>
              <w:adjustRightInd/>
              <w:jc w:val="center"/>
              <w:textAlignment w:val="auto"/>
              <w:rPr>
                <w:rFonts w:ascii="Calibri" w:hAnsi="Calibri"/>
                <w:sz w:val="16"/>
                <w:szCs w:val="16"/>
              </w:rPr>
            </w:pPr>
          </w:p>
        </w:tc>
        <w:tc>
          <w:tcPr>
            <w:tcW w:w="1260" w:type="dxa"/>
            <w:tcBorders>
              <w:top w:val="single" w:sz="4" w:space="0" w:color="auto"/>
              <w:bottom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p>
        </w:tc>
        <w:tc>
          <w:tcPr>
            <w:tcW w:w="2534" w:type="dxa"/>
            <w:tcBorders>
              <w:top w:val="single" w:sz="4" w:space="0" w:color="auto"/>
              <w:bottom w:val="single" w:sz="4" w:space="0" w:color="auto"/>
            </w:tcBorders>
            <w:shd w:val="clear" w:color="auto" w:fill="auto"/>
          </w:tcPr>
          <w:p w:rsidR="00FE7F13" w:rsidRPr="00FC5190" w:rsidRDefault="00FE7F13" w:rsidP="002A1B9F">
            <w:pPr>
              <w:overflowPunct/>
              <w:autoSpaceDE/>
              <w:autoSpaceDN/>
              <w:adjustRightInd/>
              <w:jc w:val="center"/>
              <w:textAlignment w:val="auto"/>
              <w:rPr>
                <w:rFonts w:ascii="Calibri" w:hAnsi="Calibri"/>
                <w:sz w:val="16"/>
                <w:szCs w:val="16"/>
              </w:rPr>
            </w:pPr>
          </w:p>
        </w:tc>
        <w:tc>
          <w:tcPr>
            <w:tcW w:w="906" w:type="dxa"/>
            <w:tcBorders>
              <w:top w:val="single" w:sz="4" w:space="0" w:color="auto"/>
              <w:bottom w:val="single" w:sz="4" w:space="0" w:color="auto"/>
            </w:tcBorders>
            <w:shd w:val="clear" w:color="auto" w:fill="auto"/>
            <w:noWrap/>
          </w:tcPr>
          <w:p w:rsidR="00FE7F13" w:rsidRDefault="00FE7F13" w:rsidP="002A1B9F">
            <w:pPr>
              <w:overflowPunct/>
              <w:autoSpaceDE/>
              <w:autoSpaceDN/>
              <w:adjustRightInd/>
              <w:jc w:val="center"/>
              <w:textAlignment w:val="auto"/>
              <w:rPr>
                <w:rFonts w:ascii="Calibri" w:hAnsi="Calibri"/>
                <w:sz w:val="16"/>
                <w:szCs w:val="16"/>
              </w:rPr>
            </w:pPr>
          </w:p>
          <w:p w:rsidR="008B1D37" w:rsidRDefault="008B1D37" w:rsidP="002A1B9F">
            <w:pPr>
              <w:overflowPunct/>
              <w:autoSpaceDE/>
              <w:autoSpaceDN/>
              <w:adjustRightInd/>
              <w:jc w:val="center"/>
              <w:textAlignment w:val="auto"/>
              <w:rPr>
                <w:rFonts w:ascii="Calibri" w:hAnsi="Calibri"/>
                <w:sz w:val="16"/>
                <w:szCs w:val="16"/>
              </w:rPr>
            </w:pPr>
          </w:p>
          <w:p w:rsidR="008B1D37" w:rsidRPr="00FC5190" w:rsidRDefault="008B1D37" w:rsidP="002A1B9F">
            <w:pPr>
              <w:overflowPunct/>
              <w:autoSpaceDE/>
              <w:autoSpaceDN/>
              <w:adjustRightInd/>
              <w:jc w:val="center"/>
              <w:textAlignment w:val="auto"/>
              <w:rPr>
                <w:rFonts w:ascii="Calibri" w:hAnsi="Calibri"/>
                <w:sz w:val="16"/>
                <w:szCs w:val="16"/>
              </w:rPr>
            </w:pPr>
          </w:p>
        </w:tc>
        <w:tc>
          <w:tcPr>
            <w:tcW w:w="1075" w:type="dxa"/>
            <w:tcBorders>
              <w:top w:val="single" w:sz="4" w:space="0" w:color="auto"/>
              <w:bottom w:val="single" w:sz="4" w:space="0" w:color="auto"/>
            </w:tcBorders>
            <w:shd w:val="clear" w:color="auto" w:fill="auto"/>
          </w:tcPr>
          <w:p w:rsidR="00FE7F13" w:rsidRPr="00FC5190" w:rsidRDefault="00FE7F13" w:rsidP="002A1B9F">
            <w:pPr>
              <w:overflowPunct/>
              <w:autoSpaceDE/>
              <w:autoSpaceDN/>
              <w:adjustRightInd/>
              <w:jc w:val="center"/>
              <w:textAlignment w:val="auto"/>
              <w:rPr>
                <w:rFonts w:ascii="Calibri" w:hAnsi="Calibri"/>
                <w:sz w:val="16"/>
                <w:szCs w:val="16"/>
              </w:rPr>
            </w:pPr>
          </w:p>
        </w:tc>
        <w:tc>
          <w:tcPr>
            <w:tcW w:w="944" w:type="dxa"/>
            <w:tcBorders>
              <w:top w:val="single" w:sz="4" w:space="0" w:color="auto"/>
              <w:bottom w:val="single" w:sz="4" w:space="0" w:color="auto"/>
            </w:tcBorders>
            <w:shd w:val="clear" w:color="auto" w:fill="auto"/>
            <w:noWrap/>
          </w:tcPr>
          <w:p w:rsidR="00FE7F13" w:rsidRPr="003955A5" w:rsidRDefault="00FE7F13" w:rsidP="002A1B9F">
            <w:pPr>
              <w:jc w:val="center"/>
              <w:rPr>
                <w:rFonts w:ascii="Calibri" w:hAnsi="Calibri"/>
                <w:b/>
                <w:sz w:val="16"/>
                <w:szCs w:val="16"/>
              </w:rPr>
            </w:pPr>
          </w:p>
        </w:tc>
        <w:tc>
          <w:tcPr>
            <w:tcW w:w="760" w:type="dxa"/>
            <w:tcBorders>
              <w:top w:val="single" w:sz="4" w:space="0" w:color="auto"/>
              <w:bottom w:val="single" w:sz="4" w:space="0" w:color="auto"/>
            </w:tcBorders>
            <w:shd w:val="clear" w:color="auto" w:fill="auto"/>
            <w:noWrap/>
          </w:tcPr>
          <w:p w:rsidR="00FE7F13" w:rsidRPr="003955A5" w:rsidRDefault="00FE7F13" w:rsidP="002A1B9F">
            <w:pPr>
              <w:jc w:val="center"/>
              <w:rPr>
                <w:rFonts w:ascii="Calibri" w:hAnsi="Calibri"/>
                <w:b/>
                <w:sz w:val="16"/>
                <w:szCs w:val="16"/>
              </w:rPr>
            </w:pPr>
          </w:p>
        </w:tc>
      </w:tr>
      <w:tr w:rsidR="00142E1D" w:rsidRPr="00FC5190" w:rsidTr="002A1B9F">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rsidR="00142E1D" w:rsidRDefault="0077490A"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w:t>
            </w:r>
          </w:p>
        </w:tc>
        <w:tc>
          <w:tcPr>
            <w:tcW w:w="1260" w:type="dxa"/>
            <w:tcBorders>
              <w:top w:val="single" w:sz="4" w:space="0" w:color="auto"/>
              <w:left w:val="nil"/>
              <w:bottom w:val="single" w:sz="4" w:space="0" w:color="auto"/>
              <w:right w:val="single" w:sz="4" w:space="0" w:color="auto"/>
            </w:tcBorders>
            <w:shd w:val="clear" w:color="auto" w:fill="auto"/>
            <w:noWrap/>
          </w:tcPr>
          <w:p w:rsidR="00142E1D" w:rsidRDefault="0077490A"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UTILITY TYPE</w:t>
            </w:r>
          </w:p>
        </w:tc>
        <w:tc>
          <w:tcPr>
            <w:tcW w:w="2534" w:type="dxa"/>
            <w:tcBorders>
              <w:top w:val="single" w:sz="4" w:space="0" w:color="auto"/>
              <w:left w:val="nil"/>
              <w:bottom w:val="single" w:sz="4" w:space="0" w:color="auto"/>
              <w:right w:val="single" w:sz="4" w:space="0" w:color="auto"/>
            </w:tcBorders>
            <w:shd w:val="clear" w:color="auto" w:fill="auto"/>
          </w:tcPr>
          <w:p w:rsidR="00142E1D" w:rsidRDefault="0077490A"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UTILITY NAME</w:t>
            </w:r>
          </w:p>
        </w:tc>
        <w:tc>
          <w:tcPr>
            <w:tcW w:w="906" w:type="dxa"/>
            <w:tcBorders>
              <w:top w:val="single" w:sz="4" w:space="0" w:color="auto"/>
              <w:left w:val="nil"/>
              <w:bottom w:val="single" w:sz="4" w:space="0" w:color="auto"/>
              <w:right w:val="single" w:sz="4" w:space="0" w:color="auto"/>
            </w:tcBorders>
            <w:shd w:val="clear" w:color="auto" w:fill="auto"/>
            <w:noWrap/>
          </w:tcPr>
          <w:p w:rsidR="00142E1D" w:rsidRDefault="0077490A"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U-number</w:t>
            </w:r>
          </w:p>
        </w:tc>
        <w:tc>
          <w:tcPr>
            <w:tcW w:w="1075" w:type="dxa"/>
            <w:tcBorders>
              <w:top w:val="single" w:sz="4" w:space="0" w:color="auto"/>
              <w:left w:val="nil"/>
              <w:bottom w:val="single" w:sz="4" w:space="0" w:color="auto"/>
              <w:right w:val="single" w:sz="4" w:space="0" w:color="auto"/>
            </w:tcBorders>
            <w:shd w:val="clear" w:color="auto" w:fill="auto"/>
          </w:tcPr>
          <w:p w:rsidR="00142E1D" w:rsidRDefault="0077490A" w:rsidP="002A1B9F">
            <w:pPr>
              <w:overflowPunct/>
              <w:autoSpaceDE/>
              <w:autoSpaceDN/>
              <w:adjustRightInd/>
              <w:jc w:val="center"/>
              <w:textAlignment w:val="auto"/>
              <w:rPr>
                <w:rFonts w:ascii="Calibri" w:hAnsi="Calibri"/>
                <w:b/>
                <w:bCs/>
                <w:sz w:val="16"/>
                <w:szCs w:val="16"/>
              </w:rPr>
            </w:pPr>
            <w:r w:rsidRPr="00FC5190">
              <w:rPr>
                <w:rFonts w:ascii="Calibri" w:hAnsi="Calibri"/>
                <w:b/>
                <w:bCs/>
                <w:sz w:val="16"/>
                <w:szCs w:val="16"/>
              </w:rPr>
              <w:t>Performance Bond</w:t>
            </w:r>
          </w:p>
        </w:tc>
        <w:tc>
          <w:tcPr>
            <w:tcW w:w="944" w:type="dxa"/>
            <w:tcBorders>
              <w:top w:val="single" w:sz="4" w:space="0" w:color="auto"/>
              <w:left w:val="nil"/>
              <w:bottom w:val="single" w:sz="4" w:space="0" w:color="auto"/>
              <w:right w:val="single" w:sz="4" w:space="0" w:color="auto"/>
            </w:tcBorders>
            <w:shd w:val="clear" w:color="auto" w:fill="auto"/>
            <w:noWrap/>
          </w:tcPr>
          <w:p w:rsidR="00142E1D" w:rsidRDefault="0077490A" w:rsidP="002A1B9F">
            <w:pPr>
              <w:jc w:val="center"/>
              <w:rPr>
                <w:rFonts w:ascii="Calibri" w:hAnsi="Calibri"/>
                <w:b/>
                <w:bCs/>
                <w:sz w:val="16"/>
                <w:szCs w:val="16"/>
              </w:rPr>
            </w:pPr>
            <w:r w:rsidRPr="00FC5190">
              <w:rPr>
                <w:rFonts w:ascii="Calibri" w:hAnsi="Calibri"/>
                <w:b/>
                <w:bCs/>
                <w:sz w:val="16"/>
                <w:szCs w:val="16"/>
              </w:rPr>
              <w:t>Surcharges</w:t>
            </w:r>
          </w:p>
        </w:tc>
        <w:tc>
          <w:tcPr>
            <w:tcW w:w="760" w:type="dxa"/>
            <w:tcBorders>
              <w:top w:val="single" w:sz="4" w:space="0" w:color="auto"/>
              <w:left w:val="nil"/>
              <w:bottom w:val="single" w:sz="4" w:space="0" w:color="auto"/>
              <w:right w:val="single" w:sz="4" w:space="0" w:color="auto"/>
            </w:tcBorders>
            <w:shd w:val="clear" w:color="auto" w:fill="auto"/>
            <w:noWrap/>
          </w:tcPr>
          <w:p w:rsidR="00142E1D" w:rsidRDefault="003F46E1" w:rsidP="002A1B9F">
            <w:pPr>
              <w:jc w:val="center"/>
              <w:rPr>
                <w:rFonts w:ascii="Calibri" w:hAnsi="Calibri"/>
                <w:b/>
                <w:bCs/>
                <w:sz w:val="16"/>
                <w:szCs w:val="16"/>
              </w:rPr>
            </w:pPr>
            <w:r w:rsidRPr="00FC5190">
              <w:rPr>
                <w:rFonts w:ascii="Calibri" w:hAnsi="Calibri"/>
                <w:b/>
                <w:bCs/>
                <w:sz w:val="16"/>
                <w:szCs w:val="16"/>
              </w:rPr>
              <w:t>User Fees</w:t>
            </w:r>
          </w:p>
          <w:p w:rsidR="001F3B18" w:rsidRDefault="001F3B18" w:rsidP="002A1B9F">
            <w:pPr>
              <w:jc w:val="center"/>
              <w:rPr>
                <w:rFonts w:ascii="Calibri" w:hAnsi="Calibri"/>
                <w:b/>
                <w:bCs/>
                <w:sz w:val="16"/>
                <w:szCs w:val="16"/>
              </w:rPr>
            </w:pPr>
          </w:p>
          <w:p w:rsidR="001F3B18" w:rsidRDefault="001F3B18" w:rsidP="002A1B9F">
            <w:pPr>
              <w:jc w:val="center"/>
              <w:rPr>
                <w:rFonts w:ascii="Calibri" w:hAnsi="Calibri"/>
                <w:b/>
                <w:bCs/>
                <w:sz w:val="16"/>
                <w:szCs w:val="16"/>
              </w:rPr>
            </w:pPr>
          </w:p>
          <w:p w:rsidR="001F3B18" w:rsidRDefault="001F3B18" w:rsidP="002A1B9F">
            <w:pPr>
              <w:jc w:val="center"/>
              <w:rPr>
                <w:rFonts w:ascii="Calibri" w:hAnsi="Calibri"/>
                <w:b/>
                <w:bCs/>
                <w:sz w:val="16"/>
                <w:szCs w:val="16"/>
              </w:rPr>
            </w:pPr>
          </w:p>
          <w:p w:rsidR="00420FF3" w:rsidRDefault="00420FF3" w:rsidP="002A1B9F">
            <w:pPr>
              <w:jc w:val="center"/>
              <w:rPr>
                <w:rFonts w:ascii="Calibri" w:hAnsi="Calibri"/>
                <w:b/>
                <w:bCs/>
                <w:sz w:val="16"/>
                <w:szCs w:val="16"/>
              </w:rPr>
            </w:pPr>
          </w:p>
          <w:p w:rsidR="00420FF3" w:rsidRDefault="00420FF3" w:rsidP="002A1B9F">
            <w:pPr>
              <w:jc w:val="center"/>
              <w:rPr>
                <w:rFonts w:ascii="Calibri" w:hAnsi="Calibri"/>
                <w:b/>
                <w:bCs/>
                <w:sz w:val="16"/>
                <w:szCs w:val="16"/>
              </w:rPr>
            </w:pPr>
          </w:p>
          <w:p w:rsidR="00420FF3" w:rsidRDefault="00420FF3" w:rsidP="002A1B9F">
            <w:pPr>
              <w:jc w:val="center"/>
              <w:rPr>
                <w:rFonts w:ascii="Calibri" w:hAnsi="Calibri"/>
                <w:b/>
                <w:bCs/>
                <w:sz w:val="16"/>
                <w:szCs w:val="16"/>
              </w:rPr>
            </w:pPr>
          </w:p>
          <w:p w:rsidR="00420FF3" w:rsidRDefault="00420FF3" w:rsidP="002A1B9F">
            <w:pPr>
              <w:jc w:val="center"/>
              <w:rPr>
                <w:rFonts w:ascii="Calibri" w:hAnsi="Calibri"/>
                <w:b/>
                <w:bCs/>
                <w:sz w:val="16"/>
                <w:szCs w:val="16"/>
              </w:rPr>
            </w:pPr>
          </w:p>
        </w:tc>
      </w:tr>
      <w:tr w:rsidR="00271D61"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271D61" w:rsidRPr="00FC5190" w:rsidRDefault="00271D61" w:rsidP="002A1B9F">
            <w:pPr>
              <w:overflowPunct/>
              <w:autoSpaceDE/>
              <w:autoSpaceDN/>
              <w:adjustRightInd/>
              <w:jc w:val="center"/>
              <w:textAlignment w:val="auto"/>
              <w:rPr>
                <w:rFonts w:ascii="Calibri" w:hAnsi="Calibri"/>
                <w:sz w:val="16"/>
                <w:szCs w:val="16"/>
              </w:rPr>
            </w:pPr>
            <w:r>
              <w:rPr>
                <w:rFonts w:ascii="Calibri" w:hAnsi="Calibri"/>
                <w:sz w:val="16"/>
                <w:szCs w:val="16"/>
              </w:rPr>
              <w:t>3</w:t>
            </w:r>
            <w:r w:rsidR="00226A20">
              <w:rPr>
                <w:rFonts w:ascii="Calibri" w:hAnsi="Calibri"/>
                <w:sz w:val="16"/>
                <w:szCs w:val="16"/>
              </w:rPr>
              <w:t>6</w:t>
            </w:r>
          </w:p>
        </w:tc>
        <w:tc>
          <w:tcPr>
            <w:tcW w:w="1260" w:type="dxa"/>
            <w:tcBorders>
              <w:top w:val="nil"/>
              <w:left w:val="nil"/>
              <w:bottom w:val="single" w:sz="4" w:space="0" w:color="auto"/>
              <w:right w:val="single" w:sz="4" w:space="0" w:color="auto"/>
            </w:tcBorders>
            <w:shd w:val="clear" w:color="auto" w:fill="auto"/>
            <w:noWrap/>
          </w:tcPr>
          <w:p w:rsidR="00271D61" w:rsidRPr="00FC5190" w:rsidRDefault="00271D61"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nil"/>
              <w:left w:val="nil"/>
              <w:bottom w:val="single" w:sz="4" w:space="0" w:color="auto"/>
              <w:right w:val="single" w:sz="4" w:space="0" w:color="auto"/>
            </w:tcBorders>
            <w:shd w:val="clear" w:color="auto" w:fill="auto"/>
          </w:tcPr>
          <w:p w:rsidR="00271D61" w:rsidRPr="00FC5190" w:rsidRDefault="00271D61" w:rsidP="002A1B9F">
            <w:pPr>
              <w:overflowPunct/>
              <w:autoSpaceDE/>
              <w:autoSpaceDN/>
              <w:adjustRightInd/>
              <w:textAlignment w:val="auto"/>
              <w:rPr>
                <w:rFonts w:ascii="Calibri" w:hAnsi="Calibri"/>
                <w:sz w:val="16"/>
                <w:szCs w:val="16"/>
              </w:rPr>
            </w:pPr>
            <w:r w:rsidRPr="00FC5190">
              <w:rPr>
                <w:rFonts w:ascii="Calibri" w:hAnsi="Calibri"/>
                <w:sz w:val="16"/>
                <w:szCs w:val="16"/>
              </w:rPr>
              <w:t>Splice Communications, Inc.</w:t>
            </w:r>
          </w:p>
        </w:tc>
        <w:tc>
          <w:tcPr>
            <w:tcW w:w="906" w:type="dxa"/>
            <w:tcBorders>
              <w:top w:val="nil"/>
              <w:left w:val="nil"/>
              <w:bottom w:val="single" w:sz="4" w:space="0" w:color="auto"/>
              <w:right w:val="single" w:sz="4" w:space="0" w:color="auto"/>
            </w:tcBorders>
            <w:shd w:val="clear" w:color="auto" w:fill="auto"/>
            <w:noWrap/>
          </w:tcPr>
          <w:p w:rsidR="00271D61" w:rsidRPr="00FC5190" w:rsidRDefault="00271D6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U-7187-C</w:t>
            </w:r>
          </w:p>
        </w:tc>
        <w:tc>
          <w:tcPr>
            <w:tcW w:w="1075" w:type="dxa"/>
            <w:tcBorders>
              <w:top w:val="nil"/>
              <w:left w:val="nil"/>
              <w:bottom w:val="single" w:sz="4" w:space="0" w:color="auto"/>
              <w:right w:val="single" w:sz="4" w:space="0" w:color="auto"/>
            </w:tcBorders>
            <w:shd w:val="clear" w:color="auto" w:fill="auto"/>
          </w:tcPr>
          <w:p w:rsidR="00271D61" w:rsidRPr="00FC5190" w:rsidRDefault="00271D61"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tcPr>
          <w:p w:rsidR="00271D61" w:rsidRDefault="00271D61"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271D61" w:rsidRDefault="00271D61" w:rsidP="002A1B9F">
            <w:pPr>
              <w:jc w:val="center"/>
            </w:pPr>
            <w:r w:rsidRPr="003955A5">
              <w:rPr>
                <w:rFonts w:ascii="Calibri" w:hAnsi="Calibri"/>
                <w:b/>
                <w:sz w:val="16"/>
                <w:szCs w:val="16"/>
              </w:rPr>
              <w:t>X</w:t>
            </w:r>
          </w:p>
        </w:tc>
      </w:tr>
      <w:tr w:rsidR="00FE7F13"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3</w:t>
            </w:r>
            <w:r w:rsidR="00226A20">
              <w:rPr>
                <w:rFonts w:ascii="Calibri" w:hAnsi="Calibri"/>
                <w:sz w:val="16"/>
                <w:szCs w:val="16"/>
              </w:rPr>
              <w:t>7</w:t>
            </w:r>
          </w:p>
        </w:tc>
        <w:tc>
          <w:tcPr>
            <w:tcW w:w="1260"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CLR, IER</w:t>
            </w:r>
          </w:p>
        </w:tc>
        <w:tc>
          <w:tcPr>
            <w:tcW w:w="2534" w:type="dxa"/>
            <w:tcBorders>
              <w:top w:val="nil"/>
              <w:left w:val="nil"/>
              <w:bottom w:val="single" w:sz="4"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Synergy DAS, LLC</w:t>
            </w:r>
          </w:p>
        </w:tc>
        <w:tc>
          <w:tcPr>
            <w:tcW w:w="906"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U-7254-C</w:t>
            </w:r>
          </w:p>
        </w:tc>
        <w:tc>
          <w:tcPr>
            <w:tcW w:w="1075" w:type="dxa"/>
            <w:tcBorders>
              <w:top w:val="nil"/>
              <w:left w:val="nil"/>
              <w:bottom w:val="single" w:sz="4" w:space="0" w:color="auto"/>
              <w:right w:val="single" w:sz="4" w:space="0" w:color="auto"/>
            </w:tcBorders>
            <w:shd w:val="clear" w:color="auto" w:fill="auto"/>
          </w:tcPr>
          <w:p w:rsidR="00FE7F13" w:rsidRDefault="00FE7F13" w:rsidP="002A1B9F">
            <w:pPr>
              <w:jc w:val="center"/>
            </w:pPr>
            <w:r w:rsidRPr="00FC5190">
              <w:rPr>
                <w:rFonts w:ascii="Calibri" w:hAnsi="Calibri"/>
                <w:sz w:val="16"/>
                <w:szCs w:val="16"/>
              </w:rPr>
              <w:t> </w:t>
            </w:r>
          </w:p>
        </w:tc>
        <w:tc>
          <w:tcPr>
            <w:tcW w:w="944" w:type="dxa"/>
            <w:tcBorders>
              <w:top w:val="nil"/>
              <w:left w:val="nil"/>
              <w:bottom w:val="single" w:sz="4" w:space="0" w:color="auto"/>
              <w:right w:val="single" w:sz="4"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r>
      <w:tr w:rsidR="00FE7F13"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3</w:t>
            </w:r>
            <w:r w:rsidR="00226A20">
              <w:rPr>
                <w:rFonts w:ascii="Calibri" w:hAnsi="Calibri"/>
                <w:sz w:val="16"/>
                <w:szCs w:val="16"/>
              </w:rPr>
              <w:t>8</w:t>
            </w:r>
          </w:p>
        </w:tc>
        <w:tc>
          <w:tcPr>
            <w:tcW w:w="1260"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CLC, IEC</w:t>
            </w:r>
          </w:p>
        </w:tc>
        <w:tc>
          <w:tcPr>
            <w:tcW w:w="2534" w:type="dxa"/>
            <w:tcBorders>
              <w:top w:val="nil"/>
              <w:left w:val="nil"/>
              <w:bottom w:val="single" w:sz="4"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Tcast Communications, Inc.</w:t>
            </w:r>
          </w:p>
        </w:tc>
        <w:tc>
          <w:tcPr>
            <w:tcW w:w="906"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U-5633-C</w:t>
            </w:r>
          </w:p>
        </w:tc>
        <w:tc>
          <w:tcPr>
            <w:tcW w:w="1075" w:type="dxa"/>
            <w:tcBorders>
              <w:top w:val="nil"/>
              <w:left w:val="nil"/>
              <w:bottom w:val="single" w:sz="4" w:space="0" w:color="auto"/>
              <w:right w:val="single" w:sz="4" w:space="0" w:color="auto"/>
            </w:tcBorders>
            <w:shd w:val="clear" w:color="auto" w:fill="auto"/>
            <w:vAlign w:val="center"/>
          </w:tcPr>
          <w:p w:rsidR="00FE7F13" w:rsidRDefault="00FE7F13" w:rsidP="002A1B9F">
            <w:pPr>
              <w:jc w:val="center"/>
            </w:pPr>
            <w:r w:rsidRPr="003955A5">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r>
      <w:tr w:rsidR="00FE7F13"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FE7F13" w:rsidRPr="00FC5190" w:rsidRDefault="00226A20" w:rsidP="002A1B9F">
            <w:pPr>
              <w:overflowPunct/>
              <w:autoSpaceDE/>
              <w:autoSpaceDN/>
              <w:adjustRightInd/>
              <w:jc w:val="center"/>
              <w:textAlignment w:val="auto"/>
              <w:rPr>
                <w:rFonts w:ascii="Calibri" w:hAnsi="Calibri"/>
                <w:sz w:val="16"/>
                <w:szCs w:val="16"/>
              </w:rPr>
            </w:pPr>
            <w:r>
              <w:rPr>
                <w:rFonts w:ascii="Calibri" w:hAnsi="Calibri"/>
                <w:sz w:val="16"/>
                <w:szCs w:val="16"/>
              </w:rPr>
              <w:t>39</w:t>
            </w:r>
          </w:p>
        </w:tc>
        <w:tc>
          <w:tcPr>
            <w:tcW w:w="1260"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CLC, CLR, IEC</w:t>
            </w:r>
          </w:p>
        </w:tc>
        <w:tc>
          <w:tcPr>
            <w:tcW w:w="2534" w:type="dxa"/>
            <w:tcBorders>
              <w:top w:val="nil"/>
              <w:left w:val="nil"/>
              <w:bottom w:val="single" w:sz="4"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Telcentris Communications, LLC</w:t>
            </w:r>
          </w:p>
        </w:tc>
        <w:tc>
          <w:tcPr>
            <w:tcW w:w="906"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U-7097-C</w:t>
            </w:r>
          </w:p>
        </w:tc>
        <w:tc>
          <w:tcPr>
            <w:tcW w:w="1075" w:type="dxa"/>
            <w:tcBorders>
              <w:top w:val="nil"/>
              <w:left w:val="nil"/>
              <w:bottom w:val="single" w:sz="4" w:space="0" w:color="auto"/>
              <w:right w:val="single" w:sz="4" w:space="0" w:color="auto"/>
            </w:tcBorders>
            <w:shd w:val="clear" w:color="auto" w:fill="auto"/>
            <w:vAlign w:val="center"/>
          </w:tcPr>
          <w:p w:rsidR="00FE7F13" w:rsidRDefault="00FE7F13" w:rsidP="002A1B9F">
            <w:pPr>
              <w:jc w:val="center"/>
            </w:pPr>
            <w:r w:rsidRPr="003955A5">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r>
      <w:tr w:rsidR="00FE7F13"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FE7F13" w:rsidRPr="00FC5190" w:rsidRDefault="00226A20" w:rsidP="002A1B9F">
            <w:pPr>
              <w:overflowPunct/>
              <w:autoSpaceDE/>
              <w:autoSpaceDN/>
              <w:adjustRightInd/>
              <w:jc w:val="center"/>
              <w:textAlignment w:val="auto"/>
              <w:rPr>
                <w:rFonts w:ascii="Calibri" w:hAnsi="Calibri"/>
                <w:sz w:val="16"/>
                <w:szCs w:val="16"/>
              </w:rPr>
            </w:pPr>
            <w:r>
              <w:rPr>
                <w:rFonts w:ascii="Calibri" w:hAnsi="Calibri"/>
                <w:sz w:val="16"/>
                <w:szCs w:val="16"/>
              </w:rPr>
              <w:t>40</w:t>
            </w:r>
          </w:p>
        </w:tc>
        <w:tc>
          <w:tcPr>
            <w:tcW w:w="1260"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IEC</w:t>
            </w:r>
          </w:p>
        </w:tc>
        <w:tc>
          <w:tcPr>
            <w:tcW w:w="2534" w:type="dxa"/>
            <w:tcBorders>
              <w:top w:val="nil"/>
              <w:left w:val="nil"/>
              <w:bottom w:val="single" w:sz="4"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Telecircuit Network Corporation</w:t>
            </w:r>
          </w:p>
        </w:tc>
        <w:tc>
          <w:tcPr>
            <w:tcW w:w="906"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U-7244-C</w:t>
            </w:r>
          </w:p>
        </w:tc>
        <w:tc>
          <w:tcPr>
            <w:tcW w:w="1075" w:type="dxa"/>
            <w:tcBorders>
              <w:top w:val="nil"/>
              <w:left w:val="nil"/>
              <w:bottom w:val="single" w:sz="4" w:space="0" w:color="auto"/>
              <w:right w:val="single" w:sz="4" w:space="0" w:color="auto"/>
            </w:tcBorders>
            <w:shd w:val="clear" w:color="auto" w:fill="auto"/>
            <w:vAlign w:val="center"/>
          </w:tcPr>
          <w:p w:rsidR="00FE7F13" w:rsidRDefault="00FE7F13" w:rsidP="002A1B9F">
            <w:pPr>
              <w:jc w:val="center"/>
            </w:pPr>
            <w:r w:rsidRPr="003955A5">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r>
      <w:tr w:rsidR="00FE7F13"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4</w:t>
            </w:r>
            <w:r w:rsidR="00226A20">
              <w:rPr>
                <w:rFonts w:ascii="Calibri" w:hAnsi="Calibri"/>
                <w:sz w:val="16"/>
                <w:szCs w:val="16"/>
              </w:rPr>
              <w:t>1</w:t>
            </w:r>
          </w:p>
        </w:tc>
        <w:tc>
          <w:tcPr>
            <w:tcW w:w="1260"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CLC, CLR, IEC</w:t>
            </w:r>
          </w:p>
        </w:tc>
        <w:tc>
          <w:tcPr>
            <w:tcW w:w="2534" w:type="dxa"/>
            <w:tcBorders>
              <w:top w:val="nil"/>
              <w:left w:val="nil"/>
              <w:bottom w:val="single" w:sz="4"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TGEC Communications Co., LLC</w:t>
            </w:r>
          </w:p>
        </w:tc>
        <w:tc>
          <w:tcPr>
            <w:tcW w:w="906"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U-5809-C</w:t>
            </w:r>
          </w:p>
        </w:tc>
        <w:tc>
          <w:tcPr>
            <w:tcW w:w="1075" w:type="dxa"/>
            <w:tcBorders>
              <w:top w:val="nil"/>
              <w:left w:val="nil"/>
              <w:bottom w:val="single" w:sz="4" w:space="0" w:color="auto"/>
              <w:right w:val="single" w:sz="4" w:space="0" w:color="auto"/>
            </w:tcBorders>
            <w:shd w:val="clear" w:color="auto" w:fill="auto"/>
            <w:vAlign w:val="center"/>
          </w:tcPr>
          <w:p w:rsidR="00FE7F13" w:rsidRDefault="00FE7F13" w:rsidP="002A1B9F">
            <w:pPr>
              <w:jc w:val="center"/>
            </w:pPr>
            <w:r w:rsidRPr="003955A5">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r>
      <w:tr w:rsidR="00FE7F13" w:rsidRPr="00FC5190" w:rsidTr="002A1B9F">
        <w:trPr>
          <w:trHeight w:val="300"/>
        </w:trPr>
        <w:tc>
          <w:tcPr>
            <w:tcW w:w="541" w:type="dxa"/>
            <w:tcBorders>
              <w:top w:val="nil"/>
              <w:left w:val="single" w:sz="8" w:space="0" w:color="auto"/>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4</w:t>
            </w:r>
            <w:r w:rsidR="00226A20">
              <w:rPr>
                <w:rFonts w:ascii="Calibri" w:hAnsi="Calibri"/>
                <w:sz w:val="16"/>
                <w:szCs w:val="16"/>
              </w:rPr>
              <w:t>2</w:t>
            </w:r>
          </w:p>
        </w:tc>
        <w:tc>
          <w:tcPr>
            <w:tcW w:w="1260"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CLC, CLR, IER</w:t>
            </w:r>
          </w:p>
        </w:tc>
        <w:tc>
          <w:tcPr>
            <w:tcW w:w="2534" w:type="dxa"/>
            <w:tcBorders>
              <w:top w:val="nil"/>
              <w:left w:val="nil"/>
              <w:bottom w:val="single" w:sz="4"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Think 12 Corporation</w:t>
            </w:r>
          </w:p>
        </w:tc>
        <w:tc>
          <w:tcPr>
            <w:tcW w:w="906" w:type="dxa"/>
            <w:tcBorders>
              <w:top w:val="nil"/>
              <w:left w:val="nil"/>
              <w:bottom w:val="single" w:sz="4"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U-6784-C</w:t>
            </w:r>
          </w:p>
        </w:tc>
        <w:tc>
          <w:tcPr>
            <w:tcW w:w="1075" w:type="dxa"/>
            <w:tcBorders>
              <w:top w:val="nil"/>
              <w:left w:val="nil"/>
              <w:bottom w:val="single" w:sz="4" w:space="0" w:color="auto"/>
              <w:right w:val="single" w:sz="4" w:space="0" w:color="auto"/>
            </w:tcBorders>
            <w:shd w:val="clear" w:color="auto" w:fill="auto"/>
            <w:vAlign w:val="center"/>
          </w:tcPr>
          <w:p w:rsidR="00FE7F13" w:rsidRPr="00FC5190" w:rsidRDefault="00FE7F13" w:rsidP="002A1B9F">
            <w:pPr>
              <w:overflowPunct/>
              <w:autoSpaceDE/>
              <w:autoSpaceDN/>
              <w:adjustRightInd/>
              <w:jc w:val="center"/>
              <w:textAlignment w:val="auto"/>
              <w:rPr>
                <w:rFonts w:ascii="Calibri" w:hAnsi="Calibri"/>
                <w:sz w:val="16"/>
                <w:szCs w:val="16"/>
              </w:rPr>
            </w:pPr>
            <w:r w:rsidRPr="003955A5">
              <w:rPr>
                <w:rFonts w:ascii="Calibri" w:hAnsi="Calibri"/>
                <w:b/>
                <w:sz w:val="16"/>
                <w:szCs w:val="16"/>
              </w:rPr>
              <w:t>X</w:t>
            </w:r>
          </w:p>
        </w:tc>
        <w:tc>
          <w:tcPr>
            <w:tcW w:w="944" w:type="dxa"/>
            <w:tcBorders>
              <w:top w:val="nil"/>
              <w:left w:val="nil"/>
              <w:bottom w:val="single" w:sz="4" w:space="0" w:color="auto"/>
              <w:right w:val="single" w:sz="4"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r>
      <w:tr w:rsidR="00FE7F13" w:rsidRPr="00FC5190" w:rsidTr="002A1B9F">
        <w:trPr>
          <w:trHeight w:val="315"/>
        </w:trPr>
        <w:tc>
          <w:tcPr>
            <w:tcW w:w="541" w:type="dxa"/>
            <w:tcBorders>
              <w:top w:val="nil"/>
              <w:left w:val="single" w:sz="8" w:space="0" w:color="auto"/>
              <w:bottom w:val="single" w:sz="8"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4</w:t>
            </w:r>
            <w:r w:rsidR="00226A20">
              <w:rPr>
                <w:rFonts w:ascii="Calibri" w:hAnsi="Calibri"/>
                <w:sz w:val="16"/>
                <w:szCs w:val="16"/>
              </w:rPr>
              <w:t>3</w:t>
            </w:r>
          </w:p>
        </w:tc>
        <w:tc>
          <w:tcPr>
            <w:tcW w:w="1260" w:type="dxa"/>
            <w:tcBorders>
              <w:top w:val="nil"/>
              <w:left w:val="nil"/>
              <w:bottom w:val="single" w:sz="8" w:space="0" w:color="auto"/>
              <w:right w:val="single" w:sz="4" w:space="0" w:color="auto"/>
            </w:tcBorders>
            <w:shd w:val="clear" w:color="auto" w:fill="auto"/>
            <w:noWrap/>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CLC, CLR, IER</w:t>
            </w:r>
          </w:p>
        </w:tc>
        <w:tc>
          <w:tcPr>
            <w:tcW w:w="2534" w:type="dxa"/>
            <w:tcBorders>
              <w:top w:val="nil"/>
              <w:left w:val="nil"/>
              <w:bottom w:val="single" w:sz="8"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United States Telesis, Inc.</w:t>
            </w:r>
          </w:p>
        </w:tc>
        <w:tc>
          <w:tcPr>
            <w:tcW w:w="906" w:type="dxa"/>
            <w:tcBorders>
              <w:top w:val="nil"/>
              <w:left w:val="nil"/>
              <w:bottom w:val="single" w:sz="8"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U-6455-C</w:t>
            </w:r>
          </w:p>
        </w:tc>
        <w:tc>
          <w:tcPr>
            <w:tcW w:w="1075" w:type="dxa"/>
            <w:tcBorders>
              <w:top w:val="nil"/>
              <w:left w:val="nil"/>
              <w:bottom w:val="single" w:sz="8"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8" w:space="0" w:color="auto"/>
              <w:right w:val="single" w:sz="4"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FE7F13" w:rsidRDefault="00FE7F13" w:rsidP="002A1B9F">
            <w:pPr>
              <w:jc w:val="center"/>
            </w:pPr>
            <w:r w:rsidRPr="003955A5">
              <w:rPr>
                <w:rFonts w:ascii="Calibri" w:hAnsi="Calibri"/>
                <w:b/>
                <w:sz w:val="16"/>
                <w:szCs w:val="16"/>
              </w:rPr>
              <w:t>X</w:t>
            </w:r>
          </w:p>
        </w:tc>
      </w:tr>
      <w:tr w:rsidR="00FE7F13" w:rsidRPr="00FC5190" w:rsidTr="002A1B9F">
        <w:trPr>
          <w:trHeight w:val="315"/>
        </w:trPr>
        <w:tc>
          <w:tcPr>
            <w:tcW w:w="541" w:type="dxa"/>
            <w:tcBorders>
              <w:top w:val="nil"/>
              <w:left w:val="single" w:sz="8" w:space="0" w:color="auto"/>
              <w:bottom w:val="single" w:sz="8"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Pr>
                <w:rFonts w:ascii="Calibri" w:hAnsi="Calibri"/>
                <w:sz w:val="16"/>
                <w:szCs w:val="16"/>
              </w:rPr>
              <w:t>4</w:t>
            </w:r>
            <w:r w:rsidR="00226A20">
              <w:rPr>
                <w:rFonts w:ascii="Calibri" w:hAnsi="Calibri"/>
                <w:sz w:val="16"/>
                <w:szCs w:val="16"/>
              </w:rPr>
              <w:t>4</w:t>
            </w:r>
          </w:p>
        </w:tc>
        <w:tc>
          <w:tcPr>
            <w:tcW w:w="1260" w:type="dxa"/>
            <w:tcBorders>
              <w:top w:val="nil"/>
              <w:left w:val="nil"/>
              <w:bottom w:val="single" w:sz="8" w:space="0" w:color="auto"/>
              <w:right w:val="single" w:sz="4" w:space="0" w:color="auto"/>
            </w:tcBorders>
            <w:shd w:val="clear" w:color="auto" w:fill="auto"/>
            <w:noWrap/>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RTU</w:t>
            </w:r>
          </w:p>
        </w:tc>
        <w:tc>
          <w:tcPr>
            <w:tcW w:w="2534" w:type="dxa"/>
            <w:tcBorders>
              <w:top w:val="nil"/>
              <w:left w:val="nil"/>
              <w:bottom w:val="single" w:sz="8"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Velocita Wireless</w:t>
            </w:r>
          </w:p>
        </w:tc>
        <w:tc>
          <w:tcPr>
            <w:tcW w:w="906" w:type="dxa"/>
            <w:tcBorders>
              <w:top w:val="nil"/>
              <w:left w:val="nil"/>
              <w:bottom w:val="single" w:sz="8" w:space="0" w:color="auto"/>
              <w:right w:val="single" w:sz="4" w:space="0" w:color="auto"/>
            </w:tcBorders>
            <w:shd w:val="clear" w:color="auto" w:fill="auto"/>
            <w:noWrap/>
          </w:tcPr>
          <w:p w:rsidR="00FE7F13" w:rsidRPr="00FC5190" w:rsidRDefault="00FE7F13" w:rsidP="002A1B9F">
            <w:pPr>
              <w:overflowPunct/>
              <w:autoSpaceDE/>
              <w:autoSpaceDN/>
              <w:adjustRightInd/>
              <w:jc w:val="center"/>
              <w:textAlignment w:val="auto"/>
              <w:rPr>
                <w:rFonts w:ascii="Calibri" w:hAnsi="Calibri"/>
                <w:sz w:val="16"/>
                <w:szCs w:val="16"/>
              </w:rPr>
            </w:pPr>
            <w:r w:rsidRPr="00FC5190">
              <w:rPr>
                <w:rFonts w:ascii="Calibri" w:hAnsi="Calibri"/>
                <w:sz w:val="16"/>
                <w:szCs w:val="16"/>
              </w:rPr>
              <w:t>U-2159-C</w:t>
            </w:r>
          </w:p>
        </w:tc>
        <w:tc>
          <w:tcPr>
            <w:tcW w:w="1075" w:type="dxa"/>
            <w:tcBorders>
              <w:top w:val="nil"/>
              <w:left w:val="nil"/>
              <w:bottom w:val="single" w:sz="8" w:space="0" w:color="auto"/>
              <w:right w:val="single" w:sz="4" w:space="0" w:color="auto"/>
            </w:tcBorders>
            <w:shd w:val="clear" w:color="auto" w:fill="auto"/>
          </w:tcPr>
          <w:p w:rsidR="00FE7F13" w:rsidRPr="00FC5190" w:rsidRDefault="00FE7F13" w:rsidP="002A1B9F">
            <w:pPr>
              <w:overflowPunct/>
              <w:autoSpaceDE/>
              <w:autoSpaceDN/>
              <w:adjustRightInd/>
              <w:textAlignment w:val="auto"/>
              <w:rPr>
                <w:rFonts w:ascii="Calibri" w:hAnsi="Calibri"/>
                <w:sz w:val="16"/>
                <w:szCs w:val="16"/>
              </w:rPr>
            </w:pPr>
            <w:r w:rsidRPr="00FC5190">
              <w:rPr>
                <w:rFonts w:ascii="Calibri" w:hAnsi="Calibri"/>
                <w:sz w:val="16"/>
                <w:szCs w:val="16"/>
              </w:rPr>
              <w:t> </w:t>
            </w:r>
          </w:p>
        </w:tc>
        <w:tc>
          <w:tcPr>
            <w:tcW w:w="944" w:type="dxa"/>
            <w:tcBorders>
              <w:top w:val="nil"/>
              <w:left w:val="nil"/>
              <w:bottom w:val="single" w:sz="8" w:space="0" w:color="auto"/>
              <w:right w:val="single" w:sz="4" w:space="0" w:color="auto"/>
            </w:tcBorders>
            <w:shd w:val="clear" w:color="auto" w:fill="auto"/>
            <w:noWrap/>
            <w:vAlign w:val="center"/>
          </w:tcPr>
          <w:p w:rsidR="00FE7F13" w:rsidRPr="003955A5" w:rsidRDefault="00FE7F13" w:rsidP="002A1B9F">
            <w:pPr>
              <w:jc w:val="center"/>
              <w:rPr>
                <w:rFonts w:ascii="Calibri" w:hAnsi="Calibri"/>
                <w:b/>
                <w:sz w:val="16"/>
                <w:szCs w:val="16"/>
              </w:rPr>
            </w:pPr>
            <w:r w:rsidRPr="003955A5">
              <w:rPr>
                <w:rFonts w:ascii="Calibri" w:hAnsi="Calibri"/>
                <w:b/>
                <w:sz w:val="16"/>
                <w:szCs w:val="16"/>
              </w:rPr>
              <w:t>X</w:t>
            </w:r>
          </w:p>
        </w:tc>
        <w:tc>
          <w:tcPr>
            <w:tcW w:w="760" w:type="dxa"/>
            <w:tcBorders>
              <w:top w:val="nil"/>
              <w:left w:val="nil"/>
              <w:bottom w:val="single" w:sz="4" w:space="0" w:color="auto"/>
              <w:right w:val="single" w:sz="8" w:space="0" w:color="auto"/>
            </w:tcBorders>
            <w:shd w:val="clear" w:color="auto" w:fill="auto"/>
            <w:noWrap/>
            <w:vAlign w:val="center"/>
          </w:tcPr>
          <w:p w:rsidR="00FE7F13" w:rsidRPr="003955A5" w:rsidRDefault="00FE7F13" w:rsidP="002A1B9F">
            <w:pPr>
              <w:jc w:val="center"/>
              <w:rPr>
                <w:rFonts w:ascii="Calibri" w:hAnsi="Calibri"/>
                <w:b/>
                <w:sz w:val="16"/>
                <w:szCs w:val="16"/>
              </w:rPr>
            </w:pPr>
            <w:r w:rsidRPr="003955A5">
              <w:rPr>
                <w:rFonts w:ascii="Calibri" w:hAnsi="Calibri"/>
                <w:b/>
                <w:sz w:val="16"/>
                <w:szCs w:val="16"/>
              </w:rPr>
              <w:t>X</w:t>
            </w:r>
          </w:p>
        </w:tc>
      </w:tr>
    </w:tbl>
    <w:p w:rsidR="00FC5190" w:rsidRDefault="00395E1E">
      <w:pPr>
        <w:jc w:val="center"/>
        <w:rPr>
          <w:b/>
          <w:sz w:val="28"/>
          <w:szCs w:val="28"/>
          <w:u w:val="single"/>
        </w:rPr>
      </w:pPr>
      <w:r>
        <w:rPr>
          <w:b/>
          <w:sz w:val="28"/>
          <w:szCs w:val="28"/>
          <w:u w:val="single"/>
        </w:rPr>
        <w:br w:type="textWrapping" w:clear="all"/>
      </w:r>
    </w:p>
    <w:p w:rsidR="00B442DF" w:rsidRDefault="00B442DF" w:rsidP="00B442DF">
      <w:pPr>
        <w:jc w:val="center"/>
        <w:rPr>
          <w:b/>
          <w:sz w:val="28"/>
          <w:szCs w:val="28"/>
          <w:u w:val="single"/>
        </w:rPr>
      </w:pPr>
      <w:r>
        <w:rPr>
          <w:b/>
          <w:sz w:val="28"/>
          <w:szCs w:val="28"/>
          <w:u w:val="single"/>
        </w:rPr>
        <w:t>End of Appendix B</w:t>
      </w:r>
    </w:p>
    <w:p w:rsidR="00B442DF" w:rsidRDefault="00B442DF" w:rsidP="00B442DF">
      <w:pPr>
        <w:jc w:val="center"/>
        <w:rPr>
          <w:b/>
          <w:sz w:val="28"/>
          <w:szCs w:val="28"/>
          <w:u w:val="single"/>
        </w:rPr>
      </w:pPr>
    </w:p>
    <w:p w:rsidR="00FC5190" w:rsidRDefault="00FC5190">
      <w:pPr>
        <w:jc w:val="center"/>
        <w:rPr>
          <w:b/>
          <w:sz w:val="28"/>
          <w:szCs w:val="28"/>
          <w:u w:val="single"/>
        </w:rPr>
      </w:pPr>
    </w:p>
    <w:sectPr w:rsidR="00FC5190" w:rsidSect="0004215A">
      <w:headerReference w:type="default" r:id="rId17"/>
      <w:footerReference w:type="default" r:id="rId18"/>
      <w:headerReference w:type="first" r:id="rId19"/>
      <w:footerReference w:type="first" r:id="rId20"/>
      <w:pgSz w:w="12240" w:h="15840" w:code="1"/>
      <w:pgMar w:top="1354" w:right="1440" w:bottom="994" w:left="1440" w:header="634"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DD" w:rsidRDefault="00D617DD">
      <w:r>
        <w:separator/>
      </w:r>
    </w:p>
  </w:endnote>
  <w:endnote w:type="continuationSeparator" w:id="0">
    <w:p w:rsidR="00D617DD" w:rsidRDefault="00D6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45" w:rsidRDefault="00F53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3845" w:rsidRDefault="00F53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45" w:rsidRDefault="00F53845">
    <w:pPr>
      <w:pStyle w:val="HTMLPreformatted"/>
      <w:jc w:val="center"/>
      <w:rPr>
        <w:rStyle w:val="PageNumber"/>
        <w:rFonts w:ascii="Palatino" w:hAnsi="Palatino" w:cs="Courier New"/>
        <w:sz w:val="24"/>
      </w:rPr>
    </w:pPr>
    <w:r>
      <w:rPr>
        <w:rStyle w:val="PageNumber"/>
        <w:rFonts w:ascii="Palatino" w:hAnsi="Palatino" w:cs="Courier New"/>
        <w:sz w:val="24"/>
      </w:rPr>
      <w:fldChar w:fldCharType="begin"/>
    </w:r>
    <w:r>
      <w:rPr>
        <w:rStyle w:val="PageNumber"/>
        <w:rFonts w:ascii="Palatino" w:hAnsi="Palatino" w:cs="Courier New"/>
        <w:sz w:val="24"/>
      </w:rPr>
      <w:instrText xml:space="preserve">PAGE  </w:instrText>
    </w:r>
    <w:r>
      <w:rPr>
        <w:rStyle w:val="PageNumber"/>
        <w:rFonts w:ascii="Palatino" w:hAnsi="Palatino" w:cs="Courier New"/>
        <w:sz w:val="24"/>
      </w:rPr>
      <w:fldChar w:fldCharType="separate"/>
    </w:r>
    <w:r w:rsidR="0000633E">
      <w:rPr>
        <w:rStyle w:val="PageNumber"/>
        <w:rFonts w:ascii="Palatino" w:hAnsi="Palatino" w:cs="Courier New"/>
        <w:noProof/>
        <w:sz w:val="24"/>
      </w:rPr>
      <w:t>2</w:t>
    </w:r>
    <w:r>
      <w:rPr>
        <w:rStyle w:val="PageNumber"/>
        <w:rFonts w:ascii="Palatino" w:hAnsi="Palatino" w:cs="Courier New"/>
        <w:sz w:val="24"/>
      </w:rPr>
      <w:fldChar w:fldCharType="end"/>
    </w:r>
  </w:p>
  <w:p w:rsidR="00F53845" w:rsidRDefault="00F53845">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45" w:rsidRDefault="00F53845">
    <w:pPr>
      <w:pStyle w:val="Footer"/>
      <w:jc w:val="center"/>
    </w:pPr>
  </w:p>
  <w:p w:rsidR="00F53845" w:rsidRPr="00374453" w:rsidRDefault="00F53845">
    <w:pPr>
      <w:pStyle w:val="Footer"/>
      <w:rPr>
        <w:sz w:val="20"/>
      </w:rPr>
    </w:pPr>
    <w:r w:rsidRPr="00374453">
      <w:rPr>
        <w:rFonts w:ascii="Tahoma" w:hAnsi="Tahoma" w:cs="Tahoma"/>
        <w:sz w:val="20"/>
      </w:rPr>
      <w:t>154122210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EB" w:rsidRDefault="008C76E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B8" w:rsidRDefault="000157B8">
    <w:pPr>
      <w:pStyle w:val="Foote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B8" w:rsidRDefault="000157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DD" w:rsidRDefault="00D617DD">
      <w:r>
        <w:separator/>
      </w:r>
    </w:p>
  </w:footnote>
  <w:footnote w:type="continuationSeparator" w:id="0">
    <w:p w:rsidR="00D617DD" w:rsidRDefault="00D617DD">
      <w:r>
        <w:continuationSeparator/>
      </w:r>
    </w:p>
  </w:footnote>
  <w:footnote w:id="1">
    <w:p w:rsidR="00F53845" w:rsidRPr="00B90329" w:rsidRDefault="00F53845" w:rsidP="0000435C">
      <w:pPr>
        <w:pStyle w:val="FootnoteText"/>
        <w:rPr>
          <w:b/>
          <w:sz w:val="20"/>
        </w:rPr>
      </w:pPr>
      <w:r w:rsidRPr="00612AB0">
        <w:rPr>
          <w:rStyle w:val="FootnoteReference"/>
          <w:sz w:val="20"/>
        </w:rPr>
        <w:footnoteRef/>
      </w:r>
      <w:r w:rsidRPr="00612AB0">
        <w:rPr>
          <w:sz w:val="20"/>
        </w:rPr>
        <w:t xml:space="preserve"> D. 13-05-035, OP 21; Prior to D.13-05-035, all carriers were required to file a</w:t>
      </w:r>
      <w:r>
        <w:rPr>
          <w:sz w:val="20"/>
        </w:rPr>
        <w:t>n annual</w:t>
      </w:r>
      <w:r w:rsidRPr="00612AB0">
        <w:rPr>
          <w:sz w:val="20"/>
        </w:rPr>
        <w:t xml:space="preserve"> User Fee </w:t>
      </w:r>
      <w:r>
        <w:rPr>
          <w:sz w:val="20"/>
        </w:rPr>
        <w:t xml:space="preserve">of 0.18% of intrastate revenue or $100, whichever is greater, but were not required to pay the minimum $100 if the carrier had no intrastate revenue to </w:t>
      </w:r>
      <w:r w:rsidRPr="000A15E9">
        <w:rPr>
          <w:sz w:val="20"/>
        </w:rPr>
        <w:t>report</w:t>
      </w:r>
      <w:r w:rsidRPr="00B54F1C">
        <w:rPr>
          <w:sz w:val="20"/>
        </w:rPr>
        <w:t>.</w:t>
      </w:r>
      <w:r w:rsidRPr="00B90329">
        <w:rPr>
          <w:b/>
          <w:sz w:val="20"/>
        </w:rPr>
        <w:t xml:space="preserve"> </w:t>
      </w:r>
    </w:p>
  </w:footnote>
  <w:footnote w:id="2">
    <w:p w:rsidR="00F53845" w:rsidRPr="00612AB0" w:rsidRDefault="00F53845" w:rsidP="00612AB0">
      <w:pPr>
        <w:pStyle w:val="FootnoteText"/>
        <w:rPr>
          <w:sz w:val="20"/>
        </w:rPr>
      </w:pPr>
      <w:r w:rsidRPr="00612AB0">
        <w:rPr>
          <w:rStyle w:val="FootnoteReference"/>
          <w:sz w:val="20"/>
        </w:rPr>
        <w:footnoteRef/>
      </w:r>
      <w:r w:rsidRPr="00612AB0">
        <w:rPr>
          <w:sz w:val="20"/>
        </w:rPr>
        <w:t xml:space="preserve"> PU Code § 401 </w:t>
      </w:r>
      <w:r w:rsidRPr="00612AB0">
        <w:rPr>
          <w:i/>
          <w:sz w:val="20"/>
        </w:rPr>
        <w:t>et seq.</w:t>
      </w:r>
      <w:r>
        <w:rPr>
          <w:i/>
          <w:sz w:val="20"/>
        </w:rPr>
        <w:t xml:space="preserve">  </w:t>
      </w:r>
    </w:p>
  </w:footnote>
  <w:footnote w:id="3">
    <w:p w:rsidR="00F53845" w:rsidRPr="00612AB0" w:rsidRDefault="00F53845" w:rsidP="00612AB0">
      <w:pPr>
        <w:pStyle w:val="FootnoteText"/>
        <w:rPr>
          <w:sz w:val="20"/>
        </w:rPr>
      </w:pPr>
      <w:r w:rsidRPr="00612AB0">
        <w:rPr>
          <w:rStyle w:val="FootnoteReference"/>
          <w:sz w:val="20"/>
        </w:rPr>
        <w:footnoteRef/>
      </w:r>
      <w:r w:rsidRPr="00612AB0">
        <w:rPr>
          <w:sz w:val="20"/>
        </w:rPr>
        <w:t xml:space="preserve"> PU Code §§ 270, 275, 275.6, 276, 277, 278, 280, 281, 739.39(c), 879(b) and (c).</w:t>
      </w:r>
    </w:p>
  </w:footnote>
  <w:footnote w:id="4">
    <w:p w:rsidR="00F53845" w:rsidRPr="00612AB0" w:rsidRDefault="00F53845" w:rsidP="00355C0A">
      <w:pPr>
        <w:pStyle w:val="FootnoteText"/>
        <w:rPr>
          <w:sz w:val="20"/>
        </w:rPr>
      </w:pPr>
      <w:r w:rsidRPr="00612AB0">
        <w:rPr>
          <w:rStyle w:val="FootnoteReference"/>
          <w:sz w:val="20"/>
        </w:rPr>
        <w:footnoteRef/>
      </w:r>
      <w:r w:rsidRPr="00612AB0">
        <w:rPr>
          <w:sz w:val="20"/>
        </w:rPr>
        <w:t xml:space="preserve"> PU Code § 285.</w:t>
      </w:r>
    </w:p>
  </w:footnote>
  <w:footnote w:id="5">
    <w:p w:rsidR="00F53845" w:rsidRPr="00612AB0" w:rsidRDefault="00F53845" w:rsidP="00612AB0">
      <w:pPr>
        <w:pStyle w:val="FootnoteText"/>
        <w:rPr>
          <w:sz w:val="20"/>
        </w:rPr>
      </w:pPr>
      <w:r w:rsidRPr="00612AB0">
        <w:rPr>
          <w:rStyle w:val="FootnoteReference"/>
          <w:sz w:val="20"/>
        </w:rPr>
        <w:footnoteRef/>
      </w:r>
      <w:r w:rsidRPr="00612AB0">
        <w:rPr>
          <w:sz w:val="20"/>
        </w:rPr>
        <w:t xml:space="preserve"> D. 93-05-010.</w:t>
      </w:r>
    </w:p>
  </w:footnote>
  <w:footnote w:id="6">
    <w:p w:rsidR="00F53845" w:rsidRDefault="00F53845" w:rsidP="00355C0A">
      <w:pPr>
        <w:pStyle w:val="standard"/>
        <w:overflowPunct/>
        <w:autoSpaceDE/>
        <w:autoSpaceDN/>
        <w:adjustRightInd/>
        <w:spacing w:after="120" w:line="240" w:lineRule="auto"/>
        <w:ind w:right="1440" w:firstLine="0"/>
        <w:textAlignment w:val="auto"/>
        <w:rPr>
          <w:sz w:val="22"/>
        </w:rPr>
      </w:pPr>
      <w:r w:rsidRPr="00612AB0">
        <w:rPr>
          <w:rStyle w:val="FootnoteReference"/>
          <w:sz w:val="20"/>
        </w:rPr>
        <w:footnoteRef/>
      </w:r>
      <w:r w:rsidRPr="00612AB0">
        <w:rPr>
          <w:sz w:val="20"/>
        </w:rPr>
        <w:t xml:space="preserve"> A “registration license holder,” “registration licensee” or “registrant” is an entity that obtained or obtains interexchange authority pursuant to PU Code § 1013 through the simplified registration process established by D.97-06-107 that does not hold interexchange authority pursuant to PU Code § 1001</w:t>
      </w:r>
      <w:r>
        <w:rPr>
          <w:sz w:val="22"/>
        </w:rPr>
        <w:t>.</w:t>
      </w:r>
    </w:p>
    <w:p w:rsidR="00F53845" w:rsidRPr="00612AB0" w:rsidRDefault="00F53845" w:rsidP="00355C0A">
      <w:pPr>
        <w:pStyle w:val="FootnoteText"/>
        <w:rPr>
          <w:sz w:val="20"/>
        </w:rPr>
      </w:pPr>
    </w:p>
  </w:footnote>
  <w:footnote w:id="7">
    <w:p w:rsidR="00F53845" w:rsidRDefault="00F53845" w:rsidP="00355C0A">
      <w:pPr>
        <w:pStyle w:val="FootnoteText"/>
      </w:pPr>
      <w:r w:rsidRPr="00612AB0">
        <w:rPr>
          <w:rStyle w:val="FootnoteReference"/>
          <w:sz w:val="20"/>
        </w:rPr>
        <w:footnoteRef/>
      </w:r>
      <w:r w:rsidRPr="00612AB0">
        <w:rPr>
          <w:sz w:val="20"/>
        </w:rPr>
        <w:t xml:space="preserve"> D.13-03-035, OP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67" w:rsidRDefault="00E06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45" w:rsidRDefault="00F53845">
    <w:pPr>
      <w:pStyle w:val="Header"/>
      <w:tabs>
        <w:tab w:val="clear" w:pos="8640"/>
        <w:tab w:val="right" w:pos="9270"/>
      </w:tabs>
      <w:ind w:right="90"/>
    </w:pPr>
    <w:r>
      <w:t>Resolution T-17489</w:t>
    </w:r>
    <w:r>
      <w:tab/>
    </w:r>
    <w:r>
      <w:tab/>
    </w:r>
  </w:p>
  <w:p w:rsidR="00F53845" w:rsidRDefault="00F53845">
    <w:pPr>
      <w:pStyle w:val="Header"/>
      <w:tabs>
        <w:tab w:val="clear" w:pos="8640"/>
        <w:tab w:val="right" w:pos="9270"/>
      </w:tabs>
      <w:ind w:right="90"/>
    </w:pPr>
    <w:r>
      <w:t>CD/CAF</w:t>
    </w:r>
    <w:r>
      <w:tab/>
    </w:r>
    <w:r w:rsidR="00374453">
      <w:t>DRAFT</w:t>
    </w:r>
    <w:r w:rsidR="00374453">
      <w:tab/>
      <w:t>9/17/2015</w:t>
    </w:r>
    <w:r>
      <w:tab/>
    </w:r>
  </w:p>
  <w:p w:rsidR="00F53845" w:rsidRDefault="00F53845">
    <w:pPr>
      <w:pStyle w:val="Header"/>
      <w:tabs>
        <w:tab w:val="clear" w:pos="8640"/>
        <w:tab w:val="right" w:pos="9270"/>
      </w:tabs>
      <w:ind w:right="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45" w:rsidRDefault="00F53845">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70"/>
        <w:tab w:val="right" w:pos="9360"/>
      </w:tabs>
      <w:rPr>
        <w:rFonts w:ascii="Palatino" w:hAnsi="Palatino"/>
        <w:sz w:val="24"/>
      </w:rPr>
    </w:pPr>
    <w:r>
      <w:rPr>
        <w:rFonts w:ascii="Palatino" w:hAnsi="Palatino"/>
        <w:sz w:val="24"/>
      </w:rPr>
      <w:t>Resolution T-17489</w:t>
    </w:r>
    <w:r>
      <w:rPr>
        <w:rFonts w:ascii="Palatino" w:hAnsi="Palatino"/>
        <w:sz w:val="24"/>
      </w:rPr>
      <w:tab/>
      <w:t xml:space="preserve">                                                 Agenda ID #</w:t>
    </w:r>
    <w:r w:rsidR="00F63BCE">
      <w:rPr>
        <w:rFonts w:ascii="Palatino" w:hAnsi="Palatino"/>
        <w:sz w:val="24"/>
      </w:rPr>
      <w:t>14227</w:t>
    </w:r>
  </w:p>
  <w:p w:rsidR="00F53845" w:rsidRDefault="00F53845">
    <w:r>
      <w:t xml:space="preserve">CD/CAF                                                  DRAFT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EB" w:rsidRDefault="008C76EB">
    <w:pPr>
      <w:pStyle w:val="Header"/>
      <w:tabs>
        <w:tab w:val="clear" w:pos="8640"/>
        <w:tab w:val="right" w:pos="9270"/>
      </w:tabs>
      <w:ind w:right="90"/>
    </w:pPr>
    <w:r>
      <w:t>Resolution T-17489</w:t>
    </w:r>
    <w:r>
      <w:tab/>
    </w:r>
    <w:r>
      <w:tab/>
    </w:r>
  </w:p>
  <w:p w:rsidR="008C76EB" w:rsidRDefault="008C76EB">
    <w:pPr>
      <w:pStyle w:val="Header"/>
      <w:tabs>
        <w:tab w:val="clear" w:pos="8640"/>
        <w:tab w:val="right" w:pos="9270"/>
      </w:tabs>
      <w:ind w:right="90"/>
    </w:pPr>
    <w:r>
      <w:t>CD/CAF</w:t>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B8" w:rsidRDefault="000157B8">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70"/>
        <w:tab w:val="right" w:pos="9360"/>
      </w:tabs>
      <w:rPr>
        <w:rFonts w:ascii="Palatino" w:hAnsi="Palatino"/>
        <w:sz w:val="24"/>
      </w:rPr>
    </w:pPr>
    <w:r>
      <w:rPr>
        <w:rFonts w:ascii="Palatino" w:hAnsi="Palatino"/>
        <w:sz w:val="24"/>
      </w:rPr>
      <w:t>Resolution T-17489</w:t>
    </w:r>
    <w:r>
      <w:rPr>
        <w:rFonts w:ascii="Palatino" w:hAnsi="Palatino"/>
        <w:sz w:val="24"/>
      </w:rPr>
      <w:tab/>
      <w:t xml:space="preserve">                                                 </w:t>
    </w:r>
  </w:p>
  <w:p w:rsidR="000157B8" w:rsidRDefault="000157B8">
    <w:r>
      <w:t xml:space="preserve">CD/CAF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B8" w:rsidRDefault="000157B8">
    <w:pPr>
      <w:pStyle w:val="Header"/>
      <w:tabs>
        <w:tab w:val="clear" w:pos="8640"/>
        <w:tab w:val="right" w:pos="9270"/>
      </w:tabs>
      <w:ind w:right="90"/>
    </w:pPr>
    <w:r>
      <w:t>Resolution T-17489</w:t>
    </w:r>
    <w:r>
      <w:tab/>
    </w:r>
    <w:r>
      <w:tab/>
    </w:r>
  </w:p>
  <w:p w:rsidR="00271815" w:rsidRDefault="000157B8">
    <w:pPr>
      <w:pStyle w:val="Header"/>
      <w:tabs>
        <w:tab w:val="clear" w:pos="8640"/>
        <w:tab w:val="right" w:pos="9270"/>
      </w:tabs>
      <w:ind w:right="90"/>
    </w:pPr>
    <w:r>
      <w:t>CD/CAF</w:t>
    </w:r>
  </w:p>
  <w:p w:rsidR="000157B8" w:rsidRDefault="000157B8">
    <w:pPr>
      <w:pStyle w:val="Header"/>
      <w:tabs>
        <w:tab w:val="clear" w:pos="8640"/>
        <w:tab w:val="right" w:pos="9270"/>
      </w:tabs>
      <w:ind w:right="90"/>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B8" w:rsidRDefault="000157B8">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70"/>
        <w:tab w:val="right" w:pos="9360"/>
      </w:tabs>
      <w:rPr>
        <w:rFonts w:ascii="Palatino" w:hAnsi="Palatino"/>
        <w:sz w:val="24"/>
      </w:rPr>
    </w:pPr>
    <w:r>
      <w:rPr>
        <w:rFonts w:ascii="Palatino" w:hAnsi="Palatino"/>
        <w:sz w:val="24"/>
      </w:rPr>
      <w:t>Resolution T-17489</w:t>
    </w:r>
    <w:r>
      <w:rPr>
        <w:rFonts w:ascii="Palatino" w:hAnsi="Palatino"/>
        <w:sz w:val="24"/>
      </w:rPr>
      <w:tab/>
      <w:t xml:space="preserve">                                                 </w:t>
    </w:r>
  </w:p>
  <w:p w:rsidR="000157B8" w:rsidRDefault="000157B8">
    <w:r>
      <w:t xml:space="preserve">CD/CAF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D36"/>
    <w:multiLevelType w:val="hybridMultilevel"/>
    <w:tmpl w:val="A9D03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67A14"/>
    <w:multiLevelType w:val="hybridMultilevel"/>
    <w:tmpl w:val="E2D487B6"/>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F0EFD"/>
    <w:multiLevelType w:val="singleLevel"/>
    <w:tmpl w:val="6C60099E"/>
    <w:lvl w:ilvl="0">
      <w:start w:val="1"/>
      <w:numFmt w:val="decimal"/>
      <w:lvlText w:val="%1."/>
      <w:lvlJc w:val="left"/>
      <w:pPr>
        <w:tabs>
          <w:tab w:val="num" w:pos="420"/>
        </w:tabs>
        <w:ind w:left="420" w:hanging="360"/>
      </w:pPr>
      <w:rPr>
        <w:rFonts w:cs="Times New Roman" w:hint="default"/>
      </w:rPr>
    </w:lvl>
  </w:abstractNum>
  <w:abstractNum w:abstractNumId="3">
    <w:nsid w:val="07B612B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08DA3B8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C566A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1971297"/>
    <w:multiLevelType w:val="singleLevel"/>
    <w:tmpl w:val="AAF61DAA"/>
    <w:lvl w:ilvl="0">
      <w:start w:val="2"/>
      <w:numFmt w:val="decimal"/>
      <w:lvlText w:val="%1."/>
      <w:lvlJc w:val="left"/>
      <w:pPr>
        <w:tabs>
          <w:tab w:val="num" w:pos="420"/>
        </w:tabs>
        <w:ind w:left="420" w:hanging="360"/>
      </w:pPr>
      <w:rPr>
        <w:rFonts w:cs="Times New Roman" w:hint="default"/>
      </w:rPr>
    </w:lvl>
  </w:abstractNum>
  <w:abstractNum w:abstractNumId="7">
    <w:nsid w:val="164D3088"/>
    <w:multiLevelType w:val="singleLevel"/>
    <w:tmpl w:val="00063860"/>
    <w:lvl w:ilvl="0">
      <w:start w:val="5004"/>
      <w:numFmt w:val="decimal"/>
      <w:lvlText w:val="%1"/>
      <w:lvlJc w:val="left"/>
      <w:pPr>
        <w:tabs>
          <w:tab w:val="num" w:pos="600"/>
        </w:tabs>
        <w:ind w:left="600" w:hanging="600"/>
      </w:pPr>
      <w:rPr>
        <w:rFonts w:cs="Times New Roman" w:hint="default"/>
      </w:rPr>
    </w:lvl>
  </w:abstractNum>
  <w:abstractNum w:abstractNumId="8">
    <w:nsid w:val="19BE4752"/>
    <w:multiLevelType w:val="singleLevel"/>
    <w:tmpl w:val="A92EB5B6"/>
    <w:lvl w:ilvl="0">
      <w:start w:val="1"/>
      <w:numFmt w:val="decimal"/>
      <w:lvlText w:val="%1."/>
      <w:lvlJc w:val="left"/>
      <w:pPr>
        <w:tabs>
          <w:tab w:val="num" w:pos="420"/>
        </w:tabs>
        <w:ind w:left="420" w:hanging="360"/>
      </w:pPr>
      <w:rPr>
        <w:rFonts w:cs="Times New Roman" w:hint="default"/>
      </w:rPr>
    </w:lvl>
  </w:abstractNum>
  <w:abstractNum w:abstractNumId="9">
    <w:nsid w:val="1A0F7674"/>
    <w:multiLevelType w:val="hybridMultilevel"/>
    <w:tmpl w:val="31F00EE8"/>
    <w:lvl w:ilvl="0" w:tplc="3EB28B4E">
      <w:start w:val="1"/>
      <w:numFmt w:val="decimal"/>
      <w:lvlText w:val="%1."/>
      <w:lvlJc w:val="left"/>
      <w:pPr>
        <w:tabs>
          <w:tab w:val="num" w:pos="360"/>
        </w:tabs>
        <w:ind w:left="360" w:hanging="360"/>
      </w:pPr>
      <w:rPr>
        <w:rFonts w:cs="Times New Roman" w:hint="default"/>
      </w:rPr>
    </w:lvl>
    <w:lvl w:ilvl="1" w:tplc="AD5E97E4" w:tentative="1">
      <w:start w:val="1"/>
      <w:numFmt w:val="lowerLetter"/>
      <w:lvlText w:val="%2."/>
      <w:lvlJc w:val="left"/>
      <w:pPr>
        <w:tabs>
          <w:tab w:val="num" w:pos="1440"/>
        </w:tabs>
        <w:ind w:left="1440" w:hanging="360"/>
      </w:pPr>
      <w:rPr>
        <w:rFonts w:cs="Times New Roman"/>
      </w:rPr>
    </w:lvl>
    <w:lvl w:ilvl="2" w:tplc="8C181876" w:tentative="1">
      <w:start w:val="1"/>
      <w:numFmt w:val="lowerRoman"/>
      <w:lvlText w:val="%3."/>
      <w:lvlJc w:val="right"/>
      <w:pPr>
        <w:tabs>
          <w:tab w:val="num" w:pos="2160"/>
        </w:tabs>
        <w:ind w:left="2160" w:hanging="180"/>
      </w:pPr>
      <w:rPr>
        <w:rFonts w:cs="Times New Roman"/>
      </w:rPr>
    </w:lvl>
    <w:lvl w:ilvl="3" w:tplc="D3504556" w:tentative="1">
      <w:start w:val="1"/>
      <w:numFmt w:val="decimal"/>
      <w:lvlText w:val="%4."/>
      <w:lvlJc w:val="left"/>
      <w:pPr>
        <w:tabs>
          <w:tab w:val="num" w:pos="2880"/>
        </w:tabs>
        <w:ind w:left="2880" w:hanging="360"/>
      </w:pPr>
      <w:rPr>
        <w:rFonts w:cs="Times New Roman"/>
      </w:rPr>
    </w:lvl>
    <w:lvl w:ilvl="4" w:tplc="71927ECC" w:tentative="1">
      <w:start w:val="1"/>
      <w:numFmt w:val="lowerLetter"/>
      <w:lvlText w:val="%5."/>
      <w:lvlJc w:val="left"/>
      <w:pPr>
        <w:tabs>
          <w:tab w:val="num" w:pos="3600"/>
        </w:tabs>
        <w:ind w:left="3600" w:hanging="360"/>
      </w:pPr>
      <w:rPr>
        <w:rFonts w:cs="Times New Roman"/>
      </w:rPr>
    </w:lvl>
    <w:lvl w:ilvl="5" w:tplc="E848A912" w:tentative="1">
      <w:start w:val="1"/>
      <w:numFmt w:val="lowerRoman"/>
      <w:lvlText w:val="%6."/>
      <w:lvlJc w:val="right"/>
      <w:pPr>
        <w:tabs>
          <w:tab w:val="num" w:pos="4320"/>
        </w:tabs>
        <w:ind w:left="4320" w:hanging="180"/>
      </w:pPr>
      <w:rPr>
        <w:rFonts w:cs="Times New Roman"/>
      </w:rPr>
    </w:lvl>
    <w:lvl w:ilvl="6" w:tplc="8230DCBE" w:tentative="1">
      <w:start w:val="1"/>
      <w:numFmt w:val="decimal"/>
      <w:lvlText w:val="%7."/>
      <w:lvlJc w:val="left"/>
      <w:pPr>
        <w:tabs>
          <w:tab w:val="num" w:pos="5040"/>
        </w:tabs>
        <w:ind w:left="5040" w:hanging="360"/>
      </w:pPr>
      <w:rPr>
        <w:rFonts w:cs="Times New Roman"/>
      </w:rPr>
    </w:lvl>
    <w:lvl w:ilvl="7" w:tplc="F9FA95E0" w:tentative="1">
      <w:start w:val="1"/>
      <w:numFmt w:val="lowerLetter"/>
      <w:lvlText w:val="%8."/>
      <w:lvlJc w:val="left"/>
      <w:pPr>
        <w:tabs>
          <w:tab w:val="num" w:pos="5760"/>
        </w:tabs>
        <w:ind w:left="5760" w:hanging="360"/>
      </w:pPr>
      <w:rPr>
        <w:rFonts w:cs="Times New Roman"/>
      </w:rPr>
    </w:lvl>
    <w:lvl w:ilvl="8" w:tplc="575E3F2C" w:tentative="1">
      <w:start w:val="1"/>
      <w:numFmt w:val="lowerRoman"/>
      <w:lvlText w:val="%9."/>
      <w:lvlJc w:val="right"/>
      <w:pPr>
        <w:tabs>
          <w:tab w:val="num" w:pos="6480"/>
        </w:tabs>
        <w:ind w:left="6480" w:hanging="180"/>
      </w:pPr>
      <w:rPr>
        <w:rFonts w:cs="Times New Roman"/>
      </w:rPr>
    </w:lvl>
  </w:abstractNum>
  <w:abstractNum w:abstractNumId="10">
    <w:nsid w:val="1F5E7FD3"/>
    <w:multiLevelType w:val="hybridMultilevel"/>
    <w:tmpl w:val="28B2B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33739"/>
    <w:multiLevelType w:val="hybridMultilevel"/>
    <w:tmpl w:val="71809D80"/>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18F2ABE"/>
    <w:multiLevelType w:val="hybridMultilevel"/>
    <w:tmpl w:val="F32A35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012D7F"/>
    <w:multiLevelType w:val="hybridMultilevel"/>
    <w:tmpl w:val="CCE2867C"/>
    <w:lvl w:ilvl="0" w:tplc="25DCAC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231687"/>
    <w:multiLevelType w:val="hybridMultilevel"/>
    <w:tmpl w:val="DD664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E65004"/>
    <w:multiLevelType w:val="hybridMultilevel"/>
    <w:tmpl w:val="C67898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B272A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7C1A92"/>
    <w:multiLevelType w:val="hybridMultilevel"/>
    <w:tmpl w:val="3572D7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0A05B1"/>
    <w:multiLevelType w:val="hybridMultilevel"/>
    <w:tmpl w:val="579C9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D067A"/>
    <w:multiLevelType w:val="hybridMultilevel"/>
    <w:tmpl w:val="4FF4B0DA"/>
    <w:lvl w:ilvl="0" w:tplc="168C821C">
      <w:start w:val="1"/>
      <w:numFmt w:val="decimal"/>
      <w:lvlText w:val="%1."/>
      <w:lvlJc w:val="left"/>
      <w:pPr>
        <w:tabs>
          <w:tab w:val="num" w:pos="360"/>
        </w:tabs>
        <w:ind w:left="360" w:hanging="360"/>
      </w:pPr>
      <w:rPr>
        <w:rFonts w:cs="Times New Roman" w:hint="default"/>
      </w:rPr>
    </w:lvl>
    <w:lvl w:ilvl="1" w:tplc="D6F4D41C" w:tentative="1">
      <w:start w:val="1"/>
      <w:numFmt w:val="lowerLetter"/>
      <w:lvlText w:val="%2."/>
      <w:lvlJc w:val="left"/>
      <w:pPr>
        <w:tabs>
          <w:tab w:val="num" w:pos="1440"/>
        </w:tabs>
        <w:ind w:left="1440" w:hanging="360"/>
      </w:pPr>
      <w:rPr>
        <w:rFonts w:cs="Times New Roman"/>
      </w:rPr>
    </w:lvl>
    <w:lvl w:ilvl="2" w:tplc="B47680D2" w:tentative="1">
      <w:start w:val="1"/>
      <w:numFmt w:val="lowerRoman"/>
      <w:lvlText w:val="%3."/>
      <w:lvlJc w:val="right"/>
      <w:pPr>
        <w:tabs>
          <w:tab w:val="num" w:pos="2160"/>
        </w:tabs>
        <w:ind w:left="2160" w:hanging="180"/>
      </w:pPr>
      <w:rPr>
        <w:rFonts w:cs="Times New Roman"/>
      </w:rPr>
    </w:lvl>
    <w:lvl w:ilvl="3" w:tplc="875A11E2" w:tentative="1">
      <w:start w:val="1"/>
      <w:numFmt w:val="decimal"/>
      <w:lvlText w:val="%4."/>
      <w:lvlJc w:val="left"/>
      <w:pPr>
        <w:tabs>
          <w:tab w:val="num" w:pos="2880"/>
        </w:tabs>
        <w:ind w:left="2880" w:hanging="360"/>
      </w:pPr>
      <w:rPr>
        <w:rFonts w:cs="Times New Roman"/>
      </w:rPr>
    </w:lvl>
    <w:lvl w:ilvl="4" w:tplc="6C5C922A" w:tentative="1">
      <w:start w:val="1"/>
      <w:numFmt w:val="lowerLetter"/>
      <w:lvlText w:val="%5."/>
      <w:lvlJc w:val="left"/>
      <w:pPr>
        <w:tabs>
          <w:tab w:val="num" w:pos="3600"/>
        </w:tabs>
        <w:ind w:left="3600" w:hanging="360"/>
      </w:pPr>
      <w:rPr>
        <w:rFonts w:cs="Times New Roman"/>
      </w:rPr>
    </w:lvl>
    <w:lvl w:ilvl="5" w:tplc="C6181364" w:tentative="1">
      <w:start w:val="1"/>
      <w:numFmt w:val="lowerRoman"/>
      <w:lvlText w:val="%6."/>
      <w:lvlJc w:val="right"/>
      <w:pPr>
        <w:tabs>
          <w:tab w:val="num" w:pos="4320"/>
        </w:tabs>
        <w:ind w:left="4320" w:hanging="180"/>
      </w:pPr>
      <w:rPr>
        <w:rFonts w:cs="Times New Roman"/>
      </w:rPr>
    </w:lvl>
    <w:lvl w:ilvl="6" w:tplc="5D227454" w:tentative="1">
      <w:start w:val="1"/>
      <w:numFmt w:val="decimal"/>
      <w:lvlText w:val="%7."/>
      <w:lvlJc w:val="left"/>
      <w:pPr>
        <w:tabs>
          <w:tab w:val="num" w:pos="5040"/>
        </w:tabs>
        <w:ind w:left="5040" w:hanging="360"/>
      </w:pPr>
      <w:rPr>
        <w:rFonts w:cs="Times New Roman"/>
      </w:rPr>
    </w:lvl>
    <w:lvl w:ilvl="7" w:tplc="4106F666" w:tentative="1">
      <w:start w:val="1"/>
      <w:numFmt w:val="lowerLetter"/>
      <w:lvlText w:val="%8."/>
      <w:lvlJc w:val="left"/>
      <w:pPr>
        <w:tabs>
          <w:tab w:val="num" w:pos="5760"/>
        </w:tabs>
        <w:ind w:left="5760" w:hanging="360"/>
      </w:pPr>
      <w:rPr>
        <w:rFonts w:cs="Times New Roman"/>
      </w:rPr>
    </w:lvl>
    <w:lvl w:ilvl="8" w:tplc="2D42AAA8" w:tentative="1">
      <w:start w:val="1"/>
      <w:numFmt w:val="lowerRoman"/>
      <w:lvlText w:val="%9."/>
      <w:lvlJc w:val="right"/>
      <w:pPr>
        <w:tabs>
          <w:tab w:val="num" w:pos="6480"/>
        </w:tabs>
        <w:ind w:left="6480" w:hanging="180"/>
      </w:pPr>
      <w:rPr>
        <w:rFonts w:cs="Times New Roman"/>
      </w:rPr>
    </w:lvl>
  </w:abstractNum>
  <w:abstractNum w:abstractNumId="20">
    <w:nsid w:val="396F1A1D"/>
    <w:multiLevelType w:val="singleLevel"/>
    <w:tmpl w:val="739A51AE"/>
    <w:lvl w:ilvl="0">
      <w:start w:val="1"/>
      <w:numFmt w:val="decimal"/>
      <w:lvlText w:val="%1."/>
      <w:legacy w:legacy="1" w:legacySpace="144" w:legacyIndent="0"/>
      <w:lvlJc w:val="left"/>
    </w:lvl>
  </w:abstractNum>
  <w:abstractNum w:abstractNumId="21">
    <w:nsid w:val="3A0F1285"/>
    <w:multiLevelType w:val="hybridMultilevel"/>
    <w:tmpl w:val="2AAED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61CFC"/>
    <w:multiLevelType w:val="hybridMultilevel"/>
    <w:tmpl w:val="6E88D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E669EC"/>
    <w:multiLevelType w:val="hybridMultilevel"/>
    <w:tmpl w:val="BDD05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A80450"/>
    <w:multiLevelType w:val="hybridMultilevel"/>
    <w:tmpl w:val="3DAA3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673877"/>
    <w:multiLevelType w:val="singleLevel"/>
    <w:tmpl w:val="739A51AE"/>
    <w:lvl w:ilvl="0">
      <w:start w:val="1"/>
      <w:numFmt w:val="decimal"/>
      <w:lvlText w:val="%1."/>
      <w:legacy w:legacy="1" w:legacySpace="144" w:legacyIndent="0"/>
      <w:lvlJc w:val="left"/>
      <w:rPr>
        <w:rFonts w:cs="Times New Roman"/>
      </w:rPr>
    </w:lvl>
  </w:abstractNum>
  <w:abstractNum w:abstractNumId="26">
    <w:nsid w:val="5A5D5902"/>
    <w:multiLevelType w:val="hybridMultilevel"/>
    <w:tmpl w:val="F17CC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C3167E"/>
    <w:multiLevelType w:val="hybridMultilevel"/>
    <w:tmpl w:val="4E8A8FF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567860"/>
    <w:multiLevelType w:val="hybridMultilevel"/>
    <w:tmpl w:val="7F72A8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501248E"/>
    <w:multiLevelType w:val="hybridMultilevel"/>
    <w:tmpl w:val="20827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C878CC"/>
    <w:multiLevelType w:val="hybridMultilevel"/>
    <w:tmpl w:val="E5C8A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3C0F61"/>
    <w:multiLevelType w:val="hybridMultilevel"/>
    <w:tmpl w:val="6B089A38"/>
    <w:lvl w:ilvl="0" w:tplc="1D6C07A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375652"/>
    <w:multiLevelType w:val="hybridMultilevel"/>
    <w:tmpl w:val="7A5806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781B0F"/>
    <w:multiLevelType w:val="hybridMultilevel"/>
    <w:tmpl w:val="9AD69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B1C30FD"/>
    <w:multiLevelType w:val="singleLevel"/>
    <w:tmpl w:val="2FB6A734"/>
    <w:lvl w:ilvl="0">
      <w:start w:val="1"/>
      <w:numFmt w:val="decimal"/>
      <w:lvlText w:val="%1."/>
      <w:legacy w:legacy="1" w:legacySpace="144" w:legacyIndent="0"/>
      <w:lvlJc w:val="left"/>
      <w:rPr>
        <w:rFonts w:cs="Times New Roman"/>
      </w:rPr>
    </w:lvl>
  </w:abstractNum>
  <w:abstractNum w:abstractNumId="35">
    <w:nsid w:val="7C2E555B"/>
    <w:multiLevelType w:val="hybridMultilevel"/>
    <w:tmpl w:val="F802E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D63B8D"/>
    <w:multiLevelType w:val="hybridMultilevel"/>
    <w:tmpl w:val="94E4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EA3527"/>
    <w:multiLevelType w:val="hybridMultilevel"/>
    <w:tmpl w:val="52F04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FE36A8"/>
    <w:multiLevelType w:val="hybridMultilevel"/>
    <w:tmpl w:val="153261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2"/>
  </w:num>
  <w:num w:numId="4">
    <w:abstractNumId w:val="8"/>
  </w:num>
  <w:num w:numId="5">
    <w:abstractNumId w:val="3"/>
  </w:num>
  <w:num w:numId="6">
    <w:abstractNumId w:val="19"/>
  </w:num>
  <w:num w:numId="7">
    <w:abstractNumId w:val="9"/>
  </w:num>
  <w:num w:numId="8">
    <w:abstractNumId w:val="11"/>
  </w:num>
  <w:num w:numId="9">
    <w:abstractNumId w:val="38"/>
  </w:num>
  <w:num w:numId="10">
    <w:abstractNumId w:val="28"/>
  </w:num>
  <w:num w:numId="11">
    <w:abstractNumId w:val="15"/>
  </w:num>
  <w:num w:numId="12">
    <w:abstractNumId w:val="12"/>
  </w:num>
  <w:num w:numId="13">
    <w:abstractNumId w:val="17"/>
  </w:num>
  <w:num w:numId="14">
    <w:abstractNumId w:val="25"/>
  </w:num>
  <w:num w:numId="15">
    <w:abstractNumId w:val="10"/>
  </w:num>
  <w:num w:numId="16">
    <w:abstractNumId w:val="5"/>
  </w:num>
  <w:num w:numId="17">
    <w:abstractNumId w:val="16"/>
  </w:num>
  <w:num w:numId="18">
    <w:abstractNumId w:val="4"/>
  </w:num>
  <w:num w:numId="19">
    <w:abstractNumId w:val="36"/>
  </w:num>
  <w:num w:numId="20">
    <w:abstractNumId w:val="13"/>
  </w:num>
  <w:num w:numId="21">
    <w:abstractNumId w:val="32"/>
  </w:num>
  <w:num w:numId="22">
    <w:abstractNumId w:val="20"/>
  </w:num>
  <w:num w:numId="23">
    <w:abstractNumId w:val="33"/>
  </w:num>
  <w:num w:numId="24">
    <w:abstractNumId w:val="23"/>
  </w:num>
  <w:num w:numId="25">
    <w:abstractNumId w:val="30"/>
  </w:num>
  <w:num w:numId="26">
    <w:abstractNumId w:val="27"/>
  </w:num>
  <w:num w:numId="27">
    <w:abstractNumId w:val="26"/>
  </w:num>
  <w:num w:numId="28">
    <w:abstractNumId w:val="22"/>
  </w:num>
  <w:num w:numId="29">
    <w:abstractNumId w:val="18"/>
  </w:num>
  <w:num w:numId="30">
    <w:abstractNumId w:val="1"/>
  </w:num>
  <w:num w:numId="31">
    <w:abstractNumId w:val="35"/>
  </w:num>
  <w:num w:numId="32">
    <w:abstractNumId w:val="37"/>
  </w:num>
  <w:num w:numId="33">
    <w:abstractNumId w:val="0"/>
  </w:num>
  <w:num w:numId="34">
    <w:abstractNumId w:val="24"/>
  </w:num>
  <w:num w:numId="35">
    <w:abstractNumId w:val="14"/>
  </w:num>
  <w:num w:numId="36">
    <w:abstractNumId w:val="29"/>
  </w:num>
  <w:num w:numId="37">
    <w:abstractNumId w:val="21"/>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D4"/>
    <w:rsid w:val="0000085E"/>
    <w:rsid w:val="0000435C"/>
    <w:rsid w:val="0000633E"/>
    <w:rsid w:val="000154B8"/>
    <w:rsid w:val="000157B8"/>
    <w:rsid w:val="00021D4F"/>
    <w:rsid w:val="0002414D"/>
    <w:rsid w:val="0003553A"/>
    <w:rsid w:val="0004215A"/>
    <w:rsid w:val="00045E55"/>
    <w:rsid w:val="00055280"/>
    <w:rsid w:val="00062095"/>
    <w:rsid w:val="00072119"/>
    <w:rsid w:val="000958BB"/>
    <w:rsid w:val="000A15E9"/>
    <w:rsid w:val="000C6B61"/>
    <w:rsid w:val="000D308B"/>
    <w:rsid w:val="000D7C19"/>
    <w:rsid w:val="0011009F"/>
    <w:rsid w:val="00111F36"/>
    <w:rsid w:val="0011772B"/>
    <w:rsid w:val="00135D13"/>
    <w:rsid w:val="00137BAD"/>
    <w:rsid w:val="00142E1D"/>
    <w:rsid w:val="0014557F"/>
    <w:rsid w:val="001A4534"/>
    <w:rsid w:val="001B1381"/>
    <w:rsid w:val="001B7F8C"/>
    <w:rsid w:val="001C51F2"/>
    <w:rsid w:val="001D4594"/>
    <w:rsid w:val="001D77A1"/>
    <w:rsid w:val="001F3B18"/>
    <w:rsid w:val="002058BC"/>
    <w:rsid w:val="002068F3"/>
    <w:rsid w:val="00211473"/>
    <w:rsid w:val="002146EA"/>
    <w:rsid w:val="00226A20"/>
    <w:rsid w:val="0023561C"/>
    <w:rsid w:val="00240103"/>
    <w:rsid w:val="00243579"/>
    <w:rsid w:val="00261060"/>
    <w:rsid w:val="00262FDD"/>
    <w:rsid w:val="00263ED8"/>
    <w:rsid w:val="00271815"/>
    <w:rsid w:val="00271D61"/>
    <w:rsid w:val="002834CC"/>
    <w:rsid w:val="00291585"/>
    <w:rsid w:val="002A1B9F"/>
    <w:rsid w:val="002A42BC"/>
    <w:rsid w:val="002A7551"/>
    <w:rsid w:val="002A780F"/>
    <w:rsid w:val="002B1129"/>
    <w:rsid w:val="002C0B64"/>
    <w:rsid w:val="002C2D33"/>
    <w:rsid w:val="002D2D7A"/>
    <w:rsid w:val="002E1235"/>
    <w:rsid w:val="002E3FE7"/>
    <w:rsid w:val="00313E71"/>
    <w:rsid w:val="00314AF3"/>
    <w:rsid w:val="00321BD5"/>
    <w:rsid w:val="0032703F"/>
    <w:rsid w:val="00327DB7"/>
    <w:rsid w:val="003504D4"/>
    <w:rsid w:val="00353C62"/>
    <w:rsid w:val="00355C0A"/>
    <w:rsid w:val="00360AFB"/>
    <w:rsid w:val="00374453"/>
    <w:rsid w:val="00395E1E"/>
    <w:rsid w:val="003A635F"/>
    <w:rsid w:val="003A73C0"/>
    <w:rsid w:val="003B2F1A"/>
    <w:rsid w:val="003B5C9C"/>
    <w:rsid w:val="003D4B2B"/>
    <w:rsid w:val="003D7FE7"/>
    <w:rsid w:val="003F46E1"/>
    <w:rsid w:val="00412C65"/>
    <w:rsid w:val="00417439"/>
    <w:rsid w:val="00420FF3"/>
    <w:rsid w:val="00444E72"/>
    <w:rsid w:val="0045259D"/>
    <w:rsid w:val="00457EEC"/>
    <w:rsid w:val="004607BA"/>
    <w:rsid w:val="004677A4"/>
    <w:rsid w:val="004720C7"/>
    <w:rsid w:val="00485C90"/>
    <w:rsid w:val="00497217"/>
    <w:rsid w:val="004A36DD"/>
    <w:rsid w:val="004A3BDB"/>
    <w:rsid w:val="004C3CA1"/>
    <w:rsid w:val="004C4111"/>
    <w:rsid w:val="004C5182"/>
    <w:rsid w:val="004D56B9"/>
    <w:rsid w:val="004E11E3"/>
    <w:rsid w:val="004F0CAD"/>
    <w:rsid w:val="00505502"/>
    <w:rsid w:val="00516DEB"/>
    <w:rsid w:val="00522921"/>
    <w:rsid w:val="00552BF7"/>
    <w:rsid w:val="005612E3"/>
    <w:rsid w:val="005747DA"/>
    <w:rsid w:val="00594D05"/>
    <w:rsid w:val="0059662F"/>
    <w:rsid w:val="00597515"/>
    <w:rsid w:val="005C6468"/>
    <w:rsid w:val="005D0A82"/>
    <w:rsid w:val="005E2EA5"/>
    <w:rsid w:val="005F610A"/>
    <w:rsid w:val="00605035"/>
    <w:rsid w:val="0061199A"/>
    <w:rsid w:val="00612AB0"/>
    <w:rsid w:val="00615F59"/>
    <w:rsid w:val="0064245B"/>
    <w:rsid w:val="006452E8"/>
    <w:rsid w:val="0067146B"/>
    <w:rsid w:val="00672707"/>
    <w:rsid w:val="00693224"/>
    <w:rsid w:val="00696F70"/>
    <w:rsid w:val="006A309F"/>
    <w:rsid w:val="006B3611"/>
    <w:rsid w:val="006B4D93"/>
    <w:rsid w:val="006B6394"/>
    <w:rsid w:val="006C2675"/>
    <w:rsid w:val="006D0122"/>
    <w:rsid w:val="006E5CBA"/>
    <w:rsid w:val="006F27D6"/>
    <w:rsid w:val="006F69BA"/>
    <w:rsid w:val="007055BB"/>
    <w:rsid w:val="00720BE0"/>
    <w:rsid w:val="0074181B"/>
    <w:rsid w:val="00741E01"/>
    <w:rsid w:val="00753962"/>
    <w:rsid w:val="007618C1"/>
    <w:rsid w:val="00762654"/>
    <w:rsid w:val="007708B5"/>
    <w:rsid w:val="0077490A"/>
    <w:rsid w:val="00787604"/>
    <w:rsid w:val="007B04BB"/>
    <w:rsid w:val="007C1B11"/>
    <w:rsid w:val="007D6F36"/>
    <w:rsid w:val="007D76E1"/>
    <w:rsid w:val="007E33A4"/>
    <w:rsid w:val="007E5571"/>
    <w:rsid w:val="007E7BC7"/>
    <w:rsid w:val="008019CE"/>
    <w:rsid w:val="00810620"/>
    <w:rsid w:val="0083582A"/>
    <w:rsid w:val="00850B1C"/>
    <w:rsid w:val="0086013C"/>
    <w:rsid w:val="00881044"/>
    <w:rsid w:val="008A0EFD"/>
    <w:rsid w:val="008B1D37"/>
    <w:rsid w:val="008B4226"/>
    <w:rsid w:val="008C11EF"/>
    <w:rsid w:val="008C2117"/>
    <w:rsid w:val="008C76EB"/>
    <w:rsid w:val="008D1DC4"/>
    <w:rsid w:val="008E0ECF"/>
    <w:rsid w:val="008F6D8A"/>
    <w:rsid w:val="009249F5"/>
    <w:rsid w:val="00927374"/>
    <w:rsid w:val="0094141B"/>
    <w:rsid w:val="00952D8D"/>
    <w:rsid w:val="009671F3"/>
    <w:rsid w:val="009729B9"/>
    <w:rsid w:val="00977FCF"/>
    <w:rsid w:val="00982A8E"/>
    <w:rsid w:val="00983CDF"/>
    <w:rsid w:val="00991A27"/>
    <w:rsid w:val="009C4A26"/>
    <w:rsid w:val="009E0985"/>
    <w:rsid w:val="009E52AD"/>
    <w:rsid w:val="009F72C0"/>
    <w:rsid w:val="00A00222"/>
    <w:rsid w:val="00A2302C"/>
    <w:rsid w:val="00A406C4"/>
    <w:rsid w:val="00A412FC"/>
    <w:rsid w:val="00A67929"/>
    <w:rsid w:val="00A74434"/>
    <w:rsid w:val="00A909E4"/>
    <w:rsid w:val="00A94ECC"/>
    <w:rsid w:val="00A976A0"/>
    <w:rsid w:val="00AD3F4B"/>
    <w:rsid w:val="00AE3A1D"/>
    <w:rsid w:val="00AF2FDF"/>
    <w:rsid w:val="00B03442"/>
    <w:rsid w:val="00B06278"/>
    <w:rsid w:val="00B13BEC"/>
    <w:rsid w:val="00B221EE"/>
    <w:rsid w:val="00B221FF"/>
    <w:rsid w:val="00B25F0C"/>
    <w:rsid w:val="00B3089E"/>
    <w:rsid w:val="00B442DF"/>
    <w:rsid w:val="00B45599"/>
    <w:rsid w:val="00B47FF2"/>
    <w:rsid w:val="00B54080"/>
    <w:rsid w:val="00B54F1C"/>
    <w:rsid w:val="00B61B7F"/>
    <w:rsid w:val="00B90329"/>
    <w:rsid w:val="00BA14C9"/>
    <w:rsid w:val="00BA37C1"/>
    <w:rsid w:val="00BA58EA"/>
    <w:rsid w:val="00BC3334"/>
    <w:rsid w:val="00BD2246"/>
    <w:rsid w:val="00BE0F64"/>
    <w:rsid w:val="00C1585F"/>
    <w:rsid w:val="00C15B62"/>
    <w:rsid w:val="00C24370"/>
    <w:rsid w:val="00C6600D"/>
    <w:rsid w:val="00C70F01"/>
    <w:rsid w:val="00C76EED"/>
    <w:rsid w:val="00C82552"/>
    <w:rsid w:val="00C93576"/>
    <w:rsid w:val="00CA17CC"/>
    <w:rsid w:val="00CF1F37"/>
    <w:rsid w:val="00CF6A9D"/>
    <w:rsid w:val="00D00F06"/>
    <w:rsid w:val="00D06B3D"/>
    <w:rsid w:val="00D3127A"/>
    <w:rsid w:val="00D34A48"/>
    <w:rsid w:val="00D35AC1"/>
    <w:rsid w:val="00D52DB5"/>
    <w:rsid w:val="00D617DD"/>
    <w:rsid w:val="00D673DB"/>
    <w:rsid w:val="00D91909"/>
    <w:rsid w:val="00DA51C1"/>
    <w:rsid w:val="00DB4839"/>
    <w:rsid w:val="00DB53A6"/>
    <w:rsid w:val="00DB7355"/>
    <w:rsid w:val="00DB7CAA"/>
    <w:rsid w:val="00DD1464"/>
    <w:rsid w:val="00DD4EBC"/>
    <w:rsid w:val="00DE0DE5"/>
    <w:rsid w:val="00DF77BF"/>
    <w:rsid w:val="00E00C42"/>
    <w:rsid w:val="00E06C67"/>
    <w:rsid w:val="00E10D9B"/>
    <w:rsid w:val="00E2426D"/>
    <w:rsid w:val="00E329A6"/>
    <w:rsid w:val="00E45376"/>
    <w:rsid w:val="00E47A87"/>
    <w:rsid w:val="00E54348"/>
    <w:rsid w:val="00E922B1"/>
    <w:rsid w:val="00E94BEA"/>
    <w:rsid w:val="00EA7F10"/>
    <w:rsid w:val="00EB1EE7"/>
    <w:rsid w:val="00EB3ED5"/>
    <w:rsid w:val="00EB546A"/>
    <w:rsid w:val="00EC7291"/>
    <w:rsid w:val="00ED235C"/>
    <w:rsid w:val="00ED5932"/>
    <w:rsid w:val="00ED7B17"/>
    <w:rsid w:val="00EE033E"/>
    <w:rsid w:val="00EE1BB2"/>
    <w:rsid w:val="00EE790F"/>
    <w:rsid w:val="00EF26E1"/>
    <w:rsid w:val="00F10A10"/>
    <w:rsid w:val="00F23002"/>
    <w:rsid w:val="00F25173"/>
    <w:rsid w:val="00F32D6B"/>
    <w:rsid w:val="00F33BFC"/>
    <w:rsid w:val="00F53845"/>
    <w:rsid w:val="00F63BCE"/>
    <w:rsid w:val="00F64B45"/>
    <w:rsid w:val="00F719A0"/>
    <w:rsid w:val="00F96723"/>
    <w:rsid w:val="00FB24DB"/>
    <w:rsid w:val="00FC5190"/>
    <w:rsid w:val="00FC56F7"/>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numPr>
        <w:numId w:val="18"/>
      </w:numPr>
      <w:spacing w:before="120" w:after="120"/>
      <w:outlineLvl w:val="0"/>
    </w:pPr>
    <w:rPr>
      <w:rFonts w:ascii="Helvetica" w:hAnsi="Helvetica"/>
      <w:b/>
      <w:kern w:val="28"/>
    </w:rPr>
  </w:style>
  <w:style w:type="paragraph" w:styleId="Heading2">
    <w:name w:val="heading 2"/>
    <w:basedOn w:val="Normal"/>
    <w:next w:val="Normal"/>
    <w:qFormat/>
    <w:pPr>
      <w:keepNext/>
      <w:numPr>
        <w:ilvl w:val="1"/>
        <w:numId w:val="18"/>
      </w:numPr>
      <w:spacing w:before="120" w:after="120"/>
      <w:outlineLvl w:val="1"/>
    </w:pPr>
    <w:rPr>
      <w:rFonts w:ascii="Helvetica" w:hAnsi="Helvetica"/>
      <w:b/>
      <w:i/>
    </w:rPr>
  </w:style>
  <w:style w:type="paragraph" w:styleId="Heading3">
    <w:name w:val="heading 3"/>
    <w:basedOn w:val="Normal"/>
    <w:next w:val="Normal"/>
    <w:qFormat/>
    <w:pPr>
      <w:keepNext/>
      <w:numPr>
        <w:ilvl w:val="2"/>
        <w:numId w:val="18"/>
      </w:numPr>
      <w:spacing w:before="120" w:after="120"/>
      <w:outlineLvl w:val="2"/>
    </w:pPr>
    <w:rPr>
      <w:rFonts w:ascii="Helvetica" w:hAnsi="Helvetica"/>
      <w:b/>
    </w:rPr>
  </w:style>
  <w:style w:type="paragraph" w:styleId="Heading4">
    <w:name w:val="heading 4"/>
    <w:basedOn w:val="Normal"/>
    <w:next w:val="Normal"/>
    <w:qFormat/>
    <w:pPr>
      <w:keepNext/>
      <w:numPr>
        <w:ilvl w:val="3"/>
        <w:numId w:val="18"/>
      </w:numPr>
      <w:spacing w:before="120" w:after="120"/>
      <w:outlineLvl w:val="3"/>
    </w:pPr>
    <w:rPr>
      <w:rFonts w:ascii="Helvetica" w:hAnsi="Helvetica"/>
      <w:b/>
      <w:i/>
    </w:rPr>
  </w:style>
  <w:style w:type="paragraph" w:styleId="Heading5">
    <w:name w:val="heading 5"/>
    <w:basedOn w:val="Normal"/>
    <w:next w:val="Normal"/>
    <w:qFormat/>
    <w:pPr>
      <w:numPr>
        <w:ilvl w:val="4"/>
        <w:numId w:val="18"/>
      </w:numPr>
      <w:spacing w:before="120" w:after="120"/>
      <w:outlineLvl w:val="4"/>
    </w:pPr>
    <w:rPr>
      <w:rFonts w:ascii="Helvetica" w:hAnsi="Helvetica"/>
      <w:b/>
    </w:rPr>
  </w:style>
  <w:style w:type="paragraph" w:styleId="Heading6">
    <w:name w:val="heading 6"/>
    <w:basedOn w:val="Normal"/>
    <w:next w:val="Normal"/>
    <w:qFormat/>
    <w:pPr>
      <w:numPr>
        <w:ilvl w:val="5"/>
        <w:numId w:val="1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8"/>
      </w:numPr>
      <w:spacing w:before="240" w:after="60"/>
      <w:outlineLvl w:val="6"/>
    </w:pPr>
    <w:rPr>
      <w:rFonts w:ascii="Arial" w:hAnsi="Arial"/>
      <w:sz w:val="20"/>
    </w:rPr>
  </w:style>
  <w:style w:type="paragraph" w:styleId="Heading8">
    <w:name w:val="heading 8"/>
    <w:basedOn w:val="Normal"/>
    <w:next w:val="Normal"/>
    <w:qFormat/>
    <w:pPr>
      <w:numPr>
        <w:ilvl w:val="7"/>
        <w:numId w:val="18"/>
      </w:numPr>
      <w:spacing w:before="240" w:after="60"/>
      <w:outlineLvl w:val="7"/>
    </w:pPr>
    <w:rPr>
      <w:rFonts w:ascii="Arial" w:hAnsi="Arial"/>
      <w:i/>
      <w:sz w:val="20"/>
    </w:rPr>
  </w:style>
  <w:style w:type="paragraph" w:styleId="Heading9">
    <w:name w:val="heading 9"/>
    <w:basedOn w:val="Normal"/>
    <w:next w:val="Normal"/>
    <w:qFormat/>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link w:val="BodyTextChar"/>
    <w:pPr>
      <w:spacing w:before="40" w:after="40"/>
      <w:jc w:val="both"/>
    </w:pPr>
  </w:style>
  <w:style w:type="paragraph" w:styleId="Title">
    <w:name w:val="Title"/>
    <w:basedOn w:val="Normal"/>
    <w:qFormat/>
    <w:pPr>
      <w:jc w:val="center"/>
    </w:pPr>
    <w:rPr>
      <w:b/>
    </w:rPr>
  </w:style>
  <w:style w:type="paragraph" w:styleId="FootnoteText">
    <w:name w:val="footnote text"/>
    <w:aliases w:val="Footnote Text Char,Footnote Text Char2 Char,Footnote Text Char Char Char,Footnote Text Char2 Char Char Char,Footnote Text Char Char Char Char Char,Footnote Text Char2 Char Char Char Char1 Char,Footnote Text Char2,Footnote Text Char Char,fn"/>
    <w:basedOn w:val="Normal"/>
    <w:link w:val="FootnoteTextChar1"/>
    <w:semiHidden/>
    <w:rPr>
      <w:sz w:val="22"/>
    </w:rPr>
  </w:style>
  <w:style w:type="character" w:styleId="FootnoteReference">
    <w:name w:val="footnote reference"/>
    <w:aliases w:val="o,fr,Style 3,o1,o2,o3,o4,o5,o6,o11,o21,o7"/>
    <w:semiHidden/>
    <w:rPr>
      <w:rFonts w:ascii="Palatino" w:hAnsi="Palatino" w:cs="Times New Roman"/>
      <w:sz w:val="22"/>
      <w:vertAlign w:val="superscript"/>
    </w:rPr>
  </w:style>
  <w:style w:type="paragraph" w:customStyle="1" w:styleId="standard">
    <w:name w:val="standard"/>
    <w:basedOn w:val="Normal"/>
    <w:link w:val="standardChar"/>
    <w:pPr>
      <w:spacing w:line="360" w:lineRule="auto"/>
      <w:ind w:firstLine="720"/>
    </w:pPr>
  </w:style>
  <w:style w:type="paragraph" w:customStyle="1" w:styleId="substandard">
    <w:name w:val="substandard"/>
    <w:basedOn w:val="standard"/>
    <w:pPr>
      <w:ind w:firstLine="1440"/>
    </w:pPr>
  </w:style>
  <w:style w:type="paragraph" w:customStyle="1" w:styleId="subsubstandard">
    <w:name w:val="subsubstandard"/>
    <w:basedOn w:val="Normal"/>
    <w:pPr>
      <w:spacing w:line="360" w:lineRule="auto"/>
      <w:ind w:firstLine="2160"/>
    </w:pPr>
  </w:style>
  <w:style w:type="paragraph" w:customStyle="1" w:styleId="subsubsubstandard">
    <w:name w:val="subsubsubstandard"/>
    <w:basedOn w:val="subsubstandard"/>
    <w:pPr>
      <w:ind w:firstLine="2880"/>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customStyle="1" w:styleId="num2">
    <w:name w:val="num2"/>
    <w:basedOn w:val="num1"/>
    <w:pPr>
      <w:ind w:firstLine="270"/>
    </w:pPr>
  </w:style>
  <w:style w:type="paragraph" w:customStyle="1" w:styleId="heading">
    <w:name w:val="heading"/>
    <w:basedOn w:val="Normal"/>
    <w:pPr>
      <w:keepNext/>
      <w:suppressAutoHyphens/>
      <w:spacing w:line="360" w:lineRule="auto"/>
    </w:pPr>
    <w:rPr>
      <w:rFonts w:ascii="Helvetica" w:hAnsi="Helvetica"/>
      <w:b/>
    </w:rPr>
  </w:style>
  <w:style w:type="paragraph" w:customStyle="1" w:styleId="titlebar">
    <w:name w:val="title bar"/>
    <w:basedOn w:val="main"/>
    <w:pPr>
      <w:keepNext/>
      <w:suppressAutoHyphens/>
    </w:pPr>
  </w:style>
  <w:style w:type="paragraph" w:customStyle="1" w:styleId="subsubsubsubstandard">
    <w:name w:val="subsubsubsubstandard"/>
    <w:basedOn w:val="subsubsubstandard"/>
    <w:pPr>
      <w:ind w:firstLine="360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tabs>
        <w:tab w:val="left" w:pos="8280"/>
      </w:tabs>
      <w:ind w:left="1080" w:right="1260"/>
    </w:pPr>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Pr>
      <w:rFonts w:ascii="Palatino" w:hAnsi="Palatino" w:cs="Times New Roman"/>
      <w:sz w:val="24"/>
      <w:lang w:val="en-US" w:eastAsia="en-US" w:bidi="ar-SA"/>
    </w:rPr>
  </w:style>
  <w:style w:type="character" w:customStyle="1" w:styleId="HTMLPreformattedChar">
    <w:name w:val="HTML Preformatted Char"/>
    <w:link w:val="HTMLPreformatted"/>
    <w:locked/>
    <w:rPr>
      <w:rFonts w:ascii="Courier New" w:hAnsi="Courier New" w:cs="Courier New"/>
      <w:lang w:val="en-US" w:eastAsia="en-US" w:bidi="ar-SA"/>
    </w:rPr>
  </w:style>
  <w:style w:type="character" w:customStyle="1" w:styleId="standardChar">
    <w:name w:val="standard Char"/>
    <w:link w:val="standard"/>
    <w:locked/>
    <w:rPr>
      <w:rFonts w:ascii="Palatino" w:hAnsi="Palatino" w:cs="Times New Roman"/>
      <w:sz w:val="24"/>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CharChar">
    <w:name w:val="Char Char"/>
    <w:rPr>
      <w:rFonts w:ascii="Courier New" w:hAnsi="Courier New" w:cs="Courier New"/>
      <w:lang w:val="en-US" w:eastAsia="en-US" w:bidi="ar-SA"/>
    </w:rPr>
  </w:style>
  <w:style w:type="character" w:styleId="FollowedHyperlink">
    <w:name w:val="FollowedHyperlink"/>
    <w:rPr>
      <w:color w:val="800080"/>
      <w:u w:val="single"/>
    </w:rPr>
  </w:style>
  <w:style w:type="character" w:customStyle="1" w:styleId="FootnoteTextChar1">
    <w:name w:val="Footnote Text Char1"/>
    <w:aliases w:val="Footnote Text Char Char1,Footnote Text Char2 Char Char,Footnote Text Char Char Char Char,Footnote Text Char2 Char Char Char Char,Footnote Text Char Char Char Char Char Char,Footnote Text Char2 Char Char Char Char1 Char Char,fn Char"/>
    <w:link w:val="FootnoteText"/>
    <w:rPr>
      <w:rFonts w:ascii="Palatino" w:hAnsi="Palatino"/>
      <w:sz w:val="22"/>
      <w:lang w:val="en-US" w:eastAsia="en-US" w:bidi="ar-SA"/>
    </w:rPr>
  </w:style>
  <w:style w:type="paragraph" w:styleId="NormalWeb">
    <w:name w:val="Normal (Web)"/>
    <w:basedOn w:val="Normal"/>
    <w:uiPriority w:val="99"/>
    <w:pPr>
      <w:overflowPunct/>
      <w:autoSpaceDE/>
      <w:autoSpaceDN/>
      <w:adjustRightInd/>
      <w:spacing w:before="168" w:after="216"/>
      <w:textAlignment w:val="auto"/>
    </w:pPr>
    <w:rPr>
      <w:rFonts w:ascii="Times New Roman" w:hAnsi="Times New Roman"/>
      <w:szCs w:val="24"/>
    </w:rPr>
  </w:style>
  <w:style w:type="character" w:customStyle="1" w:styleId="num1Char">
    <w:name w:val="num1 Char"/>
    <w:link w:val="num1"/>
    <w:locked/>
    <w:rsid w:val="004A3BDB"/>
    <w:rPr>
      <w:rFonts w:ascii="Palatino" w:hAnsi="Palatino"/>
      <w:sz w:val="24"/>
    </w:rPr>
  </w:style>
  <w:style w:type="paragraph" w:styleId="ListParagraph">
    <w:name w:val="List Paragraph"/>
    <w:basedOn w:val="Normal"/>
    <w:uiPriority w:val="34"/>
    <w:qFormat/>
    <w:rsid w:val="00BD224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FooterChar">
    <w:name w:val="Footer Char"/>
    <w:link w:val="Footer"/>
    <w:uiPriority w:val="99"/>
    <w:rsid w:val="0004215A"/>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numPr>
        <w:numId w:val="18"/>
      </w:numPr>
      <w:spacing w:before="120" w:after="120"/>
      <w:outlineLvl w:val="0"/>
    </w:pPr>
    <w:rPr>
      <w:rFonts w:ascii="Helvetica" w:hAnsi="Helvetica"/>
      <w:b/>
      <w:kern w:val="28"/>
    </w:rPr>
  </w:style>
  <w:style w:type="paragraph" w:styleId="Heading2">
    <w:name w:val="heading 2"/>
    <w:basedOn w:val="Normal"/>
    <w:next w:val="Normal"/>
    <w:qFormat/>
    <w:pPr>
      <w:keepNext/>
      <w:numPr>
        <w:ilvl w:val="1"/>
        <w:numId w:val="18"/>
      </w:numPr>
      <w:spacing w:before="120" w:after="120"/>
      <w:outlineLvl w:val="1"/>
    </w:pPr>
    <w:rPr>
      <w:rFonts w:ascii="Helvetica" w:hAnsi="Helvetica"/>
      <w:b/>
      <w:i/>
    </w:rPr>
  </w:style>
  <w:style w:type="paragraph" w:styleId="Heading3">
    <w:name w:val="heading 3"/>
    <w:basedOn w:val="Normal"/>
    <w:next w:val="Normal"/>
    <w:qFormat/>
    <w:pPr>
      <w:keepNext/>
      <w:numPr>
        <w:ilvl w:val="2"/>
        <w:numId w:val="18"/>
      </w:numPr>
      <w:spacing w:before="120" w:after="120"/>
      <w:outlineLvl w:val="2"/>
    </w:pPr>
    <w:rPr>
      <w:rFonts w:ascii="Helvetica" w:hAnsi="Helvetica"/>
      <w:b/>
    </w:rPr>
  </w:style>
  <w:style w:type="paragraph" w:styleId="Heading4">
    <w:name w:val="heading 4"/>
    <w:basedOn w:val="Normal"/>
    <w:next w:val="Normal"/>
    <w:qFormat/>
    <w:pPr>
      <w:keepNext/>
      <w:numPr>
        <w:ilvl w:val="3"/>
        <w:numId w:val="18"/>
      </w:numPr>
      <w:spacing w:before="120" w:after="120"/>
      <w:outlineLvl w:val="3"/>
    </w:pPr>
    <w:rPr>
      <w:rFonts w:ascii="Helvetica" w:hAnsi="Helvetica"/>
      <w:b/>
      <w:i/>
    </w:rPr>
  </w:style>
  <w:style w:type="paragraph" w:styleId="Heading5">
    <w:name w:val="heading 5"/>
    <w:basedOn w:val="Normal"/>
    <w:next w:val="Normal"/>
    <w:qFormat/>
    <w:pPr>
      <w:numPr>
        <w:ilvl w:val="4"/>
        <w:numId w:val="18"/>
      </w:numPr>
      <w:spacing w:before="120" w:after="120"/>
      <w:outlineLvl w:val="4"/>
    </w:pPr>
    <w:rPr>
      <w:rFonts w:ascii="Helvetica" w:hAnsi="Helvetica"/>
      <w:b/>
    </w:rPr>
  </w:style>
  <w:style w:type="paragraph" w:styleId="Heading6">
    <w:name w:val="heading 6"/>
    <w:basedOn w:val="Normal"/>
    <w:next w:val="Normal"/>
    <w:qFormat/>
    <w:pPr>
      <w:numPr>
        <w:ilvl w:val="5"/>
        <w:numId w:val="1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8"/>
      </w:numPr>
      <w:spacing w:before="240" w:after="60"/>
      <w:outlineLvl w:val="6"/>
    </w:pPr>
    <w:rPr>
      <w:rFonts w:ascii="Arial" w:hAnsi="Arial"/>
      <w:sz w:val="20"/>
    </w:rPr>
  </w:style>
  <w:style w:type="paragraph" w:styleId="Heading8">
    <w:name w:val="heading 8"/>
    <w:basedOn w:val="Normal"/>
    <w:next w:val="Normal"/>
    <w:qFormat/>
    <w:pPr>
      <w:numPr>
        <w:ilvl w:val="7"/>
        <w:numId w:val="18"/>
      </w:numPr>
      <w:spacing w:before="240" w:after="60"/>
      <w:outlineLvl w:val="7"/>
    </w:pPr>
    <w:rPr>
      <w:rFonts w:ascii="Arial" w:hAnsi="Arial"/>
      <w:i/>
      <w:sz w:val="20"/>
    </w:rPr>
  </w:style>
  <w:style w:type="paragraph" w:styleId="Heading9">
    <w:name w:val="heading 9"/>
    <w:basedOn w:val="Normal"/>
    <w:next w:val="Normal"/>
    <w:qFormat/>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link w:val="BodyTextChar"/>
    <w:pPr>
      <w:spacing w:before="40" w:after="40"/>
      <w:jc w:val="both"/>
    </w:pPr>
  </w:style>
  <w:style w:type="paragraph" w:styleId="Title">
    <w:name w:val="Title"/>
    <w:basedOn w:val="Normal"/>
    <w:qFormat/>
    <w:pPr>
      <w:jc w:val="center"/>
    </w:pPr>
    <w:rPr>
      <w:b/>
    </w:rPr>
  </w:style>
  <w:style w:type="paragraph" w:styleId="FootnoteText">
    <w:name w:val="footnote text"/>
    <w:aliases w:val="Footnote Text Char,Footnote Text Char2 Char,Footnote Text Char Char Char,Footnote Text Char2 Char Char Char,Footnote Text Char Char Char Char Char,Footnote Text Char2 Char Char Char Char1 Char,Footnote Text Char2,Footnote Text Char Char,fn"/>
    <w:basedOn w:val="Normal"/>
    <w:link w:val="FootnoteTextChar1"/>
    <w:semiHidden/>
    <w:rPr>
      <w:sz w:val="22"/>
    </w:rPr>
  </w:style>
  <w:style w:type="character" w:styleId="FootnoteReference">
    <w:name w:val="footnote reference"/>
    <w:aliases w:val="o,fr,Style 3,o1,o2,o3,o4,o5,o6,o11,o21,o7"/>
    <w:semiHidden/>
    <w:rPr>
      <w:rFonts w:ascii="Palatino" w:hAnsi="Palatino" w:cs="Times New Roman"/>
      <w:sz w:val="22"/>
      <w:vertAlign w:val="superscript"/>
    </w:rPr>
  </w:style>
  <w:style w:type="paragraph" w:customStyle="1" w:styleId="standard">
    <w:name w:val="standard"/>
    <w:basedOn w:val="Normal"/>
    <w:link w:val="standardChar"/>
    <w:pPr>
      <w:spacing w:line="360" w:lineRule="auto"/>
      <w:ind w:firstLine="720"/>
    </w:pPr>
  </w:style>
  <w:style w:type="paragraph" w:customStyle="1" w:styleId="substandard">
    <w:name w:val="substandard"/>
    <w:basedOn w:val="standard"/>
    <w:pPr>
      <w:ind w:firstLine="1440"/>
    </w:pPr>
  </w:style>
  <w:style w:type="paragraph" w:customStyle="1" w:styleId="subsubstandard">
    <w:name w:val="subsubstandard"/>
    <w:basedOn w:val="Normal"/>
    <w:pPr>
      <w:spacing w:line="360" w:lineRule="auto"/>
      <w:ind w:firstLine="2160"/>
    </w:pPr>
  </w:style>
  <w:style w:type="paragraph" w:customStyle="1" w:styleId="subsubsubstandard">
    <w:name w:val="subsubsubstandard"/>
    <w:basedOn w:val="subsubstandard"/>
    <w:pPr>
      <w:ind w:firstLine="2880"/>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customStyle="1" w:styleId="num2">
    <w:name w:val="num2"/>
    <w:basedOn w:val="num1"/>
    <w:pPr>
      <w:ind w:firstLine="270"/>
    </w:pPr>
  </w:style>
  <w:style w:type="paragraph" w:customStyle="1" w:styleId="heading">
    <w:name w:val="heading"/>
    <w:basedOn w:val="Normal"/>
    <w:pPr>
      <w:keepNext/>
      <w:suppressAutoHyphens/>
      <w:spacing w:line="360" w:lineRule="auto"/>
    </w:pPr>
    <w:rPr>
      <w:rFonts w:ascii="Helvetica" w:hAnsi="Helvetica"/>
      <w:b/>
    </w:rPr>
  </w:style>
  <w:style w:type="paragraph" w:customStyle="1" w:styleId="titlebar">
    <w:name w:val="title bar"/>
    <w:basedOn w:val="main"/>
    <w:pPr>
      <w:keepNext/>
      <w:suppressAutoHyphens/>
    </w:pPr>
  </w:style>
  <w:style w:type="paragraph" w:customStyle="1" w:styleId="subsubsubsubstandard">
    <w:name w:val="subsubsubsubstandard"/>
    <w:basedOn w:val="subsubsubstandard"/>
    <w:pPr>
      <w:ind w:firstLine="360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tabs>
        <w:tab w:val="left" w:pos="8280"/>
      </w:tabs>
      <w:ind w:left="1080" w:right="1260"/>
    </w:pPr>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qFormat/>
    <w:rPr>
      <w:rFonts w:cs="Times New Roman"/>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Pr>
      <w:rFonts w:ascii="Palatino" w:hAnsi="Palatino" w:cs="Times New Roman"/>
      <w:sz w:val="24"/>
      <w:lang w:val="en-US" w:eastAsia="en-US" w:bidi="ar-SA"/>
    </w:rPr>
  </w:style>
  <w:style w:type="character" w:customStyle="1" w:styleId="HTMLPreformattedChar">
    <w:name w:val="HTML Preformatted Char"/>
    <w:link w:val="HTMLPreformatted"/>
    <w:locked/>
    <w:rPr>
      <w:rFonts w:ascii="Courier New" w:hAnsi="Courier New" w:cs="Courier New"/>
      <w:lang w:val="en-US" w:eastAsia="en-US" w:bidi="ar-SA"/>
    </w:rPr>
  </w:style>
  <w:style w:type="character" w:customStyle="1" w:styleId="standardChar">
    <w:name w:val="standard Char"/>
    <w:link w:val="standard"/>
    <w:locked/>
    <w:rPr>
      <w:rFonts w:ascii="Palatino" w:hAnsi="Palatino" w:cs="Times New Roman"/>
      <w:sz w:val="24"/>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CharChar">
    <w:name w:val="Char Char"/>
    <w:rPr>
      <w:rFonts w:ascii="Courier New" w:hAnsi="Courier New" w:cs="Courier New"/>
      <w:lang w:val="en-US" w:eastAsia="en-US" w:bidi="ar-SA"/>
    </w:rPr>
  </w:style>
  <w:style w:type="character" w:styleId="FollowedHyperlink">
    <w:name w:val="FollowedHyperlink"/>
    <w:rPr>
      <w:color w:val="800080"/>
      <w:u w:val="single"/>
    </w:rPr>
  </w:style>
  <w:style w:type="character" w:customStyle="1" w:styleId="FootnoteTextChar1">
    <w:name w:val="Footnote Text Char1"/>
    <w:aliases w:val="Footnote Text Char Char1,Footnote Text Char2 Char Char,Footnote Text Char Char Char Char,Footnote Text Char2 Char Char Char Char,Footnote Text Char Char Char Char Char Char,Footnote Text Char2 Char Char Char Char1 Char Char,fn Char"/>
    <w:link w:val="FootnoteText"/>
    <w:rPr>
      <w:rFonts w:ascii="Palatino" w:hAnsi="Palatino"/>
      <w:sz w:val="22"/>
      <w:lang w:val="en-US" w:eastAsia="en-US" w:bidi="ar-SA"/>
    </w:rPr>
  </w:style>
  <w:style w:type="paragraph" w:styleId="NormalWeb">
    <w:name w:val="Normal (Web)"/>
    <w:basedOn w:val="Normal"/>
    <w:uiPriority w:val="99"/>
    <w:pPr>
      <w:overflowPunct/>
      <w:autoSpaceDE/>
      <w:autoSpaceDN/>
      <w:adjustRightInd/>
      <w:spacing w:before="168" w:after="216"/>
      <w:textAlignment w:val="auto"/>
    </w:pPr>
    <w:rPr>
      <w:rFonts w:ascii="Times New Roman" w:hAnsi="Times New Roman"/>
      <w:szCs w:val="24"/>
    </w:rPr>
  </w:style>
  <w:style w:type="character" w:customStyle="1" w:styleId="num1Char">
    <w:name w:val="num1 Char"/>
    <w:link w:val="num1"/>
    <w:locked/>
    <w:rsid w:val="004A3BDB"/>
    <w:rPr>
      <w:rFonts w:ascii="Palatino" w:hAnsi="Palatino"/>
      <w:sz w:val="24"/>
    </w:rPr>
  </w:style>
  <w:style w:type="paragraph" w:styleId="ListParagraph">
    <w:name w:val="List Paragraph"/>
    <w:basedOn w:val="Normal"/>
    <w:uiPriority w:val="34"/>
    <w:qFormat/>
    <w:rsid w:val="00BD224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FooterChar">
    <w:name w:val="Footer Char"/>
    <w:link w:val="Footer"/>
    <w:uiPriority w:val="99"/>
    <w:rsid w:val="0004215A"/>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2249365">
      <w:bodyDiv w:val="1"/>
      <w:marLeft w:val="0"/>
      <w:marRight w:val="0"/>
      <w:marTop w:val="0"/>
      <w:marBottom w:val="0"/>
      <w:divBdr>
        <w:top w:val="none" w:sz="0" w:space="0" w:color="auto"/>
        <w:left w:val="none" w:sz="0" w:space="0" w:color="auto"/>
        <w:bottom w:val="none" w:sz="0" w:space="0" w:color="auto"/>
        <w:right w:val="none" w:sz="0" w:space="0" w:color="auto"/>
      </w:divBdr>
    </w:div>
    <w:div w:id="235091762">
      <w:bodyDiv w:val="1"/>
      <w:marLeft w:val="0"/>
      <w:marRight w:val="0"/>
      <w:marTop w:val="0"/>
      <w:marBottom w:val="0"/>
      <w:divBdr>
        <w:top w:val="none" w:sz="0" w:space="0" w:color="auto"/>
        <w:left w:val="none" w:sz="0" w:space="0" w:color="auto"/>
        <w:bottom w:val="none" w:sz="0" w:space="0" w:color="auto"/>
        <w:right w:val="none" w:sz="0" w:space="0" w:color="auto"/>
      </w:divBdr>
    </w:div>
    <w:div w:id="414782666">
      <w:bodyDiv w:val="1"/>
      <w:marLeft w:val="0"/>
      <w:marRight w:val="0"/>
      <w:marTop w:val="0"/>
      <w:marBottom w:val="0"/>
      <w:divBdr>
        <w:top w:val="none" w:sz="0" w:space="0" w:color="auto"/>
        <w:left w:val="none" w:sz="0" w:space="0" w:color="auto"/>
        <w:bottom w:val="none" w:sz="0" w:space="0" w:color="auto"/>
        <w:right w:val="none" w:sz="0" w:space="0" w:color="auto"/>
      </w:divBdr>
    </w:div>
    <w:div w:id="540752199">
      <w:bodyDiv w:val="1"/>
      <w:marLeft w:val="0"/>
      <w:marRight w:val="0"/>
      <w:marTop w:val="0"/>
      <w:marBottom w:val="0"/>
      <w:divBdr>
        <w:top w:val="none" w:sz="0" w:space="0" w:color="auto"/>
        <w:left w:val="none" w:sz="0" w:space="0" w:color="auto"/>
        <w:bottom w:val="none" w:sz="0" w:space="0" w:color="auto"/>
        <w:right w:val="none" w:sz="0" w:space="0" w:color="auto"/>
      </w:divBdr>
    </w:div>
    <w:div w:id="628752677">
      <w:bodyDiv w:val="1"/>
      <w:marLeft w:val="0"/>
      <w:marRight w:val="0"/>
      <w:marTop w:val="0"/>
      <w:marBottom w:val="0"/>
      <w:divBdr>
        <w:top w:val="none" w:sz="0" w:space="0" w:color="auto"/>
        <w:left w:val="none" w:sz="0" w:space="0" w:color="auto"/>
        <w:bottom w:val="none" w:sz="0" w:space="0" w:color="auto"/>
        <w:right w:val="none" w:sz="0" w:space="0" w:color="auto"/>
      </w:divBdr>
    </w:div>
    <w:div w:id="710304293">
      <w:bodyDiv w:val="1"/>
      <w:marLeft w:val="0"/>
      <w:marRight w:val="0"/>
      <w:marTop w:val="0"/>
      <w:marBottom w:val="0"/>
      <w:divBdr>
        <w:top w:val="none" w:sz="0" w:space="0" w:color="auto"/>
        <w:left w:val="none" w:sz="0" w:space="0" w:color="auto"/>
        <w:bottom w:val="none" w:sz="0" w:space="0" w:color="auto"/>
        <w:right w:val="none" w:sz="0" w:space="0" w:color="auto"/>
      </w:divBdr>
    </w:div>
    <w:div w:id="761560667">
      <w:bodyDiv w:val="1"/>
      <w:marLeft w:val="0"/>
      <w:marRight w:val="0"/>
      <w:marTop w:val="0"/>
      <w:marBottom w:val="0"/>
      <w:divBdr>
        <w:top w:val="none" w:sz="0" w:space="0" w:color="auto"/>
        <w:left w:val="none" w:sz="0" w:space="0" w:color="auto"/>
        <w:bottom w:val="none" w:sz="0" w:space="0" w:color="auto"/>
        <w:right w:val="none" w:sz="0" w:space="0" w:color="auto"/>
      </w:divBdr>
      <w:divsChild>
        <w:div w:id="402684731">
          <w:marLeft w:val="2985"/>
          <w:marRight w:val="0"/>
          <w:marTop w:val="0"/>
          <w:marBottom w:val="0"/>
          <w:divBdr>
            <w:top w:val="none" w:sz="0" w:space="0" w:color="auto"/>
            <w:left w:val="none" w:sz="0" w:space="0" w:color="auto"/>
            <w:bottom w:val="none" w:sz="0" w:space="0" w:color="auto"/>
            <w:right w:val="none" w:sz="0" w:space="0" w:color="auto"/>
          </w:divBdr>
          <w:divsChild>
            <w:div w:id="1777285295">
              <w:marLeft w:val="0"/>
              <w:marRight w:val="0"/>
              <w:marTop w:val="0"/>
              <w:marBottom w:val="0"/>
              <w:divBdr>
                <w:top w:val="none" w:sz="0" w:space="0" w:color="auto"/>
                <w:left w:val="none" w:sz="0" w:space="0" w:color="auto"/>
                <w:bottom w:val="none" w:sz="0" w:space="0" w:color="auto"/>
                <w:right w:val="none" w:sz="0" w:space="0" w:color="auto"/>
              </w:divBdr>
              <w:divsChild>
                <w:div w:id="1421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2027">
      <w:bodyDiv w:val="1"/>
      <w:marLeft w:val="0"/>
      <w:marRight w:val="0"/>
      <w:marTop w:val="0"/>
      <w:marBottom w:val="0"/>
      <w:divBdr>
        <w:top w:val="none" w:sz="0" w:space="0" w:color="auto"/>
        <w:left w:val="none" w:sz="0" w:space="0" w:color="auto"/>
        <w:bottom w:val="none" w:sz="0" w:space="0" w:color="auto"/>
        <w:right w:val="none" w:sz="0" w:space="0" w:color="auto"/>
      </w:divBdr>
      <w:divsChild>
        <w:div w:id="1117142505">
          <w:marLeft w:val="2985"/>
          <w:marRight w:val="0"/>
          <w:marTop w:val="0"/>
          <w:marBottom w:val="0"/>
          <w:divBdr>
            <w:top w:val="none" w:sz="0" w:space="0" w:color="auto"/>
            <w:left w:val="none" w:sz="0" w:space="0" w:color="auto"/>
            <w:bottom w:val="none" w:sz="0" w:space="0" w:color="auto"/>
            <w:right w:val="none" w:sz="0" w:space="0" w:color="auto"/>
          </w:divBdr>
          <w:divsChild>
            <w:div w:id="1926498690">
              <w:marLeft w:val="0"/>
              <w:marRight w:val="0"/>
              <w:marTop w:val="0"/>
              <w:marBottom w:val="0"/>
              <w:divBdr>
                <w:top w:val="none" w:sz="0" w:space="0" w:color="auto"/>
                <w:left w:val="none" w:sz="0" w:space="0" w:color="auto"/>
                <w:bottom w:val="none" w:sz="0" w:space="0" w:color="auto"/>
                <w:right w:val="none" w:sz="0" w:space="0" w:color="auto"/>
              </w:divBdr>
              <w:divsChild>
                <w:div w:id="2055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8679">
      <w:bodyDiv w:val="1"/>
      <w:marLeft w:val="0"/>
      <w:marRight w:val="0"/>
      <w:marTop w:val="0"/>
      <w:marBottom w:val="0"/>
      <w:divBdr>
        <w:top w:val="none" w:sz="0" w:space="0" w:color="auto"/>
        <w:left w:val="none" w:sz="0" w:space="0" w:color="auto"/>
        <w:bottom w:val="none" w:sz="0" w:space="0" w:color="auto"/>
        <w:right w:val="none" w:sz="0" w:space="0" w:color="auto"/>
      </w:divBdr>
    </w:div>
    <w:div w:id="1000497936">
      <w:bodyDiv w:val="1"/>
      <w:marLeft w:val="0"/>
      <w:marRight w:val="0"/>
      <w:marTop w:val="0"/>
      <w:marBottom w:val="0"/>
      <w:divBdr>
        <w:top w:val="none" w:sz="0" w:space="0" w:color="auto"/>
        <w:left w:val="none" w:sz="0" w:space="0" w:color="auto"/>
        <w:bottom w:val="none" w:sz="0" w:space="0" w:color="auto"/>
        <w:right w:val="none" w:sz="0" w:space="0" w:color="auto"/>
      </w:divBdr>
    </w:div>
    <w:div w:id="1058626462">
      <w:bodyDiv w:val="1"/>
      <w:marLeft w:val="0"/>
      <w:marRight w:val="0"/>
      <w:marTop w:val="0"/>
      <w:marBottom w:val="0"/>
      <w:divBdr>
        <w:top w:val="none" w:sz="0" w:space="0" w:color="auto"/>
        <w:left w:val="none" w:sz="0" w:space="0" w:color="auto"/>
        <w:bottom w:val="none" w:sz="0" w:space="0" w:color="auto"/>
        <w:right w:val="none" w:sz="0" w:space="0" w:color="auto"/>
      </w:divBdr>
    </w:div>
    <w:div w:id="1388066285">
      <w:bodyDiv w:val="1"/>
      <w:marLeft w:val="0"/>
      <w:marRight w:val="0"/>
      <w:marTop w:val="0"/>
      <w:marBottom w:val="0"/>
      <w:divBdr>
        <w:top w:val="none" w:sz="0" w:space="0" w:color="auto"/>
        <w:left w:val="none" w:sz="0" w:space="0" w:color="auto"/>
        <w:bottom w:val="none" w:sz="0" w:space="0" w:color="auto"/>
        <w:right w:val="none" w:sz="0" w:space="0" w:color="auto"/>
      </w:divBdr>
    </w:div>
    <w:div w:id="1406301026">
      <w:bodyDiv w:val="1"/>
      <w:marLeft w:val="0"/>
      <w:marRight w:val="0"/>
      <w:marTop w:val="0"/>
      <w:marBottom w:val="0"/>
      <w:divBdr>
        <w:top w:val="none" w:sz="0" w:space="0" w:color="auto"/>
        <w:left w:val="none" w:sz="0" w:space="0" w:color="auto"/>
        <w:bottom w:val="none" w:sz="0" w:space="0" w:color="auto"/>
        <w:right w:val="none" w:sz="0" w:space="0" w:color="auto"/>
      </w:divBdr>
    </w:div>
    <w:div w:id="1643267751">
      <w:bodyDiv w:val="1"/>
      <w:marLeft w:val="0"/>
      <w:marRight w:val="0"/>
      <w:marTop w:val="0"/>
      <w:marBottom w:val="0"/>
      <w:divBdr>
        <w:top w:val="none" w:sz="0" w:space="0" w:color="auto"/>
        <w:left w:val="none" w:sz="0" w:space="0" w:color="auto"/>
        <w:bottom w:val="none" w:sz="0" w:space="0" w:color="auto"/>
        <w:right w:val="none" w:sz="0" w:space="0" w:color="auto"/>
      </w:divBdr>
    </w:div>
    <w:div w:id="1658341657">
      <w:bodyDiv w:val="1"/>
      <w:marLeft w:val="0"/>
      <w:marRight w:val="0"/>
      <w:marTop w:val="0"/>
      <w:marBottom w:val="0"/>
      <w:divBdr>
        <w:top w:val="none" w:sz="0" w:space="0" w:color="auto"/>
        <w:left w:val="none" w:sz="0" w:space="0" w:color="auto"/>
        <w:bottom w:val="none" w:sz="0" w:space="0" w:color="auto"/>
        <w:right w:val="none" w:sz="0" w:space="0" w:color="auto"/>
      </w:divBdr>
    </w:div>
    <w:div w:id="2121487387">
      <w:bodyDiv w:val="1"/>
      <w:marLeft w:val="0"/>
      <w:marRight w:val="0"/>
      <w:marTop w:val="0"/>
      <w:marBottom w:val="0"/>
      <w:divBdr>
        <w:top w:val="none" w:sz="0" w:space="0" w:color="auto"/>
        <w:left w:val="none" w:sz="0" w:space="0" w:color="auto"/>
        <w:bottom w:val="none" w:sz="0" w:space="0" w:color="auto"/>
        <w:right w:val="none" w:sz="0" w:space="0" w:color="auto"/>
      </w:divBdr>
    </w:div>
    <w:div w:id="21408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3735</Words>
  <Characters>19561</Characters>
  <Application>Microsoft Office Word</Application>
  <DocSecurity>0</DocSecurity>
  <Lines>1125</Lines>
  <Paragraphs>738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22822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2012-04-20T17:54:00Z</cp:lastPrinted>
  <dcterms:created xsi:type="dcterms:W3CDTF">2015-08-18T19:44:00Z</dcterms:created>
  <dcterms:modified xsi:type="dcterms:W3CDTF">2015-08-18T19:44:00Z</dcterms:modified>
  <cp:category> </cp:category>
  <cp:contentStatus> </cp:contentStatus>
</cp:coreProperties>
</file>