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7DE" w:rsidRPr="00470F84" w:rsidRDefault="00223246">
      <w:pPr>
        <w:pStyle w:val="titlebar"/>
        <w:rPr>
          <w:sz w:val="24"/>
        </w:rPr>
      </w:pPr>
      <w:bookmarkStart w:id="0" w:name="_GoBack"/>
      <w:bookmarkEnd w:id="0"/>
      <w:r>
        <w:rPr>
          <w:sz w:val="24"/>
        </w:rPr>
        <w:t xml:space="preserve"> </w:t>
      </w:r>
      <w:r w:rsidR="00136821">
        <w:rPr>
          <w:sz w:val="24"/>
        </w:rPr>
        <w:t xml:space="preserve"> </w:t>
      </w:r>
      <w:r w:rsidR="00CF17DE" w:rsidRPr="00470F84">
        <w:rPr>
          <w:sz w:val="24"/>
        </w:rPr>
        <w:t>PUBLIC UTILITIES COMMISSION OF THE STATE OF CALIFORNIA</w:t>
      </w:r>
    </w:p>
    <w:p w:rsidR="00CF17DE" w:rsidRPr="00030063" w:rsidRDefault="00030063">
      <w:pPr>
        <w:suppressAutoHyphens/>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b/>
          <w:sz w:val="24"/>
          <w:szCs w:val="24"/>
        </w:rPr>
        <w:t>ID #14463</w:t>
      </w:r>
    </w:p>
    <w:p w:rsidR="00CF17DE" w:rsidRPr="00470F84" w:rsidRDefault="00593807">
      <w:pPr>
        <w:rPr>
          <w:b/>
          <w:sz w:val="24"/>
        </w:rPr>
      </w:pPr>
      <w:r w:rsidRPr="00470F84">
        <w:rPr>
          <w:b/>
          <w:sz w:val="24"/>
        </w:rPr>
        <w:t>ENERGY DIVISION</w:t>
      </w:r>
      <w:r w:rsidRPr="00470F84">
        <w:rPr>
          <w:b/>
          <w:sz w:val="24"/>
        </w:rPr>
        <w:tab/>
      </w:r>
      <w:r w:rsidRPr="00470F84">
        <w:rPr>
          <w:b/>
          <w:sz w:val="24"/>
        </w:rPr>
        <w:tab/>
      </w:r>
      <w:r w:rsidRPr="00470F84">
        <w:rPr>
          <w:b/>
          <w:sz w:val="24"/>
        </w:rPr>
        <w:tab/>
      </w:r>
      <w:r w:rsidRPr="00470F84">
        <w:rPr>
          <w:b/>
          <w:sz w:val="24"/>
        </w:rPr>
        <w:tab/>
      </w:r>
      <w:r w:rsidRPr="00470F84">
        <w:rPr>
          <w:b/>
          <w:sz w:val="24"/>
        </w:rPr>
        <w:tab/>
      </w:r>
      <w:r w:rsidR="00470F84" w:rsidRPr="00470F84">
        <w:rPr>
          <w:b/>
          <w:sz w:val="24"/>
        </w:rPr>
        <w:tab/>
      </w:r>
      <w:r w:rsidR="000915EA">
        <w:rPr>
          <w:b/>
          <w:sz w:val="24"/>
        </w:rPr>
        <w:t xml:space="preserve">       </w:t>
      </w:r>
      <w:r w:rsidR="00CF17DE" w:rsidRPr="00470F84">
        <w:rPr>
          <w:b/>
          <w:sz w:val="24"/>
        </w:rPr>
        <w:t>RESOLUTION E-</w:t>
      </w:r>
      <w:r w:rsidR="00E0729B" w:rsidRPr="00470F84">
        <w:rPr>
          <w:b/>
          <w:sz w:val="24"/>
        </w:rPr>
        <w:t>4</w:t>
      </w:r>
      <w:r w:rsidR="00A64606">
        <w:rPr>
          <w:b/>
          <w:sz w:val="24"/>
        </w:rPr>
        <w:t>7</w:t>
      </w:r>
      <w:r w:rsidR="00643135">
        <w:rPr>
          <w:b/>
          <w:sz w:val="24"/>
        </w:rPr>
        <w:t>53</w:t>
      </w:r>
    </w:p>
    <w:p w:rsidR="00CF17DE" w:rsidRPr="00470F84" w:rsidRDefault="00CF17DE" w:rsidP="000915EA">
      <w:pPr>
        <w:ind w:left="1440" w:firstLine="720"/>
        <w:rPr>
          <w:b/>
          <w:sz w:val="24"/>
        </w:rPr>
      </w:pPr>
      <w:r w:rsidRPr="00470F84">
        <w:rPr>
          <w:b/>
          <w:sz w:val="24"/>
        </w:rPr>
        <w:tab/>
      </w:r>
      <w:r w:rsidR="000915EA">
        <w:rPr>
          <w:b/>
          <w:sz w:val="24"/>
        </w:rPr>
        <w:t xml:space="preserve">                              </w:t>
      </w:r>
      <w:r w:rsidR="005F75B5">
        <w:rPr>
          <w:b/>
          <w:sz w:val="24"/>
        </w:rPr>
        <w:t xml:space="preserve">               </w:t>
      </w:r>
      <w:r w:rsidR="000915EA">
        <w:rPr>
          <w:b/>
          <w:sz w:val="24"/>
        </w:rPr>
        <w:t xml:space="preserve">              </w:t>
      </w:r>
      <w:r w:rsidR="001B63F2">
        <w:rPr>
          <w:b/>
          <w:sz w:val="24"/>
        </w:rPr>
        <w:t xml:space="preserve">        </w:t>
      </w:r>
      <w:r w:rsidR="00643135">
        <w:rPr>
          <w:b/>
          <w:sz w:val="24"/>
        </w:rPr>
        <w:t xml:space="preserve">December </w:t>
      </w:r>
      <w:r w:rsidR="00251E69">
        <w:rPr>
          <w:b/>
          <w:sz w:val="24"/>
        </w:rPr>
        <w:t>3</w:t>
      </w:r>
      <w:r w:rsidR="001B63F2">
        <w:rPr>
          <w:b/>
          <w:sz w:val="24"/>
        </w:rPr>
        <w:t>, 2015</w:t>
      </w:r>
    </w:p>
    <w:p w:rsidR="00CF17DE" w:rsidRPr="00470F84" w:rsidRDefault="00CF17DE">
      <w:pPr>
        <w:tabs>
          <w:tab w:val="right" w:pos="8910"/>
        </w:tabs>
        <w:ind w:left="1440" w:firstLine="720"/>
        <w:rPr>
          <w:b/>
          <w:sz w:val="24"/>
        </w:rPr>
      </w:pPr>
    </w:p>
    <w:p w:rsidR="00CF17DE" w:rsidRPr="00470F84" w:rsidRDefault="00CF17DE">
      <w:pPr>
        <w:pStyle w:val="mainex"/>
        <w:rPr>
          <w:u w:val="single"/>
        </w:rPr>
      </w:pPr>
      <w:bookmarkStart w:id="1" w:name="_Ref404993683"/>
      <w:r w:rsidRPr="00470F84">
        <w:rPr>
          <w:u w:val="single"/>
        </w:rPr>
        <w:t>RESOLUTION</w:t>
      </w:r>
    </w:p>
    <w:p w:rsidR="00CF17DE" w:rsidRPr="00470F84" w:rsidRDefault="00CF17DE"/>
    <w:p w:rsidR="00CF17DE" w:rsidRPr="00470F84" w:rsidRDefault="00CF17DE">
      <w:pPr>
        <w:pStyle w:val="Res-Caption"/>
      </w:pPr>
      <w:r w:rsidRPr="0068207B">
        <w:rPr>
          <w:b/>
        </w:rPr>
        <w:t>Resolution E-</w:t>
      </w:r>
      <w:r w:rsidR="001B63F2" w:rsidRPr="0068207B">
        <w:rPr>
          <w:b/>
        </w:rPr>
        <w:t>475</w:t>
      </w:r>
      <w:r w:rsidR="00643135">
        <w:rPr>
          <w:b/>
        </w:rPr>
        <w:t>3</w:t>
      </w:r>
      <w:r w:rsidR="003F6420">
        <w:t>.</w:t>
      </w:r>
      <w:r w:rsidR="00E0729B" w:rsidRPr="00470F84">
        <w:t xml:space="preserve"> </w:t>
      </w:r>
      <w:r w:rsidR="003F6420">
        <w:t xml:space="preserve"> </w:t>
      </w:r>
      <w:r w:rsidR="00643135">
        <w:t>Pacific Gas and Electric</w:t>
      </w:r>
      <w:r w:rsidR="00E15EB9">
        <w:t xml:space="preserve"> </w:t>
      </w:r>
      <w:r w:rsidR="001C598F">
        <w:t xml:space="preserve">Company </w:t>
      </w:r>
      <w:r w:rsidR="00643135">
        <w:t>(PG&amp;</w:t>
      </w:r>
      <w:r w:rsidR="006E4888">
        <w:t>E</w:t>
      </w:r>
      <w:r w:rsidR="001356BD">
        <w:t xml:space="preserve">) </w:t>
      </w:r>
      <w:r w:rsidR="00035A8E">
        <w:t>deviations to Net Energy Metering (NEM)</w:t>
      </w:r>
      <w:r w:rsidR="00544CFC">
        <w:t xml:space="preserve"> forms</w:t>
      </w:r>
      <w:r w:rsidR="00035A8E">
        <w:t xml:space="preserve"> </w:t>
      </w:r>
      <w:r w:rsidR="00DB1C98">
        <w:t>pursuant</w:t>
      </w:r>
      <w:r w:rsidR="00544CFC">
        <w:t xml:space="preserve"> </w:t>
      </w:r>
      <w:r w:rsidR="00035A8E">
        <w:t xml:space="preserve">to Senate Bill </w:t>
      </w:r>
      <w:r w:rsidR="00B673A9">
        <w:t xml:space="preserve">(SB) </w:t>
      </w:r>
      <w:r w:rsidR="00035A8E">
        <w:t>862 for the California Department of Corrections and Rehabilitation (CDCR)</w:t>
      </w:r>
      <w:r w:rsidR="002A10F9">
        <w:t xml:space="preserve">.  </w:t>
      </w:r>
    </w:p>
    <w:p w:rsidR="00411524" w:rsidRDefault="00411524">
      <w:pPr>
        <w:pStyle w:val="Res-Caption"/>
      </w:pPr>
    </w:p>
    <w:p w:rsidR="0068207B" w:rsidRDefault="00411524">
      <w:pPr>
        <w:pStyle w:val="Res-Caption"/>
      </w:pPr>
      <w:r w:rsidRPr="0068207B">
        <w:rPr>
          <w:b/>
        </w:rPr>
        <w:t>PROPOSED OUTCOME</w:t>
      </w:r>
      <w:r w:rsidRPr="00470F84">
        <w:t xml:space="preserve"> </w:t>
      </w:r>
    </w:p>
    <w:p w:rsidR="00DB1C98" w:rsidRDefault="00411524" w:rsidP="0031057F">
      <w:pPr>
        <w:pStyle w:val="Res-Caption"/>
        <w:numPr>
          <w:ilvl w:val="0"/>
          <w:numId w:val="6"/>
        </w:numPr>
        <w:ind w:left="1440"/>
      </w:pPr>
      <w:r w:rsidRPr="00470F84">
        <w:t>This Resolution</w:t>
      </w:r>
      <w:r w:rsidR="00513038" w:rsidRPr="00470F84">
        <w:t xml:space="preserve"> approves </w:t>
      </w:r>
      <w:r w:rsidR="0068207B">
        <w:t xml:space="preserve">deviations to </w:t>
      </w:r>
      <w:r w:rsidR="00643135">
        <w:t>PG&amp;E</w:t>
      </w:r>
      <w:r w:rsidR="0068207B">
        <w:t xml:space="preserve"> Forms </w:t>
      </w:r>
      <w:r w:rsidR="00643135">
        <w:t>79-978</w:t>
      </w:r>
      <w:r w:rsidR="009C694B">
        <w:t xml:space="preserve"> </w:t>
      </w:r>
      <w:r w:rsidR="0068207B">
        <w:t xml:space="preserve">and </w:t>
      </w:r>
      <w:r w:rsidR="00BF54DF">
        <w:t xml:space="preserve">79-992 </w:t>
      </w:r>
      <w:r w:rsidR="0068207B">
        <w:t>applicable to CDCR.</w:t>
      </w:r>
    </w:p>
    <w:p w:rsidR="003303A4" w:rsidRDefault="00F1785E" w:rsidP="0031057F">
      <w:pPr>
        <w:pStyle w:val="Res-Caption"/>
        <w:numPr>
          <w:ilvl w:val="0"/>
          <w:numId w:val="6"/>
        </w:numPr>
        <w:ind w:left="1440"/>
      </w:pPr>
      <w:r w:rsidRPr="00F1785E">
        <w:t xml:space="preserve">Approves </w:t>
      </w:r>
      <w:r w:rsidR="00BF54DF">
        <w:t xml:space="preserve">PG&amp;E </w:t>
      </w:r>
      <w:r w:rsidRPr="00F1785E">
        <w:t xml:space="preserve">Advice Letter </w:t>
      </w:r>
      <w:r w:rsidR="00BF54DF">
        <w:t>4724</w:t>
      </w:r>
      <w:r w:rsidRPr="00F1785E">
        <w:t>-E</w:t>
      </w:r>
      <w:r>
        <w:t xml:space="preserve">, and grants the relief requested by </w:t>
      </w:r>
      <w:r w:rsidR="00BF54DF">
        <w:t>PG&amp;E</w:t>
      </w:r>
      <w:r>
        <w:t xml:space="preserve"> in that Advice Letter.</w:t>
      </w:r>
    </w:p>
    <w:p w:rsidR="00411524" w:rsidRDefault="00411524">
      <w:pPr>
        <w:pStyle w:val="Res-Caption"/>
      </w:pPr>
    </w:p>
    <w:p w:rsidR="0068207B" w:rsidRDefault="006217F1" w:rsidP="006217F1">
      <w:pPr>
        <w:pStyle w:val="Res-Caption"/>
      </w:pPr>
      <w:r w:rsidRPr="0068207B">
        <w:rPr>
          <w:b/>
        </w:rPr>
        <w:t>SAFETY CONSIDERATIONS</w:t>
      </w:r>
      <w:r>
        <w:t xml:space="preserve"> </w:t>
      </w:r>
    </w:p>
    <w:p w:rsidR="006217F1" w:rsidRDefault="00F1785E" w:rsidP="0031057F">
      <w:pPr>
        <w:pStyle w:val="Res-Caption"/>
        <w:numPr>
          <w:ilvl w:val="0"/>
          <w:numId w:val="6"/>
        </w:numPr>
        <w:ind w:left="1440"/>
      </w:pPr>
      <w:r>
        <w:t xml:space="preserve">The </w:t>
      </w:r>
      <w:r w:rsidR="00AE1D10">
        <w:t>proposed deviation</w:t>
      </w:r>
      <w:r w:rsidR="00FF43E4">
        <w:t>s</w:t>
      </w:r>
      <w:r w:rsidR="00B673A9">
        <w:t xml:space="preserve"> are only necessary to implement the unique NEM eligibility pr</w:t>
      </w:r>
      <w:r w:rsidR="00982896">
        <w:t>ovisions granted CDCR by SB 862</w:t>
      </w:r>
      <w:r w:rsidR="00B673A9">
        <w:t xml:space="preserve"> and do not entail any novel safety considerations.   </w:t>
      </w:r>
    </w:p>
    <w:p w:rsidR="0058386C" w:rsidRDefault="0058386C" w:rsidP="006217F1">
      <w:pPr>
        <w:pStyle w:val="Res-Caption"/>
      </w:pPr>
    </w:p>
    <w:p w:rsidR="0068207B" w:rsidRDefault="0058386C" w:rsidP="0058386C">
      <w:pPr>
        <w:pStyle w:val="Res-Caption"/>
      </w:pPr>
      <w:r w:rsidRPr="0068207B">
        <w:rPr>
          <w:b/>
        </w:rPr>
        <w:t>ESTIMATED COST</w:t>
      </w:r>
      <w:r w:rsidRPr="00470F84">
        <w:t xml:space="preserve"> </w:t>
      </w:r>
      <w:r w:rsidR="003C0EAA">
        <w:t xml:space="preserve"> </w:t>
      </w:r>
    </w:p>
    <w:p w:rsidR="0058386C" w:rsidRPr="00470F84" w:rsidRDefault="0031057F" w:rsidP="0031057F">
      <w:pPr>
        <w:pStyle w:val="Res-Caption"/>
        <w:numPr>
          <w:ilvl w:val="0"/>
          <w:numId w:val="6"/>
        </w:numPr>
        <w:ind w:left="1440"/>
      </w:pPr>
      <w:r>
        <w:t xml:space="preserve">Proposed deviations to </w:t>
      </w:r>
      <w:r w:rsidR="00F3399D">
        <w:t xml:space="preserve">PG&amp;E </w:t>
      </w:r>
      <w:r>
        <w:t xml:space="preserve">Forms </w:t>
      </w:r>
      <w:r w:rsidR="00F3399D">
        <w:t>79-978</w:t>
      </w:r>
      <w:r>
        <w:t xml:space="preserve"> and </w:t>
      </w:r>
      <w:r w:rsidR="00F3399D">
        <w:t>79-992</w:t>
      </w:r>
      <w:r w:rsidR="0010711F">
        <w:t xml:space="preserve"> </w:t>
      </w:r>
      <w:r w:rsidR="0010711F" w:rsidRPr="001D4FAE">
        <w:t>include references to and provisions for</w:t>
      </w:r>
      <w:r w:rsidRPr="001D4FAE">
        <w:t xml:space="preserve"> CDCR’s responsibility for identified interconnection facilities and distribution system upgrade</w:t>
      </w:r>
      <w:r w:rsidR="0010711F" w:rsidRPr="001D4FAE">
        <w:t xml:space="preserve"> cost</w:t>
      </w:r>
      <w:r w:rsidRPr="001D4FAE">
        <w:t>s, per SB 862,</w:t>
      </w:r>
      <w:r>
        <w:t xml:space="preserve"> but entail no net costs to ratepayers.  </w:t>
      </w:r>
    </w:p>
    <w:p w:rsidR="00CF17DE" w:rsidRPr="00470F84" w:rsidRDefault="00CF17DE">
      <w:pPr>
        <w:pStyle w:val="Res-Caption"/>
      </w:pPr>
    </w:p>
    <w:p w:rsidR="00CF17DE" w:rsidRDefault="00CF17DE">
      <w:pPr>
        <w:pStyle w:val="Res-Caption"/>
      </w:pPr>
      <w:r w:rsidRPr="00470F84">
        <w:t xml:space="preserve">By Advice Letter </w:t>
      </w:r>
      <w:r w:rsidR="00F84C9D">
        <w:t xml:space="preserve">(AL) </w:t>
      </w:r>
      <w:r w:rsidR="00200AB0">
        <w:t>4724</w:t>
      </w:r>
      <w:r w:rsidRPr="00470F84">
        <w:t xml:space="preserve">-E </w:t>
      </w:r>
      <w:r w:rsidR="00E51489">
        <w:t>f</w:t>
      </w:r>
      <w:r w:rsidRPr="00470F84">
        <w:t>iled</w:t>
      </w:r>
      <w:r>
        <w:t xml:space="preserve"> on </w:t>
      </w:r>
      <w:r w:rsidR="00F3399D">
        <w:t>October</w:t>
      </w:r>
      <w:r w:rsidR="00B673A9">
        <w:t xml:space="preserve"> 1</w:t>
      </w:r>
      <w:r w:rsidR="00F3399D">
        <w:t>6</w:t>
      </w:r>
      <w:r w:rsidR="00E0729B">
        <w:t>, 201</w:t>
      </w:r>
      <w:r w:rsidR="00B673A9">
        <w:t>5</w:t>
      </w:r>
      <w:r>
        <w:t xml:space="preserve">. </w:t>
      </w:r>
    </w:p>
    <w:p w:rsidR="00CF17DE" w:rsidRDefault="00CF17DE">
      <w:pPr>
        <w:jc w:val="center"/>
      </w:pPr>
      <w:r>
        <w:t>__________________________________________________________</w:t>
      </w:r>
    </w:p>
    <w:p w:rsidR="007D4E02" w:rsidRDefault="007D4E02" w:rsidP="007D4E02">
      <w:pPr>
        <w:pStyle w:val="Heading1"/>
        <w:spacing w:before="0" w:after="0"/>
      </w:pPr>
    </w:p>
    <w:p w:rsidR="00CF17DE" w:rsidRDefault="00CF17DE">
      <w:pPr>
        <w:pStyle w:val="Heading1"/>
      </w:pPr>
      <w:r>
        <w:t>Summary</w:t>
      </w:r>
      <w:bookmarkEnd w:id="1"/>
    </w:p>
    <w:p w:rsidR="00AE23F8" w:rsidRDefault="00777BDF" w:rsidP="00471420">
      <w:pPr>
        <w:rPr>
          <w:b/>
        </w:rPr>
      </w:pPr>
      <w:r>
        <w:rPr>
          <w:b/>
        </w:rPr>
        <w:t>Pacific Gas and Electric</w:t>
      </w:r>
      <w:r w:rsidR="00445F19">
        <w:rPr>
          <w:b/>
        </w:rPr>
        <w:t xml:space="preserve"> Company</w:t>
      </w:r>
      <w:r w:rsidR="00E51489">
        <w:rPr>
          <w:b/>
        </w:rPr>
        <w:t xml:space="preserve"> (</w:t>
      </w:r>
      <w:r>
        <w:rPr>
          <w:b/>
        </w:rPr>
        <w:t>PG&amp;</w:t>
      </w:r>
      <w:r w:rsidR="00445F19">
        <w:rPr>
          <w:b/>
        </w:rPr>
        <w:t>E</w:t>
      </w:r>
      <w:r w:rsidR="00471420">
        <w:rPr>
          <w:b/>
        </w:rPr>
        <w:t xml:space="preserve">) </w:t>
      </w:r>
      <w:r w:rsidR="00AE1D10">
        <w:rPr>
          <w:b/>
        </w:rPr>
        <w:t xml:space="preserve">requests approval of deviations to </w:t>
      </w:r>
      <w:r>
        <w:rPr>
          <w:b/>
        </w:rPr>
        <w:t>PG&amp;E</w:t>
      </w:r>
      <w:r w:rsidR="00AE1D10">
        <w:rPr>
          <w:b/>
        </w:rPr>
        <w:t xml:space="preserve"> Forms </w:t>
      </w:r>
      <w:r>
        <w:rPr>
          <w:b/>
        </w:rPr>
        <w:t>79-978</w:t>
      </w:r>
      <w:r w:rsidR="00010D5F">
        <w:rPr>
          <w:b/>
        </w:rPr>
        <w:t xml:space="preserve">, </w:t>
      </w:r>
      <w:r w:rsidRPr="00777BDF">
        <w:rPr>
          <w:b/>
          <w:i/>
        </w:rPr>
        <w:t>Interconnection</w:t>
      </w:r>
      <w:r>
        <w:rPr>
          <w:b/>
          <w:i/>
        </w:rPr>
        <w:t xml:space="preserve"> Agreement</w:t>
      </w:r>
      <w:r w:rsidR="001763C6">
        <w:rPr>
          <w:b/>
          <w:i/>
        </w:rPr>
        <w:t xml:space="preserve"> (IA)</w:t>
      </w:r>
      <w:r>
        <w:rPr>
          <w:b/>
          <w:i/>
        </w:rPr>
        <w:t xml:space="preserve"> </w:t>
      </w:r>
      <w:r w:rsidRPr="00777BDF">
        <w:rPr>
          <w:b/>
          <w:i/>
        </w:rPr>
        <w:t>for Net Energy Metering (NEM) of Solar and Wind Electric Generating Facilities of 1,000 Kilowatts or Less, Other Than Facilities of 30 Kilowatts or Less</w:t>
      </w:r>
      <w:r w:rsidR="008A69EA">
        <w:rPr>
          <w:b/>
          <w:i/>
        </w:rPr>
        <w:t xml:space="preserve"> </w:t>
      </w:r>
      <w:r w:rsidR="008A69EA" w:rsidRPr="00FE6177">
        <w:rPr>
          <w:b/>
        </w:rPr>
        <w:t>(NEM IA)</w:t>
      </w:r>
      <w:r w:rsidR="00972739">
        <w:rPr>
          <w:b/>
        </w:rPr>
        <w:t xml:space="preserve">, and </w:t>
      </w:r>
      <w:r>
        <w:rPr>
          <w:b/>
        </w:rPr>
        <w:t>79-992</w:t>
      </w:r>
      <w:r w:rsidR="00FF43E4">
        <w:rPr>
          <w:b/>
        </w:rPr>
        <w:t xml:space="preserve">, </w:t>
      </w:r>
      <w:r w:rsidRPr="00777BDF">
        <w:rPr>
          <w:b/>
          <w:i/>
        </w:rPr>
        <w:t>Customer Generation Agreemen</w:t>
      </w:r>
      <w:r w:rsidR="008A69EA">
        <w:rPr>
          <w:b/>
          <w:i/>
        </w:rPr>
        <w:t>t</w:t>
      </w:r>
      <w:r w:rsidR="00420F6C">
        <w:rPr>
          <w:b/>
          <w:i/>
        </w:rPr>
        <w:t xml:space="preserve"> (CGA)</w:t>
      </w:r>
      <w:r w:rsidR="008A69EA">
        <w:rPr>
          <w:b/>
          <w:i/>
        </w:rPr>
        <w:t xml:space="preserve"> </w:t>
      </w:r>
      <w:r w:rsidRPr="00777BDF">
        <w:rPr>
          <w:b/>
          <w:i/>
        </w:rPr>
        <w:t>(Third Party Gen</w:t>
      </w:r>
      <w:r>
        <w:rPr>
          <w:b/>
          <w:i/>
        </w:rPr>
        <w:t>erator on Premises Non-Exporting)</w:t>
      </w:r>
      <w:r w:rsidR="004351A3">
        <w:rPr>
          <w:b/>
          <w:i/>
        </w:rPr>
        <w:t xml:space="preserve"> </w:t>
      </w:r>
      <w:r w:rsidR="00FF43E4">
        <w:rPr>
          <w:b/>
        </w:rPr>
        <w:t xml:space="preserve">to implement the NEM provisions of Senate Bill (SB) 862 for </w:t>
      </w:r>
      <w:r w:rsidR="00FF43E4">
        <w:rPr>
          <w:b/>
        </w:rPr>
        <w:lastRenderedPageBreak/>
        <w:t>the California Department of Corrections and Rehabilitation (CDCR)</w:t>
      </w:r>
      <w:r w:rsidR="00EB7B9D">
        <w:rPr>
          <w:b/>
        </w:rPr>
        <w:t>.</w:t>
      </w:r>
      <w:r w:rsidR="00FF43E4">
        <w:rPr>
          <w:b/>
        </w:rPr>
        <w:t xml:space="preserve">  The proposed deviations</w:t>
      </w:r>
      <w:r w:rsidR="00C4672A">
        <w:rPr>
          <w:b/>
        </w:rPr>
        <w:t xml:space="preserve"> are found to</w:t>
      </w:r>
      <w:r w:rsidR="00FF43E4">
        <w:rPr>
          <w:b/>
        </w:rPr>
        <w:t xml:space="preserve"> </w:t>
      </w:r>
      <w:r w:rsidR="0024211E">
        <w:rPr>
          <w:b/>
        </w:rPr>
        <w:t>complete the</w:t>
      </w:r>
      <w:r w:rsidR="00FF43E4">
        <w:rPr>
          <w:b/>
        </w:rPr>
        <w:t xml:space="preserve"> implement</w:t>
      </w:r>
      <w:r w:rsidR="0024211E">
        <w:rPr>
          <w:b/>
        </w:rPr>
        <w:t>ation of</w:t>
      </w:r>
      <w:r w:rsidR="00FF43E4">
        <w:rPr>
          <w:b/>
        </w:rPr>
        <w:t xml:space="preserve"> the unique NEM eligibility provisions granted CDCR by SB 862, and are approved.</w:t>
      </w:r>
    </w:p>
    <w:p w:rsidR="00AE23F8" w:rsidRDefault="00AE23F8" w:rsidP="00471420">
      <w:pPr>
        <w:rPr>
          <w:b/>
        </w:rPr>
      </w:pPr>
    </w:p>
    <w:p w:rsidR="00AE23F8" w:rsidRPr="004256C8" w:rsidRDefault="00FF43E4" w:rsidP="00F16157">
      <w:r>
        <w:t>SB 862, signed into law by Governor Brown on June 20, 2014, amended P</w:t>
      </w:r>
      <w:r w:rsidR="00C4672A">
        <w:t>ublic Utility (P</w:t>
      </w:r>
      <w:r>
        <w:t xml:space="preserve">U) Code </w:t>
      </w:r>
      <w:r>
        <w:rPr>
          <w:rFonts w:ascii="Book Antiqua" w:hAnsi="Book Antiqua"/>
        </w:rPr>
        <w:t>§</w:t>
      </w:r>
      <w:r>
        <w:t>2827</w:t>
      </w:r>
      <w:r w:rsidR="00C4672A">
        <w:t>(b)(4)(B)</w:t>
      </w:r>
      <w:r w:rsidR="00ED4470">
        <w:t xml:space="preserve"> to extend NEM eligibility to CDCR</w:t>
      </w:r>
      <w:r w:rsidR="0070406B">
        <w:t>-sited</w:t>
      </w:r>
      <w:r w:rsidR="00BA2CAF">
        <w:t xml:space="preserve"> “</w:t>
      </w:r>
      <w:r w:rsidR="00ED4470">
        <w:t xml:space="preserve">renewable electrical generation technology, or a combination of renewable electrical </w:t>
      </w:r>
      <w:r w:rsidR="00ED4470" w:rsidRPr="00AD2BD4">
        <w:t>generation technologies, with a total capacity of not more than eight megawatts</w:t>
      </w:r>
      <w:r w:rsidR="00380971" w:rsidRPr="00AD2BD4">
        <w:t xml:space="preserve"> (MW)</w:t>
      </w:r>
      <w:r w:rsidR="00ED4470" w:rsidRPr="00AD2BD4">
        <w:t>.”</w:t>
      </w:r>
      <w:r w:rsidR="00995FE7" w:rsidRPr="00AD2BD4">
        <w:t xml:space="preserve">  </w:t>
      </w:r>
      <w:r w:rsidR="005351A0" w:rsidRPr="00AD2BD4">
        <w:t>PG&amp;E</w:t>
      </w:r>
      <w:r w:rsidR="00995FE7" w:rsidRPr="00AD2BD4">
        <w:t xml:space="preserve"> Advice Letter</w:t>
      </w:r>
      <w:r w:rsidR="005351A0" w:rsidRPr="00AD2BD4">
        <w:t xml:space="preserve"> (AL)</w:t>
      </w:r>
      <w:r w:rsidR="00995FE7" w:rsidRPr="00AD2BD4">
        <w:t xml:space="preserve"> </w:t>
      </w:r>
      <w:r w:rsidR="005351A0" w:rsidRPr="00AD2BD4">
        <w:t>4617-E</w:t>
      </w:r>
      <w:r w:rsidR="00995FE7" w:rsidRPr="00AD2BD4">
        <w:t xml:space="preserve">, approved May </w:t>
      </w:r>
      <w:r w:rsidR="00573A53" w:rsidRPr="00AD2BD4">
        <w:t>8</w:t>
      </w:r>
      <w:r w:rsidR="00995FE7" w:rsidRPr="00AD2BD4">
        <w:t xml:space="preserve">, 2015, contained </w:t>
      </w:r>
      <w:r w:rsidR="00174523" w:rsidRPr="00AD2BD4">
        <w:t>revisions</w:t>
      </w:r>
      <w:r w:rsidR="00995FE7" w:rsidRPr="00AD2BD4">
        <w:t xml:space="preserve"> to </w:t>
      </w:r>
      <w:r w:rsidR="005351A0" w:rsidRPr="00AD2BD4">
        <w:t>PG&amp;E</w:t>
      </w:r>
      <w:r w:rsidR="00995FE7" w:rsidRPr="00AD2BD4">
        <w:t xml:space="preserve"> tariffs necessary to </w:t>
      </w:r>
      <w:r w:rsidR="00174523" w:rsidRPr="00AD2BD4">
        <w:t xml:space="preserve">implement the modifications made to PU Code </w:t>
      </w:r>
      <w:r w:rsidR="00174523" w:rsidRPr="00AD2BD4">
        <w:rPr>
          <w:rFonts w:ascii="Book Antiqua" w:hAnsi="Book Antiqua"/>
        </w:rPr>
        <w:t>§</w:t>
      </w:r>
      <w:r w:rsidR="00174523" w:rsidRPr="00AD2BD4">
        <w:t>2827 by SB 862 related to certain NEM provisions applicable to CDCR</w:t>
      </w:r>
      <w:r w:rsidR="00F16157" w:rsidRPr="00AD2BD4">
        <w:t xml:space="preserve">.  However, </w:t>
      </w:r>
      <w:r w:rsidR="005351A0" w:rsidRPr="00AD2BD4">
        <w:t xml:space="preserve">as anticipated in AL 4617-E, PG&amp;E </w:t>
      </w:r>
      <w:r w:rsidR="0070406B" w:rsidRPr="00AD2BD4">
        <w:t xml:space="preserve">believes </w:t>
      </w:r>
      <w:r w:rsidR="00B5671E" w:rsidRPr="00AD2BD4">
        <w:t xml:space="preserve">deviations to </w:t>
      </w:r>
      <w:r w:rsidR="005351A0" w:rsidRPr="00AD2BD4">
        <w:t>PG&amp;E’s</w:t>
      </w:r>
      <w:r w:rsidR="00B5671E" w:rsidRPr="00AD2BD4">
        <w:t xml:space="preserve"> </w:t>
      </w:r>
      <w:r w:rsidR="00F04DAC" w:rsidRPr="00AD2BD4">
        <w:t xml:space="preserve">standard </w:t>
      </w:r>
      <w:r w:rsidR="005351A0" w:rsidRPr="00AD2BD4">
        <w:t>NEM IA (Form 79-978</w:t>
      </w:r>
      <w:r w:rsidR="00513426" w:rsidRPr="00AD2BD4">
        <w:t xml:space="preserve">) </w:t>
      </w:r>
      <w:r w:rsidR="00513426">
        <w:t>and</w:t>
      </w:r>
      <w:r w:rsidR="000D2809">
        <w:t xml:space="preserve"> </w:t>
      </w:r>
      <w:r w:rsidR="005351A0" w:rsidRPr="00AD2BD4">
        <w:t>CGA</w:t>
      </w:r>
      <w:r w:rsidR="00420F6C">
        <w:t xml:space="preserve"> for Third Party Generators</w:t>
      </w:r>
      <w:r w:rsidR="00B5671E" w:rsidRPr="00AD2BD4">
        <w:t xml:space="preserve"> (</w:t>
      </w:r>
      <w:r w:rsidR="00B5671E">
        <w:t xml:space="preserve">Form </w:t>
      </w:r>
      <w:r w:rsidR="008848BA">
        <w:t>79-992</w:t>
      </w:r>
      <w:r w:rsidR="00B5671E">
        <w:t>)</w:t>
      </w:r>
      <w:r w:rsidR="004351A3">
        <w:t xml:space="preserve"> </w:t>
      </w:r>
      <w:r w:rsidR="0070406B">
        <w:t>are</w:t>
      </w:r>
      <w:r w:rsidR="00B5671E">
        <w:t xml:space="preserve"> necessary </w:t>
      </w:r>
      <w:r w:rsidR="00540215">
        <w:t xml:space="preserve">in order to </w:t>
      </w:r>
      <w:r w:rsidR="007D0958">
        <w:t xml:space="preserve">reflect the specific study and cost responsibility provisions </w:t>
      </w:r>
      <w:r w:rsidR="0070406B">
        <w:t xml:space="preserve">of SB 862 </w:t>
      </w:r>
      <w:r w:rsidR="007D0958">
        <w:t xml:space="preserve">applicable solely to CDCR, and to </w:t>
      </w:r>
      <w:r w:rsidR="00513426">
        <w:t xml:space="preserve">allow the CDCR </w:t>
      </w:r>
      <w:r w:rsidR="00E61E1A">
        <w:t xml:space="preserve">to </w:t>
      </w:r>
      <w:r w:rsidR="007D0958">
        <w:t>authorize</w:t>
      </w:r>
      <w:r w:rsidR="00E61E1A">
        <w:t xml:space="preserve"> a</w:t>
      </w:r>
      <w:r w:rsidR="007D0958">
        <w:t xml:space="preserve"> </w:t>
      </w:r>
      <w:r w:rsidR="00E61E1A">
        <w:t xml:space="preserve">single or multiple </w:t>
      </w:r>
      <w:r w:rsidR="007D0958">
        <w:t>third-</w:t>
      </w:r>
      <w:r w:rsidR="00540215" w:rsidRPr="00540215">
        <w:t>party producers to</w:t>
      </w:r>
      <w:r w:rsidR="007D0958">
        <w:t xml:space="preserve"> enter into the modified NEM IA</w:t>
      </w:r>
      <w:r w:rsidR="00B5671E">
        <w:t>.</w:t>
      </w:r>
      <w:r w:rsidR="00E61E1A">
        <w:t xml:space="preserve">  Such deviations were filed in </w:t>
      </w:r>
      <w:r w:rsidR="008848BA">
        <w:t>PG&amp;E</w:t>
      </w:r>
      <w:r w:rsidR="00E61E1A">
        <w:t xml:space="preserve"> AL </w:t>
      </w:r>
      <w:r w:rsidR="00200AB0">
        <w:t>4724</w:t>
      </w:r>
      <w:r w:rsidR="00E61E1A">
        <w:t xml:space="preserve">-E, are found to </w:t>
      </w:r>
      <w:r w:rsidR="0024211E">
        <w:t xml:space="preserve">complete the implementation of </w:t>
      </w:r>
      <w:r w:rsidR="00E61E1A">
        <w:t>the unique NEM eligibility provisions granted CDCR by SB 862, and are approved</w:t>
      </w:r>
      <w:r w:rsidR="00924E65">
        <w:t xml:space="preserve"> via this Resolution</w:t>
      </w:r>
      <w:r w:rsidR="00E61E1A">
        <w:t>.</w:t>
      </w:r>
    </w:p>
    <w:p w:rsidR="00CF17DE" w:rsidRDefault="00CF17DE"/>
    <w:p w:rsidR="006E57C4" w:rsidRDefault="006E57C4" w:rsidP="006E57C4">
      <w:pPr>
        <w:pStyle w:val="Heading1"/>
      </w:pPr>
      <w:r>
        <w:t>BACKGROUND</w:t>
      </w:r>
    </w:p>
    <w:p w:rsidR="006012CB" w:rsidRDefault="00E61E1A" w:rsidP="008540A1">
      <w:pPr>
        <w:rPr>
          <w:b/>
        </w:rPr>
      </w:pPr>
      <w:r>
        <w:rPr>
          <w:b/>
        </w:rPr>
        <w:t xml:space="preserve">SB 862 </w:t>
      </w:r>
      <w:r w:rsidR="00054214">
        <w:rPr>
          <w:b/>
        </w:rPr>
        <w:t xml:space="preserve">extended NEM eligibility to </w:t>
      </w:r>
      <w:r>
        <w:rPr>
          <w:b/>
        </w:rPr>
        <w:t xml:space="preserve">the CDCR </w:t>
      </w:r>
      <w:r w:rsidR="00054214">
        <w:rPr>
          <w:b/>
        </w:rPr>
        <w:t>for up to 8 MW of on-site renewable electricity generation at a single facility.</w:t>
      </w:r>
    </w:p>
    <w:p w:rsidR="00380971" w:rsidRDefault="00380971" w:rsidP="008540A1">
      <w:pPr>
        <w:rPr>
          <w:b/>
        </w:rPr>
      </w:pPr>
    </w:p>
    <w:p w:rsidR="00FE01CE" w:rsidRDefault="00380971" w:rsidP="00FE01CE">
      <w:pPr>
        <w:spacing w:after="60"/>
      </w:pPr>
      <w:r>
        <w:t xml:space="preserve">On June 20, 2014, Governor Brown signed SB 862 into law, which, in part, </w:t>
      </w:r>
      <w:r w:rsidR="009C63EA">
        <w:t>added CDCR to</w:t>
      </w:r>
      <w:r>
        <w:t xml:space="preserve"> the definition of an NEM-eligible customer-generator in PU Code </w:t>
      </w:r>
      <w:r w:rsidR="00C05DA3">
        <w:rPr>
          <w:rFonts w:ascii="Book Antiqua" w:hAnsi="Book Antiqua"/>
        </w:rPr>
        <w:t>§</w:t>
      </w:r>
      <w:r w:rsidR="009C63EA">
        <w:t xml:space="preserve">2827(b)(4)(B) </w:t>
      </w:r>
      <w:r>
        <w:t>when using a renewable electrical generation technology, or combination of technologies, with a total capacity of not more than 8 MW.  The statute included unique provisions related t</w:t>
      </w:r>
      <w:r w:rsidR="002B3986">
        <w:t xml:space="preserve">o:  </w:t>
      </w:r>
    </w:p>
    <w:p w:rsidR="00FE01CE" w:rsidRPr="00FE01CE" w:rsidRDefault="00FE01CE" w:rsidP="00FE01CE">
      <w:pPr>
        <w:pStyle w:val="ListParagraph"/>
        <w:numPr>
          <w:ilvl w:val="0"/>
          <w:numId w:val="15"/>
        </w:numPr>
        <w:spacing w:after="60"/>
        <w:rPr>
          <w:rFonts w:ascii="Palatino Linotype" w:hAnsi="Palatino Linotype"/>
          <w:sz w:val="26"/>
          <w:szCs w:val="26"/>
        </w:rPr>
      </w:pPr>
      <w:r>
        <w:rPr>
          <w:rFonts w:ascii="Palatino Linotype" w:hAnsi="Palatino Linotype"/>
          <w:sz w:val="26"/>
          <w:szCs w:val="26"/>
        </w:rPr>
        <w:t>I</w:t>
      </w:r>
      <w:r w:rsidR="0031343E" w:rsidRPr="00FE01CE">
        <w:rPr>
          <w:rFonts w:ascii="Palatino Linotype" w:hAnsi="Palatino Linotype"/>
          <w:sz w:val="26"/>
          <w:szCs w:val="26"/>
        </w:rPr>
        <w:t xml:space="preserve">nterconnecting </w:t>
      </w:r>
      <w:r w:rsidR="00573A53">
        <w:rPr>
          <w:rFonts w:ascii="Palatino Linotype" w:hAnsi="Palatino Linotype"/>
          <w:sz w:val="26"/>
          <w:szCs w:val="26"/>
        </w:rPr>
        <w:t>renewable electrical generating facilities (</w:t>
      </w:r>
      <w:r w:rsidR="0031343E" w:rsidRPr="00FE01CE">
        <w:rPr>
          <w:rFonts w:ascii="Palatino Linotype" w:hAnsi="Palatino Linotype"/>
          <w:sz w:val="26"/>
          <w:szCs w:val="26"/>
        </w:rPr>
        <w:t>REGFs</w:t>
      </w:r>
      <w:r w:rsidR="00573A53">
        <w:rPr>
          <w:rFonts w:ascii="Palatino Linotype" w:hAnsi="Palatino Linotype"/>
          <w:sz w:val="26"/>
          <w:szCs w:val="26"/>
        </w:rPr>
        <w:t>)</w:t>
      </w:r>
      <w:r w:rsidR="0031343E" w:rsidRPr="00FE01CE">
        <w:rPr>
          <w:rFonts w:ascii="Palatino Linotype" w:hAnsi="Palatino Linotype"/>
          <w:sz w:val="26"/>
          <w:szCs w:val="26"/>
        </w:rPr>
        <w:t xml:space="preserve"> located on the CDCR’s owned, leased, or rented premises and operated in parallel with the electrical grid in order to offset part or all of the facility’s own electrical requirements; </w:t>
      </w:r>
    </w:p>
    <w:p w:rsidR="00FE01CE" w:rsidRPr="00FE01CE" w:rsidRDefault="00FE01CE" w:rsidP="00FE01CE">
      <w:pPr>
        <w:pStyle w:val="ListParagraph"/>
        <w:numPr>
          <w:ilvl w:val="0"/>
          <w:numId w:val="15"/>
        </w:numPr>
        <w:spacing w:after="60"/>
        <w:rPr>
          <w:rFonts w:ascii="Palatino Linotype" w:hAnsi="Palatino Linotype"/>
          <w:sz w:val="26"/>
          <w:szCs w:val="26"/>
        </w:rPr>
      </w:pPr>
      <w:r>
        <w:rPr>
          <w:rFonts w:ascii="Palatino Linotype" w:hAnsi="Palatino Linotype"/>
          <w:sz w:val="26"/>
          <w:szCs w:val="26"/>
        </w:rPr>
        <w:t>L</w:t>
      </w:r>
      <w:r w:rsidR="00C84794" w:rsidRPr="00FE01CE">
        <w:rPr>
          <w:rFonts w:ascii="Palatino Linotype" w:hAnsi="Palatino Linotype"/>
          <w:sz w:val="26"/>
          <w:szCs w:val="26"/>
        </w:rPr>
        <w:t>imiting the instantaneous export of wind generation to 1.35 MW at all times;</w:t>
      </w:r>
      <w:r w:rsidR="0031343E" w:rsidRPr="00FE01CE">
        <w:rPr>
          <w:rFonts w:ascii="Palatino Linotype" w:hAnsi="Palatino Linotype"/>
          <w:sz w:val="26"/>
          <w:szCs w:val="26"/>
        </w:rPr>
        <w:t xml:space="preserve"> </w:t>
      </w:r>
    </w:p>
    <w:p w:rsidR="00FE01CE" w:rsidRPr="00FE01CE" w:rsidRDefault="002C3C73" w:rsidP="00FE01CE">
      <w:pPr>
        <w:pStyle w:val="ListParagraph"/>
        <w:numPr>
          <w:ilvl w:val="0"/>
          <w:numId w:val="15"/>
        </w:numPr>
        <w:spacing w:after="60"/>
        <w:rPr>
          <w:rFonts w:ascii="Palatino Linotype" w:hAnsi="Palatino Linotype"/>
          <w:sz w:val="26"/>
          <w:szCs w:val="26"/>
        </w:rPr>
      </w:pPr>
      <w:r>
        <w:rPr>
          <w:rFonts w:ascii="Palatino Linotype" w:hAnsi="Palatino Linotype"/>
          <w:sz w:val="26"/>
          <w:szCs w:val="26"/>
        </w:rPr>
        <w:lastRenderedPageBreak/>
        <w:t>Affording an electrical corporation</w:t>
      </w:r>
      <w:r w:rsidR="00380971" w:rsidRPr="00FE01CE">
        <w:rPr>
          <w:rFonts w:ascii="Palatino Linotype" w:hAnsi="Palatino Linotype"/>
          <w:sz w:val="26"/>
          <w:szCs w:val="26"/>
        </w:rPr>
        <w:t xml:space="preserve"> </w:t>
      </w:r>
      <w:r>
        <w:rPr>
          <w:rFonts w:ascii="Palatino Linotype" w:hAnsi="Palatino Linotype"/>
          <w:sz w:val="26"/>
          <w:szCs w:val="26"/>
        </w:rPr>
        <w:t xml:space="preserve">a prudent but necessary time </w:t>
      </w:r>
      <w:r w:rsidR="00380971" w:rsidRPr="00FE01CE">
        <w:rPr>
          <w:rFonts w:ascii="Palatino Linotype" w:hAnsi="Palatino Linotype"/>
          <w:sz w:val="26"/>
          <w:szCs w:val="26"/>
        </w:rPr>
        <w:t>to study the impacts of interconnecti</w:t>
      </w:r>
      <w:r w:rsidR="00C84794" w:rsidRPr="00FE01CE">
        <w:rPr>
          <w:rFonts w:ascii="Palatino Linotype" w:hAnsi="Palatino Linotype"/>
          <w:sz w:val="26"/>
          <w:szCs w:val="26"/>
        </w:rPr>
        <w:t>ng</w:t>
      </w:r>
      <w:r w:rsidR="00380971" w:rsidRPr="00FE01CE">
        <w:rPr>
          <w:rFonts w:ascii="Palatino Linotype" w:hAnsi="Palatino Linotype"/>
          <w:sz w:val="26"/>
          <w:szCs w:val="26"/>
        </w:rPr>
        <w:t xml:space="preserve"> </w:t>
      </w:r>
      <w:r w:rsidR="00C84794" w:rsidRPr="00FE01CE">
        <w:rPr>
          <w:rFonts w:ascii="Palatino Linotype" w:hAnsi="Palatino Linotype"/>
          <w:sz w:val="26"/>
          <w:szCs w:val="26"/>
        </w:rPr>
        <w:t xml:space="preserve">an </w:t>
      </w:r>
      <w:r w:rsidR="00380971" w:rsidRPr="00FE01CE">
        <w:rPr>
          <w:rFonts w:ascii="Palatino Linotype" w:hAnsi="Palatino Linotype"/>
          <w:sz w:val="26"/>
          <w:szCs w:val="26"/>
        </w:rPr>
        <w:t xml:space="preserve">REGF </w:t>
      </w:r>
      <w:r w:rsidR="00C84794" w:rsidRPr="00FE01CE">
        <w:rPr>
          <w:rFonts w:ascii="Palatino Linotype" w:hAnsi="Palatino Linotype"/>
          <w:sz w:val="26"/>
          <w:szCs w:val="26"/>
        </w:rPr>
        <w:t xml:space="preserve">at a </w:t>
      </w:r>
      <w:r w:rsidR="00380971" w:rsidRPr="00FE01CE">
        <w:rPr>
          <w:rFonts w:ascii="Palatino Linotype" w:hAnsi="Palatino Linotype"/>
          <w:sz w:val="26"/>
          <w:szCs w:val="26"/>
        </w:rPr>
        <w:t xml:space="preserve">CDCR </w:t>
      </w:r>
      <w:r w:rsidR="00C84794" w:rsidRPr="00FE01CE">
        <w:rPr>
          <w:rFonts w:ascii="Palatino Linotype" w:hAnsi="Palatino Linotype"/>
          <w:sz w:val="26"/>
          <w:szCs w:val="26"/>
        </w:rPr>
        <w:t xml:space="preserve">facility </w:t>
      </w:r>
      <w:r w:rsidR="00380971" w:rsidRPr="00FE01CE">
        <w:rPr>
          <w:rFonts w:ascii="Palatino Linotype" w:hAnsi="Palatino Linotype"/>
          <w:sz w:val="26"/>
          <w:szCs w:val="26"/>
        </w:rPr>
        <w:t>with a capacity exceeding 1 MW</w:t>
      </w:r>
      <w:r w:rsidR="002B3986" w:rsidRPr="00FE01CE">
        <w:rPr>
          <w:rFonts w:ascii="Palatino Linotype" w:hAnsi="Palatino Linotype"/>
          <w:sz w:val="26"/>
          <w:szCs w:val="26"/>
        </w:rPr>
        <w:t>;</w:t>
      </w:r>
      <w:r w:rsidR="00380971" w:rsidRPr="00FE01CE">
        <w:rPr>
          <w:rFonts w:ascii="Palatino Linotype" w:hAnsi="Palatino Linotype"/>
          <w:sz w:val="26"/>
          <w:szCs w:val="26"/>
        </w:rPr>
        <w:t xml:space="preserve"> and </w:t>
      </w:r>
    </w:p>
    <w:p w:rsidR="00380971" w:rsidRPr="00FE01CE" w:rsidRDefault="002C3C73" w:rsidP="00FE01CE">
      <w:pPr>
        <w:pStyle w:val="ListParagraph"/>
        <w:numPr>
          <w:ilvl w:val="0"/>
          <w:numId w:val="15"/>
        </w:numPr>
        <w:rPr>
          <w:rFonts w:ascii="Palatino Linotype" w:hAnsi="Palatino Linotype"/>
          <w:sz w:val="26"/>
          <w:szCs w:val="26"/>
        </w:rPr>
      </w:pPr>
      <w:r>
        <w:rPr>
          <w:rFonts w:ascii="Palatino Linotype" w:hAnsi="Palatino Linotype"/>
          <w:sz w:val="26"/>
          <w:szCs w:val="26"/>
        </w:rPr>
        <w:t>CDCR</w:t>
      </w:r>
      <w:r w:rsidR="00823A6D">
        <w:rPr>
          <w:rFonts w:ascii="Palatino Linotype" w:hAnsi="Palatino Linotype"/>
          <w:sz w:val="26"/>
          <w:szCs w:val="26"/>
        </w:rPr>
        <w:t>’s</w:t>
      </w:r>
      <w:r>
        <w:rPr>
          <w:rFonts w:ascii="Palatino Linotype" w:hAnsi="Palatino Linotype"/>
          <w:sz w:val="26"/>
          <w:szCs w:val="26"/>
        </w:rPr>
        <w:t xml:space="preserve"> c</w:t>
      </w:r>
      <w:r w:rsidR="00380971" w:rsidRPr="00FE01CE">
        <w:rPr>
          <w:rFonts w:ascii="Palatino Linotype" w:hAnsi="Palatino Linotype"/>
          <w:sz w:val="26"/>
          <w:szCs w:val="26"/>
        </w:rPr>
        <w:t>ost responsibility for upgrades to the transmission and distribution system, if any, arising solely from such an interconnection request as identified the aforementioned study.</w:t>
      </w:r>
    </w:p>
    <w:p w:rsidR="00380971" w:rsidRDefault="00380971" w:rsidP="00380971"/>
    <w:p w:rsidR="00C05DA3" w:rsidRPr="00C05DA3" w:rsidRDefault="008848BA" w:rsidP="00380971">
      <w:pPr>
        <w:rPr>
          <w:b/>
        </w:rPr>
      </w:pPr>
      <w:r>
        <w:rPr>
          <w:b/>
        </w:rPr>
        <w:t>PG&amp;E</w:t>
      </w:r>
      <w:r w:rsidR="00C05DA3">
        <w:rPr>
          <w:b/>
        </w:rPr>
        <w:t xml:space="preserve"> AL </w:t>
      </w:r>
      <w:r w:rsidR="00573A53">
        <w:rPr>
          <w:b/>
        </w:rPr>
        <w:t>4617-E</w:t>
      </w:r>
      <w:r w:rsidR="00C05DA3">
        <w:rPr>
          <w:b/>
        </w:rPr>
        <w:t xml:space="preserve"> contained revisions to relevant </w:t>
      </w:r>
      <w:r>
        <w:rPr>
          <w:b/>
        </w:rPr>
        <w:t>PG&amp;E</w:t>
      </w:r>
      <w:r w:rsidR="00C05DA3">
        <w:rPr>
          <w:b/>
        </w:rPr>
        <w:t xml:space="preserve"> tariffs to </w:t>
      </w:r>
      <w:r w:rsidR="00C05DA3" w:rsidRPr="00C05DA3">
        <w:rPr>
          <w:b/>
        </w:rPr>
        <w:t xml:space="preserve">implement the modifications made to PU Code </w:t>
      </w:r>
      <w:r w:rsidR="00C05DA3" w:rsidRPr="00C05DA3">
        <w:rPr>
          <w:rFonts w:ascii="Book Antiqua" w:hAnsi="Book Antiqua"/>
          <w:b/>
        </w:rPr>
        <w:t>§</w:t>
      </w:r>
      <w:r w:rsidR="00C05DA3" w:rsidRPr="00C05DA3">
        <w:rPr>
          <w:b/>
        </w:rPr>
        <w:t xml:space="preserve">2827 by SB 862.  </w:t>
      </w:r>
      <w:r w:rsidR="00C05DA3">
        <w:t xml:space="preserve"> </w:t>
      </w:r>
    </w:p>
    <w:p w:rsidR="00380971" w:rsidRPr="00380971" w:rsidRDefault="00380971" w:rsidP="00380971"/>
    <w:p w:rsidR="00C57963" w:rsidRDefault="008848BA" w:rsidP="00C05DA3">
      <w:r>
        <w:t>PG&amp;E</w:t>
      </w:r>
      <w:r w:rsidR="00C05DA3">
        <w:t xml:space="preserve"> filed Advice </w:t>
      </w:r>
      <w:r w:rsidR="00573A53">
        <w:t>4617-E</w:t>
      </w:r>
      <w:r w:rsidR="00C05DA3">
        <w:t xml:space="preserve"> </w:t>
      </w:r>
      <w:r w:rsidR="002B3986">
        <w:t xml:space="preserve">on </w:t>
      </w:r>
      <w:r w:rsidR="00573A53">
        <w:t>April 16</w:t>
      </w:r>
      <w:r w:rsidR="002B3986">
        <w:t xml:space="preserve">, 2015 </w:t>
      </w:r>
      <w:r w:rsidR="00C05DA3">
        <w:t xml:space="preserve">to implement the provisions of SB 862 in its relevant tariffs.  </w:t>
      </w:r>
      <w:r w:rsidR="004705B5">
        <w:t xml:space="preserve">Specifically, </w:t>
      </w:r>
      <w:r w:rsidR="005F057B">
        <w:t xml:space="preserve">the following </w:t>
      </w:r>
      <w:r w:rsidR="004705B5">
        <w:t>revisions were made to</w:t>
      </w:r>
      <w:r w:rsidR="005F057B">
        <w:t xml:space="preserve"> </w:t>
      </w:r>
      <w:r>
        <w:t>PG&amp;E</w:t>
      </w:r>
      <w:r w:rsidR="006E7673">
        <w:t xml:space="preserve"> tariffs</w:t>
      </w:r>
      <w:r w:rsidR="004705B5">
        <w:t xml:space="preserve">, which were approved by the California Public Utilities Commission (Commission) Energy Division on May </w:t>
      </w:r>
      <w:r w:rsidR="00573A53">
        <w:t>8</w:t>
      </w:r>
      <w:r w:rsidR="004705B5">
        <w:t xml:space="preserve">, 2015 (effective </w:t>
      </w:r>
      <w:r w:rsidR="00573A53">
        <w:t>May 16, 2015</w:t>
      </w:r>
      <w:r w:rsidR="004705B5">
        <w:t xml:space="preserve">):  </w:t>
      </w:r>
    </w:p>
    <w:p w:rsidR="004705B5" w:rsidRDefault="004705B5" w:rsidP="00C05DA3"/>
    <w:p w:rsidR="004705B5" w:rsidRPr="005F057B" w:rsidRDefault="006E7673" w:rsidP="003E1E28">
      <w:pPr>
        <w:pStyle w:val="ListParagraph"/>
        <w:numPr>
          <w:ilvl w:val="0"/>
          <w:numId w:val="7"/>
        </w:numPr>
        <w:spacing w:after="60"/>
        <w:rPr>
          <w:b/>
        </w:rPr>
      </w:pPr>
      <w:r>
        <w:rPr>
          <w:rFonts w:ascii="Palatino Linotype" w:hAnsi="Palatino Linotype"/>
          <w:b/>
          <w:sz w:val="26"/>
          <w:szCs w:val="26"/>
        </w:rPr>
        <w:t xml:space="preserve">Electric </w:t>
      </w:r>
      <w:r w:rsidR="004705B5" w:rsidRPr="004705B5">
        <w:rPr>
          <w:rFonts w:ascii="Palatino Linotype" w:hAnsi="Palatino Linotype"/>
          <w:b/>
          <w:sz w:val="26"/>
          <w:szCs w:val="26"/>
        </w:rPr>
        <w:t xml:space="preserve">Schedule NEM, </w:t>
      </w:r>
      <w:r w:rsidR="004705B5" w:rsidRPr="004705B5">
        <w:rPr>
          <w:rFonts w:ascii="Palatino Linotype" w:hAnsi="Palatino Linotype"/>
          <w:b/>
          <w:i/>
          <w:sz w:val="26"/>
          <w:szCs w:val="26"/>
        </w:rPr>
        <w:t>Net Energy Metering</w:t>
      </w:r>
      <w:r>
        <w:rPr>
          <w:rFonts w:ascii="Palatino Linotype" w:hAnsi="Palatino Linotype"/>
          <w:b/>
          <w:i/>
          <w:sz w:val="26"/>
          <w:szCs w:val="26"/>
        </w:rPr>
        <w:t xml:space="preserve"> Service</w:t>
      </w:r>
    </w:p>
    <w:p w:rsidR="006E7673" w:rsidRPr="006E7673" w:rsidRDefault="006E7673" w:rsidP="006E7673">
      <w:pPr>
        <w:pStyle w:val="ListParagraph"/>
        <w:numPr>
          <w:ilvl w:val="1"/>
          <w:numId w:val="7"/>
        </w:numPr>
        <w:spacing w:after="60"/>
        <w:rPr>
          <w:rFonts w:ascii="Palatino Linotype" w:hAnsi="Palatino Linotype"/>
          <w:sz w:val="26"/>
          <w:szCs w:val="26"/>
        </w:rPr>
      </w:pPr>
      <w:r w:rsidRPr="006E7673">
        <w:rPr>
          <w:rFonts w:ascii="Palatino Linotype" w:hAnsi="Palatino Linotype"/>
          <w:sz w:val="26"/>
          <w:szCs w:val="26"/>
        </w:rPr>
        <w:t xml:space="preserve">Applicability section of Schedule NEM </w:t>
      </w:r>
      <w:r w:rsidR="00513D74">
        <w:rPr>
          <w:rFonts w:ascii="Palatino Linotype" w:hAnsi="Palatino Linotype"/>
          <w:sz w:val="26"/>
          <w:szCs w:val="26"/>
        </w:rPr>
        <w:t xml:space="preserve">updated </w:t>
      </w:r>
      <w:r w:rsidRPr="006E7673">
        <w:rPr>
          <w:rFonts w:ascii="Palatino Linotype" w:hAnsi="Palatino Linotype"/>
          <w:sz w:val="26"/>
          <w:szCs w:val="26"/>
        </w:rPr>
        <w:t>to include CDCR</w:t>
      </w:r>
      <w:r w:rsidR="008A69EA">
        <w:rPr>
          <w:rFonts w:ascii="Palatino Linotype" w:hAnsi="Palatino Linotype"/>
          <w:sz w:val="26"/>
          <w:szCs w:val="26"/>
        </w:rPr>
        <w:t xml:space="preserve"> pursuant to Special Condition 8</w:t>
      </w:r>
    </w:p>
    <w:p w:rsidR="006E7673" w:rsidRPr="006E7673" w:rsidRDefault="006E7673" w:rsidP="006E7673">
      <w:pPr>
        <w:pStyle w:val="ListParagraph"/>
        <w:numPr>
          <w:ilvl w:val="1"/>
          <w:numId w:val="7"/>
        </w:numPr>
        <w:spacing w:after="60"/>
        <w:rPr>
          <w:rFonts w:ascii="Palatino Linotype" w:hAnsi="Palatino Linotype"/>
          <w:sz w:val="26"/>
          <w:szCs w:val="26"/>
        </w:rPr>
      </w:pPr>
      <w:r w:rsidRPr="006E7673">
        <w:rPr>
          <w:rFonts w:ascii="Palatino Linotype" w:hAnsi="Palatino Linotype"/>
          <w:sz w:val="26"/>
          <w:szCs w:val="26"/>
        </w:rPr>
        <w:t>Special Condition 5.f revised</w:t>
      </w:r>
      <w:r w:rsidR="00513D74">
        <w:rPr>
          <w:rFonts w:ascii="Palatino Linotype" w:hAnsi="Palatino Linotype"/>
          <w:sz w:val="26"/>
          <w:szCs w:val="26"/>
        </w:rPr>
        <w:t xml:space="preserve"> to reflect CDCR’s need to self-certify its Qualifying Facility status for net power production over 1 MW </w:t>
      </w:r>
    </w:p>
    <w:p w:rsidR="006E7673" w:rsidRPr="006E7673" w:rsidRDefault="006E7673" w:rsidP="006E7673">
      <w:pPr>
        <w:pStyle w:val="ListParagraph"/>
        <w:numPr>
          <w:ilvl w:val="1"/>
          <w:numId w:val="7"/>
        </w:numPr>
        <w:spacing w:after="60"/>
        <w:rPr>
          <w:rFonts w:ascii="Palatino Linotype" w:hAnsi="Palatino Linotype"/>
          <w:sz w:val="26"/>
          <w:szCs w:val="26"/>
        </w:rPr>
      </w:pPr>
      <w:r w:rsidRPr="006E7673">
        <w:rPr>
          <w:rFonts w:ascii="Palatino Linotype" w:hAnsi="Palatino Linotype"/>
          <w:sz w:val="26"/>
          <w:szCs w:val="26"/>
        </w:rPr>
        <w:t xml:space="preserve">Special Condition 8 added to describe </w:t>
      </w:r>
      <w:r w:rsidR="00513D74">
        <w:rPr>
          <w:rFonts w:ascii="Palatino Linotype" w:hAnsi="Palatino Linotype"/>
          <w:sz w:val="26"/>
          <w:szCs w:val="26"/>
        </w:rPr>
        <w:t>CDCR’s</w:t>
      </w:r>
      <w:r w:rsidRPr="006E7673">
        <w:rPr>
          <w:rFonts w:ascii="Palatino Linotype" w:hAnsi="Palatino Linotype"/>
          <w:sz w:val="26"/>
          <w:szCs w:val="26"/>
        </w:rPr>
        <w:t xml:space="preserve"> NEM eligibility per PU</w:t>
      </w:r>
      <w:r w:rsidR="00513D74">
        <w:rPr>
          <w:rFonts w:ascii="Palatino Linotype" w:hAnsi="Palatino Linotype"/>
          <w:sz w:val="26"/>
          <w:szCs w:val="26"/>
        </w:rPr>
        <w:t xml:space="preserve"> </w:t>
      </w:r>
      <w:r w:rsidRPr="006E7673">
        <w:rPr>
          <w:rFonts w:ascii="Palatino Linotype" w:hAnsi="Palatino Linotype"/>
          <w:sz w:val="26"/>
          <w:szCs w:val="26"/>
        </w:rPr>
        <w:t>C</w:t>
      </w:r>
      <w:r w:rsidR="00513D74">
        <w:rPr>
          <w:rFonts w:ascii="Palatino Linotype" w:hAnsi="Palatino Linotype"/>
          <w:sz w:val="26"/>
          <w:szCs w:val="26"/>
        </w:rPr>
        <w:t>ode</w:t>
      </w:r>
      <w:r w:rsidRPr="006E7673">
        <w:rPr>
          <w:rFonts w:ascii="Palatino Linotype" w:hAnsi="Palatino Linotype"/>
          <w:sz w:val="26"/>
          <w:szCs w:val="26"/>
        </w:rPr>
        <w:t xml:space="preserve"> </w:t>
      </w:r>
      <w:r w:rsidR="00513D74">
        <w:rPr>
          <w:rFonts w:ascii="Book Antiqua" w:hAnsi="Book Antiqua"/>
        </w:rPr>
        <w:t>§</w:t>
      </w:r>
      <w:r w:rsidRPr="006E7673">
        <w:rPr>
          <w:rFonts w:ascii="Palatino Linotype" w:hAnsi="Palatino Linotype"/>
          <w:sz w:val="26"/>
          <w:szCs w:val="26"/>
        </w:rPr>
        <w:t>2827(b)(4)(B), and to describe the interconnection process for CDCR</w:t>
      </w:r>
    </w:p>
    <w:p w:rsidR="006E7673" w:rsidRPr="006E7673" w:rsidRDefault="00924E65" w:rsidP="006E7673">
      <w:pPr>
        <w:pStyle w:val="ListParagraph"/>
        <w:numPr>
          <w:ilvl w:val="1"/>
          <w:numId w:val="7"/>
        </w:numPr>
        <w:spacing w:after="60"/>
        <w:rPr>
          <w:rFonts w:ascii="Palatino Linotype" w:hAnsi="Palatino Linotype"/>
          <w:sz w:val="26"/>
          <w:szCs w:val="26"/>
        </w:rPr>
      </w:pPr>
      <w:r>
        <w:rPr>
          <w:rFonts w:ascii="Palatino Linotype" w:hAnsi="Palatino Linotype"/>
          <w:sz w:val="26"/>
          <w:szCs w:val="26"/>
        </w:rPr>
        <w:t>G</w:t>
      </w:r>
      <w:r w:rsidR="006E7673" w:rsidRPr="006E7673">
        <w:rPr>
          <w:rFonts w:ascii="Palatino Linotype" w:hAnsi="Palatino Linotype"/>
          <w:sz w:val="26"/>
          <w:szCs w:val="26"/>
        </w:rPr>
        <w:t>rammar, spelling, punctuation, formatting and/or spacing</w:t>
      </w:r>
      <w:r w:rsidR="006E7673">
        <w:rPr>
          <w:rFonts w:ascii="Palatino Linotype" w:hAnsi="Palatino Linotype"/>
          <w:sz w:val="26"/>
          <w:szCs w:val="26"/>
        </w:rPr>
        <w:t xml:space="preserve"> </w:t>
      </w:r>
      <w:r>
        <w:rPr>
          <w:rFonts w:ascii="Palatino Linotype" w:hAnsi="Palatino Linotype"/>
          <w:sz w:val="26"/>
          <w:szCs w:val="26"/>
        </w:rPr>
        <w:t xml:space="preserve">corrections made </w:t>
      </w:r>
      <w:r w:rsidR="006E7673" w:rsidRPr="006E7673">
        <w:rPr>
          <w:rFonts w:ascii="Palatino Linotype" w:hAnsi="Palatino Linotype"/>
          <w:sz w:val="26"/>
          <w:szCs w:val="26"/>
        </w:rPr>
        <w:t>thro</w:t>
      </w:r>
      <w:r>
        <w:rPr>
          <w:rFonts w:ascii="Palatino Linotype" w:hAnsi="Palatino Linotype"/>
          <w:sz w:val="26"/>
          <w:szCs w:val="26"/>
        </w:rPr>
        <w:t xml:space="preserve">ughout the Tariff, as necessary, </w:t>
      </w:r>
      <w:r w:rsidR="006E7673" w:rsidRPr="006E7673">
        <w:rPr>
          <w:rFonts w:ascii="Palatino Linotype" w:hAnsi="Palatino Linotype"/>
          <w:sz w:val="26"/>
          <w:szCs w:val="26"/>
        </w:rPr>
        <w:t>for greater clarity.</w:t>
      </w:r>
    </w:p>
    <w:p w:rsidR="00B04658" w:rsidRDefault="006E7673" w:rsidP="003E1E28">
      <w:pPr>
        <w:pStyle w:val="ListParagraph"/>
        <w:numPr>
          <w:ilvl w:val="0"/>
          <w:numId w:val="7"/>
        </w:numPr>
        <w:spacing w:after="60"/>
        <w:rPr>
          <w:rFonts w:ascii="Palatino Linotype" w:hAnsi="Palatino Linotype"/>
          <w:b/>
          <w:sz w:val="26"/>
          <w:szCs w:val="26"/>
        </w:rPr>
      </w:pPr>
      <w:r>
        <w:rPr>
          <w:rFonts w:ascii="Palatino Linotype" w:hAnsi="Palatino Linotype"/>
          <w:b/>
          <w:sz w:val="26"/>
          <w:szCs w:val="26"/>
        </w:rPr>
        <w:t xml:space="preserve">Electric </w:t>
      </w:r>
      <w:r w:rsidR="00B04658" w:rsidRPr="00B04658">
        <w:rPr>
          <w:rFonts w:ascii="Palatino Linotype" w:hAnsi="Palatino Linotype"/>
          <w:b/>
          <w:sz w:val="26"/>
          <w:szCs w:val="26"/>
        </w:rPr>
        <w:t xml:space="preserve">Rule 21, </w:t>
      </w:r>
      <w:r w:rsidR="00B04658" w:rsidRPr="00B04658">
        <w:rPr>
          <w:rFonts w:ascii="Palatino Linotype" w:hAnsi="Palatino Linotype"/>
          <w:b/>
          <w:i/>
          <w:sz w:val="26"/>
          <w:szCs w:val="26"/>
        </w:rPr>
        <w:t>Generating Facility Interconnections</w:t>
      </w:r>
    </w:p>
    <w:p w:rsidR="006E7673" w:rsidRPr="006E7673" w:rsidRDefault="006E7673" w:rsidP="006E7673">
      <w:pPr>
        <w:pStyle w:val="ListParagraph"/>
        <w:numPr>
          <w:ilvl w:val="1"/>
          <w:numId w:val="7"/>
        </w:numPr>
        <w:spacing w:after="60"/>
        <w:rPr>
          <w:rFonts w:ascii="Palatino Linotype" w:hAnsi="Palatino Linotype"/>
          <w:sz w:val="26"/>
          <w:szCs w:val="26"/>
        </w:rPr>
      </w:pPr>
      <w:r w:rsidRPr="006E7673">
        <w:rPr>
          <w:rFonts w:ascii="Palatino Linotype" w:hAnsi="Palatino Linotype"/>
          <w:sz w:val="26"/>
          <w:szCs w:val="26"/>
        </w:rPr>
        <w:t xml:space="preserve">Section D.13.e added to the Special Provisions Applicable to </w:t>
      </w:r>
      <w:r>
        <w:rPr>
          <w:rFonts w:ascii="Palatino Linotype" w:hAnsi="Palatino Linotype"/>
          <w:sz w:val="26"/>
          <w:szCs w:val="26"/>
        </w:rPr>
        <w:t>NEM</w:t>
      </w:r>
      <w:r w:rsidRPr="006E7673">
        <w:rPr>
          <w:rFonts w:ascii="Palatino Linotype" w:hAnsi="Palatino Linotype"/>
          <w:sz w:val="26"/>
          <w:szCs w:val="26"/>
        </w:rPr>
        <w:t xml:space="preserve"> Applicants section of Ru</w:t>
      </w:r>
      <w:r>
        <w:rPr>
          <w:rFonts w:ascii="Palatino Linotype" w:hAnsi="Palatino Linotype"/>
          <w:sz w:val="26"/>
          <w:szCs w:val="26"/>
        </w:rPr>
        <w:t xml:space="preserve">le 21 to implement the specific </w:t>
      </w:r>
      <w:r w:rsidRPr="006E7673">
        <w:rPr>
          <w:rFonts w:ascii="Palatino Linotype" w:hAnsi="Palatino Linotype"/>
          <w:sz w:val="26"/>
          <w:szCs w:val="26"/>
        </w:rPr>
        <w:t>interconnection provisions applica</w:t>
      </w:r>
      <w:r w:rsidR="00513D74">
        <w:rPr>
          <w:rFonts w:ascii="Palatino Linotype" w:hAnsi="Palatino Linotype"/>
          <w:sz w:val="26"/>
          <w:szCs w:val="26"/>
        </w:rPr>
        <w:t>ble to CDCR, as described in PU Code</w:t>
      </w:r>
      <w:r w:rsidRPr="006E7673">
        <w:rPr>
          <w:rFonts w:ascii="Palatino Linotype" w:hAnsi="Palatino Linotype"/>
          <w:sz w:val="26"/>
          <w:szCs w:val="26"/>
        </w:rPr>
        <w:t xml:space="preserve"> </w:t>
      </w:r>
      <w:r w:rsidR="00513D74">
        <w:rPr>
          <w:rFonts w:ascii="Book Antiqua" w:hAnsi="Book Antiqua"/>
        </w:rPr>
        <w:t>§</w:t>
      </w:r>
      <w:r w:rsidR="00513D74">
        <w:rPr>
          <w:rFonts w:ascii="Palatino Linotype" w:hAnsi="Palatino Linotype"/>
          <w:sz w:val="26"/>
          <w:szCs w:val="26"/>
        </w:rPr>
        <w:t>2827(b)(4)(B)</w:t>
      </w:r>
    </w:p>
    <w:p w:rsidR="00B04658" w:rsidRPr="008A69EA" w:rsidRDefault="006E7673" w:rsidP="006E7673">
      <w:pPr>
        <w:pStyle w:val="ListParagraph"/>
        <w:numPr>
          <w:ilvl w:val="1"/>
          <w:numId w:val="7"/>
        </w:numPr>
        <w:spacing w:after="60"/>
        <w:rPr>
          <w:rFonts w:ascii="Palatino Linotype" w:hAnsi="Palatino Linotype"/>
          <w:b/>
          <w:sz w:val="26"/>
          <w:szCs w:val="26"/>
        </w:rPr>
      </w:pPr>
      <w:r w:rsidRPr="006E7673">
        <w:rPr>
          <w:rFonts w:ascii="Palatino Linotype" w:hAnsi="Palatino Linotype"/>
          <w:sz w:val="26"/>
          <w:szCs w:val="26"/>
        </w:rPr>
        <w:t xml:space="preserve">Section E.4, Interconnection Cost Responsibility, modified to reference the cost responsibility provisions specified in Section D.13.e. </w:t>
      </w:r>
      <w:r>
        <w:rPr>
          <w:rFonts w:ascii="Palatino Linotype" w:hAnsi="Palatino Linotype"/>
          <w:sz w:val="26"/>
          <w:szCs w:val="26"/>
        </w:rPr>
        <w:t xml:space="preserve"> </w:t>
      </w:r>
      <w:r w:rsidRPr="006E7673">
        <w:rPr>
          <w:rFonts w:ascii="Palatino Linotype" w:hAnsi="Palatino Linotype"/>
          <w:sz w:val="26"/>
          <w:szCs w:val="26"/>
        </w:rPr>
        <w:t xml:space="preserve">Similar clarifications are </w:t>
      </w:r>
      <w:r w:rsidR="00513D74">
        <w:rPr>
          <w:rFonts w:ascii="Palatino Linotype" w:hAnsi="Palatino Linotype"/>
          <w:sz w:val="26"/>
          <w:szCs w:val="26"/>
        </w:rPr>
        <w:t>made to both Tables E.2 and E.3</w:t>
      </w:r>
      <w:r>
        <w:rPr>
          <w:rFonts w:ascii="Palatino Linotype" w:hAnsi="Palatino Linotype"/>
          <w:sz w:val="26"/>
          <w:szCs w:val="26"/>
        </w:rPr>
        <w:t xml:space="preserve"> </w:t>
      </w:r>
    </w:p>
    <w:p w:rsidR="00924E65" w:rsidRPr="006E7673" w:rsidRDefault="00924E65" w:rsidP="00924E65">
      <w:pPr>
        <w:pStyle w:val="ListParagraph"/>
        <w:numPr>
          <w:ilvl w:val="1"/>
          <w:numId w:val="7"/>
        </w:numPr>
        <w:rPr>
          <w:rFonts w:ascii="Palatino Linotype" w:hAnsi="Palatino Linotype"/>
          <w:sz w:val="26"/>
          <w:szCs w:val="26"/>
        </w:rPr>
      </w:pPr>
      <w:r>
        <w:rPr>
          <w:rFonts w:ascii="Palatino Linotype" w:hAnsi="Palatino Linotype"/>
          <w:sz w:val="26"/>
          <w:szCs w:val="26"/>
        </w:rPr>
        <w:t>G</w:t>
      </w:r>
      <w:r w:rsidRPr="006E7673">
        <w:rPr>
          <w:rFonts w:ascii="Palatino Linotype" w:hAnsi="Palatino Linotype"/>
          <w:sz w:val="26"/>
          <w:szCs w:val="26"/>
        </w:rPr>
        <w:t>rammar, spelling, punctuation, formatting and/or spacing</w:t>
      </w:r>
      <w:r>
        <w:rPr>
          <w:rFonts w:ascii="Palatino Linotype" w:hAnsi="Palatino Linotype"/>
          <w:sz w:val="26"/>
          <w:szCs w:val="26"/>
        </w:rPr>
        <w:t xml:space="preserve"> corrections made </w:t>
      </w:r>
      <w:r w:rsidRPr="006E7673">
        <w:rPr>
          <w:rFonts w:ascii="Palatino Linotype" w:hAnsi="Palatino Linotype"/>
          <w:sz w:val="26"/>
          <w:szCs w:val="26"/>
        </w:rPr>
        <w:t>thro</w:t>
      </w:r>
      <w:r>
        <w:rPr>
          <w:rFonts w:ascii="Palatino Linotype" w:hAnsi="Palatino Linotype"/>
          <w:sz w:val="26"/>
          <w:szCs w:val="26"/>
        </w:rPr>
        <w:t xml:space="preserve">ughout the Tariff, as necessary, </w:t>
      </w:r>
      <w:r w:rsidRPr="006E7673">
        <w:rPr>
          <w:rFonts w:ascii="Palatino Linotype" w:hAnsi="Palatino Linotype"/>
          <w:sz w:val="26"/>
          <w:szCs w:val="26"/>
        </w:rPr>
        <w:t>for greater clarity.</w:t>
      </w:r>
    </w:p>
    <w:p w:rsidR="000809B8" w:rsidRDefault="000809B8" w:rsidP="000809B8">
      <w:pPr>
        <w:rPr>
          <w:rFonts w:ascii="Palatino Linotype" w:hAnsi="Palatino Linotype"/>
          <w:szCs w:val="26"/>
        </w:rPr>
      </w:pPr>
    </w:p>
    <w:p w:rsidR="000809B8" w:rsidRPr="00BD5C9E" w:rsidRDefault="008848BA" w:rsidP="000809B8">
      <w:pPr>
        <w:rPr>
          <w:rFonts w:ascii="Palatino Linotype" w:hAnsi="Palatino Linotype"/>
          <w:b/>
          <w:szCs w:val="26"/>
        </w:rPr>
      </w:pPr>
      <w:r>
        <w:rPr>
          <w:rFonts w:ascii="Palatino Linotype" w:hAnsi="Palatino Linotype"/>
          <w:b/>
          <w:szCs w:val="26"/>
        </w:rPr>
        <w:t>PG&amp;E</w:t>
      </w:r>
      <w:r w:rsidR="00BD5C9E" w:rsidRPr="00BD5C9E">
        <w:rPr>
          <w:rFonts w:ascii="Palatino Linotype" w:hAnsi="Palatino Linotype"/>
          <w:b/>
          <w:szCs w:val="26"/>
        </w:rPr>
        <w:t xml:space="preserve"> AL </w:t>
      </w:r>
      <w:r w:rsidR="00200AB0">
        <w:rPr>
          <w:rFonts w:ascii="Palatino Linotype" w:hAnsi="Palatino Linotype"/>
          <w:b/>
          <w:szCs w:val="26"/>
        </w:rPr>
        <w:t>4724</w:t>
      </w:r>
      <w:r w:rsidR="00BD5C9E" w:rsidRPr="00BD5C9E">
        <w:rPr>
          <w:rFonts w:ascii="Palatino Linotype" w:hAnsi="Palatino Linotype"/>
          <w:b/>
          <w:szCs w:val="26"/>
        </w:rPr>
        <w:t xml:space="preserve">-E </w:t>
      </w:r>
      <w:r w:rsidR="00BD5C9E">
        <w:rPr>
          <w:rFonts w:ascii="Palatino Linotype" w:hAnsi="Palatino Linotype"/>
          <w:b/>
          <w:szCs w:val="26"/>
        </w:rPr>
        <w:t xml:space="preserve">seeks approval of deviations to </w:t>
      </w:r>
      <w:r>
        <w:rPr>
          <w:rFonts w:ascii="Palatino Linotype" w:hAnsi="Palatino Linotype"/>
          <w:b/>
          <w:szCs w:val="26"/>
        </w:rPr>
        <w:t>PG&amp;E</w:t>
      </w:r>
      <w:r w:rsidR="00513426">
        <w:rPr>
          <w:rFonts w:ascii="Palatino Linotype" w:hAnsi="Palatino Linotype"/>
          <w:b/>
          <w:szCs w:val="26"/>
        </w:rPr>
        <w:t xml:space="preserve"> Forms 79-978 and 79-992</w:t>
      </w:r>
      <w:r w:rsidR="00BD5C9E">
        <w:rPr>
          <w:rFonts w:ascii="Palatino Linotype" w:hAnsi="Palatino Linotype"/>
          <w:b/>
          <w:szCs w:val="26"/>
        </w:rPr>
        <w:t xml:space="preserve"> </w:t>
      </w:r>
      <w:r w:rsidR="00F04DAC">
        <w:rPr>
          <w:rFonts w:ascii="Palatino Linotype" w:hAnsi="Palatino Linotype"/>
          <w:b/>
          <w:szCs w:val="26"/>
        </w:rPr>
        <w:t xml:space="preserve">in order for CDCR to fully utilize the unique provisions of SB 862.  </w:t>
      </w:r>
      <w:r w:rsidR="00BD5C9E" w:rsidRPr="00BD5C9E">
        <w:rPr>
          <w:rFonts w:ascii="Palatino Linotype" w:hAnsi="Palatino Linotype"/>
          <w:b/>
          <w:szCs w:val="26"/>
        </w:rPr>
        <w:t xml:space="preserve"> </w:t>
      </w:r>
    </w:p>
    <w:p w:rsidR="00BD5C9E" w:rsidRDefault="00BD5C9E" w:rsidP="00BD5C9E"/>
    <w:p w:rsidR="00C05DA3" w:rsidRDefault="00BD5C9E" w:rsidP="00BD5C9E">
      <w:r>
        <w:t xml:space="preserve">In </w:t>
      </w:r>
      <w:r w:rsidR="008848BA">
        <w:t>PG&amp;E</w:t>
      </w:r>
      <w:r>
        <w:t xml:space="preserve"> AL </w:t>
      </w:r>
      <w:r w:rsidR="00573A53">
        <w:t>4617-E</w:t>
      </w:r>
      <w:r>
        <w:t xml:space="preserve">, </w:t>
      </w:r>
      <w:r w:rsidR="008848BA">
        <w:t>PG&amp;E</w:t>
      </w:r>
      <w:r>
        <w:t xml:space="preserve"> recognized that, as an NEM-eligible customer-generator, CDCR should execute an NEM IA when interconnecting REGFs under the provisions of SB 862.  However, </w:t>
      </w:r>
      <w:r w:rsidR="008848BA">
        <w:t>PG&amp;E</w:t>
      </w:r>
      <w:r>
        <w:t xml:space="preserve"> acknowledged that deviations would be needed to </w:t>
      </w:r>
      <w:r w:rsidR="008848BA">
        <w:t>PG&amp;E</w:t>
      </w:r>
      <w:r>
        <w:t xml:space="preserve">’s standard NEM IA because of the specific study and cost responsibility provisions enacted by SB 862.  </w:t>
      </w:r>
      <w:r w:rsidR="008848BA">
        <w:t>PG&amp;E</w:t>
      </w:r>
      <w:r>
        <w:t xml:space="preserve"> proposed to file the necessary deviations as a separate Tier 3 advice letter, pursuant to the provisions of Section 8.2.3 of </w:t>
      </w:r>
      <w:r w:rsidR="006B2969">
        <w:t>General Order (</w:t>
      </w:r>
      <w:r>
        <w:t>GO</w:t>
      </w:r>
      <w:r w:rsidR="006B2969">
        <w:t>)</w:t>
      </w:r>
      <w:r>
        <w:t xml:space="preserve"> 96-B.</w:t>
      </w:r>
      <w:r w:rsidR="0024211E">
        <w:rPr>
          <w:rStyle w:val="FootnoteReference"/>
        </w:rPr>
        <w:footnoteReference w:id="2"/>
      </w:r>
      <w:r>
        <w:t xml:space="preserve">  </w:t>
      </w:r>
      <w:r w:rsidR="008848BA">
        <w:t>PG&amp;E</w:t>
      </w:r>
      <w:r>
        <w:t xml:space="preserve"> AL </w:t>
      </w:r>
      <w:r w:rsidR="00200AB0">
        <w:t>4724</w:t>
      </w:r>
      <w:r>
        <w:t>-E</w:t>
      </w:r>
      <w:r w:rsidR="00513426">
        <w:t>, containing proposed deviations to Forms 79-978 and 79-992,</w:t>
      </w:r>
      <w:r>
        <w:t xml:space="preserve"> was filed </w:t>
      </w:r>
      <w:r w:rsidR="00EF3FD0">
        <w:t>October 16, 2015</w:t>
      </w:r>
      <w:r>
        <w:t xml:space="preserve">.  </w:t>
      </w:r>
    </w:p>
    <w:p w:rsidR="00BD5C9E" w:rsidRDefault="00BD5C9E" w:rsidP="00C05DA3"/>
    <w:p w:rsidR="00CF17DE" w:rsidRDefault="00CF17DE">
      <w:pPr>
        <w:pStyle w:val="Heading1"/>
      </w:pPr>
      <w:r>
        <w:t xml:space="preserve">Notice </w:t>
      </w:r>
    </w:p>
    <w:p w:rsidR="00CF17DE" w:rsidRDefault="00CF17DE">
      <w:r>
        <w:t xml:space="preserve">Notice of </w:t>
      </w:r>
      <w:r w:rsidR="008848BA">
        <w:t>PG&amp;E</w:t>
      </w:r>
      <w:r w:rsidR="00F16157">
        <w:t xml:space="preserve"> </w:t>
      </w:r>
      <w:r w:rsidRPr="00936F04">
        <w:t xml:space="preserve">AL </w:t>
      </w:r>
      <w:r w:rsidR="00200AB0">
        <w:t>4724</w:t>
      </w:r>
      <w:r w:rsidRPr="00936F04">
        <w:t>-E was made by publication in the C</w:t>
      </w:r>
      <w:r w:rsidR="00745109">
        <w:t>PUC</w:t>
      </w:r>
      <w:r w:rsidRPr="00936F04">
        <w:t xml:space="preserve">’s Daily Calendar.  </w:t>
      </w:r>
      <w:r w:rsidR="0069638D">
        <w:t xml:space="preserve">In accordance with Section </w:t>
      </w:r>
      <w:r w:rsidR="00EF3FD0">
        <w:t>IV</w:t>
      </w:r>
      <w:r w:rsidR="0069638D">
        <w:t xml:space="preserve"> of </w:t>
      </w:r>
      <w:r w:rsidR="004228EC">
        <w:t>GO</w:t>
      </w:r>
      <w:r w:rsidR="0069638D">
        <w:t xml:space="preserve"> 96-B, </w:t>
      </w:r>
      <w:r w:rsidR="008848BA">
        <w:t>PG&amp;E</w:t>
      </w:r>
      <w:r>
        <w:t xml:space="preserve"> </w:t>
      </w:r>
      <w:r w:rsidR="0014092E">
        <w:t>served</w:t>
      </w:r>
      <w:r>
        <w:t xml:space="preserve"> cop</w:t>
      </w:r>
      <w:r w:rsidR="0014092E">
        <w:t>ies</w:t>
      </w:r>
      <w:r>
        <w:t xml:space="preserve"> of th</w:t>
      </w:r>
      <w:r w:rsidR="00436D85">
        <w:t>is AL</w:t>
      </w:r>
      <w:r w:rsidR="00010FF7">
        <w:t xml:space="preserve"> </w:t>
      </w:r>
      <w:r w:rsidR="0014092E">
        <w:t xml:space="preserve">to the </w:t>
      </w:r>
      <w:r w:rsidR="00436D85">
        <w:t xml:space="preserve">R.11-09-011, </w:t>
      </w:r>
      <w:r w:rsidR="00EF3FD0">
        <w:t xml:space="preserve">R.12-11-005, </w:t>
      </w:r>
      <w:r w:rsidR="00EF3FD0" w:rsidRPr="00EF3FD0">
        <w:t xml:space="preserve">R.14-07-002, </w:t>
      </w:r>
      <w:r w:rsidR="00436D85">
        <w:t xml:space="preserve">and </w:t>
      </w:r>
      <w:r w:rsidR="0014092E">
        <w:t>GO</w:t>
      </w:r>
      <w:r w:rsidR="00F003EF">
        <w:t xml:space="preserve"> </w:t>
      </w:r>
      <w:r w:rsidR="0014092E">
        <w:t>96-B ser</w:t>
      </w:r>
      <w:r w:rsidR="0069638D">
        <w:t>vice list</w:t>
      </w:r>
      <w:r w:rsidR="00436D85">
        <w:t>s</w:t>
      </w:r>
      <w:r w:rsidR="0069638D">
        <w:t xml:space="preserve"> attached in </w:t>
      </w:r>
      <w:r w:rsidR="008848BA">
        <w:t>PG&amp;E</w:t>
      </w:r>
      <w:r w:rsidR="00467C75">
        <w:t xml:space="preserve"> AL </w:t>
      </w:r>
      <w:r w:rsidR="00200AB0">
        <w:t>4724</w:t>
      </w:r>
      <w:r w:rsidR="0069638D">
        <w:t xml:space="preserve">-E.  </w:t>
      </w:r>
    </w:p>
    <w:p w:rsidR="0069638D" w:rsidRDefault="0069638D"/>
    <w:p w:rsidR="00CF17DE" w:rsidRDefault="00CF17DE" w:rsidP="00471420">
      <w:pPr>
        <w:pStyle w:val="Heading1"/>
      </w:pPr>
      <w:r>
        <w:t>Protests</w:t>
      </w:r>
    </w:p>
    <w:p w:rsidR="00401058" w:rsidRDefault="008848BA">
      <w:r>
        <w:t>PG&amp;E</w:t>
      </w:r>
      <w:r w:rsidR="00F16157">
        <w:t xml:space="preserve"> AL </w:t>
      </w:r>
      <w:r w:rsidR="00200AB0">
        <w:t>4724</w:t>
      </w:r>
      <w:r w:rsidR="00CF17DE" w:rsidRPr="00936F04">
        <w:t>-E was</w:t>
      </w:r>
      <w:r w:rsidR="00CF17DE">
        <w:t xml:space="preserve"> </w:t>
      </w:r>
      <w:r w:rsidR="00E0729B">
        <w:t xml:space="preserve">not </w:t>
      </w:r>
      <w:r w:rsidR="00CF17DE">
        <w:t xml:space="preserve">protested.  </w:t>
      </w:r>
      <w:r w:rsidR="006E5F8C">
        <w:t xml:space="preserve">CDCR submitted a response </w:t>
      </w:r>
      <w:r w:rsidR="00D853F2">
        <w:t>to</w:t>
      </w:r>
      <w:r w:rsidR="006E5F8C">
        <w:t xml:space="preserve"> </w:t>
      </w:r>
      <w:r>
        <w:t>PG&amp;E</w:t>
      </w:r>
      <w:r w:rsidR="006E5F8C">
        <w:t xml:space="preserve"> </w:t>
      </w:r>
      <w:r w:rsidR="00054214">
        <w:t xml:space="preserve">AL </w:t>
      </w:r>
      <w:r w:rsidR="00200AB0">
        <w:t>4724</w:t>
      </w:r>
      <w:r w:rsidR="006E5F8C">
        <w:t xml:space="preserve">-E on </w:t>
      </w:r>
      <w:r w:rsidR="0059751F">
        <w:t>November 3, 2015</w:t>
      </w:r>
      <w:r w:rsidR="00D853F2">
        <w:t xml:space="preserve"> </w:t>
      </w:r>
      <w:r w:rsidR="005D3494">
        <w:t>expressing</w:t>
      </w:r>
      <w:r w:rsidR="006E0FF9">
        <w:t xml:space="preserve"> support of </w:t>
      </w:r>
      <w:r>
        <w:t>PG&amp;E</w:t>
      </w:r>
      <w:r w:rsidR="00D853F2">
        <w:t xml:space="preserve">’s proposed deviations to Forms </w:t>
      </w:r>
      <w:r w:rsidR="0059751F">
        <w:t>79-978</w:t>
      </w:r>
      <w:r w:rsidR="00D853F2">
        <w:t xml:space="preserve"> and </w:t>
      </w:r>
      <w:r w:rsidR="0059751F">
        <w:t>79-992</w:t>
      </w:r>
      <w:r w:rsidR="00D336DF">
        <w:t xml:space="preserve">.  </w:t>
      </w:r>
      <w:r w:rsidR="005D3494">
        <w:t xml:space="preserve">CDCR </w:t>
      </w:r>
      <w:r w:rsidR="00F74250">
        <w:t>states</w:t>
      </w:r>
      <w:r w:rsidR="005D3494">
        <w:t xml:space="preserve"> that PG&amp;E </w:t>
      </w:r>
      <w:r w:rsidR="008A196A">
        <w:t xml:space="preserve">AL </w:t>
      </w:r>
      <w:r w:rsidR="005D3494">
        <w:t>4617-E sufficiently implemented all of the NEM eligibility provisions authorized in SB 862, except for the ability to install multiple REGF</w:t>
      </w:r>
      <w:r w:rsidR="00F74250">
        <w:t xml:space="preserve">s at a single site.  </w:t>
      </w:r>
      <w:r w:rsidR="000F0AF6">
        <w:t>CDCR</w:t>
      </w:r>
      <w:r w:rsidR="00F74250">
        <w:t xml:space="preserve"> then</w:t>
      </w:r>
      <w:r w:rsidR="000F0AF6">
        <w:t xml:space="preserve"> </w:t>
      </w:r>
      <w:r w:rsidR="00F74250">
        <w:t xml:space="preserve">maintains that it has and will continue to install renewable energy from a combination of technologies from different generators in order to fully take advantage of the power purchase agreement model recommended in the On-Site Renewable Energy Goal of Governor Brown’s Executive Order (EO) EO-B-18-12 </w:t>
      </w:r>
      <w:r w:rsidR="00305F17">
        <w:t>and the accompanying Green Building Action Plan</w:t>
      </w:r>
      <w:r w:rsidR="00F74250">
        <w:t xml:space="preserve">.  </w:t>
      </w:r>
      <w:r w:rsidR="00302EF6">
        <w:t xml:space="preserve">CDCR finds that the deviations to </w:t>
      </w:r>
      <w:r>
        <w:t>PG&amp;E</w:t>
      </w:r>
      <w:r w:rsidR="00302EF6">
        <w:t xml:space="preserve"> Forms </w:t>
      </w:r>
      <w:r w:rsidR="00F74250">
        <w:t xml:space="preserve">79-978 and 79-992 </w:t>
      </w:r>
      <w:r w:rsidR="00B30490">
        <w:t>provide adequate allowances to satisfy CDCR’s request</w:t>
      </w:r>
      <w:r w:rsidR="00302EF6">
        <w:t xml:space="preserve"> for multiple generators to interconnect </w:t>
      </w:r>
      <w:r w:rsidR="00191D24">
        <w:t xml:space="preserve">to the grid at a single facility </w:t>
      </w:r>
      <w:r w:rsidR="00302EF6">
        <w:t>while</w:t>
      </w:r>
      <w:r w:rsidR="00191D24">
        <w:t xml:space="preserve"> still</w:t>
      </w:r>
      <w:r w:rsidR="00302EF6">
        <w:t xml:space="preserve"> </w:t>
      </w:r>
      <w:r w:rsidR="00191D24">
        <w:t xml:space="preserve">providing for </w:t>
      </w:r>
      <w:r>
        <w:t>PG&amp;E</w:t>
      </w:r>
      <w:r w:rsidR="00191D24">
        <w:t xml:space="preserve">’s </w:t>
      </w:r>
      <w:r w:rsidR="00B30490">
        <w:t xml:space="preserve">need to maintain a </w:t>
      </w:r>
      <w:r w:rsidR="00191D24">
        <w:t xml:space="preserve">safe and reliable grid, and </w:t>
      </w:r>
      <w:r w:rsidR="00982896">
        <w:t xml:space="preserve">thus </w:t>
      </w:r>
      <w:r w:rsidR="00191D24">
        <w:t xml:space="preserve">requests Commission approval of </w:t>
      </w:r>
      <w:r>
        <w:t>PG&amp;E</w:t>
      </w:r>
      <w:r w:rsidR="00191D24">
        <w:t xml:space="preserve"> AL </w:t>
      </w:r>
      <w:r w:rsidR="00200AB0">
        <w:t>4724</w:t>
      </w:r>
      <w:r w:rsidR="00191D24">
        <w:t xml:space="preserve">-E.  </w:t>
      </w:r>
      <w:r w:rsidR="00302EF6">
        <w:t xml:space="preserve"> </w:t>
      </w:r>
    </w:p>
    <w:p w:rsidR="00530AB2" w:rsidRDefault="00530AB2"/>
    <w:p w:rsidR="00CF17DE" w:rsidRDefault="00CF17DE">
      <w:pPr>
        <w:pStyle w:val="Heading1"/>
      </w:pPr>
      <w:r>
        <w:t>Discussion</w:t>
      </w:r>
    </w:p>
    <w:p w:rsidR="00D72144" w:rsidRDefault="00E66034" w:rsidP="00D63A28">
      <w:pPr>
        <w:rPr>
          <w:b/>
        </w:rPr>
      </w:pPr>
      <w:r>
        <w:rPr>
          <w:b/>
        </w:rPr>
        <w:t xml:space="preserve">According to </w:t>
      </w:r>
      <w:r w:rsidR="008848BA">
        <w:rPr>
          <w:b/>
        </w:rPr>
        <w:t>PG&amp;E</w:t>
      </w:r>
      <w:r>
        <w:rPr>
          <w:b/>
        </w:rPr>
        <w:t>, d</w:t>
      </w:r>
      <w:r w:rsidR="006B2969">
        <w:rPr>
          <w:b/>
        </w:rPr>
        <w:t xml:space="preserve">eviations to </w:t>
      </w:r>
      <w:r w:rsidR="008848BA">
        <w:rPr>
          <w:b/>
        </w:rPr>
        <w:t>PG&amp;E</w:t>
      </w:r>
      <w:r w:rsidR="006B2969">
        <w:rPr>
          <w:b/>
        </w:rPr>
        <w:t xml:space="preserve"> Form </w:t>
      </w:r>
      <w:r w:rsidR="00B30490">
        <w:rPr>
          <w:b/>
        </w:rPr>
        <w:t>79-978</w:t>
      </w:r>
      <w:r w:rsidR="006B2969">
        <w:rPr>
          <w:b/>
        </w:rPr>
        <w:t xml:space="preserve">, </w:t>
      </w:r>
      <w:r w:rsidR="004C59D7">
        <w:rPr>
          <w:b/>
          <w:i/>
        </w:rPr>
        <w:t>Interconnection Agreement for Net Energy Metering of Solar or Wind Electric Generating Facilities of 1,000 Kilowatts or Less, Other Than Facilities of 30 Kilowatts or Less</w:t>
      </w:r>
      <w:r w:rsidR="006B2969">
        <w:rPr>
          <w:b/>
        </w:rPr>
        <w:t>, applicable solely to CDCR are necessary</w:t>
      </w:r>
      <w:r w:rsidR="00B30490">
        <w:rPr>
          <w:b/>
        </w:rPr>
        <w:t xml:space="preserve"> to create </w:t>
      </w:r>
      <w:r w:rsidR="00420F6C" w:rsidRPr="00420F6C">
        <w:rPr>
          <w:b/>
        </w:rPr>
        <w:t>CGA</w:t>
      </w:r>
      <w:r w:rsidR="00973766">
        <w:rPr>
          <w:b/>
        </w:rPr>
        <w:t>s for single- and multi-party producer arrangements at CDCR facilities</w:t>
      </w:r>
      <w:r w:rsidR="00420F6C">
        <w:rPr>
          <w:b/>
        </w:rPr>
        <w:t>.</w:t>
      </w:r>
    </w:p>
    <w:p w:rsidR="006B2969" w:rsidRDefault="006B2969" w:rsidP="00D63A28">
      <w:pPr>
        <w:rPr>
          <w:b/>
        </w:rPr>
      </w:pPr>
    </w:p>
    <w:p w:rsidR="000D2809" w:rsidRDefault="006B2969" w:rsidP="006B2969">
      <w:r>
        <w:t xml:space="preserve">Form </w:t>
      </w:r>
      <w:r w:rsidR="00B30490">
        <w:t>79-978</w:t>
      </w:r>
      <w:r>
        <w:t xml:space="preserve"> is </w:t>
      </w:r>
      <w:r w:rsidR="008848BA">
        <w:t>PG&amp;E</w:t>
      </w:r>
      <w:r>
        <w:t xml:space="preserve">’s standard </w:t>
      </w:r>
      <w:r w:rsidR="00B30490">
        <w:t xml:space="preserve">NEM IA </w:t>
      </w:r>
      <w:r w:rsidR="00513426">
        <w:t>for customer-generators to interconnect and operate a</w:t>
      </w:r>
      <w:r w:rsidR="00B30490">
        <w:t xml:space="preserve"> </w:t>
      </w:r>
      <w:r w:rsidR="00513426">
        <w:t>s</w:t>
      </w:r>
      <w:r w:rsidR="00420F6C" w:rsidRPr="00420F6C">
        <w:t xml:space="preserve">olar or </w:t>
      </w:r>
      <w:r w:rsidR="00513426">
        <w:t>w</w:t>
      </w:r>
      <w:r w:rsidR="00420F6C" w:rsidRPr="00420F6C">
        <w:t xml:space="preserve">ind </w:t>
      </w:r>
      <w:r w:rsidR="00513426">
        <w:t>e</w:t>
      </w:r>
      <w:r w:rsidR="00420F6C" w:rsidRPr="00420F6C">
        <w:t xml:space="preserve">lectric </w:t>
      </w:r>
      <w:r w:rsidR="00513426">
        <w:t>g</w:t>
      </w:r>
      <w:r w:rsidR="00420F6C" w:rsidRPr="00420F6C">
        <w:t xml:space="preserve">enerating </w:t>
      </w:r>
      <w:r w:rsidR="00513426">
        <w:t>facility</w:t>
      </w:r>
      <w:r w:rsidR="00420F6C" w:rsidRPr="00420F6C">
        <w:t xml:space="preserve"> between 30 and 1,000 </w:t>
      </w:r>
      <w:r w:rsidR="00513426">
        <w:t>kilowatts in parallel with PG&amp;E’s distribution system</w:t>
      </w:r>
      <w:r w:rsidR="000D2809">
        <w:t>.  PG&amp;E proposes two deviations to Form 79-978 applicable solely to CDCR</w:t>
      </w:r>
      <w:r w:rsidR="004C59D7">
        <w:t xml:space="preserve">:  1) Form 79-978B, which would serve as the </w:t>
      </w:r>
      <w:r w:rsidR="004351A3">
        <w:t xml:space="preserve">CGA for a </w:t>
      </w:r>
      <w:r w:rsidR="004C59D7">
        <w:t>single</w:t>
      </w:r>
      <w:r w:rsidR="00FF2620">
        <w:t>-</w:t>
      </w:r>
      <w:r w:rsidR="004C59D7">
        <w:t>party</w:t>
      </w:r>
      <w:r w:rsidR="00FF2620">
        <w:t xml:space="preserve"> producer (i.e., one behind-the-meter producer)</w:t>
      </w:r>
      <w:r w:rsidR="004C59D7">
        <w:t xml:space="preserve"> </w:t>
      </w:r>
      <w:r w:rsidR="004351A3">
        <w:t>at a</w:t>
      </w:r>
      <w:r w:rsidR="004C59D7">
        <w:t xml:space="preserve"> CDCR</w:t>
      </w:r>
      <w:r w:rsidR="004351A3">
        <w:t xml:space="preserve"> facility</w:t>
      </w:r>
      <w:r w:rsidR="004C59D7">
        <w:t xml:space="preserve">; and 2) Form 79-978C, which would </w:t>
      </w:r>
      <w:r w:rsidR="00973766">
        <w:t xml:space="preserve">serve as a CGA for producers in a </w:t>
      </w:r>
      <w:r w:rsidR="004C59D7">
        <w:t xml:space="preserve">multi-party producer </w:t>
      </w:r>
      <w:r w:rsidR="00973766">
        <w:t>arrangement</w:t>
      </w:r>
      <w:r w:rsidR="004351A3">
        <w:t xml:space="preserve"> at a CDCR facility</w:t>
      </w:r>
      <w:r w:rsidR="004C59D7">
        <w:t>, in conjunction with Deviated Form 79-992</w:t>
      </w:r>
      <w:r w:rsidR="003F3864">
        <w:t>, discussed below</w:t>
      </w:r>
      <w:r w:rsidR="004C59D7">
        <w:t xml:space="preserve">.  </w:t>
      </w:r>
      <w:r w:rsidR="008B31CF">
        <w:t>The</w:t>
      </w:r>
      <w:r w:rsidR="003F3864">
        <w:t xml:space="preserve"> proposed</w:t>
      </w:r>
      <w:r w:rsidR="008B31CF">
        <w:t xml:space="preserve"> deviations to Form 79-978 would entail the following changes:</w:t>
      </w:r>
    </w:p>
    <w:p w:rsidR="000D2809" w:rsidRDefault="000D2809" w:rsidP="006B2969"/>
    <w:p w:rsidR="000D2809" w:rsidRPr="005F057B" w:rsidRDefault="000D2809" w:rsidP="00FC290C">
      <w:pPr>
        <w:pStyle w:val="ListParagraph"/>
        <w:numPr>
          <w:ilvl w:val="0"/>
          <w:numId w:val="17"/>
        </w:numPr>
        <w:spacing w:after="60"/>
        <w:rPr>
          <w:b/>
        </w:rPr>
      </w:pPr>
      <w:r>
        <w:rPr>
          <w:rFonts w:ascii="Palatino Linotype" w:hAnsi="Palatino Linotype"/>
          <w:b/>
          <w:sz w:val="26"/>
          <w:szCs w:val="26"/>
        </w:rPr>
        <w:t>Single Party Agreement – Form 79-978B</w:t>
      </w:r>
    </w:p>
    <w:p w:rsidR="000D2809" w:rsidRPr="004C59D7" w:rsidRDefault="004C59D7" w:rsidP="00FC290C">
      <w:pPr>
        <w:pStyle w:val="ListParagraph"/>
        <w:numPr>
          <w:ilvl w:val="0"/>
          <w:numId w:val="18"/>
        </w:numPr>
        <w:spacing w:after="60"/>
        <w:ind w:left="1440"/>
        <w:rPr>
          <w:sz w:val="26"/>
          <w:szCs w:val="26"/>
        </w:rPr>
      </w:pPr>
      <w:r>
        <w:rPr>
          <w:rFonts w:ascii="Palatino Linotype" w:hAnsi="Palatino Linotype"/>
          <w:sz w:val="26"/>
          <w:szCs w:val="26"/>
        </w:rPr>
        <w:t xml:space="preserve">Renamed:  </w:t>
      </w:r>
      <w:r>
        <w:rPr>
          <w:rFonts w:ascii="Palatino Linotype" w:hAnsi="Palatino Linotype"/>
          <w:i/>
          <w:sz w:val="26"/>
          <w:szCs w:val="26"/>
        </w:rPr>
        <w:t xml:space="preserve">Single Party Interconnection Agreement </w:t>
      </w:r>
      <w:r w:rsidRPr="004C59D7">
        <w:rPr>
          <w:rFonts w:ascii="Palatino Linotype" w:hAnsi="Palatino Linotype"/>
          <w:i/>
          <w:sz w:val="26"/>
          <w:szCs w:val="26"/>
        </w:rPr>
        <w:t xml:space="preserve">for Net Energy Metering of Solar or Wind Electric Generating Facilities of </w:t>
      </w:r>
      <w:r>
        <w:rPr>
          <w:rFonts w:ascii="Palatino Linotype" w:hAnsi="Palatino Linotype"/>
          <w:i/>
          <w:sz w:val="26"/>
          <w:szCs w:val="26"/>
        </w:rPr>
        <w:t xml:space="preserve">More Than </w:t>
      </w:r>
      <w:r w:rsidRPr="004C59D7">
        <w:rPr>
          <w:rFonts w:ascii="Palatino Linotype" w:hAnsi="Palatino Linotype"/>
          <w:i/>
          <w:sz w:val="26"/>
          <w:szCs w:val="26"/>
        </w:rPr>
        <w:t xml:space="preserve">1,000 </w:t>
      </w:r>
      <w:r>
        <w:rPr>
          <w:rFonts w:ascii="Palatino Linotype" w:hAnsi="Palatino Linotype"/>
          <w:i/>
          <w:sz w:val="26"/>
          <w:szCs w:val="26"/>
        </w:rPr>
        <w:t>KW</w:t>
      </w:r>
      <w:r w:rsidRPr="004C59D7">
        <w:rPr>
          <w:rFonts w:ascii="Palatino Linotype" w:hAnsi="Palatino Linotype"/>
          <w:i/>
          <w:sz w:val="26"/>
          <w:szCs w:val="26"/>
        </w:rPr>
        <w:t xml:space="preserve"> </w:t>
      </w:r>
      <w:r>
        <w:rPr>
          <w:rFonts w:ascii="Palatino Linotype" w:hAnsi="Palatino Linotype"/>
          <w:i/>
          <w:sz w:val="26"/>
          <w:szCs w:val="26"/>
        </w:rPr>
        <w:t>and</w:t>
      </w:r>
      <w:r w:rsidRPr="004C59D7">
        <w:rPr>
          <w:rFonts w:ascii="Palatino Linotype" w:hAnsi="Palatino Linotype"/>
          <w:i/>
          <w:sz w:val="26"/>
          <w:szCs w:val="26"/>
        </w:rPr>
        <w:t xml:space="preserve"> Less</w:t>
      </w:r>
      <w:r>
        <w:rPr>
          <w:rFonts w:ascii="Palatino Linotype" w:hAnsi="Palatino Linotype"/>
          <w:i/>
          <w:sz w:val="26"/>
          <w:szCs w:val="26"/>
        </w:rPr>
        <w:t xml:space="preserve"> than 8,000 KW </w:t>
      </w:r>
      <w:r w:rsidR="0038583E">
        <w:rPr>
          <w:rFonts w:ascii="Palatino Linotype" w:hAnsi="Palatino Linotype"/>
          <w:i/>
          <w:sz w:val="26"/>
          <w:szCs w:val="26"/>
        </w:rPr>
        <w:t>(</w:t>
      </w:r>
      <w:r>
        <w:rPr>
          <w:rFonts w:ascii="Palatino Linotype" w:hAnsi="Palatino Linotype"/>
          <w:i/>
          <w:sz w:val="26"/>
          <w:szCs w:val="26"/>
        </w:rPr>
        <w:t xml:space="preserve">For Use </w:t>
      </w:r>
      <w:r w:rsidR="0038583E">
        <w:rPr>
          <w:rFonts w:ascii="Palatino Linotype" w:hAnsi="Palatino Linotype"/>
          <w:i/>
          <w:sz w:val="26"/>
          <w:szCs w:val="26"/>
        </w:rPr>
        <w:t>by</w:t>
      </w:r>
      <w:r>
        <w:rPr>
          <w:rFonts w:ascii="Palatino Linotype" w:hAnsi="Palatino Linotype"/>
          <w:i/>
          <w:sz w:val="26"/>
          <w:szCs w:val="26"/>
        </w:rPr>
        <w:t xml:space="preserve"> </w:t>
      </w:r>
      <w:r w:rsidR="0038583E">
        <w:rPr>
          <w:rFonts w:ascii="Palatino Linotype" w:hAnsi="Palatino Linotype"/>
          <w:i/>
          <w:sz w:val="26"/>
          <w:szCs w:val="26"/>
        </w:rPr>
        <w:t>t</w:t>
      </w:r>
      <w:r>
        <w:rPr>
          <w:rFonts w:ascii="Palatino Linotype" w:hAnsi="Palatino Linotype"/>
          <w:i/>
          <w:sz w:val="26"/>
          <w:szCs w:val="26"/>
        </w:rPr>
        <w:t>he California Department of Corrections and Rehabilitation</w:t>
      </w:r>
      <w:r w:rsidR="0038583E">
        <w:rPr>
          <w:rFonts w:ascii="Palatino Linotype" w:hAnsi="Palatino Linotype"/>
          <w:i/>
          <w:sz w:val="26"/>
          <w:szCs w:val="26"/>
        </w:rPr>
        <w:t>)</w:t>
      </w:r>
      <w:r w:rsidR="0038583E">
        <w:rPr>
          <w:rFonts w:ascii="Palatino Linotype" w:hAnsi="Palatino Linotype"/>
          <w:sz w:val="26"/>
          <w:szCs w:val="26"/>
        </w:rPr>
        <w:t>;</w:t>
      </w:r>
    </w:p>
    <w:p w:rsidR="004C59D7" w:rsidRDefault="008B31CF" w:rsidP="00FC290C">
      <w:pPr>
        <w:pStyle w:val="ListParagraph"/>
        <w:numPr>
          <w:ilvl w:val="0"/>
          <w:numId w:val="18"/>
        </w:numPr>
        <w:spacing w:after="60"/>
        <w:ind w:left="1440"/>
        <w:rPr>
          <w:rFonts w:ascii="Palatino Linotype" w:hAnsi="Palatino Linotype"/>
          <w:sz w:val="26"/>
          <w:szCs w:val="26"/>
        </w:rPr>
      </w:pPr>
      <w:r>
        <w:rPr>
          <w:rFonts w:ascii="Palatino Linotype" w:hAnsi="Palatino Linotype"/>
          <w:sz w:val="26"/>
          <w:szCs w:val="26"/>
        </w:rPr>
        <w:t>Makes generic edits</w:t>
      </w:r>
      <w:r w:rsidR="0038583E">
        <w:rPr>
          <w:rFonts w:ascii="Palatino Linotype" w:hAnsi="Palatino Linotype"/>
          <w:sz w:val="26"/>
          <w:szCs w:val="26"/>
        </w:rPr>
        <w:t xml:space="preserve"> for CDCR;</w:t>
      </w:r>
    </w:p>
    <w:p w:rsidR="008B31CF" w:rsidRDefault="008B31CF" w:rsidP="00FC290C">
      <w:pPr>
        <w:pStyle w:val="ListParagraph"/>
        <w:numPr>
          <w:ilvl w:val="0"/>
          <w:numId w:val="18"/>
        </w:numPr>
        <w:spacing w:after="60"/>
        <w:ind w:left="1440"/>
        <w:rPr>
          <w:rFonts w:ascii="Palatino Linotype" w:hAnsi="Palatino Linotype"/>
          <w:sz w:val="26"/>
          <w:szCs w:val="26"/>
        </w:rPr>
      </w:pPr>
      <w:r>
        <w:rPr>
          <w:rFonts w:ascii="Palatino Linotype" w:hAnsi="Palatino Linotype"/>
          <w:sz w:val="26"/>
          <w:szCs w:val="26"/>
        </w:rPr>
        <w:t xml:space="preserve">Adds </w:t>
      </w:r>
      <w:r w:rsidR="00FC290C">
        <w:rPr>
          <w:rFonts w:ascii="Palatino Linotype" w:hAnsi="Palatino Linotype"/>
          <w:sz w:val="26"/>
          <w:szCs w:val="26"/>
        </w:rPr>
        <w:t>language in Sections 8 and 9 to reflect provisions for</w:t>
      </w:r>
      <w:r>
        <w:rPr>
          <w:rFonts w:ascii="Palatino Linotype" w:hAnsi="Palatino Linotype"/>
          <w:sz w:val="26"/>
          <w:szCs w:val="26"/>
        </w:rPr>
        <w:t xml:space="preserve"> distribution and network upgrades</w:t>
      </w:r>
      <w:r w:rsidR="00FC290C">
        <w:rPr>
          <w:rFonts w:ascii="Palatino Linotype" w:hAnsi="Palatino Linotype"/>
          <w:sz w:val="26"/>
          <w:szCs w:val="26"/>
        </w:rPr>
        <w:t xml:space="preserve"> in PU Code §2827(b)(4)(B)(ii)</w:t>
      </w:r>
      <w:r w:rsidR="0038583E">
        <w:rPr>
          <w:rFonts w:ascii="Palatino Linotype" w:hAnsi="Palatino Linotype"/>
          <w:sz w:val="26"/>
          <w:szCs w:val="26"/>
        </w:rPr>
        <w:t>;</w:t>
      </w:r>
    </w:p>
    <w:p w:rsidR="00FC290C" w:rsidRDefault="00FC290C" w:rsidP="00FC290C">
      <w:pPr>
        <w:pStyle w:val="ListParagraph"/>
        <w:numPr>
          <w:ilvl w:val="0"/>
          <w:numId w:val="18"/>
        </w:numPr>
        <w:spacing w:after="60"/>
        <w:ind w:left="1440"/>
        <w:rPr>
          <w:rFonts w:ascii="Palatino Linotype" w:hAnsi="Palatino Linotype"/>
          <w:sz w:val="26"/>
          <w:szCs w:val="26"/>
        </w:rPr>
      </w:pPr>
      <w:r>
        <w:rPr>
          <w:rFonts w:ascii="Palatino Linotype" w:hAnsi="Palatino Linotype"/>
          <w:sz w:val="26"/>
          <w:szCs w:val="26"/>
        </w:rPr>
        <w:t>Adds a “Milestones” attachment as Appendix C to set critical milestones and party responsibility</w:t>
      </w:r>
      <w:r w:rsidR="0038583E">
        <w:rPr>
          <w:rFonts w:ascii="Palatino Linotype" w:hAnsi="Palatino Linotype"/>
          <w:sz w:val="26"/>
          <w:szCs w:val="26"/>
        </w:rPr>
        <w:t>.</w:t>
      </w:r>
      <w:r>
        <w:rPr>
          <w:rFonts w:ascii="Palatino Linotype" w:hAnsi="Palatino Linotype"/>
          <w:sz w:val="26"/>
          <w:szCs w:val="26"/>
        </w:rPr>
        <w:t xml:space="preserve">  </w:t>
      </w:r>
    </w:p>
    <w:p w:rsidR="00FC290C" w:rsidRPr="00FC290C" w:rsidRDefault="00FC290C" w:rsidP="00FC290C">
      <w:pPr>
        <w:pStyle w:val="ListParagraph"/>
        <w:numPr>
          <w:ilvl w:val="0"/>
          <w:numId w:val="17"/>
        </w:numPr>
        <w:spacing w:after="60"/>
        <w:rPr>
          <w:rFonts w:ascii="Palatino Linotype" w:hAnsi="Palatino Linotype"/>
          <w:sz w:val="26"/>
          <w:szCs w:val="26"/>
        </w:rPr>
      </w:pPr>
      <w:r>
        <w:rPr>
          <w:rFonts w:ascii="Palatino Linotype" w:hAnsi="Palatino Linotype"/>
          <w:b/>
          <w:sz w:val="26"/>
          <w:szCs w:val="26"/>
        </w:rPr>
        <w:t>Producer Agreement – Form 79-978C</w:t>
      </w:r>
    </w:p>
    <w:p w:rsidR="00FC290C" w:rsidRPr="0038583E" w:rsidRDefault="0038583E" w:rsidP="00FC290C">
      <w:pPr>
        <w:pStyle w:val="ListParagraph"/>
        <w:numPr>
          <w:ilvl w:val="0"/>
          <w:numId w:val="19"/>
        </w:numPr>
        <w:spacing w:after="60"/>
        <w:rPr>
          <w:rFonts w:ascii="Palatino Linotype" w:hAnsi="Palatino Linotype"/>
          <w:sz w:val="26"/>
          <w:szCs w:val="26"/>
        </w:rPr>
      </w:pPr>
      <w:r>
        <w:rPr>
          <w:rFonts w:ascii="Palatino Linotype" w:hAnsi="Palatino Linotype"/>
          <w:sz w:val="26"/>
          <w:szCs w:val="26"/>
        </w:rPr>
        <w:t xml:space="preserve">Renamed:  </w:t>
      </w:r>
      <w:r>
        <w:rPr>
          <w:rFonts w:ascii="Palatino Linotype" w:hAnsi="Palatino Linotype"/>
          <w:i/>
          <w:sz w:val="26"/>
          <w:szCs w:val="26"/>
        </w:rPr>
        <w:t>Multi-Party Producer Customer Generation Agreement (3</w:t>
      </w:r>
      <w:r w:rsidRPr="0038583E">
        <w:rPr>
          <w:rFonts w:ascii="Palatino Linotype" w:hAnsi="Palatino Linotype"/>
          <w:i/>
          <w:sz w:val="26"/>
          <w:szCs w:val="26"/>
          <w:vertAlign w:val="superscript"/>
        </w:rPr>
        <w:t>rd</w:t>
      </w:r>
      <w:r>
        <w:rPr>
          <w:rFonts w:ascii="Palatino Linotype" w:hAnsi="Palatino Linotype"/>
          <w:i/>
          <w:sz w:val="26"/>
          <w:szCs w:val="26"/>
        </w:rPr>
        <w:t xml:space="preserve"> Party Generator on Premises) (For Use by the California Department of Corrections and Rehabilitation)</w:t>
      </w:r>
      <w:r>
        <w:rPr>
          <w:rFonts w:ascii="Palatino Linotype" w:hAnsi="Palatino Linotype"/>
          <w:sz w:val="26"/>
          <w:szCs w:val="26"/>
        </w:rPr>
        <w:t>;</w:t>
      </w:r>
    </w:p>
    <w:p w:rsidR="0038583E" w:rsidRDefault="0038583E" w:rsidP="00FC290C">
      <w:pPr>
        <w:pStyle w:val="ListParagraph"/>
        <w:numPr>
          <w:ilvl w:val="0"/>
          <w:numId w:val="19"/>
        </w:numPr>
        <w:spacing w:after="60"/>
        <w:rPr>
          <w:rFonts w:ascii="Palatino Linotype" w:hAnsi="Palatino Linotype"/>
          <w:sz w:val="26"/>
          <w:szCs w:val="26"/>
        </w:rPr>
      </w:pPr>
      <w:r>
        <w:rPr>
          <w:rFonts w:ascii="Palatino Linotype" w:hAnsi="Palatino Linotype"/>
          <w:sz w:val="26"/>
          <w:szCs w:val="26"/>
        </w:rPr>
        <w:t xml:space="preserve">Adds </w:t>
      </w:r>
      <w:r w:rsidR="003F3864">
        <w:rPr>
          <w:rFonts w:ascii="Palatino Linotype" w:hAnsi="Palatino Linotype"/>
          <w:sz w:val="26"/>
          <w:szCs w:val="26"/>
        </w:rPr>
        <w:t xml:space="preserve">generic </w:t>
      </w:r>
      <w:r>
        <w:rPr>
          <w:rFonts w:ascii="Palatino Linotype" w:hAnsi="Palatino Linotype"/>
          <w:sz w:val="26"/>
          <w:szCs w:val="26"/>
        </w:rPr>
        <w:t>changes for CDCR;</w:t>
      </w:r>
    </w:p>
    <w:p w:rsidR="0038583E" w:rsidRDefault="0038583E" w:rsidP="0038583E">
      <w:pPr>
        <w:pStyle w:val="ListParagraph"/>
        <w:numPr>
          <w:ilvl w:val="0"/>
          <w:numId w:val="19"/>
        </w:numPr>
        <w:spacing w:after="60"/>
        <w:rPr>
          <w:rFonts w:ascii="Palatino Linotype" w:hAnsi="Palatino Linotype"/>
          <w:sz w:val="26"/>
          <w:szCs w:val="26"/>
        </w:rPr>
      </w:pPr>
      <w:r>
        <w:rPr>
          <w:rFonts w:ascii="Palatino Linotype" w:hAnsi="Palatino Linotype"/>
          <w:sz w:val="26"/>
          <w:szCs w:val="26"/>
        </w:rPr>
        <w:t xml:space="preserve">Adds </w:t>
      </w:r>
      <w:r w:rsidR="00D34187">
        <w:rPr>
          <w:rFonts w:ascii="Palatino Linotype" w:hAnsi="Palatino Linotype"/>
          <w:sz w:val="26"/>
          <w:szCs w:val="26"/>
        </w:rPr>
        <w:t>S</w:t>
      </w:r>
      <w:r>
        <w:rPr>
          <w:rFonts w:ascii="Palatino Linotype" w:hAnsi="Palatino Linotype"/>
          <w:sz w:val="26"/>
          <w:szCs w:val="26"/>
        </w:rPr>
        <w:t>ections 8 and 9 to reflect provisions for distribution and network upgrades in PU Code §2827(b)(4)(B)(ii);</w:t>
      </w:r>
    </w:p>
    <w:p w:rsidR="0038583E" w:rsidRDefault="00D34187" w:rsidP="00FC290C">
      <w:pPr>
        <w:pStyle w:val="ListParagraph"/>
        <w:numPr>
          <w:ilvl w:val="0"/>
          <w:numId w:val="19"/>
        </w:numPr>
        <w:spacing w:after="60"/>
        <w:rPr>
          <w:rFonts w:ascii="Palatino Linotype" w:hAnsi="Palatino Linotype"/>
          <w:sz w:val="26"/>
          <w:szCs w:val="26"/>
        </w:rPr>
      </w:pPr>
      <w:r>
        <w:rPr>
          <w:rFonts w:ascii="Palatino Linotype" w:hAnsi="Palatino Linotype"/>
          <w:sz w:val="26"/>
          <w:szCs w:val="26"/>
        </w:rPr>
        <w:t xml:space="preserve">Adds language to Section 10 to reflect Limitations to Liability </w:t>
      </w:r>
      <w:r w:rsidR="00A80FDC">
        <w:rPr>
          <w:rFonts w:ascii="Palatino Linotype" w:hAnsi="Palatino Linotype"/>
          <w:sz w:val="26"/>
          <w:szCs w:val="26"/>
        </w:rPr>
        <w:t xml:space="preserve">and Assignment of Liability </w:t>
      </w:r>
      <w:r>
        <w:rPr>
          <w:rFonts w:ascii="Palatino Linotype" w:hAnsi="Palatino Linotype"/>
          <w:sz w:val="26"/>
          <w:szCs w:val="26"/>
        </w:rPr>
        <w:t>provisions for multi-party producer arrangements</w:t>
      </w:r>
    </w:p>
    <w:p w:rsidR="00E44D67" w:rsidRDefault="00DB02F6" w:rsidP="00E44D67">
      <w:pPr>
        <w:pStyle w:val="ListParagraph"/>
        <w:numPr>
          <w:ilvl w:val="0"/>
          <w:numId w:val="19"/>
        </w:numPr>
        <w:spacing w:after="60"/>
        <w:rPr>
          <w:rFonts w:ascii="Palatino Linotype" w:hAnsi="Palatino Linotype"/>
          <w:sz w:val="26"/>
          <w:szCs w:val="26"/>
        </w:rPr>
      </w:pPr>
      <w:r>
        <w:rPr>
          <w:rFonts w:ascii="Palatino Linotype" w:hAnsi="Palatino Linotype"/>
          <w:sz w:val="26"/>
          <w:szCs w:val="26"/>
        </w:rPr>
        <w:t xml:space="preserve">Revises Section 11 to reflect </w:t>
      </w:r>
      <w:r w:rsidR="00A80FDC">
        <w:rPr>
          <w:rFonts w:ascii="Palatino Linotype" w:hAnsi="Palatino Linotype"/>
          <w:sz w:val="26"/>
          <w:szCs w:val="26"/>
        </w:rPr>
        <w:t xml:space="preserve">Insurance </w:t>
      </w:r>
      <w:r>
        <w:rPr>
          <w:rFonts w:ascii="Palatino Linotype" w:hAnsi="Palatino Linotype"/>
          <w:sz w:val="26"/>
          <w:szCs w:val="26"/>
        </w:rPr>
        <w:t>provisions for multi-party producer arrangements</w:t>
      </w:r>
    </w:p>
    <w:p w:rsidR="00E44D67" w:rsidRDefault="00E44D67" w:rsidP="00513426">
      <w:pPr>
        <w:pStyle w:val="ListParagraph"/>
        <w:numPr>
          <w:ilvl w:val="0"/>
          <w:numId w:val="19"/>
        </w:numPr>
        <w:rPr>
          <w:rFonts w:ascii="Palatino Linotype" w:hAnsi="Palatino Linotype"/>
          <w:sz w:val="26"/>
          <w:szCs w:val="26"/>
        </w:rPr>
      </w:pPr>
      <w:r>
        <w:rPr>
          <w:rFonts w:ascii="Palatino Linotype" w:hAnsi="Palatino Linotype"/>
          <w:sz w:val="26"/>
          <w:szCs w:val="26"/>
        </w:rPr>
        <w:t xml:space="preserve">Adds a “Milestones” attachment as Appendix C to set critical milestones and party responsibility.  </w:t>
      </w:r>
    </w:p>
    <w:p w:rsidR="00513426" w:rsidRDefault="005C4B2C" w:rsidP="00DB02F6">
      <w:r>
        <w:t xml:space="preserve"> </w:t>
      </w:r>
    </w:p>
    <w:p w:rsidR="00EE35B0" w:rsidRDefault="0031713B" w:rsidP="00DB02F6">
      <w:pPr>
        <w:rPr>
          <w:rFonts w:ascii="Palatino Linotype" w:hAnsi="Palatino Linotype" w:cs="Arial"/>
          <w:color w:val="000000"/>
          <w:szCs w:val="26"/>
        </w:rPr>
      </w:pPr>
      <w:r>
        <w:t xml:space="preserve">We agree with the need for the deviations to </w:t>
      </w:r>
      <w:r w:rsidR="008848BA">
        <w:t>PG&amp;E</w:t>
      </w:r>
      <w:r>
        <w:t xml:space="preserve"> Form </w:t>
      </w:r>
      <w:r w:rsidR="00DB02F6">
        <w:t>79-978</w:t>
      </w:r>
      <w:r>
        <w:t xml:space="preserve"> and approve the r</w:t>
      </w:r>
      <w:r w:rsidR="00AC6742">
        <w:t>equested r</w:t>
      </w:r>
      <w:r w:rsidR="00DB02F6">
        <w:t>evisions to the standard NEM IA</w:t>
      </w:r>
      <w:r w:rsidR="0077122D">
        <w:t xml:space="preserve">, memorialized as </w:t>
      </w:r>
      <w:r w:rsidR="008848BA">
        <w:t>PG&amp;E</w:t>
      </w:r>
      <w:r w:rsidR="0077122D">
        <w:t xml:space="preserve"> Form</w:t>
      </w:r>
      <w:r w:rsidR="00DB02F6">
        <w:t>s</w:t>
      </w:r>
      <w:r w:rsidR="0077122D">
        <w:t xml:space="preserve"> </w:t>
      </w:r>
      <w:r w:rsidR="00DB02F6">
        <w:t>79-978B and 79</w:t>
      </w:r>
      <w:r w:rsidR="0077122D">
        <w:t>-</w:t>
      </w:r>
      <w:r w:rsidR="00DB02F6">
        <w:t>978C provided</w:t>
      </w:r>
      <w:r w:rsidR="00644452">
        <w:t xml:space="preserve"> in </w:t>
      </w:r>
      <w:r w:rsidR="008848BA">
        <w:t>PG&amp;E</w:t>
      </w:r>
      <w:r w:rsidR="00644452">
        <w:t xml:space="preserve"> AL </w:t>
      </w:r>
      <w:r w:rsidR="00200AB0">
        <w:t>4724</w:t>
      </w:r>
      <w:r w:rsidR="00644452">
        <w:t>-E</w:t>
      </w:r>
      <w:r w:rsidR="00DB02F6">
        <w:t xml:space="preserve">.  </w:t>
      </w:r>
    </w:p>
    <w:p w:rsidR="00DF59BC" w:rsidRDefault="00DF59BC" w:rsidP="00DF59BC">
      <w:pPr>
        <w:autoSpaceDE w:val="0"/>
        <w:autoSpaceDN w:val="0"/>
        <w:adjustRightInd w:val="0"/>
        <w:rPr>
          <w:rFonts w:ascii="Palatino Linotype" w:hAnsi="Palatino Linotype" w:cs="Arial"/>
          <w:color w:val="000000"/>
          <w:szCs w:val="26"/>
        </w:rPr>
      </w:pPr>
    </w:p>
    <w:p w:rsidR="00DF59BC" w:rsidRDefault="00DB1C98" w:rsidP="00DF59BC">
      <w:pPr>
        <w:rPr>
          <w:b/>
        </w:rPr>
      </w:pPr>
      <w:r>
        <w:rPr>
          <w:b/>
        </w:rPr>
        <w:t xml:space="preserve">According to </w:t>
      </w:r>
      <w:r w:rsidR="008848BA">
        <w:rPr>
          <w:b/>
        </w:rPr>
        <w:t>PG&amp;E</w:t>
      </w:r>
      <w:r>
        <w:rPr>
          <w:b/>
        </w:rPr>
        <w:t xml:space="preserve">, </w:t>
      </w:r>
      <w:r w:rsidR="00DB02F6">
        <w:rPr>
          <w:b/>
        </w:rPr>
        <w:t>d</w:t>
      </w:r>
      <w:r w:rsidR="00DF59BC">
        <w:rPr>
          <w:b/>
        </w:rPr>
        <w:t xml:space="preserve">eviations to </w:t>
      </w:r>
      <w:r w:rsidR="008848BA">
        <w:rPr>
          <w:b/>
        </w:rPr>
        <w:t>PG&amp;E</w:t>
      </w:r>
      <w:r w:rsidR="00DF59BC">
        <w:rPr>
          <w:b/>
        </w:rPr>
        <w:t xml:space="preserve"> Form </w:t>
      </w:r>
      <w:r w:rsidR="00DB02F6">
        <w:rPr>
          <w:b/>
        </w:rPr>
        <w:t xml:space="preserve">79-992, </w:t>
      </w:r>
      <w:r w:rsidR="00DB02F6">
        <w:rPr>
          <w:b/>
          <w:i/>
        </w:rPr>
        <w:t>Customer Generation Agreement (Third Party Generator on Premises Non-Exporting)</w:t>
      </w:r>
      <w:r w:rsidR="00DB02F6">
        <w:rPr>
          <w:b/>
        </w:rPr>
        <w:t xml:space="preserve">, applicable solely </w:t>
      </w:r>
      <w:r w:rsidR="00DF59BC">
        <w:rPr>
          <w:b/>
        </w:rPr>
        <w:t xml:space="preserve">to CDCR are necessary </w:t>
      </w:r>
      <w:r w:rsidR="003F3864">
        <w:rPr>
          <w:b/>
        </w:rPr>
        <w:t>to</w:t>
      </w:r>
      <w:r w:rsidR="00FF2620">
        <w:rPr>
          <w:b/>
        </w:rPr>
        <w:t xml:space="preserve"> enable </w:t>
      </w:r>
      <w:r w:rsidR="004351A3">
        <w:rPr>
          <w:b/>
        </w:rPr>
        <w:t xml:space="preserve">a </w:t>
      </w:r>
      <w:r w:rsidR="00FF2620">
        <w:rPr>
          <w:b/>
        </w:rPr>
        <w:t>multiple third-party producer</w:t>
      </w:r>
      <w:r w:rsidR="004351A3">
        <w:rPr>
          <w:b/>
        </w:rPr>
        <w:t xml:space="preserve"> arrangement at a CDC</w:t>
      </w:r>
      <w:r w:rsidR="00FF2620">
        <w:rPr>
          <w:b/>
        </w:rPr>
        <w:t>R</w:t>
      </w:r>
      <w:r w:rsidR="004351A3">
        <w:rPr>
          <w:b/>
        </w:rPr>
        <w:t xml:space="preserve"> facility</w:t>
      </w:r>
      <w:r w:rsidR="00FF2620">
        <w:rPr>
          <w:b/>
        </w:rPr>
        <w:t xml:space="preserve">.   </w:t>
      </w:r>
    </w:p>
    <w:p w:rsidR="00AC6742" w:rsidRPr="004027B7" w:rsidRDefault="00AC6742" w:rsidP="004027B7">
      <w:pPr>
        <w:rPr>
          <w:rFonts w:ascii="Palatino Linotype" w:hAnsi="Palatino Linotype"/>
          <w:szCs w:val="26"/>
        </w:rPr>
      </w:pPr>
    </w:p>
    <w:p w:rsidR="001F2761" w:rsidRDefault="007E670D" w:rsidP="007E670D">
      <w:pPr>
        <w:autoSpaceDE w:val="0"/>
        <w:autoSpaceDN w:val="0"/>
        <w:adjustRightInd w:val="0"/>
        <w:rPr>
          <w:rFonts w:ascii="Palatino Linotype" w:hAnsi="Palatino Linotype" w:cs="Arial"/>
          <w:color w:val="000000"/>
          <w:szCs w:val="26"/>
        </w:rPr>
      </w:pPr>
      <w:r w:rsidRPr="007E670D">
        <w:rPr>
          <w:rFonts w:ascii="Palatino Linotype" w:hAnsi="Palatino Linotype" w:cs="Arial"/>
          <w:color w:val="000000"/>
          <w:szCs w:val="26"/>
        </w:rPr>
        <w:t xml:space="preserve">Form </w:t>
      </w:r>
      <w:r w:rsidR="003F3864">
        <w:rPr>
          <w:rFonts w:ascii="Palatino Linotype" w:hAnsi="Palatino Linotype" w:cs="Arial"/>
          <w:color w:val="000000"/>
          <w:szCs w:val="26"/>
        </w:rPr>
        <w:t>79-992</w:t>
      </w:r>
      <w:r w:rsidRPr="007E670D">
        <w:rPr>
          <w:rFonts w:ascii="Palatino Linotype" w:hAnsi="Palatino Linotype" w:cs="Arial"/>
          <w:color w:val="000000"/>
          <w:szCs w:val="26"/>
        </w:rPr>
        <w:t xml:space="preserve"> is t</w:t>
      </w:r>
      <w:r w:rsidR="00BD1B5F">
        <w:rPr>
          <w:rFonts w:ascii="Palatino Linotype" w:hAnsi="Palatino Linotype" w:cs="Arial"/>
          <w:color w:val="000000"/>
          <w:szCs w:val="26"/>
        </w:rPr>
        <w:t xml:space="preserve">he standard </w:t>
      </w:r>
      <w:r w:rsidR="003F3864">
        <w:rPr>
          <w:rFonts w:ascii="Palatino Linotype" w:hAnsi="Palatino Linotype" w:cs="Arial"/>
          <w:color w:val="000000"/>
          <w:szCs w:val="26"/>
        </w:rPr>
        <w:t>CGA</w:t>
      </w:r>
      <w:r w:rsidR="00BD1B5F">
        <w:rPr>
          <w:rFonts w:ascii="Palatino Linotype" w:hAnsi="Palatino Linotype" w:cs="Arial"/>
          <w:color w:val="000000"/>
          <w:szCs w:val="26"/>
        </w:rPr>
        <w:t xml:space="preserve"> </w:t>
      </w:r>
      <w:r w:rsidR="00513426">
        <w:rPr>
          <w:rFonts w:ascii="Palatino Linotype" w:hAnsi="Palatino Linotype" w:cs="Arial"/>
          <w:color w:val="000000"/>
          <w:szCs w:val="26"/>
        </w:rPr>
        <w:t xml:space="preserve">that allows a third-party producer to utilize a customer’s electrical facilities </w:t>
      </w:r>
      <w:r w:rsidR="00FF2620">
        <w:rPr>
          <w:rFonts w:ascii="Palatino Linotype" w:hAnsi="Palatino Linotype" w:cs="Arial"/>
          <w:color w:val="000000"/>
          <w:szCs w:val="26"/>
        </w:rPr>
        <w:t>to interconnect and operate a generating facility in parallel with PG&amp;E’s distribution system</w:t>
      </w:r>
      <w:r w:rsidRPr="007E670D">
        <w:rPr>
          <w:rFonts w:ascii="Palatino Linotype" w:hAnsi="Palatino Linotype" w:cs="Arial"/>
          <w:color w:val="000000"/>
          <w:szCs w:val="26"/>
        </w:rPr>
        <w:t xml:space="preserve">.  </w:t>
      </w:r>
      <w:r w:rsidR="001F2761">
        <w:rPr>
          <w:rFonts w:ascii="Palatino Linotype" w:hAnsi="Palatino Linotype" w:cs="Arial"/>
          <w:color w:val="000000"/>
          <w:szCs w:val="26"/>
        </w:rPr>
        <w:t xml:space="preserve">PG&amp;E proposes deviations to Form 79-992 in order to enable arrangements wherein multiple third-party producers can utilize CDCR’s electrical facilities to interconnect and operate generating facilities in parallel with PG&amp;E’s distribution system, in conjunction with Deviated Form 79-978C described above.  </w:t>
      </w:r>
      <w:r w:rsidR="001F2761">
        <w:t>The proposed deviations to Form 79-992 would entail the following changes:</w:t>
      </w:r>
      <w:r w:rsidR="001F2761">
        <w:rPr>
          <w:rFonts w:ascii="Palatino Linotype" w:hAnsi="Palatino Linotype" w:cs="Arial"/>
          <w:color w:val="000000"/>
          <w:szCs w:val="26"/>
        </w:rPr>
        <w:t xml:space="preserve"> </w:t>
      </w:r>
    </w:p>
    <w:p w:rsidR="001F2761" w:rsidRDefault="001F2761" w:rsidP="007E670D">
      <w:pPr>
        <w:autoSpaceDE w:val="0"/>
        <w:autoSpaceDN w:val="0"/>
        <w:adjustRightInd w:val="0"/>
        <w:rPr>
          <w:rFonts w:ascii="Palatino Linotype" w:hAnsi="Palatino Linotype" w:cs="Arial"/>
          <w:color w:val="000000"/>
          <w:szCs w:val="26"/>
        </w:rPr>
      </w:pPr>
    </w:p>
    <w:p w:rsidR="001F2761" w:rsidRPr="005F057B" w:rsidRDefault="001F2761" w:rsidP="001F2761">
      <w:pPr>
        <w:pStyle w:val="ListParagraph"/>
        <w:numPr>
          <w:ilvl w:val="0"/>
          <w:numId w:val="20"/>
        </w:numPr>
        <w:spacing w:after="60"/>
        <w:rPr>
          <w:b/>
        </w:rPr>
      </w:pPr>
      <w:r>
        <w:rPr>
          <w:rFonts w:ascii="Palatino Linotype" w:hAnsi="Palatino Linotype"/>
          <w:b/>
          <w:sz w:val="26"/>
          <w:szCs w:val="26"/>
        </w:rPr>
        <w:t>Host Agreement – Form 79-992A</w:t>
      </w:r>
    </w:p>
    <w:p w:rsidR="00A06CFC" w:rsidRDefault="00A06CFC" w:rsidP="00A06CFC">
      <w:pPr>
        <w:pStyle w:val="ListParagraph"/>
        <w:numPr>
          <w:ilvl w:val="0"/>
          <w:numId w:val="21"/>
        </w:numPr>
        <w:spacing w:after="60"/>
        <w:rPr>
          <w:rFonts w:ascii="Palatino Linotype" w:hAnsi="Palatino Linotype"/>
          <w:sz w:val="26"/>
          <w:szCs w:val="26"/>
        </w:rPr>
      </w:pPr>
      <w:r>
        <w:rPr>
          <w:rFonts w:ascii="Palatino Linotype" w:hAnsi="Palatino Linotype"/>
          <w:sz w:val="26"/>
          <w:szCs w:val="26"/>
        </w:rPr>
        <w:t xml:space="preserve">Renamed:  </w:t>
      </w:r>
      <w:r>
        <w:rPr>
          <w:rFonts w:ascii="Palatino Linotype" w:hAnsi="Palatino Linotype"/>
          <w:i/>
          <w:sz w:val="26"/>
          <w:szCs w:val="26"/>
        </w:rPr>
        <w:t>Multi-Party Host Customer Generation Agreement (3</w:t>
      </w:r>
      <w:r w:rsidRPr="0038583E">
        <w:rPr>
          <w:rFonts w:ascii="Palatino Linotype" w:hAnsi="Palatino Linotype"/>
          <w:i/>
          <w:sz w:val="26"/>
          <w:szCs w:val="26"/>
          <w:vertAlign w:val="superscript"/>
        </w:rPr>
        <w:t>rd</w:t>
      </w:r>
      <w:r>
        <w:rPr>
          <w:rFonts w:ascii="Palatino Linotype" w:hAnsi="Palatino Linotype"/>
          <w:i/>
          <w:sz w:val="26"/>
          <w:szCs w:val="26"/>
        </w:rPr>
        <w:t xml:space="preserve"> Party Generator on Premises) (For Use by the California Department of Corrections and Rehabilitation)</w:t>
      </w:r>
      <w:r>
        <w:rPr>
          <w:rFonts w:ascii="Palatino Linotype" w:hAnsi="Palatino Linotype"/>
          <w:sz w:val="26"/>
          <w:szCs w:val="26"/>
        </w:rPr>
        <w:t>;</w:t>
      </w:r>
    </w:p>
    <w:p w:rsidR="00A06CFC" w:rsidRDefault="00A06CFC" w:rsidP="00A06CFC">
      <w:pPr>
        <w:pStyle w:val="ListParagraph"/>
        <w:numPr>
          <w:ilvl w:val="0"/>
          <w:numId w:val="21"/>
        </w:numPr>
        <w:spacing w:after="60"/>
        <w:rPr>
          <w:rFonts w:ascii="Palatino Linotype" w:hAnsi="Palatino Linotype"/>
          <w:sz w:val="26"/>
          <w:szCs w:val="26"/>
        </w:rPr>
      </w:pPr>
      <w:r>
        <w:rPr>
          <w:rFonts w:ascii="Palatino Linotype" w:hAnsi="Palatino Linotype"/>
          <w:sz w:val="26"/>
          <w:szCs w:val="26"/>
        </w:rPr>
        <w:t>Makes generic edits for CDCR;</w:t>
      </w:r>
    </w:p>
    <w:p w:rsidR="00A06CFC" w:rsidRDefault="00A06CFC" w:rsidP="00A06CFC">
      <w:pPr>
        <w:pStyle w:val="ListParagraph"/>
        <w:numPr>
          <w:ilvl w:val="0"/>
          <w:numId w:val="21"/>
        </w:numPr>
        <w:spacing w:after="60"/>
        <w:rPr>
          <w:rFonts w:ascii="Palatino Linotype" w:hAnsi="Palatino Linotype"/>
          <w:sz w:val="26"/>
          <w:szCs w:val="26"/>
        </w:rPr>
      </w:pPr>
      <w:r>
        <w:rPr>
          <w:rFonts w:ascii="Palatino Linotype" w:hAnsi="Palatino Linotype"/>
          <w:sz w:val="26"/>
          <w:szCs w:val="26"/>
        </w:rPr>
        <w:t>Adds language to Section 3 acknowledging the customer (CDCR) as the NEM-eligible host</w:t>
      </w:r>
    </w:p>
    <w:p w:rsidR="00A06CFC" w:rsidRDefault="00A06CFC" w:rsidP="00A06CFC">
      <w:pPr>
        <w:pStyle w:val="ListParagraph"/>
        <w:numPr>
          <w:ilvl w:val="0"/>
          <w:numId w:val="21"/>
        </w:numPr>
        <w:spacing w:after="60"/>
        <w:rPr>
          <w:rFonts w:ascii="Palatino Linotype" w:hAnsi="Palatino Linotype"/>
          <w:sz w:val="26"/>
          <w:szCs w:val="26"/>
        </w:rPr>
      </w:pPr>
      <w:r>
        <w:rPr>
          <w:rFonts w:ascii="Palatino Linotype" w:hAnsi="Palatino Linotype"/>
          <w:sz w:val="26"/>
          <w:szCs w:val="26"/>
        </w:rPr>
        <w:t>Adds an appendix for tracking each Producer Agreement</w:t>
      </w:r>
    </w:p>
    <w:p w:rsidR="00A06CFC" w:rsidRPr="0038583E" w:rsidRDefault="00A06CFC" w:rsidP="00A06CFC">
      <w:pPr>
        <w:pStyle w:val="ListParagraph"/>
        <w:numPr>
          <w:ilvl w:val="0"/>
          <w:numId w:val="21"/>
        </w:numPr>
        <w:rPr>
          <w:rFonts w:ascii="Palatino Linotype" w:hAnsi="Palatino Linotype"/>
          <w:sz w:val="26"/>
          <w:szCs w:val="26"/>
        </w:rPr>
      </w:pPr>
      <w:r>
        <w:rPr>
          <w:rFonts w:ascii="Palatino Linotype" w:hAnsi="Palatino Linotype"/>
          <w:sz w:val="26"/>
          <w:szCs w:val="26"/>
        </w:rPr>
        <w:t xml:space="preserve">Adds language to </w:t>
      </w:r>
      <w:r w:rsidRPr="00C66909">
        <w:rPr>
          <w:rFonts w:ascii="Palatino Linotype" w:hAnsi="Palatino Linotype"/>
          <w:sz w:val="26"/>
          <w:szCs w:val="26"/>
        </w:rPr>
        <w:t>Section 5</w:t>
      </w:r>
      <w:r>
        <w:rPr>
          <w:rFonts w:ascii="Palatino Linotype" w:hAnsi="Palatino Linotype"/>
          <w:sz w:val="26"/>
          <w:szCs w:val="26"/>
        </w:rPr>
        <w:t xml:space="preserve"> regarding Assignment of Liability</w:t>
      </w:r>
    </w:p>
    <w:p w:rsidR="00DB1C98" w:rsidRDefault="00DB1C98" w:rsidP="007E670D">
      <w:pPr>
        <w:autoSpaceDE w:val="0"/>
        <w:autoSpaceDN w:val="0"/>
        <w:adjustRightInd w:val="0"/>
        <w:rPr>
          <w:rFonts w:ascii="Palatino Linotype" w:hAnsi="Palatino Linotype" w:cs="Arial"/>
          <w:color w:val="000000"/>
          <w:szCs w:val="26"/>
        </w:rPr>
      </w:pPr>
    </w:p>
    <w:p w:rsidR="00DF59BC" w:rsidRPr="00DB1C98" w:rsidRDefault="00DB1C98" w:rsidP="007E670D">
      <w:pPr>
        <w:autoSpaceDE w:val="0"/>
        <w:autoSpaceDN w:val="0"/>
        <w:adjustRightInd w:val="0"/>
        <w:rPr>
          <w:rFonts w:ascii="Palatino Linotype" w:hAnsi="Palatino Linotype" w:cs="Arial"/>
          <w:color w:val="000000"/>
          <w:szCs w:val="26"/>
        </w:rPr>
      </w:pPr>
      <w:r>
        <w:t xml:space="preserve">We agree with the need for the deviations to </w:t>
      </w:r>
      <w:r w:rsidR="008848BA">
        <w:t>PG&amp;E</w:t>
      </w:r>
      <w:r>
        <w:t xml:space="preserve"> Form </w:t>
      </w:r>
      <w:r w:rsidR="00A06CFC">
        <w:t>79-992</w:t>
      </w:r>
      <w:r>
        <w:t xml:space="preserve"> and approve the requested revisions to the standard NEM IA, memorialized as </w:t>
      </w:r>
      <w:r w:rsidR="008848BA">
        <w:t>PG&amp;E</w:t>
      </w:r>
      <w:r w:rsidR="008607EC">
        <w:t xml:space="preserve"> Form 79-992A provided i</w:t>
      </w:r>
      <w:r>
        <w:t xml:space="preserve">n </w:t>
      </w:r>
      <w:r w:rsidR="008848BA">
        <w:t>PG&amp;E</w:t>
      </w:r>
      <w:r>
        <w:t xml:space="preserve"> AL </w:t>
      </w:r>
      <w:r w:rsidR="00200AB0">
        <w:t>4724</w:t>
      </w:r>
      <w:r>
        <w:t>-E</w:t>
      </w:r>
      <w:r w:rsidR="008607EC">
        <w:t>.</w:t>
      </w:r>
      <w:r w:rsidR="00BD1B5F">
        <w:rPr>
          <w:rFonts w:ascii="Palatino Linotype" w:hAnsi="Palatino Linotype" w:cs="Arial"/>
          <w:color w:val="000000"/>
          <w:szCs w:val="26"/>
        </w:rPr>
        <w:t xml:space="preserve">  </w:t>
      </w:r>
    </w:p>
    <w:p w:rsidR="00EE35B0" w:rsidRPr="00973F93" w:rsidRDefault="00EE35B0" w:rsidP="00D63A28"/>
    <w:p w:rsidR="008607EC" w:rsidRDefault="008607EC" w:rsidP="008607EC">
      <w:pPr>
        <w:rPr>
          <w:b/>
        </w:rPr>
      </w:pPr>
      <w:r w:rsidRPr="000751A9">
        <w:rPr>
          <w:b/>
        </w:rPr>
        <w:t xml:space="preserve">According to PG&amp;E, </w:t>
      </w:r>
      <w:r w:rsidR="00A80FDC" w:rsidRPr="000751A9">
        <w:rPr>
          <w:b/>
        </w:rPr>
        <w:t>revisions</w:t>
      </w:r>
      <w:r w:rsidRPr="000751A9">
        <w:rPr>
          <w:b/>
        </w:rPr>
        <w:t xml:space="preserve"> to PG&amp;E Schedule NEM, </w:t>
      </w:r>
      <w:r w:rsidRPr="000751A9">
        <w:rPr>
          <w:rFonts w:ascii="Palatino Linotype" w:hAnsi="Palatino Linotype"/>
          <w:b/>
          <w:i/>
          <w:szCs w:val="26"/>
        </w:rPr>
        <w:t>Net Energy Metering Service</w:t>
      </w:r>
      <w:r w:rsidRPr="000751A9">
        <w:rPr>
          <w:b/>
        </w:rPr>
        <w:t xml:space="preserve">, are necessary to </w:t>
      </w:r>
      <w:r w:rsidR="000751A9" w:rsidRPr="000751A9">
        <w:rPr>
          <w:b/>
        </w:rPr>
        <w:t>reference the three new deviated interconnection agreements</w:t>
      </w:r>
      <w:r w:rsidRPr="000751A9">
        <w:rPr>
          <w:b/>
        </w:rPr>
        <w:t>.</w:t>
      </w:r>
      <w:r>
        <w:rPr>
          <w:b/>
        </w:rPr>
        <w:t xml:space="preserve">   </w:t>
      </w:r>
    </w:p>
    <w:p w:rsidR="008607EC" w:rsidRDefault="008607EC" w:rsidP="006B2969">
      <w:pPr>
        <w:rPr>
          <w:b/>
        </w:rPr>
      </w:pPr>
    </w:p>
    <w:p w:rsidR="000751A9" w:rsidRDefault="000751A9" w:rsidP="006B2969">
      <w:r>
        <w:t xml:space="preserve">Schedule NEM, </w:t>
      </w:r>
      <w:r>
        <w:rPr>
          <w:i/>
        </w:rPr>
        <w:t>Net Energy Metering Service</w:t>
      </w:r>
      <w:r>
        <w:t xml:space="preserve">, Special Condition 8 </w:t>
      </w:r>
      <w:r w:rsidR="00C66909">
        <w:t xml:space="preserve">defines CDCR as a NEM-eligible customer-generator and describes the unique NEM provisions extended to CDCR by SB 862.  PG&amp;E proposes revisions to Special Condition 8 to reference the three new deviated interconnection agreements, stating that CDCR shall submit, along with the Interconnection Application Form 79-974, either the Single Party Agreement (Form 79-978B), or the Multi-Party Host Agreement (Form 79-992A) along with one or more Multi-Party Producer Agreement (Form 79-978C).  </w:t>
      </w:r>
    </w:p>
    <w:p w:rsidR="00C66909" w:rsidRDefault="00C66909" w:rsidP="006B2969"/>
    <w:p w:rsidR="00C66909" w:rsidRPr="00DB1C98" w:rsidRDefault="00C66909" w:rsidP="00C66909">
      <w:pPr>
        <w:autoSpaceDE w:val="0"/>
        <w:autoSpaceDN w:val="0"/>
        <w:adjustRightInd w:val="0"/>
        <w:rPr>
          <w:rFonts w:ascii="Palatino Linotype" w:hAnsi="Palatino Linotype" w:cs="Arial"/>
          <w:color w:val="000000"/>
          <w:szCs w:val="26"/>
        </w:rPr>
      </w:pPr>
      <w:r>
        <w:t>We agree with the need to reference to the three new deviated forms in PG&amp;E Schedule NEM and approve the requested revisions to Schedule NEM, Special Condition 8 provided in PG&amp;E AL 4724-E.</w:t>
      </w:r>
      <w:r>
        <w:rPr>
          <w:rFonts w:ascii="Palatino Linotype" w:hAnsi="Palatino Linotype" w:cs="Arial"/>
          <w:color w:val="000000"/>
          <w:szCs w:val="26"/>
        </w:rPr>
        <w:t xml:space="preserve">  </w:t>
      </w:r>
    </w:p>
    <w:p w:rsidR="008607EC" w:rsidRDefault="008607EC" w:rsidP="006B2969">
      <w:pPr>
        <w:rPr>
          <w:b/>
        </w:rPr>
      </w:pPr>
    </w:p>
    <w:p w:rsidR="006B2969" w:rsidRDefault="008848BA" w:rsidP="006B2969">
      <w:pPr>
        <w:rPr>
          <w:b/>
        </w:rPr>
      </w:pPr>
      <w:r>
        <w:rPr>
          <w:b/>
        </w:rPr>
        <w:t>PG&amp;E</w:t>
      </w:r>
      <w:r w:rsidR="00F003EF">
        <w:rPr>
          <w:b/>
        </w:rPr>
        <w:t xml:space="preserve"> </w:t>
      </w:r>
      <w:r w:rsidR="006B2969">
        <w:rPr>
          <w:b/>
        </w:rPr>
        <w:t xml:space="preserve">AL </w:t>
      </w:r>
      <w:r w:rsidR="00200AB0">
        <w:rPr>
          <w:b/>
        </w:rPr>
        <w:t>4724</w:t>
      </w:r>
      <w:r w:rsidR="00F003EF">
        <w:rPr>
          <w:b/>
        </w:rPr>
        <w:t>-</w:t>
      </w:r>
      <w:r w:rsidR="006B2969">
        <w:rPr>
          <w:b/>
        </w:rPr>
        <w:t xml:space="preserve">E </w:t>
      </w:r>
      <w:r w:rsidR="00F003EF">
        <w:rPr>
          <w:b/>
        </w:rPr>
        <w:t xml:space="preserve">meets the requirements of </w:t>
      </w:r>
      <w:r w:rsidR="006B2969">
        <w:rPr>
          <w:b/>
        </w:rPr>
        <w:t xml:space="preserve">General </w:t>
      </w:r>
      <w:r w:rsidR="00F003EF">
        <w:rPr>
          <w:b/>
        </w:rPr>
        <w:t>Rule 8.2.3 of GO</w:t>
      </w:r>
      <w:r w:rsidR="00AC7C0E">
        <w:rPr>
          <w:b/>
        </w:rPr>
        <w:t xml:space="preserve"> 96-B</w:t>
      </w:r>
      <w:r w:rsidR="00A972A5">
        <w:rPr>
          <w:b/>
        </w:rPr>
        <w:t>, completes the implementation of the unique NEM provisions applicable to CDCR as authorized by SB 862, and is approved</w:t>
      </w:r>
      <w:r w:rsidR="006B2969" w:rsidRPr="00B6248A">
        <w:rPr>
          <w:b/>
        </w:rPr>
        <w:t xml:space="preserve">.  </w:t>
      </w:r>
    </w:p>
    <w:p w:rsidR="006B2969" w:rsidRDefault="006B2969" w:rsidP="006B2969">
      <w:pPr>
        <w:rPr>
          <w:b/>
        </w:rPr>
      </w:pPr>
    </w:p>
    <w:p w:rsidR="00E66034" w:rsidRDefault="006B2969" w:rsidP="006B2969">
      <w:r>
        <w:t xml:space="preserve">General Rule 8.2.3 of G.O. 96-B sets forth that </w:t>
      </w:r>
      <w:r w:rsidR="00C61304">
        <w:t>an energy utility</w:t>
      </w:r>
      <w:r>
        <w:t xml:space="preserve"> may provide service to a government agency under terms and conditions otherwise deviating from their </w:t>
      </w:r>
      <w:r w:rsidR="00AC7C0E">
        <w:t xml:space="preserve">tariffs, and </w:t>
      </w:r>
      <w:r>
        <w:t>may begin</w:t>
      </w:r>
      <w:r w:rsidR="00AC7C0E">
        <w:t xml:space="preserve"> provision of</w:t>
      </w:r>
      <w:r>
        <w:t xml:space="preserve"> such service without prior </w:t>
      </w:r>
      <w:r w:rsidR="00C61304">
        <w:t>Commission</w:t>
      </w:r>
      <w:r>
        <w:t xml:space="preserve"> approval, but requires the utility to promptly submit an advice letter to notify the </w:t>
      </w:r>
      <w:r w:rsidR="00C61304">
        <w:t>Commission</w:t>
      </w:r>
      <w:r>
        <w:t xml:space="preserve"> of the utility’s provision of such service.</w:t>
      </w:r>
    </w:p>
    <w:p w:rsidR="00E66034" w:rsidRDefault="00E66034" w:rsidP="006B2969"/>
    <w:p w:rsidR="006B2969" w:rsidRPr="00F70C30" w:rsidRDefault="00E66034" w:rsidP="00E66034">
      <w:r w:rsidRPr="00E66034">
        <w:t xml:space="preserve">In sum, we find that </w:t>
      </w:r>
      <w:r w:rsidR="008848BA">
        <w:t>PG&amp;E</w:t>
      </w:r>
      <w:r w:rsidRPr="00E66034">
        <w:t xml:space="preserve"> AL </w:t>
      </w:r>
      <w:r w:rsidR="00200AB0">
        <w:t>4724</w:t>
      </w:r>
      <w:r w:rsidRPr="00E66034">
        <w:t xml:space="preserve">-E was appropriately filed according to General Rule 8.2.3 of G.O. 96-B.  </w:t>
      </w:r>
      <w:r w:rsidR="00C61304">
        <w:t xml:space="preserve">The deviations to </w:t>
      </w:r>
      <w:r w:rsidR="008848BA">
        <w:t>PG&amp;E</w:t>
      </w:r>
      <w:r w:rsidR="00F70C30">
        <w:t xml:space="preserve"> </w:t>
      </w:r>
      <w:r w:rsidR="00C61304">
        <w:t xml:space="preserve">Forms </w:t>
      </w:r>
      <w:r w:rsidR="00BD4F55">
        <w:t>79-978</w:t>
      </w:r>
      <w:r w:rsidR="00C61304">
        <w:t xml:space="preserve"> and </w:t>
      </w:r>
      <w:r w:rsidR="00BD4F55">
        <w:t>79-992</w:t>
      </w:r>
      <w:r w:rsidR="00C61304">
        <w:t xml:space="preserve"> </w:t>
      </w:r>
      <w:r w:rsidR="00CF5CAA">
        <w:t>filed</w:t>
      </w:r>
      <w:r w:rsidR="00C61304">
        <w:t xml:space="preserve"> in </w:t>
      </w:r>
      <w:r w:rsidR="008848BA">
        <w:t>PG&amp;E</w:t>
      </w:r>
      <w:r w:rsidR="00C61304">
        <w:t xml:space="preserve"> AL </w:t>
      </w:r>
      <w:r w:rsidR="00200AB0">
        <w:t>4724</w:t>
      </w:r>
      <w:r w:rsidR="00C61304">
        <w:t xml:space="preserve">-E represent </w:t>
      </w:r>
      <w:r w:rsidR="00A972A5">
        <w:t xml:space="preserve">modifications to </w:t>
      </w:r>
      <w:r w:rsidR="00C61304">
        <w:t>the provision of service</w:t>
      </w:r>
      <w:r w:rsidR="00A972A5">
        <w:t xml:space="preserve"> applicable solely</w:t>
      </w:r>
      <w:r w:rsidR="00C61304">
        <w:t xml:space="preserve"> to CDCR, a </w:t>
      </w:r>
      <w:r w:rsidR="00390AD0">
        <w:t>S</w:t>
      </w:r>
      <w:r w:rsidR="00C61304">
        <w:t>tate government agency</w:t>
      </w:r>
      <w:r w:rsidR="00A972A5">
        <w:t xml:space="preserve">, and serve to fully implement the </w:t>
      </w:r>
      <w:r w:rsidR="00CF5CAA">
        <w:t>unique NEM provisions afforded CDCR by SB 862.</w:t>
      </w:r>
      <w:r>
        <w:t xml:space="preserve">  </w:t>
      </w:r>
      <w:r w:rsidR="00F70C30">
        <w:t xml:space="preserve">For these reasons, the deviations to </w:t>
      </w:r>
      <w:r w:rsidR="008848BA">
        <w:t>PG&amp;E</w:t>
      </w:r>
      <w:r w:rsidR="00F70C30">
        <w:t xml:space="preserve"> Forms </w:t>
      </w:r>
      <w:r w:rsidR="00BD4F55">
        <w:t>79-978</w:t>
      </w:r>
      <w:r w:rsidR="00F70C30">
        <w:t xml:space="preserve"> and </w:t>
      </w:r>
      <w:r w:rsidR="00BD4F55">
        <w:t>79-992</w:t>
      </w:r>
      <w:r w:rsidR="00F70C30">
        <w:t xml:space="preserve">, as well as modifications to </w:t>
      </w:r>
      <w:r w:rsidR="008848BA">
        <w:t>PG&amp;E</w:t>
      </w:r>
      <w:r w:rsidR="00F70C30" w:rsidRPr="0077122D">
        <w:t>’s List of Contracts and Deviations</w:t>
      </w:r>
      <w:r w:rsidR="008E45A0">
        <w:rPr>
          <w:rStyle w:val="FootnoteReference"/>
        </w:rPr>
        <w:footnoteReference w:id="3"/>
      </w:r>
      <w:r w:rsidR="00F70C30">
        <w:t xml:space="preserve"> to account for the new deviated Forms </w:t>
      </w:r>
      <w:r w:rsidR="00BD4F55">
        <w:t>79-978</w:t>
      </w:r>
      <w:r w:rsidR="000C5138">
        <w:t>B, 79-978C,</w:t>
      </w:r>
      <w:r w:rsidR="00F70C30">
        <w:t xml:space="preserve"> and </w:t>
      </w:r>
      <w:r w:rsidR="00BD4F55">
        <w:t>79-992</w:t>
      </w:r>
      <w:r w:rsidR="000C5138">
        <w:t>A</w:t>
      </w:r>
      <w:r w:rsidR="00F70C30">
        <w:t xml:space="preserve"> are approved.  </w:t>
      </w:r>
    </w:p>
    <w:p w:rsidR="006B2969" w:rsidRDefault="006B2969" w:rsidP="006B2969"/>
    <w:p w:rsidR="00EB2E24" w:rsidRDefault="00EB2E24" w:rsidP="00EB2E24">
      <w:pPr>
        <w:pStyle w:val="Heading1"/>
      </w:pPr>
      <w:r>
        <w:t>Comments</w:t>
      </w:r>
    </w:p>
    <w:p w:rsidR="00EB2E24" w:rsidRDefault="00171E47" w:rsidP="00513038">
      <w:r>
        <w:t xml:space="preserve">No protests were received and CDCR filed a </w:t>
      </w:r>
      <w:r w:rsidR="00D352A2">
        <w:t>response</w:t>
      </w:r>
      <w:r>
        <w:t xml:space="preserve"> in support of </w:t>
      </w:r>
      <w:r w:rsidR="008848BA">
        <w:t>PG&amp;E</w:t>
      </w:r>
      <w:r>
        <w:t xml:space="preserve"> AL </w:t>
      </w:r>
      <w:r w:rsidR="00200AB0">
        <w:t>4724</w:t>
      </w:r>
      <w:r>
        <w:t xml:space="preserve">-E. </w:t>
      </w:r>
      <w:r w:rsidR="00D352A2">
        <w:t xml:space="preserve"> </w:t>
      </w:r>
      <w:r w:rsidRPr="00171E47">
        <w:t xml:space="preserve">This is an uncontested matter in which the </w:t>
      </w:r>
      <w:r w:rsidR="00386EA9">
        <w:t>R</w:t>
      </w:r>
      <w:r w:rsidRPr="00171E47">
        <w:t xml:space="preserve">esolution grants the relief requested.  Accordingly, pursuant to PU Code </w:t>
      </w:r>
      <w:r w:rsidR="00D352A2">
        <w:rPr>
          <w:rFonts w:ascii="Book Antiqua" w:hAnsi="Book Antiqua"/>
        </w:rPr>
        <w:t>§</w:t>
      </w:r>
      <w:r w:rsidRPr="00171E47">
        <w:t>311(g)(2), the otherwise applicable 30-day period for public review and comment is being waived.</w:t>
      </w:r>
    </w:p>
    <w:p w:rsidR="00EB2E24" w:rsidRDefault="00EB2E24" w:rsidP="00EB2E24">
      <w:pPr>
        <w:pStyle w:val="Heading1"/>
      </w:pPr>
      <w:r>
        <w:t>Findings AND CONCLUSIONS</w:t>
      </w:r>
    </w:p>
    <w:p w:rsidR="0004407A" w:rsidRDefault="003D2316" w:rsidP="003D2316">
      <w:pPr>
        <w:pStyle w:val="ListParagraph"/>
        <w:numPr>
          <w:ilvl w:val="0"/>
          <w:numId w:val="4"/>
        </w:numPr>
        <w:rPr>
          <w:rFonts w:ascii="Palatino" w:hAnsi="Palatino"/>
          <w:sz w:val="26"/>
          <w:szCs w:val="26"/>
        </w:rPr>
      </w:pPr>
      <w:r w:rsidRPr="003D2316">
        <w:rPr>
          <w:rFonts w:ascii="Palatino" w:hAnsi="Palatino"/>
          <w:sz w:val="26"/>
          <w:szCs w:val="26"/>
        </w:rPr>
        <w:t>SB 862 expanded the definition of a NEM-eligible customer-generator to include the CDCR with a total capacity of up to 8 MW.</w:t>
      </w:r>
    </w:p>
    <w:p w:rsidR="003D2316" w:rsidRDefault="003D2316" w:rsidP="003D2316">
      <w:pPr>
        <w:pStyle w:val="ListParagraph"/>
        <w:ind w:left="420"/>
        <w:rPr>
          <w:rFonts w:ascii="Palatino" w:hAnsi="Palatino"/>
          <w:sz w:val="26"/>
          <w:szCs w:val="26"/>
        </w:rPr>
      </w:pPr>
    </w:p>
    <w:p w:rsidR="003D2316" w:rsidRDefault="008848BA" w:rsidP="003D2316">
      <w:pPr>
        <w:pStyle w:val="ListParagraph"/>
        <w:numPr>
          <w:ilvl w:val="0"/>
          <w:numId w:val="4"/>
        </w:numPr>
        <w:rPr>
          <w:rFonts w:ascii="Palatino" w:hAnsi="Palatino"/>
          <w:sz w:val="26"/>
          <w:szCs w:val="26"/>
        </w:rPr>
      </w:pPr>
      <w:r>
        <w:rPr>
          <w:rFonts w:ascii="Palatino" w:hAnsi="Palatino"/>
          <w:sz w:val="26"/>
          <w:szCs w:val="26"/>
        </w:rPr>
        <w:t>PG&amp;E</w:t>
      </w:r>
      <w:r w:rsidR="003D2316" w:rsidRPr="003D2316">
        <w:rPr>
          <w:rFonts w:ascii="Palatino" w:hAnsi="Palatino"/>
          <w:sz w:val="26"/>
          <w:szCs w:val="26"/>
        </w:rPr>
        <w:t xml:space="preserve"> AL </w:t>
      </w:r>
      <w:r w:rsidR="00573A53">
        <w:rPr>
          <w:rFonts w:ascii="Palatino" w:hAnsi="Palatino"/>
          <w:sz w:val="26"/>
          <w:szCs w:val="26"/>
        </w:rPr>
        <w:t>4617-E</w:t>
      </w:r>
      <w:r w:rsidR="003D2316" w:rsidRPr="003D2316">
        <w:rPr>
          <w:rFonts w:ascii="Palatino" w:hAnsi="Palatino"/>
          <w:sz w:val="26"/>
          <w:szCs w:val="26"/>
        </w:rPr>
        <w:t xml:space="preserve">, approved by Energy Division on May 8, 2015, contained revisions to relevant </w:t>
      </w:r>
      <w:r>
        <w:rPr>
          <w:rFonts w:ascii="Palatino" w:hAnsi="Palatino"/>
          <w:sz w:val="26"/>
          <w:szCs w:val="26"/>
        </w:rPr>
        <w:t>PG&amp;E</w:t>
      </w:r>
      <w:r w:rsidR="003D2316" w:rsidRPr="003D2316">
        <w:rPr>
          <w:rFonts w:ascii="Palatino" w:hAnsi="Palatino"/>
          <w:sz w:val="26"/>
          <w:szCs w:val="26"/>
        </w:rPr>
        <w:t xml:space="preserve"> tariffs to implement the modifications made to PU Code §2827 by SB 862.</w:t>
      </w:r>
    </w:p>
    <w:p w:rsidR="003D2316" w:rsidRPr="003D2316" w:rsidRDefault="003D2316" w:rsidP="003D2316">
      <w:pPr>
        <w:pStyle w:val="ListParagraph"/>
        <w:rPr>
          <w:rFonts w:ascii="Palatino" w:hAnsi="Palatino"/>
          <w:sz w:val="26"/>
          <w:szCs w:val="26"/>
        </w:rPr>
      </w:pPr>
    </w:p>
    <w:p w:rsidR="003D2316" w:rsidRDefault="008848BA" w:rsidP="003D2316">
      <w:pPr>
        <w:pStyle w:val="ListParagraph"/>
        <w:numPr>
          <w:ilvl w:val="0"/>
          <w:numId w:val="4"/>
        </w:numPr>
        <w:rPr>
          <w:rFonts w:ascii="Palatino" w:hAnsi="Palatino"/>
          <w:sz w:val="26"/>
          <w:szCs w:val="26"/>
        </w:rPr>
      </w:pPr>
      <w:r>
        <w:rPr>
          <w:rFonts w:ascii="Palatino" w:hAnsi="Palatino"/>
          <w:sz w:val="26"/>
          <w:szCs w:val="26"/>
        </w:rPr>
        <w:t>PG&amp;E</w:t>
      </w:r>
      <w:r w:rsidR="003D2316" w:rsidRPr="003D2316">
        <w:rPr>
          <w:rFonts w:ascii="Palatino" w:hAnsi="Palatino"/>
          <w:sz w:val="26"/>
          <w:szCs w:val="26"/>
        </w:rPr>
        <w:t xml:space="preserve"> AL </w:t>
      </w:r>
      <w:r w:rsidR="00200AB0">
        <w:rPr>
          <w:rFonts w:ascii="Palatino" w:hAnsi="Palatino"/>
          <w:sz w:val="26"/>
          <w:szCs w:val="26"/>
        </w:rPr>
        <w:t>4724</w:t>
      </w:r>
      <w:r w:rsidR="003D2316" w:rsidRPr="003D2316">
        <w:rPr>
          <w:rFonts w:ascii="Palatino" w:hAnsi="Palatino"/>
          <w:sz w:val="26"/>
          <w:szCs w:val="26"/>
        </w:rPr>
        <w:t xml:space="preserve">-E seeks approval of deviations to </w:t>
      </w:r>
      <w:r>
        <w:rPr>
          <w:rFonts w:ascii="Palatino" w:hAnsi="Palatino"/>
          <w:sz w:val="26"/>
          <w:szCs w:val="26"/>
        </w:rPr>
        <w:t>PG&amp;</w:t>
      </w:r>
      <w:r w:rsidR="00BD4F55">
        <w:rPr>
          <w:rFonts w:ascii="Palatino" w:hAnsi="Palatino"/>
          <w:sz w:val="26"/>
          <w:szCs w:val="26"/>
        </w:rPr>
        <w:t>E</w:t>
      </w:r>
      <w:r w:rsidR="003D2316" w:rsidRPr="003D2316">
        <w:rPr>
          <w:rFonts w:ascii="Palatino" w:hAnsi="Palatino"/>
          <w:sz w:val="26"/>
          <w:szCs w:val="26"/>
        </w:rPr>
        <w:t xml:space="preserve"> Form </w:t>
      </w:r>
      <w:r w:rsidR="00BD4F55">
        <w:rPr>
          <w:rFonts w:ascii="Palatino" w:hAnsi="Palatino"/>
          <w:sz w:val="26"/>
          <w:szCs w:val="26"/>
        </w:rPr>
        <w:t>79-978 and Form 79-992</w:t>
      </w:r>
      <w:r w:rsidR="003D2316" w:rsidRPr="003D2316">
        <w:rPr>
          <w:rFonts w:ascii="Palatino" w:hAnsi="Palatino"/>
          <w:sz w:val="26"/>
          <w:szCs w:val="26"/>
        </w:rPr>
        <w:t xml:space="preserve"> in order for CDCR to fully </w:t>
      </w:r>
      <w:r w:rsidR="00171E47">
        <w:rPr>
          <w:rFonts w:ascii="Palatino" w:hAnsi="Palatino"/>
          <w:sz w:val="26"/>
          <w:szCs w:val="26"/>
        </w:rPr>
        <w:t>implement the CDCR-specific</w:t>
      </w:r>
      <w:r w:rsidR="003D2316" w:rsidRPr="003D2316">
        <w:rPr>
          <w:rFonts w:ascii="Palatino" w:hAnsi="Palatino"/>
          <w:sz w:val="26"/>
          <w:szCs w:val="26"/>
        </w:rPr>
        <w:t xml:space="preserve"> provisions of SB 862.</w:t>
      </w:r>
    </w:p>
    <w:p w:rsidR="003D2316" w:rsidRPr="003D2316" w:rsidRDefault="003D2316" w:rsidP="003D2316">
      <w:pPr>
        <w:pStyle w:val="ListParagraph"/>
        <w:rPr>
          <w:rFonts w:ascii="Palatino" w:hAnsi="Palatino"/>
          <w:sz w:val="26"/>
          <w:szCs w:val="26"/>
        </w:rPr>
      </w:pPr>
    </w:p>
    <w:p w:rsidR="003D2316" w:rsidRDefault="008607EC" w:rsidP="008607EC">
      <w:pPr>
        <w:pStyle w:val="ListParagraph"/>
        <w:numPr>
          <w:ilvl w:val="0"/>
          <w:numId w:val="4"/>
        </w:numPr>
        <w:rPr>
          <w:rFonts w:ascii="Palatino" w:hAnsi="Palatino"/>
          <w:sz w:val="26"/>
          <w:szCs w:val="26"/>
        </w:rPr>
      </w:pPr>
      <w:r>
        <w:rPr>
          <w:rFonts w:ascii="Palatino" w:hAnsi="Palatino"/>
          <w:sz w:val="26"/>
          <w:szCs w:val="26"/>
        </w:rPr>
        <w:t>D</w:t>
      </w:r>
      <w:r w:rsidRPr="008607EC">
        <w:rPr>
          <w:rFonts w:ascii="Palatino" w:hAnsi="Palatino"/>
          <w:sz w:val="26"/>
          <w:szCs w:val="26"/>
        </w:rPr>
        <w:t xml:space="preserve">eviations to PG&amp;E Form 79-978, </w:t>
      </w:r>
      <w:r w:rsidRPr="008607EC">
        <w:rPr>
          <w:rFonts w:ascii="Palatino" w:hAnsi="Palatino"/>
          <w:i/>
          <w:sz w:val="26"/>
          <w:szCs w:val="26"/>
        </w:rPr>
        <w:t>Interconnection Agreement for Net Energy Metering of Solar or Wind Electric Generating Facilities of 1,000 Kilowatts or Less, Other Than Facilities of 30 Kilowatts or Less</w:t>
      </w:r>
      <w:r w:rsidRPr="008607EC">
        <w:rPr>
          <w:rFonts w:ascii="Palatino" w:hAnsi="Palatino"/>
          <w:sz w:val="26"/>
          <w:szCs w:val="26"/>
        </w:rPr>
        <w:t>, applicable solely to CDCR are necessary to create CGAs for single- and multi-party producer arrangements at CDCR facilities</w:t>
      </w:r>
      <w:r w:rsidR="003D2316" w:rsidRPr="003D2316">
        <w:rPr>
          <w:rFonts w:ascii="Palatino" w:hAnsi="Palatino"/>
          <w:sz w:val="26"/>
          <w:szCs w:val="26"/>
        </w:rPr>
        <w:t>.</w:t>
      </w:r>
    </w:p>
    <w:p w:rsidR="003D2316" w:rsidRPr="003D2316" w:rsidRDefault="003D2316" w:rsidP="003D2316">
      <w:pPr>
        <w:pStyle w:val="ListParagraph"/>
        <w:rPr>
          <w:rFonts w:ascii="Palatino" w:hAnsi="Palatino"/>
          <w:sz w:val="26"/>
          <w:szCs w:val="26"/>
        </w:rPr>
      </w:pPr>
    </w:p>
    <w:p w:rsidR="003D2316" w:rsidRDefault="004351A3" w:rsidP="004351A3">
      <w:pPr>
        <w:pStyle w:val="ListParagraph"/>
        <w:numPr>
          <w:ilvl w:val="0"/>
          <w:numId w:val="4"/>
        </w:numPr>
        <w:rPr>
          <w:rFonts w:ascii="Palatino" w:hAnsi="Palatino"/>
          <w:sz w:val="26"/>
          <w:szCs w:val="26"/>
        </w:rPr>
      </w:pPr>
      <w:r>
        <w:rPr>
          <w:rFonts w:ascii="Palatino" w:hAnsi="Palatino"/>
          <w:sz w:val="26"/>
          <w:szCs w:val="26"/>
        </w:rPr>
        <w:t>D</w:t>
      </w:r>
      <w:r w:rsidRPr="004351A3">
        <w:rPr>
          <w:rFonts w:ascii="Palatino" w:hAnsi="Palatino"/>
          <w:sz w:val="26"/>
          <w:szCs w:val="26"/>
        </w:rPr>
        <w:t xml:space="preserve">eviations to PG&amp;E Form 79-992, </w:t>
      </w:r>
      <w:r w:rsidRPr="004351A3">
        <w:rPr>
          <w:rFonts w:ascii="Palatino" w:hAnsi="Palatino"/>
          <w:i/>
          <w:sz w:val="26"/>
          <w:szCs w:val="26"/>
        </w:rPr>
        <w:t>Customer Generation Agreement (Third Party Generator on Premises Non-Exporting)</w:t>
      </w:r>
      <w:r w:rsidRPr="004351A3">
        <w:rPr>
          <w:rFonts w:ascii="Palatino" w:hAnsi="Palatino"/>
          <w:sz w:val="26"/>
          <w:szCs w:val="26"/>
        </w:rPr>
        <w:t>, applicable solely to CDCR are necessary to enable a multiple third-party producer arrangement at a CDCR facility</w:t>
      </w:r>
      <w:r w:rsidR="003D2316" w:rsidRPr="003D2316">
        <w:rPr>
          <w:rFonts w:ascii="Palatino" w:hAnsi="Palatino"/>
          <w:sz w:val="26"/>
          <w:szCs w:val="26"/>
        </w:rPr>
        <w:t>.</w:t>
      </w:r>
    </w:p>
    <w:p w:rsidR="00C66909" w:rsidRPr="00C66909" w:rsidRDefault="00C66909" w:rsidP="00C66909">
      <w:pPr>
        <w:pStyle w:val="ListParagraph"/>
        <w:rPr>
          <w:rFonts w:ascii="Palatino" w:hAnsi="Palatino"/>
          <w:sz w:val="26"/>
          <w:szCs w:val="26"/>
        </w:rPr>
      </w:pPr>
    </w:p>
    <w:p w:rsidR="00C66909" w:rsidRDefault="00C66909" w:rsidP="00C66909">
      <w:pPr>
        <w:pStyle w:val="ListParagraph"/>
        <w:numPr>
          <w:ilvl w:val="0"/>
          <w:numId w:val="4"/>
        </w:numPr>
        <w:rPr>
          <w:rFonts w:ascii="Palatino" w:hAnsi="Palatino"/>
          <w:sz w:val="26"/>
          <w:szCs w:val="26"/>
        </w:rPr>
      </w:pPr>
      <w:r>
        <w:rPr>
          <w:rFonts w:ascii="Palatino" w:hAnsi="Palatino"/>
          <w:sz w:val="26"/>
          <w:szCs w:val="26"/>
        </w:rPr>
        <w:t>R</w:t>
      </w:r>
      <w:r w:rsidRPr="00C66909">
        <w:rPr>
          <w:rFonts w:ascii="Palatino" w:hAnsi="Palatino"/>
          <w:sz w:val="26"/>
          <w:szCs w:val="26"/>
        </w:rPr>
        <w:t xml:space="preserve">evisions to PG&amp;E Schedule NEM, </w:t>
      </w:r>
      <w:r w:rsidRPr="004351A3">
        <w:rPr>
          <w:rFonts w:ascii="Palatino" w:hAnsi="Palatino"/>
          <w:i/>
          <w:sz w:val="26"/>
          <w:szCs w:val="26"/>
        </w:rPr>
        <w:t>Net Energy Metering Service</w:t>
      </w:r>
      <w:r w:rsidRPr="00C66909">
        <w:rPr>
          <w:rFonts w:ascii="Palatino" w:hAnsi="Palatino"/>
          <w:sz w:val="26"/>
          <w:szCs w:val="26"/>
        </w:rPr>
        <w:t>, are necessary to reference the three new deviated interconnection agreements.</w:t>
      </w:r>
    </w:p>
    <w:p w:rsidR="003D2316" w:rsidRPr="003D2316" w:rsidRDefault="003D2316" w:rsidP="003D2316">
      <w:pPr>
        <w:pStyle w:val="ListParagraph"/>
        <w:rPr>
          <w:rFonts w:ascii="Palatino" w:hAnsi="Palatino"/>
          <w:sz w:val="26"/>
          <w:szCs w:val="26"/>
        </w:rPr>
      </w:pPr>
    </w:p>
    <w:p w:rsidR="003D2316" w:rsidRDefault="008848BA" w:rsidP="003D2316">
      <w:pPr>
        <w:pStyle w:val="ListParagraph"/>
        <w:numPr>
          <w:ilvl w:val="0"/>
          <w:numId w:val="4"/>
        </w:numPr>
        <w:rPr>
          <w:rFonts w:ascii="Palatino" w:hAnsi="Palatino"/>
          <w:sz w:val="26"/>
          <w:szCs w:val="26"/>
        </w:rPr>
      </w:pPr>
      <w:r>
        <w:rPr>
          <w:rFonts w:ascii="Palatino" w:hAnsi="Palatino"/>
          <w:sz w:val="26"/>
          <w:szCs w:val="26"/>
        </w:rPr>
        <w:t>PG&amp;E</w:t>
      </w:r>
      <w:r w:rsidR="003D2316" w:rsidRPr="003D2316">
        <w:rPr>
          <w:rFonts w:ascii="Palatino" w:hAnsi="Palatino"/>
          <w:sz w:val="26"/>
          <w:szCs w:val="26"/>
        </w:rPr>
        <w:t xml:space="preserve"> AL </w:t>
      </w:r>
      <w:r w:rsidR="00200AB0">
        <w:rPr>
          <w:rFonts w:ascii="Palatino" w:hAnsi="Palatino"/>
          <w:sz w:val="26"/>
          <w:szCs w:val="26"/>
        </w:rPr>
        <w:t>4724</w:t>
      </w:r>
      <w:r w:rsidR="003D2316" w:rsidRPr="003D2316">
        <w:rPr>
          <w:rFonts w:ascii="Palatino" w:hAnsi="Palatino"/>
          <w:sz w:val="26"/>
          <w:szCs w:val="26"/>
        </w:rPr>
        <w:t xml:space="preserve">-E meets the requirements of General Rule 8.2.3 of GO 96-B, completes the implementation of the unique NEM provisions applicable to CDCR as authorized by SB 862, and should be approved.  </w:t>
      </w:r>
    </w:p>
    <w:p w:rsidR="003D2316" w:rsidRPr="003D2316" w:rsidRDefault="003D2316" w:rsidP="003D2316">
      <w:pPr>
        <w:pStyle w:val="ListParagraph"/>
        <w:rPr>
          <w:rFonts w:ascii="Palatino" w:hAnsi="Palatino"/>
          <w:sz w:val="26"/>
          <w:szCs w:val="26"/>
        </w:rPr>
      </w:pPr>
    </w:p>
    <w:p w:rsidR="00EB2E24" w:rsidRDefault="00EB2E24" w:rsidP="00EB2E24">
      <w:pPr>
        <w:pStyle w:val="Heading1"/>
      </w:pPr>
      <w:r>
        <w:t>Therefore it is ordered that:</w:t>
      </w:r>
    </w:p>
    <w:p w:rsidR="00FA3221" w:rsidRPr="00065CF0" w:rsidRDefault="00EB2E24" w:rsidP="00FA3221">
      <w:pPr>
        <w:numPr>
          <w:ilvl w:val="0"/>
          <w:numId w:val="5"/>
        </w:numPr>
      </w:pPr>
      <w:r>
        <w:rPr>
          <w:snapToGrid w:val="0"/>
        </w:rPr>
        <w:t xml:space="preserve">The request of </w:t>
      </w:r>
      <w:r w:rsidR="008A69EA">
        <w:rPr>
          <w:snapToGrid w:val="0"/>
        </w:rPr>
        <w:t>Pacific Gas and Electric</w:t>
      </w:r>
      <w:r w:rsidR="00675F19">
        <w:rPr>
          <w:snapToGrid w:val="0"/>
        </w:rPr>
        <w:t xml:space="preserve"> Company</w:t>
      </w:r>
      <w:r w:rsidR="003A15C6" w:rsidRPr="00FF2D38">
        <w:rPr>
          <w:snapToGrid w:val="0"/>
        </w:rPr>
        <w:t xml:space="preserve"> for </w:t>
      </w:r>
      <w:r w:rsidR="003D2316">
        <w:rPr>
          <w:snapToGrid w:val="0"/>
        </w:rPr>
        <w:t>Commission</w:t>
      </w:r>
      <w:r w:rsidR="003A15C6" w:rsidRPr="00FF2D38">
        <w:rPr>
          <w:snapToGrid w:val="0"/>
        </w:rPr>
        <w:t xml:space="preserve"> approv</w:t>
      </w:r>
      <w:r w:rsidR="00E26CF5">
        <w:rPr>
          <w:snapToGrid w:val="0"/>
        </w:rPr>
        <w:t>al</w:t>
      </w:r>
      <w:r w:rsidR="003A15C6" w:rsidRPr="00FF2D38">
        <w:rPr>
          <w:snapToGrid w:val="0"/>
        </w:rPr>
        <w:t xml:space="preserve"> </w:t>
      </w:r>
      <w:r w:rsidR="00E26CF5">
        <w:rPr>
          <w:snapToGrid w:val="0"/>
        </w:rPr>
        <w:t>of</w:t>
      </w:r>
      <w:r w:rsidR="003D2316">
        <w:rPr>
          <w:snapToGrid w:val="0"/>
        </w:rPr>
        <w:t xml:space="preserve"> deviations to </w:t>
      </w:r>
      <w:r w:rsidR="003D2316" w:rsidRPr="003D2316">
        <w:rPr>
          <w:snapToGrid w:val="0"/>
        </w:rPr>
        <w:t xml:space="preserve">Forms </w:t>
      </w:r>
      <w:r w:rsidR="008607EC">
        <w:rPr>
          <w:snapToGrid w:val="0"/>
        </w:rPr>
        <w:t>79-978</w:t>
      </w:r>
      <w:r w:rsidR="003D2316" w:rsidRPr="003D2316">
        <w:rPr>
          <w:snapToGrid w:val="0"/>
        </w:rPr>
        <w:t xml:space="preserve">, </w:t>
      </w:r>
      <w:r w:rsidR="008607EC" w:rsidRPr="008607EC">
        <w:rPr>
          <w:i/>
          <w:szCs w:val="26"/>
        </w:rPr>
        <w:t>Interconnection Agreement for Net Energy Metering of Solar or Wind Electric Generating Facilities of 1,000 Kilowatts or Less, Other Than Facilities of 30 Kilowatts or Less</w:t>
      </w:r>
      <w:r w:rsidR="003D2316" w:rsidRPr="003D2316">
        <w:rPr>
          <w:snapToGrid w:val="0"/>
        </w:rPr>
        <w:t xml:space="preserve">, and </w:t>
      </w:r>
      <w:r w:rsidR="008607EC">
        <w:rPr>
          <w:snapToGrid w:val="0"/>
        </w:rPr>
        <w:t>79-992</w:t>
      </w:r>
      <w:r w:rsidR="003D2316" w:rsidRPr="003D2316">
        <w:rPr>
          <w:snapToGrid w:val="0"/>
        </w:rPr>
        <w:t xml:space="preserve">, </w:t>
      </w:r>
      <w:r w:rsidR="008607EC" w:rsidRPr="008607EC">
        <w:rPr>
          <w:i/>
          <w:szCs w:val="26"/>
        </w:rPr>
        <w:t>Customer Generation Agreement (Third Party Generator on Premises Non-Exporting)</w:t>
      </w:r>
      <w:r w:rsidR="003D2316" w:rsidRPr="003D2316">
        <w:rPr>
          <w:snapToGrid w:val="0"/>
        </w:rPr>
        <w:t xml:space="preserve">, </w:t>
      </w:r>
      <w:r w:rsidR="000C5138">
        <w:rPr>
          <w:snapToGrid w:val="0"/>
        </w:rPr>
        <w:t xml:space="preserve">as well as revisions to PG&amp;E Schedule NEM, </w:t>
      </w:r>
      <w:r w:rsidR="003D2316" w:rsidRPr="003D2316">
        <w:rPr>
          <w:snapToGrid w:val="0"/>
        </w:rPr>
        <w:t xml:space="preserve">to </w:t>
      </w:r>
      <w:r w:rsidR="00C10A06">
        <w:rPr>
          <w:snapToGrid w:val="0"/>
        </w:rPr>
        <w:t>i</w:t>
      </w:r>
      <w:r w:rsidR="003D2316" w:rsidRPr="003D2316">
        <w:rPr>
          <w:snapToGrid w:val="0"/>
        </w:rPr>
        <w:t>mp</w:t>
      </w:r>
      <w:r w:rsidR="00C10A06">
        <w:rPr>
          <w:snapToGrid w:val="0"/>
        </w:rPr>
        <w:t>lement the Net Energy Metering p</w:t>
      </w:r>
      <w:r w:rsidR="003D2316" w:rsidRPr="003D2316">
        <w:rPr>
          <w:snapToGrid w:val="0"/>
        </w:rPr>
        <w:t>rovisions of Senate Bill 862 for the California Department of</w:t>
      </w:r>
      <w:r w:rsidR="003D2316">
        <w:rPr>
          <w:snapToGrid w:val="0"/>
        </w:rPr>
        <w:t xml:space="preserve"> Corrections and Rehabilitation</w:t>
      </w:r>
      <w:r w:rsidR="006A627C">
        <w:rPr>
          <w:snapToGrid w:val="0"/>
        </w:rPr>
        <w:t xml:space="preserve">, </w:t>
      </w:r>
      <w:r w:rsidR="0077122D">
        <w:rPr>
          <w:snapToGrid w:val="0"/>
        </w:rPr>
        <w:t>as well as</w:t>
      </w:r>
      <w:r w:rsidR="00C10A06">
        <w:rPr>
          <w:snapToGrid w:val="0"/>
        </w:rPr>
        <w:t xml:space="preserve"> of </w:t>
      </w:r>
      <w:r w:rsidR="00395A4C">
        <w:rPr>
          <w:snapToGrid w:val="0"/>
        </w:rPr>
        <w:t>modifications to</w:t>
      </w:r>
      <w:r w:rsidR="00A20DBB">
        <w:rPr>
          <w:snapToGrid w:val="0"/>
        </w:rPr>
        <w:t xml:space="preserve"> </w:t>
      </w:r>
      <w:r w:rsidR="008848BA">
        <w:rPr>
          <w:snapToGrid w:val="0"/>
        </w:rPr>
        <w:t>PG&amp;E</w:t>
      </w:r>
      <w:r w:rsidR="00395A4C">
        <w:rPr>
          <w:snapToGrid w:val="0"/>
        </w:rPr>
        <w:t>’s</w:t>
      </w:r>
      <w:r w:rsidR="00A20DBB">
        <w:rPr>
          <w:snapToGrid w:val="0"/>
        </w:rPr>
        <w:t xml:space="preserve"> List of Contracts and Deviations, </w:t>
      </w:r>
      <w:r w:rsidRPr="00FF2D38">
        <w:rPr>
          <w:snapToGrid w:val="0"/>
        </w:rPr>
        <w:t xml:space="preserve">as </w:t>
      </w:r>
      <w:r w:rsidR="00E26CF5">
        <w:rPr>
          <w:snapToGrid w:val="0"/>
        </w:rPr>
        <w:t xml:space="preserve">filed </w:t>
      </w:r>
      <w:r w:rsidRPr="00FF2D38">
        <w:rPr>
          <w:snapToGrid w:val="0"/>
        </w:rPr>
        <w:t xml:space="preserve">in Advice Letter </w:t>
      </w:r>
      <w:r w:rsidR="00200AB0">
        <w:rPr>
          <w:snapToGrid w:val="0"/>
        </w:rPr>
        <w:t>4724</w:t>
      </w:r>
      <w:r w:rsidR="00A10A7B">
        <w:rPr>
          <w:snapToGrid w:val="0"/>
        </w:rPr>
        <w:t>-E</w:t>
      </w:r>
      <w:r w:rsidR="00A20DBB">
        <w:t>,</w:t>
      </w:r>
      <w:r w:rsidRPr="00FF2D38">
        <w:t xml:space="preserve"> </w:t>
      </w:r>
      <w:r w:rsidRPr="00FF2D38">
        <w:rPr>
          <w:snapToGrid w:val="0"/>
        </w:rPr>
        <w:t xml:space="preserve">is </w:t>
      </w:r>
      <w:r w:rsidR="00E26CF5">
        <w:rPr>
          <w:snapToGrid w:val="0"/>
        </w:rPr>
        <w:t>granted</w:t>
      </w:r>
      <w:r w:rsidR="00A950BD">
        <w:rPr>
          <w:snapToGrid w:val="0"/>
        </w:rPr>
        <w:t>.</w:t>
      </w:r>
    </w:p>
    <w:p w:rsidR="007B297D" w:rsidRDefault="007B297D" w:rsidP="00065CF0">
      <w:pPr>
        <w:ind w:left="360"/>
      </w:pPr>
    </w:p>
    <w:p w:rsidR="00FA3221" w:rsidRDefault="00FA3221" w:rsidP="00EB2E24">
      <w:pPr>
        <w:tabs>
          <w:tab w:val="left" w:pos="720"/>
          <w:tab w:val="left" w:pos="1296"/>
          <w:tab w:val="left" w:pos="2016"/>
          <w:tab w:val="left" w:pos="2736"/>
          <w:tab w:val="left" w:pos="3456"/>
          <w:tab w:val="left" w:pos="4176"/>
          <w:tab w:val="left" w:pos="5760"/>
        </w:tabs>
        <w:rPr>
          <w:snapToGrid w:val="0"/>
        </w:rPr>
      </w:pPr>
      <w:r>
        <w:rPr>
          <w:snapToGrid w:val="0"/>
        </w:rPr>
        <w:t xml:space="preserve">2.  </w:t>
      </w:r>
      <w:r w:rsidR="008A69EA">
        <w:rPr>
          <w:snapToGrid w:val="0"/>
        </w:rPr>
        <w:t>Pacific Gas and Electric</w:t>
      </w:r>
      <w:r w:rsidR="00171E47" w:rsidRPr="00171E47">
        <w:rPr>
          <w:snapToGrid w:val="0"/>
        </w:rPr>
        <w:t xml:space="preserve"> Company</w:t>
      </w:r>
      <w:r>
        <w:rPr>
          <w:snapToGrid w:val="0"/>
        </w:rPr>
        <w:t xml:space="preserve"> </w:t>
      </w:r>
      <w:r w:rsidR="00171E47" w:rsidRPr="00171E47">
        <w:rPr>
          <w:snapToGrid w:val="0"/>
        </w:rPr>
        <w:t>Advice Letter</w:t>
      </w:r>
      <w:r>
        <w:rPr>
          <w:snapToGrid w:val="0"/>
        </w:rPr>
        <w:t xml:space="preserve"> </w:t>
      </w:r>
      <w:r w:rsidR="00200AB0">
        <w:rPr>
          <w:snapToGrid w:val="0"/>
        </w:rPr>
        <w:t>4724</w:t>
      </w:r>
      <w:r>
        <w:rPr>
          <w:snapToGrid w:val="0"/>
        </w:rPr>
        <w:t xml:space="preserve">-E </w:t>
      </w:r>
      <w:r w:rsidR="00C10A06">
        <w:rPr>
          <w:snapToGrid w:val="0"/>
        </w:rPr>
        <w:t>i</w:t>
      </w:r>
      <w:r>
        <w:rPr>
          <w:snapToGrid w:val="0"/>
        </w:rPr>
        <w:t xml:space="preserve">s </w:t>
      </w:r>
      <w:r w:rsidR="004E45B2">
        <w:rPr>
          <w:snapToGrid w:val="0"/>
        </w:rPr>
        <w:t>approv</w:t>
      </w:r>
      <w:r w:rsidR="00171E47">
        <w:rPr>
          <w:snapToGrid w:val="0"/>
        </w:rPr>
        <w:t>ed</w:t>
      </w:r>
      <w:r>
        <w:rPr>
          <w:snapToGrid w:val="0"/>
        </w:rPr>
        <w:t>.</w:t>
      </w:r>
    </w:p>
    <w:p w:rsidR="00FA3221" w:rsidRDefault="00FA3221" w:rsidP="00EB2E24">
      <w:pPr>
        <w:tabs>
          <w:tab w:val="left" w:pos="720"/>
          <w:tab w:val="left" w:pos="1296"/>
          <w:tab w:val="left" w:pos="2016"/>
          <w:tab w:val="left" w:pos="2736"/>
          <w:tab w:val="left" w:pos="3456"/>
          <w:tab w:val="left" w:pos="4176"/>
          <w:tab w:val="left" w:pos="5760"/>
        </w:tabs>
        <w:rPr>
          <w:snapToGrid w:val="0"/>
        </w:rPr>
      </w:pPr>
    </w:p>
    <w:p w:rsidR="00FA3221" w:rsidRDefault="00FA3221" w:rsidP="00EB2E24">
      <w:pPr>
        <w:tabs>
          <w:tab w:val="left" w:pos="720"/>
          <w:tab w:val="left" w:pos="1296"/>
          <w:tab w:val="left" w:pos="2016"/>
          <w:tab w:val="left" w:pos="2736"/>
          <w:tab w:val="left" w:pos="3456"/>
          <w:tab w:val="left" w:pos="4176"/>
          <w:tab w:val="left" w:pos="5760"/>
        </w:tabs>
      </w:pPr>
    </w:p>
    <w:p w:rsidR="00EB2E24" w:rsidRDefault="00EB2E24" w:rsidP="00EB2E24">
      <w:pPr>
        <w:tabs>
          <w:tab w:val="left" w:pos="720"/>
          <w:tab w:val="left" w:pos="1296"/>
          <w:tab w:val="left" w:pos="2016"/>
          <w:tab w:val="left" w:pos="2736"/>
          <w:tab w:val="left" w:pos="3456"/>
          <w:tab w:val="left" w:pos="4176"/>
          <w:tab w:val="left" w:pos="5760"/>
        </w:tabs>
      </w:pPr>
      <w:r>
        <w:t>This Resolution is effective today.</w:t>
      </w:r>
    </w:p>
    <w:p w:rsidR="00EB2E24" w:rsidRDefault="00EB2E24" w:rsidP="00EB2E24">
      <w:pPr>
        <w:tabs>
          <w:tab w:val="left" w:pos="720"/>
          <w:tab w:val="left" w:pos="1296"/>
          <w:tab w:val="left" w:pos="2016"/>
          <w:tab w:val="left" w:pos="2736"/>
          <w:tab w:val="left" w:pos="3456"/>
          <w:tab w:val="left" w:pos="4176"/>
          <w:tab w:val="left" w:pos="5760"/>
        </w:tabs>
      </w:pPr>
    </w:p>
    <w:p w:rsidR="00EB2E24" w:rsidRDefault="00EB2E24" w:rsidP="00EB2E24">
      <w:pPr>
        <w:rPr>
          <w:snapToGrid w:val="0"/>
        </w:rPr>
      </w:pPr>
      <w:r>
        <w:rPr>
          <w:snapToGrid w:val="0"/>
        </w:rPr>
        <w:t>I certify that the foregoing resolution was duly introduced, passed and adopted at a conference of the Public Utilities Commission of the State of California held on</w:t>
      </w:r>
      <w:r w:rsidR="00962B42">
        <w:rPr>
          <w:snapToGrid w:val="0"/>
        </w:rPr>
        <w:t xml:space="preserve"> </w:t>
      </w:r>
      <w:r w:rsidR="008607EC">
        <w:rPr>
          <w:snapToGrid w:val="0"/>
        </w:rPr>
        <w:t xml:space="preserve">December </w:t>
      </w:r>
      <w:r w:rsidR="00251E69">
        <w:rPr>
          <w:snapToGrid w:val="0"/>
        </w:rPr>
        <w:t>3</w:t>
      </w:r>
      <w:r w:rsidR="00C10A06">
        <w:rPr>
          <w:snapToGrid w:val="0"/>
        </w:rPr>
        <w:t>, 2015</w:t>
      </w:r>
      <w:r>
        <w:rPr>
          <w:snapToGrid w:val="0"/>
        </w:rPr>
        <w:t>; the following Commissioners voting favorably thereon:</w:t>
      </w:r>
    </w:p>
    <w:p w:rsidR="00EB2E24" w:rsidRDefault="00EB2E24" w:rsidP="00EB2E24">
      <w:pPr>
        <w:tabs>
          <w:tab w:val="left" w:pos="720"/>
          <w:tab w:val="left" w:pos="1152"/>
          <w:tab w:val="left" w:pos="1728"/>
          <w:tab w:val="left" w:pos="3168"/>
          <w:tab w:val="left" w:pos="5040"/>
        </w:tabs>
        <w:ind w:right="144"/>
      </w:pPr>
    </w:p>
    <w:p w:rsidR="00EB2E24" w:rsidRDefault="00EB2E24" w:rsidP="00EB2E24">
      <w:pPr>
        <w:tabs>
          <w:tab w:val="left" w:pos="720"/>
          <w:tab w:val="left" w:pos="1152"/>
          <w:tab w:val="left" w:pos="1728"/>
          <w:tab w:val="left" w:pos="3168"/>
          <w:tab w:val="left" w:pos="5040"/>
        </w:tabs>
        <w:ind w:right="144"/>
      </w:pPr>
    </w:p>
    <w:p w:rsidR="00EB2E24" w:rsidRDefault="00EB2E24" w:rsidP="00EB2E24">
      <w:pPr>
        <w:tabs>
          <w:tab w:val="left" w:pos="720"/>
          <w:tab w:val="left" w:pos="1152"/>
          <w:tab w:val="left" w:pos="1728"/>
          <w:tab w:val="left" w:pos="3168"/>
          <w:tab w:val="left" w:pos="5040"/>
        </w:tabs>
        <w:ind w:right="144"/>
      </w:pPr>
    </w:p>
    <w:p w:rsidR="00EB2E24" w:rsidRDefault="00EB2E24" w:rsidP="00EB2E24">
      <w:pPr>
        <w:tabs>
          <w:tab w:val="left" w:pos="720"/>
          <w:tab w:val="left" w:pos="1152"/>
          <w:tab w:val="left" w:pos="1728"/>
          <w:tab w:val="left" w:pos="3168"/>
          <w:tab w:val="left" w:pos="5040"/>
        </w:tabs>
        <w:ind w:right="144"/>
      </w:pPr>
    </w:p>
    <w:p w:rsidR="00EB2E24" w:rsidRDefault="00EB2E24" w:rsidP="00EB2E24">
      <w:pPr>
        <w:tabs>
          <w:tab w:val="left" w:pos="720"/>
          <w:tab w:val="left" w:pos="1152"/>
          <w:tab w:val="left" w:pos="1728"/>
          <w:tab w:val="left" w:pos="3168"/>
          <w:tab w:val="left" w:pos="5040"/>
        </w:tabs>
        <w:ind w:right="144"/>
      </w:pPr>
      <w:r>
        <w:tab/>
      </w:r>
      <w:r>
        <w:tab/>
      </w:r>
      <w:r>
        <w:tab/>
      </w:r>
      <w:r>
        <w:tab/>
      </w:r>
      <w:r>
        <w:tab/>
      </w:r>
      <w:r w:rsidR="00FB54F9">
        <w:t xml:space="preserve">      </w:t>
      </w:r>
      <w:r>
        <w:t xml:space="preserve"> _______________</w:t>
      </w:r>
      <w:r w:rsidR="00FB54F9">
        <w:t>_______</w:t>
      </w:r>
    </w:p>
    <w:p w:rsidR="00EB2E24" w:rsidRDefault="00FB54F9" w:rsidP="00EB2E24">
      <w:r>
        <w:tab/>
      </w:r>
      <w:r>
        <w:tab/>
      </w:r>
      <w:r>
        <w:tab/>
      </w:r>
      <w:r>
        <w:tab/>
      </w:r>
      <w:r>
        <w:tab/>
      </w:r>
      <w:r>
        <w:tab/>
      </w:r>
      <w:r>
        <w:tab/>
        <w:t xml:space="preserve">      </w:t>
      </w:r>
      <w:r w:rsidR="00EB2E24">
        <w:t xml:space="preserve"> </w:t>
      </w:r>
      <w:r>
        <w:t>TIMOTHY J. SULLIVAN</w:t>
      </w:r>
    </w:p>
    <w:p w:rsidR="00EB2E24" w:rsidRDefault="00FB54F9" w:rsidP="00EB2E24">
      <w:r>
        <w:tab/>
      </w:r>
      <w:r>
        <w:tab/>
      </w:r>
      <w:r>
        <w:tab/>
      </w:r>
      <w:r>
        <w:tab/>
      </w:r>
      <w:r>
        <w:tab/>
      </w:r>
      <w:r>
        <w:tab/>
        <w:t xml:space="preserve"> </w:t>
      </w:r>
      <w:r>
        <w:tab/>
        <w:t xml:space="preserve">      </w:t>
      </w:r>
      <w:r w:rsidR="00EB2E24">
        <w:t xml:space="preserve"> Executive Director</w:t>
      </w:r>
    </w:p>
    <w:sectPr w:rsidR="00EB2E24" w:rsidSect="0025103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7AE" w:rsidRDefault="006207AE">
      <w:r>
        <w:separator/>
      </w:r>
    </w:p>
  </w:endnote>
  <w:endnote w:type="continuationSeparator" w:id="0">
    <w:p w:rsidR="006207AE" w:rsidRDefault="00620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tino Linotype">
    <w:altName w:val="Cambria Math"/>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706" w:rsidRDefault="00D007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673" w:rsidRDefault="006E7673">
    <w:pPr>
      <w:pStyle w:val="Footer"/>
    </w:pPr>
    <w:r>
      <w:rPr>
        <w:rStyle w:val="PageNumber"/>
      </w:rPr>
      <w:fldChar w:fldCharType="begin"/>
    </w:r>
    <w:r>
      <w:rPr>
        <w:rStyle w:val="PageNumber"/>
      </w:rPr>
      <w:instrText xml:space="preserve"> PAGE </w:instrText>
    </w:r>
    <w:r>
      <w:rPr>
        <w:rStyle w:val="PageNumber"/>
      </w:rPr>
      <w:fldChar w:fldCharType="separate"/>
    </w:r>
    <w:r w:rsidR="00627A34">
      <w:rPr>
        <w:rStyle w:val="PageNumber"/>
        <w:noProof/>
      </w:rPr>
      <w:t>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673" w:rsidRDefault="006E7673" w:rsidP="00217109">
    <w:pPr>
      <w:pStyle w:val="Footer"/>
      <w:tabs>
        <w:tab w:val="clear" w:pos="4320"/>
        <w:tab w:val="center" w:pos="4680"/>
      </w:tabs>
      <w:jc w:val="left"/>
      <w:rPr>
        <w:rStyle w:val="PageNumber"/>
      </w:rPr>
    </w:pPr>
    <w:r>
      <w:rPr>
        <w:rStyle w:val="PageNumber"/>
      </w:rPr>
      <w:t>15</w:t>
    </w:r>
    <w:r w:rsidR="003E5215">
      <w:rPr>
        <w:rStyle w:val="PageNumber"/>
      </w:rPr>
      <w:t>5873820</w:t>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627A34">
      <w:rPr>
        <w:rStyle w:val="PageNumber"/>
        <w:noProof/>
      </w:rPr>
      <w:t>1</w:t>
    </w:r>
    <w:r>
      <w:rPr>
        <w:rStyle w:val="PageNumber"/>
      </w:rPr>
      <w:fldChar w:fldCharType="end"/>
    </w:r>
  </w:p>
  <w:p w:rsidR="006E7673" w:rsidRDefault="006E7673" w:rsidP="003B4BA6">
    <w:pPr>
      <w:pStyle w:val="Footer"/>
      <w:tabs>
        <w:tab w:val="clear" w:pos="4320"/>
        <w:tab w:val="center" w:pos="4680"/>
      </w:tabs>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7AE" w:rsidRDefault="006207AE">
      <w:r>
        <w:separator/>
      </w:r>
    </w:p>
  </w:footnote>
  <w:footnote w:type="continuationSeparator" w:id="0">
    <w:p w:rsidR="006207AE" w:rsidRDefault="006207AE">
      <w:r>
        <w:continuationSeparator/>
      </w:r>
    </w:p>
  </w:footnote>
  <w:footnote w:type="continuationNotice" w:id="1">
    <w:p w:rsidR="006207AE" w:rsidRDefault="006207AE">
      <w:pPr>
        <w:rPr>
          <w:sz w:val="22"/>
        </w:rPr>
      </w:pPr>
    </w:p>
    <w:p w:rsidR="006207AE" w:rsidRDefault="006207AE">
      <w:pPr>
        <w:jc w:val="right"/>
        <w:rPr>
          <w:sz w:val="22"/>
        </w:rPr>
      </w:pPr>
      <w:r>
        <w:rPr>
          <w:i/>
          <w:sz w:val="22"/>
        </w:rPr>
        <w:t>Footnote continued on next page</w:t>
      </w:r>
    </w:p>
  </w:footnote>
  <w:footnote w:id="2">
    <w:p w:rsidR="006E7673" w:rsidRDefault="006E7673" w:rsidP="0024211E">
      <w:pPr>
        <w:pStyle w:val="FootnoteText"/>
        <w:spacing w:after="0"/>
      </w:pPr>
      <w:r>
        <w:rPr>
          <w:rStyle w:val="FootnoteReference"/>
        </w:rPr>
        <w:footnoteRef/>
      </w:r>
      <w:r>
        <w:t xml:space="preserve"> </w:t>
      </w:r>
      <w:r w:rsidR="008A69EA">
        <w:t>PG&amp;E</w:t>
      </w:r>
      <w:r>
        <w:t xml:space="preserve"> AL </w:t>
      </w:r>
      <w:r w:rsidR="008A69EA">
        <w:t>4617-E</w:t>
      </w:r>
      <w:r>
        <w:t xml:space="preserve">, p. 4.  </w:t>
      </w:r>
    </w:p>
  </w:footnote>
  <w:footnote w:id="3">
    <w:p w:rsidR="00BD4F55" w:rsidRDefault="006E7673" w:rsidP="008E45A0">
      <w:pPr>
        <w:pStyle w:val="FootnoteText"/>
        <w:spacing w:after="0"/>
      </w:pPr>
      <w:r>
        <w:rPr>
          <w:rStyle w:val="FootnoteReference"/>
        </w:rPr>
        <w:footnoteRef/>
      </w:r>
      <w:r>
        <w:t xml:space="preserve"> </w:t>
      </w:r>
      <w:r w:rsidR="00BD4F55" w:rsidRPr="00BD4F55">
        <w:t>http://www.pge.com/nots/rates/tariffs/tm2/pdf/ELEC_CONTRACTS_CONTR_A</w:t>
      </w:r>
    </w:p>
    <w:p w:rsidR="006E7673" w:rsidRDefault="00BD4F55" w:rsidP="008E45A0">
      <w:pPr>
        <w:pStyle w:val="FootnoteText"/>
        <w:spacing w:after="0"/>
      </w:pPr>
      <w:r w:rsidRPr="00BD4F55">
        <w:t>ND_DEV.pdf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706" w:rsidRDefault="00D007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673" w:rsidRDefault="006E7673">
    <w:pPr>
      <w:pStyle w:val="Header"/>
      <w:tabs>
        <w:tab w:val="clear" w:pos="4320"/>
        <w:tab w:val="clear" w:pos="8640"/>
        <w:tab w:val="center" w:pos="4680"/>
        <w:tab w:val="right" w:pos="9180"/>
      </w:tabs>
    </w:pPr>
    <w:r>
      <w:t xml:space="preserve">Resolution E-4753  </w:t>
    </w:r>
    <w:r>
      <w:tab/>
      <w:t>DRAFT</w:t>
    </w:r>
    <w:r>
      <w:tab/>
      <w:t>December 3, 2015</w:t>
    </w:r>
  </w:p>
  <w:p w:rsidR="006E7673" w:rsidRDefault="006E7673">
    <w:pPr>
      <w:pStyle w:val="Header"/>
      <w:tabs>
        <w:tab w:val="clear" w:pos="4320"/>
        <w:tab w:val="clear" w:pos="8640"/>
        <w:tab w:val="center" w:pos="4680"/>
        <w:tab w:val="right" w:pos="9180"/>
      </w:tabs>
    </w:pPr>
    <w:r>
      <w:t>Pacific Gas and Electric Advice Letter 4724-E/mm7</w:t>
    </w:r>
  </w:p>
  <w:p w:rsidR="006E7673" w:rsidRDefault="006E76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673" w:rsidRDefault="006E7673">
    <w:pPr>
      <w:pStyle w:val="Header"/>
      <w:rPr>
        <w:rFonts w:ascii="Helvetica" w:hAnsi="Helvetica"/>
        <w:b/>
        <w:sz w:val="28"/>
      </w:rPr>
    </w:pPr>
    <w:r>
      <w:tab/>
    </w:r>
    <w:r>
      <w:rPr>
        <w:b/>
      </w:rPr>
      <w:t>DRAFT</w:t>
    </w:r>
    <w:r>
      <w:rPr>
        <w:b/>
      </w:rPr>
      <w:tab/>
    </w:r>
    <w:r>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A3B"/>
    <w:multiLevelType w:val="hybridMultilevel"/>
    <w:tmpl w:val="09A8EDE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4F1B32"/>
    <w:multiLevelType w:val="hybridMultilevel"/>
    <w:tmpl w:val="ED66F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AE5E0A"/>
    <w:multiLevelType w:val="singleLevel"/>
    <w:tmpl w:val="81622C8A"/>
    <w:lvl w:ilvl="0">
      <w:start w:val="1"/>
      <w:numFmt w:val="upperLetter"/>
      <w:pStyle w:val="AListIndent"/>
      <w:lvlText w:val="%1. "/>
      <w:lvlJc w:val="left"/>
      <w:pPr>
        <w:tabs>
          <w:tab w:val="num" w:pos="1152"/>
        </w:tabs>
        <w:ind w:left="1152" w:hanging="432"/>
      </w:pPr>
      <w:rPr>
        <w:rFonts w:ascii="Courier" w:hAnsi="Courier" w:hint="default"/>
        <w:b w:val="0"/>
        <w:i w:val="0"/>
        <w:sz w:val="24"/>
      </w:rPr>
    </w:lvl>
  </w:abstractNum>
  <w:abstractNum w:abstractNumId="3">
    <w:nsid w:val="0BDB7819"/>
    <w:multiLevelType w:val="singleLevel"/>
    <w:tmpl w:val="0409000F"/>
    <w:lvl w:ilvl="0">
      <w:start w:val="1"/>
      <w:numFmt w:val="decimal"/>
      <w:lvlText w:val="%1."/>
      <w:lvlJc w:val="left"/>
      <w:pPr>
        <w:tabs>
          <w:tab w:val="num" w:pos="360"/>
        </w:tabs>
        <w:ind w:left="360" w:hanging="360"/>
      </w:pPr>
    </w:lvl>
  </w:abstractNum>
  <w:abstractNum w:abstractNumId="4">
    <w:nsid w:val="0C677A70"/>
    <w:multiLevelType w:val="hybridMultilevel"/>
    <w:tmpl w:val="29A607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DD028BA"/>
    <w:multiLevelType w:val="hybridMultilevel"/>
    <w:tmpl w:val="1E9A5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1B3934"/>
    <w:multiLevelType w:val="hybridMultilevel"/>
    <w:tmpl w:val="A0DE09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41C32B6"/>
    <w:multiLevelType w:val="hybridMultilevel"/>
    <w:tmpl w:val="1D2C775E"/>
    <w:lvl w:ilvl="0" w:tplc="84CC27CC">
      <w:start w:val="1"/>
      <w:numFmt w:val="decimal"/>
      <w:lvlText w:val="%1."/>
      <w:lvlJc w:val="left"/>
      <w:pPr>
        <w:ind w:left="720" w:hanging="360"/>
      </w:pPr>
      <w:rPr>
        <w:rFonts w:ascii="Palatino Linotype" w:hAnsi="Palatino Linotype" w:hint="default"/>
        <w:sz w:val="26"/>
        <w:szCs w:val="26"/>
      </w:rPr>
    </w:lvl>
    <w:lvl w:ilvl="1" w:tplc="04090001">
      <w:start w:val="1"/>
      <w:numFmt w:val="bullet"/>
      <w:lvlText w:val=""/>
      <w:lvlJc w:val="left"/>
      <w:pPr>
        <w:ind w:left="1440" w:hanging="360"/>
      </w:pPr>
      <w:rPr>
        <w:rFonts w:ascii="Symbol" w:hAnsi="Symbol" w:hint="default"/>
        <w:b w:val="0"/>
        <w:sz w:val="26"/>
        <w:szCs w:val="2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A02F2B"/>
    <w:multiLevelType w:val="hybridMultilevel"/>
    <w:tmpl w:val="1D2C775E"/>
    <w:lvl w:ilvl="0" w:tplc="84CC27CC">
      <w:start w:val="1"/>
      <w:numFmt w:val="decimal"/>
      <w:lvlText w:val="%1."/>
      <w:lvlJc w:val="left"/>
      <w:pPr>
        <w:ind w:left="720" w:hanging="360"/>
      </w:pPr>
      <w:rPr>
        <w:rFonts w:ascii="Palatino Linotype" w:hAnsi="Palatino Linotype" w:hint="default"/>
        <w:sz w:val="26"/>
        <w:szCs w:val="26"/>
      </w:rPr>
    </w:lvl>
    <w:lvl w:ilvl="1" w:tplc="04090001">
      <w:start w:val="1"/>
      <w:numFmt w:val="bullet"/>
      <w:lvlText w:val=""/>
      <w:lvlJc w:val="left"/>
      <w:pPr>
        <w:ind w:left="1440" w:hanging="360"/>
      </w:pPr>
      <w:rPr>
        <w:rFonts w:ascii="Symbol" w:hAnsi="Symbol" w:hint="default"/>
        <w:b w:val="0"/>
        <w:sz w:val="26"/>
        <w:szCs w:val="2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480B1D"/>
    <w:multiLevelType w:val="multilevel"/>
    <w:tmpl w:val="C98CB7D4"/>
    <w:lvl w:ilvl="0">
      <w:start w:val="1"/>
      <w:numFmt w:val="decimal"/>
      <w:lvlText w:val="%1."/>
      <w:lvlJc w:val="left"/>
      <w:pPr>
        <w:tabs>
          <w:tab w:val="num" w:pos="360"/>
        </w:tabs>
        <w:ind w:left="360" w:hanging="360"/>
      </w:pPr>
      <w:rPr>
        <w:rFonts w:hint="default"/>
      </w:rPr>
    </w:lvl>
    <w:lvl w:ilvl="1">
      <w:start w:val="1"/>
      <w:numFmt w:val="decimal"/>
      <w:pStyle w:val="Heading2"/>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0">
    <w:nsid w:val="2229473B"/>
    <w:multiLevelType w:val="hybridMultilevel"/>
    <w:tmpl w:val="B93A7C58"/>
    <w:lvl w:ilvl="0" w:tplc="C87CCCA2">
      <w:start w:val="1"/>
      <w:numFmt w:val="decimal"/>
      <w:lvlText w:val="%1."/>
      <w:lvlJc w:val="left"/>
      <w:pPr>
        <w:ind w:left="720" w:hanging="360"/>
      </w:pPr>
      <w:rPr>
        <w:rFonts w:ascii="Palatino Linotype" w:hAnsi="Palatino Linotype" w:hint="default"/>
        <w:b/>
        <w:sz w:val="26"/>
        <w:szCs w:val="26"/>
      </w:rPr>
    </w:lvl>
    <w:lvl w:ilvl="1" w:tplc="04090001">
      <w:start w:val="1"/>
      <w:numFmt w:val="bullet"/>
      <w:lvlText w:val=""/>
      <w:lvlJc w:val="left"/>
      <w:pPr>
        <w:ind w:left="1440" w:hanging="360"/>
      </w:pPr>
      <w:rPr>
        <w:rFonts w:ascii="Symbol" w:hAnsi="Symbol" w:hint="default"/>
        <w:b w:val="0"/>
        <w:sz w:val="26"/>
        <w:szCs w:val="2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930435"/>
    <w:multiLevelType w:val="hybridMultilevel"/>
    <w:tmpl w:val="48EE4BE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nsid w:val="284A69A3"/>
    <w:multiLevelType w:val="hybridMultilevel"/>
    <w:tmpl w:val="251877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9723696"/>
    <w:multiLevelType w:val="hybridMultilevel"/>
    <w:tmpl w:val="D482FB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ADC6498"/>
    <w:multiLevelType w:val="hybridMultilevel"/>
    <w:tmpl w:val="A90CA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D748DE"/>
    <w:multiLevelType w:val="hybridMultilevel"/>
    <w:tmpl w:val="642432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3D34417"/>
    <w:multiLevelType w:val="multilevel"/>
    <w:tmpl w:val="C28E5C40"/>
    <w:lvl w:ilvl="0">
      <w:start w:val="1"/>
      <w:numFmt w:val="decimal"/>
      <w:pStyle w:val="1ListInden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nsid w:val="486507BE"/>
    <w:multiLevelType w:val="hybridMultilevel"/>
    <w:tmpl w:val="B93A7C58"/>
    <w:lvl w:ilvl="0" w:tplc="C87CCCA2">
      <w:start w:val="1"/>
      <w:numFmt w:val="decimal"/>
      <w:lvlText w:val="%1."/>
      <w:lvlJc w:val="left"/>
      <w:pPr>
        <w:ind w:left="720" w:hanging="360"/>
      </w:pPr>
      <w:rPr>
        <w:rFonts w:ascii="Palatino Linotype" w:hAnsi="Palatino Linotype" w:hint="default"/>
        <w:b/>
        <w:sz w:val="26"/>
        <w:szCs w:val="26"/>
      </w:rPr>
    </w:lvl>
    <w:lvl w:ilvl="1" w:tplc="04090001">
      <w:start w:val="1"/>
      <w:numFmt w:val="bullet"/>
      <w:lvlText w:val=""/>
      <w:lvlJc w:val="left"/>
      <w:pPr>
        <w:ind w:left="1440" w:hanging="360"/>
      </w:pPr>
      <w:rPr>
        <w:rFonts w:ascii="Symbol" w:hAnsi="Symbol" w:hint="default"/>
        <w:b w:val="0"/>
        <w:sz w:val="26"/>
        <w:szCs w:val="2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19">
    <w:nsid w:val="63394EDC"/>
    <w:multiLevelType w:val="hybridMultilevel"/>
    <w:tmpl w:val="04E6564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5786E71"/>
    <w:multiLevelType w:val="hybridMultilevel"/>
    <w:tmpl w:val="750E31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6"/>
  </w:num>
  <w:num w:numId="3">
    <w:abstractNumId w:val="9"/>
  </w:num>
  <w:num w:numId="4">
    <w:abstractNumId w:val="18"/>
  </w:num>
  <w:num w:numId="5">
    <w:abstractNumId w:val="3"/>
  </w:num>
  <w:num w:numId="6">
    <w:abstractNumId w:val="5"/>
  </w:num>
  <w:num w:numId="7">
    <w:abstractNumId w:val="8"/>
  </w:num>
  <w:num w:numId="8">
    <w:abstractNumId w:val="7"/>
  </w:num>
  <w:num w:numId="9">
    <w:abstractNumId w:val="12"/>
  </w:num>
  <w:num w:numId="10">
    <w:abstractNumId w:val="19"/>
  </w:num>
  <w:num w:numId="11">
    <w:abstractNumId w:val="0"/>
  </w:num>
  <w:num w:numId="12">
    <w:abstractNumId w:val="14"/>
  </w:num>
  <w:num w:numId="13">
    <w:abstractNumId w:val="13"/>
  </w:num>
  <w:num w:numId="14">
    <w:abstractNumId w:val="4"/>
  </w:num>
  <w:num w:numId="15">
    <w:abstractNumId w:val="20"/>
  </w:num>
  <w:num w:numId="16">
    <w:abstractNumId w:val="11"/>
  </w:num>
  <w:num w:numId="17">
    <w:abstractNumId w:val="10"/>
  </w:num>
  <w:num w:numId="18">
    <w:abstractNumId w:val="1"/>
  </w:num>
  <w:num w:numId="19">
    <w:abstractNumId w:val="6"/>
  </w:num>
  <w:num w:numId="20">
    <w:abstractNumId w:val="17"/>
  </w:num>
  <w:num w:numId="21">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2"/>
  </w:compat>
  <w:rsids>
    <w:rsidRoot w:val="0018013A"/>
    <w:rsid w:val="00001833"/>
    <w:rsid w:val="000063D4"/>
    <w:rsid w:val="00010D5F"/>
    <w:rsid w:val="00010FF7"/>
    <w:rsid w:val="0001119E"/>
    <w:rsid w:val="00011964"/>
    <w:rsid w:val="00012122"/>
    <w:rsid w:val="0001431F"/>
    <w:rsid w:val="00015B0A"/>
    <w:rsid w:val="00015D99"/>
    <w:rsid w:val="000167EE"/>
    <w:rsid w:val="00016F24"/>
    <w:rsid w:val="000228F8"/>
    <w:rsid w:val="00025C76"/>
    <w:rsid w:val="000272C1"/>
    <w:rsid w:val="00030063"/>
    <w:rsid w:val="00030907"/>
    <w:rsid w:val="00033A58"/>
    <w:rsid w:val="00035729"/>
    <w:rsid w:val="00035A8E"/>
    <w:rsid w:val="000369F7"/>
    <w:rsid w:val="00040AA8"/>
    <w:rsid w:val="000439F5"/>
    <w:rsid w:val="0004407A"/>
    <w:rsid w:val="000463F6"/>
    <w:rsid w:val="00052E5A"/>
    <w:rsid w:val="00054214"/>
    <w:rsid w:val="00054E64"/>
    <w:rsid w:val="000613CB"/>
    <w:rsid w:val="00061990"/>
    <w:rsid w:val="00063BE0"/>
    <w:rsid w:val="00065CF0"/>
    <w:rsid w:val="000751A9"/>
    <w:rsid w:val="000754C9"/>
    <w:rsid w:val="0007562B"/>
    <w:rsid w:val="000809B8"/>
    <w:rsid w:val="000869AD"/>
    <w:rsid w:val="0008777E"/>
    <w:rsid w:val="00087FB3"/>
    <w:rsid w:val="00090AB4"/>
    <w:rsid w:val="000915EA"/>
    <w:rsid w:val="00091A60"/>
    <w:rsid w:val="00092489"/>
    <w:rsid w:val="00092DF4"/>
    <w:rsid w:val="00095EE3"/>
    <w:rsid w:val="000A0D02"/>
    <w:rsid w:val="000A4A61"/>
    <w:rsid w:val="000A5BE2"/>
    <w:rsid w:val="000B23F2"/>
    <w:rsid w:val="000B3BC1"/>
    <w:rsid w:val="000B3D25"/>
    <w:rsid w:val="000B5744"/>
    <w:rsid w:val="000B5D11"/>
    <w:rsid w:val="000B626F"/>
    <w:rsid w:val="000C1066"/>
    <w:rsid w:val="000C2421"/>
    <w:rsid w:val="000C3D78"/>
    <w:rsid w:val="000C5138"/>
    <w:rsid w:val="000C62E8"/>
    <w:rsid w:val="000C7D3F"/>
    <w:rsid w:val="000D2809"/>
    <w:rsid w:val="000D420F"/>
    <w:rsid w:val="000D6E4E"/>
    <w:rsid w:val="000D72F6"/>
    <w:rsid w:val="000E0ADF"/>
    <w:rsid w:val="000E3DF6"/>
    <w:rsid w:val="000E5BE5"/>
    <w:rsid w:val="000F0AF6"/>
    <w:rsid w:val="000F0C0F"/>
    <w:rsid w:val="000F34BA"/>
    <w:rsid w:val="000F5927"/>
    <w:rsid w:val="00104E8D"/>
    <w:rsid w:val="00105C73"/>
    <w:rsid w:val="001067CE"/>
    <w:rsid w:val="00106F7B"/>
    <w:rsid w:val="0010711F"/>
    <w:rsid w:val="00112A23"/>
    <w:rsid w:val="001278AC"/>
    <w:rsid w:val="00127C4B"/>
    <w:rsid w:val="0013061F"/>
    <w:rsid w:val="00134E1B"/>
    <w:rsid w:val="001356BD"/>
    <w:rsid w:val="00136821"/>
    <w:rsid w:val="00137082"/>
    <w:rsid w:val="0014092E"/>
    <w:rsid w:val="00144C5D"/>
    <w:rsid w:val="0015034A"/>
    <w:rsid w:val="00156B0E"/>
    <w:rsid w:val="00162281"/>
    <w:rsid w:val="00166789"/>
    <w:rsid w:val="00167402"/>
    <w:rsid w:val="00170C08"/>
    <w:rsid w:val="00171E47"/>
    <w:rsid w:val="00173E21"/>
    <w:rsid w:val="00174523"/>
    <w:rsid w:val="001749CE"/>
    <w:rsid w:val="001763C6"/>
    <w:rsid w:val="00177786"/>
    <w:rsid w:val="0018013A"/>
    <w:rsid w:val="00181B45"/>
    <w:rsid w:val="00182564"/>
    <w:rsid w:val="00184E02"/>
    <w:rsid w:val="00186F1A"/>
    <w:rsid w:val="00190070"/>
    <w:rsid w:val="00191D24"/>
    <w:rsid w:val="00194FA5"/>
    <w:rsid w:val="001A1B65"/>
    <w:rsid w:val="001B2CE6"/>
    <w:rsid w:val="001B3F86"/>
    <w:rsid w:val="001B4102"/>
    <w:rsid w:val="001B5F09"/>
    <w:rsid w:val="001B63F2"/>
    <w:rsid w:val="001B746C"/>
    <w:rsid w:val="001C25DE"/>
    <w:rsid w:val="001C2FAF"/>
    <w:rsid w:val="001C598F"/>
    <w:rsid w:val="001C7F64"/>
    <w:rsid w:val="001D0BDF"/>
    <w:rsid w:val="001D4FAE"/>
    <w:rsid w:val="001D558D"/>
    <w:rsid w:val="001D6EA7"/>
    <w:rsid w:val="001E0356"/>
    <w:rsid w:val="001E1D16"/>
    <w:rsid w:val="001E7F05"/>
    <w:rsid w:val="001F1FF8"/>
    <w:rsid w:val="001F2761"/>
    <w:rsid w:val="001F3406"/>
    <w:rsid w:val="001F36C8"/>
    <w:rsid w:val="001F4DF3"/>
    <w:rsid w:val="001F540E"/>
    <w:rsid w:val="00200AB0"/>
    <w:rsid w:val="002011EB"/>
    <w:rsid w:val="00202E8F"/>
    <w:rsid w:val="002059AB"/>
    <w:rsid w:val="002067D7"/>
    <w:rsid w:val="00206CAA"/>
    <w:rsid w:val="00206EA0"/>
    <w:rsid w:val="00212EBF"/>
    <w:rsid w:val="00212FCB"/>
    <w:rsid w:val="00216667"/>
    <w:rsid w:val="00217109"/>
    <w:rsid w:val="00223246"/>
    <w:rsid w:val="00232745"/>
    <w:rsid w:val="00236754"/>
    <w:rsid w:val="00237316"/>
    <w:rsid w:val="002410D6"/>
    <w:rsid w:val="0024211E"/>
    <w:rsid w:val="00244CFF"/>
    <w:rsid w:val="00247252"/>
    <w:rsid w:val="00251031"/>
    <w:rsid w:val="00251E69"/>
    <w:rsid w:val="002531C9"/>
    <w:rsid w:val="00257C7E"/>
    <w:rsid w:val="002641B3"/>
    <w:rsid w:val="00264D03"/>
    <w:rsid w:val="002670A9"/>
    <w:rsid w:val="00272313"/>
    <w:rsid w:val="002745E9"/>
    <w:rsid w:val="00275296"/>
    <w:rsid w:val="00277CD3"/>
    <w:rsid w:val="00280C2E"/>
    <w:rsid w:val="002877E8"/>
    <w:rsid w:val="00293B74"/>
    <w:rsid w:val="002978F8"/>
    <w:rsid w:val="00297BE7"/>
    <w:rsid w:val="002A10F9"/>
    <w:rsid w:val="002A2CB7"/>
    <w:rsid w:val="002A6C10"/>
    <w:rsid w:val="002B3986"/>
    <w:rsid w:val="002B5EDB"/>
    <w:rsid w:val="002C2AE2"/>
    <w:rsid w:val="002C33A9"/>
    <w:rsid w:val="002C3C73"/>
    <w:rsid w:val="002C42AD"/>
    <w:rsid w:val="002D0D3D"/>
    <w:rsid w:val="002D1480"/>
    <w:rsid w:val="002D5654"/>
    <w:rsid w:val="002E31FD"/>
    <w:rsid w:val="002E450A"/>
    <w:rsid w:val="002F08E6"/>
    <w:rsid w:val="002F7219"/>
    <w:rsid w:val="002F76AA"/>
    <w:rsid w:val="003028E2"/>
    <w:rsid w:val="00302EF6"/>
    <w:rsid w:val="00305F17"/>
    <w:rsid w:val="0031057F"/>
    <w:rsid w:val="0031343E"/>
    <w:rsid w:val="0031452C"/>
    <w:rsid w:val="0031613D"/>
    <w:rsid w:val="0031713B"/>
    <w:rsid w:val="003225A8"/>
    <w:rsid w:val="003228A4"/>
    <w:rsid w:val="0032366F"/>
    <w:rsid w:val="00323E97"/>
    <w:rsid w:val="003303A4"/>
    <w:rsid w:val="00332145"/>
    <w:rsid w:val="00332FA3"/>
    <w:rsid w:val="00340A44"/>
    <w:rsid w:val="0034264A"/>
    <w:rsid w:val="003479D6"/>
    <w:rsid w:val="00354180"/>
    <w:rsid w:val="003605B4"/>
    <w:rsid w:val="0036293E"/>
    <w:rsid w:val="00365131"/>
    <w:rsid w:val="00367B95"/>
    <w:rsid w:val="00370A9D"/>
    <w:rsid w:val="0037119C"/>
    <w:rsid w:val="003727E9"/>
    <w:rsid w:val="00373143"/>
    <w:rsid w:val="00374D50"/>
    <w:rsid w:val="00375955"/>
    <w:rsid w:val="00376B19"/>
    <w:rsid w:val="00380971"/>
    <w:rsid w:val="0038583E"/>
    <w:rsid w:val="00386EA9"/>
    <w:rsid w:val="00387AA0"/>
    <w:rsid w:val="00390060"/>
    <w:rsid w:val="00390AD0"/>
    <w:rsid w:val="00391983"/>
    <w:rsid w:val="00395A4C"/>
    <w:rsid w:val="00396200"/>
    <w:rsid w:val="003A07A0"/>
    <w:rsid w:val="003A15C6"/>
    <w:rsid w:val="003A2010"/>
    <w:rsid w:val="003B4BA6"/>
    <w:rsid w:val="003B638F"/>
    <w:rsid w:val="003C0EAA"/>
    <w:rsid w:val="003C4BB0"/>
    <w:rsid w:val="003C5EC0"/>
    <w:rsid w:val="003C68CC"/>
    <w:rsid w:val="003C6F62"/>
    <w:rsid w:val="003D1E61"/>
    <w:rsid w:val="003D2316"/>
    <w:rsid w:val="003D4609"/>
    <w:rsid w:val="003D5299"/>
    <w:rsid w:val="003D5758"/>
    <w:rsid w:val="003D7F7A"/>
    <w:rsid w:val="003E0467"/>
    <w:rsid w:val="003E1E28"/>
    <w:rsid w:val="003E5215"/>
    <w:rsid w:val="003F03E5"/>
    <w:rsid w:val="003F17A7"/>
    <w:rsid w:val="003F18AC"/>
    <w:rsid w:val="003F1A71"/>
    <w:rsid w:val="003F3864"/>
    <w:rsid w:val="003F59FA"/>
    <w:rsid w:val="003F5A05"/>
    <w:rsid w:val="003F6420"/>
    <w:rsid w:val="00401058"/>
    <w:rsid w:val="00401208"/>
    <w:rsid w:val="00402285"/>
    <w:rsid w:val="004027B7"/>
    <w:rsid w:val="00407DAD"/>
    <w:rsid w:val="00407E70"/>
    <w:rsid w:val="00411524"/>
    <w:rsid w:val="0041577F"/>
    <w:rsid w:val="00416FBD"/>
    <w:rsid w:val="00420707"/>
    <w:rsid w:val="00420F6C"/>
    <w:rsid w:val="004228EC"/>
    <w:rsid w:val="004256C8"/>
    <w:rsid w:val="00432710"/>
    <w:rsid w:val="00433362"/>
    <w:rsid w:val="004344FF"/>
    <w:rsid w:val="004351A3"/>
    <w:rsid w:val="00436996"/>
    <w:rsid w:val="00436D85"/>
    <w:rsid w:val="00440AB7"/>
    <w:rsid w:val="004431BA"/>
    <w:rsid w:val="0044343E"/>
    <w:rsid w:val="00445F19"/>
    <w:rsid w:val="004469C6"/>
    <w:rsid w:val="004545F5"/>
    <w:rsid w:val="00454FAB"/>
    <w:rsid w:val="004612AA"/>
    <w:rsid w:val="00461BB9"/>
    <w:rsid w:val="004656D9"/>
    <w:rsid w:val="00465A49"/>
    <w:rsid w:val="004664FE"/>
    <w:rsid w:val="00467C75"/>
    <w:rsid w:val="004705B5"/>
    <w:rsid w:val="00470F84"/>
    <w:rsid w:val="00471420"/>
    <w:rsid w:val="00473830"/>
    <w:rsid w:val="00475910"/>
    <w:rsid w:val="00475F11"/>
    <w:rsid w:val="004762F0"/>
    <w:rsid w:val="00481D65"/>
    <w:rsid w:val="0048562E"/>
    <w:rsid w:val="0048613D"/>
    <w:rsid w:val="004905D3"/>
    <w:rsid w:val="00490616"/>
    <w:rsid w:val="00491130"/>
    <w:rsid w:val="004944E3"/>
    <w:rsid w:val="00497179"/>
    <w:rsid w:val="004A1364"/>
    <w:rsid w:val="004A3D6E"/>
    <w:rsid w:val="004B3020"/>
    <w:rsid w:val="004B39F6"/>
    <w:rsid w:val="004B46C0"/>
    <w:rsid w:val="004C1FA0"/>
    <w:rsid w:val="004C453E"/>
    <w:rsid w:val="004C59D7"/>
    <w:rsid w:val="004C6679"/>
    <w:rsid w:val="004D3E08"/>
    <w:rsid w:val="004D43F2"/>
    <w:rsid w:val="004E2469"/>
    <w:rsid w:val="004E45B2"/>
    <w:rsid w:val="004E59E4"/>
    <w:rsid w:val="004E69ED"/>
    <w:rsid w:val="004F1930"/>
    <w:rsid w:val="004F3615"/>
    <w:rsid w:val="00500571"/>
    <w:rsid w:val="00501639"/>
    <w:rsid w:val="0050455C"/>
    <w:rsid w:val="00513038"/>
    <w:rsid w:val="00513426"/>
    <w:rsid w:val="00513D74"/>
    <w:rsid w:val="00514E6B"/>
    <w:rsid w:val="0052278F"/>
    <w:rsid w:val="00530AB2"/>
    <w:rsid w:val="00531EC2"/>
    <w:rsid w:val="00534CD4"/>
    <w:rsid w:val="00535079"/>
    <w:rsid w:val="005351A0"/>
    <w:rsid w:val="0054009D"/>
    <w:rsid w:val="00540215"/>
    <w:rsid w:val="00542561"/>
    <w:rsid w:val="00542579"/>
    <w:rsid w:val="00542ACE"/>
    <w:rsid w:val="005435AC"/>
    <w:rsid w:val="0054493A"/>
    <w:rsid w:val="00544CFC"/>
    <w:rsid w:val="00550F32"/>
    <w:rsid w:val="005545DE"/>
    <w:rsid w:val="0056080F"/>
    <w:rsid w:val="00561B45"/>
    <w:rsid w:val="00566730"/>
    <w:rsid w:val="00566B66"/>
    <w:rsid w:val="00573A53"/>
    <w:rsid w:val="00574E78"/>
    <w:rsid w:val="0058386C"/>
    <w:rsid w:val="00586566"/>
    <w:rsid w:val="00586B8B"/>
    <w:rsid w:val="00587707"/>
    <w:rsid w:val="00593807"/>
    <w:rsid w:val="00595D2B"/>
    <w:rsid w:val="00595FE6"/>
    <w:rsid w:val="00596F9A"/>
    <w:rsid w:val="0059751F"/>
    <w:rsid w:val="0059781D"/>
    <w:rsid w:val="005A1302"/>
    <w:rsid w:val="005A60FC"/>
    <w:rsid w:val="005B346F"/>
    <w:rsid w:val="005B4EC3"/>
    <w:rsid w:val="005C1388"/>
    <w:rsid w:val="005C1529"/>
    <w:rsid w:val="005C4B2C"/>
    <w:rsid w:val="005C7401"/>
    <w:rsid w:val="005D1324"/>
    <w:rsid w:val="005D3494"/>
    <w:rsid w:val="005D5AE2"/>
    <w:rsid w:val="005D7F12"/>
    <w:rsid w:val="005E63F6"/>
    <w:rsid w:val="005F057B"/>
    <w:rsid w:val="005F2F38"/>
    <w:rsid w:val="005F3402"/>
    <w:rsid w:val="005F75B5"/>
    <w:rsid w:val="006012CB"/>
    <w:rsid w:val="006145B9"/>
    <w:rsid w:val="00614947"/>
    <w:rsid w:val="00615647"/>
    <w:rsid w:val="006171AB"/>
    <w:rsid w:val="00617480"/>
    <w:rsid w:val="00620156"/>
    <w:rsid w:val="006207AE"/>
    <w:rsid w:val="006217F1"/>
    <w:rsid w:val="00627A34"/>
    <w:rsid w:val="006324F6"/>
    <w:rsid w:val="00635E1E"/>
    <w:rsid w:val="00637F42"/>
    <w:rsid w:val="00642C6C"/>
    <w:rsid w:val="00643135"/>
    <w:rsid w:val="00644452"/>
    <w:rsid w:val="00650D76"/>
    <w:rsid w:val="006558BB"/>
    <w:rsid w:val="00657A5B"/>
    <w:rsid w:val="006620A4"/>
    <w:rsid w:val="00664119"/>
    <w:rsid w:val="0067042B"/>
    <w:rsid w:val="00670577"/>
    <w:rsid w:val="00670A17"/>
    <w:rsid w:val="00670AA4"/>
    <w:rsid w:val="006714EA"/>
    <w:rsid w:val="00671834"/>
    <w:rsid w:val="00674230"/>
    <w:rsid w:val="00675F19"/>
    <w:rsid w:val="0068007B"/>
    <w:rsid w:val="0068207B"/>
    <w:rsid w:val="00684AEF"/>
    <w:rsid w:val="00686C2C"/>
    <w:rsid w:val="00690F44"/>
    <w:rsid w:val="0069204B"/>
    <w:rsid w:val="00692E0A"/>
    <w:rsid w:val="00693AC9"/>
    <w:rsid w:val="0069638D"/>
    <w:rsid w:val="00696A9F"/>
    <w:rsid w:val="00696E2A"/>
    <w:rsid w:val="00697CE0"/>
    <w:rsid w:val="006A43E1"/>
    <w:rsid w:val="006A627C"/>
    <w:rsid w:val="006A772F"/>
    <w:rsid w:val="006A7D33"/>
    <w:rsid w:val="006B2969"/>
    <w:rsid w:val="006B5C01"/>
    <w:rsid w:val="006C13F0"/>
    <w:rsid w:val="006C2FDA"/>
    <w:rsid w:val="006D2196"/>
    <w:rsid w:val="006D4F35"/>
    <w:rsid w:val="006D6879"/>
    <w:rsid w:val="006E0FF9"/>
    <w:rsid w:val="006E176F"/>
    <w:rsid w:val="006E1852"/>
    <w:rsid w:val="006E4888"/>
    <w:rsid w:val="006E5154"/>
    <w:rsid w:val="006E57C4"/>
    <w:rsid w:val="006E5ACE"/>
    <w:rsid w:val="006E5F8C"/>
    <w:rsid w:val="006E679C"/>
    <w:rsid w:val="006E7673"/>
    <w:rsid w:val="006F44DB"/>
    <w:rsid w:val="006F734C"/>
    <w:rsid w:val="007007FD"/>
    <w:rsid w:val="00701D0C"/>
    <w:rsid w:val="0070406B"/>
    <w:rsid w:val="0070439E"/>
    <w:rsid w:val="00705ACC"/>
    <w:rsid w:val="00706FD0"/>
    <w:rsid w:val="0071183C"/>
    <w:rsid w:val="007133BB"/>
    <w:rsid w:val="007150FD"/>
    <w:rsid w:val="0071527F"/>
    <w:rsid w:val="00715E2A"/>
    <w:rsid w:val="007253E6"/>
    <w:rsid w:val="00730061"/>
    <w:rsid w:val="00733A74"/>
    <w:rsid w:val="007404BC"/>
    <w:rsid w:val="00740A4C"/>
    <w:rsid w:val="00744781"/>
    <w:rsid w:val="00745109"/>
    <w:rsid w:val="00746218"/>
    <w:rsid w:val="0075271D"/>
    <w:rsid w:val="00752F3C"/>
    <w:rsid w:val="00761C94"/>
    <w:rsid w:val="00766BE5"/>
    <w:rsid w:val="007672EB"/>
    <w:rsid w:val="0077122D"/>
    <w:rsid w:val="00776714"/>
    <w:rsid w:val="00776822"/>
    <w:rsid w:val="00777BDF"/>
    <w:rsid w:val="00781E82"/>
    <w:rsid w:val="007844C7"/>
    <w:rsid w:val="00792AAD"/>
    <w:rsid w:val="0079652E"/>
    <w:rsid w:val="007A281A"/>
    <w:rsid w:val="007A6BF1"/>
    <w:rsid w:val="007B08A6"/>
    <w:rsid w:val="007B297D"/>
    <w:rsid w:val="007B4617"/>
    <w:rsid w:val="007B4D0C"/>
    <w:rsid w:val="007B4E0A"/>
    <w:rsid w:val="007C0ECC"/>
    <w:rsid w:val="007C4451"/>
    <w:rsid w:val="007C716A"/>
    <w:rsid w:val="007C73B6"/>
    <w:rsid w:val="007D0958"/>
    <w:rsid w:val="007D3F91"/>
    <w:rsid w:val="007D4E02"/>
    <w:rsid w:val="007D5DB1"/>
    <w:rsid w:val="007D6032"/>
    <w:rsid w:val="007D7092"/>
    <w:rsid w:val="007E03E3"/>
    <w:rsid w:val="007E16E0"/>
    <w:rsid w:val="007E670D"/>
    <w:rsid w:val="007E7517"/>
    <w:rsid w:val="007F4140"/>
    <w:rsid w:val="00804976"/>
    <w:rsid w:val="00804BF7"/>
    <w:rsid w:val="0080745E"/>
    <w:rsid w:val="00810BE5"/>
    <w:rsid w:val="00811D21"/>
    <w:rsid w:val="008140A5"/>
    <w:rsid w:val="00816DA2"/>
    <w:rsid w:val="00822D31"/>
    <w:rsid w:val="00823A6D"/>
    <w:rsid w:val="0083189C"/>
    <w:rsid w:val="0083510C"/>
    <w:rsid w:val="00836CAF"/>
    <w:rsid w:val="008404BA"/>
    <w:rsid w:val="00841357"/>
    <w:rsid w:val="00842F4C"/>
    <w:rsid w:val="0084492F"/>
    <w:rsid w:val="00845216"/>
    <w:rsid w:val="0084605D"/>
    <w:rsid w:val="00853C0A"/>
    <w:rsid w:val="008540A1"/>
    <w:rsid w:val="008552C9"/>
    <w:rsid w:val="008607EC"/>
    <w:rsid w:val="00861D15"/>
    <w:rsid w:val="00865EDE"/>
    <w:rsid w:val="00866A10"/>
    <w:rsid w:val="00872D04"/>
    <w:rsid w:val="00875EAA"/>
    <w:rsid w:val="008779C3"/>
    <w:rsid w:val="008831EA"/>
    <w:rsid w:val="008848BA"/>
    <w:rsid w:val="00885D58"/>
    <w:rsid w:val="00895FAD"/>
    <w:rsid w:val="008A00DD"/>
    <w:rsid w:val="008A196A"/>
    <w:rsid w:val="008A40FC"/>
    <w:rsid w:val="008A6777"/>
    <w:rsid w:val="008A69EA"/>
    <w:rsid w:val="008A6A19"/>
    <w:rsid w:val="008B086E"/>
    <w:rsid w:val="008B2B3F"/>
    <w:rsid w:val="008B31CF"/>
    <w:rsid w:val="008B32AD"/>
    <w:rsid w:val="008B4686"/>
    <w:rsid w:val="008B6993"/>
    <w:rsid w:val="008C21EA"/>
    <w:rsid w:val="008C611B"/>
    <w:rsid w:val="008D5190"/>
    <w:rsid w:val="008D528D"/>
    <w:rsid w:val="008D7F53"/>
    <w:rsid w:val="008E45A0"/>
    <w:rsid w:val="008F1171"/>
    <w:rsid w:val="008F4B80"/>
    <w:rsid w:val="00903A77"/>
    <w:rsid w:val="00903F27"/>
    <w:rsid w:val="0090433C"/>
    <w:rsid w:val="00912C3A"/>
    <w:rsid w:val="0092489C"/>
    <w:rsid w:val="00924E65"/>
    <w:rsid w:val="0093643F"/>
    <w:rsid w:val="00936F04"/>
    <w:rsid w:val="009409D3"/>
    <w:rsid w:val="009411B9"/>
    <w:rsid w:val="00944013"/>
    <w:rsid w:val="009452F5"/>
    <w:rsid w:val="00945E2F"/>
    <w:rsid w:val="00955339"/>
    <w:rsid w:val="0095618B"/>
    <w:rsid w:val="00962B42"/>
    <w:rsid w:val="0096427B"/>
    <w:rsid w:val="009660AC"/>
    <w:rsid w:val="009675E3"/>
    <w:rsid w:val="00972739"/>
    <w:rsid w:val="00973766"/>
    <w:rsid w:val="00973F93"/>
    <w:rsid w:val="009750CE"/>
    <w:rsid w:val="009809F8"/>
    <w:rsid w:val="00980C89"/>
    <w:rsid w:val="00980CE1"/>
    <w:rsid w:val="00982896"/>
    <w:rsid w:val="0098388A"/>
    <w:rsid w:val="0099064B"/>
    <w:rsid w:val="0099089D"/>
    <w:rsid w:val="00991067"/>
    <w:rsid w:val="00991821"/>
    <w:rsid w:val="00994600"/>
    <w:rsid w:val="00995FE7"/>
    <w:rsid w:val="009A444E"/>
    <w:rsid w:val="009A4EDE"/>
    <w:rsid w:val="009A5B31"/>
    <w:rsid w:val="009A6C59"/>
    <w:rsid w:val="009A700E"/>
    <w:rsid w:val="009B177C"/>
    <w:rsid w:val="009B48AB"/>
    <w:rsid w:val="009B5A0E"/>
    <w:rsid w:val="009B6377"/>
    <w:rsid w:val="009B7AC7"/>
    <w:rsid w:val="009C1476"/>
    <w:rsid w:val="009C1920"/>
    <w:rsid w:val="009C63EA"/>
    <w:rsid w:val="009C694B"/>
    <w:rsid w:val="009C71FB"/>
    <w:rsid w:val="009D06AC"/>
    <w:rsid w:val="009D237D"/>
    <w:rsid w:val="009E15A6"/>
    <w:rsid w:val="009E3E62"/>
    <w:rsid w:val="009E46A8"/>
    <w:rsid w:val="009E6C39"/>
    <w:rsid w:val="009F495D"/>
    <w:rsid w:val="009F6346"/>
    <w:rsid w:val="009F73EA"/>
    <w:rsid w:val="00A04200"/>
    <w:rsid w:val="00A046A3"/>
    <w:rsid w:val="00A06CFC"/>
    <w:rsid w:val="00A10A7B"/>
    <w:rsid w:val="00A135CF"/>
    <w:rsid w:val="00A14DB0"/>
    <w:rsid w:val="00A15E0A"/>
    <w:rsid w:val="00A20DBB"/>
    <w:rsid w:val="00A218B6"/>
    <w:rsid w:val="00A241ED"/>
    <w:rsid w:val="00A25D4D"/>
    <w:rsid w:val="00A27B0F"/>
    <w:rsid w:val="00A33443"/>
    <w:rsid w:val="00A34FC4"/>
    <w:rsid w:val="00A3634A"/>
    <w:rsid w:val="00A3669C"/>
    <w:rsid w:val="00A3673E"/>
    <w:rsid w:val="00A37F98"/>
    <w:rsid w:val="00A40725"/>
    <w:rsid w:val="00A42224"/>
    <w:rsid w:val="00A46F3C"/>
    <w:rsid w:val="00A47062"/>
    <w:rsid w:val="00A506B7"/>
    <w:rsid w:val="00A513F9"/>
    <w:rsid w:val="00A57B21"/>
    <w:rsid w:val="00A609E8"/>
    <w:rsid w:val="00A60B3E"/>
    <w:rsid w:val="00A62CE0"/>
    <w:rsid w:val="00A64606"/>
    <w:rsid w:val="00A673D3"/>
    <w:rsid w:val="00A71ED6"/>
    <w:rsid w:val="00A736B3"/>
    <w:rsid w:val="00A749AB"/>
    <w:rsid w:val="00A74ACC"/>
    <w:rsid w:val="00A8053E"/>
    <w:rsid w:val="00A80FDC"/>
    <w:rsid w:val="00A81A9C"/>
    <w:rsid w:val="00A82626"/>
    <w:rsid w:val="00A86CCC"/>
    <w:rsid w:val="00A876CF"/>
    <w:rsid w:val="00A911DD"/>
    <w:rsid w:val="00A926A4"/>
    <w:rsid w:val="00A950BD"/>
    <w:rsid w:val="00A95658"/>
    <w:rsid w:val="00A972A5"/>
    <w:rsid w:val="00A97B60"/>
    <w:rsid w:val="00AA057D"/>
    <w:rsid w:val="00AA0F13"/>
    <w:rsid w:val="00AA433C"/>
    <w:rsid w:val="00AA43CD"/>
    <w:rsid w:val="00AA6C45"/>
    <w:rsid w:val="00AA7BDE"/>
    <w:rsid w:val="00AB0E8E"/>
    <w:rsid w:val="00AC1876"/>
    <w:rsid w:val="00AC3C23"/>
    <w:rsid w:val="00AC6742"/>
    <w:rsid w:val="00AC774E"/>
    <w:rsid w:val="00AC7C0E"/>
    <w:rsid w:val="00AD2BD4"/>
    <w:rsid w:val="00AD3E5A"/>
    <w:rsid w:val="00AD6D40"/>
    <w:rsid w:val="00AE1D10"/>
    <w:rsid w:val="00AE23F8"/>
    <w:rsid w:val="00AE3DE1"/>
    <w:rsid w:val="00AE65EB"/>
    <w:rsid w:val="00AE6D8F"/>
    <w:rsid w:val="00AF3B92"/>
    <w:rsid w:val="00AF456A"/>
    <w:rsid w:val="00AF69DD"/>
    <w:rsid w:val="00AF7AD3"/>
    <w:rsid w:val="00B04658"/>
    <w:rsid w:val="00B0759C"/>
    <w:rsid w:val="00B12FBB"/>
    <w:rsid w:val="00B160BC"/>
    <w:rsid w:val="00B242ED"/>
    <w:rsid w:val="00B24680"/>
    <w:rsid w:val="00B246A6"/>
    <w:rsid w:val="00B25072"/>
    <w:rsid w:val="00B265C6"/>
    <w:rsid w:val="00B26A02"/>
    <w:rsid w:val="00B30490"/>
    <w:rsid w:val="00B335F0"/>
    <w:rsid w:val="00B35239"/>
    <w:rsid w:val="00B36E78"/>
    <w:rsid w:val="00B40959"/>
    <w:rsid w:val="00B42D38"/>
    <w:rsid w:val="00B45176"/>
    <w:rsid w:val="00B46625"/>
    <w:rsid w:val="00B508BA"/>
    <w:rsid w:val="00B54023"/>
    <w:rsid w:val="00B5671E"/>
    <w:rsid w:val="00B60C4B"/>
    <w:rsid w:val="00B6297B"/>
    <w:rsid w:val="00B62E86"/>
    <w:rsid w:val="00B66D73"/>
    <w:rsid w:val="00B673A9"/>
    <w:rsid w:val="00B72BA0"/>
    <w:rsid w:val="00B73084"/>
    <w:rsid w:val="00B7332E"/>
    <w:rsid w:val="00B801A4"/>
    <w:rsid w:val="00B8461E"/>
    <w:rsid w:val="00B86F0F"/>
    <w:rsid w:val="00B91FD9"/>
    <w:rsid w:val="00B932B0"/>
    <w:rsid w:val="00B95368"/>
    <w:rsid w:val="00BA072C"/>
    <w:rsid w:val="00BA2CAF"/>
    <w:rsid w:val="00BA4D7F"/>
    <w:rsid w:val="00BA773A"/>
    <w:rsid w:val="00BB10CD"/>
    <w:rsid w:val="00BB2D97"/>
    <w:rsid w:val="00BB72F0"/>
    <w:rsid w:val="00BC2087"/>
    <w:rsid w:val="00BC3725"/>
    <w:rsid w:val="00BD0B56"/>
    <w:rsid w:val="00BD13E2"/>
    <w:rsid w:val="00BD1B5F"/>
    <w:rsid w:val="00BD1FC3"/>
    <w:rsid w:val="00BD3241"/>
    <w:rsid w:val="00BD47C8"/>
    <w:rsid w:val="00BD4F55"/>
    <w:rsid w:val="00BD5627"/>
    <w:rsid w:val="00BD5C9E"/>
    <w:rsid w:val="00BD7A2E"/>
    <w:rsid w:val="00BE140F"/>
    <w:rsid w:val="00BE6D8C"/>
    <w:rsid w:val="00BF4269"/>
    <w:rsid w:val="00BF4CCC"/>
    <w:rsid w:val="00BF54DF"/>
    <w:rsid w:val="00C00916"/>
    <w:rsid w:val="00C01AF8"/>
    <w:rsid w:val="00C01E98"/>
    <w:rsid w:val="00C023F5"/>
    <w:rsid w:val="00C0300F"/>
    <w:rsid w:val="00C04DD7"/>
    <w:rsid w:val="00C05DA3"/>
    <w:rsid w:val="00C07296"/>
    <w:rsid w:val="00C10117"/>
    <w:rsid w:val="00C10A06"/>
    <w:rsid w:val="00C12BE5"/>
    <w:rsid w:val="00C12C5F"/>
    <w:rsid w:val="00C13143"/>
    <w:rsid w:val="00C14A1D"/>
    <w:rsid w:val="00C169F3"/>
    <w:rsid w:val="00C17622"/>
    <w:rsid w:val="00C219B7"/>
    <w:rsid w:val="00C2451C"/>
    <w:rsid w:val="00C34A35"/>
    <w:rsid w:val="00C36139"/>
    <w:rsid w:val="00C4047F"/>
    <w:rsid w:val="00C40CA3"/>
    <w:rsid w:val="00C43BC8"/>
    <w:rsid w:val="00C455CA"/>
    <w:rsid w:val="00C4672A"/>
    <w:rsid w:val="00C55AA1"/>
    <w:rsid w:val="00C5736A"/>
    <w:rsid w:val="00C57963"/>
    <w:rsid w:val="00C602E9"/>
    <w:rsid w:val="00C61304"/>
    <w:rsid w:val="00C614B9"/>
    <w:rsid w:val="00C640A3"/>
    <w:rsid w:val="00C65872"/>
    <w:rsid w:val="00C66909"/>
    <w:rsid w:val="00C76F82"/>
    <w:rsid w:val="00C84623"/>
    <w:rsid w:val="00C84794"/>
    <w:rsid w:val="00C92890"/>
    <w:rsid w:val="00C970FE"/>
    <w:rsid w:val="00CB08C6"/>
    <w:rsid w:val="00CC4D3D"/>
    <w:rsid w:val="00CC512E"/>
    <w:rsid w:val="00CF15D5"/>
    <w:rsid w:val="00CF17DE"/>
    <w:rsid w:val="00CF3570"/>
    <w:rsid w:val="00CF5CAA"/>
    <w:rsid w:val="00CF6697"/>
    <w:rsid w:val="00CF7797"/>
    <w:rsid w:val="00D00706"/>
    <w:rsid w:val="00D00C4A"/>
    <w:rsid w:val="00D00F33"/>
    <w:rsid w:val="00D055E7"/>
    <w:rsid w:val="00D156B5"/>
    <w:rsid w:val="00D218C7"/>
    <w:rsid w:val="00D26815"/>
    <w:rsid w:val="00D325B8"/>
    <w:rsid w:val="00D336DF"/>
    <w:rsid w:val="00D34187"/>
    <w:rsid w:val="00D352A2"/>
    <w:rsid w:val="00D36435"/>
    <w:rsid w:val="00D41E49"/>
    <w:rsid w:val="00D42739"/>
    <w:rsid w:val="00D42FA6"/>
    <w:rsid w:val="00D4463E"/>
    <w:rsid w:val="00D464BB"/>
    <w:rsid w:val="00D47C2B"/>
    <w:rsid w:val="00D52726"/>
    <w:rsid w:val="00D54E4B"/>
    <w:rsid w:val="00D5711C"/>
    <w:rsid w:val="00D61584"/>
    <w:rsid w:val="00D621A0"/>
    <w:rsid w:val="00D63373"/>
    <w:rsid w:val="00D63A28"/>
    <w:rsid w:val="00D64143"/>
    <w:rsid w:val="00D6551A"/>
    <w:rsid w:val="00D70B07"/>
    <w:rsid w:val="00D72144"/>
    <w:rsid w:val="00D76589"/>
    <w:rsid w:val="00D803F6"/>
    <w:rsid w:val="00D853F2"/>
    <w:rsid w:val="00D9173B"/>
    <w:rsid w:val="00D94DAF"/>
    <w:rsid w:val="00D97AEE"/>
    <w:rsid w:val="00DA4B5D"/>
    <w:rsid w:val="00DA4EBF"/>
    <w:rsid w:val="00DB02F6"/>
    <w:rsid w:val="00DB1C98"/>
    <w:rsid w:val="00DB5AC8"/>
    <w:rsid w:val="00DB5DA3"/>
    <w:rsid w:val="00DB6059"/>
    <w:rsid w:val="00DB6071"/>
    <w:rsid w:val="00DB69BA"/>
    <w:rsid w:val="00DB6F2C"/>
    <w:rsid w:val="00DC2919"/>
    <w:rsid w:val="00DC61B5"/>
    <w:rsid w:val="00DC760C"/>
    <w:rsid w:val="00DD3306"/>
    <w:rsid w:val="00DE3674"/>
    <w:rsid w:val="00DE40CC"/>
    <w:rsid w:val="00DE5A32"/>
    <w:rsid w:val="00DF00B7"/>
    <w:rsid w:val="00DF1BE6"/>
    <w:rsid w:val="00DF59BC"/>
    <w:rsid w:val="00E0156C"/>
    <w:rsid w:val="00E037D2"/>
    <w:rsid w:val="00E052C5"/>
    <w:rsid w:val="00E0729B"/>
    <w:rsid w:val="00E12D98"/>
    <w:rsid w:val="00E15606"/>
    <w:rsid w:val="00E15EB9"/>
    <w:rsid w:val="00E22E1A"/>
    <w:rsid w:val="00E26A80"/>
    <w:rsid w:val="00E26CF5"/>
    <w:rsid w:val="00E321A4"/>
    <w:rsid w:val="00E337C0"/>
    <w:rsid w:val="00E35D29"/>
    <w:rsid w:val="00E427DE"/>
    <w:rsid w:val="00E44D67"/>
    <w:rsid w:val="00E45973"/>
    <w:rsid w:val="00E45F0B"/>
    <w:rsid w:val="00E51489"/>
    <w:rsid w:val="00E51B8A"/>
    <w:rsid w:val="00E5637F"/>
    <w:rsid w:val="00E57668"/>
    <w:rsid w:val="00E61E1A"/>
    <w:rsid w:val="00E66034"/>
    <w:rsid w:val="00E67AEA"/>
    <w:rsid w:val="00E72C4D"/>
    <w:rsid w:val="00E75267"/>
    <w:rsid w:val="00E760A9"/>
    <w:rsid w:val="00E83D3E"/>
    <w:rsid w:val="00E83F3A"/>
    <w:rsid w:val="00E90703"/>
    <w:rsid w:val="00E9283B"/>
    <w:rsid w:val="00E929ED"/>
    <w:rsid w:val="00E932EC"/>
    <w:rsid w:val="00EA16F6"/>
    <w:rsid w:val="00EA48A8"/>
    <w:rsid w:val="00EA49BC"/>
    <w:rsid w:val="00EA619B"/>
    <w:rsid w:val="00EB0925"/>
    <w:rsid w:val="00EB1F96"/>
    <w:rsid w:val="00EB2552"/>
    <w:rsid w:val="00EB2E24"/>
    <w:rsid w:val="00EB36A9"/>
    <w:rsid w:val="00EB455B"/>
    <w:rsid w:val="00EB7B9D"/>
    <w:rsid w:val="00EC0C4B"/>
    <w:rsid w:val="00EC1BE4"/>
    <w:rsid w:val="00EC4951"/>
    <w:rsid w:val="00ED0DDB"/>
    <w:rsid w:val="00ED1AD7"/>
    <w:rsid w:val="00ED4470"/>
    <w:rsid w:val="00ED72DE"/>
    <w:rsid w:val="00EE1202"/>
    <w:rsid w:val="00EE226C"/>
    <w:rsid w:val="00EE35B0"/>
    <w:rsid w:val="00EE433F"/>
    <w:rsid w:val="00EF0327"/>
    <w:rsid w:val="00EF3FD0"/>
    <w:rsid w:val="00EF4243"/>
    <w:rsid w:val="00EF7EC2"/>
    <w:rsid w:val="00F003EF"/>
    <w:rsid w:val="00F01F6F"/>
    <w:rsid w:val="00F04DAC"/>
    <w:rsid w:val="00F10335"/>
    <w:rsid w:val="00F10973"/>
    <w:rsid w:val="00F15FD9"/>
    <w:rsid w:val="00F16157"/>
    <w:rsid w:val="00F1785E"/>
    <w:rsid w:val="00F2036F"/>
    <w:rsid w:val="00F22B13"/>
    <w:rsid w:val="00F32938"/>
    <w:rsid w:val="00F3399D"/>
    <w:rsid w:val="00F3484B"/>
    <w:rsid w:val="00F35679"/>
    <w:rsid w:val="00F41852"/>
    <w:rsid w:val="00F45BD9"/>
    <w:rsid w:val="00F50316"/>
    <w:rsid w:val="00F5170E"/>
    <w:rsid w:val="00F56A1E"/>
    <w:rsid w:val="00F65CDD"/>
    <w:rsid w:val="00F66155"/>
    <w:rsid w:val="00F66885"/>
    <w:rsid w:val="00F70A26"/>
    <w:rsid w:val="00F70C30"/>
    <w:rsid w:val="00F71042"/>
    <w:rsid w:val="00F71A53"/>
    <w:rsid w:val="00F74250"/>
    <w:rsid w:val="00F807BA"/>
    <w:rsid w:val="00F80CCB"/>
    <w:rsid w:val="00F814D9"/>
    <w:rsid w:val="00F84758"/>
    <w:rsid w:val="00F84C9D"/>
    <w:rsid w:val="00F8746D"/>
    <w:rsid w:val="00F90D02"/>
    <w:rsid w:val="00F9624A"/>
    <w:rsid w:val="00FA0DFC"/>
    <w:rsid w:val="00FA1AF2"/>
    <w:rsid w:val="00FA3221"/>
    <w:rsid w:val="00FA70CE"/>
    <w:rsid w:val="00FB02CA"/>
    <w:rsid w:val="00FB13D3"/>
    <w:rsid w:val="00FB54F9"/>
    <w:rsid w:val="00FC290C"/>
    <w:rsid w:val="00FC6BBE"/>
    <w:rsid w:val="00FD00EF"/>
    <w:rsid w:val="00FD7AFF"/>
    <w:rsid w:val="00FE01CE"/>
    <w:rsid w:val="00FE3BE5"/>
    <w:rsid w:val="00FE7EE3"/>
    <w:rsid w:val="00FF0483"/>
    <w:rsid w:val="00FF2620"/>
    <w:rsid w:val="00FF2D38"/>
    <w:rsid w:val="00FF3EE7"/>
    <w:rsid w:val="00FF43E4"/>
    <w:rsid w:val="00FF4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3143"/>
    <w:rPr>
      <w:rFonts w:ascii="Palatino" w:hAnsi="Palatino"/>
      <w:sz w:val="26"/>
    </w:rPr>
  </w:style>
  <w:style w:type="paragraph" w:styleId="Heading1">
    <w:name w:val="heading 1"/>
    <w:basedOn w:val="Normal"/>
    <w:next w:val="standard"/>
    <w:qFormat/>
    <w:rsid w:val="00C13143"/>
    <w:pPr>
      <w:keepNext/>
      <w:spacing w:before="120" w:after="240"/>
      <w:outlineLvl w:val="0"/>
    </w:pPr>
    <w:rPr>
      <w:rFonts w:ascii="Helvetica" w:hAnsi="Helvetica"/>
      <w:b/>
      <w:caps/>
      <w:kern w:val="28"/>
      <w:u w:val="single"/>
    </w:rPr>
  </w:style>
  <w:style w:type="paragraph" w:styleId="Heading2">
    <w:name w:val="heading 2"/>
    <w:basedOn w:val="Normal"/>
    <w:next w:val="sub1"/>
    <w:qFormat/>
    <w:rsid w:val="00C13143"/>
    <w:pPr>
      <w:keepNext/>
      <w:numPr>
        <w:ilvl w:val="1"/>
        <w:numId w:val="3"/>
      </w:numPr>
      <w:spacing w:before="120" w:after="120"/>
      <w:outlineLvl w:val="1"/>
    </w:pPr>
    <w:rPr>
      <w:rFonts w:ascii="Helvetica" w:hAnsi="Helvetica"/>
      <w:b/>
      <w:i/>
    </w:rPr>
  </w:style>
  <w:style w:type="paragraph" w:styleId="Heading3">
    <w:name w:val="heading 3"/>
    <w:basedOn w:val="Normal"/>
    <w:next w:val="sub2"/>
    <w:qFormat/>
    <w:rsid w:val="00C13143"/>
    <w:pPr>
      <w:keepNext/>
      <w:spacing w:before="120" w:after="120"/>
      <w:ind w:firstLine="2160"/>
      <w:outlineLvl w:val="2"/>
    </w:pPr>
    <w:rPr>
      <w:rFonts w:ascii="Helvetica" w:hAnsi="Helvetica"/>
      <w:b/>
    </w:rPr>
  </w:style>
  <w:style w:type="paragraph" w:styleId="Heading4">
    <w:name w:val="heading 4"/>
    <w:basedOn w:val="Normal"/>
    <w:next w:val="sub3"/>
    <w:qFormat/>
    <w:rsid w:val="00C13143"/>
    <w:pPr>
      <w:keepNext/>
      <w:spacing w:before="120" w:after="120"/>
      <w:ind w:firstLine="2880"/>
      <w:outlineLvl w:val="3"/>
    </w:pPr>
    <w:rPr>
      <w:rFonts w:ascii="Helvetica" w:hAnsi="Helvetica"/>
      <w:b/>
      <w:i/>
    </w:rPr>
  </w:style>
  <w:style w:type="paragraph" w:styleId="Heading5">
    <w:name w:val="heading 5"/>
    <w:basedOn w:val="Normal"/>
    <w:next w:val="sub4"/>
    <w:qFormat/>
    <w:rsid w:val="00C13143"/>
    <w:pPr>
      <w:spacing w:before="120" w:after="120"/>
      <w:ind w:firstLine="3600"/>
      <w:outlineLvl w:val="4"/>
    </w:pPr>
    <w:rPr>
      <w:rFonts w:ascii="Helvetica" w:hAnsi="Helvetica"/>
      <w:b/>
    </w:rPr>
  </w:style>
  <w:style w:type="paragraph" w:styleId="Heading6">
    <w:name w:val="heading 6"/>
    <w:basedOn w:val="Normal"/>
    <w:next w:val="Normal"/>
    <w:qFormat/>
    <w:rsid w:val="00C13143"/>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ootnote Text Char1 Char,Footnote Text Char Char Char,Char Char,Footnote Text Char2 Char,Footnote Text Char2 Char Char Char Char,Footnote Text Char1 Char1 Char1 Char Char Char,TBG Style Char Char"/>
    <w:basedOn w:val="Normal"/>
    <w:link w:val="FootnoteTextChar"/>
    <w:semiHidden/>
    <w:rsid w:val="008B086E"/>
    <w:pPr>
      <w:spacing w:after="240"/>
    </w:pPr>
    <w:rPr>
      <w:sz w:val="24"/>
    </w:rPr>
  </w:style>
  <w:style w:type="paragraph" w:styleId="EndnoteText">
    <w:name w:val="endnote text"/>
    <w:basedOn w:val="Normal"/>
    <w:semiHidden/>
    <w:rsid w:val="00C13143"/>
    <w:rPr>
      <w:sz w:val="20"/>
    </w:rPr>
  </w:style>
  <w:style w:type="paragraph" w:customStyle="1" w:styleId="standard">
    <w:name w:val="standard"/>
    <w:basedOn w:val="Normal"/>
    <w:rsid w:val="00C13143"/>
    <w:pPr>
      <w:spacing w:line="360" w:lineRule="auto"/>
      <w:ind w:firstLine="720"/>
    </w:pPr>
  </w:style>
  <w:style w:type="paragraph" w:styleId="Subtitle">
    <w:name w:val="Subtitle"/>
    <w:basedOn w:val="Normal"/>
    <w:qFormat/>
    <w:rsid w:val="00C13143"/>
    <w:pPr>
      <w:spacing w:after="60"/>
      <w:jc w:val="center"/>
    </w:pPr>
    <w:rPr>
      <w:rFonts w:ascii="Arial" w:hAnsi="Arial"/>
    </w:rPr>
  </w:style>
  <w:style w:type="paragraph" w:customStyle="1" w:styleId="Quote1">
    <w:name w:val="Quote1"/>
    <w:basedOn w:val="standard"/>
    <w:next w:val="standard"/>
    <w:rsid w:val="00C13143"/>
    <w:pPr>
      <w:spacing w:before="120" w:after="240" w:line="240" w:lineRule="auto"/>
      <w:ind w:left="720" w:right="720" w:firstLine="0"/>
    </w:pPr>
  </w:style>
  <w:style w:type="paragraph" w:customStyle="1" w:styleId="Style1">
    <w:name w:val="Style1"/>
    <w:basedOn w:val="1ListIndent"/>
    <w:rsid w:val="00C13143"/>
    <w:pPr>
      <w:numPr>
        <w:numId w:val="0"/>
      </w:numPr>
    </w:pPr>
  </w:style>
  <w:style w:type="paragraph" w:styleId="TOC4">
    <w:name w:val="toc 4"/>
    <w:basedOn w:val="Normal"/>
    <w:next w:val="Normal"/>
    <w:semiHidden/>
    <w:rsid w:val="00C13143"/>
    <w:pPr>
      <w:tabs>
        <w:tab w:val="right" w:leader="dot" w:pos="9360"/>
      </w:tabs>
      <w:ind w:left="720"/>
    </w:pPr>
  </w:style>
  <w:style w:type="paragraph" w:customStyle="1" w:styleId="main">
    <w:name w:val="main"/>
    <w:basedOn w:val="Normal"/>
    <w:rsid w:val="00C13143"/>
    <w:pPr>
      <w:jc w:val="center"/>
    </w:pPr>
    <w:rPr>
      <w:rFonts w:ascii="Helvetica" w:hAnsi="Helvetica"/>
      <w:b/>
    </w:rPr>
  </w:style>
  <w:style w:type="paragraph" w:customStyle="1" w:styleId="mainex">
    <w:name w:val="mainex"/>
    <w:basedOn w:val="main"/>
    <w:rsid w:val="00C13143"/>
    <w:pPr>
      <w:keepNext/>
    </w:pPr>
    <w:rPr>
      <w:spacing w:val="120"/>
    </w:rPr>
  </w:style>
  <w:style w:type="paragraph" w:customStyle="1" w:styleId="num1">
    <w:name w:val="num1"/>
    <w:basedOn w:val="Normal"/>
    <w:rsid w:val="00C13143"/>
    <w:pPr>
      <w:tabs>
        <w:tab w:val="left" w:pos="-720"/>
      </w:tabs>
      <w:suppressAutoHyphens/>
      <w:spacing w:after="240"/>
    </w:pPr>
  </w:style>
  <w:style w:type="paragraph" w:styleId="Header">
    <w:name w:val="header"/>
    <w:basedOn w:val="Normal"/>
    <w:rsid w:val="00C13143"/>
    <w:pPr>
      <w:widowControl w:val="0"/>
      <w:tabs>
        <w:tab w:val="center" w:pos="4320"/>
        <w:tab w:val="right" w:pos="8640"/>
      </w:tabs>
    </w:pPr>
  </w:style>
  <w:style w:type="paragraph" w:customStyle="1" w:styleId="num2">
    <w:name w:val="num2"/>
    <w:basedOn w:val="num1"/>
    <w:rsid w:val="00C13143"/>
    <w:pPr>
      <w:ind w:firstLine="270"/>
    </w:pPr>
  </w:style>
  <w:style w:type="paragraph" w:styleId="Footer">
    <w:name w:val="footer"/>
    <w:basedOn w:val="Normal"/>
    <w:rsid w:val="00C13143"/>
    <w:pPr>
      <w:tabs>
        <w:tab w:val="center" w:pos="4320"/>
        <w:tab w:val="right" w:pos="8640"/>
      </w:tabs>
      <w:jc w:val="center"/>
    </w:pPr>
  </w:style>
  <w:style w:type="paragraph" w:customStyle="1" w:styleId="sub1">
    <w:name w:val="sub1"/>
    <w:basedOn w:val="Normal"/>
    <w:rsid w:val="00C13143"/>
    <w:pPr>
      <w:spacing w:line="360" w:lineRule="auto"/>
      <w:ind w:firstLine="1440"/>
    </w:pPr>
  </w:style>
  <w:style w:type="paragraph" w:customStyle="1" w:styleId="titlebar">
    <w:name w:val="title bar"/>
    <w:basedOn w:val="main"/>
    <w:rsid w:val="00C13143"/>
    <w:pPr>
      <w:keepNext/>
      <w:suppressAutoHyphens/>
    </w:pPr>
  </w:style>
  <w:style w:type="character" w:styleId="PageNumber">
    <w:name w:val="page number"/>
    <w:basedOn w:val="DefaultParagraphFont"/>
    <w:rsid w:val="00C13143"/>
  </w:style>
  <w:style w:type="paragraph" w:customStyle="1" w:styleId="sub2">
    <w:name w:val="sub2"/>
    <w:basedOn w:val="Normal"/>
    <w:rsid w:val="00C13143"/>
    <w:pPr>
      <w:spacing w:line="360" w:lineRule="auto"/>
      <w:ind w:firstLine="2160"/>
    </w:pPr>
  </w:style>
  <w:style w:type="paragraph" w:customStyle="1" w:styleId="sub3">
    <w:name w:val="sub3"/>
    <w:basedOn w:val="Normal"/>
    <w:rsid w:val="00C13143"/>
    <w:pPr>
      <w:spacing w:line="360" w:lineRule="auto"/>
      <w:ind w:firstLine="2880"/>
    </w:pPr>
  </w:style>
  <w:style w:type="paragraph" w:customStyle="1" w:styleId="sub4">
    <w:name w:val="sub4"/>
    <w:basedOn w:val="Normal"/>
    <w:rsid w:val="00C13143"/>
    <w:pPr>
      <w:ind w:firstLine="3600"/>
    </w:pPr>
  </w:style>
  <w:style w:type="paragraph" w:customStyle="1" w:styleId="dummy">
    <w:name w:val="dummy"/>
    <w:basedOn w:val="Heading1"/>
    <w:rsid w:val="00C13143"/>
    <w:pPr>
      <w:outlineLvl w:val="9"/>
    </w:pPr>
  </w:style>
  <w:style w:type="paragraph" w:customStyle="1" w:styleId="AListIndent">
    <w:name w:val="A. List Indent"/>
    <w:basedOn w:val="1ListIndent"/>
    <w:rsid w:val="00C13143"/>
    <w:pPr>
      <w:numPr>
        <w:numId w:val="1"/>
      </w:numPr>
      <w:ind w:left="1440" w:hanging="720"/>
    </w:pPr>
  </w:style>
  <w:style w:type="character" w:styleId="EndnoteReference">
    <w:name w:val="endnote reference"/>
    <w:semiHidden/>
    <w:rsid w:val="00C13143"/>
    <w:rPr>
      <w:vertAlign w:val="superscript"/>
    </w:rPr>
  </w:style>
  <w:style w:type="paragraph" w:customStyle="1" w:styleId="1ListIndent">
    <w:name w:val="1. List Indent"/>
    <w:basedOn w:val="num2"/>
    <w:rsid w:val="00C13143"/>
    <w:pPr>
      <w:numPr>
        <w:numId w:val="2"/>
      </w:numPr>
      <w:ind w:left="1080"/>
    </w:pPr>
  </w:style>
  <w:style w:type="character" w:styleId="FootnoteReference">
    <w:name w:val="footnote reference"/>
    <w:aliases w:val="o,fr,Style 3,o1,o2,o3,o4,o5,o6,o11,o21,o7,Footnote Reference1"/>
    <w:semiHidden/>
    <w:rsid w:val="00C13143"/>
    <w:rPr>
      <w:vertAlign w:val="superscript"/>
    </w:rPr>
  </w:style>
  <w:style w:type="paragraph" w:styleId="List">
    <w:name w:val="List"/>
    <w:basedOn w:val="Normal"/>
    <w:rsid w:val="00C13143"/>
    <w:pPr>
      <w:ind w:left="360" w:hanging="360"/>
    </w:pPr>
    <w:rPr>
      <w:rFonts w:ascii="Times New Roman" w:hAnsi="Times New Roman"/>
      <w:sz w:val="24"/>
    </w:rPr>
  </w:style>
  <w:style w:type="paragraph" w:customStyle="1" w:styleId="Res-Caption">
    <w:name w:val="Res-Caption"/>
    <w:basedOn w:val="Normal"/>
    <w:rsid w:val="00C13143"/>
    <w:pPr>
      <w:ind w:left="720" w:right="720"/>
    </w:pPr>
  </w:style>
  <w:style w:type="paragraph" w:customStyle="1" w:styleId="Res-TitleResolution">
    <w:name w:val="Res-Title (Resolution)"/>
    <w:basedOn w:val="main"/>
    <w:rsid w:val="00C13143"/>
  </w:style>
  <w:style w:type="paragraph" w:customStyle="1" w:styleId="ALs">
    <w:name w:val="ALs"/>
    <w:basedOn w:val="Normal"/>
    <w:rsid w:val="00C13143"/>
    <w:rPr>
      <w:rFonts w:ascii="Times New Roman" w:hAnsi="Times New Roman"/>
      <w:sz w:val="24"/>
    </w:rPr>
  </w:style>
  <w:style w:type="paragraph" w:styleId="PlainText">
    <w:name w:val="Plain Text"/>
    <w:basedOn w:val="Normal"/>
    <w:link w:val="PlainTextChar"/>
    <w:uiPriority w:val="99"/>
    <w:unhideWhenUsed/>
    <w:rsid w:val="002641B3"/>
    <w:rPr>
      <w:rFonts w:ascii="Calibri" w:eastAsia="Calibri" w:hAnsi="Calibri" w:cs="Consolas"/>
      <w:sz w:val="22"/>
      <w:szCs w:val="21"/>
    </w:rPr>
  </w:style>
  <w:style w:type="paragraph" w:customStyle="1" w:styleId="Style2">
    <w:name w:val="Style2"/>
    <w:basedOn w:val="Normal"/>
    <w:rsid w:val="007A6BF1"/>
  </w:style>
  <w:style w:type="paragraph" w:customStyle="1" w:styleId="Style3">
    <w:name w:val="Style3"/>
    <w:basedOn w:val="Normal"/>
    <w:rsid w:val="008B086E"/>
  </w:style>
  <w:style w:type="character" w:customStyle="1" w:styleId="PlainTextChar">
    <w:name w:val="Plain Text Char"/>
    <w:link w:val="PlainText"/>
    <w:uiPriority w:val="99"/>
    <w:rsid w:val="002641B3"/>
    <w:rPr>
      <w:rFonts w:ascii="Calibri" w:eastAsia="Calibri" w:hAnsi="Calibri" w:cs="Consolas"/>
      <w:sz w:val="22"/>
      <w:szCs w:val="21"/>
    </w:rPr>
  </w:style>
  <w:style w:type="character" w:customStyle="1" w:styleId="FootnoteTextChar">
    <w:name w:val="Footnote Text Char"/>
    <w:aliases w:val="Footnote Text Char1 Char1,Footnote Text Char Char Char1,Footnote Text Char1 Char Char,Footnote Text Char Char Char Char,Char Char Char,Footnote Text Char2 Char Char,Footnote Text Char2 Char Char Char Char Char,TBG Style Char Char Char"/>
    <w:link w:val="FootnoteText"/>
    <w:semiHidden/>
    <w:locked/>
    <w:rsid w:val="00471420"/>
    <w:rPr>
      <w:rFonts w:ascii="Palatino" w:hAnsi="Palatino"/>
      <w:sz w:val="24"/>
    </w:rPr>
  </w:style>
  <w:style w:type="character" w:styleId="CommentReference">
    <w:name w:val="annotation reference"/>
    <w:rsid w:val="001B3F86"/>
    <w:rPr>
      <w:sz w:val="16"/>
      <w:szCs w:val="16"/>
    </w:rPr>
  </w:style>
  <w:style w:type="paragraph" w:styleId="CommentText">
    <w:name w:val="annotation text"/>
    <w:basedOn w:val="Normal"/>
    <w:link w:val="CommentTextChar"/>
    <w:rsid w:val="001B3F86"/>
    <w:rPr>
      <w:sz w:val="20"/>
    </w:rPr>
  </w:style>
  <w:style w:type="character" w:customStyle="1" w:styleId="CommentTextChar">
    <w:name w:val="Comment Text Char"/>
    <w:link w:val="CommentText"/>
    <w:rsid w:val="001B3F86"/>
    <w:rPr>
      <w:rFonts w:ascii="Palatino" w:hAnsi="Palatino"/>
    </w:rPr>
  </w:style>
  <w:style w:type="paragraph" w:styleId="CommentSubject">
    <w:name w:val="annotation subject"/>
    <w:basedOn w:val="CommentText"/>
    <w:next w:val="CommentText"/>
    <w:link w:val="CommentSubjectChar"/>
    <w:rsid w:val="001B3F86"/>
    <w:rPr>
      <w:b/>
      <w:bCs/>
    </w:rPr>
  </w:style>
  <w:style w:type="character" w:customStyle="1" w:styleId="CommentSubjectChar">
    <w:name w:val="Comment Subject Char"/>
    <w:link w:val="CommentSubject"/>
    <w:rsid w:val="001B3F86"/>
    <w:rPr>
      <w:rFonts w:ascii="Palatino" w:hAnsi="Palatino"/>
      <w:b/>
      <w:bCs/>
    </w:rPr>
  </w:style>
  <w:style w:type="paragraph" w:styleId="BalloonText">
    <w:name w:val="Balloon Text"/>
    <w:basedOn w:val="Normal"/>
    <w:link w:val="BalloonTextChar"/>
    <w:rsid w:val="001B3F86"/>
    <w:rPr>
      <w:rFonts w:ascii="Tahoma" w:hAnsi="Tahoma" w:cs="Tahoma"/>
      <w:sz w:val="16"/>
      <w:szCs w:val="16"/>
    </w:rPr>
  </w:style>
  <w:style w:type="character" w:customStyle="1" w:styleId="BalloonTextChar">
    <w:name w:val="Balloon Text Char"/>
    <w:link w:val="BalloonText"/>
    <w:rsid w:val="001B3F86"/>
    <w:rPr>
      <w:rFonts w:ascii="Tahoma" w:hAnsi="Tahoma" w:cs="Tahoma"/>
      <w:sz w:val="16"/>
      <w:szCs w:val="16"/>
    </w:rPr>
  </w:style>
  <w:style w:type="character" w:styleId="Hyperlink">
    <w:name w:val="Hyperlink"/>
    <w:uiPriority w:val="99"/>
    <w:unhideWhenUsed/>
    <w:rsid w:val="00EB2E24"/>
    <w:rPr>
      <w:color w:val="0000FF"/>
      <w:u w:val="single"/>
    </w:rPr>
  </w:style>
  <w:style w:type="table" w:styleId="TableGrid">
    <w:name w:val="Table Grid"/>
    <w:basedOn w:val="TableNormal"/>
    <w:rsid w:val="005978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0BE5"/>
    <w:pPr>
      <w:ind w:left="720"/>
    </w:pPr>
    <w:rPr>
      <w:rFonts w:ascii="Calibri" w:eastAsia="Calibri" w:hAnsi="Calibri"/>
      <w:sz w:val="22"/>
      <w:szCs w:val="22"/>
    </w:rPr>
  </w:style>
  <w:style w:type="character" w:styleId="FollowedHyperlink">
    <w:name w:val="FollowedHyperlink"/>
    <w:rsid w:val="00693AC9"/>
    <w:rPr>
      <w:color w:val="800080"/>
      <w:u w:val="single"/>
    </w:rPr>
  </w:style>
  <w:style w:type="character" w:styleId="PlaceholderText">
    <w:name w:val="Placeholder Text"/>
    <w:basedOn w:val="DefaultParagraphFont"/>
    <w:uiPriority w:val="99"/>
    <w:semiHidden/>
    <w:rsid w:val="006620A4"/>
    <w:rPr>
      <w:color w:val="808080"/>
    </w:rPr>
  </w:style>
  <w:style w:type="paragraph" w:styleId="Revision">
    <w:name w:val="Revision"/>
    <w:hidden/>
    <w:uiPriority w:val="99"/>
    <w:semiHidden/>
    <w:rsid w:val="00F814D9"/>
    <w:rPr>
      <w:rFonts w:ascii="Palatino" w:hAnsi="Palatino"/>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6"/>
    </w:rPr>
  </w:style>
  <w:style w:type="paragraph" w:styleId="Heading1">
    <w:name w:val="heading 1"/>
    <w:basedOn w:val="Normal"/>
    <w:next w:val="standard"/>
    <w:qFormat/>
    <w:pPr>
      <w:keepNext/>
      <w:spacing w:before="120" w:after="240"/>
      <w:outlineLvl w:val="0"/>
    </w:pPr>
    <w:rPr>
      <w:rFonts w:ascii="Helvetica" w:hAnsi="Helvetica"/>
      <w:b/>
      <w:caps/>
      <w:kern w:val="28"/>
      <w:u w:val="single"/>
    </w:rPr>
  </w:style>
  <w:style w:type="paragraph" w:styleId="Heading2">
    <w:name w:val="heading 2"/>
    <w:basedOn w:val="Normal"/>
    <w:next w:val="sub1"/>
    <w:qFormat/>
    <w:pPr>
      <w:keepNext/>
      <w:numPr>
        <w:ilvl w:val="1"/>
        <w:numId w:val="3"/>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ootnote Text Char1 Char,Footnote Text Char Char Char,Char Char,Footnote Text Char2 Char,Footnote Text Char2 Char Char Char Char,Footnote Text Char1 Char1 Char1 Char Char Char,TBG Style Char Char"/>
    <w:basedOn w:val="Normal"/>
    <w:link w:val="FootnoteTextChar"/>
    <w:semiHidden/>
    <w:rsid w:val="008B086E"/>
    <w:pPr>
      <w:spacing w:after="240"/>
    </w:pPr>
    <w:rPr>
      <w:sz w:val="24"/>
    </w:rPr>
  </w:style>
  <w:style w:type="paragraph" w:styleId="EndnoteText">
    <w:name w:val="endnote text"/>
    <w:basedOn w:val="Normal"/>
    <w:semiHidden/>
    <w:rPr>
      <w:sz w:val="20"/>
    </w:rPr>
  </w:style>
  <w:style w:type="paragraph" w:customStyle="1" w:styleId="standard">
    <w:name w:val="standard"/>
    <w:basedOn w:val="Normal"/>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1"/>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2"/>
      </w:numPr>
      <w:ind w:left="1080"/>
    </w:pPr>
  </w:style>
  <w:style w:type="character" w:styleId="FootnoteReference">
    <w:name w:val="footnote reference"/>
    <w:aliases w:val="o,fr,Style 3,o1,o2,o3,o4,o5,o6,o11,o21,o7,Footnote Reference1"/>
    <w:semiHidden/>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paragraph" w:styleId="PlainText">
    <w:name w:val="Plain Text"/>
    <w:basedOn w:val="Normal"/>
    <w:link w:val="PlainTextChar"/>
    <w:uiPriority w:val="99"/>
    <w:unhideWhenUsed/>
    <w:rsid w:val="002641B3"/>
    <w:rPr>
      <w:rFonts w:ascii="Calibri" w:eastAsia="Calibri" w:hAnsi="Calibri" w:cs="Consolas"/>
      <w:sz w:val="22"/>
      <w:szCs w:val="21"/>
    </w:rPr>
  </w:style>
  <w:style w:type="paragraph" w:customStyle="1" w:styleId="Style2">
    <w:name w:val="Style2"/>
    <w:basedOn w:val="Normal"/>
    <w:rsid w:val="007A6BF1"/>
  </w:style>
  <w:style w:type="paragraph" w:customStyle="1" w:styleId="Style3">
    <w:name w:val="Style3"/>
    <w:basedOn w:val="Normal"/>
    <w:rsid w:val="008B086E"/>
  </w:style>
  <w:style w:type="character" w:customStyle="1" w:styleId="PlainTextChar">
    <w:name w:val="Plain Text Char"/>
    <w:link w:val="PlainText"/>
    <w:uiPriority w:val="99"/>
    <w:rsid w:val="002641B3"/>
    <w:rPr>
      <w:rFonts w:ascii="Calibri" w:eastAsia="Calibri" w:hAnsi="Calibri" w:cs="Consolas"/>
      <w:sz w:val="22"/>
      <w:szCs w:val="21"/>
    </w:rPr>
  </w:style>
  <w:style w:type="character" w:customStyle="1" w:styleId="FootnoteTextChar">
    <w:name w:val="Footnote Text Char"/>
    <w:aliases w:val="Footnote Text Char1 Char1,Footnote Text Char Char Char1,Footnote Text Char1 Char Char,Footnote Text Char Char Char Char,Char Char Char,Footnote Text Char2 Char Char,Footnote Text Char2 Char Char Char Char Char,TBG Style Char Char Char"/>
    <w:link w:val="FootnoteText"/>
    <w:semiHidden/>
    <w:locked/>
    <w:rsid w:val="00471420"/>
    <w:rPr>
      <w:rFonts w:ascii="Palatino" w:hAnsi="Palatino"/>
      <w:sz w:val="24"/>
    </w:rPr>
  </w:style>
  <w:style w:type="character" w:styleId="CommentReference">
    <w:name w:val="annotation reference"/>
    <w:rsid w:val="001B3F86"/>
    <w:rPr>
      <w:sz w:val="16"/>
      <w:szCs w:val="16"/>
    </w:rPr>
  </w:style>
  <w:style w:type="paragraph" w:styleId="CommentText">
    <w:name w:val="annotation text"/>
    <w:basedOn w:val="Normal"/>
    <w:link w:val="CommentTextChar"/>
    <w:rsid w:val="001B3F86"/>
    <w:rPr>
      <w:sz w:val="20"/>
    </w:rPr>
  </w:style>
  <w:style w:type="character" w:customStyle="1" w:styleId="CommentTextChar">
    <w:name w:val="Comment Text Char"/>
    <w:link w:val="CommentText"/>
    <w:rsid w:val="001B3F86"/>
    <w:rPr>
      <w:rFonts w:ascii="Palatino" w:hAnsi="Palatino"/>
    </w:rPr>
  </w:style>
  <w:style w:type="paragraph" w:styleId="CommentSubject">
    <w:name w:val="annotation subject"/>
    <w:basedOn w:val="CommentText"/>
    <w:next w:val="CommentText"/>
    <w:link w:val="CommentSubjectChar"/>
    <w:rsid w:val="001B3F86"/>
    <w:rPr>
      <w:b/>
      <w:bCs/>
    </w:rPr>
  </w:style>
  <w:style w:type="character" w:customStyle="1" w:styleId="CommentSubjectChar">
    <w:name w:val="Comment Subject Char"/>
    <w:link w:val="CommentSubject"/>
    <w:rsid w:val="001B3F86"/>
    <w:rPr>
      <w:rFonts w:ascii="Palatino" w:hAnsi="Palatino"/>
      <w:b/>
      <w:bCs/>
    </w:rPr>
  </w:style>
  <w:style w:type="paragraph" w:styleId="BalloonText">
    <w:name w:val="Balloon Text"/>
    <w:basedOn w:val="Normal"/>
    <w:link w:val="BalloonTextChar"/>
    <w:rsid w:val="001B3F86"/>
    <w:rPr>
      <w:rFonts w:ascii="Tahoma" w:hAnsi="Tahoma" w:cs="Tahoma"/>
      <w:sz w:val="16"/>
      <w:szCs w:val="16"/>
    </w:rPr>
  </w:style>
  <w:style w:type="character" w:customStyle="1" w:styleId="BalloonTextChar">
    <w:name w:val="Balloon Text Char"/>
    <w:link w:val="BalloonText"/>
    <w:rsid w:val="001B3F86"/>
    <w:rPr>
      <w:rFonts w:ascii="Tahoma" w:hAnsi="Tahoma" w:cs="Tahoma"/>
      <w:sz w:val="16"/>
      <w:szCs w:val="16"/>
    </w:rPr>
  </w:style>
  <w:style w:type="character" w:styleId="Hyperlink">
    <w:name w:val="Hyperlink"/>
    <w:uiPriority w:val="99"/>
    <w:unhideWhenUsed/>
    <w:rsid w:val="00EB2E24"/>
    <w:rPr>
      <w:color w:val="0000FF"/>
      <w:u w:val="single"/>
    </w:rPr>
  </w:style>
  <w:style w:type="table" w:styleId="TableGrid">
    <w:name w:val="Table Grid"/>
    <w:basedOn w:val="TableNormal"/>
    <w:rsid w:val="005978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0BE5"/>
    <w:pPr>
      <w:ind w:left="720"/>
    </w:pPr>
    <w:rPr>
      <w:rFonts w:ascii="Calibri" w:eastAsia="Calibri" w:hAnsi="Calibri"/>
      <w:sz w:val="22"/>
      <w:szCs w:val="22"/>
    </w:rPr>
  </w:style>
  <w:style w:type="character" w:styleId="FollowedHyperlink">
    <w:name w:val="FollowedHyperlink"/>
    <w:rsid w:val="00693AC9"/>
    <w:rPr>
      <w:color w:val="800080"/>
      <w:u w:val="single"/>
    </w:rPr>
  </w:style>
  <w:style w:type="character" w:styleId="PlaceholderText">
    <w:name w:val="Placeholder Text"/>
    <w:basedOn w:val="DefaultParagraphFont"/>
    <w:uiPriority w:val="99"/>
    <w:semiHidden/>
    <w:rsid w:val="006620A4"/>
    <w:rPr>
      <w:color w:val="808080"/>
    </w:rPr>
  </w:style>
  <w:style w:type="paragraph" w:styleId="Revision">
    <w:name w:val="Revision"/>
    <w:hidden/>
    <w:uiPriority w:val="99"/>
    <w:semiHidden/>
    <w:rsid w:val="00F814D9"/>
    <w:rPr>
      <w:rFonts w:ascii="Palatino" w:hAnsi="Palatin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95846">
      <w:bodyDiv w:val="1"/>
      <w:marLeft w:val="0"/>
      <w:marRight w:val="0"/>
      <w:marTop w:val="0"/>
      <w:marBottom w:val="0"/>
      <w:divBdr>
        <w:top w:val="none" w:sz="0" w:space="0" w:color="auto"/>
        <w:left w:val="none" w:sz="0" w:space="0" w:color="auto"/>
        <w:bottom w:val="none" w:sz="0" w:space="0" w:color="auto"/>
        <w:right w:val="none" w:sz="0" w:space="0" w:color="auto"/>
      </w:divBdr>
    </w:div>
    <w:div w:id="493961247">
      <w:bodyDiv w:val="1"/>
      <w:marLeft w:val="0"/>
      <w:marRight w:val="0"/>
      <w:marTop w:val="0"/>
      <w:marBottom w:val="0"/>
      <w:divBdr>
        <w:top w:val="none" w:sz="0" w:space="0" w:color="auto"/>
        <w:left w:val="none" w:sz="0" w:space="0" w:color="auto"/>
        <w:bottom w:val="none" w:sz="0" w:space="0" w:color="auto"/>
        <w:right w:val="none" w:sz="0" w:space="0" w:color="auto"/>
      </w:divBdr>
    </w:div>
    <w:div w:id="898975715">
      <w:bodyDiv w:val="1"/>
      <w:marLeft w:val="0"/>
      <w:marRight w:val="0"/>
      <w:marTop w:val="0"/>
      <w:marBottom w:val="0"/>
      <w:divBdr>
        <w:top w:val="none" w:sz="0" w:space="0" w:color="auto"/>
        <w:left w:val="none" w:sz="0" w:space="0" w:color="auto"/>
        <w:bottom w:val="none" w:sz="0" w:space="0" w:color="auto"/>
        <w:right w:val="none" w:sz="0" w:space="0" w:color="auto"/>
      </w:divBdr>
    </w:div>
    <w:div w:id="954480041">
      <w:bodyDiv w:val="1"/>
      <w:marLeft w:val="0"/>
      <w:marRight w:val="0"/>
      <w:marTop w:val="0"/>
      <w:marBottom w:val="0"/>
      <w:divBdr>
        <w:top w:val="none" w:sz="0" w:space="0" w:color="auto"/>
        <w:left w:val="none" w:sz="0" w:space="0" w:color="auto"/>
        <w:bottom w:val="none" w:sz="0" w:space="0" w:color="auto"/>
        <w:right w:val="none" w:sz="0" w:space="0" w:color="auto"/>
      </w:divBdr>
    </w:div>
    <w:div w:id="186975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2492</Words>
  <Characters>13961</Characters>
  <Application>Microsoft Office Word</Application>
  <DocSecurity>0</DocSecurity>
  <Lines>317</Lines>
  <Paragraphs>91</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16625</CharactersWithSpaces>
  <SharedDoc>false</SharedDoc>
  <HyperlinkBase> </HyperlinkBase>
  <HLinks>
    <vt:vector size="12" baseType="variant">
      <vt:variant>
        <vt:i4>4653150</vt:i4>
      </vt:variant>
      <vt:variant>
        <vt:i4>3</vt:i4>
      </vt:variant>
      <vt:variant>
        <vt:i4>0</vt:i4>
      </vt:variant>
      <vt:variant>
        <vt:i4>5</vt:i4>
      </vt:variant>
      <vt:variant>
        <vt:lpwstr>http://www.sce.com/NR/sc3/tm2/pdf/2645-E.pdf</vt:lpwstr>
      </vt:variant>
      <vt:variant>
        <vt:lpwstr/>
      </vt:variant>
      <vt:variant>
        <vt:i4>7471215</vt:i4>
      </vt:variant>
      <vt:variant>
        <vt:i4>0</vt:i4>
      </vt:variant>
      <vt:variant>
        <vt:i4>0</vt:i4>
      </vt:variant>
      <vt:variant>
        <vt:i4>5</vt:i4>
      </vt:variant>
      <vt:variant>
        <vt:lpwstr>http://www.sce.com/EnergyProcurement/renewables/chp/rfo.htm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2013-01-28T20:54:00Z</cp:lastPrinted>
  <dcterms:created xsi:type="dcterms:W3CDTF">2015-11-13T00:14:00Z</dcterms:created>
  <dcterms:modified xsi:type="dcterms:W3CDTF">2015-11-13T00:14:00Z</dcterms:modified>
  <cp:category> </cp:category>
  <cp:contentStatus> </cp:contentStatus>
</cp:coreProperties>
</file>